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1208EC78" w:rsidR="00AF0400" w:rsidRPr="006E1668" w:rsidRDefault="00866822" w:rsidP="00EA4E1B">
      <w:pPr>
        <w:pStyle w:val="BATitle"/>
        <w:spacing w:before="0" w:after="0" w:line="240" w:lineRule="auto"/>
        <w:ind w:right="0"/>
        <w:jc w:val="both"/>
        <w:rPr>
          <w:sz w:val="32"/>
          <w:lang w:val="pt-BR"/>
        </w:rPr>
      </w:pPr>
      <w:bookmarkStart w:id="0" w:name="_Hlk1324517"/>
      <w:bookmarkStart w:id="1" w:name="_Hlk1324670"/>
      <w:r w:rsidRPr="006E1668">
        <w:rPr>
          <w:noProof/>
          <w:sz w:val="32"/>
          <w:lang w:val="pt-BR"/>
        </w:rPr>
        <mc:AlternateContent>
          <mc:Choice Requires="wps">
            <w:drawing>
              <wp:anchor distT="0" distB="0" distL="114300" distR="114300" simplePos="0" relativeHeight="251660287" behindDoc="0" locked="0" layoutInCell="1" allowOverlap="1" wp14:anchorId="03D250BF" wp14:editId="12107855">
                <wp:simplePos x="0" y="0"/>
                <wp:positionH relativeFrom="margin">
                  <wp:align>right</wp:align>
                </wp:positionH>
                <wp:positionV relativeFrom="paragraph">
                  <wp:posOffset>1905</wp:posOffset>
                </wp:positionV>
                <wp:extent cx="6477000" cy="160020"/>
                <wp:effectExtent l="0" t="0" r="0" b="0"/>
                <wp:wrapNone/>
                <wp:docPr id="3" name="Retângulo 3"/>
                <wp:cNvGraphicFramePr/>
                <a:graphic xmlns:a="http://schemas.openxmlformats.org/drawingml/2006/main">
                  <a:graphicData uri="http://schemas.microsoft.com/office/word/2010/wordprocessingShape">
                    <wps:wsp>
                      <wps:cNvSpPr/>
                      <wps:spPr>
                        <a:xfrm>
                          <a:off x="0" y="0"/>
                          <a:ext cx="6477000" cy="16002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458.8pt;margin-top:.15pt;width:510pt;height:12.6pt;z-index:2516602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446E1099" w:rsidR="00EA4E1B" w:rsidRPr="006E1668" w:rsidRDefault="0049035B" w:rsidP="00EA4E1B">
      <w:pPr>
        <w:pStyle w:val="BATitle"/>
        <w:spacing w:before="0" w:after="0" w:line="240" w:lineRule="auto"/>
        <w:ind w:right="0"/>
        <w:jc w:val="both"/>
        <w:rPr>
          <w:sz w:val="32"/>
          <w:lang w:val="pt-BR"/>
        </w:rPr>
      </w:pPr>
      <w:r w:rsidRPr="006E1668">
        <w:rPr>
          <w:sz w:val="32"/>
          <w:lang w:val="pt-BR"/>
        </w:rPr>
        <w:t>Síntese, caracterização e aplicação de c</w:t>
      </w:r>
      <w:r w:rsidR="008964E3" w:rsidRPr="006E1668">
        <w:rPr>
          <w:sz w:val="32"/>
          <w:lang w:val="pt-BR"/>
        </w:rPr>
        <w:t xml:space="preserve">atalisador bifuncional de prata </w:t>
      </w:r>
      <w:r w:rsidR="00B04989" w:rsidRPr="006E1668">
        <w:rPr>
          <w:sz w:val="32"/>
          <w:lang w:val="pt-BR"/>
        </w:rPr>
        <w:t>encapsulada</w:t>
      </w:r>
      <w:r w:rsidR="008964E3" w:rsidRPr="006E1668">
        <w:rPr>
          <w:sz w:val="32"/>
          <w:lang w:val="pt-BR"/>
        </w:rPr>
        <w:t xml:space="preserve"> em alumi</w:t>
      </w:r>
      <w:r w:rsidR="00EF37B2" w:rsidRPr="006E1668">
        <w:rPr>
          <w:sz w:val="32"/>
          <w:lang w:val="pt-BR"/>
        </w:rPr>
        <w:t>n</w:t>
      </w:r>
      <w:r w:rsidR="008964E3" w:rsidRPr="006E1668">
        <w:rPr>
          <w:sz w:val="32"/>
          <w:lang w:val="pt-BR"/>
        </w:rPr>
        <w:t>a</w:t>
      </w:r>
      <w:r w:rsidRPr="006E1668">
        <w:rPr>
          <w:sz w:val="32"/>
          <w:lang w:val="pt-BR"/>
        </w:rPr>
        <w:t>.</w:t>
      </w:r>
    </w:p>
    <w:p w14:paraId="18735493" w14:textId="731E11FF" w:rsidR="00EA4E1B" w:rsidRPr="006E1668" w:rsidRDefault="008964E3" w:rsidP="00EA4E1B">
      <w:pPr>
        <w:pStyle w:val="BBAuthorName"/>
        <w:spacing w:after="120"/>
        <w:ind w:right="0"/>
        <w:jc w:val="both"/>
        <w:rPr>
          <w:rFonts w:ascii="Times New Roman" w:hAnsi="Times New Roman"/>
          <w:sz w:val="20"/>
          <w:lang w:val="pt-BR"/>
        </w:rPr>
      </w:pPr>
      <w:r w:rsidRPr="006E1668">
        <w:rPr>
          <w:rFonts w:ascii="Times New Roman" w:hAnsi="Times New Roman"/>
          <w:sz w:val="20"/>
          <w:u w:val="single"/>
          <w:lang w:val="pt-BR"/>
        </w:rPr>
        <w:t>Raissa E. C. Cruz</w:t>
      </w:r>
      <w:r w:rsidRPr="006E1668">
        <w:rPr>
          <w:rFonts w:ascii="Times New Roman" w:hAnsi="Times New Roman"/>
          <w:sz w:val="20"/>
          <w:vertAlign w:val="superscript"/>
          <w:lang w:val="pt-BR"/>
        </w:rPr>
        <w:t>1</w:t>
      </w:r>
      <w:r w:rsidRPr="006E1668">
        <w:rPr>
          <w:rFonts w:ascii="Times New Roman" w:hAnsi="Times New Roman"/>
          <w:sz w:val="20"/>
          <w:lang w:val="pt-BR"/>
        </w:rPr>
        <w:t>,</w:t>
      </w:r>
      <w:r w:rsidR="00461188" w:rsidRPr="006E1668">
        <w:t xml:space="preserve"> </w:t>
      </w:r>
      <w:r w:rsidR="00461188" w:rsidRPr="006E1668">
        <w:rPr>
          <w:rFonts w:ascii="Times New Roman" w:hAnsi="Times New Roman"/>
          <w:sz w:val="20"/>
          <w:lang w:val="pt-BR"/>
        </w:rPr>
        <w:t>Leonardo P. Ozorio</w:t>
      </w:r>
      <w:r w:rsidR="00461188" w:rsidRPr="006E1668">
        <w:rPr>
          <w:rFonts w:ascii="Times New Roman" w:hAnsi="Times New Roman"/>
          <w:sz w:val="20"/>
          <w:vertAlign w:val="superscript"/>
          <w:lang w:val="pt-BR"/>
        </w:rPr>
        <w:t>1</w:t>
      </w:r>
      <w:r w:rsidR="00461188" w:rsidRPr="006E1668">
        <w:rPr>
          <w:rFonts w:ascii="Times New Roman" w:hAnsi="Times New Roman"/>
          <w:sz w:val="20"/>
          <w:lang w:val="pt-BR"/>
        </w:rPr>
        <w:t>,</w:t>
      </w:r>
      <w:r w:rsidRPr="006E1668">
        <w:rPr>
          <w:rFonts w:ascii="Times New Roman" w:hAnsi="Times New Roman"/>
          <w:sz w:val="20"/>
          <w:lang w:val="pt-BR"/>
        </w:rPr>
        <w:t xml:space="preserve"> João M. A. R. de Almeida</w:t>
      </w:r>
      <w:r w:rsidR="00B04989" w:rsidRPr="006E1668">
        <w:rPr>
          <w:rFonts w:ascii="Times New Roman" w:hAnsi="Times New Roman"/>
          <w:sz w:val="20"/>
          <w:vertAlign w:val="superscript"/>
          <w:lang w:val="pt-BR"/>
        </w:rPr>
        <w:t>1</w:t>
      </w:r>
      <w:r w:rsidRPr="006E1668">
        <w:rPr>
          <w:rFonts w:ascii="Times New Roman" w:hAnsi="Times New Roman"/>
          <w:sz w:val="20"/>
          <w:lang w:val="pt-BR"/>
        </w:rPr>
        <w:t>, Claudio J. A. Mota</w:t>
      </w:r>
      <w:r w:rsidRPr="006E1668">
        <w:rPr>
          <w:rFonts w:ascii="Times New Roman" w:hAnsi="Times New Roman"/>
          <w:sz w:val="20"/>
          <w:vertAlign w:val="superscript"/>
          <w:lang w:val="pt-BR"/>
        </w:rPr>
        <w:t>1</w:t>
      </w:r>
      <w:r w:rsidR="00B04989" w:rsidRPr="006E1668">
        <w:rPr>
          <w:rFonts w:ascii="Times New Roman" w:hAnsi="Times New Roman"/>
          <w:sz w:val="20"/>
          <w:vertAlign w:val="superscript"/>
          <w:lang w:val="pt-BR"/>
        </w:rPr>
        <w:t>,2</w:t>
      </w:r>
      <w:r w:rsidR="00EF37B2" w:rsidRPr="006E1668">
        <w:rPr>
          <w:rFonts w:ascii="Times New Roman" w:hAnsi="Times New Roman"/>
          <w:sz w:val="20"/>
          <w:vertAlign w:val="superscript"/>
          <w:lang w:val="pt-BR"/>
        </w:rPr>
        <w:t>*</w:t>
      </w:r>
    </w:p>
    <w:p w14:paraId="3C5A0B50" w14:textId="77777777" w:rsidR="00652364" w:rsidRPr="006E1668" w:rsidRDefault="00EA4E1B" w:rsidP="00EA4E1B">
      <w:pPr>
        <w:pStyle w:val="BCAuthorAddress"/>
        <w:spacing w:after="0"/>
        <w:ind w:right="0"/>
        <w:jc w:val="both"/>
        <w:rPr>
          <w:lang w:val="pt-BR"/>
        </w:rPr>
      </w:pPr>
      <w:r w:rsidRPr="006E1668">
        <w:rPr>
          <w:vertAlign w:val="superscript"/>
          <w:lang w:val="pt-BR"/>
        </w:rPr>
        <w:t>1</w:t>
      </w:r>
      <w:r w:rsidR="005F071F" w:rsidRPr="006E1668">
        <w:rPr>
          <w:lang w:val="pt-BR"/>
        </w:rPr>
        <w:t xml:space="preserve"> Instituto de Química, Universidade Federal do Rio de Janeiro. </w:t>
      </w:r>
      <w:r w:rsidR="005F071F" w:rsidRPr="006E1668">
        <w:rPr>
          <w:vertAlign w:val="superscript"/>
          <w:lang w:val="pt-BR"/>
        </w:rPr>
        <w:t>2</w:t>
      </w:r>
      <w:r w:rsidR="005F071F" w:rsidRPr="006E1668">
        <w:rPr>
          <w:lang w:val="pt-BR"/>
        </w:rPr>
        <w:t xml:space="preserve"> Escola de Química, Universidade Federal do Rio de Janeiro.</w:t>
      </w:r>
    </w:p>
    <w:p w14:paraId="22D38595" w14:textId="37AB50F2" w:rsidR="00EA4E1B" w:rsidRPr="006E1668" w:rsidRDefault="00EF37B2" w:rsidP="00EA4E1B">
      <w:pPr>
        <w:pStyle w:val="BCAuthorAddress"/>
        <w:spacing w:after="0"/>
        <w:ind w:right="0"/>
        <w:jc w:val="both"/>
        <w:rPr>
          <w:lang w:val="pt-BR"/>
        </w:rPr>
      </w:pPr>
      <w:r w:rsidRPr="006E1668">
        <w:rPr>
          <w:lang w:val="pt-BR"/>
        </w:rPr>
        <w:t>*cmota@iq.ufrj.br</w:t>
      </w:r>
    </w:p>
    <w:bookmarkEnd w:id="0"/>
    <w:p w14:paraId="238E7EC1" w14:textId="5D4AB3B8" w:rsidR="00AF0400" w:rsidRPr="006E1668" w:rsidRDefault="00AF0400" w:rsidP="00EA4E1B">
      <w:pPr>
        <w:pStyle w:val="BDAbstract"/>
        <w:spacing w:before="0" w:after="0" w:line="240" w:lineRule="auto"/>
        <w:rPr>
          <w:rFonts w:ascii="Times New Roman" w:hAnsi="Times New Roman"/>
          <w:b w:val="0"/>
          <w:sz w:val="20"/>
          <w:lang w:val="pt-BR"/>
        </w:rPr>
      </w:pPr>
      <w:r w:rsidRPr="006E1668">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4671DF3D"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4671DF3D"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Pr="006E1668" w:rsidRDefault="00AF0400" w:rsidP="00EA4E1B">
      <w:pPr>
        <w:pStyle w:val="BDAbstract"/>
        <w:spacing w:before="0" w:after="0" w:line="240" w:lineRule="auto"/>
        <w:rPr>
          <w:rFonts w:ascii="Times New Roman" w:hAnsi="Times New Roman"/>
          <w:b w:val="0"/>
          <w:sz w:val="20"/>
          <w:lang w:val="pt-BR"/>
        </w:rPr>
      </w:pPr>
    </w:p>
    <w:p w14:paraId="6AE90D67" w14:textId="2413630E" w:rsidR="00EA4E1B" w:rsidRPr="006E1668" w:rsidRDefault="00EA4E1B" w:rsidP="00EA4E1B">
      <w:pPr>
        <w:pStyle w:val="BDAbstract"/>
        <w:spacing w:before="0" w:after="0" w:line="240" w:lineRule="auto"/>
        <w:rPr>
          <w:rFonts w:ascii="Times New Roman" w:hAnsi="Times New Roman"/>
          <w:b w:val="0"/>
          <w:sz w:val="20"/>
          <w:lang w:val="pt-BR"/>
        </w:rPr>
      </w:pPr>
      <w:r w:rsidRPr="006E1668">
        <w:rPr>
          <w:rFonts w:ascii="Times New Roman" w:hAnsi="Times New Roman"/>
          <w:b w:val="0"/>
          <w:sz w:val="20"/>
          <w:lang w:val="pt-BR"/>
        </w:rPr>
        <w:t xml:space="preserve">RESUMO - </w:t>
      </w:r>
      <w:r w:rsidR="004A28E0" w:rsidRPr="006E1668">
        <w:rPr>
          <w:rFonts w:ascii="Times New Roman" w:hAnsi="Times New Roman"/>
          <w:b w:val="0"/>
          <w:sz w:val="20"/>
          <w:lang w:val="pt-BR"/>
        </w:rPr>
        <w:t xml:space="preserve">Esse trabalho tem o foco de produzir um catalisador bifuncional de </w:t>
      </w:r>
      <w:r w:rsidR="00D94D06" w:rsidRPr="006E1668">
        <w:rPr>
          <w:rFonts w:ascii="Times New Roman" w:hAnsi="Times New Roman"/>
          <w:b w:val="0"/>
          <w:sz w:val="20"/>
          <w:lang w:val="pt-BR"/>
        </w:rPr>
        <w:t>nanopartícula</w:t>
      </w:r>
      <w:r w:rsidR="004A28E0" w:rsidRPr="006E1668">
        <w:rPr>
          <w:rFonts w:ascii="Times New Roman" w:hAnsi="Times New Roman"/>
          <w:b w:val="0"/>
          <w:sz w:val="20"/>
          <w:lang w:val="pt-BR"/>
        </w:rPr>
        <w:t xml:space="preserve"> de prata </w:t>
      </w:r>
      <w:r w:rsidR="00B04989" w:rsidRPr="006E1668">
        <w:rPr>
          <w:rFonts w:ascii="Times New Roman" w:hAnsi="Times New Roman"/>
          <w:b w:val="0"/>
          <w:sz w:val="20"/>
          <w:lang w:val="pt-BR"/>
        </w:rPr>
        <w:t>encapsulada</w:t>
      </w:r>
      <w:r w:rsidR="004A28E0" w:rsidRPr="006E1668">
        <w:rPr>
          <w:rFonts w:ascii="Times New Roman" w:hAnsi="Times New Roman"/>
          <w:b w:val="0"/>
          <w:sz w:val="20"/>
          <w:lang w:val="pt-BR"/>
        </w:rPr>
        <w:t xml:space="preserve"> em alumina. Inicialmente, a </w:t>
      </w:r>
      <w:r w:rsidR="00D94D06" w:rsidRPr="006E1668">
        <w:rPr>
          <w:rFonts w:ascii="Times New Roman" w:hAnsi="Times New Roman"/>
          <w:b w:val="0"/>
          <w:sz w:val="20"/>
          <w:lang w:val="pt-BR"/>
        </w:rPr>
        <w:t>nanopartícula</w:t>
      </w:r>
      <w:r w:rsidR="004A28E0" w:rsidRPr="006E1668">
        <w:rPr>
          <w:rFonts w:ascii="Times New Roman" w:hAnsi="Times New Roman"/>
          <w:b w:val="0"/>
          <w:sz w:val="20"/>
          <w:lang w:val="pt-BR"/>
        </w:rPr>
        <w:t xml:space="preserve"> de prata foi formada a partir do método do poliol e caracterizada por UV-Vis e DLS. As medidas mostraram uma nanopartícula pseudo-esférica, uniform</w:t>
      </w:r>
      <w:r w:rsidR="00B04989" w:rsidRPr="006E1668">
        <w:rPr>
          <w:rFonts w:ascii="Times New Roman" w:hAnsi="Times New Roman"/>
          <w:b w:val="0"/>
          <w:sz w:val="20"/>
          <w:lang w:val="pt-BR"/>
        </w:rPr>
        <w:t>e</w:t>
      </w:r>
      <w:r w:rsidR="004A28E0" w:rsidRPr="006E1668">
        <w:rPr>
          <w:rFonts w:ascii="Times New Roman" w:hAnsi="Times New Roman"/>
          <w:b w:val="0"/>
          <w:sz w:val="20"/>
          <w:lang w:val="pt-BR"/>
        </w:rPr>
        <w:t>mente distribuída</w:t>
      </w:r>
      <w:r w:rsidR="00B04989" w:rsidRPr="006E1668">
        <w:rPr>
          <w:rFonts w:ascii="Times New Roman" w:hAnsi="Times New Roman"/>
          <w:b w:val="0"/>
          <w:sz w:val="20"/>
          <w:lang w:val="pt-BR"/>
        </w:rPr>
        <w:t>,</w:t>
      </w:r>
      <w:r w:rsidR="004A28E0" w:rsidRPr="006E1668">
        <w:rPr>
          <w:rFonts w:ascii="Times New Roman" w:hAnsi="Times New Roman"/>
          <w:b w:val="0"/>
          <w:sz w:val="20"/>
          <w:lang w:val="pt-BR"/>
        </w:rPr>
        <w:t xml:space="preserve"> e com tamanho médio de 80 nm. Essa nanopartícula foi então revestida por alumina e </w:t>
      </w:r>
      <w:r w:rsidR="00B04989" w:rsidRPr="006E1668">
        <w:rPr>
          <w:rFonts w:ascii="Times New Roman" w:hAnsi="Times New Roman"/>
          <w:b w:val="0"/>
          <w:sz w:val="20"/>
          <w:lang w:val="pt-BR"/>
        </w:rPr>
        <w:t>o</w:t>
      </w:r>
      <w:r w:rsidR="004A28E0" w:rsidRPr="006E1668">
        <w:rPr>
          <w:rFonts w:ascii="Times New Roman" w:hAnsi="Times New Roman"/>
          <w:b w:val="0"/>
          <w:sz w:val="20"/>
          <w:lang w:val="pt-BR"/>
        </w:rPr>
        <w:t xml:space="preserve"> catalisador foi caracterizado por FTIR e MEV. A partir dessa análise foi possível verificar que</w:t>
      </w:r>
      <w:r w:rsidR="00B04989" w:rsidRPr="006E1668">
        <w:rPr>
          <w:rFonts w:ascii="Times New Roman" w:hAnsi="Times New Roman"/>
          <w:b w:val="0"/>
          <w:sz w:val="20"/>
          <w:lang w:val="pt-BR"/>
        </w:rPr>
        <w:t>,</w:t>
      </w:r>
      <w:r w:rsidR="004A28E0" w:rsidRPr="006E1668">
        <w:rPr>
          <w:rFonts w:ascii="Times New Roman" w:hAnsi="Times New Roman"/>
          <w:b w:val="0"/>
          <w:sz w:val="20"/>
          <w:lang w:val="pt-BR"/>
        </w:rPr>
        <w:t xml:space="preserve"> dependendo do tamanho da nanopartícula pode ter acontecido o recobrimento total, formando um</w:t>
      </w:r>
      <w:r w:rsidR="00B04989" w:rsidRPr="006E1668">
        <w:rPr>
          <w:rFonts w:ascii="Times New Roman" w:hAnsi="Times New Roman"/>
          <w:b w:val="0"/>
          <w:sz w:val="20"/>
          <w:lang w:val="pt-BR"/>
        </w:rPr>
        <w:t xml:space="preserve"> sistema</w:t>
      </w:r>
      <w:r w:rsidR="004A28E0" w:rsidRPr="006E1668">
        <w:rPr>
          <w:rFonts w:ascii="Times New Roman" w:hAnsi="Times New Roman"/>
          <w:b w:val="0"/>
          <w:sz w:val="20"/>
          <w:lang w:val="pt-BR"/>
        </w:rPr>
        <w:t xml:space="preserve"> </w:t>
      </w:r>
      <w:r w:rsidR="004A28E0" w:rsidRPr="006E1668">
        <w:rPr>
          <w:rFonts w:ascii="Times New Roman" w:hAnsi="Times New Roman"/>
          <w:b w:val="0"/>
          <w:i/>
          <w:iCs/>
          <w:sz w:val="20"/>
          <w:lang w:val="pt-BR"/>
        </w:rPr>
        <w:t>core-shell</w:t>
      </w:r>
      <w:r w:rsidR="004A28E0" w:rsidRPr="006E1668">
        <w:rPr>
          <w:rFonts w:ascii="Times New Roman" w:hAnsi="Times New Roman"/>
          <w:b w:val="0"/>
          <w:sz w:val="20"/>
          <w:lang w:val="pt-BR"/>
        </w:rPr>
        <w:t>, ou parcial. O</w:t>
      </w:r>
      <w:r w:rsidR="00B04989" w:rsidRPr="006E1668">
        <w:rPr>
          <w:rFonts w:ascii="Times New Roman" w:hAnsi="Times New Roman"/>
          <w:b w:val="0"/>
          <w:sz w:val="20"/>
          <w:lang w:val="pt-BR"/>
        </w:rPr>
        <w:t>s materiais foram inicialmente testados na fotodegradação de</w:t>
      </w:r>
      <w:r w:rsidR="004A28E0" w:rsidRPr="006E1668">
        <w:rPr>
          <w:rFonts w:ascii="Times New Roman" w:hAnsi="Times New Roman"/>
          <w:b w:val="0"/>
          <w:sz w:val="20"/>
          <w:lang w:val="pt-BR"/>
        </w:rPr>
        <w:t xml:space="preserve"> corante</w:t>
      </w:r>
      <w:r w:rsidR="00B04989" w:rsidRPr="006E1668">
        <w:rPr>
          <w:rFonts w:ascii="Times New Roman" w:hAnsi="Times New Roman"/>
          <w:b w:val="0"/>
          <w:sz w:val="20"/>
          <w:lang w:val="pt-BR"/>
        </w:rPr>
        <w:t>s, como a</w:t>
      </w:r>
      <w:r w:rsidR="004A28E0" w:rsidRPr="006E1668">
        <w:rPr>
          <w:rFonts w:ascii="Times New Roman" w:hAnsi="Times New Roman"/>
          <w:b w:val="0"/>
          <w:sz w:val="20"/>
          <w:lang w:val="pt-BR"/>
        </w:rPr>
        <w:t xml:space="preserve"> Rodamina B e </w:t>
      </w:r>
      <w:r w:rsidR="00B04989" w:rsidRPr="006E1668">
        <w:rPr>
          <w:rFonts w:ascii="Times New Roman" w:hAnsi="Times New Roman"/>
          <w:b w:val="0"/>
          <w:sz w:val="20"/>
          <w:lang w:val="pt-BR"/>
        </w:rPr>
        <w:t>também serão testados em reações bifuncionais, como a desidratação oxidativa de etanol</w:t>
      </w:r>
      <w:r w:rsidR="004A28E0" w:rsidRPr="006E1668">
        <w:rPr>
          <w:rFonts w:ascii="Times New Roman" w:hAnsi="Times New Roman"/>
          <w:b w:val="0"/>
          <w:sz w:val="20"/>
          <w:lang w:val="pt-BR"/>
        </w:rPr>
        <w:t>.</w:t>
      </w:r>
    </w:p>
    <w:p w14:paraId="09B41B70" w14:textId="7994F31E" w:rsidR="00EA4E1B" w:rsidRPr="006E1668" w:rsidRDefault="00EA4E1B" w:rsidP="00EA4E1B">
      <w:pPr>
        <w:pStyle w:val="BDAbstract"/>
        <w:spacing w:before="0" w:after="0" w:line="240" w:lineRule="auto"/>
        <w:rPr>
          <w:rFonts w:ascii="Times New Roman" w:hAnsi="Times New Roman"/>
          <w:b w:val="0"/>
          <w:sz w:val="20"/>
          <w:lang w:val="pt-BR"/>
        </w:rPr>
      </w:pPr>
      <w:r w:rsidRPr="006E1668">
        <w:rPr>
          <w:rFonts w:ascii="Times New Roman" w:hAnsi="Times New Roman"/>
          <w:b w:val="0"/>
          <w:i/>
          <w:sz w:val="20"/>
          <w:lang w:val="pt-BR"/>
        </w:rPr>
        <w:t xml:space="preserve">Palavras-chave: </w:t>
      </w:r>
      <w:r w:rsidR="004A28E0" w:rsidRPr="006E1668">
        <w:rPr>
          <w:rFonts w:ascii="Times New Roman" w:hAnsi="Times New Roman"/>
          <w:b w:val="0"/>
          <w:i/>
          <w:sz w:val="20"/>
          <w:lang w:val="pt-BR"/>
        </w:rPr>
        <w:t xml:space="preserve">catalisador bifuncional, </w:t>
      </w:r>
      <w:r w:rsidR="00005DE8" w:rsidRPr="006E1668">
        <w:rPr>
          <w:rFonts w:ascii="Times New Roman" w:hAnsi="Times New Roman"/>
          <w:b w:val="0"/>
          <w:i/>
          <w:sz w:val="20"/>
          <w:lang w:val="pt-BR"/>
        </w:rPr>
        <w:t>suporte de alumina, nanopartícula de prata.</w:t>
      </w:r>
    </w:p>
    <w:p w14:paraId="5D8D4445" w14:textId="11D77547" w:rsidR="00EA4E1B" w:rsidRPr="006E1668" w:rsidRDefault="00EA4E1B" w:rsidP="00EA4E1B">
      <w:pPr>
        <w:pStyle w:val="BDAbstract"/>
        <w:spacing w:before="0" w:after="0" w:line="240" w:lineRule="auto"/>
        <w:rPr>
          <w:rFonts w:ascii="Times New Roman" w:hAnsi="Times New Roman"/>
          <w:b w:val="0"/>
          <w:sz w:val="20"/>
          <w:lang w:val="pt-BR"/>
        </w:rPr>
      </w:pPr>
    </w:p>
    <w:p w14:paraId="0F80E7D5" w14:textId="5A7DB1C0" w:rsidR="00EA4E1B" w:rsidRPr="006E1668" w:rsidRDefault="00EA4E1B" w:rsidP="00EA4E1B">
      <w:pPr>
        <w:pStyle w:val="BDAbstract"/>
        <w:spacing w:before="0" w:after="0" w:line="240" w:lineRule="auto"/>
        <w:rPr>
          <w:rFonts w:ascii="Times New Roman" w:hAnsi="Times New Roman"/>
          <w:b w:val="0"/>
          <w:sz w:val="20"/>
        </w:rPr>
      </w:pPr>
      <w:r w:rsidRPr="006E1668">
        <w:rPr>
          <w:rFonts w:ascii="Times New Roman" w:hAnsi="Times New Roman"/>
          <w:b w:val="0"/>
          <w:sz w:val="20"/>
        </w:rPr>
        <w:t xml:space="preserve">ABSTRACT - </w:t>
      </w:r>
      <w:r w:rsidR="00FD5B2A" w:rsidRPr="006E1668">
        <w:rPr>
          <w:rFonts w:ascii="Times New Roman" w:hAnsi="Times New Roman"/>
          <w:b w:val="0"/>
          <w:sz w:val="20"/>
        </w:rPr>
        <w:t>This work focuses on producing a bifunctional catalyst of silver nanoparticle supported on alumina. Initially, the silver nanoparticle was formed using the polyol method and characterized by UV-Vis and DLS. The measurements showed a pseudo-spherical nanoparticle, uniformly distributed and with an average size of 80 nm. This nanoparticle was then coated with alumina and this catalyst was characterized by FTIR and SEM. Based on this analysis, it was possible to verify that depending on the size of the nanoparticle, total or partial coverage may have occurred, forming a core-shell</w:t>
      </w:r>
      <w:r w:rsidR="00B04989" w:rsidRPr="006E1668">
        <w:rPr>
          <w:rFonts w:ascii="Times New Roman" w:hAnsi="Times New Roman"/>
          <w:b w:val="0"/>
          <w:sz w:val="20"/>
        </w:rPr>
        <w:t xml:space="preserve"> system</w:t>
      </w:r>
      <w:r w:rsidR="00FD5B2A" w:rsidRPr="006E1668">
        <w:rPr>
          <w:rFonts w:ascii="Times New Roman" w:hAnsi="Times New Roman"/>
          <w:b w:val="0"/>
          <w:sz w:val="20"/>
        </w:rPr>
        <w:t xml:space="preserve">. The </w:t>
      </w:r>
      <w:r w:rsidR="00B04989" w:rsidRPr="006E1668">
        <w:rPr>
          <w:rFonts w:ascii="Times New Roman" w:hAnsi="Times New Roman"/>
          <w:b w:val="0"/>
          <w:sz w:val="20"/>
        </w:rPr>
        <w:t>materials were initially tested in the photodegradation of dyes, like</w:t>
      </w:r>
      <w:r w:rsidR="00FD5B2A" w:rsidRPr="006E1668">
        <w:rPr>
          <w:rFonts w:ascii="Times New Roman" w:hAnsi="Times New Roman"/>
          <w:b w:val="0"/>
          <w:sz w:val="20"/>
        </w:rPr>
        <w:t xml:space="preserve"> Rhodamine B, and </w:t>
      </w:r>
      <w:r w:rsidR="00B04989" w:rsidRPr="006E1668">
        <w:rPr>
          <w:rFonts w:ascii="Times New Roman" w:hAnsi="Times New Roman"/>
          <w:b w:val="0"/>
          <w:sz w:val="20"/>
        </w:rPr>
        <w:t>they will also be employed in the oxidative dehydration of ethanol.</w:t>
      </w:r>
    </w:p>
    <w:p w14:paraId="5F4A84E8" w14:textId="7327BE17" w:rsidR="00EA4E1B" w:rsidRPr="006E1668" w:rsidRDefault="00EA4E1B" w:rsidP="00EA4E1B">
      <w:pPr>
        <w:pStyle w:val="BDAbstract"/>
        <w:spacing w:before="0" w:after="120" w:line="240" w:lineRule="auto"/>
        <w:rPr>
          <w:rFonts w:ascii="Times New Roman" w:hAnsi="Times New Roman"/>
          <w:b w:val="0"/>
          <w:i/>
          <w:sz w:val="20"/>
        </w:rPr>
      </w:pPr>
      <w:r w:rsidRPr="006E1668">
        <w:rPr>
          <w:rFonts w:ascii="Times New Roman" w:hAnsi="Times New Roman"/>
          <w:b w:val="0"/>
          <w:i/>
          <w:sz w:val="20"/>
        </w:rPr>
        <w:t xml:space="preserve">Keywords: </w:t>
      </w:r>
      <w:r w:rsidR="00FB5E84" w:rsidRPr="006E1668">
        <w:rPr>
          <w:rFonts w:ascii="Times New Roman" w:hAnsi="Times New Roman"/>
          <w:b w:val="0"/>
          <w:i/>
          <w:sz w:val="20"/>
        </w:rPr>
        <w:t>bifunctional catalyst, alumina support, silver nanoparticle.</w:t>
      </w:r>
    </w:p>
    <w:bookmarkEnd w:id="1"/>
    <w:p w14:paraId="48D9B0C4" w14:textId="77777777" w:rsidR="00EA4E1B" w:rsidRPr="006E1668" w:rsidRDefault="00EA4E1B" w:rsidP="00EA4E1B">
      <w:pPr>
        <w:rPr>
          <w:lang w:val="en-US"/>
        </w:rPr>
        <w:sectPr w:rsidR="00EA4E1B" w:rsidRPr="006E1668" w:rsidSect="00EA4E1B">
          <w:headerReference w:type="default" r:id="rId8"/>
          <w:footerReference w:type="default" r:id="rId9"/>
          <w:endnotePr>
            <w:numFmt w:val="decimal"/>
          </w:endnotePr>
          <w:pgSz w:w="11906" w:h="16838"/>
          <w:pgMar w:top="1418" w:right="1094" w:bottom="1418" w:left="567" w:header="709" w:footer="709" w:gutter="0"/>
          <w:cols w:space="708"/>
          <w:docGrid w:linePitch="360"/>
        </w:sectPr>
      </w:pPr>
    </w:p>
    <w:p w14:paraId="625F2C0A" w14:textId="77777777" w:rsidR="00EA4E1B" w:rsidRPr="006E1668" w:rsidRDefault="00EA4E1B" w:rsidP="00EA4E1B">
      <w:pPr>
        <w:pStyle w:val="Ttulo2"/>
        <w:spacing w:before="0"/>
        <w:rPr>
          <w:rFonts w:ascii="Helvetica" w:hAnsi="Helvetica" w:cs="Helvetica"/>
          <w:sz w:val="24"/>
          <w:szCs w:val="24"/>
        </w:rPr>
      </w:pPr>
      <w:r w:rsidRPr="006E1668">
        <w:rPr>
          <w:rFonts w:ascii="Helvetica" w:hAnsi="Helvetica" w:cs="Helvetica"/>
          <w:sz w:val="24"/>
          <w:szCs w:val="24"/>
        </w:rPr>
        <w:t>Introdução</w:t>
      </w:r>
    </w:p>
    <w:p w14:paraId="507D11CC" w14:textId="04931F90" w:rsidR="007C628A" w:rsidRPr="006E1668" w:rsidRDefault="00987561" w:rsidP="00376269">
      <w:pPr>
        <w:pStyle w:val="TAMainText"/>
        <w:rPr>
          <w:rFonts w:ascii="Times New Roman" w:hAnsi="Times New Roman"/>
          <w:lang w:val="pt-BR"/>
        </w:rPr>
      </w:pPr>
      <w:r w:rsidRPr="006E1668">
        <w:rPr>
          <w:rFonts w:ascii="Times New Roman" w:hAnsi="Times New Roman"/>
          <w:lang w:val="pt-BR"/>
        </w:rPr>
        <w:t xml:space="preserve">Catalisadores bifuncionais </w:t>
      </w:r>
      <w:r w:rsidR="00B96A4F" w:rsidRPr="006E1668">
        <w:rPr>
          <w:rFonts w:ascii="Times New Roman" w:hAnsi="Times New Roman"/>
          <w:lang w:val="pt-BR"/>
        </w:rPr>
        <w:t>apresentam mais de um tipo de sítio ativo</w:t>
      </w:r>
      <w:r w:rsidR="00B04989" w:rsidRPr="006E1668">
        <w:rPr>
          <w:rFonts w:ascii="Times New Roman" w:hAnsi="Times New Roman"/>
          <w:lang w:val="pt-BR"/>
        </w:rPr>
        <w:t>. Em geral</w:t>
      </w:r>
      <w:r w:rsidR="008E1556" w:rsidRPr="006E1668">
        <w:rPr>
          <w:rFonts w:ascii="Times New Roman" w:hAnsi="Times New Roman"/>
          <w:lang w:val="pt-BR"/>
        </w:rPr>
        <w:t xml:space="preserve">, eles são formados por </w:t>
      </w:r>
      <w:r w:rsidR="00B04989" w:rsidRPr="006E1668">
        <w:rPr>
          <w:rFonts w:ascii="Times New Roman" w:hAnsi="Times New Roman"/>
          <w:lang w:val="pt-BR"/>
        </w:rPr>
        <w:t>sítios</w:t>
      </w:r>
      <w:r w:rsidR="008E1556" w:rsidRPr="006E1668">
        <w:rPr>
          <w:rFonts w:ascii="Times New Roman" w:hAnsi="Times New Roman"/>
          <w:lang w:val="pt-BR"/>
        </w:rPr>
        <w:t xml:space="preserve"> </w:t>
      </w:r>
      <w:r w:rsidR="009C58AF" w:rsidRPr="006E1668">
        <w:rPr>
          <w:rFonts w:ascii="Times New Roman" w:hAnsi="Times New Roman"/>
          <w:lang w:val="pt-BR"/>
        </w:rPr>
        <w:t>metálico</w:t>
      </w:r>
      <w:r w:rsidR="00B04989" w:rsidRPr="006E1668">
        <w:rPr>
          <w:rFonts w:ascii="Times New Roman" w:hAnsi="Times New Roman"/>
          <w:lang w:val="pt-BR"/>
        </w:rPr>
        <w:t>s</w:t>
      </w:r>
      <w:r w:rsidR="008E1556" w:rsidRPr="006E1668">
        <w:rPr>
          <w:rFonts w:ascii="Times New Roman" w:hAnsi="Times New Roman"/>
          <w:lang w:val="pt-BR"/>
        </w:rPr>
        <w:t xml:space="preserve">, </w:t>
      </w:r>
      <w:r w:rsidR="00A45AA0" w:rsidRPr="006E1668">
        <w:rPr>
          <w:rFonts w:ascii="Times New Roman" w:hAnsi="Times New Roman"/>
          <w:lang w:val="pt-BR"/>
        </w:rPr>
        <w:t xml:space="preserve">geralmente consistem </w:t>
      </w:r>
      <w:r w:rsidR="00D94D06" w:rsidRPr="006E1668">
        <w:rPr>
          <w:rFonts w:ascii="Times New Roman" w:hAnsi="Times New Roman"/>
          <w:lang w:val="pt-BR"/>
        </w:rPr>
        <w:t>em</w:t>
      </w:r>
      <w:r w:rsidR="00A45AA0" w:rsidRPr="006E1668">
        <w:rPr>
          <w:rFonts w:ascii="Times New Roman" w:hAnsi="Times New Roman"/>
          <w:lang w:val="pt-BR"/>
        </w:rPr>
        <w:t xml:space="preserve"> um </w:t>
      </w:r>
      <w:r w:rsidR="009C58AF" w:rsidRPr="006E1668">
        <w:rPr>
          <w:rFonts w:ascii="Times New Roman" w:hAnsi="Times New Roman"/>
          <w:lang w:val="pt-BR"/>
        </w:rPr>
        <w:t>meta</w:t>
      </w:r>
      <w:r w:rsidR="00D94D06">
        <w:rPr>
          <w:rFonts w:ascii="Times New Roman" w:hAnsi="Times New Roman"/>
          <w:lang w:val="pt-BR"/>
        </w:rPr>
        <w:t>l</w:t>
      </w:r>
      <w:r w:rsidR="009C58AF" w:rsidRPr="006E1668">
        <w:rPr>
          <w:rFonts w:ascii="Times New Roman" w:hAnsi="Times New Roman"/>
          <w:lang w:val="pt-BR"/>
        </w:rPr>
        <w:t xml:space="preserve"> de transição,</w:t>
      </w:r>
      <w:r w:rsidR="008B73DB">
        <w:rPr>
          <w:rFonts w:ascii="Times New Roman" w:hAnsi="Times New Roman"/>
          <w:lang w:val="pt-BR"/>
        </w:rPr>
        <w:t xml:space="preserve"> e sítios como</w:t>
      </w:r>
      <w:r w:rsidR="00402741" w:rsidRPr="006E1668">
        <w:rPr>
          <w:rFonts w:ascii="Times New Roman" w:hAnsi="Times New Roman"/>
          <w:lang w:val="pt-BR"/>
        </w:rPr>
        <w:t xml:space="preserve"> alumina, zeólita ou óxidos mistos</w:t>
      </w:r>
      <w:r w:rsidR="00372025" w:rsidRPr="006E1668">
        <w:rPr>
          <w:rFonts w:ascii="Times New Roman" w:hAnsi="Times New Roman"/>
          <w:lang w:val="pt-BR"/>
        </w:rPr>
        <w:t xml:space="preserve"> (1)</w:t>
      </w:r>
      <w:r w:rsidR="00B04989" w:rsidRPr="006E1668">
        <w:rPr>
          <w:rFonts w:ascii="Times New Roman" w:hAnsi="Times New Roman"/>
          <w:lang w:val="pt-BR"/>
        </w:rPr>
        <w:t>.</w:t>
      </w:r>
      <w:r w:rsidR="00851008" w:rsidRPr="006E1668">
        <w:rPr>
          <w:rFonts w:ascii="Times New Roman" w:hAnsi="Times New Roman"/>
          <w:lang w:val="pt-BR"/>
        </w:rPr>
        <w:t xml:space="preserve"> </w:t>
      </w:r>
      <w:r w:rsidR="001708EE" w:rsidRPr="006E1668">
        <w:rPr>
          <w:rFonts w:ascii="Times New Roman" w:hAnsi="Times New Roman"/>
          <w:lang w:val="pt-BR"/>
        </w:rPr>
        <w:t xml:space="preserve"> </w:t>
      </w:r>
      <w:r w:rsidR="008B73DB">
        <w:rPr>
          <w:rFonts w:ascii="Times New Roman" w:hAnsi="Times New Roman"/>
          <w:lang w:val="pt-BR"/>
        </w:rPr>
        <w:t xml:space="preserve">Os dois sítios podem conferir características ácidas, um de Lewis e um de Bronsted. </w:t>
      </w:r>
      <w:r w:rsidR="00851008" w:rsidRPr="006E1668">
        <w:rPr>
          <w:rFonts w:ascii="Times New Roman" w:hAnsi="Times New Roman"/>
          <w:lang w:val="pt-BR"/>
        </w:rPr>
        <w:t>E</w:t>
      </w:r>
      <w:r w:rsidR="008119E4" w:rsidRPr="006E1668">
        <w:rPr>
          <w:rFonts w:ascii="Times New Roman" w:hAnsi="Times New Roman"/>
          <w:lang w:val="pt-BR"/>
        </w:rPr>
        <w:t>m geral,</w:t>
      </w:r>
      <w:r w:rsidR="008119E4" w:rsidRPr="006E1668">
        <w:rPr>
          <w:lang w:val="pt-BR"/>
        </w:rPr>
        <w:t xml:space="preserve"> a atividade e seletividade desse tipo de catalisador irá depender das propriedades ácidas</w:t>
      </w:r>
      <w:r w:rsidR="00016EB8" w:rsidRPr="006E1668">
        <w:rPr>
          <w:lang w:val="pt-BR"/>
        </w:rPr>
        <w:t xml:space="preserve"> </w:t>
      </w:r>
      <w:r w:rsidR="008119E4" w:rsidRPr="006E1668">
        <w:rPr>
          <w:lang w:val="pt-BR"/>
        </w:rPr>
        <w:t>do s</w:t>
      </w:r>
      <w:r w:rsidR="00513F18" w:rsidRPr="006E1668">
        <w:rPr>
          <w:lang w:val="pt-BR"/>
        </w:rPr>
        <w:t>uporte e</w:t>
      </w:r>
      <w:r w:rsidR="00680933" w:rsidRPr="006E1668">
        <w:rPr>
          <w:lang w:val="pt-BR"/>
        </w:rPr>
        <w:t>,</w:t>
      </w:r>
      <w:r w:rsidR="00513F18" w:rsidRPr="006E1668">
        <w:rPr>
          <w:lang w:val="pt-BR"/>
        </w:rPr>
        <w:t xml:space="preserve"> também</w:t>
      </w:r>
      <w:r w:rsidR="00680933" w:rsidRPr="006E1668">
        <w:rPr>
          <w:lang w:val="pt-BR"/>
        </w:rPr>
        <w:t>,</w:t>
      </w:r>
      <w:r w:rsidR="008119E4" w:rsidRPr="006E1668">
        <w:rPr>
          <w:lang w:val="pt-BR"/>
        </w:rPr>
        <w:t xml:space="preserve"> </w:t>
      </w:r>
      <w:r w:rsidR="00680933" w:rsidRPr="006E1668">
        <w:rPr>
          <w:lang w:val="pt-BR"/>
        </w:rPr>
        <w:t>da dispersão e atividade</w:t>
      </w:r>
      <w:r w:rsidR="008119E4" w:rsidRPr="006E1668">
        <w:rPr>
          <w:lang w:val="pt-BR"/>
        </w:rPr>
        <w:t xml:space="preserve"> do metal</w:t>
      </w:r>
      <w:r w:rsidR="00402741" w:rsidRPr="006E1668">
        <w:rPr>
          <w:rFonts w:ascii="Times New Roman" w:hAnsi="Times New Roman"/>
          <w:lang w:val="pt-BR"/>
        </w:rPr>
        <w:t xml:space="preserve"> </w:t>
      </w:r>
      <w:r w:rsidR="00372025" w:rsidRPr="006E1668">
        <w:rPr>
          <w:rFonts w:ascii="Times New Roman" w:hAnsi="Times New Roman"/>
          <w:lang w:val="pt-BR"/>
        </w:rPr>
        <w:t>(2)</w:t>
      </w:r>
      <w:r w:rsidR="00680933" w:rsidRPr="006E1668">
        <w:rPr>
          <w:rFonts w:ascii="Times New Roman" w:hAnsi="Times New Roman"/>
          <w:lang w:val="pt-BR"/>
        </w:rPr>
        <w:t>.</w:t>
      </w:r>
      <w:r w:rsidR="00372025" w:rsidRPr="006E1668">
        <w:rPr>
          <w:rFonts w:ascii="Times New Roman" w:hAnsi="Times New Roman"/>
          <w:lang w:val="pt-BR"/>
        </w:rPr>
        <w:t xml:space="preserve"> </w:t>
      </w:r>
      <w:r w:rsidR="00402741" w:rsidRPr="006E1668">
        <w:rPr>
          <w:rFonts w:ascii="Times New Roman" w:hAnsi="Times New Roman"/>
          <w:lang w:val="pt-BR"/>
        </w:rPr>
        <w:t xml:space="preserve">Esse tipo de catalisador possui uma grande área de aplicação, </w:t>
      </w:r>
      <w:r w:rsidR="00CE57BB" w:rsidRPr="006E1668">
        <w:rPr>
          <w:rFonts w:ascii="Times New Roman" w:hAnsi="Times New Roman"/>
          <w:lang w:val="pt-BR"/>
        </w:rPr>
        <w:t xml:space="preserve">como a utilização em reações de </w:t>
      </w:r>
      <w:r w:rsidR="00264123" w:rsidRPr="006E1668">
        <w:rPr>
          <w:rFonts w:ascii="Times New Roman" w:hAnsi="Times New Roman"/>
          <w:lang w:val="pt-BR"/>
        </w:rPr>
        <w:t xml:space="preserve">desidrogenação de álcoois e </w:t>
      </w:r>
      <w:r w:rsidR="00CE0667" w:rsidRPr="006E1668">
        <w:rPr>
          <w:rFonts w:ascii="Times New Roman" w:hAnsi="Times New Roman"/>
          <w:lang w:val="pt-BR"/>
        </w:rPr>
        <w:t>degradação de corantes.</w:t>
      </w:r>
      <w:r w:rsidR="00CE510F" w:rsidRPr="006E1668">
        <w:rPr>
          <w:rFonts w:ascii="Times New Roman" w:hAnsi="Times New Roman"/>
          <w:lang w:val="pt-BR"/>
        </w:rPr>
        <w:t xml:space="preserve"> Esses catalisadores</w:t>
      </w:r>
      <w:r w:rsidR="00376269" w:rsidRPr="006E1668">
        <w:rPr>
          <w:rFonts w:ascii="Times New Roman" w:hAnsi="Times New Roman"/>
          <w:lang w:val="pt-BR"/>
        </w:rPr>
        <w:t xml:space="preserve"> bifuncio</w:t>
      </w:r>
      <w:r w:rsidR="0048016E" w:rsidRPr="006E1668">
        <w:rPr>
          <w:rFonts w:ascii="Times New Roman" w:hAnsi="Times New Roman"/>
          <w:lang w:val="pt-BR"/>
        </w:rPr>
        <w:t>nais</w:t>
      </w:r>
      <w:r w:rsidR="00CE510F" w:rsidRPr="006E1668">
        <w:rPr>
          <w:rFonts w:ascii="Times New Roman" w:hAnsi="Times New Roman"/>
          <w:lang w:val="pt-BR"/>
        </w:rPr>
        <w:t xml:space="preserve"> têm sido </w:t>
      </w:r>
      <w:r w:rsidR="00D93FF8" w:rsidRPr="006E1668">
        <w:rPr>
          <w:rFonts w:ascii="Times New Roman" w:hAnsi="Times New Roman"/>
          <w:lang w:val="pt-BR"/>
        </w:rPr>
        <w:t>amplamente utilizados por serem muito eficientes e possuírem um baixo custo de produção</w:t>
      </w:r>
      <w:r w:rsidR="0029660D" w:rsidRPr="006E1668">
        <w:rPr>
          <w:rFonts w:ascii="Times New Roman" w:hAnsi="Times New Roman"/>
          <w:lang w:val="pt-BR"/>
        </w:rPr>
        <w:t xml:space="preserve"> (3)</w:t>
      </w:r>
      <w:r w:rsidR="00680933" w:rsidRPr="006E1668">
        <w:rPr>
          <w:rFonts w:ascii="Times New Roman" w:hAnsi="Times New Roman"/>
          <w:lang w:val="pt-BR"/>
        </w:rPr>
        <w:t>.</w:t>
      </w:r>
    </w:p>
    <w:p w14:paraId="7D8D81D7" w14:textId="7A512C79" w:rsidR="000F458C" w:rsidRPr="006E1668" w:rsidRDefault="00042354" w:rsidP="00376269">
      <w:pPr>
        <w:pStyle w:val="TAMainText"/>
        <w:rPr>
          <w:rFonts w:ascii="Times New Roman" w:hAnsi="Times New Roman"/>
          <w:lang w:val="pt-BR"/>
        </w:rPr>
      </w:pPr>
      <w:r w:rsidRPr="006E1668">
        <w:rPr>
          <w:rFonts w:ascii="Times New Roman" w:hAnsi="Times New Roman"/>
          <w:lang w:val="pt-BR"/>
        </w:rPr>
        <w:t xml:space="preserve">Nesse trabalho foi sintetizado um catalisador bifuncional de prata </w:t>
      </w:r>
      <w:r w:rsidR="00680933" w:rsidRPr="006E1668">
        <w:rPr>
          <w:rFonts w:ascii="Times New Roman" w:hAnsi="Times New Roman"/>
          <w:lang w:val="pt-BR"/>
        </w:rPr>
        <w:t>encapsulada</w:t>
      </w:r>
      <w:r w:rsidRPr="006E1668">
        <w:rPr>
          <w:rFonts w:ascii="Times New Roman" w:hAnsi="Times New Roman"/>
          <w:lang w:val="pt-BR"/>
        </w:rPr>
        <w:t xml:space="preserve"> em alumina</w:t>
      </w:r>
      <w:r w:rsidR="00121554" w:rsidRPr="006E1668">
        <w:rPr>
          <w:rFonts w:ascii="Times New Roman" w:hAnsi="Times New Roman"/>
          <w:lang w:val="pt-BR"/>
        </w:rPr>
        <w:t xml:space="preserve">. As técnicas de FTIR </w:t>
      </w:r>
      <w:r w:rsidR="00785108" w:rsidRPr="006E1668">
        <w:rPr>
          <w:rFonts w:ascii="Times New Roman" w:hAnsi="Times New Roman"/>
          <w:lang w:val="pt-BR"/>
        </w:rPr>
        <w:t xml:space="preserve">e MEV </w:t>
      </w:r>
      <w:r w:rsidR="00E06478" w:rsidRPr="006E1668">
        <w:rPr>
          <w:rFonts w:ascii="Times New Roman" w:hAnsi="Times New Roman"/>
          <w:lang w:val="pt-BR"/>
        </w:rPr>
        <w:t>foram utilizadas para investigar a</w:t>
      </w:r>
      <w:r w:rsidR="00057182" w:rsidRPr="006E1668">
        <w:rPr>
          <w:rFonts w:ascii="Times New Roman" w:hAnsi="Times New Roman"/>
          <w:lang w:val="pt-BR"/>
        </w:rPr>
        <w:t xml:space="preserve"> estrutura do catalisador. As propriedades catalíticas estão sendo analisadas através de testes</w:t>
      </w:r>
      <w:r w:rsidR="0020091C" w:rsidRPr="006E1668">
        <w:rPr>
          <w:rFonts w:ascii="Times New Roman" w:hAnsi="Times New Roman"/>
          <w:lang w:val="pt-BR"/>
        </w:rPr>
        <w:t>.</w:t>
      </w:r>
    </w:p>
    <w:p w14:paraId="52FFAC79" w14:textId="77777777" w:rsidR="00EA4E1B" w:rsidRPr="006E1668" w:rsidRDefault="00EA4E1B" w:rsidP="00EA4E1B">
      <w:pPr>
        <w:pStyle w:val="Ttulo2"/>
        <w:rPr>
          <w:rFonts w:ascii="Helvetica" w:hAnsi="Helvetica" w:cs="Helvetica"/>
          <w:sz w:val="24"/>
          <w:szCs w:val="24"/>
        </w:rPr>
      </w:pPr>
      <w:r w:rsidRPr="006E1668">
        <w:rPr>
          <w:rFonts w:ascii="Helvetica" w:hAnsi="Helvetica" w:cs="Helvetica"/>
          <w:sz w:val="24"/>
          <w:szCs w:val="24"/>
        </w:rPr>
        <w:t>Experimental</w:t>
      </w:r>
    </w:p>
    <w:p w14:paraId="0A7260A4" w14:textId="0406762D" w:rsidR="00D54986" w:rsidRDefault="00686B64" w:rsidP="00D54986">
      <w:pPr>
        <w:pStyle w:val="TAMainText"/>
        <w:rPr>
          <w:rFonts w:ascii="Times New Roman" w:hAnsi="Times New Roman"/>
          <w:lang w:val="pt-BR"/>
        </w:rPr>
      </w:pPr>
      <w:r w:rsidRPr="006E1668">
        <w:rPr>
          <w:rFonts w:ascii="Times New Roman" w:hAnsi="Times New Roman"/>
          <w:lang w:val="pt-BR"/>
        </w:rPr>
        <w:t>Inicialmente</w:t>
      </w:r>
      <w:r w:rsidR="002B2A23" w:rsidRPr="006E1668">
        <w:rPr>
          <w:rFonts w:ascii="Times New Roman" w:hAnsi="Times New Roman"/>
          <w:lang w:val="pt-BR"/>
        </w:rPr>
        <w:t xml:space="preserve">, </w:t>
      </w:r>
      <w:r w:rsidR="00556DD0" w:rsidRPr="006E1668">
        <w:rPr>
          <w:rFonts w:ascii="Times New Roman" w:hAnsi="Times New Roman"/>
          <w:lang w:val="pt-BR"/>
        </w:rPr>
        <w:t>foi escolhido um método</w:t>
      </w:r>
      <w:r w:rsidR="00026D46" w:rsidRPr="006E1668">
        <w:rPr>
          <w:rFonts w:ascii="Times New Roman" w:hAnsi="Times New Roman"/>
          <w:lang w:val="pt-BR"/>
        </w:rPr>
        <w:t xml:space="preserve"> da literatura</w:t>
      </w:r>
      <w:r w:rsidR="008B195D" w:rsidRPr="006E1668">
        <w:rPr>
          <w:rFonts w:ascii="Times New Roman" w:hAnsi="Times New Roman"/>
          <w:lang w:val="pt-BR"/>
        </w:rPr>
        <w:t xml:space="preserve"> (</w:t>
      </w:r>
      <w:r w:rsidR="0029660D" w:rsidRPr="006E1668">
        <w:rPr>
          <w:rFonts w:ascii="Times New Roman" w:hAnsi="Times New Roman"/>
          <w:lang w:val="pt-BR"/>
        </w:rPr>
        <w:t>4</w:t>
      </w:r>
      <w:r w:rsidR="008B195D" w:rsidRPr="006E1668">
        <w:rPr>
          <w:rFonts w:ascii="Times New Roman" w:hAnsi="Times New Roman"/>
          <w:lang w:val="pt-BR"/>
        </w:rPr>
        <w:t>)</w:t>
      </w:r>
      <w:r w:rsidR="00680933" w:rsidRPr="006E1668">
        <w:rPr>
          <w:rFonts w:ascii="Times New Roman" w:hAnsi="Times New Roman"/>
          <w:lang w:val="pt-BR"/>
        </w:rPr>
        <w:t>,</w:t>
      </w:r>
      <w:r w:rsidR="00026D46" w:rsidRPr="006E1668">
        <w:rPr>
          <w:rFonts w:ascii="Times New Roman" w:hAnsi="Times New Roman"/>
          <w:lang w:val="pt-BR"/>
        </w:rPr>
        <w:t xml:space="preserve"> </w:t>
      </w:r>
      <w:r w:rsidR="000B091D" w:rsidRPr="006E1668">
        <w:rPr>
          <w:rFonts w:ascii="Times New Roman" w:hAnsi="Times New Roman"/>
          <w:lang w:val="pt-BR"/>
        </w:rPr>
        <w:t xml:space="preserve">que foi adaptado para </w:t>
      </w:r>
      <w:r w:rsidR="003D236D" w:rsidRPr="006E1668">
        <w:rPr>
          <w:rFonts w:ascii="Times New Roman" w:hAnsi="Times New Roman"/>
          <w:lang w:val="pt-BR"/>
        </w:rPr>
        <w:t>a formação das nanopartículas de prata</w:t>
      </w:r>
      <w:r w:rsidR="004F107D" w:rsidRPr="006E1668">
        <w:rPr>
          <w:rFonts w:ascii="Times New Roman" w:hAnsi="Times New Roman"/>
          <w:lang w:val="pt-BR"/>
        </w:rPr>
        <w:t xml:space="preserve"> a </w:t>
      </w:r>
      <w:r w:rsidR="002E2852" w:rsidRPr="006E1668">
        <w:rPr>
          <w:rFonts w:ascii="Times New Roman" w:hAnsi="Times New Roman"/>
          <w:lang w:val="pt-BR"/>
        </w:rPr>
        <w:t>partir do método do poliol</w:t>
      </w:r>
      <w:r w:rsidR="003D236D" w:rsidRPr="006E1668">
        <w:rPr>
          <w:rFonts w:ascii="Times New Roman" w:hAnsi="Times New Roman"/>
          <w:lang w:val="pt-BR"/>
        </w:rPr>
        <w:t xml:space="preserve">. Em 40 mL de </w:t>
      </w:r>
      <w:r w:rsidR="00026D46" w:rsidRPr="006E1668">
        <w:rPr>
          <w:rFonts w:ascii="Times New Roman" w:hAnsi="Times New Roman"/>
          <w:lang w:val="pt-BR"/>
        </w:rPr>
        <w:t>etilenoglicol foram adicionados 0,4g de</w:t>
      </w:r>
      <w:r w:rsidR="00B62545" w:rsidRPr="006E1668">
        <w:rPr>
          <w:rFonts w:ascii="Times New Roman" w:hAnsi="Times New Roman"/>
          <w:lang w:val="pt-BR"/>
        </w:rPr>
        <w:t xml:space="preserve"> </w:t>
      </w:r>
      <w:r w:rsidR="006625D8" w:rsidRPr="006E1668">
        <w:rPr>
          <w:rFonts w:ascii="Times New Roman" w:hAnsi="Times New Roman"/>
          <w:lang w:val="pt-BR"/>
        </w:rPr>
        <w:t xml:space="preserve">polivinilpirrolidona </w:t>
      </w:r>
      <w:r w:rsidR="00B62545" w:rsidRPr="006E1668">
        <w:rPr>
          <w:rFonts w:ascii="Times New Roman" w:hAnsi="Times New Roman"/>
          <w:lang w:val="pt-BR"/>
        </w:rPr>
        <w:t>(PV</w:t>
      </w:r>
      <w:r w:rsidR="006625D8" w:rsidRPr="006E1668">
        <w:rPr>
          <w:rFonts w:ascii="Times New Roman" w:hAnsi="Times New Roman"/>
          <w:lang w:val="pt-BR"/>
        </w:rPr>
        <w:t>P</w:t>
      </w:r>
      <w:r w:rsidR="00B62545" w:rsidRPr="006E1668">
        <w:rPr>
          <w:rFonts w:ascii="Times New Roman" w:hAnsi="Times New Roman"/>
          <w:lang w:val="pt-BR"/>
        </w:rPr>
        <w:t>)</w:t>
      </w:r>
      <w:r w:rsidR="00026D46" w:rsidRPr="006E1668">
        <w:rPr>
          <w:rFonts w:ascii="Times New Roman" w:hAnsi="Times New Roman"/>
          <w:lang w:val="pt-BR"/>
        </w:rPr>
        <w:t xml:space="preserve"> e </w:t>
      </w:r>
      <w:r w:rsidR="00680933" w:rsidRPr="006E1668">
        <w:rPr>
          <w:rFonts w:ascii="Times New Roman" w:hAnsi="Times New Roman"/>
          <w:lang w:val="pt-BR"/>
        </w:rPr>
        <w:t xml:space="preserve">o sistema foi </w:t>
      </w:r>
      <w:r w:rsidR="00026D46" w:rsidRPr="006E1668">
        <w:rPr>
          <w:rFonts w:ascii="Times New Roman" w:hAnsi="Times New Roman"/>
          <w:lang w:val="pt-BR"/>
        </w:rPr>
        <w:t>aqueci</w:t>
      </w:r>
      <w:r w:rsidR="00680933" w:rsidRPr="006E1668">
        <w:rPr>
          <w:rFonts w:ascii="Times New Roman" w:hAnsi="Times New Roman"/>
          <w:lang w:val="pt-BR"/>
        </w:rPr>
        <w:t>d</w:t>
      </w:r>
      <w:r w:rsidR="00026D46" w:rsidRPr="006E1668">
        <w:rPr>
          <w:rFonts w:ascii="Times New Roman" w:hAnsi="Times New Roman"/>
          <w:lang w:val="pt-BR"/>
        </w:rPr>
        <w:t xml:space="preserve">o </w:t>
      </w:r>
      <w:r w:rsidR="00680933" w:rsidRPr="006E1668">
        <w:rPr>
          <w:rFonts w:ascii="Times New Roman" w:hAnsi="Times New Roman"/>
          <w:lang w:val="pt-BR"/>
        </w:rPr>
        <w:t>por meio de</w:t>
      </w:r>
      <w:r w:rsidR="00026D46" w:rsidRPr="006E1668">
        <w:rPr>
          <w:rFonts w:ascii="Times New Roman" w:hAnsi="Times New Roman"/>
          <w:lang w:val="pt-BR"/>
        </w:rPr>
        <w:t xml:space="preserve"> micro</w:t>
      </w:r>
      <w:r w:rsidR="00D94D06">
        <w:rPr>
          <w:rFonts w:ascii="Times New Roman" w:hAnsi="Times New Roman"/>
          <w:lang w:val="pt-BR"/>
        </w:rPr>
        <w:t>-</w:t>
      </w:r>
      <w:r w:rsidR="00026D46" w:rsidRPr="006E1668">
        <w:rPr>
          <w:rFonts w:ascii="Times New Roman" w:hAnsi="Times New Roman"/>
          <w:lang w:val="pt-BR"/>
        </w:rPr>
        <w:t>ondas</w:t>
      </w:r>
      <w:r w:rsidR="002F6D65" w:rsidRPr="006E1668">
        <w:rPr>
          <w:rFonts w:ascii="Times New Roman" w:hAnsi="Times New Roman"/>
          <w:lang w:val="pt-BR"/>
        </w:rPr>
        <w:t xml:space="preserve"> </w:t>
      </w:r>
      <w:r w:rsidR="00680933" w:rsidRPr="006E1668">
        <w:rPr>
          <w:rFonts w:ascii="Times New Roman" w:hAnsi="Times New Roman"/>
          <w:lang w:val="pt-BR"/>
        </w:rPr>
        <w:t>até</w:t>
      </w:r>
      <w:r w:rsidR="002F6D65" w:rsidRPr="006E1668">
        <w:rPr>
          <w:rFonts w:ascii="Times New Roman" w:hAnsi="Times New Roman"/>
          <w:lang w:val="pt-BR"/>
        </w:rPr>
        <w:t xml:space="preserve"> </w:t>
      </w:r>
      <w:r w:rsidR="002F6D65" w:rsidRPr="006E1668">
        <w:rPr>
          <w:rFonts w:ascii="Times New Roman" w:hAnsi="Times New Roman"/>
          <w:lang w:val="pt-BR"/>
        </w:rPr>
        <w:t xml:space="preserve">145°C em menos de um minuto, </w:t>
      </w:r>
      <w:r w:rsidR="00680933" w:rsidRPr="006E1668">
        <w:rPr>
          <w:rFonts w:ascii="Times New Roman" w:hAnsi="Times New Roman"/>
          <w:lang w:val="pt-BR"/>
        </w:rPr>
        <w:t>sendo</w:t>
      </w:r>
      <w:r w:rsidR="002F6D65" w:rsidRPr="006E1668">
        <w:rPr>
          <w:rFonts w:ascii="Times New Roman" w:hAnsi="Times New Roman"/>
          <w:lang w:val="pt-BR"/>
        </w:rPr>
        <w:t xml:space="preserve"> mantido em agitação</w:t>
      </w:r>
      <w:r w:rsidR="00026D46" w:rsidRPr="006E1668">
        <w:rPr>
          <w:rFonts w:ascii="Times New Roman" w:hAnsi="Times New Roman"/>
          <w:lang w:val="pt-BR"/>
        </w:rPr>
        <w:t xml:space="preserve"> por </w:t>
      </w:r>
      <w:r w:rsidR="00AC535D" w:rsidRPr="006E1668">
        <w:rPr>
          <w:rFonts w:ascii="Times New Roman" w:hAnsi="Times New Roman"/>
          <w:lang w:val="pt-BR"/>
        </w:rPr>
        <w:t xml:space="preserve">um </w:t>
      </w:r>
      <w:r w:rsidR="00026D46" w:rsidRPr="006E1668">
        <w:rPr>
          <w:rFonts w:ascii="Times New Roman" w:hAnsi="Times New Roman"/>
          <w:lang w:val="pt-BR"/>
        </w:rPr>
        <w:t xml:space="preserve">minuto, </w:t>
      </w:r>
      <w:r w:rsidR="002F6D65" w:rsidRPr="006E1668">
        <w:rPr>
          <w:rFonts w:ascii="Times New Roman" w:hAnsi="Times New Roman"/>
          <w:lang w:val="pt-BR"/>
        </w:rPr>
        <w:t>para a total dissolução do sólido</w:t>
      </w:r>
      <w:r w:rsidR="002E22C7" w:rsidRPr="006E1668">
        <w:rPr>
          <w:rFonts w:ascii="Times New Roman" w:hAnsi="Times New Roman"/>
          <w:lang w:val="pt-BR"/>
        </w:rPr>
        <w:t xml:space="preserve"> a solução</w:t>
      </w:r>
      <w:r w:rsidR="00AC535D" w:rsidRPr="006E1668">
        <w:rPr>
          <w:rFonts w:ascii="Times New Roman" w:hAnsi="Times New Roman"/>
          <w:lang w:val="pt-BR"/>
        </w:rPr>
        <w:t xml:space="preserve">. </w:t>
      </w:r>
      <w:r w:rsidR="00680933" w:rsidRPr="006E1668">
        <w:rPr>
          <w:rFonts w:ascii="Times New Roman" w:hAnsi="Times New Roman"/>
          <w:lang w:val="pt-BR"/>
        </w:rPr>
        <w:t>Em seguida</w:t>
      </w:r>
      <w:r w:rsidR="00DE4D1E" w:rsidRPr="006E1668">
        <w:rPr>
          <w:rFonts w:ascii="Times New Roman" w:hAnsi="Times New Roman"/>
          <w:lang w:val="pt-BR"/>
        </w:rPr>
        <w:t xml:space="preserve">, 0,1g de </w:t>
      </w:r>
      <w:r w:rsidR="00EA4C23" w:rsidRPr="006E1668">
        <w:rPr>
          <w:rFonts w:ascii="Times New Roman" w:hAnsi="Times New Roman"/>
          <w:lang w:val="pt-BR"/>
        </w:rPr>
        <w:t>AgNO</w:t>
      </w:r>
      <w:r w:rsidR="00EA4C23" w:rsidRPr="006E1668">
        <w:rPr>
          <w:rFonts w:ascii="Times New Roman" w:hAnsi="Times New Roman"/>
          <w:vertAlign w:val="subscript"/>
          <w:lang w:val="pt-BR"/>
        </w:rPr>
        <w:t xml:space="preserve">3 </w:t>
      </w:r>
      <w:r w:rsidR="00EA4C23" w:rsidRPr="006E1668">
        <w:rPr>
          <w:rFonts w:ascii="Times New Roman" w:hAnsi="Times New Roman"/>
          <w:lang w:val="pt-BR"/>
        </w:rPr>
        <w:t xml:space="preserve">foi acrescentado </w:t>
      </w:r>
      <w:r w:rsidR="002E22C7" w:rsidRPr="006E1668">
        <w:rPr>
          <w:rFonts w:ascii="Times New Roman" w:hAnsi="Times New Roman"/>
          <w:lang w:val="pt-BR"/>
        </w:rPr>
        <w:t xml:space="preserve">a essa solução, </w:t>
      </w:r>
      <w:r w:rsidR="00627FD2" w:rsidRPr="006E1668">
        <w:rPr>
          <w:rFonts w:ascii="Times New Roman" w:hAnsi="Times New Roman"/>
          <w:lang w:val="pt-BR"/>
        </w:rPr>
        <w:t xml:space="preserve">mantendo a agitação no </w:t>
      </w:r>
      <w:r w:rsidR="00DF1377" w:rsidRPr="006E1668">
        <w:rPr>
          <w:rFonts w:ascii="Times New Roman" w:hAnsi="Times New Roman"/>
          <w:lang w:val="pt-BR"/>
        </w:rPr>
        <w:t>micro</w:t>
      </w:r>
      <w:r w:rsidR="00D94D06">
        <w:rPr>
          <w:rFonts w:ascii="Times New Roman" w:hAnsi="Times New Roman"/>
          <w:lang w:val="pt-BR"/>
        </w:rPr>
        <w:t>-</w:t>
      </w:r>
      <w:r w:rsidR="00DF1377" w:rsidRPr="006E1668">
        <w:rPr>
          <w:rFonts w:ascii="Times New Roman" w:hAnsi="Times New Roman"/>
          <w:lang w:val="pt-BR"/>
        </w:rPr>
        <w:t xml:space="preserve">ondas por mais 4 minutos. </w:t>
      </w:r>
      <w:r w:rsidR="00DF5538" w:rsidRPr="006E1668">
        <w:rPr>
          <w:rFonts w:ascii="Times New Roman" w:hAnsi="Times New Roman"/>
          <w:lang w:val="pt-BR"/>
        </w:rPr>
        <w:t xml:space="preserve">A solução foi caracterizada </w:t>
      </w:r>
      <w:r w:rsidR="00CF0F6E" w:rsidRPr="006E1668">
        <w:rPr>
          <w:rFonts w:ascii="Times New Roman" w:hAnsi="Times New Roman"/>
          <w:lang w:val="pt-BR"/>
        </w:rPr>
        <w:t xml:space="preserve">por </w:t>
      </w:r>
      <w:r w:rsidR="00DC4ED3" w:rsidRPr="006E1668">
        <w:rPr>
          <w:rFonts w:ascii="Times New Roman" w:hAnsi="Times New Roman"/>
          <w:lang w:val="pt-BR"/>
        </w:rPr>
        <w:t xml:space="preserve">Espectroscopia no UV Visível e </w:t>
      </w:r>
      <w:r w:rsidR="008126CB" w:rsidRPr="006E1668">
        <w:rPr>
          <w:rFonts w:ascii="Times New Roman" w:hAnsi="Times New Roman"/>
          <w:lang w:val="pt-BR"/>
        </w:rPr>
        <w:t>p</w:t>
      </w:r>
      <w:r w:rsidR="00D54986" w:rsidRPr="006E1668">
        <w:rPr>
          <w:rFonts w:ascii="Times New Roman" w:hAnsi="Times New Roman"/>
          <w:lang w:val="pt-BR"/>
        </w:rPr>
        <w:t>ela técnica de Espalhamento Dinâmico de Luz (DLS)</w:t>
      </w:r>
      <w:r w:rsidR="00A05702" w:rsidRPr="006E1668">
        <w:rPr>
          <w:rFonts w:ascii="Times New Roman" w:hAnsi="Times New Roman"/>
          <w:lang w:val="pt-BR"/>
        </w:rPr>
        <w:t xml:space="preserve"> e </w:t>
      </w:r>
      <w:r w:rsidR="00001282" w:rsidRPr="006E1668">
        <w:rPr>
          <w:rFonts w:ascii="Times New Roman" w:hAnsi="Times New Roman"/>
          <w:lang w:val="pt-BR"/>
        </w:rPr>
        <w:t xml:space="preserve">análise termogravimétrica </w:t>
      </w:r>
      <w:r w:rsidR="001144AC" w:rsidRPr="006E1668">
        <w:rPr>
          <w:rFonts w:ascii="Times New Roman" w:hAnsi="Times New Roman"/>
          <w:lang w:val="pt-BR"/>
        </w:rPr>
        <w:t>(TGA)</w:t>
      </w:r>
      <w:r w:rsidR="00D54986" w:rsidRPr="006E1668">
        <w:rPr>
          <w:rFonts w:ascii="Times New Roman" w:hAnsi="Times New Roman"/>
          <w:lang w:val="pt-BR"/>
        </w:rPr>
        <w:t xml:space="preserve">. </w:t>
      </w:r>
    </w:p>
    <w:p w14:paraId="13382512" w14:textId="600D0DB5" w:rsidR="00235A11" w:rsidRDefault="00235A11" w:rsidP="00D54986">
      <w:pPr>
        <w:pStyle w:val="TAMainText"/>
        <w:rPr>
          <w:rFonts w:ascii="Times New Roman" w:hAnsi="Times New Roman"/>
          <w:lang w:val="pt-BR"/>
        </w:rPr>
      </w:pPr>
      <w:r>
        <w:rPr>
          <w:rFonts w:ascii="Times New Roman" w:hAnsi="Times New Roman"/>
          <w:lang w:val="pt-BR"/>
        </w:rPr>
        <w:t>A</w:t>
      </w:r>
      <w:r w:rsidR="008B73DB">
        <w:rPr>
          <w:rFonts w:ascii="Times New Roman" w:hAnsi="Times New Roman"/>
          <w:lang w:val="pt-BR"/>
        </w:rPr>
        <w:t xml:space="preserve"> espectrometria de UV-Vis foi utilizada para visualizar </w:t>
      </w:r>
      <w:r>
        <w:rPr>
          <w:rFonts w:ascii="Times New Roman" w:hAnsi="Times New Roman"/>
          <w:lang w:val="pt-BR"/>
        </w:rPr>
        <w:t xml:space="preserve">como ocorreu a formação das nanopartículas de prata utilizando o equipamento Agilent Cary 60. </w:t>
      </w:r>
      <w:r w:rsidRPr="00235A11">
        <w:rPr>
          <w:rFonts w:ascii="Times New Roman" w:hAnsi="Times New Roman"/>
          <w:lang w:val="pt-BR"/>
        </w:rPr>
        <w:t xml:space="preserve">As análises </w:t>
      </w:r>
      <w:r>
        <w:rPr>
          <w:rFonts w:ascii="Times New Roman" w:hAnsi="Times New Roman"/>
          <w:lang w:val="pt-BR"/>
        </w:rPr>
        <w:t xml:space="preserve">de TGA </w:t>
      </w:r>
      <w:r w:rsidRPr="00235A11">
        <w:rPr>
          <w:rFonts w:ascii="Times New Roman" w:hAnsi="Times New Roman"/>
          <w:lang w:val="pt-BR"/>
        </w:rPr>
        <w:t>foram realizadas no Laboratório de Intensificação de Processos e Catálise (LIPCAT) - EQ/UFRJ. As curvas termogravimétricas foram obtidas com um equipamento Shimadzu modelo TGA-50. Utilizou-se aproximadamente 1</w:t>
      </w:r>
      <w:r w:rsidR="005F76D6">
        <w:rPr>
          <w:rFonts w:ascii="Times New Roman" w:hAnsi="Times New Roman"/>
          <w:lang w:val="pt-BR"/>
        </w:rPr>
        <w:t xml:space="preserve"> mL</w:t>
      </w:r>
      <w:r w:rsidRPr="00235A11">
        <w:rPr>
          <w:rFonts w:ascii="Times New Roman" w:hAnsi="Times New Roman"/>
          <w:lang w:val="pt-BR"/>
        </w:rPr>
        <w:t xml:space="preserve"> de amostra em um cadinho de alumina a uma taxa de aquecimento de 10 °C/min até </w:t>
      </w:r>
      <w:r w:rsidR="005F76D6">
        <w:rPr>
          <w:rFonts w:ascii="Times New Roman" w:hAnsi="Times New Roman"/>
          <w:lang w:val="pt-BR"/>
        </w:rPr>
        <w:t>10</w:t>
      </w:r>
      <w:r w:rsidRPr="00235A11">
        <w:rPr>
          <w:rFonts w:ascii="Times New Roman" w:hAnsi="Times New Roman"/>
          <w:lang w:val="pt-BR"/>
        </w:rPr>
        <w:t>00 ºC em atmosfera de N</w:t>
      </w:r>
      <w:r w:rsidRPr="005F76D6">
        <w:rPr>
          <w:rFonts w:ascii="Times New Roman" w:hAnsi="Times New Roman"/>
          <w:vertAlign w:val="subscript"/>
          <w:lang w:val="pt-BR"/>
        </w:rPr>
        <w:t>2</w:t>
      </w:r>
      <w:r w:rsidRPr="00235A11">
        <w:rPr>
          <w:rFonts w:ascii="Times New Roman" w:hAnsi="Times New Roman"/>
          <w:lang w:val="pt-BR"/>
        </w:rPr>
        <w:t xml:space="preserve"> em um fluxo de 30 mL/min.</w:t>
      </w:r>
      <w:r>
        <w:rPr>
          <w:rFonts w:ascii="Times New Roman" w:hAnsi="Times New Roman"/>
          <w:lang w:val="pt-BR"/>
        </w:rPr>
        <w:t xml:space="preserve"> As análises de DLS também foram realizadas no LIPCAT</w:t>
      </w:r>
      <w:r w:rsidR="005F76D6">
        <w:rPr>
          <w:rFonts w:ascii="Times New Roman" w:hAnsi="Times New Roman"/>
          <w:lang w:val="pt-BR"/>
        </w:rPr>
        <w:t>, obtidas no equipamento Anton Paar Litesizer 500. Utilizando 10 mg de amostra dissolvidos em 3 mL de etanol em uma cubeta descartável.</w:t>
      </w:r>
    </w:p>
    <w:p w14:paraId="70630EB3" w14:textId="6ECB95A1" w:rsidR="00403399" w:rsidRDefault="00ED6C25" w:rsidP="00D54986">
      <w:pPr>
        <w:pStyle w:val="TAMainText"/>
        <w:rPr>
          <w:rFonts w:ascii="Times New Roman" w:hAnsi="Times New Roman"/>
          <w:lang w:val="pt-BR"/>
        </w:rPr>
      </w:pPr>
      <w:r w:rsidRPr="006E1668">
        <w:rPr>
          <w:rFonts w:ascii="Times New Roman" w:hAnsi="Times New Roman"/>
          <w:lang w:val="pt-BR"/>
        </w:rPr>
        <w:t>O procedimento</w:t>
      </w:r>
      <w:r w:rsidR="00D56FE3" w:rsidRPr="006E1668">
        <w:rPr>
          <w:rFonts w:ascii="Times New Roman" w:hAnsi="Times New Roman"/>
          <w:lang w:val="pt-BR"/>
        </w:rPr>
        <w:t xml:space="preserve"> de revestimento </w:t>
      </w:r>
      <w:r w:rsidR="00680933" w:rsidRPr="006E1668">
        <w:rPr>
          <w:rFonts w:ascii="Times New Roman" w:hAnsi="Times New Roman"/>
          <w:lang w:val="pt-BR"/>
        </w:rPr>
        <w:t>com</w:t>
      </w:r>
      <w:r w:rsidR="004171E9" w:rsidRPr="006E1668">
        <w:rPr>
          <w:rFonts w:ascii="Times New Roman" w:hAnsi="Times New Roman"/>
          <w:lang w:val="pt-BR"/>
        </w:rPr>
        <w:t xml:space="preserve"> </w:t>
      </w:r>
      <w:r w:rsidR="004171E9" w:rsidRPr="006E1668">
        <w:rPr>
          <w:rFonts w:ascii="Symbol" w:hAnsi="Symbol"/>
          <w:lang w:val="pt-BR"/>
        </w:rPr>
        <w:t>g</w:t>
      </w:r>
      <w:r w:rsidR="004171E9" w:rsidRPr="006E1668">
        <w:rPr>
          <w:rFonts w:ascii="Times New Roman" w:hAnsi="Times New Roman"/>
          <w:lang w:val="pt-BR"/>
        </w:rPr>
        <w:t>-Al</w:t>
      </w:r>
      <w:r w:rsidR="004171E9" w:rsidRPr="006E1668">
        <w:rPr>
          <w:rFonts w:ascii="Times New Roman" w:hAnsi="Times New Roman"/>
          <w:vertAlign w:val="subscript"/>
          <w:lang w:val="pt-BR"/>
        </w:rPr>
        <w:t>2</w:t>
      </w:r>
      <w:r w:rsidR="004171E9" w:rsidRPr="006E1668">
        <w:rPr>
          <w:rFonts w:ascii="Times New Roman" w:hAnsi="Times New Roman"/>
          <w:lang w:val="pt-BR"/>
        </w:rPr>
        <w:t>O</w:t>
      </w:r>
      <w:r w:rsidR="004171E9" w:rsidRPr="006E1668">
        <w:rPr>
          <w:rFonts w:ascii="Times New Roman" w:hAnsi="Times New Roman"/>
          <w:vertAlign w:val="subscript"/>
          <w:lang w:val="pt-BR"/>
        </w:rPr>
        <w:t>3</w:t>
      </w:r>
      <w:r w:rsidRPr="006E1668">
        <w:rPr>
          <w:rFonts w:ascii="Times New Roman" w:hAnsi="Times New Roman"/>
          <w:lang w:val="pt-BR"/>
        </w:rPr>
        <w:t xml:space="preserve"> foi adaptado da literatura </w:t>
      </w:r>
      <w:r w:rsidR="008B195D" w:rsidRPr="006E1668">
        <w:rPr>
          <w:rFonts w:ascii="Times New Roman" w:hAnsi="Times New Roman"/>
          <w:lang w:val="pt-BR"/>
        </w:rPr>
        <w:t>(</w:t>
      </w:r>
      <w:r w:rsidR="00AD344C" w:rsidRPr="006E1668">
        <w:rPr>
          <w:rFonts w:ascii="Times New Roman" w:hAnsi="Times New Roman"/>
          <w:lang w:val="pt-BR"/>
        </w:rPr>
        <w:t>5</w:t>
      </w:r>
      <w:r w:rsidR="008B195D" w:rsidRPr="006E1668">
        <w:rPr>
          <w:rFonts w:ascii="Times New Roman" w:hAnsi="Times New Roman"/>
          <w:lang w:val="pt-BR"/>
        </w:rPr>
        <w:t>)</w:t>
      </w:r>
      <w:r w:rsidR="00687414" w:rsidRPr="006E1668">
        <w:rPr>
          <w:rFonts w:ascii="Times New Roman" w:hAnsi="Times New Roman"/>
          <w:lang w:val="pt-BR"/>
        </w:rPr>
        <w:t xml:space="preserve">, </w:t>
      </w:r>
      <w:r w:rsidR="00B3399E" w:rsidRPr="006E1668">
        <w:rPr>
          <w:rFonts w:ascii="Times New Roman" w:hAnsi="Times New Roman"/>
          <w:lang w:val="pt-BR"/>
        </w:rPr>
        <w:t xml:space="preserve">utilizando um </w:t>
      </w:r>
      <w:r w:rsidR="004171E9" w:rsidRPr="006E1668">
        <w:rPr>
          <w:rFonts w:ascii="Times New Roman" w:hAnsi="Times New Roman"/>
          <w:lang w:val="pt-BR"/>
        </w:rPr>
        <w:t>m</w:t>
      </w:r>
      <w:r w:rsidR="00B3399E" w:rsidRPr="006E1668">
        <w:rPr>
          <w:rFonts w:ascii="Times New Roman" w:hAnsi="Times New Roman"/>
          <w:lang w:val="pt-BR"/>
        </w:rPr>
        <w:t>étodo já conhecido pelo grupo</w:t>
      </w:r>
      <w:r w:rsidRPr="006E1668">
        <w:rPr>
          <w:rFonts w:ascii="Times New Roman" w:hAnsi="Times New Roman"/>
          <w:lang w:val="pt-BR"/>
        </w:rPr>
        <w:t xml:space="preserve">. A solução resultante </w:t>
      </w:r>
      <w:r w:rsidR="001B116E" w:rsidRPr="006E1668">
        <w:rPr>
          <w:rFonts w:ascii="Times New Roman" w:hAnsi="Times New Roman"/>
          <w:lang w:val="pt-BR"/>
        </w:rPr>
        <w:t xml:space="preserve">com as nanopartículas de prata </w:t>
      </w:r>
      <w:r w:rsidR="0077104D" w:rsidRPr="006E1668">
        <w:rPr>
          <w:rFonts w:ascii="Times New Roman" w:hAnsi="Times New Roman"/>
          <w:lang w:val="pt-BR"/>
        </w:rPr>
        <w:t xml:space="preserve">é levada ao </w:t>
      </w:r>
      <w:r w:rsidR="00277475" w:rsidRPr="006E1668">
        <w:rPr>
          <w:rFonts w:ascii="Times New Roman" w:hAnsi="Times New Roman"/>
          <w:lang w:val="pt-BR"/>
        </w:rPr>
        <w:t xml:space="preserve">banho de ultrassom por meia hora para </w:t>
      </w:r>
      <w:r w:rsidR="00F64300" w:rsidRPr="006E1668">
        <w:rPr>
          <w:rFonts w:ascii="Times New Roman" w:hAnsi="Times New Roman"/>
          <w:lang w:val="pt-BR"/>
        </w:rPr>
        <w:t xml:space="preserve">diminuir a formação e </w:t>
      </w:r>
      <w:r w:rsidR="00680933" w:rsidRPr="006E1668">
        <w:rPr>
          <w:rFonts w:ascii="Times New Roman" w:hAnsi="Times New Roman"/>
          <w:lang w:val="pt-BR"/>
        </w:rPr>
        <w:t>a</w:t>
      </w:r>
      <w:r w:rsidR="00F64300" w:rsidRPr="006E1668">
        <w:rPr>
          <w:rFonts w:ascii="Times New Roman" w:hAnsi="Times New Roman"/>
          <w:lang w:val="pt-BR"/>
        </w:rPr>
        <w:t>glomerados</w:t>
      </w:r>
      <w:r w:rsidR="00A05702" w:rsidRPr="006E1668">
        <w:rPr>
          <w:rFonts w:ascii="Times New Roman" w:hAnsi="Times New Roman"/>
          <w:lang w:val="pt-BR"/>
        </w:rPr>
        <w:t xml:space="preserve">. Ao fim desse tempo, </w:t>
      </w:r>
      <w:r w:rsidRPr="006E1668">
        <w:rPr>
          <w:rFonts w:ascii="Times New Roman" w:hAnsi="Times New Roman"/>
          <w:lang w:val="pt-BR"/>
        </w:rPr>
        <w:t>fo</w:t>
      </w:r>
      <w:r w:rsidR="00680933" w:rsidRPr="006E1668">
        <w:rPr>
          <w:rFonts w:ascii="Times New Roman" w:hAnsi="Times New Roman"/>
          <w:lang w:val="pt-BR"/>
        </w:rPr>
        <w:t>i</w:t>
      </w:r>
      <w:r w:rsidRPr="006E1668">
        <w:rPr>
          <w:rFonts w:ascii="Times New Roman" w:hAnsi="Times New Roman"/>
          <w:lang w:val="pt-BR"/>
        </w:rPr>
        <w:t xml:space="preserve"> adicionad</w:t>
      </w:r>
      <w:r w:rsidR="00680933" w:rsidRPr="006E1668">
        <w:rPr>
          <w:rFonts w:ascii="Times New Roman" w:hAnsi="Times New Roman"/>
          <w:lang w:val="pt-BR"/>
        </w:rPr>
        <w:t>a</w:t>
      </w:r>
      <w:r w:rsidRPr="006E1668">
        <w:rPr>
          <w:rFonts w:ascii="Times New Roman" w:hAnsi="Times New Roman"/>
          <w:lang w:val="pt-BR"/>
        </w:rPr>
        <w:t xml:space="preserve"> uma solução de </w:t>
      </w:r>
      <w:r w:rsidR="00680933" w:rsidRPr="006E1668">
        <w:rPr>
          <w:rFonts w:ascii="Times New Roman" w:hAnsi="Times New Roman"/>
          <w:lang w:val="pt-BR"/>
        </w:rPr>
        <w:t xml:space="preserve">isopropóxido </w:t>
      </w:r>
      <w:r w:rsidR="00680933" w:rsidRPr="006E1668">
        <w:rPr>
          <w:rFonts w:ascii="Times New Roman" w:hAnsi="Times New Roman"/>
          <w:lang w:val="pt-BR"/>
        </w:rPr>
        <w:lastRenderedPageBreak/>
        <w:t xml:space="preserve">de alumínio em </w:t>
      </w:r>
      <w:r w:rsidR="00D94D06">
        <w:rPr>
          <w:rFonts w:ascii="Times New Roman" w:hAnsi="Times New Roman"/>
          <w:lang w:val="pt-BR"/>
        </w:rPr>
        <w:t>cicloexano</w:t>
      </w:r>
      <w:r w:rsidRPr="006E1668">
        <w:rPr>
          <w:rFonts w:ascii="Times New Roman" w:hAnsi="Times New Roman"/>
          <w:lang w:val="pt-BR"/>
        </w:rPr>
        <w:t>. A mistura foi</w:t>
      </w:r>
      <w:r w:rsidR="00E25070" w:rsidRPr="006E1668">
        <w:rPr>
          <w:rFonts w:ascii="Times New Roman" w:hAnsi="Times New Roman"/>
          <w:lang w:val="pt-BR"/>
        </w:rPr>
        <w:t xml:space="preserve"> </w:t>
      </w:r>
      <w:r w:rsidRPr="006E1668">
        <w:rPr>
          <w:rFonts w:ascii="Times New Roman" w:hAnsi="Times New Roman"/>
          <w:lang w:val="pt-BR"/>
        </w:rPr>
        <w:t>agitad</w:t>
      </w:r>
      <w:r w:rsidR="00E25070" w:rsidRPr="006E1668">
        <w:rPr>
          <w:rFonts w:ascii="Times New Roman" w:hAnsi="Times New Roman"/>
          <w:lang w:val="pt-BR"/>
        </w:rPr>
        <w:t>a</w:t>
      </w:r>
      <w:r w:rsidRPr="006E1668">
        <w:rPr>
          <w:rFonts w:ascii="Times New Roman" w:hAnsi="Times New Roman"/>
          <w:lang w:val="pt-BR"/>
        </w:rPr>
        <w:t xml:space="preserve"> vigorosamente por 90 minutos em temperatura ambiente. </w:t>
      </w:r>
      <w:r w:rsidR="00680933" w:rsidRPr="006E1668">
        <w:rPr>
          <w:rFonts w:ascii="Times New Roman" w:hAnsi="Times New Roman"/>
          <w:lang w:val="pt-BR"/>
        </w:rPr>
        <w:t>O sistema resultante foi</w:t>
      </w:r>
      <w:r w:rsidR="00E25070" w:rsidRPr="006E1668">
        <w:rPr>
          <w:rFonts w:ascii="Times New Roman" w:hAnsi="Times New Roman"/>
          <w:lang w:val="pt-BR"/>
        </w:rPr>
        <w:t xml:space="preserve"> então </w:t>
      </w:r>
      <w:r w:rsidR="00680933" w:rsidRPr="006E1668">
        <w:rPr>
          <w:rFonts w:ascii="Times New Roman" w:hAnsi="Times New Roman"/>
          <w:lang w:val="pt-BR"/>
        </w:rPr>
        <w:t>aquecido em</w:t>
      </w:r>
      <w:r w:rsidR="00E25070" w:rsidRPr="006E1668">
        <w:rPr>
          <w:rFonts w:ascii="Times New Roman" w:hAnsi="Times New Roman"/>
          <w:lang w:val="pt-BR"/>
        </w:rPr>
        <w:t xml:space="preserve"> estufa</w:t>
      </w:r>
      <w:r w:rsidR="00680933" w:rsidRPr="006E1668">
        <w:rPr>
          <w:rFonts w:ascii="Times New Roman" w:hAnsi="Times New Roman"/>
          <w:lang w:val="pt-BR"/>
        </w:rPr>
        <w:t xml:space="preserve"> a 100 °C</w:t>
      </w:r>
      <w:r w:rsidR="00A86339" w:rsidRPr="006E1668">
        <w:rPr>
          <w:rFonts w:ascii="Times New Roman" w:hAnsi="Times New Roman"/>
          <w:lang w:val="pt-BR"/>
        </w:rPr>
        <w:t xml:space="preserve"> durante a noite</w:t>
      </w:r>
      <w:r w:rsidRPr="006E1668">
        <w:rPr>
          <w:rFonts w:ascii="Times New Roman" w:hAnsi="Times New Roman"/>
          <w:lang w:val="pt-BR"/>
        </w:rPr>
        <w:t>.</w:t>
      </w:r>
      <w:r w:rsidR="001A30EF" w:rsidRPr="006E1668">
        <w:rPr>
          <w:rFonts w:ascii="Times New Roman" w:hAnsi="Times New Roman"/>
          <w:lang w:val="pt-BR"/>
        </w:rPr>
        <w:t xml:space="preserve"> O sólido resultante </w:t>
      </w:r>
      <w:r w:rsidR="00680933" w:rsidRPr="006E1668">
        <w:rPr>
          <w:rFonts w:ascii="Times New Roman" w:hAnsi="Times New Roman"/>
          <w:lang w:val="pt-BR"/>
        </w:rPr>
        <w:t>foi</w:t>
      </w:r>
      <w:r w:rsidR="001A30EF" w:rsidRPr="006E1668">
        <w:rPr>
          <w:rFonts w:ascii="Times New Roman" w:hAnsi="Times New Roman"/>
          <w:lang w:val="pt-BR"/>
        </w:rPr>
        <w:t xml:space="preserve"> caracteriza</w:t>
      </w:r>
      <w:r w:rsidR="00680933" w:rsidRPr="006E1668">
        <w:rPr>
          <w:rFonts w:ascii="Times New Roman" w:hAnsi="Times New Roman"/>
          <w:lang w:val="pt-BR"/>
        </w:rPr>
        <w:t>do</w:t>
      </w:r>
      <w:r w:rsidR="001A30EF" w:rsidRPr="006E1668">
        <w:rPr>
          <w:rFonts w:ascii="Times New Roman" w:hAnsi="Times New Roman"/>
          <w:lang w:val="pt-BR"/>
        </w:rPr>
        <w:t xml:space="preserve"> por </w:t>
      </w:r>
      <w:r w:rsidR="00EE601E" w:rsidRPr="006E1668">
        <w:rPr>
          <w:rFonts w:ascii="Times New Roman" w:hAnsi="Times New Roman"/>
          <w:lang w:val="pt-BR"/>
        </w:rPr>
        <w:t xml:space="preserve">Espectroscopia </w:t>
      </w:r>
      <w:r w:rsidR="00680933" w:rsidRPr="006E1668">
        <w:rPr>
          <w:rFonts w:ascii="Times New Roman" w:hAnsi="Times New Roman"/>
          <w:lang w:val="pt-BR"/>
        </w:rPr>
        <w:t>a</w:t>
      </w:r>
      <w:r w:rsidR="00EE601E" w:rsidRPr="006E1668">
        <w:rPr>
          <w:rFonts w:ascii="Times New Roman" w:hAnsi="Times New Roman"/>
          <w:lang w:val="pt-BR"/>
        </w:rPr>
        <w:t xml:space="preserve">o Infravermelho por Transformada de Fourier </w:t>
      </w:r>
      <w:r w:rsidR="0008594F" w:rsidRPr="006E1668">
        <w:rPr>
          <w:rFonts w:ascii="Times New Roman" w:hAnsi="Times New Roman"/>
          <w:lang w:val="pt-BR"/>
        </w:rPr>
        <w:t xml:space="preserve">com Reflectância Total Atenuada </w:t>
      </w:r>
      <w:r w:rsidR="00103008" w:rsidRPr="006E1668">
        <w:rPr>
          <w:rFonts w:ascii="Times New Roman" w:hAnsi="Times New Roman"/>
          <w:lang w:val="pt-BR"/>
        </w:rPr>
        <w:t>(</w:t>
      </w:r>
      <w:r w:rsidR="007220F9" w:rsidRPr="006E1668">
        <w:rPr>
          <w:rFonts w:ascii="Times New Roman" w:hAnsi="Times New Roman"/>
          <w:lang w:val="pt-BR"/>
        </w:rPr>
        <w:t>FTIR-ATR</w:t>
      </w:r>
      <w:r w:rsidR="00103008" w:rsidRPr="006E1668">
        <w:rPr>
          <w:rFonts w:ascii="Times New Roman" w:hAnsi="Times New Roman"/>
          <w:lang w:val="pt-BR"/>
        </w:rPr>
        <w:t>)</w:t>
      </w:r>
      <w:r w:rsidR="00485B64" w:rsidRPr="006E1668">
        <w:rPr>
          <w:rFonts w:ascii="Times New Roman" w:hAnsi="Times New Roman"/>
          <w:lang w:val="pt-BR"/>
        </w:rPr>
        <w:t xml:space="preserve"> </w:t>
      </w:r>
      <w:r w:rsidR="000D0D6C" w:rsidRPr="006E1668">
        <w:rPr>
          <w:rFonts w:ascii="Times New Roman" w:hAnsi="Times New Roman"/>
          <w:lang w:val="pt-BR"/>
        </w:rPr>
        <w:t>e</w:t>
      </w:r>
      <w:r w:rsidR="00BC2118" w:rsidRPr="006E1668">
        <w:rPr>
          <w:rFonts w:ascii="Times New Roman" w:hAnsi="Times New Roman"/>
          <w:lang w:val="pt-BR"/>
        </w:rPr>
        <w:t xml:space="preserve"> </w:t>
      </w:r>
      <w:r w:rsidR="00103008" w:rsidRPr="006E1668">
        <w:rPr>
          <w:rFonts w:ascii="Times New Roman" w:hAnsi="Times New Roman"/>
          <w:lang w:val="pt-BR"/>
        </w:rPr>
        <w:t>Microscopia Eletrônica de Varredura (MEV)</w:t>
      </w:r>
      <w:r w:rsidR="007220F9" w:rsidRPr="006E1668">
        <w:rPr>
          <w:rFonts w:ascii="Times New Roman" w:hAnsi="Times New Roman"/>
          <w:lang w:val="pt-BR"/>
        </w:rPr>
        <w:t>.</w:t>
      </w:r>
    </w:p>
    <w:p w14:paraId="29968A73" w14:textId="27FD6427" w:rsidR="005F76D6" w:rsidRPr="006E1668" w:rsidRDefault="005F76D6" w:rsidP="00D54986">
      <w:pPr>
        <w:pStyle w:val="TAMainText"/>
        <w:rPr>
          <w:rFonts w:ascii="Times New Roman" w:hAnsi="Times New Roman"/>
          <w:lang w:val="pt-BR"/>
        </w:rPr>
      </w:pPr>
      <w:r w:rsidRPr="005F76D6">
        <w:rPr>
          <w:rFonts w:ascii="Times New Roman" w:hAnsi="Times New Roman"/>
          <w:lang w:val="pt-BR"/>
        </w:rPr>
        <w:t>Os espectros</w:t>
      </w:r>
      <w:r>
        <w:rPr>
          <w:rFonts w:ascii="Times New Roman" w:hAnsi="Times New Roman"/>
          <w:lang w:val="pt-BR"/>
        </w:rPr>
        <w:t xml:space="preserve"> de FTIR-ATR</w:t>
      </w:r>
      <w:r w:rsidRPr="005F76D6">
        <w:rPr>
          <w:rFonts w:ascii="Times New Roman" w:hAnsi="Times New Roman"/>
          <w:lang w:val="pt-BR"/>
        </w:rPr>
        <w:t xml:space="preserve"> foram obtidos em um espectrofotômetro Shimadzu IRaffinity1 do Laboratório de Instrumentos e Pesquisas (LIP) – IQ/UFRJ. Os materiais foram analisados utilizando pastilhas de KBr na região de 400 a 4000 cm-1, sem qualquer pré-tratamento.</w:t>
      </w:r>
      <w:r>
        <w:rPr>
          <w:rFonts w:ascii="Times New Roman" w:hAnsi="Times New Roman"/>
          <w:lang w:val="pt-BR"/>
        </w:rPr>
        <w:t xml:space="preserve"> </w:t>
      </w:r>
      <w:r w:rsidRPr="005F76D6">
        <w:rPr>
          <w:rFonts w:ascii="Times New Roman" w:hAnsi="Times New Roman"/>
          <w:lang w:val="pt-BR"/>
        </w:rPr>
        <w:t>As imagens do MET foram obtidas no Laboratório De Nanociências E Nanotecnologia – LabNANO/CBPF, em um microscópio de alta resolução JEOL 2100F 200kV.</w:t>
      </w:r>
    </w:p>
    <w:p w14:paraId="7DDC1D8F" w14:textId="14E2A436" w:rsidR="0083700A" w:rsidRPr="006E1668" w:rsidRDefault="00214EFA" w:rsidP="00D54986">
      <w:pPr>
        <w:pStyle w:val="TAMainText"/>
        <w:rPr>
          <w:rFonts w:ascii="Times New Roman" w:hAnsi="Times New Roman"/>
          <w:lang w:val="pt-BR"/>
        </w:rPr>
      </w:pPr>
      <w:r w:rsidRPr="006E1668">
        <w:rPr>
          <w:rFonts w:ascii="Times New Roman" w:hAnsi="Times New Roman"/>
          <w:lang w:val="pt-BR"/>
        </w:rPr>
        <w:t xml:space="preserve">Para o teste </w:t>
      </w:r>
      <w:r w:rsidR="00386A20" w:rsidRPr="006E1668">
        <w:rPr>
          <w:rFonts w:ascii="Times New Roman" w:hAnsi="Times New Roman"/>
          <w:lang w:val="pt-BR"/>
        </w:rPr>
        <w:t xml:space="preserve">catalítico de </w:t>
      </w:r>
      <w:r w:rsidR="00680933" w:rsidRPr="006E1668">
        <w:rPr>
          <w:rFonts w:ascii="Times New Roman" w:hAnsi="Times New Roman"/>
          <w:lang w:val="pt-BR"/>
        </w:rPr>
        <w:t>foto</w:t>
      </w:r>
      <w:r w:rsidR="00386A20" w:rsidRPr="006E1668">
        <w:rPr>
          <w:rFonts w:ascii="Times New Roman" w:hAnsi="Times New Roman"/>
          <w:lang w:val="pt-BR"/>
        </w:rPr>
        <w:t xml:space="preserve">degradação </w:t>
      </w:r>
      <w:r w:rsidR="00680933" w:rsidRPr="006E1668">
        <w:rPr>
          <w:rFonts w:ascii="Times New Roman" w:hAnsi="Times New Roman"/>
          <w:lang w:val="pt-BR"/>
        </w:rPr>
        <w:t>de corante</w:t>
      </w:r>
      <w:r w:rsidR="00CF0BE5" w:rsidRPr="006E1668">
        <w:rPr>
          <w:rFonts w:ascii="Times New Roman" w:hAnsi="Times New Roman"/>
          <w:lang w:val="pt-BR"/>
        </w:rPr>
        <w:t xml:space="preserve"> </w:t>
      </w:r>
      <w:r w:rsidR="008C6A28" w:rsidRPr="006E1668">
        <w:rPr>
          <w:rFonts w:ascii="Times New Roman" w:hAnsi="Times New Roman"/>
          <w:lang w:val="pt-BR"/>
        </w:rPr>
        <w:t>(</w:t>
      </w:r>
      <w:r w:rsidR="001571C1" w:rsidRPr="006E1668">
        <w:rPr>
          <w:rFonts w:ascii="Times New Roman" w:hAnsi="Times New Roman"/>
          <w:lang w:val="pt-BR"/>
        </w:rPr>
        <w:t>6</w:t>
      </w:r>
      <w:r w:rsidR="0085308A" w:rsidRPr="006E1668">
        <w:rPr>
          <w:rFonts w:ascii="Times New Roman" w:hAnsi="Times New Roman"/>
          <w:lang w:val="pt-BR"/>
        </w:rPr>
        <w:t>)</w:t>
      </w:r>
      <w:r w:rsidR="00386A20" w:rsidRPr="006E1668">
        <w:rPr>
          <w:rFonts w:ascii="Times New Roman" w:hAnsi="Times New Roman"/>
          <w:lang w:val="pt-BR"/>
        </w:rPr>
        <w:t>, 0,01g d</w:t>
      </w:r>
      <w:r w:rsidR="0092457D" w:rsidRPr="006E1668">
        <w:rPr>
          <w:rFonts w:ascii="Times New Roman" w:hAnsi="Times New Roman"/>
          <w:lang w:val="pt-BR"/>
        </w:rPr>
        <w:t>o catalisador foram colocados em 3 mL de uma solução de Rodamina B</w:t>
      </w:r>
      <w:r w:rsidR="00D94D06">
        <w:rPr>
          <w:rFonts w:ascii="Times New Roman" w:hAnsi="Times New Roman"/>
          <w:lang w:val="pt-BR"/>
        </w:rPr>
        <w:t xml:space="preserve"> </w:t>
      </w:r>
      <w:r w:rsidR="00D94D06" w:rsidRPr="006E1668">
        <w:rPr>
          <w:rFonts w:ascii="Times New Roman" w:hAnsi="Times New Roman"/>
          <w:lang w:val="pt-BR"/>
        </w:rPr>
        <w:t>(8,34 x 10</w:t>
      </w:r>
      <w:r w:rsidR="00D94D06" w:rsidRPr="006E1668">
        <w:rPr>
          <w:rFonts w:ascii="Times New Roman" w:hAnsi="Times New Roman"/>
          <w:vertAlign w:val="superscript"/>
          <w:lang w:val="pt-BR"/>
        </w:rPr>
        <w:noBreakHyphen/>
        <w:t xml:space="preserve">6 </w:t>
      </w:r>
      <w:r w:rsidR="00D94D06" w:rsidRPr="006E1668">
        <w:rPr>
          <w:rFonts w:ascii="Times New Roman" w:hAnsi="Times New Roman"/>
          <w:lang w:val="pt-BR"/>
        </w:rPr>
        <w:t>M)</w:t>
      </w:r>
      <w:r w:rsidR="0092457D" w:rsidRPr="006E1668">
        <w:rPr>
          <w:rFonts w:ascii="Times New Roman" w:hAnsi="Times New Roman"/>
          <w:lang w:val="pt-BR"/>
        </w:rPr>
        <w:t xml:space="preserve"> e deixados em agitação por uma hora. Ao </w:t>
      </w:r>
      <w:r w:rsidR="005D3A6B" w:rsidRPr="006E1668">
        <w:rPr>
          <w:rFonts w:ascii="Times New Roman" w:hAnsi="Times New Roman"/>
          <w:lang w:val="pt-BR"/>
        </w:rPr>
        <w:t xml:space="preserve">final desse tempo, a solução foi irradiada por duas lâmpadas </w:t>
      </w:r>
      <w:r w:rsidR="00AA0E6F">
        <w:rPr>
          <w:rFonts w:ascii="Times New Roman" w:hAnsi="Times New Roman"/>
          <w:lang w:val="pt-BR"/>
        </w:rPr>
        <w:t xml:space="preserve">(10 W) </w:t>
      </w:r>
      <w:r w:rsidR="005D3A6B" w:rsidRPr="006E1668">
        <w:rPr>
          <w:rFonts w:ascii="Times New Roman" w:hAnsi="Times New Roman"/>
          <w:lang w:val="pt-BR"/>
        </w:rPr>
        <w:t>com comprimento de onda de 453 nm durante 2 horas</w:t>
      </w:r>
      <w:r w:rsidR="00696B6C" w:rsidRPr="006E1668">
        <w:rPr>
          <w:rFonts w:ascii="Times New Roman" w:hAnsi="Times New Roman"/>
          <w:lang w:val="pt-BR"/>
        </w:rPr>
        <w:t xml:space="preserve">, com acompanhamento </w:t>
      </w:r>
      <w:r w:rsidR="00CF0BE5" w:rsidRPr="006E1668">
        <w:rPr>
          <w:rFonts w:ascii="Times New Roman" w:hAnsi="Times New Roman"/>
          <w:lang w:val="pt-BR"/>
        </w:rPr>
        <w:t>feito através do UV-Vis</w:t>
      </w:r>
      <w:r w:rsidR="00AA0E6F">
        <w:rPr>
          <w:rFonts w:ascii="Times New Roman" w:hAnsi="Times New Roman"/>
          <w:lang w:val="pt-BR"/>
        </w:rPr>
        <w:t xml:space="preserve"> a cada 10, 30, 60, 90 e 120 min</w:t>
      </w:r>
      <w:r w:rsidR="00CF0BE5" w:rsidRPr="006E1668">
        <w:rPr>
          <w:rFonts w:ascii="Times New Roman" w:hAnsi="Times New Roman"/>
          <w:lang w:val="pt-BR"/>
        </w:rPr>
        <w:t xml:space="preserve">. </w:t>
      </w:r>
      <w:r w:rsidR="00225892">
        <w:rPr>
          <w:rFonts w:ascii="Times New Roman" w:hAnsi="Times New Roman"/>
          <w:lang w:val="pt-BR"/>
        </w:rPr>
        <w:t xml:space="preserve">O </w:t>
      </w:r>
      <w:r w:rsidR="00AD457C">
        <w:rPr>
          <w:rFonts w:ascii="Times New Roman" w:hAnsi="Times New Roman"/>
          <w:lang w:val="pt-BR"/>
        </w:rPr>
        <w:t>fotoiluminador</w:t>
      </w:r>
      <w:r w:rsidR="00225892">
        <w:rPr>
          <w:rFonts w:ascii="Times New Roman" w:hAnsi="Times New Roman"/>
          <w:lang w:val="pt-BR"/>
        </w:rPr>
        <w:t xml:space="preserve"> que está sendo utilizado nesses testes foi construído para este fim, logo não é possível, atualmente, medir exatamente o quanto é irradiado, tendo apenas valores aproximados. </w:t>
      </w:r>
      <w:r w:rsidR="00CB4AEA">
        <w:rPr>
          <w:rFonts w:ascii="Times New Roman" w:hAnsi="Times New Roman"/>
          <w:lang w:val="pt-BR"/>
        </w:rPr>
        <w:t>Testes de controle sem a presença de catalisador e apenas com a presença de alumina também foram realizados.</w:t>
      </w:r>
    </w:p>
    <w:p w14:paraId="5EBF6ABD" w14:textId="57FAE7C9" w:rsidR="009522A6" w:rsidRPr="006E1668" w:rsidRDefault="009522A6" w:rsidP="004342C2">
      <w:pPr>
        <w:pStyle w:val="TAMainText"/>
        <w:ind w:firstLine="0"/>
        <w:rPr>
          <w:rFonts w:ascii="Times New Roman" w:hAnsi="Times New Roman"/>
          <w:lang w:val="pt-BR"/>
        </w:rPr>
      </w:pPr>
    </w:p>
    <w:p w14:paraId="136BD1AC" w14:textId="731A63B1" w:rsidR="00EA4E1B" w:rsidRPr="006E1668" w:rsidRDefault="00EA4E1B" w:rsidP="00EA4E1B">
      <w:pPr>
        <w:pStyle w:val="Ttulo2"/>
        <w:rPr>
          <w:rFonts w:ascii="Helvetica" w:hAnsi="Helvetica" w:cs="Helvetica"/>
          <w:sz w:val="24"/>
          <w:szCs w:val="24"/>
        </w:rPr>
      </w:pPr>
      <w:r w:rsidRPr="006E1668">
        <w:rPr>
          <w:rFonts w:ascii="Helvetica" w:hAnsi="Helvetica" w:cs="Helvetica"/>
          <w:sz w:val="24"/>
          <w:szCs w:val="24"/>
        </w:rPr>
        <w:t>Resultados e Discussão</w:t>
      </w:r>
    </w:p>
    <w:p w14:paraId="082E5A17" w14:textId="03F88BD6" w:rsidR="004342C2" w:rsidRPr="006E1668" w:rsidRDefault="00347BDB" w:rsidP="00F90A78">
      <w:pPr>
        <w:pStyle w:val="TAMainText"/>
        <w:ind w:firstLine="187"/>
        <w:rPr>
          <w:rFonts w:ascii="Times New Roman" w:hAnsi="Times New Roman"/>
          <w:lang w:val="pt-BR"/>
        </w:rPr>
      </w:pPr>
      <w:r w:rsidRPr="006E1668">
        <w:rPr>
          <w:rFonts w:ascii="Times New Roman" w:hAnsi="Times New Roman"/>
          <w:lang w:val="pt-BR"/>
        </w:rPr>
        <w:t>Para a produção da nanopartícula de prata</w:t>
      </w:r>
      <w:r w:rsidR="009B193F" w:rsidRPr="006E1668">
        <w:rPr>
          <w:rFonts w:ascii="Times New Roman" w:hAnsi="Times New Roman"/>
          <w:lang w:val="pt-BR"/>
        </w:rPr>
        <w:t xml:space="preserve"> </w:t>
      </w:r>
      <w:r w:rsidR="004F107D" w:rsidRPr="006E1668">
        <w:rPr>
          <w:rFonts w:ascii="Times New Roman" w:hAnsi="Times New Roman"/>
          <w:lang w:val="pt-BR"/>
        </w:rPr>
        <w:t xml:space="preserve">foi escolhida a irradiação </w:t>
      </w:r>
      <w:r w:rsidR="002E2852" w:rsidRPr="006E1668">
        <w:rPr>
          <w:rFonts w:ascii="Times New Roman" w:hAnsi="Times New Roman"/>
          <w:lang w:val="pt-BR"/>
        </w:rPr>
        <w:t xml:space="preserve">por microondas por ela permitir um aquecimento mais rápido, </w:t>
      </w:r>
      <w:r w:rsidR="0010628C" w:rsidRPr="006E1668">
        <w:rPr>
          <w:rFonts w:ascii="Times New Roman" w:hAnsi="Times New Roman"/>
          <w:lang w:val="pt-BR"/>
        </w:rPr>
        <w:t xml:space="preserve">já que </w:t>
      </w:r>
      <w:r w:rsidR="00F90A78" w:rsidRPr="006E1668">
        <w:rPr>
          <w:rFonts w:ascii="Times New Roman" w:hAnsi="Times New Roman"/>
          <w:lang w:val="pt-BR"/>
        </w:rPr>
        <w:t xml:space="preserve">o calor </w:t>
      </w:r>
      <w:r w:rsidR="0010628C" w:rsidRPr="006E1668">
        <w:rPr>
          <w:rFonts w:ascii="Times New Roman" w:hAnsi="Times New Roman"/>
          <w:lang w:val="pt-BR"/>
        </w:rPr>
        <w:t>é</w:t>
      </w:r>
      <w:r w:rsidR="00F90A78" w:rsidRPr="006E1668">
        <w:rPr>
          <w:rFonts w:ascii="Times New Roman" w:hAnsi="Times New Roman"/>
          <w:lang w:val="pt-BR"/>
        </w:rPr>
        <w:t xml:space="preserve"> transferido para as paredes da placa de reação ao invés do núcleo da solução</w:t>
      </w:r>
      <w:r w:rsidR="005C0EA4" w:rsidRPr="006E1668">
        <w:rPr>
          <w:rFonts w:ascii="Times New Roman" w:hAnsi="Times New Roman"/>
          <w:lang w:val="pt-BR"/>
        </w:rPr>
        <w:t xml:space="preserve">, como acontece em placas de </w:t>
      </w:r>
      <w:r w:rsidR="00F90A78" w:rsidRPr="006E1668">
        <w:rPr>
          <w:rFonts w:ascii="Times New Roman" w:hAnsi="Times New Roman"/>
          <w:lang w:val="pt-BR"/>
        </w:rPr>
        <w:t>aquecimento convenciona</w:t>
      </w:r>
      <w:r w:rsidR="005C0EA4" w:rsidRPr="006E1668">
        <w:rPr>
          <w:rFonts w:ascii="Times New Roman" w:hAnsi="Times New Roman"/>
          <w:lang w:val="pt-BR"/>
        </w:rPr>
        <w:t>is</w:t>
      </w:r>
      <w:r w:rsidR="00F90A78" w:rsidRPr="006E1668">
        <w:rPr>
          <w:rFonts w:ascii="Times New Roman" w:hAnsi="Times New Roman"/>
          <w:lang w:val="pt-BR"/>
        </w:rPr>
        <w:t>. Este método de aquecimento direto impulsionou a cinética da reação e aumentou a temperatura da amostra em um ritmo muito mais rápido</w:t>
      </w:r>
      <w:r w:rsidR="006B4DAE" w:rsidRPr="006E1668">
        <w:rPr>
          <w:rFonts w:ascii="Times New Roman" w:hAnsi="Times New Roman"/>
          <w:lang w:val="pt-BR"/>
        </w:rPr>
        <w:t>, fazendo com que a reação aconte</w:t>
      </w:r>
      <w:r w:rsidR="00C55140" w:rsidRPr="006E1668">
        <w:rPr>
          <w:rFonts w:ascii="Times New Roman" w:hAnsi="Times New Roman"/>
          <w:lang w:val="pt-BR"/>
        </w:rPr>
        <w:t>cesse</w:t>
      </w:r>
      <w:r w:rsidR="006B4DAE" w:rsidRPr="006E1668">
        <w:rPr>
          <w:rFonts w:ascii="Times New Roman" w:hAnsi="Times New Roman"/>
          <w:lang w:val="pt-BR"/>
        </w:rPr>
        <w:t xml:space="preserve"> em </w:t>
      </w:r>
      <w:r w:rsidR="00AB28D6" w:rsidRPr="006E1668">
        <w:rPr>
          <w:rFonts w:ascii="Times New Roman" w:hAnsi="Times New Roman"/>
          <w:lang w:val="pt-BR"/>
        </w:rPr>
        <w:t xml:space="preserve">cinco minutos desde a adição do primeiro reagente. </w:t>
      </w:r>
    </w:p>
    <w:p w14:paraId="650477D9" w14:textId="54661364" w:rsidR="00495727" w:rsidRPr="006E1668" w:rsidRDefault="00495727" w:rsidP="00F90A78">
      <w:pPr>
        <w:pStyle w:val="TAMainText"/>
        <w:ind w:firstLine="187"/>
        <w:rPr>
          <w:rFonts w:ascii="Times New Roman" w:hAnsi="Times New Roman"/>
          <w:lang w:val="pt-BR"/>
        </w:rPr>
      </w:pPr>
      <w:r w:rsidRPr="006E1668">
        <w:rPr>
          <w:rFonts w:ascii="Times New Roman" w:hAnsi="Times New Roman"/>
          <w:lang w:val="pt-BR"/>
        </w:rPr>
        <w:t xml:space="preserve">O etilenoglicol </w:t>
      </w:r>
      <w:r w:rsidR="00C55140" w:rsidRPr="006E1668">
        <w:rPr>
          <w:rFonts w:ascii="Times New Roman" w:hAnsi="Times New Roman"/>
          <w:lang w:val="pt-BR"/>
        </w:rPr>
        <w:t>atua</w:t>
      </w:r>
      <w:r w:rsidR="00D9354B" w:rsidRPr="006E1668">
        <w:rPr>
          <w:rFonts w:ascii="Times New Roman" w:hAnsi="Times New Roman"/>
          <w:lang w:val="pt-BR"/>
        </w:rPr>
        <w:t xml:space="preserve"> tanto como </w:t>
      </w:r>
      <w:r w:rsidR="00876FA4" w:rsidRPr="006E1668">
        <w:rPr>
          <w:rFonts w:ascii="Times New Roman" w:hAnsi="Times New Roman"/>
          <w:lang w:val="pt-BR"/>
        </w:rPr>
        <w:t xml:space="preserve">solvente quanto como agente redutor, </w:t>
      </w:r>
      <w:r w:rsidR="00461188" w:rsidRPr="006E1668">
        <w:rPr>
          <w:rFonts w:ascii="Times New Roman" w:hAnsi="Times New Roman"/>
          <w:lang w:val="pt-BR"/>
        </w:rPr>
        <w:t>e</w:t>
      </w:r>
      <w:r w:rsidR="00876FA4" w:rsidRPr="006E1668">
        <w:rPr>
          <w:rFonts w:ascii="Times New Roman" w:hAnsi="Times New Roman"/>
          <w:lang w:val="pt-BR"/>
        </w:rPr>
        <w:t xml:space="preserve"> </w:t>
      </w:r>
      <w:r w:rsidR="00C55140" w:rsidRPr="006E1668">
        <w:rPr>
          <w:rFonts w:ascii="Times New Roman" w:hAnsi="Times New Roman"/>
          <w:lang w:val="pt-BR"/>
        </w:rPr>
        <w:t xml:space="preserve">é </w:t>
      </w:r>
      <w:r w:rsidR="00876FA4" w:rsidRPr="006E1668">
        <w:rPr>
          <w:rFonts w:ascii="Times New Roman" w:hAnsi="Times New Roman"/>
          <w:lang w:val="pt-BR"/>
        </w:rPr>
        <w:t xml:space="preserve">o meio que </w:t>
      </w:r>
      <w:r w:rsidR="00BA1149" w:rsidRPr="006E1668">
        <w:rPr>
          <w:rFonts w:ascii="Times New Roman" w:hAnsi="Times New Roman"/>
          <w:lang w:val="pt-BR"/>
        </w:rPr>
        <w:t xml:space="preserve">permitirá a nucleação e crescimento das nanopartículas. </w:t>
      </w:r>
      <w:r w:rsidR="00B62545" w:rsidRPr="006E1668">
        <w:rPr>
          <w:rFonts w:ascii="Times New Roman" w:hAnsi="Times New Roman"/>
          <w:lang w:val="pt-BR"/>
        </w:rPr>
        <w:t>Já o PVP</w:t>
      </w:r>
      <w:r w:rsidR="006625D8" w:rsidRPr="006E1668">
        <w:rPr>
          <w:rFonts w:ascii="Times New Roman" w:hAnsi="Times New Roman"/>
          <w:lang w:val="pt-BR"/>
        </w:rPr>
        <w:t xml:space="preserve"> atua como um estabilizante</w:t>
      </w:r>
      <w:r w:rsidR="008C3D19" w:rsidRPr="006E1668">
        <w:rPr>
          <w:rFonts w:ascii="Times New Roman" w:hAnsi="Times New Roman"/>
          <w:lang w:val="pt-BR"/>
        </w:rPr>
        <w:t>, que</w:t>
      </w:r>
      <w:r w:rsidR="00A33377" w:rsidRPr="006E1668">
        <w:rPr>
          <w:rFonts w:ascii="Times New Roman" w:hAnsi="Times New Roman"/>
          <w:lang w:val="pt-BR"/>
        </w:rPr>
        <w:t xml:space="preserve"> evita a aglomeração dos núcleos formados</w:t>
      </w:r>
      <w:r w:rsidR="006625D8" w:rsidRPr="006E1668">
        <w:rPr>
          <w:rFonts w:ascii="Times New Roman" w:hAnsi="Times New Roman"/>
          <w:lang w:val="pt-BR"/>
        </w:rPr>
        <w:t>.</w:t>
      </w:r>
      <w:r w:rsidR="00E128D6" w:rsidRPr="006E1668">
        <w:rPr>
          <w:rFonts w:ascii="Times New Roman" w:hAnsi="Times New Roman"/>
          <w:lang w:val="pt-BR"/>
        </w:rPr>
        <w:t xml:space="preserve"> O tempo de reação utilizado foi o considerado ótimo para a formação da maior </w:t>
      </w:r>
      <w:r w:rsidR="003E1579" w:rsidRPr="006E1668">
        <w:rPr>
          <w:rFonts w:ascii="Times New Roman" w:hAnsi="Times New Roman"/>
          <w:lang w:val="pt-BR"/>
        </w:rPr>
        <w:t xml:space="preserve">concentração de </w:t>
      </w:r>
      <w:r w:rsidR="004B1E7B" w:rsidRPr="006E1668">
        <w:rPr>
          <w:rFonts w:ascii="Times New Roman" w:hAnsi="Times New Roman"/>
          <w:lang w:val="pt-BR"/>
        </w:rPr>
        <w:t xml:space="preserve">nanopartículas, comparados aos tempos testados previamente de </w:t>
      </w:r>
      <w:r w:rsidR="00B94F99" w:rsidRPr="006E1668">
        <w:rPr>
          <w:rFonts w:ascii="Times New Roman" w:hAnsi="Times New Roman"/>
          <w:lang w:val="pt-BR"/>
        </w:rPr>
        <w:t xml:space="preserve">1-10 minutos. </w:t>
      </w:r>
    </w:p>
    <w:p w14:paraId="142A739E" w14:textId="251DFD7C" w:rsidR="00384CEE" w:rsidRPr="006E1668" w:rsidRDefault="00132735" w:rsidP="00F90A78">
      <w:pPr>
        <w:pStyle w:val="TAMainText"/>
        <w:ind w:firstLine="187"/>
        <w:rPr>
          <w:rFonts w:ascii="Times New Roman" w:hAnsi="Times New Roman"/>
          <w:strike/>
          <w:lang w:val="pt-BR"/>
        </w:rPr>
      </w:pPr>
      <w:r w:rsidRPr="006E1668">
        <w:rPr>
          <w:rFonts w:ascii="Times New Roman" w:hAnsi="Times New Roman"/>
          <w:lang w:val="pt-BR"/>
        </w:rPr>
        <w:t xml:space="preserve">A </w:t>
      </w:r>
      <w:r w:rsidR="00556C82" w:rsidRPr="006E1668">
        <w:rPr>
          <w:rFonts w:ascii="Times New Roman" w:hAnsi="Times New Roman"/>
          <w:lang w:val="pt-BR"/>
        </w:rPr>
        <w:t xml:space="preserve">caracterização </w:t>
      </w:r>
      <w:r w:rsidR="006145D0" w:rsidRPr="006E1668">
        <w:rPr>
          <w:rFonts w:ascii="Times New Roman" w:hAnsi="Times New Roman"/>
          <w:lang w:val="pt-BR"/>
        </w:rPr>
        <w:t>por UV-vis</w:t>
      </w:r>
      <w:r w:rsidR="00C55140" w:rsidRPr="006E1668">
        <w:rPr>
          <w:rFonts w:ascii="Times New Roman" w:hAnsi="Times New Roman"/>
          <w:lang w:val="pt-BR"/>
        </w:rPr>
        <w:t xml:space="preserve"> (</w:t>
      </w:r>
      <w:r w:rsidR="00461188" w:rsidRPr="006E1668">
        <w:rPr>
          <w:rFonts w:ascii="Times New Roman" w:hAnsi="Times New Roman"/>
          <w:lang w:val="pt-BR"/>
        </w:rPr>
        <w:t>F</w:t>
      </w:r>
      <w:r w:rsidR="00C55140" w:rsidRPr="006E1668">
        <w:rPr>
          <w:rFonts w:ascii="Times New Roman" w:hAnsi="Times New Roman"/>
          <w:lang w:val="pt-BR"/>
        </w:rPr>
        <w:t>igura 1) evidenciou</w:t>
      </w:r>
      <w:r w:rsidR="00913C79" w:rsidRPr="006E1668">
        <w:rPr>
          <w:rFonts w:ascii="Times New Roman" w:hAnsi="Times New Roman"/>
          <w:lang w:val="pt-BR"/>
        </w:rPr>
        <w:t xml:space="preserve"> a </w:t>
      </w:r>
      <w:r w:rsidRPr="006E1668">
        <w:rPr>
          <w:rFonts w:ascii="Times New Roman" w:hAnsi="Times New Roman"/>
          <w:lang w:val="pt-BR"/>
        </w:rPr>
        <w:t>presença de um</w:t>
      </w:r>
      <w:r w:rsidR="00D228F1" w:rsidRPr="006E1668">
        <w:rPr>
          <w:rFonts w:ascii="Times New Roman" w:hAnsi="Times New Roman"/>
          <w:lang w:val="pt-BR"/>
        </w:rPr>
        <w:t>a</w:t>
      </w:r>
      <w:r w:rsidRPr="006E1668">
        <w:rPr>
          <w:rFonts w:ascii="Times New Roman" w:hAnsi="Times New Roman"/>
          <w:lang w:val="pt-BR"/>
        </w:rPr>
        <w:t xml:space="preserve"> únic</w:t>
      </w:r>
      <w:r w:rsidR="00D228F1" w:rsidRPr="006E1668">
        <w:rPr>
          <w:rFonts w:ascii="Times New Roman" w:hAnsi="Times New Roman"/>
          <w:lang w:val="pt-BR"/>
        </w:rPr>
        <w:t>a</w:t>
      </w:r>
      <w:r w:rsidRPr="006E1668">
        <w:rPr>
          <w:rFonts w:ascii="Times New Roman" w:hAnsi="Times New Roman"/>
          <w:lang w:val="pt-BR"/>
        </w:rPr>
        <w:t xml:space="preserve"> </w:t>
      </w:r>
      <w:r w:rsidR="00A0031C" w:rsidRPr="006E1668">
        <w:rPr>
          <w:rFonts w:ascii="Times New Roman" w:hAnsi="Times New Roman"/>
          <w:lang w:val="pt-BR"/>
        </w:rPr>
        <w:t xml:space="preserve">banda </w:t>
      </w:r>
      <w:r w:rsidR="00DF4E1C" w:rsidRPr="006E1668">
        <w:rPr>
          <w:rFonts w:ascii="Times New Roman" w:hAnsi="Times New Roman"/>
          <w:lang w:val="pt-BR"/>
        </w:rPr>
        <w:t>plasmônica</w:t>
      </w:r>
      <w:r w:rsidR="00C55140" w:rsidRPr="006E1668">
        <w:rPr>
          <w:rFonts w:ascii="Times New Roman" w:hAnsi="Times New Roman"/>
          <w:lang w:val="pt-BR"/>
        </w:rPr>
        <w:t>,</w:t>
      </w:r>
      <w:r w:rsidR="00913C79" w:rsidRPr="006E1668">
        <w:rPr>
          <w:rFonts w:ascii="Times New Roman" w:hAnsi="Times New Roman"/>
          <w:lang w:val="pt-BR"/>
        </w:rPr>
        <w:t xml:space="preserve"> que </w:t>
      </w:r>
      <w:r w:rsidRPr="006E1668">
        <w:rPr>
          <w:rFonts w:ascii="Times New Roman" w:hAnsi="Times New Roman"/>
          <w:lang w:val="pt-BR"/>
        </w:rPr>
        <w:t xml:space="preserve">indica a formação de </w:t>
      </w:r>
      <w:r w:rsidR="00DF4E1C" w:rsidRPr="006E1668">
        <w:rPr>
          <w:rFonts w:ascii="Times New Roman" w:hAnsi="Times New Roman"/>
          <w:lang w:val="pt-BR"/>
        </w:rPr>
        <w:t>nanopartículas</w:t>
      </w:r>
      <w:r w:rsidRPr="006E1668">
        <w:rPr>
          <w:rFonts w:ascii="Times New Roman" w:hAnsi="Times New Roman"/>
          <w:lang w:val="pt-BR"/>
        </w:rPr>
        <w:t xml:space="preserve"> pseudo-esféric</w:t>
      </w:r>
      <w:r w:rsidR="00C55140" w:rsidRPr="006E1668">
        <w:rPr>
          <w:rFonts w:ascii="Times New Roman" w:hAnsi="Times New Roman"/>
          <w:lang w:val="pt-BR"/>
        </w:rPr>
        <w:t>a</w:t>
      </w:r>
      <w:r w:rsidRPr="006E1668">
        <w:rPr>
          <w:rFonts w:ascii="Times New Roman" w:hAnsi="Times New Roman"/>
          <w:lang w:val="pt-BR"/>
        </w:rPr>
        <w:t>s uniformemente distribuíd</w:t>
      </w:r>
      <w:r w:rsidR="00DF4E1C" w:rsidRPr="006E1668">
        <w:rPr>
          <w:rFonts w:ascii="Times New Roman" w:hAnsi="Times New Roman"/>
          <w:lang w:val="pt-BR"/>
        </w:rPr>
        <w:t>a</w:t>
      </w:r>
      <w:r w:rsidRPr="006E1668">
        <w:rPr>
          <w:rFonts w:ascii="Times New Roman" w:hAnsi="Times New Roman"/>
          <w:lang w:val="pt-BR"/>
        </w:rPr>
        <w:t>s</w:t>
      </w:r>
      <w:r w:rsidR="00461188" w:rsidRPr="006E1668">
        <w:rPr>
          <w:rFonts w:ascii="Times New Roman" w:hAnsi="Times New Roman"/>
          <w:lang w:val="pt-BR"/>
        </w:rPr>
        <w:t>.</w:t>
      </w:r>
      <w:r w:rsidR="00FF1A85" w:rsidRPr="006E1668">
        <w:rPr>
          <w:rFonts w:ascii="Times New Roman" w:hAnsi="Times New Roman"/>
          <w:strike/>
          <w:lang w:val="pt-BR"/>
        </w:rPr>
        <w:t xml:space="preserve"> </w:t>
      </w:r>
    </w:p>
    <w:p w14:paraId="127AF414" w14:textId="77777777" w:rsidR="00FC5CE5" w:rsidRPr="006E1668" w:rsidRDefault="00FC5CE5" w:rsidP="00FC5CE5">
      <w:pPr>
        <w:keepNext/>
        <w:jc w:val="center"/>
      </w:pPr>
      <w:r w:rsidRPr="006E1668">
        <w:rPr>
          <w:noProof/>
        </w:rPr>
        <w:drawing>
          <wp:inline distT="0" distB="0" distL="0" distR="0" wp14:anchorId="1B88CB15" wp14:editId="2F623F5E">
            <wp:extent cx="2873023" cy="2453640"/>
            <wp:effectExtent l="0" t="0" r="3810" b="3810"/>
            <wp:docPr id="16" name="Imagem 16" descr="Gráfic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descr="Gráfico, Histograma&#10;&#10;Descrição gerada automaticamente"/>
                    <pic:cNvPicPr/>
                  </pic:nvPicPr>
                  <pic:blipFill>
                    <a:blip r:embed="rId10"/>
                    <a:stretch>
                      <a:fillRect/>
                    </a:stretch>
                  </pic:blipFill>
                  <pic:spPr>
                    <a:xfrm>
                      <a:off x="0" y="0"/>
                      <a:ext cx="2883597" cy="2462671"/>
                    </a:xfrm>
                    <a:prstGeom prst="rect">
                      <a:avLst/>
                    </a:prstGeom>
                  </pic:spPr>
                </pic:pic>
              </a:graphicData>
            </a:graphic>
          </wp:inline>
        </w:drawing>
      </w:r>
    </w:p>
    <w:p w14:paraId="11F267E7" w14:textId="31B30526" w:rsidR="00FC5CE5" w:rsidRPr="006E1668" w:rsidRDefault="00FC5CE5" w:rsidP="00FC5CE5">
      <w:pPr>
        <w:pStyle w:val="Legenda"/>
        <w:jc w:val="center"/>
        <w:rPr>
          <w:rFonts w:ascii="Times New Roman" w:hAnsi="Times New Roman" w:cs="Times New Roman"/>
          <w:b w:val="0"/>
          <w:bCs w:val="0"/>
          <w:color w:val="auto"/>
          <w:sz w:val="18"/>
          <w:szCs w:val="18"/>
        </w:rPr>
      </w:pPr>
      <w:r w:rsidRPr="006E1668">
        <w:rPr>
          <w:rFonts w:ascii="Times New Roman" w:hAnsi="Times New Roman" w:cs="Times New Roman"/>
          <w:color w:val="auto"/>
          <w:sz w:val="18"/>
          <w:szCs w:val="18"/>
        </w:rPr>
        <w:t xml:space="preserve">Figura </w:t>
      </w:r>
      <w:r w:rsidRPr="006E1668">
        <w:rPr>
          <w:rFonts w:ascii="Times New Roman" w:hAnsi="Times New Roman" w:cs="Times New Roman"/>
          <w:color w:val="auto"/>
          <w:sz w:val="18"/>
          <w:szCs w:val="18"/>
        </w:rPr>
        <w:fldChar w:fldCharType="begin"/>
      </w:r>
      <w:r w:rsidRPr="006E1668">
        <w:rPr>
          <w:rFonts w:ascii="Times New Roman" w:hAnsi="Times New Roman" w:cs="Times New Roman"/>
          <w:color w:val="auto"/>
          <w:sz w:val="18"/>
          <w:szCs w:val="18"/>
        </w:rPr>
        <w:instrText xml:space="preserve"> SEQ Figura \* ARABIC </w:instrText>
      </w:r>
      <w:r w:rsidRPr="006E1668">
        <w:rPr>
          <w:rFonts w:ascii="Times New Roman" w:hAnsi="Times New Roman" w:cs="Times New Roman"/>
          <w:color w:val="auto"/>
          <w:sz w:val="18"/>
          <w:szCs w:val="18"/>
        </w:rPr>
        <w:fldChar w:fldCharType="separate"/>
      </w:r>
      <w:r w:rsidR="004F50EC">
        <w:rPr>
          <w:rFonts w:ascii="Times New Roman" w:hAnsi="Times New Roman" w:cs="Times New Roman"/>
          <w:noProof/>
          <w:color w:val="auto"/>
          <w:sz w:val="18"/>
          <w:szCs w:val="18"/>
        </w:rPr>
        <w:t>1</w:t>
      </w:r>
      <w:r w:rsidRPr="006E1668">
        <w:rPr>
          <w:rFonts w:ascii="Times New Roman" w:hAnsi="Times New Roman" w:cs="Times New Roman"/>
          <w:color w:val="auto"/>
          <w:sz w:val="18"/>
          <w:szCs w:val="18"/>
        </w:rPr>
        <w:fldChar w:fldCharType="end"/>
      </w:r>
      <w:r w:rsidRPr="006E1668">
        <w:rPr>
          <w:rFonts w:ascii="Times New Roman" w:hAnsi="Times New Roman" w:cs="Times New Roman"/>
          <w:color w:val="auto"/>
          <w:sz w:val="18"/>
          <w:szCs w:val="18"/>
        </w:rPr>
        <w:t xml:space="preserve">. </w:t>
      </w:r>
      <w:r w:rsidRPr="006E1668">
        <w:rPr>
          <w:rFonts w:ascii="Times New Roman" w:hAnsi="Times New Roman" w:cs="Times New Roman"/>
          <w:b w:val="0"/>
          <w:bCs w:val="0"/>
          <w:color w:val="auto"/>
          <w:sz w:val="18"/>
          <w:szCs w:val="18"/>
        </w:rPr>
        <w:t>UV-Vis da nanopartícula de prata</w:t>
      </w:r>
    </w:p>
    <w:p w14:paraId="64A749EA" w14:textId="5D8DCEB7" w:rsidR="00347BDB" w:rsidRPr="006E1668" w:rsidRDefault="00F81176" w:rsidP="00F90A78">
      <w:pPr>
        <w:pStyle w:val="TAMainText"/>
        <w:ind w:firstLine="187"/>
        <w:rPr>
          <w:rFonts w:ascii="Times New Roman" w:hAnsi="Times New Roman"/>
          <w:strike/>
          <w:lang w:val="pt-BR"/>
        </w:rPr>
      </w:pPr>
      <w:r w:rsidRPr="006E1668">
        <w:rPr>
          <w:rFonts w:ascii="Times New Roman" w:hAnsi="Times New Roman"/>
          <w:lang w:val="pt-BR"/>
        </w:rPr>
        <w:t xml:space="preserve">Sabendo que a síntese estava produzindo nanopartículas de </w:t>
      </w:r>
      <w:r w:rsidR="00B859C3" w:rsidRPr="006E1668">
        <w:rPr>
          <w:rFonts w:ascii="Times New Roman" w:hAnsi="Times New Roman"/>
          <w:lang w:val="pt-BR"/>
        </w:rPr>
        <w:t xml:space="preserve">tamanhos uniformes, foi feita a análise DLS para </w:t>
      </w:r>
      <w:r w:rsidR="0010599A" w:rsidRPr="006E1668">
        <w:rPr>
          <w:rFonts w:ascii="Times New Roman" w:hAnsi="Times New Roman"/>
          <w:lang w:val="pt-BR"/>
        </w:rPr>
        <w:t xml:space="preserve">medir o tamanho e a distribuição </w:t>
      </w:r>
      <w:r w:rsidR="00C55140" w:rsidRPr="006E1668">
        <w:rPr>
          <w:rFonts w:ascii="Times New Roman" w:hAnsi="Times New Roman"/>
          <w:lang w:val="pt-BR"/>
        </w:rPr>
        <w:t>das p</w:t>
      </w:r>
      <w:r w:rsidR="0010599A" w:rsidRPr="006E1668">
        <w:rPr>
          <w:rFonts w:ascii="Times New Roman" w:hAnsi="Times New Roman"/>
          <w:lang w:val="pt-BR"/>
        </w:rPr>
        <w:t xml:space="preserve">artículas. A </w:t>
      </w:r>
      <w:r w:rsidR="00461188" w:rsidRPr="006E1668">
        <w:rPr>
          <w:rFonts w:ascii="Times New Roman" w:hAnsi="Times New Roman"/>
          <w:lang w:val="pt-BR"/>
        </w:rPr>
        <w:t>F</w:t>
      </w:r>
      <w:r w:rsidR="00C55140" w:rsidRPr="006E1668">
        <w:rPr>
          <w:rFonts w:ascii="Times New Roman" w:hAnsi="Times New Roman"/>
          <w:lang w:val="pt-BR"/>
        </w:rPr>
        <w:t xml:space="preserve">igura </w:t>
      </w:r>
      <w:r w:rsidR="000C460D" w:rsidRPr="006E1668">
        <w:rPr>
          <w:rFonts w:ascii="Times New Roman" w:hAnsi="Times New Roman"/>
          <w:lang w:val="pt-BR"/>
        </w:rPr>
        <w:t>2 mostra</w:t>
      </w:r>
      <w:r w:rsidR="00C55140" w:rsidRPr="006E1668">
        <w:rPr>
          <w:rFonts w:ascii="Times New Roman" w:hAnsi="Times New Roman"/>
          <w:lang w:val="pt-BR"/>
        </w:rPr>
        <w:t xml:space="preserve"> a</w:t>
      </w:r>
      <w:r w:rsidR="0010599A" w:rsidRPr="006E1668">
        <w:rPr>
          <w:rFonts w:ascii="Times New Roman" w:hAnsi="Times New Roman"/>
          <w:lang w:val="pt-BR"/>
        </w:rPr>
        <w:t xml:space="preserve"> distribuição, </w:t>
      </w:r>
      <w:r w:rsidR="00C55140" w:rsidRPr="006E1668">
        <w:rPr>
          <w:rFonts w:ascii="Times New Roman" w:hAnsi="Times New Roman"/>
          <w:lang w:val="pt-BR"/>
        </w:rPr>
        <w:t>evidenciando</w:t>
      </w:r>
      <w:r w:rsidR="004772A0">
        <w:rPr>
          <w:rFonts w:ascii="Times New Roman" w:hAnsi="Times New Roman"/>
          <w:lang w:val="pt-BR"/>
        </w:rPr>
        <w:t xml:space="preserve"> a formação de</w:t>
      </w:r>
      <w:r w:rsidR="0010599A" w:rsidRPr="006E1668">
        <w:rPr>
          <w:rFonts w:ascii="Times New Roman" w:hAnsi="Times New Roman"/>
          <w:lang w:val="pt-BR"/>
        </w:rPr>
        <w:t xml:space="preserve"> nanopartículas c</w:t>
      </w:r>
      <w:r w:rsidR="004772A0">
        <w:rPr>
          <w:rFonts w:ascii="Times New Roman" w:hAnsi="Times New Roman"/>
          <w:lang w:val="pt-BR"/>
        </w:rPr>
        <w:t>entradas no</w:t>
      </w:r>
      <w:r w:rsidR="0010599A" w:rsidRPr="006E1668">
        <w:rPr>
          <w:rFonts w:ascii="Times New Roman" w:hAnsi="Times New Roman"/>
          <w:lang w:val="pt-BR"/>
        </w:rPr>
        <w:t xml:space="preserve"> tamanho próximo </w:t>
      </w:r>
      <w:r w:rsidR="00C55140" w:rsidRPr="006E1668">
        <w:rPr>
          <w:rFonts w:ascii="Times New Roman" w:hAnsi="Times New Roman"/>
          <w:lang w:val="pt-BR"/>
        </w:rPr>
        <w:t xml:space="preserve">de </w:t>
      </w:r>
      <w:r w:rsidR="0010599A" w:rsidRPr="006E1668">
        <w:rPr>
          <w:rFonts w:ascii="Times New Roman" w:hAnsi="Times New Roman"/>
          <w:lang w:val="pt-BR"/>
        </w:rPr>
        <w:t>80 nm</w:t>
      </w:r>
      <w:r w:rsidR="00461188" w:rsidRPr="006E1668">
        <w:rPr>
          <w:rFonts w:ascii="Times New Roman" w:hAnsi="Times New Roman"/>
          <w:lang w:val="pt-BR"/>
        </w:rPr>
        <w:t>.</w:t>
      </w:r>
    </w:p>
    <w:p w14:paraId="44B1A2EA" w14:textId="198A32B9" w:rsidR="005D2B55" w:rsidRPr="006E1668" w:rsidRDefault="000C460D" w:rsidP="005D2B55">
      <w:pPr>
        <w:keepNext/>
        <w:jc w:val="center"/>
      </w:pPr>
      <w:r w:rsidRPr="000C460D">
        <w:rPr>
          <w:noProof/>
        </w:rPr>
        <w:drawing>
          <wp:inline distT="0" distB="0" distL="0" distR="0" wp14:anchorId="65C8B075" wp14:editId="6B392380">
            <wp:extent cx="3027680" cy="2492375"/>
            <wp:effectExtent l="0" t="0" r="1270" b="3175"/>
            <wp:docPr id="2113591080" name="Imagem 1"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591080" name="Imagem 1" descr="Gráfico&#10;&#10;Descrição gerada automaticamente"/>
                    <pic:cNvPicPr/>
                  </pic:nvPicPr>
                  <pic:blipFill>
                    <a:blip r:embed="rId11"/>
                    <a:stretch>
                      <a:fillRect/>
                    </a:stretch>
                  </pic:blipFill>
                  <pic:spPr>
                    <a:xfrm>
                      <a:off x="0" y="0"/>
                      <a:ext cx="3027680" cy="2492375"/>
                    </a:xfrm>
                    <a:prstGeom prst="rect">
                      <a:avLst/>
                    </a:prstGeom>
                  </pic:spPr>
                </pic:pic>
              </a:graphicData>
            </a:graphic>
          </wp:inline>
        </w:drawing>
      </w:r>
    </w:p>
    <w:p w14:paraId="6DC3B3FC" w14:textId="101F4572" w:rsidR="005D2B55" w:rsidRPr="006E1668" w:rsidRDefault="005D2B55" w:rsidP="005D2B55">
      <w:pPr>
        <w:pStyle w:val="Legenda"/>
        <w:jc w:val="center"/>
        <w:rPr>
          <w:rFonts w:ascii="Times New Roman" w:hAnsi="Times New Roman" w:cs="Times New Roman"/>
          <w:b w:val="0"/>
          <w:bCs w:val="0"/>
          <w:color w:val="auto"/>
          <w:sz w:val="18"/>
          <w:szCs w:val="18"/>
        </w:rPr>
      </w:pPr>
      <w:r w:rsidRPr="006E1668">
        <w:rPr>
          <w:rFonts w:ascii="Times New Roman" w:hAnsi="Times New Roman" w:cs="Times New Roman"/>
          <w:color w:val="auto"/>
          <w:sz w:val="18"/>
          <w:szCs w:val="18"/>
        </w:rPr>
        <w:t xml:space="preserve">Figura </w:t>
      </w:r>
      <w:r w:rsidRPr="006E1668">
        <w:rPr>
          <w:rFonts w:ascii="Times New Roman" w:hAnsi="Times New Roman" w:cs="Times New Roman"/>
          <w:color w:val="auto"/>
          <w:sz w:val="18"/>
          <w:szCs w:val="18"/>
        </w:rPr>
        <w:fldChar w:fldCharType="begin"/>
      </w:r>
      <w:r w:rsidRPr="006E1668">
        <w:rPr>
          <w:rFonts w:ascii="Times New Roman" w:hAnsi="Times New Roman" w:cs="Times New Roman"/>
          <w:color w:val="auto"/>
          <w:sz w:val="18"/>
          <w:szCs w:val="18"/>
        </w:rPr>
        <w:instrText xml:space="preserve"> SEQ Figura \* ARABIC </w:instrText>
      </w:r>
      <w:r w:rsidRPr="006E1668">
        <w:rPr>
          <w:rFonts w:ascii="Times New Roman" w:hAnsi="Times New Roman" w:cs="Times New Roman"/>
          <w:color w:val="auto"/>
          <w:sz w:val="18"/>
          <w:szCs w:val="18"/>
        </w:rPr>
        <w:fldChar w:fldCharType="separate"/>
      </w:r>
      <w:r w:rsidR="004F50EC">
        <w:rPr>
          <w:rFonts w:ascii="Times New Roman" w:hAnsi="Times New Roman" w:cs="Times New Roman"/>
          <w:noProof/>
          <w:color w:val="auto"/>
          <w:sz w:val="18"/>
          <w:szCs w:val="18"/>
        </w:rPr>
        <w:t>2</w:t>
      </w:r>
      <w:r w:rsidRPr="006E1668">
        <w:rPr>
          <w:rFonts w:ascii="Times New Roman" w:hAnsi="Times New Roman" w:cs="Times New Roman"/>
          <w:color w:val="auto"/>
          <w:sz w:val="18"/>
          <w:szCs w:val="18"/>
        </w:rPr>
        <w:fldChar w:fldCharType="end"/>
      </w:r>
      <w:r w:rsidRPr="006E1668">
        <w:rPr>
          <w:rFonts w:ascii="Times New Roman" w:hAnsi="Times New Roman" w:cs="Times New Roman"/>
          <w:color w:val="auto"/>
          <w:sz w:val="18"/>
          <w:szCs w:val="18"/>
        </w:rPr>
        <w:t xml:space="preserve">. </w:t>
      </w:r>
      <w:r w:rsidRPr="006E1668">
        <w:rPr>
          <w:rFonts w:ascii="Times New Roman" w:hAnsi="Times New Roman" w:cs="Times New Roman"/>
          <w:b w:val="0"/>
          <w:bCs w:val="0"/>
          <w:color w:val="auto"/>
          <w:sz w:val="18"/>
          <w:szCs w:val="18"/>
        </w:rPr>
        <w:t>Distribuição do tamanho de partícula da AgNP obtido por DLS</w:t>
      </w:r>
    </w:p>
    <w:p w14:paraId="0E199DE9" w14:textId="0EF4D732" w:rsidR="00C32BCB" w:rsidRPr="006E1668" w:rsidRDefault="00A80633" w:rsidP="00EA4E1B">
      <w:pPr>
        <w:pStyle w:val="TAMainText"/>
        <w:ind w:firstLine="187"/>
        <w:rPr>
          <w:rFonts w:ascii="Times New Roman" w:hAnsi="Times New Roman"/>
          <w:lang w:val="pt-BR"/>
        </w:rPr>
      </w:pPr>
      <w:r w:rsidRPr="006E1668">
        <w:rPr>
          <w:rFonts w:ascii="Times New Roman" w:hAnsi="Times New Roman"/>
          <w:lang w:val="pt-BR"/>
        </w:rPr>
        <w:t xml:space="preserve">A </w:t>
      </w:r>
      <w:r w:rsidR="00471753" w:rsidRPr="006E1668">
        <w:rPr>
          <w:rFonts w:ascii="Times New Roman" w:hAnsi="Times New Roman"/>
          <w:lang w:val="pt-BR"/>
        </w:rPr>
        <w:t xml:space="preserve">partir do </w:t>
      </w:r>
      <w:r w:rsidRPr="006E1668">
        <w:rPr>
          <w:rFonts w:ascii="Times New Roman" w:hAnsi="Times New Roman"/>
          <w:lang w:val="pt-BR"/>
        </w:rPr>
        <w:t>TGA</w:t>
      </w:r>
      <w:r w:rsidR="009E3490" w:rsidRPr="006E1668">
        <w:rPr>
          <w:rFonts w:ascii="Times New Roman" w:hAnsi="Times New Roman"/>
          <w:lang w:val="pt-BR"/>
        </w:rPr>
        <w:t xml:space="preserve"> é possível ter uma noção da massa de nanopartícula que foi formada, já que o</w:t>
      </w:r>
      <w:r w:rsidRPr="006E1668">
        <w:rPr>
          <w:rFonts w:ascii="Times New Roman" w:hAnsi="Times New Roman"/>
          <w:lang w:val="pt-BR"/>
        </w:rPr>
        <w:t xml:space="preserve"> conteúdo orgânico se decompõe e é completamente perdido, </w:t>
      </w:r>
      <w:r w:rsidR="003A778C" w:rsidRPr="006E1668">
        <w:rPr>
          <w:rFonts w:ascii="Times New Roman" w:hAnsi="Times New Roman"/>
          <w:lang w:val="pt-BR"/>
        </w:rPr>
        <w:t>ficando</w:t>
      </w:r>
      <w:r w:rsidRPr="006E1668">
        <w:rPr>
          <w:rFonts w:ascii="Times New Roman" w:hAnsi="Times New Roman"/>
          <w:lang w:val="pt-BR"/>
        </w:rPr>
        <w:t xml:space="preserve"> apenas o componente inorgânico. De acordo com a análise, </w:t>
      </w:r>
      <w:r w:rsidR="007B3FC6" w:rsidRPr="006E1668">
        <w:rPr>
          <w:rFonts w:ascii="Times New Roman" w:hAnsi="Times New Roman"/>
          <w:lang w:val="pt-BR"/>
        </w:rPr>
        <w:t>99</w:t>
      </w:r>
      <w:r w:rsidRPr="006E1668">
        <w:rPr>
          <w:rFonts w:ascii="Times New Roman" w:hAnsi="Times New Roman"/>
          <w:lang w:val="pt-BR"/>
        </w:rPr>
        <w:t xml:space="preserve">% do peso seco de é a camada orgânica, enquanto </w:t>
      </w:r>
      <w:r w:rsidR="007B3FC6" w:rsidRPr="006E1668">
        <w:rPr>
          <w:rFonts w:ascii="Times New Roman" w:hAnsi="Times New Roman"/>
          <w:lang w:val="pt-BR"/>
        </w:rPr>
        <w:t>1</w:t>
      </w:r>
      <w:r w:rsidRPr="006E1668">
        <w:rPr>
          <w:rFonts w:ascii="Times New Roman" w:hAnsi="Times New Roman"/>
          <w:lang w:val="pt-BR"/>
        </w:rPr>
        <w:t>% é o teor de AgNP.</w:t>
      </w:r>
      <w:r w:rsidR="00D8503D" w:rsidRPr="006E1668">
        <w:rPr>
          <w:rFonts w:ascii="Times New Roman" w:hAnsi="Times New Roman"/>
          <w:lang w:val="pt-BR"/>
        </w:rPr>
        <w:t xml:space="preserve"> A </w:t>
      </w:r>
      <w:r w:rsidR="00461188" w:rsidRPr="006E1668">
        <w:rPr>
          <w:rFonts w:ascii="Times New Roman" w:hAnsi="Times New Roman"/>
          <w:lang w:val="pt-BR"/>
        </w:rPr>
        <w:t>F</w:t>
      </w:r>
      <w:r w:rsidR="00D8503D" w:rsidRPr="006E1668">
        <w:rPr>
          <w:rFonts w:ascii="Times New Roman" w:hAnsi="Times New Roman"/>
          <w:lang w:val="pt-BR"/>
        </w:rPr>
        <w:t xml:space="preserve">igura </w:t>
      </w:r>
      <w:r w:rsidR="00C55140" w:rsidRPr="006E1668">
        <w:rPr>
          <w:rFonts w:ascii="Times New Roman" w:hAnsi="Times New Roman"/>
          <w:lang w:val="pt-BR"/>
        </w:rPr>
        <w:t>3</w:t>
      </w:r>
      <w:r w:rsidR="00D8503D" w:rsidRPr="006E1668">
        <w:rPr>
          <w:rFonts w:ascii="Times New Roman" w:hAnsi="Times New Roman"/>
          <w:lang w:val="pt-BR"/>
        </w:rPr>
        <w:t xml:space="preserve"> ilustra a perda de massa.</w:t>
      </w:r>
    </w:p>
    <w:p w14:paraId="0E706FB1" w14:textId="79CFB154" w:rsidR="00CA0920" w:rsidRPr="006E1668" w:rsidRDefault="00CA0920" w:rsidP="00CA0920">
      <w:pPr>
        <w:pStyle w:val="TAMainText"/>
        <w:ind w:firstLine="187"/>
        <w:jc w:val="center"/>
        <w:rPr>
          <w:rFonts w:ascii="Times New Roman" w:hAnsi="Times New Roman"/>
          <w:b/>
          <w:bCs/>
          <w:color w:val="FF0000"/>
          <w:lang w:val="pt-BR"/>
        </w:rPr>
      </w:pPr>
    </w:p>
    <w:p w14:paraId="37D7D9B9" w14:textId="75CB2222" w:rsidR="00B3292A" w:rsidRPr="006E1668" w:rsidRDefault="00B5648D" w:rsidP="00B3292A">
      <w:pPr>
        <w:keepNext/>
        <w:jc w:val="center"/>
      </w:pPr>
      <w:r w:rsidRPr="00B5648D">
        <w:rPr>
          <w:noProof/>
        </w:rPr>
        <w:lastRenderedPageBreak/>
        <w:drawing>
          <wp:inline distT="0" distB="0" distL="0" distR="0" wp14:anchorId="0CE961EC" wp14:editId="449382FD">
            <wp:extent cx="3027680" cy="2519045"/>
            <wp:effectExtent l="0" t="0" r="1270" b="0"/>
            <wp:docPr id="1265644711" name="Imagem 1"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644711" name="Imagem 1" descr="Gráfico&#10;&#10;Descrição gerada automaticamente"/>
                    <pic:cNvPicPr/>
                  </pic:nvPicPr>
                  <pic:blipFill>
                    <a:blip r:embed="rId12"/>
                    <a:stretch>
                      <a:fillRect/>
                    </a:stretch>
                  </pic:blipFill>
                  <pic:spPr>
                    <a:xfrm>
                      <a:off x="0" y="0"/>
                      <a:ext cx="3027680" cy="2519045"/>
                    </a:xfrm>
                    <a:prstGeom prst="rect">
                      <a:avLst/>
                    </a:prstGeom>
                  </pic:spPr>
                </pic:pic>
              </a:graphicData>
            </a:graphic>
          </wp:inline>
        </w:drawing>
      </w:r>
    </w:p>
    <w:p w14:paraId="57EBF101" w14:textId="16E14E81" w:rsidR="00B3292A" w:rsidRPr="006E1668" w:rsidRDefault="00B3292A" w:rsidP="00B3292A">
      <w:pPr>
        <w:pStyle w:val="Legenda"/>
        <w:jc w:val="center"/>
        <w:rPr>
          <w:rFonts w:ascii="Times New Roman" w:hAnsi="Times New Roman" w:cs="Times New Roman"/>
          <w:color w:val="auto"/>
          <w:sz w:val="18"/>
          <w:szCs w:val="18"/>
        </w:rPr>
      </w:pPr>
      <w:r w:rsidRPr="006E1668">
        <w:rPr>
          <w:rFonts w:ascii="Times New Roman" w:hAnsi="Times New Roman" w:cs="Times New Roman"/>
          <w:color w:val="auto"/>
          <w:sz w:val="18"/>
          <w:szCs w:val="18"/>
        </w:rPr>
        <w:t xml:space="preserve">Figura </w:t>
      </w:r>
      <w:r w:rsidR="009E3456" w:rsidRPr="006E1668">
        <w:rPr>
          <w:rFonts w:ascii="Times New Roman" w:hAnsi="Times New Roman" w:cs="Times New Roman"/>
          <w:color w:val="auto"/>
          <w:sz w:val="18"/>
          <w:szCs w:val="18"/>
        </w:rPr>
        <w:t>3.</w:t>
      </w:r>
      <w:r w:rsidRPr="006E1668">
        <w:rPr>
          <w:rFonts w:ascii="Times New Roman" w:hAnsi="Times New Roman" w:cs="Times New Roman"/>
          <w:b w:val="0"/>
          <w:bCs w:val="0"/>
          <w:color w:val="auto"/>
          <w:sz w:val="18"/>
          <w:szCs w:val="18"/>
        </w:rPr>
        <w:t xml:space="preserve"> TGA da nanopartícula de prata</w:t>
      </w:r>
    </w:p>
    <w:p w14:paraId="45A621BA" w14:textId="77777777" w:rsidR="00B3292A" w:rsidRPr="006E1668" w:rsidRDefault="00B3292A" w:rsidP="00CA0920">
      <w:pPr>
        <w:pStyle w:val="TAMainText"/>
        <w:ind w:firstLine="187"/>
        <w:jc w:val="center"/>
        <w:rPr>
          <w:rFonts w:ascii="Times New Roman" w:hAnsi="Times New Roman"/>
          <w:b/>
          <w:bCs/>
          <w:color w:val="FF0000"/>
          <w:lang w:val="pt-BR"/>
        </w:rPr>
      </w:pPr>
    </w:p>
    <w:p w14:paraId="7D72C962" w14:textId="11D4E0B3" w:rsidR="001149FF" w:rsidRDefault="00FA64CE" w:rsidP="00FA64CE">
      <w:pPr>
        <w:pStyle w:val="TAMainText"/>
        <w:ind w:firstLine="0"/>
        <w:rPr>
          <w:rFonts w:ascii="Times New Roman" w:hAnsi="Times New Roman"/>
          <w:lang w:val="pt-BR"/>
        </w:rPr>
      </w:pPr>
      <w:r>
        <w:rPr>
          <w:rFonts w:ascii="Times New Roman" w:hAnsi="Times New Roman"/>
          <w:lang w:val="pt-BR"/>
        </w:rPr>
        <w:t xml:space="preserve">  </w:t>
      </w:r>
      <w:r w:rsidR="00B3292A" w:rsidRPr="006E1668">
        <w:rPr>
          <w:rFonts w:ascii="Times New Roman" w:hAnsi="Times New Roman"/>
          <w:lang w:val="pt-BR"/>
        </w:rPr>
        <w:t>O</w:t>
      </w:r>
      <w:r w:rsidR="00A96529" w:rsidRPr="006E1668">
        <w:rPr>
          <w:rFonts w:ascii="Times New Roman" w:hAnsi="Times New Roman"/>
          <w:lang w:val="pt-BR"/>
        </w:rPr>
        <w:t xml:space="preserve"> processo de deposição de alumina tem a intenção de </w:t>
      </w:r>
      <w:r w:rsidR="00A46B91" w:rsidRPr="006E1668">
        <w:rPr>
          <w:rFonts w:ascii="Times New Roman" w:hAnsi="Times New Roman"/>
          <w:lang w:val="pt-BR"/>
        </w:rPr>
        <w:t xml:space="preserve">aumentar o caráter ácido do catalisador, </w:t>
      </w:r>
      <w:r w:rsidR="00C55140" w:rsidRPr="006E1668">
        <w:rPr>
          <w:rFonts w:ascii="Times New Roman" w:hAnsi="Times New Roman"/>
          <w:lang w:val="pt-BR"/>
        </w:rPr>
        <w:t>visando a utilização posterior em desidratação oxidativa</w:t>
      </w:r>
      <w:r w:rsidR="007C6CCF" w:rsidRPr="006E1668">
        <w:rPr>
          <w:rFonts w:ascii="Times New Roman" w:hAnsi="Times New Roman"/>
          <w:lang w:val="pt-BR"/>
        </w:rPr>
        <w:t xml:space="preserve"> de álcoois. </w:t>
      </w:r>
      <w:r w:rsidR="00F3413C" w:rsidRPr="006E1668">
        <w:rPr>
          <w:rFonts w:ascii="Times New Roman" w:hAnsi="Times New Roman"/>
          <w:lang w:val="pt-BR"/>
        </w:rPr>
        <w:t xml:space="preserve">Para a caracterização, primeiro foi realizada o </w:t>
      </w:r>
      <w:r w:rsidR="005871F0" w:rsidRPr="006E1668">
        <w:rPr>
          <w:rFonts w:ascii="Times New Roman" w:hAnsi="Times New Roman"/>
          <w:lang w:val="pt-BR"/>
        </w:rPr>
        <w:t xml:space="preserve">FTIR-ATR para </w:t>
      </w:r>
      <w:r w:rsidR="00D369F3" w:rsidRPr="006E1668">
        <w:rPr>
          <w:rFonts w:ascii="Times New Roman" w:hAnsi="Times New Roman"/>
          <w:lang w:val="pt-BR"/>
        </w:rPr>
        <w:t xml:space="preserve">a </w:t>
      </w:r>
      <w:r w:rsidR="005871F0" w:rsidRPr="006E1668">
        <w:rPr>
          <w:rFonts w:ascii="Times New Roman" w:hAnsi="Times New Roman"/>
          <w:lang w:val="pt-BR"/>
        </w:rPr>
        <w:t>visualiza</w:t>
      </w:r>
      <w:r w:rsidR="00D369F3" w:rsidRPr="006E1668">
        <w:rPr>
          <w:rFonts w:ascii="Times New Roman" w:hAnsi="Times New Roman"/>
          <w:lang w:val="pt-BR"/>
        </w:rPr>
        <w:t>ção das bandas</w:t>
      </w:r>
      <w:r w:rsidR="009F3695" w:rsidRPr="006E1668">
        <w:rPr>
          <w:rFonts w:ascii="Times New Roman" w:hAnsi="Times New Roman"/>
          <w:lang w:val="pt-BR"/>
        </w:rPr>
        <w:t xml:space="preserve"> </w:t>
      </w:r>
      <w:r w:rsidR="005871F0" w:rsidRPr="006E1668">
        <w:rPr>
          <w:rFonts w:ascii="Times New Roman" w:hAnsi="Times New Roman"/>
          <w:lang w:val="pt-BR"/>
        </w:rPr>
        <w:t>correspondente</w:t>
      </w:r>
      <w:r w:rsidR="009F3695" w:rsidRPr="006E1668">
        <w:rPr>
          <w:rFonts w:ascii="Times New Roman" w:hAnsi="Times New Roman"/>
          <w:lang w:val="pt-BR"/>
        </w:rPr>
        <w:t>s</w:t>
      </w:r>
      <w:r w:rsidR="005871F0" w:rsidRPr="006E1668">
        <w:rPr>
          <w:rFonts w:ascii="Times New Roman" w:hAnsi="Times New Roman"/>
          <w:lang w:val="pt-BR"/>
        </w:rPr>
        <w:t xml:space="preserve"> </w:t>
      </w:r>
      <w:r w:rsidR="009E068B" w:rsidRPr="006E1668">
        <w:rPr>
          <w:rFonts w:ascii="Times New Roman" w:hAnsi="Times New Roman"/>
          <w:lang w:val="pt-BR"/>
        </w:rPr>
        <w:t xml:space="preserve">à deformação axial </w:t>
      </w:r>
      <w:r w:rsidR="00225C01" w:rsidRPr="006E1668">
        <w:rPr>
          <w:rFonts w:ascii="Times New Roman" w:hAnsi="Times New Roman"/>
          <w:lang w:val="pt-BR"/>
        </w:rPr>
        <w:t xml:space="preserve">da ligação O-H </w:t>
      </w:r>
      <w:r w:rsidR="00F07EEA" w:rsidRPr="006E1668">
        <w:rPr>
          <w:rFonts w:ascii="Times New Roman" w:hAnsi="Times New Roman"/>
          <w:lang w:val="pt-BR"/>
        </w:rPr>
        <w:t xml:space="preserve">e as bandas correspondentes a deformação </w:t>
      </w:r>
      <w:r w:rsidR="00AE637A" w:rsidRPr="006E1668">
        <w:rPr>
          <w:rFonts w:ascii="Times New Roman" w:hAnsi="Times New Roman"/>
          <w:lang w:val="pt-BR"/>
        </w:rPr>
        <w:t>axia</w:t>
      </w:r>
      <w:r w:rsidR="00751556" w:rsidRPr="006E1668">
        <w:rPr>
          <w:rFonts w:ascii="Times New Roman" w:hAnsi="Times New Roman"/>
          <w:lang w:val="pt-BR"/>
        </w:rPr>
        <w:t>l</w:t>
      </w:r>
      <w:r w:rsidR="00AE637A" w:rsidRPr="006E1668">
        <w:rPr>
          <w:rFonts w:ascii="Times New Roman" w:hAnsi="Times New Roman"/>
          <w:lang w:val="pt-BR"/>
        </w:rPr>
        <w:t xml:space="preserve"> da prata e alumínio. </w:t>
      </w:r>
      <w:r w:rsidR="005233A4" w:rsidRPr="006E1668">
        <w:rPr>
          <w:rFonts w:ascii="Times New Roman" w:hAnsi="Times New Roman"/>
          <w:lang w:val="pt-BR"/>
        </w:rPr>
        <w:t xml:space="preserve">Essa </w:t>
      </w:r>
      <w:r w:rsidR="00F857CB" w:rsidRPr="006E1668">
        <w:rPr>
          <w:rFonts w:ascii="Times New Roman" w:hAnsi="Times New Roman"/>
          <w:lang w:val="pt-BR"/>
        </w:rPr>
        <w:t xml:space="preserve">medida </w:t>
      </w:r>
      <w:r w:rsidR="00FF4A95" w:rsidRPr="006E1668">
        <w:rPr>
          <w:rFonts w:ascii="Times New Roman" w:hAnsi="Times New Roman"/>
          <w:lang w:val="pt-BR"/>
        </w:rPr>
        <w:t xml:space="preserve">foi utilizada para confirmar se </w:t>
      </w:r>
      <w:r w:rsidR="00E87431" w:rsidRPr="006E1668">
        <w:rPr>
          <w:rFonts w:ascii="Times New Roman" w:hAnsi="Times New Roman"/>
          <w:lang w:val="pt-BR"/>
        </w:rPr>
        <w:t xml:space="preserve">no material que foi precipitado realmente havia a presença de alumina. A Microscopia Eletrônica de Varredura foi realizada para a visualização de como </w:t>
      </w:r>
      <w:r w:rsidR="00C55140" w:rsidRPr="006E1668">
        <w:rPr>
          <w:rFonts w:ascii="Times New Roman" w:hAnsi="Times New Roman"/>
          <w:lang w:val="pt-BR"/>
        </w:rPr>
        <w:t xml:space="preserve">ocorreu o </w:t>
      </w:r>
      <w:r w:rsidR="00B0070C" w:rsidRPr="006E1668">
        <w:rPr>
          <w:rFonts w:ascii="Times New Roman" w:hAnsi="Times New Roman"/>
          <w:lang w:val="pt-BR"/>
        </w:rPr>
        <w:t>recobrimento d</w:t>
      </w:r>
      <w:r w:rsidR="002F5C1B" w:rsidRPr="006E1668">
        <w:rPr>
          <w:rFonts w:ascii="Times New Roman" w:hAnsi="Times New Roman"/>
          <w:lang w:val="pt-BR"/>
        </w:rPr>
        <w:t>a alumina</w:t>
      </w:r>
      <w:r w:rsidR="005A6702" w:rsidRPr="006E1668">
        <w:rPr>
          <w:rFonts w:ascii="Times New Roman" w:hAnsi="Times New Roman"/>
          <w:lang w:val="pt-BR"/>
        </w:rPr>
        <w:t xml:space="preserve">. As Figuras </w:t>
      </w:r>
      <w:r w:rsidR="005D2B55" w:rsidRPr="006E1668">
        <w:rPr>
          <w:rFonts w:ascii="Times New Roman" w:hAnsi="Times New Roman"/>
          <w:lang w:val="pt-BR"/>
        </w:rPr>
        <w:t>4</w:t>
      </w:r>
      <w:r w:rsidR="005A6702" w:rsidRPr="006E1668">
        <w:rPr>
          <w:rFonts w:ascii="Times New Roman" w:hAnsi="Times New Roman"/>
          <w:lang w:val="pt-BR"/>
        </w:rPr>
        <w:t xml:space="preserve"> e </w:t>
      </w:r>
      <w:r w:rsidR="005D2B55" w:rsidRPr="006E1668">
        <w:rPr>
          <w:rFonts w:ascii="Times New Roman" w:hAnsi="Times New Roman"/>
          <w:lang w:val="pt-BR"/>
        </w:rPr>
        <w:t>5</w:t>
      </w:r>
      <w:r w:rsidR="005A6702" w:rsidRPr="006E1668">
        <w:rPr>
          <w:rFonts w:ascii="Times New Roman" w:hAnsi="Times New Roman"/>
          <w:lang w:val="pt-BR"/>
        </w:rPr>
        <w:t xml:space="preserve"> mostram</w:t>
      </w:r>
      <w:r w:rsidR="00B42E45" w:rsidRPr="006E1668">
        <w:rPr>
          <w:rFonts w:ascii="Times New Roman" w:hAnsi="Times New Roman"/>
          <w:lang w:val="pt-BR"/>
        </w:rPr>
        <w:t xml:space="preserve"> os resultados de MEV, sugerindo que</w:t>
      </w:r>
      <w:r w:rsidR="007343C8" w:rsidRPr="006E1668">
        <w:rPr>
          <w:rFonts w:ascii="Times New Roman" w:hAnsi="Times New Roman"/>
          <w:lang w:val="pt-BR"/>
        </w:rPr>
        <w:t xml:space="preserve"> houve recobrimento total, resultando em um </w:t>
      </w:r>
      <w:r w:rsidR="00B42E45" w:rsidRPr="006E1668">
        <w:rPr>
          <w:rFonts w:ascii="Times New Roman" w:hAnsi="Times New Roman"/>
          <w:lang w:val="pt-BR"/>
        </w:rPr>
        <w:t xml:space="preserve">sistema </w:t>
      </w:r>
      <w:r w:rsidR="007343C8" w:rsidRPr="006E1668">
        <w:rPr>
          <w:rFonts w:ascii="Times New Roman" w:hAnsi="Times New Roman"/>
          <w:i/>
          <w:iCs/>
          <w:lang w:val="pt-BR"/>
        </w:rPr>
        <w:t>core-shell</w:t>
      </w:r>
      <w:r w:rsidR="00D62101" w:rsidRPr="006E1668">
        <w:rPr>
          <w:rFonts w:ascii="Times New Roman" w:hAnsi="Times New Roman"/>
          <w:lang w:val="pt-BR"/>
        </w:rPr>
        <w:t xml:space="preserve">, </w:t>
      </w:r>
      <w:r w:rsidRPr="006E1668">
        <w:rPr>
          <w:rFonts w:ascii="Times New Roman" w:hAnsi="Times New Roman"/>
          <w:lang w:val="pt-BR"/>
        </w:rPr>
        <w:t>e</w:t>
      </w:r>
      <w:r w:rsidR="00D62101" w:rsidRPr="006E1668">
        <w:rPr>
          <w:rFonts w:ascii="Times New Roman" w:hAnsi="Times New Roman"/>
          <w:lang w:val="pt-BR"/>
        </w:rPr>
        <w:t xml:space="preserve"> </w:t>
      </w:r>
      <w:r w:rsidR="00FB33DF" w:rsidRPr="006E1668">
        <w:rPr>
          <w:rFonts w:ascii="Times New Roman" w:hAnsi="Times New Roman"/>
          <w:lang w:val="pt-BR"/>
        </w:rPr>
        <w:t xml:space="preserve">nanopartículas maiores, </w:t>
      </w:r>
      <w:r w:rsidR="00B42E45" w:rsidRPr="006E1668">
        <w:rPr>
          <w:rFonts w:ascii="Times New Roman" w:hAnsi="Times New Roman"/>
          <w:lang w:val="pt-BR"/>
        </w:rPr>
        <w:t>envoltas</w:t>
      </w:r>
      <w:r w:rsidR="00FB33DF" w:rsidRPr="006E1668">
        <w:rPr>
          <w:rFonts w:ascii="Times New Roman" w:hAnsi="Times New Roman"/>
          <w:lang w:val="pt-BR"/>
        </w:rPr>
        <w:t xml:space="preserve"> </w:t>
      </w:r>
      <w:r w:rsidR="00B42E45" w:rsidRPr="006E1668">
        <w:rPr>
          <w:rFonts w:ascii="Times New Roman" w:hAnsi="Times New Roman"/>
          <w:lang w:val="pt-BR"/>
        </w:rPr>
        <w:t>em</w:t>
      </w:r>
      <w:r w:rsidR="00FB33DF" w:rsidRPr="006E1668">
        <w:rPr>
          <w:rFonts w:ascii="Times New Roman" w:hAnsi="Times New Roman"/>
          <w:lang w:val="pt-BR"/>
        </w:rPr>
        <w:t xml:space="preserve"> alumina</w:t>
      </w:r>
      <w:r w:rsidR="00B42E45" w:rsidRPr="006E1668">
        <w:rPr>
          <w:rFonts w:ascii="Times New Roman" w:hAnsi="Times New Roman"/>
          <w:lang w:val="pt-BR"/>
        </w:rPr>
        <w:t>.</w:t>
      </w:r>
      <w:r>
        <w:rPr>
          <w:rFonts w:ascii="Times New Roman" w:hAnsi="Times New Roman"/>
          <w:lang w:val="pt-BR"/>
        </w:rPr>
        <w:t xml:space="preserve"> As imagens também corroboram com o resultado obtido pelo UV-Vis das nanopartículas de prata de sua forma pseudo-esférica. </w:t>
      </w:r>
    </w:p>
    <w:p w14:paraId="603EE62E" w14:textId="49A57B75" w:rsidR="00FA64CE" w:rsidRPr="006E1668" w:rsidRDefault="00FA64CE" w:rsidP="00FA64CE">
      <w:pPr>
        <w:pStyle w:val="TAMainText"/>
        <w:ind w:firstLine="0"/>
        <w:rPr>
          <w:rFonts w:ascii="Times New Roman" w:hAnsi="Times New Roman"/>
          <w:lang w:val="pt-BR"/>
        </w:rPr>
      </w:pPr>
      <w:r>
        <w:rPr>
          <w:rFonts w:ascii="Times New Roman" w:hAnsi="Times New Roman"/>
          <w:lang w:val="pt-BR"/>
        </w:rPr>
        <w:t xml:space="preserve">  A partir dessas imagens também é possível observar uma fase de alumina segregada, resultante de um excesso de adição de alumina que é necessário para que o recobrimento possa acontecer, devido a pequena escala de produção desse material. </w:t>
      </w:r>
    </w:p>
    <w:p w14:paraId="0BBCB7F9" w14:textId="50B789DF" w:rsidR="00D53529" w:rsidRPr="006E1668" w:rsidRDefault="00D53529" w:rsidP="00B5648D">
      <w:pPr>
        <w:pStyle w:val="TAMainText"/>
        <w:ind w:firstLine="0"/>
        <w:rPr>
          <w:rFonts w:ascii="Times New Roman" w:hAnsi="Times New Roman"/>
          <w:b/>
          <w:bCs/>
          <w:color w:val="FF0000"/>
          <w:lang w:val="pt-BR"/>
        </w:rPr>
      </w:pPr>
    </w:p>
    <w:p w14:paraId="7E2270D3" w14:textId="2C310488" w:rsidR="00D53529" w:rsidRPr="006E1668" w:rsidRDefault="00461188" w:rsidP="00E87431">
      <w:pPr>
        <w:pStyle w:val="TAMainText"/>
        <w:ind w:firstLine="187"/>
        <w:rPr>
          <w:rFonts w:ascii="Times New Roman" w:hAnsi="Times New Roman"/>
          <w:b/>
          <w:bCs/>
          <w:color w:val="FF0000"/>
          <w:lang w:val="pt-BR"/>
        </w:rPr>
      </w:pPr>
      <w:r w:rsidRPr="006E1668">
        <w:rPr>
          <w:rFonts w:ascii="Times New Roman" w:hAnsi="Times New Roman"/>
          <w:noProof/>
        </w:rPr>
        <w:drawing>
          <wp:anchor distT="0" distB="0" distL="114300" distR="114300" simplePos="0" relativeHeight="251663359" behindDoc="0" locked="0" layoutInCell="1" allowOverlap="1" wp14:anchorId="17B066FE" wp14:editId="3BB2DE03">
            <wp:simplePos x="0" y="0"/>
            <wp:positionH relativeFrom="margin">
              <wp:posOffset>1661795</wp:posOffset>
            </wp:positionH>
            <wp:positionV relativeFrom="paragraph">
              <wp:posOffset>4445</wp:posOffset>
            </wp:positionV>
            <wp:extent cx="1203960" cy="1203960"/>
            <wp:effectExtent l="0" t="0" r="0" b="0"/>
            <wp:wrapNone/>
            <wp:docPr id="1028" name="Picture 4" descr="Imagem em preto e branco&#10;&#10;Descrição gerada automaticamente">
              <a:extLst xmlns:a="http://schemas.openxmlformats.org/drawingml/2006/main">
                <a:ext uri="{FF2B5EF4-FFF2-40B4-BE49-F238E27FC236}">
                  <a16:creationId xmlns:a16="http://schemas.microsoft.com/office/drawing/2014/main" id="{F07E2687-8610-E2F5-569F-FD184F450B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Imagem em preto e branco&#10;&#10;Descrição gerada automaticamente">
                      <a:extLst>
                        <a:ext uri="{FF2B5EF4-FFF2-40B4-BE49-F238E27FC236}">
                          <a16:creationId xmlns:a16="http://schemas.microsoft.com/office/drawing/2014/main" id="{F07E2687-8610-E2F5-569F-FD184F450BB2}"/>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pic:spPr>
                </pic:pic>
              </a:graphicData>
            </a:graphic>
            <wp14:sizeRelH relativeFrom="margin">
              <wp14:pctWidth>0</wp14:pctWidth>
            </wp14:sizeRelH>
            <wp14:sizeRelV relativeFrom="margin">
              <wp14:pctHeight>0</wp14:pctHeight>
            </wp14:sizeRelV>
          </wp:anchor>
        </w:drawing>
      </w:r>
      <w:r w:rsidRPr="006E1668">
        <w:rPr>
          <w:rFonts w:ascii="Times New Roman" w:hAnsi="Times New Roman"/>
          <w:noProof/>
        </w:rPr>
        <w:drawing>
          <wp:anchor distT="0" distB="0" distL="114300" distR="114300" simplePos="0" relativeHeight="251662335" behindDoc="0" locked="0" layoutInCell="1" allowOverlap="1" wp14:anchorId="729A248A" wp14:editId="2C1F452A">
            <wp:simplePos x="0" y="0"/>
            <wp:positionH relativeFrom="margin">
              <wp:align>left</wp:align>
            </wp:positionH>
            <wp:positionV relativeFrom="paragraph">
              <wp:posOffset>9525</wp:posOffset>
            </wp:positionV>
            <wp:extent cx="1181100" cy="1181100"/>
            <wp:effectExtent l="0" t="0" r="0" b="0"/>
            <wp:wrapNone/>
            <wp:docPr id="1026" name="Picture 2" descr="Foto em preto e branco&#10;&#10;Descrição gerada automaticamente com confiança média">
              <a:extLst xmlns:a="http://schemas.openxmlformats.org/drawingml/2006/main">
                <a:ext uri="{FF2B5EF4-FFF2-40B4-BE49-F238E27FC236}">
                  <a16:creationId xmlns:a16="http://schemas.microsoft.com/office/drawing/2014/main" id="{CC218EF2-F697-DAD0-43B0-C7F8E76BCD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oto em preto e branco&#10;&#10;Descrição gerada automaticamente com confiança média">
                      <a:extLst>
                        <a:ext uri="{FF2B5EF4-FFF2-40B4-BE49-F238E27FC236}">
                          <a16:creationId xmlns:a16="http://schemas.microsoft.com/office/drawing/2014/main" id="{CC218EF2-F697-DAD0-43B0-C7F8E76BCD24}"/>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margin">
              <wp14:pctWidth>0</wp14:pctWidth>
            </wp14:sizeRelH>
            <wp14:sizeRelV relativeFrom="margin">
              <wp14:pctHeight>0</wp14:pctHeight>
            </wp14:sizeRelV>
          </wp:anchor>
        </w:drawing>
      </w:r>
    </w:p>
    <w:p w14:paraId="2176C360" w14:textId="26968128" w:rsidR="00D53529" w:rsidRPr="006E1668" w:rsidRDefault="00D53529" w:rsidP="00E87431">
      <w:pPr>
        <w:pStyle w:val="TAMainText"/>
        <w:ind w:firstLine="187"/>
        <w:rPr>
          <w:rFonts w:ascii="Times New Roman" w:hAnsi="Times New Roman"/>
          <w:b/>
          <w:bCs/>
          <w:color w:val="FF0000"/>
          <w:lang w:val="pt-BR"/>
        </w:rPr>
      </w:pPr>
    </w:p>
    <w:p w14:paraId="4855645C" w14:textId="0ED94FF6" w:rsidR="00D53529" w:rsidRPr="006E1668" w:rsidRDefault="00D53529" w:rsidP="00E87431">
      <w:pPr>
        <w:pStyle w:val="TAMainText"/>
        <w:ind w:firstLine="187"/>
        <w:rPr>
          <w:rFonts w:ascii="Times New Roman" w:hAnsi="Times New Roman"/>
          <w:b/>
          <w:bCs/>
          <w:color w:val="FF0000"/>
          <w:lang w:val="pt-BR"/>
        </w:rPr>
      </w:pPr>
    </w:p>
    <w:p w14:paraId="11E48ED5" w14:textId="131BF234" w:rsidR="00D53529" w:rsidRPr="006E1668" w:rsidRDefault="00D53529" w:rsidP="00E87431">
      <w:pPr>
        <w:pStyle w:val="TAMainText"/>
        <w:ind w:firstLine="187"/>
        <w:rPr>
          <w:rFonts w:ascii="Times New Roman" w:hAnsi="Times New Roman"/>
          <w:b/>
          <w:bCs/>
          <w:color w:val="FF0000"/>
          <w:lang w:val="pt-BR"/>
        </w:rPr>
      </w:pPr>
    </w:p>
    <w:p w14:paraId="6F36D024" w14:textId="3485247E" w:rsidR="00D53529" w:rsidRPr="006E1668" w:rsidRDefault="00D53529" w:rsidP="00E87431">
      <w:pPr>
        <w:pStyle w:val="TAMainText"/>
        <w:ind w:firstLine="187"/>
        <w:rPr>
          <w:rFonts w:ascii="Times New Roman" w:hAnsi="Times New Roman"/>
          <w:b/>
          <w:bCs/>
          <w:color w:val="FF0000"/>
          <w:lang w:val="pt-BR"/>
        </w:rPr>
      </w:pPr>
    </w:p>
    <w:p w14:paraId="260CF4F1" w14:textId="213C6E84" w:rsidR="00D53529" w:rsidRPr="006E1668" w:rsidRDefault="00D53529" w:rsidP="00E87431">
      <w:pPr>
        <w:pStyle w:val="TAMainText"/>
        <w:ind w:firstLine="187"/>
        <w:rPr>
          <w:rFonts w:ascii="Times New Roman" w:hAnsi="Times New Roman"/>
          <w:b/>
          <w:bCs/>
          <w:color w:val="FF0000"/>
          <w:lang w:val="pt-BR"/>
        </w:rPr>
      </w:pPr>
    </w:p>
    <w:p w14:paraId="16C6E0E7" w14:textId="23915C35" w:rsidR="00D53529" w:rsidRPr="006E1668" w:rsidRDefault="00D53529" w:rsidP="00E87431">
      <w:pPr>
        <w:pStyle w:val="TAMainText"/>
        <w:ind w:firstLine="187"/>
        <w:rPr>
          <w:rFonts w:ascii="Times New Roman" w:hAnsi="Times New Roman"/>
          <w:b/>
          <w:bCs/>
          <w:color w:val="FF0000"/>
          <w:lang w:val="pt-BR"/>
        </w:rPr>
      </w:pPr>
    </w:p>
    <w:p w14:paraId="10B365D5" w14:textId="22FFC6B9" w:rsidR="00D53529" w:rsidRPr="006E1668" w:rsidRDefault="00D53529" w:rsidP="002C6B01">
      <w:pPr>
        <w:pStyle w:val="TAMainText"/>
        <w:ind w:firstLine="0"/>
        <w:rPr>
          <w:rFonts w:ascii="Times New Roman" w:hAnsi="Times New Roman"/>
          <w:b/>
          <w:bCs/>
          <w:color w:val="FF0000"/>
          <w:lang w:val="pt-BR"/>
        </w:rPr>
      </w:pPr>
    </w:p>
    <w:p w14:paraId="43CF61BD" w14:textId="6AD4298F" w:rsidR="00461188" w:rsidRPr="006E1668" w:rsidRDefault="00461188" w:rsidP="00E87431">
      <w:pPr>
        <w:pStyle w:val="TAMainText"/>
        <w:ind w:firstLine="187"/>
        <w:rPr>
          <w:rFonts w:ascii="Times New Roman" w:hAnsi="Times New Roman"/>
          <w:b/>
          <w:bCs/>
          <w:color w:val="FF0000"/>
          <w:lang w:val="pt-BR"/>
        </w:rPr>
      </w:pPr>
    </w:p>
    <w:p w14:paraId="4CC82846" w14:textId="72D5C831" w:rsidR="00461188" w:rsidRPr="006E1668" w:rsidRDefault="00461188" w:rsidP="00E87431">
      <w:pPr>
        <w:pStyle w:val="TAMainText"/>
        <w:ind w:firstLine="187"/>
        <w:rPr>
          <w:rFonts w:ascii="Times New Roman" w:hAnsi="Times New Roman"/>
          <w:b/>
          <w:bCs/>
          <w:color w:val="FF0000"/>
          <w:lang w:val="pt-BR"/>
        </w:rPr>
      </w:pPr>
      <w:r w:rsidRPr="006E1668">
        <w:rPr>
          <w:noProof/>
        </w:rPr>
        <mc:AlternateContent>
          <mc:Choice Requires="wps">
            <w:drawing>
              <wp:anchor distT="0" distB="0" distL="114300" distR="114300" simplePos="0" relativeHeight="251667455" behindDoc="0" locked="0" layoutInCell="1" allowOverlap="1" wp14:anchorId="466C36DE" wp14:editId="0E6DF883">
                <wp:simplePos x="0" y="0"/>
                <wp:positionH relativeFrom="column">
                  <wp:align>right</wp:align>
                </wp:positionH>
                <wp:positionV relativeFrom="paragraph">
                  <wp:posOffset>4445</wp:posOffset>
                </wp:positionV>
                <wp:extent cx="1538605" cy="635"/>
                <wp:effectExtent l="0" t="0" r="4445" b="1270"/>
                <wp:wrapNone/>
                <wp:docPr id="2" name="Caixa de Texto 2"/>
                <wp:cNvGraphicFramePr/>
                <a:graphic xmlns:a="http://schemas.openxmlformats.org/drawingml/2006/main">
                  <a:graphicData uri="http://schemas.microsoft.com/office/word/2010/wordprocessingShape">
                    <wps:wsp>
                      <wps:cNvSpPr txBox="1"/>
                      <wps:spPr>
                        <a:xfrm>
                          <a:off x="0" y="0"/>
                          <a:ext cx="1538605" cy="635"/>
                        </a:xfrm>
                        <a:prstGeom prst="rect">
                          <a:avLst/>
                        </a:prstGeom>
                        <a:solidFill>
                          <a:prstClr val="white"/>
                        </a:solidFill>
                        <a:ln>
                          <a:noFill/>
                        </a:ln>
                      </wps:spPr>
                      <wps:txbx>
                        <w:txbxContent>
                          <w:p w14:paraId="055E2C71" w14:textId="5842CCE9" w:rsidR="00D53529" w:rsidRPr="00B04989" w:rsidRDefault="00D53529" w:rsidP="00D53529">
                            <w:pPr>
                              <w:pStyle w:val="Legenda"/>
                              <w:jc w:val="center"/>
                              <w:rPr>
                                <w:rFonts w:ascii="Times New Roman" w:eastAsia="Times New Roman" w:hAnsi="Times New Roman" w:cs="Times New Roman"/>
                                <w:b w:val="0"/>
                                <w:bCs w:val="0"/>
                                <w:color w:val="auto"/>
                                <w:sz w:val="22"/>
                                <w:szCs w:val="22"/>
                              </w:rPr>
                            </w:pPr>
                            <w:r w:rsidRPr="00901DAD">
                              <w:rPr>
                                <w:rFonts w:ascii="Times New Roman" w:hAnsi="Times New Roman" w:cs="Times New Roman"/>
                                <w:color w:val="auto"/>
                                <w:sz w:val="18"/>
                                <w:szCs w:val="18"/>
                              </w:rPr>
                              <w:t xml:space="preserve">Figura </w:t>
                            </w:r>
                            <w:r w:rsidR="005D2B55" w:rsidRPr="00901DAD">
                              <w:rPr>
                                <w:rFonts w:ascii="Times New Roman" w:hAnsi="Times New Roman" w:cs="Times New Roman"/>
                                <w:color w:val="auto"/>
                                <w:sz w:val="18"/>
                                <w:szCs w:val="18"/>
                              </w:rPr>
                              <w:t>5</w:t>
                            </w:r>
                            <w:r w:rsidR="0043498B" w:rsidRPr="00901DAD">
                              <w:rPr>
                                <w:rFonts w:ascii="Times New Roman" w:hAnsi="Times New Roman" w:cs="Times New Roman"/>
                                <w:color w:val="auto"/>
                                <w:sz w:val="18"/>
                                <w:szCs w:val="18"/>
                              </w:rPr>
                              <w:t xml:space="preserve">. </w:t>
                            </w:r>
                            <w:r w:rsidRPr="00901DAD">
                              <w:rPr>
                                <w:rFonts w:ascii="Times New Roman" w:hAnsi="Times New Roman" w:cs="Times New Roman"/>
                                <w:b w:val="0"/>
                                <w:bCs w:val="0"/>
                                <w:color w:val="auto"/>
                                <w:sz w:val="18"/>
                                <w:szCs w:val="18"/>
                              </w:rPr>
                              <w:t xml:space="preserve"> MEV do catalisador que mostra diferentes moléculas de alumina suportando a nanopartícula de prata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66C36DE" id="_x0000_t202" coordsize="21600,21600" o:spt="202" path="m,l,21600r21600,l21600,xe">
                <v:stroke joinstyle="miter"/>
                <v:path gradientshapeok="t" o:connecttype="rect"/>
              </v:shapetype>
              <v:shape id="Caixa de Texto 2" o:spid="_x0000_s1028" type="#_x0000_t202" style="position:absolute;left:0;text-align:left;margin-left:69.95pt;margin-top:.35pt;width:121.15pt;height:.05pt;z-index:251667455;visibility:visible;mso-wrap-style:square;mso-width-percent:0;mso-wrap-distance-left:9pt;mso-wrap-distance-top:0;mso-wrap-distance-right:9pt;mso-wrap-distance-bottom:0;mso-position-horizontal:right;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" stroked="f">
                <v:textbox style="mso-fit-shape-to-text:t" inset="0,0,0,0">
                  <w:txbxContent>
                    <w:p w14:paraId="055E2C71" w14:textId="5842CCE9" w:rsidR="00D53529" w:rsidRPr="00B04989" w:rsidRDefault="00D53529" w:rsidP="00D53529">
                      <w:pPr>
                        <w:pStyle w:val="Legenda"/>
                        <w:jc w:val="center"/>
                        <w:rPr>
                          <w:rFonts w:ascii="Times New Roman" w:eastAsia="Times New Roman" w:hAnsi="Times New Roman" w:cs="Times New Roman"/>
                          <w:b w:val="0"/>
                          <w:bCs w:val="0"/>
                          <w:color w:val="auto"/>
                          <w:sz w:val="22"/>
                          <w:szCs w:val="22"/>
                        </w:rPr>
                      </w:pPr>
                      <w:r w:rsidRPr="00901DAD">
                        <w:rPr>
                          <w:rFonts w:ascii="Times New Roman" w:hAnsi="Times New Roman" w:cs="Times New Roman"/>
                          <w:color w:val="auto"/>
                          <w:sz w:val="18"/>
                          <w:szCs w:val="18"/>
                        </w:rPr>
                        <w:t xml:space="preserve">Figura </w:t>
                      </w:r>
                      <w:r w:rsidR="005D2B55" w:rsidRPr="00901DAD">
                        <w:rPr>
                          <w:rFonts w:ascii="Times New Roman" w:hAnsi="Times New Roman" w:cs="Times New Roman"/>
                          <w:color w:val="auto"/>
                          <w:sz w:val="18"/>
                          <w:szCs w:val="18"/>
                        </w:rPr>
                        <w:t>5</w:t>
                      </w:r>
                      <w:r w:rsidR="0043498B" w:rsidRPr="00901DAD">
                        <w:rPr>
                          <w:rFonts w:ascii="Times New Roman" w:hAnsi="Times New Roman" w:cs="Times New Roman"/>
                          <w:color w:val="auto"/>
                          <w:sz w:val="18"/>
                          <w:szCs w:val="18"/>
                        </w:rPr>
                        <w:t xml:space="preserve">. </w:t>
                      </w:r>
                      <w:r w:rsidRPr="00901DAD">
                        <w:rPr>
                          <w:rFonts w:ascii="Times New Roman" w:hAnsi="Times New Roman" w:cs="Times New Roman"/>
                          <w:b w:val="0"/>
                          <w:bCs w:val="0"/>
                          <w:color w:val="auto"/>
                          <w:sz w:val="18"/>
                          <w:szCs w:val="18"/>
                        </w:rPr>
                        <w:t xml:space="preserve"> MEV do catalisador que mostra diferentes moléculas de alumina suportando a nanopartícula de prata</w:t>
                      </w:r>
                    </w:p>
                  </w:txbxContent>
                </v:textbox>
              </v:shape>
            </w:pict>
          </mc:Fallback>
        </mc:AlternateContent>
      </w:r>
      <w:r w:rsidRPr="006E1668">
        <w:rPr>
          <w:noProof/>
        </w:rPr>
        <mc:AlternateContent>
          <mc:Choice Requires="wps">
            <w:drawing>
              <wp:anchor distT="0" distB="0" distL="114300" distR="114300" simplePos="0" relativeHeight="251665407" behindDoc="0" locked="0" layoutInCell="1" allowOverlap="1" wp14:anchorId="5449290E" wp14:editId="5E863D71">
                <wp:simplePos x="0" y="0"/>
                <wp:positionH relativeFrom="margin">
                  <wp:posOffset>-12700</wp:posOffset>
                </wp:positionH>
                <wp:positionV relativeFrom="paragraph">
                  <wp:posOffset>106680</wp:posOffset>
                </wp:positionV>
                <wp:extent cx="1203960" cy="452120"/>
                <wp:effectExtent l="0" t="0" r="0" b="1270"/>
                <wp:wrapNone/>
                <wp:docPr id="1" name="Caixa de Texto 1"/>
                <wp:cNvGraphicFramePr/>
                <a:graphic xmlns:a="http://schemas.openxmlformats.org/drawingml/2006/main">
                  <a:graphicData uri="http://schemas.microsoft.com/office/word/2010/wordprocessingShape">
                    <wps:wsp>
                      <wps:cNvSpPr txBox="1"/>
                      <wps:spPr>
                        <a:xfrm>
                          <a:off x="0" y="0"/>
                          <a:ext cx="1203960" cy="452120"/>
                        </a:xfrm>
                        <a:prstGeom prst="rect">
                          <a:avLst/>
                        </a:prstGeom>
                        <a:solidFill>
                          <a:prstClr val="white"/>
                        </a:solidFill>
                        <a:ln>
                          <a:noFill/>
                        </a:ln>
                      </wps:spPr>
                      <wps:txbx>
                        <w:txbxContent>
                          <w:p w14:paraId="34DFBAB1" w14:textId="4D0D1108" w:rsidR="00D53529" w:rsidRPr="00B04989" w:rsidRDefault="00D53529" w:rsidP="00D53529">
                            <w:pPr>
                              <w:pStyle w:val="Legenda"/>
                              <w:jc w:val="center"/>
                              <w:rPr>
                                <w:rFonts w:ascii="Times New Roman" w:eastAsia="Times New Roman" w:hAnsi="Times New Roman" w:cs="Times New Roman"/>
                                <w:color w:val="auto"/>
                                <w:sz w:val="22"/>
                                <w:szCs w:val="22"/>
                              </w:rPr>
                            </w:pPr>
                            <w:r w:rsidRPr="00901DAD">
                              <w:rPr>
                                <w:rFonts w:ascii="Times New Roman" w:hAnsi="Times New Roman" w:cs="Times New Roman"/>
                                <w:color w:val="auto"/>
                                <w:sz w:val="18"/>
                                <w:szCs w:val="18"/>
                              </w:rPr>
                              <w:t xml:space="preserve">Figura </w:t>
                            </w:r>
                            <w:r w:rsidR="005D2B55" w:rsidRPr="00901DAD">
                              <w:rPr>
                                <w:rFonts w:ascii="Times New Roman" w:hAnsi="Times New Roman" w:cs="Times New Roman"/>
                                <w:color w:val="auto"/>
                                <w:sz w:val="18"/>
                                <w:szCs w:val="18"/>
                              </w:rPr>
                              <w:t>4</w:t>
                            </w:r>
                            <w:r w:rsidR="001476E2" w:rsidRPr="00901DAD">
                              <w:rPr>
                                <w:rFonts w:ascii="Times New Roman" w:hAnsi="Times New Roman" w:cs="Times New Roman"/>
                                <w:color w:val="auto"/>
                                <w:sz w:val="18"/>
                                <w:szCs w:val="18"/>
                              </w:rPr>
                              <w:t xml:space="preserve">. </w:t>
                            </w:r>
                            <w:r w:rsidRPr="00901DAD">
                              <w:rPr>
                                <w:rFonts w:ascii="Times New Roman" w:hAnsi="Times New Roman" w:cs="Times New Roman"/>
                                <w:color w:val="auto"/>
                                <w:sz w:val="18"/>
                                <w:szCs w:val="18"/>
                              </w:rPr>
                              <w:t xml:space="preserve"> </w:t>
                            </w:r>
                            <w:r w:rsidRPr="00901DAD">
                              <w:rPr>
                                <w:rFonts w:ascii="Times New Roman" w:hAnsi="Times New Roman" w:cs="Times New Roman"/>
                                <w:b w:val="0"/>
                                <w:bCs w:val="0"/>
                                <w:color w:val="auto"/>
                                <w:sz w:val="18"/>
                                <w:szCs w:val="18"/>
                              </w:rPr>
                              <w:t xml:space="preserve">MEV do catalisador que mostra possível estrutura </w:t>
                            </w:r>
                            <w:r w:rsidRPr="00901DAD">
                              <w:rPr>
                                <w:rFonts w:ascii="Times New Roman" w:hAnsi="Times New Roman" w:cs="Times New Roman"/>
                                <w:b w:val="0"/>
                                <w:bCs w:val="0"/>
                                <w:i/>
                                <w:iCs/>
                                <w:color w:val="auto"/>
                                <w:sz w:val="18"/>
                                <w:szCs w:val="18"/>
                              </w:rPr>
                              <w:t>core-shell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449290E" id="Caixa de Texto 1" o:spid="_x0000_s1029" type="#_x0000_t202" style="position:absolute;left:0;text-align:left;margin-left:-1pt;margin-top:8.4pt;width:94.8pt;height:35.6pt;z-index:25166540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" stroked="f">
                <v:textbox style="mso-fit-shape-to-text:t" inset="0,0,0,0">
                  <w:txbxContent>
                    <w:p w14:paraId="34DFBAB1" w14:textId="4D0D1108" w:rsidR="00D53529" w:rsidRPr="00B04989" w:rsidRDefault="00D53529" w:rsidP="00D53529">
                      <w:pPr>
                        <w:pStyle w:val="Legenda"/>
                        <w:jc w:val="center"/>
                        <w:rPr>
                          <w:rFonts w:ascii="Times New Roman" w:eastAsia="Times New Roman" w:hAnsi="Times New Roman" w:cs="Times New Roman"/>
                          <w:color w:val="auto"/>
                          <w:sz w:val="22"/>
                          <w:szCs w:val="22"/>
                        </w:rPr>
                      </w:pPr>
                      <w:r w:rsidRPr="00901DAD">
                        <w:rPr>
                          <w:rFonts w:ascii="Times New Roman" w:hAnsi="Times New Roman" w:cs="Times New Roman"/>
                          <w:color w:val="auto"/>
                          <w:sz w:val="18"/>
                          <w:szCs w:val="18"/>
                        </w:rPr>
                        <w:t xml:space="preserve">Figura </w:t>
                      </w:r>
                      <w:r w:rsidR="005D2B55" w:rsidRPr="00901DAD">
                        <w:rPr>
                          <w:rFonts w:ascii="Times New Roman" w:hAnsi="Times New Roman" w:cs="Times New Roman"/>
                          <w:color w:val="auto"/>
                          <w:sz w:val="18"/>
                          <w:szCs w:val="18"/>
                        </w:rPr>
                        <w:t>4</w:t>
                      </w:r>
                      <w:r w:rsidR="001476E2" w:rsidRPr="00901DAD">
                        <w:rPr>
                          <w:rFonts w:ascii="Times New Roman" w:hAnsi="Times New Roman" w:cs="Times New Roman"/>
                          <w:color w:val="auto"/>
                          <w:sz w:val="18"/>
                          <w:szCs w:val="18"/>
                        </w:rPr>
                        <w:t xml:space="preserve">. </w:t>
                      </w:r>
                      <w:r w:rsidRPr="00901DAD">
                        <w:rPr>
                          <w:rFonts w:ascii="Times New Roman" w:hAnsi="Times New Roman" w:cs="Times New Roman"/>
                          <w:color w:val="auto"/>
                          <w:sz w:val="18"/>
                          <w:szCs w:val="18"/>
                        </w:rPr>
                        <w:t xml:space="preserve"> </w:t>
                      </w:r>
                      <w:r w:rsidRPr="00901DAD">
                        <w:rPr>
                          <w:rFonts w:ascii="Times New Roman" w:hAnsi="Times New Roman" w:cs="Times New Roman"/>
                          <w:b w:val="0"/>
                          <w:bCs w:val="0"/>
                          <w:color w:val="auto"/>
                          <w:sz w:val="18"/>
                          <w:szCs w:val="18"/>
                        </w:rPr>
                        <w:t xml:space="preserve">MEV do catalisador que mostra possível estrutura </w:t>
                      </w:r>
                      <w:r w:rsidRPr="00901DAD">
                        <w:rPr>
                          <w:rFonts w:ascii="Times New Roman" w:hAnsi="Times New Roman" w:cs="Times New Roman"/>
                          <w:b w:val="0"/>
                          <w:bCs w:val="0"/>
                          <w:i/>
                          <w:iCs/>
                          <w:color w:val="auto"/>
                          <w:sz w:val="18"/>
                          <w:szCs w:val="18"/>
                        </w:rPr>
                        <w:t>core-shell</w:t>
                      </w:r>
                    </w:p>
                  </w:txbxContent>
                </v:textbox>
                <w10:wrap anchorx="margin"/>
              </v:shape>
            </w:pict>
          </mc:Fallback>
        </mc:AlternateContent>
      </w:r>
    </w:p>
    <w:p w14:paraId="536CC63C" w14:textId="15452AF8" w:rsidR="00461188" w:rsidRPr="006E1668" w:rsidRDefault="00461188" w:rsidP="00E87431">
      <w:pPr>
        <w:pStyle w:val="TAMainText"/>
        <w:ind w:firstLine="187"/>
        <w:rPr>
          <w:rFonts w:ascii="Times New Roman" w:hAnsi="Times New Roman"/>
          <w:b/>
          <w:bCs/>
          <w:color w:val="FF0000"/>
          <w:lang w:val="pt-BR"/>
        </w:rPr>
      </w:pPr>
    </w:p>
    <w:p w14:paraId="37A25AC0" w14:textId="77777777" w:rsidR="00461188" w:rsidRPr="006E1668" w:rsidRDefault="00461188" w:rsidP="00E87431">
      <w:pPr>
        <w:pStyle w:val="TAMainText"/>
        <w:ind w:firstLine="187"/>
        <w:rPr>
          <w:rFonts w:ascii="Times New Roman" w:hAnsi="Times New Roman"/>
          <w:b/>
          <w:bCs/>
          <w:color w:val="FF0000"/>
          <w:lang w:val="pt-BR"/>
        </w:rPr>
      </w:pPr>
    </w:p>
    <w:p w14:paraId="57D81EC0" w14:textId="77777777" w:rsidR="00461188" w:rsidRPr="006E1668" w:rsidRDefault="00461188" w:rsidP="00E87431">
      <w:pPr>
        <w:pStyle w:val="TAMainText"/>
        <w:ind w:firstLine="187"/>
        <w:rPr>
          <w:rFonts w:ascii="Times New Roman" w:hAnsi="Times New Roman"/>
          <w:b/>
          <w:bCs/>
          <w:color w:val="FF0000"/>
          <w:lang w:val="pt-BR"/>
        </w:rPr>
      </w:pPr>
    </w:p>
    <w:p w14:paraId="11ABACC5" w14:textId="77777777" w:rsidR="00461188" w:rsidRPr="006E1668" w:rsidRDefault="00461188" w:rsidP="00E87431">
      <w:pPr>
        <w:pStyle w:val="TAMainText"/>
        <w:ind w:firstLine="187"/>
        <w:rPr>
          <w:rFonts w:ascii="Times New Roman" w:hAnsi="Times New Roman"/>
          <w:b/>
          <w:bCs/>
          <w:color w:val="FF0000"/>
          <w:lang w:val="pt-BR"/>
        </w:rPr>
      </w:pPr>
    </w:p>
    <w:p w14:paraId="0C129E08" w14:textId="6C7E1922" w:rsidR="00B55773" w:rsidRDefault="00B42E45" w:rsidP="00FA64CE">
      <w:pPr>
        <w:pStyle w:val="TAMainText"/>
        <w:ind w:firstLine="187"/>
        <w:rPr>
          <w:rFonts w:ascii="Times New Roman" w:hAnsi="Times New Roman"/>
          <w:lang w:val="pt-BR"/>
        </w:rPr>
      </w:pPr>
      <w:r w:rsidRPr="006E1668">
        <w:rPr>
          <w:rFonts w:ascii="Times New Roman" w:hAnsi="Times New Roman"/>
          <w:lang w:val="pt-BR"/>
        </w:rPr>
        <w:t xml:space="preserve">Como testes iniciais, estudou-se a fotodegradação de corantes, sendo escolhida a </w:t>
      </w:r>
      <w:r w:rsidR="00090261" w:rsidRPr="006E1668">
        <w:rPr>
          <w:rFonts w:ascii="Times New Roman" w:hAnsi="Times New Roman"/>
          <w:lang w:val="pt-BR"/>
        </w:rPr>
        <w:t>Rodamina</w:t>
      </w:r>
      <w:r w:rsidR="00211733" w:rsidRPr="006E1668">
        <w:rPr>
          <w:rFonts w:ascii="Times New Roman" w:hAnsi="Times New Roman"/>
          <w:lang w:val="pt-BR"/>
        </w:rPr>
        <w:t xml:space="preserve"> B</w:t>
      </w:r>
      <w:r w:rsidRPr="006E1668">
        <w:rPr>
          <w:rFonts w:ascii="Times New Roman" w:hAnsi="Times New Roman"/>
          <w:lang w:val="pt-BR"/>
        </w:rPr>
        <w:t xml:space="preserve"> </w:t>
      </w:r>
      <w:r w:rsidR="00461188" w:rsidRPr="006E1668">
        <w:rPr>
          <w:rFonts w:ascii="Times New Roman" w:hAnsi="Times New Roman"/>
          <w:lang w:val="pt-BR"/>
        </w:rPr>
        <w:t>(Figura 6)</w:t>
      </w:r>
      <w:r w:rsidR="00090261" w:rsidRPr="006E1668">
        <w:rPr>
          <w:rFonts w:ascii="Times New Roman" w:hAnsi="Times New Roman"/>
          <w:lang w:val="pt-BR"/>
        </w:rPr>
        <w:t xml:space="preserve">. </w:t>
      </w:r>
    </w:p>
    <w:p w14:paraId="1DD497A4" w14:textId="77777777" w:rsidR="00B55773" w:rsidRPr="006E1668" w:rsidRDefault="00B55773" w:rsidP="00D53529">
      <w:pPr>
        <w:pStyle w:val="TAMainText"/>
        <w:ind w:firstLine="187"/>
        <w:rPr>
          <w:rFonts w:ascii="Times New Roman" w:hAnsi="Times New Roman"/>
          <w:lang w:val="pt-BR"/>
        </w:rPr>
      </w:pPr>
    </w:p>
    <w:p w14:paraId="11FDBC4E" w14:textId="20636A5F" w:rsidR="006E1668" w:rsidRPr="006E1668" w:rsidRDefault="006E1668" w:rsidP="00D53529">
      <w:pPr>
        <w:pStyle w:val="TAMainText"/>
        <w:ind w:firstLine="187"/>
        <w:rPr>
          <w:rFonts w:ascii="Times New Roman" w:hAnsi="Times New Roman"/>
          <w:lang w:val="pt-BR"/>
        </w:rPr>
      </w:pPr>
      <w:r w:rsidRPr="006E1668">
        <w:rPr>
          <w:rFonts w:ascii="Times New Roman" w:hAnsi="Times New Roman"/>
          <w:noProof/>
          <w:lang w:val="pt-BR"/>
        </w:rPr>
        <w:drawing>
          <wp:anchor distT="0" distB="0" distL="114300" distR="114300" simplePos="0" relativeHeight="251668479" behindDoc="0" locked="0" layoutInCell="1" allowOverlap="1" wp14:anchorId="61411463" wp14:editId="12F5E190">
            <wp:simplePos x="0" y="0"/>
            <wp:positionH relativeFrom="column">
              <wp:posOffset>376555</wp:posOffset>
            </wp:positionH>
            <wp:positionV relativeFrom="paragraph">
              <wp:posOffset>113665</wp:posOffset>
            </wp:positionV>
            <wp:extent cx="2049825" cy="1168400"/>
            <wp:effectExtent l="0" t="0" r="7620" b="0"/>
            <wp:wrapNone/>
            <wp:docPr id="30199822" name="Imagem 3"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99822" name="Imagem 3" descr="Forma&#10;&#10;Descrição gerada automaticamente com confiança média"/>
                    <pic:cNvPicPr/>
                  </pic:nvPicPr>
                  <pic:blipFill>
                    <a:blip r:embed="rId15">
                      <a:extLst>
                        <a:ext uri="{28A0092B-C50C-407E-A947-70E740481C1C}">
                          <a14:useLocalDpi xmlns:a14="http://schemas.microsoft.com/office/drawing/2010/main" val="0"/>
                        </a:ext>
                      </a:extLst>
                    </a:blip>
                    <a:stretch>
                      <a:fillRect/>
                    </a:stretch>
                  </pic:blipFill>
                  <pic:spPr>
                    <a:xfrm>
                      <a:off x="0" y="0"/>
                      <a:ext cx="2049825" cy="1168400"/>
                    </a:xfrm>
                    <a:prstGeom prst="rect">
                      <a:avLst/>
                    </a:prstGeom>
                  </pic:spPr>
                </pic:pic>
              </a:graphicData>
            </a:graphic>
          </wp:anchor>
        </w:drawing>
      </w:r>
    </w:p>
    <w:p w14:paraId="480C83C3" w14:textId="79BFFE7F" w:rsidR="006E1668" w:rsidRPr="006E1668" w:rsidRDefault="006E1668" w:rsidP="00D53529">
      <w:pPr>
        <w:pStyle w:val="TAMainText"/>
        <w:ind w:firstLine="187"/>
        <w:rPr>
          <w:rFonts w:ascii="Times New Roman" w:hAnsi="Times New Roman"/>
          <w:lang w:val="pt-BR"/>
        </w:rPr>
      </w:pPr>
    </w:p>
    <w:p w14:paraId="44D8DC0C" w14:textId="77777777" w:rsidR="006E1668" w:rsidRPr="006E1668" w:rsidRDefault="006E1668" w:rsidP="00D53529">
      <w:pPr>
        <w:pStyle w:val="TAMainText"/>
        <w:ind w:firstLine="187"/>
        <w:rPr>
          <w:rFonts w:ascii="Times New Roman" w:hAnsi="Times New Roman"/>
          <w:lang w:val="pt-BR"/>
        </w:rPr>
      </w:pPr>
    </w:p>
    <w:p w14:paraId="505AAA4A" w14:textId="4933091C" w:rsidR="00461188" w:rsidRPr="006E1668" w:rsidRDefault="00461188" w:rsidP="00D53529">
      <w:pPr>
        <w:pStyle w:val="TAMainText"/>
        <w:ind w:firstLine="187"/>
        <w:rPr>
          <w:rFonts w:ascii="Times New Roman" w:hAnsi="Times New Roman"/>
          <w:lang w:val="pt-BR"/>
        </w:rPr>
      </w:pPr>
      <w:r w:rsidRPr="006E1668">
        <w:rPr>
          <w:noProof/>
        </w:rPr>
        <mc:AlternateContent>
          <mc:Choice Requires="wps">
            <w:drawing>
              <wp:inline distT="0" distB="0" distL="0" distR="0" wp14:anchorId="4118EAF9" wp14:editId="340AB18C">
                <wp:extent cx="304800" cy="304800"/>
                <wp:effectExtent l="0" t="0" r="0" b="0"/>
                <wp:docPr id="1343765111" name="Retângulo 1" descr="Rodamina B – Wikipédia, a enciclopédia liv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40DEF11C" id="Retângulo 1" o:spid="_x0000_s1026" alt="Rodamina B – Wikipédia, a enciclopédia liv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62AF351" w14:textId="77777777" w:rsidR="006E1668" w:rsidRPr="006E1668" w:rsidRDefault="006E1668" w:rsidP="00D53529">
      <w:pPr>
        <w:pStyle w:val="TAMainText"/>
        <w:ind w:firstLine="187"/>
        <w:rPr>
          <w:rFonts w:ascii="Times New Roman" w:hAnsi="Times New Roman"/>
          <w:lang w:val="pt-BR"/>
        </w:rPr>
      </w:pPr>
    </w:p>
    <w:p w14:paraId="20C7CE2C" w14:textId="77777777" w:rsidR="006E1668" w:rsidRPr="006E1668" w:rsidRDefault="006E1668" w:rsidP="00D53529">
      <w:pPr>
        <w:pStyle w:val="TAMainText"/>
        <w:ind w:firstLine="187"/>
        <w:rPr>
          <w:rFonts w:ascii="Times New Roman" w:hAnsi="Times New Roman"/>
          <w:lang w:val="pt-BR"/>
        </w:rPr>
      </w:pPr>
    </w:p>
    <w:p w14:paraId="5E5CE72B" w14:textId="77777777" w:rsidR="00461188" w:rsidRPr="006E1668" w:rsidRDefault="00461188" w:rsidP="00D53529">
      <w:pPr>
        <w:pStyle w:val="TAMainText"/>
        <w:ind w:firstLine="187"/>
        <w:rPr>
          <w:rFonts w:ascii="Times New Roman" w:hAnsi="Times New Roman"/>
          <w:lang w:val="pt-BR"/>
        </w:rPr>
      </w:pPr>
    </w:p>
    <w:p w14:paraId="0E1DF153" w14:textId="77777777" w:rsidR="006E1668" w:rsidRPr="006E1668" w:rsidRDefault="006E1668" w:rsidP="00D53529">
      <w:pPr>
        <w:pStyle w:val="TAMainText"/>
        <w:ind w:firstLine="187"/>
        <w:rPr>
          <w:rFonts w:ascii="Times New Roman" w:hAnsi="Times New Roman"/>
          <w:lang w:val="pt-BR"/>
        </w:rPr>
      </w:pPr>
    </w:p>
    <w:p w14:paraId="306045B6" w14:textId="014B9A5A" w:rsidR="006E1668" w:rsidRPr="006E1668" w:rsidRDefault="006E1668" w:rsidP="006E1668">
      <w:pPr>
        <w:pStyle w:val="TAMainText"/>
        <w:ind w:firstLine="187"/>
        <w:jc w:val="center"/>
        <w:rPr>
          <w:rFonts w:ascii="Times New Roman" w:hAnsi="Times New Roman"/>
          <w:lang w:val="pt-BR"/>
        </w:rPr>
      </w:pPr>
    </w:p>
    <w:p w14:paraId="71B45FA9" w14:textId="5A8637E2" w:rsidR="006E1668" w:rsidRPr="006E1668" w:rsidRDefault="006E1668" w:rsidP="006E1668">
      <w:pPr>
        <w:pStyle w:val="TAMainText"/>
        <w:ind w:firstLine="187"/>
        <w:jc w:val="center"/>
        <w:rPr>
          <w:rFonts w:ascii="Times New Roman" w:hAnsi="Times New Roman"/>
          <w:lang w:val="pt-BR"/>
        </w:rPr>
      </w:pPr>
      <w:r w:rsidRPr="006E1668">
        <w:rPr>
          <w:noProof/>
        </w:rPr>
        <mc:AlternateContent>
          <mc:Choice Requires="wps">
            <w:drawing>
              <wp:anchor distT="0" distB="0" distL="114300" distR="114300" simplePos="0" relativeHeight="251670527" behindDoc="0" locked="0" layoutInCell="1" allowOverlap="1" wp14:anchorId="3F097AF6" wp14:editId="4AD191AE">
                <wp:simplePos x="0" y="0"/>
                <wp:positionH relativeFrom="column">
                  <wp:posOffset>268605</wp:posOffset>
                </wp:positionH>
                <wp:positionV relativeFrom="paragraph">
                  <wp:posOffset>56515</wp:posOffset>
                </wp:positionV>
                <wp:extent cx="2641600" cy="635"/>
                <wp:effectExtent l="0" t="0" r="6350" b="0"/>
                <wp:wrapNone/>
                <wp:docPr id="1711785264" name="Caixa de Texto 1711785264"/>
                <wp:cNvGraphicFramePr/>
                <a:graphic xmlns:a="http://schemas.openxmlformats.org/drawingml/2006/main">
                  <a:graphicData uri="http://schemas.microsoft.com/office/word/2010/wordprocessingShape">
                    <wps:wsp>
                      <wps:cNvSpPr txBox="1"/>
                      <wps:spPr>
                        <a:xfrm>
                          <a:off x="0" y="0"/>
                          <a:ext cx="2641600" cy="635"/>
                        </a:xfrm>
                        <a:prstGeom prst="rect">
                          <a:avLst/>
                        </a:prstGeom>
                        <a:solidFill>
                          <a:prstClr val="white"/>
                        </a:solidFill>
                        <a:ln>
                          <a:noFill/>
                        </a:ln>
                      </wps:spPr>
                      <wps:txbx>
                        <w:txbxContent>
                          <w:p w14:paraId="28E647AC" w14:textId="694781DC" w:rsidR="006E1668" w:rsidRPr="00B04989" w:rsidRDefault="006E1668" w:rsidP="006E1668">
                            <w:pPr>
                              <w:pStyle w:val="Legenda"/>
                              <w:jc w:val="center"/>
                              <w:rPr>
                                <w:rFonts w:ascii="Times New Roman" w:eastAsia="Times New Roman" w:hAnsi="Times New Roman" w:cs="Times New Roman"/>
                                <w:b w:val="0"/>
                                <w:bCs w:val="0"/>
                                <w:color w:val="auto"/>
                                <w:sz w:val="22"/>
                                <w:szCs w:val="22"/>
                              </w:rPr>
                            </w:pPr>
                            <w:r w:rsidRPr="00901DAD">
                              <w:rPr>
                                <w:rFonts w:ascii="Times New Roman" w:hAnsi="Times New Roman" w:cs="Times New Roman"/>
                                <w:color w:val="auto"/>
                                <w:sz w:val="18"/>
                                <w:szCs w:val="18"/>
                              </w:rPr>
                              <w:t xml:space="preserve">Figura </w:t>
                            </w:r>
                            <w:r>
                              <w:rPr>
                                <w:rFonts w:ascii="Times New Roman" w:hAnsi="Times New Roman" w:cs="Times New Roman"/>
                                <w:color w:val="auto"/>
                                <w:sz w:val="18"/>
                                <w:szCs w:val="18"/>
                              </w:rPr>
                              <w:t>6</w:t>
                            </w:r>
                            <w:r w:rsidRPr="00901DAD">
                              <w:rPr>
                                <w:rFonts w:ascii="Times New Roman" w:hAnsi="Times New Roman" w:cs="Times New Roman"/>
                                <w:color w:val="auto"/>
                                <w:sz w:val="18"/>
                                <w:szCs w:val="18"/>
                              </w:rPr>
                              <w:t xml:space="preserve">. </w:t>
                            </w:r>
                            <w:r w:rsidRPr="00901DAD">
                              <w:rPr>
                                <w:rFonts w:ascii="Times New Roman" w:hAnsi="Times New Roman" w:cs="Times New Roman"/>
                                <w:b w:val="0"/>
                                <w:bCs w:val="0"/>
                                <w:color w:val="auto"/>
                                <w:sz w:val="18"/>
                                <w:szCs w:val="18"/>
                              </w:rPr>
                              <w:t xml:space="preserve"> </w:t>
                            </w:r>
                            <w:r>
                              <w:rPr>
                                <w:rFonts w:ascii="Times New Roman" w:hAnsi="Times New Roman" w:cs="Times New Roman"/>
                                <w:b w:val="0"/>
                                <w:bCs w:val="0"/>
                                <w:color w:val="auto"/>
                                <w:sz w:val="18"/>
                                <w:szCs w:val="18"/>
                              </w:rPr>
                              <w:t>Estrutura molecular da Rodamina 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F097AF6" id="Caixa de Texto 1711785264" o:spid="_x0000_s1030" type="#_x0000_t202" style="position:absolute;left:0;text-align:left;margin-left:21.15pt;margin-top:4.45pt;width:208pt;height:.05pt;z-index:25167052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" stroked="f">
                <v:textbox style="mso-fit-shape-to-text:t" inset="0,0,0,0">
                  <w:txbxContent>
                    <w:p w14:paraId="28E647AC" w14:textId="694781DC" w:rsidR="006E1668" w:rsidRPr="00B04989" w:rsidRDefault="006E1668" w:rsidP="006E1668">
                      <w:pPr>
                        <w:pStyle w:val="Legenda"/>
                        <w:jc w:val="center"/>
                        <w:rPr>
                          <w:rFonts w:ascii="Times New Roman" w:eastAsia="Times New Roman" w:hAnsi="Times New Roman" w:cs="Times New Roman"/>
                          <w:b w:val="0"/>
                          <w:bCs w:val="0"/>
                          <w:color w:val="auto"/>
                          <w:sz w:val="22"/>
                          <w:szCs w:val="22"/>
                        </w:rPr>
                      </w:pPr>
                      <w:r w:rsidRPr="00901DAD">
                        <w:rPr>
                          <w:rFonts w:ascii="Times New Roman" w:hAnsi="Times New Roman" w:cs="Times New Roman"/>
                          <w:color w:val="auto"/>
                          <w:sz w:val="18"/>
                          <w:szCs w:val="18"/>
                        </w:rPr>
                        <w:t xml:space="preserve">Figura </w:t>
                      </w:r>
                      <w:r>
                        <w:rPr>
                          <w:rFonts w:ascii="Times New Roman" w:hAnsi="Times New Roman" w:cs="Times New Roman"/>
                          <w:color w:val="auto"/>
                          <w:sz w:val="18"/>
                          <w:szCs w:val="18"/>
                        </w:rPr>
                        <w:t>6</w:t>
                      </w:r>
                      <w:r w:rsidRPr="00901DAD">
                        <w:rPr>
                          <w:rFonts w:ascii="Times New Roman" w:hAnsi="Times New Roman" w:cs="Times New Roman"/>
                          <w:color w:val="auto"/>
                          <w:sz w:val="18"/>
                          <w:szCs w:val="18"/>
                        </w:rPr>
                        <w:t xml:space="preserve">. </w:t>
                      </w:r>
                      <w:r w:rsidRPr="00901DAD">
                        <w:rPr>
                          <w:rFonts w:ascii="Times New Roman" w:hAnsi="Times New Roman" w:cs="Times New Roman"/>
                          <w:b w:val="0"/>
                          <w:bCs w:val="0"/>
                          <w:color w:val="auto"/>
                          <w:sz w:val="18"/>
                          <w:szCs w:val="18"/>
                        </w:rPr>
                        <w:t xml:space="preserve"> </w:t>
                      </w:r>
                      <w:r>
                        <w:rPr>
                          <w:rFonts w:ascii="Times New Roman" w:hAnsi="Times New Roman" w:cs="Times New Roman"/>
                          <w:b w:val="0"/>
                          <w:bCs w:val="0"/>
                          <w:color w:val="auto"/>
                          <w:sz w:val="18"/>
                          <w:szCs w:val="18"/>
                        </w:rPr>
                        <w:t>Estrutura molecular da Rodamina B</w:t>
                      </w:r>
                    </w:p>
                  </w:txbxContent>
                </v:textbox>
              </v:shape>
            </w:pict>
          </mc:Fallback>
        </mc:AlternateContent>
      </w:r>
    </w:p>
    <w:p w14:paraId="758BD24C" w14:textId="3D3C2581" w:rsidR="006E1668" w:rsidRPr="006E1668" w:rsidRDefault="006E1668" w:rsidP="006E1668">
      <w:pPr>
        <w:pStyle w:val="TAMainText"/>
        <w:ind w:firstLine="187"/>
        <w:jc w:val="center"/>
        <w:rPr>
          <w:rFonts w:ascii="Times New Roman" w:hAnsi="Times New Roman"/>
          <w:lang w:val="pt-BR"/>
        </w:rPr>
      </w:pPr>
    </w:p>
    <w:p w14:paraId="0CE127C0" w14:textId="6A783E4B" w:rsidR="00FA64CE" w:rsidRDefault="000C460D" w:rsidP="00D53529">
      <w:pPr>
        <w:pStyle w:val="TAMainText"/>
        <w:ind w:firstLine="187"/>
        <w:rPr>
          <w:rFonts w:ascii="Times New Roman" w:hAnsi="Times New Roman"/>
          <w:lang w:val="pt-BR"/>
        </w:rPr>
      </w:pPr>
      <w:r w:rsidRPr="000C460D">
        <w:rPr>
          <w:rFonts w:ascii="Times New Roman" w:hAnsi="Times New Roman"/>
          <w:lang w:val="pt-BR"/>
        </w:rPr>
        <w:t>O catalisador foi misturado por uma hora com solução contendo o corante para garantir o equilíbrio adsorção/dessorção</w:t>
      </w:r>
      <w:r w:rsidR="00F853AA" w:rsidRPr="006E1668">
        <w:rPr>
          <w:rFonts w:ascii="Times New Roman" w:hAnsi="Times New Roman"/>
          <w:lang w:val="pt-BR"/>
        </w:rPr>
        <w:t xml:space="preserve">. </w:t>
      </w:r>
      <w:r w:rsidR="007E615A" w:rsidRPr="006E1668">
        <w:rPr>
          <w:rFonts w:ascii="Times New Roman" w:hAnsi="Times New Roman"/>
          <w:lang w:val="pt-BR"/>
        </w:rPr>
        <w:t xml:space="preserve">A solução foi </w:t>
      </w:r>
      <w:r w:rsidR="00CC726C" w:rsidRPr="006E1668">
        <w:rPr>
          <w:rFonts w:ascii="Times New Roman" w:hAnsi="Times New Roman"/>
          <w:lang w:val="pt-BR"/>
        </w:rPr>
        <w:t xml:space="preserve">irradiada por 2 horas </w:t>
      </w:r>
      <w:r w:rsidR="00B42E45" w:rsidRPr="006E1668">
        <w:rPr>
          <w:rFonts w:ascii="Times New Roman" w:hAnsi="Times New Roman"/>
          <w:lang w:val="pt-BR"/>
        </w:rPr>
        <w:t>(</w:t>
      </w:r>
      <w:r w:rsidR="00461188" w:rsidRPr="006E1668">
        <w:rPr>
          <w:rFonts w:ascii="Times New Roman" w:hAnsi="Times New Roman"/>
          <w:lang w:val="pt-BR"/>
        </w:rPr>
        <w:t>453 nm)</w:t>
      </w:r>
      <w:r w:rsidR="00B42E45" w:rsidRPr="006E1668">
        <w:rPr>
          <w:rFonts w:ascii="Times New Roman" w:hAnsi="Times New Roman"/>
          <w:lang w:val="pt-BR"/>
        </w:rPr>
        <w:t xml:space="preserve"> </w:t>
      </w:r>
      <w:r w:rsidR="00B82448" w:rsidRPr="006E1668">
        <w:rPr>
          <w:rFonts w:ascii="Times New Roman" w:hAnsi="Times New Roman"/>
          <w:lang w:val="pt-BR"/>
        </w:rPr>
        <w:t xml:space="preserve">e </w:t>
      </w:r>
      <w:r w:rsidR="00B42E45" w:rsidRPr="006E1668">
        <w:rPr>
          <w:rFonts w:ascii="Times New Roman" w:hAnsi="Times New Roman"/>
          <w:lang w:val="pt-BR"/>
        </w:rPr>
        <w:t>a cinética de degradação acompanhada por</w:t>
      </w:r>
      <w:r w:rsidR="00B82448" w:rsidRPr="006E1668">
        <w:rPr>
          <w:rFonts w:ascii="Times New Roman" w:hAnsi="Times New Roman"/>
          <w:lang w:val="pt-BR"/>
        </w:rPr>
        <w:t xml:space="preserve"> UV</w:t>
      </w:r>
      <w:r w:rsidR="0078360D" w:rsidRPr="006E1668">
        <w:rPr>
          <w:rFonts w:ascii="Times New Roman" w:hAnsi="Times New Roman"/>
          <w:lang w:val="pt-BR"/>
        </w:rPr>
        <w:t>-</w:t>
      </w:r>
      <w:r w:rsidR="00B82448" w:rsidRPr="006E1668">
        <w:rPr>
          <w:rFonts w:ascii="Times New Roman" w:hAnsi="Times New Roman"/>
          <w:lang w:val="pt-BR"/>
        </w:rPr>
        <w:t>Vis</w:t>
      </w:r>
      <w:r w:rsidR="0078360D" w:rsidRPr="006E1668">
        <w:rPr>
          <w:rFonts w:ascii="Times New Roman" w:hAnsi="Times New Roman"/>
          <w:lang w:val="pt-BR"/>
        </w:rPr>
        <w:t xml:space="preserve"> </w:t>
      </w:r>
      <w:r w:rsidR="00464CD6" w:rsidRPr="000C460D">
        <w:rPr>
          <w:rFonts w:ascii="Times New Roman" w:hAnsi="Times New Roman"/>
          <w:lang w:val="pt-BR"/>
        </w:rPr>
        <w:t>a</w:t>
      </w:r>
      <w:r w:rsidR="00464CD6" w:rsidRPr="006E1668">
        <w:rPr>
          <w:rFonts w:ascii="Times New Roman" w:hAnsi="Times New Roman"/>
          <w:u w:val="single"/>
          <w:lang w:val="pt-BR"/>
        </w:rPr>
        <w:t xml:space="preserve"> </w:t>
      </w:r>
      <w:r w:rsidR="00464CD6" w:rsidRPr="000C460D">
        <w:rPr>
          <w:rFonts w:ascii="Times New Roman" w:hAnsi="Times New Roman"/>
          <w:lang w:val="pt-BR"/>
        </w:rPr>
        <w:t>cada 10 min, 30 min, 60 min, 90 min e 120 min.</w:t>
      </w:r>
      <w:r w:rsidR="00156724" w:rsidRPr="006E1668">
        <w:rPr>
          <w:rFonts w:ascii="Times New Roman" w:hAnsi="Times New Roman"/>
          <w:lang w:val="pt-BR"/>
        </w:rPr>
        <w:t xml:space="preserve"> Foi também realizado um teste </w:t>
      </w:r>
      <w:r w:rsidR="00461188" w:rsidRPr="006E1668">
        <w:rPr>
          <w:rFonts w:ascii="Times New Roman" w:hAnsi="Times New Roman"/>
          <w:lang w:val="pt-BR"/>
        </w:rPr>
        <w:t xml:space="preserve">controle, </w:t>
      </w:r>
      <w:r w:rsidR="00B42E45" w:rsidRPr="006E1668">
        <w:rPr>
          <w:rFonts w:ascii="Times New Roman" w:hAnsi="Times New Roman"/>
          <w:lang w:val="pt-BR"/>
        </w:rPr>
        <w:t>o</w:t>
      </w:r>
      <w:r w:rsidR="00FA64CE">
        <w:rPr>
          <w:rFonts w:ascii="Times New Roman" w:hAnsi="Times New Roman"/>
          <w:lang w:val="pt-BR"/>
        </w:rPr>
        <w:t>nde</w:t>
      </w:r>
      <w:r w:rsidR="00B42E45" w:rsidRPr="006E1668">
        <w:rPr>
          <w:rFonts w:ascii="Times New Roman" w:hAnsi="Times New Roman"/>
          <w:lang w:val="pt-BR"/>
        </w:rPr>
        <w:t xml:space="preserve"> </w:t>
      </w:r>
      <w:r w:rsidR="00156724" w:rsidRPr="006E1668">
        <w:rPr>
          <w:rFonts w:ascii="Times New Roman" w:hAnsi="Times New Roman"/>
          <w:lang w:val="pt-BR"/>
        </w:rPr>
        <w:t>corante foi colocado sobre as mesmas condições, mas sem a atuação de nenhum catalisador.</w:t>
      </w:r>
      <w:r w:rsidR="00464CD6" w:rsidRPr="006E1668">
        <w:rPr>
          <w:rFonts w:ascii="Times New Roman" w:hAnsi="Times New Roman"/>
          <w:lang w:val="pt-BR"/>
        </w:rPr>
        <w:t xml:space="preserve"> </w:t>
      </w:r>
    </w:p>
    <w:p w14:paraId="03C8F7D2" w14:textId="57E089C2" w:rsidR="00E87431" w:rsidRPr="006E1668" w:rsidRDefault="00FA64CE" w:rsidP="00D53529">
      <w:pPr>
        <w:pStyle w:val="TAMainText"/>
        <w:ind w:firstLine="187"/>
        <w:rPr>
          <w:rFonts w:ascii="Times New Roman" w:hAnsi="Times New Roman"/>
          <w:lang w:val="pt-BR"/>
        </w:rPr>
      </w:pPr>
      <w:r>
        <w:rPr>
          <w:rFonts w:ascii="Times New Roman" w:hAnsi="Times New Roman"/>
          <w:lang w:val="pt-BR"/>
        </w:rPr>
        <w:t>A Figura 7 demonstra a degradação do corante a partir da diminuição da banda de absorção</w:t>
      </w:r>
      <w:r w:rsidR="00254700">
        <w:rPr>
          <w:rFonts w:ascii="Times New Roman" w:hAnsi="Times New Roman"/>
          <w:lang w:val="pt-BR"/>
        </w:rPr>
        <w:t>, que costuma aparecer em 550 nm.</w:t>
      </w:r>
      <w:r>
        <w:rPr>
          <w:rFonts w:ascii="Times New Roman" w:hAnsi="Times New Roman"/>
          <w:lang w:val="pt-BR"/>
        </w:rPr>
        <w:t xml:space="preserve"> </w:t>
      </w:r>
      <w:r w:rsidR="00464CD6" w:rsidRPr="006E1668">
        <w:rPr>
          <w:rFonts w:ascii="Times New Roman" w:hAnsi="Times New Roman"/>
          <w:lang w:val="pt-BR"/>
        </w:rPr>
        <w:t>Como pode ser observado</w:t>
      </w:r>
      <w:r w:rsidR="00661C83" w:rsidRPr="006E1668">
        <w:rPr>
          <w:rFonts w:ascii="Times New Roman" w:hAnsi="Times New Roman"/>
          <w:lang w:val="pt-BR"/>
        </w:rPr>
        <w:t>, o</w:t>
      </w:r>
      <w:r w:rsidR="00B42E45" w:rsidRPr="006E1668">
        <w:rPr>
          <w:rFonts w:ascii="Times New Roman" w:hAnsi="Times New Roman"/>
          <w:lang w:val="pt-BR"/>
        </w:rPr>
        <w:t xml:space="preserve"> </w:t>
      </w:r>
      <w:r w:rsidR="00661C83" w:rsidRPr="006E1668">
        <w:rPr>
          <w:rFonts w:ascii="Times New Roman" w:hAnsi="Times New Roman"/>
          <w:lang w:val="pt-BR"/>
        </w:rPr>
        <w:t>catalisador não possui um</w:t>
      </w:r>
      <w:r w:rsidR="00B42E45" w:rsidRPr="006E1668">
        <w:rPr>
          <w:rFonts w:ascii="Times New Roman" w:hAnsi="Times New Roman"/>
          <w:lang w:val="pt-BR"/>
        </w:rPr>
        <w:t>a</w:t>
      </w:r>
      <w:r w:rsidR="00661C83" w:rsidRPr="006E1668">
        <w:rPr>
          <w:rFonts w:ascii="Times New Roman" w:hAnsi="Times New Roman"/>
          <w:lang w:val="pt-BR"/>
        </w:rPr>
        <w:t xml:space="preserve"> grande </w:t>
      </w:r>
      <w:r w:rsidR="00B42E45" w:rsidRPr="006E1668">
        <w:rPr>
          <w:rFonts w:ascii="Times New Roman" w:hAnsi="Times New Roman"/>
          <w:lang w:val="pt-BR"/>
        </w:rPr>
        <w:t>atividade de foto</w:t>
      </w:r>
      <w:r w:rsidR="00661C83" w:rsidRPr="006E1668">
        <w:rPr>
          <w:rFonts w:ascii="Times New Roman" w:hAnsi="Times New Roman"/>
          <w:lang w:val="pt-BR"/>
        </w:rPr>
        <w:t>degra</w:t>
      </w:r>
      <w:r w:rsidR="008E502B" w:rsidRPr="006E1668">
        <w:rPr>
          <w:rFonts w:ascii="Times New Roman" w:hAnsi="Times New Roman"/>
          <w:lang w:val="pt-BR"/>
        </w:rPr>
        <w:t>da</w:t>
      </w:r>
      <w:r w:rsidR="00661C83" w:rsidRPr="006E1668">
        <w:rPr>
          <w:rFonts w:ascii="Times New Roman" w:hAnsi="Times New Roman"/>
          <w:lang w:val="pt-BR"/>
        </w:rPr>
        <w:t xml:space="preserve">ção </w:t>
      </w:r>
      <w:r w:rsidR="00B42E45" w:rsidRPr="006E1668">
        <w:rPr>
          <w:rFonts w:ascii="Times New Roman" w:hAnsi="Times New Roman"/>
          <w:lang w:val="pt-BR"/>
        </w:rPr>
        <w:t>da Rodamina B. P</w:t>
      </w:r>
      <w:r w:rsidR="00156724" w:rsidRPr="006E1668">
        <w:rPr>
          <w:rFonts w:ascii="Times New Roman" w:hAnsi="Times New Roman"/>
          <w:lang w:val="pt-BR"/>
        </w:rPr>
        <w:t>orém</w:t>
      </w:r>
      <w:r w:rsidR="00B42E45" w:rsidRPr="006E1668">
        <w:rPr>
          <w:rFonts w:ascii="Times New Roman" w:hAnsi="Times New Roman"/>
          <w:lang w:val="pt-BR"/>
        </w:rPr>
        <w:t>, a degradação, apesar de pouco intensa, ocorreu</w:t>
      </w:r>
      <w:r w:rsidR="00A90104" w:rsidRPr="006E1668">
        <w:rPr>
          <w:rFonts w:ascii="Times New Roman" w:hAnsi="Times New Roman"/>
          <w:lang w:val="pt-BR"/>
        </w:rPr>
        <w:t xml:space="preserve"> apenas na presença do catalisador. </w:t>
      </w:r>
      <w:r w:rsidR="00B42E45" w:rsidRPr="006E1668">
        <w:rPr>
          <w:rFonts w:ascii="Times New Roman" w:hAnsi="Times New Roman"/>
          <w:lang w:val="pt-BR"/>
        </w:rPr>
        <w:t>Esses resultados ainda não são completamente compreendidos, mas uma hipótese é que ocorra problemas de difusão do corante para a estrutura da nanopartícula, onde deve ocorrer a fotodegradação</w:t>
      </w:r>
      <w:r w:rsidR="008E502B" w:rsidRPr="006E1668">
        <w:rPr>
          <w:rFonts w:ascii="Times New Roman" w:hAnsi="Times New Roman"/>
          <w:lang w:val="pt-BR"/>
        </w:rPr>
        <w:t>.</w:t>
      </w:r>
      <w:r w:rsidR="00B42E45" w:rsidRPr="006E1668">
        <w:rPr>
          <w:rFonts w:ascii="Times New Roman" w:hAnsi="Times New Roman"/>
          <w:lang w:val="pt-BR"/>
        </w:rPr>
        <w:t xml:space="preserve"> A camada externa de alumina pode estar dificultando o acesso do corante à nanopartícula, confirmando a estrutura tipo </w:t>
      </w:r>
      <w:r w:rsidR="00B42E45" w:rsidRPr="006E1668">
        <w:rPr>
          <w:rFonts w:ascii="Times New Roman" w:hAnsi="Times New Roman"/>
          <w:i/>
          <w:iCs/>
          <w:lang w:val="pt-BR"/>
        </w:rPr>
        <w:t>core-shell</w:t>
      </w:r>
      <w:r w:rsidR="00B42E45" w:rsidRPr="006E1668">
        <w:rPr>
          <w:rFonts w:ascii="Times New Roman" w:hAnsi="Times New Roman"/>
          <w:lang w:val="pt-BR"/>
        </w:rPr>
        <w:t xml:space="preserve"> do sistema.</w:t>
      </w:r>
      <w:r w:rsidR="000A36E5" w:rsidRPr="006E1668">
        <w:rPr>
          <w:rFonts w:ascii="Times New Roman" w:hAnsi="Times New Roman"/>
          <w:lang w:val="pt-BR"/>
        </w:rPr>
        <w:t xml:space="preserve"> </w:t>
      </w:r>
      <w:r w:rsidR="00F040D0" w:rsidRPr="006E1668">
        <w:rPr>
          <w:rFonts w:ascii="Times New Roman" w:hAnsi="Times New Roman"/>
          <w:lang w:val="pt-BR"/>
        </w:rPr>
        <w:t xml:space="preserve"> </w:t>
      </w:r>
    </w:p>
    <w:p w14:paraId="24503423" w14:textId="06C024C3" w:rsidR="00C90497" w:rsidRDefault="00CB4AEA" w:rsidP="00C90497">
      <w:pPr>
        <w:keepNext/>
        <w:jc w:val="center"/>
      </w:pPr>
      <w:r>
        <w:rPr>
          <w:noProof/>
        </w:rPr>
        <w:drawing>
          <wp:inline distT="0" distB="0" distL="0" distR="0" wp14:anchorId="2E72265B" wp14:editId="5E1C8250">
            <wp:extent cx="3025140" cy="2118360"/>
            <wp:effectExtent l="0" t="0" r="3810" b="0"/>
            <wp:docPr id="1409537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25140" cy="2118360"/>
                    </a:xfrm>
                    <a:prstGeom prst="rect">
                      <a:avLst/>
                    </a:prstGeom>
                    <a:noFill/>
                    <a:ln>
                      <a:noFill/>
                    </a:ln>
                  </pic:spPr>
                </pic:pic>
              </a:graphicData>
            </a:graphic>
          </wp:inline>
        </w:drawing>
      </w:r>
    </w:p>
    <w:p w14:paraId="5BC5303F" w14:textId="77777777" w:rsidR="004F50EC" w:rsidRPr="006E1668" w:rsidRDefault="004F50EC" w:rsidP="004F50EC">
      <w:pPr>
        <w:pStyle w:val="Legenda"/>
        <w:jc w:val="center"/>
        <w:rPr>
          <w:rFonts w:ascii="Times New Roman" w:hAnsi="Times New Roman" w:cs="Times New Roman"/>
          <w:b w:val="0"/>
          <w:bCs w:val="0"/>
          <w:sz w:val="18"/>
          <w:szCs w:val="18"/>
        </w:rPr>
      </w:pPr>
      <w:r w:rsidRPr="006E1668">
        <w:rPr>
          <w:rFonts w:ascii="Times New Roman" w:hAnsi="Times New Roman" w:cs="Times New Roman"/>
          <w:color w:val="auto"/>
          <w:sz w:val="18"/>
          <w:szCs w:val="18"/>
        </w:rPr>
        <w:t xml:space="preserve">Figura 7. </w:t>
      </w:r>
      <w:r w:rsidRPr="006E1668">
        <w:rPr>
          <w:rFonts w:ascii="Times New Roman" w:hAnsi="Times New Roman" w:cs="Times New Roman"/>
          <w:b w:val="0"/>
          <w:bCs w:val="0"/>
          <w:color w:val="auto"/>
          <w:sz w:val="18"/>
          <w:szCs w:val="18"/>
        </w:rPr>
        <w:t>Gráfico de degradação da Rodamina B a partir do catalisador</w:t>
      </w:r>
    </w:p>
    <w:p w14:paraId="36D8D2A1" w14:textId="541123E7" w:rsidR="004F50EC" w:rsidRDefault="004F50EC" w:rsidP="004F50EC">
      <w:pPr>
        <w:pStyle w:val="TAMainText"/>
        <w:ind w:firstLine="187"/>
        <w:rPr>
          <w:rFonts w:ascii="Times New Roman" w:hAnsi="Times New Roman"/>
          <w:lang w:val="pt-BR"/>
        </w:rPr>
      </w:pPr>
      <w:r>
        <w:rPr>
          <w:rFonts w:ascii="Times New Roman" w:hAnsi="Times New Roman"/>
          <w:lang w:val="pt-BR"/>
        </w:rPr>
        <w:lastRenderedPageBreak/>
        <w:t xml:space="preserve">   Utilizando a Lei de Lambert-Beer, é possível determinar a concentração restante do corante analisado. </w:t>
      </w:r>
      <w:r w:rsidR="004C4F5E">
        <w:rPr>
          <w:rFonts w:ascii="Times New Roman" w:hAnsi="Times New Roman"/>
          <w:lang w:val="pt-BR"/>
        </w:rPr>
        <w:t xml:space="preserve">A partir desse resultado, é possível plotar um gráfico relacionando a concentração de Rodamina B restante com o tempo de reação. Podemos ver que há uma tendência linear decrescente, o que comprova o que foi dito anteriormente sobre a degradação. </w:t>
      </w:r>
    </w:p>
    <w:p w14:paraId="06894914" w14:textId="77777777" w:rsidR="004F50EC" w:rsidRDefault="004F50EC" w:rsidP="00C90497">
      <w:pPr>
        <w:keepNext/>
        <w:jc w:val="center"/>
      </w:pPr>
    </w:p>
    <w:p w14:paraId="5B9ACD5D" w14:textId="5843E0D1" w:rsidR="004F50EC" w:rsidRDefault="004C4F5E" w:rsidP="004F50EC">
      <w:pPr>
        <w:keepNext/>
        <w:jc w:val="center"/>
      </w:pPr>
      <w:r w:rsidRPr="004C4F5E">
        <w:drawing>
          <wp:inline distT="0" distB="0" distL="0" distR="0" wp14:anchorId="7C2F2C98" wp14:editId="0F15F425">
            <wp:extent cx="3027680" cy="2319020"/>
            <wp:effectExtent l="0" t="0" r="1270" b="5080"/>
            <wp:docPr id="2125408066" name="Imagem 1" descr="Gráfico, Gráfico de dispers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408066" name="Imagem 1" descr="Gráfico, Gráfico de dispersão&#10;&#10;Descrição gerada automaticamente"/>
                    <pic:cNvPicPr/>
                  </pic:nvPicPr>
                  <pic:blipFill>
                    <a:blip r:embed="rId17"/>
                    <a:stretch>
                      <a:fillRect/>
                    </a:stretch>
                  </pic:blipFill>
                  <pic:spPr>
                    <a:xfrm>
                      <a:off x="0" y="0"/>
                      <a:ext cx="3027680" cy="2319020"/>
                    </a:xfrm>
                    <a:prstGeom prst="rect">
                      <a:avLst/>
                    </a:prstGeom>
                  </pic:spPr>
                </pic:pic>
              </a:graphicData>
            </a:graphic>
          </wp:inline>
        </w:drawing>
      </w:r>
    </w:p>
    <w:p w14:paraId="2CC3D2E2" w14:textId="039FB610" w:rsidR="004F50EC" w:rsidRDefault="004F50EC" w:rsidP="00AA0E6F">
      <w:pPr>
        <w:pStyle w:val="Legenda"/>
        <w:jc w:val="center"/>
        <w:rPr>
          <w:rFonts w:ascii="Times New Roman" w:hAnsi="Times New Roman" w:cs="Times New Roman"/>
          <w:b w:val="0"/>
          <w:bCs w:val="0"/>
          <w:color w:val="auto"/>
          <w:sz w:val="18"/>
          <w:szCs w:val="18"/>
        </w:rPr>
      </w:pPr>
      <w:r w:rsidRPr="00AA0E6F">
        <w:rPr>
          <w:rFonts w:ascii="Times New Roman" w:hAnsi="Times New Roman" w:cs="Times New Roman"/>
          <w:color w:val="auto"/>
          <w:sz w:val="18"/>
          <w:szCs w:val="18"/>
        </w:rPr>
        <w:t>Figura 8:</w:t>
      </w:r>
      <w:r w:rsidRPr="00AA0E6F">
        <w:rPr>
          <w:rFonts w:ascii="Times New Roman" w:hAnsi="Times New Roman" w:cs="Times New Roman"/>
          <w:b w:val="0"/>
          <w:bCs w:val="0"/>
          <w:color w:val="auto"/>
          <w:sz w:val="18"/>
          <w:szCs w:val="18"/>
        </w:rPr>
        <w:t xml:space="preserve"> Gráficos de concentração de Rodamina B no tempo de monitoramento sobre concentração inicial de rodamina B</w:t>
      </w:r>
    </w:p>
    <w:p w14:paraId="39CB9B05" w14:textId="77777777" w:rsidR="00AA0E6F" w:rsidRPr="00AA0E6F" w:rsidRDefault="00AA0E6F" w:rsidP="00AA0E6F"/>
    <w:p w14:paraId="20AA905D" w14:textId="7FE1783A" w:rsidR="00EA4E1B" w:rsidRPr="006E1668" w:rsidRDefault="00EA4E1B" w:rsidP="00EA4E1B">
      <w:pPr>
        <w:pStyle w:val="Ttulo2"/>
        <w:rPr>
          <w:rFonts w:ascii="Helvetica" w:hAnsi="Helvetica" w:cs="Helvetica"/>
          <w:sz w:val="24"/>
          <w:szCs w:val="24"/>
        </w:rPr>
      </w:pPr>
      <w:r w:rsidRPr="006E1668">
        <w:rPr>
          <w:rFonts w:ascii="Helvetica" w:hAnsi="Helvetica" w:cs="Helvetica"/>
          <w:sz w:val="24"/>
          <w:szCs w:val="24"/>
        </w:rPr>
        <w:t>Conclusões</w:t>
      </w:r>
    </w:p>
    <w:p w14:paraId="1D16EB67" w14:textId="5EA31531" w:rsidR="00891506" w:rsidRPr="006E1668" w:rsidRDefault="00F84D6F" w:rsidP="00EA4E1B">
      <w:pPr>
        <w:pStyle w:val="TAMainText"/>
        <w:ind w:firstLine="187"/>
        <w:rPr>
          <w:rFonts w:ascii="Times New Roman" w:hAnsi="Times New Roman"/>
          <w:lang w:val="pt-BR"/>
        </w:rPr>
      </w:pPr>
      <w:r w:rsidRPr="006E1668">
        <w:rPr>
          <w:rFonts w:ascii="Times New Roman" w:hAnsi="Times New Roman"/>
          <w:lang w:val="pt-BR"/>
        </w:rPr>
        <w:t xml:space="preserve">A síntese das nanopartículas </w:t>
      </w:r>
      <w:r w:rsidR="00490A27" w:rsidRPr="006E1668">
        <w:rPr>
          <w:rFonts w:ascii="Times New Roman" w:hAnsi="Times New Roman"/>
          <w:lang w:val="pt-BR"/>
        </w:rPr>
        <w:t xml:space="preserve">de prata </w:t>
      </w:r>
      <w:r w:rsidR="00775D32" w:rsidRPr="006E1668">
        <w:rPr>
          <w:rFonts w:ascii="Times New Roman" w:hAnsi="Times New Roman"/>
          <w:lang w:val="pt-BR"/>
        </w:rPr>
        <w:t xml:space="preserve">pelo método poliol resultou em </w:t>
      </w:r>
      <w:r w:rsidR="0094340C" w:rsidRPr="006E1668">
        <w:rPr>
          <w:rFonts w:ascii="Times New Roman" w:hAnsi="Times New Roman"/>
          <w:lang w:val="pt-BR"/>
        </w:rPr>
        <w:t>partículas com tamanho médio de 80 nm</w:t>
      </w:r>
      <w:r w:rsidR="00466955" w:rsidRPr="006E1668">
        <w:rPr>
          <w:rFonts w:ascii="Times New Roman" w:hAnsi="Times New Roman"/>
          <w:lang w:val="pt-BR"/>
        </w:rPr>
        <w:t xml:space="preserve">, observados pela análise de </w:t>
      </w:r>
      <w:r w:rsidR="00B463C7" w:rsidRPr="006E1668">
        <w:rPr>
          <w:rFonts w:ascii="Times New Roman" w:hAnsi="Times New Roman"/>
          <w:lang w:val="pt-BR"/>
        </w:rPr>
        <w:t>DLS</w:t>
      </w:r>
      <w:r w:rsidR="00E573CD" w:rsidRPr="006E1668">
        <w:rPr>
          <w:rFonts w:ascii="Times New Roman" w:hAnsi="Times New Roman"/>
          <w:lang w:val="pt-BR"/>
        </w:rPr>
        <w:t xml:space="preserve">. Essas nanopartículas foram </w:t>
      </w:r>
      <w:r w:rsidR="00106382" w:rsidRPr="006E1668">
        <w:rPr>
          <w:rFonts w:ascii="Times New Roman" w:hAnsi="Times New Roman"/>
          <w:lang w:val="pt-BR"/>
        </w:rPr>
        <w:t xml:space="preserve">revestidas </w:t>
      </w:r>
      <w:r w:rsidR="007938BF" w:rsidRPr="006E1668">
        <w:rPr>
          <w:rFonts w:ascii="Times New Roman" w:hAnsi="Times New Roman"/>
          <w:lang w:val="pt-BR"/>
        </w:rPr>
        <w:t>por</w:t>
      </w:r>
      <w:r w:rsidR="00D739CF" w:rsidRPr="006E1668">
        <w:rPr>
          <w:rFonts w:ascii="Times New Roman" w:hAnsi="Times New Roman"/>
          <w:lang w:val="pt-BR"/>
        </w:rPr>
        <w:t xml:space="preserve"> alumina e </w:t>
      </w:r>
      <w:r w:rsidR="00296E4F" w:rsidRPr="006E1668">
        <w:rPr>
          <w:rFonts w:ascii="Times New Roman" w:hAnsi="Times New Roman"/>
          <w:lang w:val="pt-BR"/>
        </w:rPr>
        <w:t>caracterizadas por FTIR</w:t>
      </w:r>
      <w:r w:rsidR="00C6361B" w:rsidRPr="006E1668">
        <w:rPr>
          <w:rFonts w:ascii="Times New Roman" w:hAnsi="Times New Roman"/>
          <w:lang w:val="pt-BR"/>
        </w:rPr>
        <w:t xml:space="preserve"> e MEV. </w:t>
      </w:r>
      <w:r w:rsidR="007938BF" w:rsidRPr="006E1668">
        <w:rPr>
          <w:rFonts w:ascii="Times New Roman" w:hAnsi="Times New Roman"/>
          <w:lang w:val="pt-BR"/>
        </w:rPr>
        <w:t>Os resultados mostraram a formação de sistema tipo core-shell.</w:t>
      </w:r>
      <w:r w:rsidR="00461188" w:rsidRPr="006E1668">
        <w:rPr>
          <w:rFonts w:ascii="Times New Roman" w:hAnsi="Times New Roman"/>
          <w:lang w:val="pt-BR"/>
        </w:rPr>
        <w:t xml:space="preserve"> </w:t>
      </w:r>
      <w:r w:rsidR="007938BF" w:rsidRPr="006E1668">
        <w:rPr>
          <w:rFonts w:ascii="Times New Roman" w:hAnsi="Times New Roman"/>
          <w:lang w:val="pt-BR"/>
        </w:rPr>
        <w:t>Estudos de fotodegradação de corantes sugerem que as nanopartículas de prata estão realmente encapsuladas sob a cobertura de alumina, já que a atividade foi reduzida, possivelmente devidos a efeitos difusionais.</w:t>
      </w:r>
    </w:p>
    <w:p w14:paraId="6BE32F7B" w14:textId="562FBB4B" w:rsidR="00EA4E1B" w:rsidRPr="006E1668" w:rsidRDefault="00EA4E1B" w:rsidP="00EA4E1B">
      <w:pPr>
        <w:pStyle w:val="Ttulo2"/>
        <w:rPr>
          <w:rFonts w:ascii="Helvetica" w:hAnsi="Helvetica" w:cs="Helvetica"/>
          <w:sz w:val="24"/>
          <w:szCs w:val="24"/>
        </w:rPr>
      </w:pPr>
      <w:r w:rsidRPr="006E1668">
        <w:rPr>
          <w:rFonts w:ascii="Helvetica" w:hAnsi="Helvetica" w:cs="Helvetica"/>
          <w:sz w:val="24"/>
          <w:szCs w:val="24"/>
        </w:rPr>
        <w:t>Agradecimentos</w:t>
      </w:r>
    </w:p>
    <w:p w14:paraId="05A178F9" w14:textId="798A9ED3" w:rsidR="00EA4E1B" w:rsidRPr="006E1668" w:rsidRDefault="00361A78" w:rsidP="00EA4E1B">
      <w:pPr>
        <w:pStyle w:val="TAMainText"/>
        <w:rPr>
          <w:rFonts w:ascii="Times New Roman" w:hAnsi="Times New Roman"/>
          <w:lang w:val="pt-BR"/>
        </w:rPr>
      </w:pPr>
      <w:r w:rsidRPr="006E1668">
        <w:rPr>
          <w:rFonts w:ascii="Times New Roman" w:hAnsi="Times New Roman"/>
          <w:lang w:val="pt-BR"/>
        </w:rPr>
        <w:t xml:space="preserve">Sinochem, </w:t>
      </w:r>
      <w:r w:rsidR="004D2B18" w:rsidRPr="006E1668">
        <w:rPr>
          <w:rFonts w:ascii="Times New Roman" w:hAnsi="Times New Roman"/>
          <w:lang w:val="pt-BR"/>
        </w:rPr>
        <w:t xml:space="preserve">Faperj, </w:t>
      </w:r>
      <w:r w:rsidR="00FF213B">
        <w:rPr>
          <w:rFonts w:ascii="Times New Roman" w:hAnsi="Times New Roman"/>
          <w:lang w:val="pt-BR"/>
        </w:rPr>
        <w:t xml:space="preserve">LIPCAT, </w:t>
      </w:r>
      <w:r w:rsidR="004D2B18" w:rsidRPr="006E1668">
        <w:rPr>
          <w:rFonts w:ascii="Times New Roman" w:hAnsi="Times New Roman"/>
          <w:lang w:val="pt-BR"/>
        </w:rPr>
        <w:t xml:space="preserve">CNPq. </w:t>
      </w:r>
    </w:p>
    <w:p w14:paraId="496DD4E7" w14:textId="09F7108F" w:rsidR="00EA4E1B" w:rsidRPr="006E1668" w:rsidRDefault="00EA4E1B" w:rsidP="00CB5DB4">
      <w:pPr>
        <w:pStyle w:val="Ttulo2"/>
        <w:rPr>
          <w:rFonts w:ascii="Helvetica" w:hAnsi="Helvetica" w:cs="Helvetica"/>
          <w:sz w:val="24"/>
          <w:szCs w:val="24"/>
        </w:rPr>
      </w:pPr>
      <w:r w:rsidRPr="006E1668">
        <w:rPr>
          <w:rFonts w:ascii="Helvetica" w:hAnsi="Helvetica" w:cs="Helvetica"/>
          <w:sz w:val="24"/>
          <w:szCs w:val="24"/>
        </w:rPr>
        <w:t>Referências</w:t>
      </w:r>
    </w:p>
    <w:p w14:paraId="158D911D" w14:textId="37CE2A9C" w:rsidR="00EA4E1B" w:rsidRPr="006E1668" w:rsidRDefault="00EA4E1B" w:rsidP="00EA4E1B">
      <w:pPr>
        <w:pStyle w:val="TAMainText"/>
        <w:ind w:firstLine="0"/>
        <w:rPr>
          <w:lang w:val="pt-BR"/>
        </w:rPr>
      </w:pPr>
    </w:p>
    <w:p w14:paraId="71D71FCF" w14:textId="1E2CA5AE" w:rsidR="00A34A53" w:rsidRPr="006E1668" w:rsidRDefault="00AD344C" w:rsidP="00EA4E1B">
      <w:pPr>
        <w:pStyle w:val="TAMainText"/>
        <w:numPr>
          <w:ilvl w:val="0"/>
          <w:numId w:val="1"/>
        </w:numPr>
        <w:rPr>
          <w:lang w:val="pt-BR"/>
        </w:rPr>
      </w:pPr>
      <w:r w:rsidRPr="006E1668">
        <w:t>Tanabe,</w:t>
      </w:r>
      <w:r w:rsidR="00A34A53" w:rsidRPr="006E1668">
        <w:t xml:space="preserve"> K.;</w:t>
      </w:r>
      <w:r w:rsidRPr="006E1668">
        <w:t xml:space="preserve"> Hölderich</w:t>
      </w:r>
      <w:r w:rsidR="00A34A53" w:rsidRPr="006E1668">
        <w:t xml:space="preserve">, W. F. </w:t>
      </w:r>
      <w:r w:rsidR="00A34A53" w:rsidRPr="006E1668">
        <w:rPr>
          <w:i/>
          <w:iCs/>
        </w:rPr>
        <w:t>Appl. Catal. A Gen.</w:t>
      </w:r>
      <w:r w:rsidR="00A34A53" w:rsidRPr="006E1668">
        <w:t>,</w:t>
      </w:r>
      <w:r w:rsidR="00A9703E" w:rsidRPr="006E1668">
        <w:t xml:space="preserve"> </w:t>
      </w:r>
      <w:r w:rsidR="00A9703E" w:rsidRPr="006E1668">
        <w:rPr>
          <w:b/>
          <w:bCs/>
        </w:rPr>
        <w:t>1999</w:t>
      </w:r>
      <w:r w:rsidR="00A9703E" w:rsidRPr="006E1668">
        <w:t>,</w:t>
      </w:r>
      <w:r w:rsidR="00A34A53" w:rsidRPr="006E1668">
        <w:t xml:space="preserve"> 181, 399-434.</w:t>
      </w:r>
    </w:p>
    <w:p w14:paraId="134174CA" w14:textId="3DBFACF7" w:rsidR="001708EE" w:rsidRPr="006E1668" w:rsidRDefault="001708EE" w:rsidP="001708EE">
      <w:pPr>
        <w:pStyle w:val="TAMainText"/>
        <w:numPr>
          <w:ilvl w:val="0"/>
          <w:numId w:val="1"/>
        </w:numPr>
      </w:pPr>
      <w:r w:rsidRPr="006E1668">
        <w:t xml:space="preserve">Himmelmann, R. et al., </w:t>
      </w:r>
      <w:r w:rsidRPr="006E1668">
        <w:rPr>
          <w:i/>
          <w:iCs/>
        </w:rPr>
        <w:t>Cat. Comm.</w:t>
      </w:r>
      <w:r w:rsidRPr="006E1668">
        <w:t xml:space="preserve">, </w:t>
      </w:r>
      <w:r w:rsidRPr="006E1668">
        <w:rPr>
          <w:b/>
          <w:bCs/>
        </w:rPr>
        <w:t>2022</w:t>
      </w:r>
      <w:r w:rsidRPr="006E1668">
        <w:t>, 197, 106424.</w:t>
      </w:r>
    </w:p>
    <w:p w14:paraId="145ABDDE" w14:textId="693CFE4C" w:rsidR="002A4F4B" w:rsidRPr="006E1668" w:rsidRDefault="00AD344C" w:rsidP="001708EE">
      <w:pPr>
        <w:pStyle w:val="TAMainText"/>
        <w:numPr>
          <w:ilvl w:val="0"/>
          <w:numId w:val="1"/>
        </w:numPr>
      </w:pPr>
      <w:r w:rsidRPr="006E1668">
        <w:t xml:space="preserve">Jahan, F. Erci, I. Isildak, </w:t>
      </w:r>
      <w:r w:rsidRPr="006E1668">
        <w:rPr>
          <w:i/>
          <w:iCs/>
        </w:rPr>
        <w:t>Anal. Lett.</w:t>
      </w:r>
      <w:r w:rsidRPr="006E1668">
        <w:t xml:space="preserve">, </w:t>
      </w:r>
      <w:r w:rsidRPr="006E1668">
        <w:rPr>
          <w:b/>
          <w:bCs/>
        </w:rPr>
        <w:t>2019</w:t>
      </w:r>
      <w:r w:rsidRPr="006E1668">
        <w:t>, 52, 1860.</w:t>
      </w:r>
    </w:p>
    <w:p w14:paraId="7EA64B9A" w14:textId="3117AF71" w:rsidR="00D56FE3" w:rsidRPr="006E1668" w:rsidRDefault="00BE1676" w:rsidP="00793F9D">
      <w:pPr>
        <w:pStyle w:val="TAMainText"/>
        <w:numPr>
          <w:ilvl w:val="0"/>
          <w:numId w:val="1"/>
        </w:numPr>
        <w:rPr>
          <w:lang w:val="pt-BR"/>
        </w:rPr>
      </w:pPr>
      <w:r w:rsidRPr="006E1668">
        <w:rPr>
          <w:lang w:val="pt-BR"/>
        </w:rPr>
        <w:t>Z. Lalegani, S.A. Seyyed Ebrahimi, B. Hamawandi, L. La Spada, M.S. Toprak</w:t>
      </w:r>
      <w:r w:rsidR="00793F9D" w:rsidRPr="006E1668">
        <w:rPr>
          <w:lang w:val="pt-BR"/>
        </w:rPr>
        <w:t xml:space="preserve">, </w:t>
      </w:r>
      <w:r w:rsidR="00793F9D" w:rsidRPr="006E1668">
        <w:rPr>
          <w:i/>
          <w:iCs/>
        </w:rPr>
        <w:t>Optical Materials</w:t>
      </w:r>
      <w:r w:rsidR="008B2A3E" w:rsidRPr="006E1668">
        <w:t xml:space="preserve">, </w:t>
      </w:r>
      <w:r w:rsidR="008B2A3E" w:rsidRPr="006E1668">
        <w:rPr>
          <w:b/>
          <w:bCs/>
        </w:rPr>
        <w:t>2020</w:t>
      </w:r>
      <w:r w:rsidR="008B2A3E" w:rsidRPr="006E1668">
        <w:t>,</w:t>
      </w:r>
      <w:r w:rsidR="00793F9D" w:rsidRPr="006E1668">
        <w:t xml:space="preserve"> 108</w:t>
      </w:r>
      <w:r w:rsidR="008B2A3E" w:rsidRPr="006E1668">
        <w:t>,</w:t>
      </w:r>
      <w:r w:rsidR="00793F9D" w:rsidRPr="006E1668">
        <w:t xml:space="preserve"> 110381</w:t>
      </w:r>
      <w:r w:rsidR="008B2A3E" w:rsidRPr="006E1668">
        <w:t>.</w:t>
      </w:r>
    </w:p>
    <w:p w14:paraId="565C90C9" w14:textId="6C5FF0A1" w:rsidR="002A4F4B" w:rsidRPr="006E1668" w:rsidRDefault="002A4F4B" w:rsidP="002A4F4B">
      <w:pPr>
        <w:pStyle w:val="TAMainText"/>
        <w:numPr>
          <w:ilvl w:val="0"/>
          <w:numId w:val="1"/>
        </w:numPr>
        <w:rPr>
          <w:lang w:val="pt-BR"/>
        </w:rPr>
      </w:pPr>
      <w:r w:rsidRPr="006E1668">
        <w:t xml:space="preserve">D. Masih, S. Rohani, J.N. Kondo, T. Tatsumi, </w:t>
      </w:r>
      <w:r w:rsidRPr="006E1668">
        <w:rPr>
          <w:i/>
          <w:iCs/>
        </w:rPr>
        <w:t>Microporous Mesoporous Mater.</w:t>
      </w:r>
      <w:r w:rsidRPr="006E1668">
        <w:t xml:space="preserve"> </w:t>
      </w:r>
      <w:r w:rsidRPr="006E1668">
        <w:rPr>
          <w:b/>
          <w:bCs/>
        </w:rPr>
        <w:t>2019</w:t>
      </w:r>
      <w:r w:rsidRPr="006E1668">
        <w:t>,</w:t>
      </w:r>
      <w:r w:rsidRPr="006E1668">
        <w:rPr>
          <w:i/>
          <w:iCs/>
        </w:rPr>
        <w:t xml:space="preserve"> 282</w:t>
      </w:r>
      <w:r w:rsidRPr="006E1668">
        <w:t>, 91–99.</w:t>
      </w:r>
    </w:p>
    <w:p w14:paraId="3D3D1CF6" w14:textId="0F93AADD" w:rsidR="000F0482" w:rsidRPr="006E1668" w:rsidRDefault="00B5400C" w:rsidP="00793F9D">
      <w:pPr>
        <w:pStyle w:val="TAMainText"/>
        <w:numPr>
          <w:ilvl w:val="0"/>
          <w:numId w:val="1"/>
        </w:numPr>
        <w:rPr>
          <w:lang w:val="pt-BR"/>
        </w:rPr>
      </w:pPr>
      <w:r w:rsidRPr="006E1668">
        <w:t>S. Ge, H</w:t>
      </w:r>
      <w:r w:rsidR="007E1DB2" w:rsidRPr="006E1668">
        <w:t>.</w:t>
      </w:r>
      <w:r w:rsidRPr="006E1668">
        <w:t xml:space="preserve"> Jia, H</w:t>
      </w:r>
      <w:r w:rsidR="007E1DB2" w:rsidRPr="006E1668">
        <w:t>.</w:t>
      </w:r>
      <w:r w:rsidRPr="006E1668">
        <w:t xml:space="preserve"> Zhao, Z</w:t>
      </w:r>
      <w:r w:rsidR="007E1DB2" w:rsidRPr="006E1668">
        <w:t>.</w:t>
      </w:r>
      <w:r w:rsidRPr="006E1668">
        <w:t xml:space="preserve"> Zheng</w:t>
      </w:r>
      <w:r w:rsidR="007E1DB2" w:rsidRPr="006E1668">
        <w:t xml:space="preserve">, </w:t>
      </w:r>
      <w:r w:rsidRPr="006E1668">
        <w:t>L</w:t>
      </w:r>
      <w:r w:rsidR="007E1DB2" w:rsidRPr="006E1668">
        <w:t>.</w:t>
      </w:r>
      <w:r w:rsidRPr="006E1668">
        <w:t xml:space="preserve"> Zhang</w:t>
      </w:r>
      <w:r w:rsidR="007E1DB2" w:rsidRPr="006E1668">
        <w:t xml:space="preserve">, </w:t>
      </w:r>
      <w:r w:rsidR="00FC37B8" w:rsidRPr="006E1668">
        <w:rPr>
          <w:i/>
          <w:iCs/>
        </w:rPr>
        <w:t>J. Mater. Chem.</w:t>
      </w:r>
      <w:r w:rsidR="00FC37B8" w:rsidRPr="006E1668">
        <w:t xml:space="preserve">, </w:t>
      </w:r>
      <w:r w:rsidR="00FC37B8" w:rsidRPr="006E1668">
        <w:rPr>
          <w:b/>
          <w:bCs/>
        </w:rPr>
        <w:t>2010</w:t>
      </w:r>
      <w:r w:rsidR="00FC37B8" w:rsidRPr="006E1668">
        <w:t>, 20, 3052–3058</w:t>
      </w:r>
    </w:p>
    <w:p w14:paraId="58716424" w14:textId="77777777" w:rsidR="007B4B2B" w:rsidRPr="00EA4E1B" w:rsidRDefault="007B4B2B" w:rsidP="00EA4E1B"/>
    <w:sectPr w:rsidR="007B4B2B" w:rsidRPr="00EA4E1B" w:rsidSect="00EA4E1B">
      <w:footerReference w:type="default" r:id="rId18"/>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BCB2C" w14:textId="77777777" w:rsidR="006E7D06" w:rsidRDefault="006E7D06" w:rsidP="00EA4E1B">
      <w:pPr>
        <w:spacing w:after="0" w:line="240" w:lineRule="auto"/>
      </w:pPr>
      <w:r>
        <w:separator/>
      </w:r>
    </w:p>
  </w:endnote>
  <w:endnote w:type="continuationSeparator" w:id="0">
    <w:p w14:paraId="219ED2E0" w14:textId="77777777" w:rsidR="006E7D06" w:rsidRDefault="006E7D06"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15"/>
      <w:gridCol w:w="3415"/>
      <w:gridCol w:w="3415"/>
    </w:tblGrid>
    <w:tr w:rsidR="7B26F8B6" w14:paraId="203E16CC" w14:textId="77777777" w:rsidTr="7B26F8B6">
      <w:trPr>
        <w:trHeight w:val="300"/>
      </w:trPr>
      <w:tc>
        <w:tcPr>
          <w:tcW w:w="3415" w:type="dxa"/>
        </w:tcPr>
        <w:p w14:paraId="78D68CE9" w14:textId="0814DFA2" w:rsidR="7B26F8B6" w:rsidRDefault="7B26F8B6" w:rsidP="7B26F8B6">
          <w:pPr>
            <w:pStyle w:val="Cabealho"/>
            <w:ind w:left="-115"/>
          </w:pPr>
        </w:p>
      </w:tc>
      <w:tc>
        <w:tcPr>
          <w:tcW w:w="3415" w:type="dxa"/>
        </w:tcPr>
        <w:p w14:paraId="75DD1F0C" w14:textId="2D401847" w:rsidR="7B26F8B6" w:rsidRDefault="7B26F8B6" w:rsidP="7B26F8B6">
          <w:pPr>
            <w:pStyle w:val="Cabealho"/>
            <w:jc w:val="center"/>
          </w:pPr>
        </w:p>
      </w:tc>
      <w:tc>
        <w:tcPr>
          <w:tcW w:w="3415" w:type="dxa"/>
        </w:tcPr>
        <w:p w14:paraId="4C69ECAF" w14:textId="47E8EF7A" w:rsidR="7B26F8B6" w:rsidRDefault="7B26F8B6" w:rsidP="7B26F8B6">
          <w:pPr>
            <w:pStyle w:val="Cabealho"/>
            <w:ind w:right="-115"/>
            <w:jc w:val="right"/>
          </w:pPr>
        </w:p>
      </w:tc>
    </w:tr>
  </w:tbl>
  <w:p w14:paraId="6AE4E51A" w14:textId="32608AAD" w:rsidR="7B26F8B6" w:rsidRDefault="7B26F8B6" w:rsidP="7B26F8B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585"/>
      <w:gridCol w:w="1585"/>
      <w:gridCol w:w="1585"/>
    </w:tblGrid>
    <w:tr w:rsidR="7B26F8B6" w14:paraId="080301A1" w14:textId="77777777" w:rsidTr="7B26F8B6">
      <w:trPr>
        <w:trHeight w:val="300"/>
      </w:trPr>
      <w:tc>
        <w:tcPr>
          <w:tcW w:w="1585" w:type="dxa"/>
        </w:tcPr>
        <w:p w14:paraId="0B180BD3" w14:textId="5DDCC9BD" w:rsidR="7B26F8B6" w:rsidRDefault="7B26F8B6" w:rsidP="7B26F8B6">
          <w:pPr>
            <w:pStyle w:val="Cabealho"/>
            <w:ind w:left="-115"/>
          </w:pPr>
        </w:p>
      </w:tc>
      <w:tc>
        <w:tcPr>
          <w:tcW w:w="1585" w:type="dxa"/>
        </w:tcPr>
        <w:p w14:paraId="127918C4" w14:textId="20ABBE3F" w:rsidR="7B26F8B6" w:rsidRDefault="7B26F8B6" w:rsidP="7B26F8B6">
          <w:pPr>
            <w:pStyle w:val="Cabealho"/>
            <w:jc w:val="center"/>
          </w:pPr>
        </w:p>
      </w:tc>
      <w:tc>
        <w:tcPr>
          <w:tcW w:w="1585" w:type="dxa"/>
        </w:tcPr>
        <w:p w14:paraId="7E9C3A3D" w14:textId="1F108343" w:rsidR="7B26F8B6" w:rsidRDefault="7B26F8B6" w:rsidP="7B26F8B6">
          <w:pPr>
            <w:pStyle w:val="Cabealho"/>
            <w:ind w:right="-115"/>
            <w:jc w:val="right"/>
          </w:pPr>
        </w:p>
      </w:tc>
    </w:tr>
  </w:tbl>
  <w:p w14:paraId="68E1EC2F" w14:textId="0221F416" w:rsidR="7B26F8B6" w:rsidRDefault="7B26F8B6" w:rsidP="7B26F8B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E7B7E" w14:textId="77777777" w:rsidR="006E7D06" w:rsidRDefault="006E7D06" w:rsidP="00EA4E1B">
      <w:pPr>
        <w:spacing w:after="0" w:line="240" w:lineRule="auto"/>
      </w:pPr>
      <w:r>
        <w:separator/>
      </w:r>
    </w:p>
  </w:footnote>
  <w:footnote w:type="continuationSeparator" w:id="0">
    <w:p w14:paraId="1E4AA08C" w14:textId="77777777" w:rsidR="006E7D06" w:rsidRDefault="006E7D06"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6" name="Imagem 6"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1282"/>
    <w:rsid w:val="00005DE8"/>
    <w:rsid w:val="0001264A"/>
    <w:rsid w:val="00016EB8"/>
    <w:rsid w:val="00026D46"/>
    <w:rsid w:val="00036638"/>
    <w:rsid w:val="00042354"/>
    <w:rsid w:val="00057182"/>
    <w:rsid w:val="00061A72"/>
    <w:rsid w:val="000638C9"/>
    <w:rsid w:val="00074E4A"/>
    <w:rsid w:val="0008594F"/>
    <w:rsid w:val="00090261"/>
    <w:rsid w:val="000A36E5"/>
    <w:rsid w:val="000B091D"/>
    <w:rsid w:val="000C460D"/>
    <w:rsid w:val="000D0D6C"/>
    <w:rsid w:val="000F0482"/>
    <w:rsid w:val="000F1D24"/>
    <w:rsid w:val="000F458C"/>
    <w:rsid w:val="00103008"/>
    <w:rsid w:val="0010599A"/>
    <w:rsid w:val="0010628C"/>
    <w:rsid w:val="00106382"/>
    <w:rsid w:val="001144AC"/>
    <w:rsid w:val="001149FF"/>
    <w:rsid w:val="00121554"/>
    <w:rsid w:val="00132735"/>
    <w:rsid w:val="001476E2"/>
    <w:rsid w:val="00156724"/>
    <w:rsid w:val="001571C1"/>
    <w:rsid w:val="00166B5F"/>
    <w:rsid w:val="00166ED9"/>
    <w:rsid w:val="001708EE"/>
    <w:rsid w:val="00186C64"/>
    <w:rsid w:val="00191F64"/>
    <w:rsid w:val="001A30EF"/>
    <w:rsid w:val="001B116E"/>
    <w:rsid w:val="001E58A9"/>
    <w:rsid w:val="001F25B2"/>
    <w:rsid w:val="0020091C"/>
    <w:rsid w:val="00211733"/>
    <w:rsid w:val="00214EFA"/>
    <w:rsid w:val="00222230"/>
    <w:rsid w:val="00225892"/>
    <w:rsid w:val="00225C01"/>
    <w:rsid w:val="002329E0"/>
    <w:rsid w:val="00235A11"/>
    <w:rsid w:val="00243E80"/>
    <w:rsid w:val="00254700"/>
    <w:rsid w:val="00264123"/>
    <w:rsid w:val="002749D3"/>
    <w:rsid w:val="00277475"/>
    <w:rsid w:val="0029660D"/>
    <w:rsid w:val="00296E4F"/>
    <w:rsid w:val="002A4F4B"/>
    <w:rsid w:val="002B2A23"/>
    <w:rsid w:val="002C6B01"/>
    <w:rsid w:val="002E22C7"/>
    <w:rsid w:val="002E2852"/>
    <w:rsid w:val="002E5834"/>
    <w:rsid w:val="002F5C1B"/>
    <w:rsid w:val="002F6D65"/>
    <w:rsid w:val="003171F2"/>
    <w:rsid w:val="00317365"/>
    <w:rsid w:val="003234D3"/>
    <w:rsid w:val="00331562"/>
    <w:rsid w:val="00340B1E"/>
    <w:rsid w:val="00343F1C"/>
    <w:rsid w:val="00347BDB"/>
    <w:rsid w:val="00361A78"/>
    <w:rsid w:val="00367BEA"/>
    <w:rsid w:val="00372025"/>
    <w:rsid w:val="00376269"/>
    <w:rsid w:val="00384CEE"/>
    <w:rsid w:val="00386A20"/>
    <w:rsid w:val="003A778C"/>
    <w:rsid w:val="003B5EEC"/>
    <w:rsid w:val="003D236D"/>
    <w:rsid w:val="003E1579"/>
    <w:rsid w:val="003F4A58"/>
    <w:rsid w:val="003F7A27"/>
    <w:rsid w:val="00402741"/>
    <w:rsid w:val="00402F3E"/>
    <w:rsid w:val="00403399"/>
    <w:rsid w:val="004171E9"/>
    <w:rsid w:val="004253B9"/>
    <w:rsid w:val="004342C2"/>
    <w:rsid w:val="0043498B"/>
    <w:rsid w:val="00461188"/>
    <w:rsid w:val="00464CD6"/>
    <w:rsid w:val="00466955"/>
    <w:rsid w:val="00471753"/>
    <w:rsid w:val="004772A0"/>
    <w:rsid w:val="0048016E"/>
    <w:rsid w:val="00485B64"/>
    <w:rsid w:val="0049035B"/>
    <w:rsid w:val="00490A27"/>
    <w:rsid w:val="00493ADD"/>
    <w:rsid w:val="00495727"/>
    <w:rsid w:val="004A28E0"/>
    <w:rsid w:val="004B1E7B"/>
    <w:rsid w:val="004B74A9"/>
    <w:rsid w:val="004C4F5E"/>
    <w:rsid w:val="004D2B18"/>
    <w:rsid w:val="004E69AD"/>
    <w:rsid w:val="004F107D"/>
    <w:rsid w:val="004F3F42"/>
    <w:rsid w:val="004F50EC"/>
    <w:rsid w:val="005076B0"/>
    <w:rsid w:val="005130EE"/>
    <w:rsid w:val="00513F18"/>
    <w:rsid w:val="00517702"/>
    <w:rsid w:val="0052112E"/>
    <w:rsid w:val="005233A4"/>
    <w:rsid w:val="005359F5"/>
    <w:rsid w:val="00556C82"/>
    <w:rsid w:val="00556DD0"/>
    <w:rsid w:val="005871F0"/>
    <w:rsid w:val="0059052B"/>
    <w:rsid w:val="005A6702"/>
    <w:rsid w:val="005B3AD9"/>
    <w:rsid w:val="005C0EA4"/>
    <w:rsid w:val="005C2775"/>
    <w:rsid w:val="005D2B55"/>
    <w:rsid w:val="005D3A6B"/>
    <w:rsid w:val="005D65EB"/>
    <w:rsid w:val="005F071F"/>
    <w:rsid w:val="005F1C89"/>
    <w:rsid w:val="005F398F"/>
    <w:rsid w:val="005F76D6"/>
    <w:rsid w:val="006035D9"/>
    <w:rsid w:val="00604718"/>
    <w:rsid w:val="006145D0"/>
    <w:rsid w:val="00627FD2"/>
    <w:rsid w:val="0064254B"/>
    <w:rsid w:val="00652364"/>
    <w:rsid w:val="00652815"/>
    <w:rsid w:val="00661C83"/>
    <w:rsid w:val="006625D8"/>
    <w:rsid w:val="00680933"/>
    <w:rsid w:val="00680F5B"/>
    <w:rsid w:val="00686B64"/>
    <w:rsid w:val="00687414"/>
    <w:rsid w:val="006937C1"/>
    <w:rsid w:val="00696B6C"/>
    <w:rsid w:val="00697B80"/>
    <w:rsid w:val="006A0A55"/>
    <w:rsid w:val="006B4DAE"/>
    <w:rsid w:val="006D5979"/>
    <w:rsid w:val="006E1668"/>
    <w:rsid w:val="006E7D06"/>
    <w:rsid w:val="006F599B"/>
    <w:rsid w:val="00711A4C"/>
    <w:rsid w:val="007220F9"/>
    <w:rsid w:val="007343C8"/>
    <w:rsid w:val="00751556"/>
    <w:rsid w:val="00751A62"/>
    <w:rsid w:val="007670A0"/>
    <w:rsid w:val="0077104D"/>
    <w:rsid w:val="00775D32"/>
    <w:rsid w:val="00781685"/>
    <w:rsid w:val="0078360D"/>
    <w:rsid w:val="00785108"/>
    <w:rsid w:val="007938BF"/>
    <w:rsid w:val="00793EB6"/>
    <w:rsid w:val="00793F9D"/>
    <w:rsid w:val="007B3FC6"/>
    <w:rsid w:val="007B4B2B"/>
    <w:rsid w:val="007C628A"/>
    <w:rsid w:val="007C6CCF"/>
    <w:rsid w:val="007E0242"/>
    <w:rsid w:val="007E1DB2"/>
    <w:rsid w:val="007E615A"/>
    <w:rsid w:val="007F192E"/>
    <w:rsid w:val="008119E4"/>
    <w:rsid w:val="008126CB"/>
    <w:rsid w:val="00826DB1"/>
    <w:rsid w:val="0083700A"/>
    <w:rsid w:val="00851008"/>
    <w:rsid w:val="0085308A"/>
    <w:rsid w:val="00866822"/>
    <w:rsid w:val="00876FA4"/>
    <w:rsid w:val="00891506"/>
    <w:rsid w:val="008964E3"/>
    <w:rsid w:val="008B1683"/>
    <w:rsid w:val="008B195D"/>
    <w:rsid w:val="008B2A3E"/>
    <w:rsid w:val="008B73DB"/>
    <w:rsid w:val="008C06ED"/>
    <w:rsid w:val="008C1B30"/>
    <w:rsid w:val="008C3D19"/>
    <w:rsid w:val="008C6A28"/>
    <w:rsid w:val="008E1556"/>
    <w:rsid w:val="008E42FC"/>
    <w:rsid w:val="008E502B"/>
    <w:rsid w:val="008E53BB"/>
    <w:rsid w:val="008E6837"/>
    <w:rsid w:val="008E7772"/>
    <w:rsid w:val="00901DAD"/>
    <w:rsid w:val="00913C79"/>
    <w:rsid w:val="0092457D"/>
    <w:rsid w:val="00933B7B"/>
    <w:rsid w:val="0094340C"/>
    <w:rsid w:val="009522A6"/>
    <w:rsid w:val="009656D9"/>
    <w:rsid w:val="00983865"/>
    <w:rsid w:val="00987561"/>
    <w:rsid w:val="009B193F"/>
    <w:rsid w:val="009C41B4"/>
    <w:rsid w:val="009C58AF"/>
    <w:rsid w:val="009C7CB0"/>
    <w:rsid w:val="009E068B"/>
    <w:rsid w:val="009E0A0F"/>
    <w:rsid w:val="009E3456"/>
    <w:rsid w:val="009E3490"/>
    <w:rsid w:val="009E73BB"/>
    <w:rsid w:val="009F3695"/>
    <w:rsid w:val="00A0031C"/>
    <w:rsid w:val="00A05702"/>
    <w:rsid w:val="00A173EC"/>
    <w:rsid w:val="00A17D85"/>
    <w:rsid w:val="00A33377"/>
    <w:rsid w:val="00A34A53"/>
    <w:rsid w:val="00A41AFA"/>
    <w:rsid w:val="00A45AA0"/>
    <w:rsid w:val="00A46B91"/>
    <w:rsid w:val="00A54249"/>
    <w:rsid w:val="00A80633"/>
    <w:rsid w:val="00A85173"/>
    <w:rsid w:val="00A86339"/>
    <w:rsid w:val="00A87CE8"/>
    <w:rsid w:val="00A90104"/>
    <w:rsid w:val="00A96529"/>
    <w:rsid w:val="00A9703E"/>
    <w:rsid w:val="00AA0E6F"/>
    <w:rsid w:val="00AA182E"/>
    <w:rsid w:val="00AB28D6"/>
    <w:rsid w:val="00AC47E3"/>
    <w:rsid w:val="00AC535D"/>
    <w:rsid w:val="00AD344C"/>
    <w:rsid w:val="00AD457C"/>
    <w:rsid w:val="00AE637A"/>
    <w:rsid w:val="00AF0400"/>
    <w:rsid w:val="00AF3734"/>
    <w:rsid w:val="00B0070C"/>
    <w:rsid w:val="00B04989"/>
    <w:rsid w:val="00B10374"/>
    <w:rsid w:val="00B1247D"/>
    <w:rsid w:val="00B30AEB"/>
    <w:rsid w:val="00B3292A"/>
    <w:rsid w:val="00B3399E"/>
    <w:rsid w:val="00B365FA"/>
    <w:rsid w:val="00B42E45"/>
    <w:rsid w:val="00B463C7"/>
    <w:rsid w:val="00B5400C"/>
    <w:rsid w:val="00B55773"/>
    <w:rsid w:val="00B5648D"/>
    <w:rsid w:val="00B62545"/>
    <w:rsid w:val="00B82448"/>
    <w:rsid w:val="00B859C3"/>
    <w:rsid w:val="00B94F99"/>
    <w:rsid w:val="00B96A4F"/>
    <w:rsid w:val="00BA1149"/>
    <w:rsid w:val="00BA6A6E"/>
    <w:rsid w:val="00BB0125"/>
    <w:rsid w:val="00BB533D"/>
    <w:rsid w:val="00BC2118"/>
    <w:rsid w:val="00BC362C"/>
    <w:rsid w:val="00BE1676"/>
    <w:rsid w:val="00C02565"/>
    <w:rsid w:val="00C07CA9"/>
    <w:rsid w:val="00C32BCB"/>
    <w:rsid w:val="00C3639C"/>
    <w:rsid w:val="00C37A44"/>
    <w:rsid w:val="00C55140"/>
    <w:rsid w:val="00C6361B"/>
    <w:rsid w:val="00C76E54"/>
    <w:rsid w:val="00C90497"/>
    <w:rsid w:val="00CA0920"/>
    <w:rsid w:val="00CA64FA"/>
    <w:rsid w:val="00CA6C2D"/>
    <w:rsid w:val="00CB4AEA"/>
    <w:rsid w:val="00CB5DB4"/>
    <w:rsid w:val="00CC726C"/>
    <w:rsid w:val="00CE0667"/>
    <w:rsid w:val="00CE424F"/>
    <w:rsid w:val="00CE510F"/>
    <w:rsid w:val="00CE57BB"/>
    <w:rsid w:val="00CF0BE5"/>
    <w:rsid w:val="00CF0F6E"/>
    <w:rsid w:val="00CF479F"/>
    <w:rsid w:val="00CF7B61"/>
    <w:rsid w:val="00D056CF"/>
    <w:rsid w:val="00D10066"/>
    <w:rsid w:val="00D21957"/>
    <w:rsid w:val="00D228F1"/>
    <w:rsid w:val="00D369F3"/>
    <w:rsid w:val="00D53529"/>
    <w:rsid w:val="00D54986"/>
    <w:rsid w:val="00D56FE3"/>
    <w:rsid w:val="00D62101"/>
    <w:rsid w:val="00D739CF"/>
    <w:rsid w:val="00D77D8A"/>
    <w:rsid w:val="00D81423"/>
    <w:rsid w:val="00D8503D"/>
    <w:rsid w:val="00D9354B"/>
    <w:rsid w:val="00D93FF8"/>
    <w:rsid w:val="00D94D06"/>
    <w:rsid w:val="00D96135"/>
    <w:rsid w:val="00DC2889"/>
    <w:rsid w:val="00DC4ED3"/>
    <w:rsid w:val="00DE4D1E"/>
    <w:rsid w:val="00DF069C"/>
    <w:rsid w:val="00DF1377"/>
    <w:rsid w:val="00DF4E1C"/>
    <w:rsid w:val="00DF5538"/>
    <w:rsid w:val="00E02A21"/>
    <w:rsid w:val="00E038AF"/>
    <w:rsid w:val="00E06478"/>
    <w:rsid w:val="00E128D6"/>
    <w:rsid w:val="00E25070"/>
    <w:rsid w:val="00E40E88"/>
    <w:rsid w:val="00E573CD"/>
    <w:rsid w:val="00E63660"/>
    <w:rsid w:val="00E70E6A"/>
    <w:rsid w:val="00E76941"/>
    <w:rsid w:val="00E87431"/>
    <w:rsid w:val="00E87FD0"/>
    <w:rsid w:val="00EA4C23"/>
    <w:rsid w:val="00EA4E1B"/>
    <w:rsid w:val="00ED22E5"/>
    <w:rsid w:val="00ED6C25"/>
    <w:rsid w:val="00EE601E"/>
    <w:rsid w:val="00EE7C79"/>
    <w:rsid w:val="00EF37B2"/>
    <w:rsid w:val="00F040D0"/>
    <w:rsid w:val="00F07EEA"/>
    <w:rsid w:val="00F30661"/>
    <w:rsid w:val="00F3413C"/>
    <w:rsid w:val="00F42C97"/>
    <w:rsid w:val="00F50919"/>
    <w:rsid w:val="00F5746C"/>
    <w:rsid w:val="00F64300"/>
    <w:rsid w:val="00F81176"/>
    <w:rsid w:val="00F82B51"/>
    <w:rsid w:val="00F84D6F"/>
    <w:rsid w:val="00F853AA"/>
    <w:rsid w:val="00F857CB"/>
    <w:rsid w:val="00F90A78"/>
    <w:rsid w:val="00F91312"/>
    <w:rsid w:val="00F917DA"/>
    <w:rsid w:val="00F93099"/>
    <w:rsid w:val="00F966C6"/>
    <w:rsid w:val="00FA64CE"/>
    <w:rsid w:val="00FB33DF"/>
    <w:rsid w:val="00FB50B5"/>
    <w:rsid w:val="00FB5E84"/>
    <w:rsid w:val="00FC37B8"/>
    <w:rsid w:val="00FC474C"/>
    <w:rsid w:val="00FC5CE5"/>
    <w:rsid w:val="00FD5B2A"/>
    <w:rsid w:val="00FE5012"/>
    <w:rsid w:val="00FF1A85"/>
    <w:rsid w:val="00FF1E47"/>
    <w:rsid w:val="00FF213B"/>
    <w:rsid w:val="00FF4A95"/>
    <w:rsid w:val="7B26F8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PargrafodaLista">
    <w:name w:val="List Paragraph"/>
    <w:basedOn w:val="Normal"/>
    <w:uiPriority w:val="34"/>
    <w:qFormat/>
    <w:rsid w:val="001708EE"/>
    <w:pPr>
      <w:ind w:left="720"/>
      <w:contextualSpacing/>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rio">
    <w:name w:val="annotation reference"/>
    <w:basedOn w:val="Fontepargpadro"/>
    <w:uiPriority w:val="99"/>
    <w:semiHidden/>
    <w:unhideWhenUsed/>
    <w:rsid w:val="00D94D06"/>
    <w:rPr>
      <w:sz w:val="16"/>
      <w:szCs w:val="16"/>
    </w:rPr>
  </w:style>
  <w:style w:type="paragraph" w:styleId="Textodecomentrio">
    <w:name w:val="annotation text"/>
    <w:basedOn w:val="Normal"/>
    <w:link w:val="TextodecomentrioChar"/>
    <w:uiPriority w:val="99"/>
    <w:unhideWhenUsed/>
    <w:rsid w:val="00D94D06"/>
    <w:pPr>
      <w:spacing w:line="240" w:lineRule="auto"/>
    </w:pPr>
    <w:rPr>
      <w:sz w:val="20"/>
      <w:szCs w:val="20"/>
    </w:rPr>
  </w:style>
  <w:style w:type="character" w:customStyle="1" w:styleId="TextodecomentrioChar">
    <w:name w:val="Texto de comentário Char"/>
    <w:basedOn w:val="Fontepargpadro"/>
    <w:link w:val="Textodecomentrio"/>
    <w:uiPriority w:val="99"/>
    <w:rsid w:val="00D94D06"/>
    <w:rPr>
      <w:sz w:val="20"/>
      <w:szCs w:val="20"/>
    </w:rPr>
  </w:style>
  <w:style w:type="paragraph" w:styleId="Assuntodocomentrio">
    <w:name w:val="annotation subject"/>
    <w:basedOn w:val="Textodecomentrio"/>
    <w:next w:val="Textodecomentrio"/>
    <w:link w:val="AssuntodocomentrioChar"/>
    <w:uiPriority w:val="99"/>
    <w:semiHidden/>
    <w:unhideWhenUsed/>
    <w:rsid w:val="00D94D06"/>
    <w:rPr>
      <w:b/>
      <w:bCs/>
    </w:rPr>
  </w:style>
  <w:style w:type="character" w:customStyle="1" w:styleId="AssuntodocomentrioChar">
    <w:name w:val="Assunto do comentário Char"/>
    <w:basedOn w:val="TextodecomentrioChar"/>
    <w:link w:val="Assuntodocomentrio"/>
    <w:uiPriority w:val="99"/>
    <w:semiHidden/>
    <w:rsid w:val="00D94D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880195">
      <w:bodyDiv w:val="1"/>
      <w:marLeft w:val="0"/>
      <w:marRight w:val="0"/>
      <w:marTop w:val="0"/>
      <w:marBottom w:val="0"/>
      <w:divBdr>
        <w:top w:val="none" w:sz="0" w:space="0" w:color="auto"/>
        <w:left w:val="none" w:sz="0" w:space="0" w:color="auto"/>
        <w:bottom w:val="none" w:sz="0" w:space="0" w:color="auto"/>
        <w:right w:val="none" w:sz="0" w:space="0" w:color="auto"/>
      </w:divBdr>
    </w:div>
    <w:div w:id="827285231">
      <w:bodyDiv w:val="1"/>
      <w:marLeft w:val="0"/>
      <w:marRight w:val="0"/>
      <w:marTop w:val="0"/>
      <w:marBottom w:val="0"/>
      <w:divBdr>
        <w:top w:val="none" w:sz="0" w:space="0" w:color="auto"/>
        <w:left w:val="none" w:sz="0" w:space="0" w:color="auto"/>
        <w:bottom w:val="none" w:sz="0" w:space="0" w:color="auto"/>
        <w:right w:val="none" w:sz="0" w:space="0" w:color="auto"/>
      </w:divBdr>
    </w:div>
    <w:div w:id="949707622">
      <w:bodyDiv w:val="1"/>
      <w:marLeft w:val="0"/>
      <w:marRight w:val="0"/>
      <w:marTop w:val="0"/>
      <w:marBottom w:val="0"/>
      <w:divBdr>
        <w:top w:val="none" w:sz="0" w:space="0" w:color="auto"/>
        <w:left w:val="none" w:sz="0" w:space="0" w:color="auto"/>
        <w:bottom w:val="none" w:sz="0" w:space="0" w:color="auto"/>
        <w:right w:val="none" w:sz="0" w:space="0" w:color="auto"/>
      </w:divBdr>
    </w:div>
    <w:div w:id="1187409840">
      <w:bodyDiv w:val="1"/>
      <w:marLeft w:val="0"/>
      <w:marRight w:val="0"/>
      <w:marTop w:val="0"/>
      <w:marBottom w:val="0"/>
      <w:divBdr>
        <w:top w:val="none" w:sz="0" w:space="0" w:color="auto"/>
        <w:left w:val="none" w:sz="0" w:space="0" w:color="auto"/>
        <w:bottom w:val="none" w:sz="0" w:space="0" w:color="auto"/>
        <w:right w:val="none" w:sz="0" w:space="0" w:color="auto"/>
      </w:divBdr>
    </w:div>
    <w:div w:id="1299414593">
      <w:bodyDiv w:val="1"/>
      <w:marLeft w:val="0"/>
      <w:marRight w:val="0"/>
      <w:marTop w:val="0"/>
      <w:marBottom w:val="0"/>
      <w:divBdr>
        <w:top w:val="none" w:sz="0" w:space="0" w:color="auto"/>
        <w:left w:val="none" w:sz="0" w:space="0" w:color="auto"/>
        <w:bottom w:val="none" w:sz="0" w:space="0" w:color="auto"/>
        <w:right w:val="none" w:sz="0" w:space="0" w:color="auto"/>
      </w:divBdr>
    </w:div>
    <w:div w:id="209184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4</Pages>
  <Words>1881</Words>
  <Characters>10159</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Raissa Ecard da Costa Cruz</cp:lastModifiedBy>
  <cp:revision>7</cp:revision>
  <dcterms:created xsi:type="dcterms:W3CDTF">2023-04-29T12:57:00Z</dcterms:created>
  <dcterms:modified xsi:type="dcterms:W3CDTF">2023-06-26T17:56:00Z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