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324517"/>
    <w:bookmarkStart w:id="1" w:name="_Hlk1324670"/>
    <w:p w14:paraId="00A26CEE" w14:textId="4B25CA65" w:rsidR="00AF0400" w:rsidRPr="00F44AEE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F44AEE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031EEA02" w:rsidR="00EA4E1B" w:rsidRPr="00F44AEE" w:rsidRDefault="00ED5A56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F44AEE">
        <w:rPr>
          <w:sz w:val="32"/>
          <w:lang w:val="pt-BR"/>
        </w:rPr>
        <w:t xml:space="preserve">Efeito da Temperatura de Redução na Estabilidade de Catalisadores </w:t>
      </w:r>
      <w:proofErr w:type="spellStart"/>
      <w:r w:rsidRPr="00F44AEE">
        <w:rPr>
          <w:sz w:val="32"/>
          <w:lang w:val="pt-BR"/>
        </w:rPr>
        <w:t>Ni</w:t>
      </w:r>
      <w:proofErr w:type="spellEnd"/>
      <w:r w:rsidRPr="00F44AEE">
        <w:rPr>
          <w:sz w:val="32"/>
          <w:lang w:val="pt-BR"/>
        </w:rPr>
        <w:t xml:space="preserve">/SBA-15 em </w:t>
      </w:r>
      <w:proofErr w:type="spellStart"/>
      <w:r w:rsidRPr="00F44AEE">
        <w:rPr>
          <w:sz w:val="32"/>
          <w:lang w:val="pt-BR"/>
        </w:rPr>
        <w:t>Hidrodesoxigenação</w:t>
      </w:r>
      <w:proofErr w:type="spellEnd"/>
      <w:r w:rsidRPr="00F44AEE">
        <w:rPr>
          <w:sz w:val="32"/>
          <w:lang w:val="pt-BR"/>
        </w:rPr>
        <w:t xml:space="preserve"> do m-cresol</w:t>
      </w:r>
    </w:p>
    <w:p w14:paraId="08200BCC" w14:textId="67216767" w:rsidR="00FB1407" w:rsidRPr="00503B59" w:rsidRDefault="00FB1407" w:rsidP="00FB1407">
      <w:pPr>
        <w:pStyle w:val="BBAuthorName"/>
        <w:spacing w:after="120"/>
        <w:ind w:right="0"/>
        <w:jc w:val="both"/>
        <w:rPr>
          <w:rFonts w:ascii="Times New Roman" w:hAnsi="Times New Roman"/>
          <w:sz w:val="18"/>
          <w:szCs w:val="18"/>
          <w:lang w:val="pt-BR"/>
        </w:rPr>
      </w:pPr>
      <w:r w:rsidRPr="00503B59">
        <w:rPr>
          <w:rFonts w:ascii="Times New Roman" w:hAnsi="Times New Roman"/>
          <w:sz w:val="18"/>
          <w:szCs w:val="18"/>
          <w:lang w:val="pt-BR"/>
        </w:rPr>
        <w:t>Lucas R. Francisco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1,2</w:t>
      </w:r>
      <w:r w:rsidRPr="00503B59">
        <w:rPr>
          <w:rFonts w:ascii="Times New Roman" w:hAnsi="Times New Roman"/>
          <w:sz w:val="18"/>
          <w:szCs w:val="18"/>
          <w:lang w:val="pt-BR"/>
        </w:rPr>
        <w:t>, Camila A. Teles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3</w:t>
      </w:r>
      <w:r w:rsidRPr="00503B59">
        <w:rPr>
          <w:rFonts w:ascii="Times New Roman" w:hAnsi="Times New Roman"/>
          <w:sz w:val="18"/>
          <w:szCs w:val="18"/>
          <w:lang w:val="pt-BR"/>
        </w:rPr>
        <w:t>, Carmen Ciotonea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4</w:t>
      </w:r>
      <w:r w:rsidRPr="00503B59">
        <w:rPr>
          <w:rFonts w:ascii="Times New Roman" w:hAnsi="Times New Roman"/>
          <w:sz w:val="18"/>
          <w:szCs w:val="18"/>
          <w:lang w:val="pt-BR"/>
        </w:rPr>
        <w:t>, Frédéric Richard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3</w:t>
      </w:r>
      <w:r w:rsidR="00900B6F" w:rsidRPr="00503B59">
        <w:rPr>
          <w:rFonts w:ascii="Times New Roman" w:hAnsi="Times New Roman"/>
          <w:sz w:val="18"/>
          <w:szCs w:val="18"/>
          <w:lang w:val="pt-BR"/>
        </w:rPr>
        <w:t xml:space="preserve">, </w:t>
      </w:r>
      <w:proofErr w:type="spellStart"/>
      <w:r w:rsidR="00900B6F" w:rsidRPr="00503B59">
        <w:rPr>
          <w:rFonts w:ascii="Times New Roman" w:hAnsi="Times New Roman"/>
          <w:sz w:val="18"/>
          <w:szCs w:val="18"/>
          <w:lang w:val="pt-BR"/>
        </w:rPr>
        <w:t>Sé</w:t>
      </w:r>
      <w:r w:rsidRPr="00503B59">
        <w:rPr>
          <w:rFonts w:ascii="Times New Roman" w:hAnsi="Times New Roman"/>
          <w:sz w:val="18"/>
          <w:szCs w:val="18"/>
          <w:lang w:val="pt-BR"/>
        </w:rPr>
        <w:t>bastien</w:t>
      </w:r>
      <w:proofErr w:type="spellEnd"/>
      <w:r w:rsidRPr="00503B59">
        <w:rPr>
          <w:rFonts w:ascii="Times New Roman" w:hAnsi="Times New Roman"/>
          <w:sz w:val="18"/>
          <w:szCs w:val="18"/>
          <w:lang w:val="pt-BR"/>
        </w:rPr>
        <w:t xml:space="preserve"> Royer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5,6</w:t>
      </w:r>
      <w:r w:rsidRPr="00503B59">
        <w:rPr>
          <w:rFonts w:ascii="Times New Roman" w:hAnsi="Times New Roman"/>
          <w:sz w:val="18"/>
          <w:szCs w:val="18"/>
          <w:lang w:val="pt-BR"/>
        </w:rPr>
        <w:t>, Raimundo C. Rabelo-Neto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2</w:t>
      </w:r>
      <w:r w:rsidRPr="00503B59">
        <w:rPr>
          <w:rFonts w:ascii="Times New Roman" w:hAnsi="Times New Roman"/>
          <w:sz w:val="18"/>
          <w:szCs w:val="18"/>
          <w:lang w:val="pt-BR"/>
        </w:rPr>
        <w:t>, Fábio B. Noronha</w:t>
      </w:r>
      <w:r w:rsidRPr="00503B59">
        <w:rPr>
          <w:rFonts w:ascii="Times New Roman" w:hAnsi="Times New Roman"/>
          <w:sz w:val="18"/>
          <w:szCs w:val="18"/>
          <w:vertAlign w:val="superscript"/>
          <w:lang w:val="pt-BR"/>
        </w:rPr>
        <w:t>1,2,5*</w:t>
      </w:r>
    </w:p>
    <w:p w14:paraId="78D94EB8" w14:textId="68848EDB" w:rsidR="00FB1407" w:rsidRPr="00503B59" w:rsidRDefault="00FB1407" w:rsidP="00FB1407">
      <w:p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 New Roman"/>
          <w:i/>
          <w:sz w:val="18"/>
          <w:szCs w:val="18"/>
          <w:lang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eastAsia="pt-BR"/>
        </w:rPr>
        <w:t>1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Institut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o Militar de Engenharia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 xml:space="preserve">, 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Departamento de Engenharia Química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 xml:space="preserve">, Praça Gal. </w:t>
      </w:r>
      <w:proofErr w:type="spellStart"/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Tiburcio</w:t>
      </w:r>
      <w:proofErr w:type="spellEnd"/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 xml:space="preserve"> 80, 22290-270, Rio de Janeiro, Bra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s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il.</w:t>
      </w:r>
    </w:p>
    <w:p w14:paraId="43ADF1BD" w14:textId="1137F3AD" w:rsidR="00FB1407" w:rsidRPr="00503B59" w:rsidRDefault="00FB1407" w:rsidP="00FB1407">
      <w:p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 New Roman"/>
          <w:i/>
          <w:sz w:val="18"/>
          <w:szCs w:val="18"/>
          <w:lang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eastAsia="pt-BR"/>
        </w:rPr>
        <w:t>2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Institut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o Nacional de Tecnologia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 xml:space="preserve">, 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 xml:space="preserve">Divisão de 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Cat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álise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, Av. Venezuela 82, Rio de Janeiro, 20081-312, Bra</w:t>
      </w:r>
      <w:r w:rsidR="00C07A7C"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s</w:t>
      </w:r>
      <w:r w:rsidRPr="00503B59">
        <w:rPr>
          <w:rFonts w:ascii="Times" w:eastAsia="Times New Roman" w:hAnsi="Times" w:cs="Times New Roman"/>
          <w:i/>
          <w:sz w:val="18"/>
          <w:szCs w:val="18"/>
          <w:lang w:eastAsia="pt-BR"/>
        </w:rPr>
        <w:t>il.</w:t>
      </w:r>
    </w:p>
    <w:p w14:paraId="031FB41C" w14:textId="437D3398" w:rsidR="00FB1407" w:rsidRPr="00503B59" w:rsidRDefault="00FB1407" w:rsidP="00FB1407">
      <w:pPr>
        <w:spacing w:after="0" w:line="360" w:lineRule="auto"/>
        <w:jc w:val="both"/>
        <w:rPr>
          <w:rFonts w:ascii="Times" w:eastAsia="Times New Roman" w:hAnsi="Times" w:cs="Times New Roman"/>
          <w:i/>
          <w:sz w:val="18"/>
          <w:szCs w:val="18"/>
          <w:lang w:val="fr-FR"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val="fr-FR" w:eastAsia="pt-BR"/>
        </w:rPr>
        <w:t>3</w:t>
      </w:r>
      <w:r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>Université de Poitiers, CNRS, IC2MP- Institut de Chimie des Milieux et Matériaux de Poitiers, UMR 7285, rue Michel Brunet, BP633, 86073 Poitiers, France.</w:t>
      </w:r>
    </w:p>
    <w:p w14:paraId="724D3E7B" w14:textId="3D89C132" w:rsidR="00FB1407" w:rsidRPr="00503B59" w:rsidRDefault="00FB1407" w:rsidP="00FB1407">
      <w:pPr>
        <w:spacing w:after="0" w:line="360" w:lineRule="auto"/>
        <w:jc w:val="both"/>
        <w:rPr>
          <w:rFonts w:ascii="Times" w:eastAsia="Times New Roman" w:hAnsi="Times" w:cs="Times New Roman"/>
          <w:i/>
          <w:sz w:val="18"/>
          <w:szCs w:val="18"/>
          <w:lang w:val="fr-FR"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val="fr-FR" w:eastAsia="pt-BR"/>
        </w:rPr>
        <w:t>4</w:t>
      </w:r>
      <w:r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>Université</w:t>
      </w:r>
      <w:r w:rsidR="00F93AF5"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 xml:space="preserve"> du Li</w:t>
      </w:r>
      <w:r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>toral Côte d’Opale, Unité de Chimie Environnemental et Interactions sur le Vivant-UCEIV, UR4492, SFR Condorcet FR CNRS 3417, 59140 Dunkerque, France.</w:t>
      </w:r>
    </w:p>
    <w:p w14:paraId="1862EA40" w14:textId="383CABBF" w:rsidR="00FB1407" w:rsidRPr="00503B59" w:rsidRDefault="00FB1407" w:rsidP="00FB1407">
      <w:p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 New Roman"/>
          <w:i/>
          <w:sz w:val="18"/>
          <w:szCs w:val="18"/>
          <w:lang w:val="fr-FR"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val="fr-FR" w:eastAsia="pt-BR"/>
        </w:rPr>
        <w:t>5</w:t>
      </w:r>
      <w:r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>Université de Lille, CNRS, ENSCL, Centrale Lille, Université Artois, UMR 8181-UCCS-Unité de Catalyse et de Chimie du Solide, F-59000 Lille, France.</w:t>
      </w:r>
    </w:p>
    <w:p w14:paraId="25C16382" w14:textId="0A958366" w:rsidR="00FB1407" w:rsidRPr="00503B59" w:rsidRDefault="00FB1407" w:rsidP="00FB1407">
      <w:pPr>
        <w:spacing w:after="0" w:line="360" w:lineRule="auto"/>
        <w:rPr>
          <w:rFonts w:ascii="Times" w:eastAsia="Times New Roman" w:hAnsi="Times" w:cs="Times New Roman"/>
          <w:i/>
          <w:sz w:val="18"/>
          <w:szCs w:val="18"/>
          <w:lang w:val="fr-FR" w:eastAsia="pt-BR"/>
        </w:rPr>
      </w:pPr>
      <w:r w:rsidRPr="00503B59">
        <w:rPr>
          <w:rFonts w:ascii="Times" w:eastAsia="Times New Roman" w:hAnsi="Times" w:cs="Times New Roman"/>
          <w:i/>
          <w:sz w:val="18"/>
          <w:szCs w:val="18"/>
          <w:vertAlign w:val="superscript"/>
          <w:lang w:val="fr-FR" w:eastAsia="pt-BR"/>
        </w:rPr>
        <w:t>6</w:t>
      </w:r>
      <w:r w:rsidRPr="00503B59">
        <w:rPr>
          <w:rFonts w:ascii="Times" w:eastAsia="Times New Roman" w:hAnsi="Times" w:cs="Times New Roman"/>
          <w:i/>
          <w:sz w:val="18"/>
          <w:szCs w:val="18"/>
          <w:lang w:val="fr-FR" w:eastAsia="pt-BR"/>
        </w:rPr>
        <w:t>Université de Lille, CNRS, INRA, Centrale Lille, Université Artois, FR 2638 – IMEC – Institut Michel-Eugène Chevreul, 59000 Lille, France.</w:t>
      </w:r>
    </w:p>
    <w:bookmarkEnd w:id="0"/>
    <w:p w14:paraId="238E7EC1" w14:textId="250040AD" w:rsidR="00AF0400" w:rsidRPr="00E108CC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fr-FR"/>
        </w:rPr>
      </w:pPr>
      <w:r w:rsidRPr="00F44AEE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E108CC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fr-FR"/>
        </w:rPr>
      </w:pPr>
    </w:p>
    <w:p w14:paraId="6AE90D67" w14:textId="186A6A7F" w:rsidR="00EA4E1B" w:rsidRPr="00F44AE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F44AEE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6B6198" w:rsidRPr="006B6198">
        <w:rPr>
          <w:rFonts w:ascii="Times New Roman" w:hAnsi="Times New Roman"/>
          <w:b w:val="0"/>
          <w:sz w:val="20"/>
          <w:lang w:val="pt-BR"/>
        </w:rPr>
        <w:t xml:space="preserve">Este trabalho investigou </w:t>
      </w:r>
      <w:r w:rsidR="00E108CC">
        <w:rPr>
          <w:rFonts w:ascii="Times New Roman" w:hAnsi="Times New Roman"/>
          <w:b w:val="0"/>
          <w:sz w:val="20"/>
          <w:lang w:val="pt-BR"/>
        </w:rPr>
        <w:t>o efeito da temperatura de redução (500, 600, 700 e</w:t>
      </w:r>
      <w:r w:rsidR="00E108CC" w:rsidRPr="0030060B">
        <w:rPr>
          <w:rFonts w:ascii="Times New Roman" w:hAnsi="Times New Roman"/>
          <w:b w:val="0"/>
          <w:sz w:val="20"/>
          <w:lang w:val="pt-BR"/>
        </w:rPr>
        <w:t xml:space="preserve"> 800ºC)</w:t>
      </w:r>
      <w:r w:rsidR="00E108CC">
        <w:rPr>
          <w:rFonts w:ascii="Times New Roman" w:hAnsi="Times New Roman"/>
          <w:b w:val="0"/>
          <w:sz w:val="20"/>
          <w:lang w:val="pt-BR"/>
        </w:rPr>
        <w:t xml:space="preserve"> no desempenho do catalisador </w:t>
      </w:r>
      <w:proofErr w:type="spellStart"/>
      <w:r w:rsidR="006B6198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6B6198">
        <w:rPr>
          <w:rFonts w:ascii="Times New Roman" w:hAnsi="Times New Roman"/>
          <w:b w:val="0"/>
          <w:sz w:val="20"/>
          <w:lang w:val="pt-BR"/>
        </w:rPr>
        <w:t xml:space="preserve">/SBA-15 </w:t>
      </w:r>
      <w:r w:rsidR="00E108CC">
        <w:rPr>
          <w:rFonts w:ascii="Times New Roman" w:hAnsi="Times New Roman"/>
          <w:b w:val="0"/>
          <w:sz w:val="20"/>
          <w:lang w:val="pt-BR"/>
        </w:rPr>
        <w:t xml:space="preserve">na </w:t>
      </w:r>
      <w:r w:rsidR="006B6198">
        <w:rPr>
          <w:rFonts w:ascii="Times New Roman" w:hAnsi="Times New Roman"/>
          <w:b w:val="0"/>
          <w:sz w:val="20"/>
          <w:lang w:val="pt-BR"/>
        </w:rPr>
        <w:t xml:space="preserve">reação de </w:t>
      </w:r>
      <w:proofErr w:type="spellStart"/>
      <w:r w:rsidR="00E108CC">
        <w:rPr>
          <w:rFonts w:ascii="Times New Roman" w:hAnsi="Times New Roman"/>
          <w:b w:val="0"/>
          <w:sz w:val="20"/>
          <w:lang w:val="pt-BR"/>
        </w:rPr>
        <w:t>hidrodesoxigenação</w:t>
      </w:r>
      <w:proofErr w:type="spellEnd"/>
      <w:r w:rsidR="00E108CC" w:rsidRPr="006B6198">
        <w:rPr>
          <w:rFonts w:ascii="Times New Roman" w:hAnsi="Times New Roman"/>
          <w:b w:val="0"/>
          <w:sz w:val="20"/>
          <w:lang w:val="pt-BR"/>
        </w:rPr>
        <w:t xml:space="preserve"> </w:t>
      </w:r>
      <w:r w:rsidR="006B6198" w:rsidRPr="006B6198">
        <w:rPr>
          <w:rFonts w:ascii="Times New Roman" w:hAnsi="Times New Roman"/>
          <w:b w:val="0"/>
          <w:sz w:val="20"/>
          <w:lang w:val="pt-BR"/>
        </w:rPr>
        <w:t>do m-cresol em fase gasosa à pressão atmosférica</w:t>
      </w:r>
      <w:r w:rsidR="00C07A7C">
        <w:rPr>
          <w:rFonts w:ascii="Times New Roman" w:hAnsi="Times New Roman"/>
          <w:b w:val="0"/>
          <w:sz w:val="20"/>
          <w:lang w:val="pt-BR"/>
        </w:rPr>
        <w:t>.</w:t>
      </w:r>
      <w:r w:rsidR="0030060B" w:rsidRPr="0030060B">
        <w:rPr>
          <w:rFonts w:ascii="Times New Roman" w:hAnsi="Times New Roman"/>
          <w:b w:val="0"/>
          <w:sz w:val="20"/>
          <w:lang w:val="pt-BR"/>
        </w:rPr>
        <w:t xml:space="preserve"> </w:t>
      </w:r>
      <w:r w:rsidR="00ED33F2">
        <w:rPr>
          <w:rFonts w:ascii="Times New Roman" w:hAnsi="Times New Roman"/>
          <w:b w:val="0"/>
          <w:sz w:val="20"/>
          <w:lang w:val="pt-BR"/>
        </w:rPr>
        <w:t xml:space="preserve">O catalisador foi </w:t>
      </w:r>
      <w:r w:rsidR="001B25CE">
        <w:rPr>
          <w:rFonts w:ascii="Times New Roman" w:hAnsi="Times New Roman"/>
          <w:b w:val="0"/>
          <w:sz w:val="20"/>
          <w:lang w:val="pt-BR"/>
        </w:rPr>
        <w:t>sintetizado</w:t>
      </w:r>
      <w:r w:rsidR="00ED33F2">
        <w:rPr>
          <w:rFonts w:ascii="Times New Roman" w:hAnsi="Times New Roman"/>
          <w:b w:val="0"/>
          <w:sz w:val="20"/>
          <w:lang w:val="pt-BR"/>
        </w:rPr>
        <w:t xml:space="preserve"> de modo a obter partículas de níquel de 1nm, </w:t>
      </w:r>
      <w:r w:rsidR="0030060B">
        <w:rPr>
          <w:rFonts w:ascii="Times New Roman" w:hAnsi="Times New Roman"/>
          <w:b w:val="0"/>
          <w:sz w:val="20"/>
          <w:lang w:val="pt-BR"/>
        </w:rPr>
        <w:t>para assim</w:t>
      </w:r>
      <w:r w:rsidR="00ED33F2">
        <w:rPr>
          <w:rFonts w:ascii="Times New Roman" w:hAnsi="Times New Roman"/>
          <w:b w:val="0"/>
          <w:sz w:val="20"/>
          <w:lang w:val="pt-BR"/>
        </w:rPr>
        <w:t xml:space="preserve"> reduzir reações de </w:t>
      </w:r>
      <w:proofErr w:type="spellStart"/>
      <w:r w:rsidR="00ED33F2">
        <w:rPr>
          <w:rFonts w:ascii="Times New Roman" w:hAnsi="Times New Roman"/>
          <w:b w:val="0"/>
          <w:sz w:val="20"/>
          <w:lang w:val="pt-BR"/>
        </w:rPr>
        <w:t>hidrogenólise</w:t>
      </w:r>
      <w:proofErr w:type="spellEnd"/>
      <w:r w:rsidR="00ED33F2">
        <w:rPr>
          <w:rFonts w:ascii="Times New Roman" w:hAnsi="Times New Roman"/>
          <w:b w:val="0"/>
          <w:sz w:val="20"/>
          <w:lang w:val="pt-BR"/>
        </w:rPr>
        <w:t xml:space="preserve"> e consequente formação de metano. </w:t>
      </w:r>
      <w:r w:rsidR="00A95DD3">
        <w:rPr>
          <w:rFonts w:ascii="Times New Roman" w:hAnsi="Times New Roman"/>
          <w:b w:val="0"/>
          <w:sz w:val="20"/>
          <w:lang w:val="pt-BR"/>
        </w:rPr>
        <w:t xml:space="preserve">Os resultados mostraram que o aumento da temperatura de redução promoveu reações de </w:t>
      </w:r>
      <w:proofErr w:type="spellStart"/>
      <w:r w:rsidR="00A95DD3">
        <w:rPr>
          <w:rFonts w:ascii="Times New Roman" w:hAnsi="Times New Roman"/>
          <w:b w:val="0"/>
          <w:sz w:val="20"/>
          <w:lang w:val="pt-BR"/>
        </w:rPr>
        <w:t>hidrogenólise</w:t>
      </w:r>
      <w:proofErr w:type="spellEnd"/>
      <w:r w:rsidR="00A95DD3">
        <w:rPr>
          <w:rFonts w:ascii="Times New Roman" w:hAnsi="Times New Roman"/>
          <w:b w:val="0"/>
          <w:sz w:val="20"/>
          <w:lang w:val="pt-BR"/>
        </w:rPr>
        <w:t>, aumentando a seletividade para metano, enquanto a seletividade para tolueno, produto de interesse, caiu. Isso pode estar relacionado à sinterização sofrida pelas partículas de níquel ao serem expostas a temperaturas mais extremas de redução.</w:t>
      </w:r>
      <w:r w:rsidR="006B02B5">
        <w:rPr>
          <w:rFonts w:ascii="Times New Roman" w:hAnsi="Times New Roman"/>
          <w:b w:val="0"/>
          <w:sz w:val="20"/>
          <w:lang w:val="pt-BR"/>
        </w:rPr>
        <w:t xml:space="preserve"> No entanto, este provável aumento no tamanho das </w:t>
      </w:r>
      <w:proofErr w:type="spellStart"/>
      <w:r w:rsidR="006B02B5">
        <w:rPr>
          <w:rFonts w:ascii="Times New Roman" w:hAnsi="Times New Roman"/>
          <w:b w:val="0"/>
          <w:sz w:val="20"/>
          <w:lang w:val="pt-BR"/>
        </w:rPr>
        <w:t>nanopartículas</w:t>
      </w:r>
      <w:proofErr w:type="spellEnd"/>
      <w:r w:rsidR="006B02B5">
        <w:rPr>
          <w:rFonts w:ascii="Times New Roman" w:hAnsi="Times New Roman"/>
          <w:b w:val="0"/>
          <w:sz w:val="20"/>
          <w:lang w:val="pt-BR"/>
        </w:rPr>
        <w:t xml:space="preserve"> de níquel com o aumento da temperatura de redução não influenciou no comportamento da conversão de molécula modelo em reações de estabilidade, gerando variação novamente nas seletividades para metano e tolueno. </w:t>
      </w:r>
    </w:p>
    <w:p w14:paraId="5D8D4445" w14:textId="5361AF01" w:rsidR="00EA4E1B" w:rsidRPr="00F44AEE" w:rsidRDefault="00000F3C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F44AEE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proofErr w:type="spellStart"/>
      <w:r w:rsidRPr="00F44AEE">
        <w:rPr>
          <w:rFonts w:ascii="Times New Roman" w:hAnsi="Times New Roman"/>
          <w:b w:val="0"/>
          <w:i/>
          <w:sz w:val="20"/>
          <w:lang w:val="pt-BR"/>
        </w:rPr>
        <w:t>Bio-óleo</w:t>
      </w:r>
      <w:proofErr w:type="spellEnd"/>
      <w:r w:rsidRPr="00F44AEE">
        <w:rPr>
          <w:rFonts w:ascii="Times New Roman" w:hAnsi="Times New Roman"/>
          <w:b w:val="0"/>
          <w:i/>
          <w:sz w:val="20"/>
          <w:lang w:val="pt-BR"/>
        </w:rPr>
        <w:t>; HDO; m-cresol; estabilidade; níquel</w:t>
      </w:r>
    </w:p>
    <w:p w14:paraId="0F80E7D5" w14:textId="5D4DAFCF" w:rsidR="00EA4E1B" w:rsidRPr="0051778F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color w:val="FF0000"/>
          <w:sz w:val="20"/>
          <w:lang w:val="en-GB"/>
        </w:rPr>
      </w:pPr>
      <w:r w:rsidRPr="006352A3">
        <w:rPr>
          <w:rFonts w:ascii="Times New Roman" w:hAnsi="Times New Roman"/>
          <w:b w:val="0"/>
          <w:sz w:val="20"/>
          <w:lang w:val="en-GB"/>
        </w:rPr>
        <w:t xml:space="preserve">ABSTRACT - </w:t>
      </w:r>
      <w:r w:rsidR="0051778F" w:rsidRPr="0051778F">
        <w:rPr>
          <w:rFonts w:ascii="Times New Roman" w:hAnsi="Times New Roman"/>
          <w:b w:val="0"/>
          <w:sz w:val="20"/>
          <w:lang w:val="en-GB"/>
        </w:rPr>
        <w:t xml:space="preserve">This work investigated the effect of the reduction temperature (500, 600, 700 and 800ºC) on the performance of Ni/SBA-15 catalyst in the </w:t>
      </w:r>
      <w:proofErr w:type="spellStart"/>
      <w:r w:rsidR="0051778F" w:rsidRPr="0051778F">
        <w:rPr>
          <w:rFonts w:ascii="Times New Roman" w:hAnsi="Times New Roman"/>
          <w:b w:val="0"/>
          <w:sz w:val="20"/>
          <w:lang w:val="en-GB"/>
        </w:rPr>
        <w:t>hidrodeoxygenation</w:t>
      </w:r>
      <w:proofErr w:type="spellEnd"/>
      <w:r w:rsidR="0051778F" w:rsidRPr="0051778F">
        <w:rPr>
          <w:rFonts w:ascii="Times New Roman" w:hAnsi="Times New Roman"/>
          <w:b w:val="0"/>
          <w:sz w:val="20"/>
          <w:lang w:val="en-GB"/>
        </w:rPr>
        <w:t xml:space="preserve"> reaction of m-cresol at gaseous phase and atmospheric pressure. </w:t>
      </w:r>
      <w:r w:rsidR="00A95DD3" w:rsidRPr="0051778F">
        <w:rPr>
          <w:rFonts w:ascii="Times New Roman" w:hAnsi="Times New Roman"/>
          <w:b w:val="0"/>
          <w:sz w:val="20"/>
          <w:lang w:val="en-GB"/>
        </w:rPr>
        <w:t xml:space="preserve">The catalyst was synthesized in order to obtain nickel particles of 1nm size to reduce </w:t>
      </w:r>
      <w:proofErr w:type="spellStart"/>
      <w:r w:rsidR="00A95DD3" w:rsidRPr="0051778F">
        <w:rPr>
          <w:rFonts w:ascii="Times New Roman" w:hAnsi="Times New Roman"/>
          <w:b w:val="0"/>
          <w:sz w:val="20"/>
          <w:lang w:val="en-GB"/>
        </w:rPr>
        <w:t>hydrogenolysis</w:t>
      </w:r>
      <w:proofErr w:type="spellEnd"/>
      <w:r w:rsidR="00A95DD3" w:rsidRPr="0051778F">
        <w:rPr>
          <w:rFonts w:ascii="Times New Roman" w:hAnsi="Times New Roman"/>
          <w:b w:val="0"/>
          <w:sz w:val="20"/>
          <w:lang w:val="en-GB"/>
        </w:rPr>
        <w:t xml:space="preserve"> reactions and consequent methane formation. The results showed that the increase in reduction temperature promoted </w:t>
      </w:r>
      <w:proofErr w:type="spellStart"/>
      <w:r w:rsidR="00A95DD3" w:rsidRPr="0051778F">
        <w:rPr>
          <w:rFonts w:ascii="Times New Roman" w:hAnsi="Times New Roman"/>
          <w:b w:val="0"/>
          <w:sz w:val="20"/>
          <w:lang w:val="en-GB"/>
        </w:rPr>
        <w:t>hydrogenolysis</w:t>
      </w:r>
      <w:proofErr w:type="spellEnd"/>
      <w:r w:rsidR="00A95DD3" w:rsidRPr="0051778F">
        <w:rPr>
          <w:rFonts w:ascii="Times New Roman" w:hAnsi="Times New Roman"/>
          <w:b w:val="0"/>
          <w:sz w:val="20"/>
          <w:lang w:val="en-GB"/>
        </w:rPr>
        <w:t xml:space="preserve"> reactions, increasing selectivity to methane, while selectivity to toluene, product of interest, has decreased</w:t>
      </w:r>
      <w:r w:rsidR="00FE1925" w:rsidRPr="0051778F">
        <w:rPr>
          <w:rFonts w:ascii="Times New Roman" w:hAnsi="Times New Roman"/>
          <w:b w:val="0"/>
          <w:sz w:val="20"/>
          <w:lang w:val="en-GB"/>
        </w:rPr>
        <w:t xml:space="preserve">. This may </w:t>
      </w:r>
      <w:r w:rsidR="00A95DD3" w:rsidRPr="0051778F">
        <w:rPr>
          <w:rFonts w:ascii="Times New Roman" w:hAnsi="Times New Roman"/>
          <w:b w:val="0"/>
          <w:sz w:val="20"/>
          <w:lang w:val="en-GB"/>
        </w:rPr>
        <w:t>relate to the sintering suffered by nickel particles when exposed to more extreme reduction temperatures.</w:t>
      </w:r>
      <w:r w:rsidR="006B02B5" w:rsidRPr="0051778F">
        <w:rPr>
          <w:rFonts w:ascii="Times New Roman" w:hAnsi="Times New Roman"/>
          <w:b w:val="0"/>
          <w:sz w:val="20"/>
          <w:lang w:val="en-GB"/>
        </w:rPr>
        <w:t xml:space="preserve"> However, this probable increase in size of nickel nanoparticles with increasing reduction temperature did not influence the conversion </w:t>
      </w:r>
      <w:proofErr w:type="spellStart"/>
      <w:r w:rsidR="006B02B5" w:rsidRPr="0051778F">
        <w:rPr>
          <w:rFonts w:ascii="Times New Roman" w:hAnsi="Times New Roman"/>
          <w:b w:val="0"/>
          <w:sz w:val="20"/>
          <w:lang w:val="en-GB"/>
        </w:rPr>
        <w:t>behavior</w:t>
      </w:r>
      <w:proofErr w:type="spellEnd"/>
      <w:r w:rsidR="006B02B5" w:rsidRPr="0051778F">
        <w:rPr>
          <w:rFonts w:ascii="Times New Roman" w:hAnsi="Times New Roman"/>
          <w:b w:val="0"/>
          <w:sz w:val="20"/>
          <w:lang w:val="en-GB"/>
        </w:rPr>
        <w:t xml:space="preserve"> of the model molecule in stability reactions, generating variation again</w:t>
      </w:r>
      <w:r w:rsidR="00A80324" w:rsidRPr="0051778F">
        <w:rPr>
          <w:rFonts w:ascii="Times New Roman" w:hAnsi="Times New Roman"/>
          <w:b w:val="0"/>
          <w:sz w:val="20"/>
          <w:lang w:val="en-GB"/>
        </w:rPr>
        <w:t xml:space="preserve"> on the </w:t>
      </w:r>
      <w:proofErr w:type="spellStart"/>
      <w:r w:rsidR="00A80324" w:rsidRPr="0051778F">
        <w:rPr>
          <w:rFonts w:ascii="Times New Roman" w:hAnsi="Times New Roman"/>
          <w:b w:val="0"/>
          <w:sz w:val="20"/>
          <w:lang w:val="en-GB"/>
        </w:rPr>
        <w:t>selectivities</w:t>
      </w:r>
      <w:proofErr w:type="spellEnd"/>
      <w:r w:rsidR="00A80324" w:rsidRPr="0051778F">
        <w:rPr>
          <w:rFonts w:ascii="Times New Roman" w:hAnsi="Times New Roman"/>
          <w:b w:val="0"/>
          <w:sz w:val="20"/>
          <w:lang w:val="en-GB"/>
        </w:rPr>
        <w:t xml:space="preserve"> of</w:t>
      </w:r>
      <w:r w:rsidR="006B02B5" w:rsidRPr="0051778F">
        <w:rPr>
          <w:rFonts w:ascii="Times New Roman" w:hAnsi="Times New Roman"/>
          <w:b w:val="0"/>
          <w:sz w:val="20"/>
          <w:lang w:val="en-GB"/>
        </w:rPr>
        <w:t xml:space="preserve"> methane and toluene.</w:t>
      </w:r>
    </w:p>
    <w:p w14:paraId="5F4A84E8" w14:textId="0148D1DC" w:rsidR="00EA4E1B" w:rsidRPr="00FE1925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en-GB"/>
        </w:rPr>
      </w:pPr>
      <w:r w:rsidRPr="00FE1925">
        <w:rPr>
          <w:rFonts w:ascii="Times New Roman" w:hAnsi="Times New Roman"/>
          <w:b w:val="0"/>
          <w:i/>
          <w:sz w:val="20"/>
          <w:lang w:val="en-GB"/>
        </w:rPr>
        <w:t xml:space="preserve">Keywords: </w:t>
      </w:r>
      <w:r w:rsidR="00000F3C" w:rsidRPr="00FE1925">
        <w:rPr>
          <w:rFonts w:ascii="Times New Roman" w:hAnsi="Times New Roman"/>
          <w:b w:val="0"/>
          <w:i/>
          <w:sz w:val="20"/>
          <w:lang w:val="en-GB"/>
        </w:rPr>
        <w:t>bio-oil; HDO; m-cresol; stability; nickel</w:t>
      </w:r>
    </w:p>
    <w:bookmarkEnd w:id="1"/>
    <w:p w14:paraId="48D9B0C4" w14:textId="77777777" w:rsidR="00EA4E1B" w:rsidRPr="00FE1925" w:rsidRDefault="00EA4E1B" w:rsidP="00EA4E1B">
      <w:pPr>
        <w:rPr>
          <w:lang w:val="en-GB"/>
        </w:rPr>
        <w:sectPr w:rsidR="00EA4E1B" w:rsidRPr="00FE1925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F44AEE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018D7A40" w14:textId="77777777" w:rsidR="00503B59" w:rsidRDefault="005B722B" w:rsidP="00503B59">
      <w:pPr>
        <w:pStyle w:val="TAMainText"/>
        <w:ind w:firstLine="187"/>
        <w:rPr>
          <w:rFonts w:ascii="Times New Roman" w:hAnsi="Times New Roman"/>
          <w:lang w:val="pt-BR"/>
        </w:rPr>
      </w:pPr>
      <w:r w:rsidRPr="00503B59">
        <w:rPr>
          <w:rFonts w:ascii="Times New Roman" w:hAnsi="Times New Roman"/>
          <w:lang w:val="pt-BR"/>
        </w:rPr>
        <w:t xml:space="preserve">O </w:t>
      </w:r>
      <w:proofErr w:type="spellStart"/>
      <w:r w:rsidRPr="00503B59">
        <w:rPr>
          <w:rFonts w:ascii="Times New Roman" w:hAnsi="Times New Roman"/>
          <w:lang w:val="pt-BR"/>
        </w:rPr>
        <w:t>bio-óleo</w:t>
      </w:r>
      <w:proofErr w:type="spellEnd"/>
      <w:r w:rsidRPr="00503B59">
        <w:rPr>
          <w:rFonts w:ascii="Times New Roman" w:hAnsi="Times New Roman"/>
          <w:lang w:val="pt-BR"/>
        </w:rPr>
        <w:t xml:space="preserve"> produzido </w:t>
      </w:r>
      <w:r w:rsidR="00AF143B" w:rsidRPr="00503B59">
        <w:rPr>
          <w:rFonts w:ascii="Times New Roman" w:hAnsi="Times New Roman"/>
          <w:lang w:val="pt-BR"/>
        </w:rPr>
        <w:t>p</w:t>
      </w:r>
      <w:r w:rsidR="002D59BC" w:rsidRPr="00503B59">
        <w:rPr>
          <w:rFonts w:ascii="Times New Roman" w:hAnsi="Times New Roman"/>
          <w:lang w:val="pt-BR"/>
        </w:rPr>
        <w:t>or</w:t>
      </w:r>
      <w:r w:rsidR="00AF143B" w:rsidRPr="00503B59">
        <w:rPr>
          <w:rFonts w:ascii="Times New Roman" w:hAnsi="Times New Roman"/>
          <w:lang w:val="pt-BR"/>
        </w:rPr>
        <w:t xml:space="preserve"> </w:t>
      </w:r>
      <w:r w:rsidRPr="00503B59">
        <w:rPr>
          <w:rFonts w:ascii="Times New Roman" w:hAnsi="Times New Roman"/>
          <w:lang w:val="pt-BR"/>
        </w:rPr>
        <w:t xml:space="preserve">pirólise rápida </w:t>
      </w:r>
      <w:r w:rsidR="00AF143B" w:rsidRPr="00503B59">
        <w:rPr>
          <w:rFonts w:ascii="Times New Roman" w:hAnsi="Times New Roman"/>
          <w:lang w:val="pt-BR"/>
        </w:rPr>
        <w:t xml:space="preserve">da </w:t>
      </w:r>
      <w:r w:rsidRPr="00503B59">
        <w:rPr>
          <w:rFonts w:ascii="Times New Roman" w:hAnsi="Times New Roman"/>
          <w:lang w:val="pt-BR"/>
        </w:rPr>
        <w:t xml:space="preserve">biomassa </w:t>
      </w:r>
      <w:proofErr w:type="spellStart"/>
      <w:r w:rsidRPr="00503B59">
        <w:rPr>
          <w:rFonts w:ascii="Times New Roman" w:hAnsi="Times New Roman"/>
          <w:lang w:val="pt-BR"/>
        </w:rPr>
        <w:t>lignocelulósica</w:t>
      </w:r>
      <w:proofErr w:type="spellEnd"/>
      <w:r w:rsidRPr="00503B59">
        <w:rPr>
          <w:rFonts w:ascii="Times New Roman" w:hAnsi="Times New Roman"/>
          <w:lang w:val="pt-BR"/>
        </w:rPr>
        <w:t xml:space="preserve"> pode ser usado como biocombustível líquido</w:t>
      </w:r>
      <w:r w:rsidR="00B04D37" w:rsidRPr="00503B59">
        <w:rPr>
          <w:rFonts w:ascii="Times New Roman" w:hAnsi="Times New Roman"/>
          <w:lang w:val="pt-BR"/>
        </w:rPr>
        <w:t xml:space="preserve"> [1</w:t>
      </w:r>
      <w:r w:rsidR="00AF143B" w:rsidRPr="00503B59">
        <w:rPr>
          <w:rFonts w:ascii="Times New Roman" w:hAnsi="Times New Roman"/>
          <w:lang w:val="pt-BR"/>
        </w:rPr>
        <w:t xml:space="preserve">]. Porém, devido ao seu elevado teor de oxigênio, ele </w:t>
      </w:r>
      <w:r w:rsidRPr="00503B59">
        <w:rPr>
          <w:rFonts w:ascii="Times New Roman" w:hAnsi="Times New Roman"/>
          <w:lang w:val="pt-BR"/>
        </w:rPr>
        <w:t xml:space="preserve">deve </w:t>
      </w:r>
      <w:r w:rsidR="00AF143B" w:rsidRPr="00503B59">
        <w:rPr>
          <w:rFonts w:ascii="Times New Roman" w:hAnsi="Times New Roman"/>
          <w:lang w:val="pt-BR"/>
        </w:rPr>
        <w:t xml:space="preserve">sofrer um </w:t>
      </w:r>
      <w:proofErr w:type="spellStart"/>
      <w:r w:rsidR="00AF143B" w:rsidRPr="00503B59">
        <w:rPr>
          <w:rFonts w:ascii="Times New Roman" w:hAnsi="Times New Roman"/>
          <w:lang w:val="pt-BR"/>
        </w:rPr>
        <w:t>pr</w:t>
      </w:r>
      <w:r w:rsidR="005D53F1" w:rsidRPr="00503B59">
        <w:rPr>
          <w:rFonts w:ascii="Times New Roman" w:hAnsi="Times New Roman"/>
          <w:lang w:val="pt-BR"/>
        </w:rPr>
        <w:t>é</w:t>
      </w:r>
      <w:proofErr w:type="spellEnd"/>
      <w:r w:rsidR="005D53F1" w:rsidRPr="00503B59">
        <w:rPr>
          <w:rFonts w:ascii="Times New Roman" w:hAnsi="Times New Roman"/>
          <w:lang w:val="pt-BR"/>
        </w:rPr>
        <w:t xml:space="preserve"> </w:t>
      </w:r>
      <w:r w:rsidR="00AF143B" w:rsidRPr="00503B59">
        <w:rPr>
          <w:rFonts w:ascii="Times New Roman" w:hAnsi="Times New Roman"/>
          <w:lang w:val="pt-BR"/>
        </w:rPr>
        <w:t xml:space="preserve">tratamento </w:t>
      </w:r>
      <w:r w:rsidRPr="00503B59">
        <w:rPr>
          <w:rFonts w:ascii="Times New Roman" w:hAnsi="Times New Roman"/>
          <w:lang w:val="pt-BR"/>
        </w:rPr>
        <w:t>para a remoção de oxigênio, o que pode ser feito p</w:t>
      </w:r>
      <w:r w:rsidR="00E27875" w:rsidRPr="00503B59">
        <w:rPr>
          <w:rFonts w:ascii="Times New Roman" w:hAnsi="Times New Roman"/>
          <w:lang w:val="pt-BR"/>
        </w:rPr>
        <w:t>elo p</w:t>
      </w:r>
      <w:r w:rsidRPr="00503B59">
        <w:rPr>
          <w:rFonts w:ascii="Times New Roman" w:hAnsi="Times New Roman"/>
          <w:lang w:val="pt-BR"/>
        </w:rPr>
        <w:t>r</w:t>
      </w:r>
      <w:r w:rsidR="00E27875" w:rsidRPr="00503B59">
        <w:rPr>
          <w:rFonts w:ascii="Times New Roman" w:hAnsi="Times New Roman"/>
          <w:lang w:val="pt-BR"/>
        </w:rPr>
        <w:t>ocesso de</w:t>
      </w:r>
      <w:r w:rsidRPr="00503B59">
        <w:rPr>
          <w:rFonts w:ascii="Times New Roman" w:hAnsi="Times New Roman"/>
          <w:lang w:val="pt-BR"/>
        </w:rPr>
        <w:t xml:space="preserve"> </w:t>
      </w:r>
      <w:proofErr w:type="spellStart"/>
      <w:r w:rsidRPr="00503B59">
        <w:rPr>
          <w:rFonts w:ascii="Times New Roman" w:hAnsi="Times New Roman"/>
          <w:lang w:val="pt-BR"/>
        </w:rPr>
        <w:t>hidrode</w:t>
      </w:r>
      <w:r w:rsidR="00A80324" w:rsidRPr="00503B59">
        <w:rPr>
          <w:rFonts w:ascii="Times New Roman" w:hAnsi="Times New Roman"/>
          <w:lang w:val="pt-BR"/>
        </w:rPr>
        <w:t>s</w:t>
      </w:r>
      <w:r w:rsidRPr="00503B59">
        <w:rPr>
          <w:rFonts w:ascii="Times New Roman" w:hAnsi="Times New Roman"/>
          <w:lang w:val="pt-BR"/>
        </w:rPr>
        <w:t>oxigenação</w:t>
      </w:r>
      <w:proofErr w:type="spellEnd"/>
      <w:r w:rsidRPr="00503B59">
        <w:rPr>
          <w:rFonts w:ascii="Times New Roman" w:hAnsi="Times New Roman"/>
          <w:lang w:val="pt-BR"/>
        </w:rPr>
        <w:t xml:space="preserve"> (HDO</w:t>
      </w:r>
      <w:r w:rsidR="00AF143B" w:rsidRPr="00503B59">
        <w:rPr>
          <w:rFonts w:ascii="Times New Roman" w:hAnsi="Times New Roman"/>
          <w:lang w:val="pt-BR"/>
        </w:rPr>
        <w:t xml:space="preserve">). Por causa da complexidade da composição química do </w:t>
      </w:r>
      <w:proofErr w:type="spellStart"/>
      <w:r w:rsidR="00AF143B" w:rsidRPr="00503B59">
        <w:rPr>
          <w:rFonts w:ascii="Times New Roman" w:hAnsi="Times New Roman"/>
          <w:lang w:val="pt-BR"/>
        </w:rPr>
        <w:t>bio-óleo</w:t>
      </w:r>
      <w:proofErr w:type="spellEnd"/>
      <w:r w:rsidR="00AF143B" w:rsidRPr="00503B59">
        <w:rPr>
          <w:rFonts w:ascii="Times New Roman" w:hAnsi="Times New Roman"/>
          <w:lang w:val="pt-BR"/>
        </w:rPr>
        <w:t>, moléculas modelo como o m-cresol são usadas no estudo do mecanismo da reação para o desenvolvimento de novos catalisadores</w:t>
      </w:r>
      <w:r w:rsidRPr="00503B59">
        <w:rPr>
          <w:rFonts w:ascii="Times New Roman" w:hAnsi="Times New Roman"/>
          <w:lang w:val="pt-BR"/>
        </w:rPr>
        <w:t xml:space="preserve"> [2]. </w:t>
      </w:r>
    </w:p>
    <w:p w14:paraId="74DCC0CA" w14:textId="2D7763EB" w:rsidR="00503B59" w:rsidRDefault="00BB6A11" w:rsidP="00503B59">
      <w:pPr>
        <w:pStyle w:val="TAMainText"/>
        <w:ind w:firstLine="187"/>
        <w:rPr>
          <w:rFonts w:ascii="Times New Roman" w:hAnsi="Times New Roman"/>
          <w:lang w:val="pt-BR"/>
        </w:rPr>
      </w:pPr>
      <w:r w:rsidRPr="00503B59">
        <w:rPr>
          <w:rFonts w:ascii="Times New Roman" w:hAnsi="Times New Roman"/>
          <w:lang w:val="pt-BR"/>
        </w:rPr>
        <w:t>O</w:t>
      </w:r>
      <w:r w:rsidR="00F0571B" w:rsidRPr="00503B59">
        <w:rPr>
          <w:rFonts w:ascii="Times New Roman" w:hAnsi="Times New Roman"/>
          <w:lang w:val="pt-BR"/>
        </w:rPr>
        <w:t xml:space="preserve"> mecanismo </w:t>
      </w:r>
      <w:r w:rsidR="009B2B88" w:rsidRPr="00503B59">
        <w:rPr>
          <w:rFonts w:ascii="Times New Roman" w:hAnsi="Times New Roman"/>
          <w:lang w:val="pt-BR"/>
        </w:rPr>
        <w:t xml:space="preserve">da </w:t>
      </w:r>
      <w:r w:rsidR="00F0571B" w:rsidRPr="00503B59">
        <w:rPr>
          <w:rFonts w:ascii="Times New Roman" w:hAnsi="Times New Roman"/>
          <w:lang w:val="pt-BR"/>
        </w:rPr>
        <w:t>reação do HDO de m</w:t>
      </w:r>
      <w:r w:rsidRPr="00503B59">
        <w:rPr>
          <w:rFonts w:ascii="Times New Roman" w:hAnsi="Times New Roman"/>
          <w:lang w:val="pt-BR"/>
        </w:rPr>
        <w:t>-</w:t>
      </w:r>
      <w:r w:rsidR="00F0571B" w:rsidRPr="00503B59">
        <w:rPr>
          <w:rFonts w:ascii="Times New Roman" w:hAnsi="Times New Roman"/>
          <w:lang w:val="pt-BR"/>
        </w:rPr>
        <w:t>c</w:t>
      </w:r>
      <w:r w:rsidRPr="00503B59">
        <w:rPr>
          <w:rFonts w:ascii="Times New Roman" w:hAnsi="Times New Roman"/>
          <w:lang w:val="pt-BR"/>
        </w:rPr>
        <w:t>resol depende do tipo de metal</w:t>
      </w:r>
      <w:r w:rsidR="00E962DD" w:rsidRPr="00503B59">
        <w:rPr>
          <w:rFonts w:ascii="Times New Roman" w:hAnsi="Times New Roman"/>
          <w:lang w:val="pt-BR"/>
        </w:rPr>
        <w:t xml:space="preserve"> e do suporte</w:t>
      </w:r>
      <w:r w:rsidRPr="00503B59">
        <w:rPr>
          <w:rFonts w:ascii="Times New Roman" w:hAnsi="Times New Roman"/>
          <w:lang w:val="pt-BR"/>
        </w:rPr>
        <w:t xml:space="preserve">, </w:t>
      </w:r>
      <w:r w:rsidR="005B722B" w:rsidRPr="00503B59">
        <w:rPr>
          <w:rFonts w:ascii="Times New Roman" w:hAnsi="Times New Roman"/>
          <w:lang w:val="pt-BR"/>
        </w:rPr>
        <w:t xml:space="preserve">[1, 3]. </w:t>
      </w:r>
      <w:r w:rsidR="004843CD" w:rsidRPr="00503B59">
        <w:rPr>
          <w:rFonts w:ascii="Times New Roman" w:hAnsi="Times New Roman"/>
          <w:lang w:val="pt-BR"/>
        </w:rPr>
        <w:t xml:space="preserve">Metais como o </w:t>
      </w:r>
      <w:proofErr w:type="spellStart"/>
      <w:r w:rsidR="004843CD" w:rsidRPr="00503B59">
        <w:rPr>
          <w:rFonts w:ascii="Times New Roman" w:hAnsi="Times New Roman"/>
          <w:lang w:val="pt-BR"/>
        </w:rPr>
        <w:t>Ni</w:t>
      </w:r>
      <w:proofErr w:type="spellEnd"/>
      <w:r w:rsidR="004843CD" w:rsidRPr="00503B59">
        <w:rPr>
          <w:rFonts w:ascii="Times New Roman" w:hAnsi="Times New Roman"/>
          <w:lang w:val="pt-BR"/>
        </w:rPr>
        <w:t xml:space="preserve"> promovem a reação de </w:t>
      </w:r>
      <w:proofErr w:type="spellStart"/>
      <w:r w:rsidR="004843CD" w:rsidRPr="00503B59">
        <w:rPr>
          <w:rFonts w:ascii="Times New Roman" w:hAnsi="Times New Roman"/>
          <w:lang w:val="pt-BR"/>
        </w:rPr>
        <w:t>hidrogenólise</w:t>
      </w:r>
      <w:proofErr w:type="spellEnd"/>
      <w:r w:rsidR="009B2B88" w:rsidRPr="00503B59">
        <w:rPr>
          <w:rFonts w:ascii="Times New Roman" w:hAnsi="Times New Roman"/>
          <w:lang w:val="pt-BR"/>
        </w:rPr>
        <w:t>,</w:t>
      </w:r>
      <w:r w:rsidR="004843CD" w:rsidRPr="00503B59">
        <w:rPr>
          <w:rFonts w:ascii="Times New Roman" w:hAnsi="Times New Roman"/>
          <w:lang w:val="pt-BR"/>
        </w:rPr>
        <w:t xml:space="preserve"> que é favorecida em </w:t>
      </w:r>
      <w:r w:rsidR="009B2B88" w:rsidRPr="00503B59">
        <w:rPr>
          <w:rFonts w:ascii="Times New Roman" w:hAnsi="Times New Roman"/>
          <w:lang w:val="pt-BR"/>
        </w:rPr>
        <w:lastRenderedPageBreak/>
        <w:t>partículas metálicas grandes [</w:t>
      </w:r>
      <w:r w:rsidR="001E4F85" w:rsidRPr="00503B59">
        <w:rPr>
          <w:rFonts w:ascii="Times New Roman" w:hAnsi="Times New Roman"/>
          <w:lang w:val="pt-BR"/>
        </w:rPr>
        <w:t>4</w:t>
      </w:r>
      <w:r w:rsidR="009B2B88" w:rsidRPr="00503B59">
        <w:rPr>
          <w:rFonts w:ascii="Times New Roman" w:hAnsi="Times New Roman"/>
          <w:lang w:val="pt-BR"/>
        </w:rPr>
        <w:t>]</w:t>
      </w:r>
      <w:r w:rsidR="004843CD" w:rsidRPr="00503B59">
        <w:rPr>
          <w:rFonts w:ascii="Times New Roman" w:hAnsi="Times New Roman"/>
          <w:lang w:val="pt-BR"/>
        </w:rPr>
        <w:t xml:space="preserve">. </w:t>
      </w:r>
      <w:r w:rsidR="009B2B88" w:rsidRPr="00503B59">
        <w:rPr>
          <w:rFonts w:ascii="Times New Roman" w:hAnsi="Times New Roman"/>
          <w:lang w:val="pt-BR"/>
        </w:rPr>
        <w:t xml:space="preserve">Portanto uma estratégia para controlar o tamanho da partícula do </w:t>
      </w:r>
      <w:proofErr w:type="spellStart"/>
      <w:r w:rsidR="009B2B88" w:rsidRPr="00503B59">
        <w:rPr>
          <w:rFonts w:ascii="Times New Roman" w:hAnsi="Times New Roman"/>
          <w:lang w:val="pt-BR"/>
        </w:rPr>
        <w:t>Ni</w:t>
      </w:r>
      <w:proofErr w:type="spellEnd"/>
      <w:r w:rsidR="009B2B88" w:rsidRPr="00503B59">
        <w:rPr>
          <w:rFonts w:ascii="Times New Roman" w:hAnsi="Times New Roman"/>
          <w:lang w:val="pt-BR"/>
        </w:rPr>
        <w:t xml:space="preserve"> consiste no seu confinamento no interior de canais de materiais </w:t>
      </w:r>
      <w:proofErr w:type="spellStart"/>
      <w:r w:rsidR="009B2B88" w:rsidRPr="00503B59">
        <w:rPr>
          <w:rFonts w:ascii="Times New Roman" w:hAnsi="Times New Roman"/>
          <w:lang w:val="pt-BR"/>
        </w:rPr>
        <w:t>mesoporosos</w:t>
      </w:r>
      <w:proofErr w:type="spellEnd"/>
      <w:r w:rsidR="009B2B88" w:rsidRPr="00503B59">
        <w:rPr>
          <w:rFonts w:ascii="Times New Roman" w:hAnsi="Times New Roman"/>
          <w:lang w:val="pt-BR"/>
        </w:rPr>
        <w:t xml:space="preserve"> como a SBA-15 [</w:t>
      </w:r>
      <w:r w:rsidR="003F5D3E">
        <w:rPr>
          <w:rFonts w:ascii="Times New Roman" w:hAnsi="Times New Roman"/>
          <w:lang w:val="pt-BR"/>
        </w:rPr>
        <w:t>5</w:t>
      </w:r>
      <w:r w:rsidR="009B2B88" w:rsidRPr="00503B59">
        <w:rPr>
          <w:rFonts w:ascii="Times New Roman" w:hAnsi="Times New Roman"/>
          <w:lang w:val="pt-BR"/>
        </w:rPr>
        <w:t xml:space="preserve">]. Entretanto, menores partículas de </w:t>
      </w:r>
      <w:proofErr w:type="spellStart"/>
      <w:r w:rsidR="009B2B88" w:rsidRPr="00503B59">
        <w:rPr>
          <w:rFonts w:ascii="Times New Roman" w:hAnsi="Times New Roman"/>
          <w:lang w:val="pt-BR"/>
        </w:rPr>
        <w:t>Ni</w:t>
      </w:r>
      <w:proofErr w:type="spellEnd"/>
      <w:r w:rsidR="009B2B88" w:rsidRPr="00503B59">
        <w:rPr>
          <w:rFonts w:ascii="Times New Roman" w:hAnsi="Times New Roman"/>
          <w:lang w:val="pt-BR"/>
        </w:rPr>
        <w:t xml:space="preserve"> podem ser mais difíceis de reduzir, o que também pode afetar a desoxigenação do catalisador.</w:t>
      </w:r>
      <w:r w:rsidR="001E4F85" w:rsidRPr="00503B59">
        <w:rPr>
          <w:rFonts w:ascii="Times New Roman" w:hAnsi="Times New Roman"/>
          <w:lang w:val="pt-BR"/>
        </w:rPr>
        <w:t xml:space="preserve"> </w:t>
      </w:r>
    </w:p>
    <w:p w14:paraId="210F46D7" w14:textId="73A21E75" w:rsidR="00503B59" w:rsidRDefault="009B2B88" w:rsidP="00503B5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Portanto, o objetivo deste trabalho é avaliar o efeito da temperatura de redução </w:t>
      </w:r>
      <w:r w:rsidR="00D60B55">
        <w:rPr>
          <w:rFonts w:ascii="Times New Roman" w:hAnsi="Times New Roman"/>
          <w:lang w:val="pt-BR"/>
        </w:rPr>
        <w:t>no desempenho d</w:t>
      </w:r>
      <w:r w:rsidR="00503B59">
        <w:rPr>
          <w:rFonts w:ascii="Times New Roman" w:hAnsi="Times New Roman"/>
          <w:lang w:val="pt-BR"/>
        </w:rPr>
        <w:t>e</w:t>
      </w:r>
      <w:r w:rsidR="00D60B55">
        <w:rPr>
          <w:rFonts w:ascii="Times New Roman" w:hAnsi="Times New Roman"/>
          <w:lang w:val="pt-BR"/>
        </w:rPr>
        <w:t xml:space="preserve"> </w:t>
      </w:r>
      <w:proofErr w:type="spellStart"/>
      <w:r w:rsidR="00D60B55">
        <w:rPr>
          <w:rFonts w:ascii="Times New Roman" w:hAnsi="Times New Roman"/>
          <w:lang w:val="pt-BR"/>
        </w:rPr>
        <w:t>Ni</w:t>
      </w:r>
      <w:proofErr w:type="spellEnd"/>
      <w:r w:rsidR="00D60B55">
        <w:rPr>
          <w:rFonts w:ascii="Times New Roman" w:hAnsi="Times New Roman"/>
          <w:lang w:val="pt-BR"/>
        </w:rPr>
        <w:t>/SBA-15 na reação de HDO do m-cresol. Análises de MET e de XPS dos catalisadores reduzidos a diferentes temperaturas (500, 600, 700 e 800</w:t>
      </w:r>
      <w:r w:rsidR="00C07A7C">
        <w:rPr>
          <w:rFonts w:ascii="Times New Roman" w:hAnsi="Times New Roman"/>
          <w:lang w:val="pt-BR"/>
        </w:rPr>
        <w:t>º</w:t>
      </w:r>
      <w:r w:rsidR="00D60B55">
        <w:rPr>
          <w:rFonts w:ascii="Times New Roman" w:hAnsi="Times New Roman"/>
          <w:lang w:val="pt-BR"/>
        </w:rPr>
        <w:t>C) foram realizadas para estabelecer uma correlação com os resultados de atividade e seletividade da reação.</w:t>
      </w:r>
    </w:p>
    <w:p w14:paraId="09E31BAF" w14:textId="77777777" w:rsidR="00503B59" w:rsidRDefault="00503B59" w:rsidP="00503B59">
      <w:pPr>
        <w:pStyle w:val="TAMainText"/>
        <w:ind w:firstLine="0"/>
        <w:rPr>
          <w:rFonts w:ascii="Times New Roman" w:hAnsi="Times New Roman"/>
          <w:lang w:val="pt-BR"/>
        </w:rPr>
        <w:sectPr w:rsidR="00503B59" w:rsidSect="00503B59">
          <w:type w:val="continuous"/>
          <w:pgSz w:w="11906" w:h="16838"/>
          <w:pgMar w:top="1418" w:right="1094" w:bottom="1418" w:left="567" w:header="709" w:footer="709" w:gutter="0"/>
          <w:cols w:num="2" w:space="708"/>
          <w:docGrid w:linePitch="360"/>
        </w:sectPr>
      </w:pPr>
    </w:p>
    <w:p w14:paraId="6BDA1FE6" w14:textId="3949EAD9" w:rsidR="001E4F85" w:rsidRPr="003F5D3E" w:rsidRDefault="00D60B55" w:rsidP="00503B59">
      <w:pPr>
        <w:pStyle w:val="TAMainText"/>
        <w:ind w:firstLine="0"/>
        <w:rPr>
          <w:lang w:val="pt-BR"/>
        </w:rPr>
        <w:sectPr w:rsidR="001E4F85" w:rsidRPr="003F5D3E" w:rsidSect="00A045C6">
          <w:type w:val="continuous"/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503B59">
        <w:rPr>
          <w:rFonts w:ascii="Times New Roman" w:hAnsi="Times New Roman"/>
          <w:b/>
          <w:lang w:val="pt-BR"/>
        </w:rPr>
        <w:lastRenderedPageBreak/>
        <w:t xml:space="preserve"> </w:t>
      </w:r>
      <w:r w:rsidR="001E4F85" w:rsidRPr="003F5D3E">
        <w:rPr>
          <w:b/>
          <w:lang w:val="pt-BR"/>
        </w:rPr>
        <w:t>Tabela 1.</w:t>
      </w:r>
      <w:r w:rsidR="001E4F85" w:rsidRPr="003F5D3E">
        <w:rPr>
          <w:lang w:val="pt-BR"/>
        </w:rPr>
        <w:t xml:space="preserve"> Resultados da reação de HDO do m-cresol para </w:t>
      </w:r>
      <w:proofErr w:type="spellStart"/>
      <w:r w:rsidR="001E4F85" w:rsidRPr="003F5D3E">
        <w:rPr>
          <w:lang w:val="pt-BR"/>
        </w:rPr>
        <w:t>Ni</w:t>
      </w:r>
      <w:proofErr w:type="spellEnd"/>
      <w:r w:rsidR="001E4F85" w:rsidRPr="003F5D3E">
        <w:rPr>
          <w:lang w:val="pt-BR"/>
        </w:rPr>
        <w:t>/SBA-15 reduzido a diferentes temperaturas.</w:t>
      </w:r>
    </w:p>
    <w:tbl>
      <w:tblPr>
        <w:tblW w:w="110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372"/>
        <w:gridCol w:w="1621"/>
        <w:gridCol w:w="734"/>
        <w:gridCol w:w="550"/>
        <w:gridCol w:w="1376"/>
        <w:gridCol w:w="688"/>
        <w:gridCol w:w="687"/>
        <w:gridCol w:w="1100"/>
        <w:gridCol w:w="1238"/>
        <w:gridCol w:w="47"/>
        <w:gridCol w:w="920"/>
      </w:tblGrid>
      <w:tr w:rsidR="001E4F85" w:rsidRPr="00562C93" w14:paraId="64BC7A49" w14:textId="77777777" w:rsidTr="003E0243">
        <w:trPr>
          <w:trHeight w:val="164"/>
        </w:trPr>
        <w:tc>
          <w:tcPr>
            <w:tcW w:w="674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2A06B477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T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t-BR"/>
              </w:rPr>
              <w:t>red</w:t>
            </w:r>
            <w:proofErr w:type="spellEnd"/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(°C)</w:t>
            </w:r>
          </w:p>
        </w:tc>
        <w:tc>
          <w:tcPr>
            <w:tcW w:w="1372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5E46011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Conversão (%)</w:t>
            </w:r>
          </w:p>
        </w:tc>
        <w:tc>
          <w:tcPr>
            <w:tcW w:w="1621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3EA48A40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Taxa de HDO (mmol.g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.min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t-BR"/>
              </w:rPr>
              <w:t>-1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340" w:type="dxa"/>
            <w:gridSpan w:val="9"/>
            <w:tcBorders>
              <w:top w:val="single" w:sz="12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14:paraId="49588A3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Seletividade (%)</w:t>
            </w:r>
          </w:p>
        </w:tc>
      </w:tr>
      <w:tr w:rsidR="001E4F85" w:rsidRPr="00562C93" w14:paraId="53ED0085" w14:textId="77777777" w:rsidTr="003E0243">
        <w:trPr>
          <w:trHeight w:val="461"/>
        </w:trPr>
        <w:tc>
          <w:tcPr>
            <w:tcW w:w="674" w:type="dxa"/>
            <w:vMerge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2DAC35D6" w14:textId="77777777" w:rsidR="001E4F85" w:rsidRPr="00F211A5" w:rsidRDefault="001E4F85" w:rsidP="00F5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2" w:type="dxa"/>
            <w:vMerge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429A1B20" w14:textId="77777777" w:rsidR="001E4F85" w:rsidRPr="00F211A5" w:rsidRDefault="001E4F85" w:rsidP="00F5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1" w:type="dxa"/>
            <w:vMerge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  <w:hideMark/>
          </w:tcPr>
          <w:p w14:paraId="2D0F5FEF" w14:textId="77777777" w:rsidR="001E4F85" w:rsidRPr="00F211A5" w:rsidRDefault="001E4F85" w:rsidP="00F5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41E02E5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t-BR"/>
              </w:rPr>
              <w:t>2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-C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t-BR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505E8344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54DEA25E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M.C-ANO + M.C-ENO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7C07C1BE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50A08EC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BZ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3A936D8C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M.C-ONA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44DE5F3D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M.C-OL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  <w:hideMark/>
          </w:tcPr>
          <w:p w14:paraId="21F876A9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FENOL</w:t>
            </w:r>
          </w:p>
        </w:tc>
      </w:tr>
      <w:tr w:rsidR="001E4F85" w:rsidRPr="00562C93" w14:paraId="16FB7AFB" w14:textId="77777777" w:rsidTr="003E0243">
        <w:trPr>
          <w:trHeight w:val="15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9C0F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C849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886C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750EA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0BE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E8B17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AE532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46.0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781F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18932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33.0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8F9E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93D90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1.7</w:t>
            </w:r>
          </w:p>
        </w:tc>
      </w:tr>
      <w:tr w:rsidR="001E4F85" w:rsidRPr="00562C93" w14:paraId="52E1A818" w14:textId="77777777" w:rsidTr="003E0243">
        <w:trPr>
          <w:trHeight w:val="1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9B577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37E9B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25.0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DB1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F13CD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7434A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D40FB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2B885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47.2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DB044" w14:textId="7EC4B5F7" w:rsidR="001E4F85" w:rsidRPr="003F5D3E" w:rsidRDefault="00307AA4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</w:t>
            </w:r>
            <w:r w:rsidR="001E4F85"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FF48C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29.0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8284" w14:textId="3505012F" w:rsidR="001E4F85" w:rsidRPr="003F5D3E" w:rsidRDefault="001E4F85" w:rsidP="0030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</w:t>
            </w:r>
            <w:r w:rsidR="00307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CCBC2" w14:textId="766845A0" w:rsidR="001E4F85" w:rsidRPr="003F5D3E" w:rsidRDefault="001E4F85" w:rsidP="0030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</w:t>
            </w:r>
            <w:r w:rsidR="00307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1E4F85" w:rsidRPr="00562C93" w14:paraId="19CA4CF6" w14:textId="77777777" w:rsidTr="003E0243">
        <w:trPr>
          <w:trHeight w:val="1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79A9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A132C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23.9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E6377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0.54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A95F6" w14:textId="448908AF" w:rsidR="001E4F85" w:rsidRPr="003F5D3E" w:rsidRDefault="00307AA4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7CE04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74C83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F2E5B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38.0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24122" w14:textId="5B85CC46" w:rsidR="001E4F85" w:rsidRPr="003F5D3E" w:rsidRDefault="001E4F85" w:rsidP="0030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99AA9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EE8B1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1709E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</w:t>
            </w:r>
          </w:p>
        </w:tc>
      </w:tr>
      <w:tr w:rsidR="001E4F85" w:rsidRPr="00562C93" w14:paraId="5286F6CE" w14:textId="77777777" w:rsidTr="003E0243">
        <w:trPr>
          <w:trHeight w:val="158"/>
        </w:trPr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0F72F65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5E1E7BF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6844AC0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C348E3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740A9B4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6BB0A13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07E50C5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24.7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8ED758C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8C36FD8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37.6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CA6B890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035956" w14:textId="77777777" w:rsidR="001E4F85" w:rsidRPr="003F5D3E" w:rsidRDefault="001E4F85" w:rsidP="00F53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F5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</w:t>
            </w:r>
          </w:p>
        </w:tc>
      </w:tr>
    </w:tbl>
    <w:p w14:paraId="1EB73061" w14:textId="77777777" w:rsidR="001E4F85" w:rsidRDefault="001E4F85" w:rsidP="001E4F85">
      <w:pPr>
        <w:pStyle w:val="BodyTextNACS"/>
        <w:jc w:val="center"/>
        <w:rPr>
          <w:lang w:val="pt-BR"/>
        </w:rPr>
      </w:pPr>
      <w:r w:rsidRPr="00562C93">
        <w:rPr>
          <w:szCs w:val="12"/>
          <w:lang w:val="pt-BR"/>
        </w:rPr>
        <w:t xml:space="preserve">TOL: Tolueno; BZ: Benzeno; </w:t>
      </w:r>
      <w:proofErr w:type="spellStart"/>
      <w:r w:rsidRPr="00562C93">
        <w:rPr>
          <w:szCs w:val="12"/>
          <w:lang w:val="pt-BR"/>
        </w:rPr>
        <w:t>m-ANO</w:t>
      </w:r>
      <w:proofErr w:type="spellEnd"/>
      <w:r w:rsidRPr="00562C93">
        <w:rPr>
          <w:szCs w:val="12"/>
          <w:lang w:val="pt-BR"/>
        </w:rPr>
        <w:t xml:space="preserve">: metil </w:t>
      </w:r>
      <w:proofErr w:type="spellStart"/>
      <w:r w:rsidRPr="00562C93">
        <w:rPr>
          <w:szCs w:val="12"/>
          <w:lang w:val="pt-BR"/>
        </w:rPr>
        <w:t>cicloexano</w:t>
      </w:r>
      <w:proofErr w:type="spellEnd"/>
      <w:r w:rsidRPr="00562C93">
        <w:rPr>
          <w:szCs w:val="12"/>
          <w:lang w:val="pt-BR"/>
        </w:rPr>
        <w:t xml:space="preserve">; </w:t>
      </w:r>
      <w:proofErr w:type="spellStart"/>
      <w:r w:rsidRPr="00562C93">
        <w:rPr>
          <w:szCs w:val="12"/>
          <w:lang w:val="pt-BR"/>
        </w:rPr>
        <w:t>m-ENO</w:t>
      </w:r>
      <w:proofErr w:type="spellEnd"/>
      <w:r w:rsidRPr="00562C93">
        <w:rPr>
          <w:szCs w:val="12"/>
          <w:lang w:val="pt-BR"/>
        </w:rPr>
        <w:t xml:space="preserve">: metil </w:t>
      </w:r>
      <w:proofErr w:type="spellStart"/>
      <w:r w:rsidRPr="00562C93">
        <w:rPr>
          <w:szCs w:val="12"/>
          <w:lang w:val="pt-BR"/>
        </w:rPr>
        <w:t>cicloexeno</w:t>
      </w:r>
      <w:proofErr w:type="spellEnd"/>
      <w:r w:rsidRPr="00562C93">
        <w:rPr>
          <w:szCs w:val="12"/>
          <w:lang w:val="pt-BR"/>
        </w:rPr>
        <w:t xml:space="preserve"> </w:t>
      </w:r>
      <w:proofErr w:type="spellStart"/>
      <w:r w:rsidRPr="00562C93">
        <w:rPr>
          <w:szCs w:val="12"/>
          <w:lang w:val="pt-BR"/>
        </w:rPr>
        <w:t>m-ONA</w:t>
      </w:r>
      <w:proofErr w:type="spellEnd"/>
      <w:r w:rsidRPr="00562C93">
        <w:rPr>
          <w:szCs w:val="12"/>
          <w:lang w:val="pt-BR"/>
        </w:rPr>
        <w:t>: met</w:t>
      </w:r>
      <w:r>
        <w:rPr>
          <w:szCs w:val="12"/>
          <w:lang w:val="pt-BR"/>
        </w:rPr>
        <w:t>i</w:t>
      </w:r>
      <w:r w:rsidRPr="00562C93">
        <w:rPr>
          <w:szCs w:val="12"/>
          <w:lang w:val="pt-BR"/>
        </w:rPr>
        <w:t xml:space="preserve">l cicloexanona; </w:t>
      </w:r>
      <w:proofErr w:type="spellStart"/>
      <w:r w:rsidRPr="00562C93">
        <w:rPr>
          <w:szCs w:val="12"/>
          <w:lang w:val="pt-BR"/>
        </w:rPr>
        <w:t>m-OL</w:t>
      </w:r>
      <w:proofErr w:type="spellEnd"/>
      <w:r w:rsidRPr="00562C93">
        <w:rPr>
          <w:szCs w:val="12"/>
          <w:lang w:val="pt-BR"/>
        </w:rPr>
        <w:t xml:space="preserve">: metil </w:t>
      </w:r>
      <w:proofErr w:type="spellStart"/>
      <w:r w:rsidRPr="00562C93">
        <w:rPr>
          <w:szCs w:val="12"/>
          <w:lang w:val="pt-BR"/>
        </w:rPr>
        <w:t>cicloexanol</w:t>
      </w:r>
      <w:proofErr w:type="spellEnd"/>
      <w:r w:rsidRPr="00562C93">
        <w:rPr>
          <w:szCs w:val="12"/>
          <w:lang w:val="pt-BR"/>
        </w:rPr>
        <w:t>;</w:t>
      </w:r>
    </w:p>
    <w:p w14:paraId="74C7B028" w14:textId="77777777" w:rsidR="001E4F85" w:rsidRDefault="001E4F85" w:rsidP="001E4F85">
      <w:pPr>
        <w:pStyle w:val="TAMainText"/>
        <w:rPr>
          <w:rFonts w:ascii="Times New Roman" w:hAnsi="Times New Roman"/>
          <w:lang w:val="pt-BR"/>
        </w:rPr>
        <w:sectPr w:rsidR="001E4F85" w:rsidSect="007511E0">
          <w:type w:val="continuous"/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52FFAC79" w14:textId="61730104" w:rsidR="00EA4E1B" w:rsidRPr="00F44AEE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lastRenderedPageBreak/>
        <w:t>Experimental</w:t>
      </w:r>
    </w:p>
    <w:p w14:paraId="79742F8E" w14:textId="568819D4" w:rsidR="00F7584A" w:rsidRDefault="00CD7BF1" w:rsidP="00B04D37">
      <w:pPr>
        <w:pStyle w:val="TAMainText"/>
        <w:ind w:firstLine="187"/>
        <w:rPr>
          <w:rFonts w:ascii="Times New Roman" w:hAnsi="Times New Roman"/>
          <w:i/>
          <w:lang w:val="pt-BR"/>
        </w:rPr>
      </w:pPr>
      <w:r w:rsidRPr="004D008A">
        <w:rPr>
          <w:rFonts w:ascii="Times New Roman" w:hAnsi="Times New Roman"/>
          <w:lang w:val="pt-BR"/>
        </w:rPr>
        <w:t xml:space="preserve">A SBA-15 foi preparada pelo procedimento convencional </w:t>
      </w:r>
      <w:r w:rsidR="00C41B73">
        <w:rPr>
          <w:rFonts w:ascii="Times New Roman" w:hAnsi="Times New Roman"/>
          <w:lang w:val="pt-BR"/>
        </w:rPr>
        <w:t>[</w:t>
      </w:r>
      <w:r w:rsidR="003F5D3E">
        <w:rPr>
          <w:rFonts w:ascii="Times New Roman" w:hAnsi="Times New Roman"/>
          <w:lang w:val="pt-BR"/>
        </w:rPr>
        <w:t>6</w:t>
      </w:r>
      <w:r w:rsidR="00C40352" w:rsidRPr="004D008A">
        <w:rPr>
          <w:rFonts w:ascii="Times New Roman" w:hAnsi="Times New Roman"/>
          <w:lang w:val="pt-BR"/>
        </w:rPr>
        <w:t>]</w:t>
      </w:r>
      <w:r w:rsidR="00C40352">
        <w:rPr>
          <w:rFonts w:ascii="Times New Roman" w:hAnsi="Times New Roman"/>
          <w:lang w:val="pt-BR"/>
        </w:rPr>
        <w:t>. A</w:t>
      </w:r>
      <w:r w:rsidR="00C40352" w:rsidRPr="00F44AEE">
        <w:rPr>
          <w:lang w:val="pt-BR"/>
        </w:rPr>
        <w:t xml:space="preserve"> </w:t>
      </w:r>
      <w:r w:rsidR="00F156EC" w:rsidRPr="00F44AEE">
        <w:rPr>
          <w:lang w:val="pt-BR"/>
        </w:rPr>
        <w:t xml:space="preserve">amostra </w:t>
      </w:r>
      <w:proofErr w:type="spellStart"/>
      <w:r w:rsidR="00F156EC" w:rsidRPr="00F44AEE">
        <w:rPr>
          <w:lang w:val="pt-BR"/>
        </w:rPr>
        <w:t>Ni</w:t>
      </w:r>
      <w:proofErr w:type="spellEnd"/>
      <w:r w:rsidR="00F156EC" w:rsidRPr="00F44AEE">
        <w:rPr>
          <w:lang w:val="pt-BR"/>
        </w:rPr>
        <w:t>/SBA-15 com 10% em peso de níquel foi preparada pelo método de Infiltração por fusão (IM) de forma a obter partículas de cerca de 1nm</w:t>
      </w:r>
      <w:r w:rsidR="004D008A">
        <w:rPr>
          <w:lang w:val="pt-BR"/>
        </w:rPr>
        <w:t xml:space="preserve"> [</w:t>
      </w:r>
      <w:r w:rsidR="003F5D3E">
        <w:rPr>
          <w:lang w:val="pt-BR"/>
        </w:rPr>
        <w:t>7</w:t>
      </w:r>
      <w:r w:rsidR="004D008A">
        <w:rPr>
          <w:lang w:val="pt-BR"/>
        </w:rPr>
        <w:t>]</w:t>
      </w:r>
      <w:r w:rsidR="00F156EC" w:rsidRPr="00F44AEE">
        <w:rPr>
          <w:lang w:val="pt-BR"/>
        </w:rPr>
        <w:t>.</w:t>
      </w:r>
    </w:p>
    <w:p w14:paraId="1382BDE7" w14:textId="6DE4239E" w:rsidR="001218FF" w:rsidRPr="00F44AEE" w:rsidRDefault="00F7584A" w:rsidP="00E0023E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amostras foram caracterizadas por ICP</w:t>
      </w:r>
      <w:r w:rsidR="00B04D37">
        <w:rPr>
          <w:rFonts w:ascii="Times New Roman" w:hAnsi="Times New Roman"/>
          <w:lang w:val="pt-BR"/>
        </w:rPr>
        <w:t xml:space="preserve">, </w:t>
      </w:r>
      <w:proofErr w:type="spellStart"/>
      <w:r w:rsidR="00D207DC" w:rsidRPr="00D207DC">
        <w:rPr>
          <w:rFonts w:ascii="Times New Roman" w:hAnsi="Times New Roman"/>
          <w:lang w:val="pt-BR"/>
        </w:rPr>
        <w:t>fisissorção</w:t>
      </w:r>
      <w:proofErr w:type="spellEnd"/>
      <w:r w:rsidR="00D207DC" w:rsidRPr="00D207DC">
        <w:rPr>
          <w:rFonts w:ascii="Times New Roman" w:hAnsi="Times New Roman"/>
          <w:lang w:val="pt-BR"/>
        </w:rPr>
        <w:t xml:space="preserve"> de N</w:t>
      </w:r>
      <w:r w:rsidR="00D207DC" w:rsidRPr="00D207DC">
        <w:rPr>
          <w:rFonts w:ascii="Times New Roman" w:hAnsi="Times New Roman"/>
          <w:vertAlign w:val="subscript"/>
          <w:lang w:val="pt-BR"/>
        </w:rPr>
        <w:t>2</w:t>
      </w:r>
      <w:r w:rsidR="00D207DC">
        <w:rPr>
          <w:rFonts w:ascii="Times New Roman" w:hAnsi="Times New Roman"/>
          <w:lang w:val="pt-BR"/>
        </w:rPr>
        <w:t xml:space="preserve">, </w:t>
      </w:r>
      <w:r w:rsidR="00D207DC" w:rsidRPr="000F6EBE">
        <w:rPr>
          <w:rFonts w:ascii="Times New Roman" w:hAnsi="Times New Roman"/>
          <w:lang w:val="pt-BR"/>
        </w:rPr>
        <w:t xml:space="preserve">DRX, </w:t>
      </w:r>
      <w:r w:rsidR="00C40352" w:rsidRPr="000F6EBE">
        <w:rPr>
          <w:rFonts w:ascii="Times New Roman" w:hAnsi="Times New Roman"/>
          <w:lang w:val="pt-BR"/>
        </w:rPr>
        <w:t>microscopia eletrônica por transmissão</w:t>
      </w:r>
      <w:r w:rsidR="009C38A2" w:rsidRPr="000F6EBE">
        <w:rPr>
          <w:rFonts w:ascii="Times New Roman" w:hAnsi="Times New Roman"/>
          <w:lang w:val="pt-BR"/>
        </w:rPr>
        <w:t xml:space="preserve"> (antes e após reação de estabilidade)</w:t>
      </w:r>
      <w:r w:rsidR="00D207DC" w:rsidRPr="000F6EBE">
        <w:rPr>
          <w:rFonts w:ascii="Times New Roman" w:hAnsi="Times New Roman"/>
          <w:lang w:val="pt-BR"/>
        </w:rPr>
        <w:t>, H</w:t>
      </w:r>
      <w:r w:rsidR="00D207DC" w:rsidRPr="000F6EBE">
        <w:rPr>
          <w:rFonts w:ascii="Times New Roman" w:hAnsi="Times New Roman"/>
          <w:vertAlign w:val="subscript"/>
          <w:lang w:val="pt-BR"/>
        </w:rPr>
        <w:t>2</w:t>
      </w:r>
      <w:r w:rsidR="00D207DC" w:rsidRPr="000F6EBE">
        <w:rPr>
          <w:rFonts w:ascii="Times New Roman" w:hAnsi="Times New Roman"/>
          <w:lang w:val="pt-BR"/>
        </w:rPr>
        <w:t>-TPR, XPS</w:t>
      </w:r>
      <w:r w:rsidR="00D207DC" w:rsidRPr="000F6EBE">
        <w:rPr>
          <w:lang w:val="pt-BR"/>
        </w:rPr>
        <w:t>, TGA-MS</w:t>
      </w:r>
      <w:r w:rsidR="00D207DC" w:rsidRPr="000F6EBE">
        <w:rPr>
          <w:rFonts w:ascii="Times New Roman" w:hAnsi="Times New Roman"/>
          <w:lang w:val="pt-BR"/>
        </w:rPr>
        <w:t>.</w:t>
      </w:r>
      <w:r w:rsidR="001218FF" w:rsidRPr="000F6EBE">
        <w:rPr>
          <w:rFonts w:ascii="Times New Roman" w:hAnsi="Times New Roman"/>
          <w:lang w:val="pt-BR"/>
        </w:rPr>
        <w:t xml:space="preserve">A </w:t>
      </w:r>
      <w:r w:rsidR="002D59BC" w:rsidRPr="000F6EBE">
        <w:rPr>
          <w:rFonts w:ascii="Times New Roman" w:hAnsi="Times New Roman"/>
          <w:lang w:val="pt-BR"/>
        </w:rPr>
        <w:t>reação de HDO de</w:t>
      </w:r>
      <w:r w:rsidR="001218FF" w:rsidRPr="000F6EBE">
        <w:rPr>
          <w:rFonts w:ascii="Times New Roman" w:hAnsi="Times New Roman"/>
          <w:lang w:val="pt-BR"/>
        </w:rPr>
        <w:t xml:space="preserve"> m-cresol foi </w:t>
      </w:r>
      <w:r w:rsidR="00C40352" w:rsidRPr="000F6EBE">
        <w:rPr>
          <w:rFonts w:ascii="Times New Roman" w:hAnsi="Times New Roman"/>
          <w:lang w:val="pt-BR"/>
        </w:rPr>
        <w:t xml:space="preserve">realizada </w:t>
      </w:r>
      <w:r w:rsidR="001218FF" w:rsidRPr="000F6EBE">
        <w:rPr>
          <w:rFonts w:ascii="Times New Roman" w:hAnsi="Times New Roman"/>
          <w:lang w:val="pt-BR"/>
        </w:rPr>
        <w:t>em um reator de leito fixo</w:t>
      </w:r>
      <w:r w:rsidR="00C40352" w:rsidRPr="000F6EBE">
        <w:rPr>
          <w:rFonts w:ascii="Times New Roman" w:hAnsi="Times New Roman"/>
          <w:lang w:val="pt-BR"/>
        </w:rPr>
        <w:t xml:space="preserve"> em fase gasosa</w:t>
      </w:r>
      <w:r w:rsidR="001218FF" w:rsidRPr="000F6EBE">
        <w:rPr>
          <w:rFonts w:ascii="Times New Roman" w:hAnsi="Times New Roman"/>
          <w:lang w:val="pt-BR"/>
        </w:rPr>
        <w:t xml:space="preserve">, </w:t>
      </w:r>
      <w:r w:rsidR="00E0023E" w:rsidRPr="000F6EBE">
        <w:rPr>
          <w:rFonts w:ascii="Times New Roman" w:hAnsi="Times New Roman"/>
          <w:lang w:val="pt-BR"/>
        </w:rPr>
        <w:t>em</w:t>
      </w:r>
      <w:r w:rsidR="001218FF" w:rsidRPr="000F6EBE">
        <w:rPr>
          <w:rFonts w:ascii="Times New Roman" w:hAnsi="Times New Roman"/>
          <w:lang w:val="pt-BR"/>
        </w:rPr>
        <w:t xml:space="preserve"> pressão atmosférica de H</w:t>
      </w:r>
      <w:r w:rsidR="001218FF" w:rsidRPr="000F6EBE">
        <w:rPr>
          <w:rFonts w:ascii="Times New Roman" w:hAnsi="Times New Roman"/>
          <w:vertAlign w:val="subscript"/>
          <w:lang w:val="pt-BR"/>
        </w:rPr>
        <w:t>2</w:t>
      </w:r>
      <w:r w:rsidR="001218FF" w:rsidRPr="000F6EBE">
        <w:rPr>
          <w:rFonts w:ascii="Times New Roman" w:hAnsi="Times New Roman"/>
          <w:lang w:val="pt-BR"/>
        </w:rPr>
        <w:t xml:space="preserve"> e 300°C. </w:t>
      </w:r>
      <w:r w:rsidR="00E0023E" w:rsidRPr="000F6EBE">
        <w:rPr>
          <w:rFonts w:ascii="Times New Roman" w:hAnsi="Times New Roman"/>
          <w:lang w:val="pt-BR"/>
        </w:rPr>
        <w:t>O</w:t>
      </w:r>
      <w:r w:rsidR="001218FF" w:rsidRPr="000F6EBE">
        <w:rPr>
          <w:rFonts w:ascii="Times New Roman" w:hAnsi="Times New Roman"/>
          <w:lang w:val="pt-BR"/>
        </w:rPr>
        <w:t xml:space="preserve">s catalisadores foram </w:t>
      </w:r>
      <w:r w:rsidR="00E0023E" w:rsidRPr="000F6EBE">
        <w:rPr>
          <w:rFonts w:ascii="Times New Roman" w:hAnsi="Times New Roman"/>
          <w:lang w:val="pt-BR"/>
        </w:rPr>
        <w:t xml:space="preserve">previamente </w:t>
      </w:r>
      <w:r w:rsidR="001218FF" w:rsidRPr="000F6EBE">
        <w:rPr>
          <w:rFonts w:ascii="Times New Roman" w:hAnsi="Times New Roman"/>
          <w:lang w:val="pt-BR"/>
        </w:rPr>
        <w:t>reduzidos in situ com</w:t>
      </w:r>
      <w:r w:rsidR="004B0F55" w:rsidRPr="000F6EBE">
        <w:rPr>
          <w:rFonts w:ascii="Times New Roman" w:hAnsi="Times New Roman"/>
          <w:lang w:val="pt-BR"/>
        </w:rPr>
        <w:t xml:space="preserve"> 60mL/min de H</w:t>
      </w:r>
      <w:r w:rsidR="004B0F55" w:rsidRPr="000F6EBE">
        <w:rPr>
          <w:rFonts w:ascii="Times New Roman" w:hAnsi="Times New Roman"/>
          <w:vertAlign w:val="subscript"/>
          <w:lang w:val="pt-BR"/>
        </w:rPr>
        <w:t>2</w:t>
      </w:r>
      <w:r w:rsidR="004B0F55" w:rsidRPr="000F6EBE">
        <w:rPr>
          <w:rFonts w:ascii="Times New Roman" w:hAnsi="Times New Roman"/>
          <w:lang w:val="pt-BR"/>
        </w:rPr>
        <w:t xml:space="preserve"> puro, a 5</w:t>
      </w:r>
      <w:r w:rsidR="001218FF" w:rsidRPr="000F6EBE">
        <w:rPr>
          <w:rFonts w:ascii="Times New Roman" w:hAnsi="Times New Roman"/>
          <w:lang w:val="pt-BR"/>
        </w:rPr>
        <w:t>00</w:t>
      </w:r>
      <w:r w:rsidR="006B6198" w:rsidRPr="000F6EBE">
        <w:rPr>
          <w:rFonts w:ascii="Times New Roman" w:hAnsi="Times New Roman"/>
          <w:lang w:val="pt-BR"/>
        </w:rPr>
        <w:t>, 600, 700 e 800</w:t>
      </w:r>
      <w:r w:rsidR="004B0F55" w:rsidRPr="000F6EBE">
        <w:rPr>
          <w:rFonts w:ascii="Times New Roman" w:hAnsi="Times New Roman"/>
          <w:lang w:val="pt-BR"/>
        </w:rPr>
        <w:t>ºC</w:t>
      </w:r>
      <w:r w:rsidR="00E0023E" w:rsidRPr="000F6EBE">
        <w:rPr>
          <w:rFonts w:ascii="Times New Roman" w:hAnsi="Times New Roman"/>
          <w:lang w:val="pt-BR"/>
        </w:rPr>
        <w:t xml:space="preserve"> por</w:t>
      </w:r>
      <w:r w:rsidR="001218FF" w:rsidRPr="000F6EBE">
        <w:rPr>
          <w:rFonts w:ascii="Times New Roman" w:hAnsi="Times New Roman"/>
          <w:lang w:val="pt-BR"/>
        </w:rPr>
        <w:t xml:space="preserve"> 1h. A mistura reacional foi obtida passando H</w:t>
      </w:r>
      <w:r w:rsidR="001218FF" w:rsidRPr="000F6EBE">
        <w:rPr>
          <w:rFonts w:ascii="Times New Roman" w:hAnsi="Times New Roman"/>
          <w:vertAlign w:val="subscript"/>
          <w:lang w:val="pt-BR"/>
        </w:rPr>
        <w:t>2</w:t>
      </w:r>
      <w:r w:rsidR="001218FF" w:rsidRPr="000F6EBE">
        <w:rPr>
          <w:rFonts w:ascii="Times New Roman" w:hAnsi="Times New Roman"/>
          <w:lang w:val="pt-BR"/>
        </w:rPr>
        <w:t xml:space="preserve"> em um saturador contendo </w:t>
      </w:r>
      <w:r w:rsidR="00AA0C0B" w:rsidRPr="000F6EBE">
        <w:rPr>
          <w:rFonts w:ascii="Times New Roman" w:hAnsi="Times New Roman"/>
          <w:lang w:val="pt-BR"/>
        </w:rPr>
        <w:t>m-cres</w:t>
      </w:r>
      <w:r w:rsidR="001218FF" w:rsidRPr="000F6EBE">
        <w:rPr>
          <w:rFonts w:ascii="Times New Roman" w:hAnsi="Times New Roman"/>
          <w:lang w:val="pt-BR"/>
        </w:rPr>
        <w:t>ol, numa temperatura específica de forma a atingir uma razão molar H</w:t>
      </w:r>
      <w:r w:rsidR="004B0F55" w:rsidRPr="000F6EBE">
        <w:rPr>
          <w:rFonts w:ascii="Times New Roman" w:hAnsi="Times New Roman"/>
          <w:vertAlign w:val="subscript"/>
          <w:lang w:val="pt-BR"/>
        </w:rPr>
        <w:t>2</w:t>
      </w:r>
      <w:r w:rsidR="001218FF" w:rsidRPr="000F6EBE">
        <w:rPr>
          <w:rFonts w:ascii="Times New Roman" w:hAnsi="Times New Roman"/>
          <w:lang w:val="pt-BR"/>
        </w:rPr>
        <w:t>/</w:t>
      </w:r>
      <w:r w:rsidR="00AA0C0B" w:rsidRPr="000F6EBE">
        <w:rPr>
          <w:rFonts w:ascii="Times New Roman" w:hAnsi="Times New Roman"/>
          <w:lang w:val="pt-BR"/>
        </w:rPr>
        <w:t>m-cres</w:t>
      </w:r>
      <w:r w:rsidR="001218FF" w:rsidRPr="000F6EBE">
        <w:rPr>
          <w:rFonts w:ascii="Times New Roman" w:hAnsi="Times New Roman"/>
          <w:lang w:val="pt-BR"/>
        </w:rPr>
        <w:t xml:space="preserve">ol = 60. </w:t>
      </w:r>
      <w:r w:rsidR="00307AA4" w:rsidRPr="000F6EBE">
        <w:rPr>
          <w:rFonts w:ascii="Times New Roman" w:hAnsi="Times New Roman"/>
          <w:lang w:val="pt-BR"/>
        </w:rPr>
        <w:t>Todos os compostos foram devidamente calibrados, com o</w:t>
      </w:r>
      <w:r w:rsidR="001218FF" w:rsidRPr="000F6EBE">
        <w:rPr>
          <w:rFonts w:ascii="Times New Roman" w:hAnsi="Times New Roman"/>
          <w:lang w:val="pt-BR"/>
        </w:rPr>
        <w:t xml:space="preserve">s produtos </w:t>
      </w:r>
      <w:r w:rsidR="00307AA4" w:rsidRPr="000F6EBE">
        <w:rPr>
          <w:rFonts w:ascii="Times New Roman" w:hAnsi="Times New Roman"/>
          <w:lang w:val="pt-BR"/>
        </w:rPr>
        <w:t>sendo</w:t>
      </w:r>
      <w:r w:rsidR="001218FF" w:rsidRPr="000F6EBE">
        <w:rPr>
          <w:rFonts w:ascii="Times New Roman" w:hAnsi="Times New Roman"/>
          <w:lang w:val="pt-BR"/>
        </w:rPr>
        <w:t xml:space="preserve"> analisados</w:t>
      </w:r>
      <w:r w:rsidR="009C38A2" w:rsidRPr="000F6EBE">
        <w:rPr>
          <w:rFonts w:ascii="Times New Roman" w:hAnsi="Times New Roman"/>
          <w:lang w:val="pt-BR"/>
        </w:rPr>
        <w:t xml:space="preserve"> e identificados</w:t>
      </w:r>
      <w:r w:rsidR="001218FF" w:rsidRPr="000F6EBE">
        <w:rPr>
          <w:rFonts w:ascii="Times New Roman" w:hAnsi="Times New Roman"/>
          <w:lang w:val="pt-BR"/>
        </w:rPr>
        <w:t xml:space="preserve"> por um </w:t>
      </w:r>
      <w:proofErr w:type="spellStart"/>
      <w:r w:rsidR="001218FF" w:rsidRPr="000F6EBE">
        <w:rPr>
          <w:rFonts w:ascii="Times New Roman" w:hAnsi="Times New Roman"/>
          <w:lang w:val="pt-BR"/>
        </w:rPr>
        <w:t>cromatógrafo</w:t>
      </w:r>
      <w:proofErr w:type="spellEnd"/>
      <w:r w:rsidR="001218FF" w:rsidRPr="000F6EBE">
        <w:rPr>
          <w:rFonts w:ascii="Times New Roman" w:hAnsi="Times New Roman"/>
          <w:lang w:val="pt-BR"/>
        </w:rPr>
        <w:t xml:space="preserve"> a gás acoplado a um espectrômetro de massas</w:t>
      </w:r>
      <w:r w:rsidR="002D59BC">
        <w:rPr>
          <w:rFonts w:ascii="Times New Roman" w:hAnsi="Times New Roman"/>
          <w:lang w:val="pt-BR"/>
        </w:rPr>
        <w:t xml:space="preserve"> </w:t>
      </w:r>
      <w:r w:rsidR="001218FF" w:rsidRPr="00F44AEE">
        <w:rPr>
          <w:rFonts w:ascii="Times New Roman" w:hAnsi="Times New Roman"/>
          <w:lang w:val="pt-BR"/>
        </w:rPr>
        <w:t>utilizando uma coluna capilar HP-</w:t>
      </w:r>
      <w:proofErr w:type="spellStart"/>
      <w:r w:rsidR="001218FF" w:rsidRPr="00F44AEE">
        <w:rPr>
          <w:rFonts w:ascii="Times New Roman" w:hAnsi="Times New Roman"/>
          <w:lang w:val="pt-BR"/>
        </w:rPr>
        <w:t>Innowax</w:t>
      </w:r>
      <w:proofErr w:type="spellEnd"/>
      <w:r w:rsidR="001218FF" w:rsidRPr="00F44AEE">
        <w:rPr>
          <w:rFonts w:ascii="Times New Roman" w:hAnsi="Times New Roman"/>
          <w:lang w:val="pt-BR"/>
        </w:rPr>
        <w:t xml:space="preserve"> e detector FID.</w:t>
      </w:r>
    </w:p>
    <w:p w14:paraId="452D94F7" w14:textId="08B85A82" w:rsidR="001218FF" w:rsidRPr="00F44AEE" w:rsidRDefault="001218FF" w:rsidP="00B04D37">
      <w:pPr>
        <w:pStyle w:val="BodyTextNACS"/>
        <w:rPr>
          <w:lang w:val="pt-BR"/>
        </w:rPr>
      </w:pPr>
    </w:p>
    <w:p w14:paraId="14C9AB27" w14:textId="20F52382" w:rsidR="00D74C30" w:rsidRPr="00975F0F" w:rsidRDefault="00EA4E1B" w:rsidP="00975F0F">
      <w:pPr>
        <w:pStyle w:val="Ttulo2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t>Resultados e Discussão</w:t>
      </w:r>
    </w:p>
    <w:p w14:paraId="26EAC0B1" w14:textId="4581E76D" w:rsidR="00E0023E" w:rsidRDefault="00646AB7" w:rsidP="00B04D37">
      <w:pPr>
        <w:pStyle w:val="TAMainText"/>
        <w:ind w:firstLine="187"/>
        <w:rPr>
          <w:rFonts w:ascii="Times New Roman" w:hAnsi="Times New Roman"/>
          <w:lang w:val="pt-BR"/>
        </w:rPr>
      </w:pPr>
      <w:r w:rsidRPr="004D008A">
        <w:rPr>
          <w:rFonts w:ascii="Times New Roman" w:hAnsi="Times New Roman"/>
          <w:lang w:val="pt-BR"/>
        </w:rPr>
        <w:t>A taxa, conversão e a dis</w:t>
      </w:r>
      <w:r w:rsidR="00F21F13">
        <w:rPr>
          <w:rFonts w:ascii="Times New Roman" w:hAnsi="Times New Roman"/>
          <w:lang w:val="pt-BR"/>
        </w:rPr>
        <w:t>tribuição dos produtos obtidos em</w:t>
      </w:r>
      <w:r w:rsidRPr="004D008A">
        <w:rPr>
          <w:rFonts w:ascii="Times New Roman" w:hAnsi="Times New Roman"/>
          <w:lang w:val="pt-BR"/>
        </w:rPr>
        <w:t xml:space="preserve"> HDO do m-cresol </w:t>
      </w:r>
      <w:r w:rsidR="00E108CC">
        <w:rPr>
          <w:rFonts w:ascii="Times New Roman" w:hAnsi="Times New Roman"/>
          <w:lang w:val="pt-BR"/>
        </w:rPr>
        <w:t xml:space="preserve">em </w:t>
      </w:r>
      <w:proofErr w:type="spellStart"/>
      <w:r w:rsidR="00E108CC">
        <w:rPr>
          <w:rFonts w:ascii="Times New Roman" w:hAnsi="Times New Roman"/>
          <w:lang w:val="pt-BR"/>
        </w:rPr>
        <w:t>iso</w:t>
      </w:r>
      <w:r w:rsidR="003C2D9E">
        <w:rPr>
          <w:rFonts w:ascii="Times New Roman" w:hAnsi="Times New Roman"/>
          <w:lang w:val="pt-BR"/>
        </w:rPr>
        <w:t>conversão</w:t>
      </w:r>
      <w:proofErr w:type="spellEnd"/>
      <w:r w:rsidRPr="004D008A">
        <w:rPr>
          <w:rFonts w:ascii="Times New Roman" w:hAnsi="Times New Roman"/>
          <w:lang w:val="pt-BR"/>
        </w:rPr>
        <w:t xml:space="preserve"> são apresentadas na Tabela </w:t>
      </w:r>
      <w:r w:rsidR="00E212F2" w:rsidRPr="004D008A">
        <w:rPr>
          <w:rFonts w:ascii="Times New Roman" w:hAnsi="Times New Roman"/>
          <w:lang w:val="pt-BR"/>
        </w:rPr>
        <w:t>1.</w:t>
      </w:r>
      <w:r w:rsidR="006F0A1F">
        <w:rPr>
          <w:rFonts w:ascii="Times New Roman" w:hAnsi="Times New Roman"/>
          <w:lang w:val="pt-BR"/>
        </w:rPr>
        <w:t xml:space="preserve"> </w:t>
      </w:r>
      <w:r w:rsidR="00D74C30" w:rsidRPr="00F44AEE">
        <w:rPr>
          <w:rFonts w:ascii="Times New Roman" w:hAnsi="Times New Roman"/>
          <w:lang w:val="pt-BR"/>
        </w:rPr>
        <w:t>A taxa de HDO do m-cresol diminuiu cerca 7 vezes à medida que a temperatura de reduçã</w:t>
      </w:r>
      <w:r w:rsidRPr="00F44AEE">
        <w:rPr>
          <w:rFonts w:ascii="Times New Roman" w:hAnsi="Times New Roman"/>
          <w:lang w:val="pt-BR"/>
        </w:rPr>
        <w:t>o aumentou de 500ºC (</w:t>
      </w:r>
      <w:proofErr w:type="gramStart"/>
      <w:r w:rsidRPr="00F44AEE">
        <w:rPr>
          <w:rFonts w:ascii="Times New Roman" w:hAnsi="Times New Roman"/>
          <w:lang w:val="pt-BR"/>
        </w:rPr>
        <w:t>1,76</w:t>
      </w:r>
      <w:r w:rsidR="00D74C30" w:rsidRPr="00F44AEE">
        <w:rPr>
          <w:rFonts w:ascii="Times New Roman" w:hAnsi="Times New Roman"/>
          <w:lang w:val="pt-BR"/>
        </w:rPr>
        <w:t>mmol.g</w:t>
      </w:r>
      <w:r w:rsidR="00D74C30" w:rsidRPr="00F44AEE">
        <w:rPr>
          <w:rFonts w:ascii="Times New Roman" w:hAnsi="Times New Roman"/>
          <w:vertAlign w:val="superscript"/>
          <w:lang w:val="pt-BR"/>
        </w:rPr>
        <w:t>-1</w:t>
      </w:r>
      <w:r w:rsidR="00D74C30" w:rsidRPr="00F44AEE">
        <w:rPr>
          <w:rFonts w:ascii="Times New Roman" w:hAnsi="Times New Roman"/>
          <w:lang w:val="pt-BR"/>
        </w:rPr>
        <w:t>.min</w:t>
      </w:r>
      <w:proofErr w:type="gramEnd"/>
      <w:r w:rsidR="00D74C30" w:rsidRPr="00F44AEE">
        <w:rPr>
          <w:rFonts w:ascii="Times New Roman" w:hAnsi="Times New Roman"/>
          <w:vertAlign w:val="superscript"/>
          <w:lang w:val="pt-BR"/>
        </w:rPr>
        <w:t>-1</w:t>
      </w:r>
      <w:r w:rsidR="00D74C30" w:rsidRPr="00F44AEE">
        <w:rPr>
          <w:rFonts w:ascii="Times New Roman" w:hAnsi="Times New Roman"/>
          <w:lang w:val="pt-BR"/>
        </w:rPr>
        <w:t>) para 800º</w:t>
      </w:r>
      <w:r w:rsidRPr="00F44AEE">
        <w:rPr>
          <w:rFonts w:ascii="Times New Roman" w:hAnsi="Times New Roman"/>
          <w:lang w:val="pt-BR"/>
        </w:rPr>
        <w:t>C (0,24</w:t>
      </w:r>
      <w:r w:rsidR="00D74C30" w:rsidRPr="00F44AEE">
        <w:rPr>
          <w:rFonts w:ascii="Times New Roman" w:hAnsi="Times New Roman"/>
          <w:lang w:val="pt-BR"/>
        </w:rPr>
        <w:t>mmol.g</w:t>
      </w:r>
      <w:r w:rsidR="00D74C30" w:rsidRPr="00F44AEE">
        <w:rPr>
          <w:rFonts w:ascii="Times New Roman" w:hAnsi="Times New Roman"/>
          <w:vertAlign w:val="superscript"/>
          <w:lang w:val="pt-BR"/>
        </w:rPr>
        <w:t>-1</w:t>
      </w:r>
      <w:r w:rsidR="00D74C30" w:rsidRPr="00F44AEE">
        <w:rPr>
          <w:rFonts w:ascii="Times New Roman" w:hAnsi="Times New Roman"/>
          <w:lang w:val="pt-BR"/>
        </w:rPr>
        <w:t>.min</w:t>
      </w:r>
      <w:r w:rsidR="00D74C30" w:rsidRPr="00F44AEE">
        <w:rPr>
          <w:rFonts w:ascii="Times New Roman" w:hAnsi="Times New Roman"/>
          <w:vertAlign w:val="superscript"/>
          <w:lang w:val="pt-BR"/>
        </w:rPr>
        <w:t>-1</w:t>
      </w:r>
      <w:r w:rsidR="00D74C30" w:rsidRPr="00F44AEE">
        <w:rPr>
          <w:rFonts w:ascii="Times New Roman" w:hAnsi="Times New Roman"/>
          <w:lang w:val="pt-BR"/>
        </w:rPr>
        <w:t xml:space="preserve">). </w:t>
      </w:r>
      <w:r w:rsidR="00E108CC">
        <w:rPr>
          <w:rFonts w:ascii="Times New Roman" w:hAnsi="Times New Roman"/>
          <w:lang w:val="pt-BR"/>
        </w:rPr>
        <w:t>A distribuição de produtos também foi</w:t>
      </w:r>
      <w:r w:rsidR="00E108CC" w:rsidRPr="00723DAD">
        <w:rPr>
          <w:rFonts w:ascii="Times New Roman" w:hAnsi="Times New Roman"/>
          <w:lang w:val="pt-BR"/>
        </w:rPr>
        <w:t xml:space="preserve"> fortemente</w:t>
      </w:r>
      <w:r w:rsidR="00E108CC">
        <w:rPr>
          <w:rFonts w:ascii="Times New Roman" w:hAnsi="Times New Roman"/>
          <w:lang w:val="pt-BR"/>
        </w:rPr>
        <w:t xml:space="preserve"> afetada pela</w:t>
      </w:r>
      <w:r w:rsidR="00E108CC" w:rsidRPr="00723DAD">
        <w:rPr>
          <w:rFonts w:ascii="Times New Roman" w:hAnsi="Times New Roman"/>
          <w:lang w:val="pt-BR"/>
        </w:rPr>
        <w:t xml:space="preserve"> </w:t>
      </w:r>
      <w:r w:rsidR="00E108CC">
        <w:rPr>
          <w:rFonts w:ascii="Times New Roman" w:hAnsi="Times New Roman"/>
          <w:lang w:val="pt-BR"/>
        </w:rPr>
        <w:t>temperatura de redução</w:t>
      </w:r>
      <w:r w:rsidR="00F21F13">
        <w:rPr>
          <w:rFonts w:ascii="Times New Roman" w:hAnsi="Times New Roman"/>
          <w:lang w:val="pt-BR"/>
        </w:rPr>
        <w:t>, levando</w:t>
      </w:r>
      <w:r w:rsidR="007053CB" w:rsidRPr="00723DAD">
        <w:rPr>
          <w:rFonts w:ascii="Times New Roman" w:hAnsi="Times New Roman"/>
          <w:lang w:val="pt-BR"/>
        </w:rPr>
        <w:t xml:space="preserve"> a</w:t>
      </w:r>
      <w:r w:rsidR="00E0023E">
        <w:rPr>
          <w:rFonts w:ascii="Times New Roman" w:hAnsi="Times New Roman"/>
          <w:lang w:val="pt-BR"/>
        </w:rPr>
        <w:t>o</w:t>
      </w:r>
      <w:r w:rsidR="007053CB">
        <w:rPr>
          <w:rFonts w:ascii="Times New Roman" w:hAnsi="Times New Roman"/>
          <w:lang w:val="pt-BR"/>
        </w:rPr>
        <w:t xml:space="preserve"> </w:t>
      </w:r>
      <w:r w:rsidR="007053CB" w:rsidRPr="00723DAD">
        <w:rPr>
          <w:rFonts w:ascii="Times New Roman" w:hAnsi="Times New Roman"/>
          <w:lang w:val="pt-BR"/>
        </w:rPr>
        <w:t>a</w:t>
      </w:r>
      <w:r w:rsidR="007053CB">
        <w:rPr>
          <w:rFonts w:ascii="Times New Roman" w:hAnsi="Times New Roman"/>
          <w:lang w:val="pt-BR"/>
        </w:rPr>
        <w:t xml:space="preserve">umento na </w:t>
      </w:r>
      <w:r w:rsidR="007053CB" w:rsidRPr="00723DAD">
        <w:rPr>
          <w:rFonts w:ascii="Times New Roman" w:hAnsi="Times New Roman"/>
          <w:lang w:val="pt-BR"/>
        </w:rPr>
        <w:t xml:space="preserve">seletividade para o metano de </w:t>
      </w:r>
      <w:r w:rsidR="007053CB">
        <w:rPr>
          <w:rFonts w:ascii="Times New Roman" w:hAnsi="Times New Roman"/>
          <w:lang w:val="pt-BR"/>
        </w:rPr>
        <w:t>6,3</w:t>
      </w:r>
      <w:r w:rsidR="007053CB" w:rsidRPr="00723DAD">
        <w:rPr>
          <w:rFonts w:ascii="Times New Roman" w:hAnsi="Times New Roman"/>
          <w:lang w:val="pt-BR"/>
        </w:rPr>
        <w:t xml:space="preserve"> para </w:t>
      </w:r>
      <w:r w:rsidR="007053CB">
        <w:rPr>
          <w:rFonts w:ascii="Times New Roman" w:hAnsi="Times New Roman"/>
          <w:lang w:val="pt-BR"/>
        </w:rPr>
        <w:t>20</w:t>
      </w:r>
      <w:r w:rsidR="007053CB" w:rsidRPr="00723DAD">
        <w:rPr>
          <w:rFonts w:ascii="Times New Roman" w:hAnsi="Times New Roman"/>
          <w:lang w:val="pt-BR"/>
        </w:rPr>
        <w:t xml:space="preserve">%, enquanto a seletividade para tolueno </w:t>
      </w:r>
      <w:r w:rsidR="007053CB">
        <w:rPr>
          <w:rFonts w:ascii="Times New Roman" w:hAnsi="Times New Roman"/>
          <w:lang w:val="pt-BR"/>
        </w:rPr>
        <w:t>caiu</w:t>
      </w:r>
      <w:r w:rsidR="007053CB" w:rsidRPr="00723DAD">
        <w:rPr>
          <w:rFonts w:ascii="Times New Roman" w:hAnsi="Times New Roman"/>
          <w:lang w:val="pt-BR"/>
        </w:rPr>
        <w:t xml:space="preserve"> de </w:t>
      </w:r>
      <w:r w:rsidR="007053CB">
        <w:rPr>
          <w:rFonts w:ascii="Times New Roman" w:hAnsi="Times New Roman"/>
          <w:lang w:val="pt-BR"/>
        </w:rPr>
        <w:t>46</w:t>
      </w:r>
      <w:r w:rsidR="007053CB" w:rsidRPr="00723DAD">
        <w:rPr>
          <w:rFonts w:ascii="Times New Roman" w:hAnsi="Times New Roman"/>
          <w:lang w:val="pt-BR"/>
        </w:rPr>
        <w:t xml:space="preserve"> para </w:t>
      </w:r>
      <w:r w:rsidR="007053CB">
        <w:rPr>
          <w:rFonts w:ascii="Times New Roman" w:hAnsi="Times New Roman"/>
          <w:lang w:val="pt-BR"/>
        </w:rPr>
        <w:t>24,7</w:t>
      </w:r>
      <w:r w:rsidR="007053CB" w:rsidRPr="00723DAD">
        <w:rPr>
          <w:rFonts w:ascii="Times New Roman" w:hAnsi="Times New Roman"/>
          <w:lang w:val="pt-BR"/>
        </w:rPr>
        <w:t xml:space="preserve"> %</w:t>
      </w:r>
      <w:r w:rsidR="007053CB">
        <w:rPr>
          <w:rFonts w:ascii="Times New Roman" w:hAnsi="Times New Roman"/>
          <w:lang w:val="pt-BR"/>
        </w:rPr>
        <w:t xml:space="preserve"> (Fig</w:t>
      </w:r>
      <w:r w:rsidR="00CA7466">
        <w:rPr>
          <w:rFonts w:ascii="Times New Roman" w:hAnsi="Times New Roman"/>
          <w:lang w:val="pt-BR"/>
        </w:rPr>
        <w:t>ura</w:t>
      </w:r>
      <w:r w:rsidR="007053CB">
        <w:rPr>
          <w:rFonts w:ascii="Times New Roman" w:hAnsi="Times New Roman"/>
          <w:lang w:val="pt-BR"/>
        </w:rPr>
        <w:t xml:space="preserve"> 1)</w:t>
      </w:r>
      <w:r w:rsidR="007053CB" w:rsidRPr="00723DAD">
        <w:rPr>
          <w:rFonts w:ascii="Times New Roman" w:hAnsi="Times New Roman"/>
          <w:lang w:val="pt-BR"/>
        </w:rPr>
        <w:t>.</w:t>
      </w:r>
      <w:r w:rsidR="007053CB">
        <w:rPr>
          <w:rFonts w:ascii="Times New Roman" w:hAnsi="Times New Roman"/>
          <w:lang w:val="pt-BR"/>
        </w:rPr>
        <w:t xml:space="preserve"> </w:t>
      </w:r>
    </w:p>
    <w:p w14:paraId="16B9E2DC" w14:textId="77777777" w:rsidR="00E0023E" w:rsidRDefault="00E0023E" w:rsidP="00E0023E">
      <w:pPr>
        <w:jc w:val="center"/>
        <w:rPr>
          <w:rFonts w:ascii="Times New Roman" w:hAnsi="Times New Roman"/>
          <w:b/>
          <w:sz w:val="18"/>
        </w:rPr>
      </w:pPr>
      <w:bookmarkStart w:id="2" w:name="_GoBack"/>
      <w:r w:rsidRPr="00F44AEE">
        <w:rPr>
          <w:noProof/>
          <w:lang w:eastAsia="pt-BR"/>
        </w:rPr>
        <w:drawing>
          <wp:inline distT="0" distB="0" distL="0" distR="0" wp14:anchorId="72915ADB" wp14:editId="089188B3">
            <wp:extent cx="2228850" cy="17099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53" cy="175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440BCA1" w14:textId="069457BB" w:rsidR="00E0023E" w:rsidRPr="00975F0F" w:rsidRDefault="00E0023E" w:rsidP="00E0023E">
      <w:pPr>
        <w:jc w:val="both"/>
        <w:rPr>
          <w:rFonts w:ascii="Times New Roman" w:hAnsi="Times New Roman" w:cs="Times New Roman"/>
          <w:sz w:val="18"/>
          <w:szCs w:val="20"/>
        </w:rPr>
      </w:pPr>
      <w:r w:rsidRPr="00F44AEE">
        <w:rPr>
          <w:rFonts w:ascii="Times New Roman" w:hAnsi="Times New Roman"/>
          <w:b/>
          <w:sz w:val="18"/>
        </w:rPr>
        <w:t>Figura 1.</w:t>
      </w:r>
      <w:r w:rsidRPr="00F44AEE">
        <w:rPr>
          <w:rFonts w:ascii="Times New Roman" w:hAnsi="Times New Roman"/>
          <w:sz w:val="18"/>
        </w:rPr>
        <w:t xml:space="preserve"> </w:t>
      </w:r>
      <w:r w:rsidRPr="00F44AEE">
        <w:rPr>
          <w:rFonts w:ascii="Times New Roman" w:hAnsi="Times New Roman" w:cs="Times New Roman"/>
          <w:sz w:val="18"/>
          <w:szCs w:val="20"/>
        </w:rPr>
        <w:t>Variação das seletividades para metano e tolueno e da taxa em função da temperatura de</w:t>
      </w:r>
      <w:r>
        <w:rPr>
          <w:rFonts w:ascii="Times New Roman" w:hAnsi="Times New Roman" w:cs="Times New Roman"/>
          <w:sz w:val="18"/>
          <w:szCs w:val="20"/>
        </w:rPr>
        <w:t xml:space="preserve"> redução para </w:t>
      </w:r>
      <w:proofErr w:type="spellStart"/>
      <w:r>
        <w:rPr>
          <w:rFonts w:ascii="Times New Roman" w:hAnsi="Times New Roman" w:cs="Times New Roman"/>
          <w:sz w:val="18"/>
          <w:szCs w:val="20"/>
        </w:rPr>
        <w:t>Ni</w:t>
      </w:r>
      <w:proofErr w:type="spellEnd"/>
      <w:r>
        <w:rPr>
          <w:rFonts w:ascii="Times New Roman" w:hAnsi="Times New Roman" w:cs="Times New Roman"/>
          <w:sz w:val="18"/>
          <w:szCs w:val="20"/>
        </w:rPr>
        <w:t>/</w:t>
      </w:r>
      <w:r w:rsidRPr="00F44AEE">
        <w:rPr>
          <w:rFonts w:ascii="Times New Roman" w:hAnsi="Times New Roman" w:cs="Times New Roman"/>
          <w:sz w:val="18"/>
          <w:szCs w:val="20"/>
        </w:rPr>
        <w:t>SBA-15.</w:t>
      </w:r>
    </w:p>
    <w:p w14:paraId="6F1B9EB2" w14:textId="4EE78101" w:rsidR="00E108CC" w:rsidRDefault="007053CB" w:rsidP="00B04D3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As análises de MET revelaram uma sinterização das partículas de </w:t>
      </w:r>
      <w:proofErr w:type="spellStart"/>
      <w:r>
        <w:rPr>
          <w:rFonts w:ascii="Times New Roman" w:hAnsi="Times New Roman"/>
          <w:lang w:val="pt-BR"/>
        </w:rPr>
        <w:t>Ni</w:t>
      </w:r>
      <w:proofErr w:type="spellEnd"/>
      <w:r>
        <w:rPr>
          <w:rFonts w:ascii="Times New Roman" w:hAnsi="Times New Roman"/>
          <w:lang w:val="pt-BR"/>
        </w:rPr>
        <w:t xml:space="preserve"> com o aumento da temperatura de redução</w:t>
      </w:r>
      <w:r w:rsidR="002F70C6">
        <w:rPr>
          <w:rFonts w:ascii="Times New Roman" w:hAnsi="Times New Roman"/>
          <w:lang w:val="pt-BR"/>
        </w:rPr>
        <w:t xml:space="preserve">, que aumentaram de 1 para 2 </w:t>
      </w:r>
      <w:proofErr w:type="spellStart"/>
      <w:r w:rsidR="002F70C6">
        <w:rPr>
          <w:rFonts w:ascii="Times New Roman" w:hAnsi="Times New Roman"/>
          <w:lang w:val="pt-BR"/>
        </w:rPr>
        <w:t>nm</w:t>
      </w:r>
      <w:proofErr w:type="spellEnd"/>
      <w:r>
        <w:rPr>
          <w:rFonts w:ascii="Times New Roman" w:hAnsi="Times New Roman"/>
          <w:lang w:val="pt-BR"/>
        </w:rPr>
        <w:t xml:space="preserve">. Por outro lado, as medidas de XPS mostraram uma maior fração de </w:t>
      </w:r>
      <w:proofErr w:type="spellStart"/>
      <w:r>
        <w:rPr>
          <w:rFonts w:ascii="Times New Roman" w:hAnsi="Times New Roman"/>
          <w:lang w:val="pt-BR"/>
        </w:rPr>
        <w:t>Ni</w:t>
      </w:r>
      <w:proofErr w:type="spellEnd"/>
      <w:r>
        <w:rPr>
          <w:rFonts w:ascii="Times New Roman" w:hAnsi="Times New Roman"/>
          <w:lang w:val="pt-BR"/>
        </w:rPr>
        <w:t xml:space="preserve"> metálico após redução a maiores temperaturas. Estes resultados mostram que a atividade e seletividade para a reação de HDO do m-cresol são influenciadas principalmente pelo tamanho de partícula</w:t>
      </w:r>
      <w:r w:rsidR="003F5D3E">
        <w:rPr>
          <w:rFonts w:ascii="Times New Roman" w:hAnsi="Times New Roman"/>
          <w:lang w:val="pt-BR"/>
        </w:rPr>
        <w:t xml:space="preserve"> [4]</w:t>
      </w:r>
      <w:r>
        <w:rPr>
          <w:rFonts w:ascii="Times New Roman" w:hAnsi="Times New Roman"/>
          <w:lang w:val="pt-BR"/>
        </w:rPr>
        <w:t xml:space="preserve">. </w:t>
      </w:r>
    </w:p>
    <w:p w14:paraId="7C3E1FDF" w14:textId="6246A6CF" w:rsidR="005C6425" w:rsidRDefault="00D74C30" w:rsidP="008925C2">
      <w:pPr>
        <w:pStyle w:val="TAMainText"/>
        <w:ind w:firstLine="187"/>
        <w:rPr>
          <w:rFonts w:ascii="Times New Roman" w:hAnsi="Times New Roman"/>
          <w:lang w:val="pt-BR"/>
        </w:rPr>
      </w:pPr>
      <w:r w:rsidRPr="00F44AEE">
        <w:rPr>
          <w:rFonts w:ascii="Times New Roman" w:hAnsi="Times New Roman"/>
          <w:lang w:val="pt-BR"/>
        </w:rPr>
        <w:t>A estabili</w:t>
      </w:r>
      <w:r w:rsidR="00066C73">
        <w:rPr>
          <w:rFonts w:ascii="Times New Roman" w:hAnsi="Times New Roman"/>
          <w:lang w:val="pt-BR"/>
        </w:rPr>
        <w:t xml:space="preserve">dade de </w:t>
      </w:r>
      <w:proofErr w:type="spellStart"/>
      <w:r w:rsidR="00066C73">
        <w:rPr>
          <w:rFonts w:ascii="Times New Roman" w:hAnsi="Times New Roman"/>
          <w:lang w:val="pt-BR"/>
        </w:rPr>
        <w:t>Ni</w:t>
      </w:r>
      <w:proofErr w:type="spellEnd"/>
      <w:r w:rsidR="00066C73">
        <w:rPr>
          <w:rFonts w:ascii="Times New Roman" w:hAnsi="Times New Roman"/>
          <w:lang w:val="pt-BR"/>
        </w:rPr>
        <w:t>/</w:t>
      </w:r>
      <w:r w:rsidRPr="00F44AEE">
        <w:rPr>
          <w:rFonts w:ascii="Times New Roman" w:hAnsi="Times New Roman"/>
          <w:lang w:val="pt-BR"/>
        </w:rPr>
        <w:t xml:space="preserve">SBA-15 </w:t>
      </w:r>
      <w:r w:rsidR="00066C73">
        <w:rPr>
          <w:rFonts w:ascii="Times New Roman" w:hAnsi="Times New Roman"/>
          <w:lang w:val="pt-BR"/>
        </w:rPr>
        <w:t xml:space="preserve">nas </w:t>
      </w:r>
      <w:r w:rsidR="003E0243">
        <w:rPr>
          <w:rFonts w:ascii="Times New Roman" w:hAnsi="Times New Roman"/>
          <w:lang w:val="pt-BR"/>
        </w:rPr>
        <w:t xml:space="preserve">4 </w:t>
      </w:r>
      <w:r w:rsidR="00066C73">
        <w:rPr>
          <w:rFonts w:ascii="Times New Roman" w:hAnsi="Times New Roman"/>
          <w:lang w:val="pt-BR"/>
        </w:rPr>
        <w:t>condições estudadas</w:t>
      </w:r>
      <w:r w:rsidRPr="00F44AEE">
        <w:rPr>
          <w:rFonts w:ascii="Times New Roman" w:hAnsi="Times New Roman"/>
          <w:lang w:val="pt-BR"/>
        </w:rPr>
        <w:t xml:space="preserve"> foi analisada em reações com 6h de duração, comparando os resultados</w:t>
      </w:r>
      <w:r w:rsidR="00066C73">
        <w:rPr>
          <w:rFonts w:ascii="Times New Roman" w:hAnsi="Times New Roman"/>
          <w:lang w:val="pt-BR"/>
        </w:rPr>
        <w:t xml:space="preserve"> em função d</w:t>
      </w:r>
      <w:r w:rsidRPr="00F44AEE">
        <w:rPr>
          <w:rFonts w:ascii="Times New Roman" w:hAnsi="Times New Roman"/>
          <w:lang w:val="pt-BR"/>
        </w:rPr>
        <w:t xml:space="preserve">o tempo de reação. </w:t>
      </w:r>
      <w:r w:rsidR="005C6425" w:rsidRPr="005C6425">
        <w:rPr>
          <w:rFonts w:ascii="Times New Roman" w:hAnsi="Times New Roman"/>
          <w:lang w:val="pt-BR"/>
        </w:rPr>
        <w:t>O perfil de desativação foi semelhante para os 4 c</w:t>
      </w:r>
      <w:r w:rsidR="003E0243">
        <w:rPr>
          <w:rFonts w:ascii="Times New Roman" w:hAnsi="Times New Roman"/>
          <w:lang w:val="pt-BR"/>
        </w:rPr>
        <w:t>enários</w:t>
      </w:r>
      <w:r w:rsidR="005C6425" w:rsidRPr="005C6425">
        <w:rPr>
          <w:rFonts w:ascii="Times New Roman" w:hAnsi="Times New Roman"/>
          <w:lang w:val="pt-BR"/>
        </w:rPr>
        <w:t xml:space="preserve">, com forte queda na conversão de m-cresol nas primeiras </w:t>
      </w:r>
      <w:r w:rsidR="003E0243">
        <w:rPr>
          <w:rFonts w:ascii="Times New Roman" w:hAnsi="Times New Roman"/>
          <w:lang w:val="pt-BR"/>
        </w:rPr>
        <w:t>três</w:t>
      </w:r>
      <w:r w:rsidR="005C6425" w:rsidRPr="005C6425">
        <w:rPr>
          <w:rFonts w:ascii="Times New Roman" w:hAnsi="Times New Roman"/>
          <w:lang w:val="pt-BR"/>
        </w:rPr>
        <w:t xml:space="preserve"> horas, com aparente estabilização em seguida</w:t>
      </w:r>
      <w:r w:rsidR="003E0243">
        <w:rPr>
          <w:rFonts w:ascii="Times New Roman" w:hAnsi="Times New Roman"/>
          <w:lang w:val="pt-BR"/>
        </w:rPr>
        <w:t xml:space="preserve"> (</w:t>
      </w:r>
      <w:r w:rsidR="007751D2">
        <w:rPr>
          <w:rFonts w:ascii="Times New Roman" w:hAnsi="Times New Roman"/>
          <w:lang w:val="pt-BR"/>
        </w:rPr>
        <w:t xml:space="preserve">em </w:t>
      </w:r>
      <w:r w:rsidR="003E0243">
        <w:rPr>
          <w:rFonts w:ascii="Times New Roman" w:hAnsi="Times New Roman"/>
          <w:lang w:val="pt-BR"/>
        </w:rPr>
        <w:t>cerca de 70%</w:t>
      </w:r>
      <w:r w:rsidR="007751D2">
        <w:rPr>
          <w:rFonts w:ascii="Times New Roman" w:hAnsi="Times New Roman"/>
          <w:lang w:val="pt-BR"/>
        </w:rPr>
        <w:t xml:space="preserve"> de conversão</w:t>
      </w:r>
      <w:r w:rsidR="003E0243">
        <w:rPr>
          <w:rFonts w:ascii="Times New Roman" w:hAnsi="Times New Roman"/>
          <w:lang w:val="pt-BR"/>
        </w:rPr>
        <w:t>)</w:t>
      </w:r>
      <w:r w:rsidR="005C6425" w:rsidRPr="005C6425">
        <w:rPr>
          <w:rFonts w:ascii="Times New Roman" w:hAnsi="Times New Roman"/>
          <w:lang w:val="pt-BR"/>
        </w:rPr>
        <w:t>.</w:t>
      </w:r>
      <w:r w:rsidR="007053CB">
        <w:rPr>
          <w:rFonts w:ascii="Times New Roman" w:hAnsi="Times New Roman"/>
          <w:lang w:val="pt-BR"/>
        </w:rPr>
        <w:t xml:space="preserve">  </w:t>
      </w:r>
    </w:p>
    <w:p w14:paraId="12FD0466" w14:textId="4C2A3A9A" w:rsidR="008925C2" w:rsidRDefault="00A6196B" w:rsidP="008925C2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Reduzindo o material a 500ºC, há uma predominância de tolueno (cerca de 70% de seletividade), com pouca formação de metano (cerca de 20%). Com o aumento gradual da temperatura de redução esse cenário é lentamente invertido, com a seletividade para metano atingindo um máximo de 50% e a para tolueno um mínimo de 30% quando </w:t>
      </w:r>
      <w:proofErr w:type="spellStart"/>
      <w:r>
        <w:rPr>
          <w:rFonts w:ascii="Times New Roman" w:hAnsi="Times New Roman"/>
          <w:lang w:val="pt-BR"/>
        </w:rPr>
        <w:t>Ni</w:t>
      </w:r>
      <w:proofErr w:type="spellEnd"/>
      <w:r>
        <w:rPr>
          <w:rFonts w:ascii="Times New Roman" w:hAnsi="Times New Roman"/>
          <w:lang w:val="pt-BR"/>
        </w:rPr>
        <w:t xml:space="preserve">/SBA-15 é reduzido a 800ºC. </w:t>
      </w:r>
    </w:p>
    <w:p w14:paraId="0A4D2A77" w14:textId="28DE81F9" w:rsidR="00A6196B" w:rsidRPr="008925C2" w:rsidRDefault="00A6196B" w:rsidP="008925C2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Este </w:t>
      </w:r>
      <w:r w:rsidR="007511E0">
        <w:rPr>
          <w:rFonts w:ascii="Times New Roman" w:hAnsi="Times New Roman"/>
          <w:lang w:val="pt-BR"/>
        </w:rPr>
        <w:t>resultado</w:t>
      </w:r>
      <w:r>
        <w:rPr>
          <w:rFonts w:ascii="Times New Roman" w:hAnsi="Times New Roman"/>
          <w:lang w:val="pt-BR"/>
        </w:rPr>
        <w:t xml:space="preserve"> </w:t>
      </w:r>
      <w:r w:rsidR="00B06F4E">
        <w:rPr>
          <w:rFonts w:ascii="Times New Roman" w:hAnsi="Times New Roman"/>
          <w:lang w:val="pt-BR"/>
        </w:rPr>
        <w:t xml:space="preserve">sugere </w:t>
      </w:r>
      <w:r>
        <w:rPr>
          <w:rFonts w:ascii="Times New Roman" w:hAnsi="Times New Roman"/>
          <w:lang w:val="pt-BR"/>
        </w:rPr>
        <w:t>que</w:t>
      </w:r>
      <w:r w:rsidR="00975F0F">
        <w:rPr>
          <w:rFonts w:ascii="Times New Roman" w:hAnsi="Times New Roman"/>
          <w:lang w:val="pt-BR"/>
        </w:rPr>
        <w:t>,</w:t>
      </w:r>
      <w:r w:rsidR="007511E0">
        <w:rPr>
          <w:rFonts w:ascii="Times New Roman" w:hAnsi="Times New Roman"/>
          <w:lang w:val="pt-BR"/>
        </w:rPr>
        <w:t xml:space="preserve"> em</w:t>
      </w:r>
      <w:r>
        <w:rPr>
          <w:rFonts w:ascii="Times New Roman" w:hAnsi="Times New Roman"/>
          <w:lang w:val="pt-BR"/>
        </w:rPr>
        <w:t xml:space="preserve"> maiores temperaturas de redução, o catalisador</w:t>
      </w:r>
      <w:r w:rsidR="00EE0D67">
        <w:rPr>
          <w:rFonts w:ascii="Times New Roman" w:hAnsi="Times New Roman"/>
          <w:lang w:val="pt-BR"/>
        </w:rPr>
        <w:t xml:space="preserve"> sofre sinterização de suas partículas de níquel, uma vez que maiores partículas metálicas promovem </w:t>
      </w:r>
      <w:r w:rsidR="00CD4149">
        <w:rPr>
          <w:rFonts w:ascii="Times New Roman" w:hAnsi="Times New Roman"/>
          <w:lang w:val="pt-BR"/>
        </w:rPr>
        <w:t xml:space="preserve">reações de </w:t>
      </w:r>
      <w:proofErr w:type="spellStart"/>
      <w:r w:rsidR="00CD4149">
        <w:rPr>
          <w:rFonts w:ascii="Times New Roman" w:hAnsi="Times New Roman"/>
          <w:lang w:val="pt-BR"/>
        </w:rPr>
        <w:t>hidrogenólise</w:t>
      </w:r>
      <w:proofErr w:type="spellEnd"/>
      <w:r w:rsidR="00CD4149">
        <w:rPr>
          <w:rFonts w:ascii="Times New Roman" w:hAnsi="Times New Roman"/>
          <w:lang w:val="pt-BR"/>
        </w:rPr>
        <w:t>, com maiores seletividades para metano e menores para tolueno, produto desoxigenado de interesse [</w:t>
      </w:r>
      <w:r w:rsidR="001E4F85">
        <w:rPr>
          <w:rFonts w:ascii="Times New Roman" w:hAnsi="Times New Roman"/>
          <w:lang w:val="pt-BR"/>
        </w:rPr>
        <w:t>4</w:t>
      </w:r>
      <w:r w:rsidR="00CD4149">
        <w:rPr>
          <w:rFonts w:ascii="Times New Roman" w:hAnsi="Times New Roman"/>
          <w:lang w:val="pt-BR"/>
        </w:rPr>
        <w:t>].</w:t>
      </w:r>
      <w:r w:rsidR="00B06F4E">
        <w:rPr>
          <w:rFonts w:ascii="Times New Roman" w:hAnsi="Times New Roman"/>
          <w:lang w:val="pt-BR"/>
        </w:rPr>
        <w:t xml:space="preserve"> No entanto, mesmo com esta sinterização, as </w:t>
      </w:r>
      <w:proofErr w:type="spellStart"/>
      <w:r w:rsidR="00B06F4E">
        <w:rPr>
          <w:rFonts w:ascii="Times New Roman" w:hAnsi="Times New Roman"/>
          <w:lang w:val="pt-BR"/>
        </w:rPr>
        <w:t>nanopartículas</w:t>
      </w:r>
      <w:proofErr w:type="spellEnd"/>
      <w:r w:rsidR="00B06F4E">
        <w:rPr>
          <w:rFonts w:ascii="Times New Roman" w:hAnsi="Times New Roman"/>
          <w:lang w:val="pt-BR"/>
        </w:rPr>
        <w:t xml:space="preserve"> de </w:t>
      </w:r>
      <w:proofErr w:type="spellStart"/>
      <w:r w:rsidR="00B06F4E">
        <w:rPr>
          <w:rFonts w:ascii="Times New Roman" w:hAnsi="Times New Roman"/>
          <w:lang w:val="pt-BR"/>
        </w:rPr>
        <w:t>Ni</w:t>
      </w:r>
      <w:proofErr w:type="spellEnd"/>
      <w:r w:rsidR="00B06F4E">
        <w:rPr>
          <w:rFonts w:ascii="Times New Roman" w:hAnsi="Times New Roman"/>
          <w:lang w:val="pt-BR"/>
        </w:rPr>
        <w:t xml:space="preserve"> permanecem confinadas nos </w:t>
      </w:r>
      <w:proofErr w:type="spellStart"/>
      <w:r w:rsidR="00B06F4E">
        <w:rPr>
          <w:rFonts w:ascii="Times New Roman" w:hAnsi="Times New Roman"/>
          <w:lang w:val="pt-BR"/>
        </w:rPr>
        <w:t>mesoporos</w:t>
      </w:r>
      <w:proofErr w:type="spellEnd"/>
      <w:r w:rsidR="00B06F4E">
        <w:rPr>
          <w:rFonts w:ascii="Times New Roman" w:hAnsi="Times New Roman"/>
          <w:lang w:val="pt-BR"/>
        </w:rPr>
        <w:t xml:space="preserve"> da estrutura da SBA-15, o que justificaria o catalisador apresentar perdas semelhantes de atividade em reações de longa duração, mesmo tendo sido submetidos a condições operacionais mais extremas.</w:t>
      </w:r>
    </w:p>
    <w:p w14:paraId="20AA905D" w14:textId="09EB3D13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t>Conclusões</w:t>
      </w:r>
    </w:p>
    <w:p w14:paraId="46331152" w14:textId="4938E16F" w:rsidR="00FA354F" w:rsidRDefault="00BA1402" w:rsidP="00FA354F">
      <w:pPr>
        <w:pStyle w:val="TAMainText"/>
        <w:ind w:firstLine="187"/>
        <w:rPr>
          <w:lang w:val="pt-BR"/>
        </w:rPr>
      </w:pPr>
      <w:r w:rsidRPr="00900562">
        <w:rPr>
          <w:lang w:val="pt-BR"/>
        </w:rPr>
        <w:t xml:space="preserve">Os resultados </w:t>
      </w:r>
      <w:r w:rsidR="00D46CE7">
        <w:rPr>
          <w:lang w:val="pt-BR"/>
        </w:rPr>
        <w:t>mostraram</w:t>
      </w:r>
      <w:r w:rsidR="00D46CE7" w:rsidRPr="00900562">
        <w:rPr>
          <w:lang w:val="pt-BR"/>
        </w:rPr>
        <w:t xml:space="preserve"> </w:t>
      </w:r>
      <w:r w:rsidRPr="00900562">
        <w:rPr>
          <w:lang w:val="pt-BR"/>
        </w:rPr>
        <w:t xml:space="preserve">que a </w:t>
      </w:r>
      <w:r w:rsidR="00EF34EF" w:rsidRPr="00900562">
        <w:rPr>
          <w:lang w:val="pt-BR"/>
        </w:rPr>
        <w:t>temperatur</w:t>
      </w:r>
      <w:r w:rsidR="00900562">
        <w:rPr>
          <w:lang w:val="pt-BR"/>
        </w:rPr>
        <w:t>a</w:t>
      </w:r>
      <w:r w:rsidR="00EF34EF" w:rsidRPr="00900562">
        <w:rPr>
          <w:lang w:val="pt-BR"/>
        </w:rPr>
        <w:t xml:space="preserve"> de redução prévia do catalisador</w:t>
      </w:r>
      <w:r w:rsidRPr="00900562">
        <w:rPr>
          <w:lang w:val="pt-BR"/>
        </w:rPr>
        <w:t xml:space="preserve"> </w:t>
      </w:r>
      <w:proofErr w:type="spellStart"/>
      <w:r w:rsidR="00D46CE7">
        <w:rPr>
          <w:lang w:val="pt-BR"/>
        </w:rPr>
        <w:t>Ni</w:t>
      </w:r>
      <w:proofErr w:type="spellEnd"/>
      <w:r w:rsidR="00D46CE7">
        <w:rPr>
          <w:lang w:val="pt-BR"/>
        </w:rPr>
        <w:t xml:space="preserve">/SBA-15 </w:t>
      </w:r>
      <w:r w:rsidRPr="00900562">
        <w:rPr>
          <w:lang w:val="pt-BR"/>
        </w:rPr>
        <w:t xml:space="preserve">desempenha um papel fundamental </w:t>
      </w:r>
      <w:r w:rsidR="00D46CE7">
        <w:rPr>
          <w:lang w:val="pt-BR"/>
        </w:rPr>
        <w:t>no seu desempenho</w:t>
      </w:r>
      <w:r w:rsidRPr="00900562">
        <w:rPr>
          <w:lang w:val="pt-BR"/>
        </w:rPr>
        <w:t xml:space="preserve"> na reação de HDO do m-cresol. O </w:t>
      </w:r>
      <w:r w:rsidR="00EF34EF" w:rsidRPr="00900562">
        <w:rPr>
          <w:lang w:val="pt-BR"/>
        </w:rPr>
        <w:t xml:space="preserve">aumento da temperatura de redução levou a </w:t>
      </w:r>
      <w:r w:rsidR="00D46CE7">
        <w:rPr>
          <w:lang w:val="pt-BR"/>
        </w:rPr>
        <w:t xml:space="preserve">uma menor atividade e </w:t>
      </w:r>
      <w:r w:rsidR="00EF34EF" w:rsidRPr="00900562">
        <w:rPr>
          <w:lang w:val="pt-BR"/>
        </w:rPr>
        <w:t>maior seletividade para metano</w:t>
      </w:r>
      <w:r w:rsidR="003E0243">
        <w:rPr>
          <w:lang w:val="pt-BR"/>
        </w:rPr>
        <w:t>.</w:t>
      </w:r>
      <w:r w:rsidR="00562C93">
        <w:rPr>
          <w:lang w:val="pt-BR"/>
        </w:rPr>
        <w:t xml:space="preserve"> </w:t>
      </w:r>
      <w:r w:rsidR="00D46CE7">
        <w:rPr>
          <w:lang w:val="pt-BR"/>
        </w:rPr>
        <w:t xml:space="preserve">Estes resultados estão de acordo com o aumento do tamanho de partícula do </w:t>
      </w:r>
      <w:proofErr w:type="spellStart"/>
      <w:r w:rsidR="00D46CE7">
        <w:rPr>
          <w:lang w:val="pt-BR"/>
        </w:rPr>
        <w:t>Ni</w:t>
      </w:r>
      <w:proofErr w:type="spellEnd"/>
      <w:r w:rsidR="00D46CE7">
        <w:rPr>
          <w:lang w:val="pt-BR"/>
        </w:rPr>
        <w:t xml:space="preserve"> metálico, </w:t>
      </w:r>
      <w:r w:rsidR="00FA354F">
        <w:rPr>
          <w:lang w:val="pt-BR"/>
        </w:rPr>
        <w:t xml:space="preserve">que </w:t>
      </w:r>
      <w:r w:rsidR="00D46CE7">
        <w:rPr>
          <w:lang w:val="pt-BR"/>
        </w:rPr>
        <w:t>favorece a reação</w:t>
      </w:r>
      <w:r w:rsidR="00FA354F">
        <w:rPr>
          <w:lang w:val="pt-BR"/>
        </w:rPr>
        <w:t xml:space="preserve"> de </w:t>
      </w:r>
      <w:proofErr w:type="spellStart"/>
      <w:r w:rsidR="00FA354F">
        <w:rPr>
          <w:lang w:val="pt-BR"/>
        </w:rPr>
        <w:t>hidrogenólise</w:t>
      </w:r>
      <w:proofErr w:type="spellEnd"/>
      <w:r w:rsidR="00806B74">
        <w:rPr>
          <w:lang w:val="pt-BR"/>
        </w:rPr>
        <w:t>.</w:t>
      </w:r>
    </w:p>
    <w:p w14:paraId="2D8E7423" w14:textId="72396D23" w:rsidR="00FA354F" w:rsidRDefault="00D46CE7" w:rsidP="00FA354F">
      <w:pPr>
        <w:pStyle w:val="TAMainText"/>
        <w:ind w:firstLine="187"/>
        <w:rPr>
          <w:lang w:val="pt-BR"/>
        </w:rPr>
      </w:pPr>
      <w:r>
        <w:rPr>
          <w:lang w:val="pt-BR"/>
        </w:rPr>
        <w:t>O</w:t>
      </w:r>
      <w:r w:rsidR="00C4191C">
        <w:rPr>
          <w:lang w:val="pt-BR"/>
        </w:rPr>
        <w:t xml:space="preserve"> aumento d</w:t>
      </w:r>
      <w:r>
        <w:rPr>
          <w:lang w:val="pt-BR"/>
        </w:rPr>
        <w:t>a</w:t>
      </w:r>
      <w:r w:rsidR="00C4191C">
        <w:rPr>
          <w:lang w:val="pt-BR"/>
        </w:rPr>
        <w:t xml:space="preserve"> temperatura de redução não influenciou </w:t>
      </w:r>
      <w:r w:rsidR="00C60B1D">
        <w:rPr>
          <w:lang w:val="pt-BR"/>
        </w:rPr>
        <w:t>n</w:t>
      </w:r>
      <w:r>
        <w:rPr>
          <w:lang w:val="pt-BR"/>
        </w:rPr>
        <w:t>a estabilidade do catalisador</w:t>
      </w:r>
      <w:r w:rsidR="00C4191C">
        <w:rPr>
          <w:lang w:val="pt-BR"/>
        </w:rPr>
        <w:t xml:space="preserve">, uma vez que, nas quatro </w:t>
      </w:r>
      <w:r w:rsidR="00C4191C">
        <w:rPr>
          <w:lang w:val="pt-BR"/>
        </w:rPr>
        <w:lastRenderedPageBreak/>
        <w:t>temperaturas empregadas, a queda de conversão foi a mesma. Isto pode indicar que, mesmo com o aumento das partículas de níquel observadas com o emprego de maiores t</w:t>
      </w:r>
      <w:r w:rsidR="003423CF">
        <w:rPr>
          <w:lang w:val="pt-BR"/>
        </w:rPr>
        <w:t>emperaturas</w:t>
      </w:r>
      <w:r w:rsidR="00C4191C">
        <w:rPr>
          <w:lang w:val="pt-BR"/>
        </w:rPr>
        <w:t xml:space="preserve"> de redução, elas ainda se mantém encapsuladas nos </w:t>
      </w:r>
      <w:proofErr w:type="spellStart"/>
      <w:r w:rsidR="00C4191C">
        <w:rPr>
          <w:lang w:val="pt-BR"/>
        </w:rPr>
        <w:t>mesoporos</w:t>
      </w:r>
      <w:proofErr w:type="spellEnd"/>
      <w:r w:rsidR="00C4191C">
        <w:rPr>
          <w:lang w:val="pt-BR"/>
        </w:rPr>
        <w:t xml:space="preserve"> da SBA-15, estando mais estabilizadas e com os sítios ativos disponíveis.</w:t>
      </w:r>
    </w:p>
    <w:p w14:paraId="2D1D18D3" w14:textId="77777777" w:rsidR="00C4191C" w:rsidRDefault="00C4191C" w:rsidP="00FA354F">
      <w:pPr>
        <w:pStyle w:val="TAMainText"/>
        <w:ind w:firstLine="187"/>
        <w:rPr>
          <w:lang w:val="pt-BR"/>
        </w:rPr>
      </w:pPr>
    </w:p>
    <w:p w14:paraId="4521BF6A" w14:textId="775FF5CF" w:rsidR="00B344B6" w:rsidRPr="006352A3" w:rsidRDefault="00EA4E1B" w:rsidP="00975F0F">
      <w:pPr>
        <w:pStyle w:val="Ttulo2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t>Agradecimentos</w:t>
      </w:r>
    </w:p>
    <w:p w14:paraId="50687C75" w14:textId="1BCF2B52" w:rsidR="007A088E" w:rsidRPr="0053756C" w:rsidRDefault="0053756C" w:rsidP="00EA4E1B">
      <w:pPr>
        <w:pStyle w:val="TAMainText"/>
        <w:rPr>
          <w:rFonts w:ascii="Times New Roman" w:hAnsi="Times New Roman"/>
          <w:lang w:val="pt-BR"/>
        </w:rPr>
      </w:pPr>
      <w:r>
        <w:rPr>
          <w:lang w:val="pt-BR"/>
        </w:rPr>
        <w:t>Os autores</w:t>
      </w:r>
      <w:r w:rsidRPr="0053756C">
        <w:rPr>
          <w:lang w:val="pt-BR"/>
        </w:rPr>
        <w:t xml:space="preserve"> agradece</w:t>
      </w:r>
      <w:r>
        <w:rPr>
          <w:lang w:val="pt-BR"/>
        </w:rPr>
        <w:t>m</w:t>
      </w:r>
      <w:r w:rsidRPr="0053756C">
        <w:rPr>
          <w:lang w:val="pt-BR"/>
        </w:rPr>
        <w:t xml:space="preserve"> a CAPES e ao programa CAPES (código 001) –</w:t>
      </w:r>
      <w:r>
        <w:rPr>
          <w:lang w:val="pt-BR"/>
        </w:rPr>
        <w:t xml:space="preserve"> COFECUB (88881.142911/2017-01), </w:t>
      </w:r>
      <w:r w:rsidRPr="0053756C">
        <w:rPr>
          <w:lang w:val="pt-BR"/>
        </w:rPr>
        <w:t>à FAPERJ (E26/202.783/2017) e ao CNPq (303667/2018-4; 305046/2015-2; 302469/2020-6) p</w:t>
      </w:r>
      <w:r>
        <w:rPr>
          <w:lang w:val="pt-BR"/>
        </w:rPr>
        <w:t xml:space="preserve">elo apoio financeiro. Também agradecem ao projeto PYRODEOX, garantido pelo </w:t>
      </w:r>
      <w:r w:rsidRPr="0053756C">
        <w:rPr>
          <w:lang w:val="pt-BR"/>
        </w:rPr>
        <w:t>ANR (ANR-21-CE43</w:t>
      </w:r>
      <w:r w:rsidR="00540539">
        <w:rPr>
          <w:lang w:val="pt-BR"/>
        </w:rPr>
        <w:t xml:space="preserve">-0006), </w:t>
      </w:r>
      <w:r>
        <w:rPr>
          <w:lang w:val="pt-BR"/>
        </w:rPr>
        <w:t xml:space="preserve">à </w:t>
      </w:r>
      <w:proofErr w:type="spellStart"/>
      <w:r w:rsidRPr="0053756C">
        <w:rPr>
          <w:lang w:val="pt-BR"/>
        </w:rPr>
        <w:t>European</w:t>
      </w:r>
      <w:proofErr w:type="spellEnd"/>
      <w:r w:rsidRPr="0053756C">
        <w:rPr>
          <w:lang w:val="pt-BR"/>
        </w:rPr>
        <w:t xml:space="preserve"> Union (ERDF) e à “</w:t>
      </w:r>
      <w:proofErr w:type="spellStart"/>
      <w:r w:rsidRPr="0053756C">
        <w:rPr>
          <w:lang w:val="pt-BR"/>
        </w:rPr>
        <w:t>Région</w:t>
      </w:r>
      <w:proofErr w:type="spellEnd"/>
      <w:r w:rsidRPr="0053756C">
        <w:rPr>
          <w:lang w:val="pt-BR"/>
        </w:rPr>
        <w:t xml:space="preserve"> Nouvelle </w:t>
      </w:r>
      <w:proofErr w:type="spellStart"/>
      <w:r w:rsidRPr="0053756C">
        <w:rPr>
          <w:lang w:val="pt-BR"/>
        </w:rPr>
        <w:t>Aquitaine</w:t>
      </w:r>
      <w:proofErr w:type="spellEnd"/>
      <w:r w:rsidRPr="0053756C">
        <w:rPr>
          <w:lang w:val="pt-BR"/>
        </w:rPr>
        <w:t xml:space="preserve">”.  </w:t>
      </w:r>
      <w:r w:rsidR="00540539">
        <w:rPr>
          <w:lang w:val="pt-BR"/>
        </w:rPr>
        <w:t xml:space="preserve">Também ao apoio do </w:t>
      </w:r>
      <w:proofErr w:type="spellStart"/>
      <w:r w:rsidR="00540539" w:rsidRPr="00540539">
        <w:rPr>
          <w:lang w:val="pt-BR"/>
        </w:rPr>
        <w:t>Chevreul</w:t>
      </w:r>
      <w:proofErr w:type="spellEnd"/>
      <w:r w:rsidR="00540539" w:rsidRPr="00540539">
        <w:rPr>
          <w:lang w:val="pt-BR"/>
        </w:rPr>
        <w:t xml:space="preserve"> </w:t>
      </w:r>
      <w:proofErr w:type="spellStart"/>
      <w:r w:rsidR="00540539" w:rsidRPr="00540539">
        <w:rPr>
          <w:lang w:val="pt-BR"/>
        </w:rPr>
        <w:t>Institute</w:t>
      </w:r>
      <w:proofErr w:type="spellEnd"/>
      <w:r w:rsidR="00540539" w:rsidRPr="00540539">
        <w:rPr>
          <w:lang w:val="pt-BR"/>
        </w:rPr>
        <w:t>, através do projeto ARCHI-CM, financiado pelo “</w:t>
      </w:r>
      <w:proofErr w:type="spellStart"/>
      <w:r w:rsidR="00540539" w:rsidRPr="00540539">
        <w:rPr>
          <w:lang w:val="pt-BR"/>
        </w:rPr>
        <w:t>Ministère</w:t>
      </w:r>
      <w:proofErr w:type="spellEnd"/>
      <w:r w:rsidR="00540539" w:rsidRPr="00540539">
        <w:rPr>
          <w:lang w:val="pt-BR"/>
        </w:rPr>
        <w:t xml:space="preserve"> de </w:t>
      </w:r>
      <w:proofErr w:type="spellStart"/>
      <w:r w:rsidR="00540539" w:rsidRPr="00540539">
        <w:rPr>
          <w:lang w:val="pt-BR"/>
        </w:rPr>
        <w:t>l’Enseignement</w:t>
      </w:r>
      <w:proofErr w:type="spellEnd"/>
      <w:r w:rsidR="00540539" w:rsidRPr="00540539">
        <w:rPr>
          <w:lang w:val="pt-BR"/>
        </w:rPr>
        <w:t xml:space="preserve"> </w:t>
      </w:r>
      <w:proofErr w:type="spellStart"/>
      <w:r w:rsidR="00540539" w:rsidRPr="00540539">
        <w:rPr>
          <w:lang w:val="pt-BR"/>
        </w:rPr>
        <w:t>Supérieur</w:t>
      </w:r>
      <w:proofErr w:type="spellEnd"/>
      <w:r w:rsidR="00540539" w:rsidRPr="00540539">
        <w:rPr>
          <w:lang w:val="pt-BR"/>
        </w:rPr>
        <w:t xml:space="preserve"> de </w:t>
      </w:r>
      <w:proofErr w:type="spellStart"/>
      <w:r w:rsidR="00540539" w:rsidRPr="00540539">
        <w:rPr>
          <w:lang w:val="pt-BR"/>
        </w:rPr>
        <w:t>la</w:t>
      </w:r>
      <w:proofErr w:type="spellEnd"/>
      <w:r w:rsidR="00540539" w:rsidRPr="00540539">
        <w:rPr>
          <w:lang w:val="pt-BR"/>
        </w:rPr>
        <w:t xml:space="preserve"> </w:t>
      </w:r>
      <w:proofErr w:type="spellStart"/>
      <w:r w:rsidR="00540539" w:rsidRPr="00540539">
        <w:rPr>
          <w:lang w:val="pt-BR"/>
        </w:rPr>
        <w:t>Recherche</w:t>
      </w:r>
      <w:proofErr w:type="spellEnd"/>
      <w:r w:rsidR="00540539" w:rsidRPr="00540539">
        <w:rPr>
          <w:lang w:val="pt-BR"/>
        </w:rPr>
        <w:t xml:space="preserve"> et de </w:t>
      </w:r>
      <w:proofErr w:type="spellStart"/>
      <w:r w:rsidR="00540539" w:rsidRPr="00540539">
        <w:rPr>
          <w:lang w:val="pt-BR"/>
        </w:rPr>
        <w:t>l’Innovation</w:t>
      </w:r>
      <w:proofErr w:type="spellEnd"/>
      <w:r w:rsidR="00540539" w:rsidRPr="00540539">
        <w:rPr>
          <w:lang w:val="pt-BR"/>
        </w:rPr>
        <w:t xml:space="preserve">”, e ao </w:t>
      </w:r>
      <w:proofErr w:type="spellStart"/>
      <w:r w:rsidR="00540539" w:rsidRPr="00540539">
        <w:rPr>
          <w:lang w:val="pt-BR"/>
        </w:rPr>
        <w:t>Métropole</w:t>
      </w:r>
      <w:proofErr w:type="spellEnd"/>
      <w:r w:rsidR="00540539" w:rsidRPr="00540539">
        <w:rPr>
          <w:lang w:val="pt-BR"/>
        </w:rPr>
        <w:t xml:space="preserve"> </w:t>
      </w:r>
      <w:proofErr w:type="spellStart"/>
      <w:r w:rsidR="00540539" w:rsidRPr="00540539">
        <w:rPr>
          <w:lang w:val="pt-BR"/>
        </w:rPr>
        <w:t>Européenne</w:t>
      </w:r>
      <w:proofErr w:type="spellEnd"/>
      <w:r w:rsidR="00540539" w:rsidRPr="00540539">
        <w:rPr>
          <w:lang w:val="pt-BR"/>
        </w:rPr>
        <w:t xml:space="preserve"> de Lille.</w:t>
      </w:r>
      <w:r w:rsidR="00540539">
        <w:rPr>
          <w:lang w:val="pt-BR"/>
        </w:rPr>
        <w:t xml:space="preserve"> Ess</w:t>
      </w:r>
      <w:r w:rsidRPr="0053756C">
        <w:rPr>
          <w:lang w:val="pt-BR"/>
        </w:rPr>
        <w:t xml:space="preserve">e estudo também foi apoiado pelo governo francês através do Programa </w:t>
      </w:r>
      <w:proofErr w:type="spellStart"/>
      <w:r w:rsidRPr="0053756C">
        <w:rPr>
          <w:lang w:val="pt-BR"/>
        </w:rPr>
        <w:t>Investissement</w:t>
      </w:r>
      <w:proofErr w:type="spellEnd"/>
      <w:r w:rsidRPr="0053756C">
        <w:rPr>
          <w:lang w:val="pt-BR"/>
        </w:rPr>
        <w:t xml:space="preserve"> d'</w:t>
      </w:r>
      <w:proofErr w:type="spellStart"/>
      <w:r w:rsidRPr="0053756C">
        <w:rPr>
          <w:lang w:val="pt-BR"/>
        </w:rPr>
        <w:t>Avenir</w:t>
      </w:r>
      <w:proofErr w:type="spellEnd"/>
      <w:r w:rsidRPr="0053756C">
        <w:rPr>
          <w:lang w:val="pt-BR"/>
        </w:rPr>
        <w:t xml:space="preserve"> (ISITE ULNE / ANR-16-IDEX-0004 ULNE) e projeto </w:t>
      </w:r>
      <w:proofErr w:type="spellStart"/>
      <w:r w:rsidRPr="0053756C">
        <w:rPr>
          <w:lang w:val="pt-BR"/>
        </w:rPr>
        <w:t>CatBioInnov</w:t>
      </w:r>
      <w:proofErr w:type="spellEnd"/>
      <w:r w:rsidRPr="0053756C">
        <w:rPr>
          <w:lang w:val="pt-BR"/>
        </w:rPr>
        <w:t xml:space="preserve"> (</w:t>
      </w:r>
      <w:proofErr w:type="spellStart"/>
      <w:r w:rsidRPr="0053756C">
        <w:rPr>
          <w:lang w:val="pt-BR"/>
        </w:rPr>
        <w:t>Métropole</w:t>
      </w:r>
      <w:proofErr w:type="spellEnd"/>
      <w:r w:rsidRPr="0053756C">
        <w:rPr>
          <w:lang w:val="pt-BR"/>
        </w:rPr>
        <w:t xml:space="preserve"> </w:t>
      </w:r>
      <w:proofErr w:type="spellStart"/>
      <w:r w:rsidRPr="0053756C">
        <w:rPr>
          <w:lang w:val="pt-BR"/>
        </w:rPr>
        <w:t>Européen</w:t>
      </w:r>
      <w:proofErr w:type="spellEnd"/>
      <w:r w:rsidRPr="0053756C">
        <w:rPr>
          <w:lang w:val="pt-BR"/>
        </w:rPr>
        <w:t xml:space="preserve"> de Lille (MEL) e </w:t>
      </w:r>
      <w:proofErr w:type="spellStart"/>
      <w:r w:rsidRPr="0053756C">
        <w:rPr>
          <w:lang w:val="pt-BR"/>
        </w:rPr>
        <w:t>Region</w:t>
      </w:r>
      <w:proofErr w:type="spellEnd"/>
      <w:r w:rsidRPr="0053756C">
        <w:rPr>
          <w:lang w:val="pt-BR"/>
        </w:rPr>
        <w:t xml:space="preserve"> </w:t>
      </w:r>
      <w:proofErr w:type="spellStart"/>
      <w:r w:rsidRPr="0053756C">
        <w:rPr>
          <w:lang w:val="pt-BR"/>
        </w:rPr>
        <w:t>Hauts</w:t>
      </w:r>
      <w:proofErr w:type="spellEnd"/>
      <w:r w:rsidRPr="0053756C">
        <w:rPr>
          <w:lang w:val="pt-BR"/>
        </w:rPr>
        <w:t>-de-France).</w:t>
      </w:r>
    </w:p>
    <w:p w14:paraId="158D911D" w14:textId="37660042" w:rsidR="00EA4E1B" w:rsidRPr="00975F0F" w:rsidRDefault="00EA4E1B" w:rsidP="00975F0F">
      <w:pPr>
        <w:pStyle w:val="Ttulo2"/>
        <w:rPr>
          <w:rFonts w:ascii="Helvetica" w:hAnsi="Helvetica" w:cs="Helvetica"/>
          <w:sz w:val="24"/>
          <w:szCs w:val="24"/>
        </w:rPr>
      </w:pPr>
      <w:r w:rsidRPr="00F44AEE">
        <w:rPr>
          <w:rFonts w:ascii="Helvetica" w:hAnsi="Helvetica" w:cs="Helvetica"/>
          <w:sz w:val="24"/>
          <w:szCs w:val="24"/>
        </w:rPr>
        <w:t>Referências</w:t>
      </w:r>
    </w:p>
    <w:p w14:paraId="53718FC1" w14:textId="7848E48E" w:rsidR="00000F3C" w:rsidRPr="00F211A5" w:rsidRDefault="00000F3C" w:rsidP="00000F3C">
      <w:pPr>
        <w:pStyle w:val="TAMainText"/>
        <w:numPr>
          <w:ilvl w:val="0"/>
          <w:numId w:val="1"/>
        </w:numPr>
        <w:rPr>
          <w:lang w:val="en-GB"/>
        </w:rPr>
      </w:pPr>
      <w:r w:rsidRPr="006352A3">
        <w:rPr>
          <w:lang w:val="en-GB"/>
        </w:rPr>
        <w:t xml:space="preserve">C. Chen; G. Chen; F. Yang; H. Wang; J. Han; Q. </w:t>
      </w:r>
      <w:proofErr w:type="spellStart"/>
      <w:r w:rsidRPr="006352A3">
        <w:rPr>
          <w:lang w:val="en-GB"/>
        </w:rPr>
        <w:t>Ge</w:t>
      </w:r>
      <w:proofErr w:type="spellEnd"/>
      <w:r w:rsidRPr="006352A3">
        <w:rPr>
          <w:lang w:val="en-GB"/>
        </w:rPr>
        <w:t xml:space="preserve">; X. Zhu. </w:t>
      </w:r>
      <w:r w:rsidRPr="00F211A5">
        <w:rPr>
          <w:i/>
          <w:lang w:val="en-GB"/>
        </w:rPr>
        <w:t>Chemical Engineering Science</w:t>
      </w:r>
      <w:r w:rsidRPr="00F211A5">
        <w:rPr>
          <w:lang w:val="en-GB"/>
        </w:rPr>
        <w:t>. 135, 145 (2015).</w:t>
      </w:r>
    </w:p>
    <w:p w14:paraId="46A4CEC2" w14:textId="466AF6A1" w:rsidR="00000F3C" w:rsidRPr="00F44AEE" w:rsidRDefault="00000F3C" w:rsidP="00000F3C">
      <w:pPr>
        <w:pStyle w:val="TAMainText"/>
        <w:numPr>
          <w:ilvl w:val="0"/>
          <w:numId w:val="1"/>
        </w:numPr>
        <w:rPr>
          <w:lang w:val="pt-BR"/>
        </w:rPr>
      </w:pPr>
      <w:r w:rsidRPr="00F21F13">
        <w:rPr>
          <w:lang w:val="pt-BR"/>
        </w:rPr>
        <w:t xml:space="preserve">C. A. Teles; P. M. De Souza; R. C. Rabelo-Neto; A. </w:t>
      </w:r>
      <w:proofErr w:type="spellStart"/>
      <w:r w:rsidRPr="00F21F13">
        <w:rPr>
          <w:lang w:val="pt-BR"/>
        </w:rPr>
        <w:t>Teran</w:t>
      </w:r>
      <w:proofErr w:type="spellEnd"/>
      <w:r w:rsidRPr="00F21F13">
        <w:rPr>
          <w:lang w:val="pt-BR"/>
        </w:rPr>
        <w:t xml:space="preserve">; G. </w:t>
      </w:r>
      <w:proofErr w:type="spellStart"/>
      <w:r w:rsidRPr="00F21F13">
        <w:rPr>
          <w:lang w:val="pt-BR"/>
        </w:rPr>
        <w:t>Jacobs</w:t>
      </w:r>
      <w:proofErr w:type="spellEnd"/>
      <w:r w:rsidRPr="00F21F13">
        <w:rPr>
          <w:lang w:val="pt-BR"/>
        </w:rPr>
        <w:t xml:space="preserve">; D. E. </w:t>
      </w:r>
      <w:proofErr w:type="spellStart"/>
      <w:r w:rsidRPr="00F21F13">
        <w:rPr>
          <w:lang w:val="pt-BR"/>
        </w:rPr>
        <w:t>Resasco</w:t>
      </w:r>
      <w:proofErr w:type="spellEnd"/>
      <w:r w:rsidRPr="00F21F13">
        <w:rPr>
          <w:lang w:val="pt-BR"/>
        </w:rPr>
        <w:t xml:space="preserve">; F. B. Noronha. </w:t>
      </w:r>
      <w:r w:rsidRPr="00F44AEE">
        <w:rPr>
          <w:i/>
          <w:lang w:val="pt-BR"/>
        </w:rPr>
        <w:t xml:space="preserve">ACS </w:t>
      </w:r>
      <w:proofErr w:type="spellStart"/>
      <w:r w:rsidRPr="00F44AEE">
        <w:rPr>
          <w:i/>
          <w:lang w:val="pt-BR"/>
        </w:rPr>
        <w:t>Sustainable</w:t>
      </w:r>
      <w:proofErr w:type="spellEnd"/>
      <w:r w:rsidRPr="00F44AEE">
        <w:rPr>
          <w:i/>
          <w:lang w:val="pt-BR"/>
        </w:rPr>
        <w:t xml:space="preserve"> </w:t>
      </w:r>
      <w:proofErr w:type="spellStart"/>
      <w:r w:rsidRPr="00F44AEE">
        <w:rPr>
          <w:i/>
          <w:lang w:val="pt-BR"/>
        </w:rPr>
        <w:t>Chemistry</w:t>
      </w:r>
      <w:proofErr w:type="spellEnd"/>
      <w:r w:rsidRPr="00F44AEE">
        <w:rPr>
          <w:i/>
          <w:lang w:val="pt-BR"/>
        </w:rPr>
        <w:t xml:space="preserve"> &amp; </w:t>
      </w:r>
      <w:proofErr w:type="spellStart"/>
      <w:r w:rsidRPr="00F44AEE">
        <w:rPr>
          <w:i/>
          <w:lang w:val="pt-BR"/>
        </w:rPr>
        <w:t>Engineering</w:t>
      </w:r>
      <w:proofErr w:type="spellEnd"/>
      <w:r w:rsidRPr="00F44AEE">
        <w:rPr>
          <w:lang w:val="pt-BR"/>
        </w:rPr>
        <w:t>. 9, 12870 (2021).</w:t>
      </w:r>
    </w:p>
    <w:p w14:paraId="3B9CB4AE" w14:textId="08C71539" w:rsidR="00000F3C" w:rsidRPr="00F44AEE" w:rsidRDefault="00000F3C" w:rsidP="00000F3C">
      <w:pPr>
        <w:pStyle w:val="TAMainText"/>
        <w:numPr>
          <w:ilvl w:val="0"/>
          <w:numId w:val="1"/>
        </w:numPr>
        <w:rPr>
          <w:sz w:val="16"/>
          <w:lang w:val="pt-BR"/>
        </w:rPr>
      </w:pPr>
      <w:r w:rsidRPr="00F44AEE">
        <w:rPr>
          <w:lang w:val="pt-BR"/>
        </w:rPr>
        <w:t xml:space="preserve">C. A. Teles; R. C. Rabelo-Neto; J. R. De Lima; L. V. Mattos; D. E. </w:t>
      </w:r>
      <w:proofErr w:type="spellStart"/>
      <w:r w:rsidRPr="00F44AEE">
        <w:rPr>
          <w:lang w:val="pt-BR"/>
        </w:rPr>
        <w:t>Resasco</w:t>
      </w:r>
      <w:proofErr w:type="spellEnd"/>
      <w:r w:rsidRPr="00F44AEE">
        <w:rPr>
          <w:lang w:val="pt-BR"/>
        </w:rPr>
        <w:t xml:space="preserve">; F. B. Noronha. </w:t>
      </w:r>
      <w:proofErr w:type="spellStart"/>
      <w:r w:rsidRPr="00F44AEE">
        <w:rPr>
          <w:i/>
          <w:lang w:val="pt-BR"/>
        </w:rPr>
        <w:t>Catalysis</w:t>
      </w:r>
      <w:proofErr w:type="spellEnd"/>
      <w:r w:rsidRPr="00F44AEE">
        <w:rPr>
          <w:i/>
          <w:lang w:val="pt-BR"/>
        </w:rPr>
        <w:t xml:space="preserve"> </w:t>
      </w:r>
      <w:proofErr w:type="spellStart"/>
      <w:r w:rsidRPr="00F44AEE">
        <w:rPr>
          <w:i/>
          <w:lang w:val="pt-BR"/>
        </w:rPr>
        <w:t>Letters</w:t>
      </w:r>
      <w:proofErr w:type="spellEnd"/>
      <w:r w:rsidRPr="00F44AEE">
        <w:rPr>
          <w:i/>
          <w:lang w:val="pt-BR"/>
        </w:rPr>
        <w:t>.</w:t>
      </w:r>
      <w:r w:rsidRPr="00F44AEE">
        <w:rPr>
          <w:lang w:val="pt-BR"/>
        </w:rPr>
        <w:t xml:space="preserve"> 146, 1848 (2016).</w:t>
      </w:r>
    </w:p>
    <w:p w14:paraId="1A8D8A47" w14:textId="1543047A" w:rsidR="00F0571B" w:rsidRPr="003F5D3E" w:rsidRDefault="00CD4149" w:rsidP="00000F3C">
      <w:pPr>
        <w:pStyle w:val="TAMainText"/>
        <w:numPr>
          <w:ilvl w:val="0"/>
          <w:numId w:val="1"/>
        </w:numPr>
        <w:rPr>
          <w:sz w:val="16"/>
          <w:lang w:val="en-GB"/>
        </w:rPr>
      </w:pPr>
      <w:r w:rsidRPr="00F21F13">
        <w:rPr>
          <w:rFonts w:ascii="Times New Roman" w:hAnsi="Times New Roman"/>
          <w:lang w:val="en-GB"/>
        </w:rPr>
        <w:t>F</w:t>
      </w:r>
      <w:r w:rsidR="00A80324" w:rsidRPr="00F21F13">
        <w:rPr>
          <w:rFonts w:ascii="Times New Roman" w:hAnsi="Times New Roman"/>
          <w:lang w:val="en-GB"/>
        </w:rPr>
        <w:t xml:space="preserve">. Yang; </w:t>
      </w:r>
      <w:r w:rsidRPr="00F21F13">
        <w:rPr>
          <w:rFonts w:ascii="Times New Roman" w:hAnsi="Times New Roman"/>
          <w:lang w:val="en-GB"/>
        </w:rPr>
        <w:t>D. Liu</w:t>
      </w:r>
      <w:r w:rsidR="00A80324" w:rsidRPr="00F21F13">
        <w:rPr>
          <w:rFonts w:ascii="Times New Roman" w:hAnsi="Times New Roman"/>
          <w:lang w:val="en-GB"/>
        </w:rPr>
        <w:t xml:space="preserve">; </w:t>
      </w:r>
      <w:r w:rsidRPr="00F21F13">
        <w:rPr>
          <w:rFonts w:ascii="Times New Roman" w:hAnsi="Times New Roman"/>
          <w:lang w:val="en-GB"/>
        </w:rPr>
        <w:t>Y. Zhao</w:t>
      </w:r>
      <w:r w:rsidR="00A80324" w:rsidRPr="00F21F13">
        <w:rPr>
          <w:rFonts w:ascii="Times New Roman" w:hAnsi="Times New Roman"/>
          <w:lang w:val="en-GB"/>
        </w:rPr>
        <w:t xml:space="preserve">; </w:t>
      </w:r>
      <w:proofErr w:type="spellStart"/>
      <w:r w:rsidRPr="00F21F13">
        <w:rPr>
          <w:rFonts w:ascii="Times New Roman" w:hAnsi="Times New Roman"/>
          <w:lang w:val="en-GB"/>
        </w:rPr>
        <w:t>H.Wang</w:t>
      </w:r>
      <w:proofErr w:type="spellEnd"/>
      <w:r w:rsidRPr="00F21F13">
        <w:rPr>
          <w:rFonts w:ascii="Times New Roman" w:hAnsi="Times New Roman"/>
          <w:lang w:val="en-GB"/>
        </w:rPr>
        <w:t>;</w:t>
      </w:r>
      <w:r w:rsidR="00A80324" w:rsidRPr="00F21F13">
        <w:rPr>
          <w:rFonts w:ascii="Times New Roman" w:hAnsi="Times New Roman"/>
          <w:lang w:val="en-GB"/>
        </w:rPr>
        <w:t xml:space="preserve"> </w:t>
      </w:r>
      <w:r w:rsidRPr="00F21F13">
        <w:rPr>
          <w:rFonts w:ascii="Times New Roman" w:hAnsi="Times New Roman"/>
          <w:lang w:val="en-GB"/>
        </w:rPr>
        <w:t>J. Han</w:t>
      </w:r>
      <w:r w:rsidR="00A80324" w:rsidRPr="00F21F13">
        <w:rPr>
          <w:rFonts w:ascii="Times New Roman" w:hAnsi="Times New Roman"/>
          <w:lang w:val="en-GB"/>
        </w:rPr>
        <w:t xml:space="preserve">; </w:t>
      </w:r>
      <w:r w:rsidRPr="00F21F13">
        <w:rPr>
          <w:rFonts w:ascii="Times New Roman" w:hAnsi="Times New Roman"/>
          <w:lang w:val="en-GB"/>
        </w:rPr>
        <w:t xml:space="preserve">Q. </w:t>
      </w:r>
      <w:proofErr w:type="spellStart"/>
      <w:r w:rsidRPr="00F21F13">
        <w:rPr>
          <w:rFonts w:ascii="Times New Roman" w:hAnsi="Times New Roman"/>
          <w:lang w:val="en-GB"/>
        </w:rPr>
        <w:t>Ge</w:t>
      </w:r>
      <w:proofErr w:type="spellEnd"/>
      <w:r w:rsidR="00A80324" w:rsidRPr="00F21F13">
        <w:rPr>
          <w:rFonts w:ascii="Times New Roman" w:hAnsi="Times New Roman"/>
          <w:lang w:val="en-GB"/>
        </w:rPr>
        <w:t xml:space="preserve">; </w:t>
      </w:r>
      <w:r w:rsidRPr="00F21F13">
        <w:rPr>
          <w:rFonts w:ascii="Times New Roman" w:hAnsi="Times New Roman"/>
          <w:lang w:val="en-GB"/>
        </w:rPr>
        <w:t>X. Zhu</w:t>
      </w:r>
      <w:r w:rsidR="00A80324" w:rsidRPr="00F21F13">
        <w:rPr>
          <w:rFonts w:ascii="Times New Roman" w:hAnsi="Times New Roman"/>
          <w:lang w:val="en-GB"/>
        </w:rPr>
        <w:t xml:space="preserve">. </w:t>
      </w:r>
      <w:r w:rsidRPr="003F5D3E">
        <w:rPr>
          <w:rFonts w:ascii="Times New Roman" w:hAnsi="Times New Roman"/>
          <w:i/>
          <w:lang w:val="en-GB"/>
        </w:rPr>
        <w:t>ACS Catalysis</w:t>
      </w:r>
      <w:r w:rsidR="00A80324" w:rsidRPr="003F5D3E">
        <w:rPr>
          <w:rFonts w:ascii="Times New Roman" w:hAnsi="Times New Roman"/>
          <w:i/>
          <w:lang w:val="en-GB"/>
        </w:rPr>
        <w:t>.</w:t>
      </w:r>
      <w:r w:rsidRPr="003F5D3E">
        <w:rPr>
          <w:rFonts w:ascii="Times New Roman" w:hAnsi="Times New Roman"/>
          <w:lang w:val="en-GB"/>
        </w:rPr>
        <w:t xml:space="preserve"> 8</w:t>
      </w:r>
      <w:r w:rsidR="00A80324" w:rsidRPr="003F5D3E">
        <w:rPr>
          <w:rFonts w:ascii="Times New Roman" w:hAnsi="Times New Roman"/>
          <w:lang w:val="en-GB"/>
        </w:rPr>
        <w:t xml:space="preserve">, </w:t>
      </w:r>
      <w:r w:rsidRPr="003F5D3E">
        <w:rPr>
          <w:rFonts w:ascii="Times New Roman" w:hAnsi="Times New Roman"/>
          <w:lang w:val="en-GB"/>
        </w:rPr>
        <w:t>1672</w:t>
      </w:r>
      <w:r w:rsidR="00A80324" w:rsidRPr="003F5D3E">
        <w:rPr>
          <w:rFonts w:ascii="Times New Roman" w:hAnsi="Times New Roman"/>
          <w:lang w:val="en-GB"/>
        </w:rPr>
        <w:t xml:space="preserve"> (201</w:t>
      </w:r>
      <w:r w:rsidRPr="003F5D3E">
        <w:rPr>
          <w:rFonts w:ascii="Times New Roman" w:hAnsi="Times New Roman"/>
          <w:lang w:val="en-GB"/>
        </w:rPr>
        <w:t>8</w:t>
      </w:r>
      <w:r w:rsidR="00A80324" w:rsidRPr="003F5D3E">
        <w:rPr>
          <w:rFonts w:ascii="Times New Roman" w:hAnsi="Times New Roman"/>
          <w:lang w:val="en-GB"/>
        </w:rPr>
        <w:t>).</w:t>
      </w:r>
    </w:p>
    <w:p w14:paraId="5635D8A9" w14:textId="5727B896" w:rsidR="003F5D3E" w:rsidRDefault="003F5D3E" w:rsidP="003F5D3E">
      <w:pPr>
        <w:pStyle w:val="TAMainText"/>
        <w:numPr>
          <w:ilvl w:val="0"/>
          <w:numId w:val="1"/>
        </w:numPr>
        <w:rPr>
          <w:lang w:val="pt-BR"/>
        </w:rPr>
      </w:pPr>
      <w:r w:rsidRPr="00C92D1A">
        <w:rPr>
          <w:lang w:val="en-GB"/>
        </w:rPr>
        <w:t xml:space="preserve">S. H. Gage; J. </w:t>
      </w:r>
      <w:proofErr w:type="spellStart"/>
      <w:r w:rsidRPr="00C92D1A">
        <w:rPr>
          <w:lang w:val="en-GB"/>
        </w:rPr>
        <w:t>Engelhardt</w:t>
      </w:r>
      <w:proofErr w:type="spellEnd"/>
      <w:r w:rsidRPr="00C92D1A">
        <w:rPr>
          <w:lang w:val="en-GB"/>
        </w:rPr>
        <w:t xml:space="preserve">; M. J. </w:t>
      </w:r>
      <w:proofErr w:type="spellStart"/>
      <w:r w:rsidRPr="00C92D1A">
        <w:rPr>
          <w:lang w:val="en-GB"/>
        </w:rPr>
        <w:t>Menart</w:t>
      </w:r>
      <w:proofErr w:type="spellEnd"/>
      <w:r w:rsidRPr="00C92D1A">
        <w:rPr>
          <w:lang w:val="en-GB"/>
        </w:rPr>
        <w:t xml:space="preserve">; C. Ngo; G. J. Leong; Y. </w:t>
      </w:r>
      <w:proofErr w:type="spellStart"/>
      <w:r w:rsidRPr="00C92D1A">
        <w:rPr>
          <w:lang w:val="en-GB"/>
        </w:rPr>
        <w:t>Ji</w:t>
      </w:r>
      <w:proofErr w:type="spellEnd"/>
      <w:r w:rsidRPr="00C92D1A">
        <w:rPr>
          <w:lang w:val="en-GB"/>
        </w:rPr>
        <w:t xml:space="preserve">; B. G. </w:t>
      </w:r>
      <w:proofErr w:type="spellStart"/>
      <w:r w:rsidRPr="00C92D1A">
        <w:rPr>
          <w:lang w:val="en-GB"/>
        </w:rPr>
        <w:t>Trewyn</w:t>
      </w:r>
      <w:proofErr w:type="spellEnd"/>
      <w:r w:rsidRPr="00C92D1A">
        <w:rPr>
          <w:lang w:val="en-GB"/>
        </w:rPr>
        <w:t xml:space="preserve">; S. </w:t>
      </w:r>
      <w:proofErr w:type="spellStart"/>
      <w:r w:rsidRPr="00C92D1A">
        <w:rPr>
          <w:lang w:val="en-GB"/>
        </w:rPr>
        <w:t>Pylypenko</w:t>
      </w:r>
      <w:proofErr w:type="spellEnd"/>
      <w:r w:rsidRPr="00C92D1A">
        <w:rPr>
          <w:lang w:val="en-GB"/>
        </w:rPr>
        <w:t xml:space="preserve">; R. M. Richards. </w:t>
      </w:r>
      <w:r w:rsidRPr="00F7584A">
        <w:rPr>
          <w:i/>
          <w:lang w:val="pt-BR"/>
        </w:rPr>
        <w:t xml:space="preserve">ACS </w:t>
      </w:r>
      <w:proofErr w:type="spellStart"/>
      <w:r w:rsidRPr="00F7584A">
        <w:rPr>
          <w:i/>
          <w:lang w:val="pt-BR"/>
        </w:rPr>
        <w:t>Omega</w:t>
      </w:r>
      <w:proofErr w:type="spellEnd"/>
      <w:r w:rsidRPr="00F7584A">
        <w:rPr>
          <w:i/>
          <w:lang w:val="pt-BR"/>
        </w:rPr>
        <w:t>.</w:t>
      </w:r>
      <w:r w:rsidRPr="00F7584A">
        <w:rPr>
          <w:lang w:val="pt-BR"/>
        </w:rPr>
        <w:t xml:space="preserve"> 3, </w:t>
      </w:r>
      <w:r w:rsidRPr="000F275D">
        <w:rPr>
          <w:lang w:val="pt-BR"/>
        </w:rPr>
        <w:t>7681 (2018).</w:t>
      </w:r>
    </w:p>
    <w:p w14:paraId="4A91672E" w14:textId="48A279A4" w:rsidR="003F5D3E" w:rsidRPr="003F5D3E" w:rsidRDefault="003F5D3E" w:rsidP="003F5D3E">
      <w:pPr>
        <w:pStyle w:val="TAMainText"/>
        <w:numPr>
          <w:ilvl w:val="0"/>
          <w:numId w:val="1"/>
        </w:numPr>
        <w:rPr>
          <w:sz w:val="16"/>
          <w:lang w:val="en-GB"/>
        </w:rPr>
      </w:pPr>
      <w:r w:rsidRPr="003F5D3E">
        <w:rPr>
          <w:lang w:val="pt-BR"/>
        </w:rPr>
        <w:t xml:space="preserve">A. </w:t>
      </w:r>
      <w:proofErr w:type="spellStart"/>
      <w:r w:rsidRPr="003F5D3E">
        <w:rPr>
          <w:lang w:val="pt-BR"/>
        </w:rPr>
        <w:t>Ungureanu</w:t>
      </w:r>
      <w:proofErr w:type="spellEnd"/>
      <w:r w:rsidRPr="003F5D3E">
        <w:rPr>
          <w:lang w:val="pt-BR"/>
        </w:rPr>
        <w:t xml:space="preserve">; B. </w:t>
      </w:r>
      <w:proofErr w:type="spellStart"/>
      <w:r w:rsidRPr="003F5D3E">
        <w:rPr>
          <w:lang w:val="pt-BR"/>
        </w:rPr>
        <w:t>Dragoi</w:t>
      </w:r>
      <w:proofErr w:type="spellEnd"/>
      <w:r w:rsidRPr="003F5D3E">
        <w:rPr>
          <w:lang w:val="pt-BR"/>
        </w:rPr>
        <w:t xml:space="preserve">; V. </w:t>
      </w:r>
      <w:proofErr w:type="spellStart"/>
      <w:r w:rsidRPr="003F5D3E">
        <w:rPr>
          <w:lang w:val="pt-BR"/>
        </w:rPr>
        <w:t>Hulea</w:t>
      </w:r>
      <w:proofErr w:type="spellEnd"/>
      <w:r w:rsidRPr="003F5D3E">
        <w:rPr>
          <w:lang w:val="pt-BR"/>
        </w:rPr>
        <w:t xml:space="preserve">; T. </w:t>
      </w:r>
      <w:proofErr w:type="spellStart"/>
      <w:r w:rsidRPr="003F5D3E">
        <w:rPr>
          <w:lang w:val="pt-BR"/>
        </w:rPr>
        <w:t>Cacciaguerra</w:t>
      </w:r>
      <w:proofErr w:type="spellEnd"/>
      <w:r w:rsidRPr="003F5D3E">
        <w:rPr>
          <w:lang w:val="pt-BR"/>
        </w:rPr>
        <w:t xml:space="preserve">; D. </w:t>
      </w:r>
      <w:proofErr w:type="spellStart"/>
      <w:r w:rsidRPr="003F5D3E">
        <w:rPr>
          <w:lang w:val="pt-BR"/>
        </w:rPr>
        <w:t>Meloni</w:t>
      </w:r>
      <w:proofErr w:type="spellEnd"/>
      <w:r w:rsidRPr="003F5D3E">
        <w:rPr>
          <w:lang w:val="pt-BR"/>
        </w:rPr>
        <w:t xml:space="preserve">; V. Solinas; E. </w:t>
      </w:r>
      <w:proofErr w:type="spellStart"/>
      <w:r w:rsidRPr="003F5D3E">
        <w:rPr>
          <w:lang w:val="pt-BR"/>
        </w:rPr>
        <w:t>Dumitriu</w:t>
      </w:r>
      <w:proofErr w:type="spellEnd"/>
      <w:r w:rsidRPr="003F5D3E">
        <w:rPr>
          <w:lang w:val="pt-BR"/>
        </w:rPr>
        <w:t xml:space="preserve">. </w:t>
      </w:r>
      <w:proofErr w:type="spellStart"/>
      <w:r w:rsidRPr="003F5D3E">
        <w:rPr>
          <w:i/>
          <w:lang w:val="pt-BR"/>
        </w:rPr>
        <w:t>Microporous</w:t>
      </w:r>
      <w:proofErr w:type="spellEnd"/>
      <w:r w:rsidRPr="003F5D3E">
        <w:rPr>
          <w:i/>
          <w:lang w:val="pt-BR"/>
        </w:rPr>
        <w:t xml:space="preserve"> </w:t>
      </w:r>
      <w:proofErr w:type="spellStart"/>
      <w:r w:rsidRPr="003F5D3E">
        <w:rPr>
          <w:i/>
          <w:lang w:val="pt-BR"/>
        </w:rPr>
        <w:t>and</w:t>
      </w:r>
      <w:proofErr w:type="spellEnd"/>
      <w:r w:rsidRPr="003F5D3E">
        <w:rPr>
          <w:i/>
          <w:lang w:val="pt-BR"/>
        </w:rPr>
        <w:t xml:space="preserve"> </w:t>
      </w:r>
      <w:proofErr w:type="spellStart"/>
      <w:r w:rsidRPr="003F5D3E">
        <w:rPr>
          <w:i/>
          <w:lang w:val="pt-BR"/>
        </w:rPr>
        <w:t>Mesoporous</w:t>
      </w:r>
      <w:proofErr w:type="spellEnd"/>
      <w:r w:rsidRPr="003F5D3E">
        <w:rPr>
          <w:i/>
          <w:lang w:val="pt-BR"/>
        </w:rPr>
        <w:t xml:space="preserve"> </w:t>
      </w:r>
      <w:proofErr w:type="spellStart"/>
      <w:r w:rsidRPr="003F5D3E">
        <w:rPr>
          <w:i/>
          <w:lang w:val="pt-BR"/>
        </w:rPr>
        <w:t>Materials</w:t>
      </w:r>
      <w:proofErr w:type="spellEnd"/>
      <w:r w:rsidRPr="003F5D3E">
        <w:rPr>
          <w:i/>
          <w:lang w:val="pt-BR"/>
        </w:rPr>
        <w:t>.</w:t>
      </w:r>
      <w:r w:rsidRPr="00E0023E">
        <w:rPr>
          <w:lang w:val="pt-BR"/>
        </w:rPr>
        <w:t xml:space="preserve"> 163, 51</w:t>
      </w:r>
      <w:r w:rsidRPr="003F5D3E">
        <w:rPr>
          <w:lang w:val="pt-BR"/>
        </w:rPr>
        <w:t xml:space="preserve"> (2012).</w:t>
      </w:r>
    </w:p>
    <w:p w14:paraId="198445B1" w14:textId="77777777" w:rsidR="004D008A" w:rsidRPr="003F5D3E" w:rsidRDefault="004D008A" w:rsidP="004D008A">
      <w:pPr>
        <w:pStyle w:val="TAMainText"/>
        <w:numPr>
          <w:ilvl w:val="0"/>
          <w:numId w:val="1"/>
        </w:numPr>
        <w:rPr>
          <w:lang w:val="en-GB"/>
        </w:rPr>
      </w:pPr>
      <w:r w:rsidRPr="00E108CC">
        <w:rPr>
          <w:lang w:val="fr-FR"/>
        </w:rPr>
        <w:t xml:space="preserve">C. Ciotonea; B. Dragoi; A. Ungureanu; C. Catrinescu; S. Petit; H. Alamdari; E. Marceau; E. Dumitriu; S. Royer; </w:t>
      </w:r>
      <w:r w:rsidRPr="00E108CC">
        <w:rPr>
          <w:i/>
          <w:lang w:val="fr-FR"/>
        </w:rPr>
        <w:t xml:space="preserve">Catal. </w:t>
      </w:r>
      <w:r w:rsidRPr="003F5D3E">
        <w:rPr>
          <w:i/>
          <w:lang w:val="en-GB"/>
        </w:rPr>
        <w:t>Sci. Technol.</w:t>
      </w:r>
      <w:r w:rsidRPr="003F5D3E">
        <w:rPr>
          <w:lang w:val="en-GB"/>
        </w:rPr>
        <w:t xml:space="preserve"> 7, 5448 (2017).</w:t>
      </w:r>
    </w:p>
    <w:p w14:paraId="4715315A" w14:textId="1D719BAA" w:rsidR="001E4F85" w:rsidRDefault="001E4F85" w:rsidP="000153F7">
      <w:pPr>
        <w:pStyle w:val="TAMainText"/>
        <w:rPr>
          <w:lang w:val="pt-BR"/>
        </w:rPr>
      </w:pPr>
    </w:p>
    <w:p w14:paraId="131318BF" w14:textId="77777777" w:rsidR="001E4F85" w:rsidRDefault="001E4F85" w:rsidP="000153F7">
      <w:pPr>
        <w:pStyle w:val="TAMainText"/>
        <w:rPr>
          <w:lang w:val="pt-BR"/>
        </w:rPr>
      </w:pPr>
    </w:p>
    <w:p w14:paraId="5EA92310" w14:textId="77777777" w:rsidR="001E4F85" w:rsidRPr="00C07A7C" w:rsidRDefault="001E4F85" w:rsidP="000153F7">
      <w:pPr>
        <w:pStyle w:val="TAMainText"/>
        <w:rPr>
          <w:rFonts w:ascii="Times New Roman" w:hAnsi="Times New Roman"/>
          <w:b/>
          <w:lang w:val="pt-BR"/>
        </w:rPr>
      </w:pPr>
    </w:p>
    <w:sectPr w:rsidR="001E4F85" w:rsidRPr="00C07A7C" w:rsidSect="007511E0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5AD52" w14:textId="77777777" w:rsidR="00B70E1D" w:rsidRDefault="00B70E1D" w:rsidP="00EA4E1B">
      <w:pPr>
        <w:spacing w:after="0" w:line="240" w:lineRule="auto"/>
      </w:pPr>
      <w:r>
        <w:separator/>
      </w:r>
    </w:p>
  </w:endnote>
  <w:endnote w:type="continuationSeparator" w:id="0">
    <w:p w14:paraId="017607F0" w14:textId="77777777" w:rsidR="00B70E1D" w:rsidRDefault="00B70E1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E58B1" w14:textId="77777777" w:rsidR="00B70E1D" w:rsidRDefault="00B70E1D" w:rsidP="00EA4E1B">
      <w:pPr>
        <w:spacing w:after="0" w:line="240" w:lineRule="auto"/>
      </w:pPr>
      <w:r>
        <w:separator/>
      </w:r>
    </w:p>
  </w:footnote>
  <w:footnote w:type="continuationSeparator" w:id="0">
    <w:p w14:paraId="000A063C" w14:textId="77777777" w:rsidR="00B70E1D" w:rsidRDefault="00B70E1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F1197"/>
    <w:multiLevelType w:val="singleLevel"/>
    <w:tmpl w:val="E54AF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59EE5B3D"/>
    <w:multiLevelType w:val="singleLevel"/>
    <w:tmpl w:val="BCD2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096E"/>
    <w:rsid w:val="00000F3C"/>
    <w:rsid w:val="0001264A"/>
    <w:rsid w:val="000153F7"/>
    <w:rsid w:val="00025213"/>
    <w:rsid w:val="00061A72"/>
    <w:rsid w:val="000662EE"/>
    <w:rsid w:val="00066C73"/>
    <w:rsid w:val="00073FE3"/>
    <w:rsid w:val="00080184"/>
    <w:rsid w:val="000F1D24"/>
    <w:rsid w:val="000F275D"/>
    <w:rsid w:val="000F6EBE"/>
    <w:rsid w:val="001218FF"/>
    <w:rsid w:val="00131C4B"/>
    <w:rsid w:val="001619EC"/>
    <w:rsid w:val="001A6083"/>
    <w:rsid w:val="001B185C"/>
    <w:rsid w:val="001B25CE"/>
    <w:rsid w:val="001D6631"/>
    <w:rsid w:val="001E25AE"/>
    <w:rsid w:val="001E2C36"/>
    <w:rsid w:val="001E4F85"/>
    <w:rsid w:val="001E58A9"/>
    <w:rsid w:val="001F25B2"/>
    <w:rsid w:val="00222230"/>
    <w:rsid w:val="002D59BC"/>
    <w:rsid w:val="002F70C6"/>
    <w:rsid w:val="0030060B"/>
    <w:rsid w:val="00307AA4"/>
    <w:rsid w:val="00321EB1"/>
    <w:rsid w:val="00340B1E"/>
    <w:rsid w:val="003423CF"/>
    <w:rsid w:val="00343276"/>
    <w:rsid w:val="003C2D9E"/>
    <w:rsid w:val="003E0243"/>
    <w:rsid w:val="003E4815"/>
    <w:rsid w:val="003F39F7"/>
    <w:rsid w:val="003F5A7D"/>
    <w:rsid w:val="003F5D3E"/>
    <w:rsid w:val="00402F3E"/>
    <w:rsid w:val="00476A68"/>
    <w:rsid w:val="004843CD"/>
    <w:rsid w:val="004B0F55"/>
    <w:rsid w:val="004D008A"/>
    <w:rsid w:val="004D7BC8"/>
    <w:rsid w:val="004D7FE6"/>
    <w:rsid w:val="004F3F42"/>
    <w:rsid w:val="00503B59"/>
    <w:rsid w:val="005143EE"/>
    <w:rsid w:val="0051778F"/>
    <w:rsid w:val="0052112E"/>
    <w:rsid w:val="00530FDD"/>
    <w:rsid w:val="0053756C"/>
    <w:rsid w:val="00540539"/>
    <w:rsid w:val="00562C93"/>
    <w:rsid w:val="00565DF3"/>
    <w:rsid w:val="005B1B57"/>
    <w:rsid w:val="005B722B"/>
    <w:rsid w:val="005C2775"/>
    <w:rsid w:val="005C4CFC"/>
    <w:rsid w:val="005C6425"/>
    <w:rsid w:val="005D53F1"/>
    <w:rsid w:val="005D65EB"/>
    <w:rsid w:val="005E347D"/>
    <w:rsid w:val="00604718"/>
    <w:rsid w:val="00631388"/>
    <w:rsid w:val="006352A3"/>
    <w:rsid w:val="00646AB7"/>
    <w:rsid w:val="00652815"/>
    <w:rsid w:val="006628BD"/>
    <w:rsid w:val="006B02B5"/>
    <w:rsid w:val="006B296A"/>
    <w:rsid w:val="006B6198"/>
    <w:rsid w:val="006E0BC9"/>
    <w:rsid w:val="006F0A1F"/>
    <w:rsid w:val="006F599B"/>
    <w:rsid w:val="007053CB"/>
    <w:rsid w:val="00723DAD"/>
    <w:rsid w:val="00727A74"/>
    <w:rsid w:val="00743950"/>
    <w:rsid w:val="007511E0"/>
    <w:rsid w:val="007670A0"/>
    <w:rsid w:val="007751D2"/>
    <w:rsid w:val="00777CAC"/>
    <w:rsid w:val="00781685"/>
    <w:rsid w:val="007A088E"/>
    <w:rsid w:val="007B4B2B"/>
    <w:rsid w:val="007E11B9"/>
    <w:rsid w:val="007E594F"/>
    <w:rsid w:val="00806B74"/>
    <w:rsid w:val="00825526"/>
    <w:rsid w:val="00857306"/>
    <w:rsid w:val="00866822"/>
    <w:rsid w:val="008703FD"/>
    <w:rsid w:val="00884594"/>
    <w:rsid w:val="0089087C"/>
    <w:rsid w:val="008925C2"/>
    <w:rsid w:val="008B1683"/>
    <w:rsid w:val="008B64F2"/>
    <w:rsid w:val="008C1B30"/>
    <w:rsid w:val="008F5685"/>
    <w:rsid w:val="00900562"/>
    <w:rsid w:val="00900B6F"/>
    <w:rsid w:val="00901188"/>
    <w:rsid w:val="00934E57"/>
    <w:rsid w:val="00942123"/>
    <w:rsid w:val="009656D9"/>
    <w:rsid w:val="00967A18"/>
    <w:rsid w:val="00975F0F"/>
    <w:rsid w:val="00991CA7"/>
    <w:rsid w:val="009A1734"/>
    <w:rsid w:val="009B2B88"/>
    <w:rsid w:val="009C38A2"/>
    <w:rsid w:val="009C5509"/>
    <w:rsid w:val="009C7CB0"/>
    <w:rsid w:val="009D39A4"/>
    <w:rsid w:val="009F6201"/>
    <w:rsid w:val="00A01ACB"/>
    <w:rsid w:val="00A03408"/>
    <w:rsid w:val="00A045C6"/>
    <w:rsid w:val="00A17D85"/>
    <w:rsid w:val="00A20CB5"/>
    <w:rsid w:val="00A6196B"/>
    <w:rsid w:val="00A80324"/>
    <w:rsid w:val="00A87CE8"/>
    <w:rsid w:val="00A934ED"/>
    <w:rsid w:val="00A95DD3"/>
    <w:rsid w:val="00A9719A"/>
    <w:rsid w:val="00AA0C0B"/>
    <w:rsid w:val="00AA182E"/>
    <w:rsid w:val="00AF0400"/>
    <w:rsid w:val="00AF143B"/>
    <w:rsid w:val="00B04D37"/>
    <w:rsid w:val="00B06F4E"/>
    <w:rsid w:val="00B30AEB"/>
    <w:rsid w:val="00B344B6"/>
    <w:rsid w:val="00B70E1D"/>
    <w:rsid w:val="00B84BBB"/>
    <w:rsid w:val="00B96F27"/>
    <w:rsid w:val="00BA1402"/>
    <w:rsid w:val="00BA6A6E"/>
    <w:rsid w:val="00BB0393"/>
    <w:rsid w:val="00BB6A11"/>
    <w:rsid w:val="00BC7B39"/>
    <w:rsid w:val="00C06D7B"/>
    <w:rsid w:val="00C07A7C"/>
    <w:rsid w:val="00C40352"/>
    <w:rsid w:val="00C4191C"/>
    <w:rsid w:val="00C41B73"/>
    <w:rsid w:val="00C60B1D"/>
    <w:rsid w:val="00C707BB"/>
    <w:rsid w:val="00C76E54"/>
    <w:rsid w:val="00C92D1A"/>
    <w:rsid w:val="00CA7466"/>
    <w:rsid w:val="00CD4149"/>
    <w:rsid w:val="00CD5C5D"/>
    <w:rsid w:val="00CD7BF1"/>
    <w:rsid w:val="00D207DC"/>
    <w:rsid w:val="00D3070D"/>
    <w:rsid w:val="00D37BCF"/>
    <w:rsid w:val="00D46CE7"/>
    <w:rsid w:val="00D60B55"/>
    <w:rsid w:val="00D74C30"/>
    <w:rsid w:val="00D95F93"/>
    <w:rsid w:val="00D96135"/>
    <w:rsid w:val="00DA3F08"/>
    <w:rsid w:val="00DB6766"/>
    <w:rsid w:val="00DC7792"/>
    <w:rsid w:val="00DD4973"/>
    <w:rsid w:val="00DE3A43"/>
    <w:rsid w:val="00E0023E"/>
    <w:rsid w:val="00E02A21"/>
    <w:rsid w:val="00E038AF"/>
    <w:rsid w:val="00E108CC"/>
    <w:rsid w:val="00E212F2"/>
    <w:rsid w:val="00E27875"/>
    <w:rsid w:val="00E42E06"/>
    <w:rsid w:val="00E60A70"/>
    <w:rsid w:val="00E66080"/>
    <w:rsid w:val="00E962DD"/>
    <w:rsid w:val="00EA00A6"/>
    <w:rsid w:val="00EA4E1B"/>
    <w:rsid w:val="00EB2454"/>
    <w:rsid w:val="00EB4EA7"/>
    <w:rsid w:val="00ED0212"/>
    <w:rsid w:val="00ED33F2"/>
    <w:rsid w:val="00ED5A56"/>
    <w:rsid w:val="00ED5BFB"/>
    <w:rsid w:val="00EE0D67"/>
    <w:rsid w:val="00EE35ED"/>
    <w:rsid w:val="00EF34EF"/>
    <w:rsid w:val="00EF50EC"/>
    <w:rsid w:val="00F0571B"/>
    <w:rsid w:val="00F156EC"/>
    <w:rsid w:val="00F211A5"/>
    <w:rsid w:val="00F21F13"/>
    <w:rsid w:val="00F240A2"/>
    <w:rsid w:val="00F30661"/>
    <w:rsid w:val="00F408C5"/>
    <w:rsid w:val="00F44AEE"/>
    <w:rsid w:val="00F7584A"/>
    <w:rsid w:val="00F7642D"/>
    <w:rsid w:val="00F917DA"/>
    <w:rsid w:val="00F93AF5"/>
    <w:rsid w:val="00FA354F"/>
    <w:rsid w:val="00FB1407"/>
    <w:rsid w:val="00FB4950"/>
    <w:rsid w:val="00FC524B"/>
    <w:rsid w:val="00FC5BA7"/>
    <w:rsid w:val="00FE06DC"/>
    <w:rsid w:val="00FE1925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BodyTextNACS">
    <w:name w:val="Body Text NACS"/>
    <w:basedOn w:val="Corpodetexto"/>
    <w:rsid w:val="001218F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longtext">
    <w:name w:val="long_text"/>
    <w:basedOn w:val="Fontepargpadro"/>
    <w:rsid w:val="001218FF"/>
  </w:style>
  <w:style w:type="paragraph" w:styleId="Corpodetexto">
    <w:name w:val="Body Text"/>
    <w:basedOn w:val="Normal"/>
    <w:link w:val="CorpodetextoChar"/>
    <w:uiPriority w:val="99"/>
    <w:semiHidden/>
    <w:unhideWhenUsed/>
    <w:rsid w:val="001218F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18FF"/>
  </w:style>
  <w:style w:type="paragraph" w:styleId="Reviso">
    <w:name w:val="Revision"/>
    <w:hidden/>
    <w:uiPriority w:val="99"/>
    <w:semiHidden/>
    <w:rsid w:val="00E108C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053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3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3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3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F582-2EA5-4BF5-9B94-7C0FDC8A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1707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Lucas Ribeiro Francisco</cp:lastModifiedBy>
  <cp:revision>4</cp:revision>
  <dcterms:created xsi:type="dcterms:W3CDTF">2023-06-21T14:10:00Z</dcterms:created>
  <dcterms:modified xsi:type="dcterms:W3CDTF">2023-06-21T15:40:00Z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