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43192582" w:rsidR="00EA4E1B" w:rsidRPr="003D209A" w:rsidRDefault="003F1605" w:rsidP="00EA4E1B">
      <w:pPr>
        <w:pStyle w:val="BATitle"/>
        <w:spacing w:before="0" w:after="0" w:line="240" w:lineRule="auto"/>
        <w:ind w:right="0"/>
        <w:jc w:val="both"/>
        <w:rPr>
          <w:sz w:val="32"/>
          <w:lang w:val="pt-BR"/>
        </w:rPr>
      </w:pPr>
      <w:r w:rsidRPr="003F1605">
        <w:rPr>
          <w:sz w:val="32"/>
          <w:lang w:val="pt-BR"/>
        </w:rPr>
        <w:t>ESTUDO DFT DAS PROPRIEDADES ÁCIDAS DE</w:t>
      </w:r>
      <w:r w:rsidR="00F8024C">
        <w:rPr>
          <w:sz w:val="32"/>
          <w:lang w:val="pt-BR"/>
        </w:rPr>
        <w:t xml:space="preserve"> </w:t>
      </w:r>
      <w:r w:rsidRPr="002E1F04">
        <w:rPr>
          <w:i/>
          <w:iCs/>
          <w:sz w:val="32"/>
          <w:lang w:val="pt-BR"/>
        </w:rPr>
        <w:t>CLUSTERS</w:t>
      </w:r>
      <w:r w:rsidRPr="003F1605">
        <w:rPr>
          <w:sz w:val="32"/>
          <w:lang w:val="pt-BR"/>
        </w:rPr>
        <w:t xml:space="preserve"> AlSBA-15 POR ADSORÇÃO DE </w:t>
      </w:r>
      <w:r w:rsidR="003D209A">
        <w:rPr>
          <w:sz w:val="32"/>
          <w:lang w:val="pt-BR"/>
        </w:rPr>
        <w:t>AMÔNIA</w:t>
      </w:r>
    </w:p>
    <w:p w14:paraId="18735493" w14:textId="7102E005" w:rsidR="00EA4E1B" w:rsidRPr="00F52053" w:rsidRDefault="004F1125" w:rsidP="00415EA9">
      <w:pPr>
        <w:pStyle w:val="BBAuthorName"/>
        <w:spacing w:before="240" w:after="120"/>
        <w:ind w:right="0"/>
        <w:jc w:val="both"/>
        <w:rPr>
          <w:rFonts w:ascii="Times New Roman" w:hAnsi="Times New Roman"/>
          <w:sz w:val="20"/>
          <w:lang w:val="pt-BR"/>
        </w:rPr>
      </w:pPr>
      <w:r>
        <w:rPr>
          <w:rFonts w:ascii="Times New Roman" w:hAnsi="Times New Roman"/>
          <w:sz w:val="20"/>
          <w:lang w:val="pt-BR"/>
        </w:rPr>
        <w:t>Gabriel Pereira da Silva</w:t>
      </w:r>
      <w:proofErr w:type="gramStart"/>
      <w:r w:rsidR="00DC6507">
        <w:rPr>
          <w:rFonts w:ascii="Times New Roman" w:hAnsi="Times New Roman"/>
          <w:sz w:val="20"/>
          <w:vertAlign w:val="superscript"/>
          <w:lang w:val="pt-BR"/>
        </w:rPr>
        <w:t>1</w:t>
      </w:r>
      <w:r w:rsidR="00C737BF">
        <w:rPr>
          <w:rFonts w:ascii="Times New Roman" w:hAnsi="Times New Roman"/>
          <w:sz w:val="20"/>
          <w:vertAlign w:val="superscript"/>
          <w:lang w:val="pt-BR"/>
        </w:rPr>
        <w:t>,</w:t>
      </w:r>
      <w:r w:rsidR="00FF5FDF">
        <w:rPr>
          <w:rFonts w:ascii="Times New Roman" w:hAnsi="Times New Roman"/>
          <w:sz w:val="20"/>
          <w:vertAlign w:val="superscript"/>
          <w:lang w:val="pt-BR"/>
        </w:rPr>
        <w:t>*</w:t>
      </w:r>
      <w:proofErr w:type="gramEnd"/>
      <w:r w:rsidR="00F52053">
        <w:rPr>
          <w:rFonts w:ascii="Times New Roman" w:hAnsi="Times New Roman"/>
          <w:sz w:val="20"/>
          <w:lang w:val="pt-BR"/>
        </w:rPr>
        <w:t xml:space="preserve">, </w:t>
      </w:r>
      <w:r w:rsidR="00F52053" w:rsidRPr="0003496D">
        <w:rPr>
          <w:rFonts w:ascii="Times New Roman" w:hAnsi="Times New Roman"/>
          <w:sz w:val="20"/>
          <w:u w:val="single"/>
          <w:lang w:val="pt-BR"/>
        </w:rPr>
        <w:t>Bruna Ezequielle Bernardes Costa</w:t>
      </w:r>
      <w:r w:rsidR="00DC6507" w:rsidRPr="00E735BD">
        <w:rPr>
          <w:rFonts w:ascii="Times New Roman" w:hAnsi="Times New Roman"/>
          <w:sz w:val="20"/>
          <w:vertAlign w:val="superscript"/>
          <w:lang w:val="pt-BR"/>
        </w:rPr>
        <w:t>1</w:t>
      </w:r>
      <w:r w:rsidR="00F52053">
        <w:rPr>
          <w:rFonts w:ascii="Times New Roman" w:hAnsi="Times New Roman"/>
          <w:sz w:val="20"/>
          <w:lang w:val="pt-BR"/>
        </w:rPr>
        <w:t xml:space="preserve">, </w:t>
      </w:r>
      <w:r w:rsidR="00B561CE" w:rsidRPr="00FF5FDF">
        <w:rPr>
          <w:rFonts w:ascii="Times New Roman" w:hAnsi="Times New Roman"/>
          <w:sz w:val="20"/>
          <w:lang w:val="pt-BR"/>
        </w:rPr>
        <w:t>Gabriel</w:t>
      </w:r>
      <w:r w:rsidR="00B561CE">
        <w:rPr>
          <w:rFonts w:ascii="Times New Roman" w:hAnsi="Times New Roman"/>
          <w:sz w:val="20"/>
          <w:lang w:val="pt-BR"/>
        </w:rPr>
        <w:t xml:space="preserve"> Santos Viana</w:t>
      </w:r>
      <w:r w:rsidR="00B561CE">
        <w:rPr>
          <w:rFonts w:ascii="Times New Roman" w:hAnsi="Times New Roman"/>
          <w:sz w:val="20"/>
          <w:vertAlign w:val="superscript"/>
          <w:lang w:val="pt-BR"/>
        </w:rPr>
        <w:t>2</w:t>
      </w:r>
      <w:r w:rsidR="00B561CE">
        <w:rPr>
          <w:rFonts w:ascii="Times New Roman" w:hAnsi="Times New Roman"/>
          <w:sz w:val="20"/>
          <w:lang w:val="pt-BR"/>
        </w:rPr>
        <w:t>,</w:t>
      </w:r>
      <w:r w:rsidR="00B561CE" w:rsidRPr="00B561CE">
        <w:rPr>
          <w:rFonts w:ascii="Times New Roman" w:hAnsi="Times New Roman"/>
          <w:sz w:val="20"/>
          <w:lang w:val="pt-BR"/>
        </w:rPr>
        <w:t xml:space="preserve"> </w:t>
      </w:r>
      <w:proofErr w:type="spellStart"/>
      <w:r w:rsidR="00F52053">
        <w:rPr>
          <w:rFonts w:ascii="Times New Roman" w:hAnsi="Times New Roman"/>
          <w:sz w:val="20"/>
          <w:lang w:val="pt-BR"/>
        </w:rPr>
        <w:t>Rosenira</w:t>
      </w:r>
      <w:proofErr w:type="spellEnd"/>
      <w:r w:rsidR="00F52053">
        <w:rPr>
          <w:rFonts w:ascii="Times New Roman" w:hAnsi="Times New Roman"/>
          <w:sz w:val="20"/>
          <w:lang w:val="pt-BR"/>
        </w:rPr>
        <w:t xml:space="preserve"> Serpa da Cruz</w:t>
      </w:r>
      <w:r w:rsidR="00DA4455">
        <w:rPr>
          <w:rFonts w:ascii="Times New Roman" w:hAnsi="Times New Roman"/>
          <w:sz w:val="20"/>
          <w:vertAlign w:val="superscript"/>
          <w:lang w:val="pt-BR"/>
        </w:rPr>
        <w:t>1,</w:t>
      </w:r>
      <w:r w:rsidR="00E76D6F">
        <w:rPr>
          <w:rFonts w:ascii="Times New Roman" w:hAnsi="Times New Roman"/>
          <w:sz w:val="20"/>
          <w:vertAlign w:val="superscript"/>
          <w:lang w:val="pt-BR"/>
        </w:rPr>
        <w:t>3</w:t>
      </w:r>
      <w:r w:rsidR="00F52053">
        <w:rPr>
          <w:rFonts w:ascii="Times New Roman" w:hAnsi="Times New Roman"/>
          <w:sz w:val="20"/>
          <w:lang w:val="pt-BR"/>
        </w:rPr>
        <w:t xml:space="preserve">, Fernando Cesário </w:t>
      </w:r>
      <w:r w:rsidR="00F52053" w:rsidRPr="00FF5FDF">
        <w:rPr>
          <w:rFonts w:ascii="Times New Roman" w:hAnsi="Times New Roman"/>
          <w:sz w:val="20"/>
          <w:lang w:val="pt-BR"/>
        </w:rPr>
        <w:t>Rangel</w:t>
      </w:r>
      <w:r w:rsidR="00605D39">
        <w:rPr>
          <w:rFonts w:ascii="Times New Roman" w:hAnsi="Times New Roman"/>
          <w:sz w:val="20"/>
          <w:vertAlign w:val="superscript"/>
          <w:lang w:val="pt-BR"/>
        </w:rPr>
        <w:t>1,</w:t>
      </w:r>
      <w:r w:rsidR="00E76D6F">
        <w:rPr>
          <w:rFonts w:ascii="Times New Roman" w:hAnsi="Times New Roman"/>
          <w:sz w:val="20"/>
          <w:vertAlign w:val="superscript"/>
          <w:lang w:val="pt-BR"/>
        </w:rPr>
        <w:t>3</w:t>
      </w:r>
    </w:p>
    <w:p w14:paraId="30F1D2DC" w14:textId="6C4DA4D8" w:rsidR="005A33E5" w:rsidRPr="00F2608A" w:rsidRDefault="00DC44E0" w:rsidP="005A33E5">
      <w:pPr>
        <w:pStyle w:val="BCAuthorAddress"/>
        <w:spacing w:after="0"/>
        <w:ind w:right="0"/>
        <w:jc w:val="both"/>
        <w:rPr>
          <w:rFonts w:ascii="Times New Roman" w:hAnsi="Times New Roman"/>
          <w:lang w:val="pt-BR"/>
        </w:rPr>
      </w:pPr>
      <w:r w:rsidRPr="00F2608A">
        <w:rPr>
          <w:rFonts w:ascii="Times New Roman" w:hAnsi="Times New Roman"/>
          <w:vertAlign w:val="superscript"/>
          <w:lang w:val="pt-BR"/>
        </w:rPr>
        <w:t>1</w:t>
      </w:r>
      <w:r w:rsidR="005A33E5" w:rsidRPr="00F2608A">
        <w:rPr>
          <w:rFonts w:ascii="Times New Roman" w:hAnsi="Times New Roman"/>
          <w:lang w:val="pt-BR"/>
        </w:rPr>
        <w:t>PPG em Ciência, Inovação e Modelagem em Materiais</w:t>
      </w:r>
      <w:r w:rsidR="000A758A">
        <w:rPr>
          <w:rFonts w:ascii="Times New Roman" w:hAnsi="Times New Roman"/>
          <w:lang w:val="pt-BR"/>
        </w:rPr>
        <w:t xml:space="preserve"> (PROCIMM)</w:t>
      </w:r>
      <w:r w:rsidR="005A33E5" w:rsidRPr="00F2608A">
        <w:rPr>
          <w:rFonts w:ascii="Times New Roman" w:hAnsi="Times New Roman"/>
          <w:lang w:val="pt-BR"/>
        </w:rPr>
        <w:t>, Universidade Estadual de Santa Cruz, CEP: 45662-900, Ilhéus, BA, Brasil.</w:t>
      </w:r>
    </w:p>
    <w:p w14:paraId="5414F8FD" w14:textId="70A3F91C" w:rsidR="00FF5FDF" w:rsidRDefault="00DC44E0" w:rsidP="00FF5FDF">
      <w:pPr>
        <w:pStyle w:val="BCAuthorAddress"/>
        <w:spacing w:after="0"/>
        <w:ind w:right="0"/>
        <w:jc w:val="both"/>
        <w:rPr>
          <w:rFonts w:ascii="Times New Roman" w:hAnsi="Times New Roman"/>
          <w:lang w:val="pt-BR"/>
        </w:rPr>
      </w:pPr>
      <w:r w:rsidRPr="00F2608A">
        <w:rPr>
          <w:rFonts w:ascii="Times New Roman" w:hAnsi="Times New Roman"/>
          <w:vertAlign w:val="superscript"/>
          <w:lang w:val="pt-BR"/>
        </w:rPr>
        <w:t>2</w:t>
      </w:r>
      <w:r w:rsidR="00E133E8" w:rsidRPr="00F2608A">
        <w:rPr>
          <w:rFonts w:ascii="Times New Roman" w:hAnsi="Times New Roman"/>
          <w:lang w:val="pt-BR"/>
        </w:rPr>
        <w:t xml:space="preserve">Departamento de </w:t>
      </w:r>
      <w:r w:rsidR="006303C2">
        <w:rPr>
          <w:rFonts w:ascii="Times New Roman" w:hAnsi="Times New Roman"/>
          <w:lang w:val="pt-BR"/>
        </w:rPr>
        <w:t>Engenharias e Computação (DEC)</w:t>
      </w:r>
      <w:r w:rsidR="00E133E8" w:rsidRPr="00F2608A">
        <w:rPr>
          <w:rFonts w:ascii="Times New Roman" w:hAnsi="Times New Roman"/>
          <w:lang w:val="pt-BR"/>
        </w:rPr>
        <w:t>, Universidade Estadual de Santa Cruz, CEP: 45662-900, Ilhéus, BA, Brasil.</w:t>
      </w:r>
    </w:p>
    <w:p w14:paraId="77337C9A" w14:textId="78619DC3" w:rsidR="006303C2" w:rsidRPr="00F2608A" w:rsidRDefault="00941CC8" w:rsidP="006303C2">
      <w:pPr>
        <w:pStyle w:val="BCAuthorAddress"/>
        <w:spacing w:after="0"/>
        <w:ind w:right="0"/>
        <w:jc w:val="both"/>
        <w:rPr>
          <w:rFonts w:ascii="Times New Roman" w:hAnsi="Times New Roman"/>
          <w:lang w:val="pt-BR"/>
        </w:rPr>
      </w:pPr>
      <w:r>
        <w:rPr>
          <w:rFonts w:ascii="Times New Roman" w:hAnsi="Times New Roman"/>
          <w:vertAlign w:val="superscript"/>
          <w:lang w:val="pt-BR"/>
        </w:rPr>
        <w:t>3</w:t>
      </w:r>
      <w:r w:rsidR="006303C2" w:rsidRPr="00F2608A">
        <w:rPr>
          <w:rFonts w:ascii="Times New Roman" w:hAnsi="Times New Roman"/>
          <w:lang w:val="pt-BR"/>
        </w:rPr>
        <w:t>Departamento de Ciências Exatas</w:t>
      </w:r>
      <w:r w:rsidR="006303C2">
        <w:rPr>
          <w:rFonts w:ascii="Times New Roman" w:hAnsi="Times New Roman"/>
          <w:lang w:val="pt-BR"/>
        </w:rPr>
        <w:t xml:space="preserve"> (DCEX)</w:t>
      </w:r>
      <w:r w:rsidR="006303C2" w:rsidRPr="00F2608A">
        <w:rPr>
          <w:rFonts w:ascii="Times New Roman" w:hAnsi="Times New Roman"/>
          <w:lang w:val="pt-BR"/>
        </w:rPr>
        <w:t>, Universidade Estadual de Santa Cruz, CEP: 45662-900, Ilhéus, BA, Brasil.</w:t>
      </w:r>
    </w:p>
    <w:p w14:paraId="229D5C2E" w14:textId="6398D450" w:rsidR="00E133E8" w:rsidRPr="00AA2188" w:rsidRDefault="00415EA9" w:rsidP="00E133E8">
      <w:pPr>
        <w:rPr>
          <w:rFonts w:ascii="Times New Roman" w:hAnsi="Times New Roman" w:cs="Times New Roman"/>
          <w:sz w:val="20"/>
          <w:szCs w:val="20"/>
          <w:lang w:eastAsia="pt-BR"/>
        </w:rPr>
      </w:pPr>
      <w:r w:rsidRPr="00AA2188">
        <w:rPr>
          <w:rFonts w:ascii="Times New Roman" w:hAnsi="Times New Roman" w:cs="Times New Roman"/>
          <w:sz w:val="20"/>
          <w:szCs w:val="20"/>
          <w:vertAlign w:val="superscript"/>
          <w:lang w:eastAsia="pt-BR"/>
        </w:rPr>
        <w:t>*</w:t>
      </w:r>
      <w:r w:rsidRPr="00AA2188">
        <w:rPr>
          <w:rFonts w:ascii="Times New Roman" w:hAnsi="Times New Roman" w:cs="Times New Roman"/>
          <w:i/>
          <w:iCs/>
          <w:sz w:val="20"/>
          <w:szCs w:val="20"/>
          <w:lang w:eastAsia="pt-BR"/>
        </w:rPr>
        <w:t>gpsilva</w:t>
      </w:r>
      <w:r w:rsidR="006136C8" w:rsidRPr="00AA2188">
        <w:rPr>
          <w:rFonts w:ascii="Times New Roman" w:hAnsi="Times New Roman" w:cs="Times New Roman"/>
          <w:i/>
          <w:iCs/>
          <w:sz w:val="20"/>
          <w:szCs w:val="20"/>
          <w:lang w:eastAsia="pt-BR"/>
        </w:rPr>
        <w:t>eq</w:t>
      </w:r>
      <w:r w:rsidRPr="00AA2188">
        <w:rPr>
          <w:rFonts w:ascii="Times New Roman" w:hAnsi="Times New Roman" w:cs="Times New Roman"/>
          <w:i/>
          <w:iCs/>
          <w:sz w:val="20"/>
          <w:szCs w:val="20"/>
          <w:lang w:eastAsia="pt-BR"/>
        </w:rPr>
        <w:t>@</w:t>
      </w:r>
      <w:r w:rsidR="006136C8" w:rsidRPr="00AA2188">
        <w:rPr>
          <w:rFonts w:ascii="Times New Roman" w:hAnsi="Times New Roman" w:cs="Times New Roman"/>
          <w:i/>
          <w:iCs/>
          <w:sz w:val="20"/>
          <w:szCs w:val="20"/>
          <w:lang w:eastAsia="pt-BR"/>
        </w:rPr>
        <w:t>gmail.com</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2FDBA0E2"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" fillcolor="#9a0000" stroked="f" strokeweight="1pt">
                <v:textbox inset=",0,,0">
                  <w:txbxContent>
                    <w:p w14:paraId="3D0F07B3" w14:textId="2FDBA0E2"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3290EB20"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6F561E" w:rsidRPr="006F561E">
        <w:rPr>
          <w:rFonts w:ascii="Times New Roman" w:hAnsi="Times New Roman"/>
          <w:b w:val="0"/>
          <w:sz w:val="20"/>
          <w:lang w:val="pt-BR"/>
        </w:rPr>
        <w:t xml:space="preserve">Sílicas </w:t>
      </w:r>
      <w:proofErr w:type="spellStart"/>
      <w:r w:rsidR="006F561E" w:rsidRPr="006F561E">
        <w:rPr>
          <w:rFonts w:ascii="Times New Roman" w:hAnsi="Times New Roman"/>
          <w:b w:val="0"/>
          <w:sz w:val="20"/>
          <w:lang w:val="pt-BR"/>
        </w:rPr>
        <w:t>mesoporosas</w:t>
      </w:r>
      <w:proofErr w:type="spellEnd"/>
      <w:r w:rsidR="006F561E" w:rsidRPr="006F561E">
        <w:rPr>
          <w:rFonts w:ascii="Times New Roman" w:hAnsi="Times New Roman"/>
          <w:b w:val="0"/>
          <w:sz w:val="20"/>
          <w:lang w:val="pt-BR"/>
        </w:rPr>
        <w:t xml:space="preserve"> são de grande interesse em catálise heterogênea devido às características estruturais de seus poros e propriedades catalíticas ajustáveis pela inserção de </w:t>
      </w:r>
      <w:proofErr w:type="spellStart"/>
      <w:r w:rsidR="006F561E" w:rsidRPr="006F561E">
        <w:rPr>
          <w:rFonts w:ascii="Times New Roman" w:hAnsi="Times New Roman"/>
          <w:b w:val="0"/>
          <w:sz w:val="20"/>
          <w:lang w:val="pt-BR"/>
        </w:rPr>
        <w:t>heteroátomos</w:t>
      </w:r>
      <w:proofErr w:type="spellEnd"/>
      <w:r w:rsidR="006F561E" w:rsidRPr="006F561E">
        <w:rPr>
          <w:rFonts w:ascii="Times New Roman" w:hAnsi="Times New Roman"/>
          <w:b w:val="0"/>
          <w:sz w:val="20"/>
          <w:lang w:val="pt-BR"/>
        </w:rPr>
        <w:t xml:space="preserve">. A substituição de Al em SBA-15 confere sítios ativos ao material e encontra aplicação em reações de valorização de biomassa. Entretanto, em química computacional, </w:t>
      </w:r>
      <w:r w:rsidR="001A6410">
        <w:rPr>
          <w:rFonts w:ascii="Times New Roman" w:hAnsi="Times New Roman"/>
          <w:b w:val="0"/>
          <w:sz w:val="20"/>
          <w:lang w:val="pt-BR"/>
        </w:rPr>
        <w:t xml:space="preserve">discussões </w:t>
      </w:r>
      <w:r w:rsidR="006F561E" w:rsidRPr="006F561E">
        <w:rPr>
          <w:rFonts w:ascii="Times New Roman" w:hAnsi="Times New Roman"/>
          <w:b w:val="0"/>
          <w:sz w:val="20"/>
          <w:lang w:val="pt-BR"/>
        </w:rPr>
        <w:t xml:space="preserve">sobre as propriedades ácidas de sílicas </w:t>
      </w:r>
      <w:proofErr w:type="spellStart"/>
      <w:r w:rsidR="006F561E" w:rsidRPr="006F561E">
        <w:rPr>
          <w:rFonts w:ascii="Times New Roman" w:hAnsi="Times New Roman"/>
          <w:b w:val="0"/>
          <w:sz w:val="20"/>
          <w:lang w:val="pt-BR"/>
        </w:rPr>
        <w:t>mesoporosas</w:t>
      </w:r>
      <w:proofErr w:type="spellEnd"/>
      <w:r w:rsidR="006F561E" w:rsidRPr="006F561E">
        <w:rPr>
          <w:rFonts w:ascii="Times New Roman" w:hAnsi="Times New Roman"/>
          <w:b w:val="0"/>
          <w:sz w:val="20"/>
          <w:lang w:val="pt-BR"/>
        </w:rPr>
        <w:t xml:space="preserve"> modificadas</w:t>
      </w:r>
      <w:r w:rsidR="001A6410">
        <w:rPr>
          <w:rFonts w:ascii="Times New Roman" w:hAnsi="Times New Roman"/>
          <w:b w:val="0"/>
          <w:sz w:val="20"/>
          <w:lang w:val="pt-BR"/>
        </w:rPr>
        <w:t xml:space="preserve"> são limitadas</w:t>
      </w:r>
      <w:r w:rsidR="006F561E" w:rsidRPr="006F561E">
        <w:rPr>
          <w:rFonts w:ascii="Times New Roman" w:hAnsi="Times New Roman"/>
          <w:b w:val="0"/>
          <w:sz w:val="20"/>
          <w:lang w:val="pt-BR"/>
        </w:rPr>
        <w:t xml:space="preserve">, sendo a maioria dos estudos concentrados na estabilidade termodinâmica dos modelos. Neste trabalho, as propriedades ácidas de sítios ativos de Al em um </w:t>
      </w:r>
      <w:r w:rsidR="006F561E" w:rsidRPr="00DC6C00">
        <w:rPr>
          <w:rFonts w:ascii="Times New Roman" w:hAnsi="Times New Roman"/>
          <w:b w:val="0"/>
          <w:i/>
          <w:iCs/>
          <w:sz w:val="20"/>
          <w:lang w:val="pt-BR"/>
        </w:rPr>
        <w:t>cluster</w:t>
      </w:r>
      <w:r w:rsidR="006F561E" w:rsidRPr="006F561E">
        <w:rPr>
          <w:rFonts w:ascii="Times New Roman" w:hAnsi="Times New Roman"/>
          <w:b w:val="0"/>
          <w:sz w:val="20"/>
          <w:lang w:val="pt-BR"/>
        </w:rPr>
        <w:t xml:space="preserve"> SBA-15 com anéis de sílica de 5 e 6 membros foram investigadas, utilizando métodos de </w:t>
      </w:r>
      <w:proofErr w:type="spellStart"/>
      <w:r w:rsidR="006F561E" w:rsidRPr="00855F47">
        <w:rPr>
          <w:rFonts w:ascii="Times New Roman" w:hAnsi="Times New Roman"/>
          <w:b w:val="0"/>
          <w:i/>
          <w:iCs/>
          <w:sz w:val="20"/>
          <w:lang w:val="pt-BR"/>
        </w:rPr>
        <w:t>Density</w:t>
      </w:r>
      <w:proofErr w:type="spellEnd"/>
      <w:r w:rsidR="006F561E" w:rsidRPr="00855F47">
        <w:rPr>
          <w:rFonts w:ascii="Times New Roman" w:hAnsi="Times New Roman"/>
          <w:b w:val="0"/>
          <w:i/>
          <w:iCs/>
          <w:sz w:val="20"/>
          <w:lang w:val="pt-BR"/>
        </w:rPr>
        <w:t xml:space="preserve"> </w:t>
      </w:r>
      <w:proofErr w:type="spellStart"/>
      <w:r w:rsidR="006F561E" w:rsidRPr="00855F47">
        <w:rPr>
          <w:rFonts w:ascii="Times New Roman" w:hAnsi="Times New Roman"/>
          <w:b w:val="0"/>
          <w:i/>
          <w:iCs/>
          <w:sz w:val="20"/>
          <w:lang w:val="pt-BR"/>
        </w:rPr>
        <w:t>Functional</w:t>
      </w:r>
      <w:proofErr w:type="spellEnd"/>
      <w:r w:rsidR="006F561E" w:rsidRPr="00855F47">
        <w:rPr>
          <w:rFonts w:ascii="Times New Roman" w:hAnsi="Times New Roman"/>
          <w:b w:val="0"/>
          <w:i/>
          <w:iCs/>
          <w:sz w:val="20"/>
          <w:lang w:val="pt-BR"/>
        </w:rPr>
        <w:t xml:space="preserve"> </w:t>
      </w:r>
      <w:proofErr w:type="spellStart"/>
      <w:r w:rsidR="006F561E" w:rsidRPr="00855F47">
        <w:rPr>
          <w:rFonts w:ascii="Times New Roman" w:hAnsi="Times New Roman"/>
          <w:b w:val="0"/>
          <w:i/>
          <w:iCs/>
          <w:sz w:val="20"/>
          <w:lang w:val="pt-BR"/>
        </w:rPr>
        <w:t>Theory</w:t>
      </w:r>
      <w:proofErr w:type="spellEnd"/>
      <w:r w:rsidR="006F561E" w:rsidRPr="006F561E">
        <w:rPr>
          <w:rFonts w:ascii="Times New Roman" w:hAnsi="Times New Roman"/>
          <w:b w:val="0"/>
          <w:sz w:val="20"/>
          <w:lang w:val="pt-BR"/>
        </w:rPr>
        <w:t xml:space="preserve"> (DFT), pela variação da frequência vibracional O-H e adsorção de amônia. Os </w:t>
      </w:r>
      <w:r w:rsidR="006F561E" w:rsidRPr="00DC6C00">
        <w:rPr>
          <w:rFonts w:ascii="Times New Roman" w:hAnsi="Times New Roman"/>
          <w:b w:val="0"/>
          <w:i/>
          <w:iCs/>
          <w:sz w:val="20"/>
          <w:lang w:val="pt-BR"/>
        </w:rPr>
        <w:t>clusters</w:t>
      </w:r>
      <w:r w:rsidR="006F561E" w:rsidRPr="006F561E">
        <w:rPr>
          <w:rFonts w:ascii="Times New Roman" w:hAnsi="Times New Roman"/>
          <w:b w:val="0"/>
          <w:sz w:val="20"/>
          <w:lang w:val="pt-BR"/>
        </w:rPr>
        <w:t xml:space="preserve"> AlSBA-15 apresentaram energias de adsorção de amônia mais negativas do que o </w:t>
      </w:r>
      <w:proofErr w:type="spellStart"/>
      <w:r w:rsidR="006F561E" w:rsidRPr="006F561E">
        <w:rPr>
          <w:rFonts w:ascii="Times New Roman" w:hAnsi="Times New Roman"/>
          <w:b w:val="0"/>
          <w:sz w:val="20"/>
          <w:lang w:val="pt-BR"/>
        </w:rPr>
        <w:t>silanol</w:t>
      </w:r>
      <w:proofErr w:type="spellEnd"/>
      <w:r w:rsidR="006F561E" w:rsidRPr="006F561E">
        <w:rPr>
          <w:rFonts w:ascii="Times New Roman" w:hAnsi="Times New Roman"/>
          <w:b w:val="0"/>
          <w:sz w:val="20"/>
          <w:lang w:val="pt-BR"/>
        </w:rPr>
        <w:t>, o que evidencia sua natureza ácida. Além disso, as frequências vibracionais do agrupamento O-H e da amônia adsorvida apresentam concordância com resultados experimentais, o que mostra que os modelos propostos são adequados para representar a AlSBA-15 e indica sítios de força ácida fraca/moderada.</w:t>
      </w:r>
    </w:p>
    <w:p w14:paraId="09B41B70" w14:textId="797EAAEF"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Palavras-chave:</w:t>
      </w:r>
      <w:r w:rsidR="006F561E">
        <w:rPr>
          <w:rFonts w:ascii="Times New Roman" w:hAnsi="Times New Roman"/>
          <w:b w:val="0"/>
          <w:i/>
          <w:sz w:val="20"/>
          <w:lang w:val="pt-BR"/>
        </w:rPr>
        <w:t xml:space="preserve"> AlSBA-15, DFT, Acidez, Sílicas </w:t>
      </w:r>
      <w:proofErr w:type="spellStart"/>
      <w:r w:rsidR="006F561E">
        <w:rPr>
          <w:rFonts w:ascii="Times New Roman" w:hAnsi="Times New Roman"/>
          <w:b w:val="0"/>
          <w:i/>
          <w:sz w:val="20"/>
          <w:lang w:val="pt-BR"/>
        </w:rPr>
        <w:t>mesoporosas</w:t>
      </w:r>
      <w:proofErr w:type="spellEnd"/>
      <w:r w:rsidR="006F561E">
        <w:rPr>
          <w:rFonts w:ascii="Times New Roman" w:hAnsi="Times New Roman"/>
          <w:b w:val="0"/>
          <w:i/>
          <w:sz w:val="20"/>
          <w:lang w:val="pt-BR"/>
        </w:rPr>
        <w:t>, Cluster.</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05147390" w:rsidR="00EA4E1B" w:rsidRPr="0052099F" w:rsidRDefault="00EA4E1B" w:rsidP="00EA4E1B">
      <w:pPr>
        <w:pStyle w:val="BDAbstract"/>
        <w:spacing w:before="0" w:after="0" w:line="240" w:lineRule="auto"/>
        <w:rPr>
          <w:rFonts w:ascii="Times New Roman" w:hAnsi="Times New Roman"/>
          <w:b w:val="0"/>
          <w:sz w:val="20"/>
        </w:rPr>
      </w:pPr>
      <w:r w:rsidRPr="00C775B8">
        <w:rPr>
          <w:rFonts w:ascii="Times New Roman" w:hAnsi="Times New Roman"/>
          <w:b w:val="0"/>
          <w:sz w:val="20"/>
        </w:rPr>
        <w:t xml:space="preserve">ABSTRACT - </w:t>
      </w:r>
      <w:r w:rsidR="00C775B8" w:rsidRPr="00C775B8">
        <w:rPr>
          <w:rFonts w:ascii="Times New Roman" w:hAnsi="Times New Roman"/>
          <w:b w:val="0"/>
          <w:sz w:val="20"/>
        </w:rPr>
        <w:t>Mesoporous silicas are of great interest in heterogeneous catalysis due to the structural characteristics of their pores and catalytic properties adjustable by the insertion of heteroatoms</w:t>
      </w:r>
      <w:r w:rsidR="006F561E" w:rsidRPr="00C775B8">
        <w:rPr>
          <w:rFonts w:ascii="Times New Roman" w:hAnsi="Times New Roman"/>
          <w:b w:val="0"/>
          <w:sz w:val="20"/>
        </w:rPr>
        <w:t xml:space="preserve">. </w:t>
      </w:r>
      <w:r w:rsidR="00C775B8" w:rsidRPr="00C775B8">
        <w:rPr>
          <w:rFonts w:ascii="Times New Roman" w:hAnsi="Times New Roman"/>
          <w:b w:val="0"/>
          <w:sz w:val="20"/>
        </w:rPr>
        <w:t xml:space="preserve">The replacement of Al in SBA-15 confers active sites to the material and finds application in biomass </w:t>
      </w:r>
      <w:r w:rsidR="00167788">
        <w:rPr>
          <w:rFonts w:ascii="Times New Roman" w:hAnsi="Times New Roman"/>
          <w:b w:val="0"/>
          <w:sz w:val="20"/>
        </w:rPr>
        <w:t>valorization</w:t>
      </w:r>
      <w:r w:rsidR="00C775B8" w:rsidRPr="00C775B8">
        <w:rPr>
          <w:rFonts w:ascii="Times New Roman" w:hAnsi="Times New Roman"/>
          <w:b w:val="0"/>
          <w:sz w:val="20"/>
        </w:rPr>
        <w:t xml:space="preserve"> reactions</w:t>
      </w:r>
      <w:r w:rsidR="006F561E" w:rsidRPr="00C775B8">
        <w:rPr>
          <w:rFonts w:ascii="Times New Roman" w:hAnsi="Times New Roman"/>
          <w:b w:val="0"/>
          <w:sz w:val="20"/>
        </w:rPr>
        <w:t xml:space="preserve">. </w:t>
      </w:r>
      <w:r w:rsidR="001F05AB" w:rsidRPr="001F05AB">
        <w:rPr>
          <w:rFonts w:ascii="Times New Roman" w:hAnsi="Times New Roman"/>
          <w:b w:val="0"/>
          <w:sz w:val="20"/>
        </w:rPr>
        <w:t>However, in computational chemistry, discussions about the acidic properties of modified mesoporous silicas are limited, with most studies focusing on the thermodynamic stability of the models</w:t>
      </w:r>
      <w:r w:rsidR="006F561E" w:rsidRPr="00C775B8">
        <w:rPr>
          <w:rFonts w:ascii="Times New Roman" w:hAnsi="Times New Roman"/>
          <w:b w:val="0"/>
          <w:sz w:val="20"/>
        </w:rPr>
        <w:t xml:space="preserve">. </w:t>
      </w:r>
      <w:r w:rsidR="00C775B8" w:rsidRPr="00C775B8">
        <w:rPr>
          <w:rFonts w:ascii="Times New Roman" w:hAnsi="Times New Roman"/>
          <w:b w:val="0"/>
          <w:sz w:val="20"/>
        </w:rPr>
        <w:t>In this work, the acidic properties of Al active sites in an SBA-15 cluster with 5- and 6-</w:t>
      </w:r>
      <w:r w:rsidR="007946E9">
        <w:rPr>
          <w:rFonts w:ascii="Times New Roman" w:hAnsi="Times New Roman"/>
          <w:b w:val="0"/>
          <w:sz w:val="20"/>
        </w:rPr>
        <w:t xml:space="preserve"> </w:t>
      </w:r>
      <w:r w:rsidR="00C775B8" w:rsidRPr="00C775B8">
        <w:rPr>
          <w:rFonts w:ascii="Times New Roman" w:hAnsi="Times New Roman"/>
          <w:b w:val="0"/>
          <w:sz w:val="20"/>
        </w:rPr>
        <w:t>membered silica rings were investigated, using methods of</w:t>
      </w:r>
      <w:r w:rsidR="006F561E" w:rsidRPr="00C775B8">
        <w:rPr>
          <w:rFonts w:ascii="Times New Roman" w:hAnsi="Times New Roman"/>
          <w:b w:val="0"/>
          <w:sz w:val="20"/>
        </w:rPr>
        <w:t xml:space="preserve"> </w:t>
      </w:r>
      <w:r w:rsidR="006F561E" w:rsidRPr="00C775B8">
        <w:rPr>
          <w:rFonts w:ascii="Times New Roman" w:hAnsi="Times New Roman"/>
          <w:b w:val="0"/>
          <w:i/>
          <w:iCs/>
          <w:sz w:val="20"/>
        </w:rPr>
        <w:t>Density Functional Theory</w:t>
      </w:r>
      <w:r w:rsidR="006F561E" w:rsidRPr="00C775B8">
        <w:rPr>
          <w:rFonts w:ascii="Times New Roman" w:hAnsi="Times New Roman"/>
          <w:b w:val="0"/>
          <w:sz w:val="20"/>
        </w:rPr>
        <w:t xml:space="preserve"> (DFT), </w:t>
      </w:r>
      <w:r w:rsidR="00C775B8" w:rsidRPr="00C775B8">
        <w:rPr>
          <w:rFonts w:ascii="Times New Roman" w:hAnsi="Times New Roman"/>
          <w:b w:val="0"/>
          <w:sz w:val="20"/>
        </w:rPr>
        <w:t>by the variation of the vibrational frequency O-H and adsorption of ammonia</w:t>
      </w:r>
      <w:r w:rsidR="006F561E" w:rsidRPr="00C775B8">
        <w:rPr>
          <w:rFonts w:ascii="Times New Roman" w:hAnsi="Times New Roman"/>
          <w:b w:val="0"/>
          <w:sz w:val="20"/>
        </w:rPr>
        <w:t xml:space="preserve">. </w:t>
      </w:r>
      <w:r w:rsidR="00C775B8" w:rsidRPr="00C775B8">
        <w:rPr>
          <w:rFonts w:ascii="Times New Roman" w:hAnsi="Times New Roman"/>
          <w:b w:val="0"/>
          <w:sz w:val="20"/>
        </w:rPr>
        <w:t>AlSBA-15 clusters showed more negative ammonia adsorption energies than silanol, which evidences its acidic nature</w:t>
      </w:r>
      <w:r w:rsidR="006F561E" w:rsidRPr="00C775B8">
        <w:rPr>
          <w:rFonts w:ascii="Times New Roman" w:hAnsi="Times New Roman"/>
          <w:b w:val="0"/>
          <w:sz w:val="20"/>
        </w:rPr>
        <w:t xml:space="preserve">. </w:t>
      </w:r>
      <w:r w:rsidR="0052099F" w:rsidRPr="0052099F">
        <w:rPr>
          <w:rFonts w:ascii="Times New Roman" w:hAnsi="Times New Roman"/>
          <w:b w:val="0"/>
          <w:sz w:val="20"/>
        </w:rPr>
        <w:t>In addition, the vibrational frequencies of the O-H cluster and adsorbed ammonia are in agreement with experimental results</w:t>
      </w:r>
      <w:r w:rsidR="006F561E" w:rsidRPr="0052099F">
        <w:rPr>
          <w:rFonts w:ascii="Times New Roman" w:hAnsi="Times New Roman"/>
          <w:b w:val="0"/>
          <w:sz w:val="20"/>
        </w:rPr>
        <w:t xml:space="preserve">, </w:t>
      </w:r>
      <w:r w:rsidR="0052099F" w:rsidRPr="0052099F">
        <w:rPr>
          <w:rFonts w:ascii="Times New Roman" w:hAnsi="Times New Roman"/>
          <w:b w:val="0"/>
          <w:sz w:val="20"/>
        </w:rPr>
        <w:t>which shows that the proposed models are adequate to represent AlSBA-15 and indicates weak/moderate acid strength sites</w:t>
      </w:r>
      <w:r w:rsidR="006F561E" w:rsidRPr="0052099F">
        <w:rPr>
          <w:rFonts w:ascii="Times New Roman" w:hAnsi="Times New Roman"/>
          <w:b w:val="0"/>
          <w:sz w:val="20"/>
        </w:rPr>
        <w:t>.</w:t>
      </w:r>
    </w:p>
    <w:p w14:paraId="5F4A84E8" w14:textId="4B10525C" w:rsidR="00EA4E1B" w:rsidRPr="00AF2F66" w:rsidRDefault="00EA4E1B" w:rsidP="00EA4E1B">
      <w:pPr>
        <w:pStyle w:val="BDAbstract"/>
        <w:spacing w:before="0" w:after="120" w:line="240" w:lineRule="auto"/>
        <w:rPr>
          <w:rFonts w:ascii="Times New Roman" w:hAnsi="Times New Roman"/>
          <w:b w:val="0"/>
          <w:i/>
          <w:sz w:val="20"/>
        </w:rPr>
      </w:pPr>
      <w:r w:rsidRPr="00AF2F66">
        <w:rPr>
          <w:rFonts w:ascii="Times New Roman" w:hAnsi="Times New Roman"/>
          <w:b w:val="0"/>
          <w:i/>
          <w:sz w:val="20"/>
        </w:rPr>
        <w:t xml:space="preserve">Keywords: </w:t>
      </w:r>
      <w:r w:rsidR="006F561E" w:rsidRPr="00AF2F66">
        <w:rPr>
          <w:rFonts w:ascii="Times New Roman" w:hAnsi="Times New Roman"/>
          <w:b w:val="0"/>
          <w:i/>
          <w:sz w:val="20"/>
        </w:rPr>
        <w:t xml:space="preserve">AlSBA-15, DFT, </w:t>
      </w:r>
      <w:r w:rsidR="0034364B" w:rsidRPr="00AF2F66">
        <w:rPr>
          <w:rFonts w:ascii="Times New Roman" w:hAnsi="Times New Roman"/>
          <w:b w:val="0"/>
          <w:i/>
          <w:sz w:val="20"/>
        </w:rPr>
        <w:t>Acidity</w:t>
      </w:r>
      <w:r w:rsidR="006F561E" w:rsidRPr="00AF2F66">
        <w:rPr>
          <w:rFonts w:ascii="Times New Roman" w:hAnsi="Times New Roman"/>
          <w:b w:val="0"/>
          <w:i/>
          <w:sz w:val="20"/>
        </w:rPr>
        <w:t xml:space="preserve">, </w:t>
      </w:r>
      <w:r w:rsidR="0034364B" w:rsidRPr="00AF2F66">
        <w:rPr>
          <w:rFonts w:ascii="Times New Roman" w:hAnsi="Times New Roman"/>
          <w:b w:val="0"/>
          <w:i/>
          <w:sz w:val="20"/>
        </w:rPr>
        <w:t xml:space="preserve">Mesoporous </w:t>
      </w:r>
      <w:r w:rsidR="00742DE7">
        <w:rPr>
          <w:rFonts w:ascii="Times New Roman" w:hAnsi="Times New Roman"/>
          <w:b w:val="0"/>
          <w:i/>
          <w:sz w:val="20"/>
        </w:rPr>
        <w:t>s</w:t>
      </w:r>
      <w:r w:rsidR="0034364B" w:rsidRPr="00AF2F66">
        <w:rPr>
          <w:rFonts w:ascii="Times New Roman" w:hAnsi="Times New Roman"/>
          <w:b w:val="0"/>
          <w:i/>
          <w:sz w:val="20"/>
        </w:rPr>
        <w:t>ilicas</w:t>
      </w:r>
      <w:r w:rsidR="006F561E" w:rsidRPr="00AF2F66">
        <w:rPr>
          <w:rFonts w:ascii="Times New Roman" w:hAnsi="Times New Roman"/>
          <w:b w:val="0"/>
          <w:i/>
          <w:sz w:val="20"/>
        </w:rPr>
        <w:t>, Cluster.</w:t>
      </w:r>
    </w:p>
    <w:bookmarkEnd w:id="1"/>
    <w:p w14:paraId="48D9B0C4" w14:textId="77777777" w:rsidR="00EA4E1B" w:rsidRPr="00AF2F66" w:rsidRDefault="00EA4E1B" w:rsidP="00EA4E1B">
      <w:pPr>
        <w:rPr>
          <w:lang w:val="en-US"/>
        </w:rPr>
        <w:sectPr w:rsidR="00EA4E1B" w:rsidRPr="00AF2F66"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51B9DE92" w14:textId="1DFB8FC1" w:rsidR="003D209A" w:rsidRDefault="003D209A" w:rsidP="00EA4E1B">
      <w:pPr>
        <w:pStyle w:val="TAMainText"/>
        <w:rPr>
          <w:rFonts w:ascii="Times New Roman" w:hAnsi="Times New Roman"/>
          <w:lang w:val="pt-BR"/>
        </w:rPr>
      </w:pPr>
      <w:r w:rsidRPr="003D209A">
        <w:rPr>
          <w:rFonts w:ascii="Times New Roman" w:hAnsi="Times New Roman"/>
          <w:lang w:val="pt-BR"/>
        </w:rPr>
        <w:t xml:space="preserve">A valorização de biomassa tem ganhado destaque no cenário da produção de energia limpa e química verde com o desenvolvimento de biocombustíveis e moléculas plataformas (1). Entretanto, dada a complexidade estrutural e o alto teor de oxigênio da biomassa, catalisadores eficientes e seletivos são requisitados para processar esta matéria-prima (2). Neste sentido, sílicas </w:t>
      </w:r>
      <w:proofErr w:type="spellStart"/>
      <w:r w:rsidRPr="003D209A">
        <w:rPr>
          <w:rFonts w:ascii="Times New Roman" w:hAnsi="Times New Roman"/>
          <w:lang w:val="pt-BR"/>
        </w:rPr>
        <w:t>mesoporosas</w:t>
      </w:r>
      <w:proofErr w:type="spellEnd"/>
      <w:r w:rsidRPr="003D209A">
        <w:rPr>
          <w:rFonts w:ascii="Times New Roman" w:hAnsi="Times New Roman"/>
          <w:lang w:val="pt-BR"/>
        </w:rPr>
        <w:t xml:space="preserve"> funcionalizadas, em especial a AlSBA-15, são amplamente utilizadas, devido às suas características estruturais, como grande área de superfície específica, estrutura de poros regulares, estabilidade térmica e hidrotérmica, bem como facilidade em separação e reutilização (3) e pelas </w:t>
      </w:r>
      <w:r w:rsidRPr="003D209A">
        <w:rPr>
          <w:rFonts w:ascii="Times New Roman" w:hAnsi="Times New Roman"/>
          <w:lang w:val="pt-BR"/>
        </w:rPr>
        <w:t xml:space="preserve">propriedades ácidas, com um equilíbrio entre sítios ácidos de </w:t>
      </w:r>
      <w:proofErr w:type="spellStart"/>
      <w:r w:rsidRPr="003D209A">
        <w:rPr>
          <w:rFonts w:ascii="Times New Roman" w:hAnsi="Times New Roman"/>
          <w:lang w:val="pt-BR"/>
        </w:rPr>
        <w:t>Bronsted</w:t>
      </w:r>
      <w:proofErr w:type="spellEnd"/>
      <w:r w:rsidRPr="003D209A">
        <w:rPr>
          <w:rFonts w:ascii="Times New Roman" w:hAnsi="Times New Roman"/>
          <w:lang w:val="pt-BR"/>
        </w:rPr>
        <w:t xml:space="preserve"> (BAS) e de Lewis (LAS) de força ácida fraca/moderada (4)</w:t>
      </w:r>
      <w:r w:rsidR="002A7B85">
        <w:rPr>
          <w:rFonts w:ascii="Times New Roman" w:hAnsi="Times New Roman"/>
          <w:lang w:val="pt-BR"/>
        </w:rPr>
        <w:t xml:space="preserve"> e encontra aplicação como catalisador em reações de interesse (</w:t>
      </w:r>
      <w:r w:rsidR="007D4957">
        <w:rPr>
          <w:rFonts w:ascii="Times New Roman" w:hAnsi="Times New Roman"/>
          <w:lang w:val="pt-BR"/>
        </w:rPr>
        <w:t>4</w:t>
      </w:r>
      <w:r w:rsidR="008C30EE">
        <w:rPr>
          <w:rFonts w:ascii="Times New Roman" w:hAnsi="Times New Roman"/>
          <w:lang w:val="pt-BR"/>
        </w:rPr>
        <w:t>-</w:t>
      </w:r>
      <w:r w:rsidR="002A7B85">
        <w:rPr>
          <w:rFonts w:ascii="Times New Roman" w:hAnsi="Times New Roman"/>
          <w:lang w:val="pt-BR"/>
        </w:rPr>
        <w:t>6).</w:t>
      </w:r>
    </w:p>
    <w:p w14:paraId="1FAACE3E" w14:textId="551F3342" w:rsidR="003D209A" w:rsidRDefault="003D209A" w:rsidP="00EA4E1B">
      <w:pPr>
        <w:pStyle w:val="TAMainText"/>
        <w:rPr>
          <w:rFonts w:ascii="Times New Roman" w:hAnsi="Times New Roman"/>
          <w:lang w:val="pt-BR"/>
        </w:rPr>
      </w:pPr>
      <w:r w:rsidRPr="003D209A">
        <w:rPr>
          <w:rFonts w:ascii="Times New Roman" w:hAnsi="Times New Roman"/>
          <w:lang w:val="pt-BR"/>
        </w:rPr>
        <w:t xml:space="preserve">A acidez é um importante descritor em catálise heterogênea e seu ajuste adequado, o tipo de acidez, força ácida e quantidade de sítios ativos têm grande influência para obtenção de um bom rendimento e seletividade no produto desejado (7). Favorecer uma via de síntese em detrimento de outra, bem como evitar a formação de agregados de carbono por condensação é de suma importância, dado o grande número de reações paralelas que existem nas diferentes aplicações que utilizam biomassa </w:t>
      </w:r>
      <w:r w:rsidRPr="003D209A">
        <w:rPr>
          <w:rFonts w:ascii="Times New Roman" w:hAnsi="Times New Roman"/>
          <w:lang w:val="pt-BR"/>
        </w:rPr>
        <w:lastRenderedPageBreak/>
        <w:t xml:space="preserve">como matéria-prima (8). Entretanto, em modelos teóricos, </w:t>
      </w:r>
      <w:r w:rsidR="001F0487">
        <w:rPr>
          <w:rFonts w:ascii="Times New Roman" w:hAnsi="Times New Roman"/>
          <w:lang w:val="pt-BR"/>
        </w:rPr>
        <w:t>as pesquisas têm se voltado para a</w:t>
      </w:r>
      <w:r w:rsidRPr="003D209A">
        <w:rPr>
          <w:rFonts w:ascii="Times New Roman" w:hAnsi="Times New Roman"/>
          <w:lang w:val="pt-BR"/>
        </w:rPr>
        <w:t xml:space="preserve"> estabilidade termodinâmica</w:t>
      </w:r>
      <w:r w:rsidR="001F0487">
        <w:rPr>
          <w:rFonts w:ascii="Times New Roman" w:hAnsi="Times New Roman"/>
          <w:lang w:val="pt-BR"/>
        </w:rPr>
        <w:t>, assim é importante estudos que discutam</w:t>
      </w:r>
      <w:r w:rsidRPr="003D209A">
        <w:rPr>
          <w:rFonts w:ascii="Times New Roman" w:hAnsi="Times New Roman"/>
          <w:lang w:val="pt-BR"/>
        </w:rPr>
        <w:t xml:space="preserve"> sobre a origem das propriedades ácidas e sua influência na obtenção dos produtos (9).</w:t>
      </w:r>
    </w:p>
    <w:p w14:paraId="014D97BC" w14:textId="58848DFD" w:rsidR="003D209A" w:rsidRDefault="003D209A" w:rsidP="00EA4E1B">
      <w:pPr>
        <w:pStyle w:val="TAMainText"/>
        <w:rPr>
          <w:rFonts w:ascii="Times New Roman" w:hAnsi="Times New Roman"/>
          <w:lang w:val="pt-BR"/>
        </w:rPr>
      </w:pPr>
      <w:r w:rsidRPr="003D209A">
        <w:rPr>
          <w:rFonts w:ascii="Times New Roman" w:hAnsi="Times New Roman"/>
          <w:lang w:val="pt-BR"/>
        </w:rPr>
        <w:t xml:space="preserve">No que diz respeito à natureza química dos sítios ativos, é sugerido experimentalmente que LAS e BAS em AlSBA-15 são formados por Al tri-coordenado e por hidroxila (OH) em ponte entre átomos de Si e Al, respectivamente (10), o que também é confirmado em modelos teóricos de superfície de sílica </w:t>
      </w:r>
      <w:proofErr w:type="spellStart"/>
      <w:r w:rsidRPr="003D209A">
        <w:rPr>
          <w:rFonts w:ascii="Times New Roman" w:hAnsi="Times New Roman"/>
          <w:lang w:val="pt-BR"/>
        </w:rPr>
        <w:t>mesoporosa</w:t>
      </w:r>
      <w:proofErr w:type="spellEnd"/>
      <w:r w:rsidRPr="003D209A">
        <w:rPr>
          <w:rFonts w:ascii="Times New Roman" w:hAnsi="Times New Roman"/>
          <w:lang w:val="pt-BR"/>
        </w:rPr>
        <w:t xml:space="preserve"> (11,12). Dito isto, o desenvolvimento de modelos que reproduzam as propriedades da superfície de sílicas </w:t>
      </w:r>
      <w:proofErr w:type="spellStart"/>
      <w:r w:rsidRPr="003D209A">
        <w:rPr>
          <w:rFonts w:ascii="Times New Roman" w:hAnsi="Times New Roman"/>
          <w:lang w:val="pt-BR"/>
        </w:rPr>
        <w:t>mesoporosas</w:t>
      </w:r>
      <w:proofErr w:type="spellEnd"/>
      <w:r w:rsidRPr="003D209A">
        <w:rPr>
          <w:rFonts w:ascii="Times New Roman" w:hAnsi="Times New Roman"/>
          <w:lang w:val="pt-BR"/>
        </w:rPr>
        <w:t xml:space="preserve"> substituídas com alumínio é de fundamental importância para o projeto de catalisadores, principalmente investigações sobre a acidez destes modelos, algo que é pouco relatado na literatura.</w:t>
      </w:r>
    </w:p>
    <w:p w14:paraId="1579FFFE" w14:textId="4FFA3472" w:rsidR="003D209A" w:rsidRPr="001F25B2" w:rsidRDefault="003D209A" w:rsidP="00EA4E1B">
      <w:pPr>
        <w:pStyle w:val="TAMainText"/>
        <w:rPr>
          <w:rFonts w:ascii="Times New Roman" w:hAnsi="Times New Roman"/>
          <w:lang w:val="pt-BR"/>
        </w:rPr>
      </w:pPr>
      <w:r w:rsidRPr="003D209A">
        <w:rPr>
          <w:rFonts w:ascii="Times New Roman" w:hAnsi="Times New Roman"/>
          <w:lang w:val="pt-BR"/>
        </w:rPr>
        <w:t xml:space="preserve">Aqui, as propriedades ácidas de sítios ácidos em </w:t>
      </w:r>
      <w:r w:rsidRPr="00DC6C00">
        <w:rPr>
          <w:rFonts w:ascii="Times New Roman" w:hAnsi="Times New Roman"/>
          <w:i/>
          <w:iCs/>
          <w:lang w:val="pt-BR"/>
        </w:rPr>
        <w:t xml:space="preserve">clusters </w:t>
      </w:r>
      <w:r w:rsidRPr="003D209A">
        <w:rPr>
          <w:rFonts w:ascii="Times New Roman" w:hAnsi="Times New Roman"/>
          <w:lang w:val="pt-BR"/>
        </w:rPr>
        <w:t xml:space="preserve">AlSBA-15 foram investigadas por métodos de química computacional, baseados em </w:t>
      </w:r>
      <w:proofErr w:type="spellStart"/>
      <w:r w:rsidRPr="00217120">
        <w:rPr>
          <w:rFonts w:ascii="Times New Roman" w:hAnsi="Times New Roman"/>
          <w:i/>
          <w:iCs/>
          <w:lang w:val="pt-BR"/>
        </w:rPr>
        <w:t>Density</w:t>
      </w:r>
      <w:proofErr w:type="spellEnd"/>
      <w:r w:rsidRPr="00217120">
        <w:rPr>
          <w:rFonts w:ascii="Times New Roman" w:hAnsi="Times New Roman"/>
          <w:i/>
          <w:iCs/>
          <w:lang w:val="pt-BR"/>
        </w:rPr>
        <w:t xml:space="preserve"> </w:t>
      </w:r>
      <w:proofErr w:type="spellStart"/>
      <w:r w:rsidRPr="00217120">
        <w:rPr>
          <w:rFonts w:ascii="Times New Roman" w:hAnsi="Times New Roman"/>
          <w:i/>
          <w:iCs/>
          <w:lang w:val="pt-BR"/>
        </w:rPr>
        <w:t>Functional</w:t>
      </w:r>
      <w:proofErr w:type="spellEnd"/>
      <w:r w:rsidRPr="00217120">
        <w:rPr>
          <w:rFonts w:ascii="Times New Roman" w:hAnsi="Times New Roman"/>
          <w:i/>
          <w:iCs/>
          <w:lang w:val="pt-BR"/>
        </w:rPr>
        <w:t xml:space="preserve"> </w:t>
      </w:r>
      <w:proofErr w:type="spellStart"/>
      <w:r w:rsidRPr="00217120">
        <w:rPr>
          <w:rFonts w:ascii="Times New Roman" w:hAnsi="Times New Roman"/>
          <w:i/>
          <w:iCs/>
          <w:lang w:val="pt-BR"/>
        </w:rPr>
        <w:t>Theory</w:t>
      </w:r>
      <w:proofErr w:type="spellEnd"/>
      <w:r w:rsidRPr="003D209A">
        <w:rPr>
          <w:rFonts w:ascii="Times New Roman" w:hAnsi="Times New Roman"/>
          <w:lang w:val="pt-BR"/>
        </w:rPr>
        <w:t xml:space="preserve"> (DFT), pela adsorção de amônia como molécula-sonda e pela variação das propriedades vibracionais das matrizes.</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38B41A5A" w14:textId="5BFD9AF4" w:rsidR="003D209A" w:rsidRDefault="003D209A" w:rsidP="00EA4E1B">
      <w:pPr>
        <w:pStyle w:val="TAMainText"/>
        <w:rPr>
          <w:rFonts w:ascii="Times New Roman" w:hAnsi="Times New Roman"/>
          <w:lang w:val="pt-BR"/>
        </w:rPr>
      </w:pPr>
      <w:r w:rsidRPr="003D209A">
        <w:rPr>
          <w:rFonts w:ascii="Times New Roman" w:hAnsi="Times New Roman"/>
          <w:lang w:val="pt-BR"/>
        </w:rPr>
        <w:t xml:space="preserve">Todos os cálculos DFT foram realizados com potencial de troca e correlação B3LYP e conjunto de bases def2-SVP utilizando o software </w:t>
      </w:r>
      <w:proofErr w:type="spellStart"/>
      <w:r w:rsidRPr="003D209A">
        <w:rPr>
          <w:rFonts w:ascii="Times New Roman" w:hAnsi="Times New Roman"/>
          <w:lang w:val="pt-BR"/>
        </w:rPr>
        <w:t>Firefly</w:t>
      </w:r>
      <w:proofErr w:type="spellEnd"/>
      <w:r w:rsidRPr="003D209A">
        <w:rPr>
          <w:rFonts w:ascii="Times New Roman" w:hAnsi="Times New Roman"/>
          <w:lang w:val="pt-BR"/>
        </w:rPr>
        <w:t xml:space="preserve"> 8.2.0. Os cálculos de otimização de geometria e cálculos </w:t>
      </w:r>
      <w:proofErr w:type="spellStart"/>
      <w:r w:rsidRPr="00D030CB">
        <w:rPr>
          <w:rFonts w:ascii="Times New Roman" w:hAnsi="Times New Roman"/>
          <w:i/>
          <w:iCs/>
          <w:lang w:val="pt-BR"/>
        </w:rPr>
        <w:t>Hessian</w:t>
      </w:r>
      <w:proofErr w:type="spellEnd"/>
      <w:r w:rsidRPr="003D209A">
        <w:rPr>
          <w:rFonts w:ascii="Times New Roman" w:hAnsi="Times New Roman"/>
          <w:lang w:val="pt-BR"/>
        </w:rPr>
        <w:t xml:space="preserve"> foram executados tanto para o </w:t>
      </w:r>
      <w:r w:rsidRPr="00DC6C00">
        <w:rPr>
          <w:rFonts w:ascii="Times New Roman" w:hAnsi="Times New Roman"/>
          <w:i/>
          <w:iCs/>
          <w:lang w:val="pt-BR"/>
        </w:rPr>
        <w:t>cluster</w:t>
      </w:r>
      <w:r w:rsidRPr="003D209A">
        <w:rPr>
          <w:rFonts w:ascii="Times New Roman" w:hAnsi="Times New Roman"/>
          <w:lang w:val="pt-BR"/>
        </w:rPr>
        <w:t xml:space="preserve"> com o sítio ativo como para o mesmo interagindo com a amônia. Esses cálculos fornecem, respectivamente, as estruturas de equilíbrio e energias DFT, e parâmetros vibracionais na região do infravermelho (IR).</w:t>
      </w:r>
    </w:p>
    <w:p w14:paraId="2B2E7821" w14:textId="08FE4998" w:rsidR="003D209A" w:rsidRPr="00AC3B55" w:rsidRDefault="00D030CB" w:rsidP="00AC3B55">
      <w:pPr>
        <w:pStyle w:val="TAMainText"/>
        <w:spacing w:before="240"/>
        <w:ind w:firstLine="0"/>
        <w:rPr>
          <w:rFonts w:ascii="Times New Roman" w:hAnsi="Times New Roman"/>
          <w:i/>
          <w:iCs/>
          <w:lang w:val="pt-BR"/>
        </w:rPr>
      </w:pPr>
      <w:r>
        <w:rPr>
          <w:rFonts w:ascii="Times New Roman" w:hAnsi="Times New Roman"/>
          <w:i/>
          <w:iCs/>
          <w:lang w:val="pt-BR"/>
        </w:rPr>
        <w:t>Modelo</w:t>
      </w:r>
      <w:r w:rsidR="003D209A" w:rsidRPr="00AC3B55">
        <w:rPr>
          <w:rFonts w:ascii="Times New Roman" w:hAnsi="Times New Roman"/>
          <w:i/>
          <w:iCs/>
          <w:lang w:val="pt-BR"/>
        </w:rPr>
        <w:t xml:space="preserve"> SBA-15 utilizado</w:t>
      </w:r>
    </w:p>
    <w:p w14:paraId="13E53DA7" w14:textId="3A52D446" w:rsidR="00AC198E" w:rsidRDefault="003D209A" w:rsidP="00EA4E1B">
      <w:pPr>
        <w:pStyle w:val="TAMainText"/>
        <w:rPr>
          <w:rFonts w:ascii="Times New Roman" w:hAnsi="Times New Roman"/>
          <w:lang w:val="pt-BR"/>
        </w:rPr>
      </w:pPr>
      <w:r w:rsidRPr="003D209A">
        <w:rPr>
          <w:rFonts w:ascii="Times New Roman" w:hAnsi="Times New Roman"/>
          <w:lang w:val="pt-BR"/>
        </w:rPr>
        <w:t xml:space="preserve">Estudos DFT verificaram que anéis de cinco e de seis membros são os principais elementos estruturais nas superfícies de sílicas amorfas (11,13). Assim, um modelo com dois anéis de sílica de 5 e 6 membros interligados foi construído. Diferente do </w:t>
      </w:r>
      <w:r w:rsidRPr="00DC6C00">
        <w:rPr>
          <w:rFonts w:ascii="Times New Roman" w:hAnsi="Times New Roman"/>
          <w:i/>
          <w:iCs/>
          <w:lang w:val="pt-BR"/>
        </w:rPr>
        <w:t>cluster</w:t>
      </w:r>
      <w:r w:rsidRPr="003D209A">
        <w:rPr>
          <w:rFonts w:ascii="Times New Roman" w:hAnsi="Times New Roman"/>
          <w:lang w:val="pt-BR"/>
        </w:rPr>
        <w:t xml:space="preserve"> 5-6-s, onde os Si dos anéis são saturados com H (13), aqui, eles são saturados com “braços” de </w:t>
      </w:r>
      <w:proofErr w:type="spellStart"/>
      <w:r w:rsidRPr="003D209A">
        <w:rPr>
          <w:rFonts w:ascii="Times New Roman" w:hAnsi="Times New Roman"/>
          <w:lang w:val="pt-BR"/>
        </w:rPr>
        <w:t>siloxanos</w:t>
      </w:r>
      <w:proofErr w:type="spellEnd"/>
      <w:r w:rsidRPr="003D209A">
        <w:rPr>
          <w:rFonts w:ascii="Times New Roman" w:hAnsi="Times New Roman"/>
          <w:lang w:val="pt-BR"/>
        </w:rPr>
        <w:t xml:space="preserve">, onde cada Si terminal está ligado a três H (Que foram congelados durante todos os cálculos), conforme ilustra a Figura </w:t>
      </w:r>
      <w:r w:rsidR="00A16AF2">
        <w:rPr>
          <w:rFonts w:ascii="Times New Roman" w:hAnsi="Times New Roman"/>
          <w:lang w:val="pt-BR"/>
        </w:rPr>
        <w:t>3</w:t>
      </w:r>
      <w:r w:rsidRPr="003D209A">
        <w:rPr>
          <w:rFonts w:ascii="Times New Roman" w:hAnsi="Times New Roman"/>
          <w:lang w:val="pt-BR"/>
        </w:rPr>
        <w:t xml:space="preserve">. Essa modificação proporciona ao </w:t>
      </w:r>
      <w:proofErr w:type="spellStart"/>
      <w:r w:rsidRPr="003D209A">
        <w:rPr>
          <w:rFonts w:ascii="Times New Roman" w:hAnsi="Times New Roman"/>
          <w:lang w:val="pt-BR"/>
        </w:rPr>
        <w:t>heteroátomo</w:t>
      </w:r>
      <w:proofErr w:type="spellEnd"/>
      <w:r w:rsidRPr="003D209A">
        <w:rPr>
          <w:rFonts w:ascii="Times New Roman" w:hAnsi="Times New Roman"/>
          <w:lang w:val="pt-BR"/>
        </w:rPr>
        <w:t xml:space="preserve"> uma vizinhança mais adequada ao ser substituído, além de maior densidade de OH. A validação do modelo proposto foi realizada comparando os parâmetros geométricos obtidos com parâmetros experimentais e teóricos dispostos na literatura.</w:t>
      </w:r>
    </w:p>
    <w:p w14:paraId="74DF58FD" w14:textId="04432ABC" w:rsidR="003D209A" w:rsidRPr="003D209A" w:rsidRDefault="003D209A" w:rsidP="00AC3B55">
      <w:pPr>
        <w:pStyle w:val="TAMainText"/>
        <w:spacing w:before="240"/>
        <w:ind w:firstLine="0"/>
        <w:rPr>
          <w:rFonts w:ascii="Times New Roman" w:hAnsi="Times New Roman"/>
          <w:i/>
          <w:iCs/>
          <w:lang w:val="pt-BR"/>
        </w:rPr>
      </w:pPr>
      <w:r>
        <w:rPr>
          <w:rFonts w:ascii="Times New Roman" w:hAnsi="Times New Roman"/>
          <w:i/>
          <w:iCs/>
          <w:lang w:val="pt-BR"/>
        </w:rPr>
        <w:t xml:space="preserve">Construção dos </w:t>
      </w:r>
      <w:r w:rsidR="00D030CB">
        <w:rPr>
          <w:rFonts w:ascii="Times New Roman" w:hAnsi="Times New Roman"/>
          <w:i/>
          <w:iCs/>
          <w:lang w:val="pt-BR"/>
        </w:rPr>
        <w:t>modelos</w:t>
      </w:r>
      <w:r>
        <w:rPr>
          <w:rFonts w:ascii="Times New Roman" w:hAnsi="Times New Roman"/>
          <w:i/>
          <w:iCs/>
          <w:lang w:val="pt-BR"/>
        </w:rPr>
        <w:t xml:space="preserve"> AlSBA-15</w:t>
      </w:r>
    </w:p>
    <w:p w14:paraId="1624CAAE" w14:textId="6E56F0FD" w:rsidR="003D209A" w:rsidRDefault="003D209A" w:rsidP="00EA4E1B">
      <w:pPr>
        <w:pStyle w:val="TAMainText"/>
        <w:rPr>
          <w:rFonts w:ascii="Times New Roman" w:hAnsi="Times New Roman"/>
          <w:lang w:val="pt-BR"/>
        </w:rPr>
      </w:pPr>
      <w:r w:rsidRPr="003D209A">
        <w:rPr>
          <w:rFonts w:ascii="Times New Roman" w:hAnsi="Times New Roman"/>
          <w:lang w:val="pt-BR"/>
        </w:rPr>
        <w:t xml:space="preserve">A obtenção de sítios de Lewis no </w:t>
      </w:r>
      <w:r w:rsidRPr="00DC6C00">
        <w:rPr>
          <w:rFonts w:ascii="Times New Roman" w:hAnsi="Times New Roman"/>
          <w:i/>
          <w:iCs/>
          <w:lang w:val="pt-BR"/>
        </w:rPr>
        <w:t>cluster</w:t>
      </w:r>
      <w:r w:rsidRPr="003D209A">
        <w:rPr>
          <w:rFonts w:ascii="Times New Roman" w:hAnsi="Times New Roman"/>
          <w:lang w:val="pt-BR"/>
        </w:rPr>
        <w:t xml:space="preserve"> utilizado se dá por meio da substituição de Si por Al e consequente remoção da OH que antes formava o </w:t>
      </w:r>
      <w:proofErr w:type="spellStart"/>
      <w:r w:rsidRPr="003D209A">
        <w:rPr>
          <w:rFonts w:ascii="Times New Roman" w:hAnsi="Times New Roman"/>
          <w:lang w:val="pt-BR"/>
        </w:rPr>
        <w:t>silanol</w:t>
      </w:r>
      <w:proofErr w:type="spellEnd"/>
      <w:r w:rsidRPr="003D209A">
        <w:rPr>
          <w:rFonts w:ascii="Times New Roman" w:hAnsi="Times New Roman"/>
          <w:lang w:val="pt-BR"/>
        </w:rPr>
        <w:t xml:space="preserve">, o que leva à </w:t>
      </w:r>
      <w:r w:rsidRPr="003D209A">
        <w:rPr>
          <w:rFonts w:ascii="Times New Roman" w:hAnsi="Times New Roman"/>
          <w:lang w:val="pt-BR"/>
        </w:rPr>
        <w:t xml:space="preserve">formação de um sítio de Al tri-coordenado. Foram propostas duas matrizes com essa natureza química. A primeira contendo apenas um sítio de Lewis, resultado da substituição de um Al e remoção de uma OH, denominada de LAS1 (Figura </w:t>
      </w:r>
      <w:r w:rsidR="00A16AF2">
        <w:rPr>
          <w:rFonts w:ascii="Times New Roman" w:hAnsi="Times New Roman"/>
          <w:lang w:val="pt-BR"/>
        </w:rPr>
        <w:t>1</w:t>
      </w:r>
      <w:r w:rsidRPr="003D209A">
        <w:rPr>
          <w:rFonts w:ascii="Times New Roman" w:hAnsi="Times New Roman"/>
          <w:lang w:val="pt-BR"/>
        </w:rPr>
        <w:t xml:space="preserve">(a)), foi feita para avaliar a natureza ácida de LAS.  A segunda, foi construída com o intuito de investigar o efeito de deformações ocasionadas pela substituição de dois Al na rede. Nela, foram confeccionados dois sítios de Al tri-coordenado em anéis opostos. Essa matriz foi chamada de BAS(2MR) (Figura </w:t>
      </w:r>
      <w:r w:rsidR="00A16AF2">
        <w:rPr>
          <w:rFonts w:ascii="Times New Roman" w:hAnsi="Times New Roman"/>
          <w:lang w:val="pt-BR"/>
        </w:rPr>
        <w:t>1</w:t>
      </w:r>
      <w:r w:rsidRPr="003D209A">
        <w:rPr>
          <w:rFonts w:ascii="Times New Roman" w:hAnsi="Times New Roman"/>
          <w:lang w:val="pt-BR"/>
        </w:rPr>
        <w:t>(b)), por levar à formação de um defeito de natureza “</w:t>
      </w:r>
      <w:r w:rsidRPr="00E91580">
        <w:rPr>
          <w:rFonts w:ascii="Times New Roman" w:hAnsi="Times New Roman"/>
          <w:i/>
          <w:iCs/>
          <w:lang w:val="pt-BR"/>
        </w:rPr>
        <w:t xml:space="preserve">2 </w:t>
      </w:r>
      <w:proofErr w:type="spellStart"/>
      <w:r w:rsidRPr="00E91580">
        <w:rPr>
          <w:rFonts w:ascii="Times New Roman" w:hAnsi="Times New Roman"/>
          <w:i/>
          <w:iCs/>
          <w:lang w:val="pt-BR"/>
        </w:rPr>
        <w:t>member</w:t>
      </w:r>
      <w:proofErr w:type="spellEnd"/>
      <w:r w:rsidRPr="00E91580">
        <w:rPr>
          <w:rFonts w:ascii="Times New Roman" w:hAnsi="Times New Roman"/>
          <w:i/>
          <w:iCs/>
          <w:lang w:val="pt-BR"/>
        </w:rPr>
        <w:t xml:space="preserve"> </w:t>
      </w:r>
      <w:proofErr w:type="spellStart"/>
      <w:r w:rsidRPr="00E91580">
        <w:rPr>
          <w:rFonts w:ascii="Times New Roman" w:hAnsi="Times New Roman"/>
          <w:i/>
          <w:iCs/>
          <w:lang w:val="pt-BR"/>
        </w:rPr>
        <w:t>rings</w:t>
      </w:r>
      <w:proofErr w:type="spellEnd"/>
      <w:r w:rsidRPr="003D209A">
        <w:rPr>
          <w:rFonts w:ascii="Times New Roman" w:hAnsi="Times New Roman"/>
          <w:lang w:val="pt-BR"/>
        </w:rPr>
        <w:t>” (11), onde foi investigada somente a acidez do BAS.</w:t>
      </w:r>
    </w:p>
    <w:p w14:paraId="350296C3" w14:textId="6A4EC620" w:rsidR="003D209A" w:rsidRDefault="003D209A" w:rsidP="00EA4E1B">
      <w:pPr>
        <w:pStyle w:val="TAMainText"/>
        <w:rPr>
          <w:rFonts w:ascii="Times New Roman" w:hAnsi="Times New Roman"/>
          <w:lang w:val="pt-BR"/>
        </w:rPr>
      </w:pPr>
      <w:r w:rsidRPr="003D209A">
        <w:rPr>
          <w:rFonts w:ascii="Times New Roman" w:hAnsi="Times New Roman"/>
          <w:lang w:val="pt-BR"/>
        </w:rPr>
        <w:t xml:space="preserve">Na terceira matriz, o desbalanço de carga ocasionado pela substituição isomórfica de Si por Al foi compensado pela </w:t>
      </w:r>
      <w:proofErr w:type="spellStart"/>
      <w:r w:rsidRPr="003D209A">
        <w:rPr>
          <w:rFonts w:ascii="Times New Roman" w:hAnsi="Times New Roman"/>
          <w:lang w:val="pt-BR"/>
        </w:rPr>
        <w:t>protonação</w:t>
      </w:r>
      <w:proofErr w:type="spellEnd"/>
      <w:r w:rsidRPr="003D209A">
        <w:rPr>
          <w:rFonts w:ascii="Times New Roman" w:hAnsi="Times New Roman"/>
          <w:lang w:val="pt-BR"/>
        </w:rPr>
        <w:t xml:space="preserve"> de um O vizinho ao Al, levando à formação de um sítio ácido de </w:t>
      </w:r>
      <w:proofErr w:type="spellStart"/>
      <w:r w:rsidRPr="003D209A">
        <w:rPr>
          <w:rFonts w:ascii="Times New Roman" w:hAnsi="Times New Roman"/>
          <w:lang w:val="pt-BR"/>
        </w:rPr>
        <w:t>Bronsted</w:t>
      </w:r>
      <w:proofErr w:type="spellEnd"/>
      <w:r w:rsidRPr="003D209A">
        <w:rPr>
          <w:rFonts w:ascii="Times New Roman" w:hAnsi="Times New Roman"/>
          <w:lang w:val="pt-BR"/>
        </w:rPr>
        <w:t xml:space="preserve"> com OH em ponte. Essa matriz foi chamada de BASB e o sítio ativo está ilustrado pela Figura </w:t>
      </w:r>
      <w:r w:rsidR="00A16AF2">
        <w:rPr>
          <w:rFonts w:ascii="Times New Roman" w:hAnsi="Times New Roman"/>
          <w:lang w:val="pt-BR"/>
        </w:rPr>
        <w:t>1</w:t>
      </w:r>
      <w:r w:rsidRPr="003D209A">
        <w:rPr>
          <w:rFonts w:ascii="Times New Roman" w:hAnsi="Times New Roman"/>
          <w:lang w:val="pt-BR"/>
        </w:rPr>
        <w:t>(c).</w:t>
      </w:r>
    </w:p>
    <w:p w14:paraId="280D0B55" w14:textId="276D2A63" w:rsidR="003D209A" w:rsidRDefault="003D209A" w:rsidP="00EA4E1B">
      <w:pPr>
        <w:pStyle w:val="TAMainText"/>
        <w:rPr>
          <w:rFonts w:ascii="Times New Roman" w:hAnsi="Times New Roman"/>
          <w:lang w:val="pt-BR"/>
        </w:rPr>
      </w:pPr>
      <w:r w:rsidRPr="003D209A">
        <w:rPr>
          <w:rFonts w:ascii="Times New Roman" w:hAnsi="Times New Roman"/>
          <w:lang w:val="pt-BR"/>
        </w:rPr>
        <w:t>Um dos parâmetros utilizados para estimar a força ácida dos BAS foi o desvio relativo à frequência vibracional de estiramento do agrupamento O-H na região do IR.</w:t>
      </w:r>
    </w:p>
    <w:p w14:paraId="6E041605" w14:textId="77777777" w:rsidR="00BA3C58" w:rsidRDefault="00BA3C58" w:rsidP="00BA3C58">
      <w:pPr>
        <w:pStyle w:val="TAMainText"/>
        <w:spacing w:before="240"/>
        <w:ind w:firstLine="0"/>
        <w:rPr>
          <w:rFonts w:ascii="Times New Roman" w:hAnsi="Times New Roman"/>
          <w:lang w:val="pt-BR"/>
        </w:rPr>
      </w:pPr>
      <w:r>
        <w:rPr>
          <w:noProof/>
        </w:rPr>
        <w:drawing>
          <wp:anchor distT="0" distB="0" distL="114300" distR="114300" simplePos="0" relativeHeight="251662335" behindDoc="1" locked="0" layoutInCell="1" allowOverlap="1" wp14:anchorId="489AFC04" wp14:editId="7CC2F59F">
            <wp:simplePos x="0" y="0"/>
            <wp:positionH relativeFrom="column">
              <wp:posOffset>64135</wp:posOffset>
            </wp:positionH>
            <wp:positionV relativeFrom="paragraph">
              <wp:posOffset>479263</wp:posOffset>
            </wp:positionV>
            <wp:extent cx="2882900" cy="1475740"/>
            <wp:effectExtent l="0" t="0" r="0" b="0"/>
            <wp:wrapTight wrapText="bothSides">
              <wp:wrapPolygon edited="0">
                <wp:start x="143" y="0"/>
                <wp:lineTo x="0" y="558"/>
                <wp:lineTo x="0" y="21191"/>
                <wp:lineTo x="21410" y="21191"/>
                <wp:lineTo x="21410" y="0"/>
                <wp:lineTo x="143" y="0"/>
              </wp:wrapPolygon>
            </wp:wrapTight>
            <wp:docPr id="5" name="Imagem 5"/>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2900" cy="1475740"/>
                    </a:xfrm>
                    <a:prstGeom prst="rect">
                      <a:avLst/>
                    </a:prstGeom>
                    <a:noFill/>
                  </pic:spPr>
                </pic:pic>
              </a:graphicData>
            </a:graphic>
          </wp:anchor>
        </w:drawing>
      </w:r>
      <w:r>
        <w:rPr>
          <w:rFonts w:ascii="Times New Roman" w:hAnsi="Times New Roman"/>
          <w:b/>
          <w:bCs/>
          <w:lang w:val="pt-BR"/>
        </w:rPr>
        <w:t xml:space="preserve">Figura 1. </w:t>
      </w:r>
      <w:r>
        <w:rPr>
          <w:rFonts w:ascii="Times New Roman" w:hAnsi="Times New Roman"/>
          <w:lang w:val="pt-BR"/>
        </w:rPr>
        <w:t>Sítios ativos em: (a) LAS1, (b) BAS(2MR), (c) BASB.</w:t>
      </w:r>
    </w:p>
    <w:p w14:paraId="2DCDBB66" w14:textId="77777777" w:rsidR="00BA3C58" w:rsidRPr="00A316EA" w:rsidRDefault="00BA3C58" w:rsidP="00BA3C58">
      <w:pPr>
        <w:pStyle w:val="TAMainText"/>
        <w:ind w:firstLine="0"/>
        <w:rPr>
          <w:rFonts w:ascii="Times New Roman" w:hAnsi="Times New Roman"/>
          <w:lang w:val="pt-BR"/>
        </w:rPr>
      </w:pPr>
      <w:r w:rsidRPr="00A316EA">
        <w:rPr>
          <w:rFonts w:ascii="Times New Roman" w:hAnsi="Times New Roman"/>
          <w:b/>
          <w:bCs/>
          <w:lang w:val="pt-BR"/>
        </w:rPr>
        <w:t>Fonte:</w:t>
      </w:r>
      <w:r>
        <w:rPr>
          <w:rFonts w:ascii="Times New Roman" w:hAnsi="Times New Roman"/>
          <w:lang w:val="pt-BR"/>
        </w:rPr>
        <w:t xml:space="preserve"> Autoria própria.</w:t>
      </w:r>
    </w:p>
    <w:p w14:paraId="53D653DC" w14:textId="424E2992" w:rsidR="003D209A" w:rsidRDefault="003D209A" w:rsidP="00AC3B55">
      <w:pPr>
        <w:pStyle w:val="TAMainText"/>
        <w:spacing w:before="240"/>
        <w:ind w:firstLine="0"/>
        <w:rPr>
          <w:rFonts w:ascii="Times New Roman" w:hAnsi="Times New Roman"/>
          <w:i/>
          <w:iCs/>
          <w:lang w:val="pt-BR"/>
        </w:rPr>
      </w:pPr>
      <w:r>
        <w:rPr>
          <w:rFonts w:ascii="Times New Roman" w:hAnsi="Times New Roman"/>
          <w:i/>
          <w:iCs/>
          <w:lang w:val="pt-BR"/>
        </w:rPr>
        <w:t>Adsorção de amônia</w:t>
      </w:r>
    </w:p>
    <w:p w14:paraId="2DA36A97" w14:textId="632F4DB2" w:rsidR="003D209A" w:rsidRDefault="003D209A" w:rsidP="001971E0">
      <w:pPr>
        <w:pStyle w:val="TAMainText"/>
        <w:rPr>
          <w:rFonts w:ascii="Times New Roman" w:hAnsi="Times New Roman"/>
          <w:lang w:val="pt-BR"/>
        </w:rPr>
      </w:pPr>
      <w:r w:rsidRPr="003D209A">
        <w:rPr>
          <w:rFonts w:ascii="Times New Roman" w:hAnsi="Times New Roman"/>
          <w:lang w:val="pt-BR"/>
        </w:rPr>
        <w:t xml:space="preserve">Para estimar as forças ácidas dos BAS e LAS propostos em relação ao </w:t>
      </w:r>
      <w:proofErr w:type="spellStart"/>
      <w:r w:rsidRPr="003D209A">
        <w:rPr>
          <w:rFonts w:ascii="Times New Roman" w:hAnsi="Times New Roman"/>
          <w:lang w:val="pt-BR"/>
        </w:rPr>
        <w:t>silanol</w:t>
      </w:r>
      <w:proofErr w:type="spellEnd"/>
      <w:r w:rsidRPr="003D209A">
        <w:rPr>
          <w:rFonts w:ascii="Times New Roman" w:hAnsi="Times New Roman"/>
          <w:lang w:val="pt-BR"/>
        </w:rPr>
        <w:t>, foi realizada a otimização de geometria da matriz interagindo com amônia como modelo de molécula-sonda. A energia de adsorção da amônia (</w:t>
      </w:r>
      <m:oMath>
        <m:r>
          <w:rPr>
            <w:rFonts w:ascii="Cambria Math" w:hAnsi="Cambria Math"/>
            <w:lang w:val="pt-BR"/>
          </w:rPr>
          <m:t>∆</m:t>
        </m:r>
        <m:sSub>
          <m:sSubPr>
            <m:ctrlPr>
              <w:rPr>
                <w:rFonts w:ascii="Cambria Math" w:hAnsi="Cambria Math"/>
                <w:i/>
                <w:lang w:val="pt-BR"/>
              </w:rPr>
            </m:ctrlPr>
          </m:sSubPr>
          <m:e>
            <m:r>
              <w:rPr>
                <w:rFonts w:ascii="Cambria Math" w:hAnsi="Cambria Math"/>
                <w:lang w:val="pt-BR"/>
              </w:rPr>
              <m:t>E</m:t>
            </m:r>
          </m:e>
          <m:sub>
            <m:r>
              <w:rPr>
                <w:rFonts w:ascii="Cambria Math" w:hAnsi="Cambria Math"/>
                <w:lang w:val="pt-BR"/>
              </w:rPr>
              <m:t>ads</m:t>
            </m:r>
          </m:sub>
        </m:sSub>
      </m:oMath>
      <w:r w:rsidRPr="003D209A">
        <w:rPr>
          <w:rFonts w:ascii="Times New Roman" w:hAnsi="Times New Roman"/>
          <w:lang w:val="pt-BR"/>
        </w:rPr>
        <w:t xml:space="preserve">) é dada pela </w:t>
      </w:r>
      <w:r w:rsidR="00024E02">
        <w:rPr>
          <w:rFonts w:ascii="Times New Roman" w:hAnsi="Times New Roman"/>
          <w:lang w:val="pt-BR"/>
        </w:rPr>
        <w:t>Eq</w:t>
      </w:r>
      <w:r w:rsidR="00B101B3">
        <w:rPr>
          <w:rFonts w:ascii="Times New Roman" w:hAnsi="Times New Roman"/>
          <w:lang w:val="pt-BR"/>
        </w:rPr>
        <w:t>.</w:t>
      </w:r>
      <w:r w:rsidRPr="003D209A">
        <w:rPr>
          <w:rFonts w:ascii="Times New Roman" w:hAnsi="Times New Roman"/>
          <w:lang w:val="pt-BR"/>
        </w:rPr>
        <w:t xml:space="preserve"> (1):</w:t>
      </w:r>
    </w:p>
    <w:tbl>
      <w:tblPr>
        <w:tblStyle w:val="Tabelacomgrade"/>
        <w:tblW w:w="4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794"/>
      </w:tblGrid>
      <w:tr w:rsidR="001969A8" w14:paraId="4161ED50" w14:textId="77777777" w:rsidTr="00E47146">
        <w:tc>
          <w:tcPr>
            <w:tcW w:w="4082" w:type="dxa"/>
            <w:vAlign w:val="center"/>
          </w:tcPr>
          <w:p w14:paraId="6A7C50AB" w14:textId="6460C8D9" w:rsidR="001971E0" w:rsidRDefault="001971E0" w:rsidP="00E47146">
            <w:pPr>
              <w:pStyle w:val="TAMainText"/>
              <w:spacing w:before="240" w:after="240"/>
              <w:ind w:firstLine="0"/>
              <w:jc w:val="right"/>
              <w:rPr>
                <w:rFonts w:ascii="Times New Roman" w:hAnsi="Times New Roman"/>
                <w:lang w:val="pt-BR"/>
              </w:rPr>
            </w:pPr>
            <m:oMathPara>
              <m:oMath>
                <m:r>
                  <w:rPr>
                    <w:rFonts w:ascii="Cambria Math" w:hAnsi="Cambria Math"/>
                    <w:lang w:val="pt-BR"/>
                  </w:rPr>
                  <m:t>∆</m:t>
                </m:r>
                <m:sSub>
                  <m:sSubPr>
                    <m:ctrlPr>
                      <w:rPr>
                        <w:rFonts w:ascii="Cambria Math" w:hAnsi="Cambria Math"/>
                        <w:i/>
                        <w:lang w:val="pt-BR"/>
                      </w:rPr>
                    </m:ctrlPr>
                  </m:sSubPr>
                  <m:e>
                    <m:r>
                      <w:rPr>
                        <w:rFonts w:ascii="Cambria Math" w:hAnsi="Cambria Math"/>
                        <w:lang w:val="pt-BR"/>
                      </w:rPr>
                      <m:t>E</m:t>
                    </m:r>
                  </m:e>
                  <m:sub>
                    <m:r>
                      <w:rPr>
                        <w:rFonts w:ascii="Cambria Math" w:hAnsi="Cambria Math"/>
                        <w:lang w:val="pt-BR"/>
                      </w:rPr>
                      <m:t>ads</m:t>
                    </m:r>
                  </m:sub>
                </m:sSub>
                <m:r>
                  <w:rPr>
                    <w:rFonts w:ascii="Cambria Math" w:hAnsi="Cambria Math"/>
                    <w:lang w:val="pt-BR"/>
                  </w:rPr>
                  <m:t>=</m:t>
                </m:r>
                <m:sSub>
                  <m:sSubPr>
                    <m:ctrlPr>
                      <w:rPr>
                        <w:rFonts w:ascii="Cambria Math" w:hAnsi="Cambria Math"/>
                        <w:i/>
                        <w:lang w:val="pt-BR"/>
                      </w:rPr>
                    </m:ctrlPr>
                  </m:sSubPr>
                  <m:e>
                    <m:r>
                      <w:rPr>
                        <w:rFonts w:ascii="Cambria Math" w:hAnsi="Cambria Math"/>
                        <w:lang w:val="pt-BR"/>
                      </w:rPr>
                      <m:t>E</m:t>
                    </m:r>
                  </m:e>
                  <m:sub>
                    <m:r>
                      <w:rPr>
                        <w:rFonts w:ascii="Cambria Math" w:hAnsi="Cambria Math"/>
                        <w:lang w:val="pt-BR"/>
                      </w:rPr>
                      <m:t>N</m:t>
                    </m:r>
                    <m:sSub>
                      <m:sSubPr>
                        <m:ctrlPr>
                          <w:rPr>
                            <w:rFonts w:ascii="Cambria Math" w:hAnsi="Cambria Math"/>
                            <w:i/>
                            <w:lang w:val="pt-BR"/>
                          </w:rPr>
                        </m:ctrlPr>
                      </m:sSubPr>
                      <m:e>
                        <m:r>
                          <w:rPr>
                            <w:rFonts w:ascii="Cambria Math" w:hAnsi="Cambria Math"/>
                            <w:lang w:val="pt-BR"/>
                          </w:rPr>
                          <m:t>H</m:t>
                        </m:r>
                      </m:e>
                      <m:sub>
                        <m:r>
                          <w:rPr>
                            <w:rFonts w:ascii="Cambria Math" w:hAnsi="Cambria Math"/>
                            <w:lang w:val="pt-BR"/>
                          </w:rPr>
                          <m:t>3</m:t>
                        </m:r>
                      </m:sub>
                    </m:sSub>
                    <m:r>
                      <w:rPr>
                        <w:rFonts w:ascii="Cambria Math" w:hAnsi="Cambria Math"/>
                        <w:lang w:val="pt-BR"/>
                      </w:rPr>
                      <m:t>-SBA</m:t>
                    </m:r>
                  </m:sub>
                </m:sSub>
                <m:r>
                  <w:rPr>
                    <w:rFonts w:ascii="Cambria Math" w:hAnsi="Cambria Math"/>
                    <w:lang w:val="pt-BR"/>
                  </w:rPr>
                  <m:t>-</m:t>
                </m:r>
                <m:d>
                  <m:dPr>
                    <m:ctrlPr>
                      <w:rPr>
                        <w:rFonts w:ascii="Cambria Math" w:hAnsi="Cambria Math"/>
                        <w:i/>
                        <w:lang w:val="pt-BR"/>
                      </w:rPr>
                    </m:ctrlPr>
                  </m:dPr>
                  <m:e>
                    <m:sSub>
                      <m:sSubPr>
                        <m:ctrlPr>
                          <w:rPr>
                            <w:rFonts w:ascii="Cambria Math" w:hAnsi="Cambria Math"/>
                            <w:i/>
                            <w:lang w:val="pt-BR"/>
                          </w:rPr>
                        </m:ctrlPr>
                      </m:sSubPr>
                      <m:e>
                        <m:r>
                          <w:rPr>
                            <w:rFonts w:ascii="Cambria Math" w:hAnsi="Cambria Math"/>
                            <w:lang w:val="pt-BR"/>
                          </w:rPr>
                          <m:t>E</m:t>
                        </m:r>
                      </m:e>
                      <m:sub>
                        <m:r>
                          <w:rPr>
                            <w:rFonts w:ascii="Cambria Math" w:hAnsi="Cambria Math"/>
                            <w:lang w:val="pt-BR"/>
                          </w:rPr>
                          <m:t>N</m:t>
                        </m:r>
                        <m:sSub>
                          <m:sSubPr>
                            <m:ctrlPr>
                              <w:rPr>
                                <w:rFonts w:ascii="Cambria Math" w:hAnsi="Cambria Math"/>
                                <w:i/>
                                <w:lang w:val="pt-BR"/>
                              </w:rPr>
                            </m:ctrlPr>
                          </m:sSubPr>
                          <m:e>
                            <m:r>
                              <w:rPr>
                                <w:rFonts w:ascii="Cambria Math" w:hAnsi="Cambria Math"/>
                                <w:lang w:val="pt-BR"/>
                              </w:rPr>
                              <m:t>H</m:t>
                            </m:r>
                          </m:e>
                          <m:sub>
                            <m:r>
                              <w:rPr>
                                <w:rFonts w:ascii="Cambria Math" w:hAnsi="Cambria Math"/>
                                <w:lang w:val="pt-BR"/>
                              </w:rPr>
                              <m:t>3</m:t>
                            </m:r>
                          </m:sub>
                        </m:sSub>
                      </m:sub>
                    </m:sSub>
                    <m:r>
                      <w:rPr>
                        <w:rFonts w:ascii="Cambria Math" w:hAnsi="Cambria Math"/>
                        <w:lang w:val="pt-BR"/>
                      </w:rPr>
                      <m:t>+</m:t>
                    </m:r>
                    <m:sSub>
                      <m:sSubPr>
                        <m:ctrlPr>
                          <w:rPr>
                            <w:rFonts w:ascii="Cambria Math" w:hAnsi="Cambria Math"/>
                            <w:i/>
                            <w:lang w:val="pt-BR"/>
                          </w:rPr>
                        </m:ctrlPr>
                      </m:sSubPr>
                      <m:e>
                        <m:r>
                          <w:rPr>
                            <w:rFonts w:ascii="Cambria Math" w:hAnsi="Cambria Math"/>
                            <w:lang w:val="pt-BR"/>
                          </w:rPr>
                          <m:t>E</m:t>
                        </m:r>
                      </m:e>
                      <m:sub>
                        <m:r>
                          <w:rPr>
                            <w:rFonts w:ascii="Cambria Math" w:hAnsi="Cambria Math"/>
                            <w:lang w:val="pt-BR"/>
                          </w:rPr>
                          <m:t>SBA</m:t>
                        </m:r>
                      </m:sub>
                    </m:sSub>
                  </m:e>
                </m:d>
              </m:oMath>
            </m:oMathPara>
          </w:p>
        </w:tc>
        <w:tc>
          <w:tcPr>
            <w:tcW w:w="794" w:type="dxa"/>
            <w:vAlign w:val="center"/>
          </w:tcPr>
          <w:p w14:paraId="3E2F8DDB" w14:textId="008766C2" w:rsidR="001971E0" w:rsidRDefault="00822835" w:rsidP="00822835">
            <w:pPr>
              <w:pStyle w:val="TAMainText"/>
              <w:spacing w:before="240" w:after="240"/>
              <w:ind w:firstLine="0"/>
              <w:jc w:val="right"/>
              <w:rPr>
                <w:rFonts w:ascii="Times New Roman" w:hAnsi="Times New Roman"/>
                <w:lang w:val="pt-BR"/>
              </w:rPr>
            </w:pPr>
            <w:r>
              <w:rPr>
                <w:rFonts w:ascii="Times New Roman" w:hAnsi="Times New Roman"/>
                <w:lang w:val="pt-BR"/>
              </w:rPr>
              <w:t>E</w:t>
            </w:r>
            <w:r w:rsidR="001971E0">
              <w:rPr>
                <w:rFonts w:ascii="Times New Roman" w:hAnsi="Times New Roman"/>
                <w:lang w:val="pt-BR"/>
              </w:rPr>
              <w:t>q</w:t>
            </w:r>
            <w:r>
              <w:rPr>
                <w:rFonts w:ascii="Times New Roman" w:hAnsi="Times New Roman"/>
                <w:lang w:val="pt-BR"/>
              </w:rPr>
              <w:t>.</w:t>
            </w:r>
            <w:r w:rsidR="001971E0">
              <w:rPr>
                <w:rFonts w:ascii="Times New Roman" w:hAnsi="Times New Roman"/>
                <w:lang w:val="pt-BR"/>
              </w:rPr>
              <w:t xml:space="preserve"> (1)</w:t>
            </w:r>
          </w:p>
        </w:tc>
      </w:tr>
    </w:tbl>
    <w:p w14:paraId="37C30760" w14:textId="15FB8B49" w:rsidR="003D209A" w:rsidRDefault="003D209A" w:rsidP="00EA4E1B">
      <w:pPr>
        <w:pStyle w:val="TAMainText"/>
        <w:rPr>
          <w:rFonts w:ascii="Times New Roman" w:hAnsi="Times New Roman"/>
          <w:lang w:val="pt-BR"/>
        </w:rPr>
      </w:pPr>
      <w:r w:rsidRPr="003D209A">
        <w:rPr>
          <w:rFonts w:ascii="Times New Roman" w:hAnsi="Times New Roman"/>
          <w:lang w:val="pt-BR"/>
        </w:rPr>
        <w:t xml:space="preserve">Onde </w:t>
      </w:r>
      <m:oMath>
        <m:sSub>
          <m:sSubPr>
            <m:ctrlPr>
              <w:rPr>
                <w:rFonts w:ascii="Cambria Math" w:hAnsi="Cambria Math"/>
                <w:i/>
                <w:lang w:val="pt-BR"/>
              </w:rPr>
            </m:ctrlPr>
          </m:sSubPr>
          <m:e>
            <m:r>
              <w:rPr>
                <w:rFonts w:ascii="Cambria Math" w:hAnsi="Cambria Math"/>
                <w:lang w:val="pt-BR"/>
              </w:rPr>
              <m:t>E</m:t>
            </m:r>
          </m:e>
          <m:sub>
            <m:r>
              <w:rPr>
                <w:rFonts w:ascii="Cambria Math" w:hAnsi="Cambria Math"/>
                <w:lang w:val="pt-BR"/>
              </w:rPr>
              <m:t>N</m:t>
            </m:r>
            <m:sSub>
              <m:sSubPr>
                <m:ctrlPr>
                  <w:rPr>
                    <w:rFonts w:ascii="Cambria Math" w:hAnsi="Cambria Math"/>
                    <w:i/>
                    <w:lang w:val="pt-BR"/>
                  </w:rPr>
                </m:ctrlPr>
              </m:sSubPr>
              <m:e>
                <m:r>
                  <w:rPr>
                    <w:rFonts w:ascii="Cambria Math" w:hAnsi="Cambria Math"/>
                    <w:lang w:val="pt-BR"/>
                  </w:rPr>
                  <m:t>H</m:t>
                </m:r>
              </m:e>
              <m:sub>
                <m:r>
                  <w:rPr>
                    <w:rFonts w:ascii="Cambria Math" w:hAnsi="Cambria Math"/>
                    <w:lang w:val="pt-BR"/>
                  </w:rPr>
                  <m:t>3</m:t>
                </m:r>
              </m:sub>
            </m:sSub>
            <m:r>
              <w:rPr>
                <w:rFonts w:ascii="Cambria Math" w:hAnsi="Cambria Math"/>
                <w:lang w:val="pt-BR"/>
              </w:rPr>
              <m:t>-SBA</m:t>
            </m:r>
          </m:sub>
        </m:sSub>
      </m:oMath>
      <w:r w:rsidRPr="003D209A">
        <w:rPr>
          <w:rFonts w:ascii="Times New Roman" w:hAnsi="Times New Roman"/>
          <w:lang w:val="pt-BR"/>
        </w:rPr>
        <w:t xml:space="preserve"> é a energia DFT do </w:t>
      </w:r>
      <w:r w:rsidRPr="003D209A">
        <w:rPr>
          <w:rFonts w:ascii="Times New Roman" w:hAnsi="Times New Roman"/>
          <w:i/>
          <w:iCs/>
          <w:lang w:val="pt-BR"/>
        </w:rPr>
        <w:t>cluster</w:t>
      </w:r>
      <w:r w:rsidRPr="003D209A">
        <w:rPr>
          <w:rFonts w:ascii="Times New Roman" w:hAnsi="Times New Roman"/>
          <w:lang w:val="pt-BR"/>
        </w:rPr>
        <w:t xml:space="preserve"> interagindo com amônia, </w:t>
      </w:r>
      <m:oMath>
        <m:sSub>
          <m:sSubPr>
            <m:ctrlPr>
              <w:rPr>
                <w:rFonts w:ascii="Cambria Math" w:hAnsi="Cambria Math"/>
                <w:i/>
                <w:lang w:val="pt-BR"/>
              </w:rPr>
            </m:ctrlPr>
          </m:sSubPr>
          <m:e>
            <m:r>
              <w:rPr>
                <w:rFonts w:ascii="Cambria Math" w:hAnsi="Cambria Math"/>
                <w:lang w:val="pt-BR"/>
              </w:rPr>
              <m:t>E</m:t>
            </m:r>
          </m:e>
          <m:sub>
            <m:r>
              <w:rPr>
                <w:rFonts w:ascii="Cambria Math" w:hAnsi="Cambria Math"/>
                <w:lang w:val="pt-BR"/>
              </w:rPr>
              <m:t>N</m:t>
            </m:r>
            <m:sSub>
              <m:sSubPr>
                <m:ctrlPr>
                  <w:rPr>
                    <w:rFonts w:ascii="Cambria Math" w:hAnsi="Cambria Math"/>
                    <w:i/>
                    <w:lang w:val="pt-BR"/>
                  </w:rPr>
                </m:ctrlPr>
              </m:sSubPr>
              <m:e>
                <m:r>
                  <w:rPr>
                    <w:rFonts w:ascii="Cambria Math" w:hAnsi="Cambria Math"/>
                    <w:lang w:val="pt-BR"/>
                  </w:rPr>
                  <m:t>H</m:t>
                </m:r>
              </m:e>
              <m:sub>
                <m:r>
                  <w:rPr>
                    <w:rFonts w:ascii="Cambria Math" w:hAnsi="Cambria Math"/>
                    <w:lang w:val="pt-BR"/>
                  </w:rPr>
                  <m:t>3</m:t>
                </m:r>
              </m:sub>
            </m:sSub>
          </m:sub>
        </m:sSub>
      </m:oMath>
      <w:r w:rsidRPr="003D209A">
        <w:rPr>
          <w:rFonts w:ascii="Times New Roman" w:hAnsi="Times New Roman"/>
          <w:lang w:val="pt-BR"/>
        </w:rPr>
        <w:t xml:space="preserve"> é a energia DFT da amônia isolada e </w:t>
      </w:r>
      <m:oMath>
        <m:sSub>
          <m:sSubPr>
            <m:ctrlPr>
              <w:rPr>
                <w:rFonts w:ascii="Cambria Math" w:hAnsi="Cambria Math"/>
                <w:i/>
                <w:lang w:val="pt-BR"/>
              </w:rPr>
            </m:ctrlPr>
          </m:sSubPr>
          <m:e>
            <m:r>
              <w:rPr>
                <w:rFonts w:ascii="Cambria Math" w:hAnsi="Cambria Math"/>
                <w:lang w:val="pt-BR"/>
              </w:rPr>
              <m:t>E</m:t>
            </m:r>
          </m:e>
          <m:sub>
            <m:r>
              <w:rPr>
                <w:rFonts w:ascii="Cambria Math" w:hAnsi="Cambria Math"/>
                <w:lang w:val="pt-BR"/>
              </w:rPr>
              <m:t>SBA</m:t>
            </m:r>
          </m:sub>
        </m:sSub>
      </m:oMath>
      <w:r w:rsidRPr="003D209A">
        <w:rPr>
          <w:rFonts w:ascii="Times New Roman" w:hAnsi="Times New Roman"/>
          <w:lang w:val="pt-BR"/>
        </w:rPr>
        <w:t xml:space="preserve"> a energia DFT do </w:t>
      </w:r>
      <w:r w:rsidRPr="002B5AD0">
        <w:rPr>
          <w:rFonts w:ascii="Times New Roman" w:hAnsi="Times New Roman"/>
          <w:i/>
          <w:iCs/>
          <w:lang w:val="pt-BR"/>
        </w:rPr>
        <w:t>cluster</w:t>
      </w:r>
      <w:r w:rsidR="002B5AD0">
        <w:rPr>
          <w:rFonts w:ascii="Times New Roman" w:hAnsi="Times New Roman"/>
          <w:lang w:val="pt-BR"/>
        </w:rPr>
        <w:t xml:space="preserve"> SBA-15 e AlSBA-15</w:t>
      </w:r>
      <w:r w:rsidRPr="003D209A">
        <w:rPr>
          <w:rFonts w:ascii="Times New Roman" w:hAnsi="Times New Roman"/>
          <w:lang w:val="pt-BR"/>
        </w:rPr>
        <w:t xml:space="preserve">. A distinção entre BAS e LAS se deu pela vibração na região do IR associada à ligação da amônia com a OH e com o centro metálico, respectivamente. As interações entre a amônia e os sítios ativos dos </w:t>
      </w:r>
      <w:r w:rsidRPr="00DC6C00">
        <w:rPr>
          <w:rFonts w:ascii="Times New Roman" w:hAnsi="Times New Roman"/>
          <w:i/>
          <w:iCs/>
          <w:lang w:val="pt-BR"/>
        </w:rPr>
        <w:t>clusters</w:t>
      </w:r>
      <w:r w:rsidRPr="003D209A">
        <w:rPr>
          <w:rFonts w:ascii="Times New Roman" w:hAnsi="Times New Roman"/>
          <w:lang w:val="pt-BR"/>
        </w:rPr>
        <w:t xml:space="preserve"> são ilustrados pela Figura </w:t>
      </w:r>
      <w:r w:rsidR="00BA3C58">
        <w:rPr>
          <w:rFonts w:ascii="Times New Roman" w:hAnsi="Times New Roman"/>
          <w:lang w:val="pt-BR"/>
        </w:rPr>
        <w:t>2</w:t>
      </w:r>
      <w:r w:rsidRPr="003D209A">
        <w:rPr>
          <w:rFonts w:ascii="Times New Roman" w:hAnsi="Times New Roman"/>
          <w:lang w:val="pt-BR"/>
        </w:rPr>
        <w:t>.</w:t>
      </w:r>
    </w:p>
    <w:p w14:paraId="02513652" w14:textId="6A5B0357" w:rsidR="00BA3C58" w:rsidRDefault="00BA3C58" w:rsidP="00EA4E1B">
      <w:pPr>
        <w:pStyle w:val="TAMainText"/>
        <w:rPr>
          <w:rFonts w:ascii="Times New Roman" w:hAnsi="Times New Roman"/>
          <w:lang w:val="pt-BR"/>
        </w:rPr>
      </w:pPr>
    </w:p>
    <w:p w14:paraId="7FEA319E" w14:textId="409C042F" w:rsidR="00BA3C58" w:rsidRDefault="0007284D" w:rsidP="00BA3C58">
      <w:pPr>
        <w:pStyle w:val="TAMainText"/>
        <w:ind w:firstLine="0"/>
        <w:rPr>
          <w:rFonts w:ascii="Times New Roman" w:hAnsi="Times New Roman"/>
          <w:lang w:val="pt-BR"/>
        </w:rPr>
      </w:pPr>
      <w:r w:rsidRPr="0007284D">
        <w:rPr>
          <w:rFonts w:ascii="Times New Roman" w:hAnsi="Times New Roman"/>
          <w:noProof/>
          <w:lang w:val="pt-BR"/>
        </w:rPr>
        <w:lastRenderedPageBreak/>
        <w:drawing>
          <wp:anchor distT="0" distB="0" distL="114300" distR="114300" simplePos="0" relativeHeight="251667455" behindDoc="0" locked="0" layoutInCell="1" allowOverlap="1" wp14:anchorId="713C370F" wp14:editId="6292A2AB">
            <wp:simplePos x="0" y="0"/>
            <wp:positionH relativeFrom="column">
              <wp:posOffset>113223</wp:posOffset>
            </wp:positionH>
            <wp:positionV relativeFrom="paragraph">
              <wp:posOffset>332105</wp:posOffset>
            </wp:positionV>
            <wp:extent cx="2908480" cy="2196000"/>
            <wp:effectExtent l="0" t="0" r="6350" b="0"/>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b="717"/>
                    <a:stretch/>
                  </pic:blipFill>
                  <pic:spPr bwMode="auto">
                    <a:xfrm>
                      <a:off x="0" y="0"/>
                      <a:ext cx="2908480" cy="219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3C58" w:rsidRPr="00BA3C58">
        <w:rPr>
          <w:rFonts w:ascii="Times New Roman" w:hAnsi="Times New Roman"/>
          <w:b/>
          <w:bCs/>
          <w:lang w:val="pt-BR"/>
        </w:rPr>
        <w:t>Figura 2.</w:t>
      </w:r>
      <w:r w:rsidR="00BA3C58">
        <w:rPr>
          <w:rFonts w:ascii="Times New Roman" w:hAnsi="Times New Roman"/>
          <w:b/>
          <w:bCs/>
          <w:lang w:val="pt-BR"/>
        </w:rPr>
        <w:t xml:space="preserve"> </w:t>
      </w:r>
      <w:r w:rsidR="00BA3C58">
        <w:rPr>
          <w:rFonts w:ascii="Times New Roman" w:hAnsi="Times New Roman"/>
          <w:lang w:val="pt-BR"/>
        </w:rPr>
        <w:t>Amônia adsorvida em: (a) SBA-15, (b) LAS1, (c) BAS(2MR), (d) BASB.</w:t>
      </w:r>
    </w:p>
    <w:p w14:paraId="30A9E954" w14:textId="5C197C45" w:rsidR="00BA3C58" w:rsidRDefault="00BA3C58" w:rsidP="00BA3C58">
      <w:pPr>
        <w:pStyle w:val="TAMainText"/>
        <w:ind w:firstLine="0"/>
        <w:rPr>
          <w:rFonts w:ascii="Helvetica" w:hAnsi="Helvetica" w:cs="Helvetica"/>
          <w:sz w:val="24"/>
          <w:szCs w:val="24"/>
          <w:lang w:val="pt-BR"/>
        </w:rPr>
      </w:pPr>
      <w:r w:rsidRPr="00A316EA">
        <w:rPr>
          <w:rFonts w:ascii="Times New Roman" w:hAnsi="Times New Roman"/>
          <w:b/>
          <w:bCs/>
          <w:lang w:val="pt-BR"/>
        </w:rPr>
        <w:t>Fonte:</w:t>
      </w:r>
      <w:r>
        <w:rPr>
          <w:rFonts w:ascii="Times New Roman" w:hAnsi="Times New Roman"/>
          <w:lang w:val="pt-BR"/>
        </w:rPr>
        <w:t xml:space="preserve"> Autoria própria.</w:t>
      </w:r>
    </w:p>
    <w:p w14:paraId="136BD1AC" w14:textId="7D11D875" w:rsidR="00EA4E1B" w:rsidRPr="00A316EA" w:rsidRDefault="00EA4E1B" w:rsidP="00A316EA">
      <w:pPr>
        <w:pStyle w:val="TAMainText"/>
        <w:spacing w:before="240"/>
        <w:jc w:val="center"/>
        <w:rPr>
          <w:rFonts w:ascii="Helvetica" w:hAnsi="Helvetica" w:cs="Helvetica"/>
          <w:sz w:val="24"/>
          <w:szCs w:val="24"/>
          <w:lang w:val="pt-BR"/>
        </w:rPr>
      </w:pPr>
      <w:r w:rsidRPr="00A316EA">
        <w:rPr>
          <w:rFonts w:ascii="Helvetica" w:hAnsi="Helvetica" w:cs="Helvetica"/>
          <w:sz w:val="24"/>
          <w:szCs w:val="24"/>
          <w:lang w:val="pt-BR"/>
        </w:rPr>
        <w:t>Resultados e Discussão</w:t>
      </w:r>
    </w:p>
    <w:p w14:paraId="1870300F" w14:textId="07F037DB" w:rsidR="00AC3B55" w:rsidRDefault="00AC3B55" w:rsidP="00BA3C58">
      <w:pPr>
        <w:pStyle w:val="TAMainText"/>
        <w:spacing w:before="240"/>
        <w:ind w:firstLine="0"/>
        <w:rPr>
          <w:rFonts w:ascii="Times New Roman" w:hAnsi="Times New Roman"/>
          <w:i/>
          <w:iCs/>
          <w:lang w:val="pt-BR"/>
        </w:rPr>
      </w:pPr>
      <w:r>
        <w:rPr>
          <w:rFonts w:ascii="Times New Roman" w:hAnsi="Times New Roman"/>
          <w:i/>
          <w:iCs/>
          <w:lang w:val="pt-BR"/>
        </w:rPr>
        <w:t>Geometria da superfície dos clusters</w:t>
      </w:r>
    </w:p>
    <w:p w14:paraId="259B90F8" w14:textId="6768D2EC" w:rsidR="00AC3B55" w:rsidRDefault="00AC3B55" w:rsidP="00EA4E1B">
      <w:pPr>
        <w:pStyle w:val="TAMainText"/>
        <w:ind w:firstLine="187"/>
        <w:rPr>
          <w:rFonts w:ascii="Times New Roman" w:hAnsi="Times New Roman"/>
          <w:lang w:val="pt-BR"/>
        </w:rPr>
      </w:pPr>
      <w:r w:rsidRPr="00AC3B55">
        <w:rPr>
          <w:rFonts w:ascii="Times New Roman" w:hAnsi="Times New Roman"/>
          <w:lang w:val="pt-BR"/>
        </w:rPr>
        <w:t>A geometria de equilíbrio d</w:t>
      </w:r>
      <w:r w:rsidR="00D030CB">
        <w:rPr>
          <w:rFonts w:ascii="Times New Roman" w:hAnsi="Times New Roman"/>
          <w:lang w:val="pt-BR"/>
        </w:rPr>
        <w:t xml:space="preserve">o modelo de superfície de </w:t>
      </w:r>
      <w:r w:rsidRPr="00AC3B55">
        <w:rPr>
          <w:rFonts w:ascii="Times New Roman" w:hAnsi="Times New Roman"/>
          <w:lang w:val="pt-BR"/>
        </w:rPr>
        <w:t>SBA-15 propost</w:t>
      </w:r>
      <w:r w:rsidR="00D030CB">
        <w:rPr>
          <w:rFonts w:ascii="Times New Roman" w:hAnsi="Times New Roman"/>
          <w:lang w:val="pt-BR"/>
        </w:rPr>
        <w:t>o</w:t>
      </w:r>
      <w:r w:rsidRPr="00AC3B55">
        <w:rPr>
          <w:rFonts w:ascii="Times New Roman" w:hAnsi="Times New Roman"/>
          <w:lang w:val="pt-BR"/>
        </w:rPr>
        <w:t xml:space="preserve"> é ilustrada pela Figura </w:t>
      </w:r>
      <w:r w:rsidR="00A16AF2">
        <w:rPr>
          <w:rFonts w:ascii="Times New Roman" w:hAnsi="Times New Roman"/>
          <w:lang w:val="pt-BR"/>
        </w:rPr>
        <w:t>3</w:t>
      </w:r>
      <w:r w:rsidRPr="00AC3B55">
        <w:rPr>
          <w:rFonts w:ascii="Times New Roman" w:hAnsi="Times New Roman"/>
          <w:lang w:val="pt-BR"/>
        </w:rPr>
        <w:t xml:space="preserve">. A Tabela 1 faz um comparativo entre os resultados obtidos para os parâmetros estruturais da matriz otimizada com o </w:t>
      </w:r>
      <w:r w:rsidRPr="00DC6C00">
        <w:rPr>
          <w:rFonts w:ascii="Times New Roman" w:hAnsi="Times New Roman"/>
          <w:i/>
          <w:iCs/>
          <w:lang w:val="pt-BR"/>
        </w:rPr>
        <w:t>cluster</w:t>
      </w:r>
      <w:r w:rsidRPr="00AC3B55">
        <w:rPr>
          <w:rFonts w:ascii="Times New Roman" w:hAnsi="Times New Roman"/>
          <w:lang w:val="pt-BR"/>
        </w:rPr>
        <w:t xml:space="preserve"> 5-6-s (13) e valores experimentais dispostos na literatura (14,15).</w:t>
      </w:r>
    </w:p>
    <w:p w14:paraId="68534BF8" w14:textId="77777777" w:rsidR="00AC3B55" w:rsidRDefault="00AC3B55" w:rsidP="00AF6356">
      <w:pPr>
        <w:pStyle w:val="TAMainText"/>
        <w:spacing w:before="240"/>
        <w:ind w:firstLine="0"/>
        <w:rPr>
          <w:rFonts w:ascii="Times New Roman" w:hAnsi="Times New Roman"/>
          <w:lang w:val="pt-BR"/>
        </w:rPr>
      </w:pPr>
      <w:r>
        <w:rPr>
          <w:rFonts w:ascii="Times New Roman" w:hAnsi="Times New Roman"/>
          <w:b/>
          <w:bCs/>
          <w:lang w:val="pt-BR"/>
        </w:rPr>
        <w:t xml:space="preserve">Tabela 1.  </w:t>
      </w:r>
      <w:r>
        <w:rPr>
          <w:rFonts w:ascii="Times New Roman" w:hAnsi="Times New Roman"/>
          <w:lang w:val="pt-BR"/>
        </w:rPr>
        <w:t xml:space="preserve">Propriedades estruturais do </w:t>
      </w:r>
      <w:r>
        <w:rPr>
          <w:rFonts w:ascii="Times New Roman" w:hAnsi="Times New Roman"/>
          <w:i/>
          <w:iCs/>
          <w:lang w:val="pt-BR"/>
        </w:rPr>
        <w:t>cluster</w:t>
      </w:r>
      <w:r>
        <w:rPr>
          <w:rFonts w:ascii="Times New Roman" w:hAnsi="Times New Roman"/>
          <w:lang w:val="pt-BR"/>
        </w:rPr>
        <w:t xml:space="preserve"> SBA-15.</w:t>
      </w:r>
    </w:p>
    <w:tbl>
      <w:tblPr>
        <w:tblW w:w="0" w:type="auto"/>
        <w:tblLayout w:type="fixed"/>
        <w:tblCellMar>
          <w:left w:w="70" w:type="dxa"/>
          <w:right w:w="70" w:type="dxa"/>
        </w:tblCellMar>
        <w:tblLook w:val="04A0" w:firstRow="1" w:lastRow="0" w:firstColumn="1" w:lastColumn="0" w:noHBand="0" w:noVBand="1"/>
      </w:tblPr>
      <w:tblGrid>
        <w:gridCol w:w="1201"/>
        <w:gridCol w:w="1201"/>
        <w:gridCol w:w="1201"/>
        <w:gridCol w:w="1201"/>
      </w:tblGrid>
      <w:tr w:rsidR="00AC3B55" w14:paraId="444CFE89" w14:textId="77777777" w:rsidTr="00AC3B55">
        <w:tc>
          <w:tcPr>
            <w:tcW w:w="1201" w:type="dxa"/>
            <w:tcBorders>
              <w:top w:val="single" w:sz="4" w:space="0" w:color="auto"/>
              <w:left w:val="nil"/>
              <w:bottom w:val="single" w:sz="4" w:space="0" w:color="auto"/>
              <w:right w:val="nil"/>
            </w:tcBorders>
            <w:vAlign w:val="center"/>
          </w:tcPr>
          <w:p w14:paraId="5E966AA5" w14:textId="77777777" w:rsidR="00AC3B55" w:rsidRDefault="00AC3B55">
            <w:pPr>
              <w:pStyle w:val="TCTableBody"/>
              <w:jc w:val="center"/>
              <w:rPr>
                <w:lang w:val="pt-BR" w:eastAsia="en-US"/>
              </w:rPr>
            </w:pPr>
          </w:p>
        </w:tc>
        <w:tc>
          <w:tcPr>
            <w:tcW w:w="1201" w:type="dxa"/>
            <w:tcBorders>
              <w:top w:val="single" w:sz="4" w:space="0" w:color="auto"/>
              <w:left w:val="nil"/>
              <w:bottom w:val="single" w:sz="4" w:space="0" w:color="auto"/>
              <w:right w:val="nil"/>
            </w:tcBorders>
            <w:vAlign w:val="center"/>
            <w:hideMark/>
          </w:tcPr>
          <w:p w14:paraId="4B8617F4" w14:textId="77777777" w:rsidR="00AC3B55" w:rsidRDefault="00AC3B55">
            <w:pPr>
              <w:pStyle w:val="TCTableBody"/>
              <w:jc w:val="center"/>
              <w:rPr>
                <w:lang w:val="pt-BR" w:eastAsia="en-US"/>
              </w:rPr>
            </w:pPr>
            <w:r>
              <w:rPr>
                <w:lang w:val="pt-BR" w:eastAsia="en-US"/>
              </w:rPr>
              <w:t xml:space="preserve">Este </w:t>
            </w:r>
            <w:proofErr w:type="spellStart"/>
            <w:r>
              <w:rPr>
                <w:lang w:val="pt-BR" w:eastAsia="en-US"/>
              </w:rPr>
              <w:t>trabalho</w:t>
            </w:r>
            <w:r>
              <w:rPr>
                <w:vertAlign w:val="superscript"/>
                <w:lang w:val="pt-BR" w:eastAsia="en-US"/>
              </w:rPr>
              <w:t>A</w:t>
            </w:r>
            <w:proofErr w:type="spellEnd"/>
          </w:p>
        </w:tc>
        <w:tc>
          <w:tcPr>
            <w:tcW w:w="1201" w:type="dxa"/>
            <w:tcBorders>
              <w:top w:val="single" w:sz="4" w:space="0" w:color="auto"/>
              <w:left w:val="nil"/>
              <w:bottom w:val="single" w:sz="4" w:space="0" w:color="auto"/>
              <w:right w:val="nil"/>
            </w:tcBorders>
            <w:vAlign w:val="center"/>
            <w:hideMark/>
          </w:tcPr>
          <w:p w14:paraId="7251C793" w14:textId="77777777" w:rsidR="00AC3B55" w:rsidRDefault="00AC3B55">
            <w:pPr>
              <w:pStyle w:val="TCTableBody"/>
              <w:jc w:val="center"/>
              <w:rPr>
                <w:lang w:val="pt-BR" w:eastAsia="en-US"/>
              </w:rPr>
            </w:pPr>
            <w:r>
              <w:rPr>
                <w:lang w:val="pt-BR" w:eastAsia="en-US"/>
              </w:rPr>
              <w:t>5-6-s</w:t>
            </w:r>
            <w:bookmarkStart w:id="2" w:name="_Hlk130725283"/>
            <w:r>
              <w:rPr>
                <w:lang w:val="pt-BR" w:eastAsia="en-US"/>
              </w:rPr>
              <w:t xml:space="preserve"> </w:t>
            </w:r>
            <w:r>
              <w:rPr>
                <w:lang w:eastAsia="en-US"/>
              </w:rPr>
              <w:fldChar w:fldCharType="begin" w:fldLock="1"/>
            </w:r>
            <w:r>
              <w:rPr>
                <w:lang w:val="pt-BR" w:eastAsia="en-US"/>
              </w:rPr>
              <w:instrText>ADDIN CSL_CITATION {"citationItems":[{"id":"ITEM-1","itemData":{"DOI":"10.1016/j.comptc.2010.11.004","ISSN":"2210271X","abstract":"Geometries of silica rings in SBA-15 mesoporous molecular sieve were investigated by the density functional theory (DFT). The stable conformations of model clusters with monocyclic and bicyclic silica rings were obtained. By comparing the calculated values of Si-O bond length and O-Si-O, Si-O-Si bond angles with the experimental data of amorphous silica, we found that all monocyclic rings are not the reasonable model to represent the structure of SBA-15 mesoporous molecular sieve. After having investigated the bicyclic model clusters theoretically, we inferred that 5-, 6- and 7-membered rings should be the main structural elements in the SBA-15 framework. Among the model clusters employed in this study the model 5-6-s was proved to be the best one for the SBA-15 molecular sieve. A comparison between the calculated IR frequencies of the model clusters and the measured values of SBA-15 further verified that the bicyclic model clusters employed here are reasonable and the model 5-6-s is the most suitable model cluster for the SBA-15 mesoporous molecular sieve. © 2010.","author":[{"dropping-particle":"","family":"Wang","given":"Zhongxue","non-dropping-particle":"","parse-names":false,"suffix":""},{"dropping-particle":"","family":"Wang","given":"Daxi","non-dropping-particle":"","parse-names":false,"suffix":""},{"dropping-particle":"","family":"Zhao","given":"Zhen","non-dropping-particle":"","parse-names":false,"suffix":""},{"dropping-particle":"","family":"Chen","given":"Yu","non-dropping-particle":"","parse-names":false,"suffix":""},{"dropping-particle":"","family":"Lan","given":"Jie","non-dropping-particle":"","parse-names":false,"suffix":""}],"container-title":"Computational and Theoretical Chemistry","id":"ITEM-1","issue":"2-3","issued":{"date-parts":[["2011"]]},"page":"403-411","title":"A DFT study of the structural units in SBA-15 mesoporous molecular sieve","type":"article-journal","volume":"963"},"uris":["http://www.mendeley.com/documents/?uuid=4bf19e7f-9bdb-4952-95d3-8cd0e4aada3c"]}],"mendeley":{"formattedCitation":"(13)","plainTextFormattedCitation":"(13)","previouslyFormattedCitation":"(17)"},"properties":{"noteIndex":0},"schema":"https://github.com/citation-style-language/schema/raw/master/csl-citation.json"}</w:instrText>
            </w:r>
            <w:r>
              <w:rPr>
                <w:lang w:eastAsia="en-US"/>
              </w:rPr>
              <w:fldChar w:fldCharType="separate"/>
            </w:r>
            <w:r>
              <w:rPr>
                <w:noProof/>
                <w:lang w:val="pt-BR" w:eastAsia="en-US"/>
              </w:rPr>
              <w:t>(13)</w:t>
            </w:r>
            <w:r>
              <w:rPr>
                <w:lang w:eastAsia="en-US"/>
              </w:rPr>
              <w:fldChar w:fldCharType="end"/>
            </w:r>
            <w:bookmarkEnd w:id="2"/>
          </w:p>
        </w:tc>
        <w:tc>
          <w:tcPr>
            <w:tcW w:w="1201" w:type="dxa"/>
            <w:tcBorders>
              <w:top w:val="single" w:sz="4" w:space="0" w:color="auto"/>
              <w:left w:val="nil"/>
              <w:bottom w:val="single" w:sz="4" w:space="0" w:color="auto"/>
              <w:right w:val="nil"/>
            </w:tcBorders>
            <w:vAlign w:val="center"/>
            <w:hideMark/>
          </w:tcPr>
          <w:p w14:paraId="46624DBC" w14:textId="77777777" w:rsidR="00AC3B55" w:rsidRDefault="00AC3B55">
            <w:pPr>
              <w:pStyle w:val="TCTableBody"/>
              <w:jc w:val="center"/>
              <w:rPr>
                <w:lang w:val="pt-BR" w:eastAsia="en-US"/>
              </w:rPr>
            </w:pPr>
            <w:r>
              <w:rPr>
                <w:lang w:val="pt-BR" w:eastAsia="en-US"/>
              </w:rPr>
              <w:t>Experimental</w:t>
            </w:r>
          </w:p>
        </w:tc>
      </w:tr>
      <w:tr w:rsidR="00AC3B55" w14:paraId="2D99C528" w14:textId="77777777" w:rsidTr="00446A4F">
        <w:trPr>
          <w:trHeight w:val="454"/>
        </w:trPr>
        <w:tc>
          <w:tcPr>
            <w:tcW w:w="1201" w:type="dxa"/>
            <w:tcBorders>
              <w:top w:val="single" w:sz="4" w:space="0" w:color="auto"/>
              <w:left w:val="nil"/>
              <w:bottom w:val="nil"/>
              <w:right w:val="nil"/>
            </w:tcBorders>
            <w:vAlign w:val="center"/>
            <w:hideMark/>
          </w:tcPr>
          <w:p w14:paraId="58CDB46C" w14:textId="77777777" w:rsidR="00AC3B55" w:rsidRDefault="00AC3B55">
            <w:pPr>
              <w:pStyle w:val="TCTableBody"/>
              <w:jc w:val="center"/>
              <w:rPr>
                <w:lang w:val="pt-BR" w:eastAsia="en-US"/>
              </w:rPr>
            </w:pPr>
            <w:proofErr w:type="spellStart"/>
            <w:r>
              <w:rPr>
                <w:lang w:val="pt-BR" w:eastAsia="en-US"/>
              </w:rPr>
              <w:t>Si-O</w:t>
            </w:r>
            <w:proofErr w:type="spellEnd"/>
            <w:r>
              <w:rPr>
                <w:lang w:val="pt-BR" w:eastAsia="en-US"/>
              </w:rPr>
              <w:t xml:space="preserve"> [Å]</w:t>
            </w:r>
          </w:p>
        </w:tc>
        <w:tc>
          <w:tcPr>
            <w:tcW w:w="1201" w:type="dxa"/>
            <w:tcBorders>
              <w:top w:val="single" w:sz="4" w:space="0" w:color="auto"/>
              <w:left w:val="nil"/>
              <w:bottom w:val="nil"/>
              <w:right w:val="nil"/>
            </w:tcBorders>
            <w:hideMark/>
          </w:tcPr>
          <w:p w14:paraId="668F673A" w14:textId="77777777" w:rsidR="00AC3B55" w:rsidRDefault="00AC3B55" w:rsidP="00446A4F">
            <w:pPr>
              <w:pStyle w:val="TCTableBody"/>
              <w:jc w:val="center"/>
              <w:rPr>
                <w:lang w:val="pt-BR" w:eastAsia="en-US"/>
              </w:rPr>
            </w:pPr>
            <w:r>
              <w:rPr>
                <w:lang w:val="pt-BR" w:eastAsia="en-US"/>
              </w:rPr>
              <w:t>1,648 ± 0,02</w:t>
            </w:r>
          </w:p>
        </w:tc>
        <w:tc>
          <w:tcPr>
            <w:tcW w:w="1201" w:type="dxa"/>
            <w:tcBorders>
              <w:top w:val="single" w:sz="4" w:space="0" w:color="auto"/>
              <w:left w:val="nil"/>
              <w:bottom w:val="nil"/>
              <w:right w:val="nil"/>
            </w:tcBorders>
            <w:hideMark/>
          </w:tcPr>
          <w:p w14:paraId="26780DAA" w14:textId="77777777" w:rsidR="00AC3B55" w:rsidRDefault="00AC3B55" w:rsidP="00446A4F">
            <w:pPr>
              <w:pStyle w:val="TCTableBody"/>
              <w:spacing w:after="0"/>
              <w:jc w:val="center"/>
              <w:rPr>
                <w:lang w:val="pt-BR" w:eastAsia="en-US"/>
              </w:rPr>
            </w:pPr>
            <w:r>
              <w:rPr>
                <w:lang w:val="pt-BR" w:eastAsia="en-US"/>
              </w:rPr>
              <w:t>1,643</w:t>
            </w:r>
          </w:p>
        </w:tc>
        <w:tc>
          <w:tcPr>
            <w:tcW w:w="1201" w:type="dxa"/>
            <w:tcBorders>
              <w:top w:val="single" w:sz="4" w:space="0" w:color="auto"/>
              <w:left w:val="nil"/>
              <w:bottom w:val="nil"/>
              <w:right w:val="nil"/>
            </w:tcBorders>
            <w:hideMark/>
          </w:tcPr>
          <w:p w14:paraId="66B0F451" w14:textId="77777777" w:rsidR="00AC3B55" w:rsidRDefault="00AC3B55" w:rsidP="00446A4F">
            <w:pPr>
              <w:pStyle w:val="TCTableBody"/>
              <w:jc w:val="center"/>
              <w:rPr>
                <w:lang w:val="pt-BR" w:eastAsia="en-US"/>
              </w:rPr>
            </w:pPr>
            <w:r>
              <w:rPr>
                <w:lang w:val="pt-BR" w:eastAsia="en-US"/>
              </w:rPr>
              <w:t xml:space="preserve">1,624 </w:t>
            </w:r>
            <w:r>
              <w:rPr>
                <w:vertAlign w:val="superscript"/>
                <w:lang w:val="pt-BR" w:eastAsia="en-US"/>
              </w:rPr>
              <w:fldChar w:fldCharType="begin" w:fldLock="1"/>
            </w:r>
            <w:r>
              <w:rPr>
                <w:vertAlign w:val="superscript"/>
                <w:lang w:val="pt-BR" w:eastAsia="en-US"/>
              </w:rPr>
              <w:instrText>ADDIN CSL_CITATION {"citationItems":[{"id":"ITEM-1","itemData":{"ISBN":"9781425803780","author":[{"dropping-particle":"","family":"Ryan","given":"","non-dropping-particle":"","parse-names":false,"suffix":""},{"dropping-particle":"","family":"Cooper","given":"","non-dropping-particle":"","parse-names":false,"suffix":""},{"dropping-particle":"","family":"Tauer","given":"","non-dropping-particle":"","parse-names":false,"suffix":""}],"container-title":"Paper Knowledge . Toward a Media History of Documents","id":"ITEM-1","issue":"1","issued":{"date-parts":[["2013"]]},"page":"12-26","title":"</w:instrText>
            </w:r>
            <w:r>
              <w:rPr>
                <w:rFonts w:ascii="MS Mincho" w:eastAsia="MS Mincho" w:hAnsi="MS Mincho" w:cs="MS Mincho" w:hint="eastAsia"/>
                <w:vertAlign w:val="superscript"/>
                <w:lang w:val="pt-BR" w:eastAsia="en-US"/>
              </w:rPr>
              <w:instrText>済無</w:instrText>
            </w:r>
            <w:r>
              <w:rPr>
                <w:vertAlign w:val="superscript"/>
                <w:lang w:val="pt-BR" w:eastAsia="en-US"/>
              </w:rPr>
              <w:instrText>No Title No Title No Title","type":"article-journal","volume":"43"},"uris":["http://www.mendeley.com/documents/?uuid=0457f2de-893f-48e2-afdc-6f42e40b84f7"]}],"mendeley":{"formattedCitation":"(15)","plainTextFormattedCitation":"(15)","previouslyFormattedCitation":"(19)"},"properties":{"noteIndex":0},"schema":"https://github.com/citation-style-language/schema/raw/master/csl-citation.json"}</w:instrText>
            </w:r>
            <w:r>
              <w:rPr>
                <w:vertAlign w:val="superscript"/>
                <w:lang w:val="pt-BR" w:eastAsia="en-US"/>
              </w:rPr>
              <w:fldChar w:fldCharType="separate"/>
            </w:r>
            <w:r>
              <w:rPr>
                <w:noProof/>
                <w:lang w:val="pt-BR" w:eastAsia="en-US"/>
              </w:rPr>
              <w:t>(15)</w:t>
            </w:r>
            <w:r>
              <w:rPr>
                <w:vertAlign w:val="superscript"/>
                <w:lang w:val="pt-BR" w:eastAsia="en-US"/>
              </w:rPr>
              <w:fldChar w:fldCharType="end"/>
            </w:r>
          </w:p>
        </w:tc>
      </w:tr>
      <w:tr w:rsidR="00AC3B55" w14:paraId="3E936125" w14:textId="77777777" w:rsidTr="00446A4F">
        <w:trPr>
          <w:trHeight w:val="454"/>
        </w:trPr>
        <w:tc>
          <w:tcPr>
            <w:tcW w:w="1201" w:type="dxa"/>
            <w:vAlign w:val="center"/>
            <w:hideMark/>
          </w:tcPr>
          <w:p w14:paraId="7F2D616D" w14:textId="77777777" w:rsidR="00AC3B55" w:rsidRDefault="00AC3B55">
            <w:pPr>
              <w:pStyle w:val="TCTableBody"/>
              <w:jc w:val="center"/>
              <w:rPr>
                <w:lang w:val="pt-BR" w:eastAsia="en-US"/>
              </w:rPr>
            </w:pPr>
            <w:r>
              <w:rPr>
                <w:lang w:val="pt-BR" w:eastAsia="en-US"/>
              </w:rPr>
              <w:t>Si-O-Si [°]</w:t>
            </w:r>
          </w:p>
        </w:tc>
        <w:tc>
          <w:tcPr>
            <w:tcW w:w="1201" w:type="dxa"/>
            <w:hideMark/>
          </w:tcPr>
          <w:p w14:paraId="0AFF80E5" w14:textId="77777777" w:rsidR="00AC3B55" w:rsidRDefault="00AC3B55" w:rsidP="00446A4F">
            <w:pPr>
              <w:pStyle w:val="TCTableBody"/>
              <w:jc w:val="center"/>
              <w:rPr>
                <w:lang w:val="pt-BR" w:eastAsia="en-US"/>
              </w:rPr>
            </w:pPr>
            <w:r>
              <w:rPr>
                <w:lang w:val="pt-BR" w:eastAsia="en-US"/>
              </w:rPr>
              <w:t>143,2 ± 9,59</w:t>
            </w:r>
          </w:p>
        </w:tc>
        <w:tc>
          <w:tcPr>
            <w:tcW w:w="1201" w:type="dxa"/>
            <w:hideMark/>
          </w:tcPr>
          <w:p w14:paraId="0700930F" w14:textId="77777777" w:rsidR="00AC3B55" w:rsidRDefault="00AC3B55" w:rsidP="00446A4F">
            <w:pPr>
              <w:pStyle w:val="TCTableBody"/>
              <w:spacing w:after="0"/>
              <w:jc w:val="center"/>
              <w:rPr>
                <w:lang w:val="pt-BR" w:eastAsia="en-US"/>
              </w:rPr>
            </w:pPr>
            <w:r>
              <w:rPr>
                <w:lang w:val="pt-BR" w:eastAsia="en-US"/>
              </w:rPr>
              <w:t>150,60</w:t>
            </w:r>
          </w:p>
        </w:tc>
        <w:tc>
          <w:tcPr>
            <w:tcW w:w="1201" w:type="dxa"/>
            <w:hideMark/>
          </w:tcPr>
          <w:p w14:paraId="3C164CF7" w14:textId="77777777" w:rsidR="00AC3B55" w:rsidRDefault="00AC3B55" w:rsidP="00446A4F">
            <w:pPr>
              <w:pStyle w:val="TCTableBody"/>
              <w:spacing w:after="0"/>
              <w:jc w:val="center"/>
              <w:rPr>
                <w:lang w:val="pt-BR" w:eastAsia="en-US"/>
              </w:rPr>
            </w:pPr>
            <w:r>
              <w:rPr>
                <w:lang w:val="pt-BR" w:eastAsia="en-US"/>
              </w:rPr>
              <w:t xml:space="preserve">150 </w:t>
            </w:r>
            <w:r>
              <w:rPr>
                <w:vertAlign w:val="superscript"/>
                <w:lang w:val="pt-BR" w:eastAsia="en-US"/>
              </w:rPr>
              <w:fldChar w:fldCharType="begin" w:fldLock="1"/>
            </w:r>
            <w:r>
              <w:rPr>
                <w:vertAlign w:val="superscript"/>
                <w:lang w:val="pt-BR" w:eastAsia="en-US"/>
              </w:rPr>
              <w:instrText>ADDIN CSL_CITATION {"citationItems":[{"id":"ITEM-1","itemData":{"DOI":"10.1016/j.chemgeo.2008.06.048","ISSN":"00092541","abstract":"A 29Si NMR spectrum with high signal to noise ratio was collected from a well-characterized, isotopically-enriched SiO2 glass with a single scan after full relaxation of the magnetization. From the spectrum, the average Si-O-Si bond angle was estimated at 150° with a minimum fwhm of the bond angle distribution of 16°. The 29Si spin-lattice relaxation times were measured by saturation recovery and differential T1 relaxation was observed for the various Si environments. © 2008 Elsevier B.V. All rights reserved.","author":[{"dropping-particle":"","family":"Malfait","given":"Wim J.","non-dropping-particle":"","parse-names":false,"suffix":""},{"dropping-particle":"","family":"Halter","given":"Werner E.","non-dropping-particle":"","parse-names":false,"suffix":""},{"dropping-particle":"","family":"Verel","given":"Rene","non-dropping-particle":"","parse-names":false,"suffix":""}],"container-title":"Chemical Geology","id":"ITEM-1","issue":"3-4","issued":{"date-parts":[["2008"]]},"page":"269-277","publisher":"Elsevier B.V.","title":"29Si NMR spectroscopy of silica glass: T1 relaxation and constraints on the Si-O-Si bond angle distribution","type":"article-journal","volume":"256"},"uris":["http://www.mendeley.com/documents/?uuid=46d79805-cdfc-4699-9ccf-1884c5c81413"]}],"mendeley":{"formattedCitation":"(14)","plainTextFormattedCitation":"(14)","previouslyFormattedCitation":"(18)"},"properties":{"noteIndex":0},"schema":"https://github.com/citation-style-language/schema/raw/master/csl-citation.json"}</w:instrText>
            </w:r>
            <w:r>
              <w:rPr>
                <w:vertAlign w:val="superscript"/>
                <w:lang w:val="pt-BR" w:eastAsia="en-US"/>
              </w:rPr>
              <w:fldChar w:fldCharType="separate"/>
            </w:r>
            <w:r>
              <w:rPr>
                <w:noProof/>
                <w:lang w:val="pt-BR" w:eastAsia="en-US"/>
              </w:rPr>
              <w:t>(14)</w:t>
            </w:r>
            <w:r>
              <w:rPr>
                <w:vertAlign w:val="superscript"/>
                <w:lang w:val="pt-BR" w:eastAsia="en-US"/>
              </w:rPr>
              <w:fldChar w:fldCharType="end"/>
            </w:r>
          </w:p>
        </w:tc>
      </w:tr>
      <w:tr w:rsidR="00AC3B55" w14:paraId="1A33456A" w14:textId="77777777" w:rsidTr="00446A4F">
        <w:trPr>
          <w:trHeight w:val="454"/>
        </w:trPr>
        <w:tc>
          <w:tcPr>
            <w:tcW w:w="1201" w:type="dxa"/>
            <w:tcBorders>
              <w:top w:val="nil"/>
              <w:left w:val="nil"/>
              <w:bottom w:val="single" w:sz="4" w:space="0" w:color="auto"/>
              <w:right w:val="nil"/>
            </w:tcBorders>
            <w:vAlign w:val="center"/>
            <w:hideMark/>
          </w:tcPr>
          <w:p w14:paraId="370291DF" w14:textId="77777777" w:rsidR="00AC3B55" w:rsidRDefault="00AC3B55">
            <w:pPr>
              <w:pStyle w:val="TCTableBody"/>
              <w:jc w:val="center"/>
              <w:rPr>
                <w:lang w:val="pt-BR" w:eastAsia="en-US"/>
              </w:rPr>
            </w:pPr>
            <w:proofErr w:type="spellStart"/>
            <w:r>
              <w:rPr>
                <w:lang w:val="pt-BR" w:eastAsia="en-US"/>
              </w:rPr>
              <w:t>O-Si-O</w:t>
            </w:r>
            <w:proofErr w:type="spellEnd"/>
            <w:r>
              <w:rPr>
                <w:lang w:val="pt-BR" w:eastAsia="en-US"/>
              </w:rPr>
              <w:t xml:space="preserve"> [°]</w:t>
            </w:r>
          </w:p>
        </w:tc>
        <w:tc>
          <w:tcPr>
            <w:tcW w:w="1201" w:type="dxa"/>
            <w:tcBorders>
              <w:top w:val="nil"/>
              <w:left w:val="nil"/>
              <w:bottom w:val="single" w:sz="4" w:space="0" w:color="auto"/>
              <w:right w:val="nil"/>
            </w:tcBorders>
            <w:hideMark/>
          </w:tcPr>
          <w:p w14:paraId="78A2F226" w14:textId="77777777" w:rsidR="00AC3B55" w:rsidRDefault="00AC3B55" w:rsidP="00446A4F">
            <w:pPr>
              <w:pStyle w:val="TCTableBody"/>
              <w:jc w:val="center"/>
              <w:rPr>
                <w:lang w:val="pt-BR" w:eastAsia="en-US"/>
              </w:rPr>
            </w:pPr>
            <w:r>
              <w:rPr>
                <w:lang w:val="pt-BR" w:eastAsia="en-US"/>
              </w:rPr>
              <w:t>109,5 ± 1,65</w:t>
            </w:r>
          </w:p>
        </w:tc>
        <w:tc>
          <w:tcPr>
            <w:tcW w:w="1201" w:type="dxa"/>
            <w:tcBorders>
              <w:top w:val="nil"/>
              <w:left w:val="nil"/>
              <w:bottom w:val="single" w:sz="4" w:space="0" w:color="auto"/>
              <w:right w:val="nil"/>
            </w:tcBorders>
            <w:hideMark/>
          </w:tcPr>
          <w:p w14:paraId="1E30895A" w14:textId="77777777" w:rsidR="00AC3B55" w:rsidRDefault="00AC3B55" w:rsidP="00446A4F">
            <w:pPr>
              <w:pStyle w:val="TCTableBody"/>
              <w:spacing w:after="0"/>
              <w:jc w:val="center"/>
              <w:rPr>
                <w:lang w:val="pt-BR" w:eastAsia="en-US"/>
              </w:rPr>
            </w:pPr>
            <w:r>
              <w:rPr>
                <w:lang w:val="pt-BR" w:eastAsia="en-US"/>
              </w:rPr>
              <w:t>110,35</w:t>
            </w:r>
          </w:p>
        </w:tc>
        <w:tc>
          <w:tcPr>
            <w:tcW w:w="1201" w:type="dxa"/>
            <w:tcBorders>
              <w:top w:val="nil"/>
              <w:left w:val="nil"/>
              <w:bottom w:val="single" w:sz="4" w:space="0" w:color="auto"/>
              <w:right w:val="nil"/>
            </w:tcBorders>
            <w:hideMark/>
          </w:tcPr>
          <w:p w14:paraId="47120AC0" w14:textId="77777777" w:rsidR="00AC3B55" w:rsidRDefault="00AC3B55" w:rsidP="00446A4F">
            <w:pPr>
              <w:pStyle w:val="TCTableBody"/>
              <w:spacing w:after="0"/>
              <w:jc w:val="center"/>
              <w:rPr>
                <w:lang w:val="pt-BR" w:eastAsia="en-US"/>
              </w:rPr>
            </w:pPr>
            <w:r>
              <w:rPr>
                <w:lang w:val="pt-BR" w:eastAsia="en-US"/>
              </w:rPr>
              <w:t xml:space="preserve">109,5 </w:t>
            </w:r>
            <w:r>
              <w:rPr>
                <w:vertAlign w:val="superscript"/>
                <w:lang w:val="pt-BR" w:eastAsia="en-US"/>
              </w:rPr>
              <w:fldChar w:fldCharType="begin" w:fldLock="1"/>
            </w:r>
            <w:r>
              <w:rPr>
                <w:vertAlign w:val="superscript"/>
                <w:lang w:val="pt-BR" w:eastAsia="en-US"/>
              </w:rPr>
              <w:instrText>ADDIN CSL_CITATION {"citationItems":[{"id":"ITEM-1","itemData":{"ISBN":"9781425803780","author":[{"dropping-particle":"","family":"Ryan","given":"","non-dropping-particle":"","parse-names":false,"suffix":""},{"dropping-particle":"","family":"Cooper","given":"","non-dropping-particle":"","parse-names":false,"suffix":""},{"dropping-particle":"","family":"Tauer","given":"","non-dropping-particle":"","parse-names":false,"suffix":""}],"container-title":"Paper Knowledge . Toward a Media History of Documents","id":"ITEM-1","issue":"1","issued":{"date-parts":[["2013"]]},"page":"12-26","title":"</w:instrText>
            </w:r>
            <w:r>
              <w:rPr>
                <w:rFonts w:ascii="MS Mincho" w:eastAsia="MS Mincho" w:hAnsi="MS Mincho" w:cs="MS Mincho" w:hint="eastAsia"/>
                <w:vertAlign w:val="superscript"/>
                <w:lang w:val="pt-BR" w:eastAsia="en-US"/>
              </w:rPr>
              <w:instrText>済無</w:instrText>
            </w:r>
            <w:r>
              <w:rPr>
                <w:vertAlign w:val="superscript"/>
                <w:lang w:val="pt-BR" w:eastAsia="en-US"/>
              </w:rPr>
              <w:instrText>No Title No Title No Title","type":"article-journal","volume":"43"},"uris":["http://www.mendeley.com/documents/?uuid=0457f2de-893f-48e2-afdc-6f42e40b84f7"]}],"mendeley":{"formattedCitation":"(15)","plainTextFormattedCitation":"(15)","previouslyFormattedCitation":"(19)"},"properties":{"noteIndex":0},"schema":"https://github.com/citation-style-language/schema/raw/master/csl-citation.json"}</w:instrText>
            </w:r>
            <w:r>
              <w:rPr>
                <w:vertAlign w:val="superscript"/>
                <w:lang w:val="pt-BR" w:eastAsia="en-US"/>
              </w:rPr>
              <w:fldChar w:fldCharType="separate"/>
            </w:r>
            <w:r>
              <w:rPr>
                <w:noProof/>
                <w:lang w:val="pt-BR" w:eastAsia="en-US"/>
              </w:rPr>
              <w:t>(15)</w:t>
            </w:r>
            <w:r>
              <w:rPr>
                <w:vertAlign w:val="superscript"/>
                <w:lang w:val="pt-BR" w:eastAsia="en-US"/>
              </w:rPr>
              <w:fldChar w:fldCharType="end"/>
            </w:r>
          </w:p>
        </w:tc>
      </w:tr>
    </w:tbl>
    <w:p w14:paraId="3BFAA8EF" w14:textId="218F292A" w:rsidR="00AC3B55" w:rsidRDefault="00AC3B55" w:rsidP="00AF6356">
      <w:pPr>
        <w:pStyle w:val="TAMainText"/>
        <w:ind w:firstLine="0"/>
        <w:rPr>
          <w:rFonts w:ascii="Times New Roman" w:hAnsi="Times New Roman"/>
          <w:lang w:val="pt-BR"/>
        </w:rPr>
      </w:pPr>
      <w:r>
        <w:rPr>
          <w:rFonts w:ascii="Times New Roman" w:hAnsi="Times New Roman"/>
          <w:b/>
          <w:bCs/>
          <w:lang w:val="pt-BR"/>
        </w:rPr>
        <w:t xml:space="preserve">Fonte: </w:t>
      </w:r>
      <w:proofErr w:type="spellStart"/>
      <w:r>
        <w:rPr>
          <w:rFonts w:ascii="Times New Roman" w:hAnsi="Times New Roman"/>
          <w:vertAlign w:val="superscript"/>
          <w:lang w:val="pt-BR"/>
        </w:rPr>
        <w:t>A</w:t>
      </w:r>
      <w:r>
        <w:rPr>
          <w:rFonts w:ascii="Times New Roman" w:hAnsi="Times New Roman"/>
          <w:lang w:val="pt-BR"/>
        </w:rPr>
        <w:t>Obtido</w:t>
      </w:r>
      <w:proofErr w:type="spellEnd"/>
      <w:r>
        <w:rPr>
          <w:rFonts w:ascii="Times New Roman" w:hAnsi="Times New Roman"/>
          <w:lang w:val="pt-BR"/>
        </w:rPr>
        <w:t xml:space="preserve"> no nível B3LYP/def2-SVP.</w:t>
      </w:r>
    </w:p>
    <w:p w14:paraId="090B5BE8" w14:textId="21F72D0F" w:rsidR="00AC3B55" w:rsidRDefault="000D0CC0" w:rsidP="000D0CC0">
      <w:pPr>
        <w:pStyle w:val="TAMainText"/>
        <w:spacing w:before="240"/>
        <w:ind w:firstLine="187"/>
        <w:rPr>
          <w:rFonts w:ascii="Times New Roman" w:hAnsi="Times New Roman"/>
          <w:lang w:val="pt-BR"/>
        </w:rPr>
      </w:pPr>
      <w:r w:rsidRPr="000D0CC0">
        <w:rPr>
          <w:rFonts w:ascii="Times New Roman" w:hAnsi="Times New Roman"/>
          <w:lang w:val="pt-BR"/>
        </w:rPr>
        <w:t xml:space="preserve">O ângulo Si-O-Si apresenta valor médio de 143,2°, resultado de uma ampla distribuição que varia de 130,55 a 173,71°, que representa bem a baixa barreira de flexão para o ângulo Si-O-Si (16). Modelos periódicos também possuem esta ampla distribuição, o modelo sugerido por Perez et al. (2015) possui valor médio de 143,5° e distribuição que varia de 125 a 165° para o ângulo Si-O-Si (17), já o modelo de </w:t>
      </w:r>
      <w:proofErr w:type="spellStart"/>
      <w:r w:rsidRPr="000D0CC0">
        <w:rPr>
          <w:rFonts w:ascii="Times New Roman" w:hAnsi="Times New Roman"/>
          <w:lang w:val="pt-BR"/>
        </w:rPr>
        <w:t>Tielens</w:t>
      </w:r>
      <w:proofErr w:type="spellEnd"/>
      <w:r w:rsidRPr="000D0CC0">
        <w:rPr>
          <w:rFonts w:ascii="Times New Roman" w:hAnsi="Times New Roman"/>
          <w:lang w:val="pt-BR"/>
        </w:rPr>
        <w:t xml:space="preserve"> et al. (2008), dispõe de um máximo para este ângulo na região de 142 a 150° (11), dentre outros (18).</w:t>
      </w:r>
    </w:p>
    <w:p w14:paraId="22885479" w14:textId="7025BE37" w:rsidR="000D0CC0" w:rsidRDefault="000D0CC0" w:rsidP="000D0CC0">
      <w:pPr>
        <w:pStyle w:val="TAMainText"/>
        <w:ind w:firstLine="187"/>
        <w:rPr>
          <w:rFonts w:ascii="Times New Roman" w:hAnsi="Times New Roman"/>
          <w:lang w:val="pt-BR"/>
        </w:rPr>
      </w:pPr>
      <w:r w:rsidRPr="000D0CC0">
        <w:rPr>
          <w:rFonts w:ascii="Times New Roman" w:hAnsi="Times New Roman"/>
          <w:lang w:val="pt-BR"/>
        </w:rPr>
        <w:t xml:space="preserve">Para o BAS(2MR), o maior teor de Al resultou na formação de um BAS de natureza 2MR, conforme citado anteriormente (11,19), após a otimização geométrica. Isso está de acordo com o mecanismo de formação de BAS em </w:t>
      </w:r>
      <w:r w:rsidRPr="000D0CC0">
        <w:rPr>
          <w:rFonts w:ascii="Times New Roman" w:hAnsi="Times New Roman"/>
          <w:lang w:val="pt-BR"/>
        </w:rPr>
        <w:t xml:space="preserve">sílicas </w:t>
      </w:r>
      <w:proofErr w:type="spellStart"/>
      <w:r w:rsidRPr="000D0CC0">
        <w:rPr>
          <w:rFonts w:ascii="Times New Roman" w:hAnsi="Times New Roman"/>
          <w:lang w:val="pt-BR"/>
        </w:rPr>
        <w:t>mesoporosas</w:t>
      </w:r>
      <w:proofErr w:type="spellEnd"/>
      <w:r w:rsidRPr="000D0CC0">
        <w:rPr>
          <w:rFonts w:ascii="Times New Roman" w:hAnsi="Times New Roman"/>
          <w:lang w:val="pt-BR"/>
        </w:rPr>
        <w:t xml:space="preserve">, que sugere que a formação de BAS requer não só um </w:t>
      </w:r>
      <w:proofErr w:type="spellStart"/>
      <w:r w:rsidRPr="000D0CC0">
        <w:rPr>
          <w:rFonts w:ascii="Times New Roman" w:hAnsi="Times New Roman"/>
          <w:lang w:val="pt-BR"/>
        </w:rPr>
        <w:t>silanol</w:t>
      </w:r>
      <w:proofErr w:type="spellEnd"/>
      <w:r w:rsidRPr="000D0CC0">
        <w:rPr>
          <w:rFonts w:ascii="Times New Roman" w:hAnsi="Times New Roman"/>
          <w:lang w:val="pt-BR"/>
        </w:rPr>
        <w:t xml:space="preserve"> vizinho a um centro de Al tri-coordenado, mas também uma deformação extra da rede (20). No nosso caso, essa deformação foi ocasionada pela adição de outro Al </w:t>
      </w:r>
      <w:r w:rsidR="00D030CB">
        <w:rPr>
          <w:rFonts w:ascii="Times New Roman" w:hAnsi="Times New Roman"/>
          <w:lang w:val="pt-BR"/>
        </w:rPr>
        <w:t>em</w:t>
      </w:r>
      <w:r w:rsidRPr="000D0CC0">
        <w:rPr>
          <w:rFonts w:ascii="Times New Roman" w:hAnsi="Times New Roman"/>
          <w:lang w:val="pt-BR"/>
        </w:rPr>
        <w:t xml:space="preserve"> SBA-15, visto que para o LAS1, que possui apenas um Al tri-coordenado, não foi evidenciada a formação de BAS.</w:t>
      </w:r>
    </w:p>
    <w:p w14:paraId="7729B394" w14:textId="0EB3AB19" w:rsidR="000D0CC0" w:rsidRDefault="000D0CC0" w:rsidP="000D0CC0">
      <w:pPr>
        <w:pStyle w:val="TAMainText"/>
        <w:ind w:firstLine="187"/>
        <w:rPr>
          <w:rFonts w:ascii="Times New Roman" w:hAnsi="Times New Roman"/>
          <w:lang w:val="pt-BR"/>
        </w:rPr>
      </w:pPr>
      <w:r w:rsidRPr="000D0CC0">
        <w:rPr>
          <w:rFonts w:ascii="Times New Roman" w:hAnsi="Times New Roman"/>
          <w:lang w:val="pt-BR"/>
        </w:rPr>
        <w:t xml:space="preserve">Além disso, o BASB apresentou um ângulo de 137,23° para a hidroxila em ponte, que é maior do que o ângulo obtido para o BAS(2MR), que foi de 88,80°, o que explica sua maior </w:t>
      </w:r>
      <w:r w:rsidR="00D3669A">
        <w:rPr>
          <w:rFonts w:ascii="Times New Roman" w:hAnsi="Times New Roman"/>
          <w:lang w:val="pt-BR"/>
        </w:rPr>
        <w:t>força ácida</w:t>
      </w:r>
      <w:r w:rsidRPr="000D0CC0">
        <w:rPr>
          <w:rFonts w:ascii="Times New Roman" w:hAnsi="Times New Roman"/>
          <w:lang w:val="pt-BR"/>
        </w:rPr>
        <w:t xml:space="preserve">, visto que </w:t>
      </w:r>
      <w:r w:rsidR="00A16AF2" w:rsidRPr="000D0CC0">
        <w:rPr>
          <w:rFonts w:ascii="Times New Roman" w:hAnsi="Times New Roman"/>
          <w:lang w:val="pt-BR"/>
        </w:rPr>
        <w:t>maiores valores para este ângulo resultam</w:t>
      </w:r>
      <w:r w:rsidRPr="000D0CC0">
        <w:rPr>
          <w:rFonts w:ascii="Times New Roman" w:hAnsi="Times New Roman"/>
          <w:lang w:val="pt-BR"/>
        </w:rPr>
        <w:t xml:space="preserve"> em maior força ácida do sítio ativo (21).</w:t>
      </w:r>
    </w:p>
    <w:p w14:paraId="2D4501C0" w14:textId="2293E180" w:rsidR="00BA3C58" w:rsidRDefault="00BA3C58" w:rsidP="000D0CC0">
      <w:pPr>
        <w:pStyle w:val="TAMainText"/>
        <w:ind w:firstLine="187"/>
        <w:rPr>
          <w:rFonts w:ascii="Times New Roman" w:hAnsi="Times New Roman"/>
          <w:lang w:val="pt-BR"/>
        </w:rPr>
      </w:pPr>
    </w:p>
    <w:p w14:paraId="622BC582" w14:textId="47F7D60F" w:rsidR="00BA3C58" w:rsidRPr="00394229" w:rsidRDefault="00CC264C" w:rsidP="00BA3C58">
      <w:pPr>
        <w:pStyle w:val="TAMainText"/>
        <w:ind w:firstLine="0"/>
        <w:rPr>
          <w:rFonts w:ascii="Times New Roman" w:hAnsi="Times New Roman"/>
          <w:lang w:val="pt-BR"/>
        </w:rPr>
      </w:pPr>
      <w:r w:rsidRPr="00CC264C">
        <w:rPr>
          <w:rFonts w:ascii="Times New Roman" w:hAnsi="Times New Roman"/>
          <w:noProof/>
          <w:lang w:val="pt-BR"/>
        </w:rPr>
        <w:drawing>
          <wp:anchor distT="0" distB="0" distL="114300" distR="114300" simplePos="0" relativeHeight="251666431" behindDoc="0" locked="0" layoutInCell="1" allowOverlap="1" wp14:anchorId="2F96B52C" wp14:editId="2C5CCA76">
            <wp:simplePos x="0" y="0"/>
            <wp:positionH relativeFrom="column">
              <wp:posOffset>136896</wp:posOffset>
            </wp:positionH>
            <wp:positionV relativeFrom="paragraph">
              <wp:posOffset>311785</wp:posOffset>
            </wp:positionV>
            <wp:extent cx="2835424" cy="2052000"/>
            <wp:effectExtent l="0" t="0" r="3175" b="5715"/>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835424" cy="2052000"/>
                    </a:xfrm>
                    <a:prstGeom prst="rect">
                      <a:avLst/>
                    </a:prstGeom>
                  </pic:spPr>
                </pic:pic>
              </a:graphicData>
            </a:graphic>
            <wp14:sizeRelH relativeFrom="page">
              <wp14:pctWidth>0</wp14:pctWidth>
            </wp14:sizeRelH>
            <wp14:sizeRelV relativeFrom="page">
              <wp14:pctHeight>0</wp14:pctHeight>
            </wp14:sizeRelV>
          </wp:anchor>
        </w:drawing>
      </w:r>
      <w:r w:rsidR="00BA3C58" w:rsidRPr="00BA3C58">
        <w:rPr>
          <w:rFonts w:ascii="Times New Roman" w:hAnsi="Times New Roman"/>
          <w:b/>
          <w:bCs/>
          <w:lang w:val="pt-BR"/>
        </w:rPr>
        <w:t>Figura 3.</w:t>
      </w:r>
      <w:r w:rsidR="00BA3C58">
        <w:rPr>
          <w:rFonts w:ascii="Times New Roman" w:hAnsi="Times New Roman"/>
          <w:b/>
          <w:bCs/>
          <w:lang w:val="pt-BR"/>
        </w:rPr>
        <w:t xml:space="preserve"> </w:t>
      </w:r>
      <w:r w:rsidR="00EA6E1E" w:rsidRPr="00394229">
        <w:rPr>
          <w:rFonts w:ascii="Times New Roman" w:hAnsi="Times New Roman"/>
          <w:lang w:val="pt-BR"/>
        </w:rPr>
        <w:t>Modelo proposto de SBA-15 com anéis de 5 e 6 membros.</w:t>
      </w:r>
    </w:p>
    <w:p w14:paraId="7AC9B474" w14:textId="47017160" w:rsidR="00EA6E1E" w:rsidRPr="00EA6E1E" w:rsidRDefault="00EA6E1E" w:rsidP="00EA6E1E">
      <w:pPr>
        <w:pStyle w:val="TAMainText"/>
        <w:ind w:firstLine="0"/>
        <w:rPr>
          <w:rFonts w:ascii="Times New Roman" w:hAnsi="Times New Roman"/>
          <w:lang w:val="pt-BR"/>
        </w:rPr>
      </w:pPr>
      <w:r w:rsidRPr="00EA6E1E">
        <w:rPr>
          <w:rFonts w:ascii="Times New Roman" w:hAnsi="Times New Roman"/>
          <w:b/>
          <w:bCs/>
          <w:lang w:val="pt-BR"/>
        </w:rPr>
        <w:t>Fonte:</w:t>
      </w:r>
      <w:r>
        <w:rPr>
          <w:rFonts w:ascii="Times New Roman" w:hAnsi="Times New Roman"/>
          <w:lang w:val="pt-BR"/>
        </w:rPr>
        <w:t xml:space="preserve"> Resultados da pesquisa.</w:t>
      </w:r>
    </w:p>
    <w:p w14:paraId="0143D686" w14:textId="45702860" w:rsidR="000D0CC0" w:rsidRDefault="000D0CC0" w:rsidP="00EA6E1E">
      <w:pPr>
        <w:pStyle w:val="TAMainText"/>
        <w:spacing w:before="240"/>
        <w:ind w:firstLine="0"/>
        <w:rPr>
          <w:rFonts w:ascii="Times New Roman" w:hAnsi="Times New Roman"/>
          <w:i/>
          <w:iCs/>
          <w:lang w:val="pt-BR"/>
        </w:rPr>
      </w:pPr>
      <w:r>
        <w:rPr>
          <w:rFonts w:ascii="Times New Roman" w:hAnsi="Times New Roman"/>
          <w:i/>
          <w:iCs/>
          <w:lang w:val="pt-BR"/>
        </w:rPr>
        <w:t>Propriedades ácidas das matrizes</w:t>
      </w:r>
    </w:p>
    <w:p w14:paraId="64F4BE1E" w14:textId="2DFE1C2C" w:rsidR="000D0CC0" w:rsidRDefault="000D0CC0" w:rsidP="000D0CC0">
      <w:pPr>
        <w:pStyle w:val="TAMainText"/>
        <w:ind w:firstLine="187"/>
        <w:rPr>
          <w:rFonts w:ascii="Times New Roman" w:hAnsi="Times New Roman"/>
          <w:lang w:val="pt-BR"/>
        </w:rPr>
      </w:pPr>
      <w:r w:rsidRPr="000D0CC0">
        <w:rPr>
          <w:rFonts w:ascii="Times New Roman" w:hAnsi="Times New Roman"/>
          <w:lang w:val="pt-BR"/>
        </w:rPr>
        <w:t xml:space="preserve">A Tabela 2 exibe os valores dos estiramentos OH na região do IR para o </w:t>
      </w:r>
      <w:proofErr w:type="spellStart"/>
      <w:r w:rsidRPr="000D0CC0">
        <w:rPr>
          <w:rFonts w:ascii="Times New Roman" w:hAnsi="Times New Roman"/>
          <w:lang w:val="pt-BR"/>
        </w:rPr>
        <w:t>silanol</w:t>
      </w:r>
      <w:proofErr w:type="spellEnd"/>
      <w:r w:rsidRPr="000D0CC0">
        <w:rPr>
          <w:rFonts w:ascii="Times New Roman" w:hAnsi="Times New Roman"/>
          <w:lang w:val="pt-BR"/>
        </w:rPr>
        <w:t xml:space="preserve"> </w:t>
      </w:r>
      <w:r w:rsidR="00D030CB">
        <w:rPr>
          <w:rFonts w:ascii="Times New Roman" w:hAnsi="Times New Roman"/>
          <w:lang w:val="pt-BR"/>
        </w:rPr>
        <w:t>em</w:t>
      </w:r>
      <w:r w:rsidRPr="000D0CC0">
        <w:rPr>
          <w:rFonts w:ascii="Times New Roman" w:hAnsi="Times New Roman"/>
          <w:lang w:val="pt-BR"/>
        </w:rPr>
        <w:t xml:space="preserve"> SBA-15, e para os sítios BAS em BASB e BAS(2MR).</w:t>
      </w:r>
    </w:p>
    <w:p w14:paraId="2759307A" w14:textId="77777777" w:rsidR="000D0CC0" w:rsidRDefault="000D0CC0" w:rsidP="00AF6356">
      <w:pPr>
        <w:pStyle w:val="TAMainText"/>
        <w:spacing w:before="240"/>
        <w:ind w:firstLine="0"/>
        <w:rPr>
          <w:rFonts w:ascii="Times New Roman" w:hAnsi="Times New Roman"/>
          <w:lang w:val="pt-BR"/>
        </w:rPr>
      </w:pPr>
      <w:r>
        <w:rPr>
          <w:rFonts w:ascii="Times New Roman" w:hAnsi="Times New Roman"/>
          <w:b/>
          <w:bCs/>
          <w:lang w:val="pt-BR"/>
        </w:rPr>
        <w:t xml:space="preserve">Tabela 2. </w:t>
      </w:r>
      <w:r>
        <w:rPr>
          <w:rFonts w:ascii="Times New Roman" w:hAnsi="Times New Roman"/>
          <w:lang w:val="pt-BR"/>
        </w:rPr>
        <w:t>Frequência vibracional associado ao agrupamento O-H.</w:t>
      </w:r>
    </w:p>
    <w:tbl>
      <w:tblPr>
        <w:tblW w:w="4800"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1200"/>
        <w:gridCol w:w="1200"/>
        <w:gridCol w:w="1200"/>
        <w:gridCol w:w="1200"/>
      </w:tblGrid>
      <w:tr w:rsidR="000D0CC0" w14:paraId="2B135604" w14:textId="77777777" w:rsidTr="000D0CC0">
        <w:tc>
          <w:tcPr>
            <w:tcW w:w="1201" w:type="dxa"/>
            <w:tcBorders>
              <w:top w:val="single" w:sz="4" w:space="0" w:color="auto"/>
              <w:left w:val="nil"/>
              <w:bottom w:val="single" w:sz="4" w:space="0" w:color="auto"/>
              <w:right w:val="nil"/>
            </w:tcBorders>
            <w:vAlign w:val="center"/>
            <w:hideMark/>
          </w:tcPr>
          <w:p w14:paraId="23A59289" w14:textId="77777777" w:rsidR="000D0CC0" w:rsidRDefault="000D0CC0">
            <w:pPr>
              <w:pStyle w:val="TCTableBody"/>
              <w:jc w:val="center"/>
              <w:rPr>
                <w:i/>
                <w:iCs/>
                <w:lang w:val="pt-BR" w:eastAsia="en-US"/>
              </w:rPr>
            </w:pPr>
            <w:r>
              <w:rPr>
                <w:i/>
                <w:iCs/>
                <w:lang w:val="pt-BR" w:eastAsia="en-US"/>
              </w:rPr>
              <w:t>Cluster</w:t>
            </w:r>
          </w:p>
        </w:tc>
        <w:tc>
          <w:tcPr>
            <w:tcW w:w="1201" w:type="dxa"/>
            <w:tcBorders>
              <w:top w:val="single" w:sz="4" w:space="0" w:color="auto"/>
              <w:left w:val="nil"/>
              <w:bottom w:val="single" w:sz="4" w:space="0" w:color="auto"/>
              <w:right w:val="nil"/>
            </w:tcBorders>
            <w:vAlign w:val="center"/>
            <w:hideMark/>
          </w:tcPr>
          <w:p w14:paraId="21F35FEC" w14:textId="77777777" w:rsidR="000D0CC0" w:rsidRDefault="000D0CC0">
            <w:pPr>
              <w:pStyle w:val="TCTableBody"/>
              <w:jc w:val="center"/>
              <w:rPr>
                <w:lang w:val="pt-BR" w:eastAsia="en-US"/>
              </w:rPr>
            </w:pPr>
            <w:proofErr w:type="spellStart"/>
            <w:r>
              <w:rPr>
                <w:lang w:val="pt-BR" w:eastAsia="en-US"/>
              </w:rPr>
              <w:t>Silanol</w:t>
            </w:r>
            <w:proofErr w:type="spellEnd"/>
          </w:p>
        </w:tc>
        <w:tc>
          <w:tcPr>
            <w:tcW w:w="1201" w:type="dxa"/>
            <w:tcBorders>
              <w:top w:val="single" w:sz="4" w:space="0" w:color="auto"/>
              <w:left w:val="nil"/>
              <w:bottom w:val="single" w:sz="4" w:space="0" w:color="auto"/>
              <w:right w:val="nil"/>
            </w:tcBorders>
            <w:vAlign w:val="center"/>
            <w:hideMark/>
          </w:tcPr>
          <w:p w14:paraId="10B3A586" w14:textId="77777777" w:rsidR="000D0CC0" w:rsidRDefault="000D0CC0">
            <w:pPr>
              <w:pStyle w:val="TCTableBody"/>
              <w:jc w:val="center"/>
              <w:rPr>
                <w:lang w:val="pt-BR" w:eastAsia="en-US"/>
              </w:rPr>
            </w:pPr>
            <w:r>
              <w:rPr>
                <w:lang w:val="pt-BR" w:eastAsia="en-US"/>
              </w:rPr>
              <w:t>BASB</w:t>
            </w:r>
          </w:p>
        </w:tc>
        <w:tc>
          <w:tcPr>
            <w:tcW w:w="1201" w:type="dxa"/>
            <w:tcBorders>
              <w:top w:val="single" w:sz="4" w:space="0" w:color="auto"/>
              <w:left w:val="nil"/>
              <w:bottom w:val="single" w:sz="4" w:space="0" w:color="auto"/>
              <w:right w:val="nil"/>
            </w:tcBorders>
            <w:vAlign w:val="center"/>
            <w:hideMark/>
          </w:tcPr>
          <w:p w14:paraId="56E1AF6A" w14:textId="77777777" w:rsidR="000D0CC0" w:rsidRDefault="000D0CC0">
            <w:pPr>
              <w:pStyle w:val="TCTableBody"/>
              <w:jc w:val="center"/>
              <w:rPr>
                <w:lang w:val="pt-BR" w:eastAsia="en-US"/>
              </w:rPr>
            </w:pPr>
            <w:r>
              <w:rPr>
                <w:lang w:val="pt-BR" w:eastAsia="en-US"/>
              </w:rPr>
              <w:t>BAS(2MR)</w:t>
            </w:r>
          </w:p>
        </w:tc>
      </w:tr>
      <w:tr w:rsidR="000D0CC0" w14:paraId="1F8D0913" w14:textId="77777777" w:rsidTr="000D0CC0">
        <w:trPr>
          <w:trHeight w:val="454"/>
        </w:trPr>
        <w:tc>
          <w:tcPr>
            <w:tcW w:w="1201" w:type="dxa"/>
            <w:tcBorders>
              <w:top w:val="single" w:sz="4" w:space="0" w:color="auto"/>
              <w:left w:val="nil"/>
              <w:bottom w:val="single" w:sz="4" w:space="0" w:color="auto"/>
              <w:right w:val="nil"/>
            </w:tcBorders>
            <w:vAlign w:val="center"/>
            <w:hideMark/>
          </w:tcPr>
          <w:p w14:paraId="1FD7AF7F" w14:textId="4E8D55FF" w:rsidR="000D0CC0" w:rsidRPr="00A5736F" w:rsidRDefault="00000000">
            <w:pPr>
              <w:pStyle w:val="TCTableBody"/>
              <w:jc w:val="center"/>
              <w:rPr>
                <w:lang w:val="pt-BR" w:eastAsia="en-US"/>
              </w:rPr>
            </w:pPr>
            <m:oMath>
              <m:sSub>
                <m:sSubPr>
                  <m:ctrlPr>
                    <w:rPr>
                      <w:rFonts w:ascii="Cambria Math" w:hAnsi="Cambria Math"/>
                      <w:i/>
                      <w:lang w:eastAsia="en-US"/>
                    </w:rPr>
                  </m:ctrlPr>
                </m:sSubPr>
                <m:e>
                  <m:r>
                    <w:rPr>
                      <w:rFonts w:ascii="Cambria Math" w:hAnsi="Cambria Math"/>
                      <w:lang w:val="pt-BR" w:eastAsia="en-US"/>
                    </w:rPr>
                    <m:t>v</m:t>
                  </m:r>
                </m:e>
                <m:sub>
                  <m:r>
                    <w:rPr>
                      <w:rFonts w:ascii="Cambria Math" w:hAnsi="Cambria Math"/>
                      <w:lang w:val="pt-BR" w:eastAsia="en-US"/>
                    </w:rPr>
                    <m:t>OH</m:t>
                  </m:r>
                </m:sub>
              </m:sSub>
            </m:oMath>
            <w:r w:rsidR="00A5736F">
              <w:rPr>
                <w:lang w:eastAsia="en-US"/>
              </w:rPr>
              <w:t xml:space="preserve"> (</w:t>
            </w:r>
            <w:proofErr w:type="gramStart"/>
            <w:r w:rsidR="00A5736F">
              <w:rPr>
                <w:lang w:eastAsia="en-US"/>
              </w:rPr>
              <w:t>cm</w:t>
            </w:r>
            <w:proofErr w:type="gramEnd"/>
            <w:r w:rsidR="00A5736F">
              <w:rPr>
                <w:vertAlign w:val="superscript"/>
                <w:lang w:eastAsia="en-US"/>
              </w:rPr>
              <w:t>-1</w:t>
            </w:r>
            <w:r w:rsidR="00A5736F">
              <w:rPr>
                <w:lang w:eastAsia="en-US"/>
              </w:rPr>
              <w:t>)</w:t>
            </w:r>
          </w:p>
        </w:tc>
        <w:tc>
          <w:tcPr>
            <w:tcW w:w="1201" w:type="dxa"/>
            <w:tcBorders>
              <w:top w:val="single" w:sz="4" w:space="0" w:color="auto"/>
              <w:left w:val="nil"/>
              <w:bottom w:val="single" w:sz="4" w:space="0" w:color="auto"/>
              <w:right w:val="nil"/>
            </w:tcBorders>
            <w:vAlign w:val="center"/>
            <w:hideMark/>
          </w:tcPr>
          <w:p w14:paraId="30745F06" w14:textId="77777777" w:rsidR="000D0CC0" w:rsidRDefault="000D0CC0">
            <w:pPr>
              <w:pStyle w:val="TCTableBody"/>
              <w:jc w:val="center"/>
              <w:rPr>
                <w:lang w:val="pt-BR" w:eastAsia="en-US"/>
              </w:rPr>
            </w:pPr>
            <w:r>
              <w:rPr>
                <w:lang w:val="pt-BR" w:eastAsia="en-US"/>
              </w:rPr>
              <w:t>3640,83</w:t>
            </w:r>
          </w:p>
        </w:tc>
        <w:tc>
          <w:tcPr>
            <w:tcW w:w="1201" w:type="dxa"/>
            <w:tcBorders>
              <w:top w:val="single" w:sz="4" w:space="0" w:color="auto"/>
              <w:left w:val="nil"/>
              <w:bottom w:val="single" w:sz="4" w:space="0" w:color="auto"/>
              <w:right w:val="nil"/>
            </w:tcBorders>
            <w:vAlign w:val="center"/>
            <w:hideMark/>
          </w:tcPr>
          <w:p w14:paraId="7B6E3262" w14:textId="77777777" w:rsidR="000D0CC0" w:rsidRDefault="000D0CC0">
            <w:pPr>
              <w:pStyle w:val="TCTableBody"/>
              <w:jc w:val="center"/>
              <w:rPr>
                <w:lang w:val="pt-BR" w:eastAsia="en-US"/>
              </w:rPr>
            </w:pPr>
            <w:r>
              <w:rPr>
                <w:lang w:val="pt-BR" w:eastAsia="en-US"/>
              </w:rPr>
              <w:t>3482,35</w:t>
            </w:r>
          </w:p>
        </w:tc>
        <w:tc>
          <w:tcPr>
            <w:tcW w:w="1201" w:type="dxa"/>
            <w:tcBorders>
              <w:top w:val="single" w:sz="4" w:space="0" w:color="auto"/>
              <w:left w:val="nil"/>
              <w:bottom w:val="single" w:sz="4" w:space="0" w:color="auto"/>
              <w:right w:val="nil"/>
            </w:tcBorders>
            <w:vAlign w:val="center"/>
            <w:hideMark/>
          </w:tcPr>
          <w:p w14:paraId="4D8FC533" w14:textId="77777777" w:rsidR="000D0CC0" w:rsidRDefault="000D0CC0">
            <w:pPr>
              <w:pStyle w:val="TCTableBody"/>
              <w:jc w:val="center"/>
              <w:rPr>
                <w:lang w:val="pt-BR" w:eastAsia="en-US"/>
              </w:rPr>
            </w:pPr>
            <w:r>
              <w:rPr>
                <w:lang w:val="pt-BR" w:eastAsia="en-US"/>
              </w:rPr>
              <w:t>3494,92</w:t>
            </w:r>
          </w:p>
        </w:tc>
      </w:tr>
    </w:tbl>
    <w:p w14:paraId="00A1E5B0" w14:textId="77777777" w:rsidR="000D0CC0" w:rsidRDefault="000D0CC0" w:rsidP="00AF6356">
      <w:pPr>
        <w:pStyle w:val="TAMainText"/>
        <w:spacing w:after="240"/>
        <w:ind w:firstLine="0"/>
        <w:rPr>
          <w:rFonts w:ascii="Times New Roman" w:hAnsi="Times New Roman"/>
          <w:lang w:val="pt-BR"/>
        </w:rPr>
      </w:pPr>
      <w:r>
        <w:rPr>
          <w:rFonts w:ascii="Times New Roman" w:hAnsi="Times New Roman"/>
          <w:b/>
          <w:bCs/>
          <w:lang w:val="pt-BR"/>
        </w:rPr>
        <w:t>Fonte:</w:t>
      </w:r>
      <w:r>
        <w:rPr>
          <w:rFonts w:ascii="Times New Roman" w:hAnsi="Times New Roman"/>
          <w:lang w:val="pt-BR"/>
        </w:rPr>
        <w:t xml:space="preserve"> Resultados obtidos no nível B3LYP/def2-SVP.</w:t>
      </w:r>
    </w:p>
    <w:p w14:paraId="256CC2B2" w14:textId="62C4DFB9" w:rsidR="000D0CC0" w:rsidRDefault="000D0CC0" w:rsidP="000D0CC0">
      <w:pPr>
        <w:pStyle w:val="TAMainText"/>
        <w:ind w:firstLine="187"/>
        <w:rPr>
          <w:rFonts w:ascii="Times New Roman" w:hAnsi="Times New Roman"/>
          <w:lang w:val="pt-BR"/>
        </w:rPr>
      </w:pPr>
      <w:r w:rsidRPr="000D0CC0">
        <w:rPr>
          <w:rFonts w:ascii="Times New Roman" w:hAnsi="Times New Roman"/>
          <w:lang w:val="pt-BR"/>
        </w:rPr>
        <w:t xml:space="preserve">O </w:t>
      </w:r>
      <w:proofErr w:type="spellStart"/>
      <w:r w:rsidRPr="000D0CC0">
        <w:rPr>
          <w:rFonts w:ascii="Times New Roman" w:hAnsi="Times New Roman"/>
          <w:lang w:val="pt-BR"/>
        </w:rPr>
        <w:t>silanol</w:t>
      </w:r>
      <w:proofErr w:type="spellEnd"/>
      <w:r w:rsidRPr="000D0CC0">
        <w:rPr>
          <w:rFonts w:ascii="Times New Roman" w:hAnsi="Times New Roman"/>
          <w:lang w:val="pt-BR"/>
        </w:rPr>
        <w:t xml:space="preserve"> apresentou uma banda em torno de 3640,83 cm</w:t>
      </w:r>
      <w:r w:rsidRPr="00CE6E94">
        <w:rPr>
          <w:rFonts w:ascii="Times New Roman" w:hAnsi="Times New Roman"/>
          <w:vertAlign w:val="superscript"/>
          <w:lang w:val="pt-BR"/>
        </w:rPr>
        <w:t>-1</w:t>
      </w:r>
      <w:r w:rsidRPr="000D0CC0">
        <w:rPr>
          <w:rFonts w:ascii="Times New Roman" w:hAnsi="Times New Roman"/>
          <w:lang w:val="pt-BR"/>
        </w:rPr>
        <w:t>, o que está de acordo com o modelo 5-6-s, cujo valor é 3659 cm</w:t>
      </w:r>
      <w:r w:rsidRPr="00CE6E94">
        <w:rPr>
          <w:rFonts w:ascii="Times New Roman" w:hAnsi="Times New Roman"/>
          <w:vertAlign w:val="superscript"/>
          <w:lang w:val="pt-BR"/>
        </w:rPr>
        <w:t>-1</w:t>
      </w:r>
      <w:r w:rsidRPr="000D0CC0">
        <w:rPr>
          <w:rFonts w:ascii="Times New Roman" w:hAnsi="Times New Roman"/>
          <w:lang w:val="pt-BR"/>
        </w:rPr>
        <w:t xml:space="preserve"> (13). O que se observa é uma diminuição do número de onda associado ao estiramento O-H para as matrizes dotadas com BAS em relação ao </w:t>
      </w:r>
      <w:proofErr w:type="spellStart"/>
      <w:r w:rsidRPr="000D0CC0">
        <w:rPr>
          <w:rFonts w:ascii="Times New Roman" w:hAnsi="Times New Roman"/>
          <w:lang w:val="pt-BR"/>
        </w:rPr>
        <w:t>silanol</w:t>
      </w:r>
      <w:proofErr w:type="spellEnd"/>
      <w:r w:rsidRPr="000D0CC0">
        <w:rPr>
          <w:rFonts w:ascii="Times New Roman" w:hAnsi="Times New Roman"/>
          <w:lang w:val="pt-BR"/>
        </w:rPr>
        <w:t>.</w:t>
      </w:r>
    </w:p>
    <w:p w14:paraId="35C7A808" w14:textId="215967A9" w:rsidR="000D0CC0" w:rsidRDefault="000D0CC0" w:rsidP="000D0CC0">
      <w:pPr>
        <w:pStyle w:val="TAMainText"/>
        <w:ind w:firstLine="187"/>
        <w:rPr>
          <w:rFonts w:ascii="Times New Roman" w:hAnsi="Times New Roman"/>
          <w:lang w:val="pt-BR"/>
        </w:rPr>
      </w:pPr>
      <w:r w:rsidRPr="000D0CC0">
        <w:rPr>
          <w:rFonts w:ascii="Times New Roman" w:hAnsi="Times New Roman"/>
          <w:lang w:val="pt-BR"/>
        </w:rPr>
        <w:t>Para BAS(2MR), essa variação foi de -145,91 cm-1 e para o BASB, de –158,48 cm</w:t>
      </w:r>
      <w:r w:rsidRPr="00CE6E94">
        <w:rPr>
          <w:rFonts w:ascii="Times New Roman" w:hAnsi="Times New Roman"/>
          <w:vertAlign w:val="superscript"/>
          <w:lang w:val="pt-BR"/>
        </w:rPr>
        <w:t>-1</w:t>
      </w:r>
      <w:r w:rsidRPr="000D0CC0">
        <w:rPr>
          <w:rFonts w:ascii="Times New Roman" w:hAnsi="Times New Roman"/>
          <w:lang w:val="pt-BR"/>
        </w:rPr>
        <w:t>. Estes resultados são consistentes com observações experimentais, que trazem valores de estiramento O-H mais intensos na faixa de 3400-3450 cm</w:t>
      </w:r>
      <w:r w:rsidRPr="00CE6E94">
        <w:rPr>
          <w:rFonts w:ascii="Times New Roman" w:hAnsi="Times New Roman"/>
          <w:vertAlign w:val="superscript"/>
          <w:lang w:val="pt-BR"/>
        </w:rPr>
        <w:t>-1</w:t>
      </w:r>
      <w:r w:rsidRPr="000D0CC0">
        <w:rPr>
          <w:rFonts w:ascii="Times New Roman" w:hAnsi="Times New Roman"/>
          <w:lang w:val="pt-BR"/>
        </w:rPr>
        <w:t xml:space="preserve"> pra AlSBA-15, enquanto que para SBA-15 na região entre 3600 a 3700 </w:t>
      </w:r>
      <w:r w:rsidRPr="00CE6E94">
        <w:rPr>
          <w:rFonts w:ascii="Times New Roman" w:hAnsi="Times New Roman"/>
          <w:lang w:val="pt-BR"/>
        </w:rPr>
        <w:t>cm</w:t>
      </w:r>
      <w:r w:rsidRPr="00CE6E94">
        <w:rPr>
          <w:rFonts w:ascii="Times New Roman" w:hAnsi="Times New Roman"/>
          <w:vertAlign w:val="superscript"/>
          <w:lang w:val="pt-BR"/>
        </w:rPr>
        <w:t>-1</w:t>
      </w:r>
      <w:r w:rsidRPr="000D0CC0">
        <w:rPr>
          <w:rFonts w:ascii="Times New Roman" w:hAnsi="Times New Roman"/>
          <w:lang w:val="pt-BR"/>
        </w:rPr>
        <w:t xml:space="preserve"> (22), o que sugere o aumento da força </w:t>
      </w:r>
      <w:r w:rsidRPr="000D0CC0">
        <w:rPr>
          <w:rFonts w:ascii="Times New Roman" w:hAnsi="Times New Roman"/>
          <w:lang w:val="pt-BR"/>
        </w:rPr>
        <w:lastRenderedPageBreak/>
        <w:t>ácida das matrizes dotadas com Al, sendo este aumento mais expressivo para o BASB, o que está de acordo com a observação do ângulo associado.</w:t>
      </w:r>
    </w:p>
    <w:p w14:paraId="7DEA94A2" w14:textId="61CCF219" w:rsidR="000D0CC0" w:rsidRDefault="000D0CC0" w:rsidP="000D0CC0">
      <w:pPr>
        <w:pStyle w:val="TAMainText"/>
        <w:ind w:firstLine="187"/>
        <w:rPr>
          <w:rFonts w:ascii="Times New Roman" w:hAnsi="Times New Roman"/>
          <w:lang w:val="pt-BR"/>
        </w:rPr>
      </w:pPr>
      <w:r w:rsidRPr="000D0CC0">
        <w:rPr>
          <w:rFonts w:ascii="Times New Roman" w:hAnsi="Times New Roman"/>
          <w:lang w:val="pt-BR"/>
        </w:rPr>
        <w:t xml:space="preserve">A Tabela 3 exibe os valores de </w:t>
      </w:r>
      <m:oMath>
        <m:r>
          <w:rPr>
            <w:rFonts w:ascii="Cambria Math" w:hAnsi="Cambria Math"/>
            <w:lang w:val="pt-BR"/>
          </w:rPr>
          <m:t>∆</m:t>
        </m:r>
        <m:sSub>
          <m:sSubPr>
            <m:ctrlPr>
              <w:rPr>
                <w:rFonts w:ascii="Cambria Math" w:hAnsi="Cambria Math"/>
                <w:i/>
                <w:lang w:val="pt-BR"/>
              </w:rPr>
            </m:ctrlPr>
          </m:sSubPr>
          <m:e>
            <m:r>
              <w:rPr>
                <w:rFonts w:ascii="Cambria Math" w:hAnsi="Cambria Math"/>
                <w:lang w:val="pt-BR"/>
              </w:rPr>
              <m:t>E</m:t>
            </m:r>
          </m:e>
          <m:sub>
            <m:r>
              <w:rPr>
                <w:rFonts w:ascii="Cambria Math" w:hAnsi="Cambria Math"/>
                <w:lang w:val="pt-BR"/>
              </w:rPr>
              <m:t>ads</m:t>
            </m:r>
          </m:sub>
        </m:sSub>
      </m:oMath>
      <w:r w:rsidRPr="000D0CC0">
        <w:rPr>
          <w:rFonts w:ascii="Times New Roman" w:hAnsi="Times New Roman"/>
          <w:lang w:val="pt-BR"/>
        </w:rPr>
        <w:t>, distâncias de ligação entre o N da amônia e H ou centro de Al</w:t>
      </w:r>
      <m:oMath>
        <m:r>
          <w:rPr>
            <w:rFonts w:ascii="Cambria Math" w:hAnsi="Cambria Math"/>
            <w:lang w:val="pt-BR"/>
          </w:rPr>
          <m:t xml:space="preserve"> (</m:t>
        </m:r>
        <m:sSub>
          <m:sSubPr>
            <m:ctrlPr>
              <w:rPr>
                <w:rFonts w:ascii="Cambria Math" w:hAnsi="Cambria Math"/>
                <w:i/>
                <w:lang w:val="pt-BR"/>
              </w:rPr>
            </m:ctrlPr>
          </m:sSubPr>
          <m:e>
            <m:r>
              <w:rPr>
                <w:rFonts w:ascii="Cambria Math" w:hAnsi="Cambria Math"/>
                <w:lang w:val="pt-BR"/>
              </w:rPr>
              <m:t>d</m:t>
            </m:r>
          </m:e>
          <m:sub>
            <m:r>
              <w:rPr>
                <w:rFonts w:ascii="Cambria Math" w:hAnsi="Cambria Math"/>
                <w:lang w:val="pt-BR"/>
              </w:rPr>
              <m:t>N-X</m:t>
            </m:r>
          </m:sub>
        </m:sSub>
        <m:r>
          <w:rPr>
            <w:rFonts w:ascii="Cambria Math" w:hAnsi="Cambria Math"/>
            <w:lang w:val="pt-BR"/>
          </w:rPr>
          <m:t>)</m:t>
        </m:r>
      </m:oMath>
      <w:r w:rsidRPr="000D0CC0">
        <w:rPr>
          <w:rFonts w:ascii="Times New Roman" w:hAnsi="Times New Roman"/>
          <w:lang w:val="pt-BR"/>
        </w:rPr>
        <w:t xml:space="preserve">, além da frequência vibracional da amônia adsorvida no sítio ativo </w:t>
      </w:r>
      <m:oMath>
        <m:r>
          <w:rPr>
            <w:rFonts w:ascii="Cambria Math" w:hAnsi="Cambria Math"/>
            <w:lang w:val="pt-BR"/>
          </w:rPr>
          <m:t>(</m:t>
        </m:r>
        <m:sSub>
          <m:sSubPr>
            <m:ctrlPr>
              <w:rPr>
                <w:rFonts w:ascii="Cambria Math" w:hAnsi="Cambria Math"/>
                <w:i/>
                <w:lang w:val="pt-BR"/>
              </w:rPr>
            </m:ctrlPr>
          </m:sSubPr>
          <m:e>
            <m:r>
              <w:rPr>
                <w:rFonts w:ascii="Cambria Math" w:hAnsi="Cambria Math"/>
                <w:lang w:val="pt-BR"/>
              </w:rPr>
              <m:t>v</m:t>
            </m:r>
          </m:e>
          <m:sub>
            <m:r>
              <w:rPr>
                <w:rFonts w:ascii="Cambria Math" w:hAnsi="Cambria Math"/>
                <w:lang w:val="pt-BR"/>
              </w:rPr>
              <m:t>N-X</m:t>
            </m:r>
          </m:sub>
        </m:sSub>
        <m:r>
          <w:rPr>
            <w:rFonts w:ascii="Cambria Math" w:hAnsi="Cambria Math"/>
            <w:lang w:val="pt-BR"/>
          </w:rPr>
          <m:t>)</m:t>
        </m:r>
      </m:oMath>
      <w:r w:rsidRPr="000D0CC0">
        <w:rPr>
          <w:rFonts w:ascii="Times New Roman" w:hAnsi="Times New Roman"/>
          <w:lang w:val="pt-BR"/>
        </w:rPr>
        <w:t xml:space="preserve"> para SBA-15 e para os </w:t>
      </w:r>
      <w:r w:rsidRPr="00DC6C00">
        <w:rPr>
          <w:rFonts w:ascii="Times New Roman" w:hAnsi="Times New Roman"/>
          <w:i/>
          <w:iCs/>
          <w:lang w:val="pt-BR"/>
        </w:rPr>
        <w:t>cluster</w:t>
      </w:r>
      <w:r w:rsidR="00DC6C00">
        <w:rPr>
          <w:rFonts w:ascii="Times New Roman" w:hAnsi="Times New Roman"/>
          <w:i/>
          <w:iCs/>
          <w:lang w:val="pt-BR"/>
        </w:rPr>
        <w:t>s</w:t>
      </w:r>
      <w:r w:rsidRPr="000D0CC0">
        <w:rPr>
          <w:rFonts w:ascii="Times New Roman" w:hAnsi="Times New Roman"/>
          <w:lang w:val="pt-BR"/>
        </w:rPr>
        <w:t xml:space="preserve"> dotados com sítio ativo</w:t>
      </w:r>
      <w:r w:rsidR="00BA3C58">
        <w:rPr>
          <w:rFonts w:ascii="Times New Roman" w:hAnsi="Times New Roman"/>
          <w:lang w:val="pt-BR"/>
        </w:rPr>
        <w:t>, conforme ilustra a Figura 2.</w:t>
      </w:r>
    </w:p>
    <w:p w14:paraId="31520509" w14:textId="77777777" w:rsidR="00AF6356" w:rsidRDefault="00AF6356" w:rsidP="00AF6356">
      <w:pPr>
        <w:pStyle w:val="TAMainText"/>
        <w:spacing w:before="240"/>
        <w:ind w:firstLine="0"/>
        <w:rPr>
          <w:rFonts w:ascii="Times New Roman" w:hAnsi="Times New Roman"/>
          <w:lang w:val="pt-BR"/>
        </w:rPr>
      </w:pPr>
      <w:r>
        <w:rPr>
          <w:rFonts w:ascii="Times New Roman" w:hAnsi="Times New Roman"/>
          <w:b/>
          <w:bCs/>
          <w:lang w:val="pt-BR"/>
        </w:rPr>
        <w:t xml:space="preserve">Tabela 3. </w:t>
      </w:r>
      <w:r>
        <w:rPr>
          <w:rFonts w:ascii="Times New Roman" w:hAnsi="Times New Roman"/>
          <w:lang w:val="pt-BR"/>
        </w:rPr>
        <w:t>Energias de adsorção e parâmetros estruturais e vibracionais da amônia adsorvida.</w:t>
      </w:r>
    </w:p>
    <w:tbl>
      <w:tblPr>
        <w:tblW w:w="4800" w:type="dxa"/>
        <w:tblLayout w:type="fixed"/>
        <w:tblCellMar>
          <w:left w:w="70" w:type="dxa"/>
          <w:right w:w="70" w:type="dxa"/>
        </w:tblCellMar>
        <w:tblLook w:val="04A0" w:firstRow="1" w:lastRow="0" w:firstColumn="1" w:lastColumn="0" w:noHBand="0" w:noVBand="1"/>
      </w:tblPr>
      <w:tblGrid>
        <w:gridCol w:w="1200"/>
        <w:gridCol w:w="1200"/>
        <w:gridCol w:w="1200"/>
        <w:gridCol w:w="1200"/>
      </w:tblGrid>
      <w:tr w:rsidR="00AF6356" w14:paraId="183F5C2C" w14:textId="77777777" w:rsidTr="00AF6356">
        <w:tc>
          <w:tcPr>
            <w:tcW w:w="1201" w:type="dxa"/>
            <w:tcBorders>
              <w:top w:val="single" w:sz="4" w:space="0" w:color="auto"/>
              <w:left w:val="nil"/>
              <w:bottom w:val="single" w:sz="4" w:space="0" w:color="auto"/>
              <w:right w:val="nil"/>
            </w:tcBorders>
            <w:vAlign w:val="center"/>
            <w:hideMark/>
          </w:tcPr>
          <w:p w14:paraId="3297F580" w14:textId="77777777" w:rsidR="00AF6356" w:rsidRDefault="00AF6356">
            <w:pPr>
              <w:pStyle w:val="TCTableBody"/>
              <w:jc w:val="center"/>
              <w:rPr>
                <w:lang w:val="pt-BR" w:eastAsia="en-US"/>
              </w:rPr>
            </w:pPr>
            <w:r>
              <w:rPr>
                <w:i/>
                <w:iCs/>
                <w:lang w:val="pt-BR" w:eastAsia="en-US"/>
              </w:rPr>
              <w:t>Cluster</w:t>
            </w:r>
          </w:p>
        </w:tc>
        <w:tc>
          <w:tcPr>
            <w:tcW w:w="1201" w:type="dxa"/>
            <w:tcBorders>
              <w:top w:val="single" w:sz="4" w:space="0" w:color="auto"/>
              <w:left w:val="nil"/>
              <w:bottom w:val="single" w:sz="4" w:space="0" w:color="auto"/>
              <w:right w:val="nil"/>
            </w:tcBorders>
            <w:vAlign w:val="center"/>
            <w:hideMark/>
          </w:tcPr>
          <w:p w14:paraId="0AB1F111" w14:textId="77777777" w:rsidR="00AF6356" w:rsidRDefault="00AF6356">
            <w:pPr>
              <w:pStyle w:val="TCTableBody"/>
              <w:spacing w:after="0"/>
              <w:jc w:val="center"/>
              <w:rPr>
                <w:lang w:val="pt-BR" w:eastAsia="en-US"/>
              </w:rPr>
            </w:pPr>
            <m:oMathPara>
              <m:oMath>
                <m:r>
                  <w:rPr>
                    <w:rFonts w:ascii="Cambria Math" w:hAnsi="Cambria Math"/>
                    <w:lang w:val="pt-BR" w:eastAsia="en-US"/>
                  </w:rPr>
                  <m:t>∆</m:t>
                </m:r>
                <m:sSub>
                  <m:sSubPr>
                    <m:ctrlPr>
                      <w:rPr>
                        <w:rFonts w:ascii="Cambria Math" w:hAnsi="Cambria Math"/>
                        <w:i/>
                        <w:lang w:eastAsia="en-US"/>
                      </w:rPr>
                    </m:ctrlPr>
                  </m:sSubPr>
                  <m:e>
                    <m:r>
                      <w:rPr>
                        <w:rFonts w:ascii="Cambria Math" w:hAnsi="Cambria Math"/>
                        <w:lang w:val="pt-BR" w:eastAsia="en-US"/>
                      </w:rPr>
                      <m:t>E</m:t>
                    </m:r>
                  </m:e>
                  <m:sub>
                    <m:r>
                      <w:rPr>
                        <w:rFonts w:ascii="Cambria Math" w:hAnsi="Cambria Math"/>
                        <w:lang w:val="pt-BR" w:eastAsia="en-US"/>
                      </w:rPr>
                      <m:t>ads</m:t>
                    </m:r>
                  </m:sub>
                </m:sSub>
              </m:oMath>
            </m:oMathPara>
          </w:p>
          <w:p w14:paraId="6779CA2D" w14:textId="77777777" w:rsidR="00AF6356" w:rsidRDefault="00AF6356">
            <w:pPr>
              <w:pStyle w:val="TCTableBody"/>
              <w:jc w:val="center"/>
              <w:rPr>
                <w:lang w:val="pt-BR" w:eastAsia="en-US"/>
              </w:rPr>
            </w:pPr>
            <w:r>
              <w:rPr>
                <w:lang w:val="pt-BR" w:eastAsia="en-US"/>
              </w:rPr>
              <w:t>(kcal/mol)</w:t>
            </w:r>
          </w:p>
        </w:tc>
        <w:tc>
          <w:tcPr>
            <w:tcW w:w="1201" w:type="dxa"/>
            <w:tcBorders>
              <w:top w:val="single" w:sz="4" w:space="0" w:color="auto"/>
              <w:left w:val="nil"/>
              <w:bottom w:val="single" w:sz="4" w:space="0" w:color="auto"/>
              <w:right w:val="nil"/>
            </w:tcBorders>
            <w:vAlign w:val="center"/>
            <w:hideMark/>
          </w:tcPr>
          <w:p w14:paraId="464E189C" w14:textId="77777777" w:rsidR="00AF6356" w:rsidRDefault="00000000">
            <w:pPr>
              <w:pStyle w:val="TCTableBody"/>
              <w:jc w:val="center"/>
              <w:rPr>
                <w:lang w:val="pt-BR" w:eastAsia="en-US"/>
              </w:rPr>
            </w:pPr>
            <m:oMath>
              <m:sSub>
                <m:sSubPr>
                  <m:ctrlPr>
                    <w:rPr>
                      <w:rFonts w:ascii="Cambria Math" w:hAnsi="Cambria Math"/>
                      <w:i/>
                      <w:lang w:eastAsia="en-US"/>
                    </w:rPr>
                  </m:ctrlPr>
                </m:sSubPr>
                <m:e>
                  <m:r>
                    <w:rPr>
                      <w:rFonts w:ascii="Cambria Math" w:hAnsi="Cambria Math"/>
                      <w:lang w:val="pt-BR" w:eastAsia="en-US"/>
                    </w:rPr>
                    <m:t>d</m:t>
                  </m:r>
                </m:e>
                <m:sub>
                  <m:r>
                    <w:rPr>
                      <w:rFonts w:ascii="Cambria Math" w:hAnsi="Cambria Math"/>
                      <w:lang w:val="pt-BR" w:eastAsia="en-US"/>
                    </w:rPr>
                    <m:t>N-X</m:t>
                  </m:r>
                </m:sub>
              </m:sSub>
            </m:oMath>
            <w:r w:rsidR="00AF6356">
              <w:rPr>
                <w:lang w:val="pt-BR" w:eastAsia="en-US"/>
              </w:rPr>
              <w:t xml:space="preserve"> (Å)</w:t>
            </w:r>
          </w:p>
        </w:tc>
        <w:tc>
          <w:tcPr>
            <w:tcW w:w="1201" w:type="dxa"/>
            <w:tcBorders>
              <w:top w:val="single" w:sz="4" w:space="0" w:color="auto"/>
              <w:left w:val="nil"/>
              <w:bottom w:val="single" w:sz="4" w:space="0" w:color="auto"/>
              <w:right w:val="nil"/>
            </w:tcBorders>
            <w:vAlign w:val="center"/>
            <w:hideMark/>
          </w:tcPr>
          <w:p w14:paraId="3D12E09B" w14:textId="77777777" w:rsidR="00AF6356" w:rsidRDefault="00000000">
            <w:pPr>
              <w:pStyle w:val="TCTableBody"/>
              <w:jc w:val="center"/>
              <w:rPr>
                <w:lang w:val="pt-BR" w:eastAsia="en-US"/>
              </w:rPr>
            </w:pPr>
            <m:oMath>
              <m:sSub>
                <m:sSubPr>
                  <m:ctrlPr>
                    <w:rPr>
                      <w:rFonts w:ascii="Cambria Math" w:hAnsi="Cambria Math"/>
                      <w:i/>
                      <w:lang w:eastAsia="en-US"/>
                    </w:rPr>
                  </m:ctrlPr>
                </m:sSubPr>
                <m:e>
                  <m:r>
                    <w:rPr>
                      <w:rFonts w:ascii="Cambria Math" w:hAnsi="Cambria Math"/>
                      <w:lang w:val="pt-BR" w:eastAsia="en-US"/>
                    </w:rPr>
                    <m:t>v</m:t>
                  </m:r>
                </m:e>
                <m:sub>
                  <m:r>
                    <w:rPr>
                      <w:rFonts w:ascii="Cambria Math" w:hAnsi="Cambria Math"/>
                      <w:lang w:val="pt-BR" w:eastAsia="en-US"/>
                    </w:rPr>
                    <m:t>N-X</m:t>
                  </m:r>
                </m:sub>
              </m:sSub>
            </m:oMath>
            <w:r w:rsidR="00AF6356">
              <w:rPr>
                <w:lang w:val="pt-BR" w:eastAsia="en-US"/>
              </w:rPr>
              <w:t xml:space="preserve"> (cm</w:t>
            </w:r>
            <w:r w:rsidR="00AF6356">
              <w:rPr>
                <w:vertAlign w:val="superscript"/>
                <w:lang w:val="pt-BR" w:eastAsia="en-US"/>
              </w:rPr>
              <w:t>-1</w:t>
            </w:r>
            <w:r w:rsidR="00AF6356">
              <w:rPr>
                <w:lang w:val="pt-BR" w:eastAsia="en-US"/>
              </w:rPr>
              <w:t>)</w:t>
            </w:r>
          </w:p>
        </w:tc>
      </w:tr>
      <w:tr w:rsidR="00AF6356" w14:paraId="0166C221" w14:textId="77777777" w:rsidTr="00AF6356">
        <w:trPr>
          <w:trHeight w:val="454"/>
        </w:trPr>
        <w:tc>
          <w:tcPr>
            <w:tcW w:w="1201" w:type="dxa"/>
            <w:tcBorders>
              <w:top w:val="single" w:sz="4" w:space="0" w:color="auto"/>
              <w:left w:val="nil"/>
              <w:bottom w:val="nil"/>
              <w:right w:val="nil"/>
            </w:tcBorders>
            <w:vAlign w:val="center"/>
            <w:hideMark/>
          </w:tcPr>
          <w:p w14:paraId="51BFD0DC" w14:textId="77777777" w:rsidR="00AF6356" w:rsidRDefault="00AF6356">
            <w:pPr>
              <w:pStyle w:val="TCTableBody"/>
              <w:jc w:val="center"/>
              <w:rPr>
                <w:lang w:val="pt-BR" w:eastAsia="en-US"/>
              </w:rPr>
            </w:pPr>
            <w:r>
              <w:rPr>
                <w:lang w:val="pt-BR" w:eastAsia="en-US"/>
              </w:rPr>
              <w:t>SBA-15</w:t>
            </w:r>
          </w:p>
        </w:tc>
        <w:tc>
          <w:tcPr>
            <w:tcW w:w="1201" w:type="dxa"/>
            <w:tcBorders>
              <w:top w:val="single" w:sz="4" w:space="0" w:color="auto"/>
              <w:left w:val="nil"/>
              <w:bottom w:val="nil"/>
              <w:right w:val="nil"/>
            </w:tcBorders>
            <w:vAlign w:val="center"/>
            <w:hideMark/>
          </w:tcPr>
          <w:p w14:paraId="46BC6FB3" w14:textId="77777777" w:rsidR="00AF6356" w:rsidRDefault="00AF6356">
            <w:pPr>
              <w:pStyle w:val="TCTableBody"/>
              <w:jc w:val="center"/>
              <w:rPr>
                <w:lang w:val="pt-BR" w:eastAsia="en-US"/>
              </w:rPr>
            </w:pPr>
            <w:r>
              <w:rPr>
                <w:lang w:val="pt-BR" w:eastAsia="en-US"/>
              </w:rPr>
              <w:t>-14,01</w:t>
            </w:r>
          </w:p>
        </w:tc>
        <w:tc>
          <w:tcPr>
            <w:tcW w:w="1201" w:type="dxa"/>
            <w:tcBorders>
              <w:top w:val="single" w:sz="4" w:space="0" w:color="auto"/>
              <w:left w:val="nil"/>
              <w:bottom w:val="nil"/>
              <w:right w:val="nil"/>
            </w:tcBorders>
            <w:vAlign w:val="center"/>
            <w:hideMark/>
          </w:tcPr>
          <w:p w14:paraId="4615EF75" w14:textId="77777777" w:rsidR="00AF6356" w:rsidRDefault="00AF6356">
            <w:pPr>
              <w:pStyle w:val="TCTableBody"/>
              <w:jc w:val="center"/>
              <w:rPr>
                <w:lang w:val="pt-BR" w:eastAsia="en-US"/>
              </w:rPr>
            </w:pPr>
            <w:r>
              <w:rPr>
                <w:lang w:val="pt-BR" w:eastAsia="en-US"/>
              </w:rPr>
              <w:t>1,748</w:t>
            </w:r>
          </w:p>
        </w:tc>
        <w:tc>
          <w:tcPr>
            <w:tcW w:w="1201" w:type="dxa"/>
            <w:tcBorders>
              <w:top w:val="single" w:sz="4" w:space="0" w:color="auto"/>
              <w:left w:val="nil"/>
              <w:bottom w:val="nil"/>
              <w:right w:val="nil"/>
            </w:tcBorders>
            <w:vAlign w:val="center"/>
            <w:hideMark/>
          </w:tcPr>
          <w:p w14:paraId="529035A4" w14:textId="77777777" w:rsidR="00AF6356" w:rsidRDefault="00AF6356">
            <w:pPr>
              <w:pStyle w:val="TCTableBody"/>
              <w:jc w:val="center"/>
              <w:rPr>
                <w:lang w:val="pt-BR" w:eastAsia="en-US"/>
              </w:rPr>
            </w:pPr>
            <w:r>
              <w:rPr>
                <w:lang w:val="pt-BR" w:eastAsia="en-US"/>
              </w:rPr>
              <w:t>-</w:t>
            </w:r>
          </w:p>
        </w:tc>
      </w:tr>
      <w:tr w:rsidR="00AF6356" w14:paraId="126007BB" w14:textId="77777777" w:rsidTr="00AF6356">
        <w:trPr>
          <w:trHeight w:val="454"/>
        </w:trPr>
        <w:tc>
          <w:tcPr>
            <w:tcW w:w="1201" w:type="dxa"/>
            <w:vAlign w:val="center"/>
            <w:hideMark/>
          </w:tcPr>
          <w:p w14:paraId="5E320E87" w14:textId="77777777" w:rsidR="00AF6356" w:rsidRDefault="00AF6356">
            <w:pPr>
              <w:pStyle w:val="TCTableBody"/>
              <w:jc w:val="center"/>
              <w:rPr>
                <w:lang w:val="pt-BR" w:eastAsia="en-US"/>
              </w:rPr>
            </w:pPr>
            <w:r>
              <w:rPr>
                <w:lang w:val="pt-BR" w:eastAsia="en-US"/>
              </w:rPr>
              <w:t>LAS</w:t>
            </w:r>
          </w:p>
        </w:tc>
        <w:tc>
          <w:tcPr>
            <w:tcW w:w="1201" w:type="dxa"/>
            <w:vAlign w:val="center"/>
            <w:hideMark/>
          </w:tcPr>
          <w:p w14:paraId="41644722" w14:textId="77777777" w:rsidR="00AF6356" w:rsidRDefault="00AF6356">
            <w:pPr>
              <w:pStyle w:val="TCTableBody"/>
              <w:jc w:val="center"/>
              <w:rPr>
                <w:lang w:val="pt-BR" w:eastAsia="en-US"/>
              </w:rPr>
            </w:pPr>
            <w:r>
              <w:rPr>
                <w:lang w:val="pt-BR" w:eastAsia="en-US"/>
              </w:rPr>
              <w:t>-28,11</w:t>
            </w:r>
          </w:p>
        </w:tc>
        <w:tc>
          <w:tcPr>
            <w:tcW w:w="1201" w:type="dxa"/>
            <w:vAlign w:val="center"/>
            <w:hideMark/>
          </w:tcPr>
          <w:p w14:paraId="3F09AC7B" w14:textId="77777777" w:rsidR="00AF6356" w:rsidRDefault="00AF6356">
            <w:pPr>
              <w:pStyle w:val="TCTableBody"/>
              <w:jc w:val="center"/>
              <w:rPr>
                <w:lang w:val="pt-BR" w:eastAsia="en-US"/>
              </w:rPr>
            </w:pPr>
            <w:r>
              <w:rPr>
                <w:lang w:val="pt-BR" w:eastAsia="en-US"/>
              </w:rPr>
              <w:t>2,171</w:t>
            </w:r>
          </w:p>
        </w:tc>
        <w:tc>
          <w:tcPr>
            <w:tcW w:w="1201" w:type="dxa"/>
            <w:vAlign w:val="center"/>
            <w:hideMark/>
          </w:tcPr>
          <w:p w14:paraId="712ACF4F" w14:textId="77777777" w:rsidR="00AF6356" w:rsidRDefault="00AF6356">
            <w:pPr>
              <w:pStyle w:val="TCTableBody"/>
              <w:jc w:val="center"/>
              <w:rPr>
                <w:lang w:val="pt-BR" w:eastAsia="en-US"/>
              </w:rPr>
            </w:pPr>
            <w:r>
              <w:rPr>
                <w:lang w:val="pt-BR" w:eastAsia="en-US"/>
              </w:rPr>
              <w:t>1568,11</w:t>
            </w:r>
          </w:p>
        </w:tc>
      </w:tr>
      <w:tr w:rsidR="00AF6356" w14:paraId="2338DE50" w14:textId="77777777" w:rsidTr="00AF6356">
        <w:trPr>
          <w:trHeight w:val="454"/>
        </w:trPr>
        <w:tc>
          <w:tcPr>
            <w:tcW w:w="1201" w:type="dxa"/>
            <w:vAlign w:val="center"/>
            <w:hideMark/>
          </w:tcPr>
          <w:p w14:paraId="0915587E" w14:textId="77777777" w:rsidR="00AF6356" w:rsidRDefault="00AF6356">
            <w:pPr>
              <w:pStyle w:val="TCTableBody"/>
              <w:jc w:val="center"/>
              <w:rPr>
                <w:lang w:val="pt-BR" w:eastAsia="en-US"/>
              </w:rPr>
            </w:pPr>
            <w:r>
              <w:rPr>
                <w:lang w:val="pt-BR" w:eastAsia="en-US"/>
              </w:rPr>
              <w:t>BASB</w:t>
            </w:r>
          </w:p>
        </w:tc>
        <w:tc>
          <w:tcPr>
            <w:tcW w:w="1201" w:type="dxa"/>
            <w:vAlign w:val="center"/>
            <w:hideMark/>
          </w:tcPr>
          <w:p w14:paraId="12F09F29" w14:textId="77777777" w:rsidR="00AF6356" w:rsidRDefault="00AF6356">
            <w:pPr>
              <w:pStyle w:val="TCTableBody"/>
              <w:jc w:val="center"/>
              <w:rPr>
                <w:lang w:val="pt-BR" w:eastAsia="en-US"/>
              </w:rPr>
            </w:pPr>
            <w:r>
              <w:rPr>
                <w:lang w:val="pt-BR" w:eastAsia="en-US"/>
              </w:rPr>
              <w:t>-27,15</w:t>
            </w:r>
          </w:p>
        </w:tc>
        <w:tc>
          <w:tcPr>
            <w:tcW w:w="1201" w:type="dxa"/>
            <w:vAlign w:val="center"/>
            <w:hideMark/>
          </w:tcPr>
          <w:p w14:paraId="3416A304" w14:textId="77777777" w:rsidR="00AF6356" w:rsidRDefault="00AF6356">
            <w:pPr>
              <w:pStyle w:val="TCTableBody"/>
              <w:jc w:val="center"/>
              <w:rPr>
                <w:lang w:val="pt-BR" w:eastAsia="en-US"/>
              </w:rPr>
            </w:pPr>
            <w:r>
              <w:rPr>
                <w:lang w:val="pt-BR" w:eastAsia="en-US"/>
              </w:rPr>
              <w:t>1,214</w:t>
            </w:r>
          </w:p>
        </w:tc>
        <w:tc>
          <w:tcPr>
            <w:tcW w:w="1201" w:type="dxa"/>
            <w:vAlign w:val="center"/>
            <w:hideMark/>
          </w:tcPr>
          <w:p w14:paraId="63788FFE" w14:textId="77777777" w:rsidR="00AF6356" w:rsidRDefault="00AF6356">
            <w:pPr>
              <w:pStyle w:val="TCTableBody"/>
              <w:jc w:val="center"/>
              <w:rPr>
                <w:lang w:val="pt-BR" w:eastAsia="en-US"/>
              </w:rPr>
            </w:pPr>
            <w:r>
              <w:rPr>
                <w:lang w:val="pt-BR" w:eastAsia="en-US"/>
              </w:rPr>
              <w:t>1493,48</w:t>
            </w:r>
          </w:p>
        </w:tc>
      </w:tr>
      <w:tr w:rsidR="00AF6356" w14:paraId="687C235A" w14:textId="77777777" w:rsidTr="00AF6356">
        <w:trPr>
          <w:trHeight w:val="454"/>
        </w:trPr>
        <w:tc>
          <w:tcPr>
            <w:tcW w:w="1201" w:type="dxa"/>
            <w:tcBorders>
              <w:top w:val="nil"/>
              <w:left w:val="nil"/>
              <w:bottom w:val="single" w:sz="4" w:space="0" w:color="auto"/>
              <w:right w:val="nil"/>
            </w:tcBorders>
            <w:vAlign w:val="center"/>
            <w:hideMark/>
          </w:tcPr>
          <w:p w14:paraId="57B57123" w14:textId="77777777" w:rsidR="00AF6356" w:rsidRDefault="00AF6356">
            <w:pPr>
              <w:pStyle w:val="TCTableBody"/>
              <w:jc w:val="center"/>
              <w:rPr>
                <w:lang w:val="pt-BR" w:eastAsia="en-US"/>
              </w:rPr>
            </w:pPr>
            <w:r>
              <w:rPr>
                <w:lang w:val="pt-BR" w:eastAsia="en-US"/>
              </w:rPr>
              <w:t>BAS(2MR)</w:t>
            </w:r>
          </w:p>
        </w:tc>
        <w:tc>
          <w:tcPr>
            <w:tcW w:w="1201" w:type="dxa"/>
            <w:tcBorders>
              <w:top w:val="nil"/>
              <w:left w:val="nil"/>
              <w:bottom w:val="single" w:sz="4" w:space="0" w:color="auto"/>
              <w:right w:val="nil"/>
            </w:tcBorders>
            <w:vAlign w:val="center"/>
            <w:hideMark/>
          </w:tcPr>
          <w:p w14:paraId="66C22FE4" w14:textId="77777777" w:rsidR="00AF6356" w:rsidRDefault="00AF6356">
            <w:pPr>
              <w:pStyle w:val="TCTableBody"/>
              <w:jc w:val="center"/>
              <w:rPr>
                <w:lang w:val="pt-BR" w:eastAsia="en-US"/>
              </w:rPr>
            </w:pPr>
            <w:r>
              <w:rPr>
                <w:lang w:val="pt-BR" w:eastAsia="en-US"/>
              </w:rPr>
              <w:t>-23,05</w:t>
            </w:r>
          </w:p>
        </w:tc>
        <w:tc>
          <w:tcPr>
            <w:tcW w:w="1201" w:type="dxa"/>
            <w:tcBorders>
              <w:top w:val="nil"/>
              <w:left w:val="nil"/>
              <w:bottom w:val="single" w:sz="4" w:space="0" w:color="auto"/>
              <w:right w:val="nil"/>
            </w:tcBorders>
            <w:vAlign w:val="center"/>
            <w:hideMark/>
          </w:tcPr>
          <w:p w14:paraId="42B43869" w14:textId="77777777" w:rsidR="00AF6356" w:rsidRDefault="00AF6356">
            <w:pPr>
              <w:pStyle w:val="TCTableBody"/>
              <w:jc w:val="center"/>
              <w:rPr>
                <w:lang w:val="pt-BR" w:eastAsia="en-US"/>
              </w:rPr>
            </w:pPr>
            <w:r>
              <w:rPr>
                <w:lang w:val="pt-BR" w:eastAsia="en-US"/>
              </w:rPr>
              <w:t>1,516</w:t>
            </w:r>
          </w:p>
        </w:tc>
        <w:tc>
          <w:tcPr>
            <w:tcW w:w="1201" w:type="dxa"/>
            <w:tcBorders>
              <w:top w:val="nil"/>
              <w:left w:val="nil"/>
              <w:bottom w:val="single" w:sz="4" w:space="0" w:color="auto"/>
              <w:right w:val="nil"/>
            </w:tcBorders>
            <w:vAlign w:val="center"/>
            <w:hideMark/>
          </w:tcPr>
          <w:p w14:paraId="16E4F448" w14:textId="77777777" w:rsidR="00AF6356" w:rsidRDefault="00AF6356">
            <w:pPr>
              <w:pStyle w:val="TCTableBody"/>
              <w:jc w:val="center"/>
              <w:rPr>
                <w:lang w:val="pt-BR" w:eastAsia="en-US"/>
              </w:rPr>
            </w:pPr>
            <w:r>
              <w:rPr>
                <w:lang w:val="pt-BR" w:eastAsia="en-US"/>
              </w:rPr>
              <w:t>1447,08</w:t>
            </w:r>
          </w:p>
        </w:tc>
      </w:tr>
    </w:tbl>
    <w:p w14:paraId="7D65328C" w14:textId="77777777" w:rsidR="00AF6356" w:rsidRDefault="00AF6356" w:rsidP="00AF6356">
      <w:pPr>
        <w:pStyle w:val="TAMainText"/>
        <w:ind w:firstLine="0"/>
        <w:rPr>
          <w:rFonts w:ascii="Times New Roman" w:hAnsi="Times New Roman"/>
          <w:lang w:val="pt-BR"/>
        </w:rPr>
      </w:pPr>
      <w:r>
        <w:rPr>
          <w:rFonts w:ascii="Times New Roman" w:hAnsi="Times New Roman"/>
          <w:lang w:val="pt-BR"/>
        </w:rPr>
        <w:t>X = H ou Al.</w:t>
      </w:r>
    </w:p>
    <w:p w14:paraId="2E51128E" w14:textId="77777777" w:rsidR="00AF6356" w:rsidRDefault="00AF6356" w:rsidP="00AF6356">
      <w:pPr>
        <w:pStyle w:val="TAMainText"/>
        <w:spacing w:after="240"/>
        <w:ind w:firstLine="0"/>
        <w:rPr>
          <w:rFonts w:ascii="Times New Roman" w:hAnsi="Times New Roman"/>
          <w:lang w:val="pt-BR"/>
        </w:rPr>
      </w:pPr>
      <w:r>
        <w:rPr>
          <w:rFonts w:ascii="Times New Roman" w:hAnsi="Times New Roman"/>
          <w:b/>
          <w:bCs/>
          <w:lang w:val="pt-BR"/>
        </w:rPr>
        <w:t>Fonte:</w:t>
      </w:r>
      <w:r>
        <w:rPr>
          <w:rFonts w:ascii="Times New Roman" w:hAnsi="Times New Roman"/>
          <w:lang w:val="pt-BR"/>
        </w:rPr>
        <w:t xml:space="preserve"> Resultados obtidos no nível B3LYP/def2-SVP.</w:t>
      </w:r>
    </w:p>
    <w:p w14:paraId="5F90C930" w14:textId="5B822222" w:rsidR="000D0CC0" w:rsidRDefault="00AF6356" w:rsidP="000D0CC0">
      <w:pPr>
        <w:pStyle w:val="TAMainText"/>
        <w:ind w:firstLine="187"/>
        <w:rPr>
          <w:rFonts w:ascii="Times New Roman" w:hAnsi="Times New Roman"/>
          <w:lang w:val="pt-BR"/>
        </w:rPr>
      </w:pPr>
      <w:r w:rsidRPr="00AF6356">
        <w:rPr>
          <w:rFonts w:ascii="Times New Roman" w:hAnsi="Times New Roman"/>
          <w:lang w:val="pt-BR"/>
        </w:rPr>
        <w:t xml:space="preserve">Os sítios BAS apresentam valores mais negativos de </w:t>
      </w:r>
      <m:oMath>
        <m:r>
          <w:rPr>
            <w:rFonts w:ascii="Cambria Math" w:hAnsi="Cambria Math"/>
            <w:lang w:val="pt-BR"/>
          </w:rPr>
          <m:t>∆</m:t>
        </m:r>
        <m:sSub>
          <m:sSubPr>
            <m:ctrlPr>
              <w:rPr>
                <w:rFonts w:ascii="Cambria Math" w:hAnsi="Cambria Math"/>
                <w:i/>
                <w:lang w:val="pt-BR"/>
              </w:rPr>
            </m:ctrlPr>
          </m:sSubPr>
          <m:e>
            <m:r>
              <w:rPr>
                <w:rFonts w:ascii="Cambria Math" w:hAnsi="Cambria Math"/>
                <w:lang w:val="pt-BR"/>
              </w:rPr>
              <m:t>E</m:t>
            </m:r>
          </m:e>
          <m:sub>
            <m:r>
              <w:rPr>
                <w:rFonts w:ascii="Cambria Math" w:hAnsi="Cambria Math"/>
                <w:lang w:val="pt-BR"/>
              </w:rPr>
              <m:t>ads</m:t>
            </m:r>
          </m:sub>
        </m:sSub>
      </m:oMath>
      <w:r w:rsidRPr="00AF6356">
        <w:rPr>
          <w:rFonts w:ascii="Times New Roman" w:hAnsi="Times New Roman"/>
          <w:lang w:val="pt-BR"/>
        </w:rPr>
        <w:t xml:space="preserve"> em relação ao silanol, o que reflete sua natureza ácida, sendo mais expressivo para o BASB, conforme tendências anteriores. O mesmo se observa para LAS1, com </w:t>
      </w:r>
      <m:oMath>
        <m:r>
          <w:rPr>
            <w:rFonts w:ascii="Cambria Math" w:hAnsi="Cambria Math"/>
            <w:lang w:val="pt-BR"/>
          </w:rPr>
          <m:t>∆</m:t>
        </m:r>
        <m:sSub>
          <m:sSubPr>
            <m:ctrlPr>
              <w:rPr>
                <w:rFonts w:ascii="Cambria Math" w:hAnsi="Cambria Math"/>
                <w:i/>
                <w:lang w:val="pt-BR"/>
              </w:rPr>
            </m:ctrlPr>
          </m:sSubPr>
          <m:e>
            <m:r>
              <w:rPr>
                <w:rFonts w:ascii="Cambria Math" w:hAnsi="Cambria Math"/>
                <w:lang w:val="pt-BR"/>
              </w:rPr>
              <m:t>E</m:t>
            </m:r>
          </m:e>
          <m:sub>
            <m:r>
              <w:rPr>
                <w:rFonts w:ascii="Cambria Math" w:hAnsi="Cambria Math"/>
                <w:lang w:val="pt-BR"/>
              </w:rPr>
              <m:t>ads</m:t>
            </m:r>
          </m:sub>
        </m:sSub>
      </m:oMath>
      <w:r w:rsidRPr="00AF6356">
        <w:rPr>
          <w:rFonts w:ascii="Times New Roman" w:hAnsi="Times New Roman"/>
          <w:lang w:val="pt-BR"/>
        </w:rPr>
        <w:t xml:space="preserve"> na mesma faixa dos BAS construídos, o que sugere que os sítios construídos possuem força fraca/moderada, como esperado para AlSBA-15.</w:t>
      </w:r>
    </w:p>
    <w:p w14:paraId="3547868B" w14:textId="5F77085C" w:rsidR="00AF6356" w:rsidRDefault="00AF6356" w:rsidP="000D0CC0">
      <w:pPr>
        <w:pStyle w:val="TAMainText"/>
        <w:ind w:firstLine="187"/>
        <w:rPr>
          <w:rFonts w:ascii="Times New Roman" w:hAnsi="Times New Roman"/>
          <w:lang w:val="pt-BR"/>
        </w:rPr>
      </w:pPr>
      <w:r w:rsidRPr="00AF6356">
        <w:rPr>
          <w:rFonts w:ascii="Times New Roman" w:hAnsi="Times New Roman"/>
          <w:lang w:val="pt-BR"/>
        </w:rPr>
        <w:t xml:space="preserve">A ideia de que são BAS e LAS de força fraca/moderada é sustentada pelo fato de que em nenhum sítio BAS a amônia foi </w:t>
      </w:r>
      <w:proofErr w:type="spellStart"/>
      <w:r w:rsidRPr="00AF6356">
        <w:rPr>
          <w:rFonts w:ascii="Times New Roman" w:hAnsi="Times New Roman"/>
          <w:lang w:val="pt-BR"/>
        </w:rPr>
        <w:t>protonada</w:t>
      </w:r>
      <w:proofErr w:type="spellEnd"/>
      <w:r w:rsidRPr="00AF6356">
        <w:rPr>
          <w:rFonts w:ascii="Times New Roman" w:hAnsi="Times New Roman"/>
          <w:lang w:val="pt-BR"/>
        </w:rPr>
        <w:t xml:space="preserve">.  Além disso, a faixa de </w:t>
      </w:r>
      <m:oMath>
        <m:r>
          <w:rPr>
            <w:rFonts w:ascii="Cambria Math" w:hAnsi="Cambria Math"/>
            <w:lang w:val="pt-BR"/>
          </w:rPr>
          <m:t>∆</m:t>
        </m:r>
        <m:sSub>
          <m:sSubPr>
            <m:ctrlPr>
              <w:rPr>
                <w:rFonts w:ascii="Cambria Math" w:hAnsi="Cambria Math"/>
                <w:i/>
                <w:lang w:val="pt-BR"/>
              </w:rPr>
            </m:ctrlPr>
          </m:sSubPr>
          <m:e>
            <m:r>
              <w:rPr>
                <w:rFonts w:ascii="Cambria Math" w:hAnsi="Cambria Math"/>
                <w:lang w:val="pt-BR"/>
              </w:rPr>
              <m:t>E</m:t>
            </m:r>
          </m:e>
          <m:sub>
            <m:r>
              <w:rPr>
                <w:rFonts w:ascii="Cambria Math" w:hAnsi="Cambria Math"/>
                <w:lang w:val="pt-BR"/>
              </w:rPr>
              <m:t>ads</m:t>
            </m:r>
          </m:sub>
        </m:sSub>
      </m:oMath>
      <w:r w:rsidRPr="00AF6356">
        <w:rPr>
          <w:rFonts w:ascii="Times New Roman" w:hAnsi="Times New Roman"/>
          <w:lang w:val="pt-BR"/>
        </w:rPr>
        <w:t xml:space="preserve"> aqui obtida está abaixo dos valores observados para </w:t>
      </w:r>
      <w:proofErr w:type="spellStart"/>
      <w:r w:rsidRPr="00AF6356">
        <w:rPr>
          <w:rFonts w:ascii="Times New Roman" w:hAnsi="Times New Roman"/>
          <w:lang w:val="pt-BR"/>
        </w:rPr>
        <w:t>zeólitas</w:t>
      </w:r>
      <w:proofErr w:type="spellEnd"/>
      <w:r w:rsidRPr="00AF6356">
        <w:rPr>
          <w:rFonts w:ascii="Times New Roman" w:hAnsi="Times New Roman"/>
          <w:lang w:val="pt-BR"/>
        </w:rPr>
        <w:t xml:space="preserve">, onde além de ocorrer a </w:t>
      </w:r>
      <w:proofErr w:type="spellStart"/>
      <w:r w:rsidRPr="00AF6356">
        <w:rPr>
          <w:rFonts w:ascii="Times New Roman" w:hAnsi="Times New Roman"/>
          <w:lang w:val="pt-BR"/>
        </w:rPr>
        <w:t>protonação</w:t>
      </w:r>
      <w:proofErr w:type="spellEnd"/>
      <w:r w:rsidRPr="00AF6356">
        <w:rPr>
          <w:rFonts w:ascii="Times New Roman" w:hAnsi="Times New Roman"/>
          <w:lang w:val="pt-BR"/>
        </w:rPr>
        <w:t xml:space="preserve"> da molécula-sonda, os valores de ∆</w:t>
      </w:r>
      <w:proofErr w:type="spellStart"/>
      <w:r w:rsidRPr="00AF6356">
        <w:rPr>
          <w:rFonts w:ascii="Times New Roman" w:hAnsi="Times New Roman"/>
          <w:lang w:val="pt-BR"/>
        </w:rPr>
        <w:t>E_ads</w:t>
      </w:r>
      <w:proofErr w:type="spellEnd"/>
      <w:r w:rsidRPr="00AF6356">
        <w:rPr>
          <w:rFonts w:ascii="Times New Roman" w:hAnsi="Times New Roman"/>
          <w:lang w:val="pt-BR"/>
        </w:rPr>
        <w:t xml:space="preserve"> estão na faixa de -180 a -205 kJ/mol (Para comparação: -41 a -50 kcal/mol) (23), mais negativos do que os valores aqui apresentados.</w:t>
      </w:r>
    </w:p>
    <w:p w14:paraId="75CE1325" w14:textId="77315377" w:rsidR="000D0CC0" w:rsidRPr="00AC3B55" w:rsidRDefault="00AF6356" w:rsidP="000D0CC0">
      <w:pPr>
        <w:pStyle w:val="TAMainText"/>
        <w:ind w:firstLine="187"/>
        <w:rPr>
          <w:rFonts w:ascii="Times New Roman" w:hAnsi="Times New Roman"/>
          <w:lang w:val="pt-BR"/>
        </w:rPr>
      </w:pPr>
      <w:r w:rsidRPr="00AF6356">
        <w:rPr>
          <w:rFonts w:ascii="Times New Roman" w:hAnsi="Times New Roman"/>
          <w:lang w:val="pt-BR"/>
        </w:rPr>
        <w:t>Por fim, a vibração associada à amônia interagindo com os BAS ficou na região entre 1440 e 1490 cm</w:t>
      </w:r>
      <w:r w:rsidRPr="00CE6E94">
        <w:rPr>
          <w:rFonts w:ascii="Times New Roman" w:hAnsi="Times New Roman"/>
          <w:vertAlign w:val="superscript"/>
          <w:lang w:val="pt-BR"/>
        </w:rPr>
        <w:t>-1</w:t>
      </w:r>
      <w:r w:rsidRPr="00AF6356">
        <w:rPr>
          <w:rFonts w:ascii="Times New Roman" w:hAnsi="Times New Roman"/>
          <w:lang w:val="pt-BR"/>
        </w:rPr>
        <w:t xml:space="preserve"> e para LAS em torno de 1560 cm</w:t>
      </w:r>
      <w:r w:rsidRPr="00CE6E94">
        <w:rPr>
          <w:rFonts w:ascii="Times New Roman" w:hAnsi="Times New Roman"/>
          <w:vertAlign w:val="superscript"/>
          <w:lang w:val="pt-BR"/>
        </w:rPr>
        <w:t>-1</w:t>
      </w:r>
      <w:r w:rsidRPr="00AF6356">
        <w:rPr>
          <w:rFonts w:ascii="Times New Roman" w:hAnsi="Times New Roman"/>
          <w:lang w:val="pt-BR"/>
        </w:rPr>
        <w:t xml:space="preserve">. Esses resultados reforçam a ideia de que os sítios ativos construídos são representativos e que os </w:t>
      </w:r>
      <w:r w:rsidRPr="00DC6C00">
        <w:rPr>
          <w:rFonts w:ascii="Times New Roman" w:hAnsi="Times New Roman"/>
          <w:i/>
          <w:iCs/>
          <w:lang w:val="pt-BR"/>
        </w:rPr>
        <w:t>clusters</w:t>
      </w:r>
      <w:r w:rsidRPr="00AF6356">
        <w:rPr>
          <w:rFonts w:ascii="Times New Roman" w:hAnsi="Times New Roman"/>
          <w:lang w:val="pt-BR"/>
        </w:rPr>
        <w:t xml:space="preserve"> são adequados para a descrição de SBA-15 substituída com Al, uma vez que resultados experimentais indicam que as bandas atribuídas a NH3 adsorvidos em LAS e BAS são, respectivamente, em torno de 1530 cm</w:t>
      </w:r>
      <w:r w:rsidRPr="00CE6E94">
        <w:rPr>
          <w:rFonts w:ascii="Times New Roman" w:hAnsi="Times New Roman"/>
          <w:vertAlign w:val="superscript"/>
          <w:lang w:val="pt-BR"/>
        </w:rPr>
        <w:t>-1</w:t>
      </w:r>
      <w:r w:rsidRPr="00AF6356">
        <w:rPr>
          <w:rFonts w:ascii="Times New Roman" w:hAnsi="Times New Roman"/>
          <w:lang w:val="pt-BR"/>
        </w:rPr>
        <w:t xml:space="preserve"> e 1440 cm</w:t>
      </w:r>
      <w:r w:rsidRPr="00CE6E94">
        <w:rPr>
          <w:rFonts w:ascii="Times New Roman" w:hAnsi="Times New Roman"/>
          <w:vertAlign w:val="superscript"/>
          <w:lang w:val="pt-BR"/>
        </w:rPr>
        <w:t>-1</w:t>
      </w:r>
      <w:r w:rsidRPr="00AF6356">
        <w:rPr>
          <w:rFonts w:ascii="Times New Roman" w:hAnsi="Times New Roman"/>
          <w:lang w:val="pt-BR"/>
        </w:rPr>
        <w:t xml:space="preserve"> (24).</w:t>
      </w: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4A70FE93" w14:textId="6D9E1E6D" w:rsidR="00EA4E1B" w:rsidRPr="005D5697" w:rsidRDefault="005D5697" w:rsidP="00EA4E1B">
      <w:pPr>
        <w:pStyle w:val="TAMainText"/>
        <w:ind w:firstLine="187"/>
        <w:rPr>
          <w:rFonts w:ascii="Times New Roman" w:hAnsi="Times New Roman"/>
          <w:lang w:val="pt-BR"/>
        </w:rPr>
      </w:pPr>
      <w:r>
        <w:rPr>
          <w:rFonts w:ascii="Times New Roman" w:hAnsi="Times New Roman"/>
          <w:lang w:val="pt-BR"/>
        </w:rPr>
        <w:t xml:space="preserve">Foram construídos modelos representativos de superfícies de sílicas </w:t>
      </w:r>
      <w:proofErr w:type="spellStart"/>
      <w:r>
        <w:rPr>
          <w:rFonts w:ascii="Times New Roman" w:hAnsi="Times New Roman"/>
          <w:lang w:val="pt-BR"/>
        </w:rPr>
        <w:t>mesoporosas</w:t>
      </w:r>
      <w:proofErr w:type="spellEnd"/>
      <w:r>
        <w:rPr>
          <w:rFonts w:ascii="Times New Roman" w:hAnsi="Times New Roman"/>
          <w:lang w:val="pt-BR"/>
        </w:rPr>
        <w:t xml:space="preserve"> SBA-15 e AlSBA-15. O </w:t>
      </w:r>
      <w:r>
        <w:rPr>
          <w:rFonts w:ascii="Times New Roman" w:hAnsi="Times New Roman"/>
          <w:i/>
          <w:iCs/>
          <w:lang w:val="pt-BR"/>
        </w:rPr>
        <w:t>cluster</w:t>
      </w:r>
      <w:r>
        <w:rPr>
          <w:rFonts w:ascii="Times New Roman" w:hAnsi="Times New Roman"/>
          <w:lang w:val="pt-BR"/>
        </w:rPr>
        <w:t xml:space="preserve"> </w:t>
      </w:r>
      <w:r w:rsidR="000A49E7">
        <w:rPr>
          <w:rFonts w:ascii="Times New Roman" w:hAnsi="Times New Roman"/>
          <w:lang w:val="pt-BR"/>
        </w:rPr>
        <w:t xml:space="preserve">SBA-15 </w:t>
      </w:r>
      <w:r>
        <w:rPr>
          <w:rFonts w:ascii="Times New Roman" w:hAnsi="Times New Roman"/>
          <w:lang w:val="pt-BR"/>
        </w:rPr>
        <w:t xml:space="preserve">proposto apresentou boa concordância com parâmetros geométricos de sílica </w:t>
      </w:r>
      <w:proofErr w:type="spellStart"/>
      <w:r>
        <w:rPr>
          <w:rFonts w:ascii="Times New Roman" w:hAnsi="Times New Roman"/>
          <w:lang w:val="pt-BR"/>
        </w:rPr>
        <w:t>mesoporosa</w:t>
      </w:r>
      <w:proofErr w:type="spellEnd"/>
      <w:r>
        <w:rPr>
          <w:rFonts w:ascii="Times New Roman" w:hAnsi="Times New Roman"/>
          <w:lang w:val="pt-BR"/>
        </w:rPr>
        <w:t xml:space="preserve"> dispostos na </w:t>
      </w:r>
      <w:r>
        <w:rPr>
          <w:rFonts w:ascii="Times New Roman" w:hAnsi="Times New Roman"/>
          <w:lang w:val="pt-BR"/>
        </w:rPr>
        <w:t xml:space="preserve">literatura. A substituição de Al levou à formação de BAS e LAS de força ácida fraca/moderada, </w:t>
      </w:r>
      <w:r w:rsidR="000A49E7">
        <w:rPr>
          <w:rFonts w:ascii="Times New Roman" w:hAnsi="Times New Roman"/>
          <w:lang w:val="pt-BR"/>
        </w:rPr>
        <w:t xml:space="preserve">o que </w:t>
      </w:r>
      <w:r w:rsidR="00D85605">
        <w:rPr>
          <w:rFonts w:ascii="Times New Roman" w:hAnsi="Times New Roman"/>
          <w:lang w:val="pt-BR"/>
        </w:rPr>
        <w:t xml:space="preserve">concorda </w:t>
      </w:r>
      <w:r>
        <w:rPr>
          <w:rFonts w:ascii="Times New Roman" w:hAnsi="Times New Roman"/>
          <w:lang w:val="pt-BR"/>
        </w:rPr>
        <w:t xml:space="preserve">com os parâmetros de espectroscopia </w:t>
      </w:r>
      <w:r w:rsidR="0039460A">
        <w:rPr>
          <w:rFonts w:ascii="Times New Roman" w:hAnsi="Times New Roman"/>
          <w:lang w:val="pt-BR"/>
        </w:rPr>
        <w:t>na região</w:t>
      </w:r>
      <w:r>
        <w:rPr>
          <w:rFonts w:ascii="Times New Roman" w:hAnsi="Times New Roman"/>
          <w:lang w:val="pt-BR"/>
        </w:rPr>
        <w:t xml:space="preserve"> IR experimentais e comparação com energias de adsorção para modelos de superfície de </w:t>
      </w:r>
      <w:proofErr w:type="spellStart"/>
      <w:r>
        <w:rPr>
          <w:rFonts w:ascii="Times New Roman" w:hAnsi="Times New Roman"/>
          <w:lang w:val="pt-BR"/>
        </w:rPr>
        <w:t>zeólitas</w:t>
      </w:r>
      <w:proofErr w:type="spellEnd"/>
      <w:r>
        <w:rPr>
          <w:rFonts w:ascii="Times New Roman" w:hAnsi="Times New Roman"/>
          <w:lang w:val="pt-BR"/>
        </w:rPr>
        <w:t xml:space="preserve">. Para trabalhos futuros, </w:t>
      </w:r>
      <w:r w:rsidR="00DE38FD">
        <w:rPr>
          <w:rFonts w:ascii="Times New Roman" w:hAnsi="Times New Roman"/>
          <w:lang w:val="pt-BR"/>
        </w:rPr>
        <w:t>objetiva</w:t>
      </w:r>
      <w:r w:rsidR="00382B61">
        <w:rPr>
          <w:rFonts w:ascii="Times New Roman" w:hAnsi="Times New Roman"/>
          <w:lang w:val="pt-BR"/>
        </w:rPr>
        <w:t>-se</w:t>
      </w:r>
      <w:r w:rsidR="00DE38FD">
        <w:rPr>
          <w:rFonts w:ascii="Times New Roman" w:hAnsi="Times New Roman"/>
          <w:lang w:val="pt-BR"/>
        </w:rPr>
        <w:t xml:space="preserve"> </w:t>
      </w:r>
      <w:r w:rsidR="00F04F2A">
        <w:rPr>
          <w:rFonts w:ascii="Times New Roman" w:hAnsi="Times New Roman"/>
          <w:lang w:val="pt-BR"/>
        </w:rPr>
        <w:t>caracterizar</w:t>
      </w:r>
      <w:r>
        <w:rPr>
          <w:rFonts w:ascii="Times New Roman" w:hAnsi="Times New Roman"/>
          <w:lang w:val="pt-BR"/>
        </w:rPr>
        <w:t xml:space="preserve"> os </w:t>
      </w:r>
      <w:r>
        <w:rPr>
          <w:rFonts w:ascii="Times New Roman" w:hAnsi="Times New Roman"/>
          <w:i/>
          <w:iCs/>
          <w:lang w:val="pt-BR"/>
        </w:rPr>
        <w:t>clusters</w:t>
      </w:r>
      <w:r>
        <w:rPr>
          <w:rFonts w:ascii="Times New Roman" w:hAnsi="Times New Roman"/>
          <w:lang w:val="pt-BR"/>
        </w:rPr>
        <w:t xml:space="preserve"> </w:t>
      </w:r>
      <w:r w:rsidR="00165AE0">
        <w:rPr>
          <w:rFonts w:ascii="Times New Roman" w:hAnsi="Times New Roman"/>
          <w:lang w:val="pt-BR"/>
        </w:rPr>
        <w:t>apresentados</w:t>
      </w:r>
      <w:r w:rsidR="00952073">
        <w:rPr>
          <w:rFonts w:ascii="Times New Roman" w:hAnsi="Times New Roman"/>
          <w:lang w:val="pt-BR"/>
        </w:rPr>
        <w:t xml:space="preserve"> </w:t>
      </w:r>
      <w:r w:rsidR="00BB23E0">
        <w:rPr>
          <w:rFonts w:ascii="Times New Roman" w:hAnsi="Times New Roman"/>
          <w:lang w:val="pt-BR"/>
        </w:rPr>
        <w:t>pela</w:t>
      </w:r>
      <w:r w:rsidR="00F04F2A">
        <w:rPr>
          <w:rFonts w:ascii="Times New Roman" w:hAnsi="Times New Roman"/>
          <w:lang w:val="pt-BR"/>
        </w:rPr>
        <w:t xml:space="preserve"> adsorção de piridina como molécula-sonda e testar numa reação </w:t>
      </w:r>
      <w:r>
        <w:rPr>
          <w:rFonts w:ascii="Times New Roman" w:hAnsi="Times New Roman"/>
          <w:lang w:val="pt-BR"/>
        </w:rPr>
        <w:t>modelo</w:t>
      </w:r>
      <w:r w:rsidR="0039460A">
        <w:rPr>
          <w:rFonts w:ascii="Times New Roman" w:hAnsi="Times New Roman"/>
          <w:lang w:val="pt-BR"/>
        </w:rPr>
        <w:t xml:space="preserve"> de conversão de biomassa</w:t>
      </w:r>
      <w:r w:rsidR="00710695">
        <w:rPr>
          <w:rFonts w:ascii="Times New Roman" w:hAnsi="Times New Roman"/>
          <w:lang w:val="pt-BR"/>
        </w:rPr>
        <w:t>, a desidratação de metanol</w:t>
      </w:r>
      <w:r w:rsidR="0039460A">
        <w:rPr>
          <w:rFonts w:ascii="Times New Roman" w:hAnsi="Times New Roman"/>
          <w:lang w:val="pt-BR"/>
        </w:rPr>
        <w:t>.</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4724BB49" w:rsidR="00EA4E1B" w:rsidRPr="001F25B2" w:rsidRDefault="00EB7009" w:rsidP="00EA4E1B">
      <w:pPr>
        <w:pStyle w:val="TAMainText"/>
        <w:rPr>
          <w:rFonts w:ascii="Times New Roman" w:hAnsi="Times New Roman"/>
          <w:lang w:val="pt-BR"/>
        </w:rPr>
      </w:pPr>
      <w:r>
        <w:rPr>
          <w:rFonts w:ascii="Times New Roman" w:hAnsi="Times New Roman"/>
          <w:lang w:val="pt-BR"/>
        </w:rPr>
        <w:t>GS</w:t>
      </w:r>
      <w:r w:rsidR="008A2549">
        <w:rPr>
          <w:rFonts w:ascii="Times New Roman" w:hAnsi="Times New Roman"/>
          <w:lang w:val="pt-BR"/>
        </w:rPr>
        <w:t>V</w:t>
      </w:r>
      <w:r>
        <w:rPr>
          <w:rFonts w:ascii="Times New Roman" w:hAnsi="Times New Roman"/>
          <w:lang w:val="pt-BR"/>
        </w:rPr>
        <w:t>, GPS e BEBC</w:t>
      </w:r>
      <w:r w:rsidR="00814A45">
        <w:rPr>
          <w:rFonts w:ascii="Times New Roman" w:hAnsi="Times New Roman"/>
          <w:lang w:val="pt-BR"/>
        </w:rPr>
        <w:t xml:space="preserve"> agradecem ao CNPq</w:t>
      </w:r>
      <w:r w:rsidR="002D4A3E">
        <w:rPr>
          <w:rFonts w:ascii="Times New Roman" w:hAnsi="Times New Roman"/>
          <w:lang w:val="pt-BR"/>
        </w:rPr>
        <w:t>,</w:t>
      </w:r>
      <w:r w:rsidR="00814A45">
        <w:rPr>
          <w:rFonts w:ascii="Times New Roman" w:hAnsi="Times New Roman"/>
          <w:lang w:val="pt-BR"/>
        </w:rPr>
        <w:t xml:space="preserve"> </w:t>
      </w:r>
      <w:r w:rsidR="002B3F8E">
        <w:rPr>
          <w:rFonts w:ascii="Times New Roman" w:hAnsi="Times New Roman"/>
          <w:lang w:val="pt-BR"/>
        </w:rPr>
        <w:t>à</w:t>
      </w:r>
      <w:r w:rsidR="00814A45">
        <w:rPr>
          <w:rFonts w:ascii="Times New Roman" w:hAnsi="Times New Roman"/>
          <w:lang w:val="pt-BR"/>
        </w:rPr>
        <w:t xml:space="preserve"> CAPES</w:t>
      </w:r>
      <w:r w:rsidR="002D4A3E">
        <w:rPr>
          <w:rFonts w:ascii="Times New Roman" w:hAnsi="Times New Roman"/>
          <w:lang w:val="pt-BR"/>
        </w:rPr>
        <w:t xml:space="preserve"> e </w:t>
      </w:r>
      <w:r w:rsidR="00470B31">
        <w:rPr>
          <w:rFonts w:ascii="Times New Roman" w:hAnsi="Times New Roman"/>
          <w:lang w:val="pt-BR"/>
        </w:rPr>
        <w:t>ao</w:t>
      </w:r>
      <w:r w:rsidR="002D4A3E">
        <w:rPr>
          <w:rFonts w:ascii="Times New Roman" w:hAnsi="Times New Roman"/>
          <w:lang w:val="pt-BR"/>
        </w:rPr>
        <w:t xml:space="preserve"> </w:t>
      </w:r>
      <w:r w:rsidR="00470B31">
        <w:rPr>
          <w:rFonts w:ascii="Times New Roman" w:hAnsi="Times New Roman"/>
          <w:lang w:val="pt-BR"/>
        </w:rPr>
        <w:t>PROBOL/</w:t>
      </w:r>
      <w:r w:rsidR="002D4A3E">
        <w:rPr>
          <w:rFonts w:ascii="Times New Roman" w:hAnsi="Times New Roman"/>
          <w:lang w:val="pt-BR"/>
        </w:rPr>
        <w:t>UESC</w:t>
      </w:r>
      <w:r w:rsidR="00814A45">
        <w:rPr>
          <w:rFonts w:ascii="Times New Roman" w:hAnsi="Times New Roman"/>
          <w:lang w:val="pt-BR"/>
        </w:rPr>
        <w:t xml:space="preserve">, por fomentar as bolsas </w:t>
      </w:r>
      <w:r w:rsidR="002D4A3E">
        <w:rPr>
          <w:rFonts w:ascii="Times New Roman" w:hAnsi="Times New Roman"/>
          <w:lang w:val="pt-BR"/>
        </w:rPr>
        <w:t>de iniciação científica, mestrado e pós</w:t>
      </w:r>
      <w:r w:rsidR="000B0DDA">
        <w:rPr>
          <w:rFonts w:ascii="Times New Roman" w:hAnsi="Times New Roman"/>
          <w:lang w:val="pt-BR"/>
        </w:rPr>
        <w:t>-</w:t>
      </w:r>
      <w:r w:rsidR="002D4A3E">
        <w:rPr>
          <w:rFonts w:ascii="Times New Roman" w:hAnsi="Times New Roman"/>
          <w:lang w:val="pt-BR"/>
        </w:rPr>
        <w:t>doutorado</w:t>
      </w:r>
      <w:r w:rsidR="00465677">
        <w:rPr>
          <w:rFonts w:ascii="Times New Roman" w:hAnsi="Times New Roman"/>
          <w:lang w:val="pt-BR"/>
        </w:rPr>
        <w:t>, respectivamente</w:t>
      </w:r>
      <w:r w:rsidR="002D4A3E">
        <w:rPr>
          <w:rFonts w:ascii="Times New Roman" w:hAnsi="Times New Roman"/>
          <w:lang w:val="pt-BR"/>
        </w:rPr>
        <w:t>.</w:t>
      </w:r>
      <w:r w:rsidR="00165AE0">
        <w:rPr>
          <w:rFonts w:ascii="Times New Roman" w:hAnsi="Times New Roman"/>
          <w:lang w:val="pt-BR"/>
        </w:rPr>
        <w:t xml:space="preserve"> </w:t>
      </w:r>
    </w:p>
    <w:p w14:paraId="1EAAA287"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7304CE4A" w14:textId="5F033251" w:rsidR="00EA4E1B" w:rsidRPr="002434D4" w:rsidRDefault="0063286A" w:rsidP="00EA4E1B">
      <w:pPr>
        <w:pStyle w:val="TAMainText"/>
        <w:numPr>
          <w:ilvl w:val="0"/>
          <w:numId w:val="1"/>
        </w:numPr>
        <w:rPr>
          <w:rFonts w:ascii="Times New Roman" w:hAnsi="Times New Roman"/>
        </w:rPr>
      </w:pPr>
      <w:r w:rsidRPr="002434D4">
        <w:rPr>
          <w:rFonts w:ascii="Times New Roman" w:hAnsi="Times New Roman"/>
        </w:rPr>
        <w:t xml:space="preserve">R. </w:t>
      </w:r>
      <w:proofErr w:type="spellStart"/>
      <w:r w:rsidRPr="002434D4">
        <w:rPr>
          <w:rFonts w:ascii="Times New Roman" w:hAnsi="Times New Roman"/>
        </w:rPr>
        <w:t>Reshmy</w:t>
      </w:r>
      <w:proofErr w:type="spellEnd"/>
      <w:r w:rsidR="002B2A8A">
        <w:rPr>
          <w:rFonts w:ascii="Times New Roman" w:hAnsi="Times New Roman"/>
        </w:rPr>
        <w:t xml:space="preserve"> et al</w:t>
      </w:r>
      <w:r w:rsidR="00767C2C" w:rsidRPr="002434D4">
        <w:rPr>
          <w:rFonts w:ascii="Times New Roman" w:hAnsi="Times New Roman"/>
        </w:rPr>
        <w:t xml:space="preserve">. </w:t>
      </w:r>
      <w:r w:rsidR="00767C2C" w:rsidRPr="002434D4">
        <w:rPr>
          <w:rFonts w:ascii="Times New Roman" w:hAnsi="Times New Roman"/>
          <w:i/>
          <w:iCs/>
        </w:rPr>
        <w:t>Fuel</w:t>
      </w:r>
      <w:r w:rsidR="00767C2C" w:rsidRPr="002434D4">
        <w:rPr>
          <w:rFonts w:ascii="Times New Roman" w:hAnsi="Times New Roman"/>
        </w:rPr>
        <w:t xml:space="preserve"> </w:t>
      </w:r>
      <w:r w:rsidR="00767C2C" w:rsidRPr="002434D4">
        <w:rPr>
          <w:rFonts w:ascii="Times New Roman" w:hAnsi="Times New Roman"/>
          <w:b/>
          <w:bCs/>
        </w:rPr>
        <w:t>2022</w:t>
      </w:r>
      <w:r w:rsidR="00767C2C" w:rsidRPr="002434D4">
        <w:rPr>
          <w:rFonts w:ascii="Times New Roman" w:hAnsi="Times New Roman"/>
        </w:rPr>
        <w:t>, 308, 122056</w:t>
      </w:r>
      <w:r w:rsidR="005B6113">
        <w:rPr>
          <w:rFonts w:ascii="Times New Roman" w:hAnsi="Times New Roman"/>
        </w:rPr>
        <w:t>-</w:t>
      </w:r>
      <w:r w:rsidR="005B6113" w:rsidRPr="002434D4">
        <w:rPr>
          <w:rFonts w:ascii="Times New Roman" w:hAnsi="Times New Roman"/>
        </w:rPr>
        <w:t>122056</w:t>
      </w:r>
      <w:r w:rsidR="00EA4E1B" w:rsidRPr="002434D4">
        <w:rPr>
          <w:rFonts w:ascii="Times New Roman" w:hAnsi="Times New Roman"/>
        </w:rPr>
        <w:t>.</w:t>
      </w:r>
      <w:r w:rsidR="00EA4E1B" w:rsidRPr="002434D4">
        <w:rPr>
          <w:rFonts w:ascii="Times New Roman" w:hAnsi="Times New Roman"/>
          <w:b/>
        </w:rPr>
        <w:t xml:space="preserve"> </w:t>
      </w:r>
    </w:p>
    <w:p w14:paraId="1A6AD509" w14:textId="494CCD40" w:rsidR="00EA4E1B" w:rsidRPr="002434D4" w:rsidRDefault="00767C2C" w:rsidP="00EA4E1B">
      <w:pPr>
        <w:pStyle w:val="TAMainText"/>
        <w:numPr>
          <w:ilvl w:val="0"/>
          <w:numId w:val="1"/>
        </w:numPr>
        <w:rPr>
          <w:rFonts w:ascii="Times New Roman" w:hAnsi="Times New Roman"/>
        </w:rPr>
      </w:pPr>
      <w:r w:rsidRPr="002434D4">
        <w:rPr>
          <w:rFonts w:ascii="Times New Roman" w:hAnsi="Times New Roman"/>
        </w:rPr>
        <w:t xml:space="preserve">A.C. Lamb; A. F. Lee; K. Wilson, </w:t>
      </w:r>
      <w:r w:rsidRPr="002434D4">
        <w:rPr>
          <w:rFonts w:ascii="Times New Roman" w:hAnsi="Times New Roman"/>
          <w:i/>
          <w:iCs/>
        </w:rPr>
        <w:t>Aust. J. Chem.</w:t>
      </w:r>
      <w:r w:rsidRPr="002434D4">
        <w:rPr>
          <w:rFonts w:ascii="Times New Roman" w:hAnsi="Times New Roman"/>
        </w:rPr>
        <w:t xml:space="preserve"> </w:t>
      </w:r>
      <w:r w:rsidRPr="002434D4">
        <w:rPr>
          <w:rFonts w:ascii="Times New Roman" w:hAnsi="Times New Roman"/>
          <w:b/>
          <w:bCs/>
        </w:rPr>
        <w:t>2020</w:t>
      </w:r>
      <w:r w:rsidRPr="002434D4">
        <w:rPr>
          <w:rFonts w:ascii="Times New Roman" w:hAnsi="Times New Roman"/>
        </w:rPr>
        <w:t>, 73, 832-835</w:t>
      </w:r>
      <w:r w:rsidR="00EA4E1B" w:rsidRPr="002434D4">
        <w:rPr>
          <w:rFonts w:ascii="Times New Roman" w:hAnsi="Times New Roman"/>
        </w:rPr>
        <w:t>.</w:t>
      </w:r>
    </w:p>
    <w:p w14:paraId="0F7B8055" w14:textId="211B7A17" w:rsidR="00EA4E1B" w:rsidRPr="00E038AF" w:rsidRDefault="00767C2C" w:rsidP="00EA4E1B">
      <w:pPr>
        <w:pStyle w:val="TAMainText"/>
        <w:numPr>
          <w:ilvl w:val="0"/>
          <w:numId w:val="1"/>
        </w:numPr>
        <w:rPr>
          <w:rFonts w:ascii="Times New Roman" w:hAnsi="Times New Roman"/>
        </w:rPr>
      </w:pPr>
      <w:r w:rsidRPr="002434D4">
        <w:rPr>
          <w:rFonts w:ascii="Times New Roman" w:hAnsi="Times New Roman"/>
        </w:rPr>
        <w:t>Y. Li</w:t>
      </w:r>
      <w:r w:rsidR="002B2A8A" w:rsidRPr="002B2A8A">
        <w:rPr>
          <w:rFonts w:ascii="Times New Roman" w:hAnsi="Times New Roman"/>
        </w:rPr>
        <w:t xml:space="preserve"> </w:t>
      </w:r>
      <w:r w:rsidR="002B2A8A">
        <w:rPr>
          <w:rFonts w:ascii="Times New Roman" w:hAnsi="Times New Roman"/>
        </w:rPr>
        <w:t>et al</w:t>
      </w:r>
      <w:r w:rsidRPr="00767C2C">
        <w:rPr>
          <w:rFonts w:ascii="Times New Roman" w:hAnsi="Times New Roman"/>
        </w:rPr>
        <w:t xml:space="preserve">, </w:t>
      </w:r>
      <w:r w:rsidRPr="008C1BB7">
        <w:rPr>
          <w:rFonts w:ascii="Times New Roman" w:hAnsi="Times New Roman"/>
          <w:i/>
          <w:iCs/>
        </w:rPr>
        <w:t>J. Phys. Chem. B</w:t>
      </w:r>
      <w:r w:rsidRPr="00767C2C">
        <w:rPr>
          <w:rFonts w:ascii="Times New Roman" w:hAnsi="Times New Roman"/>
        </w:rPr>
        <w:t xml:space="preserve"> </w:t>
      </w:r>
      <w:r w:rsidRPr="008C1BB7">
        <w:rPr>
          <w:rFonts w:ascii="Times New Roman" w:hAnsi="Times New Roman"/>
          <w:b/>
          <w:bCs/>
        </w:rPr>
        <w:t>2004</w:t>
      </w:r>
      <w:r w:rsidRPr="00767C2C">
        <w:rPr>
          <w:rFonts w:ascii="Times New Roman" w:hAnsi="Times New Roman"/>
        </w:rPr>
        <w:t>, 108, 9739-9744</w:t>
      </w:r>
      <w:r w:rsidR="00EA4E1B" w:rsidRPr="00E038AF">
        <w:rPr>
          <w:rFonts w:ascii="Times New Roman" w:hAnsi="Times New Roman"/>
        </w:rPr>
        <w:t>.</w:t>
      </w:r>
    </w:p>
    <w:p w14:paraId="0FF6E9FD" w14:textId="18FB7436" w:rsidR="00EA4E1B" w:rsidRPr="00055044" w:rsidRDefault="00767C2C" w:rsidP="00EA4E1B">
      <w:pPr>
        <w:pStyle w:val="TAMainText"/>
        <w:numPr>
          <w:ilvl w:val="0"/>
          <w:numId w:val="1"/>
        </w:numPr>
        <w:rPr>
          <w:rFonts w:ascii="Times New Roman" w:hAnsi="Times New Roman"/>
          <w:lang w:val="pt-BR"/>
        </w:rPr>
      </w:pPr>
      <w:r w:rsidRPr="00055044">
        <w:rPr>
          <w:rFonts w:ascii="Times New Roman" w:hAnsi="Times New Roman"/>
          <w:lang w:val="pt-BR"/>
        </w:rPr>
        <w:t xml:space="preserve">C. </w:t>
      </w:r>
      <w:proofErr w:type="spellStart"/>
      <w:r w:rsidRPr="00055044">
        <w:rPr>
          <w:rFonts w:ascii="Times New Roman" w:hAnsi="Times New Roman"/>
          <w:lang w:val="pt-BR"/>
        </w:rPr>
        <w:t>Pizzolitto</w:t>
      </w:r>
      <w:proofErr w:type="spellEnd"/>
      <w:r w:rsidR="002550AC" w:rsidRPr="00055044">
        <w:rPr>
          <w:rFonts w:ascii="Times New Roman" w:hAnsi="Times New Roman"/>
          <w:lang w:val="pt-BR"/>
        </w:rPr>
        <w:t xml:space="preserve"> et al</w:t>
      </w:r>
      <w:r w:rsidRPr="00767C2C">
        <w:rPr>
          <w:rFonts w:ascii="Times New Roman" w:hAnsi="Times New Roman"/>
          <w:lang w:val="pt-BR"/>
        </w:rPr>
        <w:t xml:space="preserve">, </w:t>
      </w:r>
      <w:proofErr w:type="spellStart"/>
      <w:r w:rsidRPr="00EA62D7">
        <w:rPr>
          <w:rFonts w:ascii="Times New Roman" w:hAnsi="Times New Roman"/>
          <w:i/>
          <w:iCs/>
          <w:lang w:val="pt-BR"/>
        </w:rPr>
        <w:t>Micropor</w:t>
      </w:r>
      <w:proofErr w:type="spellEnd"/>
      <w:r w:rsidRPr="00EA62D7">
        <w:rPr>
          <w:rFonts w:ascii="Times New Roman" w:hAnsi="Times New Roman"/>
          <w:i/>
          <w:iCs/>
          <w:lang w:val="pt-BR"/>
        </w:rPr>
        <w:t xml:space="preserve">. </w:t>
      </w:r>
      <w:proofErr w:type="spellStart"/>
      <w:r w:rsidRPr="00055044">
        <w:rPr>
          <w:rFonts w:ascii="Times New Roman" w:hAnsi="Times New Roman"/>
          <w:i/>
          <w:iCs/>
          <w:lang w:val="pt-BR"/>
        </w:rPr>
        <w:t>Mesopor</w:t>
      </w:r>
      <w:proofErr w:type="spellEnd"/>
      <w:r w:rsidRPr="00055044">
        <w:rPr>
          <w:rFonts w:ascii="Times New Roman" w:hAnsi="Times New Roman"/>
          <w:i/>
          <w:iCs/>
          <w:lang w:val="pt-BR"/>
        </w:rPr>
        <w:t>. Mat.</w:t>
      </w:r>
      <w:r w:rsidRPr="00055044">
        <w:rPr>
          <w:rFonts w:ascii="Times New Roman" w:hAnsi="Times New Roman"/>
          <w:lang w:val="pt-BR"/>
        </w:rPr>
        <w:t xml:space="preserve"> </w:t>
      </w:r>
      <w:r w:rsidRPr="00055044">
        <w:rPr>
          <w:rFonts w:ascii="Times New Roman" w:hAnsi="Times New Roman"/>
          <w:b/>
          <w:bCs/>
          <w:lang w:val="pt-BR"/>
        </w:rPr>
        <w:t>2021</w:t>
      </w:r>
      <w:r w:rsidRPr="00055044">
        <w:rPr>
          <w:rFonts w:ascii="Times New Roman" w:hAnsi="Times New Roman"/>
          <w:lang w:val="pt-BR"/>
        </w:rPr>
        <w:t>, 328</w:t>
      </w:r>
      <w:r w:rsidR="005B6113" w:rsidRPr="00055044">
        <w:rPr>
          <w:rFonts w:ascii="Times New Roman" w:hAnsi="Times New Roman"/>
          <w:lang w:val="pt-BR"/>
        </w:rPr>
        <w:t>, 111459</w:t>
      </w:r>
      <w:r w:rsidR="00681EEF" w:rsidRPr="00055044">
        <w:rPr>
          <w:rFonts w:ascii="Times New Roman" w:hAnsi="Times New Roman"/>
          <w:lang w:val="pt-BR"/>
        </w:rPr>
        <w:t>-111459</w:t>
      </w:r>
      <w:r w:rsidR="00EA4E1B" w:rsidRPr="00055044">
        <w:rPr>
          <w:rFonts w:ascii="Times New Roman" w:hAnsi="Times New Roman"/>
          <w:lang w:val="pt-BR"/>
        </w:rPr>
        <w:t>.</w:t>
      </w:r>
    </w:p>
    <w:p w14:paraId="0E7B4FBA" w14:textId="2302641D" w:rsidR="00EA4E1B" w:rsidRPr="00E038AF" w:rsidRDefault="004D2871" w:rsidP="00EA4E1B">
      <w:pPr>
        <w:pStyle w:val="TAMainText"/>
        <w:numPr>
          <w:ilvl w:val="0"/>
          <w:numId w:val="1"/>
        </w:numPr>
        <w:rPr>
          <w:rFonts w:ascii="Times New Roman" w:hAnsi="Times New Roman"/>
        </w:rPr>
      </w:pPr>
      <w:r w:rsidRPr="004D2871">
        <w:rPr>
          <w:rFonts w:ascii="Times New Roman" w:hAnsi="Times New Roman"/>
        </w:rPr>
        <w:t xml:space="preserve">P. </w:t>
      </w:r>
      <w:proofErr w:type="spellStart"/>
      <w:r w:rsidRPr="004D2871">
        <w:rPr>
          <w:rFonts w:ascii="Times New Roman" w:hAnsi="Times New Roman"/>
        </w:rPr>
        <w:t>Tosuwan</w:t>
      </w:r>
      <w:proofErr w:type="spellEnd"/>
      <w:r w:rsidR="00055044" w:rsidRPr="00055044">
        <w:rPr>
          <w:rFonts w:ascii="Times New Roman" w:hAnsi="Times New Roman"/>
        </w:rPr>
        <w:t xml:space="preserve"> </w:t>
      </w:r>
      <w:r w:rsidR="00055044">
        <w:rPr>
          <w:rFonts w:ascii="Times New Roman" w:hAnsi="Times New Roman"/>
        </w:rPr>
        <w:t>et al</w:t>
      </w:r>
      <w:r w:rsidRPr="004D2871">
        <w:rPr>
          <w:rFonts w:ascii="Times New Roman" w:hAnsi="Times New Roman"/>
        </w:rPr>
        <w:t xml:space="preserve">, </w:t>
      </w:r>
      <w:proofErr w:type="spellStart"/>
      <w:r w:rsidRPr="00E60127">
        <w:rPr>
          <w:rFonts w:ascii="Times New Roman" w:hAnsi="Times New Roman"/>
          <w:i/>
          <w:iCs/>
        </w:rPr>
        <w:t>Catal</w:t>
      </w:r>
      <w:proofErr w:type="spellEnd"/>
      <w:r w:rsidRPr="00E60127">
        <w:rPr>
          <w:rFonts w:ascii="Times New Roman" w:hAnsi="Times New Roman"/>
          <w:i/>
          <w:iCs/>
        </w:rPr>
        <w:t xml:space="preserve">. </w:t>
      </w:r>
      <w:proofErr w:type="spellStart"/>
      <w:r w:rsidRPr="00E60127">
        <w:rPr>
          <w:rFonts w:ascii="Times New Roman" w:hAnsi="Times New Roman"/>
          <w:i/>
          <w:iCs/>
        </w:rPr>
        <w:t>Commun</w:t>
      </w:r>
      <w:proofErr w:type="spellEnd"/>
      <w:r w:rsidRPr="00E60127">
        <w:rPr>
          <w:rFonts w:ascii="Times New Roman" w:hAnsi="Times New Roman"/>
          <w:i/>
          <w:iCs/>
        </w:rPr>
        <w:t>.</w:t>
      </w:r>
      <w:r w:rsidRPr="004D2871">
        <w:rPr>
          <w:rFonts w:ascii="Times New Roman" w:hAnsi="Times New Roman"/>
        </w:rPr>
        <w:t xml:space="preserve"> </w:t>
      </w:r>
      <w:r w:rsidRPr="00E60127">
        <w:rPr>
          <w:rFonts w:ascii="Times New Roman" w:hAnsi="Times New Roman"/>
          <w:b/>
          <w:bCs/>
        </w:rPr>
        <w:t>2022</w:t>
      </w:r>
      <w:r w:rsidRPr="004D2871">
        <w:rPr>
          <w:rFonts w:ascii="Times New Roman" w:hAnsi="Times New Roman"/>
        </w:rPr>
        <w:t>, 170, 106488</w:t>
      </w:r>
      <w:r w:rsidR="00E17ACF">
        <w:rPr>
          <w:rFonts w:ascii="Times New Roman" w:hAnsi="Times New Roman"/>
        </w:rPr>
        <w:t>-</w:t>
      </w:r>
      <w:r w:rsidR="00E17ACF" w:rsidRPr="004D2871">
        <w:rPr>
          <w:rFonts w:ascii="Times New Roman" w:hAnsi="Times New Roman"/>
        </w:rPr>
        <w:t>106488</w:t>
      </w:r>
      <w:r w:rsidR="00EA4E1B" w:rsidRPr="00E038AF">
        <w:rPr>
          <w:rFonts w:ascii="Times New Roman" w:hAnsi="Times New Roman"/>
        </w:rPr>
        <w:t>.</w:t>
      </w:r>
    </w:p>
    <w:p w14:paraId="2BAE4A9E" w14:textId="54CAF436" w:rsidR="00EA4E1B" w:rsidRDefault="006D0B02" w:rsidP="00EA4E1B">
      <w:pPr>
        <w:pStyle w:val="TAMainText"/>
        <w:numPr>
          <w:ilvl w:val="0"/>
          <w:numId w:val="1"/>
        </w:numPr>
        <w:rPr>
          <w:rFonts w:ascii="Times New Roman" w:hAnsi="Times New Roman"/>
          <w:lang w:val="pt-BR"/>
        </w:rPr>
      </w:pPr>
      <w:r w:rsidRPr="002A031C">
        <w:rPr>
          <w:rFonts w:ascii="Times New Roman" w:hAnsi="Times New Roman"/>
          <w:lang w:val="pt-BR"/>
        </w:rPr>
        <w:t xml:space="preserve">I. </w:t>
      </w:r>
      <w:proofErr w:type="spellStart"/>
      <w:r w:rsidRPr="002A031C">
        <w:rPr>
          <w:rFonts w:ascii="Times New Roman" w:hAnsi="Times New Roman"/>
          <w:lang w:val="pt-BR"/>
        </w:rPr>
        <w:t>Rakngam</w:t>
      </w:r>
      <w:proofErr w:type="spellEnd"/>
      <w:r w:rsidR="000A444C" w:rsidRPr="002A031C">
        <w:rPr>
          <w:rFonts w:ascii="Times New Roman" w:hAnsi="Times New Roman"/>
          <w:lang w:val="pt-BR"/>
        </w:rPr>
        <w:t xml:space="preserve"> et al</w:t>
      </w:r>
      <w:r w:rsidRPr="002A031C">
        <w:rPr>
          <w:rFonts w:ascii="Times New Roman" w:hAnsi="Times New Roman"/>
          <w:lang w:val="pt-BR"/>
        </w:rPr>
        <w:t xml:space="preserve">, </w:t>
      </w:r>
      <w:proofErr w:type="spellStart"/>
      <w:r w:rsidRPr="002A031C">
        <w:rPr>
          <w:rFonts w:ascii="Times New Roman" w:hAnsi="Times New Roman"/>
          <w:i/>
          <w:iCs/>
          <w:lang w:val="pt-BR"/>
        </w:rPr>
        <w:t>Micropor</w:t>
      </w:r>
      <w:proofErr w:type="spellEnd"/>
      <w:r w:rsidRPr="002A031C">
        <w:rPr>
          <w:rFonts w:ascii="Times New Roman" w:hAnsi="Times New Roman"/>
          <w:i/>
          <w:iCs/>
          <w:lang w:val="pt-BR"/>
        </w:rPr>
        <w:t xml:space="preserve">. </w:t>
      </w:r>
      <w:proofErr w:type="spellStart"/>
      <w:r w:rsidRPr="002A031C">
        <w:rPr>
          <w:rFonts w:ascii="Times New Roman" w:hAnsi="Times New Roman"/>
          <w:i/>
          <w:iCs/>
          <w:lang w:val="pt-BR"/>
        </w:rPr>
        <w:t>Mesopor</w:t>
      </w:r>
      <w:proofErr w:type="spellEnd"/>
      <w:r w:rsidRPr="002A031C">
        <w:rPr>
          <w:rFonts w:ascii="Times New Roman" w:hAnsi="Times New Roman"/>
          <w:i/>
          <w:iCs/>
          <w:lang w:val="pt-BR"/>
        </w:rPr>
        <w:t>. Mat</w:t>
      </w:r>
      <w:r w:rsidRPr="002A031C">
        <w:rPr>
          <w:rFonts w:ascii="Times New Roman" w:hAnsi="Times New Roman"/>
          <w:lang w:val="pt-BR"/>
        </w:rPr>
        <w:t xml:space="preserve">. </w:t>
      </w:r>
      <w:r w:rsidRPr="002A031C">
        <w:rPr>
          <w:rFonts w:ascii="Times New Roman" w:hAnsi="Times New Roman"/>
          <w:b/>
          <w:bCs/>
          <w:lang w:val="pt-BR"/>
        </w:rPr>
        <w:t>2021</w:t>
      </w:r>
      <w:r w:rsidRPr="002A031C">
        <w:rPr>
          <w:rFonts w:ascii="Times New Roman" w:hAnsi="Times New Roman"/>
          <w:lang w:val="pt-BR"/>
        </w:rPr>
        <w:t>, 317, 110999</w:t>
      </w:r>
      <w:r w:rsidR="00775C3D" w:rsidRPr="002A031C">
        <w:rPr>
          <w:rFonts w:ascii="Times New Roman" w:hAnsi="Times New Roman"/>
          <w:lang w:val="pt-BR"/>
        </w:rPr>
        <w:t>-110999</w:t>
      </w:r>
      <w:r w:rsidR="00EA4E1B" w:rsidRPr="00E038AF">
        <w:rPr>
          <w:rFonts w:ascii="Times New Roman" w:hAnsi="Times New Roman"/>
          <w:lang w:val="pt-BR"/>
        </w:rPr>
        <w:t>.</w:t>
      </w:r>
    </w:p>
    <w:p w14:paraId="7645413B" w14:textId="19F5CAA2" w:rsidR="00DC6C00" w:rsidRPr="00051827" w:rsidRDefault="00A14179" w:rsidP="00DC6C00">
      <w:pPr>
        <w:pStyle w:val="TAMainText"/>
        <w:numPr>
          <w:ilvl w:val="0"/>
          <w:numId w:val="1"/>
        </w:numPr>
      </w:pPr>
      <w:r w:rsidRPr="00A14179">
        <w:t>Y. Tian</w:t>
      </w:r>
      <w:r w:rsidR="002A031C" w:rsidRPr="002A031C">
        <w:rPr>
          <w:rFonts w:ascii="Times New Roman" w:hAnsi="Times New Roman"/>
        </w:rPr>
        <w:t xml:space="preserve"> </w:t>
      </w:r>
      <w:r w:rsidR="002A031C">
        <w:rPr>
          <w:rFonts w:ascii="Times New Roman" w:hAnsi="Times New Roman"/>
        </w:rPr>
        <w:t>et al</w:t>
      </w:r>
      <w:r w:rsidRPr="00A14179">
        <w:t xml:space="preserve">, </w:t>
      </w:r>
      <w:r w:rsidRPr="003B56AD">
        <w:rPr>
          <w:i/>
          <w:iCs/>
        </w:rPr>
        <w:t>Chem. Eng. Sci.</w:t>
      </w:r>
      <w:r w:rsidRPr="00A14179">
        <w:t xml:space="preserve"> </w:t>
      </w:r>
      <w:r w:rsidRPr="003B56AD">
        <w:rPr>
          <w:b/>
          <w:bCs/>
        </w:rPr>
        <w:t>2023</w:t>
      </w:r>
      <w:r w:rsidRPr="00A14179">
        <w:t>, 270, 118527</w:t>
      </w:r>
      <w:r w:rsidR="00594DAD">
        <w:t>-</w:t>
      </w:r>
      <w:r w:rsidR="00594DAD" w:rsidRPr="00A14179">
        <w:t>118527</w:t>
      </w:r>
      <w:r w:rsidR="00DC6C00" w:rsidRPr="00051827">
        <w:t>.</w:t>
      </w:r>
      <w:r w:rsidR="00DC6C00" w:rsidRPr="00051827">
        <w:rPr>
          <w:b/>
        </w:rPr>
        <w:t xml:space="preserve"> </w:t>
      </w:r>
    </w:p>
    <w:p w14:paraId="59E47A2E" w14:textId="50DE3E89" w:rsidR="00DC6C00" w:rsidRPr="00E038AF" w:rsidRDefault="009611E1" w:rsidP="00DC6C00">
      <w:pPr>
        <w:pStyle w:val="TAMainText"/>
        <w:numPr>
          <w:ilvl w:val="0"/>
          <w:numId w:val="1"/>
        </w:numPr>
        <w:rPr>
          <w:rFonts w:ascii="Times New Roman" w:hAnsi="Times New Roman"/>
          <w:lang w:val="pt-BR"/>
        </w:rPr>
      </w:pPr>
      <w:r w:rsidRPr="009611E1">
        <w:rPr>
          <w:rFonts w:ascii="Times New Roman" w:hAnsi="Times New Roman"/>
          <w:lang w:val="pt-BR"/>
        </w:rPr>
        <w:t>G. Santos Viana</w:t>
      </w:r>
      <w:r w:rsidR="002B4D8A" w:rsidRPr="00597ABB">
        <w:rPr>
          <w:rFonts w:ascii="Times New Roman" w:hAnsi="Times New Roman"/>
          <w:lang w:val="pt-BR"/>
        </w:rPr>
        <w:t xml:space="preserve"> et al</w:t>
      </w:r>
      <w:r w:rsidRPr="0017250B">
        <w:rPr>
          <w:rFonts w:ascii="Times New Roman" w:hAnsi="Times New Roman"/>
          <w:i/>
          <w:iCs/>
          <w:lang w:val="pt-BR"/>
        </w:rPr>
        <w:t xml:space="preserve">, Catal. Res. </w:t>
      </w:r>
      <w:r w:rsidRPr="0017250B">
        <w:rPr>
          <w:rFonts w:ascii="Times New Roman" w:hAnsi="Times New Roman"/>
          <w:b/>
          <w:bCs/>
          <w:lang w:val="pt-BR"/>
        </w:rPr>
        <w:t>2022</w:t>
      </w:r>
      <w:r w:rsidRPr="009611E1">
        <w:rPr>
          <w:rFonts w:ascii="Times New Roman" w:hAnsi="Times New Roman"/>
          <w:lang w:val="pt-BR"/>
        </w:rPr>
        <w:t xml:space="preserve">, 2, </w:t>
      </w:r>
      <w:r>
        <w:rPr>
          <w:rFonts w:ascii="Times New Roman" w:hAnsi="Times New Roman"/>
          <w:lang w:val="pt-BR"/>
        </w:rPr>
        <w:t>1-</w:t>
      </w:r>
      <w:r w:rsidRPr="009611E1">
        <w:rPr>
          <w:rFonts w:ascii="Times New Roman" w:hAnsi="Times New Roman"/>
          <w:lang w:val="pt-BR"/>
        </w:rPr>
        <w:t>30</w:t>
      </w:r>
      <w:r w:rsidR="00DC6C00" w:rsidRPr="00E038AF">
        <w:rPr>
          <w:rFonts w:ascii="Times New Roman" w:hAnsi="Times New Roman"/>
          <w:lang w:val="pt-BR"/>
        </w:rPr>
        <w:t>.</w:t>
      </w:r>
    </w:p>
    <w:p w14:paraId="2D301965" w14:textId="7F60147F" w:rsidR="00DC6C00" w:rsidRPr="00E038AF" w:rsidRDefault="00295576" w:rsidP="00DC6C00">
      <w:pPr>
        <w:pStyle w:val="TAMainText"/>
        <w:numPr>
          <w:ilvl w:val="0"/>
          <w:numId w:val="1"/>
        </w:numPr>
        <w:rPr>
          <w:rFonts w:ascii="Times New Roman" w:hAnsi="Times New Roman"/>
        </w:rPr>
      </w:pPr>
      <w:r w:rsidRPr="00394229">
        <w:rPr>
          <w:rFonts w:ascii="Times New Roman" w:hAnsi="Times New Roman"/>
          <w:lang w:val="pt-BR"/>
        </w:rPr>
        <w:t xml:space="preserve">F. </w:t>
      </w:r>
      <w:proofErr w:type="spellStart"/>
      <w:r w:rsidRPr="00394229">
        <w:rPr>
          <w:rFonts w:ascii="Times New Roman" w:hAnsi="Times New Roman"/>
          <w:lang w:val="pt-BR"/>
        </w:rPr>
        <w:t>Tielens</w:t>
      </w:r>
      <w:proofErr w:type="spellEnd"/>
      <w:r w:rsidR="00597ABB" w:rsidRPr="00394229">
        <w:rPr>
          <w:rFonts w:ascii="Times New Roman" w:hAnsi="Times New Roman"/>
          <w:lang w:val="pt-BR"/>
        </w:rPr>
        <w:t xml:space="preserve"> et al</w:t>
      </w:r>
      <w:r w:rsidRPr="00394229">
        <w:rPr>
          <w:rFonts w:ascii="Times New Roman" w:hAnsi="Times New Roman"/>
          <w:lang w:val="pt-BR"/>
        </w:rPr>
        <w:t xml:space="preserve">, </w:t>
      </w:r>
      <w:r w:rsidRPr="00394229">
        <w:rPr>
          <w:rFonts w:ascii="Times New Roman" w:hAnsi="Times New Roman"/>
          <w:i/>
          <w:iCs/>
          <w:lang w:val="pt-BR"/>
        </w:rPr>
        <w:t xml:space="preserve">Catal. </w:t>
      </w:r>
      <w:r w:rsidRPr="00485D4C">
        <w:rPr>
          <w:rFonts w:ascii="Times New Roman" w:hAnsi="Times New Roman"/>
          <w:i/>
          <w:iCs/>
        </w:rPr>
        <w:t>Today</w:t>
      </w:r>
      <w:r w:rsidRPr="00485D4C">
        <w:rPr>
          <w:rFonts w:ascii="Times New Roman" w:hAnsi="Times New Roman"/>
        </w:rPr>
        <w:t xml:space="preserve"> </w:t>
      </w:r>
      <w:r w:rsidRPr="00485D4C">
        <w:rPr>
          <w:rFonts w:ascii="Times New Roman" w:hAnsi="Times New Roman"/>
          <w:b/>
          <w:bCs/>
        </w:rPr>
        <w:t>2020</w:t>
      </w:r>
      <w:r w:rsidRPr="00485D4C">
        <w:rPr>
          <w:rFonts w:ascii="Times New Roman" w:hAnsi="Times New Roman"/>
        </w:rPr>
        <w:t>, 354, 3-18</w:t>
      </w:r>
      <w:r w:rsidR="00DC6C00" w:rsidRPr="00E038AF">
        <w:rPr>
          <w:rFonts w:ascii="Times New Roman" w:hAnsi="Times New Roman"/>
        </w:rPr>
        <w:t>.</w:t>
      </w:r>
    </w:p>
    <w:p w14:paraId="294AF3A3" w14:textId="1A9086DB" w:rsidR="00DC6C00" w:rsidRPr="004D32A8" w:rsidRDefault="008E3CC4" w:rsidP="00DC6C00">
      <w:pPr>
        <w:pStyle w:val="TAMainText"/>
        <w:numPr>
          <w:ilvl w:val="0"/>
          <w:numId w:val="1"/>
        </w:numPr>
        <w:rPr>
          <w:rFonts w:ascii="Times New Roman" w:hAnsi="Times New Roman"/>
          <w:lang w:val="pt-BR"/>
        </w:rPr>
      </w:pPr>
      <w:r w:rsidRPr="004D32A8">
        <w:rPr>
          <w:rFonts w:ascii="Times New Roman" w:hAnsi="Times New Roman"/>
          <w:lang w:val="pt-BR"/>
        </w:rPr>
        <w:t>W. Hu</w:t>
      </w:r>
      <w:r w:rsidR="00485D4C" w:rsidRPr="004D32A8">
        <w:rPr>
          <w:rFonts w:ascii="Times New Roman" w:hAnsi="Times New Roman"/>
          <w:lang w:val="pt-BR"/>
        </w:rPr>
        <w:t xml:space="preserve"> et al</w:t>
      </w:r>
      <w:r w:rsidRPr="004D32A8">
        <w:rPr>
          <w:rFonts w:ascii="Times New Roman" w:hAnsi="Times New Roman"/>
          <w:lang w:val="pt-BR"/>
        </w:rPr>
        <w:t xml:space="preserve">, </w:t>
      </w:r>
      <w:proofErr w:type="spellStart"/>
      <w:r w:rsidRPr="004D32A8">
        <w:rPr>
          <w:rFonts w:ascii="Times New Roman" w:hAnsi="Times New Roman"/>
          <w:i/>
          <w:iCs/>
          <w:lang w:val="pt-BR"/>
        </w:rPr>
        <w:t>Micropor</w:t>
      </w:r>
      <w:proofErr w:type="spellEnd"/>
      <w:r w:rsidRPr="004D32A8">
        <w:rPr>
          <w:rFonts w:ascii="Times New Roman" w:hAnsi="Times New Roman"/>
          <w:i/>
          <w:iCs/>
          <w:lang w:val="pt-BR"/>
        </w:rPr>
        <w:t xml:space="preserve">. </w:t>
      </w:r>
      <w:proofErr w:type="spellStart"/>
      <w:r w:rsidRPr="004D32A8">
        <w:rPr>
          <w:rFonts w:ascii="Times New Roman" w:hAnsi="Times New Roman"/>
          <w:i/>
          <w:iCs/>
          <w:lang w:val="pt-BR"/>
        </w:rPr>
        <w:t>Mesopor</w:t>
      </w:r>
      <w:proofErr w:type="spellEnd"/>
      <w:r w:rsidRPr="004D32A8">
        <w:rPr>
          <w:rFonts w:ascii="Times New Roman" w:hAnsi="Times New Roman"/>
          <w:i/>
          <w:iCs/>
          <w:lang w:val="pt-BR"/>
        </w:rPr>
        <w:t>. Mat.</w:t>
      </w:r>
      <w:r w:rsidRPr="004D32A8">
        <w:rPr>
          <w:rFonts w:ascii="Times New Roman" w:hAnsi="Times New Roman"/>
          <w:lang w:val="pt-BR"/>
        </w:rPr>
        <w:t xml:space="preserve"> </w:t>
      </w:r>
      <w:r w:rsidRPr="004D32A8">
        <w:rPr>
          <w:rFonts w:ascii="Times New Roman" w:hAnsi="Times New Roman"/>
          <w:b/>
          <w:bCs/>
          <w:lang w:val="pt-BR"/>
        </w:rPr>
        <w:t>2006</w:t>
      </w:r>
      <w:r w:rsidRPr="004D32A8">
        <w:rPr>
          <w:rFonts w:ascii="Times New Roman" w:hAnsi="Times New Roman"/>
          <w:lang w:val="pt-BR"/>
        </w:rPr>
        <w:t>, 92, 22-30</w:t>
      </w:r>
      <w:r w:rsidR="00DC6C00" w:rsidRPr="004D32A8">
        <w:rPr>
          <w:rFonts w:ascii="Times New Roman" w:hAnsi="Times New Roman"/>
          <w:lang w:val="pt-BR"/>
        </w:rPr>
        <w:t>.</w:t>
      </w:r>
    </w:p>
    <w:p w14:paraId="3B7173AE" w14:textId="61D0CBEC" w:rsidR="00DC6C00" w:rsidRPr="00E038AF" w:rsidRDefault="00202296" w:rsidP="00DC6C00">
      <w:pPr>
        <w:pStyle w:val="TAMainText"/>
        <w:numPr>
          <w:ilvl w:val="0"/>
          <w:numId w:val="1"/>
        </w:numPr>
        <w:rPr>
          <w:rFonts w:ascii="Times New Roman" w:hAnsi="Times New Roman"/>
        </w:rPr>
      </w:pPr>
      <w:r w:rsidRPr="002944BA">
        <w:rPr>
          <w:rFonts w:ascii="Times New Roman" w:hAnsi="Times New Roman"/>
        </w:rPr>
        <w:t xml:space="preserve">F. </w:t>
      </w:r>
      <w:proofErr w:type="spellStart"/>
      <w:r w:rsidRPr="002944BA">
        <w:rPr>
          <w:rFonts w:ascii="Times New Roman" w:hAnsi="Times New Roman"/>
        </w:rPr>
        <w:t>Tielens</w:t>
      </w:r>
      <w:proofErr w:type="spellEnd"/>
      <w:r w:rsidR="004D32A8" w:rsidRPr="004D32A8">
        <w:rPr>
          <w:rFonts w:ascii="Times New Roman" w:hAnsi="Times New Roman"/>
        </w:rPr>
        <w:t xml:space="preserve"> </w:t>
      </w:r>
      <w:r w:rsidR="004D32A8">
        <w:rPr>
          <w:rFonts w:ascii="Times New Roman" w:hAnsi="Times New Roman"/>
        </w:rPr>
        <w:t>et al</w:t>
      </w:r>
      <w:r w:rsidRPr="002944BA">
        <w:rPr>
          <w:rFonts w:ascii="Times New Roman" w:hAnsi="Times New Roman"/>
        </w:rPr>
        <w:t xml:space="preserve">, </w:t>
      </w:r>
      <w:r w:rsidRPr="002944BA">
        <w:rPr>
          <w:rFonts w:ascii="Times New Roman" w:hAnsi="Times New Roman"/>
          <w:i/>
          <w:iCs/>
        </w:rPr>
        <w:t>Chem. Mater.</w:t>
      </w:r>
      <w:r w:rsidRPr="002944BA">
        <w:rPr>
          <w:rFonts w:ascii="Times New Roman" w:hAnsi="Times New Roman"/>
        </w:rPr>
        <w:t xml:space="preserve"> </w:t>
      </w:r>
      <w:r w:rsidRPr="002944BA">
        <w:rPr>
          <w:rFonts w:ascii="Times New Roman" w:hAnsi="Times New Roman"/>
          <w:b/>
          <w:bCs/>
        </w:rPr>
        <w:t>2008</w:t>
      </w:r>
      <w:r w:rsidRPr="002944BA">
        <w:rPr>
          <w:rFonts w:ascii="Times New Roman" w:hAnsi="Times New Roman"/>
        </w:rPr>
        <w:t>, 20, 3336–3344</w:t>
      </w:r>
      <w:r w:rsidR="00DC6C00" w:rsidRPr="00E038AF">
        <w:rPr>
          <w:rFonts w:ascii="Times New Roman" w:hAnsi="Times New Roman"/>
        </w:rPr>
        <w:t>.</w:t>
      </w:r>
    </w:p>
    <w:p w14:paraId="0A6FAE49" w14:textId="787A5216" w:rsidR="00DC6C00" w:rsidRPr="00E038AF" w:rsidRDefault="001828FA" w:rsidP="00DC6C00">
      <w:pPr>
        <w:pStyle w:val="TAMainText"/>
        <w:numPr>
          <w:ilvl w:val="0"/>
          <w:numId w:val="1"/>
        </w:numPr>
        <w:rPr>
          <w:rFonts w:ascii="Times New Roman" w:hAnsi="Times New Roman"/>
          <w:lang w:val="pt-BR"/>
        </w:rPr>
      </w:pPr>
      <w:r w:rsidRPr="001828FA">
        <w:rPr>
          <w:rFonts w:ascii="Times New Roman" w:hAnsi="Times New Roman"/>
          <w:lang w:val="pt-BR"/>
        </w:rPr>
        <w:t xml:space="preserve">J. </w:t>
      </w:r>
      <w:proofErr w:type="spellStart"/>
      <w:r w:rsidRPr="001828FA">
        <w:rPr>
          <w:rFonts w:ascii="Times New Roman" w:hAnsi="Times New Roman"/>
          <w:lang w:val="pt-BR"/>
        </w:rPr>
        <w:t>Handzlik</w:t>
      </w:r>
      <w:proofErr w:type="spellEnd"/>
      <w:r w:rsidRPr="001828FA">
        <w:rPr>
          <w:rFonts w:ascii="Times New Roman" w:hAnsi="Times New Roman"/>
          <w:lang w:val="pt-BR"/>
        </w:rPr>
        <w:t xml:space="preserve">; K. </w:t>
      </w:r>
      <w:proofErr w:type="spellStart"/>
      <w:r w:rsidRPr="001828FA">
        <w:rPr>
          <w:rFonts w:ascii="Times New Roman" w:hAnsi="Times New Roman"/>
          <w:lang w:val="pt-BR"/>
        </w:rPr>
        <w:t>Kurleto</w:t>
      </w:r>
      <w:proofErr w:type="spellEnd"/>
      <w:r w:rsidRPr="001828FA">
        <w:rPr>
          <w:rFonts w:ascii="Times New Roman" w:hAnsi="Times New Roman"/>
          <w:lang w:val="pt-BR"/>
        </w:rPr>
        <w:t xml:space="preserve">; M. </w:t>
      </w:r>
      <w:proofErr w:type="spellStart"/>
      <w:r w:rsidRPr="001828FA">
        <w:rPr>
          <w:rFonts w:ascii="Times New Roman" w:hAnsi="Times New Roman"/>
          <w:lang w:val="pt-BR"/>
        </w:rPr>
        <w:t>Gierada</w:t>
      </w:r>
      <w:proofErr w:type="spellEnd"/>
      <w:r w:rsidRPr="001828FA">
        <w:rPr>
          <w:rFonts w:ascii="Times New Roman" w:hAnsi="Times New Roman"/>
          <w:lang w:val="pt-BR"/>
        </w:rPr>
        <w:t xml:space="preserve">, </w:t>
      </w:r>
      <w:r w:rsidRPr="00AE14A0">
        <w:rPr>
          <w:rFonts w:ascii="Times New Roman" w:hAnsi="Times New Roman"/>
          <w:i/>
          <w:iCs/>
          <w:lang w:val="pt-BR"/>
        </w:rPr>
        <w:t>ACS Catal.</w:t>
      </w:r>
      <w:r w:rsidRPr="001828FA">
        <w:rPr>
          <w:rFonts w:ascii="Times New Roman" w:hAnsi="Times New Roman"/>
          <w:lang w:val="pt-BR"/>
        </w:rPr>
        <w:t xml:space="preserve"> </w:t>
      </w:r>
      <w:r w:rsidRPr="00AE14A0">
        <w:rPr>
          <w:rFonts w:ascii="Times New Roman" w:hAnsi="Times New Roman"/>
          <w:b/>
          <w:bCs/>
          <w:lang w:val="pt-BR"/>
        </w:rPr>
        <w:t>2021</w:t>
      </w:r>
      <w:r w:rsidRPr="001828FA">
        <w:rPr>
          <w:rFonts w:ascii="Times New Roman" w:hAnsi="Times New Roman"/>
          <w:lang w:val="pt-BR"/>
        </w:rPr>
        <w:t>, 11, 13575–13590</w:t>
      </w:r>
      <w:r w:rsidR="00DC6C00" w:rsidRPr="00E038AF">
        <w:rPr>
          <w:rFonts w:ascii="Times New Roman" w:hAnsi="Times New Roman"/>
          <w:lang w:val="pt-BR"/>
        </w:rPr>
        <w:t>.</w:t>
      </w:r>
    </w:p>
    <w:p w14:paraId="797DD259" w14:textId="69E03ABF" w:rsidR="00DC6C00" w:rsidRPr="00A10FA9" w:rsidRDefault="003E3936" w:rsidP="00DC6C00">
      <w:pPr>
        <w:pStyle w:val="TAMainText"/>
        <w:numPr>
          <w:ilvl w:val="0"/>
          <w:numId w:val="1"/>
        </w:numPr>
      </w:pPr>
      <w:r w:rsidRPr="003E3936">
        <w:t>Z. Wang</w:t>
      </w:r>
      <w:r w:rsidR="002944BA" w:rsidRPr="002944BA">
        <w:rPr>
          <w:rFonts w:ascii="Times New Roman" w:hAnsi="Times New Roman"/>
        </w:rPr>
        <w:t xml:space="preserve"> </w:t>
      </w:r>
      <w:r w:rsidR="002944BA">
        <w:rPr>
          <w:rFonts w:ascii="Times New Roman" w:hAnsi="Times New Roman"/>
        </w:rPr>
        <w:t>et al</w:t>
      </w:r>
      <w:r w:rsidRPr="003E3936">
        <w:t xml:space="preserve">, </w:t>
      </w:r>
      <w:proofErr w:type="spellStart"/>
      <w:r w:rsidRPr="00A4186D">
        <w:rPr>
          <w:i/>
          <w:iCs/>
        </w:rPr>
        <w:t>Comput</w:t>
      </w:r>
      <w:proofErr w:type="spellEnd"/>
      <w:r w:rsidRPr="00A4186D">
        <w:rPr>
          <w:i/>
          <w:iCs/>
        </w:rPr>
        <w:t xml:space="preserve">. </w:t>
      </w:r>
      <w:proofErr w:type="spellStart"/>
      <w:r w:rsidRPr="00A4186D">
        <w:rPr>
          <w:i/>
          <w:iCs/>
        </w:rPr>
        <w:t>Theor</w:t>
      </w:r>
      <w:proofErr w:type="spellEnd"/>
      <w:r w:rsidRPr="00A4186D">
        <w:rPr>
          <w:i/>
          <w:iCs/>
        </w:rPr>
        <w:t>. Chem.</w:t>
      </w:r>
      <w:r w:rsidRPr="003E3936">
        <w:t xml:space="preserve"> </w:t>
      </w:r>
      <w:r w:rsidRPr="00A4186D">
        <w:rPr>
          <w:b/>
          <w:bCs/>
        </w:rPr>
        <w:t>2011</w:t>
      </w:r>
      <w:r w:rsidRPr="003E3936">
        <w:t>, 963, 403-411</w:t>
      </w:r>
      <w:r w:rsidR="00DC6C00" w:rsidRPr="00A10FA9">
        <w:t>.</w:t>
      </w:r>
      <w:r w:rsidR="00DC6C00" w:rsidRPr="00A10FA9">
        <w:rPr>
          <w:b/>
        </w:rPr>
        <w:t xml:space="preserve"> </w:t>
      </w:r>
    </w:p>
    <w:p w14:paraId="6AFBAA7F" w14:textId="3CE75C1F" w:rsidR="00DC6C00" w:rsidRDefault="006F4A02" w:rsidP="00DC6C00">
      <w:pPr>
        <w:pStyle w:val="TAMainText"/>
        <w:numPr>
          <w:ilvl w:val="0"/>
          <w:numId w:val="1"/>
        </w:numPr>
        <w:rPr>
          <w:rFonts w:ascii="Times New Roman" w:hAnsi="Times New Roman"/>
          <w:lang w:val="pt-BR"/>
        </w:rPr>
      </w:pPr>
      <w:r w:rsidRPr="006F4A02">
        <w:rPr>
          <w:rFonts w:ascii="Times New Roman" w:hAnsi="Times New Roman"/>
        </w:rPr>
        <w:t xml:space="preserve">W. J. Malfait; W. E. Halter; R. </w:t>
      </w:r>
      <w:proofErr w:type="spellStart"/>
      <w:r w:rsidRPr="006F4A02">
        <w:rPr>
          <w:rFonts w:ascii="Times New Roman" w:hAnsi="Times New Roman"/>
        </w:rPr>
        <w:t>Verel</w:t>
      </w:r>
      <w:proofErr w:type="spellEnd"/>
      <w:r w:rsidRPr="006F4A02">
        <w:rPr>
          <w:rFonts w:ascii="Times New Roman" w:hAnsi="Times New Roman"/>
        </w:rPr>
        <w:t xml:space="preserve">, </w:t>
      </w:r>
      <w:r w:rsidRPr="00371060">
        <w:rPr>
          <w:rFonts w:ascii="Times New Roman" w:hAnsi="Times New Roman"/>
          <w:i/>
          <w:iCs/>
        </w:rPr>
        <w:t>Chem. Geol.</w:t>
      </w:r>
      <w:r w:rsidRPr="006F4A02">
        <w:rPr>
          <w:rFonts w:ascii="Times New Roman" w:hAnsi="Times New Roman"/>
        </w:rPr>
        <w:t xml:space="preserve"> </w:t>
      </w:r>
      <w:r w:rsidRPr="00371060">
        <w:rPr>
          <w:rFonts w:ascii="Times New Roman" w:hAnsi="Times New Roman"/>
          <w:b/>
          <w:bCs/>
        </w:rPr>
        <w:t>2008</w:t>
      </w:r>
      <w:r w:rsidRPr="006F4A02">
        <w:rPr>
          <w:rFonts w:ascii="Times New Roman" w:hAnsi="Times New Roman"/>
        </w:rPr>
        <w:t>, 256, 269-277</w:t>
      </w:r>
      <w:r w:rsidR="00DC6C00" w:rsidRPr="00E038AF">
        <w:rPr>
          <w:rFonts w:ascii="Times New Roman" w:hAnsi="Times New Roman"/>
          <w:lang w:val="pt-BR"/>
        </w:rPr>
        <w:t>.</w:t>
      </w:r>
    </w:p>
    <w:p w14:paraId="43DD00B3" w14:textId="701F0950" w:rsidR="00051827" w:rsidRPr="00486BDA" w:rsidRDefault="003434A0" w:rsidP="00DC6C00">
      <w:pPr>
        <w:pStyle w:val="TAMainText"/>
        <w:numPr>
          <w:ilvl w:val="0"/>
          <w:numId w:val="1"/>
        </w:numPr>
        <w:rPr>
          <w:rFonts w:ascii="Times New Roman" w:hAnsi="Times New Roman"/>
        </w:rPr>
      </w:pPr>
      <w:r w:rsidRPr="00486BDA">
        <w:rPr>
          <w:rFonts w:ascii="Times New Roman" w:hAnsi="Times New Roman"/>
        </w:rPr>
        <w:t>S. Susman</w:t>
      </w:r>
      <w:r w:rsidR="00A10FA9" w:rsidRPr="00A10FA9">
        <w:rPr>
          <w:rFonts w:ascii="Times New Roman" w:hAnsi="Times New Roman"/>
        </w:rPr>
        <w:t xml:space="preserve"> </w:t>
      </w:r>
      <w:r w:rsidR="00A10FA9">
        <w:rPr>
          <w:rFonts w:ascii="Times New Roman" w:hAnsi="Times New Roman"/>
        </w:rPr>
        <w:t>et al</w:t>
      </w:r>
      <w:r w:rsidRPr="00486BDA">
        <w:rPr>
          <w:rFonts w:ascii="Times New Roman" w:hAnsi="Times New Roman"/>
        </w:rPr>
        <w:t xml:space="preserve">, </w:t>
      </w:r>
      <w:r w:rsidRPr="0027717D">
        <w:rPr>
          <w:rFonts w:ascii="Times New Roman" w:hAnsi="Times New Roman"/>
          <w:i/>
          <w:iCs/>
        </w:rPr>
        <w:t>Phys. Rev. B</w:t>
      </w:r>
      <w:r w:rsidR="00C95A38">
        <w:rPr>
          <w:rFonts w:ascii="Times New Roman" w:hAnsi="Times New Roman"/>
          <w:i/>
          <w:iCs/>
        </w:rPr>
        <w:t>,</w:t>
      </w:r>
      <w:r w:rsidRPr="0027717D">
        <w:rPr>
          <w:rFonts w:ascii="Times New Roman" w:hAnsi="Times New Roman"/>
          <w:i/>
          <w:iCs/>
        </w:rPr>
        <w:t xml:space="preserve"> </w:t>
      </w:r>
      <w:proofErr w:type="spellStart"/>
      <w:r w:rsidRPr="0027717D">
        <w:rPr>
          <w:rFonts w:ascii="Times New Roman" w:hAnsi="Times New Roman"/>
          <w:i/>
          <w:iCs/>
        </w:rPr>
        <w:t>Condens</w:t>
      </w:r>
      <w:proofErr w:type="spellEnd"/>
      <w:r w:rsidRPr="0027717D">
        <w:rPr>
          <w:rFonts w:ascii="Times New Roman" w:hAnsi="Times New Roman"/>
          <w:i/>
          <w:iCs/>
        </w:rPr>
        <w:t>. Matter</w:t>
      </w:r>
      <w:r w:rsidRPr="00486BDA">
        <w:rPr>
          <w:rFonts w:ascii="Times New Roman" w:hAnsi="Times New Roman"/>
        </w:rPr>
        <w:t xml:space="preserve"> </w:t>
      </w:r>
      <w:r w:rsidRPr="0027717D">
        <w:rPr>
          <w:rFonts w:ascii="Times New Roman" w:hAnsi="Times New Roman"/>
          <w:b/>
          <w:bCs/>
        </w:rPr>
        <w:t>1991</w:t>
      </w:r>
      <w:r w:rsidRPr="00486BDA">
        <w:rPr>
          <w:rFonts w:ascii="Times New Roman" w:hAnsi="Times New Roman"/>
        </w:rPr>
        <w:t>, 43, 1194-1197.</w:t>
      </w:r>
    </w:p>
    <w:p w14:paraId="53C8C83D" w14:textId="33CA252B" w:rsidR="00DC6C00" w:rsidRPr="00E038AF" w:rsidRDefault="00486BDA" w:rsidP="00DC6C00">
      <w:pPr>
        <w:pStyle w:val="TAMainText"/>
        <w:numPr>
          <w:ilvl w:val="0"/>
          <w:numId w:val="1"/>
        </w:numPr>
        <w:rPr>
          <w:rFonts w:ascii="Times New Roman" w:hAnsi="Times New Roman"/>
        </w:rPr>
      </w:pPr>
      <w:r w:rsidRPr="00486BDA">
        <w:rPr>
          <w:rFonts w:ascii="Times New Roman" w:hAnsi="Times New Roman"/>
        </w:rPr>
        <w:t xml:space="preserve">F. </w:t>
      </w:r>
      <w:proofErr w:type="spellStart"/>
      <w:r w:rsidRPr="00486BDA">
        <w:rPr>
          <w:rFonts w:ascii="Times New Roman" w:hAnsi="Times New Roman"/>
        </w:rPr>
        <w:t>Tielens</w:t>
      </w:r>
      <w:proofErr w:type="spellEnd"/>
      <w:r w:rsidRPr="00486BDA">
        <w:rPr>
          <w:rFonts w:ascii="Times New Roman" w:hAnsi="Times New Roman"/>
        </w:rPr>
        <w:t>; F. D</w:t>
      </w:r>
      <w:r w:rsidR="004F1009">
        <w:rPr>
          <w:rFonts w:ascii="Times New Roman" w:hAnsi="Times New Roman"/>
        </w:rPr>
        <w:t>.</w:t>
      </w:r>
      <w:r w:rsidRPr="00486BDA">
        <w:rPr>
          <w:rFonts w:ascii="Times New Roman" w:hAnsi="Times New Roman"/>
        </w:rPr>
        <w:t xml:space="preserve"> </w:t>
      </w:r>
      <w:proofErr w:type="spellStart"/>
      <w:r w:rsidRPr="00486BDA">
        <w:rPr>
          <w:rFonts w:ascii="Times New Roman" w:hAnsi="Times New Roman"/>
        </w:rPr>
        <w:t>Proft</w:t>
      </w:r>
      <w:proofErr w:type="spellEnd"/>
      <w:r w:rsidRPr="00486BDA">
        <w:rPr>
          <w:rFonts w:ascii="Times New Roman" w:hAnsi="Times New Roman"/>
        </w:rPr>
        <w:t xml:space="preserve">; P. </w:t>
      </w:r>
      <w:proofErr w:type="spellStart"/>
      <w:r w:rsidRPr="00486BDA">
        <w:rPr>
          <w:rFonts w:ascii="Times New Roman" w:hAnsi="Times New Roman"/>
        </w:rPr>
        <w:t>Geerlings</w:t>
      </w:r>
      <w:proofErr w:type="spellEnd"/>
      <w:r w:rsidRPr="00486BDA">
        <w:rPr>
          <w:rFonts w:ascii="Times New Roman" w:hAnsi="Times New Roman"/>
        </w:rPr>
        <w:t xml:space="preserve">, </w:t>
      </w:r>
      <w:r w:rsidRPr="00944A8A">
        <w:rPr>
          <w:rFonts w:ascii="Times New Roman" w:hAnsi="Times New Roman"/>
          <w:i/>
          <w:iCs/>
        </w:rPr>
        <w:t>J. Mol. Struct. THEO CHEM</w:t>
      </w:r>
      <w:r w:rsidRPr="00486BDA">
        <w:rPr>
          <w:rFonts w:ascii="Times New Roman" w:hAnsi="Times New Roman"/>
        </w:rPr>
        <w:t xml:space="preserve"> </w:t>
      </w:r>
      <w:r w:rsidRPr="00944A8A">
        <w:rPr>
          <w:rFonts w:ascii="Times New Roman" w:hAnsi="Times New Roman"/>
          <w:b/>
          <w:bCs/>
        </w:rPr>
        <w:t>2001</w:t>
      </w:r>
      <w:r w:rsidRPr="00486BDA">
        <w:rPr>
          <w:rFonts w:ascii="Times New Roman" w:hAnsi="Times New Roman"/>
        </w:rPr>
        <w:t>, 542, 227-237</w:t>
      </w:r>
      <w:r w:rsidR="00DC6C00" w:rsidRPr="00E038AF">
        <w:rPr>
          <w:rFonts w:ascii="Times New Roman" w:hAnsi="Times New Roman"/>
        </w:rPr>
        <w:t>.</w:t>
      </w:r>
    </w:p>
    <w:p w14:paraId="58B6C0F9" w14:textId="366E9F09" w:rsidR="00DC6C00" w:rsidRPr="00E038AF" w:rsidRDefault="00C13A2F" w:rsidP="00DC6C00">
      <w:pPr>
        <w:pStyle w:val="TAMainText"/>
        <w:numPr>
          <w:ilvl w:val="0"/>
          <w:numId w:val="1"/>
        </w:numPr>
        <w:rPr>
          <w:rFonts w:ascii="Times New Roman" w:hAnsi="Times New Roman"/>
        </w:rPr>
      </w:pPr>
      <w:r w:rsidRPr="00C13A2F">
        <w:rPr>
          <w:rFonts w:ascii="Times New Roman" w:hAnsi="Times New Roman"/>
          <w:lang w:val="pt-BR"/>
        </w:rPr>
        <w:t xml:space="preserve">S. Perez-Beltran; G. E. Ramírez-Caballero; P. B. Balbuena, </w:t>
      </w:r>
      <w:r w:rsidRPr="00284B5F">
        <w:rPr>
          <w:rFonts w:ascii="Times New Roman" w:hAnsi="Times New Roman"/>
          <w:i/>
          <w:iCs/>
          <w:lang w:val="pt-BR"/>
        </w:rPr>
        <w:t xml:space="preserve">J. </w:t>
      </w:r>
      <w:proofErr w:type="spellStart"/>
      <w:r w:rsidRPr="00284B5F">
        <w:rPr>
          <w:rFonts w:ascii="Times New Roman" w:hAnsi="Times New Roman"/>
          <w:i/>
          <w:iCs/>
          <w:lang w:val="pt-BR"/>
        </w:rPr>
        <w:t>Phys</w:t>
      </w:r>
      <w:proofErr w:type="spellEnd"/>
      <w:r w:rsidRPr="00284B5F">
        <w:rPr>
          <w:rFonts w:ascii="Times New Roman" w:hAnsi="Times New Roman"/>
          <w:i/>
          <w:iCs/>
          <w:lang w:val="pt-BR"/>
        </w:rPr>
        <w:t xml:space="preserve">. </w:t>
      </w:r>
      <w:proofErr w:type="spellStart"/>
      <w:r w:rsidRPr="00284B5F">
        <w:rPr>
          <w:rFonts w:ascii="Times New Roman" w:hAnsi="Times New Roman"/>
          <w:i/>
          <w:iCs/>
          <w:lang w:val="pt-BR"/>
        </w:rPr>
        <w:t>Chem</w:t>
      </w:r>
      <w:proofErr w:type="spellEnd"/>
      <w:r w:rsidRPr="00284B5F">
        <w:rPr>
          <w:rFonts w:ascii="Times New Roman" w:hAnsi="Times New Roman"/>
          <w:i/>
          <w:iCs/>
          <w:lang w:val="pt-BR"/>
        </w:rPr>
        <w:t>. C</w:t>
      </w:r>
      <w:r w:rsidRPr="00C13A2F">
        <w:rPr>
          <w:rFonts w:ascii="Times New Roman" w:hAnsi="Times New Roman"/>
          <w:lang w:val="pt-BR"/>
        </w:rPr>
        <w:t xml:space="preserve"> </w:t>
      </w:r>
      <w:r w:rsidRPr="00284B5F">
        <w:rPr>
          <w:rFonts w:ascii="Times New Roman" w:hAnsi="Times New Roman"/>
          <w:b/>
          <w:bCs/>
          <w:lang w:val="pt-BR"/>
        </w:rPr>
        <w:t>2015</w:t>
      </w:r>
      <w:r w:rsidRPr="00C13A2F">
        <w:rPr>
          <w:rFonts w:ascii="Times New Roman" w:hAnsi="Times New Roman"/>
          <w:lang w:val="pt-BR"/>
        </w:rPr>
        <w:t>, 119, 16424–16431</w:t>
      </w:r>
      <w:r w:rsidR="00DC6C00" w:rsidRPr="00E038AF">
        <w:rPr>
          <w:rFonts w:ascii="Times New Roman" w:hAnsi="Times New Roman"/>
        </w:rPr>
        <w:t>.</w:t>
      </w:r>
    </w:p>
    <w:p w14:paraId="7615F11D" w14:textId="35249E5A" w:rsidR="00DC6C00" w:rsidRPr="009F48F3" w:rsidRDefault="00162C2A" w:rsidP="00DC6C00">
      <w:pPr>
        <w:pStyle w:val="TAMainText"/>
        <w:numPr>
          <w:ilvl w:val="0"/>
          <w:numId w:val="1"/>
        </w:numPr>
        <w:rPr>
          <w:rFonts w:ascii="Times New Roman" w:hAnsi="Times New Roman"/>
          <w:lang w:val="pt-BR"/>
        </w:rPr>
      </w:pPr>
      <w:r w:rsidRPr="00162C2A">
        <w:rPr>
          <w:rFonts w:ascii="Times New Roman" w:hAnsi="Times New Roman"/>
          <w:lang w:val="pt-BR"/>
        </w:rPr>
        <w:t xml:space="preserve">P. </w:t>
      </w:r>
      <w:proofErr w:type="spellStart"/>
      <w:r w:rsidRPr="00162C2A">
        <w:rPr>
          <w:rFonts w:ascii="Times New Roman" w:hAnsi="Times New Roman"/>
          <w:lang w:val="pt-BR"/>
        </w:rPr>
        <w:t>Ugliengo</w:t>
      </w:r>
      <w:proofErr w:type="spellEnd"/>
      <w:r w:rsidR="009D6E65" w:rsidRPr="009F48F3">
        <w:rPr>
          <w:rFonts w:ascii="Times New Roman" w:hAnsi="Times New Roman"/>
          <w:lang w:val="pt-BR"/>
        </w:rPr>
        <w:t xml:space="preserve"> et al</w:t>
      </w:r>
      <w:r w:rsidRPr="00162C2A">
        <w:rPr>
          <w:rFonts w:ascii="Times New Roman" w:hAnsi="Times New Roman"/>
          <w:lang w:val="pt-BR"/>
        </w:rPr>
        <w:t xml:space="preserve">, </w:t>
      </w:r>
      <w:r w:rsidRPr="004C55DF">
        <w:rPr>
          <w:rFonts w:ascii="Times New Roman" w:hAnsi="Times New Roman"/>
          <w:i/>
          <w:iCs/>
          <w:lang w:val="pt-BR"/>
        </w:rPr>
        <w:t>Adv. Mater.</w:t>
      </w:r>
      <w:r w:rsidRPr="00162C2A">
        <w:rPr>
          <w:rFonts w:ascii="Times New Roman" w:hAnsi="Times New Roman"/>
          <w:lang w:val="pt-BR"/>
        </w:rPr>
        <w:t xml:space="preserve"> </w:t>
      </w:r>
      <w:r w:rsidRPr="004C55DF">
        <w:rPr>
          <w:rFonts w:ascii="Times New Roman" w:hAnsi="Times New Roman"/>
          <w:b/>
          <w:bCs/>
          <w:lang w:val="pt-BR"/>
        </w:rPr>
        <w:t>2008</w:t>
      </w:r>
      <w:r w:rsidRPr="00162C2A">
        <w:rPr>
          <w:rFonts w:ascii="Times New Roman" w:hAnsi="Times New Roman"/>
          <w:lang w:val="pt-BR"/>
        </w:rPr>
        <w:t>, 20, 4579-4583</w:t>
      </w:r>
      <w:r w:rsidR="00DC6C00" w:rsidRPr="009F48F3">
        <w:rPr>
          <w:rFonts w:ascii="Times New Roman" w:hAnsi="Times New Roman"/>
          <w:lang w:val="pt-BR"/>
        </w:rPr>
        <w:t>.</w:t>
      </w:r>
    </w:p>
    <w:p w14:paraId="42CFCB83" w14:textId="7A14AB0B" w:rsidR="00DC6C00" w:rsidRPr="00E038AF" w:rsidRDefault="00C55155" w:rsidP="00DC6C00">
      <w:pPr>
        <w:pStyle w:val="TAMainText"/>
        <w:numPr>
          <w:ilvl w:val="0"/>
          <w:numId w:val="1"/>
        </w:numPr>
        <w:rPr>
          <w:rFonts w:ascii="Times New Roman" w:hAnsi="Times New Roman"/>
          <w:lang w:val="pt-BR"/>
        </w:rPr>
      </w:pPr>
      <w:r w:rsidRPr="00C55155">
        <w:rPr>
          <w:rFonts w:ascii="Times New Roman" w:hAnsi="Times New Roman"/>
          <w:lang w:val="pt-BR"/>
        </w:rPr>
        <w:t xml:space="preserve">A. Comas-Vives, </w:t>
      </w:r>
      <w:proofErr w:type="spellStart"/>
      <w:r w:rsidRPr="00A62D73">
        <w:rPr>
          <w:rFonts w:ascii="Times New Roman" w:hAnsi="Times New Roman"/>
          <w:i/>
          <w:iCs/>
          <w:lang w:val="pt-BR"/>
        </w:rPr>
        <w:t>Phys</w:t>
      </w:r>
      <w:proofErr w:type="spellEnd"/>
      <w:r w:rsidRPr="00A62D73">
        <w:rPr>
          <w:rFonts w:ascii="Times New Roman" w:hAnsi="Times New Roman"/>
          <w:i/>
          <w:iCs/>
          <w:lang w:val="pt-BR"/>
        </w:rPr>
        <w:t xml:space="preserve">. </w:t>
      </w:r>
      <w:proofErr w:type="spellStart"/>
      <w:r w:rsidRPr="00A62D73">
        <w:rPr>
          <w:rFonts w:ascii="Times New Roman" w:hAnsi="Times New Roman"/>
          <w:i/>
          <w:iCs/>
          <w:lang w:val="pt-BR"/>
        </w:rPr>
        <w:t>Chem</w:t>
      </w:r>
      <w:proofErr w:type="spellEnd"/>
      <w:r w:rsidRPr="00A62D73">
        <w:rPr>
          <w:rFonts w:ascii="Times New Roman" w:hAnsi="Times New Roman"/>
          <w:i/>
          <w:iCs/>
          <w:lang w:val="pt-BR"/>
        </w:rPr>
        <w:t xml:space="preserve">. </w:t>
      </w:r>
      <w:proofErr w:type="spellStart"/>
      <w:r w:rsidRPr="00A62D73">
        <w:rPr>
          <w:rFonts w:ascii="Times New Roman" w:hAnsi="Times New Roman"/>
          <w:i/>
          <w:iCs/>
          <w:lang w:val="pt-BR"/>
        </w:rPr>
        <w:t>Chem</w:t>
      </w:r>
      <w:proofErr w:type="spellEnd"/>
      <w:r w:rsidRPr="00A62D73">
        <w:rPr>
          <w:rFonts w:ascii="Times New Roman" w:hAnsi="Times New Roman"/>
          <w:i/>
          <w:iCs/>
          <w:lang w:val="pt-BR"/>
        </w:rPr>
        <w:t xml:space="preserve">. </w:t>
      </w:r>
      <w:proofErr w:type="spellStart"/>
      <w:r w:rsidRPr="00A62D73">
        <w:rPr>
          <w:rFonts w:ascii="Times New Roman" w:hAnsi="Times New Roman"/>
          <w:i/>
          <w:iCs/>
          <w:lang w:val="pt-BR"/>
        </w:rPr>
        <w:t>Phys</w:t>
      </w:r>
      <w:proofErr w:type="spellEnd"/>
      <w:r w:rsidRPr="00A62D73">
        <w:rPr>
          <w:rFonts w:ascii="Times New Roman" w:hAnsi="Times New Roman"/>
          <w:i/>
          <w:iCs/>
          <w:lang w:val="pt-BR"/>
        </w:rPr>
        <w:t>.</w:t>
      </w:r>
      <w:r w:rsidRPr="00C55155">
        <w:rPr>
          <w:rFonts w:ascii="Times New Roman" w:hAnsi="Times New Roman"/>
          <w:lang w:val="pt-BR"/>
        </w:rPr>
        <w:t xml:space="preserve"> </w:t>
      </w:r>
      <w:r w:rsidRPr="00A62D73">
        <w:rPr>
          <w:rFonts w:ascii="Times New Roman" w:hAnsi="Times New Roman"/>
          <w:b/>
          <w:bCs/>
          <w:lang w:val="pt-BR"/>
        </w:rPr>
        <w:t>2016</w:t>
      </w:r>
      <w:r w:rsidRPr="00C55155">
        <w:rPr>
          <w:rFonts w:ascii="Times New Roman" w:hAnsi="Times New Roman"/>
          <w:lang w:val="pt-BR"/>
        </w:rPr>
        <w:t>, 18, 7475-7482</w:t>
      </w:r>
      <w:r w:rsidR="00DC6C00" w:rsidRPr="00E038AF">
        <w:rPr>
          <w:rFonts w:ascii="Times New Roman" w:hAnsi="Times New Roman"/>
          <w:lang w:val="pt-BR"/>
        </w:rPr>
        <w:t>.</w:t>
      </w:r>
    </w:p>
    <w:p w14:paraId="38BF42AC" w14:textId="20E6190E" w:rsidR="00DC6C00" w:rsidRDefault="003006D9" w:rsidP="00DC6C00">
      <w:pPr>
        <w:pStyle w:val="TAMainText"/>
        <w:numPr>
          <w:ilvl w:val="0"/>
          <w:numId w:val="1"/>
        </w:numPr>
        <w:rPr>
          <w:lang w:val="pt-BR"/>
        </w:rPr>
      </w:pPr>
      <w:r w:rsidRPr="00394229">
        <w:t xml:space="preserve">M. </w:t>
      </w:r>
      <w:proofErr w:type="spellStart"/>
      <w:r w:rsidRPr="00394229">
        <w:t>Trombetta</w:t>
      </w:r>
      <w:proofErr w:type="spellEnd"/>
      <w:r w:rsidR="009F48F3" w:rsidRPr="009F48F3">
        <w:rPr>
          <w:rFonts w:ascii="Times New Roman" w:hAnsi="Times New Roman"/>
        </w:rPr>
        <w:t xml:space="preserve"> </w:t>
      </w:r>
      <w:r w:rsidR="009F48F3">
        <w:rPr>
          <w:rFonts w:ascii="Times New Roman" w:hAnsi="Times New Roman"/>
        </w:rPr>
        <w:t>et al</w:t>
      </w:r>
      <w:r w:rsidRPr="00394229">
        <w:t xml:space="preserve">, </w:t>
      </w:r>
      <w:r w:rsidRPr="00394229">
        <w:rPr>
          <w:i/>
          <w:iCs/>
        </w:rPr>
        <w:t xml:space="preserve">Appl. </w:t>
      </w:r>
      <w:r w:rsidRPr="00DB1FEA">
        <w:rPr>
          <w:i/>
          <w:iCs/>
          <w:lang w:val="pt-BR"/>
        </w:rPr>
        <w:t>Catal. A Gen.</w:t>
      </w:r>
      <w:r w:rsidRPr="003006D9">
        <w:rPr>
          <w:lang w:val="pt-BR"/>
        </w:rPr>
        <w:t xml:space="preserve"> </w:t>
      </w:r>
      <w:r w:rsidRPr="00DB1FEA">
        <w:rPr>
          <w:b/>
          <w:bCs/>
          <w:lang w:val="pt-BR"/>
        </w:rPr>
        <w:t>1999</w:t>
      </w:r>
      <w:r w:rsidRPr="003006D9">
        <w:rPr>
          <w:lang w:val="pt-BR"/>
        </w:rPr>
        <w:t>, 182, 225-235</w:t>
      </w:r>
      <w:r w:rsidR="00DC6C00">
        <w:rPr>
          <w:lang w:val="pt-BR"/>
        </w:rPr>
        <w:t>.</w:t>
      </w:r>
      <w:r w:rsidR="00DC6C00">
        <w:rPr>
          <w:b/>
          <w:lang w:val="pt-BR"/>
        </w:rPr>
        <w:t xml:space="preserve"> </w:t>
      </w:r>
    </w:p>
    <w:p w14:paraId="1C6D9169" w14:textId="4BC9686B" w:rsidR="00DC6C00" w:rsidRPr="002F7C00" w:rsidRDefault="00EC348F" w:rsidP="00DC6C00">
      <w:pPr>
        <w:pStyle w:val="TAMainText"/>
        <w:numPr>
          <w:ilvl w:val="0"/>
          <w:numId w:val="1"/>
        </w:numPr>
        <w:rPr>
          <w:rFonts w:ascii="Times New Roman" w:hAnsi="Times New Roman"/>
        </w:rPr>
      </w:pPr>
      <w:r w:rsidRPr="00EC348F">
        <w:rPr>
          <w:rFonts w:ascii="Times New Roman" w:hAnsi="Times New Roman"/>
        </w:rPr>
        <w:t xml:space="preserve">F. </w:t>
      </w:r>
      <w:proofErr w:type="spellStart"/>
      <w:r w:rsidRPr="00EC348F">
        <w:rPr>
          <w:rFonts w:ascii="Times New Roman" w:hAnsi="Times New Roman"/>
        </w:rPr>
        <w:t>Leydier</w:t>
      </w:r>
      <w:proofErr w:type="spellEnd"/>
      <w:r w:rsidR="0067662D" w:rsidRPr="0067662D">
        <w:rPr>
          <w:rFonts w:ascii="Times New Roman" w:hAnsi="Times New Roman"/>
        </w:rPr>
        <w:t xml:space="preserve"> </w:t>
      </w:r>
      <w:r w:rsidR="0067662D">
        <w:rPr>
          <w:rFonts w:ascii="Times New Roman" w:hAnsi="Times New Roman"/>
        </w:rPr>
        <w:t>et al</w:t>
      </w:r>
      <w:r w:rsidRPr="00EC348F">
        <w:rPr>
          <w:rFonts w:ascii="Times New Roman" w:hAnsi="Times New Roman"/>
        </w:rPr>
        <w:t xml:space="preserve">, </w:t>
      </w:r>
      <w:r w:rsidRPr="0001321C">
        <w:rPr>
          <w:rFonts w:ascii="Times New Roman" w:hAnsi="Times New Roman"/>
          <w:i/>
          <w:iCs/>
        </w:rPr>
        <w:t xml:space="preserve">J. </w:t>
      </w:r>
      <w:proofErr w:type="spellStart"/>
      <w:r w:rsidRPr="0001321C">
        <w:rPr>
          <w:rFonts w:ascii="Times New Roman" w:hAnsi="Times New Roman"/>
          <w:i/>
          <w:iCs/>
        </w:rPr>
        <w:t>Catal</w:t>
      </w:r>
      <w:proofErr w:type="spellEnd"/>
      <w:r w:rsidRPr="0001321C">
        <w:rPr>
          <w:rFonts w:ascii="Times New Roman" w:hAnsi="Times New Roman"/>
          <w:i/>
          <w:iCs/>
        </w:rPr>
        <w:t>.</w:t>
      </w:r>
      <w:r w:rsidRPr="00EC348F">
        <w:rPr>
          <w:rFonts w:ascii="Times New Roman" w:hAnsi="Times New Roman"/>
        </w:rPr>
        <w:t xml:space="preserve"> </w:t>
      </w:r>
      <w:r w:rsidRPr="0001321C">
        <w:rPr>
          <w:rFonts w:ascii="Times New Roman" w:hAnsi="Times New Roman"/>
          <w:b/>
          <w:bCs/>
        </w:rPr>
        <w:t>2011</w:t>
      </w:r>
      <w:r w:rsidRPr="00EC348F">
        <w:rPr>
          <w:rFonts w:ascii="Times New Roman" w:hAnsi="Times New Roman"/>
        </w:rPr>
        <w:t>, 284, 215-229</w:t>
      </w:r>
      <w:r w:rsidR="00DC6C00" w:rsidRPr="002F7C00">
        <w:rPr>
          <w:rFonts w:ascii="Times New Roman" w:hAnsi="Times New Roman"/>
        </w:rPr>
        <w:t>.</w:t>
      </w:r>
    </w:p>
    <w:p w14:paraId="32702337" w14:textId="1A096059" w:rsidR="00DC6C00" w:rsidRPr="00E038AF" w:rsidRDefault="00F31C61" w:rsidP="00DC6C00">
      <w:pPr>
        <w:pStyle w:val="TAMainText"/>
        <w:numPr>
          <w:ilvl w:val="0"/>
          <w:numId w:val="1"/>
        </w:numPr>
        <w:rPr>
          <w:rFonts w:ascii="Times New Roman" w:hAnsi="Times New Roman"/>
        </w:rPr>
      </w:pPr>
      <w:r w:rsidRPr="00F31C61">
        <w:rPr>
          <w:rFonts w:ascii="Times New Roman" w:hAnsi="Times New Roman"/>
        </w:rPr>
        <w:t xml:space="preserve">Z. Luan; J. A. Fournier, </w:t>
      </w:r>
      <w:proofErr w:type="spellStart"/>
      <w:r w:rsidRPr="003E6841">
        <w:rPr>
          <w:rFonts w:ascii="Times New Roman" w:hAnsi="Times New Roman"/>
          <w:i/>
          <w:iCs/>
        </w:rPr>
        <w:t>Micropor</w:t>
      </w:r>
      <w:proofErr w:type="spellEnd"/>
      <w:r w:rsidRPr="003E6841">
        <w:rPr>
          <w:rFonts w:ascii="Times New Roman" w:hAnsi="Times New Roman"/>
          <w:i/>
          <w:iCs/>
        </w:rPr>
        <w:t xml:space="preserve">. </w:t>
      </w:r>
      <w:proofErr w:type="spellStart"/>
      <w:r w:rsidRPr="003E6841">
        <w:rPr>
          <w:rFonts w:ascii="Times New Roman" w:hAnsi="Times New Roman"/>
          <w:i/>
          <w:iCs/>
        </w:rPr>
        <w:t>Mesopor</w:t>
      </w:r>
      <w:proofErr w:type="spellEnd"/>
      <w:r w:rsidRPr="003E6841">
        <w:rPr>
          <w:rFonts w:ascii="Times New Roman" w:hAnsi="Times New Roman"/>
          <w:i/>
          <w:iCs/>
        </w:rPr>
        <w:t>. Mat.</w:t>
      </w:r>
      <w:r w:rsidRPr="00F31C61">
        <w:rPr>
          <w:rFonts w:ascii="Times New Roman" w:hAnsi="Times New Roman"/>
        </w:rPr>
        <w:t xml:space="preserve"> </w:t>
      </w:r>
      <w:r w:rsidRPr="003E6841">
        <w:rPr>
          <w:rFonts w:ascii="Times New Roman" w:hAnsi="Times New Roman"/>
          <w:b/>
          <w:bCs/>
        </w:rPr>
        <w:t>2005</w:t>
      </w:r>
      <w:r w:rsidRPr="00F31C61">
        <w:rPr>
          <w:rFonts w:ascii="Times New Roman" w:hAnsi="Times New Roman"/>
        </w:rPr>
        <w:t>, 79, 235-240</w:t>
      </w:r>
      <w:r w:rsidR="00DC6C00" w:rsidRPr="00E038AF">
        <w:rPr>
          <w:rFonts w:ascii="Times New Roman" w:hAnsi="Times New Roman"/>
        </w:rPr>
        <w:t>.</w:t>
      </w:r>
    </w:p>
    <w:p w14:paraId="1303C60E" w14:textId="7104D116" w:rsidR="00DC6C00" w:rsidRPr="00E038AF" w:rsidRDefault="00664C7C" w:rsidP="00DC6C00">
      <w:pPr>
        <w:pStyle w:val="TAMainText"/>
        <w:numPr>
          <w:ilvl w:val="0"/>
          <w:numId w:val="1"/>
        </w:numPr>
        <w:rPr>
          <w:rFonts w:ascii="Times New Roman" w:hAnsi="Times New Roman"/>
        </w:rPr>
      </w:pPr>
      <w:r w:rsidRPr="00664C7C">
        <w:rPr>
          <w:rFonts w:ascii="Times New Roman" w:hAnsi="Times New Roman"/>
        </w:rPr>
        <w:t xml:space="preserve">P. Huber; F. </w:t>
      </w:r>
      <w:proofErr w:type="spellStart"/>
      <w:r w:rsidRPr="00664C7C">
        <w:rPr>
          <w:rFonts w:ascii="Times New Roman" w:hAnsi="Times New Roman"/>
        </w:rPr>
        <w:t>Studt</w:t>
      </w:r>
      <w:proofErr w:type="spellEnd"/>
      <w:r w:rsidRPr="00664C7C">
        <w:rPr>
          <w:rFonts w:ascii="Times New Roman" w:hAnsi="Times New Roman"/>
        </w:rPr>
        <w:t xml:space="preserve">; P. N. </w:t>
      </w:r>
      <w:proofErr w:type="spellStart"/>
      <w:r w:rsidRPr="00664C7C">
        <w:rPr>
          <w:rFonts w:ascii="Times New Roman" w:hAnsi="Times New Roman"/>
        </w:rPr>
        <w:t>Plessow</w:t>
      </w:r>
      <w:proofErr w:type="spellEnd"/>
      <w:r w:rsidRPr="00664C7C">
        <w:rPr>
          <w:rFonts w:ascii="Times New Roman" w:hAnsi="Times New Roman"/>
        </w:rPr>
        <w:t xml:space="preserve">, </w:t>
      </w:r>
      <w:r w:rsidRPr="00C421B3">
        <w:rPr>
          <w:rFonts w:ascii="Times New Roman" w:hAnsi="Times New Roman"/>
          <w:i/>
          <w:iCs/>
        </w:rPr>
        <w:t>J. Phys. Chem. C</w:t>
      </w:r>
      <w:r w:rsidRPr="00664C7C">
        <w:rPr>
          <w:rFonts w:ascii="Times New Roman" w:hAnsi="Times New Roman"/>
        </w:rPr>
        <w:t xml:space="preserve"> </w:t>
      </w:r>
      <w:r w:rsidRPr="00C421B3">
        <w:rPr>
          <w:rFonts w:ascii="Times New Roman" w:hAnsi="Times New Roman"/>
          <w:b/>
          <w:bCs/>
        </w:rPr>
        <w:t>2022</w:t>
      </w:r>
      <w:r w:rsidRPr="00664C7C">
        <w:rPr>
          <w:rFonts w:ascii="Times New Roman" w:hAnsi="Times New Roman"/>
        </w:rPr>
        <w:t>, 126, 5896–5905</w:t>
      </w:r>
      <w:r w:rsidR="00DC6C00" w:rsidRPr="00E038AF">
        <w:rPr>
          <w:rFonts w:ascii="Times New Roman" w:hAnsi="Times New Roman"/>
        </w:rPr>
        <w:t>.</w:t>
      </w:r>
    </w:p>
    <w:p w14:paraId="58716424" w14:textId="7C6C460D" w:rsidR="007B4B2B" w:rsidRPr="007757BC" w:rsidRDefault="00664C7C" w:rsidP="00EA4E1B">
      <w:pPr>
        <w:pStyle w:val="TAMainText"/>
        <w:numPr>
          <w:ilvl w:val="0"/>
          <w:numId w:val="1"/>
        </w:numPr>
        <w:rPr>
          <w:rFonts w:ascii="Times New Roman" w:hAnsi="Times New Roman"/>
        </w:rPr>
      </w:pPr>
      <w:r w:rsidRPr="00664C7C">
        <w:rPr>
          <w:rFonts w:ascii="Times New Roman" w:hAnsi="Times New Roman"/>
        </w:rPr>
        <w:t xml:space="preserve">H. </w:t>
      </w:r>
      <w:proofErr w:type="spellStart"/>
      <w:r w:rsidRPr="00664C7C">
        <w:rPr>
          <w:rFonts w:ascii="Times New Roman" w:hAnsi="Times New Roman"/>
        </w:rPr>
        <w:t>Chitsazi</w:t>
      </w:r>
      <w:proofErr w:type="spellEnd"/>
      <w:r w:rsidR="002F7C00" w:rsidRPr="002F7C00">
        <w:rPr>
          <w:rFonts w:ascii="Times New Roman" w:hAnsi="Times New Roman"/>
        </w:rPr>
        <w:t xml:space="preserve"> </w:t>
      </w:r>
      <w:r w:rsidR="002F7C00">
        <w:rPr>
          <w:rFonts w:ascii="Times New Roman" w:hAnsi="Times New Roman"/>
        </w:rPr>
        <w:t>et al</w:t>
      </w:r>
      <w:r w:rsidRPr="00664C7C">
        <w:rPr>
          <w:rFonts w:ascii="Times New Roman" w:hAnsi="Times New Roman"/>
        </w:rPr>
        <w:t xml:space="preserve">, </w:t>
      </w:r>
      <w:r w:rsidRPr="00835DED">
        <w:rPr>
          <w:rFonts w:ascii="Times New Roman" w:hAnsi="Times New Roman"/>
          <w:i/>
          <w:iCs/>
        </w:rPr>
        <w:t>J. Rare Earths</w:t>
      </w:r>
      <w:r w:rsidRPr="00664C7C">
        <w:rPr>
          <w:rFonts w:ascii="Times New Roman" w:hAnsi="Times New Roman"/>
        </w:rPr>
        <w:t xml:space="preserve"> </w:t>
      </w:r>
      <w:r w:rsidRPr="00835DED">
        <w:rPr>
          <w:rFonts w:ascii="Times New Roman" w:hAnsi="Times New Roman"/>
          <w:b/>
          <w:bCs/>
        </w:rPr>
        <w:t>2021</w:t>
      </w:r>
      <w:r w:rsidRPr="00664C7C">
        <w:rPr>
          <w:rFonts w:ascii="Times New Roman" w:hAnsi="Times New Roman"/>
        </w:rPr>
        <w:t>, 39, 526-531</w:t>
      </w:r>
      <w:r w:rsidR="00DC6C00" w:rsidRPr="00E038AF">
        <w:rPr>
          <w:rFonts w:ascii="Times New Roman" w:hAnsi="Times New Roman"/>
        </w:rPr>
        <w:t>.</w:t>
      </w:r>
    </w:p>
    <w:sectPr w:rsidR="007B4B2B" w:rsidRPr="007757BC"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7CA64" w14:textId="77777777" w:rsidR="00FC144A" w:rsidRDefault="00FC144A" w:rsidP="00EA4E1B">
      <w:pPr>
        <w:spacing w:after="0" w:line="240" w:lineRule="auto"/>
      </w:pPr>
      <w:r>
        <w:separator/>
      </w:r>
    </w:p>
  </w:endnote>
  <w:endnote w:type="continuationSeparator" w:id="0">
    <w:p w14:paraId="6B47C91D" w14:textId="77777777" w:rsidR="00FC144A" w:rsidRDefault="00FC144A"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07F93" w14:textId="77777777" w:rsidR="00FC144A" w:rsidRDefault="00FC144A" w:rsidP="00EA4E1B">
      <w:pPr>
        <w:spacing w:after="0" w:line="240" w:lineRule="auto"/>
      </w:pPr>
      <w:r>
        <w:separator/>
      </w:r>
    </w:p>
  </w:footnote>
  <w:footnote w:type="continuationSeparator" w:id="0">
    <w:p w14:paraId="04DFDBBA" w14:textId="77777777" w:rsidR="00FC144A" w:rsidRDefault="00FC144A"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2" name="Imagem 2"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98076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1321C"/>
    <w:rsid w:val="00024E02"/>
    <w:rsid w:val="0003496D"/>
    <w:rsid w:val="00051827"/>
    <w:rsid w:val="00055044"/>
    <w:rsid w:val="00061A72"/>
    <w:rsid w:val="0007284D"/>
    <w:rsid w:val="000A444C"/>
    <w:rsid w:val="000A49E7"/>
    <w:rsid w:val="000A758A"/>
    <w:rsid w:val="000B0DDA"/>
    <w:rsid w:val="000B1665"/>
    <w:rsid w:val="000D0CC0"/>
    <w:rsid w:val="000E5CE4"/>
    <w:rsid w:val="000F1D24"/>
    <w:rsid w:val="0010094E"/>
    <w:rsid w:val="00123DBC"/>
    <w:rsid w:val="001251C2"/>
    <w:rsid w:val="00162C2A"/>
    <w:rsid w:val="00165AE0"/>
    <w:rsid w:val="00167788"/>
    <w:rsid w:val="0017250B"/>
    <w:rsid w:val="001828FA"/>
    <w:rsid w:val="00191FBA"/>
    <w:rsid w:val="001969A8"/>
    <w:rsid w:val="001971E0"/>
    <w:rsid w:val="0019786E"/>
    <w:rsid w:val="00197E0D"/>
    <w:rsid w:val="001A6410"/>
    <w:rsid w:val="001C1983"/>
    <w:rsid w:val="001D3D3E"/>
    <w:rsid w:val="001D631C"/>
    <w:rsid w:val="001E58A9"/>
    <w:rsid w:val="001F0487"/>
    <w:rsid w:val="001F05AB"/>
    <w:rsid w:val="001F25B2"/>
    <w:rsid w:val="001F3C80"/>
    <w:rsid w:val="00202296"/>
    <w:rsid w:val="00217120"/>
    <w:rsid w:val="00222230"/>
    <w:rsid w:val="002434D4"/>
    <w:rsid w:val="002550AC"/>
    <w:rsid w:val="00276689"/>
    <w:rsid w:val="0027717D"/>
    <w:rsid w:val="00277B49"/>
    <w:rsid w:val="00281FA5"/>
    <w:rsid w:val="00284B5F"/>
    <w:rsid w:val="002944BA"/>
    <w:rsid w:val="00295576"/>
    <w:rsid w:val="002A031C"/>
    <w:rsid w:val="002A7B85"/>
    <w:rsid w:val="002B0BF7"/>
    <w:rsid w:val="002B2A8A"/>
    <w:rsid w:val="002B3F8E"/>
    <w:rsid w:val="002B4D8A"/>
    <w:rsid w:val="002B5AD0"/>
    <w:rsid w:val="002C0621"/>
    <w:rsid w:val="002D4A3E"/>
    <w:rsid w:val="002E1F04"/>
    <w:rsid w:val="002F4FF4"/>
    <w:rsid w:val="002F7C00"/>
    <w:rsid w:val="003006D9"/>
    <w:rsid w:val="00310BA4"/>
    <w:rsid w:val="0032053D"/>
    <w:rsid w:val="00336F14"/>
    <w:rsid w:val="00340B1E"/>
    <w:rsid w:val="003434A0"/>
    <w:rsid w:val="0034364B"/>
    <w:rsid w:val="00371060"/>
    <w:rsid w:val="00382B61"/>
    <w:rsid w:val="00384A48"/>
    <w:rsid w:val="00394229"/>
    <w:rsid w:val="0039460A"/>
    <w:rsid w:val="00395902"/>
    <w:rsid w:val="003B56AD"/>
    <w:rsid w:val="003D209A"/>
    <w:rsid w:val="003E3936"/>
    <w:rsid w:val="003E6841"/>
    <w:rsid w:val="003F1605"/>
    <w:rsid w:val="003F5BB9"/>
    <w:rsid w:val="00402F3E"/>
    <w:rsid w:val="00415EA9"/>
    <w:rsid w:val="0041727D"/>
    <w:rsid w:val="004214F9"/>
    <w:rsid w:val="00435B6F"/>
    <w:rsid w:val="00446A4F"/>
    <w:rsid w:val="00465677"/>
    <w:rsid w:val="00470B31"/>
    <w:rsid w:val="0047746A"/>
    <w:rsid w:val="00481660"/>
    <w:rsid w:val="00485D4C"/>
    <w:rsid w:val="00486BDA"/>
    <w:rsid w:val="00486C6C"/>
    <w:rsid w:val="004875C7"/>
    <w:rsid w:val="004C55DF"/>
    <w:rsid w:val="004D2871"/>
    <w:rsid w:val="004D32A8"/>
    <w:rsid w:val="004F1009"/>
    <w:rsid w:val="004F1125"/>
    <w:rsid w:val="004F1B49"/>
    <w:rsid w:val="004F3F42"/>
    <w:rsid w:val="00514E9D"/>
    <w:rsid w:val="0052099F"/>
    <w:rsid w:val="0052112E"/>
    <w:rsid w:val="00560F10"/>
    <w:rsid w:val="00594DAD"/>
    <w:rsid w:val="00597ABB"/>
    <w:rsid w:val="005A33E5"/>
    <w:rsid w:val="005B21EB"/>
    <w:rsid w:val="005B6113"/>
    <w:rsid w:val="005C2775"/>
    <w:rsid w:val="005D5697"/>
    <w:rsid w:val="005D65EB"/>
    <w:rsid w:val="00604718"/>
    <w:rsid w:val="00605D39"/>
    <w:rsid w:val="006136C8"/>
    <w:rsid w:val="006167B1"/>
    <w:rsid w:val="006303C2"/>
    <w:rsid w:val="0063286A"/>
    <w:rsid w:val="00647C30"/>
    <w:rsid w:val="00652815"/>
    <w:rsid w:val="00664C7C"/>
    <w:rsid w:val="0067662D"/>
    <w:rsid w:val="00681EEF"/>
    <w:rsid w:val="00692E00"/>
    <w:rsid w:val="00694841"/>
    <w:rsid w:val="006D05B6"/>
    <w:rsid w:val="006D0B02"/>
    <w:rsid w:val="006F4A02"/>
    <w:rsid w:val="006F561E"/>
    <w:rsid w:val="006F599B"/>
    <w:rsid w:val="00710695"/>
    <w:rsid w:val="007210DE"/>
    <w:rsid w:val="00725845"/>
    <w:rsid w:val="00742DE7"/>
    <w:rsid w:val="007476AB"/>
    <w:rsid w:val="007670A0"/>
    <w:rsid w:val="00767C2C"/>
    <w:rsid w:val="007757BC"/>
    <w:rsid w:val="00775C3D"/>
    <w:rsid w:val="00781685"/>
    <w:rsid w:val="0078758B"/>
    <w:rsid w:val="007946E9"/>
    <w:rsid w:val="007B1433"/>
    <w:rsid w:val="007B4B2B"/>
    <w:rsid w:val="007D4957"/>
    <w:rsid w:val="00814A45"/>
    <w:rsid w:val="00822835"/>
    <w:rsid w:val="00835DED"/>
    <w:rsid w:val="00855F47"/>
    <w:rsid w:val="00863273"/>
    <w:rsid w:val="00866822"/>
    <w:rsid w:val="00866F86"/>
    <w:rsid w:val="008678E1"/>
    <w:rsid w:val="00870724"/>
    <w:rsid w:val="008A2549"/>
    <w:rsid w:val="008B1683"/>
    <w:rsid w:val="008B6097"/>
    <w:rsid w:val="008B649B"/>
    <w:rsid w:val="008C1938"/>
    <w:rsid w:val="008C1B30"/>
    <w:rsid w:val="008C1BB7"/>
    <w:rsid w:val="008C30EE"/>
    <w:rsid w:val="008C3D50"/>
    <w:rsid w:val="008D368B"/>
    <w:rsid w:val="008E3CC4"/>
    <w:rsid w:val="00941CC8"/>
    <w:rsid w:val="00944A8A"/>
    <w:rsid w:val="00952073"/>
    <w:rsid w:val="009610F9"/>
    <w:rsid w:val="009611E1"/>
    <w:rsid w:val="009656D9"/>
    <w:rsid w:val="009B5131"/>
    <w:rsid w:val="009C6577"/>
    <w:rsid w:val="009C7CB0"/>
    <w:rsid w:val="009D6E65"/>
    <w:rsid w:val="009F48F3"/>
    <w:rsid w:val="00A10FA9"/>
    <w:rsid w:val="00A14179"/>
    <w:rsid w:val="00A16AF2"/>
    <w:rsid w:val="00A170D3"/>
    <w:rsid w:val="00A17D85"/>
    <w:rsid w:val="00A316EA"/>
    <w:rsid w:val="00A4186D"/>
    <w:rsid w:val="00A5736F"/>
    <w:rsid w:val="00A62D73"/>
    <w:rsid w:val="00A87CE8"/>
    <w:rsid w:val="00AA182E"/>
    <w:rsid w:val="00AA2188"/>
    <w:rsid w:val="00AB7B37"/>
    <w:rsid w:val="00AC198E"/>
    <w:rsid w:val="00AC3B55"/>
    <w:rsid w:val="00AE14A0"/>
    <w:rsid w:val="00AF0400"/>
    <w:rsid w:val="00AF2F66"/>
    <w:rsid w:val="00AF6356"/>
    <w:rsid w:val="00B101B3"/>
    <w:rsid w:val="00B30AEB"/>
    <w:rsid w:val="00B46517"/>
    <w:rsid w:val="00B561CE"/>
    <w:rsid w:val="00B879A9"/>
    <w:rsid w:val="00BA1D62"/>
    <w:rsid w:val="00BA2B54"/>
    <w:rsid w:val="00BA3C58"/>
    <w:rsid w:val="00BA6A6E"/>
    <w:rsid w:val="00BB23E0"/>
    <w:rsid w:val="00BC0739"/>
    <w:rsid w:val="00BE3701"/>
    <w:rsid w:val="00BF6E7A"/>
    <w:rsid w:val="00C12B6C"/>
    <w:rsid w:val="00C13A2F"/>
    <w:rsid w:val="00C30EC0"/>
    <w:rsid w:val="00C421B3"/>
    <w:rsid w:val="00C55155"/>
    <w:rsid w:val="00C60E37"/>
    <w:rsid w:val="00C737BF"/>
    <w:rsid w:val="00C76E54"/>
    <w:rsid w:val="00C77208"/>
    <w:rsid w:val="00C775B8"/>
    <w:rsid w:val="00C95A38"/>
    <w:rsid w:val="00CC264C"/>
    <w:rsid w:val="00CE6E94"/>
    <w:rsid w:val="00D030CB"/>
    <w:rsid w:val="00D302F0"/>
    <w:rsid w:val="00D3669A"/>
    <w:rsid w:val="00D371BE"/>
    <w:rsid w:val="00D76D6C"/>
    <w:rsid w:val="00D83A27"/>
    <w:rsid w:val="00D85605"/>
    <w:rsid w:val="00D96135"/>
    <w:rsid w:val="00DA4455"/>
    <w:rsid w:val="00DB1FEA"/>
    <w:rsid w:val="00DC44E0"/>
    <w:rsid w:val="00DC6507"/>
    <w:rsid w:val="00DC6C00"/>
    <w:rsid w:val="00DE38FD"/>
    <w:rsid w:val="00E02A21"/>
    <w:rsid w:val="00E038AF"/>
    <w:rsid w:val="00E133E8"/>
    <w:rsid w:val="00E17ACF"/>
    <w:rsid w:val="00E47146"/>
    <w:rsid w:val="00E57707"/>
    <w:rsid w:val="00E60127"/>
    <w:rsid w:val="00E735BD"/>
    <w:rsid w:val="00E76D6F"/>
    <w:rsid w:val="00E91580"/>
    <w:rsid w:val="00EA4E1B"/>
    <w:rsid w:val="00EA62D7"/>
    <w:rsid w:val="00EA6E1E"/>
    <w:rsid w:val="00EB0F47"/>
    <w:rsid w:val="00EB7009"/>
    <w:rsid w:val="00EC348F"/>
    <w:rsid w:val="00ED12EE"/>
    <w:rsid w:val="00EF0A3A"/>
    <w:rsid w:val="00F04F2A"/>
    <w:rsid w:val="00F1353F"/>
    <w:rsid w:val="00F2608A"/>
    <w:rsid w:val="00F30661"/>
    <w:rsid w:val="00F31C61"/>
    <w:rsid w:val="00F52053"/>
    <w:rsid w:val="00F8024C"/>
    <w:rsid w:val="00F917DA"/>
    <w:rsid w:val="00F95E3A"/>
    <w:rsid w:val="00FC144A"/>
    <w:rsid w:val="00FD22F5"/>
    <w:rsid w:val="00FF1E47"/>
    <w:rsid w:val="00FF5F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B55"/>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TextodoEspaoReservado">
    <w:name w:val="Placeholder Text"/>
    <w:basedOn w:val="Fontepargpadro"/>
    <w:uiPriority w:val="99"/>
    <w:semiHidden/>
    <w:rsid w:val="003D209A"/>
    <w:rPr>
      <w:color w:val="808080"/>
    </w:rPr>
  </w:style>
  <w:style w:type="table" w:styleId="Tabelacomgrade">
    <w:name w:val="Table Grid"/>
    <w:basedOn w:val="Tabelanormal"/>
    <w:uiPriority w:val="39"/>
    <w:rsid w:val="00197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257979">
      <w:bodyDiv w:val="1"/>
      <w:marLeft w:val="0"/>
      <w:marRight w:val="0"/>
      <w:marTop w:val="0"/>
      <w:marBottom w:val="0"/>
      <w:divBdr>
        <w:top w:val="none" w:sz="0" w:space="0" w:color="auto"/>
        <w:left w:val="none" w:sz="0" w:space="0" w:color="auto"/>
        <w:bottom w:val="none" w:sz="0" w:space="0" w:color="auto"/>
        <w:right w:val="none" w:sz="0" w:space="0" w:color="auto"/>
      </w:divBdr>
    </w:div>
    <w:div w:id="948509298">
      <w:bodyDiv w:val="1"/>
      <w:marLeft w:val="0"/>
      <w:marRight w:val="0"/>
      <w:marTop w:val="0"/>
      <w:marBottom w:val="0"/>
      <w:divBdr>
        <w:top w:val="none" w:sz="0" w:space="0" w:color="auto"/>
        <w:left w:val="none" w:sz="0" w:space="0" w:color="auto"/>
        <w:bottom w:val="none" w:sz="0" w:space="0" w:color="auto"/>
        <w:right w:val="none" w:sz="0" w:space="0" w:color="auto"/>
      </w:divBdr>
    </w:div>
    <w:div w:id="16187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3512</Words>
  <Characters>18968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Marcel Ribeiro Gallo</dc:creator>
  <cp:lastModifiedBy>Bruna Bernardes</cp:lastModifiedBy>
  <cp:revision>2</cp:revision>
  <cp:lastPrinted>2023-04-26T20:22:00Z</cp:lastPrinted>
  <dcterms:created xsi:type="dcterms:W3CDTF">2023-04-29T13:35:00Z</dcterms:created>
  <dcterms:modified xsi:type="dcterms:W3CDTF">2023-04-29T13:35:00Z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