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bookmarkStart w:id="2" w:name="_Hlk133658132"/>
    <w:bookmarkEnd w:id="2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451E3073" w:rsidR="00EA4E1B" w:rsidRPr="00795A09" w:rsidRDefault="00795A09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P</w:t>
      </w:r>
      <w:r w:rsidR="006D763B">
        <w:rPr>
          <w:sz w:val="32"/>
          <w:lang w:val="pt-BR"/>
        </w:rPr>
        <w:t>rodução de H</w:t>
      </w:r>
      <w:r w:rsidR="006D763B" w:rsidRPr="00576FD1">
        <w:rPr>
          <w:sz w:val="32"/>
          <w:vertAlign w:val="subscript"/>
          <w:lang w:val="pt-BR"/>
        </w:rPr>
        <w:t>2</w:t>
      </w:r>
      <w:r>
        <w:rPr>
          <w:sz w:val="32"/>
          <w:vertAlign w:val="subscript"/>
          <w:lang w:val="pt-BR"/>
        </w:rPr>
        <w:t xml:space="preserve"> </w:t>
      </w:r>
      <w:r>
        <w:rPr>
          <w:sz w:val="32"/>
          <w:lang w:val="pt-BR"/>
        </w:rPr>
        <w:t>por foto reforma do glicerol sobre catalisadores de TiO</w:t>
      </w:r>
      <w:r w:rsidRPr="00795A09">
        <w:rPr>
          <w:sz w:val="32"/>
          <w:vertAlign w:val="subscript"/>
          <w:lang w:val="pt-BR"/>
        </w:rPr>
        <w:t>2</w:t>
      </w:r>
      <w:r>
        <w:rPr>
          <w:sz w:val="32"/>
          <w:lang w:val="pt-BR"/>
        </w:rPr>
        <w:t>@Cu: Estudo de variáveis</w:t>
      </w:r>
      <w:r w:rsidR="001C7BA3">
        <w:rPr>
          <w:sz w:val="32"/>
          <w:lang w:val="pt-BR"/>
        </w:rPr>
        <w:t xml:space="preserve"> reacionais</w:t>
      </w:r>
      <w:r w:rsidR="00AE70D3">
        <w:rPr>
          <w:sz w:val="32"/>
          <w:lang w:val="pt-BR"/>
        </w:rPr>
        <w:t xml:space="preserve"> por metodologia de superfície de resposta </w:t>
      </w:r>
    </w:p>
    <w:p w14:paraId="67089FF8" w14:textId="50AA766B" w:rsidR="00CA2D25" w:rsidRDefault="00F572AB" w:rsidP="00F572AB">
      <w:pPr>
        <w:pStyle w:val="BBAuthorName"/>
        <w:tabs>
          <w:tab w:val="left" w:pos="2579"/>
        </w:tabs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ab/>
      </w:r>
    </w:p>
    <w:p w14:paraId="18735493" w14:textId="00B4C922" w:rsidR="00EA4E1B" w:rsidRPr="009A1A3E" w:rsidRDefault="006D7FEF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Emanoel Jessé Rodrigues Sousa</w:t>
      </w:r>
      <w:r w:rsidRPr="006D7FEF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Mayara Mara Rocha de Oliveira</w:t>
      </w:r>
      <w:r w:rsidRPr="006D7FEF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Antônio Mateus Pires da Silva</w:t>
      </w:r>
      <w:r w:rsidRPr="006D7FEF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Rinaldo dos Santos Araújo</w:t>
      </w:r>
      <w:r w:rsidRPr="006D7FEF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Bruno César Barroso Salgado</w:t>
      </w:r>
      <w:r w:rsidR="002558D6" w:rsidRPr="002558D6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</w:p>
    <w:p w14:paraId="22D38595" w14:textId="7EF0116F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6D7FEF">
        <w:rPr>
          <w:lang w:val="pt-BR"/>
        </w:rPr>
        <w:t xml:space="preserve">Instituto Federal de </w:t>
      </w:r>
      <w:r w:rsidR="003813CC">
        <w:rPr>
          <w:lang w:val="pt-BR"/>
        </w:rPr>
        <w:t xml:space="preserve">Educação, </w:t>
      </w:r>
      <w:r w:rsidR="006D7FEF">
        <w:rPr>
          <w:lang w:val="pt-BR"/>
        </w:rPr>
        <w:t>Ciência e Tecnologia do Ceará</w:t>
      </w:r>
      <w:r w:rsidR="003813CC">
        <w:rPr>
          <w:lang w:val="pt-BR"/>
        </w:rPr>
        <w:t>.</w:t>
      </w:r>
      <w:r w:rsidR="00745D54">
        <w:rPr>
          <w:lang w:val="pt-BR"/>
        </w:rPr>
        <w:t xml:space="preserve"> Avenida Parque Central, 1315, Distrito Industrial I, Maracanaú, Ceará, CP: 61.939-140.</w:t>
      </w:r>
    </w:p>
    <w:p w14:paraId="18B45B32" w14:textId="024D226D" w:rsidR="006D7FEF" w:rsidRPr="006D7FEF" w:rsidRDefault="006D7FEF" w:rsidP="006D7FEF">
      <w:pPr>
        <w:rPr>
          <w:rFonts w:ascii="Times New Roman" w:hAnsi="Times New Roman" w:cs="Times New Roman"/>
          <w:i/>
          <w:iCs/>
          <w:sz w:val="20"/>
          <w:szCs w:val="20"/>
          <w:lang w:eastAsia="pt-BR"/>
        </w:rPr>
      </w:pPr>
      <w:r w:rsidRPr="006D7FEF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*brunocesar@ifce.edu.br</w:t>
      </w:r>
    </w:p>
    <w:bookmarkEnd w:id="0"/>
    <w:p w14:paraId="1230B671" w14:textId="77777777" w:rsidR="001A1A39" w:rsidRDefault="00AF0400" w:rsidP="001A1A39">
      <w:pPr>
        <w:pStyle w:val="BDAbstract"/>
        <w:pBdr>
          <w:bottom w:val="single" w:sz="6" w:space="11" w:color="auto"/>
        </w:pBdr>
        <w:spacing w:before="0" w:after="0" w:line="240" w:lineRule="auto"/>
        <w:rPr>
          <w:rFonts w:ascii="Times New Roman" w:hAnsi="Times New Roman"/>
          <w:sz w:val="20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8102C" w14:textId="36154F5F" w:rsidR="00AF0400" w:rsidRPr="008C1B30" w:rsidRDefault="008C1B30" w:rsidP="001A1A39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7638102C" w14:textId="36154F5F" w:rsidR="00AF0400" w:rsidRPr="008C1B30" w:rsidRDefault="008C1B30" w:rsidP="001A1A39">
                      <w:pPr>
                        <w:pStyle w:val="BDAbstract"/>
                        <w:spacing w:before="0" w:after="0" w:line="240" w:lineRule="auto"/>
                        <w:jc w:val="center"/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ECD3F5" w14:textId="77777777" w:rsidR="001A1A39" w:rsidRDefault="001A1A39" w:rsidP="001A1A39">
      <w:pPr>
        <w:pStyle w:val="BDAbstract"/>
        <w:pBdr>
          <w:bottom w:val="single" w:sz="6" w:space="11" w:color="auto"/>
        </w:pBdr>
        <w:spacing w:before="0" w:after="0" w:line="240" w:lineRule="auto"/>
        <w:rPr>
          <w:rFonts w:ascii="Times New Roman" w:hAnsi="Times New Roman"/>
          <w:sz w:val="20"/>
        </w:rPr>
      </w:pPr>
    </w:p>
    <w:p w14:paraId="66BB3F3B" w14:textId="77777777" w:rsidR="001A1A39" w:rsidRDefault="00EA4E1B" w:rsidP="001A1A39">
      <w:pPr>
        <w:pStyle w:val="BDAbstract"/>
        <w:pBdr>
          <w:bottom w:val="single" w:sz="6" w:space="11" w:color="auto"/>
        </w:pBdr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  <w:r w:rsidRPr="001A1A39">
        <w:rPr>
          <w:rFonts w:ascii="Times New Roman" w:hAnsi="Times New Roman"/>
          <w:b w:val="0"/>
          <w:bCs/>
          <w:sz w:val="20"/>
        </w:rPr>
        <w:t xml:space="preserve">RESUMO - </w:t>
      </w:r>
      <w:r w:rsidR="0032764B" w:rsidRPr="001A1A39">
        <w:rPr>
          <w:rFonts w:ascii="Times New Roman" w:hAnsi="Times New Roman"/>
          <w:b w:val="0"/>
          <w:bCs/>
          <w:sz w:val="20"/>
        </w:rPr>
        <w:t xml:space="preserve">O </w:t>
      </w:r>
      <w:proofErr w:type="spellStart"/>
      <w:r w:rsidR="0032764B" w:rsidRPr="001A1A39">
        <w:rPr>
          <w:rFonts w:ascii="Times New Roman" w:hAnsi="Times New Roman"/>
          <w:b w:val="0"/>
          <w:bCs/>
          <w:sz w:val="20"/>
        </w:rPr>
        <w:t>aumento</w:t>
      </w:r>
      <w:proofErr w:type="spellEnd"/>
      <w:r w:rsidR="0032764B" w:rsidRPr="001A1A39">
        <w:rPr>
          <w:rFonts w:ascii="Times New Roman" w:hAnsi="Times New Roman"/>
          <w:b w:val="0"/>
          <w:bCs/>
          <w:sz w:val="20"/>
        </w:rPr>
        <w:t xml:space="preserve"> da demanda energética mundial durante as próximas décadas e o iminente esgotamento dos combustíveis fósseis têm pressionado o desenvolvimento de fontes alternativas de energia. O H</w:t>
      </w:r>
      <w:r w:rsidR="0032764B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32764B" w:rsidRPr="001A1A39">
        <w:rPr>
          <w:rFonts w:ascii="Times New Roman" w:hAnsi="Times New Roman"/>
          <w:b w:val="0"/>
          <w:bCs/>
          <w:sz w:val="20"/>
        </w:rPr>
        <w:t xml:space="preserve"> é uma das alternativas complementares à crescente demanda por energia. O desenvolvimento de rotas alternativas de síntese é, portanto, essencial para implementação de uma economia a base de H</w:t>
      </w:r>
      <w:r w:rsidR="0032764B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821F36" w:rsidRPr="001A1A39">
        <w:rPr>
          <w:rFonts w:ascii="Times New Roman" w:hAnsi="Times New Roman"/>
          <w:b w:val="0"/>
          <w:bCs/>
          <w:sz w:val="20"/>
        </w:rPr>
        <w:t xml:space="preserve">. Catalisadores eficientes e </w:t>
      </w:r>
      <w:r w:rsidR="004E69BB" w:rsidRPr="001A1A39">
        <w:rPr>
          <w:rFonts w:ascii="Times New Roman" w:hAnsi="Times New Roman"/>
          <w:b w:val="0"/>
          <w:bCs/>
          <w:sz w:val="20"/>
        </w:rPr>
        <w:t xml:space="preserve">de </w:t>
      </w:r>
      <w:r w:rsidR="00821F36" w:rsidRPr="001A1A39">
        <w:rPr>
          <w:rFonts w:ascii="Times New Roman" w:hAnsi="Times New Roman"/>
          <w:b w:val="0"/>
          <w:bCs/>
          <w:sz w:val="20"/>
        </w:rPr>
        <w:t xml:space="preserve">baixo custo tornam a fotocatalise um método promissor. </w:t>
      </w:r>
      <w:r w:rsidR="008E7252" w:rsidRPr="001A1A39">
        <w:rPr>
          <w:rFonts w:ascii="Times New Roman" w:hAnsi="Times New Roman"/>
          <w:b w:val="0"/>
          <w:bCs/>
          <w:sz w:val="20"/>
        </w:rPr>
        <w:t>O glicerol como subproduto do biodiesel é um substrato adequado que auxilia na produção de H</w:t>
      </w:r>
      <w:r w:rsidR="008E7252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8E7252" w:rsidRPr="001A1A39">
        <w:rPr>
          <w:rFonts w:ascii="Times New Roman" w:hAnsi="Times New Roman"/>
          <w:b w:val="0"/>
          <w:bCs/>
          <w:sz w:val="20"/>
        </w:rPr>
        <w:t xml:space="preserve">. </w:t>
      </w:r>
      <w:r w:rsidR="0032764B" w:rsidRPr="001A1A39">
        <w:rPr>
          <w:rFonts w:ascii="Times New Roman" w:hAnsi="Times New Roman"/>
          <w:b w:val="0"/>
          <w:bCs/>
          <w:sz w:val="20"/>
        </w:rPr>
        <w:t>O trabalho tem por objetivo avaliar um sistema fotocatalítico de produção de H</w:t>
      </w:r>
      <w:r w:rsidR="0032764B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32764B" w:rsidRPr="001A1A39">
        <w:rPr>
          <w:rFonts w:ascii="Times New Roman" w:hAnsi="Times New Roman"/>
          <w:b w:val="0"/>
          <w:bCs/>
          <w:sz w:val="20"/>
        </w:rPr>
        <w:t xml:space="preserve"> a partir de uma metodologia de otimização de superfície de resposta utilizando catalisadores de TiO</w:t>
      </w:r>
      <w:r w:rsidR="0032764B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32764B" w:rsidRPr="001A1A39">
        <w:rPr>
          <w:rFonts w:ascii="Times New Roman" w:hAnsi="Times New Roman"/>
          <w:b w:val="0"/>
          <w:bCs/>
          <w:sz w:val="20"/>
        </w:rPr>
        <w:t>@Cu. A metodologia empregada permitiu definir quais parâmetros influenciaram significativamente o sistema. O planejamento empregado apresentou resultados significativos de ajuste (R</w:t>
      </w:r>
      <w:r w:rsidR="0032764B" w:rsidRPr="001A1A39">
        <w:rPr>
          <w:rFonts w:ascii="Times New Roman" w:hAnsi="Times New Roman"/>
          <w:b w:val="0"/>
          <w:bCs/>
          <w:sz w:val="20"/>
          <w:vertAlign w:val="superscript"/>
        </w:rPr>
        <w:t>2</w:t>
      </w:r>
      <w:r w:rsidR="0032764B" w:rsidRPr="001A1A39">
        <w:rPr>
          <w:rFonts w:ascii="Times New Roman" w:hAnsi="Times New Roman"/>
          <w:b w:val="0"/>
          <w:bCs/>
          <w:sz w:val="20"/>
        </w:rPr>
        <w:t xml:space="preserve"> = 0,945) e resultados de otimização satisfatórios sob TiO</w:t>
      </w:r>
      <w:r w:rsidR="0032764B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32764B" w:rsidRPr="001A1A39">
        <w:rPr>
          <w:rFonts w:ascii="Times New Roman" w:hAnsi="Times New Roman"/>
          <w:b w:val="0"/>
          <w:bCs/>
          <w:sz w:val="20"/>
        </w:rPr>
        <w:t>@Cu</w:t>
      </w:r>
      <w:r w:rsidR="0032764B" w:rsidRPr="001A1A39">
        <w:rPr>
          <w:rFonts w:ascii="Times New Roman" w:hAnsi="Times New Roman"/>
          <w:b w:val="0"/>
          <w:bCs/>
          <w:sz w:val="20"/>
          <w:vertAlign w:val="subscript"/>
        </w:rPr>
        <w:t>0,45</w:t>
      </w:r>
      <w:r w:rsidR="0032764B" w:rsidRPr="001A1A39">
        <w:rPr>
          <w:rFonts w:ascii="Times New Roman" w:hAnsi="Times New Roman"/>
          <w:b w:val="0"/>
          <w:bCs/>
          <w:sz w:val="20"/>
        </w:rPr>
        <w:t xml:space="preserve">, pH = </w:t>
      </w:r>
      <w:r w:rsidR="001930B7" w:rsidRPr="001A1A39">
        <w:rPr>
          <w:rFonts w:ascii="Times New Roman" w:hAnsi="Times New Roman"/>
          <w:b w:val="0"/>
          <w:bCs/>
          <w:sz w:val="20"/>
        </w:rPr>
        <w:t>9</w:t>
      </w:r>
      <w:r w:rsidR="0032764B" w:rsidRPr="001A1A39">
        <w:rPr>
          <w:rFonts w:ascii="Times New Roman" w:hAnsi="Times New Roman"/>
          <w:b w:val="0"/>
          <w:bCs/>
          <w:sz w:val="20"/>
        </w:rPr>
        <w:t>,0</w:t>
      </w:r>
      <w:r w:rsidR="002663ED" w:rsidRPr="001A1A39">
        <w:rPr>
          <w:rFonts w:ascii="Times New Roman" w:hAnsi="Times New Roman"/>
          <w:b w:val="0"/>
          <w:bCs/>
          <w:sz w:val="20"/>
        </w:rPr>
        <w:t xml:space="preserve">, dosagem de catalisador = 1,0 </w:t>
      </w:r>
      <w:proofErr w:type="gramStart"/>
      <w:r w:rsidR="002663ED" w:rsidRPr="001A1A39">
        <w:rPr>
          <w:rFonts w:ascii="Times New Roman" w:hAnsi="Times New Roman"/>
          <w:b w:val="0"/>
          <w:bCs/>
          <w:sz w:val="20"/>
        </w:rPr>
        <w:t>g.L</w:t>
      </w:r>
      <w:proofErr w:type="gramEnd"/>
      <w:r w:rsidR="002663ED" w:rsidRPr="001A1A39">
        <w:rPr>
          <w:rFonts w:ascii="Times New Roman" w:hAnsi="Times New Roman"/>
          <w:b w:val="0"/>
          <w:bCs/>
          <w:sz w:val="20"/>
          <w:vertAlign w:val="superscript"/>
        </w:rPr>
        <w:t>-1</w:t>
      </w:r>
      <w:r w:rsidR="0032764B" w:rsidRPr="001A1A39">
        <w:rPr>
          <w:rFonts w:ascii="Times New Roman" w:hAnsi="Times New Roman"/>
          <w:b w:val="0"/>
          <w:bCs/>
          <w:sz w:val="20"/>
        </w:rPr>
        <w:t xml:space="preserve"> e </w:t>
      </w:r>
      <w:r w:rsidR="00AC5D29" w:rsidRPr="001A1A39">
        <w:rPr>
          <w:rFonts w:ascii="Times New Roman" w:hAnsi="Times New Roman"/>
          <w:b w:val="0"/>
          <w:bCs/>
          <w:sz w:val="20"/>
        </w:rPr>
        <w:t xml:space="preserve">concentração de glicerol </w:t>
      </w:r>
      <w:r w:rsidR="0032764B" w:rsidRPr="001A1A39">
        <w:rPr>
          <w:rFonts w:ascii="Times New Roman" w:hAnsi="Times New Roman"/>
          <w:b w:val="0"/>
          <w:bCs/>
          <w:sz w:val="20"/>
        </w:rPr>
        <w:t xml:space="preserve"> = </w:t>
      </w:r>
      <w:r w:rsidR="00EA661E" w:rsidRPr="001A1A39">
        <w:rPr>
          <w:rFonts w:ascii="Times New Roman" w:hAnsi="Times New Roman"/>
          <w:b w:val="0"/>
          <w:bCs/>
          <w:sz w:val="20"/>
        </w:rPr>
        <w:t>10</w:t>
      </w:r>
      <w:r w:rsidR="0032764B" w:rsidRPr="001A1A39">
        <w:rPr>
          <w:rFonts w:ascii="Times New Roman" w:hAnsi="Times New Roman"/>
          <w:b w:val="0"/>
          <w:bCs/>
          <w:sz w:val="20"/>
        </w:rPr>
        <w:t>%</w:t>
      </w:r>
      <w:r w:rsidR="00261D3F" w:rsidRPr="001A1A39">
        <w:rPr>
          <w:rFonts w:ascii="Times New Roman" w:hAnsi="Times New Roman"/>
          <w:b w:val="0"/>
          <w:bCs/>
          <w:sz w:val="20"/>
        </w:rPr>
        <w:t>,</w:t>
      </w:r>
      <w:r w:rsidR="00685F64" w:rsidRPr="001A1A39">
        <w:rPr>
          <w:rFonts w:ascii="Times New Roman" w:hAnsi="Times New Roman"/>
          <w:b w:val="0"/>
          <w:bCs/>
          <w:sz w:val="20"/>
        </w:rPr>
        <w:t xml:space="preserve"> com </w:t>
      </w:r>
      <w:r w:rsidR="00261D3F" w:rsidRPr="001A1A39">
        <w:rPr>
          <w:rFonts w:ascii="Times New Roman" w:hAnsi="Times New Roman"/>
          <w:b w:val="0"/>
          <w:bCs/>
          <w:sz w:val="20"/>
        </w:rPr>
        <w:t xml:space="preserve">performance de produção de hidrogênio </w:t>
      </w:r>
      <w:r w:rsidR="00685F64" w:rsidRPr="001A1A39">
        <w:rPr>
          <w:rFonts w:ascii="Times New Roman" w:hAnsi="Times New Roman"/>
          <w:b w:val="0"/>
          <w:bCs/>
          <w:sz w:val="20"/>
        </w:rPr>
        <w:t>de 12,03 mmol</w:t>
      </w:r>
      <w:r w:rsidR="00261D3F" w:rsidRPr="001A1A39">
        <w:rPr>
          <w:rFonts w:ascii="Times New Roman" w:hAnsi="Times New Roman"/>
          <w:b w:val="0"/>
          <w:bCs/>
          <w:sz w:val="20"/>
        </w:rPr>
        <w:t xml:space="preserve"> H</w:t>
      </w:r>
      <w:r w:rsidR="00261D3F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685F64" w:rsidRPr="001A1A39">
        <w:rPr>
          <w:rFonts w:ascii="Times New Roman" w:hAnsi="Times New Roman"/>
          <w:b w:val="0"/>
          <w:bCs/>
          <w:sz w:val="20"/>
        </w:rPr>
        <w:t>.gcat</w:t>
      </w:r>
      <w:r w:rsidR="00685F64" w:rsidRPr="001A1A39">
        <w:rPr>
          <w:rFonts w:ascii="Times New Roman" w:hAnsi="Times New Roman"/>
          <w:b w:val="0"/>
          <w:bCs/>
          <w:sz w:val="20"/>
          <w:vertAlign w:val="superscript"/>
        </w:rPr>
        <w:t>-1</w:t>
      </w:r>
      <w:r w:rsidR="00685F64" w:rsidRPr="001A1A39">
        <w:rPr>
          <w:rFonts w:ascii="Times New Roman" w:hAnsi="Times New Roman"/>
          <w:b w:val="0"/>
          <w:bCs/>
          <w:sz w:val="20"/>
        </w:rPr>
        <w:t>.</w:t>
      </w:r>
    </w:p>
    <w:p w14:paraId="046B42EC" w14:textId="6DA17966" w:rsidR="001A1A39" w:rsidRDefault="00EA4E1B" w:rsidP="001A1A39">
      <w:pPr>
        <w:pStyle w:val="BDAbstract"/>
        <w:pBdr>
          <w:bottom w:val="single" w:sz="6" w:space="11" w:color="auto"/>
        </w:pBdr>
        <w:spacing w:before="0" w:after="0" w:line="240" w:lineRule="auto"/>
        <w:rPr>
          <w:rFonts w:ascii="Times New Roman" w:hAnsi="Times New Roman"/>
          <w:b w:val="0"/>
          <w:bCs/>
          <w:i/>
          <w:sz w:val="20"/>
          <w:lang w:val="pt-BR"/>
        </w:rPr>
      </w:pPr>
      <w:r w:rsidRPr="001A1A39">
        <w:rPr>
          <w:rFonts w:ascii="Times New Roman" w:hAnsi="Times New Roman"/>
          <w:b w:val="0"/>
          <w:bCs/>
          <w:i/>
          <w:sz w:val="20"/>
          <w:lang w:val="pt-BR"/>
        </w:rPr>
        <w:t xml:space="preserve">Palavras-chave: </w:t>
      </w:r>
      <w:r w:rsidR="000C60D1" w:rsidRPr="001A1A39">
        <w:rPr>
          <w:rFonts w:ascii="Times New Roman" w:hAnsi="Times New Roman"/>
          <w:b w:val="0"/>
          <w:bCs/>
          <w:i/>
          <w:sz w:val="20"/>
          <w:lang w:val="pt-BR"/>
        </w:rPr>
        <w:t xml:space="preserve">Hidrogênio, </w:t>
      </w:r>
      <w:proofErr w:type="spellStart"/>
      <w:r w:rsidR="000C60D1" w:rsidRPr="001A1A39">
        <w:rPr>
          <w:rFonts w:ascii="Times New Roman" w:hAnsi="Times New Roman"/>
          <w:b w:val="0"/>
          <w:bCs/>
          <w:i/>
          <w:sz w:val="20"/>
          <w:lang w:val="pt-BR"/>
        </w:rPr>
        <w:t>Fotocatalise</w:t>
      </w:r>
      <w:proofErr w:type="spellEnd"/>
      <w:r w:rsidR="000C60D1" w:rsidRPr="001A1A39">
        <w:rPr>
          <w:rFonts w:ascii="Times New Roman" w:hAnsi="Times New Roman"/>
          <w:b w:val="0"/>
          <w:bCs/>
          <w:i/>
          <w:sz w:val="20"/>
          <w:lang w:val="pt-BR"/>
        </w:rPr>
        <w:t>, Otimização, Cobre</w:t>
      </w:r>
      <w:r w:rsidRPr="001A1A39">
        <w:rPr>
          <w:rFonts w:ascii="Times New Roman" w:hAnsi="Times New Roman"/>
          <w:b w:val="0"/>
          <w:bCs/>
          <w:i/>
          <w:sz w:val="20"/>
          <w:lang w:val="pt-BR"/>
        </w:rPr>
        <w:t>.</w:t>
      </w:r>
    </w:p>
    <w:p w14:paraId="0588D6B4" w14:textId="77777777" w:rsidR="001A1A39" w:rsidRDefault="001A1A39" w:rsidP="001A1A39">
      <w:pPr>
        <w:pStyle w:val="BDAbstract"/>
        <w:pBdr>
          <w:bottom w:val="single" w:sz="6" w:space="11" w:color="auto"/>
        </w:pBdr>
        <w:spacing w:before="0" w:after="0" w:line="240" w:lineRule="auto"/>
        <w:rPr>
          <w:rFonts w:ascii="Times New Roman" w:hAnsi="Times New Roman"/>
          <w:b w:val="0"/>
          <w:bCs/>
          <w:i/>
          <w:sz w:val="20"/>
          <w:lang w:val="pt-BR"/>
        </w:rPr>
      </w:pPr>
    </w:p>
    <w:p w14:paraId="1097539A" w14:textId="21F31567" w:rsidR="001A1A39" w:rsidRPr="001A1A39" w:rsidRDefault="00EA4E1B" w:rsidP="001A1A39">
      <w:pPr>
        <w:pStyle w:val="BDAbstract"/>
        <w:pBdr>
          <w:bottom w:val="single" w:sz="6" w:space="11" w:color="auto"/>
        </w:pBdr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  <w:r w:rsidRPr="001A1A39">
        <w:rPr>
          <w:rFonts w:ascii="Times New Roman" w:hAnsi="Times New Roman"/>
          <w:b w:val="0"/>
          <w:bCs/>
          <w:sz w:val="20"/>
          <w:lang w:val="en-GB"/>
        </w:rPr>
        <w:t xml:space="preserve">ABSTRACT - </w:t>
      </w:r>
      <w:r w:rsidR="00745D54" w:rsidRPr="001A1A39">
        <w:rPr>
          <w:rFonts w:ascii="Times New Roman" w:hAnsi="Times New Roman"/>
          <w:b w:val="0"/>
          <w:bCs/>
          <w:sz w:val="20"/>
        </w:rPr>
        <w:t>The increase in world energy demand over the next few decades and the imminent depletion of fossil fuels have put pressure on the development of alternative energy sources. H</w:t>
      </w:r>
      <w:r w:rsidR="00745D54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745D54" w:rsidRPr="001A1A39">
        <w:rPr>
          <w:rFonts w:ascii="Times New Roman" w:hAnsi="Times New Roman"/>
          <w:b w:val="0"/>
          <w:bCs/>
          <w:sz w:val="20"/>
        </w:rPr>
        <w:t xml:space="preserve"> is one of the complementary alternatives to the growing demand for energy</w:t>
      </w:r>
      <w:r w:rsidR="00E56BB9" w:rsidRPr="001A1A39">
        <w:rPr>
          <w:rFonts w:ascii="Times New Roman" w:hAnsi="Times New Roman"/>
          <w:b w:val="0"/>
          <w:bCs/>
          <w:sz w:val="20"/>
        </w:rPr>
        <w:t xml:space="preserve">. </w:t>
      </w:r>
      <w:r w:rsidR="00745D54" w:rsidRPr="001A1A39">
        <w:rPr>
          <w:rFonts w:ascii="Times New Roman" w:hAnsi="Times New Roman"/>
          <w:b w:val="0"/>
          <w:bCs/>
          <w:sz w:val="20"/>
        </w:rPr>
        <w:t>The development of alternative synthesis routes is, therefore, essential for the implementation of an H</w:t>
      </w:r>
      <w:r w:rsidR="00745D54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745D54" w:rsidRPr="001A1A39">
        <w:rPr>
          <w:rFonts w:ascii="Times New Roman" w:hAnsi="Times New Roman"/>
          <w:b w:val="0"/>
          <w:bCs/>
          <w:sz w:val="20"/>
        </w:rPr>
        <w:t>-based economy. Efficient and low-cost catalysts make photocatalysis a promising method. Glycerol as a byproduct of biodiesel is a suitable substrate that helps in the production of H</w:t>
      </w:r>
      <w:r w:rsidR="00745D54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E56BB9" w:rsidRPr="001A1A39">
        <w:rPr>
          <w:rFonts w:ascii="Times New Roman" w:hAnsi="Times New Roman"/>
          <w:b w:val="0"/>
          <w:bCs/>
          <w:sz w:val="20"/>
        </w:rPr>
        <w:t xml:space="preserve">. </w:t>
      </w:r>
      <w:r w:rsidR="00745D54" w:rsidRPr="001A1A39">
        <w:rPr>
          <w:rFonts w:ascii="Times New Roman" w:hAnsi="Times New Roman"/>
          <w:b w:val="0"/>
          <w:bCs/>
          <w:sz w:val="20"/>
        </w:rPr>
        <w:t xml:space="preserve">The objective of this work is to evaluate a photocatalytic system </w:t>
      </w:r>
      <w:r w:rsidR="00745D54" w:rsidRPr="001A1A39">
        <w:rPr>
          <w:rFonts w:ascii="Times New Roman" w:hAnsi="Times New Roman"/>
          <w:b w:val="0"/>
          <w:bCs/>
          <w:sz w:val="20"/>
        </w:rPr>
        <w:t>to produce</w:t>
      </w:r>
      <w:r w:rsidR="00745D54" w:rsidRPr="001A1A39">
        <w:rPr>
          <w:rFonts w:ascii="Times New Roman" w:hAnsi="Times New Roman"/>
          <w:b w:val="0"/>
          <w:bCs/>
          <w:sz w:val="20"/>
        </w:rPr>
        <w:t xml:space="preserve"> H</w:t>
      </w:r>
      <w:r w:rsidR="00745D54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745D54" w:rsidRPr="001A1A39">
        <w:rPr>
          <w:rFonts w:ascii="Times New Roman" w:hAnsi="Times New Roman"/>
          <w:b w:val="0"/>
          <w:bCs/>
          <w:sz w:val="20"/>
        </w:rPr>
        <w:t xml:space="preserve"> based on a methodology for optimizing the response surface using TiO</w:t>
      </w:r>
      <w:r w:rsidR="00745D54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745D54" w:rsidRPr="001A1A39">
        <w:rPr>
          <w:rFonts w:ascii="Times New Roman" w:hAnsi="Times New Roman"/>
          <w:b w:val="0"/>
          <w:bCs/>
          <w:sz w:val="20"/>
        </w:rPr>
        <w:t>@Cu catalysts. The methodology employed allowed defining which parameters significantly influenced the system</w:t>
      </w:r>
      <w:r w:rsidR="00E56BB9" w:rsidRPr="001A1A39">
        <w:rPr>
          <w:rFonts w:ascii="Times New Roman" w:hAnsi="Times New Roman"/>
          <w:b w:val="0"/>
          <w:bCs/>
          <w:sz w:val="20"/>
        </w:rPr>
        <w:t xml:space="preserve">. The </w:t>
      </w:r>
      <w:r w:rsidR="007263D7" w:rsidRPr="001A1A39">
        <w:rPr>
          <w:rFonts w:ascii="Times New Roman" w:hAnsi="Times New Roman"/>
          <w:b w:val="0"/>
          <w:bCs/>
          <w:sz w:val="20"/>
        </w:rPr>
        <w:t>methodology employed</w:t>
      </w:r>
      <w:r w:rsidR="00E56BB9" w:rsidRPr="001A1A39">
        <w:rPr>
          <w:rFonts w:ascii="Times New Roman" w:hAnsi="Times New Roman"/>
          <w:b w:val="0"/>
          <w:bCs/>
          <w:sz w:val="20"/>
        </w:rPr>
        <w:t xml:space="preserve"> in this study yielded significant results, with a </w:t>
      </w:r>
      <w:r w:rsidR="009A6CFF" w:rsidRPr="001A1A39">
        <w:rPr>
          <w:rFonts w:ascii="Times New Roman" w:hAnsi="Times New Roman"/>
          <w:b w:val="0"/>
          <w:bCs/>
          <w:sz w:val="20"/>
        </w:rPr>
        <w:t>determination coefficient</w:t>
      </w:r>
      <w:r w:rsidR="00E56BB9" w:rsidRPr="001A1A39">
        <w:rPr>
          <w:rFonts w:ascii="Times New Roman" w:hAnsi="Times New Roman"/>
          <w:b w:val="0"/>
          <w:bCs/>
          <w:sz w:val="20"/>
        </w:rPr>
        <w:t xml:space="preserve"> of</w:t>
      </w:r>
      <w:r w:rsidR="007A222F" w:rsidRPr="001A1A39">
        <w:rPr>
          <w:rFonts w:ascii="Times New Roman" w:hAnsi="Times New Roman"/>
          <w:b w:val="0"/>
          <w:bCs/>
          <w:sz w:val="20"/>
        </w:rPr>
        <w:t xml:space="preserve"> </w:t>
      </w:r>
      <w:r w:rsidR="00E56BB9" w:rsidRPr="001A1A39">
        <w:rPr>
          <w:rFonts w:ascii="Times New Roman" w:hAnsi="Times New Roman"/>
          <w:b w:val="0"/>
          <w:bCs/>
          <w:sz w:val="20"/>
        </w:rPr>
        <w:t>R</w:t>
      </w:r>
      <w:r w:rsidR="00E56BB9" w:rsidRPr="001A1A39">
        <w:rPr>
          <w:rFonts w:ascii="Times New Roman" w:hAnsi="Times New Roman"/>
          <w:b w:val="0"/>
          <w:bCs/>
          <w:sz w:val="20"/>
          <w:vertAlign w:val="superscript"/>
        </w:rPr>
        <w:t>2</w:t>
      </w:r>
      <w:r w:rsidR="00E56BB9" w:rsidRPr="001A1A39">
        <w:rPr>
          <w:rFonts w:ascii="Times New Roman" w:hAnsi="Times New Roman"/>
          <w:b w:val="0"/>
          <w:bCs/>
          <w:sz w:val="20"/>
        </w:rPr>
        <w:t xml:space="preserve"> = 0.945 and satisfactory optimization results achieved under TiO</w:t>
      </w:r>
      <w:r w:rsidR="00E56BB9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E56BB9" w:rsidRPr="001A1A39">
        <w:rPr>
          <w:rFonts w:ascii="Times New Roman" w:hAnsi="Times New Roman"/>
          <w:b w:val="0"/>
          <w:bCs/>
          <w:sz w:val="20"/>
        </w:rPr>
        <w:t>@Cu</w:t>
      </w:r>
      <w:r w:rsidR="00E56BB9" w:rsidRPr="001A1A39">
        <w:rPr>
          <w:rFonts w:ascii="Times New Roman" w:hAnsi="Times New Roman"/>
          <w:b w:val="0"/>
          <w:bCs/>
          <w:sz w:val="20"/>
          <w:vertAlign w:val="subscript"/>
        </w:rPr>
        <w:t>0.45</w:t>
      </w:r>
      <w:r w:rsidR="00E56BB9" w:rsidRPr="001A1A39">
        <w:rPr>
          <w:rFonts w:ascii="Times New Roman" w:hAnsi="Times New Roman"/>
          <w:b w:val="0"/>
          <w:bCs/>
          <w:sz w:val="20"/>
        </w:rPr>
        <w:t>, pH = 9.0,</w:t>
      </w:r>
      <w:r w:rsidR="002663ED" w:rsidRPr="001A1A39">
        <w:rPr>
          <w:rFonts w:ascii="Times New Roman" w:hAnsi="Times New Roman"/>
          <w:b w:val="0"/>
          <w:bCs/>
          <w:sz w:val="20"/>
        </w:rPr>
        <w:t xml:space="preserve"> catalyst loading = 1.0 </w:t>
      </w:r>
      <w:proofErr w:type="gramStart"/>
      <w:r w:rsidR="002663ED" w:rsidRPr="001A1A39">
        <w:rPr>
          <w:rFonts w:ascii="Times New Roman" w:hAnsi="Times New Roman"/>
          <w:b w:val="0"/>
          <w:bCs/>
          <w:sz w:val="20"/>
        </w:rPr>
        <w:t>g.L</w:t>
      </w:r>
      <w:proofErr w:type="gramEnd"/>
      <w:r w:rsidR="002663ED" w:rsidRPr="001A1A39">
        <w:rPr>
          <w:rFonts w:ascii="Times New Roman" w:hAnsi="Times New Roman"/>
          <w:b w:val="0"/>
          <w:bCs/>
          <w:sz w:val="20"/>
          <w:vertAlign w:val="superscript"/>
        </w:rPr>
        <w:t>-1</w:t>
      </w:r>
      <w:r w:rsidR="00E56BB9" w:rsidRPr="001A1A39">
        <w:rPr>
          <w:rFonts w:ascii="Times New Roman" w:hAnsi="Times New Roman"/>
          <w:b w:val="0"/>
          <w:bCs/>
          <w:sz w:val="20"/>
        </w:rPr>
        <w:t xml:space="preserve"> and </w:t>
      </w:r>
      <w:r w:rsidR="00AC0FF7" w:rsidRPr="001A1A39">
        <w:rPr>
          <w:rFonts w:ascii="Times New Roman" w:hAnsi="Times New Roman"/>
          <w:b w:val="0"/>
          <w:bCs/>
          <w:sz w:val="20"/>
        </w:rPr>
        <w:t>gl</w:t>
      </w:r>
      <w:r w:rsidR="00CC35F3" w:rsidRPr="001A1A39">
        <w:rPr>
          <w:rFonts w:ascii="Times New Roman" w:hAnsi="Times New Roman"/>
          <w:b w:val="0"/>
          <w:bCs/>
          <w:sz w:val="20"/>
        </w:rPr>
        <w:t>y</w:t>
      </w:r>
      <w:r w:rsidR="00AC0FF7" w:rsidRPr="001A1A39">
        <w:rPr>
          <w:rFonts w:ascii="Times New Roman" w:hAnsi="Times New Roman"/>
          <w:b w:val="0"/>
          <w:bCs/>
          <w:sz w:val="20"/>
        </w:rPr>
        <w:t>cerol concentration</w:t>
      </w:r>
      <w:r w:rsidR="005F78B4" w:rsidRPr="001A1A39">
        <w:rPr>
          <w:rFonts w:ascii="Times New Roman" w:hAnsi="Times New Roman"/>
          <w:b w:val="0"/>
          <w:bCs/>
          <w:sz w:val="20"/>
        </w:rPr>
        <w:t xml:space="preserve"> </w:t>
      </w:r>
      <w:r w:rsidR="00E56BB9" w:rsidRPr="001A1A39">
        <w:rPr>
          <w:rFonts w:ascii="Times New Roman" w:hAnsi="Times New Roman"/>
          <w:b w:val="0"/>
          <w:bCs/>
          <w:sz w:val="20"/>
        </w:rPr>
        <w:t>= 10%, with a production of 12.03 mmol</w:t>
      </w:r>
      <w:r w:rsidR="005F78B4" w:rsidRPr="001A1A39">
        <w:rPr>
          <w:rFonts w:ascii="Times New Roman" w:hAnsi="Times New Roman"/>
          <w:b w:val="0"/>
          <w:bCs/>
          <w:sz w:val="20"/>
        </w:rPr>
        <w:t xml:space="preserve"> H</w:t>
      </w:r>
      <w:r w:rsidR="005F78B4" w:rsidRPr="001A1A39">
        <w:rPr>
          <w:rFonts w:ascii="Times New Roman" w:hAnsi="Times New Roman"/>
          <w:b w:val="0"/>
          <w:bCs/>
          <w:sz w:val="20"/>
          <w:vertAlign w:val="subscript"/>
        </w:rPr>
        <w:t>2</w:t>
      </w:r>
      <w:r w:rsidR="00E56BB9" w:rsidRPr="001A1A39">
        <w:rPr>
          <w:rFonts w:ascii="Times New Roman" w:hAnsi="Times New Roman"/>
          <w:b w:val="0"/>
          <w:bCs/>
          <w:sz w:val="20"/>
        </w:rPr>
        <w:t>.gcat</w:t>
      </w:r>
      <w:r w:rsidR="00E56BB9" w:rsidRPr="001A1A39">
        <w:rPr>
          <w:rFonts w:ascii="Times New Roman" w:hAnsi="Times New Roman"/>
          <w:b w:val="0"/>
          <w:bCs/>
          <w:sz w:val="20"/>
          <w:vertAlign w:val="superscript"/>
        </w:rPr>
        <w:t>-1</w:t>
      </w:r>
      <w:r w:rsidRPr="001A1A39">
        <w:rPr>
          <w:rFonts w:ascii="Times New Roman" w:hAnsi="Times New Roman"/>
          <w:b w:val="0"/>
          <w:bCs/>
          <w:sz w:val="20"/>
        </w:rPr>
        <w:t>.</w:t>
      </w:r>
    </w:p>
    <w:p w14:paraId="5F4A84E8" w14:textId="10C92B85" w:rsidR="00EA4E1B" w:rsidRPr="00225260" w:rsidRDefault="00EA4E1B" w:rsidP="001A1A39">
      <w:pPr>
        <w:pStyle w:val="BDAbstract"/>
        <w:pBdr>
          <w:bottom w:val="single" w:sz="6" w:space="11" w:color="auto"/>
        </w:pBdr>
        <w:spacing w:before="0" w:after="160" w:line="300" w:lineRule="auto"/>
        <w:rPr>
          <w:rFonts w:ascii="Times New Roman" w:hAnsi="Times New Roman"/>
          <w:b w:val="0"/>
          <w:i/>
          <w:sz w:val="20"/>
          <w:lang w:val="en-GB"/>
        </w:rPr>
      </w:pPr>
      <w:r w:rsidRPr="001A1A39">
        <w:rPr>
          <w:rFonts w:ascii="Times New Roman" w:hAnsi="Times New Roman"/>
          <w:b w:val="0"/>
          <w:bCs/>
          <w:i/>
          <w:sz w:val="20"/>
          <w:lang w:val="en-GB"/>
        </w:rPr>
        <w:t xml:space="preserve">Keywords: </w:t>
      </w:r>
      <w:r w:rsidR="00225260" w:rsidRPr="001A1A39">
        <w:rPr>
          <w:rFonts w:ascii="Times New Roman" w:hAnsi="Times New Roman"/>
          <w:b w:val="0"/>
          <w:bCs/>
          <w:i/>
          <w:sz w:val="20"/>
          <w:lang w:val="en-GB"/>
        </w:rPr>
        <w:t xml:space="preserve">Hydrogen, Photocatalysis, </w:t>
      </w:r>
      <w:r w:rsidR="007A222F" w:rsidRPr="001A1A39">
        <w:rPr>
          <w:rFonts w:ascii="Times New Roman" w:hAnsi="Times New Roman"/>
          <w:b w:val="0"/>
          <w:bCs/>
          <w:i/>
          <w:sz w:val="20"/>
          <w:lang w:val="en-GB"/>
        </w:rPr>
        <w:t>Optimization</w:t>
      </w:r>
      <w:r w:rsidR="00225260" w:rsidRPr="001A1A39">
        <w:rPr>
          <w:rFonts w:ascii="Times New Roman" w:hAnsi="Times New Roman"/>
          <w:b w:val="0"/>
          <w:bCs/>
          <w:i/>
          <w:sz w:val="20"/>
          <w:lang w:val="en-GB"/>
        </w:rPr>
        <w:t>, Copper.</w:t>
      </w:r>
    </w:p>
    <w:bookmarkEnd w:id="1"/>
    <w:p w14:paraId="48D9B0C4" w14:textId="77777777" w:rsidR="00EA4E1B" w:rsidRPr="00225260" w:rsidRDefault="00EA4E1B" w:rsidP="00EA4E1B">
      <w:pPr>
        <w:rPr>
          <w:lang w:val="en-GB"/>
        </w:rPr>
        <w:sectPr w:rsidR="00EA4E1B" w:rsidRPr="00225260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387599F8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4053E656" w14:textId="49E5C977" w:rsidR="00EA4E1B" w:rsidRDefault="008F38C5" w:rsidP="00586E57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Cerca de 120 </w:t>
      </w:r>
      <w:proofErr w:type="spellStart"/>
      <w:r>
        <w:rPr>
          <w:rFonts w:ascii="Times New Roman" w:hAnsi="Times New Roman"/>
          <w:lang w:val="pt-BR"/>
        </w:rPr>
        <w:t>Mt</w:t>
      </w:r>
      <w:proofErr w:type="spellEnd"/>
      <w:r>
        <w:rPr>
          <w:rFonts w:ascii="Times New Roman" w:hAnsi="Times New Roman"/>
          <w:lang w:val="pt-BR"/>
        </w:rPr>
        <w:t xml:space="preserve"> de H</w:t>
      </w:r>
      <w:r w:rsidRPr="00AC2116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são produzidos anualmente a partir da reforma do CH</w:t>
      </w:r>
      <w:r w:rsidRPr="00AC2116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e carvão, apesar </w:t>
      </w:r>
      <w:r w:rsidR="009F55A7">
        <w:rPr>
          <w:rFonts w:ascii="Times New Roman" w:hAnsi="Times New Roman"/>
          <w:lang w:val="pt-BR"/>
        </w:rPr>
        <w:t xml:space="preserve">das tecnologias atualmente disponíveis </w:t>
      </w:r>
      <w:r w:rsidR="00CB092C">
        <w:rPr>
          <w:rFonts w:ascii="Times New Roman" w:hAnsi="Times New Roman"/>
          <w:lang w:val="pt-BR"/>
        </w:rPr>
        <w:t xml:space="preserve">possuírem capacidade </w:t>
      </w:r>
      <w:r>
        <w:rPr>
          <w:rFonts w:ascii="Times New Roman" w:hAnsi="Times New Roman"/>
          <w:lang w:val="pt-BR"/>
        </w:rPr>
        <w:t xml:space="preserve">de </w:t>
      </w:r>
      <w:r w:rsidR="00CB092C">
        <w:rPr>
          <w:rFonts w:ascii="Times New Roman" w:hAnsi="Times New Roman"/>
          <w:lang w:val="pt-BR"/>
        </w:rPr>
        <w:t xml:space="preserve">captura e armazenamento de 830 </w:t>
      </w:r>
      <w:proofErr w:type="spellStart"/>
      <w:r w:rsidR="00CB092C">
        <w:rPr>
          <w:rFonts w:ascii="Times New Roman" w:hAnsi="Times New Roman"/>
          <w:lang w:val="pt-BR"/>
        </w:rPr>
        <w:t>Mt</w:t>
      </w:r>
      <w:proofErr w:type="spellEnd"/>
      <w:r w:rsidR="00CB092C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CO e CO</w:t>
      </w:r>
      <w:r w:rsidRPr="00AC2116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</w:t>
      </w:r>
      <w:r w:rsidR="008C33AE">
        <w:rPr>
          <w:rFonts w:ascii="Times New Roman" w:hAnsi="Times New Roman"/>
          <w:lang w:val="pt-BR"/>
        </w:rPr>
        <w:t xml:space="preserve">anualmente </w:t>
      </w:r>
      <w:r w:rsidR="00CB092C">
        <w:rPr>
          <w:rFonts w:ascii="Times New Roman" w:hAnsi="Times New Roman"/>
          <w:lang w:val="pt-BR"/>
        </w:rPr>
        <w:t xml:space="preserve">emitidas </w:t>
      </w:r>
      <w:r w:rsidR="003B27E7">
        <w:rPr>
          <w:rFonts w:ascii="Times New Roman" w:hAnsi="Times New Roman"/>
          <w:lang w:val="pt-BR"/>
        </w:rPr>
        <w:t>à</w:t>
      </w:r>
      <w:r w:rsidR="008C33AE">
        <w:rPr>
          <w:rFonts w:ascii="Times New Roman" w:hAnsi="Times New Roman"/>
          <w:lang w:val="pt-BR"/>
        </w:rPr>
        <w:t xml:space="preserve"> atmosfera</w:t>
      </w:r>
      <w:r w:rsidR="00BC76E1">
        <w:rPr>
          <w:rFonts w:ascii="Times New Roman" w:hAnsi="Times New Roman"/>
          <w:lang w:val="pt-BR"/>
        </w:rPr>
        <w:t xml:space="preserve"> </w:t>
      </w:r>
      <w:r w:rsidR="00BC76E1" w:rsidRPr="00BC76E1">
        <w:rPr>
          <w:rFonts w:ascii="Times New Roman" w:hAnsi="Times New Roman"/>
          <w:vertAlign w:val="superscript"/>
          <w:lang w:val="pt-BR"/>
        </w:rPr>
        <w:t>(1</w:t>
      </w:r>
      <w:r w:rsidR="00BC76E1">
        <w:rPr>
          <w:rFonts w:ascii="Times New Roman" w:hAnsi="Times New Roman"/>
          <w:vertAlign w:val="superscript"/>
          <w:lang w:val="pt-BR"/>
        </w:rPr>
        <w:t>)</w:t>
      </w:r>
      <w:r w:rsidR="00BC76E1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Novas rotas tecnológicas para obtenção de H</w:t>
      </w:r>
      <w:r w:rsidRPr="00AC2116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s</w:t>
      </w:r>
      <w:r w:rsidR="007B32C0">
        <w:rPr>
          <w:rFonts w:ascii="Times New Roman" w:hAnsi="Times New Roman"/>
          <w:lang w:val="pt-BR"/>
        </w:rPr>
        <w:t>ão</w:t>
      </w:r>
      <w:r>
        <w:rPr>
          <w:rFonts w:ascii="Times New Roman" w:hAnsi="Times New Roman"/>
          <w:lang w:val="pt-BR"/>
        </w:rPr>
        <w:t xml:space="preserve"> estudadas em ordem de </w:t>
      </w:r>
      <w:r w:rsidR="007B32C0">
        <w:rPr>
          <w:rFonts w:ascii="Times New Roman" w:hAnsi="Times New Roman"/>
          <w:lang w:val="pt-BR"/>
        </w:rPr>
        <w:t xml:space="preserve">transformá-lo em </w:t>
      </w:r>
      <w:r w:rsidR="00AC739C">
        <w:rPr>
          <w:rFonts w:ascii="Times New Roman" w:hAnsi="Times New Roman"/>
          <w:lang w:val="pt-BR"/>
        </w:rPr>
        <w:t>uma fonte energética acessível</w:t>
      </w:r>
      <w:r w:rsidR="005565E3">
        <w:rPr>
          <w:rFonts w:ascii="Times New Roman" w:hAnsi="Times New Roman"/>
          <w:lang w:val="pt-BR"/>
        </w:rPr>
        <w:t xml:space="preserve"> e um produto que atenda </w:t>
      </w:r>
      <w:r w:rsidR="00CB092C">
        <w:rPr>
          <w:rFonts w:ascii="Times New Roman" w:hAnsi="Times New Roman"/>
          <w:lang w:val="pt-BR"/>
        </w:rPr>
        <w:t>a</w:t>
      </w:r>
      <w:r w:rsidR="005565E3">
        <w:rPr>
          <w:rFonts w:ascii="Times New Roman" w:hAnsi="Times New Roman"/>
          <w:lang w:val="pt-BR"/>
        </w:rPr>
        <w:t>o setor químico sem comprometer o meio ambiente</w:t>
      </w:r>
      <w:r w:rsidR="003B27E7">
        <w:rPr>
          <w:rFonts w:ascii="Times New Roman" w:hAnsi="Times New Roman"/>
          <w:lang w:val="pt-BR"/>
        </w:rPr>
        <w:t>.  A</w:t>
      </w:r>
      <w:r w:rsidR="007B32C0">
        <w:rPr>
          <w:rFonts w:ascii="Times New Roman" w:hAnsi="Times New Roman"/>
          <w:lang w:val="pt-BR"/>
        </w:rPr>
        <w:t>pesar de</w:t>
      </w:r>
      <w:r w:rsidR="005565E3">
        <w:rPr>
          <w:rFonts w:ascii="Times New Roman" w:hAnsi="Times New Roman"/>
          <w:lang w:val="pt-BR"/>
        </w:rPr>
        <w:t xml:space="preserve"> ser</w:t>
      </w:r>
      <w:r w:rsidR="0065380E">
        <w:rPr>
          <w:rFonts w:ascii="Times New Roman" w:hAnsi="Times New Roman"/>
          <w:lang w:val="pt-BR"/>
        </w:rPr>
        <w:t xml:space="preserve"> considerado</w:t>
      </w:r>
      <w:r w:rsidR="007B32C0">
        <w:rPr>
          <w:rFonts w:ascii="Times New Roman" w:hAnsi="Times New Roman"/>
          <w:lang w:val="pt-BR"/>
        </w:rPr>
        <w:t xml:space="preserve"> promissor, as principais fontes de obtenção de H</w:t>
      </w:r>
      <w:r w:rsidR="007B32C0" w:rsidRPr="00AC2116">
        <w:rPr>
          <w:rFonts w:ascii="Times New Roman" w:hAnsi="Times New Roman"/>
          <w:vertAlign w:val="subscript"/>
          <w:lang w:val="pt-BR"/>
        </w:rPr>
        <w:t>2</w:t>
      </w:r>
      <w:r w:rsidR="00AC739C" w:rsidRPr="00AC739C">
        <w:rPr>
          <w:rFonts w:ascii="Times New Roman" w:hAnsi="Times New Roman"/>
          <w:lang w:val="pt-BR"/>
        </w:rPr>
        <w:t>,</w:t>
      </w:r>
      <w:r w:rsidR="00AC739C">
        <w:rPr>
          <w:rFonts w:ascii="Times New Roman" w:hAnsi="Times New Roman"/>
          <w:lang w:val="pt-BR"/>
        </w:rPr>
        <w:t xml:space="preserve"> </w:t>
      </w:r>
      <w:r w:rsidR="007B32C0">
        <w:rPr>
          <w:rFonts w:ascii="Times New Roman" w:hAnsi="Times New Roman"/>
          <w:lang w:val="pt-BR"/>
        </w:rPr>
        <w:t>que atendem principalmente a indústria</w:t>
      </w:r>
      <w:r w:rsidR="00AC739C">
        <w:rPr>
          <w:rFonts w:ascii="Times New Roman" w:hAnsi="Times New Roman"/>
          <w:lang w:val="pt-BR"/>
        </w:rPr>
        <w:t xml:space="preserve">, </w:t>
      </w:r>
      <w:r w:rsidR="003B27E7">
        <w:rPr>
          <w:rFonts w:ascii="Times New Roman" w:hAnsi="Times New Roman"/>
          <w:lang w:val="pt-BR"/>
        </w:rPr>
        <w:t>são alvo de grande debate devido as demandas de ordem climática</w:t>
      </w:r>
      <w:r w:rsidR="00BC76E1">
        <w:rPr>
          <w:rFonts w:ascii="Times New Roman" w:hAnsi="Times New Roman"/>
          <w:lang w:val="pt-BR"/>
        </w:rPr>
        <w:t xml:space="preserve"> </w:t>
      </w:r>
      <w:r w:rsidR="00BC76E1" w:rsidRPr="00FF4367">
        <w:rPr>
          <w:rFonts w:ascii="Times New Roman" w:hAnsi="Times New Roman"/>
          <w:vertAlign w:val="superscript"/>
          <w:lang w:val="pt-BR"/>
        </w:rPr>
        <w:t>(</w:t>
      </w:r>
      <w:r w:rsidR="00611DE4">
        <w:rPr>
          <w:rFonts w:ascii="Times New Roman" w:hAnsi="Times New Roman"/>
          <w:vertAlign w:val="superscript"/>
          <w:lang w:val="pt-BR"/>
        </w:rPr>
        <w:t>2</w:t>
      </w:r>
      <w:r w:rsidR="00980DD4">
        <w:rPr>
          <w:rFonts w:ascii="Times New Roman" w:hAnsi="Times New Roman"/>
          <w:vertAlign w:val="superscript"/>
          <w:lang w:val="pt-BR"/>
        </w:rPr>
        <w:t>,3</w:t>
      </w:r>
      <w:r w:rsidR="00BC76E1" w:rsidRPr="00FF4367">
        <w:rPr>
          <w:rFonts w:ascii="Times New Roman" w:hAnsi="Times New Roman"/>
          <w:vertAlign w:val="superscript"/>
          <w:lang w:val="pt-BR"/>
        </w:rPr>
        <w:t>)</w:t>
      </w:r>
      <w:r w:rsidR="003B27E7">
        <w:rPr>
          <w:rFonts w:ascii="Times New Roman" w:hAnsi="Times New Roman"/>
          <w:lang w:val="pt-BR"/>
        </w:rPr>
        <w:t>.</w:t>
      </w:r>
    </w:p>
    <w:p w14:paraId="44A9A061" w14:textId="77777777" w:rsidR="001A1A39" w:rsidRDefault="001A1A39" w:rsidP="00EA4E1B">
      <w:pPr>
        <w:pStyle w:val="TAMainText"/>
        <w:rPr>
          <w:rFonts w:ascii="Times New Roman" w:hAnsi="Times New Roman"/>
          <w:lang w:val="pt-BR"/>
        </w:rPr>
      </w:pPr>
    </w:p>
    <w:p w14:paraId="07097EB4" w14:textId="77777777" w:rsidR="001A1A39" w:rsidRDefault="001A1A39" w:rsidP="00EA4E1B">
      <w:pPr>
        <w:pStyle w:val="TAMainText"/>
        <w:rPr>
          <w:rFonts w:ascii="Times New Roman" w:hAnsi="Times New Roman"/>
          <w:lang w:val="pt-BR"/>
        </w:rPr>
      </w:pPr>
    </w:p>
    <w:p w14:paraId="1987F2C2" w14:textId="3A7A75E4" w:rsidR="0065380E" w:rsidRDefault="00F45C84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Com a redução das atividades econômicas em 2020</w:t>
      </w:r>
      <w:r w:rsidR="008A0A4C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="006A1239">
        <w:rPr>
          <w:rFonts w:ascii="Times New Roman" w:hAnsi="Times New Roman"/>
          <w:lang w:val="pt-BR"/>
        </w:rPr>
        <w:t xml:space="preserve">o consumo </w:t>
      </w:r>
      <w:r>
        <w:rPr>
          <w:rFonts w:ascii="Times New Roman" w:hAnsi="Times New Roman"/>
          <w:lang w:val="pt-BR"/>
        </w:rPr>
        <w:t>de H</w:t>
      </w:r>
      <w:r w:rsidRPr="005565E3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foi </w:t>
      </w:r>
      <w:r w:rsidR="008A0A4C">
        <w:rPr>
          <w:rFonts w:ascii="Times New Roman" w:hAnsi="Times New Roman"/>
          <w:lang w:val="pt-BR"/>
        </w:rPr>
        <w:t>arrefecido</w:t>
      </w:r>
      <w:r>
        <w:rPr>
          <w:rFonts w:ascii="Times New Roman" w:hAnsi="Times New Roman"/>
          <w:lang w:val="pt-BR"/>
        </w:rPr>
        <w:t xml:space="preserve">, mas já em 2021 a demanda aumentou para cerca de 94 </w:t>
      </w:r>
      <w:proofErr w:type="spellStart"/>
      <w:r>
        <w:rPr>
          <w:rFonts w:ascii="Times New Roman" w:hAnsi="Times New Roman"/>
          <w:lang w:val="pt-BR"/>
        </w:rPr>
        <w:t>Mt</w:t>
      </w:r>
      <w:proofErr w:type="spellEnd"/>
      <w:r>
        <w:rPr>
          <w:rFonts w:ascii="Times New Roman" w:hAnsi="Times New Roman"/>
          <w:lang w:val="pt-BR"/>
        </w:rPr>
        <w:t xml:space="preserve">, um </w:t>
      </w:r>
      <w:r w:rsidR="0006059B">
        <w:rPr>
          <w:rFonts w:ascii="Times New Roman" w:hAnsi="Times New Roman"/>
          <w:lang w:val="pt-BR"/>
        </w:rPr>
        <w:t>crescimento</w:t>
      </w:r>
      <w:r>
        <w:rPr>
          <w:rFonts w:ascii="Times New Roman" w:hAnsi="Times New Roman"/>
          <w:lang w:val="pt-BR"/>
        </w:rPr>
        <w:t xml:space="preserve"> de cerca de 5% em relação ao ano anterior</w:t>
      </w:r>
      <w:r w:rsidR="00FC0BE6">
        <w:rPr>
          <w:rFonts w:ascii="Times New Roman" w:hAnsi="Times New Roman"/>
          <w:lang w:val="pt-BR"/>
        </w:rPr>
        <w:t>, sendo o setor químico e de refino seu maior consumidor</w:t>
      </w:r>
      <w:r w:rsidR="00BC76E1">
        <w:rPr>
          <w:rFonts w:ascii="Times New Roman" w:hAnsi="Times New Roman"/>
          <w:lang w:val="pt-BR"/>
        </w:rPr>
        <w:t xml:space="preserve"> </w:t>
      </w:r>
      <w:r w:rsidR="00BC76E1" w:rsidRPr="00BC76E1">
        <w:rPr>
          <w:rFonts w:ascii="Times New Roman" w:hAnsi="Times New Roman"/>
          <w:vertAlign w:val="superscript"/>
          <w:lang w:val="pt-BR"/>
        </w:rPr>
        <w:t>(</w:t>
      </w:r>
      <w:r w:rsidR="005951E6">
        <w:rPr>
          <w:rFonts w:ascii="Times New Roman" w:hAnsi="Times New Roman"/>
          <w:vertAlign w:val="superscript"/>
          <w:lang w:val="pt-BR"/>
        </w:rPr>
        <w:t>3)</w:t>
      </w:r>
      <w:r w:rsidR="00FC0BE6" w:rsidRPr="00BC76E1">
        <w:rPr>
          <w:rFonts w:ascii="Times New Roman" w:hAnsi="Times New Roman"/>
          <w:lang w:val="pt-BR"/>
        </w:rPr>
        <w:t>.</w:t>
      </w:r>
    </w:p>
    <w:p w14:paraId="29F0388B" w14:textId="6C4E5C3B" w:rsidR="0006059B" w:rsidRDefault="0006059B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características físico-químicas do H</w:t>
      </w:r>
      <w:r w:rsidRPr="000131B6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o tornam um forte competidor a outras fontes energéticas. </w:t>
      </w:r>
      <w:r w:rsidR="009E66AA">
        <w:rPr>
          <w:rFonts w:ascii="Times New Roman" w:hAnsi="Times New Roman"/>
          <w:lang w:val="pt-BR"/>
        </w:rPr>
        <w:t xml:space="preserve">No entanto, tal processo enfrenta dificuldades principalmente devido a </w:t>
      </w:r>
      <w:r w:rsidR="00AE6D57">
        <w:rPr>
          <w:rFonts w:ascii="Times New Roman" w:hAnsi="Times New Roman"/>
          <w:lang w:val="pt-BR"/>
        </w:rPr>
        <w:t xml:space="preserve">sua </w:t>
      </w:r>
      <w:r w:rsidR="009E66AA">
        <w:rPr>
          <w:rFonts w:ascii="Times New Roman" w:hAnsi="Times New Roman"/>
          <w:lang w:val="pt-BR"/>
        </w:rPr>
        <w:t>disparidade de preços, baixa concorrência e ausência de tecnologias compatíveis</w:t>
      </w:r>
      <w:r w:rsidR="00B71187">
        <w:rPr>
          <w:rFonts w:ascii="Times New Roman" w:hAnsi="Times New Roman"/>
          <w:lang w:val="pt-BR"/>
        </w:rPr>
        <w:t xml:space="preserve"> </w:t>
      </w:r>
      <w:r w:rsidR="000D00DC" w:rsidRPr="000D00DC">
        <w:rPr>
          <w:rFonts w:ascii="Times New Roman" w:hAnsi="Times New Roman"/>
          <w:vertAlign w:val="superscript"/>
          <w:lang w:val="pt-BR"/>
        </w:rPr>
        <w:t>(</w:t>
      </w:r>
      <w:r w:rsidR="003011BD">
        <w:rPr>
          <w:rFonts w:ascii="Times New Roman" w:hAnsi="Times New Roman"/>
          <w:vertAlign w:val="superscript"/>
          <w:lang w:val="pt-BR"/>
        </w:rPr>
        <w:t>4</w:t>
      </w:r>
      <w:r w:rsidR="000D00DC" w:rsidRPr="000D00DC">
        <w:rPr>
          <w:rFonts w:ascii="Times New Roman" w:hAnsi="Times New Roman"/>
          <w:vertAlign w:val="superscript"/>
          <w:lang w:val="pt-BR"/>
        </w:rPr>
        <w:t>)</w:t>
      </w:r>
      <w:r w:rsidR="009E66AA">
        <w:rPr>
          <w:rFonts w:ascii="Times New Roman" w:hAnsi="Times New Roman"/>
          <w:lang w:val="pt-BR"/>
        </w:rPr>
        <w:t>.</w:t>
      </w:r>
    </w:p>
    <w:p w14:paraId="302F201B" w14:textId="219BB3C3" w:rsidR="00AE6D57" w:rsidRDefault="00AE6D57" w:rsidP="00EE274C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Como tema de gestão pública, é esperado que políticas de incentivo auxiliem o setor privado a </w:t>
      </w:r>
      <w:r w:rsidR="00A14433">
        <w:rPr>
          <w:rFonts w:ascii="Times New Roman" w:hAnsi="Times New Roman"/>
          <w:lang w:val="pt-BR"/>
        </w:rPr>
        <w:t>torná-lo</w:t>
      </w:r>
      <w:r>
        <w:rPr>
          <w:rFonts w:ascii="Times New Roman" w:hAnsi="Times New Roman"/>
          <w:lang w:val="pt-BR"/>
        </w:rPr>
        <w:t xml:space="preserve"> mais competitivo</w:t>
      </w:r>
      <w:r w:rsidR="003740C4">
        <w:rPr>
          <w:rFonts w:ascii="Times New Roman" w:hAnsi="Times New Roman"/>
          <w:lang w:val="pt-BR"/>
        </w:rPr>
        <w:t xml:space="preserve">, a partir de </w:t>
      </w:r>
      <w:r w:rsidR="00191715">
        <w:rPr>
          <w:rFonts w:ascii="Times New Roman" w:hAnsi="Times New Roman"/>
          <w:lang w:val="pt-BR"/>
        </w:rPr>
        <w:t>c</w:t>
      </w:r>
      <w:r w:rsidR="003740C4">
        <w:rPr>
          <w:rFonts w:ascii="Times New Roman" w:hAnsi="Times New Roman"/>
          <w:lang w:val="pt-BR"/>
        </w:rPr>
        <w:t>ertificações por redução de CO</w:t>
      </w:r>
      <w:r w:rsidR="003740C4" w:rsidRPr="00191715">
        <w:rPr>
          <w:rFonts w:ascii="Times New Roman" w:hAnsi="Times New Roman"/>
          <w:vertAlign w:val="subscript"/>
          <w:lang w:val="pt-BR"/>
        </w:rPr>
        <w:t>2</w:t>
      </w:r>
      <w:r w:rsidR="003740C4">
        <w:rPr>
          <w:rFonts w:ascii="Times New Roman" w:hAnsi="Times New Roman"/>
          <w:lang w:val="pt-BR"/>
        </w:rPr>
        <w:t>, desenvolvimento de um eixo tecnológico a base de H</w:t>
      </w:r>
      <w:r w:rsidR="003740C4" w:rsidRPr="00191715">
        <w:rPr>
          <w:rFonts w:ascii="Times New Roman" w:hAnsi="Times New Roman"/>
          <w:vertAlign w:val="subscript"/>
          <w:lang w:val="pt-BR"/>
        </w:rPr>
        <w:t>2</w:t>
      </w:r>
      <w:r w:rsidR="003740C4">
        <w:rPr>
          <w:rFonts w:ascii="Times New Roman" w:hAnsi="Times New Roman"/>
          <w:lang w:val="pt-BR"/>
        </w:rPr>
        <w:t xml:space="preserve"> e redução de riscos de investimento na sua implementação</w:t>
      </w:r>
      <w:r w:rsidR="00B85815">
        <w:rPr>
          <w:rFonts w:ascii="Times New Roman" w:hAnsi="Times New Roman"/>
          <w:lang w:val="pt-BR"/>
        </w:rPr>
        <w:t xml:space="preserve"> </w:t>
      </w:r>
      <w:r w:rsidR="00DF2262">
        <w:rPr>
          <w:rFonts w:ascii="Times New Roman" w:hAnsi="Times New Roman"/>
          <w:vertAlign w:val="superscript"/>
          <w:lang w:val="pt-BR"/>
        </w:rPr>
        <w:t>(</w:t>
      </w:r>
      <w:r w:rsidR="00BA5CF9">
        <w:rPr>
          <w:rFonts w:ascii="Times New Roman" w:hAnsi="Times New Roman"/>
          <w:vertAlign w:val="superscript"/>
          <w:lang w:val="pt-BR"/>
        </w:rPr>
        <w:t>5</w:t>
      </w:r>
      <w:r w:rsidR="00DF2262">
        <w:rPr>
          <w:rFonts w:ascii="Times New Roman" w:hAnsi="Times New Roman"/>
          <w:vertAlign w:val="superscript"/>
          <w:lang w:val="pt-BR"/>
        </w:rPr>
        <w:t>)</w:t>
      </w:r>
      <w:r w:rsidR="003740C4">
        <w:rPr>
          <w:rFonts w:ascii="Times New Roman" w:hAnsi="Times New Roman"/>
          <w:lang w:val="pt-BR"/>
        </w:rPr>
        <w:t>.</w:t>
      </w:r>
    </w:p>
    <w:p w14:paraId="10E1D4BD" w14:textId="0CD185A9" w:rsidR="00D04107" w:rsidRDefault="00A8412A" w:rsidP="002521A4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A </w:t>
      </w:r>
      <w:proofErr w:type="spellStart"/>
      <w:r w:rsidR="00E574AC">
        <w:rPr>
          <w:rFonts w:ascii="Times New Roman" w:hAnsi="Times New Roman"/>
          <w:lang w:val="pt-BR"/>
        </w:rPr>
        <w:t>fotocatálise</w:t>
      </w:r>
      <w:proofErr w:type="spellEnd"/>
      <w:r w:rsidR="00E574AC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é uma técnica conhecida e aplicável </w:t>
      </w:r>
      <w:r w:rsidR="00E574AC">
        <w:rPr>
          <w:rFonts w:ascii="Times New Roman" w:hAnsi="Times New Roman"/>
          <w:lang w:val="pt-BR"/>
        </w:rPr>
        <w:t xml:space="preserve">à </w:t>
      </w:r>
      <w:r>
        <w:rPr>
          <w:rFonts w:ascii="Times New Roman" w:hAnsi="Times New Roman"/>
          <w:lang w:val="pt-BR"/>
        </w:rPr>
        <w:t>produção de H</w:t>
      </w:r>
      <w:r w:rsidRPr="002F7BE9">
        <w:rPr>
          <w:rFonts w:ascii="Times New Roman" w:hAnsi="Times New Roman"/>
          <w:vertAlign w:val="subscript"/>
          <w:lang w:val="pt-BR"/>
        </w:rPr>
        <w:t>2</w:t>
      </w:r>
      <w:r w:rsidR="00E574AC">
        <w:rPr>
          <w:rFonts w:ascii="Times New Roman" w:hAnsi="Times New Roman"/>
          <w:lang w:val="pt-BR"/>
        </w:rPr>
        <w:t>, baseando-se</w:t>
      </w:r>
      <w:r w:rsidR="008716B4">
        <w:rPr>
          <w:rFonts w:ascii="Times New Roman" w:hAnsi="Times New Roman"/>
          <w:lang w:val="pt-BR"/>
        </w:rPr>
        <w:t xml:space="preserve"> na </w:t>
      </w:r>
      <w:r w:rsidR="002F7BE9">
        <w:rPr>
          <w:rFonts w:ascii="Times New Roman" w:hAnsi="Times New Roman"/>
          <w:lang w:val="pt-BR"/>
        </w:rPr>
        <w:t>separação</w:t>
      </w:r>
      <w:r w:rsidR="008716B4">
        <w:rPr>
          <w:rFonts w:ascii="Times New Roman" w:hAnsi="Times New Roman"/>
          <w:lang w:val="pt-BR"/>
        </w:rPr>
        <w:t xml:space="preserve"> de H</w:t>
      </w:r>
      <w:r w:rsidR="008716B4" w:rsidRPr="002F7BE9">
        <w:rPr>
          <w:rFonts w:ascii="Times New Roman" w:hAnsi="Times New Roman"/>
          <w:vertAlign w:val="subscript"/>
          <w:lang w:val="pt-BR"/>
        </w:rPr>
        <w:t>2</w:t>
      </w:r>
      <w:r w:rsidR="008716B4">
        <w:rPr>
          <w:rFonts w:ascii="Times New Roman" w:hAnsi="Times New Roman"/>
          <w:lang w:val="pt-BR"/>
        </w:rPr>
        <w:t>O e valoração</w:t>
      </w:r>
      <w:r w:rsidR="00E574AC">
        <w:rPr>
          <w:rFonts w:ascii="Times New Roman" w:hAnsi="Times New Roman"/>
          <w:lang w:val="pt-BR"/>
        </w:rPr>
        <w:t xml:space="preserve"> </w:t>
      </w:r>
      <w:r w:rsidR="008716B4">
        <w:rPr>
          <w:rFonts w:ascii="Times New Roman" w:hAnsi="Times New Roman"/>
          <w:lang w:val="pt-BR"/>
        </w:rPr>
        <w:t>de um reagente de fácil oxidação a partir da atividade catalítica de semicondutores</w:t>
      </w:r>
      <w:r w:rsidR="00BC1A99">
        <w:rPr>
          <w:rFonts w:ascii="Times New Roman" w:hAnsi="Times New Roman"/>
          <w:lang w:val="pt-BR"/>
        </w:rPr>
        <w:t xml:space="preserve"> sob irradiação</w:t>
      </w:r>
      <w:r w:rsidR="008716B4">
        <w:rPr>
          <w:rFonts w:ascii="Times New Roman" w:hAnsi="Times New Roman"/>
          <w:lang w:val="pt-BR"/>
        </w:rPr>
        <w:t>, como o TiO</w:t>
      </w:r>
      <w:r w:rsidR="008716B4" w:rsidRPr="00BF755D">
        <w:rPr>
          <w:rFonts w:ascii="Times New Roman" w:hAnsi="Times New Roman"/>
          <w:vertAlign w:val="subscript"/>
          <w:lang w:val="pt-BR"/>
        </w:rPr>
        <w:t>2</w:t>
      </w:r>
      <w:r w:rsidR="00E51DE1">
        <w:rPr>
          <w:rFonts w:ascii="Times New Roman" w:hAnsi="Times New Roman"/>
          <w:lang w:val="pt-BR"/>
        </w:rPr>
        <w:t>.</w:t>
      </w:r>
    </w:p>
    <w:p w14:paraId="71774F9E" w14:textId="25B5C9AB" w:rsidR="002F7BE9" w:rsidRDefault="002F7BE9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glicerol é um </w:t>
      </w:r>
      <w:r w:rsidR="00654C94">
        <w:rPr>
          <w:rFonts w:ascii="Times New Roman" w:hAnsi="Times New Roman"/>
          <w:lang w:val="pt-BR"/>
        </w:rPr>
        <w:t>poli</w:t>
      </w:r>
      <w:r>
        <w:rPr>
          <w:rFonts w:ascii="Times New Roman" w:hAnsi="Times New Roman"/>
          <w:lang w:val="pt-BR"/>
        </w:rPr>
        <w:t>álcool de fácil oxidação</w:t>
      </w:r>
      <w:r w:rsidR="00A656FE">
        <w:rPr>
          <w:rFonts w:ascii="Times New Roman" w:hAnsi="Times New Roman"/>
          <w:lang w:val="pt-BR"/>
        </w:rPr>
        <w:t>, atualmente considerado um rejeito de biorefinarias,</w:t>
      </w:r>
      <w:r>
        <w:rPr>
          <w:rFonts w:ascii="Times New Roman" w:hAnsi="Times New Roman"/>
          <w:lang w:val="pt-BR"/>
        </w:rPr>
        <w:t xml:space="preserve"> capaz de aumentar a atividade de um semicondutor na produção fotocatalítica de H</w:t>
      </w:r>
      <w:r w:rsidRPr="002F7BE9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.</w:t>
      </w:r>
      <w:r w:rsidR="00654C94">
        <w:rPr>
          <w:rFonts w:ascii="Times New Roman" w:hAnsi="Times New Roman"/>
          <w:lang w:val="pt-BR"/>
        </w:rPr>
        <w:t xml:space="preserve"> </w:t>
      </w:r>
      <w:r w:rsidR="001A0C31">
        <w:rPr>
          <w:rFonts w:ascii="Times New Roman" w:hAnsi="Times New Roman"/>
          <w:lang w:val="pt-BR"/>
        </w:rPr>
        <w:t>Sua  polaridade, potencial redox e estrutura molecular o torna suscetível a atividade fotocatalítica</w:t>
      </w:r>
      <w:r w:rsidR="00BC1A99">
        <w:rPr>
          <w:rFonts w:ascii="Times New Roman" w:hAnsi="Times New Roman"/>
          <w:lang w:val="pt-BR"/>
        </w:rPr>
        <w:t>,</w:t>
      </w:r>
      <w:r w:rsidR="001A0C31">
        <w:rPr>
          <w:rFonts w:ascii="Times New Roman" w:hAnsi="Times New Roman"/>
          <w:lang w:val="pt-BR"/>
        </w:rPr>
        <w:t xml:space="preserve"> e</w:t>
      </w:r>
      <w:r>
        <w:rPr>
          <w:rFonts w:ascii="Times New Roman" w:hAnsi="Times New Roman"/>
          <w:lang w:val="pt-BR"/>
        </w:rPr>
        <w:t xml:space="preserve"> </w:t>
      </w:r>
      <w:r w:rsidR="001A0C31">
        <w:rPr>
          <w:rFonts w:ascii="Times New Roman" w:hAnsi="Times New Roman"/>
          <w:lang w:val="pt-BR"/>
        </w:rPr>
        <w:t>d</w:t>
      </w:r>
      <w:r>
        <w:rPr>
          <w:rFonts w:ascii="Times New Roman" w:hAnsi="Times New Roman"/>
          <w:lang w:val="pt-BR"/>
        </w:rPr>
        <w:t>entre os coprodutos oriundos de sua conversão</w:t>
      </w:r>
      <w:r w:rsidR="00823ACE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desta</w:t>
      </w:r>
      <w:r w:rsidR="00823ACE">
        <w:rPr>
          <w:rFonts w:ascii="Times New Roman" w:hAnsi="Times New Roman"/>
          <w:lang w:val="pt-BR"/>
        </w:rPr>
        <w:t>cam-se</w:t>
      </w:r>
      <w:r>
        <w:rPr>
          <w:rFonts w:ascii="Times New Roman" w:hAnsi="Times New Roman"/>
          <w:lang w:val="pt-BR"/>
        </w:rPr>
        <w:t xml:space="preserve"> o </w:t>
      </w:r>
      <w:r w:rsidR="00823ACE">
        <w:rPr>
          <w:rFonts w:ascii="Times New Roman" w:hAnsi="Times New Roman"/>
          <w:lang w:val="pt-BR"/>
        </w:rPr>
        <w:t xml:space="preserve">gliceraldeído, </w:t>
      </w:r>
      <w:r>
        <w:rPr>
          <w:rFonts w:ascii="Times New Roman" w:hAnsi="Times New Roman"/>
          <w:lang w:val="pt-BR"/>
        </w:rPr>
        <w:t>ácido glicólico e dihidroxiacetona</w:t>
      </w:r>
      <w:r w:rsidR="00A1289F">
        <w:rPr>
          <w:rFonts w:ascii="Times New Roman" w:hAnsi="Times New Roman"/>
          <w:vertAlign w:val="superscript"/>
          <w:lang w:val="pt-BR"/>
        </w:rPr>
        <w:t>(</w:t>
      </w:r>
      <w:r w:rsidR="00D306B7">
        <w:rPr>
          <w:rFonts w:ascii="Times New Roman" w:hAnsi="Times New Roman"/>
          <w:vertAlign w:val="superscript"/>
          <w:lang w:val="pt-BR"/>
        </w:rPr>
        <w:t>6,7</w:t>
      </w:r>
      <w:r w:rsidR="00A1289F">
        <w:rPr>
          <w:rFonts w:ascii="Times New Roman" w:hAnsi="Times New Roman"/>
          <w:vertAlign w:val="superscript"/>
          <w:lang w:val="pt-BR"/>
        </w:rPr>
        <w:t>)</w:t>
      </w:r>
      <w:r>
        <w:rPr>
          <w:rFonts w:ascii="Times New Roman" w:hAnsi="Times New Roman"/>
          <w:lang w:val="pt-BR"/>
        </w:rPr>
        <w:t>.</w:t>
      </w:r>
    </w:p>
    <w:p w14:paraId="2DD3272D" w14:textId="2BBA0F2E" w:rsidR="00E02FEB" w:rsidRDefault="00EE274C" w:rsidP="00EE274C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Apesar </w:t>
      </w:r>
      <w:r w:rsidR="00BC1A99">
        <w:rPr>
          <w:rFonts w:ascii="Times New Roman" w:hAnsi="Times New Roman"/>
          <w:lang w:val="pt-BR"/>
        </w:rPr>
        <w:t xml:space="preserve">do </w:t>
      </w:r>
      <w:r>
        <w:rPr>
          <w:rFonts w:ascii="Times New Roman" w:hAnsi="Times New Roman"/>
          <w:lang w:val="pt-BR"/>
        </w:rPr>
        <w:t>TiO</w:t>
      </w:r>
      <w:r w:rsidRPr="00EE274C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ser proeminente em aplicações fotocatalíticas e apresentar características cristalinas </w:t>
      </w:r>
      <w:r w:rsidR="00BC1A99">
        <w:rPr>
          <w:rFonts w:ascii="Times New Roman" w:hAnsi="Times New Roman"/>
          <w:lang w:val="pt-BR"/>
        </w:rPr>
        <w:t xml:space="preserve">favoráveis à </w:t>
      </w:r>
      <w:r>
        <w:rPr>
          <w:rFonts w:ascii="Times New Roman" w:hAnsi="Times New Roman"/>
          <w:lang w:val="pt-BR"/>
        </w:rPr>
        <w:t>evolução de H</w:t>
      </w:r>
      <w:r w:rsidRPr="00EE274C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, o semicondutor ainda apresenta baixa eficiência. Dentre as dificuldades de sua aplicação estão o </w:t>
      </w:r>
      <w:r w:rsidR="00952E1A">
        <w:rPr>
          <w:rFonts w:ascii="Times New Roman" w:hAnsi="Times New Roman"/>
          <w:lang w:val="pt-BR"/>
        </w:rPr>
        <w:t>seu</w:t>
      </w:r>
      <w:r>
        <w:rPr>
          <w:rFonts w:ascii="Times New Roman" w:hAnsi="Times New Roman"/>
          <w:lang w:val="pt-BR"/>
        </w:rPr>
        <w:t xml:space="preserve"> valor do </w:t>
      </w:r>
      <w:r w:rsidRPr="0037725B">
        <w:rPr>
          <w:rFonts w:ascii="Times New Roman" w:hAnsi="Times New Roman"/>
          <w:i/>
          <w:iCs/>
          <w:lang w:val="pt-BR"/>
        </w:rPr>
        <w:t>band-gap</w:t>
      </w:r>
      <w:r w:rsidR="00952E1A">
        <w:rPr>
          <w:rFonts w:ascii="Times New Roman" w:hAnsi="Times New Roman"/>
          <w:lang w:val="pt-BR"/>
        </w:rPr>
        <w:t>, cujo limite de banda está no espectro de luz UV</w:t>
      </w:r>
      <w:r w:rsidR="00BC1A99">
        <w:rPr>
          <w:rFonts w:ascii="Times New Roman" w:hAnsi="Times New Roman"/>
          <w:lang w:val="pt-BR"/>
        </w:rPr>
        <w:t xml:space="preserve"> (3,32 </w:t>
      </w:r>
      <w:r w:rsidR="00BC1A99" w:rsidRPr="000E7862">
        <w:rPr>
          <w:rFonts w:ascii="Times New Roman" w:hAnsi="Times New Roman"/>
          <w:lang w:val="pt-BR"/>
        </w:rPr>
        <w:t>eV</w:t>
      </w:r>
      <w:r w:rsidR="00BC1A99">
        <w:rPr>
          <w:rFonts w:ascii="Times New Roman" w:hAnsi="Times New Roman"/>
          <w:lang w:val="pt-BR"/>
        </w:rPr>
        <w:t>)</w:t>
      </w:r>
      <w:r w:rsidR="00952E1A">
        <w:rPr>
          <w:rFonts w:ascii="Times New Roman" w:hAnsi="Times New Roman"/>
          <w:lang w:val="pt-BR"/>
        </w:rPr>
        <w:t xml:space="preserve">, </w:t>
      </w:r>
      <w:r w:rsidR="00BC1A99">
        <w:rPr>
          <w:rFonts w:ascii="Times New Roman" w:hAnsi="Times New Roman"/>
          <w:lang w:val="pt-BR"/>
        </w:rPr>
        <w:t xml:space="preserve">além da </w:t>
      </w:r>
      <w:r>
        <w:rPr>
          <w:rFonts w:ascii="Times New Roman" w:hAnsi="Times New Roman"/>
          <w:lang w:val="pt-BR"/>
        </w:rPr>
        <w:t>rápida recombinação do par elétron</w:t>
      </w:r>
      <w:r w:rsidR="006F3D6F">
        <w:rPr>
          <w:rFonts w:ascii="Times New Roman" w:hAnsi="Times New Roman"/>
          <w:lang w:val="pt-BR"/>
        </w:rPr>
        <w:t>/</w:t>
      </w:r>
      <w:r>
        <w:rPr>
          <w:rFonts w:ascii="Times New Roman" w:hAnsi="Times New Roman"/>
          <w:lang w:val="pt-BR"/>
        </w:rPr>
        <w:t>lacuna (</w:t>
      </w:r>
      <w:r w:rsidRPr="00EE274C">
        <w:rPr>
          <w:rFonts w:ascii="Times New Roman" w:hAnsi="Times New Roman"/>
          <w:i/>
          <w:iCs/>
          <w:lang w:val="pt-BR"/>
        </w:rPr>
        <w:t>e</w:t>
      </w:r>
      <w:r w:rsidR="003F326F" w:rsidRPr="003F326F">
        <w:rPr>
          <w:rFonts w:ascii="Times New Roman" w:hAnsi="Times New Roman"/>
          <w:i/>
          <w:iCs/>
          <w:vertAlign w:val="superscript"/>
          <w:lang w:val="pt-BR"/>
        </w:rPr>
        <w:t>–</w:t>
      </w:r>
      <w:r w:rsidRPr="001A1A39">
        <w:rPr>
          <w:rFonts w:ascii="Times New Roman" w:hAnsi="Times New Roman"/>
          <w:lang w:val="pt-BR"/>
        </w:rPr>
        <w:t>/</w:t>
      </w:r>
      <w:r w:rsidRPr="00EE274C">
        <w:rPr>
          <w:rFonts w:ascii="Times New Roman" w:hAnsi="Times New Roman"/>
          <w:i/>
          <w:iCs/>
          <w:lang w:val="pt-BR"/>
        </w:rPr>
        <w:t>h</w:t>
      </w:r>
      <w:r w:rsidRPr="00EE274C">
        <w:rPr>
          <w:rFonts w:ascii="Times New Roman" w:hAnsi="Times New Roman"/>
          <w:i/>
          <w:iCs/>
          <w:vertAlign w:val="superscript"/>
          <w:lang w:val="pt-BR"/>
        </w:rPr>
        <w:t>+</w:t>
      </w:r>
      <w:r w:rsidRPr="002944BC">
        <w:rPr>
          <w:rFonts w:ascii="Times New Roman" w:hAnsi="Times New Roman"/>
          <w:lang w:val="pt-BR"/>
        </w:rPr>
        <w:t>)</w:t>
      </w:r>
      <w:r w:rsidR="002944BC">
        <w:rPr>
          <w:rFonts w:ascii="Times New Roman" w:hAnsi="Times New Roman"/>
          <w:lang w:val="pt-BR"/>
        </w:rPr>
        <w:t>.</w:t>
      </w:r>
    </w:p>
    <w:p w14:paraId="34EEBB40" w14:textId="39915688" w:rsidR="003F326F" w:rsidRDefault="001C2052" w:rsidP="003F326F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color w:val="000000" w:themeColor="text1"/>
          <w:lang w:val="pt-BR"/>
        </w:rPr>
        <w:t>Tais obstáculos</w:t>
      </w:r>
      <w:r w:rsidR="00E02FEB" w:rsidRPr="00473B8E">
        <w:rPr>
          <w:rFonts w:ascii="Times New Roman" w:hAnsi="Times New Roman"/>
          <w:color w:val="000000" w:themeColor="text1"/>
          <w:lang w:val="pt-BR"/>
        </w:rPr>
        <w:t xml:space="preserve"> </w:t>
      </w:r>
      <w:r w:rsidR="00E02FEB">
        <w:rPr>
          <w:rFonts w:ascii="Times New Roman" w:hAnsi="Times New Roman"/>
          <w:lang w:val="pt-BR"/>
        </w:rPr>
        <w:t>têm impacto significativo sobre a produção de H</w:t>
      </w:r>
      <w:r w:rsidR="00E02FEB" w:rsidRPr="00606C9A">
        <w:rPr>
          <w:rFonts w:ascii="Times New Roman" w:hAnsi="Times New Roman"/>
          <w:vertAlign w:val="subscript"/>
          <w:lang w:val="pt-BR"/>
        </w:rPr>
        <w:t>2</w:t>
      </w:r>
      <w:r w:rsidR="00E02FEB">
        <w:rPr>
          <w:rFonts w:ascii="Times New Roman" w:hAnsi="Times New Roman"/>
          <w:lang w:val="pt-BR"/>
        </w:rPr>
        <w:t xml:space="preserve">. </w:t>
      </w:r>
      <w:r w:rsidR="001A3CFD">
        <w:rPr>
          <w:rFonts w:ascii="Times New Roman" w:hAnsi="Times New Roman"/>
          <w:lang w:val="pt-BR"/>
        </w:rPr>
        <w:t xml:space="preserve">A </w:t>
      </w:r>
      <w:r w:rsidR="00F97118">
        <w:rPr>
          <w:rFonts w:ascii="Times New Roman" w:hAnsi="Times New Roman"/>
          <w:lang w:val="pt-BR"/>
        </w:rPr>
        <w:t>fotocatalise</w:t>
      </w:r>
      <w:r>
        <w:rPr>
          <w:rFonts w:ascii="Times New Roman" w:hAnsi="Times New Roman"/>
          <w:lang w:val="pt-BR"/>
        </w:rPr>
        <w:t xml:space="preserve"> heterogênea, </w:t>
      </w:r>
      <w:r w:rsidR="001A3CFD">
        <w:rPr>
          <w:rFonts w:ascii="Times New Roman" w:hAnsi="Times New Roman"/>
          <w:lang w:val="pt-BR"/>
        </w:rPr>
        <w:t>c</w:t>
      </w:r>
      <w:r w:rsidR="00E02FEB">
        <w:rPr>
          <w:rFonts w:ascii="Times New Roman" w:hAnsi="Times New Roman"/>
          <w:lang w:val="pt-BR"/>
        </w:rPr>
        <w:t>omo um fenômeno de superfície</w:t>
      </w:r>
      <w:r>
        <w:rPr>
          <w:rFonts w:ascii="Times New Roman" w:hAnsi="Times New Roman"/>
          <w:lang w:val="pt-BR"/>
        </w:rPr>
        <w:t xml:space="preserve">, </w:t>
      </w:r>
      <w:r w:rsidR="001A3CFD">
        <w:rPr>
          <w:rFonts w:ascii="Times New Roman" w:hAnsi="Times New Roman"/>
          <w:lang w:val="pt-BR"/>
        </w:rPr>
        <w:t>depende das</w:t>
      </w:r>
      <w:r w:rsidR="002B7DD9">
        <w:rPr>
          <w:rFonts w:ascii="Times New Roman" w:hAnsi="Times New Roman"/>
          <w:lang w:val="pt-BR"/>
        </w:rPr>
        <w:t xml:space="preserve"> características texturais</w:t>
      </w:r>
      <w:r w:rsidR="0076050A">
        <w:rPr>
          <w:rFonts w:ascii="Times New Roman" w:hAnsi="Times New Roman"/>
          <w:lang w:val="pt-BR"/>
        </w:rPr>
        <w:t xml:space="preserve"> dos catalisadores</w:t>
      </w:r>
      <w:r w:rsidR="000E36E3">
        <w:rPr>
          <w:rFonts w:ascii="Times New Roman" w:hAnsi="Times New Roman"/>
          <w:lang w:val="pt-BR"/>
        </w:rPr>
        <w:t>, que</w:t>
      </w:r>
      <w:r w:rsidR="00036A7D">
        <w:rPr>
          <w:rFonts w:ascii="Times New Roman" w:hAnsi="Times New Roman"/>
          <w:lang w:val="pt-BR"/>
        </w:rPr>
        <w:t xml:space="preserve"> contribuem com a absorção da luz e transporte de cargas.</w:t>
      </w:r>
      <w:r w:rsidR="007126FE">
        <w:rPr>
          <w:rFonts w:ascii="Times New Roman" w:hAnsi="Times New Roman"/>
          <w:lang w:val="pt-BR"/>
        </w:rPr>
        <w:t xml:space="preserve"> </w:t>
      </w:r>
      <w:r w:rsidR="001F17DE">
        <w:rPr>
          <w:rFonts w:ascii="Times New Roman" w:hAnsi="Times New Roman"/>
          <w:lang w:val="pt-BR"/>
        </w:rPr>
        <w:t xml:space="preserve">A promoção de elétrons da camada de valência (CV) para a de condução (CC) </w:t>
      </w:r>
      <w:r w:rsidR="003F3CFD">
        <w:rPr>
          <w:rFonts w:ascii="Times New Roman" w:hAnsi="Times New Roman"/>
          <w:lang w:val="pt-BR"/>
        </w:rPr>
        <w:t>e subsequente redução dos íons H</w:t>
      </w:r>
      <w:r w:rsidR="003F3CFD" w:rsidRPr="00E22BB1">
        <w:rPr>
          <w:rFonts w:ascii="Times New Roman" w:hAnsi="Times New Roman"/>
          <w:vertAlign w:val="superscript"/>
          <w:lang w:val="pt-BR"/>
        </w:rPr>
        <w:t>+</w:t>
      </w:r>
      <w:r>
        <w:rPr>
          <w:rFonts w:ascii="Times New Roman" w:hAnsi="Times New Roman"/>
          <w:lang w:val="pt-BR"/>
        </w:rPr>
        <w:t xml:space="preserve"> para H</w:t>
      </w:r>
      <w:r w:rsidRPr="002521A4">
        <w:rPr>
          <w:rFonts w:ascii="Times New Roman" w:hAnsi="Times New Roman"/>
          <w:vertAlign w:val="subscript"/>
          <w:lang w:val="pt-BR"/>
        </w:rPr>
        <w:t>2</w:t>
      </w:r>
      <w:r w:rsidR="000E245A">
        <w:rPr>
          <w:rFonts w:ascii="Times New Roman" w:hAnsi="Times New Roman"/>
          <w:lang w:val="pt-BR"/>
        </w:rPr>
        <w:t xml:space="preserve"> </w:t>
      </w:r>
      <w:r w:rsidR="003F3CFD">
        <w:rPr>
          <w:rFonts w:ascii="Times New Roman" w:hAnsi="Times New Roman"/>
          <w:lang w:val="pt-BR"/>
        </w:rPr>
        <w:t xml:space="preserve"> dependem substancialmente dos sítios</w:t>
      </w:r>
      <w:r w:rsidR="00414C43">
        <w:rPr>
          <w:rFonts w:ascii="Times New Roman" w:hAnsi="Times New Roman"/>
          <w:lang w:val="pt-BR"/>
        </w:rPr>
        <w:t xml:space="preserve"> ativos para </w:t>
      </w:r>
      <w:r w:rsidR="00A75E52">
        <w:rPr>
          <w:rFonts w:ascii="Times New Roman" w:hAnsi="Times New Roman"/>
          <w:lang w:val="pt-BR"/>
        </w:rPr>
        <w:t>evolução</w:t>
      </w:r>
      <w:r w:rsidR="00414C43">
        <w:rPr>
          <w:rFonts w:ascii="Times New Roman" w:hAnsi="Times New Roman"/>
          <w:lang w:val="pt-BR"/>
        </w:rPr>
        <w:t xml:space="preserve"> de H</w:t>
      </w:r>
      <w:r w:rsidR="00E22BB1" w:rsidRPr="00E22BB1">
        <w:rPr>
          <w:rFonts w:ascii="Times New Roman" w:hAnsi="Times New Roman"/>
          <w:vertAlign w:val="subscript"/>
          <w:lang w:val="pt-BR"/>
        </w:rPr>
        <w:t>2</w:t>
      </w:r>
      <w:r w:rsidR="00E22BB1">
        <w:rPr>
          <w:rFonts w:ascii="Times New Roman" w:hAnsi="Times New Roman"/>
          <w:lang w:val="pt-BR"/>
        </w:rPr>
        <w:t>.</w:t>
      </w:r>
      <w:r w:rsidR="003F326F">
        <w:rPr>
          <w:rFonts w:ascii="Times New Roman" w:hAnsi="Times New Roman"/>
          <w:lang w:val="pt-BR"/>
        </w:rPr>
        <w:t xml:space="preserve"> </w:t>
      </w:r>
    </w:p>
    <w:p w14:paraId="2FEFE513" w14:textId="16405E65" w:rsidR="003F326F" w:rsidRDefault="000E245A" w:rsidP="003F326F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Estes sítios </w:t>
      </w:r>
      <w:r w:rsidR="003F326F">
        <w:rPr>
          <w:rFonts w:ascii="Times New Roman" w:hAnsi="Times New Roman"/>
          <w:lang w:val="pt-BR"/>
        </w:rPr>
        <w:t xml:space="preserve">atuam como escoadores de </w:t>
      </w:r>
      <w:r w:rsidR="003F326F" w:rsidRPr="003F326F">
        <w:rPr>
          <w:rFonts w:ascii="Times New Roman" w:hAnsi="Times New Roman"/>
          <w:i/>
          <w:iCs/>
          <w:lang w:val="pt-BR"/>
        </w:rPr>
        <w:t>e</w:t>
      </w:r>
      <w:r w:rsidR="003F326F" w:rsidRPr="003F326F">
        <w:rPr>
          <w:rFonts w:ascii="Times New Roman" w:hAnsi="Times New Roman"/>
          <w:i/>
          <w:iCs/>
          <w:vertAlign w:val="superscript"/>
          <w:lang w:val="pt-BR"/>
        </w:rPr>
        <w:t>–</w:t>
      </w:r>
      <w:r w:rsidR="00BE41BC">
        <w:rPr>
          <w:rFonts w:ascii="Times New Roman" w:hAnsi="Times New Roman"/>
          <w:lang w:val="pt-BR"/>
        </w:rPr>
        <w:t xml:space="preserve"> e quando os íons H</w:t>
      </w:r>
      <w:r w:rsidR="00BE41BC" w:rsidRPr="002521A4">
        <w:rPr>
          <w:rFonts w:ascii="Times New Roman" w:hAnsi="Times New Roman"/>
          <w:vertAlign w:val="superscript"/>
          <w:lang w:val="pt-BR"/>
        </w:rPr>
        <w:t>+</w:t>
      </w:r>
      <w:r w:rsidR="00BE41BC">
        <w:rPr>
          <w:rFonts w:ascii="Times New Roman" w:hAnsi="Times New Roman"/>
          <w:lang w:val="pt-BR"/>
        </w:rPr>
        <w:t xml:space="preserve"> estão adsorvidos sobre a superfície do catalisador, o elétron excitado o reduz a H</w:t>
      </w:r>
      <w:r w:rsidR="00BE41BC" w:rsidRPr="00410C10">
        <w:rPr>
          <w:rFonts w:ascii="Times New Roman" w:hAnsi="Times New Roman"/>
          <w:vertAlign w:val="subscript"/>
          <w:lang w:val="pt-BR"/>
        </w:rPr>
        <w:t>2</w:t>
      </w:r>
      <w:r w:rsidR="00BE41BC">
        <w:rPr>
          <w:rFonts w:ascii="Times New Roman" w:hAnsi="Times New Roman"/>
          <w:lang w:val="pt-BR"/>
        </w:rPr>
        <w:t>, em contrapartida o glicerol é oxidado pela espécie oxidante (</w:t>
      </w:r>
      <w:r w:rsidR="00BE41BC" w:rsidRPr="00BE41BC">
        <w:rPr>
          <w:rFonts w:ascii="Times New Roman" w:hAnsi="Times New Roman"/>
          <w:i/>
          <w:iCs/>
          <w:lang w:val="pt-BR"/>
        </w:rPr>
        <w:t>h</w:t>
      </w:r>
      <w:r w:rsidR="00BE41BC" w:rsidRPr="00BE41BC">
        <w:rPr>
          <w:rFonts w:ascii="Times New Roman" w:hAnsi="Times New Roman"/>
          <w:i/>
          <w:iCs/>
          <w:vertAlign w:val="superscript"/>
          <w:lang w:val="pt-BR"/>
        </w:rPr>
        <w:t>+</w:t>
      </w:r>
      <w:r w:rsidR="00BE41BC" w:rsidRPr="00BE41BC">
        <w:rPr>
          <w:rFonts w:ascii="Times New Roman" w:hAnsi="Times New Roman"/>
          <w:lang w:val="pt-BR"/>
        </w:rPr>
        <w:t>)</w:t>
      </w:r>
      <w:r w:rsidR="007738DF">
        <w:rPr>
          <w:rFonts w:ascii="Times New Roman" w:hAnsi="Times New Roman"/>
          <w:lang w:val="pt-BR"/>
        </w:rPr>
        <w:t xml:space="preserve">. </w:t>
      </w:r>
    </w:p>
    <w:p w14:paraId="5CF4A74D" w14:textId="6FEAAEB5" w:rsidR="002E69A5" w:rsidRDefault="007738DF" w:rsidP="002E69A5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Catalisadores metálicos a base de </w:t>
      </w:r>
      <w:proofErr w:type="spellStart"/>
      <w:r>
        <w:rPr>
          <w:rFonts w:ascii="Times New Roman" w:hAnsi="Times New Roman"/>
          <w:lang w:val="pt-BR"/>
        </w:rPr>
        <w:t>Pt</w:t>
      </w:r>
      <w:proofErr w:type="spellEnd"/>
      <w:r>
        <w:rPr>
          <w:rFonts w:ascii="Times New Roman" w:hAnsi="Times New Roman"/>
          <w:lang w:val="pt-BR"/>
        </w:rPr>
        <w:t xml:space="preserve">, Ru e </w:t>
      </w:r>
      <w:proofErr w:type="spellStart"/>
      <w:r>
        <w:rPr>
          <w:rFonts w:ascii="Times New Roman" w:hAnsi="Times New Roman"/>
          <w:lang w:val="pt-BR"/>
        </w:rPr>
        <w:t>Pd</w:t>
      </w:r>
      <w:proofErr w:type="spellEnd"/>
      <w:r>
        <w:rPr>
          <w:rFonts w:ascii="Times New Roman" w:hAnsi="Times New Roman"/>
          <w:lang w:val="pt-BR"/>
        </w:rPr>
        <w:t xml:space="preserve"> são </w:t>
      </w:r>
      <w:r w:rsidR="002E69A5">
        <w:rPr>
          <w:rFonts w:ascii="Times New Roman" w:hAnsi="Times New Roman"/>
          <w:lang w:val="pt-BR"/>
        </w:rPr>
        <w:t>utilizados para a</w:t>
      </w:r>
      <w:r>
        <w:rPr>
          <w:rFonts w:ascii="Times New Roman" w:hAnsi="Times New Roman"/>
          <w:lang w:val="pt-BR"/>
        </w:rPr>
        <w:t xml:space="preserve"> promoção fotocatalítica de H</w:t>
      </w:r>
      <w:r w:rsidRPr="006B4EBE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, isso se </w:t>
      </w:r>
      <w:r w:rsidR="000E245A">
        <w:rPr>
          <w:rFonts w:ascii="Times New Roman" w:hAnsi="Times New Roman"/>
          <w:lang w:val="pt-BR"/>
        </w:rPr>
        <w:t>dá</w:t>
      </w:r>
      <w:r>
        <w:rPr>
          <w:rFonts w:ascii="Times New Roman" w:hAnsi="Times New Roman"/>
          <w:lang w:val="pt-BR"/>
        </w:rPr>
        <w:t xml:space="preserve"> principalmente </w:t>
      </w:r>
      <w:r w:rsidR="000E245A">
        <w:rPr>
          <w:rFonts w:ascii="Times New Roman" w:hAnsi="Times New Roman"/>
          <w:lang w:val="pt-BR"/>
        </w:rPr>
        <w:t xml:space="preserve">às </w:t>
      </w:r>
      <w:r w:rsidR="009470B9">
        <w:rPr>
          <w:rFonts w:ascii="Times New Roman" w:hAnsi="Times New Roman"/>
          <w:lang w:val="pt-BR"/>
        </w:rPr>
        <w:t>suas funções de trabalho superiores a</w:t>
      </w:r>
      <w:r w:rsidR="000E245A">
        <w:rPr>
          <w:rFonts w:ascii="Times New Roman" w:hAnsi="Times New Roman"/>
          <w:lang w:val="pt-BR"/>
        </w:rPr>
        <w:t>o</w:t>
      </w:r>
      <w:r w:rsidR="009470B9">
        <w:rPr>
          <w:rFonts w:ascii="Times New Roman" w:hAnsi="Times New Roman"/>
          <w:lang w:val="pt-BR"/>
        </w:rPr>
        <w:t xml:space="preserve"> TiO</w:t>
      </w:r>
      <w:r w:rsidR="009470B9" w:rsidRPr="00630AC4">
        <w:rPr>
          <w:rFonts w:ascii="Times New Roman" w:hAnsi="Times New Roman"/>
          <w:vertAlign w:val="subscript"/>
          <w:lang w:val="pt-BR"/>
        </w:rPr>
        <w:t>2</w:t>
      </w:r>
      <w:r w:rsidR="004913FC">
        <w:rPr>
          <w:rFonts w:ascii="Times New Roman" w:hAnsi="Times New Roman"/>
          <w:vertAlign w:val="subscript"/>
          <w:lang w:val="pt-BR"/>
        </w:rPr>
        <w:t xml:space="preserve"> </w:t>
      </w:r>
      <w:r w:rsidR="004913FC">
        <w:rPr>
          <w:rFonts w:ascii="Times New Roman" w:hAnsi="Times New Roman"/>
          <w:lang w:val="pt-BR"/>
        </w:rPr>
        <w:t>(0,71 eV)</w:t>
      </w:r>
      <w:r w:rsidR="009470B9">
        <w:rPr>
          <w:rFonts w:ascii="Times New Roman" w:hAnsi="Times New Roman"/>
          <w:lang w:val="pt-BR"/>
        </w:rPr>
        <w:t xml:space="preserve">, </w:t>
      </w:r>
      <w:r w:rsidR="005076BF">
        <w:rPr>
          <w:rFonts w:ascii="Times New Roman" w:hAnsi="Times New Roman"/>
          <w:lang w:val="pt-BR"/>
        </w:rPr>
        <w:t xml:space="preserve">tornando-os </w:t>
      </w:r>
      <w:r w:rsidR="009470B9">
        <w:rPr>
          <w:rFonts w:ascii="Times New Roman" w:hAnsi="Times New Roman"/>
          <w:lang w:val="pt-BR"/>
        </w:rPr>
        <w:t>excelentes sítios ativos para a reação.</w:t>
      </w:r>
      <w:r>
        <w:rPr>
          <w:rFonts w:ascii="Times New Roman" w:hAnsi="Times New Roman"/>
          <w:lang w:val="pt-BR"/>
        </w:rPr>
        <w:t xml:space="preserve"> </w:t>
      </w:r>
      <w:r w:rsidR="00791FF9">
        <w:rPr>
          <w:rFonts w:ascii="Times New Roman" w:hAnsi="Times New Roman"/>
          <w:lang w:val="pt-BR"/>
        </w:rPr>
        <w:t xml:space="preserve">No entanto, dado </w:t>
      </w:r>
      <w:r w:rsidR="00CA475A">
        <w:rPr>
          <w:rFonts w:ascii="Times New Roman" w:hAnsi="Times New Roman"/>
          <w:lang w:val="pt-BR"/>
        </w:rPr>
        <w:t>o</w:t>
      </w:r>
      <w:r w:rsidR="00791FF9">
        <w:rPr>
          <w:rFonts w:ascii="Times New Roman" w:hAnsi="Times New Roman"/>
          <w:lang w:val="pt-BR"/>
        </w:rPr>
        <w:t xml:space="preserve"> custo</w:t>
      </w:r>
      <w:r w:rsidR="00004571">
        <w:rPr>
          <w:rFonts w:ascii="Times New Roman" w:hAnsi="Times New Roman"/>
          <w:lang w:val="pt-BR"/>
        </w:rPr>
        <w:t>, o desenvolvimento de catalisadores a base de</w:t>
      </w:r>
      <w:r w:rsidR="00791FF9">
        <w:rPr>
          <w:rFonts w:ascii="Times New Roman" w:hAnsi="Times New Roman"/>
          <w:lang w:val="pt-BR"/>
        </w:rPr>
        <w:t xml:space="preserve"> metais menos nobres</w:t>
      </w:r>
      <w:r w:rsidR="00A41C1E">
        <w:rPr>
          <w:rFonts w:ascii="Times New Roman" w:hAnsi="Times New Roman"/>
          <w:lang w:val="pt-BR"/>
        </w:rPr>
        <w:t xml:space="preserve"> é </w:t>
      </w:r>
      <w:r w:rsidR="002E69A5">
        <w:rPr>
          <w:rFonts w:ascii="Times New Roman" w:hAnsi="Times New Roman"/>
          <w:lang w:val="pt-BR"/>
        </w:rPr>
        <w:t>desejável</w:t>
      </w:r>
      <w:r w:rsidR="00A1289F">
        <w:rPr>
          <w:rFonts w:ascii="Times New Roman" w:hAnsi="Times New Roman"/>
          <w:lang w:val="pt-BR"/>
        </w:rPr>
        <w:t xml:space="preserve"> </w:t>
      </w:r>
      <w:r w:rsidR="00A1289F">
        <w:rPr>
          <w:rFonts w:ascii="Times New Roman" w:hAnsi="Times New Roman"/>
          <w:vertAlign w:val="superscript"/>
          <w:lang w:val="pt-BR"/>
        </w:rPr>
        <w:t>(</w:t>
      </w:r>
      <w:r w:rsidR="00BE4B8D">
        <w:rPr>
          <w:rFonts w:ascii="Times New Roman" w:hAnsi="Times New Roman"/>
          <w:vertAlign w:val="superscript"/>
          <w:lang w:val="pt-BR"/>
        </w:rPr>
        <w:t>8</w:t>
      </w:r>
      <w:r w:rsidR="00A1289F">
        <w:rPr>
          <w:rFonts w:ascii="Times New Roman" w:hAnsi="Times New Roman"/>
          <w:vertAlign w:val="superscript"/>
          <w:lang w:val="pt-BR"/>
        </w:rPr>
        <w:t>)</w:t>
      </w:r>
      <w:r w:rsidR="002E69A5">
        <w:rPr>
          <w:rFonts w:ascii="Times New Roman" w:hAnsi="Times New Roman"/>
          <w:lang w:val="pt-BR"/>
        </w:rPr>
        <w:t>.</w:t>
      </w:r>
    </w:p>
    <w:p w14:paraId="2ECBEF55" w14:textId="193D373D" w:rsidR="00AE2FEA" w:rsidRDefault="002E69A5" w:rsidP="00ED16D5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Cu é um metal cuja função de trabalho </w:t>
      </w:r>
      <w:r w:rsidR="004913FC">
        <w:rPr>
          <w:rFonts w:ascii="Times New Roman" w:hAnsi="Times New Roman"/>
          <w:lang w:val="pt-BR"/>
        </w:rPr>
        <w:t>de 4,65 eV</w:t>
      </w:r>
      <w:r w:rsidR="00BE4B8D">
        <w:rPr>
          <w:rFonts w:ascii="Times New Roman" w:hAnsi="Times New Roman"/>
          <w:lang w:val="pt-BR"/>
        </w:rPr>
        <w:t xml:space="preserve"> </w:t>
      </w:r>
      <w:r w:rsidR="00BE4B8D" w:rsidRPr="00BE4B8D">
        <w:rPr>
          <w:rFonts w:ascii="Times New Roman" w:hAnsi="Times New Roman"/>
          <w:vertAlign w:val="superscript"/>
          <w:lang w:val="pt-BR"/>
        </w:rPr>
        <w:t>(</w:t>
      </w:r>
      <w:r w:rsidR="00BE4B8D">
        <w:rPr>
          <w:rFonts w:ascii="Times New Roman" w:hAnsi="Times New Roman"/>
          <w:vertAlign w:val="superscript"/>
          <w:lang w:val="pt-BR"/>
        </w:rPr>
        <w:t>9</w:t>
      </w:r>
      <w:r w:rsidR="00BE4B8D" w:rsidRPr="00BE4B8D">
        <w:rPr>
          <w:rFonts w:ascii="Times New Roman" w:hAnsi="Times New Roman"/>
          <w:vertAlign w:val="superscript"/>
          <w:lang w:val="pt-BR"/>
        </w:rPr>
        <w:t>)</w:t>
      </w:r>
      <w:r w:rsidR="004913FC">
        <w:rPr>
          <w:rFonts w:ascii="Times New Roman" w:hAnsi="Times New Roman"/>
          <w:lang w:val="pt-BR"/>
        </w:rPr>
        <w:t xml:space="preserve"> </w:t>
      </w:r>
      <w:r w:rsidR="005076BF">
        <w:rPr>
          <w:rFonts w:ascii="Times New Roman" w:hAnsi="Times New Roman"/>
          <w:lang w:val="pt-BR"/>
        </w:rPr>
        <w:t xml:space="preserve">assumindo </w:t>
      </w:r>
      <w:r w:rsidR="004913FC">
        <w:rPr>
          <w:rFonts w:ascii="Times New Roman" w:hAnsi="Times New Roman"/>
          <w:lang w:val="pt-BR"/>
        </w:rPr>
        <w:t xml:space="preserve">potencial como um </w:t>
      </w:r>
      <w:r w:rsidR="00341DBA">
        <w:rPr>
          <w:rFonts w:ascii="Times New Roman" w:hAnsi="Times New Roman"/>
          <w:lang w:val="pt-BR"/>
        </w:rPr>
        <w:t>sítio</w:t>
      </w:r>
      <w:r w:rsidR="004913FC">
        <w:rPr>
          <w:rFonts w:ascii="Times New Roman" w:hAnsi="Times New Roman"/>
          <w:lang w:val="pt-BR"/>
        </w:rPr>
        <w:t xml:space="preserve"> de promoção de H</w:t>
      </w:r>
      <w:r w:rsidR="004913FC" w:rsidRPr="00341DBA">
        <w:rPr>
          <w:rFonts w:ascii="Times New Roman" w:hAnsi="Times New Roman"/>
          <w:vertAlign w:val="subscript"/>
          <w:lang w:val="pt-BR"/>
        </w:rPr>
        <w:t>2</w:t>
      </w:r>
      <w:r w:rsidR="004913FC">
        <w:rPr>
          <w:rFonts w:ascii="Times New Roman" w:hAnsi="Times New Roman"/>
          <w:lang w:val="pt-BR"/>
        </w:rPr>
        <w:t xml:space="preserve"> sobre TiO</w:t>
      </w:r>
      <w:r w:rsidR="004913FC" w:rsidRPr="00341DBA">
        <w:rPr>
          <w:rFonts w:ascii="Times New Roman" w:hAnsi="Times New Roman"/>
          <w:vertAlign w:val="subscript"/>
          <w:lang w:val="pt-BR"/>
        </w:rPr>
        <w:t>2</w:t>
      </w:r>
      <w:r w:rsidR="004913FC">
        <w:rPr>
          <w:rFonts w:ascii="Times New Roman" w:hAnsi="Times New Roman"/>
          <w:lang w:val="pt-BR"/>
        </w:rPr>
        <w:t>.</w:t>
      </w:r>
      <w:r w:rsidR="00CA475A">
        <w:rPr>
          <w:rFonts w:ascii="Times New Roman" w:hAnsi="Times New Roman"/>
          <w:lang w:val="pt-BR"/>
        </w:rPr>
        <w:t xml:space="preserve"> Alguns trabalhos já relatam a utilização da espécie cúprica para produção de H</w:t>
      </w:r>
      <w:r w:rsidR="00CA475A" w:rsidRPr="00EF0E31">
        <w:rPr>
          <w:rFonts w:ascii="Times New Roman" w:hAnsi="Times New Roman"/>
          <w:vertAlign w:val="subscript"/>
          <w:lang w:val="pt-BR"/>
        </w:rPr>
        <w:t>2</w:t>
      </w:r>
      <w:r w:rsidR="008024B9">
        <w:rPr>
          <w:rFonts w:ascii="Times New Roman" w:hAnsi="Times New Roman"/>
          <w:lang w:val="pt-BR"/>
        </w:rPr>
        <w:t xml:space="preserve"> a partir de diferentes rotas de síntese</w:t>
      </w:r>
      <w:r w:rsidR="00EB7C8F">
        <w:rPr>
          <w:rFonts w:ascii="Times New Roman" w:hAnsi="Times New Roman"/>
          <w:lang w:val="pt-BR"/>
        </w:rPr>
        <w:t xml:space="preserve">. </w:t>
      </w:r>
    </w:p>
    <w:p w14:paraId="40060222" w14:textId="6480B0A0" w:rsidR="00ED16D5" w:rsidRPr="00ED16D5" w:rsidRDefault="00EB7C8F" w:rsidP="00ED16D5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Este trabalho propõe a síntese de catalisadores de TiO</w:t>
      </w:r>
      <w:r w:rsidRPr="00AE2FEA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e Cu para produção de H</w:t>
      </w:r>
      <w:r w:rsidRPr="00AE2FEA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</w:t>
      </w:r>
      <w:r w:rsidR="00AE2FEA">
        <w:rPr>
          <w:rFonts w:ascii="Times New Roman" w:hAnsi="Times New Roman"/>
          <w:lang w:val="pt-BR"/>
        </w:rPr>
        <w:t>a partir d</w:t>
      </w:r>
      <w:r w:rsidR="008C3552">
        <w:rPr>
          <w:rFonts w:ascii="Times New Roman" w:hAnsi="Times New Roman"/>
          <w:lang w:val="pt-BR"/>
        </w:rPr>
        <w:t>o método de</w:t>
      </w:r>
      <w:r w:rsidR="00AE2FEA">
        <w:rPr>
          <w:rFonts w:ascii="Times New Roman" w:hAnsi="Times New Roman"/>
          <w:lang w:val="pt-BR"/>
        </w:rPr>
        <w:t xml:space="preserve"> fotodeposição</w:t>
      </w:r>
      <w:r w:rsidR="008C3552">
        <w:rPr>
          <w:rFonts w:ascii="Times New Roman" w:hAnsi="Times New Roman"/>
          <w:lang w:val="pt-BR"/>
        </w:rPr>
        <w:t xml:space="preserve"> metálica</w:t>
      </w:r>
      <w:r w:rsidR="00AE2FEA">
        <w:rPr>
          <w:rFonts w:ascii="Times New Roman" w:hAnsi="Times New Roman"/>
          <w:lang w:val="pt-BR"/>
        </w:rPr>
        <w:t>. O trabalho ainda investiga o efeito das variáveis reacionais</w:t>
      </w:r>
      <w:r w:rsidR="008C3552">
        <w:rPr>
          <w:rFonts w:ascii="Times New Roman" w:hAnsi="Times New Roman"/>
          <w:lang w:val="pt-BR"/>
        </w:rPr>
        <w:t xml:space="preserve"> na produção fotocatalítica de H</w:t>
      </w:r>
      <w:r w:rsidR="008C3552" w:rsidRPr="008C3552">
        <w:rPr>
          <w:rFonts w:ascii="Times New Roman" w:hAnsi="Times New Roman"/>
          <w:vertAlign w:val="subscript"/>
          <w:lang w:val="pt-BR"/>
        </w:rPr>
        <w:t>2</w:t>
      </w:r>
      <w:r w:rsidR="008C3552">
        <w:rPr>
          <w:rFonts w:ascii="Times New Roman" w:hAnsi="Times New Roman"/>
          <w:lang w:val="pt-BR"/>
        </w:rPr>
        <w:t xml:space="preserve">: percentual de </w:t>
      </w:r>
      <w:r w:rsidR="00EA463E">
        <w:rPr>
          <w:rFonts w:ascii="Times New Roman" w:hAnsi="Times New Roman"/>
          <w:lang w:val="pt-BR"/>
        </w:rPr>
        <w:t>Cu</w:t>
      </w:r>
      <w:r w:rsidR="008C3552">
        <w:rPr>
          <w:rFonts w:ascii="Times New Roman" w:hAnsi="Times New Roman"/>
          <w:lang w:val="pt-BR"/>
        </w:rPr>
        <w:t xml:space="preserve">, concentração de glicerol, pH inicial e dosagem de catalisador. </w:t>
      </w:r>
      <w:r w:rsidR="00AE2FEA">
        <w:rPr>
          <w:rFonts w:ascii="Times New Roman" w:hAnsi="Times New Roman"/>
          <w:lang w:val="pt-BR"/>
        </w:rPr>
        <w:t xml:space="preserve"> </w:t>
      </w:r>
    </w:p>
    <w:p w14:paraId="52FFAC79" w14:textId="77777777" w:rsidR="00EA4E1B" w:rsidRPr="001F25B2" w:rsidRDefault="00EA4E1B" w:rsidP="007C3EA4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1E824B68" w:rsidR="00EA4E1B" w:rsidRPr="001F25B2" w:rsidRDefault="009A1A3E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de catalisadores.</w:t>
      </w:r>
    </w:p>
    <w:p w14:paraId="4E6BAA29" w14:textId="5FB44504" w:rsidR="00EA4E1B" w:rsidRDefault="009A1A3E" w:rsidP="00795A09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dopagem de Cu foi realizada a partir da adsorção de Cu</w:t>
      </w:r>
      <w:r w:rsidRPr="009A1A3E">
        <w:rPr>
          <w:rFonts w:ascii="Times New Roman" w:hAnsi="Times New Roman"/>
          <w:vertAlign w:val="superscript"/>
          <w:lang w:val="pt-BR"/>
        </w:rPr>
        <w:t>2+</w:t>
      </w:r>
      <w:r>
        <w:rPr>
          <w:rFonts w:ascii="Times New Roman" w:hAnsi="Times New Roman"/>
          <w:lang w:val="pt-BR"/>
        </w:rPr>
        <w:t xml:space="preserve"> (Cu(NO</w:t>
      </w:r>
      <w:r w:rsidRPr="009A1A3E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)</w:t>
      </w:r>
      <w:r w:rsidRPr="009A1A3E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.3H</w:t>
      </w:r>
      <w:r w:rsidRPr="009A1A3E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O) sobre 500 mg de TiO</w:t>
      </w:r>
      <w:r w:rsidRPr="009A1A3E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(</w:t>
      </w:r>
      <w:proofErr w:type="spellStart"/>
      <w:r>
        <w:rPr>
          <w:rFonts w:ascii="Times New Roman" w:hAnsi="Times New Roman"/>
          <w:lang w:val="pt-BR"/>
        </w:rPr>
        <w:t>Aeroxide</w:t>
      </w:r>
      <w:proofErr w:type="spellEnd"/>
      <w:r>
        <w:rPr>
          <w:rFonts w:ascii="Times New Roman" w:hAnsi="Times New Roman"/>
          <w:lang w:val="pt-BR"/>
        </w:rPr>
        <w:t xml:space="preserve">® P25 </w:t>
      </w:r>
      <w:proofErr w:type="spellStart"/>
      <w:r>
        <w:rPr>
          <w:rFonts w:ascii="Times New Roman" w:hAnsi="Times New Roman"/>
          <w:lang w:val="pt-BR"/>
        </w:rPr>
        <w:t>Evonik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Degusa</w:t>
      </w:r>
      <w:proofErr w:type="spellEnd"/>
      <w:r>
        <w:rPr>
          <w:rFonts w:ascii="Times New Roman" w:hAnsi="Times New Roman"/>
          <w:lang w:val="pt-BR"/>
        </w:rPr>
        <w:t xml:space="preserve">) dispersos em 25 ml de metanol (Êxodo Científica) em tempo de contato de 2h sob </w:t>
      </w:r>
      <w:r w:rsidR="00EF78FA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gitação a 160 </w:t>
      </w:r>
      <w:r>
        <w:rPr>
          <w:rFonts w:ascii="Times New Roman" w:hAnsi="Times New Roman"/>
          <w:lang w:val="pt-BR"/>
        </w:rPr>
        <w:t>rpm, seguida por fotodeposição por irradiação</w:t>
      </w:r>
      <w:r w:rsidR="00C61F5B">
        <w:rPr>
          <w:rFonts w:ascii="Times New Roman" w:hAnsi="Times New Roman"/>
          <w:lang w:val="pt-BR"/>
        </w:rPr>
        <w:t xml:space="preserve"> com</w:t>
      </w:r>
      <w:r>
        <w:rPr>
          <w:rFonts w:ascii="Times New Roman" w:hAnsi="Times New Roman"/>
          <w:lang w:val="pt-BR"/>
        </w:rPr>
        <w:t xml:space="preserve"> lâmpada de xenônio de 300 W durante 3h. Por fim, o sólido foi submetido a lavagem, centrifugação e secagem a 80°C por 24h. O material obtido foi denominado genericamente de TiO</w:t>
      </w:r>
      <w:r w:rsidRPr="00EF78FA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@Cu</w:t>
      </w:r>
      <w:r w:rsidRPr="00EF78FA">
        <w:rPr>
          <w:rFonts w:ascii="Times New Roman" w:hAnsi="Times New Roman"/>
          <w:vertAlign w:val="subscript"/>
          <w:lang w:val="pt-BR"/>
        </w:rPr>
        <w:t>x</w:t>
      </w:r>
      <w:r>
        <w:rPr>
          <w:rFonts w:ascii="Times New Roman" w:hAnsi="Times New Roman"/>
          <w:lang w:val="pt-BR"/>
        </w:rPr>
        <w:t xml:space="preserve"> (onde x = 0,2</w:t>
      </w:r>
      <w:r w:rsidR="00417989">
        <w:rPr>
          <w:rFonts w:ascii="Times New Roman" w:hAnsi="Times New Roman"/>
          <w:lang w:val="pt-BR"/>
        </w:rPr>
        <w:t>0</w:t>
      </w:r>
      <w:r>
        <w:rPr>
          <w:rFonts w:ascii="Times New Roman" w:hAnsi="Times New Roman"/>
          <w:lang w:val="pt-BR"/>
        </w:rPr>
        <w:t>, 0,45 e 0,70%)</w:t>
      </w:r>
      <w:r w:rsidR="00EF78FA">
        <w:rPr>
          <w:rFonts w:ascii="Times New Roman" w:hAnsi="Times New Roman"/>
          <w:lang w:val="pt-BR"/>
        </w:rPr>
        <w:t>.</w:t>
      </w:r>
    </w:p>
    <w:p w14:paraId="16E55213" w14:textId="546A7F27" w:rsidR="002521A4" w:rsidRDefault="002521A4" w:rsidP="00795A09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avaliação do teor de Cu dos catalisadores foi </w:t>
      </w:r>
      <w:r w:rsidR="005F78B4">
        <w:rPr>
          <w:rFonts w:ascii="Times New Roman" w:hAnsi="Times New Roman"/>
          <w:lang w:val="pt-BR"/>
        </w:rPr>
        <w:t>realizada</w:t>
      </w:r>
      <w:r>
        <w:rPr>
          <w:rFonts w:ascii="Times New Roman" w:hAnsi="Times New Roman"/>
          <w:lang w:val="pt-BR"/>
        </w:rPr>
        <w:t xml:space="preserve"> por espectroscopia de absorção atômica. Cerca de 30 mg do material foi dissolvida em solução HF: H</w:t>
      </w:r>
      <w:r w:rsidRPr="005F78B4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SO</w:t>
      </w:r>
      <w:r w:rsidRPr="005F78B4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(6:2, v/v) e diluídos em água destilada até 25 mL. As </w:t>
      </w:r>
      <w:r w:rsidR="002558D6">
        <w:rPr>
          <w:rFonts w:ascii="Times New Roman" w:hAnsi="Times New Roman"/>
          <w:lang w:val="pt-BR"/>
        </w:rPr>
        <w:t>soluções</w:t>
      </w:r>
      <w:r w:rsidR="002558D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foram </w:t>
      </w:r>
      <w:r w:rsidR="002558D6">
        <w:rPr>
          <w:rFonts w:ascii="Times New Roman" w:hAnsi="Times New Roman"/>
          <w:lang w:val="pt-BR"/>
        </w:rPr>
        <w:t>analisadas</w:t>
      </w:r>
      <w:r w:rsidR="002558D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em equipamento Thermo </w:t>
      </w:r>
      <w:proofErr w:type="spellStart"/>
      <w:r>
        <w:rPr>
          <w:rFonts w:ascii="Times New Roman" w:hAnsi="Times New Roman"/>
          <w:lang w:val="pt-BR"/>
        </w:rPr>
        <w:t>Scientific</w:t>
      </w:r>
      <w:proofErr w:type="spellEnd"/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iCE</w:t>
      </w:r>
      <w:proofErr w:type="spellEnd"/>
      <w:r>
        <w:rPr>
          <w:rFonts w:ascii="Times New Roman" w:hAnsi="Times New Roman"/>
          <w:lang w:val="pt-BR"/>
        </w:rPr>
        <w:t xml:space="preserve"> 3000 em mistura ar/acetileno com fluxo de 0,9 L.min</w:t>
      </w:r>
      <w:r w:rsidRPr="005F78B4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. </w:t>
      </w:r>
    </w:p>
    <w:p w14:paraId="1D288E95" w14:textId="77777777" w:rsidR="00FC0BE6" w:rsidRPr="002E69A5" w:rsidRDefault="00FC0BE6" w:rsidP="00C61F5B">
      <w:pPr>
        <w:pStyle w:val="TAMainText"/>
        <w:ind w:firstLine="0"/>
        <w:rPr>
          <w:lang w:val="pt-BR"/>
        </w:rPr>
      </w:pPr>
    </w:p>
    <w:p w14:paraId="45800811" w14:textId="56CD4DA5" w:rsidR="00C61F5B" w:rsidRPr="001F25B2" w:rsidRDefault="00C61F5B" w:rsidP="00C61F5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Estudos fotocatalíticos </w:t>
      </w:r>
      <w:r w:rsidR="00A74261">
        <w:rPr>
          <w:rFonts w:ascii="Times New Roman" w:hAnsi="Times New Roman"/>
          <w:i/>
          <w:lang w:val="pt-BR"/>
        </w:rPr>
        <w:t>d</w:t>
      </w:r>
      <w:r>
        <w:rPr>
          <w:rFonts w:ascii="Times New Roman" w:hAnsi="Times New Roman"/>
          <w:i/>
          <w:lang w:val="pt-BR"/>
        </w:rPr>
        <w:t>e H</w:t>
      </w:r>
      <w:r w:rsidRPr="00C61F5B">
        <w:rPr>
          <w:rFonts w:ascii="Times New Roman" w:hAnsi="Times New Roman"/>
          <w:i/>
          <w:vertAlign w:val="subscript"/>
          <w:lang w:val="pt-BR"/>
        </w:rPr>
        <w:t>2</w:t>
      </w:r>
      <w:r>
        <w:rPr>
          <w:rFonts w:ascii="Times New Roman" w:hAnsi="Times New Roman"/>
          <w:i/>
          <w:lang w:val="pt-BR"/>
        </w:rPr>
        <w:t>.</w:t>
      </w:r>
    </w:p>
    <w:p w14:paraId="2AE503C8" w14:textId="5C7CDEC6" w:rsidR="00837C0B" w:rsidRDefault="008A3D0D" w:rsidP="007C3EA4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As reações de produção de H</w:t>
      </w:r>
      <w:r w:rsidRPr="00AB5CE2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foram re</w:t>
      </w:r>
      <w:r w:rsidR="00AB5CE2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lizadas em reator fotocatalítico de múltiplas reações simultâneas </w:t>
      </w:r>
      <w:r w:rsidRPr="00045FBB">
        <w:rPr>
          <w:rFonts w:ascii="Times New Roman" w:hAnsi="Times New Roman"/>
          <w:vertAlign w:val="superscript"/>
          <w:lang w:val="pt-BR"/>
        </w:rPr>
        <w:t>(</w:t>
      </w:r>
      <w:r w:rsidR="00045FBB" w:rsidRPr="00045FBB">
        <w:rPr>
          <w:rFonts w:ascii="Times New Roman" w:hAnsi="Times New Roman"/>
          <w:vertAlign w:val="superscript"/>
          <w:lang w:val="pt-BR"/>
        </w:rPr>
        <w:t>10</w:t>
      </w:r>
      <w:r w:rsidRPr="00045FBB">
        <w:rPr>
          <w:rFonts w:ascii="Times New Roman" w:hAnsi="Times New Roman"/>
          <w:vertAlign w:val="superscript"/>
          <w:lang w:val="pt-BR"/>
        </w:rPr>
        <w:t>)</w:t>
      </w:r>
      <w:r>
        <w:rPr>
          <w:rFonts w:ascii="Times New Roman" w:hAnsi="Times New Roman"/>
          <w:lang w:val="pt-BR"/>
        </w:rPr>
        <w:t xml:space="preserve"> durante 3h. O volume das soluções de glicerol (Êxodo Científica) foi mantido em 25 mL e temperatura de 40°C</w:t>
      </w:r>
      <w:r w:rsidR="00D45422">
        <w:rPr>
          <w:rFonts w:ascii="Times New Roman" w:hAnsi="Times New Roman"/>
          <w:lang w:val="pt-BR"/>
        </w:rPr>
        <w:t xml:space="preserve"> sob irradiação de lâmpada de xenônio de 300</w:t>
      </w:r>
      <w:r w:rsidR="005076BF">
        <w:rPr>
          <w:rFonts w:ascii="Times New Roman" w:hAnsi="Times New Roman"/>
          <w:lang w:val="pt-BR"/>
        </w:rPr>
        <w:t xml:space="preserve"> </w:t>
      </w:r>
      <w:r w:rsidR="00D45422">
        <w:rPr>
          <w:rFonts w:ascii="Times New Roman" w:hAnsi="Times New Roman"/>
          <w:lang w:val="pt-BR"/>
        </w:rPr>
        <w:t>W</w:t>
      </w:r>
      <w:r>
        <w:rPr>
          <w:rFonts w:ascii="Times New Roman" w:hAnsi="Times New Roman"/>
          <w:lang w:val="pt-BR"/>
        </w:rPr>
        <w:t>. O pH das soluções foi ajustado por soluções aquosas de H</w:t>
      </w:r>
      <w:r w:rsidRPr="008A3D0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SO</w:t>
      </w:r>
      <w:r w:rsidRPr="008A3D0D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lang w:val="pt-BR"/>
        </w:rPr>
        <w:t xml:space="preserve"> e </w:t>
      </w:r>
      <w:proofErr w:type="spellStart"/>
      <w:r>
        <w:rPr>
          <w:rFonts w:ascii="Times New Roman" w:hAnsi="Times New Roman"/>
          <w:lang w:val="pt-BR"/>
        </w:rPr>
        <w:t>NaOH</w:t>
      </w:r>
      <w:proofErr w:type="spellEnd"/>
      <w:r>
        <w:rPr>
          <w:rFonts w:ascii="Times New Roman" w:hAnsi="Times New Roman"/>
          <w:lang w:val="pt-BR"/>
        </w:rPr>
        <w:t xml:space="preserve"> 0,01 M.</w:t>
      </w:r>
    </w:p>
    <w:p w14:paraId="3BBFEC9C" w14:textId="77777777" w:rsidR="000F38DF" w:rsidRDefault="000F38DF" w:rsidP="007C3EA4">
      <w:pPr>
        <w:pStyle w:val="TAMainText"/>
        <w:ind w:firstLine="204"/>
        <w:rPr>
          <w:rFonts w:ascii="Times New Roman" w:hAnsi="Times New Roman"/>
          <w:lang w:val="pt-BR"/>
        </w:rPr>
      </w:pPr>
    </w:p>
    <w:p w14:paraId="18636959" w14:textId="5765452F" w:rsidR="00C8556B" w:rsidRDefault="008029E6" w:rsidP="00563D07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noProof/>
        </w:rPr>
        <w:drawing>
          <wp:anchor distT="0" distB="0" distL="114300" distR="114300" simplePos="0" relativeHeight="251662335" behindDoc="0" locked="0" layoutInCell="1" allowOverlap="1" wp14:anchorId="6436E519" wp14:editId="207793CB">
            <wp:simplePos x="0" y="0"/>
            <wp:positionH relativeFrom="column">
              <wp:posOffset>93785</wp:posOffset>
            </wp:positionH>
            <wp:positionV relativeFrom="paragraph">
              <wp:posOffset>255954</wp:posOffset>
            </wp:positionV>
            <wp:extent cx="2797175" cy="1769745"/>
            <wp:effectExtent l="0" t="0" r="3175" b="1905"/>
            <wp:wrapTopAndBottom/>
            <wp:docPr id="13" name="Imagem 1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Diagram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C0B" w:rsidRPr="00E038AF">
        <w:rPr>
          <w:rFonts w:ascii="Times New Roman" w:hAnsi="Times New Roman"/>
          <w:b/>
          <w:lang w:val="pt-BR"/>
        </w:rPr>
        <w:t>Figura 1.</w:t>
      </w:r>
      <w:r w:rsidR="00837C0B" w:rsidRPr="00E038AF">
        <w:rPr>
          <w:rFonts w:ascii="Times New Roman" w:hAnsi="Times New Roman"/>
          <w:lang w:val="pt-BR"/>
        </w:rPr>
        <w:t xml:space="preserve"> </w:t>
      </w:r>
      <w:r w:rsidR="007D00AA">
        <w:rPr>
          <w:rFonts w:ascii="Times New Roman" w:hAnsi="Times New Roman"/>
          <w:lang w:val="pt-BR"/>
        </w:rPr>
        <w:t>Reator de múltiplas reações simultâneas (MRS)</w:t>
      </w:r>
      <w:r w:rsidR="00837C0B">
        <w:rPr>
          <w:rFonts w:ascii="Times New Roman" w:hAnsi="Times New Roman"/>
          <w:lang w:val="pt-BR"/>
        </w:rPr>
        <w:t>.</w:t>
      </w:r>
    </w:p>
    <w:p w14:paraId="0A41E0BA" w14:textId="77777777" w:rsidR="008029E6" w:rsidRPr="008029E6" w:rsidRDefault="008029E6" w:rsidP="008029E6">
      <w:pPr>
        <w:rPr>
          <w:lang w:eastAsia="pt-BR"/>
        </w:rPr>
      </w:pPr>
    </w:p>
    <w:p w14:paraId="4FD5508D" w14:textId="60D23704" w:rsidR="00C61F5B" w:rsidRDefault="00AB5CE2" w:rsidP="00C33A17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Para os estudos </w:t>
      </w:r>
      <w:r w:rsidR="00727251">
        <w:rPr>
          <w:rFonts w:ascii="Times New Roman" w:hAnsi="Times New Roman"/>
          <w:lang w:val="pt-BR"/>
        </w:rPr>
        <w:t>das variáveis</w:t>
      </w:r>
      <w:r>
        <w:rPr>
          <w:rFonts w:ascii="Times New Roman" w:hAnsi="Times New Roman"/>
          <w:lang w:val="pt-BR"/>
        </w:rPr>
        <w:t xml:space="preserve"> do sistema foi empregado um planejamento </w:t>
      </w:r>
      <w:r w:rsidR="00445E0B">
        <w:rPr>
          <w:rFonts w:ascii="Times New Roman" w:hAnsi="Times New Roman"/>
          <w:lang w:val="pt-BR"/>
        </w:rPr>
        <w:t xml:space="preserve">fatorial fracionado de três níveis e quatro fatores. O percentual de Cu (Cu%), concentração de glicerol (Gli., </w:t>
      </w:r>
      <w:r w:rsidR="00C13130">
        <w:rPr>
          <w:rFonts w:ascii="Times New Roman" w:hAnsi="Times New Roman"/>
          <w:lang w:val="pt-BR"/>
        </w:rPr>
        <w:t>%</w:t>
      </w:r>
      <w:r w:rsidR="00445E0B">
        <w:rPr>
          <w:rFonts w:ascii="Times New Roman" w:hAnsi="Times New Roman"/>
          <w:lang w:val="pt-BR"/>
        </w:rPr>
        <w:t>), pH inicial e dosagem de catalisador (Cat., g.L</w:t>
      </w:r>
      <w:r w:rsidR="00445E0B" w:rsidRPr="00445E0B">
        <w:rPr>
          <w:rFonts w:ascii="Times New Roman" w:hAnsi="Times New Roman"/>
          <w:vertAlign w:val="superscript"/>
          <w:lang w:val="pt-BR"/>
        </w:rPr>
        <w:t>-1</w:t>
      </w:r>
      <w:r w:rsidR="00445E0B">
        <w:rPr>
          <w:rFonts w:ascii="Times New Roman" w:hAnsi="Times New Roman"/>
          <w:lang w:val="pt-BR"/>
        </w:rPr>
        <w:t>) foram definidos como variáveis independentes. A quantidade de H</w:t>
      </w:r>
      <w:r w:rsidR="00445E0B" w:rsidRPr="006D7C90">
        <w:rPr>
          <w:rFonts w:ascii="Times New Roman" w:hAnsi="Times New Roman"/>
          <w:vertAlign w:val="subscript"/>
          <w:lang w:val="pt-BR"/>
        </w:rPr>
        <w:t>2</w:t>
      </w:r>
      <w:r w:rsidR="00445E0B">
        <w:rPr>
          <w:rFonts w:ascii="Times New Roman" w:hAnsi="Times New Roman"/>
          <w:lang w:val="pt-BR"/>
        </w:rPr>
        <w:t>/grama de catalisador foi escolhida como resposta de interesse (</w:t>
      </w:r>
      <w:r w:rsidR="00EE433B">
        <w:rPr>
          <w:rFonts w:ascii="Times New Roman" w:hAnsi="Times New Roman"/>
          <w:lang w:val="pt-BR"/>
        </w:rPr>
        <w:t>Y</w:t>
      </w:r>
      <w:r w:rsidR="00C13130" w:rsidRPr="00C13130">
        <w:rPr>
          <w:rFonts w:ascii="Times New Roman" w:hAnsi="Times New Roman"/>
          <w:vertAlign w:val="subscript"/>
          <w:lang w:val="pt-BR"/>
        </w:rPr>
        <w:t>H2</w:t>
      </w:r>
      <w:r w:rsidR="00EE433B">
        <w:rPr>
          <w:rFonts w:ascii="Times New Roman" w:hAnsi="Times New Roman"/>
          <w:lang w:val="pt-BR"/>
        </w:rPr>
        <w:t xml:space="preserve">, </w:t>
      </w:r>
      <w:r w:rsidR="00445E0B">
        <w:rPr>
          <w:rFonts w:ascii="Times New Roman" w:hAnsi="Times New Roman"/>
          <w:lang w:val="pt-BR"/>
        </w:rPr>
        <w:t>mmol H</w:t>
      </w:r>
      <w:r w:rsidR="00445E0B" w:rsidRPr="00445E0B">
        <w:rPr>
          <w:rFonts w:ascii="Times New Roman" w:hAnsi="Times New Roman"/>
          <w:vertAlign w:val="subscript"/>
          <w:lang w:val="pt-BR"/>
        </w:rPr>
        <w:t>2</w:t>
      </w:r>
      <w:r w:rsidR="00445E0B">
        <w:rPr>
          <w:rFonts w:ascii="Times New Roman" w:hAnsi="Times New Roman"/>
          <w:lang w:val="pt-BR"/>
        </w:rPr>
        <w:t>.gcat</w:t>
      </w:r>
      <w:r w:rsidR="00445E0B" w:rsidRPr="00445E0B">
        <w:rPr>
          <w:rFonts w:ascii="Times New Roman" w:hAnsi="Times New Roman"/>
          <w:vertAlign w:val="superscript"/>
          <w:lang w:val="pt-BR"/>
        </w:rPr>
        <w:t>-1</w:t>
      </w:r>
      <w:r w:rsidR="00445E0B">
        <w:rPr>
          <w:rFonts w:ascii="Times New Roman" w:hAnsi="Times New Roman"/>
          <w:lang w:val="pt-BR"/>
        </w:rPr>
        <w:t>).</w:t>
      </w:r>
    </w:p>
    <w:p w14:paraId="3C2466C9" w14:textId="77777777" w:rsidR="008E0784" w:rsidRDefault="008E0784" w:rsidP="00C33A17">
      <w:pPr>
        <w:pStyle w:val="TAMainText"/>
        <w:ind w:firstLine="204"/>
        <w:rPr>
          <w:rFonts w:ascii="Times New Roman" w:hAnsi="Times New Roman"/>
          <w:lang w:val="pt-BR"/>
        </w:rPr>
      </w:pPr>
    </w:p>
    <w:p w14:paraId="136BD1AC" w14:textId="515886CE" w:rsidR="00EA4E1B" w:rsidRDefault="00A74261" w:rsidP="008716B4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</w:t>
      </w:r>
      <w:r w:rsidR="00EA4E1B" w:rsidRPr="001F25B2">
        <w:rPr>
          <w:rFonts w:ascii="Helvetica" w:hAnsi="Helvetica" w:cs="Helvetica"/>
          <w:sz w:val="24"/>
          <w:szCs w:val="24"/>
        </w:rPr>
        <w:t>esultados e Discussão</w:t>
      </w:r>
    </w:p>
    <w:p w14:paraId="4E231BEC" w14:textId="77777777" w:rsidR="00795A09" w:rsidRDefault="00795A09" w:rsidP="00795A09">
      <w:pPr>
        <w:spacing w:after="0" w:line="240" w:lineRule="exac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Análise do teor de Cu</w:t>
      </w:r>
    </w:p>
    <w:p w14:paraId="454D201F" w14:textId="7666504A" w:rsidR="002F65BC" w:rsidRDefault="00A50C5E" w:rsidP="009C451A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teor de Cu dos catalisadores foi determinado por espectroscopia de absorção atômica. </w:t>
      </w:r>
      <w:r w:rsidR="00DE1CE6">
        <w:rPr>
          <w:rFonts w:ascii="Times New Roman" w:hAnsi="Times New Roman" w:cs="Times New Roman"/>
          <w:sz w:val="20"/>
          <w:szCs w:val="20"/>
        </w:rPr>
        <w:t>Os resultados apresentados na Tabela 1 demonstram que o método de fotodeposição escolhido foi satisfatório para imobilização do metal sobre TiO</w:t>
      </w:r>
      <w:r w:rsidR="00DE1CE6" w:rsidRPr="00DE1CE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795A09">
        <w:rPr>
          <w:rFonts w:ascii="Times New Roman" w:hAnsi="Times New Roman" w:cs="Times New Roman"/>
          <w:sz w:val="20"/>
          <w:szCs w:val="20"/>
        </w:rPr>
        <w:t>, cujos valores são muito próximos aos teorizados pelo planejamento estatístico.</w:t>
      </w:r>
    </w:p>
    <w:p w14:paraId="7951FE34" w14:textId="77777777" w:rsidR="00795A09" w:rsidRDefault="00795A09" w:rsidP="00795A0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3FB1022B" w14:textId="77777777" w:rsidR="001A1A39" w:rsidRDefault="001A1A39" w:rsidP="00795A09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0FB964B8" w14:textId="5F0A0893" w:rsidR="00923346" w:rsidRPr="00E038AF" w:rsidRDefault="00923346" w:rsidP="00923346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lastRenderedPageBreak/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 w:rsidRPr="001A1A39">
        <w:t xml:space="preserve">Percentual de Cu para </w:t>
      </w:r>
      <w:proofErr w:type="spellStart"/>
      <w:r w:rsidRPr="001A1A39">
        <w:t>catalisadores</w:t>
      </w:r>
      <w:proofErr w:type="spellEnd"/>
      <w:r w:rsidRPr="001A1A39">
        <w:t xml:space="preserve"> TiO2@Cu </w:t>
      </w:r>
      <w:proofErr w:type="spellStart"/>
      <w:r w:rsidRPr="001A1A39">
        <w:t>determinados</w:t>
      </w:r>
      <w:proofErr w:type="spellEnd"/>
      <w:r w:rsidRPr="001A1A39">
        <w:t xml:space="preserve"> </w:t>
      </w:r>
      <w:proofErr w:type="spellStart"/>
      <w:r w:rsidRPr="001A1A39">
        <w:t>por</w:t>
      </w:r>
      <w:proofErr w:type="spellEnd"/>
      <w:r w:rsidR="005B54F2" w:rsidRPr="001A1A39">
        <w:t xml:space="preserve"> </w:t>
      </w:r>
      <w:proofErr w:type="spellStart"/>
      <w:r w:rsidR="005B54F2" w:rsidRPr="001A1A39">
        <w:t>espectroscopia</w:t>
      </w:r>
      <w:proofErr w:type="spellEnd"/>
      <w:r w:rsidRPr="001A1A39">
        <w:t xml:space="preserve"> </w:t>
      </w:r>
      <w:proofErr w:type="spellStart"/>
      <w:r w:rsidRPr="001A1A39">
        <w:t>absorção</w:t>
      </w:r>
      <w:proofErr w:type="spellEnd"/>
      <w:r w:rsidRPr="001A1A39">
        <w:t xml:space="preserve"> </w:t>
      </w:r>
      <w:proofErr w:type="spellStart"/>
      <w:r w:rsidRPr="001A1A39">
        <w:t>atômica</w:t>
      </w:r>
      <w:proofErr w:type="spellEnd"/>
      <w:r w:rsidRPr="001A1A39"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1121"/>
        <w:gridCol w:w="891"/>
      </w:tblGrid>
      <w:tr w:rsidR="00D5102D" w:rsidRPr="00795A09" w14:paraId="20845BD0" w14:textId="77777777" w:rsidTr="00795A09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E72C4" w14:textId="77777777" w:rsidR="00D5102D" w:rsidRPr="00795A09" w:rsidRDefault="00D5102D" w:rsidP="001A1A39">
            <w:pPr>
              <w:pStyle w:val="TCTableBody"/>
            </w:pPr>
            <w:r w:rsidRPr="00795A09">
              <w:t>Amostras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58A2B" w14:textId="77777777" w:rsidR="00D5102D" w:rsidRPr="00795A09" w:rsidRDefault="00D5102D" w:rsidP="001A1A39">
            <w:pPr>
              <w:pStyle w:val="TCTableBody"/>
            </w:pPr>
            <w:r w:rsidRPr="00795A09">
              <w:t>%Cu teórico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599C" w14:textId="7AB8D203" w:rsidR="00D5102D" w:rsidRPr="00795A09" w:rsidRDefault="00D5102D" w:rsidP="001A1A39">
            <w:pPr>
              <w:pStyle w:val="TCTableBody"/>
            </w:pPr>
            <w:r w:rsidRPr="00795A09">
              <w:t>%Cu real</w:t>
            </w:r>
          </w:p>
        </w:tc>
      </w:tr>
      <w:tr w:rsidR="00D5102D" w:rsidRPr="00795A09" w14:paraId="1EA6B10B" w14:textId="77777777" w:rsidTr="00795A09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C2FF80" w14:textId="33F2FC16" w:rsidR="00D5102D" w:rsidRPr="00795A09" w:rsidRDefault="00D5102D" w:rsidP="001A1A39">
            <w:pPr>
              <w:pStyle w:val="TCTableBody"/>
            </w:pPr>
            <w:r w:rsidRPr="00795A09">
              <w:t>TiO</w:t>
            </w:r>
            <w:r w:rsidRPr="00795A09">
              <w:rPr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3D0892C" w14:textId="21DCD942" w:rsidR="00D5102D" w:rsidRPr="00795A09" w:rsidRDefault="00D5102D" w:rsidP="001A1A39">
            <w:pPr>
              <w:pStyle w:val="TCTableBody"/>
            </w:pPr>
            <w:r w:rsidRPr="00795A09"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22B3541" w14:textId="76BC70B9" w:rsidR="00D5102D" w:rsidRPr="00795A09" w:rsidRDefault="00D5102D" w:rsidP="001A1A39">
            <w:pPr>
              <w:pStyle w:val="TCTableBody"/>
            </w:pPr>
            <w:r w:rsidRPr="00795A09">
              <w:t>0,0</w:t>
            </w:r>
            <w:r w:rsidR="00AE678E" w:rsidRPr="00795A09">
              <w:t>0</w:t>
            </w:r>
          </w:p>
        </w:tc>
      </w:tr>
      <w:tr w:rsidR="00D5102D" w:rsidRPr="00795A09" w14:paraId="51AA0D2E" w14:textId="77777777" w:rsidTr="00795A09">
        <w:trPr>
          <w:jc w:val="center"/>
        </w:trPr>
        <w:tc>
          <w:tcPr>
            <w:tcW w:w="0" w:type="auto"/>
            <w:vAlign w:val="center"/>
          </w:tcPr>
          <w:p w14:paraId="7BE2AFD6" w14:textId="77777777" w:rsidR="00D5102D" w:rsidRPr="00795A09" w:rsidRDefault="00D5102D" w:rsidP="001A1A39">
            <w:pPr>
              <w:pStyle w:val="TCTableBody"/>
            </w:pPr>
            <w:r w:rsidRPr="00795A09">
              <w:t>TiO</w:t>
            </w:r>
            <w:r w:rsidRPr="00795A09">
              <w:rPr>
                <w:vertAlign w:val="subscript"/>
              </w:rPr>
              <w:t>2</w:t>
            </w:r>
            <w:r w:rsidRPr="00795A09">
              <w:t>@Cu</w:t>
            </w:r>
            <w:r w:rsidRPr="00795A09">
              <w:rPr>
                <w:vertAlign w:val="subscript"/>
              </w:rPr>
              <w:t>0,20</w:t>
            </w:r>
          </w:p>
        </w:tc>
        <w:tc>
          <w:tcPr>
            <w:tcW w:w="0" w:type="auto"/>
            <w:vAlign w:val="center"/>
          </w:tcPr>
          <w:p w14:paraId="42809177" w14:textId="0149A382" w:rsidR="00D5102D" w:rsidRPr="00795A09" w:rsidRDefault="00D5102D" w:rsidP="001A1A39">
            <w:pPr>
              <w:pStyle w:val="TCTableBody"/>
            </w:pPr>
            <w:r w:rsidRPr="00795A09">
              <w:t>0,20</w:t>
            </w:r>
          </w:p>
        </w:tc>
        <w:tc>
          <w:tcPr>
            <w:tcW w:w="0" w:type="auto"/>
            <w:vAlign w:val="center"/>
          </w:tcPr>
          <w:p w14:paraId="59594B49" w14:textId="236D4DF6" w:rsidR="00D5102D" w:rsidRPr="00795A09" w:rsidRDefault="00D5102D" w:rsidP="001A1A39">
            <w:pPr>
              <w:pStyle w:val="TCTableBody"/>
            </w:pPr>
            <w:r w:rsidRPr="00795A09">
              <w:t>0,15</w:t>
            </w:r>
          </w:p>
        </w:tc>
      </w:tr>
      <w:tr w:rsidR="00D5102D" w:rsidRPr="00795A09" w14:paraId="0174DEA1" w14:textId="77777777" w:rsidTr="00795A09">
        <w:trPr>
          <w:jc w:val="center"/>
        </w:trPr>
        <w:tc>
          <w:tcPr>
            <w:tcW w:w="0" w:type="auto"/>
            <w:vAlign w:val="center"/>
          </w:tcPr>
          <w:p w14:paraId="03C87981" w14:textId="77777777" w:rsidR="00D5102D" w:rsidRPr="00795A09" w:rsidRDefault="00D5102D" w:rsidP="001A1A39">
            <w:pPr>
              <w:pStyle w:val="TCTableBody"/>
            </w:pPr>
            <w:r w:rsidRPr="00795A09">
              <w:t>TiO</w:t>
            </w:r>
            <w:r w:rsidRPr="00795A09">
              <w:rPr>
                <w:vertAlign w:val="subscript"/>
              </w:rPr>
              <w:t>2</w:t>
            </w:r>
            <w:r w:rsidRPr="00795A09">
              <w:t>@Cu</w:t>
            </w:r>
            <w:r w:rsidRPr="00795A09">
              <w:rPr>
                <w:vertAlign w:val="subscript"/>
              </w:rPr>
              <w:t>0,45</w:t>
            </w:r>
          </w:p>
        </w:tc>
        <w:tc>
          <w:tcPr>
            <w:tcW w:w="0" w:type="auto"/>
            <w:vAlign w:val="center"/>
          </w:tcPr>
          <w:p w14:paraId="3CE9EA88" w14:textId="01126A6D" w:rsidR="00D5102D" w:rsidRPr="00795A09" w:rsidRDefault="00D5102D" w:rsidP="001A1A39">
            <w:pPr>
              <w:pStyle w:val="TCTableBody"/>
            </w:pPr>
            <w:r w:rsidRPr="00795A09">
              <w:t>0,45</w:t>
            </w:r>
          </w:p>
        </w:tc>
        <w:tc>
          <w:tcPr>
            <w:tcW w:w="0" w:type="auto"/>
            <w:vAlign w:val="center"/>
          </w:tcPr>
          <w:p w14:paraId="74D744BC" w14:textId="335494C9" w:rsidR="00D5102D" w:rsidRPr="00795A09" w:rsidRDefault="00D5102D" w:rsidP="001A1A39">
            <w:pPr>
              <w:pStyle w:val="TCTableBody"/>
            </w:pPr>
            <w:r w:rsidRPr="00795A09">
              <w:t>0,44</w:t>
            </w:r>
          </w:p>
        </w:tc>
      </w:tr>
      <w:tr w:rsidR="00D5102D" w:rsidRPr="00795A09" w14:paraId="09B15B8A" w14:textId="77777777" w:rsidTr="00795A09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8D838D" w14:textId="77777777" w:rsidR="00D5102D" w:rsidRPr="00795A09" w:rsidRDefault="00D5102D" w:rsidP="001A1A39">
            <w:pPr>
              <w:pStyle w:val="TCTableBody"/>
            </w:pPr>
            <w:r w:rsidRPr="00795A09">
              <w:t>TiO</w:t>
            </w:r>
            <w:r w:rsidRPr="00795A09">
              <w:rPr>
                <w:vertAlign w:val="subscript"/>
              </w:rPr>
              <w:t>2</w:t>
            </w:r>
            <w:r w:rsidRPr="00795A09">
              <w:t>@Cu</w:t>
            </w:r>
            <w:r w:rsidRPr="00795A09">
              <w:rPr>
                <w:vertAlign w:val="subscript"/>
              </w:rPr>
              <w:t>0,70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FCB9D9" w14:textId="3A8993EB" w:rsidR="00D5102D" w:rsidRPr="00795A09" w:rsidRDefault="00D5102D" w:rsidP="001A1A39">
            <w:pPr>
              <w:pStyle w:val="TCTableBody"/>
            </w:pPr>
            <w:r w:rsidRPr="00795A09">
              <w:t>0,70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72A85A" w14:textId="4EDCA242" w:rsidR="00D5102D" w:rsidRPr="00795A09" w:rsidRDefault="00D5102D" w:rsidP="001A1A39">
            <w:pPr>
              <w:pStyle w:val="TCTableBody"/>
            </w:pPr>
            <w:r w:rsidRPr="00795A09">
              <w:t>0,67</w:t>
            </w:r>
          </w:p>
        </w:tc>
      </w:tr>
    </w:tbl>
    <w:p w14:paraId="69B36905" w14:textId="77777777" w:rsidR="00D6512D" w:rsidRDefault="00D6512D" w:rsidP="00D6512D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56C790FD" w14:textId="77777777" w:rsidR="0044245F" w:rsidRDefault="0044245F" w:rsidP="0097373B">
      <w:pPr>
        <w:pStyle w:val="VAFigureCaption"/>
        <w:spacing w:before="0"/>
        <w:rPr>
          <w:rFonts w:ascii="Times New Roman" w:hAnsi="Times New Roman"/>
          <w:bCs/>
          <w:i/>
          <w:iCs/>
          <w:lang w:val="pt-BR"/>
        </w:rPr>
      </w:pPr>
    </w:p>
    <w:p w14:paraId="047583DD" w14:textId="04EB6D2A" w:rsidR="0097373B" w:rsidRDefault="00795A09" w:rsidP="0097373B">
      <w:pPr>
        <w:pStyle w:val="VAFigureCaption"/>
        <w:spacing w:before="0"/>
        <w:rPr>
          <w:rFonts w:ascii="Times New Roman" w:hAnsi="Times New Roman"/>
          <w:bCs/>
          <w:i/>
          <w:iCs/>
          <w:lang w:val="pt-BR"/>
        </w:rPr>
      </w:pPr>
      <w:r>
        <w:rPr>
          <w:rFonts w:ascii="Times New Roman" w:hAnsi="Times New Roman"/>
          <w:bCs/>
          <w:i/>
          <w:iCs/>
          <w:lang w:val="pt-BR"/>
        </w:rPr>
        <w:t>Estudo estatístico de variávei</w:t>
      </w:r>
      <w:r w:rsidR="0097373B">
        <w:rPr>
          <w:rFonts w:ascii="Times New Roman" w:hAnsi="Times New Roman"/>
          <w:bCs/>
          <w:i/>
          <w:iCs/>
          <w:lang w:val="pt-BR"/>
        </w:rPr>
        <w:t>s</w:t>
      </w:r>
    </w:p>
    <w:p w14:paraId="0D8542AC" w14:textId="3A844824" w:rsidR="00BC31D2" w:rsidRDefault="00BC31D2" w:rsidP="00BC31D2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BD1C54">
        <w:rPr>
          <w:rFonts w:ascii="Times New Roman" w:hAnsi="Times New Roman" w:cs="Times New Roman"/>
          <w:sz w:val="20"/>
          <w:szCs w:val="20"/>
          <w:lang w:eastAsia="pt-BR"/>
        </w:rPr>
        <w:t>O gráfico de Pareto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(Figura 2) exibe a distribuição das variáveis significativas (</w:t>
      </w:r>
      <w:r w:rsidRPr="006E195A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p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 = 0,05) para o modelo do sistema e auxilia na análise da contribuição dos fatores. Os resultados obtidos para o planejamento fatorial demonstram que a dosagem de catalisador é a principal variável responsável pelas mudanças da resposta (Y</w:t>
      </w:r>
      <w:r w:rsidRPr="00BD1C54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H2</w:t>
      </w:r>
      <w:r>
        <w:rPr>
          <w:rFonts w:ascii="Times New Roman" w:hAnsi="Times New Roman" w:cs="Times New Roman"/>
          <w:sz w:val="20"/>
          <w:szCs w:val="20"/>
          <w:lang w:eastAsia="pt-BR"/>
        </w:rPr>
        <w:t>) de produção de H</w:t>
      </w:r>
      <w:r w:rsidRPr="00BD1C54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>
        <w:rPr>
          <w:rFonts w:ascii="Times New Roman" w:hAnsi="Times New Roman" w:cs="Times New Roman"/>
          <w:sz w:val="20"/>
          <w:szCs w:val="20"/>
          <w:lang w:eastAsia="pt-BR"/>
        </w:rPr>
        <w:t>, seguida pelo percentual de Cu, bem como a interação entre ambas as variáveis.</w:t>
      </w:r>
    </w:p>
    <w:p w14:paraId="4C5B85B8" w14:textId="77777777" w:rsidR="00BC31D2" w:rsidRDefault="00BC31D2" w:rsidP="00BC31D2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6E25B763" w14:textId="7FD071A1" w:rsidR="00BC31D2" w:rsidRPr="000C2948" w:rsidRDefault="00BC31D2" w:rsidP="00BC31D2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Gráfico de Pareto de efeitos padronizados das variáveis de evolução fotocatalítica de H</w:t>
      </w:r>
      <w:r w:rsidRPr="00D6512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por catalisadores TiO</w:t>
      </w:r>
      <w:r w:rsidRPr="00D6512D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@Cu.</w:t>
      </w:r>
    </w:p>
    <w:p w14:paraId="37F93F1C" w14:textId="09870361" w:rsidR="00BC31D2" w:rsidRDefault="008029E6" w:rsidP="00BC31D2">
      <w:pPr>
        <w:jc w:val="center"/>
      </w:pPr>
      <w:r>
        <w:object w:dxaOrig="6572" w:dyaOrig="4592" w14:anchorId="64BEF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6pt;height:145.4pt" o:ole="">
            <v:imagedata r:id="rId10" o:title="" croptop="5355f" cropbottom="8462f" cropleft="1031f" cropright="5648f"/>
          </v:shape>
          <o:OLEObject Type="Embed" ProgID="Origin50.Graph" ShapeID="_x0000_i1025" DrawAspect="Content" ObjectID="_1744271040" r:id="rId11"/>
        </w:object>
      </w:r>
    </w:p>
    <w:p w14:paraId="6FF6EF9C" w14:textId="77777777" w:rsidR="00BC31D2" w:rsidRDefault="00BC31D2" w:rsidP="00BC31D2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modelo proposto para evolução de H</w:t>
      </w:r>
      <w:r w:rsidRPr="0062421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do sistema fotocatalítico pode ser representado pela Equação 1:</w:t>
      </w:r>
    </w:p>
    <w:p w14:paraId="6F5316B9" w14:textId="77777777" w:rsidR="00BC31D2" w:rsidRDefault="00BC31D2" w:rsidP="00BC31D2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4AC2B4FA" w14:textId="0CD9ED19" w:rsidR="00BC31D2" w:rsidRDefault="00000000" w:rsidP="00BC31D2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H2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=7,12+1,15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-2,04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1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p>
        </m:sSubSup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+0,43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-0,75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p>
        </m:sSubSup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+0,51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-0,21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3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p>
        </m:sSubSup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-2,77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+1,23</m:t>
        </m:r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4</m:t>
            </m:r>
          </m:sub>
          <m:sup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p>
        </m:sSubSup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-0,35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-0,09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-0,97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-0,17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-0,25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  <w:sz w:val="14"/>
            <w:szCs w:val="14"/>
          </w:rPr>
          <m:t>-0,49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14"/>
                <w:szCs w:val="1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14"/>
                <w:szCs w:val="14"/>
              </w:rPr>
              <m:t>4</m:t>
            </m:r>
          </m:sub>
        </m:sSub>
      </m:oMath>
      <w:r w:rsidR="00BC31D2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="00745D5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</w:t>
      </w:r>
      <w:r w:rsidR="00BC31D2">
        <w:rPr>
          <w:rFonts w:ascii="Times New Roman" w:hAnsi="Times New Roman" w:cs="Times New Roman"/>
          <w:color w:val="000000" w:themeColor="text1"/>
          <w:sz w:val="20"/>
          <w:szCs w:val="20"/>
        </w:rPr>
        <w:t>(0</w:t>
      </w:r>
      <w:r w:rsidR="00BC31D2" w:rsidRPr="0062421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BC31D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3FB166A" w14:textId="77777777" w:rsidR="00132ACD" w:rsidRDefault="00132ACD" w:rsidP="003D0A26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3725507B" w14:textId="77777777" w:rsidR="00132ACD" w:rsidRDefault="00132ACD" w:rsidP="003D0A26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32139AE4" w14:textId="5D223995" w:rsidR="0097373B" w:rsidRDefault="00132ACD" w:rsidP="003D0A26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sz w:val="20"/>
          <w:szCs w:val="20"/>
          <w:lang w:eastAsia="pt-BR"/>
        </w:rPr>
        <w:t xml:space="preserve">O modelo matemático de produção de hidrogênio apresentado na Equação 01 permite </w:t>
      </w:r>
      <w:r w:rsidR="00BA1CE2">
        <w:rPr>
          <w:rFonts w:ascii="Times New Roman" w:hAnsi="Times New Roman" w:cs="Times New Roman"/>
          <w:sz w:val="20"/>
          <w:szCs w:val="20"/>
          <w:lang w:eastAsia="pt-BR"/>
        </w:rPr>
        <w:t>prever a quantidade de H</w:t>
      </w:r>
      <w:r w:rsidR="00BA1CE2" w:rsidRPr="005F78B4">
        <w:rPr>
          <w:rFonts w:ascii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BA1CE2">
        <w:rPr>
          <w:rFonts w:ascii="Times New Roman" w:hAnsi="Times New Roman" w:cs="Times New Roman"/>
          <w:sz w:val="20"/>
          <w:szCs w:val="20"/>
          <w:lang w:eastAsia="pt-BR"/>
        </w:rPr>
        <w:t xml:space="preserve"> produzido frente a diferentes condições reacionais dentro dos limites de cada parâmetro testado. </w:t>
      </w:r>
      <w:r w:rsidR="0097373B">
        <w:rPr>
          <w:rFonts w:ascii="Times New Roman" w:hAnsi="Times New Roman" w:cs="Times New Roman"/>
          <w:sz w:val="20"/>
          <w:szCs w:val="20"/>
          <w:lang w:eastAsia="pt-BR"/>
        </w:rPr>
        <w:t xml:space="preserve">A partir da análise de variância (ANOVA) foi </w:t>
      </w:r>
      <w:r w:rsidR="0038406F">
        <w:rPr>
          <w:rFonts w:ascii="Times New Roman" w:hAnsi="Times New Roman" w:cs="Times New Roman"/>
          <w:sz w:val="20"/>
          <w:szCs w:val="20"/>
          <w:lang w:eastAsia="pt-BR"/>
        </w:rPr>
        <w:t>avaliado</w:t>
      </w:r>
      <w:r w:rsidR="0097373B">
        <w:rPr>
          <w:rFonts w:ascii="Times New Roman" w:hAnsi="Times New Roman" w:cs="Times New Roman"/>
          <w:sz w:val="20"/>
          <w:szCs w:val="20"/>
          <w:lang w:eastAsia="pt-BR"/>
        </w:rPr>
        <w:t xml:space="preserve"> o ajuste </w:t>
      </w:r>
      <w:r w:rsidR="00CD35CC">
        <w:rPr>
          <w:rFonts w:ascii="Times New Roman" w:hAnsi="Times New Roman" w:cs="Times New Roman"/>
          <w:sz w:val="20"/>
          <w:szCs w:val="20"/>
          <w:lang w:eastAsia="pt-BR"/>
        </w:rPr>
        <w:t>entre os dados</w:t>
      </w:r>
      <w:r w:rsidR="00AC581B">
        <w:rPr>
          <w:rFonts w:ascii="Times New Roman" w:hAnsi="Times New Roman" w:cs="Times New Roman"/>
          <w:sz w:val="20"/>
          <w:szCs w:val="20"/>
          <w:lang w:eastAsia="pt-BR"/>
        </w:rPr>
        <w:t xml:space="preserve"> da produção teórica de hidrogênio </w:t>
      </w:r>
      <w:r w:rsidR="00CD35CC">
        <w:rPr>
          <w:rFonts w:ascii="Times New Roman" w:hAnsi="Times New Roman" w:cs="Times New Roman"/>
          <w:sz w:val="20"/>
          <w:szCs w:val="20"/>
          <w:lang w:eastAsia="pt-BR"/>
        </w:rPr>
        <w:t>em função dos valores observados</w:t>
      </w:r>
      <w:r w:rsidR="002521A4">
        <w:rPr>
          <w:rFonts w:ascii="Times New Roman" w:hAnsi="Times New Roman" w:cs="Times New Roman"/>
          <w:sz w:val="20"/>
          <w:szCs w:val="20"/>
          <w:lang w:eastAsia="pt-BR"/>
        </w:rPr>
        <w:t xml:space="preserve">. </w:t>
      </w:r>
      <w:r w:rsidR="0097373B">
        <w:rPr>
          <w:rFonts w:ascii="Times New Roman" w:hAnsi="Times New Roman" w:cs="Times New Roman"/>
          <w:sz w:val="20"/>
          <w:szCs w:val="20"/>
          <w:lang w:eastAsia="pt-BR"/>
        </w:rPr>
        <w:t xml:space="preserve">A Figura </w:t>
      </w:r>
      <w:r w:rsidR="007C73B5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3A6DBD">
        <w:rPr>
          <w:rFonts w:ascii="Times New Roman" w:hAnsi="Times New Roman" w:cs="Times New Roman"/>
          <w:sz w:val="20"/>
          <w:szCs w:val="20"/>
          <w:lang w:eastAsia="pt-BR"/>
        </w:rPr>
        <w:t xml:space="preserve">a </w:t>
      </w:r>
      <w:r w:rsidR="000C1909">
        <w:rPr>
          <w:rFonts w:ascii="Times New Roman" w:hAnsi="Times New Roman" w:cs="Times New Roman"/>
          <w:sz w:val="20"/>
          <w:szCs w:val="20"/>
          <w:lang w:eastAsia="pt-BR"/>
        </w:rPr>
        <w:t xml:space="preserve">apresenta os valores preditos </w:t>
      </w:r>
      <w:r w:rsidR="007F0C7C">
        <w:rPr>
          <w:rFonts w:ascii="Times New Roman" w:hAnsi="Times New Roman" w:cs="Times New Roman"/>
          <w:sz w:val="20"/>
          <w:szCs w:val="20"/>
          <w:lang w:eastAsia="pt-BR"/>
        </w:rPr>
        <w:t>e observados, sendo percep</w:t>
      </w:r>
      <w:r w:rsidR="009E12EA">
        <w:rPr>
          <w:rFonts w:ascii="Times New Roman" w:hAnsi="Times New Roman" w:cs="Times New Roman"/>
          <w:sz w:val="20"/>
          <w:szCs w:val="20"/>
          <w:lang w:eastAsia="pt-BR"/>
        </w:rPr>
        <w:t>t</w:t>
      </w:r>
      <w:r w:rsidR="007F0C7C">
        <w:rPr>
          <w:rFonts w:ascii="Times New Roman" w:hAnsi="Times New Roman" w:cs="Times New Roman"/>
          <w:sz w:val="20"/>
          <w:szCs w:val="20"/>
          <w:lang w:eastAsia="pt-BR"/>
        </w:rPr>
        <w:t xml:space="preserve">ível </w:t>
      </w:r>
      <w:r w:rsidR="009E12EA">
        <w:rPr>
          <w:rFonts w:ascii="Times New Roman" w:hAnsi="Times New Roman" w:cs="Times New Roman"/>
          <w:sz w:val="20"/>
          <w:szCs w:val="20"/>
          <w:lang w:eastAsia="pt-BR"/>
        </w:rPr>
        <w:t xml:space="preserve">uma forte correlação entre os </w:t>
      </w:r>
      <w:r w:rsidR="009E12EA">
        <w:rPr>
          <w:rFonts w:ascii="Times New Roman" w:hAnsi="Times New Roman" w:cs="Times New Roman"/>
          <w:sz w:val="20"/>
          <w:szCs w:val="20"/>
          <w:lang w:eastAsia="pt-BR"/>
        </w:rPr>
        <w:t>valores, com um</w:t>
      </w:r>
      <w:r w:rsidR="00986933">
        <w:rPr>
          <w:rFonts w:ascii="Times New Roman" w:hAnsi="Times New Roman" w:cs="Times New Roman"/>
          <w:sz w:val="20"/>
          <w:szCs w:val="20"/>
          <w:lang w:eastAsia="pt-BR"/>
        </w:rPr>
        <w:t xml:space="preserve"> coeficiente de determinação</w:t>
      </w:r>
      <w:r w:rsidR="009E12EA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86933">
        <w:rPr>
          <w:rFonts w:ascii="Times New Roman" w:hAnsi="Times New Roman" w:cs="Times New Roman"/>
          <w:sz w:val="20"/>
          <w:szCs w:val="20"/>
          <w:lang w:eastAsia="pt-BR"/>
        </w:rPr>
        <w:t>(</w:t>
      </w:r>
      <w:r w:rsidR="0097373B">
        <w:rPr>
          <w:rFonts w:ascii="Times New Roman" w:hAnsi="Times New Roman" w:cs="Times New Roman"/>
          <w:sz w:val="20"/>
          <w:szCs w:val="20"/>
          <w:lang w:eastAsia="pt-BR"/>
        </w:rPr>
        <w:t>R</w:t>
      </w:r>
      <w:r w:rsidR="0097373B" w:rsidRPr="0097373B">
        <w:rPr>
          <w:rFonts w:ascii="Times New Roman" w:hAnsi="Times New Roman" w:cs="Times New Roman"/>
          <w:sz w:val="20"/>
          <w:szCs w:val="20"/>
          <w:vertAlign w:val="superscript"/>
          <w:lang w:eastAsia="pt-BR"/>
        </w:rPr>
        <w:t>2</w:t>
      </w:r>
      <w:r w:rsidR="00986933">
        <w:rPr>
          <w:rFonts w:ascii="Times New Roman" w:hAnsi="Times New Roman" w:cs="Times New Roman"/>
          <w:sz w:val="20"/>
          <w:szCs w:val="20"/>
          <w:lang w:eastAsia="pt-BR"/>
        </w:rPr>
        <w:t>) que explica cerca</w:t>
      </w:r>
      <w:r w:rsidR="0097373B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E12EA">
        <w:rPr>
          <w:rFonts w:ascii="Times New Roman" w:hAnsi="Times New Roman" w:cs="Times New Roman"/>
          <w:sz w:val="20"/>
          <w:szCs w:val="20"/>
          <w:lang w:eastAsia="pt-BR"/>
        </w:rPr>
        <w:t>de 94,5%</w:t>
      </w:r>
      <w:r w:rsidR="00731691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7373B">
        <w:rPr>
          <w:rFonts w:ascii="Times New Roman" w:hAnsi="Times New Roman" w:cs="Times New Roman"/>
          <w:sz w:val="20"/>
          <w:szCs w:val="20"/>
          <w:lang w:eastAsia="pt-BR"/>
        </w:rPr>
        <w:t>da variabilidade do sistema</w:t>
      </w:r>
      <w:r w:rsidR="00621A80">
        <w:rPr>
          <w:rFonts w:ascii="Times New Roman" w:hAnsi="Times New Roman" w:cs="Times New Roman"/>
          <w:sz w:val="20"/>
          <w:szCs w:val="20"/>
          <w:lang w:eastAsia="pt-BR"/>
        </w:rPr>
        <w:t xml:space="preserve">, que é corroborada pela probabilidade normal de resíduos (Figura </w:t>
      </w:r>
      <w:r w:rsidR="007C73B5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731691">
        <w:rPr>
          <w:rFonts w:ascii="Times New Roman" w:hAnsi="Times New Roman" w:cs="Times New Roman"/>
          <w:sz w:val="20"/>
          <w:szCs w:val="20"/>
          <w:lang w:eastAsia="pt-BR"/>
        </w:rPr>
        <w:t>b</w:t>
      </w:r>
      <w:r w:rsidR="00621A80">
        <w:rPr>
          <w:rFonts w:ascii="Times New Roman" w:hAnsi="Times New Roman" w:cs="Times New Roman"/>
          <w:sz w:val="20"/>
          <w:szCs w:val="20"/>
          <w:lang w:eastAsia="pt-BR"/>
        </w:rPr>
        <w:t>)</w:t>
      </w:r>
      <w:r w:rsidR="00923101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731691">
        <w:rPr>
          <w:rFonts w:ascii="Times New Roman" w:hAnsi="Times New Roman" w:cs="Times New Roman"/>
          <w:sz w:val="20"/>
          <w:szCs w:val="20"/>
          <w:lang w:eastAsia="pt-BR"/>
        </w:rPr>
        <w:t xml:space="preserve">a qual </w:t>
      </w:r>
      <w:r w:rsidR="00923101">
        <w:rPr>
          <w:rFonts w:ascii="Times New Roman" w:hAnsi="Times New Roman" w:cs="Times New Roman"/>
          <w:sz w:val="20"/>
          <w:szCs w:val="20"/>
          <w:lang w:eastAsia="pt-BR"/>
        </w:rPr>
        <w:t xml:space="preserve">avalia os resíduos padronizados. </w:t>
      </w:r>
      <w:r w:rsidR="00762151">
        <w:rPr>
          <w:rFonts w:ascii="Times New Roman" w:hAnsi="Times New Roman" w:cs="Times New Roman"/>
          <w:sz w:val="20"/>
          <w:szCs w:val="20"/>
          <w:lang w:eastAsia="pt-BR"/>
        </w:rPr>
        <w:t xml:space="preserve">É esperado que se a distribuição dos resíduos </w:t>
      </w:r>
      <w:r w:rsidR="00474AE9">
        <w:rPr>
          <w:rFonts w:ascii="Times New Roman" w:hAnsi="Times New Roman" w:cs="Times New Roman"/>
          <w:sz w:val="20"/>
          <w:szCs w:val="20"/>
          <w:lang w:eastAsia="pt-BR"/>
        </w:rPr>
        <w:t>adquire uma distribuição quase linear, o modelo pode ser interpretado como de acurácia significativa e de baixo ruído.</w:t>
      </w:r>
    </w:p>
    <w:p w14:paraId="7196FC1B" w14:textId="77777777" w:rsidR="003D0A26" w:rsidRDefault="003D0A26" w:rsidP="003D0A26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50F5C645" w14:textId="2E88F8A8" w:rsidR="002C5657" w:rsidRPr="000C2948" w:rsidRDefault="002C5657" w:rsidP="002C5657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7C73B5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44245F">
        <w:rPr>
          <w:rFonts w:ascii="Times New Roman" w:hAnsi="Times New Roman"/>
          <w:lang w:val="pt-BR"/>
        </w:rPr>
        <w:t>Gráficos de modelo do estudo fatorial da evolução de H</w:t>
      </w:r>
      <w:r w:rsidR="0044245F" w:rsidRPr="0044245F">
        <w:rPr>
          <w:rFonts w:ascii="Times New Roman" w:hAnsi="Times New Roman"/>
          <w:vertAlign w:val="subscript"/>
          <w:lang w:val="pt-BR"/>
        </w:rPr>
        <w:t>2</w:t>
      </w:r>
      <w:r w:rsidR="0044245F">
        <w:rPr>
          <w:rFonts w:ascii="Times New Roman" w:hAnsi="Times New Roman"/>
          <w:lang w:val="pt-BR"/>
        </w:rPr>
        <w:t xml:space="preserve"> (a) Respostas previstas versus observadas (b) Probabilidade normal de resíduos</w:t>
      </w:r>
      <w:r>
        <w:rPr>
          <w:rFonts w:ascii="Times New Roman" w:hAnsi="Times New Roman"/>
          <w:lang w:val="pt-BR"/>
        </w:rPr>
        <w:t>.</w:t>
      </w:r>
    </w:p>
    <w:p w14:paraId="0AB3707D" w14:textId="77D2F105" w:rsidR="002C5657" w:rsidRDefault="001A1A39" w:rsidP="002C5657">
      <w:pPr>
        <w:jc w:val="center"/>
        <w:rPr>
          <w:noProof/>
          <w:color w:val="000000" w:themeColor="text1"/>
        </w:rPr>
      </w:pPr>
      <w:r w:rsidRPr="00FD76DE">
        <w:rPr>
          <w:noProof/>
          <w:color w:val="000000" w:themeColor="text1"/>
        </w:rPr>
        <w:object w:dxaOrig="6735" w:dyaOrig="4763" w14:anchorId="679C9A61">
          <v:shape id="_x0000_i1026" type="#_x0000_t75" style="width:193.85pt;height:150.45pt" o:ole="">
            <v:imagedata r:id="rId12" o:title="" croptop="5772f" cropbottom="3276f" cropleft="6289f" cropright="6840f"/>
          </v:shape>
          <o:OLEObject Type="Embed" ProgID="Origin50.Graph" ShapeID="_x0000_i1026" DrawAspect="Content" ObjectID="_1744271041" r:id="rId13"/>
        </w:object>
      </w:r>
    </w:p>
    <w:p w14:paraId="3A1826BB" w14:textId="1B7F0738" w:rsidR="004E1EA4" w:rsidRDefault="004E1EA4" w:rsidP="002C5657">
      <w:pPr>
        <w:jc w:val="center"/>
        <w:rPr>
          <w:rFonts w:ascii="Times New Roman" w:hAnsi="Times New Roman" w:cs="Times New Roman"/>
          <w:noProof/>
          <w:color w:val="000000" w:themeColor="text1"/>
          <w:sz w:val="18"/>
          <w:szCs w:val="18"/>
        </w:rPr>
      </w:pPr>
      <w:r w:rsidRPr="004E1EA4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(a)</w:t>
      </w:r>
    </w:p>
    <w:p w14:paraId="0DD6ADB1" w14:textId="6397EAA7" w:rsidR="00300EEE" w:rsidRPr="004E1EA4" w:rsidRDefault="001A1A39" w:rsidP="002C5657">
      <w:pPr>
        <w:jc w:val="center"/>
        <w:rPr>
          <w:rFonts w:ascii="Times New Roman" w:hAnsi="Times New Roman" w:cs="Times New Roman"/>
          <w:noProof/>
          <w:color w:val="000000" w:themeColor="text1"/>
          <w:sz w:val="18"/>
          <w:szCs w:val="18"/>
        </w:rPr>
      </w:pPr>
      <w:r w:rsidRPr="00FD76DE">
        <w:rPr>
          <w:noProof/>
          <w:color w:val="000000" w:themeColor="text1"/>
        </w:rPr>
        <w:object w:dxaOrig="6572" w:dyaOrig="4592" w14:anchorId="5CB57C39">
          <v:shape id="_x0000_i1027" type="#_x0000_t75" style="width:194.75pt;height:150pt" o:ole="">
            <v:imagedata r:id="rId14" o:title="" croptop="5420f" cropbottom="2346f" cropleft="3335f" cropright="5427f"/>
          </v:shape>
          <o:OLEObject Type="Embed" ProgID="Origin50.Graph" ShapeID="_x0000_i1027" DrawAspect="Content" ObjectID="_1744271042" r:id="rId15"/>
        </w:object>
      </w:r>
    </w:p>
    <w:p w14:paraId="1355391E" w14:textId="2C437A1C" w:rsidR="00587311" w:rsidRDefault="00300EEE" w:rsidP="00587311">
      <w:pPr>
        <w:pStyle w:val="VAFigureCaption"/>
        <w:spacing w:before="0" w:line="240" w:lineRule="exact"/>
        <w:jc w:val="center"/>
        <w:rPr>
          <w:rFonts w:ascii="Times New Roman" w:hAnsi="Times New Roman"/>
          <w:bCs/>
          <w:lang w:val="pt-BR"/>
        </w:rPr>
      </w:pPr>
      <w:r w:rsidRPr="00300EEE">
        <w:rPr>
          <w:rFonts w:ascii="Times New Roman" w:hAnsi="Times New Roman"/>
          <w:bCs/>
          <w:lang w:val="pt-BR"/>
        </w:rPr>
        <w:t>(b)</w:t>
      </w:r>
    </w:p>
    <w:p w14:paraId="0B116472" w14:textId="77777777" w:rsidR="00587311" w:rsidRPr="00587311" w:rsidRDefault="00587311" w:rsidP="00587311">
      <w:pPr>
        <w:rPr>
          <w:lang w:eastAsia="pt-BR"/>
        </w:rPr>
      </w:pPr>
    </w:p>
    <w:p w14:paraId="2C2F3965" w14:textId="3AD69AA9" w:rsidR="00386DD9" w:rsidRPr="00586E57" w:rsidRDefault="009001A6" w:rsidP="00586E57">
      <w:pPr>
        <w:spacing w:after="0" w:line="240" w:lineRule="exact"/>
        <w:ind w:firstLine="20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A interação entre </w:t>
      </w:r>
      <w:proofErr w:type="gramStart"/>
      <w:r>
        <w:rPr>
          <w:rFonts w:ascii="Times New Roman" w:hAnsi="Times New Roman" w:cs="Times New Roman"/>
          <w:sz w:val="20"/>
          <w:szCs w:val="20"/>
        </w:rPr>
        <w:t>Cu(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%) e </w:t>
      </w:r>
      <w:r w:rsidR="00EF3771">
        <w:rPr>
          <w:rFonts w:ascii="Times New Roman" w:hAnsi="Times New Roman" w:cs="Times New Roman"/>
          <w:sz w:val="20"/>
          <w:szCs w:val="20"/>
        </w:rPr>
        <w:t>Cat.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F3771">
        <w:rPr>
          <w:rFonts w:ascii="Times New Roman" w:hAnsi="Times New Roman" w:cs="Times New Roman"/>
          <w:sz w:val="20"/>
          <w:szCs w:val="20"/>
        </w:rPr>
        <w:t xml:space="preserve">da </w:t>
      </w:r>
      <w:r>
        <w:rPr>
          <w:rFonts w:ascii="Times New Roman" w:hAnsi="Times New Roman" w:cs="Times New Roman"/>
          <w:sz w:val="20"/>
          <w:szCs w:val="20"/>
        </w:rPr>
        <w:t xml:space="preserve">Figura </w:t>
      </w:r>
      <w:r w:rsidR="0044245F">
        <w:rPr>
          <w:rFonts w:ascii="Times New Roman" w:hAnsi="Times New Roman" w:cs="Times New Roman"/>
          <w:sz w:val="20"/>
          <w:szCs w:val="20"/>
        </w:rPr>
        <w:t>4</w:t>
      </w:r>
      <w:r w:rsidR="00DE470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F3771">
        <w:rPr>
          <w:rFonts w:ascii="Times New Roman" w:hAnsi="Times New Roman" w:cs="Times New Roman"/>
          <w:sz w:val="20"/>
          <w:szCs w:val="20"/>
        </w:rPr>
        <w:t xml:space="preserve"> demonstra que as variáveis aumentam a produção de H</w:t>
      </w:r>
      <w:r w:rsidR="00EF3771" w:rsidRPr="002B62E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F3771">
        <w:rPr>
          <w:rFonts w:ascii="Times New Roman" w:hAnsi="Times New Roman" w:cs="Times New Roman"/>
          <w:sz w:val="20"/>
          <w:szCs w:val="20"/>
        </w:rPr>
        <w:t xml:space="preserve"> </w:t>
      </w:r>
      <w:r w:rsidR="00DE4707">
        <w:rPr>
          <w:rFonts w:ascii="Times New Roman" w:hAnsi="Times New Roman" w:cs="Times New Roman"/>
          <w:sz w:val="20"/>
          <w:szCs w:val="20"/>
        </w:rPr>
        <w:t xml:space="preserve">de forma inversamente </w:t>
      </w:r>
      <w:r w:rsidR="0006059B">
        <w:rPr>
          <w:rFonts w:ascii="Times New Roman" w:hAnsi="Times New Roman" w:cs="Times New Roman"/>
          <w:sz w:val="20"/>
          <w:szCs w:val="20"/>
        </w:rPr>
        <w:t>proporcional</w:t>
      </w:r>
      <w:r w:rsidR="00EF3771">
        <w:rPr>
          <w:rFonts w:ascii="Times New Roman" w:hAnsi="Times New Roman" w:cs="Times New Roman"/>
          <w:sz w:val="20"/>
          <w:szCs w:val="20"/>
        </w:rPr>
        <w:t>. O crescimento do percentual de Cu sobre TiO</w:t>
      </w:r>
      <w:r w:rsidR="00EF3771" w:rsidRPr="002B62E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F3771">
        <w:rPr>
          <w:rFonts w:ascii="Times New Roman" w:hAnsi="Times New Roman" w:cs="Times New Roman"/>
          <w:sz w:val="20"/>
          <w:szCs w:val="20"/>
        </w:rPr>
        <w:t xml:space="preserve"> aumenta significativamente a produção de H</w:t>
      </w:r>
      <w:r w:rsidR="00EF3771" w:rsidRPr="002B62E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F3771">
        <w:rPr>
          <w:rFonts w:ascii="Times New Roman" w:hAnsi="Times New Roman" w:cs="Times New Roman"/>
          <w:sz w:val="20"/>
          <w:szCs w:val="20"/>
        </w:rPr>
        <w:t>, enquanto o aumento d</w:t>
      </w:r>
      <w:r w:rsidR="00036978">
        <w:rPr>
          <w:rFonts w:ascii="Times New Roman" w:hAnsi="Times New Roman" w:cs="Times New Roman"/>
          <w:sz w:val="20"/>
          <w:szCs w:val="20"/>
        </w:rPr>
        <w:t>a dosagem de TiO</w:t>
      </w:r>
      <w:r w:rsidR="00036978" w:rsidRPr="002B62E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36978">
        <w:rPr>
          <w:rFonts w:ascii="Times New Roman" w:hAnsi="Times New Roman" w:cs="Times New Roman"/>
          <w:sz w:val="20"/>
          <w:szCs w:val="20"/>
        </w:rPr>
        <w:t>@Cu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36978">
        <w:rPr>
          <w:rFonts w:ascii="Times New Roman" w:hAnsi="Times New Roman" w:cs="Times New Roman"/>
          <w:sz w:val="20"/>
          <w:szCs w:val="20"/>
        </w:rPr>
        <w:t xml:space="preserve">produz um efeito </w:t>
      </w:r>
      <w:r w:rsidR="00B6056F">
        <w:rPr>
          <w:rFonts w:ascii="Times New Roman" w:hAnsi="Times New Roman" w:cs="Times New Roman"/>
          <w:sz w:val="20"/>
          <w:szCs w:val="20"/>
        </w:rPr>
        <w:t>negativo</w:t>
      </w:r>
      <w:r w:rsidR="00036978">
        <w:rPr>
          <w:rFonts w:ascii="Times New Roman" w:hAnsi="Times New Roman" w:cs="Times New Roman"/>
          <w:sz w:val="20"/>
          <w:szCs w:val="20"/>
        </w:rPr>
        <w:t xml:space="preserve"> sobre a resposta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6934F5" w14:textId="0507E1C6" w:rsidR="00225F6F" w:rsidRDefault="00F93AEC" w:rsidP="00A92DE9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</w:t>
      </w:r>
      <w:r w:rsidR="009001A6">
        <w:rPr>
          <w:rFonts w:ascii="Times New Roman" w:hAnsi="Times New Roman" w:cs="Times New Roman"/>
          <w:sz w:val="20"/>
          <w:szCs w:val="20"/>
        </w:rPr>
        <w:t xml:space="preserve"> um baixo percentual de Cu (0,2%) a produção </w:t>
      </w:r>
      <w:r>
        <w:rPr>
          <w:rFonts w:ascii="Times New Roman" w:hAnsi="Times New Roman" w:cs="Times New Roman"/>
          <w:sz w:val="20"/>
          <w:szCs w:val="20"/>
        </w:rPr>
        <w:t xml:space="preserve">máxima </w:t>
      </w:r>
      <w:r w:rsidR="009001A6">
        <w:rPr>
          <w:rFonts w:ascii="Times New Roman" w:hAnsi="Times New Roman" w:cs="Times New Roman"/>
          <w:sz w:val="20"/>
          <w:szCs w:val="20"/>
        </w:rPr>
        <w:t>de H</w:t>
      </w:r>
      <w:r w:rsidR="009001A6" w:rsidRPr="00100C0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001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é inferior a 9,0 </w:t>
      </w:r>
      <w:r w:rsidR="009001A6">
        <w:rPr>
          <w:rFonts w:ascii="Times New Roman" w:hAnsi="Times New Roman" w:cs="Times New Roman"/>
          <w:sz w:val="20"/>
          <w:szCs w:val="20"/>
        </w:rPr>
        <w:t>mmol.gcat</w:t>
      </w:r>
      <w:r w:rsidR="009001A6" w:rsidRPr="00F93AEC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9001A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no entanto o acréscimo do metal</w:t>
      </w:r>
      <w:r w:rsidR="00590631">
        <w:rPr>
          <w:rFonts w:ascii="Times New Roman" w:hAnsi="Times New Roman" w:cs="Times New Roman"/>
          <w:sz w:val="20"/>
          <w:szCs w:val="20"/>
        </w:rPr>
        <w:t xml:space="preserve"> (0,4</w:t>
      </w:r>
      <w:r w:rsidR="00C756F3">
        <w:rPr>
          <w:rFonts w:ascii="Times New Roman" w:hAnsi="Times New Roman" w:cs="Times New Roman"/>
          <w:sz w:val="20"/>
          <w:szCs w:val="20"/>
        </w:rPr>
        <w:t>5</w:t>
      </w:r>
      <w:r w:rsidR="00590631">
        <w:rPr>
          <w:rFonts w:ascii="Times New Roman" w:hAnsi="Times New Roman" w:cs="Times New Roman"/>
          <w:sz w:val="20"/>
          <w:szCs w:val="20"/>
        </w:rPr>
        <w:t xml:space="preserve"> – 0,</w:t>
      </w:r>
      <w:r w:rsidR="00E52494">
        <w:rPr>
          <w:rFonts w:ascii="Times New Roman" w:hAnsi="Times New Roman" w:cs="Times New Roman"/>
          <w:sz w:val="20"/>
          <w:szCs w:val="20"/>
        </w:rPr>
        <w:t>7</w:t>
      </w:r>
      <w:r w:rsidR="00590631">
        <w:rPr>
          <w:rFonts w:ascii="Times New Roman" w:hAnsi="Times New Roman" w:cs="Times New Roman"/>
          <w:sz w:val="20"/>
          <w:szCs w:val="20"/>
        </w:rPr>
        <w:t>%)</w:t>
      </w:r>
      <w:r>
        <w:rPr>
          <w:rFonts w:ascii="Times New Roman" w:hAnsi="Times New Roman" w:cs="Times New Roman"/>
          <w:sz w:val="20"/>
          <w:szCs w:val="20"/>
        </w:rPr>
        <w:t xml:space="preserve"> depositado  sobre TiO</w:t>
      </w:r>
      <w:r w:rsidRPr="00A00939"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eleva a produção para cerca de 12,0 mmol.gcat</w:t>
      </w:r>
      <w:r w:rsidRPr="00A0093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E75472">
        <w:rPr>
          <w:rFonts w:ascii="Times New Roman" w:hAnsi="Times New Roman" w:cs="Times New Roman"/>
          <w:sz w:val="20"/>
          <w:szCs w:val="20"/>
        </w:rPr>
        <w:t xml:space="preserve">, o </w:t>
      </w:r>
      <w:r w:rsidR="00A00939">
        <w:rPr>
          <w:rFonts w:ascii="Times New Roman" w:hAnsi="Times New Roman" w:cs="Times New Roman"/>
          <w:sz w:val="20"/>
          <w:szCs w:val="20"/>
        </w:rPr>
        <w:t xml:space="preserve">que </w:t>
      </w:r>
      <w:r>
        <w:rPr>
          <w:rFonts w:ascii="Times New Roman" w:hAnsi="Times New Roman" w:cs="Times New Roman"/>
          <w:sz w:val="20"/>
          <w:szCs w:val="20"/>
        </w:rPr>
        <w:t xml:space="preserve">demonstra </w:t>
      </w:r>
      <w:r w:rsidR="004D179E">
        <w:rPr>
          <w:rFonts w:ascii="Times New Roman" w:hAnsi="Times New Roman" w:cs="Times New Roman"/>
          <w:sz w:val="20"/>
          <w:szCs w:val="20"/>
        </w:rPr>
        <w:t xml:space="preserve">o </w:t>
      </w:r>
      <w:r w:rsidR="009001A6">
        <w:rPr>
          <w:rFonts w:ascii="Times New Roman" w:hAnsi="Times New Roman" w:cs="Times New Roman"/>
          <w:sz w:val="20"/>
          <w:szCs w:val="20"/>
        </w:rPr>
        <w:t>importante</w:t>
      </w:r>
      <w:r w:rsidR="004D179E">
        <w:rPr>
          <w:rFonts w:ascii="Times New Roman" w:hAnsi="Times New Roman" w:cs="Times New Roman"/>
          <w:sz w:val="20"/>
          <w:szCs w:val="20"/>
        </w:rPr>
        <w:t xml:space="preserve"> papel de Cu</w:t>
      </w:r>
      <w:r w:rsidR="009001A6">
        <w:rPr>
          <w:rFonts w:ascii="Times New Roman" w:hAnsi="Times New Roman" w:cs="Times New Roman"/>
          <w:sz w:val="20"/>
          <w:szCs w:val="20"/>
        </w:rPr>
        <w:t xml:space="preserve"> na produção de H</w:t>
      </w:r>
      <w:r w:rsidR="009001A6" w:rsidRPr="00100C0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001A6">
        <w:rPr>
          <w:rFonts w:ascii="Times New Roman" w:hAnsi="Times New Roman" w:cs="Times New Roman"/>
          <w:sz w:val="20"/>
          <w:szCs w:val="20"/>
        </w:rPr>
        <w:t xml:space="preserve">. </w:t>
      </w:r>
      <w:r w:rsidR="00F13E7C">
        <w:rPr>
          <w:rFonts w:ascii="Times New Roman" w:hAnsi="Times New Roman" w:cs="Times New Roman"/>
          <w:sz w:val="20"/>
          <w:szCs w:val="20"/>
        </w:rPr>
        <w:t xml:space="preserve">A aplicação de </w:t>
      </w:r>
      <w:r w:rsidR="009001A6">
        <w:rPr>
          <w:rFonts w:ascii="Times New Roman" w:hAnsi="Times New Roman" w:cs="Times New Roman"/>
          <w:sz w:val="20"/>
          <w:szCs w:val="20"/>
        </w:rPr>
        <w:t>TiO</w:t>
      </w:r>
      <w:r w:rsidR="009001A6" w:rsidRPr="00BE488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9001A6">
        <w:rPr>
          <w:rFonts w:ascii="Times New Roman" w:hAnsi="Times New Roman" w:cs="Times New Roman"/>
          <w:sz w:val="20"/>
          <w:szCs w:val="20"/>
        </w:rPr>
        <w:t xml:space="preserve"> </w:t>
      </w:r>
      <w:r w:rsidR="00E75472">
        <w:rPr>
          <w:rFonts w:ascii="Times New Roman" w:hAnsi="Times New Roman" w:cs="Times New Roman"/>
          <w:sz w:val="20"/>
          <w:szCs w:val="20"/>
        </w:rPr>
        <w:t xml:space="preserve">de forma isolada </w:t>
      </w:r>
      <w:r w:rsidR="009001A6">
        <w:rPr>
          <w:rFonts w:ascii="Times New Roman" w:hAnsi="Times New Roman" w:cs="Times New Roman"/>
          <w:sz w:val="20"/>
          <w:szCs w:val="20"/>
        </w:rPr>
        <w:t xml:space="preserve">nas mesmas condições </w:t>
      </w:r>
      <w:r w:rsidR="009001A6">
        <w:rPr>
          <w:rFonts w:ascii="Times New Roman" w:hAnsi="Times New Roman" w:cs="Times New Roman"/>
          <w:sz w:val="20"/>
          <w:szCs w:val="20"/>
        </w:rPr>
        <w:lastRenderedPageBreak/>
        <w:t xml:space="preserve">reacionais confirma </w:t>
      </w:r>
      <w:r w:rsidR="00386DD9">
        <w:rPr>
          <w:rFonts w:ascii="Times New Roman" w:hAnsi="Times New Roman" w:cs="Times New Roman"/>
          <w:sz w:val="20"/>
          <w:szCs w:val="20"/>
        </w:rPr>
        <w:t>a</w:t>
      </w:r>
      <w:r w:rsidR="009001A6">
        <w:rPr>
          <w:rFonts w:ascii="Times New Roman" w:hAnsi="Times New Roman" w:cs="Times New Roman"/>
          <w:sz w:val="20"/>
          <w:szCs w:val="20"/>
        </w:rPr>
        <w:t xml:space="preserve"> influência</w:t>
      </w:r>
      <w:r w:rsidR="00386DD9">
        <w:rPr>
          <w:rFonts w:ascii="Times New Roman" w:hAnsi="Times New Roman" w:cs="Times New Roman"/>
          <w:sz w:val="20"/>
          <w:szCs w:val="20"/>
        </w:rPr>
        <w:t xml:space="preserve"> do metal</w:t>
      </w:r>
      <w:r w:rsidR="009001A6">
        <w:rPr>
          <w:rFonts w:ascii="Times New Roman" w:hAnsi="Times New Roman" w:cs="Times New Roman"/>
          <w:sz w:val="20"/>
          <w:szCs w:val="20"/>
        </w:rPr>
        <w:t xml:space="preserve"> </w:t>
      </w:r>
      <w:r w:rsidR="00E75472">
        <w:rPr>
          <w:rFonts w:ascii="Times New Roman" w:hAnsi="Times New Roman" w:cs="Times New Roman"/>
          <w:sz w:val="20"/>
          <w:szCs w:val="20"/>
        </w:rPr>
        <w:t xml:space="preserve">dopante </w:t>
      </w:r>
      <w:r w:rsidR="009001A6">
        <w:rPr>
          <w:rFonts w:ascii="Times New Roman" w:hAnsi="Times New Roman" w:cs="Times New Roman"/>
          <w:sz w:val="20"/>
          <w:szCs w:val="20"/>
        </w:rPr>
        <w:t>no desempenho do processo fotocatalítico</w:t>
      </w:r>
      <w:r w:rsidR="00BE4885">
        <w:rPr>
          <w:rFonts w:ascii="Times New Roman" w:hAnsi="Times New Roman" w:cs="Times New Roman"/>
          <w:sz w:val="20"/>
          <w:szCs w:val="20"/>
        </w:rPr>
        <w:t xml:space="preserve">, com resultado inferior a </w:t>
      </w:r>
      <w:r w:rsidR="00121DD0">
        <w:rPr>
          <w:rFonts w:ascii="Times New Roman" w:hAnsi="Times New Roman" w:cs="Times New Roman"/>
          <w:sz w:val="20"/>
          <w:szCs w:val="20"/>
        </w:rPr>
        <w:t xml:space="preserve">1,5 </w:t>
      </w:r>
      <w:r w:rsidR="00BE4885">
        <w:rPr>
          <w:rFonts w:ascii="Times New Roman" w:hAnsi="Times New Roman" w:cs="Times New Roman"/>
          <w:sz w:val="20"/>
          <w:szCs w:val="20"/>
        </w:rPr>
        <w:t>mmol de H</w:t>
      </w:r>
      <w:r w:rsidR="00BE4885" w:rsidRPr="00121DD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BE4885">
        <w:rPr>
          <w:rFonts w:ascii="Times New Roman" w:hAnsi="Times New Roman" w:cs="Times New Roman"/>
          <w:sz w:val="20"/>
          <w:szCs w:val="20"/>
        </w:rPr>
        <w:t>.gcat</w:t>
      </w:r>
      <w:r w:rsidR="00BE4885" w:rsidRPr="00121DD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8B0D79">
        <w:rPr>
          <w:rFonts w:ascii="Times New Roman" w:hAnsi="Times New Roman" w:cs="Times New Roman"/>
          <w:sz w:val="20"/>
          <w:szCs w:val="20"/>
        </w:rPr>
        <w:t xml:space="preserve">. </w:t>
      </w:r>
      <w:r w:rsidR="00B6710D">
        <w:rPr>
          <w:rFonts w:ascii="Times New Roman" w:hAnsi="Times New Roman" w:cs="Times New Roman"/>
          <w:sz w:val="20"/>
          <w:szCs w:val="20"/>
        </w:rPr>
        <w:t>O efeito significativo de Cu sobre a produção de H</w:t>
      </w:r>
      <w:r w:rsidR="00B6710D" w:rsidRPr="007644B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B6710D">
        <w:rPr>
          <w:rFonts w:ascii="Times New Roman" w:hAnsi="Times New Roman" w:cs="Times New Roman"/>
          <w:sz w:val="20"/>
          <w:szCs w:val="20"/>
        </w:rPr>
        <w:t xml:space="preserve"> se dá pela formação de sítios ativos de evolução de H</w:t>
      </w:r>
      <w:r w:rsidR="00B6710D" w:rsidRPr="007644B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B6710D">
        <w:rPr>
          <w:rFonts w:ascii="Times New Roman" w:hAnsi="Times New Roman" w:cs="Times New Roman"/>
          <w:sz w:val="20"/>
          <w:szCs w:val="20"/>
        </w:rPr>
        <w:t>. A</w:t>
      </w:r>
      <w:r w:rsidR="007644BB">
        <w:rPr>
          <w:rFonts w:ascii="Times New Roman" w:hAnsi="Times New Roman" w:cs="Times New Roman"/>
          <w:sz w:val="20"/>
          <w:szCs w:val="20"/>
        </w:rPr>
        <w:t xml:space="preserve"> irradiação de fótons sobre TiO</w:t>
      </w:r>
      <w:r w:rsidR="007644BB" w:rsidRPr="00F1637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7644BB">
        <w:rPr>
          <w:rFonts w:ascii="Times New Roman" w:hAnsi="Times New Roman" w:cs="Times New Roman"/>
          <w:sz w:val="20"/>
          <w:szCs w:val="20"/>
        </w:rPr>
        <w:t xml:space="preserve"> favorece a</w:t>
      </w:r>
      <w:r w:rsidR="00B6710D">
        <w:rPr>
          <w:rFonts w:ascii="Times New Roman" w:hAnsi="Times New Roman" w:cs="Times New Roman"/>
          <w:sz w:val="20"/>
          <w:szCs w:val="20"/>
        </w:rPr>
        <w:t xml:space="preserve"> formação de pares elétron/lacuna (</w:t>
      </w:r>
      <w:r w:rsidR="00B6710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82506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–</w:t>
      </w:r>
      <w:r w:rsidR="00B6710D">
        <w:rPr>
          <w:rFonts w:ascii="Times New Roman" w:hAnsi="Times New Roman" w:cs="Times New Roman"/>
          <w:sz w:val="20"/>
          <w:szCs w:val="20"/>
        </w:rPr>
        <w:t>/</w:t>
      </w:r>
      <w:r w:rsidR="00B6710D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B6710D" w:rsidRPr="00B6710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+</w:t>
      </w:r>
      <w:r w:rsidR="00B6710D">
        <w:rPr>
          <w:rFonts w:ascii="Times New Roman" w:hAnsi="Times New Roman" w:cs="Times New Roman"/>
          <w:sz w:val="20"/>
          <w:szCs w:val="20"/>
        </w:rPr>
        <w:t>)</w:t>
      </w:r>
      <w:r w:rsidR="007644BB">
        <w:rPr>
          <w:rFonts w:ascii="Times New Roman" w:hAnsi="Times New Roman" w:cs="Times New Roman"/>
          <w:sz w:val="20"/>
          <w:szCs w:val="20"/>
        </w:rPr>
        <w:t xml:space="preserve"> que são responsáveis pel</w:t>
      </w:r>
      <w:r w:rsidR="00F16370">
        <w:rPr>
          <w:rFonts w:ascii="Times New Roman" w:hAnsi="Times New Roman" w:cs="Times New Roman"/>
          <w:sz w:val="20"/>
          <w:szCs w:val="20"/>
        </w:rPr>
        <w:t>os processos de redução e oxidação na superfície do catalisador, respectivamente.</w:t>
      </w:r>
    </w:p>
    <w:p w14:paraId="73BBEAD9" w14:textId="77777777" w:rsidR="008029E6" w:rsidRDefault="008029E6" w:rsidP="00A92DE9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4E1A610A" w14:textId="77777777" w:rsidR="008029E6" w:rsidRPr="00E038AF" w:rsidRDefault="008029E6" w:rsidP="008029E6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Superfícies de contorno para produção de H</w:t>
      </w:r>
      <w:r w:rsidRPr="00732C6A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em função de Cu% e pH (Glicerol: 10% e catalisador = 1,0 g.L</w:t>
      </w:r>
      <w:r w:rsidRPr="00732C6A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 xml:space="preserve">). </w:t>
      </w:r>
    </w:p>
    <w:p w14:paraId="65098982" w14:textId="77777777" w:rsidR="008029E6" w:rsidRDefault="008029E6" w:rsidP="008029E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1A14BA5" wp14:editId="7F0E6DDD">
            <wp:extent cx="2846984" cy="2104292"/>
            <wp:effectExtent l="0" t="0" r="0" b="0"/>
            <wp:docPr id="2" name="Imagem 2" descr="Gráfico, Gráfico de superfíci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áfico, Gráfico de superfície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5" t="5335" r="8767" b="3971"/>
                    <a:stretch/>
                  </pic:blipFill>
                  <pic:spPr bwMode="auto">
                    <a:xfrm>
                      <a:off x="0" y="0"/>
                      <a:ext cx="2880896" cy="21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D2801" w14:textId="77777777" w:rsidR="008029E6" w:rsidRDefault="008029E6" w:rsidP="008029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32944">
        <w:rPr>
          <w:rFonts w:ascii="Times New Roman" w:hAnsi="Times New Roman" w:cs="Times New Roman"/>
          <w:sz w:val="18"/>
          <w:szCs w:val="18"/>
        </w:rPr>
        <w:t>(a)</w:t>
      </w:r>
    </w:p>
    <w:p w14:paraId="0E1C91B2" w14:textId="77777777" w:rsidR="008029E6" w:rsidRPr="00D32944" w:rsidRDefault="008029E6" w:rsidP="008029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A2477CB" w14:textId="10ECF378" w:rsidR="008029E6" w:rsidRDefault="008029E6" w:rsidP="008029E6">
      <w:pPr>
        <w:spacing w:after="0" w:line="240" w:lineRule="auto"/>
        <w:jc w:val="center"/>
      </w:pPr>
      <w:r>
        <w:object w:dxaOrig="6735" w:dyaOrig="4763" w14:anchorId="1C002F11">
          <v:shape id="_x0000_i1036" type="#_x0000_t75" style="width:207.25pt;height:156pt" o:ole="">
            <v:imagedata r:id="rId17" o:title="" croptop="5640f" cropbottom="3306f" cropleft="4956f" cropright="7022f"/>
          </v:shape>
          <o:OLEObject Type="Embed" ProgID="Origin50.Graph" ShapeID="_x0000_i1036" DrawAspect="Content" ObjectID="_1744271043" r:id="rId18"/>
        </w:object>
      </w:r>
    </w:p>
    <w:p w14:paraId="6D882BAB" w14:textId="441480E3" w:rsidR="008029E6" w:rsidRDefault="008029E6" w:rsidP="008029E6">
      <w:pPr>
        <w:ind w:firstLine="204"/>
        <w:jc w:val="center"/>
        <w:rPr>
          <w:rFonts w:ascii="Times New Roman" w:hAnsi="Times New Roman" w:cs="Times New Roman"/>
          <w:sz w:val="18"/>
          <w:szCs w:val="18"/>
        </w:rPr>
      </w:pPr>
      <w:r w:rsidRPr="00D32944">
        <w:rPr>
          <w:rFonts w:ascii="Times New Roman" w:hAnsi="Times New Roman" w:cs="Times New Roman"/>
          <w:sz w:val="18"/>
          <w:szCs w:val="18"/>
        </w:rPr>
        <w:t>(b)</w:t>
      </w:r>
    </w:p>
    <w:p w14:paraId="7B2D6777" w14:textId="77777777" w:rsidR="00CF508F" w:rsidRDefault="00CF508F" w:rsidP="00CF508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Resultados preliminares sugerem que o glicerol é o principal responsável pela geração de íons H</w:t>
      </w:r>
      <w:r w:rsidRPr="00F542B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necessários a reação, onde não foi identificado qualquer traço de H</w:t>
      </w:r>
      <w:r w:rsidRPr="009510B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em reação realizada apenas com H</w:t>
      </w:r>
      <w:r w:rsidRPr="009510B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O. O desempenho observado para o sistema fotocatalítico pode ser justificado pelo baixo potencial de oxidação da molécula, sua polaridade e grupos –OH que são os principais sítios de interação interfacial. Além disso, o glicerol tem em sua estrutura hidrogênios alfas (</w:t>
      </w:r>
      <w:r>
        <w:rPr>
          <w:rFonts w:ascii="Calibri" w:hAnsi="Calibri" w:cs="Calibri"/>
          <w:sz w:val="20"/>
          <w:szCs w:val="20"/>
        </w:rPr>
        <w:t>α</w:t>
      </w:r>
      <w:r>
        <w:rPr>
          <w:rFonts w:ascii="Times New Roman" w:hAnsi="Times New Roman" w:cs="Times New Roman"/>
          <w:sz w:val="20"/>
          <w:szCs w:val="20"/>
        </w:rPr>
        <w:t xml:space="preserve"> – H) que favorecem a evolução de H</w:t>
      </w:r>
      <w:r w:rsidRPr="00FB366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. No entanto, a origem dos íons H</w:t>
      </w:r>
      <w:r w:rsidRPr="001B05CA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gerados urge por uma investigação criteriosa.</w:t>
      </w:r>
    </w:p>
    <w:p w14:paraId="17E74AB3" w14:textId="77777777" w:rsidR="00CF508F" w:rsidRDefault="00CF508F" w:rsidP="00CF508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produção de H</w:t>
      </w:r>
      <w:r w:rsidRPr="006A2EF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como fenômeno de superfície é governada preferencialmente pela adsorção dos íons H</w:t>
      </w:r>
      <w:r w:rsidRPr="00C9608E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sobre TiO</w:t>
      </w:r>
      <w:r w:rsidRPr="00C9608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@Cu. As espécies desse íon sobre a superfície do catalisador são posteriormente reduzidas a H</w:t>
      </w:r>
      <w:r w:rsidRPr="00C9608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Cu, como sítio ativo de captura e escoamento de 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–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atua como uma barreira energética que impossibilita a recombinação dos pares </w:t>
      </w:r>
      <w:r w:rsidRPr="00E0088E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A51E3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–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E0088E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E0088E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+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 aumenta a eficiência de produção de H</w:t>
      </w:r>
      <w:r w:rsidRPr="00B367F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Isso se deve principalmente à função de trabalho de Cu (4,65 </w:t>
      </w:r>
      <w:proofErr w:type="spellStart"/>
      <w:r>
        <w:rPr>
          <w:rFonts w:ascii="Times New Roman" w:hAnsi="Times New Roman" w:cs="Times New Roman"/>
          <w:sz w:val="20"/>
          <w:szCs w:val="20"/>
        </w:rPr>
        <w:t>eV</w:t>
      </w:r>
      <w:proofErr w:type="spellEnd"/>
      <w:r>
        <w:rPr>
          <w:rFonts w:ascii="Times New Roman" w:hAnsi="Times New Roman" w:cs="Times New Roman"/>
          <w:sz w:val="20"/>
          <w:szCs w:val="20"/>
        </w:rPr>
        <w:t>) superior a TiO</w:t>
      </w:r>
      <w:r w:rsidRPr="000A34D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(0,71 </w:t>
      </w:r>
      <w:proofErr w:type="spellStart"/>
      <w:r>
        <w:rPr>
          <w:rFonts w:ascii="Times New Roman" w:hAnsi="Times New Roman" w:cs="Times New Roman"/>
          <w:sz w:val="20"/>
          <w:szCs w:val="20"/>
        </w:rPr>
        <w:t>eV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14:paraId="1F298248" w14:textId="77777777" w:rsidR="00CF508F" w:rsidRDefault="00CF508F" w:rsidP="00CF508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dosagem de catalisador como variável mais influente (Fig. 2) sobre a produção de H</w:t>
      </w:r>
      <w:r w:rsidRPr="00A806A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apresenta efeito negativo sobre a resposta avaliada. A superfície de contorno (Fig. 4b) demonstra que o aumento sucessivo da concentração de TiO</w:t>
      </w:r>
      <w:r w:rsidRPr="00A806A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@Cu reduz significativamente a evolução de H</w:t>
      </w:r>
      <w:r w:rsidRPr="00A806A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. Sob um ponto ótimo de Cu de 0,45% a produção de H</w:t>
      </w:r>
      <w:r w:rsidRPr="00EE7D0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cai sucessivamente de 12 &gt; Y</w:t>
      </w:r>
      <w:r w:rsidRPr="00EE7D06">
        <w:rPr>
          <w:rFonts w:ascii="Times New Roman" w:hAnsi="Times New Roman" w:cs="Times New Roman"/>
          <w:sz w:val="20"/>
          <w:szCs w:val="20"/>
          <w:vertAlign w:val="subscript"/>
        </w:rPr>
        <w:t>H2</w:t>
      </w:r>
      <w:r>
        <w:rPr>
          <w:rFonts w:ascii="Times New Roman" w:hAnsi="Times New Roman" w:cs="Times New Roman"/>
          <w:sz w:val="20"/>
          <w:szCs w:val="20"/>
        </w:rPr>
        <w:t xml:space="preserve"> &gt; 11 </w:t>
      </w:r>
      <w:proofErr w:type="gramStart"/>
      <w:r>
        <w:rPr>
          <w:rFonts w:ascii="Times New Roman" w:hAnsi="Times New Roman" w:cs="Times New Roman"/>
          <w:sz w:val="20"/>
          <w:szCs w:val="20"/>
        </w:rPr>
        <w:t>mmol.gcat</w:t>
      </w:r>
      <w:proofErr w:type="gramEnd"/>
      <w:r w:rsidRPr="0022241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sob dosagem de TiO</w:t>
      </w:r>
      <w:r w:rsidRPr="00AA222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@Cu de 1,0 g.L</w:t>
      </w:r>
      <w:r w:rsidRPr="00EE7D0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>, para 7,5 &gt; Y</w:t>
      </w:r>
      <w:r w:rsidRPr="00EE7D06">
        <w:rPr>
          <w:rFonts w:ascii="Times New Roman" w:hAnsi="Times New Roman" w:cs="Times New Roman"/>
          <w:sz w:val="20"/>
          <w:szCs w:val="20"/>
          <w:vertAlign w:val="subscript"/>
        </w:rPr>
        <w:t>H2</w:t>
      </w:r>
      <w:r>
        <w:rPr>
          <w:rFonts w:ascii="Times New Roman" w:hAnsi="Times New Roman" w:cs="Times New Roman"/>
          <w:sz w:val="20"/>
          <w:szCs w:val="20"/>
        </w:rPr>
        <w:t xml:space="preserve"> &gt; 6,4 mmol.gcat</w:t>
      </w:r>
      <w:r w:rsidRPr="00AC1637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em 2,0 g.L</w:t>
      </w:r>
      <w:r w:rsidRPr="00EE7D0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 e 5,3 &gt; Y</w:t>
      </w:r>
      <w:r w:rsidRPr="00EE7D06">
        <w:rPr>
          <w:rFonts w:ascii="Times New Roman" w:hAnsi="Times New Roman" w:cs="Times New Roman"/>
          <w:sz w:val="20"/>
          <w:szCs w:val="20"/>
          <w:vertAlign w:val="subscript"/>
        </w:rPr>
        <w:t>H2</w:t>
      </w:r>
      <w:r>
        <w:rPr>
          <w:rFonts w:ascii="Times New Roman" w:hAnsi="Times New Roman" w:cs="Times New Roman"/>
          <w:sz w:val="20"/>
          <w:szCs w:val="20"/>
        </w:rPr>
        <w:t xml:space="preserve"> &gt; 4,2 mmol.gcat</w:t>
      </w:r>
      <w:r w:rsidRPr="00EE7D0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em 3,0 g.L</w:t>
      </w:r>
      <w:r w:rsidRPr="00EE7D0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>, uma redução estimada em cerca de 60% da produção de H</w:t>
      </w:r>
      <w:r w:rsidRPr="00EE7D0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. Esse efeito decorre do aumento da turbidez e espalhamento da luz que reduzem a taxa de geração de H</w:t>
      </w:r>
      <w:r w:rsidRPr="00B63EA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213D25">
        <w:rPr>
          <w:rFonts w:ascii="Times New Roman" w:hAnsi="Times New Roman" w:cs="Times New Roman"/>
          <w:sz w:val="20"/>
          <w:szCs w:val="20"/>
          <w:vertAlign w:val="superscript"/>
        </w:rPr>
        <w:t>(11)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77C20D" w14:textId="77777777" w:rsidR="00CF508F" w:rsidRDefault="00CF508F" w:rsidP="00CF508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partir da avaliação da superfície de contorno (Fig. 4a) é observado que a dopagem de Cu em 0,45% apresenta a melhor performance na evolução de H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sob dosagem de catalisador de 1,0 g.L</w:t>
      </w:r>
      <w:r w:rsidRPr="0030264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5C218D" w14:textId="77777777" w:rsidR="00CF508F" w:rsidRDefault="00CF508F" w:rsidP="00CF508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teste de otimização foi conduzido nas condições reacionais destacadas na superfície de contorno (Fig. 4a) e teve como resultado a produção de 12,03 </w:t>
      </w:r>
      <w:proofErr w:type="gramStart"/>
      <w:r>
        <w:rPr>
          <w:rFonts w:ascii="Times New Roman" w:hAnsi="Times New Roman" w:cs="Times New Roman"/>
          <w:sz w:val="20"/>
          <w:szCs w:val="20"/>
        </w:rPr>
        <w:t>mmol.gcat</w:t>
      </w:r>
      <w:proofErr w:type="gramEnd"/>
      <w:r w:rsidRPr="003503D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 com erro tolerável de 3,39% dentro do nível de significância adotado (</w:t>
      </w:r>
      <w:r w:rsidRPr="002F0FA3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 = 5%). Posteriormente ensaios sucessivos foram realizados em ordem de avaliar a estabilidade do catalisador na produção de H</w:t>
      </w:r>
      <w:r w:rsidRPr="006F38F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7FD3DF" w14:textId="77777777" w:rsidR="00CF508F" w:rsidRDefault="00CF508F" w:rsidP="00CF508F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0AEFEDF4" w14:textId="77777777" w:rsidR="00CF508F" w:rsidRDefault="00CF508F" w:rsidP="00CF508F">
      <w:pPr>
        <w:pStyle w:val="VAFigureCaption"/>
        <w:spacing w:before="0"/>
        <w:rPr>
          <w:rFonts w:ascii="Times New Roman" w:hAnsi="Times New Roman"/>
          <w:bCs/>
          <w:i/>
          <w:iCs/>
          <w:lang w:val="pt-BR"/>
        </w:rPr>
      </w:pPr>
      <w:r>
        <w:rPr>
          <w:rFonts w:ascii="Times New Roman" w:hAnsi="Times New Roman"/>
          <w:bCs/>
          <w:i/>
          <w:iCs/>
          <w:lang w:val="pt-BR"/>
        </w:rPr>
        <w:t>Estudo de estabilidade</w:t>
      </w:r>
    </w:p>
    <w:p w14:paraId="113A0DBB" w14:textId="3188583F" w:rsidR="00CF508F" w:rsidRDefault="00CF508F" w:rsidP="00CF508F">
      <w:pPr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Figura 5 apresenta o desempenho catalítico de TiO</w:t>
      </w:r>
      <w:r w:rsidRPr="00FA4137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@Cu</w:t>
      </w:r>
      <w:r w:rsidRPr="002A6D35">
        <w:rPr>
          <w:rFonts w:ascii="Times New Roman" w:hAnsi="Times New Roman" w:cs="Times New Roman"/>
          <w:sz w:val="20"/>
          <w:szCs w:val="20"/>
          <w:vertAlign w:val="subscript"/>
        </w:rPr>
        <w:t>0,</w:t>
      </w:r>
      <w:r>
        <w:rPr>
          <w:rFonts w:ascii="Times New Roman" w:hAnsi="Times New Roman" w:cs="Times New Roman"/>
          <w:sz w:val="20"/>
          <w:szCs w:val="20"/>
          <w:vertAlign w:val="subscript"/>
        </w:rPr>
        <w:t>45</w:t>
      </w:r>
      <w:r>
        <w:rPr>
          <w:rFonts w:ascii="Times New Roman" w:hAnsi="Times New Roman" w:cs="Times New Roman"/>
          <w:sz w:val="20"/>
          <w:szCs w:val="20"/>
        </w:rPr>
        <w:t>. O catalisador apresenta uma performance estável para produção de H</w:t>
      </w:r>
      <w:r w:rsidRPr="0078600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até o terceiro ciclo, com redução da resposta a 10 </w:t>
      </w:r>
      <w:proofErr w:type="gramStart"/>
      <w:r>
        <w:rPr>
          <w:rFonts w:ascii="Times New Roman" w:hAnsi="Times New Roman" w:cs="Times New Roman"/>
          <w:sz w:val="20"/>
          <w:szCs w:val="20"/>
        </w:rPr>
        <w:t>mmol.gcat</w:t>
      </w:r>
      <w:proofErr w:type="gramEnd"/>
      <w:r w:rsidRPr="00E53CA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sua quarta rodada e produção de H</w:t>
      </w:r>
      <w:r w:rsidRPr="0016080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em cerca de 9 mmol.gcat</w:t>
      </w:r>
      <w:r w:rsidRPr="002E158B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 sexto ciclo.</w:t>
      </w:r>
    </w:p>
    <w:p w14:paraId="502D7B11" w14:textId="77777777" w:rsidR="00CF508F" w:rsidRPr="00E038AF" w:rsidRDefault="00CF508F" w:rsidP="00CF508F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5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Gráficos do teste de estabilidade para catalisador TiO</w:t>
      </w:r>
      <w:r w:rsidRPr="00254ACB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@Cu</w:t>
      </w:r>
      <w:r w:rsidRPr="00D71226">
        <w:rPr>
          <w:rFonts w:ascii="Times New Roman" w:hAnsi="Times New Roman"/>
          <w:vertAlign w:val="subscript"/>
          <w:lang w:val="pt-BR"/>
        </w:rPr>
        <w:t>0,45</w:t>
      </w:r>
      <w:r>
        <w:rPr>
          <w:rFonts w:ascii="Times New Roman" w:hAnsi="Times New Roman"/>
          <w:lang w:val="pt-BR"/>
        </w:rPr>
        <w:t xml:space="preserve">. </w:t>
      </w:r>
      <w:proofErr w:type="spellStart"/>
      <w:r>
        <w:rPr>
          <w:rFonts w:ascii="Times New Roman" w:hAnsi="Times New Roman"/>
          <w:lang w:val="pt-BR"/>
        </w:rPr>
        <w:t>Gli</w:t>
      </w:r>
      <w:proofErr w:type="spellEnd"/>
      <w:r>
        <w:rPr>
          <w:rFonts w:ascii="Times New Roman" w:hAnsi="Times New Roman"/>
          <w:lang w:val="pt-BR"/>
        </w:rPr>
        <w:t>. = 10%, pH = 9,0 e Cat. = 1,0 g.L</w:t>
      </w:r>
      <w:r w:rsidRPr="00254ACB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>.</w:t>
      </w:r>
    </w:p>
    <w:p w14:paraId="47CDFF93" w14:textId="5B66C66E" w:rsidR="00CF508F" w:rsidRDefault="00CF508F" w:rsidP="008029E6">
      <w:pPr>
        <w:ind w:firstLine="204"/>
        <w:jc w:val="center"/>
        <w:rPr>
          <w:rFonts w:ascii="Times New Roman" w:hAnsi="Times New Roman" w:cs="Times New Roman"/>
          <w:sz w:val="18"/>
          <w:szCs w:val="18"/>
        </w:rPr>
      </w:pPr>
      <w:r>
        <w:object w:dxaOrig="6735" w:dyaOrig="4763" w14:anchorId="2385B468">
          <v:shape id="_x0000_i1061" type="#_x0000_t75" style="width:189.25pt;height:147.25pt" o:ole="">
            <v:imagedata r:id="rId19" o:title="" croptop="4865f" cropbottom="3405f" cropleft="5689f" cropright="7934f"/>
          </v:shape>
          <o:OLEObject Type="Embed" ProgID="Origin50.Graph" ShapeID="_x0000_i1061" DrawAspect="Content" ObjectID="_1744271044" r:id="rId20"/>
        </w:object>
      </w:r>
    </w:p>
    <w:p w14:paraId="68F761E6" w14:textId="0D66D833" w:rsidR="008029E6" w:rsidRDefault="00160801" w:rsidP="0022241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7EFC5A" w14:textId="4FE80261" w:rsidR="002A6D35" w:rsidRDefault="00160801" w:rsidP="00222410">
      <w:pPr>
        <w:spacing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Apesar d</w:t>
      </w:r>
      <w:r w:rsidR="0022241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redução</w:t>
      </w:r>
      <w:r w:rsidR="00E7547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o material apresenta</w:t>
      </w:r>
      <w:r w:rsidR="002372AD">
        <w:rPr>
          <w:rFonts w:ascii="Times New Roman" w:hAnsi="Times New Roman" w:cs="Times New Roman"/>
          <w:sz w:val="20"/>
          <w:szCs w:val="20"/>
        </w:rPr>
        <w:t xml:space="preserve"> uma</w:t>
      </w:r>
      <w:r>
        <w:rPr>
          <w:rFonts w:ascii="Times New Roman" w:hAnsi="Times New Roman" w:cs="Times New Roman"/>
          <w:sz w:val="20"/>
          <w:szCs w:val="20"/>
        </w:rPr>
        <w:t xml:space="preserve"> estabilidade satisfatória para produção de H</w:t>
      </w:r>
      <w:r w:rsidR="00765E3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Estima-se </w:t>
      </w:r>
      <w:r w:rsidR="00E75472">
        <w:rPr>
          <w:rFonts w:ascii="Times New Roman" w:hAnsi="Times New Roman" w:cs="Times New Roman"/>
          <w:sz w:val="20"/>
          <w:szCs w:val="20"/>
        </w:rPr>
        <w:t xml:space="preserve">que </w:t>
      </w:r>
      <w:r w:rsidR="003D6FFB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lixiviação do metal</w:t>
      </w:r>
      <w:r w:rsidR="003D6FFB">
        <w:rPr>
          <w:rFonts w:ascii="Times New Roman" w:hAnsi="Times New Roman" w:cs="Times New Roman"/>
          <w:sz w:val="20"/>
          <w:szCs w:val="20"/>
        </w:rPr>
        <w:t xml:space="preserve"> seja a principal respons</w:t>
      </w:r>
      <w:r w:rsidR="00633BC8">
        <w:rPr>
          <w:rFonts w:ascii="Times New Roman" w:hAnsi="Times New Roman" w:cs="Times New Roman"/>
          <w:sz w:val="20"/>
          <w:szCs w:val="20"/>
        </w:rPr>
        <w:t>á</w:t>
      </w:r>
      <w:r w:rsidR="003D6FFB">
        <w:rPr>
          <w:rFonts w:ascii="Times New Roman" w:hAnsi="Times New Roman" w:cs="Times New Roman"/>
          <w:sz w:val="20"/>
          <w:szCs w:val="20"/>
        </w:rPr>
        <w:t>vel pela queda na performance</w:t>
      </w:r>
      <w:r w:rsidR="00FD284A">
        <w:rPr>
          <w:rFonts w:ascii="Times New Roman" w:hAnsi="Times New Roman" w:cs="Times New Roman"/>
          <w:sz w:val="20"/>
          <w:szCs w:val="20"/>
        </w:rPr>
        <w:t xml:space="preserve"> e</w:t>
      </w:r>
      <w:r w:rsidR="00222410">
        <w:rPr>
          <w:rFonts w:ascii="Times New Roman" w:hAnsi="Times New Roman" w:cs="Times New Roman"/>
          <w:sz w:val="20"/>
          <w:szCs w:val="20"/>
        </w:rPr>
        <w:t>,</w:t>
      </w:r>
      <w:r w:rsidR="00FD284A">
        <w:rPr>
          <w:rFonts w:ascii="Times New Roman" w:hAnsi="Times New Roman" w:cs="Times New Roman"/>
          <w:sz w:val="20"/>
          <w:szCs w:val="20"/>
        </w:rPr>
        <w:t xml:space="preserve"> dado o baixo teor de Cu </w:t>
      </w:r>
      <w:r w:rsidR="001A72AB">
        <w:rPr>
          <w:rFonts w:ascii="Times New Roman" w:hAnsi="Times New Roman" w:cs="Times New Roman"/>
          <w:sz w:val="20"/>
          <w:szCs w:val="20"/>
        </w:rPr>
        <w:t>do catalisador</w:t>
      </w:r>
      <w:r w:rsidR="00222410">
        <w:rPr>
          <w:rFonts w:ascii="Times New Roman" w:hAnsi="Times New Roman" w:cs="Times New Roman"/>
          <w:sz w:val="20"/>
          <w:szCs w:val="20"/>
        </w:rPr>
        <w:t>,</w:t>
      </w:r>
      <w:r w:rsidR="009337EC">
        <w:rPr>
          <w:rFonts w:ascii="Times New Roman" w:hAnsi="Times New Roman" w:cs="Times New Roman"/>
          <w:sz w:val="20"/>
          <w:szCs w:val="20"/>
        </w:rPr>
        <w:t xml:space="preserve"> </w:t>
      </w:r>
      <w:r w:rsidR="00FD284A">
        <w:rPr>
          <w:rFonts w:ascii="Times New Roman" w:hAnsi="Times New Roman" w:cs="Times New Roman"/>
          <w:sz w:val="20"/>
          <w:szCs w:val="20"/>
        </w:rPr>
        <w:t>a redução</w:t>
      </w:r>
      <w:r w:rsidR="009E59F5">
        <w:rPr>
          <w:rFonts w:ascii="Times New Roman" w:hAnsi="Times New Roman" w:cs="Times New Roman"/>
          <w:sz w:val="20"/>
          <w:szCs w:val="20"/>
        </w:rPr>
        <w:t xml:space="preserve"> da produção de H</w:t>
      </w:r>
      <w:r w:rsidR="009E59F5" w:rsidRPr="009E59F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FD284A">
        <w:rPr>
          <w:rFonts w:ascii="Times New Roman" w:hAnsi="Times New Roman" w:cs="Times New Roman"/>
          <w:sz w:val="20"/>
          <w:szCs w:val="20"/>
        </w:rPr>
        <w:t xml:space="preserve"> em ciclos consecutivos tende a</w:t>
      </w:r>
      <w:r w:rsidR="006C7177">
        <w:rPr>
          <w:rFonts w:ascii="Times New Roman" w:hAnsi="Times New Roman" w:cs="Times New Roman"/>
          <w:sz w:val="20"/>
          <w:szCs w:val="20"/>
        </w:rPr>
        <w:t xml:space="preserve"> maior</w:t>
      </w:r>
      <w:r w:rsidR="00FD284A">
        <w:rPr>
          <w:rFonts w:ascii="Times New Roman" w:hAnsi="Times New Roman" w:cs="Times New Roman"/>
          <w:sz w:val="20"/>
          <w:szCs w:val="20"/>
        </w:rPr>
        <w:t xml:space="preserve"> perda de eficiência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222410">
        <w:rPr>
          <w:rFonts w:ascii="Times New Roman" w:hAnsi="Times New Roman" w:cs="Times New Roman"/>
          <w:sz w:val="20"/>
          <w:szCs w:val="20"/>
        </w:rPr>
        <w:t xml:space="preserve">Foi observada a </w:t>
      </w:r>
      <w:r w:rsidR="00764FE0">
        <w:rPr>
          <w:rFonts w:ascii="Times New Roman" w:hAnsi="Times New Roman" w:cs="Times New Roman"/>
          <w:sz w:val="20"/>
          <w:szCs w:val="20"/>
        </w:rPr>
        <w:t>acidificação da fase aquosa ao fim de cada ciclo</w:t>
      </w:r>
      <w:r w:rsidR="00571ADB">
        <w:rPr>
          <w:rFonts w:ascii="Times New Roman" w:hAnsi="Times New Roman" w:cs="Times New Roman"/>
          <w:sz w:val="20"/>
          <w:szCs w:val="20"/>
        </w:rPr>
        <w:t xml:space="preserve">, com valores </w:t>
      </w:r>
      <w:r w:rsidR="00E75472">
        <w:rPr>
          <w:rFonts w:ascii="Times New Roman" w:hAnsi="Times New Roman" w:cs="Times New Roman"/>
          <w:sz w:val="20"/>
          <w:szCs w:val="20"/>
        </w:rPr>
        <w:t xml:space="preserve">de pH </w:t>
      </w:r>
      <w:r w:rsidR="00B4265C">
        <w:rPr>
          <w:rFonts w:ascii="Times New Roman" w:hAnsi="Times New Roman" w:cs="Times New Roman"/>
          <w:sz w:val="20"/>
          <w:szCs w:val="20"/>
        </w:rPr>
        <w:t xml:space="preserve">no intervalo de </w:t>
      </w:r>
      <w:r w:rsidR="00E75472">
        <w:rPr>
          <w:rFonts w:ascii="Times New Roman" w:hAnsi="Times New Roman" w:cs="Times New Roman"/>
          <w:sz w:val="20"/>
          <w:szCs w:val="20"/>
        </w:rPr>
        <w:t xml:space="preserve">3,5 a </w:t>
      </w:r>
      <w:r w:rsidR="00571ADB">
        <w:rPr>
          <w:rFonts w:ascii="Times New Roman" w:hAnsi="Times New Roman" w:cs="Times New Roman"/>
          <w:sz w:val="20"/>
          <w:szCs w:val="20"/>
        </w:rPr>
        <w:t>4,0</w:t>
      </w:r>
      <w:r w:rsidR="005546D3">
        <w:rPr>
          <w:rFonts w:ascii="Times New Roman" w:hAnsi="Times New Roman" w:cs="Times New Roman"/>
          <w:sz w:val="20"/>
          <w:szCs w:val="20"/>
        </w:rPr>
        <w:t>,</w:t>
      </w:r>
      <w:r w:rsidR="00841942">
        <w:rPr>
          <w:rFonts w:ascii="Times New Roman" w:hAnsi="Times New Roman" w:cs="Times New Roman"/>
          <w:sz w:val="20"/>
          <w:szCs w:val="20"/>
        </w:rPr>
        <w:t xml:space="preserve"> o que </w:t>
      </w:r>
      <w:r w:rsidR="005546D3">
        <w:rPr>
          <w:rFonts w:ascii="Times New Roman" w:hAnsi="Times New Roman" w:cs="Times New Roman"/>
          <w:sz w:val="20"/>
          <w:szCs w:val="20"/>
        </w:rPr>
        <w:t>n</w:t>
      </w:r>
      <w:r w:rsidR="005C55BC">
        <w:rPr>
          <w:rFonts w:ascii="Times New Roman" w:hAnsi="Times New Roman" w:cs="Times New Roman"/>
          <w:sz w:val="20"/>
          <w:szCs w:val="20"/>
        </w:rPr>
        <w:t xml:space="preserve">o mecanismo reacional da </w:t>
      </w:r>
      <w:r w:rsidR="00584ACA">
        <w:rPr>
          <w:rFonts w:ascii="Times New Roman" w:hAnsi="Times New Roman" w:cs="Times New Roman"/>
          <w:sz w:val="20"/>
          <w:szCs w:val="20"/>
        </w:rPr>
        <w:t>reforma fotocatalítica</w:t>
      </w:r>
      <w:r w:rsidR="00841942">
        <w:rPr>
          <w:rFonts w:ascii="Times New Roman" w:hAnsi="Times New Roman" w:cs="Times New Roman"/>
          <w:sz w:val="20"/>
          <w:szCs w:val="20"/>
        </w:rPr>
        <w:t xml:space="preserve"> do glicerol</w:t>
      </w:r>
      <w:r w:rsidR="00D71410">
        <w:rPr>
          <w:rFonts w:ascii="Times New Roman" w:hAnsi="Times New Roman" w:cs="Times New Roman"/>
          <w:sz w:val="20"/>
          <w:szCs w:val="20"/>
        </w:rPr>
        <w:t xml:space="preserve"> tende </w:t>
      </w:r>
      <w:r w:rsidR="005546D3">
        <w:rPr>
          <w:rFonts w:ascii="Times New Roman" w:hAnsi="Times New Roman" w:cs="Times New Roman"/>
          <w:sz w:val="20"/>
          <w:szCs w:val="20"/>
        </w:rPr>
        <w:t xml:space="preserve">à </w:t>
      </w:r>
      <w:r w:rsidR="00D71410">
        <w:rPr>
          <w:rFonts w:ascii="Times New Roman" w:hAnsi="Times New Roman" w:cs="Times New Roman"/>
          <w:sz w:val="20"/>
          <w:szCs w:val="20"/>
        </w:rPr>
        <w:t>formação</w:t>
      </w:r>
      <w:r w:rsidR="00841942">
        <w:rPr>
          <w:rFonts w:ascii="Times New Roman" w:hAnsi="Times New Roman" w:cs="Times New Roman"/>
          <w:sz w:val="20"/>
          <w:szCs w:val="20"/>
        </w:rPr>
        <w:t xml:space="preserve"> de coprodutos ácidos</w:t>
      </w:r>
      <w:r w:rsidR="00D71410">
        <w:rPr>
          <w:rFonts w:ascii="Times New Roman" w:hAnsi="Times New Roman" w:cs="Times New Roman"/>
          <w:sz w:val="20"/>
          <w:szCs w:val="20"/>
        </w:rPr>
        <w:t>.</w:t>
      </w:r>
    </w:p>
    <w:p w14:paraId="20AA905D" w14:textId="09EB3D13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1DB19F7F" w14:textId="25353D71" w:rsidR="0067412D" w:rsidRDefault="00093C21" w:rsidP="00AC72F5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093C21">
        <w:rPr>
          <w:rFonts w:ascii="Times New Roman" w:hAnsi="Times New Roman" w:cs="Times New Roman"/>
          <w:sz w:val="20"/>
          <w:szCs w:val="20"/>
        </w:rPr>
        <w:t xml:space="preserve">O método de fotodeposição </w:t>
      </w:r>
      <w:r w:rsidR="005546D3" w:rsidRPr="00093C21">
        <w:rPr>
          <w:rFonts w:ascii="Times New Roman" w:hAnsi="Times New Roman" w:cs="Times New Roman"/>
          <w:sz w:val="20"/>
          <w:szCs w:val="20"/>
        </w:rPr>
        <w:t>escolhid</w:t>
      </w:r>
      <w:r w:rsidR="005546D3">
        <w:rPr>
          <w:rFonts w:ascii="Times New Roman" w:hAnsi="Times New Roman" w:cs="Times New Roman"/>
          <w:sz w:val="20"/>
          <w:szCs w:val="20"/>
        </w:rPr>
        <w:t>o</w:t>
      </w:r>
      <w:r w:rsidR="005546D3" w:rsidRPr="00093C21">
        <w:rPr>
          <w:rFonts w:ascii="Times New Roman" w:hAnsi="Times New Roman" w:cs="Times New Roman"/>
          <w:sz w:val="20"/>
          <w:szCs w:val="20"/>
        </w:rPr>
        <w:t xml:space="preserve"> </w:t>
      </w:r>
      <w:r w:rsidRPr="00093C21">
        <w:rPr>
          <w:rFonts w:ascii="Times New Roman" w:hAnsi="Times New Roman" w:cs="Times New Roman"/>
          <w:sz w:val="20"/>
          <w:szCs w:val="20"/>
        </w:rPr>
        <w:t xml:space="preserve">mostrou-se </w:t>
      </w:r>
      <w:r w:rsidR="005546D3" w:rsidRPr="00093C21">
        <w:rPr>
          <w:rFonts w:ascii="Times New Roman" w:hAnsi="Times New Roman" w:cs="Times New Roman"/>
          <w:sz w:val="20"/>
          <w:szCs w:val="20"/>
        </w:rPr>
        <w:t>satisfatóri</w:t>
      </w:r>
      <w:r w:rsidR="005546D3">
        <w:rPr>
          <w:rFonts w:ascii="Times New Roman" w:hAnsi="Times New Roman" w:cs="Times New Roman"/>
          <w:sz w:val="20"/>
          <w:szCs w:val="20"/>
        </w:rPr>
        <w:t>o</w:t>
      </w:r>
      <w:r w:rsidR="005546D3" w:rsidRPr="00093C21">
        <w:rPr>
          <w:rFonts w:ascii="Times New Roman" w:hAnsi="Times New Roman" w:cs="Times New Roman"/>
          <w:sz w:val="20"/>
          <w:szCs w:val="20"/>
        </w:rPr>
        <w:t xml:space="preserve"> </w:t>
      </w:r>
      <w:r w:rsidRPr="00093C21">
        <w:rPr>
          <w:rFonts w:ascii="Times New Roman" w:hAnsi="Times New Roman" w:cs="Times New Roman"/>
          <w:sz w:val="20"/>
          <w:szCs w:val="20"/>
        </w:rPr>
        <w:t>de acordo com a análise química e do desempenho fotocatalítico experimental.</w:t>
      </w:r>
      <w:r w:rsidR="00AC72F5">
        <w:rPr>
          <w:rFonts w:ascii="Times New Roman" w:hAnsi="Times New Roman" w:cs="Times New Roman"/>
          <w:sz w:val="20"/>
          <w:szCs w:val="20"/>
        </w:rPr>
        <w:t xml:space="preserve"> </w:t>
      </w:r>
      <w:r w:rsidR="00EF1594">
        <w:rPr>
          <w:rFonts w:ascii="Times New Roman" w:hAnsi="Times New Roman" w:cs="Times New Roman"/>
          <w:sz w:val="20"/>
          <w:szCs w:val="20"/>
        </w:rPr>
        <w:t>A</w:t>
      </w:r>
      <w:r w:rsidR="00AC72F5">
        <w:rPr>
          <w:rFonts w:ascii="Times New Roman" w:hAnsi="Times New Roman" w:cs="Times New Roman"/>
          <w:sz w:val="20"/>
          <w:szCs w:val="20"/>
        </w:rPr>
        <w:t xml:space="preserve"> partir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3C21">
        <w:rPr>
          <w:rFonts w:ascii="Times New Roman" w:hAnsi="Times New Roman" w:cs="Times New Roman"/>
          <w:sz w:val="20"/>
          <w:szCs w:val="20"/>
        </w:rPr>
        <w:t>gráfico de Pareto</w:t>
      </w:r>
      <w:r w:rsidR="00AC72F5">
        <w:rPr>
          <w:rFonts w:ascii="Times New Roman" w:hAnsi="Times New Roman" w:cs="Times New Roman"/>
          <w:sz w:val="20"/>
          <w:szCs w:val="20"/>
        </w:rPr>
        <w:t xml:space="preserve"> observou-se </w:t>
      </w:r>
      <w:r>
        <w:rPr>
          <w:rFonts w:ascii="Times New Roman" w:hAnsi="Times New Roman" w:cs="Times New Roman"/>
          <w:sz w:val="20"/>
          <w:szCs w:val="20"/>
        </w:rPr>
        <w:t>que a</w:t>
      </w:r>
      <w:r w:rsidR="00AC3891">
        <w:rPr>
          <w:rFonts w:ascii="Times New Roman" w:hAnsi="Times New Roman" w:cs="Times New Roman"/>
          <w:sz w:val="20"/>
          <w:szCs w:val="20"/>
        </w:rPr>
        <w:t>s variáveis mais significativas para a produção de H</w:t>
      </w:r>
      <w:r w:rsidR="00AC3891" w:rsidRPr="00AC389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AC3891">
        <w:rPr>
          <w:rFonts w:ascii="Times New Roman" w:hAnsi="Times New Roman" w:cs="Times New Roman"/>
          <w:sz w:val="20"/>
          <w:szCs w:val="20"/>
        </w:rPr>
        <w:t xml:space="preserve"> são a dosagem de catalisadores e </w:t>
      </w:r>
      <w:r w:rsidR="00AC72F5">
        <w:rPr>
          <w:rFonts w:ascii="Times New Roman" w:hAnsi="Times New Roman" w:cs="Times New Roman"/>
          <w:sz w:val="20"/>
          <w:szCs w:val="20"/>
        </w:rPr>
        <w:t>o percentual de</w:t>
      </w:r>
      <w:r w:rsidR="00AC3891">
        <w:rPr>
          <w:rFonts w:ascii="Times New Roman" w:hAnsi="Times New Roman" w:cs="Times New Roman"/>
          <w:sz w:val="20"/>
          <w:szCs w:val="20"/>
        </w:rPr>
        <w:t xml:space="preserve"> Cu</w:t>
      </w:r>
      <w:r w:rsidR="00AC72F5">
        <w:rPr>
          <w:rFonts w:ascii="Times New Roman" w:hAnsi="Times New Roman" w:cs="Times New Roman"/>
          <w:sz w:val="20"/>
          <w:szCs w:val="20"/>
        </w:rPr>
        <w:t xml:space="preserve"> fotodepositado</w:t>
      </w:r>
      <w:r w:rsidR="00AC389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8D2D519" w14:textId="3C4AE1A2" w:rsidR="00093C21" w:rsidRDefault="00112DAB" w:rsidP="00093C21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 resultados</w:t>
      </w:r>
      <w:r w:rsidR="00A60E56">
        <w:rPr>
          <w:rFonts w:ascii="Times New Roman" w:hAnsi="Times New Roman" w:cs="Times New Roman"/>
          <w:sz w:val="20"/>
          <w:szCs w:val="20"/>
        </w:rPr>
        <w:t xml:space="preserve"> ainda</w:t>
      </w:r>
      <w:r w:rsidR="00AC72F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demonstra</w:t>
      </w:r>
      <w:r w:rsidR="00AC72F5"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 xml:space="preserve">m que Cu </w:t>
      </w:r>
      <w:r w:rsidR="0067412D">
        <w:rPr>
          <w:rFonts w:ascii="Times New Roman" w:hAnsi="Times New Roman" w:cs="Times New Roman"/>
          <w:sz w:val="20"/>
          <w:szCs w:val="20"/>
        </w:rPr>
        <w:t>aumentou significativamente a eficiência de TiO</w:t>
      </w:r>
      <w:r w:rsidR="0067412D" w:rsidRPr="0067412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7412D">
        <w:rPr>
          <w:rFonts w:ascii="Times New Roman" w:hAnsi="Times New Roman" w:cs="Times New Roman"/>
          <w:sz w:val="20"/>
          <w:szCs w:val="20"/>
        </w:rPr>
        <w:t xml:space="preserve"> como catalisador para produção de H</w:t>
      </w:r>
      <w:r w:rsidR="0067412D" w:rsidRPr="0067412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AC72F5">
        <w:rPr>
          <w:rFonts w:ascii="Times New Roman" w:hAnsi="Times New Roman" w:cs="Times New Roman"/>
          <w:sz w:val="20"/>
          <w:szCs w:val="20"/>
        </w:rPr>
        <w:t xml:space="preserve">, o que </w:t>
      </w:r>
      <w:r w:rsidR="00B25B42">
        <w:rPr>
          <w:rFonts w:ascii="Times New Roman" w:hAnsi="Times New Roman" w:cs="Times New Roman"/>
          <w:sz w:val="20"/>
          <w:szCs w:val="20"/>
        </w:rPr>
        <w:t xml:space="preserve">confirma o </w:t>
      </w:r>
      <w:r w:rsidR="00AC72F5">
        <w:rPr>
          <w:rFonts w:ascii="Times New Roman" w:hAnsi="Times New Roman" w:cs="Times New Roman"/>
          <w:sz w:val="20"/>
          <w:szCs w:val="20"/>
        </w:rPr>
        <w:t>potencial</w:t>
      </w:r>
      <w:r w:rsidR="00B25B42">
        <w:rPr>
          <w:rFonts w:ascii="Times New Roman" w:hAnsi="Times New Roman" w:cs="Times New Roman"/>
          <w:sz w:val="20"/>
          <w:szCs w:val="20"/>
        </w:rPr>
        <w:t xml:space="preserve"> do metal</w:t>
      </w:r>
      <w:r w:rsidR="00AC72F5">
        <w:rPr>
          <w:rFonts w:ascii="Times New Roman" w:hAnsi="Times New Roman" w:cs="Times New Roman"/>
          <w:sz w:val="20"/>
          <w:szCs w:val="20"/>
        </w:rPr>
        <w:t xml:space="preserve"> como sítio para produção de H</w:t>
      </w:r>
      <w:r w:rsidR="00AC72F5" w:rsidRPr="00171A24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AC72F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1C5A19" w14:textId="61BA3890" w:rsidR="00FE27C9" w:rsidRDefault="00091C68" w:rsidP="00093C21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resposta otimizada obtida apresentou um</w:t>
      </w:r>
      <w:r w:rsidR="00171A24">
        <w:rPr>
          <w:rFonts w:ascii="Times New Roman" w:hAnsi="Times New Roman" w:cs="Times New Roman"/>
          <w:sz w:val="20"/>
          <w:szCs w:val="20"/>
        </w:rPr>
        <w:t>a produção de H</w:t>
      </w:r>
      <w:r w:rsidR="00171A24" w:rsidRPr="000E55F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171A24">
        <w:rPr>
          <w:rFonts w:ascii="Times New Roman" w:hAnsi="Times New Roman" w:cs="Times New Roman"/>
          <w:sz w:val="20"/>
          <w:szCs w:val="20"/>
        </w:rPr>
        <w:t xml:space="preserve"> em cerca de 12,03 mmol.gcat</w:t>
      </w:r>
      <w:r w:rsidR="00171A24" w:rsidRPr="00FE27C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FE27C9">
        <w:rPr>
          <w:rFonts w:ascii="Times New Roman" w:hAnsi="Times New Roman" w:cs="Times New Roman"/>
          <w:sz w:val="20"/>
          <w:szCs w:val="20"/>
        </w:rPr>
        <w:t xml:space="preserve"> demonstrando ser </w:t>
      </w:r>
      <w:r w:rsidR="00171A24">
        <w:rPr>
          <w:rFonts w:ascii="Times New Roman" w:hAnsi="Times New Roman" w:cs="Times New Roman"/>
          <w:sz w:val="20"/>
          <w:szCs w:val="20"/>
        </w:rPr>
        <w:t>um resultado satisfatório dentro do nível de significância de 5%.</w:t>
      </w:r>
      <w:r w:rsidR="009A773D">
        <w:rPr>
          <w:rFonts w:ascii="Times New Roman" w:hAnsi="Times New Roman" w:cs="Times New Roman"/>
          <w:sz w:val="20"/>
          <w:szCs w:val="20"/>
        </w:rPr>
        <w:t xml:space="preserve"> O resultado confirma a acuracidade do modelo e o ajuste dos dados observados.</w:t>
      </w:r>
    </w:p>
    <w:p w14:paraId="659BD4D1" w14:textId="2E81EA83" w:rsidR="006574ED" w:rsidRDefault="00A55E6A" w:rsidP="00093C21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estabilidade do catalisador de melhor performance foi avaliada e </w:t>
      </w:r>
      <w:r w:rsidR="00F71378">
        <w:rPr>
          <w:rFonts w:ascii="Times New Roman" w:hAnsi="Times New Roman" w:cs="Times New Roman"/>
          <w:sz w:val="20"/>
          <w:szCs w:val="20"/>
        </w:rPr>
        <w:t xml:space="preserve">demonstrou </w:t>
      </w:r>
      <w:r w:rsidR="00B2283F">
        <w:rPr>
          <w:rFonts w:ascii="Times New Roman" w:hAnsi="Times New Roman" w:cs="Times New Roman"/>
          <w:sz w:val="20"/>
          <w:szCs w:val="20"/>
        </w:rPr>
        <w:t>comportamento</w:t>
      </w:r>
      <w:r w:rsidR="00F71378">
        <w:rPr>
          <w:rFonts w:ascii="Times New Roman" w:hAnsi="Times New Roman" w:cs="Times New Roman"/>
          <w:sz w:val="20"/>
          <w:szCs w:val="20"/>
        </w:rPr>
        <w:t xml:space="preserve"> satisfatóri</w:t>
      </w:r>
      <w:r w:rsidR="00B2283F">
        <w:rPr>
          <w:rFonts w:ascii="Times New Roman" w:hAnsi="Times New Roman" w:cs="Times New Roman"/>
          <w:sz w:val="20"/>
          <w:szCs w:val="20"/>
        </w:rPr>
        <w:t>o</w:t>
      </w:r>
      <w:r w:rsidR="00F71378">
        <w:rPr>
          <w:rFonts w:ascii="Times New Roman" w:hAnsi="Times New Roman" w:cs="Times New Roman"/>
          <w:sz w:val="20"/>
          <w:szCs w:val="20"/>
        </w:rPr>
        <w:t xml:space="preserve"> para o processo, com redução da produção de H</w:t>
      </w:r>
      <w:r w:rsidR="00F71378" w:rsidRPr="00B2283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F71378">
        <w:rPr>
          <w:rFonts w:ascii="Times New Roman" w:hAnsi="Times New Roman" w:cs="Times New Roman"/>
          <w:sz w:val="20"/>
          <w:szCs w:val="20"/>
        </w:rPr>
        <w:t xml:space="preserve"> a </w:t>
      </w:r>
      <w:r w:rsidR="004C167A">
        <w:rPr>
          <w:rFonts w:ascii="Times New Roman" w:hAnsi="Times New Roman" w:cs="Times New Roman"/>
          <w:sz w:val="20"/>
          <w:szCs w:val="20"/>
        </w:rPr>
        <w:t>9,0</w:t>
      </w:r>
      <w:r w:rsidR="00B2283F">
        <w:rPr>
          <w:rFonts w:ascii="Times New Roman" w:hAnsi="Times New Roman" w:cs="Times New Roman"/>
          <w:sz w:val="20"/>
          <w:szCs w:val="20"/>
        </w:rPr>
        <w:t xml:space="preserve"> mmol</w:t>
      </w:r>
      <w:r w:rsidR="004C167A">
        <w:rPr>
          <w:rFonts w:ascii="Times New Roman" w:hAnsi="Times New Roman" w:cs="Times New Roman"/>
          <w:sz w:val="20"/>
          <w:szCs w:val="20"/>
        </w:rPr>
        <w:t xml:space="preserve"> H</w:t>
      </w:r>
      <w:r w:rsidR="004C167A" w:rsidRPr="004C167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B2283F">
        <w:rPr>
          <w:rFonts w:ascii="Times New Roman" w:hAnsi="Times New Roman" w:cs="Times New Roman"/>
          <w:sz w:val="20"/>
          <w:szCs w:val="20"/>
        </w:rPr>
        <w:t>.gcat</w:t>
      </w:r>
      <w:r w:rsidR="00B2283F" w:rsidRPr="00B2283F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0E1C3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0E1C36">
        <w:rPr>
          <w:rFonts w:ascii="Times New Roman" w:hAnsi="Times New Roman" w:cs="Times New Roman"/>
          <w:sz w:val="20"/>
          <w:szCs w:val="20"/>
        </w:rPr>
        <w:t xml:space="preserve">apenas no sexto ciclo de </w:t>
      </w:r>
      <w:r w:rsidR="00F74545">
        <w:rPr>
          <w:rFonts w:ascii="Times New Roman" w:hAnsi="Times New Roman" w:cs="Times New Roman"/>
          <w:sz w:val="20"/>
          <w:szCs w:val="20"/>
        </w:rPr>
        <w:t>reuso</w:t>
      </w:r>
      <w:r w:rsidR="004E5996">
        <w:rPr>
          <w:rFonts w:ascii="Times New Roman" w:hAnsi="Times New Roman" w:cs="Times New Roman"/>
          <w:sz w:val="20"/>
          <w:szCs w:val="20"/>
        </w:rPr>
        <w:t xml:space="preserve">. As características observadas indicam que Cu é um componente promissor para a </w:t>
      </w:r>
      <w:r w:rsidR="00DD64E0">
        <w:rPr>
          <w:rFonts w:ascii="Times New Roman" w:hAnsi="Times New Roman" w:cs="Times New Roman"/>
          <w:sz w:val="20"/>
          <w:szCs w:val="20"/>
        </w:rPr>
        <w:t xml:space="preserve">produção </w:t>
      </w:r>
      <w:r w:rsidR="004E5996">
        <w:rPr>
          <w:rFonts w:ascii="Times New Roman" w:hAnsi="Times New Roman" w:cs="Times New Roman"/>
          <w:sz w:val="20"/>
          <w:szCs w:val="20"/>
        </w:rPr>
        <w:t>de H</w:t>
      </w:r>
      <w:r w:rsidR="004E5996" w:rsidRPr="004E599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E5996">
        <w:rPr>
          <w:rFonts w:ascii="Times New Roman" w:hAnsi="Times New Roman" w:cs="Times New Roman"/>
          <w:sz w:val="20"/>
          <w:szCs w:val="20"/>
        </w:rPr>
        <w:t>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0682D186" w:rsidR="00EA4E1B" w:rsidRPr="001F25B2" w:rsidRDefault="00571B2A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Agradecemos </w:t>
      </w:r>
      <w:r w:rsidR="007E2446">
        <w:rPr>
          <w:rFonts w:ascii="Times New Roman" w:hAnsi="Times New Roman"/>
          <w:lang w:val="pt-BR"/>
        </w:rPr>
        <w:t>o apoio financeiro d</w:t>
      </w:r>
      <w:r>
        <w:rPr>
          <w:rFonts w:ascii="Times New Roman" w:hAnsi="Times New Roman"/>
          <w:lang w:val="pt-BR"/>
        </w:rPr>
        <w:t xml:space="preserve">a Fundação Cearense de Apoio ao Desenvolvimento Científico e Tecnológico (FUNCAP) </w:t>
      </w:r>
      <w:r w:rsidR="00EF1594">
        <w:rPr>
          <w:rFonts w:ascii="Times New Roman" w:hAnsi="Times New Roman"/>
          <w:lang w:val="pt-BR"/>
        </w:rPr>
        <w:t xml:space="preserve">e </w:t>
      </w:r>
      <w:r w:rsidR="007E2446">
        <w:rPr>
          <w:rFonts w:ascii="Times New Roman" w:hAnsi="Times New Roman"/>
          <w:lang w:val="pt-BR"/>
        </w:rPr>
        <w:t>d</w:t>
      </w:r>
      <w:r w:rsidR="0034745B">
        <w:rPr>
          <w:rFonts w:ascii="Times New Roman" w:hAnsi="Times New Roman"/>
          <w:lang w:val="pt-BR"/>
        </w:rPr>
        <w:t xml:space="preserve">a </w:t>
      </w:r>
      <w:r w:rsidR="007E2446">
        <w:rPr>
          <w:rFonts w:ascii="Times New Roman" w:hAnsi="Times New Roman"/>
          <w:lang w:val="pt-BR"/>
        </w:rPr>
        <w:t>Indra Comercializadora de Energias LTDA</w:t>
      </w:r>
      <w:r>
        <w:rPr>
          <w:rFonts w:ascii="Times New Roman" w:hAnsi="Times New Roman"/>
          <w:lang w:val="pt-BR"/>
        </w:rPr>
        <w:t xml:space="preserve">. 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3A4C074" w14:textId="32E82EEF" w:rsidR="005537ED" w:rsidRPr="00954F79" w:rsidRDefault="004E73FC" w:rsidP="00BA5CF9">
      <w:pPr>
        <w:pStyle w:val="TAMainText"/>
        <w:numPr>
          <w:ilvl w:val="0"/>
          <w:numId w:val="1"/>
        </w:numPr>
        <w:ind w:left="357" w:hanging="357"/>
        <w:rPr>
          <w:rFonts w:ascii="Times New Roman" w:hAnsi="Times New Roman"/>
          <w:color w:val="000000" w:themeColor="text1"/>
          <w:lang w:val="en-GB"/>
        </w:rPr>
      </w:pPr>
      <w:r w:rsidRPr="00954F79">
        <w:rPr>
          <w:rFonts w:ascii="Times New Roman" w:hAnsi="Times New Roman"/>
          <w:color w:val="000000" w:themeColor="text1"/>
          <w:lang w:val="en-GB"/>
        </w:rPr>
        <w:t xml:space="preserve">M.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Van der Spek.;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C.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Benet;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C.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Bauer;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P. </w:t>
      </w:r>
      <w:proofErr w:type="spellStart"/>
      <w:r w:rsidR="005537ED" w:rsidRPr="00954F79">
        <w:rPr>
          <w:rFonts w:ascii="Times New Roman" w:hAnsi="Times New Roman"/>
          <w:color w:val="000000" w:themeColor="text1"/>
          <w:lang w:val="en-GB"/>
        </w:rPr>
        <w:t>Gabrielli</w:t>
      </w:r>
      <w:proofErr w:type="spellEnd"/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W.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Goldthorpe;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M.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Marco;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S. T. </w:t>
      </w:r>
      <w:proofErr w:type="spellStart"/>
      <w:r w:rsidR="005537ED" w:rsidRPr="00954F79">
        <w:rPr>
          <w:rFonts w:ascii="Times New Roman" w:hAnsi="Times New Roman"/>
          <w:color w:val="000000" w:themeColor="text1"/>
          <w:lang w:val="en-GB"/>
        </w:rPr>
        <w:t>Munkejod</w:t>
      </w:r>
      <w:proofErr w:type="spellEnd"/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N. A. </w:t>
      </w:r>
      <w:proofErr w:type="spellStart"/>
      <w:r w:rsidR="005537ED" w:rsidRPr="00954F79">
        <w:rPr>
          <w:rFonts w:ascii="Times New Roman" w:hAnsi="Times New Roman"/>
          <w:color w:val="000000" w:themeColor="text1"/>
          <w:lang w:val="en-GB"/>
        </w:rPr>
        <w:t>Rokke</w:t>
      </w:r>
      <w:proofErr w:type="spellEnd"/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N.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>Shah;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 N.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Sunny;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D.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>Sutter;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 J. M.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5537ED" w:rsidRPr="00954F79">
        <w:rPr>
          <w:rFonts w:ascii="Times New Roman" w:hAnsi="Times New Roman"/>
          <w:color w:val="000000" w:themeColor="text1"/>
          <w:lang w:val="en-GB"/>
        </w:rPr>
        <w:t>Trusler</w:t>
      </w:r>
      <w:proofErr w:type="spellEnd"/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; </w:t>
      </w:r>
      <w:r w:rsidR="00F50277" w:rsidRPr="00954F79">
        <w:rPr>
          <w:rFonts w:ascii="Times New Roman" w:hAnsi="Times New Roman"/>
          <w:color w:val="000000" w:themeColor="text1"/>
          <w:lang w:val="en-GB"/>
        </w:rPr>
        <w:t xml:space="preserve">M. </w:t>
      </w:r>
      <w:proofErr w:type="spellStart"/>
      <w:r w:rsidR="005537ED" w:rsidRPr="00954F79">
        <w:rPr>
          <w:rFonts w:ascii="Times New Roman" w:hAnsi="Times New Roman"/>
          <w:color w:val="000000" w:themeColor="text1"/>
          <w:lang w:val="en-GB"/>
        </w:rPr>
        <w:t>Gazzani</w:t>
      </w:r>
      <w:proofErr w:type="spellEnd"/>
      <w:r w:rsidR="00F50277" w:rsidRPr="00954F79">
        <w:rPr>
          <w:rFonts w:ascii="Times New Roman" w:hAnsi="Times New Roman"/>
          <w:color w:val="000000" w:themeColor="text1"/>
          <w:lang w:val="en-GB"/>
        </w:rPr>
        <w:t>.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 Perspective on the hydrogen economy as a pathway to reach net – zero CO</w:t>
      </w:r>
      <w:r w:rsidR="005537ED" w:rsidRPr="00954F79">
        <w:rPr>
          <w:rFonts w:ascii="Times New Roman" w:hAnsi="Times New Roman"/>
          <w:color w:val="000000" w:themeColor="text1"/>
          <w:vertAlign w:val="subscript"/>
          <w:lang w:val="en-GB"/>
        </w:rPr>
        <w:t>2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 emissions in Europe</w:t>
      </w:r>
      <w:r w:rsidR="007C4FEB" w:rsidRPr="00954F79">
        <w:rPr>
          <w:rFonts w:ascii="Times New Roman" w:hAnsi="Times New Roman"/>
          <w:color w:val="000000" w:themeColor="text1"/>
          <w:lang w:val="en-GB"/>
        </w:rPr>
        <w:t>,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5537ED" w:rsidRPr="00954F79">
        <w:rPr>
          <w:rFonts w:ascii="Times New Roman" w:hAnsi="Times New Roman"/>
          <w:i/>
          <w:iCs/>
          <w:color w:val="000000" w:themeColor="text1"/>
          <w:lang w:val="en-GB"/>
        </w:rPr>
        <w:t>Energy Environmental Science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. </w:t>
      </w:r>
      <w:r w:rsidR="005537ED" w:rsidRPr="00954F79">
        <w:rPr>
          <w:rFonts w:ascii="Times New Roman" w:hAnsi="Times New Roman"/>
          <w:b/>
          <w:bCs/>
          <w:color w:val="000000" w:themeColor="text1"/>
          <w:lang w:val="en-GB"/>
        </w:rPr>
        <w:t>2022</w:t>
      </w:r>
      <w:r w:rsidR="005537ED" w:rsidRPr="00954F79">
        <w:rPr>
          <w:rFonts w:ascii="Times New Roman" w:hAnsi="Times New Roman"/>
          <w:i/>
          <w:iCs/>
          <w:color w:val="000000" w:themeColor="text1"/>
          <w:lang w:val="en-GB"/>
        </w:rPr>
        <w:t>, 15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>, 1034 – 1077</w:t>
      </w:r>
      <w:r w:rsidR="004153C4" w:rsidRPr="00954F79">
        <w:rPr>
          <w:rFonts w:ascii="Times New Roman" w:hAnsi="Times New Roman"/>
          <w:color w:val="000000" w:themeColor="text1"/>
          <w:lang w:val="en-GB"/>
        </w:rPr>
        <w:t>.</w:t>
      </w:r>
    </w:p>
    <w:p w14:paraId="52E4E3E6" w14:textId="6398266B" w:rsidR="00BA5CF9" w:rsidRPr="00954F79" w:rsidRDefault="00F93432" w:rsidP="00BA5CF9">
      <w:pPr>
        <w:pStyle w:val="TAMainText"/>
        <w:numPr>
          <w:ilvl w:val="0"/>
          <w:numId w:val="1"/>
        </w:numPr>
        <w:ind w:left="357" w:hanging="357"/>
        <w:rPr>
          <w:rFonts w:ascii="Times New Roman" w:hAnsi="Times New Roman"/>
          <w:color w:val="000000" w:themeColor="text1"/>
          <w:lang w:val="en-GB"/>
        </w:rPr>
      </w:pPr>
      <w:r w:rsidRPr="00954F79">
        <w:rPr>
          <w:rFonts w:ascii="Times New Roman" w:hAnsi="Times New Roman"/>
          <w:color w:val="000000" w:themeColor="text1"/>
          <w:lang w:val="en-GB"/>
        </w:rPr>
        <w:t xml:space="preserve">A. G. </w:t>
      </w:r>
      <w:proofErr w:type="spellStart"/>
      <w:r w:rsidR="004153C4" w:rsidRPr="00954F79">
        <w:rPr>
          <w:rFonts w:ascii="Times New Roman" w:hAnsi="Times New Roman"/>
          <w:color w:val="000000" w:themeColor="text1"/>
          <w:lang w:val="en-GB"/>
        </w:rPr>
        <w:t>Olabi</w:t>
      </w:r>
      <w:proofErr w:type="spellEnd"/>
      <w:r w:rsidR="004153C4" w:rsidRPr="00954F79">
        <w:rPr>
          <w:rFonts w:ascii="Times New Roman" w:hAnsi="Times New Roman"/>
          <w:color w:val="000000" w:themeColor="text1"/>
          <w:lang w:val="en-GB"/>
        </w:rPr>
        <w:t xml:space="preserve">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M. A. </w:t>
      </w:r>
      <w:proofErr w:type="spellStart"/>
      <w:r w:rsidR="004153C4" w:rsidRPr="00954F79">
        <w:rPr>
          <w:rFonts w:ascii="Times New Roman" w:hAnsi="Times New Roman"/>
          <w:color w:val="000000" w:themeColor="text1"/>
          <w:lang w:val="en-GB"/>
        </w:rPr>
        <w:t>Abdelkareem</w:t>
      </w:r>
      <w:proofErr w:type="spellEnd"/>
      <w:r w:rsidR="004153C4" w:rsidRPr="00954F79">
        <w:rPr>
          <w:rFonts w:ascii="Times New Roman" w:hAnsi="Times New Roman"/>
          <w:color w:val="000000" w:themeColor="text1"/>
          <w:lang w:val="en-GB"/>
        </w:rPr>
        <w:t>. Renewable energy and climate change</w:t>
      </w:r>
      <w:r w:rsidR="007C4FEB" w:rsidRPr="00954F79">
        <w:rPr>
          <w:rFonts w:ascii="Times New Roman" w:hAnsi="Times New Roman"/>
          <w:color w:val="000000" w:themeColor="text1"/>
          <w:lang w:val="en-GB"/>
        </w:rPr>
        <w:t>,</w:t>
      </w:r>
      <w:r w:rsidR="004153C4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4153C4" w:rsidRPr="00954F79">
        <w:rPr>
          <w:rFonts w:ascii="Times New Roman" w:hAnsi="Times New Roman"/>
          <w:i/>
          <w:iCs/>
          <w:color w:val="000000" w:themeColor="text1"/>
          <w:lang w:val="en-GB"/>
        </w:rPr>
        <w:t>Renewable and Sustainable Energy</w:t>
      </w:r>
      <w:r w:rsidR="004153C4" w:rsidRPr="00954F79">
        <w:rPr>
          <w:rFonts w:ascii="Times New Roman" w:hAnsi="Times New Roman"/>
          <w:color w:val="000000" w:themeColor="text1"/>
          <w:lang w:val="en-GB"/>
        </w:rPr>
        <w:t xml:space="preserve">. </w:t>
      </w:r>
      <w:r w:rsidR="004153C4" w:rsidRPr="00954F79">
        <w:rPr>
          <w:rFonts w:ascii="Times New Roman" w:hAnsi="Times New Roman"/>
          <w:b/>
          <w:bCs/>
          <w:color w:val="000000" w:themeColor="text1"/>
          <w:lang w:val="en-GB"/>
        </w:rPr>
        <w:t>2022</w:t>
      </w:r>
      <w:r w:rsidR="004153C4" w:rsidRPr="00954F79">
        <w:rPr>
          <w:rFonts w:ascii="Times New Roman" w:hAnsi="Times New Roman"/>
          <w:color w:val="000000" w:themeColor="text1"/>
          <w:lang w:val="en-GB"/>
        </w:rPr>
        <w:t xml:space="preserve">, </w:t>
      </w:r>
      <w:r w:rsidR="004153C4" w:rsidRPr="00954F79">
        <w:rPr>
          <w:rFonts w:ascii="Times New Roman" w:hAnsi="Times New Roman"/>
          <w:i/>
          <w:iCs/>
          <w:color w:val="000000" w:themeColor="text1"/>
          <w:lang w:val="en-GB"/>
        </w:rPr>
        <w:t>158</w:t>
      </w:r>
      <w:r w:rsidR="004153C4" w:rsidRPr="00954F79">
        <w:rPr>
          <w:rFonts w:ascii="Times New Roman" w:hAnsi="Times New Roman"/>
          <w:color w:val="000000" w:themeColor="text1"/>
          <w:lang w:val="en-GB"/>
        </w:rPr>
        <w:t>, 112111.</w:t>
      </w:r>
    </w:p>
    <w:p w14:paraId="498F0F5C" w14:textId="1A89513C" w:rsidR="00BA5CF9" w:rsidRPr="00954F79" w:rsidRDefault="007C4FEB" w:rsidP="00BA5CF9">
      <w:pPr>
        <w:pStyle w:val="TAMainText"/>
        <w:numPr>
          <w:ilvl w:val="0"/>
          <w:numId w:val="1"/>
        </w:numPr>
        <w:ind w:left="357" w:hanging="357"/>
        <w:rPr>
          <w:rFonts w:ascii="Times New Roman" w:hAnsi="Times New Roman"/>
          <w:color w:val="000000" w:themeColor="text1"/>
          <w:lang w:val="en-GB"/>
        </w:rPr>
      </w:pPr>
      <w:r w:rsidRPr="002521A4">
        <w:rPr>
          <w:rFonts w:ascii="Times New Roman" w:hAnsi="Times New Roman"/>
          <w:color w:val="000000" w:themeColor="text1"/>
          <w:lang w:val="en-GB"/>
        </w:rPr>
        <w:t xml:space="preserve">N. </w:t>
      </w:r>
      <w:proofErr w:type="spellStart"/>
      <w:r w:rsidR="005537ED" w:rsidRPr="002521A4">
        <w:rPr>
          <w:rFonts w:ascii="Times New Roman" w:hAnsi="Times New Roman"/>
          <w:color w:val="000000" w:themeColor="text1"/>
          <w:lang w:val="en-GB"/>
        </w:rPr>
        <w:t>Rambhujun</w:t>
      </w:r>
      <w:proofErr w:type="spellEnd"/>
      <w:r w:rsidR="005537ED" w:rsidRPr="002521A4">
        <w:rPr>
          <w:rFonts w:ascii="Times New Roman" w:hAnsi="Times New Roman"/>
          <w:color w:val="000000" w:themeColor="text1"/>
          <w:lang w:val="en-GB"/>
        </w:rPr>
        <w:t>;</w:t>
      </w:r>
      <w:r w:rsidRPr="002521A4">
        <w:rPr>
          <w:rFonts w:ascii="Times New Roman" w:hAnsi="Times New Roman"/>
          <w:color w:val="000000" w:themeColor="text1"/>
          <w:lang w:val="en-GB"/>
        </w:rPr>
        <w:t xml:space="preserve"> M.S. </w:t>
      </w:r>
      <w:r w:rsidR="005537ED" w:rsidRPr="002521A4">
        <w:rPr>
          <w:rFonts w:ascii="Times New Roman" w:hAnsi="Times New Roman"/>
          <w:color w:val="000000" w:themeColor="text1"/>
          <w:lang w:val="en-GB"/>
        </w:rPr>
        <w:t>Salman;</w:t>
      </w:r>
      <w:r w:rsidRPr="002521A4">
        <w:rPr>
          <w:rFonts w:ascii="Times New Roman" w:hAnsi="Times New Roman"/>
          <w:color w:val="000000" w:themeColor="text1"/>
          <w:lang w:val="en-GB"/>
        </w:rPr>
        <w:t xml:space="preserve"> T.</w:t>
      </w:r>
      <w:r w:rsidR="005537ED" w:rsidRPr="002521A4">
        <w:rPr>
          <w:rFonts w:ascii="Times New Roman" w:hAnsi="Times New Roman"/>
          <w:color w:val="000000" w:themeColor="text1"/>
          <w:lang w:val="en-GB"/>
        </w:rPr>
        <w:t xml:space="preserve"> Wang; </w:t>
      </w:r>
      <w:r w:rsidRPr="002521A4">
        <w:rPr>
          <w:rFonts w:ascii="Times New Roman" w:hAnsi="Times New Roman"/>
          <w:color w:val="000000" w:themeColor="text1"/>
          <w:lang w:val="en-GB"/>
        </w:rPr>
        <w:t xml:space="preserve">C. </w:t>
      </w:r>
      <w:proofErr w:type="spellStart"/>
      <w:r w:rsidR="005537ED" w:rsidRPr="002521A4">
        <w:rPr>
          <w:rFonts w:ascii="Times New Roman" w:hAnsi="Times New Roman"/>
          <w:color w:val="000000" w:themeColor="text1"/>
          <w:lang w:val="en-GB"/>
        </w:rPr>
        <w:t>Pratthana</w:t>
      </w:r>
      <w:proofErr w:type="spellEnd"/>
      <w:r w:rsidR="005537ED" w:rsidRPr="002521A4">
        <w:rPr>
          <w:rFonts w:ascii="Times New Roman" w:hAnsi="Times New Roman"/>
          <w:color w:val="000000" w:themeColor="text1"/>
          <w:lang w:val="en-GB"/>
        </w:rPr>
        <w:t xml:space="preserve">; </w:t>
      </w:r>
      <w:r w:rsidRPr="002521A4">
        <w:rPr>
          <w:rFonts w:ascii="Times New Roman" w:hAnsi="Times New Roman"/>
          <w:color w:val="000000" w:themeColor="text1"/>
          <w:lang w:val="en-GB"/>
        </w:rPr>
        <w:t xml:space="preserve">P. </w:t>
      </w:r>
      <w:r w:rsidR="005537ED" w:rsidRPr="002521A4">
        <w:rPr>
          <w:rFonts w:ascii="Times New Roman" w:hAnsi="Times New Roman"/>
          <w:color w:val="000000" w:themeColor="text1"/>
          <w:lang w:val="en-GB"/>
        </w:rPr>
        <w:t xml:space="preserve">Sapkota; </w:t>
      </w:r>
      <w:r w:rsidRPr="002521A4">
        <w:rPr>
          <w:rFonts w:ascii="Times New Roman" w:hAnsi="Times New Roman"/>
          <w:color w:val="000000" w:themeColor="text1"/>
          <w:lang w:val="en-GB"/>
        </w:rPr>
        <w:t xml:space="preserve">M. </w:t>
      </w:r>
      <w:proofErr w:type="spellStart"/>
      <w:r w:rsidR="005537ED" w:rsidRPr="002521A4">
        <w:rPr>
          <w:rFonts w:ascii="Times New Roman" w:hAnsi="Times New Roman"/>
          <w:color w:val="000000" w:themeColor="text1"/>
          <w:lang w:val="en-GB"/>
        </w:rPr>
        <w:t>Costalin</w:t>
      </w:r>
      <w:proofErr w:type="spellEnd"/>
      <w:r w:rsidR="005537ED" w:rsidRPr="002521A4">
        <w:rPr>
          <w:rFonts w:ascii="Times New Roman" w:hAnsi="Times New Roman"/>
          <w:color w:val="000000" w:themeColor="text1"/>
          <w:lang w:val="en-GB"/>
        </w:rPr>
        <w:t>;</w:t>
      </w:r>
      <w:r w:rsidRPr="002521A4">
        <w:rPr>
          <w:rFonts w:ascii="Times New Roman" w:hAnsi="Times New Roman"/>
          <w:color w:val="000000" w:themeColor="text1"/>
          <w:lang w:val="en-GB"/>
        </w:rPr>
        <w:t xml:space="preserve"> Q.</w:t>
      </w:r>
      <w:r w:rsidR="005537ED" w:rsidRPr="002521A4">
        <w:rPr>
          <w:rFonts w:ascii="Times New Roman" w:hAnsi="Times New Roman"/>
          <w:color w:val="000000" w:themeColor="text1"/>
          <w:lang w:val="en-GB"/>
        </w:rPr>
        <w:t xml:space="preserve"> Lai; </w:t>
      </w:r>
      <w:r w:rsidRPr="002521A4">
        <w:rPr>
          <w:rFonts w:ascii="Times New Roman" w:hAnsi="Times New Roman"/>
          <w:color w:val="000000" w:themeColor="text1"/>
          <w:lang w:val="en-GB"/>
        </w:rPr>
        <w:t xml:space="preserve">K. F. </w:t>
      </w:r>
      <w:proofErr w:type="spellStart"/>
      <w:r w:rsidR="005537ED" w:rsidRPr="002521A4">
        <w:rPr>
          <w:rFonts w:ascii="Times New Roman" w:hAnsi="Times New Roman"/>
          <w:color w:val="000000" w:themeColor="text1"/>
          <w:lang w:val="en-GB"/>
        </w:rPr>
        <w:t>Aguey</w:t>
      </w:r>
      <w:proofErr w:type="spellEnd"/>
      <w:r w:rsidR="005537ED" w:rsidRPr="002521A4">
        <w:rPr>
          <w:rFonts w:ascii="Times New Roman" w:hAnsi="Times New Roman"/>
          <w:color w:val="000000" w:themeColor="text1"/>
          <w:lang w:val="en-GB"/>
        </w:rPr>
        <w:t xml:space="preserve"> – </w:t>
      </w:r>
      <w:proofErr w:type="spellStart"/>
      <w:r w:rsidR="005537ED" w:rsidRPr="002521A4">
        <w:rPr>
          <w:rFonts w:ascii="Times New Roman" w:hAnsi="Times New Roman"/>
          <w:color w:val="000000" w:themeColor="text1"/>
          <w:lang w:val="en-GB"/>
        </w:rPr>
        <w:t>Zinsou</w:t>
      </w:r>
      <w:proofErr w:type="spellEnd"/>
      <w:r w:rsidR="005537ED" w:rsidRPr="002521A4">
        <w:rPr>
          <w:rFonts w:ascii="Times New Roman" w:hAnsi="Times New Roman"/>
          <w:color w:val="000000" w:themeColor="text1"/>
          <w:lang w:val="en-GB"/>
        </w:rPr>
        <w:t>.</w:t>
      </w:r>
      <w:r w:rsidRPr="002521A4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Renewable Hydrogen for the Chemical industry, </w:t>
      </w:r>
      <w:r w:rsidRPr="00954F79">
        <w:rPr>
          <w:rFonts w:ascii="Times New Roman" w:hAnsi="Times New Roman"/>
          <w:i/>
          <w:iCs/>
          <w:color w:val="000000" w:themeColor="text1"/>
          <w:lang w:val="en-GB"/>
        </w:rPr>
        <w:t>MRS Energy and Sustainability.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5537ED" w:rsidRPr="00954F79">
        <w:rPr>
          <w:rFonts w:ascii="Times New Roman" w:hAnsi="Times New Roman"/>
          <w:b/>
          <w:bCs/>
          <w:color w:val="000000" w:themeColor="text1"/>
          <w:lang w:val="en-GB"/>
        </w:rPr>
        <w:t>2020</w:t>
      </w:r>
      <w:r w:rsidR="005537ED" w:rsidRPr="00954F79">
        <w:rPr>
          <w:rFonts w:ascii="Times New Roman" w:hAnsi="Times New Roman"/>
          <w:i/>
          <w:iCs/>
          <w:color w:val="000000" w:themeColor="text1"/>
          <w:lang w:val="en-GB"/>
        </w:rPr>
        <w:t>, 7,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B30F69" w:rsidRPr="00954F79">
        <w:rPr>
          <w:rFonts w:ascii="Times New Roman" w:hAnsi="Times New Roman"/>
          <w:color w:val="000000" w:themeColor="text1"/>
          <w:lang w:val="en-GB"/>
        </w:rPr>
        <w:t>E</w:t>
      </w:r>
      <w:r w:rsidR="005537ED" w:rsidRPr="00954F79">
        <w:rPr>
          <w:rFonts w:ascii="Times New Roman" w:hAnsi="Times New Roman"/>
          <w:color w:val="000000" w:themeColor="text1"/>
          <w:lang w:val="en-GB"/>
        </w:rPr>
        <w:t>33.</w:t>
      </w:r>
    </w:p>
    <w:p w14:paraId="6ADD75BC" w14:textId="43754F7D" w:rsidR="0086079C" w:rsidRPr="00954F79" w:rsidRDefault="000F32DE" w:rsidP="00BA5CF9">
      <w:pPr>
        <w:pStyle w:val="TAMainText"/>
        <w:numPr>
          <w:ilvl w:val="0"/>
          <w:numId w:val="1"/>
        </w:numPr>
        <w:ind w:left="357" w:hanging="357"/>
        <w:rPr>
          <w:rFonts w:ascii="Times New Roman" w:hAnsi="Times New Roman"/>
          <w:color w:val="000000" w:themeColor="text1"/>
          <w:lang w:val="en-GB"/>
        </w:rPr>
      </w:pPr>
      <w:r w:rsidRPr="00954F79">
        <w:rPr>
          <w:rFonts w:ascii="Times New Roman" w:hAnsi="Times New Roman"/>
          <w:color w:val="000000" w:themeColor="text1"/>
          <w:lang w:val="en-GB"/>
        </w:rPr>
        <w:t xml:space="preserve">O. </w:t>
      </w:r>
      <w:r w:rsidR="003011BD" w:rsidRPr="00954F79">
        <w:rPr>
          <w:rFonts w:ascii="Times New Roman" w:hAnsi="Times New Roman"/>
          <w:color w:val="000000" w:themeColor="text1"/>
          <w:lang w:val="en-GB"/>
        </w:rPr>
        <w:t xml:space="preserve">Joy;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J. </w:t>
      </w:r>
      <w:r w:rsidR="003011BD" w:rsidRPr="00954F79">
        <w:rPr>
          <w:rFonts w:ascii="Times New Roman" w:hAnsi="Times New Roman"/>
          <w:color w:val="000000" w:themeColor="text1"/>
          <w:lang w:val="en-GB"/>
        </w:rPr>
        <w:t xml:space="preserve">Al – </w:t>
      </w:r>
      <w:proofErr w:type="spellStart"/>
      <w:r w:rsidR="003011BD" w:rsidRPr="00954F79">
        <w:rPr>
          <w:rFonts w:ascii="Times New Roman" w:hAnsi="Times New Roman"/>
          <w:color w:val="000000" w:themeColor="text1"/>
          <w:lang w:val="en-GB"/>
        </w:rPr>
        <w:t>Zaili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>.</w:t>
      </w:r>
      <w:r w:rsidR="003011BD" w:rsidRPr="00954F79">
        <w:rPr>
          <w:rFonts w:ascii="Times New Roman" w:hAnsi="Times New Roman"/>
          <w:color w:val="000000" w:themeColor="text1"/>
          <w:lang w:val="en-GB"/>
        </w:rPr>
        <w:t xml:space="preserve"> On effectiveness of current energy policy instruments to make H</w:t>
      </w:r>
      <w:r w:rsidR="003011BD" w:rsidRPr="00954F79">
        <w:rPr>
          <w:rFonts w:ascii="Times New Roman" w:hAnsi="Times New Roman"/>
          <w:color w:val="000000" w:themeColor="text1"/>
          <w:vertAlign w:val="subscript"/>
          <w:lang w:val="en-GB"/>
        </w:rPr>
        <w:t>2</w:t>
      </w:r>
      <w:r w:rsidR="003011BD" w:rsidRPr="00954F79">
        <w:rPr>
          <w:rFonts w:ascii="Times New Roman" w:hAnsi="Times New Roman"/>
          <w:color w:val="000000" w:themeColor="text1"/>
          <w:lang w:val="en-GB"/>
        </w:rPr>
        <w:t xml:space="preserve"> production projects</w:t>
      </w:r>
      <w:r w:rsidR="00AD276A" w:rsidRPr="00954F79">
        <w:rPr>
          <w:rFonts w:ascii="Times New Roman" w:hAnsi="Times New Roman"/>
          <w:color w:val="000000" w:themeColor="text1"/>
          <w:lang w:val="en-GB"/>
        </w:rPr>
        <w:t xml:space="preserve"> financially viable for developers: Case of the UK</w:t>
      </w:r>
      <w:r w:rsidR="000B562E" w:rsidRPr="00954F79">
        <w:rPr>
          <w:rFonts w:ascii="Times New Roman" w:hAnsi="Times New Roman"/>
          <w:color w:val="000000" w:themeColor="text1"/>
          <w:lang w:val="en-GB"/>
        </w:rPr>
        <w:t>,</w:t>
      </w:r>
      <w:r w:rsidR="00647B56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647B56" w:rsidRPr="00954F79">
        <w:rPr>
          <w:rFonts w:ascii="Times New Roman" w:hAnsi="Times New Roman"/>
          <w:i/>
          <w:iCs/>
          <w:color w:val="000000" w:themeColor="text1"/>
          <w:lang w:val="en-GB"/>
        </w:rPr>
        <w:t>International Journal of Hydrogen Energy</w:t>
      </w:r>
      <w:r w:rsidR="00647B56" w:rsidRPr="00954F79">
        <w:rPr>
          <w:rFonts w:ascii="Times New Roman" w:hAnsi="Times New Roman"/>
          <w:color w:val="000000" w:themeColor="text1"/>
          <w:lang w:val="en-GB"/>
        </w:rPr>
        <w:t xml:space="preserve">. </w:t>
      </w:r>
      <w:r w:rsidR="00647B56" w:rsidRPr="00954F79">
        <w:rPr>
          <w:rFonts w:ascii="Times New Roman" w:hAnsi="Times New Roman"/>
          <w:b/>
          <w:bCs/>
          <w:color w:val="000000" w:themeColor="text1"/>
          <w:lang w:val="en-GB"/>
        </w:rPr>
        <w:t>2021</w:t>
      </w:r>
      <w:r w:rsidR="00647B56" w:rsidRPr="00954F79">
        <w:rPr>
          <w:rFonts w:ascii="Times New Roman" w:hAnsi="Times New Roman"/>
          <w:color w:val="000000" w:themeColor="text1"/>
          <w:lang w:val="en-GB"/>
        </w:rPr>
        <w:t xml:space="preserve">, </w:t>
      </w:r>
      <w:r w:rsidR="00647B56" w:rsidRPr="00954F79">
        <w:rPr>
          <w:rFonts w:ascii="Times New Roman" w:hAnsi="Times New Roman"/>
          <w:i/>
          <w:iCs/>
          <w:color w:val="000000" w:themeColor="text1"/>
          <w:lang w:val="en-GB"/>
        </w:rPr>
        <w:t xml:space="preserve">46, </w:t>
      </w:r>
      <w:r w:rsidR="00647B56" w:rsidRPr="00954F79">
        <w:rPr>
          <w:rFonts w:ascii="Times New Roman" w:hAnsi="Times New Roman"/>
          <w:color w:val="000000" w:themeColor="text1"/>
          <w:lang w:val="en-GB"/>
        </w:rPr>
        <w:t xml:space="preserve">32735 – 32749. </w:t>
      </w:r>
    </w:p>
    <w:p w14:paraId="08CA5C9C" w14:textId="087AE9C3" w:rsidR="00BA5CF9" w:rsidRPr="00954F79" w:rsidRDefault="000F32DE" w:rsidP="00BA5CF9">
      <w:pPr>
        <w:pStyle w:val="TAMainText"/>
        <w:numPr>
          <w:ilvl w:val="0"/>
          <w:numId w:val="1"/>
        </w:numPr>
        <w:tabs>
          <w:tab w:val="clear" w:pos="360"/>
        </w:tabs>
        <w:ind w:left="357" w:hanging="357"/>
        <w:rPr>
          <w:rFonts w:ascii="Times New Roman" w:hAnsi="Times New Roman"/>
          <w:color w:val="000000" w:themeColor="text1"/>
          <w:lang w:val="pt-BR"/>
        </w:rPr>
      </w:pPr>
      <w:r w:rsidRPr="00954F79">
        <w:rPr>
          <w:rFonts w:ascii="Times New Roman" w:hAnsi="Times New Roman"/>
          <w:color w:val="000000" w:themeColor="text1"/>
          <w:lang w:val="en-GB"/>
        </w:rPr>
        <w:t xml:space="preserve">M.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en-GB"/>
        </w:rPr>
        <w:t>Schenckery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>;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C. A.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en-GB"/>
        </w:rPr>
        <w:t>Bollino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>;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J. G. 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>Carton</w:t>
      </w:r>
      <w:r w:rsidRPr="00954F79">
        <w:rPr>
          <w:rFonts w:ascii="Times New Roman" w:hAnsi="Times New Roman"/>
          <w:color w:val="000000" w:themeColor="text1"/>
          <w:lang w:val="en-GB"/>
        </w:rPr>
        <w:t>;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Y. 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>Chae</w:t>
      </w:r>
      <w:r w:rsidRPr="00954F79">
        <w:rPr>
          <w:rFonts w:ascii="Times New Roman" w:hAnsi="Times New Roman"/>
          <w:color w:val="000000" w:themeColor="text1"/>
          <w:lang w:val="en-GB"/>
        </w:rPr>
        <w:t>;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A.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en-GB"/>
        </w:rPr>
        <w:t>Fargere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>;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B.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en-GB"/>
        </w:rPr>
        <w:t>Kolodziejczyk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>.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Adaptive Policy to leverage hydrogen in the energy transition</w:t>
      </w:r>
      <w:r w:rsidR="00BA5CF9" w:rsidRPr="00954F79">
        <w:rPr>
          <w:rFonts w:ascii="Times New Roman" w:hAnsi="Times New Roman"/>
          <w:b/>
          <w:bCs/>
          <w:color w:val="000000" w:themeColor="text1"/>
          <w:lang w:val="en-GB"/>
        </w:rPr>
        <w:t xml:space="preserve">. </w:t>
      </w:r>
      <w:proofErr w:type="spellStart"/>
      <w:r w:rsidR="00BA5CF9" w:rsidRPr="002521A4">
        <w:rPr>
          <w:rFonts w:ascii="Times New Roman" w:hAnsi="Times New Roman"/>
          <w:color w:val="000000" w:themeColor="text1"/>
          <w:lang w:val="en-GB"/>
        </w:rPr>
        <w:t>Disponivel</w:t>
      </w:r>
      <w:proofErr w:type="spellEnd"/>
      <w:r w:rsidR="00BA5CF9" w:rsidRPr="002521A4">
        <w:rPr>
          <w:rFonts w:ascii="Times New Roman" w:hAnsi="Times New Roman"/>
          <w:color w:val="000000" w:themeColor="text1"/>
          <w:lang w:val="en-GB"/>
        </w:rPr>
        <w:t xml:space="preserve"> emhttps://www.g20-insights.org/policy_briefs/adaptive-policy-to-leverage-hydrogen-in-the-energy-transition/&gt;. </w:t>
      </w:r>
      <w:r w:rsidR="00BA5CF9" w:rsidRPr="00954F79">
        <w:rPr>
          <w:rFonts w:ascii="Times New Roman" w:hAnsi="Times New Roman"/>
          <w:color w:val="000000" w:themeColor="text1"/>
          <w:lang w:val="pt-BR"/>
        </w:rPr>
        <w:t>Acesso em: 25 abr. 2023.</w:t>
      </w:r>
    </w:p>
    <w:p w14:paraId="06B7E54F" w14:textId="0106663B" w:rsidR="00BA5CF9" w:rsidRPr="00954F79" w:rsidRDefault="00BE04C8" w:rsidP="00BA5CF9">
      <w:pPr>
        <w:pStyle w:val="TAMainText"/>
        <w:numPr>
          <w:ilvl w:val="0"/>
          <w:numId w:val="1"/>
        </w:numPr>
        <w:tabs>
          <w:tab w:val="clear" w:pos="360"/>
        </w:tabs>
        <w:ind w:left="357" w:hanging="357"/>
        <w:rPr>
          <w:rFonts w:ascii="Times New Roman" w:hAnsi="Times New Roman"/>
          <w:color w:val="000000" w:themeColor="text1"/>
          <w:lang w:val="en-GB"/>
        </w:rPr>
      </w:pPr>
      <w:r w:rsidRPr="00954F79">
        <w:rPr>
          <w:rFonts w:ascii="Times New Roman" w:hAnsi="Times New Roman"/>
          <w:color w:val="000000" w:themeColor="text1"/>
          <w:lang w:val="pt-BR"/>
        </w:rPr>
        <w:t xml:space="preserve">P.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pt-BR"/>
        </w:rPr>
        <w:t>Panagiotopoulou</w:t>
      </w:r>
      <w:proofErr w:type="spellEnd"/>
      <w:r w:rsidR="00BA5CF9" w:rsidRPr="00954F79">
        <w:rPr>
          <w:rFonts w:ascii="Times New Roman" w:hAnsi="Times New Roman"/>
          <w:color w:val="000000" w:themeColor="text1"/>
          <w:lang w:val="pt-BR"/>
        </w:rPr>
        <w:t xml:space="preserve">.; </w:t>
      </w:r>
      <w:r w:rsidRPr="00954F79">
        <w:rPr>
          <w:rFonts w:ascii="Times New Roman" w:hAnsi="Times New Roman"/>
          <w:color w:val="000000" w:themeColor="text1"/>
          <w:lang w:val="pt-BR"/>
        </w:rPr>
        <w:t xml:space="preserve">E. E.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pt-BR"/>
        </w:rPr>
        <w:t>Karamerou</w:t>
      </w:r>
      <w:proofErr w:type="spellEnd"/>
      <w:r w:rsidR="00BA5CF9" w:rsidRPr="00954F79">
        <w:rPr>
          <w:rFonts w:ascii="Times New Roman" w:hAnsi="Times New Roman"/>
          <w:color w:val="000000" w:themeColor="text1"/>
          <w:lang w:val="pt-BR"/>
        </w:rPr>
        <w:t xml:space="preserve">; </w:t>
      </w:r>
      <w:r w:rsidRPr="00954F79">
        <w:rPr>
          <w:rFonts w:ascii="Times New Roman" w:hAnsi="Times New Roman"/>
          <w:color w:val="000000" w:themeColor="text1"/>
          <w:lang w:val="pt-BR"/>
        </w:rPr>
        <w:t xml:space="preserve">D. I.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pt-BR"/>
        </w:rPr>
        <w:t>Kondarides</w:t>
      </w:r>
      <w:proofErr w:type="spellEnd"/>
      <w:r w:rsidR="00BA5CF9" w:rsidRPr="00954F79">
        <w:rPr>
          <w:rFonts w:ascii="Times New Roman" w:hAnsi="Times New Roman"/>
          <w:color w:val="000000" w:themeColor="text1"/>
          <w:lang w:val="pt-BR"/>
        </w:rPr>
        <w:t xml:space="preserve">.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en-GB"/>
        </w:rPr>
        <w:t>Kinectics</w:t>
      </w:r>
      <w:proofErr w:type="spellEnd"/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and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en-GB"/>
        </w:rPr>
        <w:t>mechanis</w:t>
      </w:r>
      <w:proofErr w:type="spellEnd"/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of glycerol photo-oxidation and photo-reforming reaction in aqueous TiO</w:t>
      </w:r>
      <w:r w:rsidR="00BA5CF9" w:rsidRPr="00954F79">
        <w:rPr>
          <w:rFonts w:ascii="Times New Roman" w:hAnsi="Times New Roman"/>
          <w:color w:val="000000" w:themeColor="text1"/>
          <w:vertAlign w:val="subscript"/>
          <w:lang w:val="en-GB"/>
        </w:rPr>
        <w:t>2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and Pt/TiO</w:t>
      </w:r>
      <w:r w:rsidR="00BA5CF9" w:rsidRPr="00954F79">
        <w:rPr>
          <w:rFonts w:ascii="Times New Roman" w:hAnsi="Times New Roman"/>
          <w:color w:val="000000" w:themeColor="text1"/>
          <w:vertAlign w:val="subscript"/>
          <w:lang w:val="en-GB"/>
        </w:rPr>
        <w:t>2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suspensions</w:t>
      </w:r>
      <w:r w:rsidR="00160D12" w:rsidRPr="00954F79">
        <w:rPr>
          <w:rFonts w:ascii="Times New Roman" w:hAnsi="Times New Roman"/>
          <w:color w:val="000000" w:themeColor="text1"/>
          <w:lang w:val="en-GB"/>
        </w:rPr>
        <w:t>,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BA5CF9" w:rsidRPr="00954F79">
        <w:rPr>
          <w:rFonts w:ascii="Times New Roman" w:hAnsi="Times New Roman"/>
          <w:i/>
          <w:iCs/>
          <w:color w:val="000000" w:themeColor="text1"/>
          <w:lang w:val="en-GB"/>
        </w:rPr>
        <w:t>Catalysis Today</w:t>
      </w:r>
      <w:r w:rsidR="00BA5CF9" w:rsidRPr="00954F79">
        <w:rPr>
          <w:rFonts w:ascii="Times New Roman" w:hAnsi="Times New Roman"/>
          <w:b/>
          <w:bCs/>
          <w:color w:val="000000" w:themeColor="text1"/>
          <w:lang w:val="en-GB"/>
        </w:rPr>
        <w:t>,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BA5CF9" w:rsidRPr="00954F79">
        <w:rPr>
          <w:rFonts w:ascii="Times New Roman" w:hAnsi="Times New Roman"/>
          <w:b/>
          <w:bCs/>
          <w:color w:val="000000" w:themeColor="text1"/>
          <w:lang w:val="en-GB"/>
        </w:rPr>
        <w:t>2013,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209, 91 – 98.</w:t>
      </w:r>
    </w:p>
    <w:p w14:paraId="57E4AF09" w14:textId="42EE5860" w:rsidR="00BA5CF9" w:rsidRPr="00954F79" w:rsidRDefault="0069414A" w:rsidP="00BA5CF9">
      <w:pPr>
        <w:pStyle w:val="TAMainText"/>
        <w:numPr>
          <w:ilvl w:val="0"/>
          <w:numId w:val="1"/>
        </w:numPr>
        <w:tabs>
          <w:tab w:val="clear" w:pos="360"/>
        </w:tabs>
        <w:ind w:left="357" w:hanging="357"/>
        <w:rPr>
          <w:rFonts w:ascii="Times New Roman" w:hAnsi="Times New Roman"/>
          <w:color w:val="000000" w:themeColor="text1"/>
          <w:lang w:val="en-GB"/>
        </w:rPr>
      </w:pPr>
      <w:r w:rsidRPr="00954F79">
        <w:rPr>
          <w:rFonts w:ascii="Times New Roman" w:hAnsi="Times New Roman"/>
          <w:color w:val="000000" w:themeColor="text1"/>
          <w:lang w:val="pt-BR"/>
        </w:rPr>
        <w:t xml:space="preserve">V. </w:t>
      </w:r>
      <w:r w:rsidR="00BA5CF9" w:rsidRPr="00954F79">
        <w:rPr>
          <w:rFonts w:ascii="Times New Roman" w:hAnsi="Times New Roman"/>
          <w:color w:val="000000" w:themeColor="text1"/>
          <w:lang w:val="pt-BR"/>
        </w:rPr>
        <w:t>Maslova</w:t>
      </w:r>
      <w:r w:rsidRPr="00954F79">
        <w:rPr>
          <w:rFonts w:ascii="Times New Roman" w:hAnsi="Times New Roman"/>
          <w:color w:val="000000" w:themeColor="text1"/>
          <w:lang w:val="pt-BR"/>
        </w:rPr>
        <w:t xml:space="preserve">; A. </w:t>
      </w:r>
      <w:proofErr w:type="spellStart"/>
      <w:r w:rsidRPr="00954F79">
        <w:rPr>
          <w:rFonts w:ascii="Times New Roman" w:hAnsi="Times New Roman"/>
          <w:color w:val="000000" w:themeColor="text1"/>
          <w:lang w:val="pt-BR"/>
        </w:rPr>
        <w:t>Fasolini</w:t>
      </w:r>
      <w:proofErr w:type="spellEnd"/>
      <w:r w:rsidRPr="00954F79">
        <w:rPr>
          <w:rFonts w:ascii="Times New Roman" w:hAnsi="Times New Roman"/>
          <w:color w:val="000000" w:themeColor="text1"/>
          <w:lang w:val="pt-BR"/>
        </w:rPr>
        <w:t xml:space="preserve">; M. </w:t>
      </w:r>
      <w:proofErr w:type="spellStart"/>
      <w:r w:rsidRPr="00954F79">
        <w:rPr>
          <w:rFonts w:ascii="Times New Roman" w:hAnsi="Times New Roman"/>
          <w:color w:val="000000" w:themeColor="text1"/>
          <w:lang w:val="pt-BR"/>
        </w:rPr>
        <w:t>Offidani</w:t>
      </w:r>
      <w:proofErr w:type="spellEnd"/>
      <w:r w:rsidRPr="00954F79">
        <w:rPr>
          <w:rFonts w:ascii="Times New Roman" w:hAnsi="Times New Roman"/>
          <w:color w:val="000000" w:themeColor="text1"/>
          <w:lang w:val="pt-BR"/>
        </w:rPr>
        <w:t xml:space="preserve">; </w:t>
      </w:r>
      <w:proofErr w:type="spellStart"/>
      <w:r w:rsidRPr="00954F79">
        <w:rPr>
          <w:rFonts w:ascii="Times New Roman" w:hAnsi="Times New Roman"/>
          <w:color w:val="000000" w:themeColor="text1"/>
          <w:lang w:val="pt-BR"/>
        </w:rPr>
        <w:t>Alboneti</w:t>
      </w:r>
      <w:proofErr w:type="spellEnd"/>
      <w:r w:rsidRPr="00954F79">
        <w:rPr>
          <w:rFonts w:ascii="Times New Roman" w:hAnsi="Times New Roman"/>
          <w:color w:val="000000" w:themeColor="text1"/>
          <w:lang w:val="pt-BR"/>
        </w:rPr>
        <w:t>, S.; F. Basile.</w:t>
      </w:r>
      <w:r w:rsidR="00BA5CF9" w:rsidRPr="00954F79">
        <w:rPr>
          <w:rFonts w:ascii="Times New Roman" w:hAnsi="Times New Roman"/>
          <w:color w:val="000000" w:themeColor="text1"/>
          <w:lang w:val="pt-BR"/>
        </w:rPr>
        <w:t xml:space="preserve"> 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Solar-driven </w:t>
      </w:r>
      <w:proofErr w:type="spellStart"/>
      <w:r w:rsidR="00BA5CF9" w:rsidRPr="00954F79">
        <w:rPr>
          <w:rFonts w:ascii="Times New Roman" w:hAnsi="Times New Roman"/>
          <w:color w:val="000000" w:themeColor="text1"/>
          <w:lang w:val="en-GB"/>
        </w:rPr>
        <w:t>valorization</w:t>
      </w:r>
      <w:proofErr w:type="spellEnd"/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of glycerol towards production of chemicals and hydrogen</w:t>
      </w:r>
      <w:r w:rsidR="008A57D8" w:rsidRPr="00954F79">
        <w:rPr>
          <w:rFonts w:ascii="Times New Roman" w:hAnsi="Times New Roman"/>
          <w:color w:val="000000" w:themeColor="text1"/>
          <w:lang w:val="en-GB"/>
        </w:rPr>
        <w:t>,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BA5CF9" w:rsidRPr="00954F79">
        <w:rPr>
          <w:rFonts w:ascii="Times New Roman" w:hAnsi="Times New Roman"/>
          <w:i/>
          <w:iCs/>
          <w:color w:val="000000" w:themeColor="text1"/>
          <w:lang w:val="en-GB"/>
        </w:rPr>
        <w:t>Catalysis Today.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BA5CF9" w:rsidRPr="00954F79">
        <w:rPr>
          <w:rFonts w:ascii="Times New Roman" w:hAnsi="Times New Roman"/>
          <w:b/>
          <w:bCs/>
          <w:color w:val="000000" w:themeColor="text1"/>
          <w:lang w:val="en-GB"/>
        </w:rPr>
        <w:t>2021</w:t>
      </w:r>
      <w:r w:rsidR="00BA5CF9" w:rsidRPr="00954F79">
        <w:rPr>
          <w:rFonts w:ascii="Times New Roman" w:hAnsi="Times New Roman"/>
          <w:color w:val="000000" w:themeColor="text1"/>
          <w:lang w:val="en-GB"/>
        </w:rPr>
        <w:t>, 380, 147 – 155</w:t>
      </w:r>
      <w:r w:rsidR="008A57D8" w:rsidRPr="00954F79">
        <w:rPr>
          <w:rFonts w:ascii="Times New Roman" w:hAnsi="Times New Roman"/>
          <w:color w:val="000000" w:themeColor="text1"/>
          <w:lang w:val="en-GB"/>
        </w:rPr>
        <w:t>.</w:t>
      </w:r>
    </w:p>
    <w:p w14:paraId="03E9EDB2" w14:textId="557FE19F" w:rsidR="00B07316" w:rsidRPr="00954F79" w:rsidRDefault="00B07316" w:rsidP="00BA5CF9">
      <w:pPr>
        <w:pStyle w:val="TAMainText"/>
        <w:numPr>
          <w:ilvl w:val="0"/>
          <w:numId w:val="1"/>
        </w:numPr>
        <w:tabs>
          <w:tab w:val="clear" w:pos="360"/>
        </w:tabs>
        <w:ind w:left="357" w:hanging="357"/>
        <w:rPr>
          <w:rFonts w:ascii="Times New Roman" w:hAnsi="Times New Roman"/>
          <w:color w:val="000000" w:themeColor="text1"/>
          <w:lang w:val="en-GB"/>
        </w:rPr>
      </w:pPr>
      <w:proofErr w:type="spellStart"/>
      <w:r w:rsidRPr="00954F79">
        <w:rPr>
          <w:rFonts w:ascii="Times New Roman" w:hAnsi="Times New Roman"/>
          <w:color w:val="000000" w:themeColor="text1"/>
          <w:lang w:val="en-GB"/>
        </w:rPr>
        <w:t>Kashiwaya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 xml:space="preserve">, S.; </w:t>
      </w:r>
      <w:proofErr w:type="spellStart"/>
      <w:r w:rsidRPr="00954F79">
        <w:rPr>
          <w:rFonts w:ascii="Times New Roman" w:hAnsi="Times New Roman"/>
          <w:color w:val="000000" w:themeColor="text1"/>
          <w:lang w:val="en-GB"/>
        </w:rPr>
        <w:t>Morasch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 xml:space="preserve">, J.; </w:t>
      </w:r>
      <w:proofErr w:type="spellStart"/>
      <w:r w:rsidRPr="00954F79">
        <w:rPr>
          <w:rFonts w:ascii="Times New Roman" w:hAnsi="Times New Roman"/>
          <w:color w:val="000000" w:themeColor="text1"/>
          <w:lang w:val="en-GB"/>
        </w:rPr>
        <w:t>Streibel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 xml:space="preserve">, V.; </w:t>
      </w:r>
      <w:proofErr w:type="spellStart"/>
      <w:r w:rsidRPr="00954F79">
        <w:rPr>
          <w:rFonts w:ascii="Times New Roman" w:hAnsi="Times New Roman"/>
          <w:color w:val="000000" w:themeColor="text1"/>
          <w:lang w:val="en-GB"/>
        </w:rPr>
        <w:t>Toupance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 xml:space="preserve">, T.; </w:t>
      </w:r>
      <w:proofErr w:type="spellStart"/>
      <w:r w:rsidRPr="00954F79">
        <w:rPr>
          <w:rFonts w:ascii="Times New Roman" w:hAnsi="Times New Roman"/>
          <w:color w:val="000000" w:themeColor="text1"/>
          <w:lang w:val="en-GB"/>
        </w:rPr>
        <w:t>Jaergermann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>, W.; Klein, A. The Work Function of TiO</w:t>
      </w:r>
      <w:r w:rsidRPr="00954F79">
        <w:rPr>
          <w:rFonts w:ascii="Times New Roman" w:hAnsi="Times New Roman"/>
          <w:color w:val="000000" w:themeColor="text1"/>
          <w:vertAlign w:val="subscript"/>
          <w:lang w:val="en-GB"/>
        </w:rPr>
        <w:t>2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. </w:t>
      </w:r>
      <w:r w:rsidRPr="00954F79">
        <w:rPr>
          <w:rFonts w:ascii="Times New Roman" w:hAnsi="Times New Roman"/>
          <w:i/>
          <w:iCs/>
          <w:color w:val="000000" w:themeColor="text1"/>
          <w:lang w:val="en-GB"/>
        </w:rPr>
        <w:t>Surfaces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. </w:t>
      </w:r>
      <w:r w:rsidRPr="00954F79">
        <w:rPr>
          <w:rFonts w:ascii="Times New Roman" w:hAnsi="Times New Roman"/>
          <w:b/>
          <w:bCs/>
          <w:color w:val="000000" w:themeColor="text1"/>
          <w:lang w:val="en-GB"/>
        </w:rPr>
        <w:t>2018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, </w:t>
      </w:r>
      <w:r w:rsidRPr="00954F79">
        <w:rPr>
          <w:rFonts w:ascii="Times New Roman" w:hAnsi="Times New Roman"/>
          <w:i/>
          <w:iCs/>
          <w:color w:val="000000" w:themeColor="text1"/>
          <w:lang w:val="en-GB"/>
        </w:rPr>
        <w:t>1</w:t>
      </w:r>
      <w:r w:rsidRPr="00954F79">
        <w:rPr>
          <w:rFonts w:ascii="Times New Roman" w:hAnsi="Times New Roman"/>
          <w:color w:val="000000" w:themeColor="text1"/>
          <w:lang w:val="en-GB"/>
        </w:rPr>
        <w:t>, 73 – 89.</w:t>
      </w:r>
    </w:p>
    <w:p w14:paraId="01C7585D" w14:textId="29C15146" w:rsidR="00684BF0" w:rsidRPr="00954F79" w:rsidRDefault="00213D25" w:rsidP="00BA5CF9">
      <w:pPr>
        <w:pStyle w:val="TAMainText"/>
        <w:numPr>
          <w:ilvl w:val="0"/>
          <w:numId w:val="1"/>
        </w:numPr>
        <w:tabs>
          <w:tab w:val="clear" w:pos="360"/>
        </w:tabs>
        <w:ind w:left="357" w:hanging="357"/>
        <w:rPr>
          <w:rFonts w:ascii="Times New Roman" w:hAnsi="Times New Roman"/>
          <w:color w:val="000000" w:themeColor="text1"/>
          <w:lang w:val="en-GB"/>
        </w:rPr>
      </w:pPr>
      <w:r w:rsidRPr="00954F79">
        <w:rPr>
          <w:rFonts w:ascii="Times New Roman" w:hAnsi="Times New Roman"/>
          <w:color w:val="000000" w:themeColor="text1"/>
          <w:lang w:val="en-GB"/>
        </w:rPr>
        <w:t xml:space="preserve">V. </w:t>
      </w:r>
      <w:proofErr w:type="spellStart"/>
      <w:r w:rsidR="00684BF0" w:rsidRPr="00954F79">
        <w:rPr>
          <w:rFonts w:ascii="Times New Roman" w:hAnsi="Times New Roman"/>
          <w:color w:val="000000" w:themeColor="text1"/>
          <w:lang w:val="en-GB"/>
        </w:rPr>
        <w:t>Kuramavel</w:t>
      </w:r>
      <w:proofErr w:type="spellEnd"/>
      <w:r w:rsidR="00684BF0" w:rsidRPr="00954F79">
        <w:rPr>
          <w:rFonts w:ascii="Times New Roman" w:hAnsi="Times New Roman"/>
          <w:color w:val="000000" w:themeColor="text1"/>
          <w:lang w:val="en-GB"/>
        </w:rPr>
        <w:t xml:space="preserve">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S. </w:t>
      </w:r>
      <w:r w:rsidR="00684BF0" w:rsidRPr="00954F79">
        <w:rPr>
          <w:rFonts w:ascii="Times New Roman" w:hAnsi="Times New Roman"/>
          <w:color w:val="000000" w:themeColor="text1"/>
          <w:lang w:val="en-GB"/>
        </w:rPr>
        <w:t xml:space="preserve">Mathew;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J. </w:t>
      </w:r>
      <w:proofErr w:type="spellStart"/>
      <w:r w:rsidR="00684BF0" w:rsidRPr="00954F79">
        <w:rPr>
          <w:rFonts w:ascii="Times New Roman" w:hAnsi="Times New Roman"/>
          <w:color w:val="000000" w:themeColor="text1"/>
          <w:lang w:val="en-GB"/>
        </w:rPr>
        <w:t>Barlett</w:t>
      </w:r>
      <w:proofErr w:type="spellEnd"/>
      <w:r w:rsidR="00684BF0" w:rsidRPr="00954F79">
        <w:rPr>
          <w:rFonts w:ascii="Times New Roman" w:hAnsi="Times New Roman"/>
          <w:color w:val="000000" w:themeColor="text1"/>
          <w:lang w:val="en-GB"/>
        </w:rPr>
        <w:t xml:space="preserve">; 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S. C. </w:t>
      </w:r>
      <w:r w:rsidR="00684BF0" w:rsidRPr="00954F79">
        <w:rPr>
          <w:rFonts w:ascii="Times New Roman" w:hAnsi="Times New Roman"/>
          <w:color w:val="000000" w:themeColor="text1"/>
          <w:lang w:val="en-GB"/>
        </w:rPr>
        <w:t>Pillai</w:t>
      </w:r>
      <w:r w:rsidR="004B0444" w:rsidRPr="00954F79">
        <w:rPr>
          <w:rFonts w:ascii="Times New Roman" w:hAnsi="Times New Roman"/>
          <w:color w:val="000000" w:themeColor="text1"/>
          <w:lang w:val="en-GB"/>
        </w:rPr>
        <w:t>.</w:t>
      </w:r>
      <w:r w:rsidR="00684BF0" w:rsidRPr="00954F79">
        <w:rPr>
          <w:rFonts w:ascii="Times New Roman" w:hAnsi="Times New Roman"/>
          <w:color w:val="000000" w:themeColor="text1"/>
          <w:lang w:val="en-GB"/>
        </w:rPr>
        <w:t xml:space="preserve"> Photocatalytic hydrogen production using metal doped TiO</w:t>
      </w:r>
      <w:r w:rsidR="00684BF0" w:rsidRPr="00954F79">
        <w:rPr>
          <w:rFonts w:ascii="Times New Roman" w:hAnsi="Times New Roman"/>
          <w:color w:val="000000" w:themeColor="text1"/>
          <w:vertAlign w:val="subscript"/>
          <w:lang w:val="en-GB"/>
        </w:rPr>
        <w:t>2</w:t>
      </w:r>
      <w:r w:rsidR="00684BF0" w:rsidRPr="00954F79">
        <w:rPr>
          <w:rFonts w:ascii="Times New Roman" w:hAnsi="Times New Roman"/>
          <w:color w:val="000000" w:themeColor="text1"/>
          <w:lang w:val="en-GB"/>
        </w:rPr>
        <w:t>: A review of recent advances</w:t>
      </w:r>
      <w:r w:rsidR="004B0444" w:rsidRPr="00954F79">
        <w:rPr>
          <w:rFonts w:ascii="Times New Roman" w:hAnsi="Times New Roman"/>
          <w:color w:val="000000" w:themeColor="text1"/>
          <w:lang w:val="en-GB"/>
        </w:rPr>
        <w:t>,</w:t>
      </w:r>
      <w:r w:rsidR="00684BF0" w:rsidRPr="00954F79">
        <w:rPr>
          <w:rFonts w:ascii="Times New Roman" w:hAnsi="Times New Roman"/>
          <w:color w:val="000000" w:themeColor="text1"/>
          <w:lang w:val="en-GB"/>
        </w:rPr>
        <w:t xml:space="preserve"> </w:t>
      </w:r>
      <w:r w:rsidR="00684BF0" w:rsidRPr="00954F79">
        <w:rPr>
          <w:rFonts w:ascii="Times New Roman" w:hAnsi="Times New Roman"/>
          <w:i/>
          <w:iCs/>
          <w:color w:val="000000" w:themeColor="text1"/>
          <w:lang w:val="en-GB"/>
        </w:rPr>
        <w:t>Applied Catalysis B: Environmental</w:t>
      </w:r>
      <w:r w:rsidR="00684BF0" w:rsidRPr="00954F79">
        <w:rPr>
          <w:rFonts w:ascii="Times New Roman" w:hAnsi="Times New Roman"/>
          <w:color w:val="000000" w:themeColor="text1"/>
          <w:lang w:val="en-GB"/>
        </w:rPr>
        <w:t xml:space="preserve">. </w:t>
      </w:r>
      <w:r w:rsidR="00684BF0" w:rsidRPr="00954F79">
        <w:rPr>
          <w:rFonts w:ascii="Times New Roman" w:hAnsi="Times New Roman"/>
          <w:b/>
          <w:bCs/>
          <w:color w:val="000000" w:themeColor="text1"/>
          <w:lang w:val="en-GB"/>
        </w:rPr>
        <w:t>2019</w:t>
      </w:r>
      <w:r w:rsidR="00684BF0" w:rsidRPr="00954F79">
        <w:rPr>
          <w:rFonts w:ascii="Times New Roman" w:hAnsi="Times New Roman"/>
          <w:b/>
          <w:bCs/>
          <w:i/>
          <w:iCs/>
          <w:color w:val="000000" w:themeColor="text1"/>
          <w:lang w:val="en-GB"/>
        </w:rPr>
        <w:t xml:space="preserve">, </w:t>
      </w:r>
      <w:r w:rsidR="00684BF0" w:rsidRPr="00954F79">
        <w:rPr>
          <w:rFonts w:ascii="Times New Roman" w:hAnsi="Times New Roman"/>
          <w:i/>
          <w:iCs/>
          <w:color w:val="000000" w:themeColor="text1"/>
          <w:lang w:val="en-GB"/>
        </w:rPr>
        <w:t>244</w:t>
      </w:r>
      <w:r w:rsidR="00684BF0" w:rsidRPr="00954F79">
        <w:rPr>
          <w:rFonts w:ascii="Times New Roman" w:hAnsi="Times New Roman"/>
          <w:color w:val="000000" w:themeColor="text1"/>
          <w:lang w:val="en-GB"/>
        </w:rPr>
        <w:t>, 1021 – 1064.</w:t>
      </w:r>
    </w:p>
    <w:p w14:paraId="3A1D5E9E" w14:textId="55BDDD3A" w:rsidR="00611DE4" w:rsidRPr="00954F79" w:rsidRDefault="003B5D7B" w:rsidP="00213D25">
      <w:pPr>
        <w:pStyle w:val="TAMainText"/>
        <w:numPr>
          <w:ilvl w:val="0"/>
          <w:numId w:val="1"/>
        </w:numPr>
        <w:tabs>
          <w:tab w:val="clear" w:pos="360"/>
        </w:tabs>
        <w:ind w:left="357" w:hanging="357"/>
        <w:rPr>
          <w:rFonts w:ascii="Times New Roman" w:hAnsi="Times New Roman"/>
          <w:color w:val="000000" w:themeColor="text1"/>
          <w:lang w:val="pt-BR"/>
        </w:rPr>
      </w:pPr>
      <w:r w:rsidRPr="00954F79">
        <w:rPr>
          <w:rFonts w:ascii="Times New Roman" w:hAnsi="Times New Roman"/>
          <w:color w:val="000000" w:themeColor="text1"/>
          <w:lang w:val="pt-BR"/>
        </w:rPr>
        <w:t>A. M. P. Silva, B. C. B. Salgado,</w:t>
      </w:r>
      <w:r w:rsidR="00B43C7D" w:rsidRPr="00954F79">
        <w:rPr>
          <w:rFonts w:ascii="Times New Roman" w:hAnsi="Times New Roman"/>
          <w:color w:val="000000" w:themeColor="text1"/>
          <w:lang w:val="pt-BR"/>
        </w:rPr>
        <w:t xml:space="preserve"> J. Q. Lopes, A. C. S. Silva, C. V. P. Pascoal. Patente BR 1020210170980, </w:t>
      </w:r>
      <w:r w:rsidR="00B43C7D" w:rsidRPr="00954F79">
        <w:rPr>
          <w:rFonts w:ascii="Times New Roman" w:hAnsi="Times New Roman"/>
          <w:b/>
          <w:bCs/>
          <w:color w:val="000000" w:themeColor="text1"/>
          <w:lang w:val="pt-BR"/>
        </w:rPr>
        <w:t>2022</w:t>
      </w:r>
      <w:r w:rsidR="00B43C7D" w:rsidRPr="00954F79">
        <w:rPr>
          <w:rFonts w:ascii="Times New Roman" w:hAnsi="Times New Roman"/>
          <w:color w:val="000000" w:themeColor="text1"/>
          <w:lang w:val="pt-BR"/>
        </w:rPr>
        <w:t xml:space="preserve">, </w:t>
      </w:r>
      <w:r w:rsidR="00B43C7D" w:rsidRPr="00954F79">
        <w:rPr>
          <w:rFonts w:ascii="Times New Roman" w:hAnsi="Times New Roman"/>
          <w:i/>
          <w:iCs/>
          <w:color w:val="000000" w:themeColor="text1"/>
          <w:lang w:val="pt-BR"/>
        </w:rPr>
        <w:t>2729</w:t>
      </w:r>
      <w:r w:rsidR="00B43C7D" w:rsidRPr="00954F79">
        <w:rPr>
          <w:rFonts w:ascii="Times New Roman" w:hAnsi="Times New Roman"/>
          <w:color w:val="000000" w:themeColor="text1"/>
          <w:lang w:val="pt-BR"/>
        </w:rPr>
        <w:t>, 1 – 36</w:t>
      </w:r>
      <w:r w:rsidR="00B43C7D" w:rsidRPr="00954F79">
        <w:rPr>
          <w:rFonts w:ascii="Times New Roman" w:hAnsi="Times New Roman"/>
          <w:i/>
          <w:iCs/>
          <w:color w:val="000000" w:themeColor="text1"/>
          <w:lang w:val="pt-BR"/>
        </w:rPr>
        <w:t>.</w:t>
      </w:r>
    </w:p>
    <w:p w14:paraId="09B3F58A" w14:textId="6D279E29" w:rsidR="00213D25" w:rsidRPr="00954F79" w:rsidRDefault="00213D25" w:rsidP="00213D25">
      <w:pPr>
        <w:pStyle w:val="TAMainText"/>
        <w:numPr>
          <w:ilvl w:val="0"/>
          <w:numId w:val="1"/>
        </w:numPr>
        <w:tabs>
          <w:tab w:val="clear" w:pos="360"/>
        </w:tabs>
        <w:ind w:left="357" w:hanging="357"/>
        <w:rPr>
          <w:rFonts w:ascii="Times New Roman" w:hAnsi="Times New Roman"/>
          <w:color w:val="000000" w:themeColor="text1"/>
          <w:lang w:val="en-GB"/>
        </w:rPr>
      </w:pPr>
      <w:r w:rsidRPr="00954F79">
        <w:rPr>
          <w:rFonts w:ascii="Times New Roman" w:hAnsi="Times New Roman"/>
          <w:color w:val="000000" w:themeColor="text1"/>
          <w:lang w:val="en-GB"/>
        </w:rPr>
        <w:t xml:space="preserve">T. D. </w:t>
      </w:r>
      <w:proofErr w:type="spellStart"/>
      <w:r w:rsidRPr="00954F79">
        <w:rPr>
          <w:rFonts w:ascii="Times New Roman" w:hAnsi="Times New Roman"/>
          <w:color w:val="000000" w:themeColor="text1"/>
          <w:lang w:val="en-GB"/>
        </w:rPr>
        <w:t>Munusamy</w:t>
      </w:r>
      <w:proofErr w:type="spellEnd"/>
      <w:r w:rsidRPr="00954F79">
        <w:rPr>
          <w:rFonts w:ascii="Times New Roman" w:hAnsi="Times New Roman"/>
          <w:color w:val="000000" w:themeColor="text1"/>
          <w:lang w:val="en-GB"/>
        </w:rPr>
        <w:t>, S. Y. Chin, M. M. R. Khan</w:t>
      </w:r>
      <w:r w:rsidR="004B0444" w:rsidRPr="00954F79">
        <w:rPr>
          <w:rFonts w:ascii="Times New Roman" w:hAnsi="Times New Roman"/>
          <w:color w:val="000000" w:themeColor="text1"/>
          <w:lang w:val="en-GB"/>
        </w:rPr>
        <w:t xml:space="preserve">. Optimization of process parameters for </w:t>
      </w:r>
      <w:proofErr w:type="spellStart"/>
      <w:r w:rsidR="004B0444" w:rsidRPr="00954F79">
        <w:rPr>
          <w:rFonts w:ascii="Times New Roman" w:hAnsi="Times New Roman"/>
          <w:color w:val="000000" w:themeColor="text1"/>
          <w:lang w:val="en-GB"/>
        </w:rPr>
        <w:t>photoreforming</w:t>
      </w:r>
      <w:proofErr w:type="spellEnd"/>
      <w:r w:rsidR="004B0444" w:rsidRPr="00954F79">
        <w:rPr>
          <w:rFonts w:ascii="Times New Roman" w:hAnsi="Times New Roman"/>
          <w:color w:val="000000" w:themeColor="text1"/>
          <w:lang w:val="en-GB"/>
        </w:rPr>
        <w:t xml:space="preserve"> of hydrogen evolution via response surface methodology (RSM): A study using </w:t>
      </w:r>
      <w:proofErr w:type="spellStart"/>
      <w:r w:rsidR="004B0444" w:rsidRPr="00954F79">
        <w:rPr>
          <w:rFonts w:ascii="Times New Roman" w:hAnsi="Times New Roman"/>
          <w:color w:val="000000" w:themeColor="text1"/>
          <w:lang w:val="en-GB"/>
        </w:rPr>
        <w:t>Carbon@exfoliated</w:t>
      </w:r>
      <w:proofErr w:type="spellEnd"/>
      <w:r w:rsidR="004B0444" w:rsidRPr="00954F79">
        <w:rPr>
          <w:rFonts w:ascii="Times New Roman" w:hAnsi="Times New Roman"/>
          <w:color w:val="000000" w:themeColor="text1"/>
          <w:lang w:val="en-GB"/>
        </w:rPr>
        <w:t xml:space="preserve"> g-C</w:t>
      </w:r>
      <w:r w:rsidR="004B0444" w:rsidRPr="00954F79">
        <w:rPr>
          <w:rFonts w:ascii="Times New Roman" w:hAnsi="Times New Roman"/>
          <w:color w:val="000000" w:themeColor="text1"/>
          <w:vertAlign w:val="subscript"/>
          <w:lang w:val="en-GB"/>
        </w:rPr>
        <w:t>3</w:t>
      </w:r>
      <w:r w:rsidR="004B0444" w:rsidRPr="00954F79">
        <w:rPr>
          <w:rFonts w:ascii="Times New Roman" w:hAnsi="Times New Roman"/>
          <w:color w:val="000000" w:themeColor="text1"/>
          <w:lang w:val="en-GB"/>
        </w:rPr>
        <w:t>N</w:t>
      </w:r>
      <w:r w:rsidR="004B0444" w:rsidRPr="00954F79">
        <w:rPr>
          <w:rFonts w:ascii="Times New Roman" w:hAnsi="Times New Roman"/>
          <w:color w:val="000000" w:themeColor="text1"/>
          <w:vertAlign w:val="subscript"/>
          <w:lang w:val="en-GB"/>
        </w:rPr>
        <w:t>4</w:t>
      </w:r>
      <w:r w:rsidR="004B0444" w:rsidRPr="00954F79">
        <w:rPr>
          <w:rFonts w:ascii="Times New Roman" w:hAnsi="Times New Roman"/>
          <w:color w:val="000000" w:themeColor="text1"/>
          <w:lang w:val="en-GB"/>
        </w:rPr>
        <w:t xml:space="preserve">, </w:t>
      </w:r>
      <w:r w:rsidRPr="00954F79">
        <w:rPr>
          <w:rFonts w:ascii="Times New Roman" w:hAnsi="Times New Roman"/>
          <w:i/>
          <w:iCs/>
          <w:color w:val="000000" w:themeColor="text1"/>
          <w:lang w:val="en-GB"/>
        </w:rPr>
        <w:t>Chemical Engineering Research and Design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. </w:t>
      </w:r>
      <w:r w:rsidRPr="00954F79">
        <w:rPr>
          <w:rFonts w:ascii="Times New Roman" w:hAnsi="Times New Roman"/>
          <w:b/>
          <w:bCs/>
          <w:color w:val="000000" w:themeColor="text1"/>
          <w:lang w:val="en-GB"/>
        </w:rPr>
        <w:t>2022</w:t>
      </w:r>
      <w:r w:rsidRPr="00954F79">
        <w:rPr>
          <w:rFonts w:ascii="Times New Roman" w:hAnsi="Times New Roman"/>
          <w:color w:val="000000" w:themeColor="text1"/>
          <w:lang w:val="en-GB"/>
        </w:rPr>
        <w:t xml:space="preserve">, </w:t>
      </w:r>
      <w:r w:rsidRPr="00954F79">
        <w:rPr>
          <w:rFonts w:ascii="Times New Roman" w:hAnsi="Times New Roman"/>
          <w:i/>
          <w:iCs/>
          <w:color w:val="000000" w:themeColor="text1"/>
          <w:lang w:val="en-GB"/>
        </w:rPr>
        <w:t xml:space="preserve">177, </w:t>
      </w:r>
      <w:r w:rsidRPr="00954F79">
        <w:rPr>
          <w:rFonts w:ascii="Times New Roman" w:hAnsi="Times New Roman"/>
          <w:color w:val="000000" w:themeColor="text1"/>
          <w:lang w:val="en-GB"/>
        </w:rPr>
        <w:t>513 – 525.</w:t>
      </w:r>
    </w:p>
    <w:p w14:paraId="5DBF23EE" w14:textId="77777777" w:rsidR="00611DE4" w:rsidRPr="00213D25" w:rsidRDefault="00611DE4" w:rsidP="00213D25">
      <w:pPr>
        <w:rPr>
          <w:rFonts w:ascii="Times New Roman" w:hAnsi="Times New Roman"/>
          <w:lang w:val="en-GB"/>
        </w:rPr>
      </w:pPr>
    </w:p>
    <w:p w14:paraId="75DDEC4C" w14:textId="77777777" w:rsidR="00611DE4" w:rsidRPr="00213D25" w:rsidRDefault="00611DE4" w:rsidP="00611DE4">
      <w:pPr>
        <w:pStyle w:val="TAMainText"/>
        <w:ind w:left="357" w:firstLine="0"/>
        <w:rPr>
          <w:rFonts w:ascii="Times New Roman" w:hAnsi="Times New Roman"/>
          <w:lang w:val="en-GB"/>
        </w:rPr>
      </w:pPr>
    </w:p>
    <w:p w14:paraId="022DDA04" w14:textId="77777777" w:rsidR="00AA03E7" w:rsidRPr="00213D25" w:rsidRDefault="00AA03E7" w:rsidP="00AA03E7">
      <w:pPr>
        <w:pStyle w:val="PargrafodaLista"/>
        <w:spacing w:after="0" w:line="240" w:lineRule="auto"/>
        <w:ind w:left="360" w:right="-5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pt-BR"/>
        </w:rPr>
      </w:pPr>
    </w:p>
    <w:p w14:paraId="58716424" w14:textId="4804C2B6" w:rsidR="007B4B2B" w:rsidRPr="00213D25" w:rsidRDefault="007B4B2B" w:rsidP="006E5D69">
      <w:pPr>
        <w:pStyle w:val="PargrafodaLista"/>
        <w:ind w:left="360"/>
        <w:rPr>
          <w:lang w:val="en-GB"/>
        </w:rPr>
      </w:pPr>
    </w:p>
    <w:sectPr w:rsidR="007B4B2B" w:rsidRPr="00213D2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A067" w14:textId="77777777" w:rsidR="008F7C14" w:rsidRDefault="008F7C14" w:rsidP="00EA4E1B">
      <w:pPr>
        <w:spacing w:after="0" w:line="240" w:lineRule="auto"/>
      </w:pPr>
      <w:r>
        <w:separator/>
      </w:r>
    </w:p>
  </w:endnote>
  <w:endnote w:type="continuationSeparator" w:id="0">
    <w:p w14:paraId="606683B4" w14:textId="77777777" w:rsidR="008F7C14" w:rsidRDefault="008F7C14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7184" w14:textId="77777777" w:rsidR="008F7C14" w:rsidRDefault="008F7C14" w:rsidP="00EA4E1B">
      <w:pPr>
        <w:spacing w:after="0" w:line="240" w:lineRule="auto"/>
      </w:pPr>
      <w:r>
        <w:separator/>
      </w:r>
    </w:p>
  </w:footnote>
  <w:footnote w:type="continuationSeparator" w:id="0">
    <w:p w14:paraId="29C0B19C" w14:textId="77777777" w:rsidR="008F7C14" w:rsidRDefault="008F7C14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6" name="Imagem 6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4571"/>
    <w:rsid w:val="00004D26"/>
    <w:rsid w:val="0001264A"/>
    <w:rsid w:val="00012B18"/>
    <w:rsid w:val="000131B6"/>
    <w:rsid w:val="00036978"/>
    <w:rsid w:val="00036A7D"/>
    <w:rsid w:val="00036AF3"/>
    <w:rsid w:val="00045FBB"/>
    <w:rsid w:val="000516FC"/>
    <w:rsid w:val="00056B8D"/>
    <w:rsid w:val="0006059B"/>
    <w:rsid w:val="00061A72"/>
    <w:rsid w:val="0006384E"/>
    <w:rsid w:val="00070B57"/>
    <w:rsid w:val="00074696"/>
    <w:rsid w:val="00080662"/>
    <w:rsid w:val="000856D0"/>
    <w:rsid w:val="000865C2"/>
    <w:rsid w:val="00091C68"/>
    <w:rsid w:val="00093C21"/>
    <w:rsid w:val="000A34D8"/>
    <w:rsid w:val="000B562E"/>
    <w:rsid w:val="000C1909"/>
    <w:rsid w:val="000C2903"/>
    <w:rsid w:val="000C2948"/>
    <w:rsid w:val="000C2DC3"/>
    <w:rsid w:val="000C60D1"/>
    <w:rsid w:val="000D00DC"/>
    <w:rsid w:val="000D0E37"/>
    <w:rsid w:val="000D2BA0"/>
    <w:rsid w:val="000D38F9"/>
    <w:rsid w:val="000D73A7"/>
    <w:rsid w:val="000E037E"/>
    <w:rsid w:val="000E1C36"/>
    <w:rsid w:val="000E245A"/>
    <w:rsid w:val="000E36E3"/>
    <w:rsid w:val="000E4F4B"/>
    <w:rsid w:val="000E55FA"/>
    <w:rsid w:val="000E7488"/>
    <w:rsid w:val="000E7862"/>
    <w:rsid w:val="000F1D24"/>
    <w:rsid w:val="000F325F"/>
    <w:rsid w:val="000F32DE"/>
    <w:rsid w:val="000F38DF"/>
    <w:rsid w:val="00100C0F"/>
    <w:rsid w:val="0010133D"/>
    <w:rsid w:val="00103992"/>
    <w:rsid w:val="00104E4E"/>
    <w:rsid w:val="00112668"/>
    <w:rsid w:val="00112DAB"/>
    <w:rsid w:val="001133B6"/>
    <w:rsid w:val="00121DD0"/>
    <w:rsid w:val="00131340"/>
    <w:rsid w:val="00132ACD"/>
    <w:rsid w:val="00132FCB"/>
    <w:rsid w:val="00141DA4"/>
    <w:rsid w:val="0014717D"/>
    <w:rsid w:val="00160801"/>
    <w:rsid w:val="00160CBB"/>
    <w:rsid w:val="00160D12"/>
    <w:rsid w:val="00171A24"/>
    <w:rsid w:val="00180E1F"/>
    <w:rsid w:val="00183CE0"/>
    <w:rsid w:val="0018476C"/>
    <w:rsid w:val="00191715"/>
    <w:rsid w:val="001930B7"/>
    <w:rsid w:val="001A0C31"/>
    <w:rsid w:val="001A1A39"/>
    <w:rsid w:val="001A232D"/>
    <w:rsid w:val="001A3CFD"/>
    <w:rsid w:val="001A72AB"/>
    <w:rsid w:val="001B05CA"/>
    <w:rsid w:val="001B188F"/>
    <w:rsid w:val="001C2052"/>
    <w:rsid w:val="001C7BA3"/>
    <w:rsid w:val="001D17A3"/>
    <w:rsid w:val="001E4831"/>
    <w:rsid w:val="001E58A9"/>
    <w:rsid w:val="001F17DE"/>
    <w:rsid w:val="001F25B2"/>
    <w:rsid w:val="001F3901"/>
    <w:rsid w:val="001F71C1"/>
    <w:rsid w:val="00213C43"/>
    <w:rsid w:val="00213D25"/>
    <w:rsid w:val="002174AE"/>
    <w:rsid w:val="00222230"/>
    <w:rsid w:val="00222410"/>
    <w:rsid w:val="00225260"/>
    <w:rsid w:val="00225D8B"/>
    <w:rsid w:val="00225F6F"/>
    <w:rsid w:val="002372AD"/>
    <w:rsid w:val="002447F5"/>
    <w:rsid w:val="00246D37"/>
    <w:rsid w:val="002521A4"/>
    <w:rsid w:val="00253FC2"/>
    <w:rsid w:val="00254ACB"/>
    <w:rsid w:val="002558D6"/>
    <w:rsid w:val="00255FA7"/>
    <w:rsid w:val="00261D3F"/>
    <w:rsid w:val="002663ED"/>
    <w:rsid w:val="00271F1B"/>
    <w:rsid w:val="00272097"/>
    <w:rsid w:val="002944BC"/>
    <w:rsid w:val="002A0E5A"/>
    <w:rsid w:val="002A2973"/>
    <w:rsid w:val="002A6D35"/>
    <w:rsid w:val="002A7E75"/>
    <w:rsid w:val="002B62EE"/>
    <w:rsid w:val="002B7DD9"/>
    <w:rsid w:val="002C5657"/>
    <w:rsid w:val="002D2572"/>
    <w:rsid w:val="002E158B"/>
    <w:rsid w:val="002E55EC"/>
    <w:rsid w:val="002E69A5"/>
    <w:rsid w:val="002F0FA3"/>
    <w:rsid w:val="002F65BC"/>
    <w:rsid w:val="002F7BE9"/>
    <w:rsid w:val="00300EEE"/>
    <w:rsid w:val="003011BD"/>
    <w:rsid w:val="00302649"/>
    <w:rsid w:val="00305D2E"/>
    <w:rsid w:val="00312C86"/>
    <w:rsid w:val="00315E8B"/>
    <w:rsid w:val="003259A7"/>
    <w:rsid w:val="0032764B"/>
    <w:rsid w:val="00327C05"/>
    <w:rsid w:val="00334AD4"/>
    <w:rsid w:val="00334FC1"/>
    <w:rsid w:val="00340B1E"/>
    <w:rsid w:val="00341DBA"/>
    <w:rsid w:val="0034745B"/>
    <w:rsid w:val="00347BE2"/>
    <w:rsid w:val="003503D8"/>
    <w:rsid w:val="00350550"/>
    <w:rsid w:val="00361C62"/>
    <w:rsid w:val="00366672"/>
    <w:rsid w:val="003740C4"/>
    <w:rsid w:val="0037725B"/>
    <w:rsid w:val="003813CC"/>
    <w:rsid w:val="0038406F"/>
    <w:rsid w:val="00385F09"/>
    <w:rsid w:val="00386CD7"/>
    <w:rsid w:val="00386DD9"/>
    <w:rsid w:val="00393B8F"/>
    <w:rsid w:val="003A6DBD"/>
    <w:rsid w:val="003B0B6F"/>
    <w:rsid w:val="003B27E7"/>
    <w:rsid w:val="003B2850"/>
    <w:rsid w:val="003B4857"/>
    <w:rsid w:val="003B5D7B"/>
    <w:rsid w:val="003B5E4F"/>
    <w:rsid w:val="003C27F1"/>
    <w:rsid w:val="003D0A26"/>
    <w:rsid w:val="003D6FFB"/>
    <w:rsid w:val="003D7D4D"/>
    <w:rsid w:val="003E2BD8"/>
    <w:rsid w:val="003E5B6A"/>
    <w:rsid w:val="003F326F"/>
    <w:rsid w:val="003F3CFD"/>
    <w:rsid w:val="003F522D"/>
    <w:rsid w:val="00400D48"/>
    <w:rsid w:val="00402F3E"/>
    <w:rsid w:val="004046A6"/>
    <w:rsid w:val="00410C10"/>
    <w:rsid w:val="00414C43"/>
    <w:rsid w:val="004153C4"/>
    <w:rsid w:val="004159A1"/>
    <w:rsid w:val="00417989"/>
    <w:rsid w:val="00423CAE"/>
    <w:rsid w:val="00424235"/>
    <w:rsid w:val="0044245F"/>
    <w:rsid w:val="00445E0B"/>
    <w:rsid w:val="00473B8E"/>
    <w:rsid w:val="00474AE9"/>
    <w:rsid w:val="004913FC"/>
    <w:rsid w:val="00492CCC"/>
    <w:rsid w:val="00495F10"/>
    <w:rsid w:val="00496947"/>
    <w:rsid w:val="004A6F54"/>
    <w:rsid w:val="004A755E"/>
    <w:rsid w:val="004B0444"/>
    <w:rsid w:val="004C167A"/>
    <w:rsid w:val="004C2881"/>
    <w:rsid w:val="004C375A"/>
    <w:rsid w:val="004C7B87"/>
    <w:rsid w:val="004D179E"/>
    <w:rsid w:val="004D1A58"/>
    <w:rsid w:val="004D3D44"/>
    <w:rsid w:val="004E1EA4"/>
    <w:rsid w:val="004E5996"/>
    <w:rsid w:val="004E69BB"/>
    <w:rsid w:val="004E6CAC"/>
    <w:rsid w:val="004E73FC"/>
    <w:rsid w:val="004F3F42"/>
    <w:rsid w:val="00500441"/>
    <w:rsid w:val="00506CB7"/>
    <w:rsid w:val="005076BF"/>
    <w:rsid w:val="005104FB"/>
    <w:rsid w:val="0052112E"/>
    <w:rsid w:val="00521770"/>
    <w:rsid w:val="005230AB"/>
    <w:rsid w:val="005317C8"/>
    <w:rsid w:val="005537ED"/>
    <w:rsid w:val="0055408E"/>
    <w:rsid w:val="005546D3"/>
    <w:rsid w:val="005565E3"/>
    <w:rsid w:val="005612AE"/>
    <w:rsid w:val="00563D07"/>
    <w:rsid w:val="00567D00"/>
    <w:rsid w:val="00571ADB"/>
    <w:rsid w:val="00571B2A"/>
    <w:rsid w:val="005738A6"/>
    <w:rsid w:val="00574FDE"/>
    <w:rsid w:val="00576D0A"/>
    <w:rsid w:val="00576FD1"/>
    <w:rsid w:val="00577D60"/>
    <w:rsid w:val="00584ACA"/>
    <w:rsid w:val="00586E57"/>
    <w:rsid w:val="00587311"/>
    <w:rsid w:val="00590631"/>
    <w:rsid w:val="005938A1"/>
    <w:rsid w:val="005940AE"/>
    <w:rsid w:val="005951E6"/>
    <w:rsid w:val="00595D90"/>
    <w:rsid w:val="00595E1A"/>
    <w:rsid w:val="0059697D"/>
    <w:rsid w:val="005A69EA"/>
    <w:rsid w:val="005B54F2"/>
    <w:rsid w:val="005C2775"/>
    <w:rsid w:val="005C55BC"/>
    <w:rsid w:val="005D65EB"/>
    <w:rsid w:val="005D7A27"/>
    <w:rsid w:val="005F0C33"/>
    <w:rsid w:val="005F7296"/>
    <w:rsid w:val="005F78B4"/>
    <w:rsid w:val="006017D4"/>
    <w:rsid w:val="00604718"/>
    <w:rsid w:val="00605B3A"/>
    <w:rsid w:val="00605F05"/>
    <w:rsid w:val="00606C9A"/>
    <w:rsid w:val="00610A2F"/>
    <w:rsid w:val="00611DE4"/>
    <w:rsid w:val="00615F41"/>
    <w:rsid w:val="00621A80"/>
    <w:rsid w:val="00624214"/>
    <w:rsid w:val="00630AC4"/>
    <w:rsid w:val="00633BC8"/>
    <w:rsid w:val="00633C7C"/>
    <w:rsid w:val="00642E43"/>
    <w:rsid w:val="00647B56"/>
    <w:rsid w:val="00652815"/>
    <w:rsid w:val="0065380E"/>
    <w:rsid w:val="00654C94"/>
    <w:rsid w:val="006574ED"/>
    <w:rsid w:val="00666B7C"/>
    <w:rsid w:val="0067412D"/>
    <w:rsid w:val="00675796"/>
    <w:rsid w:val="0068050B"/>
    <w:rsid w:val="00683E1E"/>
    <w:rsid w:val="00684BF0"/>
    <w:rsid w:val="00685F64"/>
    <w:rsid w:val="0069414A"/>
    <w:rsid w:val="006A1239"/>
    <w:rsid w:val="006A2EFA"/>
    <w:rsid w:val="006A31EE"/>
    <w:rsid w:val="006B1A29"/>
    <w:rsid w:val="006B2D93"/>
    <w:rsid w:val="006B4EBE"/>
    <w:rsid w:val="006C1F6A"/>
    <w:rsid w:val="006C7177"/>
    <w:rsid w:val="006D763B"/>
    <w:rsid w:val="006D7C90"/>
    <w:rsid w:val="006D7FEF"/>
    <w:rsid w:val="006E195A"/>
    <w:rsid w:val="006E1CC7"/>
    <w:rsid w:val="006E5D69"/>
    <w:rsid w:val="006F38F0"/>
    <w:rsid w:val="006F3D6F"/>
    <w:rsid w:val="006F599B"/>
    <w:rsid w:val="00700F3B"/>
    <w:rsid w:val="00701355"/>
    <w:rsid w:val="007034AD"/>
    <w:rsid w:val="0071222D"/>
    <w:rsid w:val="007126FE"/>
    <w:rsid w:val="007157EE"/>
    <w:rsid w:val="007158D8"/>
    <w:rsid w:val="007263D7"/>
    <w:rsid w:val="00727251"/>
    <w:rsid w:val="00731691"/>
    <w:rsid w:val="007321F3"/>
    <w:rsid w:val="00732C6A"/>
    <w:rsid w:val="007360AD"/>
    <w:rsid w:val="00737C5B"/>
    <w:rsid w:val="00745D54"/>
    <w:rsid w:val="00757E62"/>
    <w:rsid w:val="0076050A"/>
    <w:rsid w:val="00762151"/>
    <w:rsid w:val="007644BB"/>
    <w:rsid w:val="00764FE0"/>
    <w:rsid w:val="00765E3B"/>
    <w:rsid w:val="007670A0"/>
    <w:rsid w:val="00772C3C"/>
    <w:rsid w:val="007738DF"/>
    <w:rsid w:val="007752D4"/>
    <w:rsid w:val="00781685"/>
    <w:rsid w:val="00786009"/>
    <w:rsid w:val="00791FF9"/>
    <w:rsid w:val="00795A09"/>
    <w:rsid w:val="007A222F"/>
    <w:rsid w:val="007A51E3"/>
    <w:rsid w:val="007B0E1F"/>
    <w:rsid w:val="007B32C0"/>
    <w:rsid w:val="007B4B2B"/>
    <w:rsid w:val="007B4D02"/>
    <w:rsid w:val="007C3EA4"/>
    <w:rsid w:val="007C4FEB"/>
    <w:rsid w:val="007C73B5"/>
    <w:rsid w:val="007D00AA"/>
    <w:rsid w:val="007D1EA9"/>
    <w:rsid w:val="007D332B"/>
    <w:rsid w:val="007D4F3C"/>
    <w:rsid w:val="007D7593"/>
    <w:rsid w:val="007E2446"/>
    <w:rsid w:val="007E6B2C"/>
    <w:rsid w:val="007F09A4"/>
    <w:rsid w:val="007F0C7C"/>
    <w:rsid w:val="007F70EC"/>
    <w:rsid w:val="008022C7"/>
    <w:rsid w:val="008024B9"/>
    <w:rsid w:val="008029E6"/>
    <w:rsid w:val="00810082"/>
    <w:rsid w:val="0081259C"/>
    <w:rsid w:val="00816025"/>
    <w:rsid w:val="00821F36"/>
    <w:rsid w:val="00823ACE"/>
    <w:rsid w:val="0082506E"/>
    <w:rsid w:val="00837C0B"/>
    <w:rsid w:val="00841942"/>
    <w:rsid w:val="00843D34"/>
    <w:rsid w:val="00852F02"/>
    <w:rsid w:val="0086079C"/>
    <w:rsid w:val="00861624"/>
    <w:rsid w:val="00866822"/>
    <w:rsid w:val="008716B4"/>
    <w:rsid w:val="00871D25"/>
    <w:rsid w:val="00885D19"/>
    <w:rsid w:val="008942E9"/>
    <w:rsid w:val="008A0A4C"/>
    <w:rsid w:val="008A3D0D"/>
    <w:rsid w:val="008A57D8"/>
    <w:rsid w:val="008B0D79"/>
    <w:rsid w:val="008B1683"/>
    <w:rsid w:val="008B24F2"/>
    <w:rsid w:val="008B3046"/>
    <w:rsid w:val="008C092C"/>
    <w:rsid w:val="008C1B30"/>
    <w:rsid w:val="008C1B7C"/>
    <w:rsid w:val="008C33AE"/>
    <w:rsid w:val="008C3552"/>
    <w:rsid w:val="008D322C"/>
    <w:rsid w:val="008E0784"/>
    <w:rsid w:val="008E7252"/>
    <w:rsid w:val="008F38C5"/>
    <w:rsid w:val="008F7C14"/>
    <w:rsid w:val="009001A6"/>
    <w:rsid w:val="009224A3"/>
    <w:rsid w:val="00923101"/>
    <w:rsid w:val="00923346"/>
    <w:rsid w:val="0092529D"/>
    <w:rsid w:val="009258D9"/>
    <w:rsid w:val="00927A90"/>
    <w:rsid w:val="009301C8"/>
    <w:rsid w:val="009335D9"/>
    <w:rsid w:val="009337EC"/>
    <w:rsid w:val="00935687"/>
    <w:rsid w:val="00937AC4"/>
    <w:rsid w:val="0094578A"/>
    <w:rsid w:val="00946AEC"/>
    <w:rsid w:val="009470B9"/>
    <w:rsid w:val="009510B6"/>
    <w:rsid w:val="0095183D"/>
    <w:rsid w:val="00952E1A"/>
    <w:rsid w:val="00953608"/>
    <w:rsid w:val="00954F79"/>
    <w:rsid w:val="00955F08"/>
    <w:rsid w:val="00962E03"/>
    <w:rsid w:val="009656D9"/>
    <w:rsid w:val="0097373B"/>
    <w:rsid w:val="00980DD4"/>
    <w:rsid w:val="00986933"/>
    <w:rsid w:val="009A1A3E"/>
    <w:rsid w:val="009A584F"/>
    <w:rsid w:val="009A6CFF"/>
    <w:rsid w:val="009A773D"/>
    <w:rsid w:val="009B3CF9"/>
    <w:rsid w:val="009B3E22"/>
    <w:rsid w:val="009C1BF0"/>
    <w:rsid w:val="009C451A"/>
    <w:rsid w:val="009C4D58"/>
    <w:rsid w:val="009C7CB0"/>
    <w:rsid w:val="009D3498"/>
    <w:rsid w:val="009D7E99"/>
    <w:rsid w:val="009E0339"/>
    <w:rsid w:val="009E12EA"/>
    <w:rsid w:val="009E3038"/>
    <w:rsid w:val="009E59F5"/>
    <w:rsid w:val="009E66AA"/>
    <w:rsid w:val="009F55A7"/>
    <w:rsid w:val="00A00939"/>
    <w:rsid w:val="00A1289F"/>
    <w:rsid w:val="00A14433"/>
    <w:rsid w:val="00A17D85"/>
    <w:rsid w:val="00A26F61"/>
    <w:rsid w:val="00A41C1E"/>
    <w:rsid w:val="00A50C5E"/>
    <w:rsid w:val="00A55E6A"/>
    <w:rsid w:val="00A60E56"/>
    <w:rsid w:val="00A656FE"/>
    <w:rsid w:val="00A70300"/>
    <w:rsid w:val="00A70D3C"/>
    <w:rsid w:val="00A74261"/>
    <w:rsid w:val="00A75E52"/>
    <w:rsid w:val="00A806AF"/>
    <w:rsid w:val="00A8412A"/>
    <w:rsid w:val="00A87CE8"/>
    <w:rsid w:val="00A92139"/>
    <w:rsid w:val="00A92DE9"/>
    <w:rsid w:val="00A977A6"/>
    <w:rsid w:val="00AA03E7"/>
    <w:rsid w:val="00AA182E"/>
    <w:rsid w:val="00AA222D"/>
    <w:rsid w:val="00AA45CD"/>
    <w:rsid w:val="00AB13AD"/>
    <w:rsid w:val="00AB1885"/>
    <w:rsid w:val="00AB26AF"/>
    <w:rsid w:val="00AB4A9C"/>
    <w:rsid w:val="00AB5CE2"/>
    <w:rsid w:val="00AC09BA"/>
    <w:rsid w:val="00AC0FF7"/>
    <w:rsid w:val="00AC1637"/>
    <w:rsid w:val="00AC2116"/>
    <w:rsid w:val="00AC3643"/>
    <w:rsid w:val="00AC3891"/>
    <w:rsid w:val="00AC581B"/>
    <w:rsid w:val="00AC5D29"/>
    <w:rsid w:val="00AC68F1"/>
    <w:rsid w:val="00AC72F5"/>
    <w:rsid w:val="00AC739C"/>
    <w:rsid w:val="00AD276A"/>
    <w:rsid w:val="00AD502A"/>
    <w:rsid w:val="00AE2FEA"/>
    <w:rsid w:val="00AE678E"/>
    <w:rsid w:val="00AE6D57"/>
    <w:rsid w:val="00AE70D3"/>
    <w:rsid w:val="00AF0400"/>
    <w:rsid w:val="00B02407"/>
    <w:rsid w:val="00B04EB1"/>
    <w:rsid w:val="00B07316"/>
    <w:rsid w:val="00B137A0"/>
    <w:rsid w:val="00B17E97"/>
    <w:rsid w:val="00B2283F"/>
    <w:rsid w:val="00B249DC"/>
    <w:rsid w:val="00B25B42"/>
    <w:rsid w:val="00B30A26"/>
    <w:rsid w:val="00B30AEB"/>
    <w:rsid w:val="00B30F69"/>
    <w:rsid w:val="00B32DD2"/>
    <w:rsid w:val="00B34E98"/>
    <w:rsid w:val="00B367FD"/>
    <w:rsid w:val="00B41175"/>
    <w:rsid w:val="00B4265C"/>
    <w:rsid w:val="00B43C7D"/>
    <w:rsid w:val="00B53416"/>
    <w:rsid w:val="00B534EA"/>
    <w:rsid w:val="00B6056F"/>
    <w:rsid w:val="00B63EAA"/>
    <w:rsid w:val="00B64549"/>
    <w:rsid w:val="00B6710D"/>
    <w:rsid w:val="00B706BC"/>
    <w:rsid w:val="00B71187"/>
    <w:rsid w:val="00B8107A"/>
    <w:rsid w:val="00B85815"/>
    <w:rsid w:val="00B9093D"/>
    <w:rsid w:val="00B91DC3"/>
    <w:rsid w:val="00BA1CE2"/>
    <w:rsid w:val="00BA5CF9"/>
    <w:rsid w:val="00BA6A6E"/>
    <w:rsid w:val="00BB39FF"/>
    <w:rsid w:val="00BB5B77"/>
    <w:rsid w:val="00BC1A99"/>
    <w:rsid w:val="00BC31D2"/>
    <w:rsid w:val="00BC5317"/>
    <w:rsid w:val="00BC76E1"/>
    <w:rsid w:val="00BD1C54"/>
    <w:rsid w:val="00BE04C8"/>
    <w:rsid w:val="00BE41BC"/>
    <w:rsid w:val="00BE4885"/>
    <w:rsid w:val="00BE48F8"/>
    <w:rsid w:val="00BE4B8D"/>
    <w:rsid w:val="00BF2221"/>
    <w:rsid w:val="00BF30CC"/>
    <w:rsid w:val="00BF755D"/>
    <w:rsid w:val="00C13130"/>
    <w:rsid w:val="00C2445B"/>
    <w:rsid w:val="00C30427"/>
    <w:rsid w:val="00C33A17"/>
    <w:rsid w:val="00C33A84"/>
    <w:rsid w:val="00C52523"/>
    <w:rsid w:val="00C56666"/>
    <w:rsid w:val="00C61F5B"/>
    <w:rsid w:val="00C70BAA"/>
    <w:rsid w:val="00C756F3"/>
    <w:rsid w:val="00C76E54"/>
    <w:rsid w:val="00C8556B"/>
    <w:rsid w:val="00C87FC4"/>
    <w:rsid w:val="00C9608E"/>
    <w:rsid w:val="00C96765"/>
    <w:rsid w:val="00CA2D25"/>
    <w:rsid w:val="00CA475A"/>
    <w:rsid w:val="00CA5199"/>
    <w:rsid w:val="00CA5594"/>
    <w:rsid w:val="00CB092C"/>
    <w:rsid w:val="00CB7B8B"/>
    <w:rsid w:val="00CC35F3"/>
    <w:rsid w:val="00CC4395"/>
    <w:rsid w:val="00CD104F"/>
    <w:rsid w:val="00CD35CC"/>
    <w:rsid w:val="00CD52ED"/>
    <w:rsid w:val="00CE00C4"/>
    <w:rsid w:val="00CE243D"/>
    <w:rsid w:val="00CE632A"/>
    <w:rsid w:val="00CF0C7C"/>
    <w:rsid w:val="00CF21C8"/>
    <w:rsid w:val="00CF3D7B"/>
    <w:rsid w:val="00CF48E9"/>
    <w:rsid w:val="00CF508F"/>
    <w:rsid w:val="00D04107"/>
    <w:rsid w:val="00D07763"/>
    <w:rsid w:val="00D227A8"/>
    <w:rsid w:val="00D238ED"/>
    <w:rsid w:val="00D269BE"/>
    <w:rsid w:val="00D306B7"/>
    <w:rsid w:val="00D3221A"/>
    <w:rsid w:val="00D32944"/>
    <w:rsid w:val="00D34936"/>
    <w:rsid w:val="00D45422"/>
    <w:rsid w:val="00D5102D"/>
    <w:rsid w:val="00D6512D"/>
    <w:rsid w:val="00D71226"/>
    <w:rsid w:val="00D71410"/>
    <w:rsid w:val="00D86057"/>
    <w:rsid w:val="00D93735"/>
    <w:rsid w:val="00D95FF7"/>
    <w:rsid w:val="00D96135"/>
    <w:rsid w:val="00DB64BD"/>
    <w:rsid w:val="00DC13E3"/>
    <w:rsid w:val="00DD0041"/>
    <w:rsid w:val="00DD64E0"/>
    <w:rsid w:val="00DE0407"/>
    <w:rsid w:val="00DE1CE6"/>
    <w:rsid w:val="00DE2ADE"/>
    <w:rsid w:val="00DE4707"/>
    <w:rsid w:val="00DF2262"/>
    <w:rsid w:val="00E0088E"/>
    <w:rsid w:val="00E02A21"/>
    <w:rsid w:val="00E02FEB"/>
    <w:rsid w:val="00E038AF"/>
    <w:rsid w:val="00E22BB1"/>
    <w:rsid w:val="00E35F53"/>
    <w:rsid w:val="00E40628"/>
    <w:rsid w:val="00E45DDA"/>
    <w:rsid w:val="00E51DE1"/>
    <w:rsid w:val="00E52494"/>
    <w:rsid w:val="00E53CA6"/>
    <w:rsid w:val="00E56BB9"/>
    <w:rsid w:val="00E56CF3"/>
    <w:rsid w:val="00E574AC"/>
    <w:rsid w:val="00E5791C"/>
    <w:rsid w:val="00E75472"/>
    <w:rsid w:val="00E90859"/>
    <w:rsid w:val="00EA1BB4"/>
    <w:rsid w:val="00EA3C24"/>
    <w:rsid w:val="00EA463E"/>
    <w:rsid w:val="00EA4E1B"/>
    <w:rsid w:val="00EA661E"/>
    <w:rsid w:val="00EB7C8F"/>
    <w:rsid w:val="00ED16D5"/>
    <w:rsid w:val="00EE274C"/>
    <w:rsid w:val="00EE433B"/>
    <w:rsid w:val="00EE7D06"/>
    <w:rsid w:val="00EF0E31"/>
    <w:rsid w:val="00EF1594"/>
    <w:rsid w:val="00EF3771"/>
    <w:rsid w:val="00EF60B0"/>
    <w:rsid w:val="00EF78FA"/>
    <w:rsid w:val="00F13E7C"/>
    <w:rsid w:val="00F16370"/>
    <w:rsid w:val="00F205D4"/>
    <w:rsid w:val="00F21A0B"/>
    <w:rsid w:val="00F30661"/>
    <w:rsid w:val="00F32562"/>
    <w:rsid w:val="00F45C84"/>
    <w:rsid w:val="00F50277"/>
    <w:rsid w:val="00F542B6"/>
    <w:rsid w:val="00F561F9"/>
    <w:rsid w:val="00F572AB"/>
    <w:rsid w:val="00F65B93"/>
    <w:rsid w:val="00F71378"/>
    <w:rsid w:val="00F74545"/>
    <w:rsid w:val="00F86F8A"/>
    <w:rsid w:val="00F917DA"/>
    <w:rsid w:val="00F93432"/>
    <w:rsid w:val="00F93916"/>
    <w:rsid w:val="00F93AEC"/>
    <w:rsid w:val="00F97118"/>
    <w:rsid w:val="00FA4137"/>
    <w:rsid w:val="00FA4D91"/>
    <w:rsid w:val="00FA6113"/>
    <w:rsid w:val="00FA6B84"/>
    <w:rsid w:val="00FB3669"/>
    <w:rsid w:val="00FC0BE6"/>
    <w:rsid w:val="00FC4BC3"/>
    <w:rsid w:val="00FD02C3"/>
    <w:rsid w:val="00FD069E"/>
    <w:rsid w:val="00FD284A"/>
    <w:rsid w:val="00FD2D74"/>
    <w:rsid w:val="00FE27C9"/>
    <w:rsid w:val="00FF0904"/>
    <w:rsid w:val="00FF1E47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6D7F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7FE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102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F325F"/>
    <w:pPr>
      <w:ind w:left="720"/>
      <w:contextualSpacing/>
    </w:pPr>
  </w:style>
  <w:style w:type="paragraph" w:styleId="Reviso">
    <w:name w:val="Revision"/>
    <w:hidden/>
    <w:uiPriority w:val="99"/>
    <w:semiHidden/>
    <w:rsid w:val="004E69B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356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56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56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56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56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2995</Words>
  <Characters>16177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Bruno Cesar Barroso Salgado</cp:lastModifiedBy>
  <cp:revision>3</cp:revision>
  <dcterms:created xsi:type="dcterms:W3CDTF">2023-04-27T22:42:00Z</dcterms:created>
  <dcterms:modified xsi:type="dcterms:W3CDTF">2023-04-29T13:57:00Z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