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D44AB84" w:rsidR="00EA4E1B" w:rsidRDefault="00EC1766" w:rsidP="00EA4E1B">
      <w:pPr>
        <w:pStyle w:val="BATitle"/>
        <w:spacing w:before="0" w:after="0" w:line="240" w:lineRule="auto"/>
        <w:ind w:right="0"/>
        <w:jc w:val="both"/>
        <w:rPr>
          <w:sz w:val="32"/>
          <w:lang w:val="pt-BR"/>
        </w:rPr>
      </w:pPr>
      <w:r>
        <w:rPr>
          <w:sz w:val="32"/>
          <w:lang w:val="pt-BR"/>
        </w:rPr>
        <w:t>Heterojunções NiFe</w:t>
      </w:r>
      <w:r w:rsidRPr="00EC1766">
        <w:rPr>
          <w:sz w:val="32"/>
          <w:vertAlign w:val="subscript"/>
          <w:lang w:val="pt-BR"/>
        </w:rPr>
        <w:t>2</w:t>
      </w:r>
      <w:r>
        <w:rPr>
          <w:sz w:val="32"/>
          <w:lang w:val="pt-BR"/>
        </w:rPr>
        <w:t>O</w:t>
      </w:r>
      <w:r w:rsidRPr="00EC1766">
        <w:rPr>
          <w:sz w:val="32"/>
          <w:vertAlign w:val="subscript"/>
          <w:lang w:val="pt-BR"/>
        </w:rPr>
        <w:t>4</w:t>
      </w:r>
      <w:r>
        <w:rPr>
          <w:sz w:val="32"/>
          <w:lang w:val="pt-BR"/>
        </w:rPr>
        <w:t>/</w:t>
      </w:r>
      <w:r w:rsidRPr="00EC1766">
        <w:rPr>
          <w:sz w:val="32"/>
          <w:lang w:val="pt-BR"/>
        </w:rPr>
        <w:t>TiO</w:t>
      </w:r>
      <w:r w:rsidRPr="00EC1766">
        <w:rPr>
          <w:sz w:val="32"/>
          <w:vertAlign w:val="subscript"/>
          <w:lang w:val="pt-BR"/>
        </w:rPr>
        <w:t>2</w:t>
      </w:r>
      <w:r>
        <w:rPr>
          <w:sz w:val="32"/>
          <w:lang w:val="pt-BR"/>
        </w:rPr>
        <w:t>-Fe a</w:t>
      </w:r>
      <w:r w:rsidRPr="00EC1766">
        <w:rPr>
          <w:sz w:val="32"/>
          <w:lang w:val="pt-BR"/>
        </w:rPr>
        <w:t>plicadas na degradação fotocatalítica de glifosato em meio aquoso</w:t>
      </w:r>
    </w:p>
    <w:p w14:paraId="18735493" w14:textId="0D55F7D8" w:rsidR="00EA4E1B" w:rsidRPr="00EC1766" w:rsidRDefault="006F0A7D" w:rsidP="00EA4E1B">
      <w:pPr>
        <w:pStyle w:val="BBAuthorName"/>
        <w:spacing w:after="120"/>
        <w:ind w:right="0"/>
        <w:jc w:val="both"/>
        <w:rPr>
          <w:rFonts w:ascii="Times New Roman" w:hAnsi="Times New Roman"/>
          <w:sz w:val="20"/>
          <w:lang w:val="pt-BR"/>
        </w:rPr>
      </w:pPr>
      <w:r>
        <w:rPr>
          <w:rFonts w:ascii="Times New Roman" w:hAnsi="Times New Roman"/>
          <w:sz w:val="20"/>
          <w:lang w:val="pt-BR"/>
        </w:rPr>
        <w:t>Alberto Jose Maroli Neto</w:t>
      </w:r>
      <w:r w:rsidRPr="006F0A7D">
        <w:rPr>
          <w:rFonts w:ascii="Times New Roman" w:hAnsi="Times New Roman"/>
          <w:sz w:val="20"/>
          <w:vertAlign w:val="superscript"/>
          <w:lang w:val="pt-BR"/>
        </w:rPr>
        <w:t>1*</w:t>
      </w:r>
      <w:r w:rsidR="00EC1766">
        <w:rPr>
          <w:rFonts w:ascii="Times New Roman" w:hAnsi="Times New Roman"/>
          <w:sz w:val="20"/>
          <w:lang w:val="pt-BR"/>
        </w:rPr>
        <w:t>,</w:t>
      </w:r>
      <w:r>
        <w:rPr>
          <w:rFonts w:ascii="Times New Roman" w:hAnsi="Times New Roman"/>
          <w:sz w:val="20"/>
          <w:lang w:val="pt-BR"/>
        </w:rPr>
        <w:t xml:space="preserve"> Isadora Roberta Verdi</w:t>
      </w:r>
      <w:r>
        <w:rPr>
          <w:rFonts w:ascii="Times New Roman" w:hAnsi="Times New Roman"/>
          <w:sz w:val="20"/>
          <w:vertAlign w:val="superscript"/>
          <w:lang w:val="pt-BR"/>
        </w:rPr>
        <w:t>1</w:t>
      </w:r>
      <w:r w:rsidR="00EC1766">
        <w:rPr>
          <w:rFonts w:ascii="Times New Roman" w:hAnsi="Times New Roman"/>
          <w:sz w:val="20"/>
          <w:lang w:val="pt-BR"/>
        </w:rPr>
        <w:t>,</w:t>
      </w:r>
      <w:r>
        <w:rPr>
          <w:rFonts w:ascii="Times New Roman" w:hAnsi="Times New Roman"/>
          <w:sz w:val="20"/>
          <w:lang w:val="pt-BR"/>
        </w:rPr>
        <w:t xml:space="preserve"> Odivaldo Cambraia Alves</w:t>
      </w:r>
      <w:r w:rsidRPr="006B17E5">
        <w:rPr>
          <w:rFonts w:ascii="Times New Roman" w:hAnsi="Times New Roman"/>
          <w:sz w:val="20"/>
          <w:vertAlign w:val="superscript"/>
          <w:lang w:val="pt-BR"/>
        </w:rPr>
        <w:t>2</w:t>
      </w:r>
      <w:r>
        <w:rPr>
          <w:rFonts w:ascii="Times New Roman" w:hAnsi="Times New Roman"/>
          <w:sz w:val="20"/>
          <w:lang w:val="pt-BR"/>
        </w:rPr>
        <w:t>, Raquel Dalla Costa da Rocha</w:t>
      </w:r>
      <w:r w:rsidRPr="006B17E5">
        <w:rPr>
          <w:rFonts w:ascii="Times New Roman" w:hAnsi="Times New Roman"/>
          <w:sz w:val="20"/>
          <w:vertAlign w:val="superscript"/>
          <w:lang w:val="pt-BR"/>
        </w:rPr>
        <w:t>1</w:t>
      </w:r>
      <w:r>
        <w:rPr>
          <w:rFonts w:ascii="Times New Roman" w:hAnsi="Times New Roman"/>
          <w:sz w:val="20"/>
          <w:lang w:val="pt-BR"/>
        </w:rPr>
        <w:t>,</w:t>
      </w:r>
      <w:r w:rsidR="00EC1766">
        <w:rPr>
          <w:rFonts w:ascii="Times New Roman" w:hAnsi="Times New Roman"/>
          <w:sz w:val="20"/>
          <w:lang w:val="pt-BR"/>
        </w:rPr>
        <w:t xml:space="preserve"> </w:t>
      </w:r>
      <w:r w:rsidR="006B17E5">
        <w:rPr>
          <w:rFonts w:ascii="Times New Roman" w:hAnsi="Times New Roman"/>
          <w:sz w:val="20"/>
          <w:lang w:val="pt-BR"/>
        </w:rPr>
        <w:t>Rodrigo Brackmann</w:t>
      </w:r>
      <w:r w:rsidR="006B17E5">
        <w:rPr>
          <w:rFonts w:ascii="Times New Roman" w:hAnsi="Times New Roman"/>
          <w:sz w:val="20"/>
          <w:vertAlign w:val="superscript"/>
          <w:lang w:val="pt-BR"/>
        </w:rPr>
        <w:t>1</w:t>
      </w:r>
    </w:p>
    <w:bookmarkEnd w:id="0"/>
    <w:p w14:paraId="57384B8E" w14:textId="77777777" w:rsidR="00903E80" w:rsidRDefault="00903E80" w:rsidP="00903E80">
      <w:pPr>
        <w:pStyle w:val="BBAuthorName"/>
        <w:spacing w:after="0"/>
        <w:ind w:right="0"/>
        <w:jc w:val="both"/>
        <w:rPr>
          <w:rFonts w:ascii="Times" w:hAnsi="Times"/>
          <w:b w:val="0"/>
          <w:i/>
          <w:sz w:val="20"/>
          <w:lang w:val="pt-BR"/>
        </w:rPr>
      </w:pPr>
      <w:r>
        <w:rPr>
          <w:rFonts w:ascii="Times" w:hAnsi="Times"/>
          <w:b w:val="0"/>
          <w:i/>
          <w:sz w:val="20"/>
          <w:lang w:val="pt-BR"/>
        </w:rPr>
        <w:t>1</w:t>
      </w:r>
      <w:r w:rsidRPr="00774BB7">
        <w:rPr>
          <w:rFonts w:ascii="Times" w:hAnsi="Times"/>
          <w:b w:val="0"/>
          <w:i/>
          <w:sz w:val="20"/>
          <w:lang w:val="pt-BR"/>
        </w:rPr>
        <w:t xml:space="preserve"> Departamento de Química, Universidade Tecnológica Federal do Paraná (UTFPR), Via do Conhecimento, Km 01, Fraron, CEP 8550</w:t>
      </w:r>
      <w:r>
        <w:rPr>
          <w:rFonts w:ascii="Times" w:hAnsi="Times"/>
          <w:b w:val="0"/>
          <w:i/>
          <w:sz w:val="20"/>
          <w:lang w:val="pt-BR"/>
        </w:rPr>
        <w:t>3-390, Pato Branco, Paraná, Bras</w:t>
      </w:r>
      <w:r w:rsidRPr="00774BB7">
        <w:rPr>
          <w:rFonts w:ascii="Times" w:hAnsi="Times"/>
          <w:b w:val="0"/>
          <w:i/>
          <w:sz w:val="20"/>
          <w:lang w:val="pt-BR"/>
        </w:rPr>
        <w:t>il.</w:t>
      </w:r>
    </w:p>
    <w:p w14:paraId="07C15E5A" w14:textId="568D35AC" w:rsidR="00903E80" w:rsidRPr="00903E80" w:rsidRDefault="00903E80" w:rsidP="00903E80">
      <w:pPr>
        <w:pStyle w:val="BBAuthorName"/>
        <w:spacing w:after="0"/>
        <w:ind w:right="0"/>
        <w:jc w:val="both"/>
        <w:rPr>
          <w:lang w:val="pt-BR"/>
        </w:rPr>
      </w:pPr>
      <w:r>
        <w:rPr>
          <w:rFonts w:ascii="Times" w:hAnsi="Times"/>
          <w:b w:val="0"/>
          <w:i/>
          <w:sz w:val="20"/>
          <w:lang w:val="pt-BR"/>
        </w:rPr>
        <w:t>2</w:t>
      </w:r>
      <w:r w:rsidRPr="00774BB7">
        <w:rPr>
          <w:rFonts w:ascii="Times" w:hAnsi="Times"/>
          <w:b w:val="0"/>
          <w:i/>
          <w:sz w:val="20"/>
          <w:lang w:val="pt-BR"/>
        </w:rPr>
        <w:t xml:space="preserve"> </w:t>
      </w:r>
      <w:r w:rsidR="00331504">
        <w:rPr>
          <w:rFonts w:ascii="Times" w:hAnsi="Times"/>
          <w:b w:val="0"/>
          <w:i/>
          <w:sz w:val="20"/>
          <w:lang w:val="pt-BR"/>
        </w:rPr>
        <w:t>Departamento de F</w:t>
      </w:r>
      <w:r w:rsidR="00331504" w:rsidRPr="00331504">
        <w:rPr>
          <w:rFonts w:ascii="Times" w:hAnsi="Times"/>
          <w:b w:val="0"/>
          <w:i/>
          <w:sz w:val="20"/>
          <w:lang w:val="pt-BR"/>
        </w:rPr>
        <w:t xml:space="preserve">ísico-química, Universidade Federal </w:t>
      </w:r>
      <w:r w:rsidR="00331504">
        <w:rPr>
          <w:rFonts w:ascii="Times" w:hAnsi="Times"/>
          <w:b w:val="0"/>
          <w:i/>
          <w:sz w:val="20"/>
          <w:lang w:val="pt-BR"/>
        </w:rPr>
        <w:t>F</w:t>
      </w:r>
      <w:r w:rsidR="00331504" w:rsidRPr="00331504">
        <w:rPr>
          <w:rFonts w:ascii="Times" w:hAnsi="Times"/>
          <w:b w:val="0"/>
          <w:i/>
          <w:sz w:val="20"/>
          <w:lang w:val="pt-BR"/>
        </w:rPr>
        <w:t>luminense</w:t>
      </w:r>
      <w:r w:rsidR="00331504">
        <w:rPr>
          <w:rFonts w:ascii="Times" w:hAnsi="Times"/>
          <w:b w:val="0"/>
          <w:i/>
          <w:sz w:val="20"/>
          <w:lang w:val="pt-BR"/>
        </w:rPr>
        <w:t xml:space="preserve"> (UFF), Campus do Valo</w:t>
      </w:r>
      <w:r w:rsidR="00331504" w:rsidRPr="00331504">
        <w:rPr>
          <w:rFonts w:ascii="Times" w:hAnsi="Times"/>
          <w:b w:val="0"/>
          <w:i/>
          <w:sz w:val="20"/>
          <w:lang w:val="pt-BR"/>
        </w:rPr>
        <w:t>nguinho s/n</w:t>
      </w:r>
      <w:r w:rsidR="00331504">
        <w:rPr>
          <w:rFonts w:ascii="Times" w:hAnsi="Times"/>
          <w:b w:val="0"/>
          <w:i/>
          <w:sz w:val="20"/>
          <w:lang w:val="pt-BR"/>
        </w:rPr>
        <w:t>, CEP</w:t>
      </w:r>
      <w:r w:rsidR="00331504" w:rsidRPr="00331504">
        <w:t xml:space="preserve"> </w:t>
      </w:r>
      <w:r w:rsidR="00331504" w:rsidRPr="00331504">
        <w:rPr>
          <w:rFonts w:ascii="Times" w:hAnsi="Times"/>
          <w:b w:val="0"/>
          <w:i/>
          <w:sz w:val="20"/>
          <w:lang w:val="pt-BR"/>
        </w:rPr>
        <w:t>24020-150</w:t>
      </w:r>
      <w:r w:rsidR="002425DD">
        <w:rPr>
          <w:rFonts w:ascii="Times" w:hAnsi="Times"/>
          <w:b w:val="0"/>
          <w:i/>
          <w:sz w:val="20"/>
          <w:lang w:val="pt-BR"/>
        </w:rPr>
        <w:t xml:space="preserve">, </w:t>
      </w:r>
      <w:r w:rsidR="002425DD" w:rsidRPr="00331504">
        <w:rPr>
          <w:rFonts w:ascii="Times" w:hAnsi="Times"/>
          <w:b w:val="0"/>
          <w:i/>
          <w:sz w:val="20"/>
          <w:lang w:val="pt-BR"/>
        </w:rPr>
        <w:t>Niterói</w:t>
      </w:r>
      <w:r w:rsidR="00331504" w:rsidRPr="00331504">
        <w:rPr>
          <w:rFonts w:ascii="Times" w:hAnsi="Times"/>
          <w:b w:val="0"/>
          <w:i/>
          <w:sz w:val="20"/>
          <w:lang w:val="pt-BR"/>
        </w:rPr>
        <w:t xml:space="preserve">, </w:t>
      </w:r>
      <w:r w:rsidR="002425DD">
        <w:rPr>
          <w:rFonts w:ascii="Times" w:hAnsi="Times"/>
          <w:b w:val="0"/>
          <w:i/>
          <w:sz w:val="20"/>
          <w:lang w:val="pt-BR"/>
        </w:rPr>
        <w:t xml:space="preserve">Rio de Janeiro, </w:t>
      </w:r>
      <w:r w:rsidR="00331504" w:rsidRPr="00331504">
        <w:rPr>
          <w:rFonts w:ascii="Times" w:hAnsi="Times"/>
          <w:b w:val="0"/>
          <w:i/>
          <w:sz w:val="20"/>
          <w:lang w:val="pt-BR"/>
        </w:rPr>
        <w:t>Brasil</w:t>
      </w:r>
      <w:r w:rsidR="002425DD">
        <w:rPr>
          <w:rFonts w:ascii="Times" w:hAnsi="Times"/>
          <w:b w:val="0"/>
          <w:i/>
          <w:sz w:val="20"/>
          <w:lang w:val="pt-BR"/>
        </w:rPr>
        <w:t>.</w:t>
      </w:r>
    </w:p>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38102C" w14:textId="69BE8453" w:rsidR="00AF0400" w:rsidRPr="001A6F92" w:rsidRDefault="001A6F92" w:rsidP="00356594">
                            <w:pPr>
                              <w:pStyle w:val="SemEspaamento"/>
                              <w:jc w:val="center"/>
                              <w:rPr>
                                <w:rFonts w:ascii="Helvetica" w:eastAsia="Times New Roman" w:hAnsi="Helvetica" w:cs="Helvetica"/>
                                <w:b/>
                                <w:bCs/>
                                <w:sz w:val="20"/>
                                <w:szCs w:val="20"/>
                                <w:lang w:eastAsia="pt-BR"/>
                              </w:rPr>
                            </w:pPr>
                            <w:r w:rsidRPr="001A6F92">
                              <w:rPr>
                                <w:rFonts w:ascii="Helvetica" w:eastAsia="Times New Roman" w:hAnsi="Helvetica" w:cs="Helvetica"/>
                                <w:b/>
                                <w:bCs/>
                                <w:sz w:val="20"/>
                                <w:szCs w:val="20"/>
                                <w:lang w:eastAsia="pt-BR"/>
                              </w:rPr>
                              <w:t>Resumo/Abstract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7638102C" w14:textId="69BE8453" w:rsidR="00AF0400" w:rsidRPr="001A6F92" w:rsidRDefault="001A6F92" w:rsidP="00356594">
                      <w:pPr>
                        <w:pStyle w:val="SemEspaamento"/>
                        <w:jc w:val="center"/>
                        <w:rPr>
                          <w:rFonts w:ascii="Helvetica" w:eastAsia="Times New Roman" w:hAnsi="Helvetica" w:cs="Helvetica"/>
                          <w:b/>
                          <w:bCs/>
                          <w:sz w:val="20"/>
                          <w:szCs w:val="20"/>
                          <w:lang w:eastAsia="pt-BR"/>
                        </w:rPr>
                      </w:pPr>
                      <w:r w:rsidRPr="001A6F92">
                        <w:rPr>
                          <w:rFonts w:ascii="Helvetica" w:eastAsia="Times New Roman" w:hAnsi="Helvetica" w:cs="Helvetica"/>
                          <w:b/>
                          <w:bCs/>
                          <w:sz w:val="20"/>
                          <w:szCs w:val="20"/>
                          <w:lang w:eastAsia="pt-BR"/>
                        </w:rPr>
                        <w:t>Resumo/Abstract</w:t>
                      </w: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56CBA9B3" w14:textId="5E8AE5B0" w:rsidR="000054DC" w:rsidRDefault="00690701" w:rsidP="000054DC">
      <w:pPr>
        <w:pStyle w:val="BDAbstract"/>
        <w:spacing w:before="0" w:after="0" w:line="240" w:lineRule="auto"/>
        <w:rPr>
          <w:rFonts w:ascii="Times New Roman" w:hAnsi="Times New Roman"/>
          <w:b w:val="0"/>
          <w:sz w:val="20"/>
          <w:lang w:val="pt-BR"/>
        </w:rPr>
      </w:pPr>
      <w:r w:rsidRPr="00690701">
        <w:rPr>
          <w:rFonts w:ascii="Times New Roman" w:hAnsi="Times New Roman"/>
          <w:b w:val="0"/>
          <w:sz w:val="20"/>
          <w:lang w:val="pt-BR"/>
        </w:rPr>
        <w:t xml:space="preserve">O glifosato é </w:t>
      </w:r>
      <w:r w:rsidR="00EA5E5F">
        <w:rPr>
          <w:rFonts w:ascii="Times New Roman" w:hAnsi="Times New Roman"/>
          <w:b w:val="0"/>
          <w:sz w:val="20"/>
          <w:lang w:val="pt-BR"/>
        </w:rPr>
        <w:t>um herbicida amplamente empregado</w:t>
      </w:r>
      <w:r w:rsidR="00C445C8">
        <w:rPr>
          <w:rFonts w:ascii="Times New Roman" w:hAnsi="Times New Roman"/>
          <w:b w:val="0"/>
          <w:sz w:val="20"/>
          <w:lang w:val="pt-BR"/>
        </w:rPr>
        <w:t>,</w:t>
      </w:r>
      <w:r w:rsidR="00EA5E5F">
        <w:rPr>
          <w:rFonts w:ascii="Times New Roman" w:hAnsi="Times New Roman"/>
          <w:b w:val="0"/>
          <w:sz w:val="20"/>
          <w:lang w:val="pt-BR"/>
        </w:rPr>
        <w:t xml:space="preserve"> com potencial de com</w:t>
      </w:r>
      <w:r w:rsidRPr="00690701">
        <w:rPr>
          <w:rFonts w:ascii="Times New Roman" w:hAnsi="Times New Roman"/>
          <w:b w:val="0"/>
          <w:sz w:val="20"/>
          <w:lang w:val="pt-BR"/>
        </w:rPr>
        <w:t xml:space="preserve">prometer o solo e o ambiente aquático. </w:t>
      </w:r>
      <w:r w:rsidR="00EA5E5F">
        <w:rPr>
          <w:rFonts w:ascii="Times New Roman" w:hAnsi="Times New Roman"/>
          <w:b w:val="0"/>
          <w:sz w:val="20"/>
          <w:lang w:val="pt-BR"/>
        </w:rPr>
        <w:t>Nesse sentido, os Processos Oxidativos Avançados (POAs) e, em particular, a fotocatálise heterogênea, têm sido empregados para a descontaminação desse herbicida do meio aquático. Nesse trabalho, foram sintetizados os óxidos NiFe</w:t>
      </w:r>
      <w:r w:rsidR="00EA5E5F" w:rsidRPr="00925ADC">
        <w:rPr>
          <w:rFonts w:ascii="Times New Roman" w:hAnsi="Times New Roman"/>
          <w:b w:val="0"/>
          <w:sz w:val="20"/>
          <w:vertAlign w:val="subscript"/>
          <w:lang w:val="pt-BR"/>
        </w:rPr>
        <w:t>2</w:t>
      </w:r>
      <w:r w:rsidR="00EA5E5F">
        <w:rPr>
          <w:rFonts w:ascii="Times New Roman" w:hAnsi="Times New Roman"/>
          <w:b w:val="0"/>
          <w:sz w:val="20"/>
          <w:lang w:val="pt-BR"/>
        </w:rPr>
        <w:t>O</w:t>
      </w:r>
      <w:r w:rsidR="00EA5E5F" w:rsidRPr="00925ADC">
        <w:rPr>
          <w:rFonts w:ascii="Times New Roman" w:hAnsi="Times New Roman"/>
          <w:b w:val="0"/>
          <w:sz w:val="20"/>
          <w:vertAlign w:val="subscript"/>
          <w:lang w:val="pt-BR"/>
        </w:rPr>
        <w:t>4</w:t>
      </w:r>
      <w:r w:rsidR="00EA5E5F">
        <w:rPr>
          <w:rFonts w:ascii="Times New Roman" w:hAnsi="Times New Roman"/>
          <w:b w:val="0"/>
          <w:sz w:val="20"/>
          <w:lang w:val="pt-BR"/>
        </w:rPr>
        <w:t xml:space="preserve"> e TiO</w:t>
      </w:r>
      <w:r w:rsidR="00EA5E5F" w:rsidRPr="00925ADC">
        <w:rPr>
          <w:rFonts w:ascii="Times New Roman" w:hAnsi="Times New Roman"/>
          <w:b w:val="0"/>
          <w:sz w:val="20"/>
          <w:vertAlign w:val="subscript"/>
          <w:lang w:val="pt-BR"/>
        </w:rPr>
        <w:t>2</w:t>
      </w:r>
      <w:r w:rsidR="00925ADC">
        <w:rPr>
          <w:rFonts w:ascii="Times New Roman" w:hAnsi="Times New Roman"/>
          <w:b w:val="0"/>
          <w:sz w:val="20"/>
          <w:lang w:val="pt-BR"/>
        </w:rPr>
        <w:t xml:space="preserve"> (dopado e não dopado com ferro)</w:t>
      </w:r>
      <w:r w:rsidR="00EA5E5F">
        <w:rPr>
          <w:rFonts w:ascii="Times New Roman" w:hAnsi="Times New Roman"/>
          <w:b w:val="0"/>
          <w:sz w:val="20"/>
          <w:lang w:val="pt-BR"/>
        </w:rPr>
        <w:t xml:space="preserve"> e as heterojunções desses óxidos (NiFe</w:t>
      </w:r>
      <w:r w:rsidR="00EA5E5F" w:rsidRPr="00925ADC">
        <w:rPr>
          <w:rFonts w:ascii="Times New Roman" w:hAnsi="Times New Roman"/>
          <w:b w:val="0"/>
          <w:sz w:val="20"/>
          <w:vertAlign w:val="subscript"/>
          <w:lang w:val="pt-BR"/>
        </w:rPr>
        <w:t>2</w:t>
      </w:r>
      <w:r w:rsidR="00EA5E5F">
        <w:rPr>
          <w:rFonts w:ascii="Times New Roman" w:hAnsi="Times New Roman"/>
          <w:b w:val="0"/>
          <w:sz w:val="20"/>
          <w:lang w:val="pt-BR"/>
        </w:rPr>
        <w:t>O</w:t>
      </w:r>
      <w:r w:rsidR="00EA5E5F" w:rsidRPr="00925ADC">
        <w:rPr>
          <w:rFonts w:ascii="Times New Roman" w:hAnsi="Times New Roman"/>
          <w:b w:val="0"/>
          <w:sz w:val="20"/>
          <w:vertAlign w:val="subscript"/>
          <w:lang w:val="pt-BR"/>
        </w:rPr>
        <w:t>4</w:t>
      </w:r>
      <w:r w:rsidR="00EA5E5F">
        <w:rPr>
          <w:rFonts w:ascii="Times New Roman" w:hAnsi="Times New Roman"/>
          <w:b w:val="0"/>
          <w:sz w:val="20"/>
          <w:lang w:val="pt-BR"/>
        </w:rPr>
        <w:t>/TiO</w:t>
      </w:r>
      <w:r w:rsidR="00EA5E5F" w:rsidRPr="00925ADC">
        <w:rPr>
          <w:rFonts w:ascii="Times New Roman" w:hAnsi="Times New Roman"/>
          <w:b w:val="0"/>
          <w:sz w:val="20"/>
          <w:vertAlign w:val="subscript"/>
          <w:lang w:val="pt-BR"/>
        </w:rPr>
        <w:t>2</w:t>
      </w:r>
      <w:r w:rsidR="00925ADC">
        <w:rPr>
          <w:rFonts w:ascii="Times New Roman" w:hAnsi="Times New Roman"/>
          <w:b w:val="0"/>
          <w:sz w:val="20"/>
          <w:lang w:val="pt-BR"/>
        </w:rPr>
        <w:t>-Fe</w:t>
      </w:r>
      <w:r w:rsidR="00EA5E5F">
        <w:rPr>
          <w:rFonts w:ascii="Times New Roman" w:hAnsi="Times New Roman"/>
          <w:b w:val="0"/>
          <w:sz w:val="20"/>
          <w:lang w:val="pt-BR"/>
        </w:rPr>
        <w:t>)</w:t>
      </w:r>
      <w:r w:rsidR="00925ADC">
        <w:rPr>
          <w:rFonts w:ascii="Times New Roman" w:hAnsi="Times New Roman"/>
          <w:b w:val="0"/>
          <w:sz w:val="20"/>
          <w:lang w:val="pt-BR"/>
        </w:rPr>
        <w:t xml:space="preserve"> com o objetivo de avaliar o seu desempenho fotocatalítico na degradação do glifosato em meio aquoso sob radiação visível. Os óxidos foram caracterizados por difratometria de raios X, espectroscopia de fotoluminescência e medidas magnéticas. A ferrita de níquel apresentou as fases NiFe</w:t>
      </w:r>
      <w:r w:rsidR="00925ADC" w:rsidRPr="00925ADC">
        <w:rPr>
          <w:rFonts w:ascii="Times New Roman" w:hAnsi="Times New Roman"/>
          <w:b w:val="0"/>
          <w:sz w:val="20"/>
          <w:vertAlign w:val="subscript"/>
          <w:lang w:val="pt-BR"/>
        </w:rPr>
        <w:t>2</w:t>
      </w:r>
      <w:r w:rsidR="00925ADC">
        <w:rPr>
          <w:rFonts w:ascii="Times New Roman" w:hAnsi="Times New Roman"/>
          <w:b w:val="0"/>
          <w:sz w:val="20"/>
          <w:lang w:val="pt-BR"/>
        </w:rPr>
        <w:t>O</w:t>
      </w:r>
      <w:r w:rsidR="00925ADC" w:rsidRPr="00925ADC">
        <w:rPr>
          <w:rFonts w:ascii="Times New Roman" w:hAnsi="Times New Roman"/>
          <w:b w:val="0"/>
          <w:sz w:val="20"/>
          <w:vertAlign w:val="subscript"/>
          <w:lang w:val="pt-BR"/>
        </w:rPr>
        <w:t>4</w:t>
      </w:r>
      <w:r w:rsidR="00925ADC">
        <w:rPr>
          <w:rFonts w:ascii="Times New Roman" w:hAnsi="Times New Roman"/>
          <w:b w:val="0"/>
          <w:sz w:val="20"/>
          <w:lang w:val="pt-BR"/>
        </w:rPr>
        <w:t>, Fe</w:t>
      </w:r>
      <w:r w:rsidR="00925ADC" w:rsidRPr="00925ADC">
        <w:rPr>
          <w:rFonts w:ascii="Times New Roman" w:hAnsi="Times New Roman"/>
          <w:b w:val="0"/>
          <w:sz w:val="20"/>
          <w:vertAlign w:val="subscript"/>
          <w:lang w:val="pt-BR"/>
        </w:rPr>
        <w:t>2</w:t>
      </w:r>
      <w:r w:rsidR="00925ADC">
        <w:rPr>
          <w:rFonts w:ascii="Times New Roman" w:hAnsi="Times New Roman"/>
          <w:b w:val="0"/>
          <w:sz w:val="20"/>
          <w:lang w:val="pt-BR"/>
        </w:rPr>
        <w:t>O</w:t>
      </w:r>
      <w:r w:rsidR="00925ADC" w:rsidRPr="00925ADC">
        <w:rPr>
          <w:rFonts w:ascii="Times New Roman" w:hAnsi="Times New Roman"/>
          <w:b w:val="0"/>
          <w:sz w:val="20"/>
          <w:vertAlign w:val="subscript"/>
          <w:lang w:val="pt-BR"/>
        </w:rPr>
        <w:t>3</w:t>
      </w:r>
      <w:r w:rsidR="00925ADC">
        <w:rPr>
          <w:rFonts w:ascii="Times New Roman" w:hAnsi="Times New Roman"/>
          <w:b w:val="0"/>
          <w:sz w:val="20"/>
          <w:lang w:val="pt-BR"/>
        </w:rPr>
        <w:t xml:space="preserve"> e NiO, enquanto dois polimorfos foram identificados para o TiO</w:t>
      </w:r>
      <w:r w:rsidR="00925ADC" w:rsidRPr="00925ADC">
        <w:rPr>
          <w:rFonts w:ascii="Times New Roman" w:hAnsi="Times New Roman"/>
          <w:b w:val="0"/>
          <w:sz w:val="20"/>
          <w:vertAlign w:val="subscript"/>
          <w:lang w:val="pt-BR"/>
        </w:rPr>
        <w:t>2</w:t>
      </w:r>
      <w:r w:rsidR="00925ADC">
        <w:rPr>
          <w:rFonts w:ascii="Times New Roman" w:hAnsi="Times New Roman"/>
          <w:b w:val="0"/>
          <w:sz w:val="20"/>
          <w:lang w:val="pt-BR"/>
        </w:rPr>
        <w:t>, anatase e rutilo.</w:t>
      </w:r>
      <w:r w:rsidR="00AA67DD">
        <w:rPr>
          <w:rFonts w:ascii="Times New Roman" w:hAnsi="Times New Roman"/>
          <w:b w:val="0"/>
          <w:sz w:val="20"/>
          <w:lang w:val="pt-BR"/>
        </w:rPr>
        <w:t xml:space="preserve"> O recobrimento da NiFe</w:t>
      </w:r>
      <w:r w:rsidR="00AA67DD" w:rsidRPr="00AA67DD">
        <w:rPr>
          <w:rFonts w:ascii="Times New Roman" w:hAnsi="Times New Roman"/>
          <w:b w:val="0"/>
          <w:sz w:val="20"/>
          <w:vertAlign w:val="subscript"/>
          <w:lang w:val="pt-BR"/>
        </w:rPr>
        <w:t>2</w:t>
      </w:r>
      <w:r w:rsidR="00AA67DD">
        <w:rPr>
          <w:rFonts w:ascii="Times New Roman" w:hAnsi="Times New Roman"/>
          <w:b w:val="0"/>
          <w:sz w:val="20"/>
          <w:lang w:val="pt-BR"/>
        </w:rPr>
        <w:t>O</w:t>
      </w:r>
      <w:r w:rsidR="00AA67DD" w:rsidRPr="00AA67DD">
        <w:rPr>
          <w:rFonts w:ascii="Times New Roman" w:hAnsi="Times New Roman"/>
          <w:b w:val="0"/>
          <w:sz w:val="20"/>
          <w:vertAlign w:val="subscript"/>
          <w:lang w:val="pt-BR"/>
        </w:rPr>
        <w:t>4</w:t>
      </w:r>
      <w:r w:rsidR="00AA67DD">
        <w:rPr>
          <w:rFonts w:ascii="Times New Roman" w:hAnsi="Times New Roman"/>
          <w:b w:val="0"/>
          <w:sz w:val="20"/>
          <w:lang w:val="pt-BR"/>
        </w:rPr>
        <w:t xml:space="preserve"> com TiO</w:t>
      </w:r>
      <w:r w:rsidR="00AA67DD" w:rsidRPr="00AA67DD">
        <w:rPr>
          <w:rFonts w:ascii="Times New Roman" w:hAnsi="Times New Roman"/>
          <w:b w:val="0"/>
          <w:sz w:val="20"/>
          <w:vertAlign w:val="subscript"/>
          <w:lang w:val="pt-BR"/>
        </w:rPr>
        <w:t>2</w:t>
      </w:r>
      <w:r w:rsidR="00AA67DD">
        <w:rPr>
          <w:rFonts w:ascii="Times New Roman" w:hAnsi="Times New Roman"/>
          <w:b w:val="0"/>
          <w:sz w:val="20"/>
          <w:lang w:val="pt-BR"/>
        </w:rPr>
        <w:t xml:space="preserve"> reduziu as suas características magnéticas, mas por outro lado, melhorou a separação dos pares elétron-lacuna formados durante o processo fotocatalítico, o que possivelmente foi um dos fatores que melhorou o desempenho das heterojunções em relação aos óxidos separados na degradação do glifosato.</w:t>
      </w:r>
    </w:p>
    <w:p w14:paraId="74ACD798" w14:textId="6BB983AD" w:rsidR="00356594" w:rsidRDefault="00356594" w:rsidP="001A6F92">
      <w:pPr>
        <w:pStyle w:val="BDAbstract"/>
        <w:spacing w:before="0" w:after="0" w:line="240" w:lineRule="auto"/>
        <w:rPr>
          <w:rFonts w:ascii="Times New Roman" w:hAnsi="Times New Roman"/>
          <w:b w:val="0"/>
          <w:sz w:val="20"/>
          <w:lang w:val="pt-BR"/>
        </w:rPr>
      </w:pPr>
      <w:r w:rsidRPr="001A6F92">
        <w:rPr>
          <w:rFonts w:ascii="Times New Roman" w:hAnsi="Times New Roman"/>
          <w:b w:val="0"/>
          <w:i/>
          <w:sz w:val="20"/>
          <w:lang w:val="pt-BR"/>
        </w:rPr>
        <w:t>Palavras chave:</w:t>
      </w:r>
      <w:r w:rsidR="000054DC" w:rsidRPr="001A6F92">
        <w:rPr>
          <w:rFonts w:ascii="Times New Roman" w:hAnsi="Times New Roman"/>
          <w:b w:val="0"/>
          <w:i/>
          <w:sz w:val="20"/>
          <w:lang w:val="pt-BR"/>
        </w:rPr>
        <w:t xml:space="preserve"> </w:t>
      </w:r>
      <w:r w:rsidR="00C445C8" w:rsidRPr="001A6F92">
        <w:rPr>
          <w:rFonts w:ascii="Times New Roman" w:hAnsi="Times New Roman"/>
          <w:b w:val="0"/>
          <w:i/>
          <w:sz w:val="20"/>
          <w:lang w:val="pt-BR"/>
        </w:rPr>
        <w:t>Fotocatálise heterogênea, f</w:t>
      </w:r>
      <w:r w:rsidR="000054DC" w:rsidRPr="001A6F92">
        <w:rPr>
          <w:rFonts w:ascii="Times New Roman" w:hAnsi="Times New Roman"/>
          <w:b w:val="0"/>
          <w:i/>
          <w:sz w:val="20"/>
          <w:lang w:val="pt-BR"/>
        </w:rPr>
        <w:t>errita de níquel,</w:t>
      </w:r>
      <w:r w:rsidR="00C445C8" w:rsidRPr="001A6F92">
        <w:rPr>
          <w:rFonts w:ascii="Times New Roman" w:hAnsi="Times New Roman"/>
          <w:b w:val="0"/>
          <w:i/>
          <w:sz w:val="20"/>
          <w:lang w:val="pt-BR"/>
        </w:rPr>
        <w:t xml:space="preserve"> d</w:t>
      </w:r>
      <w:r w:rsidR="000054DC" w:rsidRPr="001A6F92">
        <w:rPr>
          <w:rFonts w:ascii="Times New Roman" w:hAnsi="Times New Roman"/>
          <w:b w:val="0"/>
          <w:i/>
          <w:sz w:val="20"/>
          <w:lang w:val="pt-BR"/>
        </w:rPr>
        <w:t xml:space="preserve">ióxido de titânio, </w:t>
      </w:r>
      <w:r w:rsidR="00C445C8" w:rsidRPr="001A6F92">
        <w:rPr>
          <w:rFonts w:ascii="Times New Roman" w:hAnsi="Times New Roman"/>
          <w:b w:val="0"/>
          <w:i/>
          <w:sz w:val="20"/>
          <w:lang w:val="pt-BR"/>
        </w:rPr>
        <w:t>herbicida</w:t>
      </w:r>
      <w:r w:rsidR="005B3357" w:rsidRPr="001A6F92">
        <w:rPr>
          <w:rFonts w:ascii="Times New Roman" w:hAnsi="Times New Roman"/>
          <w:b w:val="0"/>
          <w:i/>
          <w:sz w:val="20"/>
          <w:lang w:val="pt-BR"/>
        </w:rPr>
        <w:t>, dopagem</w:t>
      </w:r>
      <w:r w:rsidR="000054DC" w:rsidRPr="001A6F92">
        <w:rPr>
          <w:rFonts w:ascii="Times New Roman" w:hAnsi="Times New Roman"/>
          <w:b w:val="0"/>
          <w:i/>
          <w:sz w:val="20"/>
          <w:lang w:val="pt-BR"/>
        </w:rPr>
        <w:t>.</w:t>
      </w:r>
    </w:p>
    <w:p w14:paraId="1BAB0E09" w14:textId="77777777" w:rsidR="005B3357" w:rsidRPr="00DA4DFC" w:rsidRDefault="005B3357" w:rsidP="005B3357">
      <w:pPr>
        <w:pStyle w:val="BDAbstract"/>
        <w:spacing w:before="0" w:after="0" w:line="240" w:lineRule="auto"/>
        <w:rPr>
          <w:rFonts w:ascii="Times New Roman" w:hAnsi="Times New Roman"/>
          <w:b w:val="0"/>
          <w:sz w:val="20"/>
          <w:lang w:val="pt-BR"/>
        </w:rPr>
      </w:pPr>
    </w:p>
    <w:p w14:paraId="2C384185" w14:textId="77777777" w:rsidR="001A6F92" w:rsidRPr="00E144AB" w:rsidRDefault="005B3357" w:rsidP="001A6F92">
      <w:pPr>
        <w:pStyle w:val="BDAbstract"/>
        <w:spacing w:before="0" w:after="0" w:line="240" w:lineRule="auto"/>
        <w:rPr>
          <w:rFonts w:ascii="Times New Roman" w:hAnsi="Times New Roman"/>
          <w:b w:val="0"/>
          <w:sz w:val="20"/>
        </w:rPr>
      </w:pPr>
      <w:r w:rsidRPr="005B3357">
        <w:rPr>
          <w:rFonts w:ascii="Times New Roman" w:hAnsi="Times New Roman"/>
          <w:b w:val="0"/>
          <w:sz w:val="20"/>
        </w:rPr>
        <w:t>Glyphosate is a</w:t>
      </w:r>
      <w:r>
        <w:rPr>
          <w:rFonts w:ascii="Times New Roman" w:hAnsi="Times New Roman"/>
          <w:b w:val="0"/>
          <w:sz w:val="20"/>
        </w:rPr>
        <w:t xml:space="preserve"> widely used herbicide with </w:t>
      </w:r>
      <w:r w:rsidRPr="005B3357">
        <w:rPr>
          <w:rFonts w:ascii="Times New Roman" w:hAnsi="Times New Roman"/>
          <w:b w:val="0"/>
          <w:sz w:val="20"/>
        </w:rPr>
        <w:t>potential to compromise the soil and the aquatic environment. In this sense, Advanced Oxidative Processes (AOPs) and, in particular, heterogeneous photocatalysis, have been used to decontaminate this herbicide from the aquatic environment. In this work, the oxides NiFe</w:t>
      </w:r>
      <w:r w:rsidRPr="005B3357">
        <w:rPr>
          <w:rFonts w:ascii="Times New Roman" w:hAnsi="Times New Roman"/>
          <w:b w:val="0"/>
          <w:sz w:val="20"/>
          <w:vertAlign w:val="subscript"/>
        </w:rPr>
        <w:t>2</w:t>
      </w:r>
      <w:r w:rsidRPr="005B3357">
        <w:rPr>
          <w:rFonts w:ascii="Times New Roman" w:hAnsi="Times New Roman"/>
          <w:b w:val="0"/>
          <w:sz w:val="20"/>
        </w:rPr>
        <w:t>O</w:t>
      </w:r>
      <w:r w:rsidRPr="005B3357">
        <w:rPr>
          <w:rFonts w:ascii="Times New Roman" w:hAnsi="Times New Roman"/>
          <w:b w:val="0"/>
          <w:sz w:val="20"/>
          <w:vertAlign w:val="subscript"/>
        </w:rPr>
        <w:t>4</w:t>
      </w:r>
      <w:r w:rsidRPr="005B3357">
        <w:rPr>
          <w:rFonts w:ascii="Times New Roman" w:hAnsi="Times New Roman"/>
          <w:b w:val="0"/>
          <w:sz w:val="20"/>
        </w:rPr>
        <w:t xml:space="preserve"> and TiO</w:t>
      </w:r>
      <w:r w:rsidRPr="005B3357">
        <w:rPr>
          <w:rFonts w:ascii="Times New Roman" w:hAnsi="Times New Roman"/>
          <w:b w:val="0"/>
          <w:sz w:val="20"/>
          <w:vertAlign w:val="subscript"/>
        </w:rPr>
        <w:t>2</w:t>
      </w:r>
      <w:r w:rsidRPr="005B3357">
        <w:rPr>
          <w:rFonts w:ascii="Times New Roman" w:hAnsi="Times New Roman"/>
          <w:b w:val="0"/>
          <w:sz w:val="20"/>
        </w:rPr>
        <w:t xml:space="preserve"> (doped and not doped with iron) and the heterojunctions of these oxides (NiFe</w:t>
      </w:r>
      <w:r w:rsidRPr="005B3357">
        <w:rPr>
          <w:rFonts w:ascii="Times New Roman" w:hAnsi="Times New Roman"/>
          <w:b w:val="0"/>
          <w:sz w:val="20"/>
          <w:vertAlign w:val="subscript"/>
        </w:rPr>
        <w:t>2</w:t>
      </w:r>
      <w:r w:rsidRPr="005B3357">
        <w:rPr>
          <w:rFonts w:ascii="Times New Roman" w:hAnsi="Times New Roman"/>
          <w:b w:val="0"/>
          <w:sz w:val="20"/>
        </w:rPr>
        <w:t>O</w:t>
      </w:r>
      <w:r w:rsidRPr="005B3357">
        <w:rPr>
          <w:rFonts w:ascii="Times New Roman" w:hAnsi="Times New Roman"/>
          <w:b w:val="0"/>
          <w:sz w:val="20"/>
          <w:vertAlign w:val="subscript"/>
        </w:rPr>
        <w:t>4</w:t>
      </w:r>
      <w:r w:rsidRPr="005B3357">
        <w:rPr>
          <w:rFonts w:ascii="Times New Roman" w:hAnsi="Times New Roman"/>
          <w:b w:val="0"/>
          <w:sz w:val="20"/>
        </w:rPr>
        <w:t>/TiO</w:t>
      </w:r>
      <w:r w:rsidRPr="005B3357">
        <w:rPr>
          <w:rFonts w:ascii="Times New Roman" w:hAnsi="Times New Roman"/>
          <w:b w:val="0"/>
          <w:sz w:val="20"/>
          <w:vertAlign w:val="subscript"/>
        </w:rPr>
        <w:t>2</w:t>
      </w:r>
      <w:r w:rsidRPr="005B3357">
        <w:rPr>
          <w:rFonts w:ascii="Times New Roman" w:hAnsi="Times New Roman"/>
          <w:b w:val="0"/>
          <w:sz w:val="20"/>
        </w:rPr>
        <w:t>-Fe) were synthesized in order to evaluate their photocatalytic performance in the degradation of glyphosate in aqueous medium under visible radiation. The oxides were ch</w:t>
      </w:r>
      <w:r>
        <w:rPr>
          <w:rFonts w:ascii="Times New Roman" w:hAnsi="Times New Roman"/>
          <w:b w:val="0"/>
          <w:sz w:val="20"/>
        </w:rPr>
        <w:t>aracterized by X-ray diffractometry</w:t>
      </w:r>
      <w:r w:rsidRPr="005B3357">
        <w:rPr>
          <w:rFonts w:ascii="Times New Roman" w:hAnsi="Times New Roman"/>
          <w:b w:val="0"/>
          <w:sz w:val="20"/>
        </w:rPr>
        <w:t>, photoluminescence spectroscopy and magnetic measurements. Nickel ferrite presented NiFe</w:t>
      </w:r>
      <w:r w:rsidRPr="005B3357">
        <w:rPr>
          <w:rFonts w:ascii="Times New Roman" w:hAnsi="Times New Roman"/>
          <w:b w:val="0"/>
          <w:sz w:val="20"/>
          <w:vertAlign w:val="subscript"/>
        </w:rPr>
        <w:t>2</w:t>
      </w:r>
      <w:r w:rsidRPr="005B3357">
        <w:rPr>
          <w:rFonts w:ascii="Times New Roman" w:hAnsi="Times New Roman"/>
          <w:b w:val="0"/>
          <w:sz w:val="20"/>
        </w:rPr>
        <w:t>O</w:t>
      </w:r>
      <w:r w:rsidRPr="005B3357">
        <w:rPr>
          <w:rFonts w:ascii="Times New Roman" w:hAnsi="Times New Roman"/>
          <w:b w:val="0"/>
          <w:sz w:val="20"/>
          <w:vertAlign w:val="subscript"/>
        </w:rPr>
        <w:t>4</w:t>
      </w:r>
      <w:r w:rsidRPr="005B3357">
        <w:rPr>
          <w:rFonts w:ascii="Times New Roman" w:hAnsi="Times New Roman"/>
          <w:b w:val="0"/>
          <w:sz w:val="20"/>
        </w:rPr>
        <w:t>, Fe</w:t>
      </w:r>
      <w:r w:rsidRPr="005B3357">
        <w:rPr>
          <w:rFonts w:ascii="Times New Roman" w:hAnsi="Times New Roman"/>
          <w:b w:val="0"/>
          <w:sz w:val="20"/>
          <w:vertAlign w:val="subscript"/>
        </w:rPr>
        <w:t>2</w:t>
      </w:r>
      <w:r w:rsidRPr="005B3357">
        <w:rPr>
          <w:rFonts w:ascii="Times New Roman" w:hAnsi="Times New Roman"/>
          <w:b w:val="0"/>
          <w:sz w:val="20"/>
        </w:rPr>
        <w:t>O</w:t>
      </w:r>
      <w:r w:rsidRPr="005B3357">
        <w:rPr>
          <w:rFonts w:ascii="Times New Roman" w:hAnsi="Times New Roman"/>
          <w:b w:val="0"/>
          <w:sz w:val="20"/>
          <w:vertAlign w:val="subscript"/>
        </w:rPr>
        <w:t>3</w:t>
      </w:r>
      <w:r w:rsidRPr="005B3357">
        <w:rPr>
          <w:rFonts w:ascii="Times New Roman" w:hAnsi="Times New Roman"/>
          <w:b w:val="0"/>
          <w:sz w:val="20"/>
        </w:rPr>
        <w:t xml:space="preserve"> and NiO phases, while two polymorphs were identified for TiO</w:t>
      </w:r>
      <w:r w:rsidRPr="005B3357">
        <w:rPr>
          <w:rFonts w:ascii="Times New Roman" w:hAnsi="Times New Roman"/>
          <w:b w:val="0"/>
          <w:sz w:val="20"/>
          <w:vertAlign w:val="subscript"/>
        </w:rPr>
        <w:t>2</w:t>
      </w:r>
      <w:r w:rsidRPr="005B3357">
        <w:rPr>
          <w:rFonts w:ascii="Times New Roman" w:hAnsi="Times New Roman"/>
          <w:b w:val="0"/>
          <w:sz w:val="20"/>
        </w:rPr>
        <w:t>, anatase and rutile. The coating of NiFe</w:t>
      </w:r>
      <w:r w:rsidRPr="005B3357">
        <w:rPr>
          <w:rFonts w:ascii="Times New Roman" w:hAnsi="Times New Roman"/>
          <w:b w:val="0"/>
          <w:sz w:val="20"/>
          <w:vertAlign w:val="subscript"/>
        </w:rPr>
        <w:t>2</w:t>
      </w:r>
      <w:r w:rsidRPr="005B3357">
        <w:rPr>
          <w:rFonts w:ascii="Times New Roman" w:hAnsi="Times New Roman"/>
          <w:b w:val="0"/>
          <w:sz w:val="20"/>
        </w:rPr>
        <w:t>O</w:t>
      </w:r>
      <w:r w:rsidRPr="005B3357">
        <w:rPr>
          <w:rFonts w:ascii="Times New Roman" w:hAnsi="Times New Roman"/>
          <w:b w:val="0"/>
          <w:sz w:val="20"/>
          <w:vertAlign w:val="subscript"/>
        </w:rPr>
        <w:t>4</w:t>
      </w:r>
      <w:r w:rsidRPr="005B3357">
        <w:rPr>
          <w:rFonts w:ascii="Times New Roman" w:hAnsi="Times New Roman"/>
          <w:b w:val="0"/>
          <w:sz w:val="20"/>
        </w:rPr>
        <w:t xml:space="preserve"> with TiO</w:t>
      </w:r>
      <w:r w:rsidRPr="005B3357">
        <w:rPr>
          <w:rFonts w:ascii="Times New Roman" w:hAnsi="Times New Roman"/>
          <w:b w:val="0"/>
          <w:sz w:val="20"/>
          <w:vertAlign w:val="subscript"/>
        </w:rPr>
        <w:t>2</w:t>
      </w:r>
      <w:r w:rsidRPr="005B3357">
        <w:rPr>
          <w:rFonts w:ascii="Times New Roman" w:hAnsi="Times New Roman"/>
          <w:b w:val="0"/>
          <w:sz w:val="20"/>
        </w:rPr>
        <w:t xml:space="preserve"> reduced its magnetic characteristics, but on the other hand, it improved the separation of electron-hole pairs formed during the photocatalytic process, which possibly was one of the factors that improved the </w:t>
      </w:r>
      <w:r w:rsidRPr="00E144AB">
        <w:rPr>
          <w:rFonts w:ascii="Times New Roman" w:hAnsi="Times New Roman"/>
          <w:b w:val="0"/>
          <w:sz w:val="20"/>
        </w:rPr>
        <w:t>performance of heterojunctions in relation to the oxides separated in the degradation of glyphosate.</w:t>
      </w:r>
    </w:p>
    <w:bookmarkEnd w:id="1"/>
    <w:p w14:paraId="5F28718A" w14:textId="33D53136" w:rsidR="001A6F92" w:rsidRPr="00E144AB" w:rsidRDefault="001A6F92" w:rsidP="001A6F92">
      <w:pPr>
        <w:pStyle w:val="BDAbstract"/>
        <w:spacing w:before="0" w:after="120" w:line="240" w:lineRule="auto"/>
        <w:rPr>
          <w:rFonts w:ascii="Times New Roman" w:hAnsi="Times New Roman"/>
          <w:b w:val="0"/>
          <w:i/>
          <w:sz w:val="20"/>
          <w:lang w:val="pt-BR"/>
        </w:rPr>
      </w:pPr>
      <w:r w:rsidRPr="00E144AB">
        <w:rPr>
          <w:rFonts w:ascii="Times New Roman" w:hAnsi="Times New Roman"/>
          <w:b w:val="0"/>
          <w:i/>
          <w:sz w:val="20"/>
          <w:lang w:val="pt-BR"/>
        </w:rPr>
        <w:t xml:space="preserve">Keywords: </w:t>
      </w:r>
      <w:r w:rsidRPr="00E144AB">
        <w:rPr>
          <w:rFonts w:ascii="Times New Roman" w:hAnsi="Times New Roman"/>
          <w:b w:val="0"/>
          <w:i/>
          <w:sz w:val="20"/>
          <w:lang w:val="pt-BR"/>
        </w:rPr>
        <w:t>Heterogeneous photocatalysis, nickel ferrite, titanium dioxide, herbicide, doping.</w:t>
      </w:r>
    </w:p>
    <w:p w14:paraId="2D98AD40" w14:textId="77777777" w:rsidR="001A6F92" w:rsidRPr="00E144AB" w:rsidRDefault="001A6F92" w:rsidP="001A6F92">
      <w:pPr>
        <w:sectPr w:rsidR="001A6F92" w:rsidRPr="00E144AB"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3FF67AF2" w:rsidR="00EA4E1B" w:rsidRPr="00E144AB" w:rsidRDefault="00EA4E1B" w:rsidP="00EA4E1B">
      <w:pPr>
        <w:pStyle w:val="Ttulo2"/>
        <w:spacing w:before="0"/>
        <w:rPr>
          <w:rFonts w:ascii="Helvetica" w:hAnsi="Helvetica" w:cs="Helvetica"/>
          <w:sz w:val="24"/>
          <w:szCs w:val="24"/>
        </w:rPr>
      </w:pPr>
      <w:r w:rsidRPr="00E144AB">
        <w:rPr>
          <w:rFonts w:ascii="Helvetica" w:hAnsi="Helvetica" w:cs="Helvetica"/>
          <w:sz w:val="24"/>
          <w:szCs w:val="24"/>
        </w:rPr>
        <w:lastRenderedPageBreak/>
        <w:t>Introdução</w:t>
      </w:r>
    </w:p>
    <w:p w14:paraId="3B4C3541" w14:textId="77777777" w:rsidR="00B10D8D" w:rsidRPr="00E144AB" w:rsidRDefault="003C61E1" w:rsidP="00EA4E1B">
      <w:pPr>
        <w:pStyle w:val="TAMainText"/>
        <w:rPr>
          <w:rFonts w:ascii="Times New Roman" w:hAnsi="Times New Roman"/>
          <w:lang w:val="pt-BR"/>
        </w:rPr>
      </w:pPr>
      <w:r w:rsidRPr="00E144AB">
        <w:rPr>
          <w:rFonts w:ascii="Times New Roman" w:hAnsi="Times New Roman"/>
          <w:lang w:val="pt-BR"/>
        </w:rPr>
        <w:t>O glifosato é considerado, atualmente, um dos principais insumos agrícola</w:t>
      </w:r>
      <w:r w:rsidR="000E013C" w:rsidRPr="00E144AB">
        <w:rPr>
          <w:rFonts w:ascii="Times New Roman" w:hAnsi="Times New Roman"/>
          <w:lang w:val="pt-BR"/>
        </w:rPr>
        <w:t>s</w:t>
      </w:r>
      <w:r w:rsidRPr="00E144AB">
        <w:rPr>
          <w:rFonts w:ascii="Times New Roman" w:hAnsi="Times New Roman"/>
          <w:lang w:val="pt-BR"/>
        </w:rPr>
        <w:t xml:space="preserve"> comercializado</w:t>
      </w:r>
      <w:r w:rsidR="000E013C" w:rsidRPr="00E144AB">
        <w:rPr>
          <w:rFonts w:ascii="Times New Roman" w:hAnsi="Times New Roman"/>
          <w:lang w:val="pt-BR"/>
        </w:rPr>
        <w:t>s</w:t>
      </w:r>
      <w:r w:rsidR="00DE2D38" w:rsidRPr="00E144AB">
        <w:rPr>
          <w:rFonts w:ascii="Times New Roman" w:hAnsi="Times New Roman"/>
          <w:lang w:val="pt-BR"/>
        </w:rPr>
        <w:t xml:space="preserve"> no Brasil e no mundo, sendo que </w:t>
      </w:r>
      <w:r w:rsidR="000E013C" w:rsidRPr="00E144AB">
        <w:rPr>
          <w:rFonts w:ascii="Times New Roman" w:hAnsi="Times New Roman"/>
          <w:lang w:val="pt-BR"/>
        </w:rPr>
        <w:t>seu</w:t>
      </w:r>
      <w:r w:rsidRPr="00E144AB">
        <w:rPr>
          <w:rFonts w:ascii="Times New Roman" w:hAnsi="Times New Roman"/>
          <w:lang w:val="pt-BR"/>
        </w:rPr>
        <w:t xml:space="preserve"> uso intensivo e dos herbicidas à base de glifosato pode comprometer o solo e o ambiente aquático, modificando a integridade dos ecossistemas existentes</w:t>
      </w:r>
      <w:r w:rsidR="000E013C" w:rsidRPr="00E144AB">
        <w:rPr>
          <w:rFonts w:ascii="Times New Roman" w:hAnsi="Times New Roman"/>
          <w:lang w:val="pt-BR"/>
        </w:rPr>
        <w:t xml:space="preserve"> (1)</w:t>
      </w:r>
      <w:r w:rsidRPr="00E144AB">
        <w:rPr>
          <w:rFonts w:ascii="Times New Roman" w:hAnsi="Times New Roman"/>
          <w:lang w:val="pt-BR"/>
        </w:rPr>
        <w:t>.</w:t>
      </w:r>
    </w:p>
    <w:p w14:paraId="276DCE75" w14:textId="700EABEC" w:rsidR="00E72C9D" w:rsidRPr="00E144AB" w:rsidRDefault="00B10D8D" w:rsidP="00EA4E1B">
      <w:pPr>
        <w:pStyle w:val="TAMainText"/>
        <w:rPr>
          <w:rFonts w:ascii="Times New Roman" w:hAnsi="Times New Roman"/>
          <w:lang w:val="pt-BR"/>
        </w:rPr>
      </w:pPr>
      <w:r w:rsidRPr="00E144AB">
        <w:t>O glifosato, de forma molecular C</w:t>
      </w:r>
      <w:r w:rsidRPr="00E144AB">
        <w:rPr>
          <w:vertAlign w:val="subscript"/>
        </w:rPr>
        <w:t>3</w:t>
      </w:r>
      <w:r w:rsidRPr="00E144AB">
        <w:t>H</w:t>
      </w:r>
      <w:r w:rsidRPr="00E144AB">
        <w:rPr>
          <w:vertAlign w:val="subscript"/>
        </w:rPr>
        <w:t>8</w:t>
      </w:r>
      <w:r w:rsidRPr="00E144AB">
        <w:t>NO</w:t>
      </w:r>
      <w:r w:rsidRPr="00E144AB">
        <w:rPr>
          <w:vertAlign w:val="subscript"/>
        </w:rPr>
        <w:t>5</w:t>
      </w:r>
      <w:r w:rsidRPr="00E144AB">
        <w:t>P é um sólido cristalino, com ponto de fusão de 200 ºC, alta solubilidade em água e baixa solubilidade em solventes orgânicos comuns, como acetona e etanol</w:t>
      </w:r>
      <w:r w:rsidR="00A94671" w:rsidRPr="00E144AB">
        <w:t xml:space="preserve">, </w:t>
      </w:r>
      <w:r w:rsidR="00A94671" w:rsidRPr="00E144AB">
        <w:t>largamente empregado para o controle de ervas daninhas na agricultura</w:t>
      </w:r>
      <w:r w:rsidRPr="00E144AB">
        <w:t xml:space="preserve"> </w:t>
      </w:r>
      <w:r w:rsidRPr="00E144AB">
        <w:fldChar w:fldCharType="begin" w:fldLock="1"/>
      </w:r>
      <w:r w:rsidRPr="00E144AB">
        <w:instrText>ADDIN CSL_CITATION {"citationItems":[{"id":"ITEM-1","itemData":{"author":[{"dropping-particle":"","family":"Aranha","given":"Carolina Fernandes","non-dropping-particle":"","parse-names":false,"suffix":""},{"dropping-particle":"","family":"Ribeiro","given":"Marcos Aurélio","non-dropping-particle":"","parse-names":false,"suffix":""}],"container-title":"Monografia","id":"ITEM-1","issued":{"date-parts":[["2016"]]},"publisher-place":"Goiânia","title":"Remoção de Glifosato utilizando ozonização fotocatalítica com TiO2","type":"article-journal"},"uris":["http://www.mendeley.com/documents/?uuid=922d3809-92dd-38bd-9f28-e62c92cb2150"]},{"id":"ITEM-2","itemData":{"DOI":"10.1590/S0100-40422002000400014","ISSN":"0100-4042","abstract":"This paper supplies a compact revision on the herbicide glyphosate physic-chemistry characteristic mains, including toxicity and valid Brazilian legislation for its use.","author":[{"dropping-particle":"de","family":"Amarante Junior","given":"Ozelito Possidônio","non-dropping-particle":"","parse-names":false,"suffix":""},{"dropping-particle":"dos","family":"Santos","given":"Teresa Cristina Rodrigues","non-dropping-particle":"","parse-names":false,"suffix":""},{"dropping-particle":"","family":"Brito","given":"Natilene Mesquita","non-dropping-particle":"","parse-names":false,"suffix":""},{"dropping-particle":"","family":"Ribeiro","given":"Maria Lúcia","non-dropping-particle":"","parse-names":false,"suffix":""}],"container-title":"Química Nova","id":"ITEM-2","issue":"4","issued":{"date-parts":[["2002","7"]]},"note":"Glifosato","page":"589-593","publisher":"SBQ","title":"Glifosato: propriedades, toxicidade, usos e legislação","type":"article-journal","volume":"25"},"uris":["http://www.mendeley.com/documents/?uuid=c6265601-07bf-3380-a296-6525e60056a1"]}],"mendeley":{"formattedCitation":"(AMARANTE JUNIOR &lt;i&gt;et al.&lt;/i&gt;, 2002; ARANHA; RIBEIRO, 2016)","plainTextFormattedCitation":"(AMARANTE JUNIOR et al., 2002; ARANHA; RIBEIRO, 2016)","previouslyFormattedCitation":"(AMARANTE JUNIOR &lt;i&gt;et al.&lt;/i&gt;, 2002; ARANHA; RIBEIRO, 2016)"},"properties":{"noteIndex":0},"schema":"https://github.com/citation-style-language/schema/raw/master/csl-citation.json"}</w:instrText>
      </w:r>
      <w:r w:rsidRPr="00E144AB">
        <w:fldChar w:fldCharType="separate"/>
      </w:r>
      <w:r w:rsidRPr="00E144AB">
        <w:rPr>
          <w:noProof/>
        </w:rPr>
        <w:t>(</w:t>
      </w:r>
      <w:r w:rsidR="00255448" w:rsidRPr="00E144AB">
        <w:rPr>
          <w:noProof/>
        </w:rPr>
        <w:t>2,</w:t>
      </w:r>
      <w:r w:rsidR="00D9223F" w:rsidRPr="00E144AB">
        <w:rPr>
          <w:noProof/>
        </w:rPr>
        <w:t xml:space="preserve"> </w:t>
      </w:r>
      <w:r w:rsidR="00255448" w:rsidRPr="00E144AB">
        <w:rPr>
          <w:noProof/>
        </w:rPr>
        <w:t>3</w:t>
      </w:r>
      <w:r w:rsidRPr="00E144AB">
        <w:rPr>
          <w:noProof/>
        </w:rPr>
        <w:t>)</w:t>
      </w:r>
      <w:r w:rsidRPr="00E144AB">
        <w:fldChar w:fldCharType="end"/>
      </w:r>
      <w:r w:rsidRPr="00E144AB">
        <w:t>.</w:t>
      </w:r>
      <w:r w:rsidR="003C61E1" w:rsidRPr="00E144AB">
        <w:rPr>
          <w:rFonts w:ascii="Times New Roman" w:hAnsi="Times New Roman"/>
          <w:lang w:val="pt-BR"/>
        </w:rPr>
        <w:t xml:space="preserve"> </w:t>
      </w:r>
    </w:p>
    <w:p w14:paraId="7F19A62F" w14:textId="7DE66F39" w:rsidR="00DE2D38" w:rsidRPr="00E144AB" w:rsidRDefault="000E013C" w:rsidP="00DE2D38">
      <w:pPr>
        <w:pStyle w:val="TAMainText"/>
        <w:rPr>
          <w:rFonts w:ascii="Times New Roman" w:hAnsi="Times New Roman"/>
          <w:lang w:val="pt-BR"/>
        </w:rPr>
      </w:pPr>
      <w:r w:rsidRPr="00E144AB">
        <w:rPr>
          <w:rFonts w:ascii="Times New Roman" w:hAnsi="Times New Roman"/>
          <w:lang w:val="pt-BR"/>
        </w:rPr>
        <w:t xml:space="preserve">Os processos convencionais de tratamento de efluentes líquidos não são efetivos na descontaminação desse composto. Nesse sentido, os Processos Oxidativos Avançados (POAs) e, em particular, a fotocatálise heterogênea, têm sido alternativas capazes de mineralizar </w:t>
      </w:r>
      <w:r w:rsidR="00DE2D38" w:rsidRPr="00E144AB">
        <w:rPr>
          <w:rFonts w:ascii="Times New Roman" w:hAnsi="Times New Roman"/>
          <w:lang w:val="pt-BR"/>
        </w:rPr>
        <w:t>o glifosato</w:t>
      </w:r>
      <w:r w:rsidRPr="00E144AB">
        <w:rPr>
          <w:rFonts w:ascii="Times New Roman" w:hAnsi="Times New Roman"/>
          <w:lang w:val="pt-BR"/>
        </w:rPr>
        <w:t xml:space="preserve">.  </w:t>
      </w:r>
      <w:r w:rsidR="003C61E1" w:rsidRPr="00E144AB">
        <w:rPr>
          <w:rFonts w:ascii="Times New Roman" w:hAnsi="Times New Roman"/>
          <w:lang w:val="pt-BR"/>
        </w:rPr>
        <w:t>O dióxido de titânio (TiO</w:t>
      </w:r>
      <w:r w:rsidR="003C61E1" w:rsidRPr="00E144AB">
        <w:rPr>
          <w:rFonts w:ascii="Times New Roman" w:hAnsi="Times New Roman"/>
          <w:vertAlign w:val="subscript"/>
          <w:lang w:val="pt-BR"/>
        </w:rPr>
        <w:t>2</w:t>
      </w:r>
      <w:r w:rsidR="003C61E1" w:rsidRPr="00E144AB">
        <w:rPr>
          <w:rFonts w:ascii="Times New Roman" w:hAnsi="Times New Roman"/>
          <w:lang w:val="pt-BR"/>
        </w:rPr>
        <w:t xml:space="preserve">) é o semicondutor mais </w:t>
      </w:r>
      <w:r w:rsidR="003C61E1" w:rsidRPr="00E144AB">
        <w:rPr>
          <w:rFonts w:ascii="Times New Roman" w:hAnsi="Times New Roman"/>
          <w:lang w:val="pt-BR"/>
        </w:rPr>
        <w:lastRenderedPageBreak/>
        <w:t xml:space="preserve">utilizado </w:t>
      </w:r>
      <w:r w:rsidRPr="00E144AB">
        <w:rPr>
          <w:rFonts w:ascii="Times New Roman" w:hAnsi="Times New Roman"/>
          <w:lang w:val="pt-BR"/>
        </w:rPr>
        <w:t>nos processos fotocatalíticos</w:t>
      </w:r>
      <w:r w:rsidR="00955B28" w:rsidRPr="00E144AB">
        <w:rPr>
          <w:rFonts w:ascii="Times New Roman" w:hAnsi="Times New Roman"/>
          <w:lang w:val="pt-BR"/>
        </w:rPr>
        <w:t xml:space="preserve"> (3</w:t>
      </w:r>
      <w:r w:rsidR="00D9223F" w:rsidRPr="00E144AB">
        <w:rPr>
          <w:rFonts w:ascii="Times New Roman" w:hAnsi="Times New Roman"/>
          <w:lang w:val="pt-BR"/>
        </w:rPr>
        <w:t>, 4</w:t>
      </w:r>
      <w:r w:rsidR="00955B28" w:rsidRPr="00E144AB">
        <w:rPr>
          <w:rFonts w:ascii="Times New Roman" w:hAnsi="Times New Roman"/>
          <w:lang w:val="pt-BR"/>
        </w:rPr>
        <w:t>)</w:t>
      </w:r>
      <w:r w:rsidRPr="00E144AB">
        <w:rPr>
          <w:rFonts w:ascii="Times New Roman" w:hAnsi="Times New Roman"/>
          <w:lang w:val="pt-BR"/>
        </w:rPr>
        <w:t>, poré</w:t>
      </w:r>
      <w:r w:rsidR="003C61E1" w:rsidRPr="00E144AB">
        <w:rPr>
          <w:rFonts w:ascii="Times New Roman" w:hAnsi="Times New Roman"/>
          <w:lang w:val="pt-BR"/>
        </w:rPr>
        <w:t>m</w:t>
      </w:r>
      <w:r w:rsidRPr="00E144AB">
        <w:rPr>
          <w:rFonts w:ascii="Times New Roman" w:hAnsi="Times New Roman"/>
          <w:lang w:val="pt-BR"/>
        </w:rPr>
        <w:t xml:space="preserve"> seu emprego apresenta algumas limitações, como a sua difícil separação do meio reacional e sua baixa eficiência em processos que operam com radiação visível. Uma das estratégias para supera</w:t>
      </w:r>
      <w:r w:rsidR="00DE2D38" w:rsidRPr="00E144AB">
        <w:rPr>
          <w:rFonts w:ascii="Times New Roman" w:hAnsi="Times New Roman"/>
          <w:lang w:val="pt-BR"/>
        </w:rPr>
        <w:t>r ambas as limitações</w:t>
      </w:r>
      <w:r w:rsidRPr="00E144AB">
        <w:rPr>
          <w:rFonts w:ascii="Times New Roman" w:hAnsi="Times New Roman"/>
          <w:lang w:val="pt-BR"/>
        </w:rPr>
        <w:t xml:space="preserve"> é a</w:t>
      </w:r>
      <w:r w:rsidR="00DE2D38" w:rsidRPr="00E144AB">
        <w:rPr>
          <w:rFonts w:ascii="Times New Roman" w:hAnsi="Times New Roman"/>
          <w:lang w:val="pt-BR"/>
        </w:rPr>
        <w:t>ssociar o TiO</w:t>
      </w:r>
      <w:r w:rsidR="00DE2D38" w:rsidRPr="00E144AB">
        <w:rPr>
          <w:rFonts w:ascii="Times New Roman" w:hAnsi="Times New Roman"/>
          <w:vertAlign w:val="subscript"/>
          <w:lang w:val="pt-BR"/>
        </w:rPr>
        <w:t>2</w:t>
      </w:r>
      <w:r w:rsidR="00DE2D38" w:rsidRPr="00E144AB">
        <w:rPr>
          <w:rFonts w:ascii="Times New Roman" w:hAnsi="Times New Roman"/>
          <w:lang w:val="pt-BR"/>
        </w:rPr>
        <w:t xml:space="preserve"> a </w:t>
      </w:r>
      <w:r w:rsidR="00C04FE0" w:rsidRPr="00E144AB">
        <w:rPr>
          <w:rFonts w:ascii="Times New Roman" w:hAnsi="Times New Roman"/>
          <w:lang w:val="pt-BR"/>
        </w:rPr>
        <w:t xml:space="preserve">estruturas </w:t>
      </w:r>
      <w:r w:rsidR="00DE2D38" w:rsidRPr="00E144AB">
        <w:rPr>
          <w:rFonts w:ascii="Times New Roman" w:hAnsi="Times New Roman"/>
          <w:lang w:val="pt-BR"/>
        </w:rPr>
        <w:t>ferritas, como a NiFe</w:t>
      </w:r>
      <w:r w:rsidR="00DE2D38" w:rsidRPr="00E144AB">
        <w:rPr>
          <w:rFonts w:ascii="Times New Roman" w:hAnsi="Times New Roman"/>
          <w:vertAlign w:val="subscript"/>
          <w:lang w:val="pt-BR"/>
        </w:rPr>
        <w:t>2</w:t>
      </w:r>
      <w:r w:rsidR="00DE2D38" w:rsidRPr="00E144AB">
        <w:rPr>
          <w:rFonts w:ascii="Times New Roman" w:hAnsi="Times New Roman"/>
          <w:lang w:val="pt-BR"/>
        </w:rPr>
        <w:t>O</w:t>
      </w:r>
      <w:r w:rsidR="00DE2D38" w:rsidRPr="00E144AB">
        <w:rPr>
          <w:rFonts w:ascii="Times New Roman" w:hAnsi="Times New Roman"/>
          <w:vertAlign w:val="subscript"/>
          <w:lang w:val="pt-BR"/>
        </w:rPr>
        <w:t>4</w:t>
      </w:r>
      <w:r w:rsidR="00DE2D38" w:rsidRPr="00E144AB">
        <w:rPr>
          <w:rFonts w:ascii="Times New Roman" w:hAnsi="Times New Roman"/>
          <w:lang w:val="pt-BR"/>
        </w:rPr>
        <w:t>, formando heterojunções magnéticas NiFe</w:t>
      </w:r>
      <w:r w:rsidR="00DE2D38" w:rsidRPr="00E144AB">
        <w:rPr>
          <w:rFonts w:ascii="Times New Roman" w:hAnsi="Times New Roman"/>
          <w:vertAlign w:val="subscript"/>
          <w:lang w:val="pt-BR"/>
        </w:rPr>
        <w:t>2</w:t>
      </w:r>
      <w:r w:rsidR="00DE2D38" w:rsidRPr="00E144AB">
        <w:rPr>
          <w:rFonts w:ascii="Times New Roman" w:hAnsi="Times New Roman"/>
          <w:lang w:val="pt-BR"/>
        </w:rPr>
        <w:t>O</w:t>
      </w:r>
      <w:r w:rsidR="00DE2D38" w:rsidRPr="00E144AB">
        <w:rPr>
          <w:rFonts w:ascii="Times New Roman" w:hAnsi="Times New Roman"/>
          <w:vertAlign w:val="subscript"/>
          <w:lang w:val="pt-BR"/>
        </w:rPr>
        <w:t>4</w:t>
      </w:r>
      <w:r w:rsidR="00DE2D38" w:rsidRPr="00E144AB">
        <w:rPr>
          <w:rFonts w:ascii="Times New Roman" w:hAnsi="Times New Roman"/>
          <w:lang w:val="pt-BR"/>
        </w:rPr>
        <w:t>/TiO</w:t>
      </w:r>
      <w:r w:rsidR="00DE2D38" w:rsidRPr="00E144AB">
        <w:rPr>
          <w:rFonts w:ascii="Times New Roman" w:hAnsi="Times New Roman"/>
          <w:vertAlign w:val="subscript"/>
          <w:lang w:val="pt-BR"/>
        </w:rPr>
        <w:t>2</w:t>
      </w:r>
      <w:r w:rsidR="00DE2D38" w:rsidRPr="00E144AB">
        <w:rPr>
          <w:rFonts w:ascii="Times New Roman" w:hAnsi="Times New Roman"/>
          <w:lang w:val="pt-BR"/>
        </w:rPr>
        <w:t>. Também é possível dopar o TiO</w:t>
      </w:r>
      <w:r w:rsidR="00DE2D38" w:rsidRPr="00E144AB">
        <w:rPr>
          <w:rFonts w:ascii="Times New Roman" w:hAnsi="Times New Roman"/>
          <w:vertAlign w:val="subscript"/>
          <w:lang w:val="pt-BR"/>
        </w:rPr>
        <w:t>2</w:t>
      </w:r>
      <w:r w:rsidR="00DE2D38" w:rsidRPr="00E144AB">
        <w:rPr>
          <w:rFonts w:ascii="Times New Roman" w:hAnsi="Times New Roman"/>
          <w:lang w:val="pt-BR"/>
        </w:rPr>
        <w:t xml:space="preserve"> com ferro, por exemplo, para estender sua faixa de aplicação </w:t>
      </w:r>
      <w:r w:rsidR="00C04FE0" w:rsidRPr="00E144AB">
        <w:rPr>
          <w:rFonts w:ascii="Times New Roman" w:hAnsi="Times New Roman"/>
          <w:lang w:val="pt-BR"/>
        </w:rPr>
        <w:t>para o visível.</w:t>
      </w:r>
    </w:p>
    <w:p w14:paraId="4053E656" w14:textId="1F525876" w:rsidR="00EA4E1B" w:rsidRPr="001F25B2" w:rsidRDefault="00444448" w:rsidP="00C04FE0">
      <w:pPr>
        <w:pStyle w:val="TAMainText"/>
        <w:rPr>
          <w:rFonts w:ascii="Times New Roman" w:hAnsi="Times New Roman"/>
          <w:lang w:val="pt-BR"/>
        </w:rPr>
      </w:pPr>
      <w:r w:rsidRPr="00E144AB">
        <w:rPr>
          <w:rFonts w:ascii="Times New Roman" w:hAnsi="Times New Roman"/>
          <w:lang w:val="pt-BR"/>
        </w:rPr>
        <w:t>Nesse sentido, este trabalho visou a síntese e caracterização de heterojunções NiFe</w:t>
      </w:r>
      <w:r w:rsidRPr="00E144AB">
        <w:rPr>
          <w:rFonts w:ascii="Times New Roman" w:hAnsi="Times New Roman"/>
          <w:vertAlign w:val="subscript"/>
          <w:lang w:val="pt-BR"/>
        </w:rPr>
        <w:t>2</w:t>
      </w:r>
      <w:r w:rsidRPr="00E144AB">
        <w:rPr>
          <w:rFonts w:ascii="Times New Roman" w:hAnsi="Times New Roman"/>
          <w:lang w:val="pt-BR"/>
        </w:rPr>
        <w:t>O</w:t>
      </w:r>
      <w:r w:rsidRPr="00E144AB">
        <w:rPr>
          <w:rFonts w:ascii="Times New Roman" w:hAnsi="Times New Roman"/>
          <w:vertAlign w:val="subscript"/>
          <w:lang w:val="pt-BR"/>
        </w:rPr>
        <w:t>4</w:t>
      </w:r>
      <w:r w:rsidRPr="00E144AB">
        <w:rPr>
          <w:rFonts w:ascii="Times New Roman" w:hAnsi="Times New Roman"/>
          <w:lang w:val="pt-BR"/>
        </w:rPr>
        <w:t>/TiO</w:t>
      </w:r>
      <w:r w:rsidRPr="00E144AB">
        <w:rPr>
          <w:rFonts w:ascii="Times New Roman" w:hAnsi="Times New Roman"/>
          <w:vertAlign w:val="subscript"/>
          <w:lang w:val="pt-BR"/>
        </w:rPr>
        <w:t>2</w:t>
      </w:r>
      <w:r w:rsidR="00EF085D" w:rsidRPr="00E144AB">
        <w:rPr>
          <w:rFonts w:ascii="Times New Roman" w:hAnsi="Times New Roman"/>
          <w:lang w:val="pt-BR"/>
        </w:rPr>
        <w:t xml:space="preserve"> </w:t>
      </w:r>
      <w:r w:rsidR="00C04FE0" w:rsidRPr="00E144AB">
        <w:rPr>
          <w:rFonts w:ascii="Times New Roman" w:hAnsi="Times New Roman"/>
          <w:lang w:val="pt-BR"/>
        </w:rPr>
        <w:t>cujo TiO</w:t>
      </w:r>
      <w:r w:rsidR="00C04FE0" w:rsidRPr="00E144AB">
        <w:rPr>
          <w:rFonts w:ascii="Times New Roman" w:hAnsi="Times New Roman"/>
          <w:vertAlign w:val="subscript"/>
          <w:lang w:val="pt-BR"/>
        </w:rPr>
        <w:t>2</w:t>
      </w:r>
      <w:r w:rsidR="00C04FE0" w:rsidRPr="00E144AB">
        <w:rPr>
          <w:rFonts w:ascii="Times New Roman" w:hAnsi="Times New Roman"/>
          <w:lang w:val="pt-BR"/>
        </w:rPr>
        <w:t xml:space="preserve"> foi </w:t>
      </w:r>
      <w:r w:rsidR="00EF085D" w:rsidRPr="00E144AB">
        <w:rPr>
          <w:rFonts w:ascii="Times New Roman" w:hAnsi="Times New Roman"/>
          <w:lang w:val="pt-BR"/>
        </w:rPr>
        <w:t>dopado com d</w:t>
      </w:r>
      <w:r w:rsidR="00EF085D" w:rsidRPr="00EF085D">
        <w:rPr>
          <w:rFonts w:ascii="Times New Roman" w:hAnsi="Times New Roman"/>
          <w:lang w:val="pt-BR"/>
        </w:rPr>
        <w:t>iferentes teores de fer</w:t>
      </w:r>
      <w:r w:rsidR="0080400B">
        <w:rPr>
          <w:rFonts w:ascii="Times New Roman" w:hAnsi="Times New Roman"/>
          <w:lang w:val="pt-BR"/>
        </w:rPr>
        <w:t>ro, formando estruturas NiFe</w:t>
      </w:r>
      <w:r w:rsidR="0080400B" w:rsidRPr="0080400B">
        <w:rPr>
          <w:rFonts w:ascii="Times New Roman" w:hAnsi="Times New Roman"/>
          <w:vertAlign w:val="subscript"/>
          <w:lang w:val="pt-BR"/>
        </w:rPr>
        <w:t>2</w:t>
      </w:r>
      <w:r w:rsidR="0080400B">
        <w:rPr>
          <w:rFonts w:ascii="Times New Roman" w:hAnsi="Times New Roman"/>
          <w:lang w:val="pt-BR"/>
        </w:rPr>
        <w:t>O</w:t>
      </w:r>
      <w:r w:rsidR="0080400B" w:rsidRPr="0080400B">
        <w:rPr>
          <w:rFonts w:ascii="Times New Roman" w:hAnsi="Times New Roman"/>
          <w:vertAlign w:val="subscript"/>
          <w:lang w:val="pt-BR"/>
        </w:rPr>
        <w:t>4</w:t>
      </w:r>
      <w:r w:rsidR="0080400B">
        <w:rPr>
          <w:rFonts w:ascii="Times New Roman" w:hAnsi="Times New Roman"/>
          <w:lang w:val="pt-BR"/>
        </w:rPr>
        <w:t>/</w:t>
      </w:r>
      <w:r w:rsidR="00EF085D" w:rsidRPr="00EF085D">
        <w:rPr>
          <w:rFonts w:ascii="Times New Roman" w:hAnsi="Times New Roman"/>
          <w:lang w:val="pt-BR"/>
        </w:rPr>
        <w:t>TiO</w:t>
      </w:r>
      <w:r w:rsidR="00EF085D" w:rsidRPr="0080400B">
        <w:rPr>
          <w:rFonts w:ascii="Times New Roman" w:hAnsi="Times New Roman"/>
          <w:vertAlign w:val="subscript"/>
          <w:lang w:val="pt-BR"/>
        </w:rPr>
        <w:t>2</w:t>
      </w:r>
      <w:r w:rsidR="00EF085D" w:rsidRPr="00EF085D">
        <w:rPr>
          <w:rFonts w:ascii="Times New Roman" w:hAnsi="Times New Roman"/>
          <w:lang w:val="pt-BR"/>
        </w:rPr>
        <w:t>-Fe,</w:t>
      </w:r>
      <w:r w:rsidR="00C04FE0">
        <w:rPr>
          <w:rFonts w:ascii="Times New Roman" w:hAnsi="Times New Roman"/>
          <w:lang w:val="pt-BR"/>
        </w:rPr>
        <w:t xml:space="preserve"> com o objetivo de se avaliar </w:t>
      </w:r>
      <w:r w:rsidR="003541A0">
        <w:rPr>
          <w:rFonts w:ascii="Times New Roman" w:hAnsi="Times New Roman"/>
          <w:lang w:val="pt-BR"/>
        </w:rPr>
        <w:t>a</w:t>
      </w:r>
      <w:r w:rsidR="00C04FE0">
        <w:rPr>
          <w:rFonts w:ascii="Times New Roman" w:hAnsi="Times New Roman"/>
          <w:lang w:val="pt-BR"/>
        </w:rPr>
        <w:t xml:space="preserve"> possível sinergia entre as fases NiFe</w:t>
      </w:r>
      <w:r w:rsidR="00C04FE0" w:rsidRPr="003541A0">
        <w:rPr>
          <w:rFonts w:ascii="Times New Roman" w:hAnsi="Times New Roman"/>
          <w:vertAlign w:val="subscript"/>
          <w:lang w:val="pt-BR"/>
        </w:rPr>
        <w:t>2</w:t>
      </w:r>
      <w:r w:rsidR="00C04FE0">
        <w:rPr>
          <w:rFonts w:ascii="Times New Roman" w:hAnsi="Times New Roman"/>
          <w:lang w:val="pt-BR"/>
        </w:rPr>
        <w:t>O</w:t>
      </w:r>
      <w:r w:rsidR="00C04FE0" w:rsidRPr="003541A0">
        <w:rPr>
          <w:rFonts w:ascii="Times New Roman" w:hAnsi="Times New Roman"/>
          <w:vertAlign w:val="subscript"/>
          <w:lang w:val="pt-BR"/>
        </w:rPr>
        <w:t>4</w:t>
      </w:r>
      <w:r w:rsidR="00C04FE0">
        <w:rPr>
          <w:rFonts w:ascii="Times New Roman" w:hAnsi="Times New Roman"/>
          <w:lang w:val="pt-BR"/>
        </w:rPr>
        <w:t xml:space="preserve"> e TiO</w:t>
      </w:r>
      <w:r w:rsidR="00C04FE0" w:rsidRPr="003541A0">
        <w:rPr>
          <w:rFonts w:ascii="Times New Roman" w:hAnsi="Times New Roman"/>
          <w:vertAlign w:val="subscript"/>
          <w:lang w:val="pt-BR"/>
        </w:rPr>
        <w:t>2</w:t>
      </w:r>
      <w:r w:rsidR="00C04FE0">
        <w:rPr>
          <w:rFonts w:ascii="Times New Roman" w:hAnsi="Times New Roman"/>
          <w:lang w:val="pt-BR"/>
        </w:rPr>
        <w:t xml:space="preserve"> </w:t>
      </w:r>
      <w:r w:rsidR="003541A0">
        <w:rPr>
          <w:rFonts w:ascii="Times New Roman" w:hAnsi="Times New Roman"/>
          <w:lang w:val="pt-BR"/>
        </w:rPr>
        <w:t xml:space="preserve">a influência do teor de ferro dopado na </w:t>
      </w:r>
      <w:r w:rsidR="00EF085D" w:rsidRPr="00EF085D">
        <w:rPr>
          <w:rFonts w:ascii="Times New Roman" w:hAnsi="Times New Roman"/>
          <w:lang w:val="pt-BR"/>
        </w:rPr>
        <w:t>degradação fotocatalítica do glifosato (Roundup®) em meio aquoso</w:t>
      </w:r>
      <w:r w:rsidR="00B10D8D">
        <w:rPr>
          <w:rFonts w:ascii="Times New Roman" w:hAnsi="Times New Roman"/>
          <w:lang w:val="pt-BR"/>
        </w:rPr>
        <w:t xml:space="preserve"> sob radiação visível</w:t>
      </w:r>
      <w:r w:rsidR="00EF085D" w:rsidRPr="00EF085D">
        <w:rPr>
          <w:rFonts w:ascii="Times New Roman" w:hAnsi="Times New Roman"/>
          <w:lang w:val="pt-BR"/>
        </w:rPr>
        <w:t>.</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Experimental</w:t>
      </w:r>
    </w:p>
    <w:p w14:paraId="35887134" w14:textId="0AEDA91F" w:rsidR="00EA4E1B" w:rsidRPr="001F25B2" w:rsidRDefault="00AE35A7" w:rsidP="00EA4E1B">
      <w:pPr>
        <w:pStyle w:val="TAMainText"/>
        <w:ind w:firstLine="0"/>
        <w:rPr>
          <w:rFonts w:ascii="Times New Roman" w:hAnsi="Times New Roman"/>
          <w:i/>
          <w:lang w:val="pt-BR"/>
        </w:rPr>
      </w:pPr>
      <w:r>
        <w:rPr>
          <w:rFonts w:ascii="Times New Roman" w:hAnsi="Times New Roman"/>
          <w:i/>
          <w:lang w:val="pt-BR"/>
        </w:rPr>
        <w:t>Síntese das heterojunções</w:t>
      </w:r>
      <w:r w:rsidR="004C4996" w:rsidRPr="004C4996">
        <w:t xml:space="preserve"> </w:t>
      </w:r>
      <w:r w:rsidR="004C4996" w:rsidRPr="004C4996">
        <w:rPr>
          <w:rFonts w:ascii="Times New Roman" w:hAnsi="Times New Roman"/>
          <w:i/>
          <w:lang w:val="pt-BR"/>
        </w:rPr>
        <w:t>NiFe</w:t>
      </w:r>
      <w:r w:rsidR="004C4996" w:rsidRPr="004C4996">
        <w:rPr>
          <w:rFonts w:ascii="Times New Roman" w:hAnsi="Times New Roman"/>
          <w:i/>
          <w:vertAlign w:val="subscript"/>
          <w:lang w:val="pt-BR"/>
        </w:rPr>
        <w:t>2</w:t>
      </w:r>
      <w:r w:rsidR="004C4996" w:rsidRPr="004C4996">
        <w:rPr>
          <w:rFonts w:ascii="Times New Roman" w:hAnsi="Times New Roman"/>
          <w:i/>
          <w:lang w:val="pt-BR"/>
        </w:rPr>
        <w:t>O</w:t>
      </w:r>
      <w:r w:rsidR="004C4996" w:rsidRPr="004C4996">
        <w:rPr>
          <w:rFonts w:ascii="Times New Roman" w:hAnsi="Times New Roman"/>
          <w:i/>
          <w:vertAlign w:val="subscript"/>
          <w:lang w:val="pt-BR"/>
        </w:rPr>
        <w:t>4</w:t>
      </w:r>
      <w:r w:rsidR="004C4996" w:rsidRPr="004C4996">
        <w:rPr>
          <w:rFonts w:ascii="Times New Roman" w:hAnsi="Times New Roman"/>
          <w:i/>
          <w:lang w:val="pt-BR"/>
        </w:rPr>
        <w:t>/TiO</w:t>
      </w:r>
      <w:r w:rsidR="004C4996" w:rsidRPr="004C4996">
        <w:rPr>
          <w:rFonts w:ascii="Times New Roman" w:hAnsi="Times New Roman"/>
          <w:i/>
          <w:vertAlign w:val="subscript"/>
          <w:lang w:val="pt-BR"/>
        </w:rPr>
        <w:t>2</w:t>
      </w:r>
      <w:r w:rsidR="004C4996" w:rsidRPr="004C4996">
        <w:rPr>
          <w:rFonts w:ascii="Times New Roman" w:hAnsi="Times New Roman"/>
          <w:i/>
          <w:lang w:val="pt-BR"/>
        </w:rPr>
        <w:t>-Fe</w:t>
      </w:r>
      <w:r w:rsidR="00EA4E1B" w:rsidRPr="001F25B2">
        <w:rPr>
          <w:rFonts w:ascii="Times New Roman" w:hAnsi="Times New Roman"/>
          <w:i/>
          <w:lang w:val="pt-BR"/>
        </w:rPr>
        <w:t>.</w:t>
      </w:r>
    </w:p>
    <w:p w14:paraId="408FC334" w14:textId="13ED53DB" w:rsidR="000B10D0" w:rsidRDefault="0027678C" w:rsidP="0080400B">
      <w:pPr>
        <w:pStyle w:val="TAMainText"/>
        <w:rPr>
          <w:rFonts w:ascii="Times New Roman" w:hAnsi="Times New Roman"/>
          <w:lang w:val="pt-BR"/>
        </w:rPr>
      </w:pPr>
      <w:r w:rsidRPr="00592092">
        <w:rPr>
          <w:rFonts w:ascii="Times New Roman" w:hAnsi="Times New Roman"/>
          <w:lang w:val="pt-BR"/>
        </w:rPr>
        <w:t>As heterojunções foram sintetizadas de acordo com o método de Pechini, com adaptações</w:t>
      </w:r>
      <w:r w:rsidR="00EA4E1B" w:rsidRPr="00592092">
        <w:rPr>
          <w:rFonts w:ascii="Times New Roman" w:hAnsi="Times New Roman"/>
          <w:lang w:val="pt-BR"/>
        </w:rPr>
        <w:t>.</w:t>
      </w:r>
      <w:r w:rsidRPr="00592092">
        <w:rPr>
          <w:rFonts w:ascii="Times New Roman" w:hAnsi="Times New Roman"/>
          <w:lang w:val="pt-BR"/>
        </w:rPr>
        <w:t xml:space="preserve"> </w:t>
      </w:r>
      <w:r w:rsidR="00592092" w:rsidRPr="00592092">
        <w:rPr>
          <w:rFonts w:ascii="Times New Roman" w:hAnsi="Times New Roman"/>
          <w:lang w:val="pt-BR"/>
        </w:rPr>
        <w:t xml:space="preserve">Foram </w:t>
      </w:r>
      <w:r w:rsidR="00E46BDD">
        <w:rPr>
          <w:rFonts w:ascii="Times New Roman" w:hAnsi="Times New Roman"/>
          <w:lang w:val="pt-BR"/>
        </w:rPr>
        <w:t>preparados</w:t>
      </w:r>
      <w:r w:rsidR="00592092" w:rsidRPr="00592092">
        <w:rPr>
          <w:rFonts w:ascii="Times New Roman" w:hAnsi="Times New Roman"/>
          <w:lang w:val="pt-BR"/>
        </w:rPr>
        <w:t xml:space="preserve">, no total, </w:t>
      </w:r>
      <w:r w:rsidR="00E46BDD">
        <w:rPr>
          <w:rFonts w:ascii="Times New Roman" w:hAnsi="Times New Roman"/>
          <w:lang w:val="pt-BR"/>
        </w:rPr>
        <w:t xml:space="preserve">seis fotocatalisadores: </w:t>
      </w:r>
      <w:r w:rsidR="00592092" w:rsidRPr="00592092">
        <w:rPr>
          <w:rFonts w:ascii="Times New Roman" w:hAnsi="Times New Roman"/>
          <w:lang w:val="pt-BR"/>
        </w:rPr>
        <w:t>NiFe</w:t>
      </w:r>
      <w:r w:rsidR="00592092" w:rsidRPr="00592092">
        <w:rPr>
          <w:rFonts w:ascii="Times New Roman" w:hAnsi="Times New Roman"/>
          <w:vertAlign w:val="subscript"/>
          <w:lang w:val="pt-BR"/>
        </w:rPr>
        <w:t>2</w:t>
      </w:r>
      <w:r w:rsidR="00592092" w:rsidRPr="00592092">
        <w:rPr>
          <w:rFonts w:ascii="Times New Roman" w:hAnsi="Times New Roman"/>
          <w:lang w:val="pt-BR"/>
        </w:rPr>
        <w:t>O</w:t>
      </w:r>
      <w:r w:rsidR="00592092" w:rsidRPr="00592092">
        <w:rPr>
          <w:rFonts w:ascii="Times New Roman" w:hAnsi="Times New Roman"/>
          <w:vertAlign w:val="subscript"/>
          <w:lang w:val="pt-BR"/>
        </w:rPr>
        <w:t>4</w:t>
      </w:r>
      <w:r w:rsidR="0080400B">
        <w:rPr>
          <w:rFonts w:ascii="Times New Roman" w:hAnsi="Times New Roman"/>
          <w:vertAlign w:val="subscript"/>
          <w:lang w:val="pt-BR"/>
        </w:rPr>
        <w:t xml:space="preserve"> </w:t>
      </w:r>
      <w:r w:rsidR="00592092" w:rsidRPr="00592092">
        <w:rPr>
          <w:rFonts w:ascii="Times New Roman" w:hAnsi="Times New Roman"/>
          <w:lang w:val="pt-BR"/>
        </w:rPr>
        <w:t>(F), TiO</w:t>
      </w:r>
      <w:r w:rsidR="00592092" w:rsidRPr="00592092">
        <w:rPr>
          <w:rFonts w:ascii="Times New Roman" w:hAnsi="Times New Roman"/>
          <w:vertAlign w:val="subscript"/>
          <w:lang w:val="pt-BR"/>
        </w:rPr>
        <w:t>2</w:t>
      </w:r>
      <w:r w:rsidR="0080400B">
        <w:rPr>
          <w:rFonts w:ascii="Times New Roman" w:hAnsi="Times New Roman"/>
          <w:vertAlign w:val="subscript"/>
          <w:lang w:val="pt-BR"/>
        </w:rPr>
        <w:t xml:space="preserve"> </w:t>
      </w:r>
      <w:r w:rsidR="00592092" w:rsidRPr="00592092">
        <w:rPr>
          <w:rFonts w:ascii="Times New Roman" w:hAnsi="Times New Roman"/>
          <w:lang w:val="pt-BR"/>
        </w:rPr>
        <w:t>(T), NiFe</w:t>
      </w:r>
      <w:r w:rsidR="00592092" w:rsidRPr="00592092">
        <w:rPr>
          <w:rFonts w:ascii="Times New Roman" w:hAnsi="Times New Roman"/>
          <w:vertAlign w:val="subscript"/>
          <w:lang w:val="pt-BR"/>
        </w:rPr>
        <w:t>2</w:t>
      </w:r>
      <w:r w:rsidR="00592092" w:rsidRPr="00592092">
        <w:rPr>
          <w:rFonts w:ascii="Times New Roman" w:hAnsi="Times New Roman"/>
          <w:lang w:val="pt-BR"/>
        </w:rPr>
        <w:t>O</w:t>
      </w:r>
      <w:r w:rsidR="00592092" w:rsidRPr="00592092">
        <w:rPr>
          <w:rFonts w:ascii="Times New Roman" w:hAnsi="Times New Roman"/>
          <w:vertAlign w:val="subscript"/>
          <w:lang w:val="pt-BR"/>
        </w:rPr>
        <w:t>4</w:t>
      </w:r>
      <w:r w:rsidR="00592092" w:rsidRPr="00592092">
        <w:rPr>
          <w:rFonts w:ascii="Times New Roman" w:hAnsi="Times New Roman"/>
          <w:lang w:val="pt-BR"/>
        </w:rPr>
        <w:t>/TiO</w:t>
      </w:r>
      <w:r w:rsidR="00592092" w:rsidRPr="00592092">
        <w:rPr>
          <w:rFonts w:ascii="Times New Roman" w:hAnsi="Times New Roman"/>
          <w:vertAlign w:val="subscript"/>
          <w:lang w:val="pt-BR"/>
        </w:rPr>
        <w:t>2</w:t>
      </w:r>
      <w:r w:rsidR="0080400B">
        <w:rPr>
          <w:rFonts w:ascii="Times New Roman" w:hAnsi="Times New Roman"/>
          <w:vertAlign w:val="subscript"/>
          <w:lang w:val="pt-BR"/>
        </w:rPr>
        <w:t xml:space="preserve"> </w:t>
      </w:r>
      <w:r w:rsidR="00592092" w:rsidRPr="00592092">
        <w:rPr>
          <w:rFonts w:ascii="Times New Roman" w:hAnsi="Times New Roman"/>
          <w:lang w:val="pt-BR"/>
        </w:rPr>
        <w:t>(FT),</w:t>
      </w:r>
      <w:r w:rsidR="0080400B">
        <w:rPr>
          <w:rFonts w:ascii="Times New Roman" w:hAnsi="Times New Roman"/>
          <w:lang w:val="pt-BR"/>
        </w:rPr>
        <w:t xml:space="preserve"> </w:t>
      </w:r>
      <w:r w:rsidR="00592092" w:rsidRPr="00592092">
        <w:rPr>
          <w:rFonts w:ascii="Times New Roman" w:hAnsi="Times New Roman"/>
          <w:lang w:val="pt-BR"/>
        </w:rPr>
        <w:t>NiFe</w:t>
      </w:r>
      <w:r w:rsidR="00592092" w:rsidRPr="00592092">
        <w:rPr>
          <w:rFonts w:ascii="Times New Roman" w:hAnsi="Times New Roman"/>
          <w:vertAlign w:val="subscript"/>
          <w:lang w:val="pt-BR"/>
        </w:rPr>
        <w:t>2</w:t>
      </w:r>
      <w:r w:rsidR="00592092" w:rsidRPr="00592092">
        <w:rPr>
          <w:rFonts w:ascii="Times New Roman" w:hAnsi="Times New Roman"/>
          <w:lang w:val="pt-BR"/>
        </w:rPr>
        <w:t>O</w:t>
      </w:r>
      <w:r w:rsidR="00592092" w:rsidRPr="00592092">
        <w:rPr>
          <w:rFonts w:ascii="Times New Roman" w:hAnsi="Times New Roman"/>
          <w:vertAlign w:val="subscript"/>
          <w:lang w:val="pt-BR"/>
        </w:rPr>
        <w:t>4</w:t>
      </w:r>
      <w:r w:rsidR="00592092" w:rsidRPr="00592092">
        <w:rPr>
          <w:rFonts w:ascii="Times New Roman" w:hAnsi="Times New Roman"/>
          <w:lang w:val="pt-BR"/>
        </w:rPr>
        <w:t>/TiO</w:t>
      </w:r>
      <w:r w:rsidR="00592092" w:rsidRPr="00592092">
        <w:rPr>
          <w:rFonts w:ascii="Times New Roman" w:hAnsi="Times New Roman"/>
          <w:vertAlign w:val="subscript"/>
          <w:lang w:val="pt-BR"/>
        </w:rPr>
        <w:t>2(0,999)</w:t>
      </w:r>
      <w:r w:rsidR="00592092" w:rsidRPr="00592092">
        <w:rPr>
          <w:rFonts w:ascii="Times New Roman" w:hAnsi="Times New Roman"/>
          <w:lang w:val="pt-BR"/>
        </w:rPr>
        <w:t>Fe</w:t>
      </w:r>
      <w:r w:rsidR="00592092" w:rsidRPr="00592092">
        <w:rPr>
          <w:rFonts w:ascii="Times New Roman" w:hAnsi="Times New Roman"/>
          <w:vertAlign w:val="subscript"/>
          <w:lang w:val="pt-BR"/>
        </w:rPr>
        <w:t>(0,001)</w:t>
      </w:r>
      <w:r w:rsidR="00C372EF">
        <w:rPr>
          <w:rFonts w:ascii="Times New Roman" w:hAnsi="Times New Roman"/>
          <w:vertAlign w:val="subscript"/>
          <w:lang w:val="pt-BR"/>
        </w:rPr>
        <w:t xml:space="preserve"> </w:t>
      </w:r>
      <w:r w:rsidR="00592092">
        <w:rPr>
          <w:rFonts w:ascii="Times New Roman" w:hAnsi="Times New Roman"/>
          <w:lang w:val="pt-BR"/>
        </w:rPr>
        <w:t>(FT0,1)</w:t>
      </w:r>
      <w:r w:rsidR="00592092" w:rsidRPr="00592092">
        <w:rPr>
          <w:rFonts w:ascii="Times New Roman" w:hAnsi="Times New Roman"/>
          <w:lang w:val="pt-BR"/>
        </w:rPr>
        <w:t>,</w:t>
      </w:r>
      <w:r w:rsidR="00592092">
        <w:rPr>
          <w:rFonts w:ascii="Times New Roman" w:hAnsi="Times New Roman"/>
          <w:lang w:val="pt-BR"/>
        </w:rPr>
        <w:t xml:space="preserve"> </w:t>
      </w:r>
      <w:r w:rsidR="00592092" w:rsidRPr="00592092">
        <w:rPr>
          <w:rFonts w:ascii="Times New Roman" w:hAnsi="Times New Roman"/>
          <w:lang w:val="pt-BR"/>
        </w:rPr>
        <w:t>NiFe</w:t>
      </w:r>
      <w:r w:rsidR="00592092" w:rsidRPr="00592092">
        <w:rPr>
          <w:rFonts w:ascii="Times New Roman" w:hAnsi="Times New Roman"/>
          <w:vertAlign w:val="subscript"/>
          <w:lang w:val="pt-BR"/>
        </w:rPr>
        <w:t>2</w:t>
      </w:r>
      <w:r w:rsidR="00592092" w:rsidRPr="00592092">
        <w:rPr>
          <w:rFonts w:ascii="Times New Roman" w:hAnsi="Times New Roman"/>
          <w:lang w:val="pt-BR"/>
        </w:rPr>
        <w:t>O</w:t>
      </w:r>
      <w:r w:rsidR="00592092" w:rsidRPr="00592092">
        <w:rPr>
          <w:rFonts w:ascii="Times New Roman" w:hAnsi="Times New Roman"/>
          <w:vertAlign w:val="subscript"/>
          <w:lang w:val="pt-BR"/>
        </w:rPr>
        <w:t>4</w:t>
      </w:r>
      <w:r w:rsidR="00592092" w:rsidRPr="00592092">
        <w:rPr>
          <w:rFonts w:ascii="Times New Roman" w:hAnsi="Times New Roman"/>
          <w:lang w:val="pt-BR"/>
        </w:rPr>
        <w:t>/TiO</w:t>
      </w:r>
      <w:r w:rsidR="00592092" w:rsidRPr="00592092">
        <w:rPr>
          <w:rFonts w:ascii="Times New Roman" w:hAnsi="Times New Roman"/>
          <w:vertAlign w:val="subscript"/>
          <w:lang w:val="pt-BR"/>
        </w:rPr>
        <w:t>2</w:t>
      </w:r>
      <w:r w:rsidR="00E46BDD">
        <w:rPr>
          <w:rFonts w:ascii="Times New Roman" w:hAnsi="Times New Roman"/>
          <w:vertAlign w:val="subscript"/>
          <w:lang w:val="pt-BR"/>
        </w:rPr>
        <w:t>(</w:t>
      </w:r>
      <w:r w:rsidR="00592092" w:rsidRPr="00592092">
        <w:rPr>
          <w:rFonts w:ascii="Times New Roman" w:hAnsi="Times New Roman"/>
          <w:vertAlign w:val="subscript"/>
          <w:lang w:val="pt-BR"/>
        </w:rPr>
        <w:t>0,995)</w:t>
      </w:r>
      <w:r w:rsidR="00592092" w:rsidRPr="00592092">
        <w:rPr>
          <w:rFonts w:ascii="Times New Roman" w:hAnsi="Times New Roman"/>
          <w:lang w:val="pt-BR"/>
        </w:rPr>
        <w:t>Fe</w:t>
      </w:r>
      <w:r w:rsidR="00592092" w:rsidRPr="00592092">
        <w:rPr>
          <w:rFonts w:ascii="Times New Roman" w:hAnsi="Times New Roman"/>
          <w:vertAlign w:val="subscript"/>
          <w:lang w:val="pt-BR"/>
        </w:rPr>
        <w:t>(0,005)</w:t>
      </w:r>
      <w:r w:rsidR="0080400B">
        <w:rPr>
          <w:rFonts w:ascii="Times New Roman" w:hAnsi="Times New Roman"/>
          <w:vertAlign w:val="subscript"/>
          <w:lang w:val="pt-BR"/>
        </w:rPr>
        <w:t xml:space="preserve"> </w:t>
      </w:r>
      <w:r w:rsidR="00592092" w:rsidRPr="00592092">
        <w:rPr>
          <w:rFonts w:ascii="Times New Roman" w:hAnsi="Times New Roman"/>
          <w:lang w:val="pt-BR"/>
        </w:rPr>
        <w:t>(FT0,5)</w:t>
      </w:r>
      <w:r w:rsidR="00976184">
        <w:rPr>
          <w:rFonts w:ascii="Times New Roman" w:hAnsi="Times New Roman"/>
          <w:lang w:val="pt-BR"/>
        </w:rPr>
        <w:t xml:space="preserve"> e </w:t>
      </w:r>
      <w:r w:rsidR="00592092" w:rsidRPr="00592092">
        <w:rPr>
          <w:rFonts w:ascii="Times New Roman" w:hAnsi="Times New Roman"/>
          <w:lang w:val="pt-BR"/>
        </w:rPr>
        <w:t>NiFe</w:t>
      </w:r>
      <w:r w:rsidR="00592092" w:rsidRPr="00592092">
        <w:rPr>
          <w:rFonts w:ascii="Times New Roman" w:hAnsi="Times New Roman"/>
          <w:vertAlign w:val="subscript"/>
          <w:lang w:val="pt-BR"/>
        </w:rPr>
        <w:t>2</w:t>
      </w:r>
      <w:r w:rsidR="00592092" w:rsidRPr="00592092">
        <w:rPr>
          <w:rFonts w:ascii="Times New Roman" w:hAnsi="Times New Roman"/>
          <w:lang w:val="pt-BR"/>
        </w:rPr>
        <w:t>O</w:t>
      </w:r>
      <w:r w:rsidR="00592092" w:rsidRPr="00592092">
        <w:rPr>
          <w:rFonts w:ascii="Times New Roman" w:hAnsi="Times New Roman"/>
          <w:vertAlign w:val="subscript"/>
          <w:lang w:val="pt-BR"/>
        </w:rPr>
        <w:t>4</w:t>
      </w:r>
      <w:r w:rsidR="00592092" w:rsidRPr="00592092">
        <w:rPr>
          <w:rFonts w:ascii="Times New Roman" w:hAnsi="Times New Roman"/>
          <w:lang w:val="pt-BR"/>
        </w:rPr>
        <w:t>/TiO</w:t>
      </w:r>
      <w:r w:rsidR="00592092" w:rsidRPr="00592092">
        <w:rPr>
          <w:rFonts w:ascii="Times New Roman" w:hAnsi="Times New Roman"/>
          <w:vertAlign w:val="subscript"/>
          <w:lang w:val="pt-BR"/>
        </w:rPr>
        <w:t>2(0,990)</w:t>
      </w:r>
      <w:r w:rsidR="0080400B">
        <w:rPr>
          <w:rFonts w:ascii="Times New Roman" w:hAnsi="Times New Roman"/>
          <w:vertAlign w:val="subscript"/>
          <w:lang w:val="pt-BR"/>
        </w:rPr>
        <w:t xml:space="preserve"> </w:t>
      </w:r>
      <w:r w:rsidR="00592092" w:rsidRPr="00592092">
        <w:rPr>
          <w:rFonts w:ascii="Times New Roman" w:hAnsi="Times New Roman"/>
          <w:lang w:val="pt-BR"/>
        </w:rPr>
        <w:t>Fe</w:t>
      </w:r>
      <w:r w:rsidR="00592092" w:rsidRPr="00592092">
        <w:rPr>
          <w:rFonts w:ascii="Times New Roman" w:hAnsi="Times New Roman"/>
          <w:vertAlign w:val="subscript"/>
          <w:lang w:val="pt-BR"/>
        </w:rPr>
        <w:t>(0,010)</w:t>
      </w:r>
      <w:r w:rsidR="00976184">
        <w:rPr>
          <w:rFonts w:ascii="Times New Roman" w:hAnsi="Times New Roman"/>
          <w:vertAlign w:val="subscript"/>
          <w:lang w:val="pt-BR"/>
        </w:rPr>
        <w:t xml:space="preserve"> </w:t>
      </w:r>
      <w:r w:rsidR="00592092">
        <w:rPr>
          <w:rFonts w:ascii="Times New Roman" w:hAnsi="Times New Roman"/>
          <w:lang w:val="pt-BR"/>
        </w:rPr>
        <w:t>(FT1).</w:t>
      </w:r>
      <w:r w:rsidR="005507F8">
        <w:rPr>
          <w:rFonts w:ascii="Times New Roman" w:hAnsi="Times New Roman"/>
          <w:lang w:val="pt-BR"/>
        </w:rPr>
        <w:t xml:space="preserve"> </w:t>
      </w:r>
    </w:p>
    <w:p w14:paraId="07F38C72" w14:textId="2F467420" w:rsidR="006059D1" w:rsidRDefault="005507F8" w:rsidP="005550F5">
      <w:pPr>
        <w:pStyle w:val="TAMainText"/>
        <w:rPr>
          <w:lang w:val="pt-BR"/>
        </w:rPr>
      </w:pPr>
      <w:r>
        <w:rPr>
          <w:rFonts w:ascii="Times New Roman" w:hAnsi="Times New Roman"/>
          <w:lang w:val="pt-BR"/>
        </w:rPr>
        <w:t>Em um primeiro momento, foi preparado o polímero precursor</w:t>
      </w:r>
      <w:r w:rsidR="00C372EF">
        <w:rPr>
          <w:rFonts w:ascii="Times New Roman" w:hAnsi="Times New Roman"/>
          <w:lang w:val="pt-BR"/>
        </w:rPr>
        <w:t xml:space="preserve"> da ferrita de níquel, empregando a proporção molar Ni</w:t>
      </w:r>
      <w:r w:rsidR="00C372EF" w:rsidRPr="00C372EF">
        <w:rPr>
          <w:rFonts w:ascii="Times New Roman" w:hAnsi="Times New Roman"/>
          <w:vertAlign w:val="superscript"/>
          <w:lang w:val="pt-BR"/>
        </w:rPr>
        <w:t>2+</w:t>
      </w:r>
      <w:r w:rsidR="00C372EF">
        <w:rPr>
          <w:rFonts w:ascii="Times New Roman" w:hAnsi="Times New Roman"/>
          <w:lang w:val="pt-BR"/>
        </w:rPr>
        <w:t>:Fe</w:t>
      </w:r>
      <w:r w:rsidR="00C372EF" w:rsidRPr="00C372EF">
        <w:rPr>
          <w:rFonts w:ascii="Times New Roman" w:hAnsi="Times New Roman"/>
          <w:vertAlign w:val="superscript"/>
          <w:lang w:val="pt-BR"/>
        </w:rPr>
        <w:t>3+</w:t>
      </w:r>
      <w:r w:rsidR="00C372EF">
        <w:rPr>
          <w:rFonts w:ascii="Times New Roman" w:hAnsi="Times New Roman"/>
          <w:lang w:val="pt-BR"/>
        </w:rPr>
        <w:t>:ácido cítrico (AC):etilenoglicol (EG) de 1:2:9:</w:t>
      </w:r>
      <w:r w:rsidR="00977D25">
        <w:rPr>
          <w:rFonts w:ascii="Times New Roman" w:hAnsi="Times New Roman"/>
          <w:lang w:val="pt-BR"/>
        </w:rPr>
        <w:t>2 em solução</w:t>
      </w:r>
      <w:r w:rsidR="005550F5">
        <w:rPr>
          <w:rFonts w:ascii="Times New Roman" w:hAnsi="Times New Roman"/>
          <w:lang w:val="pt-BR"/>
        </w:rPr>
        <w:t xml:space="preserve"> aquosa a 90 °C. O polímero foi seco </w:t>
      </w:r>
      <w:r w:rsidR="00976184" w:rsidRPr="00976184">
        <w:rPr>
          <w:lang w:val="pt-BR"/>
        </w:rPr>
        <w:t xml:space="preserve">em estufa a 110 ºC </w:t>
      </w:r>
      <w:r w:rsidR="00976184" w:rsidRPr="00976184">
        <w:rPr>
          <w:i/>
          <w:lang w:val="pt-BR"/>
        </w:rPr>
        <w:t>overnight</w:t>
      </w:r>
      <w:r w:rsidR="00976184" w:rsidRPr="00976184">
        <w:rPr>
          <w:lang w:val="pt-BR"/>
        </w:rPr>
        <w:t>. Em seguida, realizou-se a pré-calcinação em forno mufla (patamar 1:120 ºC, 5 min, 5</w:t>
      </w:r>
      <w:r w:rsidR="00951BE3">
        <w:rPr>
          <w:lang w:val="pt-BR"/>
        </w:rPr>
        <w:t> </w:t>
      </w:r>
      <w:r w:rsidR="00976184" w:rsidRPr="00976184">
        <w:rPr>
          <w:lang w:val="pt-BR"/>
        </w:rPr>
        <w:t>ºC</w:t>
      </w:r>
      <w:r w:rsidR="00951BE3">
        <w:rPr>
          <w:lang w:val="pt-BR"/>
        </w:rPr>
        <w:t> </w:t>
      </w:r>
      <w:r w:rsidR="00976184" w:rsidRPr="00976184">
        <w:rPr>
          <w:lang w:val="pt-BR"/>
        </w:rPr>
        <w:t>min</w:t>
      </w:r>
      <w:r w:rsidR="00976184" w:rsidRPr="00976184">
        <w:rPr>
          <w:vertAlign w:val="superscript"/>
          <w:lang w:val="pt-BR"/>
        </w:rPr>
        <w:t>-1</w:t>
      </w:r>
      <w:r w:rsidR="00976184" w:rsidRPr="00976184">
        <w:rPr>
          <w:lang w:val="pt-BR"/>
        </w:rPr>
        <w:t>; patamar 2: 400 ºC, 150 min, 2 ºC min</w:t>
      </w:r>
      <w:r w:rsidR="00976184" w:rsidRPr="00976184">
        <w:rPr>
          <w:vertAlign w:val="superscript"/>
          <w:lang w:val="pt-BR"/>
        </w:rPr>
        <w:t>-1</w:t>
      </w:r>
      <w:r w:rsidR="005550F5">
        <w:rPr>
          <w:lang w:val="pt-BR"/>
        </w:rPr>
        <w:t>). Na sequência, o material obtido foi macerado e calcinado</w:t>
      </w:r>
      <w:r w:rsidR="00976184" w:rsidRPr="00976184">
        <w:rPr>
          <w:lang w:val="pt-BR"/>
        </w:rPr>
        <w:t xml:space="preserve"> a 700</w:t>
      </w:r>
      <w:r w:rsidR="00951BE3">
        <w:rPr>
          <w:lang w:val="pt-BR"/>
        </w:rPr>
        <w:t> </w:t>
      </w:r>
      <w:r w:rsidR="00976184" w:rsidRPr="00976184">
        <w:rPr>
          <w:lang w:val="pt-BR"/>
        </w:rPr>
        <w:t>ºC (3 h, 5 ºC min</w:t>
      </w:r>
      <w:r w:rsidR="00976184" w:rsidRPr="00976184">
        <w:rPr>
          <w:vertAlign w:val="superscript"/>
          <w:lang w:val="pt-BR"/>
        </w:rPr>
        <w:t>-1</w:t>
      </w:r>
      <w:r w:rsidR="00976184" w:rsidRPr="00976184">
        <w:rPr>
          <w:lang w:val="pt-BR"/>
        </w:rPr>
        <w:t>).</w:t>
      </w:r>
      <w:r w:rsidR="006059D1">
        <w:rPr>
          <w:lang w:val="pt-BR"/>
        </w:rPr>
        <w:t xml:space="preserve"> </w:t>
      </w:r>
    </w:p>
    <w:p w14:paraId="106E2FE4" w14:textId="794215E8" w:rsidR="00592092" w:rsidRDefault="006059D1" w:rsidP="005550F5">
      <w:pPr>
        <w:pStyle w:val="TAMainText"/>
        <w:rPr>
          <w:lang w:val="pt-BR"/>
        </w:rPr>
      </w:pPr>
      <w:r>
        <w:rPr>
          <w:lang w:val="pt-BR"/>
        </w:rPr>
        <w:t>Para o recobrimento, preparou-se uma solução aquosa de</w:t>
      </w:r>
      <w:r w:rsidR="004124D0">
        <w:rPr>
          <w:lang w:val="pt-BR"/>
        </w:rPr>
        <w:t xml:space="preserve"> citrato de titânio e de ferro (proporção molar AC:(Ti</w:t>
      </w:r>
      <w:r w:rsidR="004124D0" w:rsidRPr="004124D0">
        <w:rPr>
          <w:vertAlign w:val="superscript"/>
          <w:lang w:val="pt-BR"/>
        </w:rPr>
        <w:t>4+</w:t>
      </w:r>
      <w:r w:rsidR="004124D0">
        <w:rPr>
          <w:lang w:val="pt-BR"/>
        </w:rPr>
        <w:t>+Fe</w:t>
      </w:r>
      <w:r w:rsidR="004124D0" w:rsidRPr="004124D0">
        <w:rPr>
          <w:vertAlign w:val="superscript"/>
          <w:lang w:val="pt-BR"/>
        </w:rPr>
        <w:t>3+</w:t>
      </w:r>
      <w:r w:rsidR="004124D0">
        <w:rPr>
          <w:lang w:val="pt-BR"/>
        </w:rPr>
        <w:t xml:space="preserve">) de 1:3), que foi aquecida a 80 °C até completa dissolução e então adicionou-se EG na proporção </w:t>
      </w:r>
      <w:r w:rsidR="005E1034">
        <w:rPr>
          <w:lang w:val="pt-BR"/>
        </w:rPr>
        <w:t>molar AC:EG de 1:2 e elevou-se a temperatura para 90 °C. Ao polímero formado, foram adicionadas as nanopartículas de NiFe</w:t>
      </w:r>
      <w:r w:rsidR="005E1034" w:rsidRPr="005E1034">
        <w:rPr>
          <w:vertAlign w:val="subscript"/>
          <w:lang w:val="pt-BR"/>
        </w:rPr>
        <w:t>2</w:t>
      </w:r>
      <w:r w:rsidR="005E1034">
        <w:rPr>
          <w:lang w:val="pt-BR"/>
        </w:rPr>
        <w:t>O</w:t>
      </w:r>
      <w:r w:rsidR="005E1034" w:rsidRPr="005E1034">
        <w:rPr>
          <w:vertAlign w:val="subscript"/>
          <w:lang w:val="pt-BR"/>
        </w:rPr>
        <w:t>4</w:t>
      </w:r>
      <w:r w:rsidR="005E1034">
        <w:rPr>
          <w:lang w:val="pt-BR"/>
        </w:rPr>
        <w:t xml:space="preserve"> e, após devida homogeneização, o sistema foi termicamente tratado empregando a mesma metodologia da síntese da ferrita de níquel.</w:t>
      </w:r>
    </w:p>
    <w:p w14:paraId="7383CAD9" w14:textId="77777777" w:rsidR="004C4996" w:rsidRDefault="004C4996" w:rsidP="004C4996">
      <w:pPr>
        <w:pStyle w:val="TAMainText"/>
        <w:ind w:firstLine="0"/>
        <w:rPr>
          <w:rFonts w:ascii="Times New Roman" w:hAnsi="Times New Roman"/>
          <w:i/>
          <w:lang w:val="pt-BR"/>
        </w:rPr>
      </w:pPr>
    </w:p>
    <w:p w14:paraId="67A1AE2F" w14:textId="5ABAFE6B" w:rsidR="004C4996" w:rsidRPr="001F25B2" w:rsidRDefault="004C4996" w:rsidP="004C4996">
      <w:pPr>
        <w:pStyle w:val="TAMainText"/>
        <w:ind w:firstLine="0"/>
        <w:rPr>
          <w:rFonts w:ascii="Times New Roman" w:hAnsi="Times New Roman"/>
          <w:i/>
          <w:lang w:val="pt-BR"/>
        </w:rPr>
      </w:pPr>
      <w:r>
        <w:rPr>
          <w:rFonts w:ascii="Times New Roman" w:hAnsi="Times New Roman"/>
          <w:i/>
          <w:lang w:val="pt-BR"/>
        </w:rPr>
        <w:t>Caracterizações das heterojunções</w:t>
      </w:r>
      <w:r w:rsidRPr="004C4996">
        <w:t xml:space="preserve"> </w:t>
      </w:r>
      <w:r w:rsidRPr="004C4996">
        <w:rPr>
          <w:rFonts w:ascii="Times New Roman" w:hAnsi="Times New Roman"/>
          <w:i/>
          <w:lang w:val="pt-BR"/>
        </w:rPr>
        <w:t>NiFe</w:t>
      </w:r>
      <w:r w:rsidRPr="004C4996">
        <w:rPr>
          <w:rFonts w:ascii="Times New Roman" w:hAnsi="Times New Roman"/>
          <w:i/>
          <w:vertAlign w:val="subscript"/>
          <w:lang w:val="pt-BR"/>
        </w:rPr>
        <w:t>2</w:t>
      </w:r>
      <w:r w:rsidRPr="004C4996">
        <w:rPr>
          <w:rFonts w:ascii="Times New Roman" w:hAnsi="Times New Roman"/>
          <w:i/>
          <w:lang w:val="pt-BR"/>
        </w:rPr>
        <w:t>O</w:t>
      </w:r>
      <w:r w:rsidRPr="004C4996">
        <w:rPr>
          <w:rFonts w:ascii="Times New Roman" w:hAnsi="Times New Roman"/>
          <w:i/>
          <w:vertAlign w:val="subscript"/>
          <w:lang w:val="pt-BR"/>
        </w:rPr>
        <w:t>4</w:t>
      </w:r>
      <w:r w:rsidRPr="004C4996">
        <w:rPr>
          <w:rFonts w:ascii="Times New Roman" w:hAnsi="Times New Roman"/>
          <w:i/>
          <w:lang w:val="pt-BR"/>
        </w:rPr>
        <w:t>/TiO</w:t>
      </w:r>
      <w:r w:rsidRPr="004C4996">
        <w:rPr>
          <w:rFonts w:ascii="Times New Roman" w:hAnsi="Times New Roman"/>
          <w:i/>
          <w:vertAlign w:val="subscript"/>
          <w:lang w:val="pt-BR"/>
        </w:rPr>
        <w:t>2</w:t>
      </w:r>
      <w:r w:rsidRPr="004C4996">
        <w:rPr>
          <w:rFonts w:ascii="Times New Roman" w:hAnsi="Times New Roman"/>
          <w:i/>
          <w:lang w:val="pt-BR"/>
        </w:rPr>
        <w:t>-Fe</w:t>
      </w:r>
      <w:r w:rsidRPr="001F25B2">
        <w:rPr>
          <w:rFonts w:ascii="Times New Roman" w:hAnsi="Times New Roman"/>
          <w:i/>
          <w:lang w:val="pt-BR"/>
        </w:rPr>
        <w:t>.</w:t>
      </w:r>
    </w:p>
    <w:p w14:paraId="3C056F9D" w14:textId="77777777" w:rsidR="00D22AAB" w:rsidRDefault="00F90832" w:rsidP="005550F5">
      <w:pPr>
        <w:pStyle w:val="TAMainText"/>
      </w:pPr>
      <w:r w:rsidRPr="00405239">
        <w:t xml:space="preserve">Análises de </w:t>
      </w:r>
      <w:r>
        <w:t>difratometria de raios X (</w:t>
      </w:r>
      <w:r w:rsidRPr="00405239">
        <w:t>DRX</w:t>
      </w:r>
      <w:r>
        <w:t>)</w:t>
      </w:r>
      <w:r w:rsidRPr="00405239">
        <w:t xml:space="preserve"> foram realizadas </w:t>
      </w:r>
      <w:r>
        <w:t>em equipamento</w:t>
      </w:r>
      <w:r w:rsidRPr="00405239">
        <w:t xml:space="preserve"> Rigaku, modelo Miniflex</w:t>
      </w:r>
      <w:r>
        <w:t xml:space="preserve"> 600</w:t>
      </w:r>
      <w:r w:rsidRPr="00405239">
        <w:t>, com radiação de cobre (CuK</w:t>
      </w:r>
      <w:r w:rsidRPr="000C7523">
        <w:t>α</w:t>
      </w:r>
      <w:r w:rsidRPr="00405239">
        <w:t xml:space="preserve"> </w:t>
      </w:r>
      <w:r w:rsidRPr="000C7523">
        <w:t>λ</w:t>
      </w:r>
      <w:r w:rsidRPr="00405239">
        <w:t>= 1,5418 Å). Os difratogramas foram registrados em intervalo de ângulo de Bragg de 3º</w:t>
      </w:r>
      <m:oMath>
        <m:r>
          <w:rPr>
            <w:rFonts w:ascii="Cambria Math" w:hAnsi="Cambria Math" w:cs="Arial"/>
          </w:rPr>
          <m:t>≤</m:t>
        </m:r>
      </m:oMath>
      <w:r w:rsidRPr="00405239">
        <w:t>2Ɵ</w:t>
      </w:r>
      <m:oMath>
        <m:r>
          <w:rPr>
            <w:rFonts w:ascii="Cambria Math" w:hAnsi="Cambria Math" w:cs="Arial"/>
          </w:rPr>
          <m:t>≤</m:t>
        </m:r>
      </m:oMath>
      <w:r w:rsidRPr="00405239">
        <w:t>110º, com passo de 0,02º e tempo de contagem fixo de 1 s por passo em modo semicontínuo (</w:t>
      </w:r>
      <w:r w:rsidRPr="00405239">
        <w:rPr>
          <w:i/>
        </w:rPr>
        <w:t>step scan</w:t>
      </w:r>
      <w:r w:rsidRPr="00405239">
        <w:t xml:space="preserve">). </w:t>
      </w:r>
      <w:r>
        <w:t>Os difratogramas foram refinados pelo método de Rietveld.</w:t>
      </w:r>
      <w:r w:rsidR="00D22AAB" w:rsidRPr="00D22AAB">
        <w:t xml:space="preserve"> </w:t>
      </w:r>
    </w:p>
    <w:p w14:paraId="3E68D1A3" w14:textId="5D22E8BD" w:rsidR="00951BE3" w:rsidRDefault="00D22AAB" w:rsidP="00017D5B">
      <w:pPr>
        <w:pStyle w:val="TAMainText"/>
      </w:pPr>
      <w:r>
        <w:t>A</w:t>
      </w:r>
      <w:r w:rsidRPr="00D22AAB">
        <w:t>nálises</w:t>
      </w:r>
      <w:r>
        <w:t xml:space="preserve"> de espectroscopia de fotoluminescência</w:t>
      </w:r>
      <w:r w:rsidRPr="00D22AAB">
        <w:t xml:space="preserve"> foram </w:t>
      </w:r>
      <w:r>
        <w:t>conduzidas</w:t>
      </w:r>
      <w:r w:rsidRPr="00D22AAB">
        <w:t xml:space="preserve"> </w:t>
      </w:r>
      <w:r>
        <w:t xml:space="preserve">em </w:t>
      </w:r>
      <w:r w:rsidRPr="00D22AAB">
        <w:t>espectrofotômetro de fluorescência (Agilent Varian Eclipse) com uma fonte de excitação operando em 320 nm.</w:t>
      </w:r>
      <w:r>
        <w:t xml:space="preserve"> Análises de magnetometria de amostra vibrante</w:t>
      </w:r>
      <w:r w:rsidR="00331504">
        <w:t xml:space="preserve"> foram realizadas em equipamento </w:t>
      </w:r>
      <w:r w:rsidR="0051533B" w:rsidRPr="0051533B">
        <w:t>Physical Property Mesaurement System (PPMS) Versalab da Quantum design operando no modo VSM</w:t>
      </w:r>
      <w:r w:rsidR="00331504">
        <w:t>.</w:t>
      </w:r>
    </w:p>
    <w:p w14:paraId="1F4781FD" w14:textId="77777777" w:rsidR="00017D5B" w:rsidRDefault="00017D5B" w:rsidP="00017D5B">
      <w:pPr>
        <w:pStyle w:val="TAMainText"/>
        <w:rPr>
          <w:rFonts w:ascii="Times New Roman" w:hAnsi="Times New Roman"/>
          <w:i/>
          <w:lang w:val="pt-BR"/>
        </w:rPr>
      </w:pPr>
    </w:p>
    <w:p w14:paraId="4F48E83E" w14:textId="1A48D865" w:rsidR="00494DE4" w:rsidRPr="001F25B2" w:rsidRDefault="00494DE4" w:rsidP="00494DE4">
      <w:pPr>
        <w:pStyle w:val="TAMainText"/>
        <w:ind w:firstLine="0"/>
        <w:rPr>
          <w:rFonts w:ascii="Times New Roman" w:hAnsi="Times New Roman"/>
          <w:i/>
          <w:lang w:val="pt-BR"/>
        </w:rPr>
      </w:pPr>
      <w:r>
        <w:rPr>
          <w:rFonts w:ascii="Times New Roman" w:hAnsi="Times New Roman"/>
          <w:i/>
          <w:lang w:val="pt-BR"/>
        </w:rPr>
        <w:t>Testes fotocatalíticos</w:t>
      </w:r>
      <w:r w:rsidRPr="001F25B2">
        <w:rPr>
          <w:rFonts w:ascii="Times New Roman" w:hAnsi="Times New Roman"/>
          <w:i/>
          <w:lang w:val="pt-BR"/>
        </w:rPr>
        <w:t>.</w:t>
      </w:r>
    </w:p>
    <w:p w14:paraId="38A8B297" w14:textId="6FE100F3" w:rsidR="00A150B2" w:rsidRDefault="00494DE4" w:rsidP="00494DE4">
      <w:pPr>
        <w:pStyle w:val="TAMainText"/>
      </w:pPr>
      <w:r w:rsidRPr="00F41CB8">
        <w:rPr>
          <w:rFonts w:cs="Arial"/>
        </w:rPr>
        <w:t>Os materiais sintetizados foram avaliados na reação de degradação fotocatalítica do glifosato em meio aquoso. Os testes fotocatalíticos foram realizados em reator em batelada constituído dos seguinte itens: um tubo externo de</w:t>
      </w:r>
      <w:r>
        <w:rPr>
          <w:rFonts w:cs="Arial"/>
        </w:rPr>
        <w:t xml:space="preserve"> PVC</w:t>
      </w:r>
      <w:r w:rsidRPr="00F41CB8">
        <w:rPr>
          <w:rFonts w:cs="Arial"/>
        </w:rPr>
        <w:t xml:space="preserve"> com diâmetro de 150 mm, um tubo interno em vidro borossilicato</w:t>
      </w:r>
      <w:r>
        <w:rPr>
          <w:rFonts w:cs="Arial"/>
        </w:rPr>
        <w:t xml:space="preserve"> com</w:t>
      </w:r>
      <w:r w:rsidRPr="00F41CB8">
        <w:rPr>
          <w:rFonts w:cs="Arial"/>
        </w:rPr>
        <w:t xml:space="preserve"> diâmetro de 100 mm, uma fonte de radiação </w:t>
      </w:r>
      <w:r>
        <w:rPr>
          <w:rFonts w:cs="Arial"/>
        </w:rPr>
        <w:t>visível</w:t>
      </w:r>
      <w:r w:rsidRPr="00F41CB8">
        <w:rPr>
          <w:rFonts w:cs="Arial"/>
        </w:rPr>
        <w:t xml:space="preserve"> (</w:t>
      </w:r>
      <w:r>
        <w:t xml:space="preserve">lâmpada halógena </w:t>
      </w:r>
      <w:r w:rsidRPr="00494DE4">
        <w:t>Osram - HQI-T 250 W/D PRO)</w:t>
      </w:r>
      <w:r w:rsidR="00D3734C">
        <w:t xml:space="preserve">, </w:t>
      </w:r>
      <w:r w:rsidRPr="00494DE4">
        <w:t>com emissão de energia na faixa de 300 a 800 nm</w:t>
      </w:r>
      <w:r w:rsidRPr="00F41CB8">
        <w:rPr>
          <w:rFonts w:cs="Arial"/>
        </w:rPr>
        <w:t xml:space="preserve">), compressor de ar eletromagnético Resun Aco-002 para oxigenação do </w:t>
      </w:r>
      <w:r w:rsidRPr="00F41CB8">
        <w:rPr>
          <w:rFonts w:cs="Arial"/>
        </w:rPr>
        <w:lastRenderedPageBreak/>
        <w:t>sistema reacional, medidor de vazão de ar (rotâmetro) MKB para ajuste da vazão de ar a 3 L min</w:t>
      </w:r>
      <w:r w:rsidRPr="00F41CB8">
        <w:rPr>
          <w:rFonts w:cs="Arial"/>
          <w:vertAlign w:val="superscript"/>
        </w:rPr>
        <w:t>-1</w:t>
      </w:r>
      <w:r w:rsidRPr="00F41CB8">
        <w:rPr>
          <w:rFonts w:cs="Arial"/>
        </w:rPr>
        <w:t xml:space="preserve">  e sistema de agitação mecânica.</w:t>
      </w:r>
      <w:r w:rsidRPr="00F41CB8">
        <w:rPr>
          <w:rStyle w:val="fontstyle01"/>
          <w:rFonts w:ascii="Arial" w:hAnsi="Arial" w:cs="Arial"/>
        </w:rPr>
        <w:t xml:space="preserve"> </w:t>
      </w:r>
      <w:r w:rsidRPr="00F41CB8">
        <w:rPr>
          <w:rFonts w:cs="Arial"/>
        </w:rPr>
        <w:t>A dissipação do calor emitido pela lâmpada foi realizado por meio de circulação de água entre os tubos de PVC e de borossilicato.</w:t>
      </w:r>
      <w:r w:rsidRPr="00405239">
        <w:t xml:space="preserve"> </w:t>
      </w:r>
    </w:p>
    <w:p w14:paraId="00C7F8D6" w14:textId="5A348408" w:rsidR="005550F5" w:rsidRDefault="00A150B2" w:rsidP="00494DE4">
      <w:pPr>
        <w:pStyle w:val="TAMainText"/>
      </w:pPr>
      <w:r>
        <w:t>A concentração de fotocatalisador utilizada nos testes foi de 0,5 g L</w:t>
      </w:r>
      <w:r>
        <w:rPr>
          <w:vertAlign w:val="superscript"/>
        </w:rPr>
        <w:t>-1</w:t>
      </w:r>
      <w:r>
        <w:t xml:space="preserve"> e a concentração de glifosato, de 25 mg L</w:t>
      </w:r>
      <w:r>
        <w:rPr>
          <w:vertAlign w:val="superscript"/>
        </w:rPr>
        <w:t>-1</w:t>
      </w:r>
      <w:r>
        <w:t>. O volume de solução utilizado no reator foi de 1,5 L.</w:t>
      </w:r>
      <w:r w:rsidRPr="00A150B2">
        <w:t xml:space="preserve"> </w:t>
      </w:r>
      <w:r>
        <w:t xml:space="preserve">Após a introdução do fotocatalisador no meio reacional e sem a incidência de qualquer forma de radiação, alíquotas do meio reacional foram coletadas </w:t>
      </w:r>
      <w:r w:rsidR="00D3734C">
        <w:t>durante</w:t>
      </w:r>
      <w:r>
        <w:t xml:space="preserve"> 60 min em intervalos de 30 min para avaliar a adsorção. Após esse período, a fonte de radiação foi ativada, tendo início então o processo de fotocatálise heterogênea, e alíquotas do meio reacional foram coletadas nos tempos de 5, 10, 15, 20, 25, 30, 40, 50, 60 e 90 min.</w:t>
      </w:r>
      <w:r w:rsidR="00AA083D" w:rsidRPr="00AA083D">
        <w:t xml:space="preserve"> </w:t>
      </w:r>
      <w:r w:rsidR="00AA083D">
        <w:t>Com o intuito de se avaliar a influência da fotólise na degradação do glifosato, foram realizados testes empregando-se a mesma metodologia da fotocatálise heterogênea, mas na ausência de fotocatalisador.</w:t>
      </w:r>
    </w:p>
    <w:p w14:paraId="33213623" w14:textId="77777777" w:rsidR="0045319A" w:rsidRDefault="0045319A" w:rsidP="00494DE4">
      <w:pPr>
        <w:pStyle w:val="TAMainText"/>
      </w:pPr>
      <w:r>
        <w:t>As alíquotas do meio reacional coletadas ao longo dos testes foram filtradas em</w:t>
      </w:r>
      <w:r w:rsidRPr="008F031A">
        <w:t xml:space="preserve"> </w:t>
      </w:r>
      <w:r>
        <w:t>membranas filtrantes Durapore</w:t>
      </w:r>
      <w:r w:rsidRPr="00173254">
        <w:rPr>
          <w:rFonts w:cs="Arial"/>
          <w:vertAlign w:val="superscript"/>
        </w:rPr>
        <w:t>®</w:t>
      </w:r>
      <w:r>
        <w:t xml:space="preserve"> de 13 mm e tamanho de poro de 0,22</w:t>
      </w:r>
      <w:r w:rsidRPr="00902689">
        <w:t xml:space="preserve"> µm</w:t>
      </w:r>
      <w:r>
        <w:t xml:space="preserve"> (Millipore</w:t>
      </w:r>
      <w:r w:rsidRPr="00173254">
        <w:rPr>
          <w:rFonts w:cs="Arial"/>
          <w:vertAlign w:val="superscript"/>
        </w:rPr>
        <w:t>®</w:t>
      </w:r>
      <w:r>
        <w:t xml:space="preserve">) de PVDF </w:t>
      </w:r>
      <w:r>
        <w:t>e analisadas em espectrofotômetro</w:t>
      </w:r>
      <w:r w:rsidRPr="00D10863">
        <w:rPr>
          <w:rFonts w:cs="Arial"/>
          <w:iCs/>
        </w:rPr>
        <w:t xml:space="preserve"> </w:t>
      </w:r>
      <w:r>
        <w:rPr>
          <w:rFonts w:cs="Arial"/>
          <w:iCs/>
        </w:rPr>
        <w:t>UV-Vis Thermo Scientific, modelo Genesys 10S em modo de varredura</w:t>
      </w:r>
      <w:r>
        <w:t>.</w:t>
      </w:r>
      <w:r w:rsidRPr="0045319A">
        <w:t xml:space="preserve"> </w:t>
      </w:r>
      <w:r>
        <w:t>Em função de o glifosato não apresentar grupos cromóforos em sua molécula, torna-se impossível a sua determinação direta por espectroscopia UV-Vis, dessa forma decidiu-se por inferir o grau de mineralização do glifosato por meio da determinação de íons fosfato em meio aquoso uma vez que essas espécies são minerais produzidos a partir da degradação completa do glifosato</w:t>
      </w:r>
      <w:r>
        <w:t>.</w:t>
      </w:r>
      <w:r w:rsidRPr="0045319A">
        <w:t xml:space="preserve"> </w:t>
      </w:r>
    </w:p>
    <w:p w14:paraId="4A69596D" w14:textId="04ED549C" w:rsidR="0045319A" w:rsidRDefault="0045319A" w:rsidP="00494DE4">
      <w:pPr>
        <w:pStyle w:val="TAMainText"/>
      </w:pPr>
      <w:r>
        <w:t>A determinação de íons fosfato foi realizada colorimetricamente pelo método molibdanovanadato, que utiliza molibdato de amônio – (NH</w:t>
      </w:r>
      <w:r w:rsidRPr="0057452B">
        <w:rPr>
          <w:vertAlign w:val="subscript"/>
        </w:rPr>
        <w:t>4</w:t>
      </w:r>
      <w:r>
        <w:t>)</w:t>
      </w:r>
      <w:r w:rsidRPr="0057452B">
        <w:rPr>
          <w:vertAlign w:val="subscript"/>
        </w:rPr>
        <w:t>6</w:t>
      </w:r>
      <w:r>
        <w:t>Mo</w:t>
      </w:r>
      <w:r w:rsidRPr="0057452B">
        <w:rPr>
          <w:vertAlign w:val="subscript"/>
        </w:rPr>
        <w:t>7</w:t>
      </w:r>
      <w:r>
        <w:t>O</w:t>
      </w:r>
      <w:r w:rsidRPr="0057452B">
        <w:rPr>
          <w:vertAlign w:val="subscript"/>
        </w:rPr>
        <w:t>24</w:t>
      </w:r>
      <w:r>
        <w:t>.4H</w:t>
      </w:r>
      <w:r w:rsidRPr="0057452B">
        <w:rPr>
          <w:vertAlign w:val="subscript"/>
        </w:rPr>
        <w:t>2</w:t>
      </w:r>
      <w:r>
        <w:t>O –</w:t>
      </w:r>
      <w:r>
        <w:t>, metavanadato de amônio – NH</w:t>
      </w:r>
      <w:r w:rsidRPr="0057452B">
        <w:rPr>
          <w:vertAlign w:val="subscript"/>
        </w:rPr>
        <w:t>4</w:t>
      </w:r>
      <w:r>
        <w:t>VO</w:t>
      </w:r>
      <w:r w:rsidRPr="0057452B">
        <w:rPr>
          <w:vertAlign w:val="subscript"/>
        </w:rPr>
        <w:t>3</w:t>
      </w:r>
      <w:r>
        <w:t xml:space="preserve"> –</w:t>
      </w:r>
      <w:r>
        <w:t xml:space="preserve"> e ácido clorídrico concentrado</w:t>
      </w:r>
      <w:r>
        <w:t xml:space="preserve">. </w:t>
      </w:r>
      <w:r>
        <w:t>E</w:t>
      </w:r>
      <w:r>
        <w:t>m uma solução diluída de fosfato, o molibdato de amônio reage, em meio ácido, formando o ácido molibdofosfórico. Na presença de vanádio, o ácido vanadomolibdofosfórico, de coloração amarelada, é formado, sendo a intensidade da coloração proporcional à concentração de fosfato</w:t>
      </w:r>
      <w:r>
        <w:t>.</w:t>
      </w:r>
      <w:r w:rsidR="00CB12AF" w:rsidRPr="00CB12AF">
        <w:t xml:space="preserve"> </w:t>
      </w:r>
      <w:r w:rsidR="00CB12AF">
        <w:t>O comprimento de onda empregado para determinação da concentração de fosfato foi 400 nm.</w:t>
      </w:r>
    </w:p>
    <w:p w14:paraId="136BD1AC" w14:textId="6B06706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3BF34ADD" w14:textId="47C66B74" w:rsidR="00380DDD" w:rsidRDefault="00F90832" w:rsidP="003D7D0A">
      <w:pPr>
        <w:pStyle w:val="TAMainText"/>
        <w:ind w:firstLine="0"/>
        <w:rPr>
          <w:rFonts w:ascii="Times New Roman" w:hAnsi="Times New Roman"/>
          <w:lang w:val="pt-BR"/>
        </w:rPr>
      </w:pPr>
      <w:r>
        <w:rPr>
          <w:rFonts w:ascii="Times New Roman" w:hAnsi="Times New Roman"/>
          <w:i/>
          <w:lang w:val="pt-BR"/>
        </w:rPr>
        <w:t>Caracterizações das heterojunções</w:t>
      </w:r>
      <w:r w:rsidRPr="004C4996">
        <w:t xml:space="preserve"> </w:t>
      </w:r>
      <w:r w:rsidRPr="004C4996">
        <w:rPr>
          <w:rFonts w:ascii="Times New Roman" w:hAnsi="Times New Roman"/>
          <w:i/>
          <w:lang w:val="pt-BR"/>
        </w:rPr>
        <w:t>NiFe</w:t>
      </w:r>
      <w:r w:rsidRPr="004C4996">
        <w:rPr>
          <w:rFonts w:ascii="Times New Roman" w:hAnsi="Times New Roman"/>
          <w:i/>
          <w:vertAlign w:val="subscript"/>
          <w:lang w:val="pt-BR"/>
        </w:rPr>
        <w:t>2</w:t>
      </w:r>
      <w:r w:rsidRPr="004C4996">
        <w:rPr>
          <w:rFonts w:ascii="Times New Roman" w:hAnsi="Times New Roman"/>
          <w:i/>
          <w:lang w:val="pt-BR"/>
        </w:rPr>
        <w:t>O</w:t>
      </w:r>
      <w:r w:rsidRPr="004C4996">
        <w:rPr>
          <w:rFonts w:ascii="Times New Roman" w:hAnsi="Times New Roman"/>
          <w:i/>
          <w:vertAlign w:val="subscript"/>
          <w:lang w:val="pt-BR"/>
        </w:rPr>
        <w:t>4</w:t>
      </w:r>
      <w:r w:rsidRPr="004C4996">
        <w:rPr>
          <w:rFonts w:ascii="Times New Roman" w:hAnsi="Times New Roman"/>
          <w:i/>
          <w:lang w:val="pt-BR"/>
        </w:rPr>
        <w:t>/TiO</w:t>
      </w:r>
      <w:r w:rsidRPr="004C4996">
        <w:rPr>
          <w:rFonts w:ascii="Times New Roman" w:hAnsi="Times New Roman"/>
          <w:i/>
          <w:vertAlign w:val="subscript"/>
          <w:lang w:val="pt-BR"/>
        </w:rPr>
        <w:t>2</w:t>
      </w:r>
      <w:r w:rsidRPr="004C4996">
        <w:rPr>
          <w:rFonts w:ascii="Times New Roman" w:hAnsi="Times New Roman"/>
          <w:i/>
          <w:lang w:val="pt-BR"/>
        </w:rPr>
        <w:t>-Fe</w:t>
      </w:r>
      <w:r w:rsidRPr="001F25B2">
        <w:rPr>
          <w:rFonts w:ascii="Times New Roman" w:hAnsi="Times New Roman"/>
          <w:i/>
          <w:lang w:val="pt-BR"/>
        </w:rPr>
        <w:t>.</w:t>
      </w:r>
    </w:p>
    <w:p w14:paraId="3A384865" w14:textId="311CCD9E" w:rsidR="00690701" w:rsidRDefault="000054DC" w:rsidP="002F1137">
      <w:pPr>
        <w:pStyle w:val="TAMainText"/>
        <w:ind w:firstLine="204"/>
        <w:rPr>
          <w:lang w:val="pt-BR"/>
        </w:rPr>
      </w:pPr>
      <w:r w:rsidRPr="000054DC">
        <w:rPr>
          <w:lang w:val="pt-BR"/>
        </w:rPr>
        <w:t xml:space="preserve">A Figura </w:t>
      </w:r>
      <w:r>
        <w:rPr>
          <w:lang w:val="pt-BR"/>
        </w:rPr>
        <w:t>1</w:t>
      </w:r>
      <w:r w:rsidRPr="000054DC">
        <w:rPr>
          <w:lang w:val="pt-BR"/>
        </w:rPr>
        <w:t xml:space="preserve"> apresenta os difratogramas</w:t>
      </w:r>
      <w:r w:rsidR="0087707C">
        <w:rPr>
          <w:lang w:val="pt-BR"/>
        </w:rPr>
        <w:t xml:space="preserve"> de raios X</w:t>
      </w:r>
      <w:r w:rsidRPr="000054DC">
        <w:rPr>
          <w:lang w:val="pt-BR"/>
        </w:rPr>
        <w:t xml:space="preserve"> dos materiais </w:t>
      </w:r>
      <w:r w:rsidR="00021570">
        <w:rPr>
          <w:lang w:val="pt-BR"/>
        </w:rPr>
        <w:t>sintetizados</w:t>
      </w:r>
      <w:r w:rsidRPr="000054DC">
        <w:rPr>
          <w:lang w:val="pt-BR"/>
        </w:rPr>
        <w:t>.</w:t>
      </w:r>
    </w:p>
    <w:p w14:paraId="15528CE5" w14:textId="77777777" w:rsidR="00017D5B" w:rsidRDefault="00017D5B" w:rsidP="002F1137">
      <w:pPr>
        <w:pStyle w:val="TAMainText"/>
        <w:ind w:firstLine="204"/>
        <w:rPr>
          <w:lang w:val="pt-BR"/>
        </w:rPr>
      </w:pPr>
    </w:p>
    <w:p w14:paraId="1AF3F9B2" w14:textId="77777777" w:rsidR="00017D5B" w:rsidRDefault="00017D5B" w:rsidP="002F1137">
      <w:pPr>
        <w:pStyle w:val="TAMainText"/>
        <w:ind w:firstLine="204"/>
        <w:rPr>
          <w:lang w:val="pt-BR"/>
        </w:rPr>
      </w:pPr>
    </w:p>
    <w:p w14:paraId="1CBEE69A" w14:textId="77777777" w:rsidR="00017D5B" w:rsidRDefault="00017D5B" w:rsidP="002F1137">
      <w:pPr>
        <w:pStyle w:val="TAMainText"/>
        <w:ind w:firstLine="204"/>
        <w:rPr>
          <w:lang w:val="pt-BR"/>
        </w:rPr>
      </w:pPr>
    </w:p>
    <w:p w14:paraId="62A1599E" w14:textId="77777777" w:rsidR="00017D5B" w:rsidRDefault="00017D5B" w:rsidP="002F1137">
      <w:pPr>
        <w:pStyle w:val="TAMainText"/>
        <w:ind w:firstLine="204"/>
        <w:rPr>
          <w:lang w:val="pt-BR"/>
        </w:rPr>
      </w:pPr>
    </w:p>
    <w:p w14:paraId="62F7DAAA" w14:textId="77777777" w:rsidR="00017D5B" w:rsidRDefault="00017D5B" w:rsidP="002F1137">
      <w:pPr>
        <w:pStyle w:val="TAMainText"/>
        <w:ind w:firstLine="204"/>
        <w:rPr>
          <w:lang w:val="pt-BR"/>
        </w:rPr>
      </w:pPr>
    </w:p>
    <w:p w14:paraId="598C848C" w14:textId="77777777" w:rsidR="00017D5B" w:rsidRDefault="00017D5B" w:rsidP="002F1137">
      <w:pPr>
        <w:pStyle w:val="TAMainText"/>
        <w:ind w:firstLine="204"/>
        <w:rPr>
          <w:lang w:val="pt-BR"/>
        </w:rPr>
      </w:pPr>
    </w:p>
    <w:p w14:paraId="3538F9A4" w14:textId="3908F0A7" w:rsidR="00AC0BC7" w:rsidRPr="004A6692" w:rsidRDefault="000023E7" w:rsidP="00EF085D">
      <w:pPr>
        <w:pStyle w:val="TAMainText"/>
        <w:ind w:firstLine="187"/>
        <w:rPr>
          <w:lang w:val="pt-BR"/>
        </w:rPr>
      </w:pPr>
      <w:r w:rsidRPr="000023E7">
        <w:rPr>
          <w:noProof/>
          <w:lang w:val="pt-BR"/>
        </w:rPr>
        <w:lastRenderedPageBreak/>
        <w:drawing>
          <wp:anchor distT="0" distB="0" distL="114300" distR="114300" simplePos="0" relativeHeight="251670527" behindDoc="0" locked="0" layoutInCell="1" allowOverlap="1" wp14:anchorId="459ADBFC" wp14:editId="01633CEA">
            <wp:simplePos x="0" y="0"/>
            <wp:positionH relativeFrom="column">
              <wp:posOffset>20744</wp:posOffset>
            </wp:positionH>
            <wp:positionV relativeFrom="paragraph">
              <wp:posOffset>6350</wp:posOffset>
            </wp:positionV>
            <wp:extent cx="3027680" cy="2277896"/>
            <wp:effectExtent l="0" t="0" r="0" b="825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7680" cy="2277896"/>
                    </a:xfrm>
                    <a:prstGeom prst="rect">
                      <a:avLst/>
                    </a:prstGeom>
                    <a:noFill/>
                    <a:ln>
                      <a:noFill/>
                    </a:ln>
                  </pic:spPr>
                </pic:pic>
              </a:graphicData>
            </a:graphic>
          </wp:anchor>
        </w:drawing>
      </w:r>
    </w:p>
    <w:p w14:paraId="65CDE111" w14:textId="4DC09642" w:rsidR="00AC0BC7" w:rsidRPr="004A6692" w:rsidRDefault="00AC0BC7" w:rsidP="00EF085D">
      <w:pPr>
        <w:pStyle w:val="TAMainText"/>
        <w:ind w:firstLine="187"/>
        <w:rPr>
          <w:lang w:val="pt-BR"/>
        </w:rPr>
      </w:pPr>
    </w:p>
    <w:p w14:paraId="594F3BE0" w14:textId="29DCB94C" w:rsidR="00AC0BC7" w:rsidRPr="002F1137" w:rsidRDefault="00AC0BC7" w:rsidP="002F1137">
      <w:pPr>
        <w:pStyle w:val="TAMainText"/>
        <w:ind w:firstLine="187"/>
      </w:pPr>
    </w:p>
    <w:p w14:paraId="73FB56CE" w14:textId="258B7223" w:rsidR="00602847" w:rsidRDefault="00602847" w:rsidP="00EF085D">
      <w:pPr>
        <w:pStyle w:val="TAMainText"/>
        <w:ind w:firstLine="187"/>
        <w:rPr>
          <w:rFonts w:ascii="Times New Roman" w:hAnsi="Times New Roman"/>
          <w:lang w:val="pt-BR"/>
        </w:rPr>
      </w:pPr>
    </w:p>
    <w:p w14:paraId="0C3E250F" w14:textId="4BF3D5EC" w:rsidR="00602847" w:rsidRDefault="00602847" w:rsidP="00EF085D">
      <w:pPr>
        <w:pStyle w:val="TAMainText"/>
        <w:ind w:firstLine="187"/>
        <w:rPr>
          <w:rFonts w:ascii="Times New Roman" w:hAnsi="Times New Roman"/>
          <w:lang w:val="pt-BR"/>
        </w:rPr>
      </w:pPr>
    </w:p>
    <w:p w14:paraId="47206C9E" w14:textId="77777777" w:rsidR="00602847" w:rsidRDefault="00602847" w:rsidP="00EF085D">
      <w:pPr>
        <w:pStyle w:val="TAMainText"/>
        <w:ind w:firstLine="187"/>
        <w:rPr>
          <w:rFonts w:ascii="Times New Roman" w:hAnsi="Times New Roman"/>
          <w:lang w:val="pt-BR"/>
        </w:rPr>
      </w:pPr>
    </w:p>
    <w:p w14:paraId="41F3BDC5" w14:textId="0317BD62" w:rsidR="00602847" w:rsidRDefault="00602847" w:rsidP="00EF085D">
      <w:pPr>
        <w:pStyle w:val="TAMainText"/>
        <w:ind w:firstLine="187"/>
        <w:rPr>
          <w:rFonts w:ascii="Times New Roman" w:hAnsi="Times New Roman"/>
          <w:lang w:val="pt-BR"/>
        </w:rPr>
      </w:pPr>
    </w:p>
    <w:p w14:paraId="3EC3F646" w14:textId="77777777" w:rsidR="00602847" w:rsidRDefault="00602847" w:rsidP="00EF085D">
      <w:pPr>
        <w:pStyle w:val="TAMainText"/>
        <w:ind w:firstLine="187"/>
        <w:rPr>
          <w:rFonts w:ascii="Times New Roman" w:hAnsi="Times New Roman"/>
          <w:lang w:val="pt-BR"/>
        </w:rPr>
      </w:pPr>
    </w:p>
    <w:p w14:paraId="7ECBAEBF" w14:textId="7D506265" w:rsidR="00602847" w:rsidRDefault="00602847" w:rsidP="00EF085D">
      <w:pPr>
        <w:pStyle w:val="TAMainText"/>
        <w:ind w:firstLine="187"/>
        <w:rPr>
          <w:rFonts w:ascii="Times New Roman" w:hAnsi="Times New Roman"/>
          <w:lang w:val="pt-BR"/>
        </w:rPr>
      </w:pPr>
    </w:p>
    <w:p w14:paraId="66FBD4FD" w14:textId="77777777" w:rsidR="00602847" w:rsidRDefault="00602847" w:rsidP="00EF085D">
      <w:pPr>
        <w:pStyle w:val="TAMainText"/>
        <w:ind w:firstLine="187"/>
        <w:rPr>
          <w:rFonts w:ascii="Times New Roman" w:hAnsi="Times New Roman"/>
          <w:lang w:val="pt-BR"/>
        </w:rPr>
      </w:pPr>
    </w:p>
    <w:p w14:paraId="6626D4A3" w14:textId="77777777" w:rsidR="00602847" w:rsidRDefault="00602847" w:rsidP="00EF085D">
      <w:pPr>
        <w:pStyle w:val="TAMainText"/>
        <w:ind w:firstLine="187"/>
        <w:rPr>
          <w:rFonts w:ascii="Times New Roman" w:hAnsi="Times New Roman"/>
          <w:lang w:val="pt-BR"/>
        </w:rPr>
      </w:pPr>
    </w:p>
    <w:p w14:paraId="7AB84C2D" w14:textId="77777777" w:rsidR="00602847" w:rsidRDefault="00602847" w:rsidP="00EF085D">
      <w:pPr>
        <w:pStyle w:val="TAMainText"/>
        <w:ind w:firstLine="187"/>
        <w:rPr>
          <w:rFonts w:ascii="Times New Roman" w:hAnsi="Times New Roman"/>
          <w:lang w:val="pt-BR"/>
        </w:rPr>
      </w:pPr>
    </w:p>
    <w:p w14:paraId="0B4F47D2" w14:textId="1F8A65CA" w:rsidR="00602847" w:rsidRDefault="00602847" w:rsidP="00EF085D">
      <w:pPr>
        <w:pStyle w:val="TAMainText"/>
        <w:ind w:firstLine="187"/>
        <w:rPr>
          <w:rFonts w:ascii="Times New Roman" w:hAnsi="Times New Roman"/>
          <w:lang w:val="pt-BR"/>
        </w:rPr>
      </w:pPr>
    </w:p>
    <w:p w14:paraId="7B83054C" w14:textId="77777777" w:rsidR="00602847" w:rsidRDefault="00602847" w:rsidP="00EF085D">
      <w:pPr>
        <w:pStyle w:val="TAMainText"/>
        <w:ind w:firstLine="187"/>
        <w:rPr>
          <w:rFonts w:ascii="Times New Roman" w:hAnsi="Times New Roman"/>
          <w:lang w:val="pt-BR"/>
        </w:rPr>
      </w:pPr>
    </w:p>
    <w:p w14:paraId="6C6F35C9" w14:textId="034720DD" w:rsidR="00602847" w:rsidRDefault="00602847" w:rsidP="00EF085D">
      <w:pPr>
        <w:pStyle w:val="TAMainText"/>
        <w:ind w:firstLine="187"/>
        <w:rPr>
          <w:rFonts w:ascii="Times New Roman" w:hAnsi="Times New Roman"/>
          <w:lang w:val="pt-BR"/>
        </w:rPr>
      </w:pPr>
    </w:p>
    <w:p w14:paraId="35AEC143" w14:textId="4C6EB159" w:rsidR="00447C77" w:rsidRPr="00E038AF" w:rsidRDefault="00447C77" w:rsidP="00447C77">
      <w:pPr>
        <w:pStyle w:val="VAFigureCaption"/>
        <w:spacing w:before="0"/>
        <w:rPr>
          <w:rFonts w:ascii="Times New Roman" w:hAnsi="Times New Roman"/>
          <w:lang w:val="pt-BR"/>
        </w:rPr>
      </w:pPr>
      <w:r>
        <w:rPr>
          <w:rFonts w:ascii="Times New Roman" w:hAnsi="Times New Roman"/>
          <w:b/>
          <w:lang w:val="pt-BR"/>
        </w:rPr>
        <w:t>Figura</w:t>
      </w:r>
      <w:r>
        <w:rPr>
          <w:rFonts w:ascii="Times New Roman" w:hAnsi="Times New Roman"/>
          <w:b/>
          <w:lang w:val="pt-BR"/>
        </w:rPr>
        <w:t xml:space="preserve"> 1</w:t>
      </w:r>
      <w:r w:rsidRPr="00E038AF">
        <w:rPr>
          <w:rFonts w:ascii="Times New Roman" w:hAnsi="Times New Roman"/>
          <w:b/>
          <w:lang w:val="pt-BR"/>
        </w:rPr>
        <w:t>.</w:t>
      </w:r>
      <w:r w:rsidRPr="00E038AF">
        <w:rPr>
          <w:rFonts w:ascii="Times New Roman" w:hAnsi="Times New Roman"/>
          <w:lang w:val="pt-BR"/>
        </w:rPr>
        <w:t xml:space="preserve"> </w:t>
      </w:r>
      <w:r>
        <w:rPr>
          <w:lang w:val="pt-BR"/>
        </w:rPr>
        <w:t>Difratogramas de raios X das amostras sintetizadas</w:t>
      </w:r>
      <w:r w:rsidRPr="00E038AF">
        <w:rPr>
          <w:rFonts w:ascii="Times New Roman" w:hAnsi="Times New Roman"/>
          <w:lang w:val="pt-BR"/>
        </w:rPr>
        <w:t>.</w:t>
      </w:r>
    </w:p>
    <w:p w14:paraId="23E5F4D8" w14:textId="3A4AEE6C" w:rsidR="00602847" w:rsidRDefault="00602847" w:rsidP="00EF085D">
      <w:pPr>
        <w:pStyle w:val="TAMainText"/>
        <w:ind w:firstLine="187"/>
        <w:rPr>
          <w:rFonts w:ascii="Times New Roman" w:hAnsi="Times New Roman"/>
          <w:lang w:val="pt-BR"/>
        </w:rPr>
      </w:pPr>
    </w:p>
    <w:p w14:paraId="5DBE3EB5" w14:textId="3B3981F6" w:rsidR="00021570" w:rsidRDefault="00EF085D" w:rsidP="00EF085D">
      <w:pPr>
        <w:pStyle w:val="TAMainText"/>
        <w:ind w:firstLine="187"/>
        <w:rPr>
          <w:lang w:val="pt-BR"/>
        </w:rPr>
      </w:pPr>
      <w:r w:rsidRPr="00EF085D">
        <w:rPr>
          <w:rFonts w:ascii="Times New Roman" w:hAnsi="Times New Roman"/>
          <w:lang w:val="pt-BR"/>
        </w:rPr>
        <w:t xml:space="preserve">Verifica-se que, nas amostras </w:t>
      </w:r>
      <w:r w:rsidR="001A4B4A">
        <w:rPr>
          <w:rFonts w:ascii="Times New Roman" w:hAnsi="Times New Roman"/>
          <w:lang w:val="pt-BR"/>
        </w:rPr>
        <w:t>F</w:t>
      </w:r>
      <w:r w:rsidRPr="00EF085D">
        <w:rPr>
          <w:rFonts w:ascii="Times New Roman" w:hAnsi="Times New Roman"/>
          <w:lang w:val="pt-BR"/>
        </w:rPr>
        <w:t xml:space="preserve">, </w:t>
      </w:r>
      <w:r w:rsidR="001A4B4A">
        <w:rPr>
          <w:rFonts w:ascii="Times New Roman" w:hAnsi="Times New Roman"/>
          <w:lang w:val="pt-BR"/>
        </w:rPr>
        <w:t>FT</w:t>
      </w:r>
      <w:r w:rsidRPr="00EF085D">
        <w:rPr>
          <w:rFonts w:ascii="Times New Roman" w:hAnsi="Times New Roman"/>
          <w:lang w:val="pt-BR"/>
        </w:rPr>
        <w:t xml:space="preserve">, </w:t>
      </w:r>
      <w:r w:rsidR="001A4B4A">
        <w:rPr>
          <w:rFonts w:ascii="Times New Roman" w:hAnsi="Times New Roman"/>
          <w:lang w:val="pt-BR"/>
        </w:rPr>
        <w:t>FT0,</w:t>
      </w:r>
      <w:r w:rsidRPr="00EF085D">
        <w:rPr>
          <w:rFonts w:ascii="Times New Roman" w:hAnsi="Times New Roman"/>
          <w:lang w:val="pt-BR"/>
        </w:rPr>
        <w:t>1,</w:t>
      </w:r>
      <w:r w:rsidR="001A4B4A">
        <w:rPr>
          <w:rFonts w:ascii="Times New Roman" w:hAnsi="Times New Roman"/>
          <w:lang w:val="pt-BR"/>
        </w:rPr>
        <w:t xml:space="preserve"> FT0,5 </w:t>
      </w:r>
      <w:r w:rsidRPr="00EF085D">
        <w:rPr>
          <w:rFonts w:ascii="Times New Roman" w:hAnsi="Times New Roman"/>
          <w:lang w:val="pt-BR"/>
        </w:rPr>
        <w:t xml:space="preserve">e </w:t>
      </w:r>
      <w:r w:rsidR="001A4B4A">
        <w:rPr>
          <w:rFonts w:ascii="Times New Roman" w:hAnsi="Times New Roman"/>
          <w:lang w:val="pt-BR"/>
        </w:rPr>
        <w:t>FT1</w:t>
      </w:r>
      <w:r w:rsidRPr="00EF085D">
        <w:rPr>
          <w:rFonts w:ascii="Times New Roman" w:hAnsi="Times New Roman"/>
          <w:lang w:val="pt-BR"/>
        </w:rPr>
        <w:t>, houve formação das fases NiFe</w:t>
      </w:r>
      <w:r w:rsidRPr="00AC0BC7">
        <w:rPr>
          <w:rFonts w:ascii="Times New Roman" w:hAnsi="Times New Roman"/>
          <w:vertAlign w:val="subscript"/>
          <w:lang w:val="pt-BR"/>
        </w:rPr>
        <w:t>2</w:t>
      </w:r>
      <w:r w:rsidRPr="00EF085D">
        <w:rPr>
          <w:rFonts w:ascii="Times New Roman" w:hAnsi="Times New Roman"/>
          <w:lang w:val="pt-BR"/>
        </w:rPr>
        <w:t>O</w:t>
      </w:r>
      <w:r w:rsidRPr="00AC0BC7">
        <w:rPr>
          <w:rFonts w:ascii="Times New Roman" w:hAnsi="Times New Roman"/>
          <w:vertAlign w:val="subscript"/>
          <w:lang w:val="pt-BR"/>
        </w:rPr>
        <w:t>4</w:t>
      </w:r>
      <w:r w:rsidRPr="00EF085D">
        <w:rPr>
          <w:rFonts w:ascii="Times New Roman" w:hAnsi="Times New Roman"/>
          <w:lang w:val="pt-BR"/>
        </w:rPr>
        <w:t>, NiO e α-Fe</w:t>
      </w:r>
      <w:r w:rsidRPr="00AC0BC7">
        <w:rPr>
          <w:rFonts w:ascii="Times New Roman" w:hAnsi="Times New Roman"/>
          <w:vertAlign w:val="subscript"/>
          <w:lang w:val="pt-BR"/>
        </w:rPr>
        <w:t>2</w:t>
      </w:r>
      <w:r w:rsidRPr="00EF085D">
        <w:rPr>
          <w:rFonts w:ascii="Times New Roman" w:hAnsi="Times New Roman"/>
          <w:lang w:val="pt-BR"/>
        </w:rPr>
        <w:t>O</w:t>
      </w:r>
      <w:r w:rsidRPr="00AC0BC7">
        <w:rPr>
          <w:rFonts w:ascii="Times New Roman" w:hAnsi="Times New Roman"/>
          <w:vertAlign w:val="subscript"/>
          <w:lang w:val="pt-BR"/>
        </w:rPr>
        <w:t>3</w:t>
      </w:r>
      <w:r w:rsidRPr="00EF085D">
        <w:rPr>
          <w:rFonts w:ascii="Times New Roman" w:hAnsi="Times New Roman"/>
          <w:lang w:val="pt-BR"/>
        </w:rPr>
        <w:t xml:space="preserve"> relativas ao material </w:t>
      </w:r>
      <w:r w:rsidR="001A4B4A">
        <w:rPr>
          <w:rFonts w:ascii="Times New Roman" w:hAnsi="Times New Roman"/>
          <w:lang w:val="pt-BR"/>
        </w:rPr>
        <w:t>NiFe</w:t>
      </w:r>
      <w:r w:rsidR="001A4B4A" w:rsidRPr="00AC0BC7">
        <w:rPr>
          <w:rFonts w:ascii="Times New Roman" w:hAnsi="Times New Roman"/>
          <w:vertAlign w:val="subscript"/>
          <w:lang w:val="pt-BR"/>
        </w:rPr>
        <w:t>2</w:t>
      </w:r>
      <w:r w:rsidR="001A4B4A">
        <w:rPr>
          <w:rFonts w:ascii="Times New Roman" w:hAnsi="Times New Roman"/>
          <w:lang w:val="pt-BR"/>
        </w:rPr>
        <w:t>O</w:t>
      </w:r>
      <w:r w:rsidR="001A4B4A" w:rsidRPr="00AC0BC7">
        <w:rPr>
          <w:rFonts w:ascii="Times New Roman" w:hAnsi="Times New Roman"/>
          <w:vertAlign w:val="subscript"/>
          <w:lang w:val="pt-BR"/>
        </w:rPr>
        <w:t>4</w:t>
      </w:r>
      <w:r w:rsidRPr="00EF085D">
        <w:rPr>
          <w:rFonts w:ascii="Times New Roman" w:hAnsi="Times New Roman"/>
          <w:lang w:val="pt-BR"/>
        </w:rPr>
        <w:t xml:space="preserve">, enquanto no que tange ao material </w:t>
      </w:r>
      <w:r w:rsidR="001A4B4A">
        <w:rPr>
          <w:rFonts w:ascii="Times New Roman" w:hAnsi="Times New Roman"/>
          <w:lang w:val="pt-BR"/>
        </w:rPr>
        <w:t>TiO</w:t>
      </w:r>
      <w:r w:rsidR="001A4B4A" w:rsidRPr="00AC0BC7">
        <w:rPr>
          <w:rFonts w:ascii="Times New Roman" w:hAnsi="Times New Roman"/>
          <w:vertAlign w:val="subscript"/>
          <w:lang w:val="pt-BR"/>
        </w:rPr>
        <w:t>2</w:t>
      </w:r>
      <w:r w:rsidRPr="00EF085D">
        <w:rPr>
          <w:rFonts w:ascii="Times New Roman" w:hAnsi="Times New Roman"/>
          <w:lang w:val="pt-BR"/>
        </w:rPr>
        <w:t xml:space="preserve"> (exceto para a amostra </w:t>
      </w:r>
      <w:r w:rsidR="001A4B4A">
        <w:rPr>
          <w:rFonts w:ascii="Times New Roman" w:hAnsi="Times New Roman"/>
          <w:lang w:val="pt-BR"/>
        </w:rPr>
        <w:t>F</w:t>
      </w:r>
      <w:r w:rsidRPr="00EF085D">
        <w:rPr>
          <w:rFonts w:ascii="Times New Roman" w:hAnsi="Times New Roman"/>
          <w:lang w:val="pt-BR"/>
        </w:rPr>
        <w:t>), identificou-se a presença dos polimorfos anatase e rutilo do TiO</w:t>
      </w:r>
      <w:r w:rsidRPr="00AC0BC7">
        <w:rPr>
          <w:rFonts w:ascii="Times New Roman" w:hAnsi="Times New Roman"/>
          <w:vertAlign w:val="subscript"/>
          <w:lang w:val="pt-BR"/>
        </w:rPr>
        <w:t>2</w:t>
      </w:r>
      <w:r w:rsidRPr="00EF085D">
        <w:rPr>
          <w:rFonts w:ascii="Times New Roman" w:hAnsi="Times New Roman"/>
          <w:lang w:val="pt-BR"/>
        </w:rPr>
        <w:t xml:space="preserve">, que também foram identificados na amostra </w:t>
      </w:r>
      <w:r w:rsidR="001A4B4A">
        <w:rPr>
          <w:rFonts w:ascii="Times New Roman" w:hAnsi="Times New Roman"/>
          <w:lang w:val="pt-BR"/>
        </w:rPr>
        <w:t>T</w:t>
      </w:r>
      <w:r w:rsidRPr="00EF085D">
        <w:rPr>
          <w:rFonts w:ascii="Times New Roman" w:hAnsi="Times New Roman"/>
          <w:lang w:val="pt-BR"/>
        </w:rPr>
        <w:t>. Observa-se que os picos de difração bem definidos caracterizam uma elevada cristalinidade dos materiais.</w:t>
      </w:r>
      <w:r w:rsidR="001A4B4A" w:rsidRPr="001A4B4A">
        <w:rPr>
          <w:lang w:val="pt-BR"/>
        </w:rPr>
        <w:t xml:space="preserve"> </w:t>
      </w:r>
    </w:p>
    <w:p w14:paraId="0E602AF9" w14:textId="084DFED2" w:rsidR="001A4B4A" w:rsidRPr="001A4B4A" w:rsidRDefault="001A4B4A" w:rsidP="001A4B4A">
      <w:pPr>
        <w:pStyle w:val="TAMainText"/>
        <w:ind w:firstLine="187"/>
        <w:rPr>
          <w:rFonts w:ascii="Times New Roman" w:hAnsi="Times New Roman"/>
          <w:lang w:val="pt-BR"/>
        </w:rPr>
      </w:pPr>
      <w:r w:rsidRPr="001A4B4A">
        <w:rPr>
          <w:rFonts w:ascii="Times New Roman" w:hAnsi="Times New Roman"/>
          <w:lang w:val="pt-BR"/>
        </w:rPr>
        <w:t>As fases puderam ser identificadas por meio da comparação dos difratogramas obtidos com o banco de dados ICSD, utilizando as seguintes fichas cristalográficas: NiFe</w:t>
      </w:r>
      <w:r w:rsidRPr="004A6692">
        <w:rPr>
          <w:rFonts w:ascii="Times New Roman" w:hAnsi="Times New Roman"/>
          <w:vertAlign w:val="subscript"/>
          <w:lang w:val="pt-BR"/>
        </w:rPr>
        <w:t>2</w:t>
      </w:r>
      <w:r w:rsidRPr="001A4B4A">
        <w:rPr>
          <w:rFonts w:ascii="Times New Roman" w:hAnsi="Times New Roman"/>
          <w:lang w:val="pt-BR"/>
        </w:rPr>
        <w:t>O</w:t>
      </w:r>
      <w:r w:rsidRPr="004A6692">
        <w:rPr>
          <w:rFonts w:ascii="Times New Roman" w:hAnsi="Times New Roman"/>
          <w:vertAlign w:val="subscript"/>
          <w:lang w:val="pt-BR"/>
        </w:rPr>
        <w:t>4</w:t>
      </w:r>
      <w:r w:rsidRPr="001A4B4A">
        <w:rPr>
          <w:rFonts w:ascii="Times New Roman" w:hAnsi="Times New Roman"/>
          <w:lang w:val="pt-BR"/>
        </w:rPr>
        <w:t xml:space="preserve"> (ICSD: 00-054-0964), α-Fe</w:t>
      </w:r>
      <w:r w:rsidRPr="004A6692">
        <w:rPr>
          <w:rFonts w:ascii="Times New Roman" w:hAnsi="Times New Roman"/>
          <w:vertAlign w:val="subscript"/>
          <w:lang w:val="pt-BR"/>
        </w:rPr>
        <w:t>2</w:t>
      </w:r>
      <w:r w:rsidRPr="001A4B4A">
        <w:rPr>
          <w:rFonts w:ascii="Times New Roman" w:hAnsi="Times New Roman"/>
          <w:lang w:val="pt-BR"/>
        </w:rPr>
        <w:t>O</w:t>
      </w:r>
      <w:r w:rsidRPr="004A6692">
        <w:rPr>
          <w:rFonts w:ascii="Times New Roman" w:hAnsi="Times New Roman"/>
          <w:vertAlign w:val="subscript"/>
          <w:lang w:val="pt-BR"/>
        </w:rPr>
        <w:t>3</w:t>
      </w:r>
      <w:r w:rsidRPr="001A4B4A">
        <w:rPr>
          <w:rFonts w:ascii="Times New Roman" w:hAnsi="Times New Roman"/>
          <w:lang w:val="pt-BR"/>
        </w:rPr>
        <w:t xml:space="preserve"> (ICSD: 01- 089-0598), NiO (ICSD: 01-089-7130), TiO</w:t>
      </w:r>
      <w:r w:rsidRPr="004A6692">
        <w:rPr>
          <w:rFonts w:ascii="Times New Roman" w:hAnsi="Times New Roman"/>
          <w:vertAlign w:val="subscript"/>
          <w:lang w:val="pt-BR"/>
        </w:rPr>
        <w:t>2</w:t>
      </w:r>
      <w:r w:rsidRPr="001A4B4A">
        <w:rPr>
          <w:rFonts w:ascii="Times New Roman" w:hAnsi="Times New Roman"/>
          <w:lang w:val="pt-BR"/>
        </w:rPr>
        <w:t xml:space="preserve"> anatase (ICSD: 01-0710- 1167) e TiO</w:t>
      </w:r>
      <w:r w:rsidRPr="004A6692">
        <w:rPr>
          <w:rFonts w:ascii="Times New Roman" w:hAnsi="Times New Roman"/>
          <w:vertAlign w:val="subscript"/>
          <w:lang w:val="pt-BR"/>
        </w:rPr>
        <w:t>2</w:t>
      </w:r>
      <w:r w:rsidRPr="001A4B4A">
        <w:rPr>
          <w:rFonts w:ascii="Times New Roman" w:hAnsi="Times New Roman"/>
          <w:lang w:val="pt-BR"/>
        </w:rPr>
        <w:t xml:space="preserve"> rutilo (ICSD: 01-076-1940).</w:t>
      </w:r>
      <w:r w:rsidR="00021570">
        <w:rPr>
          <w:rFonts w:ascii="Times New Roman" w:hAnsi="Times New Roman"/>
          <w:lang w:val="pt-BR"/>
        </w:rPr>
        <w:t xml:space="preserve"> </w:t>
      </w:r>
      <w:r w:rsidR="0087707C">
        <w:t>A Tabela 1 reporta a composição mássica das amostras sintetizadas, determinada pelo refinamento de Rietveld.</w:t>
      </w:r>
    </w:p>
    <w:p w14:paraId="1A5D45EF" w14:textId="77777777" w:rsidR="001A4B4A" w:rsidRPr="001A4B4A" w:rsidRDefault="001A4B4A" w:rsidP="001A4B4A">
      <w:pPr>
        <w:pStyle w:val="TAMainText"/>
        <w:ind w:firstLine="187"/>
        <w:rPr>
          <w:rFonts w:ascii="Times New Roman" w:hAnsi="Times New Roman"/>
          <w:lang w:val="pt-BR"/>
        </w:rPr>
      </w:pPr>
    </w:p>
    <w:p w14:paraId="082CE4E6" w14:textId="71E4F872" w:rsidR="001A4B4A" w:rsidRDefault="001F75A4" w:rsidP="001F75A4">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87707C" w:rsidRPr="00D12FC8">
        <w:rPr>
          <w:lang w:val="pt-BR"/>
        </w:rPr>
        <w:t xml:space="preserve">Composição </w:t>
      </w:r>
      <w:r w:rsidR="0087707C">
        <w:rPr>
          <w:lang w:val="pt-BR"/>
        </w:rPr>
        <w:t>química</w:t>
      </w:r>
      <w:r w:rsidR="0087707C" w:rsidRPr="00D12FC8">
        <w:rPr>
          <w:lang w:val="pt-BR"/>
        </w:rPr>
        <w:t xml:space="preserve"> das amostras </w:t>
      </w:r>
      <w:r w:rsidR="0087707C">
        <w:rPr>
          <w:lang w:val="pt-BR"/>
        </w:rPr>
        <w:t>determinada pelo</w:t>
      </w:r>
      <w:r w:rsidR="0087707C" w:rsidRPr="00D12FC8">
        <w:rPr>
          <w:lang w:val="pt-BR"/>
        </w:rPr>
        <w:t xml:space="preserve"> refinamento de Rietveld</w:t>
      </w:r>
      <w:r w:rsidR="0087707C">
        <w:rPr>
          <w:lang w:val="pt-BR"/>
        </w:rPr>
        <w:t xml:space="preserve"> dos difratogramas de raios X.</w:t>
      </w:r>
    </w:p>
    <w:tbl>
      <w:tblPr>
        <w:tblW w:w="45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6"/>
        <w:gridCol w:w="850"/>
        <w:gridCol w:w="709"/>
        <w:gridCol w:w="567"/>
        <w:gridCol w:w="851"/>
        <w:gridCol w:w="708"/>
      </w:tblGrid>
      <w:tr w:rsidR="007D12A3" w14:paraId="10C22FB5" w14:textId="62623DB1" w:rsidTr="001F75A4">
        <w:trPr>
          <w:trHeight w:val="177"/>
          <w:jc w:val="center"/>
        </w:trPr>
        <w:tc>
          <w:tcPr>
            <w:tcW w:w="846" w:type="dxa"/>
            <w:vMerge w:val="restart"/>
            <w:vAlign w:val="center"/>
          </w:tcPr>
          <w:p w14:paraId="25E975CE" w14:textId="7F88E2E4" w:rsidR="007D12A3" w:rsidRPr="001F75A4" w:rsidRDefault="007D12A3"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Amostra</w:t>
            </w:r>
          </w:p>
        </w:tc>
        <w:tc>
          <w:tcPr>
            <w:tcW w:w="3685" w:type="dxa"/>
            <w:gridSpan w:val="5"/>
            <w:vAlign w:val="center"/>
          </w:tcPr>
          <w:p w14:paraId="6DE58C36" w14:textId="41832831" w:rsidR="007D12A3" w:rsidRPr="001F75A4" w:rsidRDefault="007D12A3" w:rsidP="00C16A2C">
            <w:pPr>
              <w:pStyle w:val="TCTableBody"/>
              <w:spacing w:after="0" w:line="240" w:lineRule="auto"/>
              <w:jc w:val="center"/>
              <w:rPr>
                <w:rFonts w:ascii="Times New Roman" w:hAnsi="Times New Roman"/>
                <w:lang w:val="pt-BR"/>
              </w:rPr>
            </w:pPr>
            <w:r w:rsidRPr="001F75A4">
              <w:rPr>
                <w:rFonts w:ascii="Times New Roman" w:hAnsi="Times New Roman"/>
                <w:lang w:val="pt-BR"/>
              </w:rPr>
              <w:t>Composição mássica (%)</w:t>
            </w:r>
          </w:p>
        </w:tc>
      </w:tr>
      <w:tr w:rsidR="007D12A3" w14:paraId="7878BE92" w14:textId="77777777" w:rsidTr="001F75A4">
        <w:trPr>
          <w:trHeight w:val="176"/>
          <w:jc w:val="center"/>
        </w:trPr>
        <w:tc>
          <w:tcPr>
            <w:tcW w:w="846" w:type="dxa"/>
            <w:vMerge/>
            <w:vAlign w:val="center"/>
          </w:tcPr>
          <w:p w14:paraId="6FBFAFBA" w14:textId="77777777" w:rsidR="007D12A3" w:rsidRPr="001F75A4" w:rsidRDefault="007D12A3" w:rsidP="001F75A4">
            <w:pPr>
              <w:pStyle w:val="TCTableBody"/>
              <w:spacing w:after="0" w:line="240" w:lineRule="auto"/>
              <w:jc w:val="center"/>
              <w:rPr>
                <w:rFonts w:ascii="Times New Roman" w:hAnsi="Times New Roman"/>
                <w:lang w:val="pt-BR"/>
              </w:rPr>
            </w:pPr>
          </w:p>
        </w:tc>
        <w:tc>
          <w:tcPr>
            <w:tcW w:w="850" w:type="dxa"/>
            <w:vAlign w:val="center"/>
          </w:tcPr>
          <w:p w14:paraId="27C56B5B" w14:textId="3EB9AAA8" w:rsidR="007D12A3" w:rsidRPr="001F75A4" w:rsidRDefault="007D12A3"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NiFe</w:t>
            </w:r>
            <w:r w:rsidRPr="001F75A4">
              <w:rPr>
                <w:rFonts w:ascii="Times New Roman" w:hAnsi="Times New Roman"/>
                <w:vertAlign w:val="subscript"/>
                <w:lang w:val="pt-BR"/>
              </w:rPr>
              <w:t>2</w:t>
            </w:r>
            <w:r w:rsidRPr="001F75A4">
              <w:rPr>
                <w:rFonts w:ascii="Times New Roman" w:hAnsi="Times New Roman"/>
                <w:lang w:val="pt-BR"/>
              </w:rPr>
              <w:t>O</w:t>
            </w:r>
            <w:r w:rsidRPr="001F75A4">
              <w:rPr>
                <w:rFonts w:ascii="Times New Roman" w:hAnsi="Times New Roman"/>
                <w:vertAlign w:val="subscript"/>
                <w:lang w:val="pt-BR"/>
              </w:rPr>
              <w:t>4</w:t>
            </w:r>
          </w:p>
        </w:tc>
        <w:tc>
          <w:tcPr>
            <w:tcW w:w="709" w:type="dxa"/>
            <w:vAlign w:val="center"/>
          </w:tcPr>
          <w:p w14:paraId="5BB45467" w14:textId="60A9005C" w:rsidR="007D12A3" w:rsidRPr="001F75A4" w:rsidRDefault="007D12A3"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Fe</w:t>
            </w:r>
            <w:r w:rsidRPr="001F75A4">
              <w:rPr>
                <w:rFonts w:ascii="Times New Roman" w:hAnsi="Times New Roman"/>
                <w:vertAlign w:val="subscript"/>
                <w:lang w:val="pt-BR"/>
              </w:rPr>
              <w:t>2</w:t>
            </w:r>
            <w:r w:rsidRPr="001F75A4">
              <w:rPr>
                <w:rFonts w:ascii="Times New Roman" w:hAnsi="Times New Roman"/>
                <w:lang w:val="pt-BR"/>
              </w:rPr>
              <w:t>O</w:t>
            </w:r>
            <w:r w:rsidRPr="001F75A4">
              <w:rPr>
                <w:rFonts w:ascii="Times New Roman" w:hAnsi="Times New Roman"/>
                <w:vertAlign w:val="subscript"/>
                <w:lang w:val="pt-BR"/>
              </w:rPr>
              <w:t>3</w:t>
            </w:r>
          </w:p>
        </w:tc>
        <w:tc>
          <w:tcPr>
            <w:tcW w:w="567" w:type="dxa"/>
            <w:vAlign w:val="center"/>
          </w:tcPr>
          <w:p w14:paraId="3016E529" w14:textId="41612A1D" w:rsidR="007D12A3" w:rsidRPr="001F75A4" w:rsidRDefault="007D12A3"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NiO</w:t>
            </w:r>
          </w:p>
        </w:tc>
        <w:tc>
          <w:tcPr>
            <w:tcW w:w="851" w:type="dxa"/>
            <w:vAlign w:val="center"/>
          </w:tcPr>
          <w:p w14:paraId="79622564" w14:textId="64DBBB01" w:rsidR="007D12A3" w:rsidRPr="001F75A4" w:rsidRDefault="007D12A3"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Anatase</w:t>
            </w:r>
          </w:p>
        </w:tc>
        <w:tc>
          <w:tcPr>
            <w:tcW w:w="708" w:type="dxa"/>
            <w:vAlign w:val="center"/>
          </w:tcPr>
          <w:p w14:paraId="454162D1" w14:textId="4B8D8D9F" w:rsidR="007D12A3" w:rsidRPr="001F75A4" w:rsidRDefault="007D12A3"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Rutilo</w:t>
            </w:r>
          </w:p>
        </w:tc>
      </w:tr>
      <w:tr w:rsidR="007D12A3" w14:paraId="72B01E4F" w14:textId="1A40D673" w:rsidTr="007F50E6">
        <w:trPr>
          <w:trHeight w:val="260"/>
          <w:jc w:val="center"/>
        </w:trPr>
        <w:tc>
          <w:tcPr>
            <w:tcW w:w="846" w:type="dxa"/>
            <w:vAlign w:val="center"/>
          </w:tcPr>
          <w:p w14:paraId="04ACDF0A" w14:textId="4EEFE9D4" w:rsidR="007D12A3" w:rsidRPr="001F75A4" w:rsidRDefault="007D12A3"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T</w:t>
            </w:r>
          </w:p>
        </w:tc>
        <w:tc>
          <w:tcPr>
            <w:tcW w:w="850" w:type="dxa"/>
            <w:vAlign w:val="center"/>
          </w:tcPr>
          <w:p w14:paraId="76F54385" w14:textId="4C916A5D" w:rsidR="007D12A3" w:rsidRPr="001F75A4" w:rsidRDefault="001F75A4" w:rsidP="001F75A4">
            <w:pPr>
              <w:pStyle w:val="TCTableBody"/>
              <w:spacing w:after="0" w:line="240" w:lineRule="auto"/>
              <w:jc w:val="center"/>
              <w:rPr>
                <w:rFonts w:ascii="Times New Roman" w:hAnsi="Times New Roman"/>
                <w:lang w:val="pt-BR"/>
              </w:rPr>
            </w:pPr>
            <w:r>
              <w:rPr>
                <w:rFonts w:ascii="Times New Roman" w:hAnsi="Times New Roman"/>
                <w:lang w:val="pt-BR"/>
              </w:rPr>
              <w:t>----</w:t>
            </w:r>
          </w:p>
        </w:tc>
        <w:tc>
          <w:tcPr>
            <w:tcW w:w="709" w:type="dxa"/>
            <w:vAlign w:val="center"/>
          </w:tcPr>
          <w:p w14:paraId="3A2C2AB2" w14:textId="56A21EE6" w:rsidR="007D12A3" w:rsidRPr="001F75A4" w:rsidRDefault="001F75A4" w:rsidP="001F75A4">
            <w:pPr>
              <w:pStyle w:val="TCTableBody"/>
              <w:spacing w:after="0" w:line="240" w:lineRule="auto"/>
              <w:jc w:val="center"/>
              <w:rPr>
                <w:rFonts w:ascii="Times New Roman" w:hAnsi="Times New Roman"/>
                <w:lang w:val="pt-BR"/>
              </w:rPr>
            </w:pPr>
            <w:r>
              <w:rPr>
                <w:rFonts w:ascii="Times New Roman" w:hAnsi="Times New Roman"/>
                <w:lang w:val="pt-BR"/>
              </w:rPr>
              <w:t>----</w:t>
            </w:r>
          </w:p>
        </w:tc>
        <w:tc>
          <w:tcPr>
            <w:tcW w:w="567" w:type="dxa"/>
            <w:vAlign w:val="center"/>
          </w:tcPr>
          <w:p w14:paraId="75881E10" w14:textId="24883EE3" w:rsidR="007D12A3" w:rsidRPr="001F75A4" w:rsidRDefault="001F75A4" w:rsidP="001F75A4">
            <w:pPr>
              <w:pStyle w:val="TCTableBody"/>
              <w:spacing w:after="0" w:line="240" w:lineRule="auto"/>
              <w:jc w:val="center"/>
              <w:rPr>
                <w:rFonts w:ascii="Times New Roman" w:hAnsi="Times New Roman"/>
                <w:lang w:val="pt-BR"/>
              </w:rPr>
            </w:pPr>
            <w:r>
              <w:rPr>
                <w:rFonts w:ascii="Times New Roman" w:hAnsi="Times New Roman"/>
                <w:lang w:val="pt-BR"/>
              </w:rPr>
              <w:t>----</w:t>
            </w:r>
          </w:p>
        </w:tc>
        <w:tc>
          <w:tcPr>
            <w:tcW w:w="851" w:type="dxa"/>
            <w:vAlign w:val="center"/>
          </w:tcPr>
          <w:p w14:paraId="01F630D2" w14:textId="07C083AE"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33</w:t>
            </w:r>
          </w:p>
        </w:tc>
        <w:tc>
          <w:tcPr>
            <w:tcW w:w="708" w:type="dxa"/>
            <w:vAlign w:val="center"/>
          </w:tcPr>
          <w:p w14:paraId="446FC3BB" w14:textId="7F886241"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67</w:t>
            </w:r>
          </w:p>
        </w:tc>
      </w:tr>
      <w:tr w:rsidR="002D4AE4" w14:paraId="0981AE75" w14:textId="77777777" w:rsidTr="007F50E6">
        <w:trPr>
          <w:trHeight w:val="122"/>
          <w:jc w:val="center"/>
        </w:trPr>
        <w:tc>
          <w:tcPr>
            <w:tcW w:w="846" w:type="dxa"/>
            <w:vAlign w:val="center"/>
          </w:tcPr>
          <w:p w14:paraId="182BA410" w14:textId="4F0E71D4" w:rsidR="002D4AE4"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F</w:t>
            </w:r>
          </w:p>
        </w:tc>
        <w:tc>
          <w:tcPr>
            <w:tcW w:w="850" w:type="dxa"/>
            <w:vAlign w:val="center"/>
          </w:tcPr>
          <w:p w14:paraId="5D41B1EF" w14:textId="59C9ED2C" w:rsidR="002D4AE4"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85</w:t>
            </w:r>
          </w:p>
        </w:tc>
        <w:tc>
          <w:tcPr>
            <w:tcW w:w="709" w:type="dxa"/>
            <w:vAlign w:val="center"/>
          </w:tcPr>
          <w:p w14:paraId="3C53F989" w14:textId="65A9BD51" w:rsidR="002D4AE4"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9</w:t>
            </w:r>
          </w:p>
        </w:tc>
        <w:tc>
          <w:tcPr>
            <w:tcW w:w="567" w:type="dxa"/>
            <w:vAlign w:val="center"/>
          </w:tcPr>
          <w:p w14:paraId="7C98E331" w14:textId="44DAA08B" w:rsidR="002D4AE4"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6</w:t>
            </w:r>
          </w:p>
        </w:tc>
        <w:tc>
          <w:tcPr>
            <w:tcW w:w="851" w:type="dxa"/>
            <w:vAlign w:val="center"/>
          </w:tcPr>
          <w:p w14:paraId="1050DA9F" w14:textId="6E8E4BA7" w:rsidR="002D4AE4" w:rsidRPr="001F75A4" w:rsidRDefault="001F75A4" w:rsidP="001F75A4">
            <w:pPr>
              <w:pStyle w:val="TCTableBody"/>
              <w:spacing w:after="0" w:line="240" w:lineRule="auto"/>
              <w:jc w:val="center"/>
              <w:rPr>
                <w:rFonts w:ascii="Times New Roman" w:hAnsi="Times New Roman"/>
                <w:lang w:val="pt-BR"/>
              </w:rPr>
            </w:pPr>
            <w:r>
              <w:rPr>
                <w:rFonts w:ascii="Times New Roman" w:hAnsi="Times New Roman"/>
                <w:lang w:val="pt-BR"/>
              </w:rPr>
              <w:t>----</w:t>
            </w:r>
          </w:p>
        </w:tc>
        <w:tc>
          <w:tcPr>
            <w:tcW w:w="708" w:type="dxa"/>
            <w:vAlign w:val="center"/>
          </w:tcPr>
          <w:p w14:paraId="08DFB725" w14:textId="7689F93D" w:rsidR="002D4AE4" w:rsidRPr="001F75A4" w:rsidRDefault="001F75A4" w:rsidP="001F75A4">
            <w:pPr>
              <w:pStyle w:val="TCTableBody"/>
              <w:spacing w:after="0" w:line="240" w:lineRule="auto"/>
              <w:jc w:val="center"/>
              <w:rPr>
                <w:rFonts w:ascii="Times New Roman" w:hAnsi="Times New Roman"/>
                <w:lang w:val="pt-BR"/>
              </w:rPr>
            </w:pPr>
            <w:r>
              <w:rPr>
                <w:rFonts w:ascii="Times New Roman" w:hAnsi="Times New Roman"/>
                <w:lang w:val="pt-BR"/>
              </w:rPr>
              <w:t>----</w:t>
            </w:r>
          </w:p>
        </w:tc>
      </w:tr>
      <w:tr w:rsidR="007D12A3" w14:paraId="55953CEB" w14:textId="0EB4C17E" w:rsidTr="007F50E6">
        <w:trPr>
          <w:trHeight w:val="196"/>
          <w:jc w:val="center"/>
        </w:trPr>
        <w:tc>
          <w:tcPr>
            <w:tcW w:w="846" w:type="dxa"/>
            <w:vAlign w:val="center"/>
          </w:tcPr>
          <w:p w14:paraId="5EFB2A33" w14:textId="5169E6DC" w:rsidR="007D12A3" w:rsidRPr="001F75A4" w:rsidRDefault="007D12A3"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FT</w:t>
            </w:r>
          </w:p>
        </w:tc>
        <w:tc>
          <w:tcPr>
            <w:tcW w:w="850" w:type="dxa"/>
            <w:vAlign w:val="center"/>
          </w:tcPr>
          <w:p w14:paraId="648EDDBD" w14:textId="7C30EB38"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34</w:t>
            </w:r>
          </w:p>
        </w:tc>
        <w:tc>
          <w:tcPr>
            <w:tcW w:w="709" w:type="dxa"/>
            <w:vAlign w:val="center"/>
          </w:tcPr>
          <w:p w14:paraId="57DD7520" w14:textId="0F815061"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5</w:t>
            </w:r>
          </w:p>
        </w:tc>
        <w:tc>
          <w:tcPr>
            <w:tcW w:w="567" w:type="dxa"/>
            <w:vAlign w:val="center"/>
          </w:tcPr>
          <w:p w14:paraId="75763513" w14:textId="733BB296"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1</w:t>
            </w:r>
          </w:p>
        </w:tc>
        <w:tc>
          <w:tcPr>
            <w:tcW w:w="851" w:type="dxa"/>
            <w:vAlign w:val="center"/>
          </w:tcPr>
          <w:p w14:paraId="52DF0F50" w14:textId="543F2B96"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7</w:t>
            </w:r>
          </w:p>
        </w:tc>
        <w:tc>
          <w:tcPr>
            <w:tcW w:w="708" w:type="dxa"/>
            <w:vAlign w:val="center"/>
          </w:tcPr>
          <w:p w14:paraId="476FA91C" w14:textId="16780684"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53</w:t>
            </w:r>
          </w:p>
        </w:tc>
      </w:tr>
      <w:tr w:rsidR="007D12A3" w14:paraId="5617700D" w14:textId="21B762B4" w:rsidTr="007F50E6">
        <w:trPr>
          <w:trHeight w:val="100"/>
          <w:jc w:val="center"/>
        </w:trPr>
        <w:tc>
          <w:tcPr>
            <w:tcW w:w="846" w:type="dxa"/>
            <w:vAlign w:val="center"/>
          </w:tcPr>
          <w:p w14:paraId="2FD43908" w14:textId="5D2246F0" w:rsidR="007D12A3" w:rsidRPr="001F75A4" w:rsidRDefault="007D12A3"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FT0,1</w:t>
            </w:r>
          </w:p>
        </w:tc>
        <w:tc>
          <w:tcPr>
            <w:tcW w:w="850" w:type="dxa"/>
            <w:vAlign w:val="center"/>
          </w:tcPr>
          <w:p w14:paraId="7B9CB335" w14:textId="159EB472"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36</w:t>
            </w:r>
          </w:p>
        </w:tc>
        <w:tc>
          <w:tcPr>
            <w:tcW w:w="709" w:type="dxa"/>
            <w:vAlign w:val="center"/>
          </w:tcPr>
          <w:p w14:paraId="4593E726" w14:textId="6920888E"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6</w:t>
            </w:r>
          </w:p>
        </w:tc>
        <w:tc>
          <w:tcPr>
            <w:tcW w:w="567" w:type="dxa"/>
            <w:vAlign w:val="center"/>
          </w:tcPr>
          <w:p w14:paraId="1C8822D3" w14:textId="0D0B4AB2"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1</w:t>
            </w:r>
          </w:p>
        </w:tc>
        <w:tc>
          <w:tcPr>
            <w:tcW w:w="851" w:type="dxa"/>
            <w:vAlign w:val="center"/>
          </w:tcPr>
          <w:p w14:paraId="2DACA6CF" w14:textId="60A0C945"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3</w:t>
            </w:r>
          </w:p>
        </w:tc>
        <w:tc>
          <w:tcPr>
            <w:tcW w:w="708" w:type="dxa"/>
            <w:vAlign w:val="center"/>
          </w:tcPr>
          <w:p w14:paraId="13524A77" w14:textId="5C00E59F"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54</w:t>
            </w:r>
          </w:p>
        </w:tc>
      </w:tr>
      <w:tr w:rsidR="007D12A3" w14:paraId="199662C9" w14:textId="56FF7E1D" w:rsidTr="007F50E6">
        <w:trPr>
          <w:trHeight w:val="174"/>
          <w:jc w:val="center"/>
        </w:trPr>
        <w:tc>
          <w:tcPr>
            <w:tcW w:w="846" w:type="dxa"/>
            <w:vAlign w:val="center"/>
          </w:tcPr>
          <w:p w14:paraId="320E85EF" w14:textId="633DB0BD" w:rsidR="007D12A3" w:rsidRPr="001F75A4" w:rsidRDefault="007D12A3"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FT0,5</w:t>
            </w:r>
          </w:p>
        </w:tc>
        <w:tc>
          <w:tcPr>
            <w:tcW w:w="850" w:type="dxa"/>
            <w:vAlign w:val="center"/>
          </w:tcPr>
          <w:p w14:paraId="7234F7FD" w14:textId="047D3FA0"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35</w:t>
            </w:r>
          </w:p>
        </w:tc>
        <w:tc>
          <w:tcPr>
            <w:tcW w:w="709" w:type="dxa"/>
            <w:vAlign w:val="center"/>
          </w:tcPr>
          <w:p w14:paraId="751AA0C4" w14:textId="20238EBF"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6</w:t>
            </w:r>
          </w:p>
        </w:tc>
        <w:tc>
          <w:tcPr>
            <w:tcW w:w="567" w:type="dxa"/>
            <w:vAlign w:val="center"/>
          </w:tcPr>
          <w:p w14:paraId="220F21DA" w14:textId="053D5121"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1</w:t>
            </w:r>
          </w:p>
        </w:tc>
        <w:tc>
          <w:tcPr>
            <w:tcW w:w="851" w:type="dxa"/>
            <w:vAlign w:val="center"/>
          </w:tcPr>
          <w:p w14:paraId="39926171" w14:textId="13564EDC"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4</w:t>
            </w:r>
          </w:p>
        </w:tc>
        <w:tc>
          <w:tcPr>
            <w:tcW w:w="708" w:type="dxa"/>
            <w:vAlign w:val="center"/>
          </w:tcPr>
          <w:p w14:paraId="2295F1EF" w14:textId="2975DCCE"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54</w:t>
            </w:r>
          </w:p>
        </w:tc>
      </w:tr>
      <w:tr w:rsidR="007D12A3" w14:paraId="3A4A7077" w14:textId="6D6F17AB" w:rsidTr="007F50E6">
        <w:trPr>
          <w:trHeight w:val="92"/>
          <w:jc w:val="center"/>
        </w:trPr>
        <w:tc>
          <w:tcPr>
            <w:tcW w:w="846" w:type="dxa"/>
            <w:tcBorders>
              <w:bottom w:val="single" w:sz="6" w:space="0" w:color="auto"/>
            </w:tcBorders>
            <w:vAlign w:val="center"/>
          </w:tcPr>
          <w:p w14:paraId="11C01BDB" w14:textId="423CE1A4" w:rsidR="007D12A3" w:rsidRPr="001F75A4" w:rsidRDefault="007D12A3"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FT1</w:t>
            </w:r>
          </w:p>
        </w:tc>
        <w:tc>
          <w:tcPr>
            <w:tcW w:w="850" w:type="dxa"/>
            <w:tcBorders>
              <w:bottom w:val="single" w:sz="6" w:space="0" w:color="auto"/>
            </w:tcBorders>
            <w:vAlign w:val="center"/>
          </w:tcPr>
          <w:p w14:paraId="11F94966" w14:textId="53FE982B"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32</w:t>
            </w:r>
          </w:p>
        </w:tc>
        <w:tc>
          <w:tcPr>
            <w:tcW w:w="709" w:type="dxa"/>
            <w:tcBorders>
              <w:bottom w:val="single" w:sz="6" w:space="0" w:color="auto"/>
            </w:tcBorders>
            <w:vAlign w:val="center"/>
          </w:tcPr>
          <w:p w14:paraId="2381814F" w14:textId="0F280317"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7</w:t>
            </w:r>
          </w:p>
        </w:tc>
        <w:tc>
          <w:tcPr>
            <w:tcW w:w="567" w:type="dxa"/>
            <w:tcBorders>
              <w:bottom w:val="single" w:sz="6" w:space="0" w:color="auto"/>
            </w:tcBorders>
            <w:vAlign w:val="center"/>
          </w:tcPr>
          <w:p w14:paraId="6A5F8592" w14:textId="1C5E16E3"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1</w:t>
            </w:r>
          </w:p>
        </w:tc>
        <w:tc>
          <w:tcPr>
            <w:tcW w:w="851" w:type="dxa"/>
            <w:tcBorders>
              <w:bottom w:val="single" w:sz="6" w:space="0" w:color="auto"/>
            </w:tcBorders>
            <w:vAlign w:val="center"/>
          </w:tcPr>
          <w:p w14:paraId="6D942188" w14:textId="711C0BE3"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5</w:t>
            </w:r>
          </w:p>
        </w:tc>
        <w:tc>
          <w:tcPr>
            <w:tcW w:w="708" w:type="dxa"/>
            <w:tcBorders>
              <w:bottom w:val="single" w:sz="6" w:space="0" w:color="auto"/>
            </w:tcBorders>
            <w:vAlign w:val="center"/>
          </w:tcPr>
          <w:p w14:paraId="59EBDDA7" w14:textId="29A48EB9" w:rsidR="007D12A3" w:rsidRPr="001F75A4" w:rsidRDefault="002D4AE4" w:rsidP="001F75A4">
            <w:pPr>
              <w:pStyle w:val="TCTableBody"/>
              <w:spacing w:after="0" w:line="240" w:lineRule="auto"/>
              <w:jc w:val="center"/>
              <w:rPr>
                <w:rFonts w:ascii="Times New Roman" w:hAnsi="Times New Roman"/>
                <w:lang w:val="pt-BR"/>
              </w:rPr>
            </w:pPr>
            <w:r w:rsidRPr="001F75A4">
              <w:rPr>
                <w:rFonts w:ascii="Times New Roman" w:hAnsi="Times New Roman"/>
                <w:lang w:val="pt-BR"/>
              </w:rPr>
              <w:t>55</w:t>
            </w:r>
          </w:p>
        </w:tc>
      </w:tr>
    </w:tbl>
    <w:p w14:paraId="08FACC45" w14:textId="77777777" w:rsidR="001A4B4A" w:rsidRPr="001A4B4A" w:rsidRDefault="001A4B4A" w:rsidP="001A4B4A">
      <w:pPr>
        <w:pStyle w:val="TAMainText"/>
        <w:ind w:firstLine="187"/>
        <w:rPr>
          <w:rFonts w:ascii="Times New Roman" w:hAnsi="Times New Roman"/>
          <w:lang w:val="pt-BR"/>
        </w:rPr>
      </w:pPr>
    </w:p>
    <w:p w14:paraId="7861A573" w14:textId="2A78667F" w:rsidR="001A4B4A" w:rsidRDefault="0087707C" w:rsidP="001A4B4A">
      <w:pPr>
        <w:pStyle w:val="TAMainText"/>
        <w:ind w:firstLine="187"/>
      </w:pPr>
      <w:r>
        <w:t>Verifica-se que am</w:t>
      </w:r>
      <w:r w:rsidR="00896D28">
        <w:t>ostra F</w:t>
      </w:r>
      <w:r>
        <w:t xml:space="preserve"> apresentou, como fase majoritária, a ferrita de níquel (NiFe</w:t>
      </w:r>
      <w:r>
        <w:rPr>
          <w:vertAlign w:val="subscript"/>
        </w:rPr>
        <w:t>2</w:t>
      </w:r>
      <w:r>
        <w:t>O</w:t>
      </w:r>
      <w:r>
        <w:rPr>
          <w:vertAlign w:val="subscript"/>
        </w:rPr>
        <w:t>4</w:t>
      </w:r>
      <w:r>
        <w:t>, 85%) e, como fases minoritárias, hematita (</w:t>
      </w:r>
      <w:r>
        <w:rPr>
          <w:rFonts w:cs="Arial"/>
        </w:rPr>
        <w:t>α</w:t>
      </w:r>
      <w:r>
        <w:t>-Fe</w:t>
      </w:r>
      <w:r>
        <w:rPr>
          <w:vertAlign w:val="subscript"/>
        </w:rPr>
        <w:t>2</w:t>
      </w:r>
      <w:r>
        <w:t>O</w:t>
      </w:r>
      <w:r>
        <w:rPr>
          <w:vertAlign w:val="subscript"/>
        </w:rPr>
        <w:t>3</w:t>
      </w:r>
      <w:r>
        <w:t xml:space="preserve">, 9%) e bunsenita (NiO, 6%). Anatase e rutilo representaram, respectivamente, 33% e 67% da composição mássica da amostra </w:t>
      </w:r>
      <w:r w:rsidR="00896D28">
        <w:t>T</w:t>
      </w:r>
      <w:r>
        <w:t>.</w:t>
      </w:r>
    </w:p>
    <w:p w14:paraId="785D5BE4" w14:textId="1D639543" w:rsidR="003C7971" w:rsidRDefault="00896D28" w:rsidP="003C7971">
      <w:pPr>
        <w:pStyle w:val="TAMainText"/>
        <w:ind w:firstLine="187"/>
        <w:rPr>
          <w:rFonts w:ascii="Times New Roman" w:hAnsi="Times New Roman"/>
          <w:lang w:val="pt-BR"/>
        </w:rPr>
      </w:pPr>
      <w:r>
        <w:t>Nas heterojunções, o material interno (</w:t>
      </w:r>
      <w:r>
        <w:rPr>
          <w:i/>
        </w:rPr>
        <w:t>core</w:t>
      </w:r>
      <w:r w:rsidR="00021570">
        <w:t>) apresentou</w:t>
      </w:r>
      <w:r>
        <w:t>, como fase majoritária, a ferrita de níquel. A fase</w:t>
      </w:r>
      <w:r w:rsidR="003C7971">
        <w:t xml:space="preserve"> de revestimento </w:t>
      </w:r>
      <w:r>
        <w:t>(</w:t>
      </w:r>
      <w:r>
        <w:rPr>
          <w:i/>
        </w:rPr>
        <w:t>shell</w:t>
      </w:r>
      <w:r>
        <w:t xml:space="preserve">), por sua vez, </w:t>
      </w:r>
      <w:r w:rsidR="00021570">
        <w:t>foi</w:t>
      </w:r>
      <w:r>
        <w:t xml:space="preserve"> constituída predominatemente pela fase rutilo. Verifica-se, pois, que a </w:t>
      </w:r>
      <w:r w:rsidR="001D3985">
        <w:lastRenderedPageBreak/>
        <w:t>formação das heterojunções</w:t>
      </w:r>
      <w:r>
        <w:t xml:space="preserve"> acarretou </w:t>
      </w:r>
      <w:r w:rsidR="001D3985">
        <w:t xml:space="preserve">em </w:t>
      </w:r>
      <w:r>
        <w:t xml:space="preserve">um aumento significativo no teor de rutilo em relação à anatase. </w:t>
      </w:r>
    </w:p>
    <w:p w14:paraId="7AD22225" w14:textId="7A915694" w:rsidR="00F13A5E" w:rsidRPr="00E144AB" w:rsidRDefault="00F13A5E" w:rsidP="00E144AB">
      <w:pPr>
        <w:pStyle w:val="TAMainText"/>
        <w:ind w:firstLine="187"/>
        <w:rPr>
          <w:rFonts w:ascii="Times New Roman" w:hAnsi="Times New Roman"/>
          <w:highlight w:val="yellow"/>
          <w:lang w:val="pt-BR"/>
        </w:rPr>
      </w:pPr>
      <w:r w:rsidRPr="00F13A5E">
        <w:rPr>
          <w:rFonts w:ascii="Times New Roman" w:hAnsi="Times New Roman"/>
          <w:lang w:val="pt-BR"/>
        </w:rPr>
        <w:t xml:space="preserve">A </w:t>
      </w:r>
      <w:r w:rsidR="003C7971">
        <w:rPr>
          <w:rFonts w:ascii="Times New Roman" w:hAnsi="Times New Roman"/>
          <w:lang w:val="pt-BR"/>
        </w:rPr>
        <w:t>espectroscopia de fotoluminescência</w:t>
      </w:r>
      <w:r w:rsidRPr="00F13A5E">
        <w:rPr>
          <w:rFonts w:ascii="Times New Roman" w:hAnsi="Times New Roman"/>
          <w:lang w:val="pt-BR"/>
        </w:rPr>
        <w:t xml:space="preserve"> </w:t>
      </w:r>
      <w:r w:rsidR="003C7971">
        <w:rPr>
          <w:rFonts w:ascii="Times New Roman" w:hAnsi="Times New Roman"/>
          <w:lang w:val="pt-BR"/>
        </w:rPr>
        <w:t>(</w:t>
      </w:r>
      <w:r w:rsidRPr="00F13A5E">
        <w:rPr>
          <w:rFonts w:ascii="Times New Roman" w:hAnsi="Times New Roman"/>
          <w:lang w:val="pt-BR"/>
        </w:rPr>
        <w:t>PL</w:t>
      </w:r>
      <w:r w:rsidR="003C7971">
        <w:rPr>
          <w:rFonts w:ascii="Times New Roman" w:hAnsi="Times New Roman"/>
          <w:lang w:val="pt-BR"/>
        </w:rPr>
        <w:t>)</w:t>
      </w:r>
      <w:r w:rsidRPr="00F13A5E">
        <w:rPr>
          <w:rFonts w:ascii="Times New Roman" w:hAnsi="Times New Roman"/>
          <w:lang w:val="pt-BR"/>
        </w:rPr>
        <w:t xml:space="preserve"> foi empregada nesse trabalho para se averiguar a taxa de recombinação eletrônica nos fotocatalisadores. De acordo com a </w:t>
      </w:r>
      <w:r w:rsidRPr="00E144AB">
        <w:rPr>
          <w:rFonts w:ascii="Times New Roman" w:hAnsi="Times New Roman"/>
          <w:lang w:val="pt-BR"/>
        </w:rPr>
        <w:t>literatura (</w:t>
      </w:r>
      <w:r w:rsidR="00E144AB" w:rsidRPr="00E144AB">
        <w:rPr>
          <w:rFonts w:ascii="Times New Roman" w:hAnsi="Times New Roman"/>
          <w:lang w:val="pt-BR"/>
        </w:rPr>
        <w:t>4</w:t>
      </w:r>
      <w:r w:rsidRPr="00E144AB">
        <w:rPr>
          <w:rFonts w:ascii="Times New Roman" w:hAnsi="Times New Roman"/>
          <w:lang w:val="pt-BR"/>
        </w:rPr>
        <w:t>), quanto maior a intensidade das bandas de emissão em espectros</w:t>
      </w:r>
      <w:bookmarkStart w:id="2" w:name="_GoBack"/>
      <w:bookmarkEnd w:id="2"/>
      <w:r w:rsidRPr="00F13A5E">
        <w:rPr>
          <w:rFonts w:ascii="Times New Roman" w:hAnsi="Times New Roman"/>
          <w:lang w:val="pt-BR"/>
        </w:rPr>
        <w:t xml:space="preserve"> de </w:t>
      </w:r>
      <w:r w:rsidR="004A6692" w:rsidRPr="00F13A5E">
        <w:rPr>
          <w:rFonts w:ascii="Times New Roman" w:hAnsi="Times New Roman"/>
          <w:lang w:val="pt-BR"/>
        </w:rPr>
        <w:t>fotoluminescência</w:t>
      </w:r>
      <w:r w:rsidRPr="00F13A5E">
        <w:rPr>
          <w:rFonts w:ascii="Times New Roman" w:hAnsi="Times New Roman"/>
          <w:lang w:val="pt-BR"/>
        </w:rPr>
        <w:t xml:space="preserve">, maior é a taxa de recombinação eletrônica, o que não é interessante do ponto de vista fotocatalítico. </w:t>
      </w:r>
      <w:r w:rsidR="005129AF">
        <w:rPr>
          <w:rFonts w:ascii="Times New Roman" w:hAnsi="Times New Roman"/>
          <w:lang w:val="pt-BR"/>
        </w:rPr>
        <w:t>De acordo com a</w:t>
      </w:r>
      <w:r w:rsidRPr="00F13A5E">
        <w:rPr>
          <w:rFonts w:ascii="Times New Roman" w:hAnsi="Times New Roman"/>
          <w:lang w:val="pt-BR"/>
        </w:rPr>
        <w:t xml:space="preserve"> Figura </w:t>
      </w:r>
      <w:r w:rsidR="00380DDD">
        <w:rPr>
          <w:rFonts w:ascii="Times New Roman" w:hAnsi="Times New Roman"/>
          <w:lang w:val="pt-BR"/>
        </w:rPr>
        <w:t>2</w:t>
      </w:r>
      <w:r w:rsidRPr="00F13A5E">
        <w:rPr>
          <w:rFonts w:ascii="Times New Roman" w:hAnsi="Times New Roman"/>
          <w:lang w:val="pt-BR"/>
        </w:rPr>
        <w:t xml:space="preserve">, observa-se que a amostra </w:t>
      </w:r>
      <w:r>
        <w:rPr>
          <w:rFonts w:ascii="Times New Roman" w:hAnsi="Times New Roman"/>
          <w:lang w:val="pt-BR"/>
        </w:rPr>
        <w:t>T</w:t>
      </w:r>
      <w:r w:rsidRPr="00F13A5E">
        <w:rPr>
          <w:rFonts w:ascii="Times New Roman" w:hAnsi="Times New Roman"/>
          <w:lang w:val="pt-BR"/>
        </w:rPr>
        <w:t xml:space="preserve"> (TiO</w:t>
      </w:r>
      <w:r w:rsidRPr="004A6692">
        <w:rPr>
          <w:rFonts w:ascii="Times New Roman" w:hAnsi="Times New Roman"/>
          <w:vertAlign w:val="subscript"/>
          <w:lang w:val="pt-BR"/>
        </w:rPr>
        <w:t>2</w:t>
      </w:r>
      <w:r w:rsidRPr="00F13A5E">
        <w:rPr>
          <w:rFonts w:ascii="Times New Roman" w:hAnsi="Times New Roman"/>
          <w:lang w:val="pt-BR"/>
        </w:rPr>
        <w:t xml:space="preserve">) apresentou forte emissão fluorescente, seguida pelas amostras </w:t>
      </w:r>
      <w:r w:rsidR="005472D2">
        <w:rPr>
          <w:rFonts w:ascii="Times New Roman" w:hAnsi="Times New Roman"/>
          <w:lang w:val="pt-BR"/>
        </w:rPr>
        <w:t>FT1</w:t>
      </w:r>
      <w:r w:rsidRPr="00F13A5E">
        <w:rPr>
          <w:rFonts w:ascii="Times New Roman" w:hAnsi="Times New Roman"/>
          <w:lang w:val="pt-BR"/>
        </w:rPr>
        <w:t xml:space="preserve"> e </w:t>
      </w:r>
      <w:r>
        <w:rPr>
          <w:rFonts w:ascii="Times New Roman" w:hAnsi="Times New Roman"/>
          <w:lang w:val="pt-BR"/>
        </w:rPr>
        <w:t>FT0,5</w:t>
      </w:r>
      <w:r w:rsidRPr="00F13A5E">
        <w:rPr>
          <w:rFonts w:ascii="Times New Roman" w:hAnsi="Times New Roman"/>
          <w:lang w:val="pt-BR"/>
        </w:rPr>
        <w:t xml:space="preserve">. As amostras </w:t>
      </w:r>
      <w:r>
        <w:rPr>
          <w:rFonts w:ascii="Times New Roman" w:hAnsi="Times New Roman"/>
          <w:lang w:val="pt-BR"/>
        </w:rPr>
        <w:t>FT0,1</w:t>
      </w:r>
      <w:r w:rsidRPr="00F13A5E">
        <w:rPr>
          <w:rFonts w:ascii="Times New Roman" w:hAnsi="Times New Roman"/>
          <w:lang w:val="pt-BR"/>
        </w:rPr>
        <w:t xml:space="preserve"> e </w:t>
      </w:r>
      <w:r>
        <w:rPr>
          <w:rFonts w:ascii="Times New Roman" w:hAnsi="Times New Roman"/>
          <w:lang w:val="pt-BR"/>
        </w:rPr>
        <w:t>FT</w:t>
      </w:r>
      <w:r w:rsidRPr="00F13A5E">
        <w:rPr>
          <w:rFonts w:ascii="Times New Roman" w:hAnsi="Times New Roman"/>
          <w:lang w:val="pt-BR"/>
        </w:rPr>
        <w:t xml:space="preserve"> mostraram uma diminuição mais acentuada da fotoluminescência, o que indica que houve uma redução da recombinação dos elétrons e vacâncias, o que pode implicar em uma utilização mais eficiente das cargas fotog</w:t>
      </w:r>
      <w:r w:rsidR="00640EE2">
        <w:rPr>
          <w:rFonts w:ascii="Times New Roman" w:hAnsi="Times New Roman"/>
          <w:lang w:val="pt-BR"/>
        </w:rPr>
        <w:t>eradas na reação fotocatalítica</w:t>
      </w:r>
      <w:r w:rsidRPr="00F13A5E">
        <w:rPr>
          <w:rFonts w:ascii="Times New Roman" w:hAnsi="Times New Roman"/>
          <w:lang w:val="pt-BR"/>
        </w:rPr>
        <w:t>. Nesse sentido, as amostras mais promissoras como fotocatalisadores baseando-se apenas no critério de recombinação dos pares e</w:t>
      </w:r>
      <w:r w:rsidRPr="005472D2">
        <w:rPr>
          <w:rFonts w:ascii="Times New Roman" w:hAnsi="Times New Roman"/>
          <w:vertAlign w:val="superscript"/>
          <w:lang w:val="pt-BR"/>
        </w:rPr>
        <w:t>-</w:t>
      </w:r>
      <w:r w:rsidRPr="00F13A5E">
        <w:rPr>
          <w:rFonts w:ascii="Times New Roman" w:hAnsi="Times New Roman"/>
          <w:lang w:val="pt-BR"/>
        </w:rPr>
        <w:t>/h</w:t>
      </w:r>
      <w:r w:rsidRPr="005472D2">
        <w:rPr>
          <w:rFonts w:ascii="Times New Roman" w:hAnsi="Times New Roman"/>
          <w:vertAlign w:val="superscript"/>
          <w:lang w:val="pt-BR"/>
        </w:rPr>
        <w:t>+</w:t>
      </w:r>
      <w:r w:rsidRPr="00F13A5E">
        <w:rPr>
          <w:rFonts w:ascii="Times New Roman" w:hAnsi="Times New Roman"/>
          <w:lang w:val="pt-BR"/>
        </w:rPr>
        <w:t xml:space="preserve"> são </w:t>
      </w:r>
      <w:r w:rsidR="003D7D0A">
        <w:rPr>
          <w:rFonts w:ascii="Times New Roman" w:hAnsi="Times New Roman"/>
          <w:lang w:val="pt-BR"/>
        </w:rPr>
        <w:t>FT</w:t>
      </w:r>
      <w:r w:rsidRPr="00F13A5E">
        <w:rPr>
          <w:rFonts w:ascii="Times New Roman" w:hAnsi="Times New Roman"/>
          <w:lang w:val="pt-BR"/>
        </w:rPr>
        <w:t xml:space="preserve"> e </w:t>
      </w:r>
      <w:r w:rsidR="003D7D0A">
        <w:rPr>
          <w:rFonts w:ascii="Times New Roman" w:hAnsi="Times New Roman"/>
          <w:lang w:val="pt-BR"/>
        </w:rPr>
        <w:t>FT0,</w:t>
      </w:r>
      <w:r w:rsidRPr="00F13A5E">
        <w:rPr>
          <w:rFonts w:ascii="Times New Roman" w:hAnsi="Times New Roman"/>
          <w:lang w:val="pt-BR"/>
        </w:rPr>
        <w:t>1. Para todas as amostras, duas bandas puderam ser identificadas, em torno de 360 e 390 nm.</w:t>
      </w:r>
      <w:r w:rsidR="00FB1D82">
        <w:rPr>
          <w:rFonts w:ascii="Times New Roman" w:hAnsi="Times New Roman"/>
          <w:lang w:val="pt-BR"/>
        </w:rPr>
        <w:t xml:space="preserve"> </w:t>
      </w:r>
    </w:p>
    <w:p w14:paraId="040820E8" w14:textId="21BB7343" w:rsidR="00380DDD" w:rsidRDefault="00670117" w:rsidP="00F13A5E">
      <w:pPr>
        <w:pStyle w:val="TAMainText"/>
        <w:ind w:firstLine="0"/>
        <w:rPr>
          <w:rFonts w:ascii="Times New Roman" w:hAnsi="Times New Roman"/>
          <w:lang w:val="pt-BR"/>
        </w:rPr>
      </w:pPr>
      <w:r w:rsidRPr="00A7703C">
        <w:rPr>
          <w:rFonts w:ascii="Times New Roman" w:hAnsi="Times New Roman"/>
          <w:noProof/>
          <w:lang w:val="pt-BR"/>
        </w:rPr>
        <w:drawing>
          <wp:anchor distT="0" distB="0" distL="114300" distR="114300" simplePos="0" relativeHeight="251669503" behindDoc="0" locked="0" layoutInCell="1" allowOverlap="1" wp14:anchorId="6DA8E9DA" wp14:editId="033FED2F">
            <wp:simplePos x="0" y="0"/>
            <wp:positionH relativeFrom="column">
              <wp:posOffset>226484</wp:posOffset>
            </wp:positionH>
            <wp:positionV relativeFrom="paragraph">
              <wp:posOffset>18415</wp:posOffset>
            </wp:positionV>
            <wp:extent cx="2599815" cy="1842080"/>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9815" cy="1842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9D6C19" w14:textId="52871EC7" w:rsidR="00CB4F18" w:rsidRDefault="00CB4F18" w:rsidP="00F13A5E">
      <w:pPr>
        <w:pStyle w:val="TAMainText"/>
        <w:ind w:firstLine="0"/>
        <w:rPr>
          <w:rFonts w:ascii="Times New Roman" w:hAnsi="Times New Roman"/>
          <w:lang w:val="pt-BR"/>
        </w:rPr>
      </w:pPr>
    </w:p>
    <w:p w14:paraId="7142BD3B" w14:textId="005BBF3B" w:rsidR="00CB4F18" w:rsidRDefault="00CB4F18" w:rsidP="00F13A5E">
      <w:pPr>
        <w:pStyle w:val="TAMainText"/>
        <w:ind w:firstLine="0"/>
        <w:rPr>
          <w:rFonts w:ascii="Times New Roman" w:hAnsi="Times New Roman"/>
          <w:lang w:val="pt-BR"/>
        </w:rPr>
      </w:pPr>
    </w:p>
    <w:p w14:paraId="66CDF4DF" w14:textId="6AB95252" w:rsidR="00CB4F18" w:rsidRDefault="00CB4F18" w:rsidP="00F13A5E">
      <w:pPr>
        <w:pStyle w:val="TAMainText"/>
        <w:ind w:firstLine="0"/>
        <w:rPr>
          <w:rFonts w:ascii="Times New Roman" w:hAnsi="Times New Roman"/>
          <w:lang w:val="pt-BR"/>
        </w:rPr>
      </w:pPr>
    </w:p>
    <w:p w14:paraId="2E78F07E" w14:textId="0712CA59" w:rsidR="00CB4F18" w:rsidRDefault="00CB4F18" w:rsidP="00F13A5E">
      <w:pPr>
        <w:pStyle w:val="TAMainText"/>
        <w:ind w:firstLine="0"/>
        <w:rPr>
          <w:rFonts w:ascii="Times New Roman" w:hAnsi="Times New Roman"/>
          <w:lang w:val="pt-BR"/>
        </w:rPr>
      </w:pPr>
    </w:p>
    <w:p w14:paraId="7E97F9FA" w14:textId="2F21841C" w:rsidR="00CB4F18" w:rsidRDefault="00CB4F18" w:rsidP="00F13A5E">
      <w:pPr>
        <w:pStyle w:val="TAMainText"/>
        <w:ind w:firstLine="0"/>
        <w:rPr>
          <w:rFonts w:ascii="Times New Roman" w:hAnsi="Times New Roman"/>
          <w:lang w:val="pt-BR"/>
        </w:rPr>
      </w:pPr>
    </w:p>
    <w:p w14:paraId="561557E1" w14:textId="7E72C50B" w:rsidR="00CB4F18" w:rsidRDefault="00CB4F18" w:rsidP="00F13A5E">
      <w:pPr>
        <w:pStyle w:val="TAMainText"/>
        <w:ind w:firstLine="0"/>
        <w:rPr>
          <w:rFonts w:ascii="Times New Roman" w:hAnsi="Times New Roman"/>
          <w:lang w:val="pt-BR"/>
        </w:rPr>
      </w:pPr>
    </w:p>
    <w:p w14:paraId="25C0D93E" w14:textId="3C373700" w:rsidR="00CB4F18" w:rsidRDefault="00CB4F18" w:rsidP="00F13A5E">
      <w:pPr>
        <w:pStyle w:val="TAMainText"/>
        <w:ind w:firstLine="0"/>
        <w:rPr>
          <w:rFonts w:ascii="Times New Roman" w:hAnsi="Times New Roman"/>
          <w:lang w:val="pt-BR"/>
        </w:rPr>
      </w:pPr>
    </w:p>
    <w:p w14:paraId="224C0DF1" w14:textId="7FAA63B6" w:rsidR="00CB4F18" w:rsidRDefault="00CB4F18" w:rsidP="00F13A5E">
      <w:pPr>
        <w:pStyle w:val="TAMainText"/>
        <w:ind w:firstLine="0"/>
        <w:rPr>
          <w:rFonts w:ascii="Times New Roman" w:hAnsi="Times New Roman"/>
          <w:lang w:val="pt-BR"/>
        </w:rPr>
      </w:pPr>
    </w:p>
    <w:p w14:paraId="018C3B4E" w14:textId="3BF85C79" w:rsidR="00CB4F18" w:rsidRDefault="00CB4F18" w:rsidP="00F13A5E">
      <w:pPr>
        <w:pStyle w:val="TAMainText"/>
        <w:ind w:firstLine="0"/>
        <w:rPr>
          <w:rFonts w:ascii="Times New Roman" w:hAnsi="Times New Roman"/>
          <w:lang w:val="pt-BR"/>
        </w:rPr>
      </w:pPr>
    </w:p>
    <w:p w14:paraId="54D94D71" w14:textId="68DEBD01" w:rsidR="00CB4F18" w:rsidRDefault="00CB4F18" w:rsidP="00F13A5E">
      <w:pPr>
        <w:pStyle w:val="TAMainText"/>
        <w:ind w:firstLine="0"/>
        <w:rPr>
          <w:rFonts w:ascii="Times New Roman" w:hAnsi="Times New Roman"/>
          <w:lang w:val="pt-BR"/>
        </w:rPr>
      </w:pPr>
    </w:p>
    <w:p w14:paraId="62B67C03" w14:textId="664993D4" w:rsidR="00CB4F18" w:rsidRDefault="00CB4F18" w:rsidP="00F13A5E">
      <w:pPr>
        <w:pStyle w:val="TAMainText"/>
        <w:ind w:firstLine="0"/>
        <w:rPr>
          <w:rFonts w:ascii="Times New Roman" w:hAnsi="Times New Roman"/>
          <w:lang w:val="pt-BR"/>
        </w:rPr>
      </w:pPr>
    </w:p>
    <w:p w14:paraId="76B80838" w14:textId="47D11E3D" w:rsidR="00191890" w:rsidRPr="00E038AF" w:rsidRDefault="00191890" w:rsidP="00191890">
      <w:pPr>
        <w:pStyle w:val="VAFigureCaption"/>
        <w:spacing w:before="0"/>
        <w:rPr>
          <w:rFonts w:ascii="Times New Roman" w:hAnsi="Times New Roman"/>
          <w:lang w:val="pt-BR"/>
        </w:rPr>
      </w:pPr>
      <w:r>
        <w:rPr>
          <w:rFonts w:ascii="Times New Roman" w:hAnsi="Times New Roman"/>
          <w:b/>
          <w:lang w:val="pt-BR"/>
        </w:rPr>
        <w:t>Figura 2</w:t>
      </w:r>
      <w:r w:rsidRPr="00E038AF">
        <w:rPr>
          <w:rFonts w:ascii="Times New Roman" w:hAnsi="Times New Roman"/>
          <w:b/>
          <w:lang w:val="pt-BR"/>
        </w:rPr>
        <w:t>.</w:t>
      </w:r>
      <w:r w:rsidRPr="00E038AF">
        <w:rPr>
          <w:rFonts w:ascii="Times New Roman" w:hAnsi="Times New Roman"/>
          <w:lang w:val="pt-BR"/>
        </w:rPr>
        <w:t xml:space="preserve"> </w:t>
      </w:r>
      <w:r w:rsidRPr="005846C1">
        <w:rPr>
          <w:lang w:val="pt-BR"/>
        </w:rPr>
        <w:t>Espectros de fotoluminescência dos fotocatalisadores sintetizados</w:t>
      </w:r>
      <w:r w:rsidRPr="00E038AF">
        <w:rPr>
          <w:rFonts w:ascii="Times New Roman" w:hAnsi="Times New Roman"/>
          <w:lang w:val="pt-BR"/>
        </w:rPr>
        <w:t>.</w:t>
      </w:r>
    </w:p>
    <w:p w14:paraId="30A5F1A4" w14:textId="41E11E45" w:rsidR="00CB4F18" w:rsidRDefault="00CB4F18" w:rsidP="00F13A5E">
      <w:pPr>
        <w:pStyle w:val="TAMainText"/>
        <w:ind w:firstLine="0"/>
        <w:rPr>
          <w:rFonts w:ascii="Times New Roman" w:hAnsi="Times New Roman"/>
          <w:lang w:val="pt-BR"/>
        </w:rPr>
      </w:pPr>
    </w:p>
    <w:p w14:paraId="7FFE6D79" w14:textId="62FBA63D" w:rsidR="00602847" w:rsidRDefault="003D7D0A" w:rsidP="00017D5B">
      <w:pPr>
        <w:pStyle w:val="TAMainText"/>
        <w:rPr>
          <w:rFonts w:ascii="Times New Roman" w:hAnsi="Times New Roman"/>
          <w:lang w:val="pt-BR"/>
        </w:rPr>
      </w:pPr>
      <w:r w:rsidRPr="003D7D0A">
        <w:rPr>
          <w:rFonts w:ascii="Times New Roman" w:hAnsi="Times New Roman"/>
          <w:lang w:val="pt-BR"/>
        </w:rPr>
        <w:t xml:space="preserve">Os gráficos de magnetização </w:t>
      </w:r>
      <w:r w:rsidRPr="00602847">
        <w:rPr>
          <w:rFonts w:ascii="Times New Roman" w:hAnsi="Times New Roman"/>
          <w:i/>
          <w:lang w:val="pt-BR"/>
        </w:rPr>
        <w:t>versus</w:t>
      </w:r>
      <w:r w:rsidRPr="003D7D0A">
        <w:rPr>
          <w:rFonts w:ascii="Times New Roman" w:hAnsi="Times New Roman"/>
          <w:lang w:val="pt-BR"/>
        </w:rPr>
        <w:t xml:space="preserve"> campo magnético externo aplicado sobre as amostras magnéticas </w:t>
      </w:r>
      <w:r w:rsidR="00ED7D4F">
        <w:rPr>
          <w:rFonts w:ascii="Times New Roman" w:hAnsi="Times New Roman"/>
          <w:lang w:val="pt-BR"/>
        </w:rPr>
        <w:t>F e FT</w:t>
      </w:r>
      <w:r w:rsidRPr="003D7D0A">
        <w:rPr>
          <w:rFonts w:ascii="Times New Roman" w:hAnsi="Times New Roman"/>
          <w:lang w:val="pt-BR"/>
        </w:rPr>
        <w:t xml:space="preserve"> são apresentados na Figura </w:t>
      </w:r>
      <w:r w:rsidR="00380DDD">
        <w:rPr>
          <w:rFonts w:ascii="Times New Roman" w:hAnsi="Times New Roman"/>
          <w:lang w:val="pt-BR"/>
        </w:rPr>
        <w:t>3</w:t>
      </w:r>
      <w:r w:rsidRPr="003D7D0A">
        <w:rPr>
          <w:rFonts w:ascii="Times New Roman" w:hAnsi="Times New Roman"/>
          <w:lang w:val="pt-BR"/>
        </w:rPr>
        <w:t xml:space="preserve">. </w:t>
      </w:r>
    </w:p>
    <w:p w14:paraId="243E4C63" w14:textId="77777777" w:rsidR="00640EE2" w:rsidRDefault="00640EE2" w:rsidP="00017D5B">
      <w:pPr>
        <w:pStyle w:val="TAMainText"/>
        <w:rPr>
          <w:rFonts w:ascii="Times New Roman" w:hAnsi="Times New Roman"/>
          <w:b/>
          <w:lang w:val="pt-BR"/>
        </w:rPr>
      </w:pPr>
    </w:p>
    <w:p w14:paraId="69D7B22B" w14:textId="77777777" w:rsidR="000A7632" w:rsidRDefault="000A7632" w:rsidP="00602847">
      <w:pPr>
        <w:pStyle w:val="VAFigureCaption"/>
        <w:spacing w:before="0"/>
        <w:rPr>
          <w:rFonts w:ascii="Times New Roman" w:hAnsi="Times New Roman"/>
          <w:b/>
          <w:lang w:val="pt-BR"/>
        </w:rPr>
      </w:pPr>
    </w:p>
    <w:p w14:paraId="1468373E" w14:textId="6800E795" w:rsidR="00C76F58" w:rsidRDefault="00C76F58" w:rsidP="00602847">
      <w:pPr>
        <w:pStyle w:val="VAFigureCaption"/>
        <w:spacing w:before="0"/>
        <w:rPr>
          <w:rFonts w:ascii="Times New Roman" w:hAnsi="Times New Roman"/>
          <w:b/>
          <w:lang w:val="pt-BR"/>
        </w:rPr>
      </w:pPr>
      <w:r w:rsidRPr="00C76F58">
        <w:rPr>
          <w:rFonts w:ascii="Times New Roman" w:hAnsi="Times New Roman"/>
          <w:noProof/>
          <w:lang w:val="pt-BR"/>
        </w:rPr>
        <w:drawing>
          <wp:anchor distT="0" distB="0" distL="114300" distR="114300" simplePos="0" relativeHeight="251671551" behindDoc="0" locked="0" layoutInCell="1" allowOverlap="1" wp14:anchorId="6669D2F4" wp14:editId="62AA5383">
            <wp:simplePos x="0" y="0"/>
            <wp:positionH relativeFrom="column">
              <wp:posOffset>-29422</wp:posOffset>
            </wp:positionH>
            <wp:positionV relativeFrom="paragraph">
              <wp:posOffset>-271145</wp:posOffset>
            </wp:positionV>
            <wp:extent cx="3090333" cy="1638064"/>
            <wp:effectExtent l="0" t="0" r="0" b="63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a:extLst>
                        <a:ext uri="{28A0092B-C50C-407E-A947-70E740481C1C}">
                          <a14:useLocalDpi xmlns:a14="http://schemas.microsoft.com/office/drawing/2010/main" val="0"/>
                        </a:ext>
                      </a:extLst>
                    </a:blip>
                    <a:srcRect t="-2" b="63919"/>
                    <a:stretch/>
                  </pic:blipFill>
                  <pic:spPr bwMode="auto">
                    <a:xfrm>
                      <a:off x="0" y="0"/>
                      <a:ext cx="3090333" cy="16380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BAFEC9" w14:textId="77777777" w:rsidR="00C76F58" w:rsidRDefault="00C76F58" w:rsidP="00602847">
      <w:pPr>
        <w:pStyle w:val="VAFigureCaption"/>
        <w:spacing w:before="0"/>
        <w:rPr>
          <w:rFonts w:ascii="Times New Roman" w:hAnsi="Times New Roman"/>
          <w:b/>
          <w:lang w:val="pt-BR"/>
        </w:rPr>
      </w:pPr>
    </w:p>
    <w:p w14:paraId="67CD5ACE" w14:textId="77777777" w:rsidR="00C76F58" w:rsidRDefault="00C76F58" w:rsidP="00602847">
      <w:pPr>
        <w:pStyle w:val="VAFigureCaption"/>
        <w:spacing w:before="0"/>
        <w:rPr>
          <w:rFonts w:ascii="Times New Roman" w:hAnsi="Times New Roman"/>
          <w:b/>
          <w:lang w:val="pt-BR"/>
        </w:rPr>
      </w:pPr>
    </w:p>
    <w:p w14:paraId="4C217F5B" w14:textId="77777777" w:rsidR="00C76F58" w:rsidRDefault="00C76F58" w:rsidP="00602847">
      <w:pPr>
        <w:pStyle w:val="VAFigureCaption"/>
        <w:spacing w:before="0"/>
        <w:rPr>
          <w:rFonts w:ascii="Times New Roman" w:hAnsi="Times New Roman"/>
          <w:b/>
          <w:lang w:val="pt-BR"/>
        </w:rPr>
      </w:pPr>
    </w:p>
    <w:p w14:paraId="3C1F9CD3" w14:textId="77777777" w:rsidR="00C76F58" w:rsidRDefault="00C76F58" w:rsidP="00602847">
      <w:pPr>
        <w:pStyle w:val="VAFigureCaption"/>
        <w:spacing w:before="0"/>
        <w:rPr>
          <w:rFonts w:ascii="Times New Roman" w:hAnsi="Times New Roman"/>
          <w:b/>
          <w:lang w:val="pt-BR"/>
        </w:rPr>
      </w:pPr>
    </w:p>
    <w:p w14:paraId="23D03188" w14:textId="77777777" w:rsidR="00C76F58" w:rsidRDefault="00C76F58" w:rsidP="00602847">
      <w:pPr>
        <w:pStyle w:val="VAFigureCaption"/>
        <w:spacing w:before="0"/>
        <w:rPr>
          <w:rFonts w:ascii="Times New Roman" w:hAnsi="Times New Roman"/>
          <w:b/>
          <w:lang w:val="pt-BR"/>
        </w:rPr>
      </w:pPr>
    </w:p>
    <w:p w14:paraId="0508F0F2" w14:textId="77777777" w:rsidR="00C76F58" w:rsidRDefault="00C76F58" w:rsidP="00602847">
      <w:pPr>
        <w:pStyle w:val="VAFigureCaption"/>
        <w:spacing w:before="0"/>
        <w:rPr>
          <w:rFonts w:ascii="Times New Roman" w:hAnsi="Times New Roman"/>
          <w:b/>
          <w:lang w:val="pt-BR"/>
        </w:rPr>
      </w:pPr>
    </w:p>
    <w:p w14:paraId="431032C7" w14:textId="77777777" w:rsidR="00C76F58" w:rsidRDefault="00C76F58" w:rsidP="00602847">
      <w:pPr>
        <w:pStyle w:val="VAFigureCaption"/>
        <w:spacing w:before="0"/>
        <w:rPr>
          <w:rFonts w:ascii="Times New Roman" w:hAnsi="Times New Roman"/>
          <w:b/>
          <w:lang w:val="pt-BR"/>
        </w:rPr>
      </w:pPr>
    </w:p>
    <w:p w14:paraId="5F78E557" w14:textId="77777777" w:rsidR="00C76F58" w:rsidRDefault="00C76F58" w:rsidP="00602847">
      <w:pPr>
        <w:pStyle w:val="VAFigureCaption"/>
        <w:spacing w:before="0"/>
        <w:rPr>
          <w:rFonts w:ascii="Times New Roman" w:hAnsi="Times New Roman"/>
          <w:b/>
          <w:lang w:val="pt-BR"/>
        </w:rPr>
      </w:pPr>
    </w:p>
    <w:p w14:paraId="3C032DC5" w14:textId="77777777" w:rsidR="00C76F58" w:rsidRDefault="00C76F58" w:rsidP="00602847">
      <w:pPr>
        <w:pStyle w:val="VAFigureCaption"/>
        <w:spacing w:before="0"/>
        <w:rPr>
          <w:rFonts w:ascii="Times New Roman" w:hAnsi="Times New Roman"/>
          <w:b/>
          <w:lang w:val="pt-BR"/>
        </w:rPr>
      </w:pPr>
    </w:p>
    <w:p w14:paraId="60FFBF5F" w14:textId="77777777" w:rsidR="00C76F58" w:rsidRDefault="00C76F58" w:rsidP="00602847">
      <w:pPr>
        <w:pStyle w:val="VAFigureCaption"/>
        <w:spacing w:before="0"/>
        <w:rPr>
          <w:rFonts w:ascii="Times New Roman" w:hAnsi="Times New Roman"/>
          <w:b/>
          <w:lang w:val="pt-BR"/>
        </w:rPr>
      </w:pPr>
    </w:p>
    <w:p w14:paraId="20EB5A93" w14:textId="1F94B50A" w:rsidR="00602847" w:rsidRPr="00E038AF" w:rsidRDefault="00602847" w:rsidP="00602847">
      <w:pPr>
        <w:pStyle w:val="VAFigureCaption"/>
        <w:spacing w:before="0"/>
        <w:rPr>
          <w:rFonts w:ascii="Times New Roman" w:hAnsi="Times New Roman"/>
          <w:lang w:val="pt-BR"/>
        </w:rPr>
      </w:pPr>
      <w:r>
        <w:rPr>
          <w:rFonts w:ascii="Times New Roman" w:hAnsi="Times New Roman"/>
          <w:b/>
          <w:lang w:val="pt-BR"/>
        </w:rPr>
        <w:t>Figura 3</w:t>
      </w:r>
      <w:r w:rsidRPr="00E038AF">
        <w:rPr>
          <w:rFonts w:ascii="Times New Roman" w:hAnsi="Times New Roman"/>
          <w:b/>
          <w:lang w:val="pt-BR"/>
        </w:rPr>
        <w:t>.</w:t>
      </w:r>
      <w:r w:rsidRPr="00E038AF">
        <w:rPr>
          <w:rFonts w:ascii="Times New Roman" w:hAnsi="Times New Roman"/>
          <w:lang w:val="pt-BR"/>
        </w:rPr>
        <w:t xml:space="preserve"> </w:t>
      </w:r>
      <w:r w:rsidRPr="005846C1">
        <w:rPr>
          <w:lang w:val="pt-BR"/>
        </w:rPr>
        <w:t>Magnetização dos fotocatalisadores sintetizados em função do campo magnético aplicado</w:t>
      </w:r>
      <w:r w:rsidRPr="00E038AF">
        <w:rPr>
          <w:rFonts w:ascii="Times New Roman" w:hAnsi="Times New Roman"/>
          <w:lang w:val="pt-BR"/>
        </w:rPr>
        <w:t>.</w:t>
      </w:r>
    </w:p>
    <w:p w14:paraId="05F664A9" w14:textId="77777777" w:rsidR="00602847" w:rsidRDefault="00602847" w:rsidP="003D7D0A">
      <w:pPr>
        <w:pStyle w:val="TAMainText"/>
        <w:rPr>
          <w:rFonts w:ascii="Times New Roman" w:hAnsi="Times New Roman"/>
          <w:lang w:val="pt-BR"/>
        </w:rPr>
      </w:pPr>
    </w:p>
    <w:p w14:paraId="60909EF2" w14:textId="16318226" w:rsidR="003D7D0A" w:rsidRPr="003D7D0A" w:rsidRDefault="00ED7D4F" w:rsidP="003D7D0A">
      <w:pPr>
        <w:pStyle w:val="TAMainText"/>
        <w:rPr>
          <w:rFonts w:ascii="Times New Roman" w:hAnsi="Times New Roman"/>
          <w:lang w:val="pt-BR"/>
        </w:rPr>
      </w:pPr>
      <w:r>
        <w:rPr>
          <w:rFonts w:ascii="Times New Roman" w:hAnsi="Times New Roman"/>
          <w:lang w:val="pt-BR"/>
        </w:rPr>
        <w:t>Observa-se que os perfis das</w:t>
      </w:r>
      <w:r w:rsidR="003D7D0A" w:rsidRPr="003D7D0A">
        <w:rPr>
          <w:rFonts w:ascii="Times New Roman" w:hAnsi="Times New Roman"/>
          <w:lang w:val="pt-BR"/>
        </w:rPr>
        <w:t xml:space="preserve"> curvas de magnetização </w:t>
      </w:r>
      <w:r w:rsidR="00787E66">
        <w:rPr>
          <w:rFonts w:ascii="Times New Roman" w:hAnsi="Times New Roman"/>
          <w:lang w:val="pt-BR"/>
        </w:rPr>
        <w:t xml:space="preserve">são </w:t>
      </w:r>
      <w:r w:rsidR="003D7D0A" w:rsidRPr="003D7D0A">
        <w:rPr>
          <w:rFonts w:ascii="Times New Roman" w:hAnsi="Times New Roman"/>
          <w:lang w:val="pt-BR"/>
        </w:rPr>
        <w:t xml:space="preserve">semelhantes para </w:t>
      </w:r>
      <w:r w:rsidR="00787E66">
        <w:rPr>
          <w:rFonts w:ascii="Times New Roman" w:hAnsi="Times New Roman"/>
          <w:lang w:val="pt-BR"/>
        </w:rPr>
        <w:t>a ferrita de níquel pura e recoberta,</w:t>
      </w:r>
      <w:r w:rsidR="003D7D0A" w:rsidRPr="003D7D0A">
        <w:rPr>
          <w:rFonts w:ascii="Times New Roman" w:hAnsi="Times New Roman"/>
          <w:lang w:val="pt-BR"/>
        </w:rPr>
        <w:t xml:space="preserve"> porém</w:t>
      </w:r>
      <w:r w:rsidR="00787E66">
        <w:rPr>
          <w:rFonts w:ascii="Times New Roman" w:hAnsi="Times New Roman"/>
          <w:lang w:val="pt-BR"/>
        </w:rPr>
        <w:t xml:space="preserve"> </w:t>
      </w:r>
      <w:r w:rsidR="003D7D0A" w:rsidRPr="003D7D0A">
        <w:rPr>
          <w:rFonts w:ascii="Times New Roman" w:hAnsi="Times New Roman"/>
          <w:lang w:val="pt-BR"/>
        </w:rPr>
        <w:t>o valor da magnetização</w:t>
      </w:r>
      <w:r w:rsidR="00787E66">
        <w:rPr>
          <w:rFonts w:ascii="Times New Roman" w:hAnsi="Times New Roman"/>
          <w:lang w:val="pt-BR"/>
        </w:rPr>
        <w:t xml:space="preserve"> </w:t>
      </w:r>
      <w:r w:rsidR="003D7D0A" w:rsidRPr="003D7D0A">
        <w:rPr>
          <w:rFonts w:ascii="Times New Roman" w:hAnsi="Times New Roman"/>
          <w:lang w:val="pt-BR"/>
        </w:rPr>
        <w:t>de saturação</w:t>
      </w:r>
      <w:r w:rsidR="00787E66">
        <w:rPr>
          <w:rFonts w:ascii="Times New Roman" w:hAnsi="Times New Roman"/>
          <w:lang w:val="pt-BR"/>
        </w:rPr>
        <w:t xml:space="preserve"> da</w:t>
      </w:r>
      <w:r w:rsidR="00787E66" w:rsidRPr="00787E66">
        <w:rPr>
          <w:rFonts w:ascii="Times New Roman" w:hAnsi="Times New Roman"/>
          <w:lang w:val="pt-BR"/>
        </w:rPr>
        <w:t xml:space="preserve"> </w:t>
      </w:r>
      <w:r w:rsidR="00787E66">
        <w:rPr>
          <w:rFonts w:ascii="Times New Roman" w:hAnsi="Times New Roman"/>
          <w:lang w:val="pt-BR"/>
        </w:rPr>
        <w:t xml:space="preserve">ferrita de níquel </w:t>
      </w:r>
      <w:r w:rsidR="00787E66">
        <w:rPr>
          <w:rFonts w:ascii="Times New Roman" w:hAnsi="Times New Roman"/>
          <w:lang w:val="pt-BR"/>
        </w:rPr>
        <w:lastRenderedPageBreak/>
        <w:t>pura</w:t>
      </w:r>
      <w:r w:rsidR="003D7D0A" w:rsidRPr="003D7D0A">
        <w:rPr>
          <w:rFonts w:ascii="Times New Roman" w:hAnsi="Times New Roman"/>
          <w:lang w:val="pt-BR"/>
        </w:rPr>
        <w:t xml:space="preserve"> foi significativamente maior em comparação com as amostras recobertas com TiO</w:t>
      </w:r>
      <w:r w:rsidR="003D7D0A" w:rsidRPr="004A6692">
        <w:rPr>
          <w:rFonts w:ascii="Times New Roman" w:hAnsi="Times New Roman"/>
          <w:vertAlign w:val="subscript"/>
          <w:lang w:val="pt-BR"/>
        </w:rPr>
        <w:t>2</w:t>
      </w:r>
      <w:r w:rsidR="00787E66">
        <w:rPr>
          <w:rFonts w:ascii="Times New Roman" w:hAnsi="Times New Roman"/>
          <w:lang w:val="pt-BR"/>
        </w:rPr>
        <w:t>. De acordo com a Tabela 2</w:t>
      </w:r>
      <w:r w:rsidR="003D7D0A" w:rsidRPr="003D7D0A">
        <w:rPr>
          <w:rFonts w:ascii="Times New Roman" w:hAnsi="Times New Roman"/>
          <w:lang w:val="pt-BR"/>
        </w:rPr>
        <w:t xml:space="preserve">, o valor da magnetização de saturação (S, S’) para a amostra </w:t>
      </w:r>
      <w:r w:rsidR="00787E66">
        <w:rPr>
          <w:rFonts w:ascii="Times New Roman" w:hAnsi="Times New Roman"/>
          <w:lang w:val="pt-BR"/>
        </w:rPr>
        <w:t>F</w:t>
      </w:r>
      <w:r w:rsidR="003D7D0A" w:rsidRPr="003D7D0A">
        <w:rPr>
          <w:rFonts w:ascii="Times New Roman" w:hAnsi="Times New Roman"/>
          <w:lang w:val="pt-BR"/>
        </w:rPr>
        <w:t xml:space="preserve"> foi de 33,6 emu g</w:t>
      </w:r>
      <w:r w:rsidR="003D7D0A" w:rsidRPr="00E31131">
        <w:rPr>
          <w:rFonts w:ascii="Times New Roman" w:hAnsi="Times New Roman"/>
          <w:vertAlign w:val="superscript"/>
          <w:lang w:val="pt-BR"/>
        </w:rPr>
        <w:t>-1</w:t>
      </w:r>
      <w:r w:rsidR="003D7D0A" w:rsidRPr="003D7D0A">
        <w:rPr>
          <w:rFonts w:ascii="Times New Roman" w:hAnsi="Times New Roman"/>
          <w:lang w:val="pt-BR"/>
        </w:rPr>
        <w:t xml:space="preserve"> ao passo que, para as demais amostras, esse valor se situou na faixa de 14,5 a 15,5 emu g</w:t>
      </w:r>
      <w:r w:rsidR="003D7D0A" w:rsidRPr="00E31131">
        <w:rPr>
          <w:rFonts w:ascii="Times New Roman" w:hAnsi="Times New Roman"/>
          <w:vertAlign w:val="superscript"/>
          <w:lang w:val="pt-BR"/>
        </w:rPr>
        <w:t>-1</w:t>
      </w:r>
      <w:r w:rsidR="00640EE2">
        <w:rPr>
          <w:rFonts w:ascii="Times New Roman" w:hAnsi="Times New Roman"/>
          <w:lang w:val="pt-BR"/>
        </w:rPr>
        <w:t xml:space="preserve">. </w:t>
      </w:r>
    </w:p>
    <w:p w14:paraId="3E78B52C" w14:textId="1EFF7EB2" w:rsidR="003D7D0A" w:rsidRPr="003D7D0A" w:rsidRDefault="00E56D02" w:rsidP="003D7D0A">
      <w:pPr>
        <w:pStyle w:val="TAMainText"/>
        <w:rPr>
          <w:rFonts w:ascii="Times New Roman" w:hAnsi="Times New Roman"/>
          <w:lang w:val="pt-BR"/>
        </w:rPr>
      </w:pPr>
      <w:r>
        <w:rPr>
          <w:rFonts w:ascii="Times New Roman" w:hAnsi="Times New Roman"/>
          <w:lang w:val="pt-BR"/>
        </w:rPr>
        <w:t>V</w:t>
      </w:r>
      <w:r w:rsidR="003D7D0A" w:rsidRPr="003D7D0A">
        <w:rPr>
          <w:rFonts w:ascii="Times New Roman" w:hAnsi="Times New Roman"/>
          <w:lang w:val="pt-BR"/>
        </w:rPr>
        <w:t>erificou-se também que a dopagem de ferro no material não ocasionou mudanças significativas nos valores de magnetização de saturação das amostras. Os resultados da remanência (Br) apontam que</w:t>
      </w:r>
      <w:r w:rsidR="003650CE">
        <w:rPr>
          <w:rFonts w:ascii="Times New Roman" w:hAnsi="Times New Roman"/>
          <w:lang w:val="pt-BR"/>
        </w:rPr>
        <w:t xml:space="preserve"> </w:t>
      </w:r>
      <w:r w:rsidR="003D7D0A" w:rsidRPr="003D7D0A">
        <w:rPr>
          <w:rFonts w:ascii="Times New Roman" w:hAnsi="Times New Roman"/>
          <w:lang w:val="pt-BR"/>
        </w:rPr>
        <w:t xml:space="preserve">os materiais apresentam comportamento ferrimagnético e que a dopagem com Fe no </w:t>
      </w:r>
      <w:r w:rsidR="00E31131">
        <w:rPr>
          <w:rFonts w:ascii="Times New Roman" w:hAnsi="Times New Roman"/>
          <w:lang w:val="pt-BR"/>
        </w:rPr>
        <w:t>TiO</w:t>
      </w:r>
      <w:r w:rsidR="00E31131" w:rsidRPr="00E31131">
        <w:rPr>
          <w:rFonts w:ascii="Times New Roman" w:hAnsi="Times New Roman"/>
          <w:vertAlign w:val="subscript"/>
          <w:lang w:val="pt-BR"/>
        </w:rPr>
        <w:t>2</w:t>
      </w:r>
      <w:r w:rsidR="003D7D0A" w:rsidRPr="003D7D0A">
        <w:rPr>
          <w:rFonts w:ascii="Times New Roman" w:hAnsi="Times New Roman"/>
          <w:lang w:val="pt-BR"/>
        </w:rPr>
        <w:t xml:space="preserve"> proporcionou um leve aumento da mesma nas </w:t>
      </w:r>
      <w:r w:rsidR="00E31131">
        <w:rPr>
          <w:rFonts w:ascii="Times New Roman" w:hAnsi="Times New Roman"/>
          <w:lang w:val="pt-BR"/>
        </w:rPr>
        <w:t>heterojunções.</w:t>
      </w:r>
    </w:p>
    <w:p w14:paraId="0B32A5C4" w14:textId="77777777" w:rsidR="003D7D0A" w:rsidRPr="003D7D0A" w:rsidRDefault="003D7D0A" w:rsidP="003D7D0A">
      <w:pPr>
        <w:pStyle w:val="TAMainText"/>
        <w:rPr>
          <w:rFonts w:ascii="Times New Roman" w:hAnsi="Times New Roman"/>
          <w:lang w:val="pt-BR"/>
        </w:rPr>
      </w:pPr>
    </w:p>
    <w:p w14:paraId="766847D3" w14:textId="74759855" w:rsidR="00E56D02" w:rsidRPr="00E038AF" w:rsidRDefault="00E56D02" w:rsidP="00E56D02">
      <w:pPr>
        <w:pStyle w:val="VDTableTitle"/>
        <w:spacing w:after="120"/>
        <w:jc w:val="both"/>
        <w:rPr>
          <w:rFonts w:ascii="Times New Roman" w:hAnsi="Times New Roman"/>
          <w:lang w:val="pt-BR"/>
        </w:rPr>
      </w:pPr>
      <w:r>
        <w:rPr>
          <w:rFonts w:ascii="Times New Roman" w:hAnsi="Times New Roman"/>
          <w:b/>
          <w:lang w:val="pt-BR"/>
        </w:rPr>
        <w:t>Tabela 2</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Propriedades magnéticas dos fotocatalisadores sintetizados</w:t>
      </w:r>
      <w:r w:rsidRPr="00E038AF">
        <w:rPr>
          <w:rFonts w:ascii="Times New Roman" w:hAnsi="Times New Roman"/>
          <w:lang w:val="pt-BR"/>
        </w:rPr>
        <w:t>.</w:t>
      </w:r>
    </w:p>
    <w:tbl>
      <w:tblPr>
        <w:tblStyle w:val="Tabelacomgrade"/>
        <w:tblW w:w="0" w:type="auto"/>
        <w:tblLook w:val="04A0" w:firstRow="1" w:lastRow="0" w:firstColumn="1" w:lastColumn="0" w:noHBand="0" w:noVBand="1"/>
      </w:tblPr>
      <w:tblGrid>
        <w:gridCol w:w="768"/>
        <w:gridCol w:w="675"/>
        <w:gridCol w:w="653"/>
        <w:gridCol w:w="677"/>
        <w:gridCol w:w="654"/>
        <w:gridCol w:w="677"/>
        <w:gridCol w:w="654"/>
      </w:tblGrid>
      <w:tr w:rsidR="008942CD" w14:paraId="3479C6D3" w14:textId="77777777" w:rsidTr="006B31D1">
        <w:tc>
          <w:tcPr>
            <w:tcW w:w="679" w:type="dxa"/>
          </w:tcPr>
          <w:p w14:paraId="07C75F9F" w14:textId="1A0CDF05" w:rsidR="006B31D1" w:rsidRPr="008942CD" w:rsidRDefault="006B31D1"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Amostra</w:t>
            </w:r>
          </w:p>
        </w:tc>
        <w:tc>
          <w:tcPr>
            <w:tcW w:w="679" w:type="dxa"/>
          </w:tcPr>
          <w:p w14:paraId="06AC01C6" w14:textId="7AD49216" w:rsidR="006B31D1" w:rsidRPr="008942CD" w:rsidRDefault="006B31D1"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S</w:t>
            </w:r>
          </w:p>
        </w:tc>
        <w:tc>
          <w:tcPr>
            <w:tcW w:w="680" w:type="dxa"/>
          </w:tcPr>
          <w:p w14:paraId="0FCCC673" w14:textId="2BADE0C8"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S’</w:t>
            </w:r>
          </w:p>
        </w:tc>
        <w:tc>
          <w:tcPr>
            <w:tcW w:w="680" w:type="dxa"/>
          </w:tcPr>
          <w:p w14:paraId="3DE5E220" w14:textId="1A04DA42"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+Br</w:t>
            </w:r>
          </w:p>
        </w:tc>
        <w:tc>
          <w:tcPr>
            <w:tcW w:w="680" w:type="dxa"/>
          </w:tcPr>
          <w:p w14:paraId="3720AFE1" w14:textId="4735D19F"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-Br</w:t>
            </w:r>
          </w:p>
        </w:tc>
        <w:tc>
          <w:tcPr>
            <w:tcW w:w="680" w:type="dxa"/>
          </w:tcPr>
          <w:p w14:paraId="7C0824CC" w14:textId="76B78AB7"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+Hc</w:t>
            </w:r>
          </w:p>
        </w:tc>
        <w:tc>
          <w:tcPr>
            <w:tcW w:w="680" w:type="dxa"/>
          </w:tcPr>
          <w:p w14:paraId="5F78B30C" w14:textId="7A517308"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-Hc</w:t>
            </w:r>
          </w:p>
        </w:tc>
      </w:tr>
      <w:tr w:rsidR="008942CD" w14:paraId="0BD60890" w14:textId="77777777" w:rsidTr="006B31D1">
        <w:tc>
          <w:tcPr>
            <w:tcW w:w="679" w:type="dxa"/>
          </w:tcPr>
          <w:p w14:paraId="3ECD62F8" w14:textId="21B6F11F"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F</w:t>
            </w:r>
          </w:p>
        </w:tc>
        <w:tc>
          <w:tcPr>
            <w:tcW w:w="679" w:type="dxa"/>
          </w:tcPr>
          <w:p w14:paraId="685AA785" w14:textId="379161C9"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+33,61</w:t>
            </w:r>
          </w:p>
        </w:tc>
        <w:tc>
          <w:tcPr>
            <w:tcW w:w="680" w:type="dxa"/>
          </w:tcPr>
          <w:p w14:paraId="78D99AF0" w14:textId="5F613555"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-33,60</w:t>
            </w:r>
          </w:p>
        </w:tc>
        <w:tc>
          <w:tcPr>
            <w:tcW w:w="680" w:type="dxa"/>
          </w:tcPr>
          <w:p w14:paraId="4F19F288" w14:textId="2F47EB80"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+8,210</w:t>
            </w:r>
          </w:p>
        </w:tc>
        <w:tc>
          <w:tcPr>
            <w:tcW w:w="680" w:type="dxa"/>
          </w:tcPr>
          <w:p w14:paraId="317A234C" w14:textId="75225D5F"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-8,210</w:t>
            </w:r>
          </w:p>
        </w:tc>
        <w:tc>
          <w:tcPr>
            <w:tcW w:w="680" w:type="dxa"/>
          </w:tcPr>
          <w:p w14:paraId="35A8F6EC" w14:textId="4264F77A"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+134,8</w:t>
            </w:r>
          </w:p>
        </w:tc>
        <w:tc>
          <w:tcPr>
            <w:tcW w:w="680" w:type="dxa"/>
          </w:tcPr>
          <w:p w14:paraId="2E158D2F" w14:textId="3676E7CD"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-135,2</w:t>
            </w:r>
          </w:p>
        </w:tc>
      </w:tr>
      <w:tr w:rsidR="008942CD" w14:paraId="25DF3036" w14:textId="77777777" w:rsidTr="006B31D1">
        <w:tc>
          <w:tcPr>
            <w:tcW w:w="679" w:type="dxa"/>
          </w:tcPr>
          <w:p w14:paraId="2D13308A" w14:textId="024CE571"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FT</w:t>
            </w:r>
          </w:p>
        </w:tc>
        <w:tc>
          <w:tcPr>
            <w:tcW w:w="679" w:type="dxa"/>
          </w:tcPr>
          <w:p w14:paraId="5439E8C3" w14:textId="0AA76D35"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15,38</w:t>
            </w:r>
          </w:p>
        </w:tc>
        <w:tc>
          <w:tcPr>
            <w:tcW w:w="680" w:type="dxa"/>
          </w:tcPr>
          <w:p w14:paraId="4CA35762" w14:textId="5415338A"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-15,37</w:t>
            </w:r>
          </w:p>
        </w:tc>
        <w:tc>
          <w:tcPr>
            <w:tcW w:w="680" w:type="dxa"/>
          </w:tcPr>
          <w:p w14:paraId="315C1C93" w14:textId="4C671231"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+3,140</w:t>
            </w:r>
          </w:p>
        </w:tc>
        <w:tc>
          <w:tcPr>
            <w:tcW w:w="680" w:type="dxa"/>
          </w:tcPr>
          <w:p w14:paraId="35C1024E" w14:textId="2931D292"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-3,110</w:t>
            </w:r>
          </w:p>
        </w:tc>
        <w:tc>
          <w:tcPr>
            <w:tcW w:w="680" w:type="dxa"/>
          </w:tcPr>
          <w:p w14:paraId="48822814" w14:textId="7767ECAC"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+79,03</w:t>
            </w:r>
          </w:p>
        </w:tc>
        <w:tc>
          <w:tcPr>
            <w:tcW w:w="680" w:type="dxa"/>
          </w:tcPr>
          <w:p w14:paraId="44485484" w14:textId="68EF872E"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-81,85</w:t>
            </w:r>
          </w:p>
        </w:tc>
      </w:tr>
      <w:tr w:rsidR="008942CD" w14:paraId="7A4896FD" w14:textId="77777777" w:rsidTr="006B31D1">
        <w:tc>
          <w:tcPr>
            <w:tcW w:w="679" w:type="dxa"/>
          </w:tcPr>
          <w:p w14:paraId="7E493C70" w14:textId="49BACFB5"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FT0,1</w:t>
            </w:r>
          </w:p>
        </w:tc>
        <w:tc>
          <w:tcPr>
            <w:tcW w:w="679" w:type="dxa"/>
          </w:tcPr>
          <w:p w14:paraId="5AA09710" w14:textId="4821E3ED"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15,15</w:t>
            </w:r>
          </w:p>
        </w:tc>
        <w:tc>
          <w:tcPr>
            <w:tcW w:w="680" w:type="dxa"/>
          </w:tcPr>
          <w:p w14:paraId="5DD01CBF" w14:textId="5731CA5F"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-15,12</w:t>
            </w:r>
          </w:p>
        </w:tc>
        <w:tc>
          <w:tcPr>
            <w:tcW w:w="680" w:type="dxa"/>
          </w:tcPr>
          <w:p w14:paraId="13EBC6B9" w14:textId="2C2D7F19"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+3,315</w:t>
            </w:r>
          </w:p>
        </w:tc>
        <w:tc>
          <w:tcPr>
            <w:tcW w:w="680" w:type="dxa"/>
          </w:tcPr>
          <w:p w14:paraId="573359EF" w14:textId="68719ABA"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-3,311</w:t>
            </w:r>
          </w:p>
        </w:tc>
        <w:tc>
          <w:tcPr>
            <w:tcW w:w="680" w:type="dxa"/>
          </w:tcPr>
          <w:p w14:paraId="680DFE8A" w14:textId="6949B7B2"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+121,5</w:t>
            </w:r>
          </w:p>
        </w:tc>
        <w:tc>
          <w:tcPr>
            <w:tcW w:w="680" w:type="dxa"/>
          </w:tcPr>
          <w:p w14:paraId="7BEAD05E" w14:textId="4C19179B"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-121,6</w:t>
            </w:r>
          </w:p>
        </w:tc>
      </w:tr>
      <w:tr w:rsidR="008942CD" w14:paraId="6C344857" w14:textId="77777777" w:rsidTr="006B31D1">
        <w:tc>
          <w:tcPr>
            <w:tcW w:w="679" w:type="dxa"/>
          </w:tcPr>
          <w:p w14:paraId="4DD55707" w14:textId="1EBF367C"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FT0,5</w:t>
            </w:r>
          </w:p>
        </w:tc>
        <w:tc>
          <w:tcPr>
            <w:tcW w:w="679" w:type="dxa"/>
          </w:tcPr>
          <w:p w14:paraId="0C788FC6" w14:textId="7C519DDD"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15,49</w:t>
            </w:r>
          </w:p>
        </w:tc>
        <w:tc>
          <w:tcPr>
            <w:tcW w:w="680" w:type="dxa"/>
          </w:tcPr>
          <w:p w14:paraId="08304572" w14:textId="62222EFB"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-15,49</w:t>
            </w:r>
          </w:p>
        </w:tc>
        <w:tc>
          <w:tcPr>
            <w:tcW w:w="680" w:type="dxa"/>
          </w:tcPr>
          <w:p w14:paraId="3EE4E7D4" w14:textId="54712B39"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+3,190</w:t>
            </w:r>
          </w:p>
        </w:tc>
        <w:tc>
          <w:tcPr>
            <w:tcW w:w="680" w:type="dxa"/>
          </w:tcPr>
          <w:p w14:paraId="6E9E7971" w14:textId="149413F5"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-3,173</w:t>
            </w:r>
          </w:p>
        </w:tc>
        <w:tc>
          <w:tcPr>
            <w:tcW w:w="680" w:type="dxa"/>
          </w:tcPr>
          <w:p w14:paraId="50A5E48D" w14:textId="0FCE6736"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+74,84</w:t>
            </w:r>
          </w:p>
        </w:tc>
        <w:tc>
          <w:tcPr>
            <w:tcW w:w="680" w:type="dxa"/>
          </w:tcPr>
          <w:p w14:paraId="073DE2D9" w14:textId="721A76EF"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-79,04</w:t>
            </w:r>
          </w:p>
        </w:tc>
      </w:tr>
      <w:tr w:rsidR="008942CD" w14:paraId="21AD8D27" w14:textId="77777777" w:rsidTr="006B31D1">
        <w:tc>
          <w:tcPr>
            <w:tcW w:w="679" w:type="dxa"/>
          </w:tcPr>
          <w:p w14:paraId="2CC82393" w14:textId="289A03D2" w:rsidR="006B31D1" w:rsidRPr="008942CD" w:rsidRDefault="008942CD" w:rsidP="008942CD">
            <w:pPr>
              <w:pStyle w:val="TAMainText"/>
              <w:ind w:firstLine="0"/>
              <w:jc w:val="center"/>
              <w:rPr>
                <w:rFonts w:ascii="Times New Roman" w:hAnsi="Times New Roman"/>
                <w:sz w:val="16"/>
                <w:szCs w:val="16"/>
                <w:lang w:val="pt-BR"/>
              </w:rPr>
            </w:pPr>
            <w:r w:rsidRPr="008942CD">
              <w:rPr>
                <w:rFonts w:ascii="Times New Roman" w:hAnsi="Times New Roman"/>
                <w:sz w:val="16"/>
                <w:szCs w:val="16"/>
                <w:lang w:val="pt-BR"/>
              </w:rPr>
              <w:t>FT1</w:t>
            </w:r>
          </w:p>
        </w:tc>
        <w:tc>
          <w:tcPr>
            <w:tcW w:w="679" w:type="dxa"/>
          </w:tcPr>
          <w:p w14:paraId="15097C85" w14:textId="7C5A47D9"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14,87</w:t>
            </w:r>
          </w:p>
        </w:tc>
        <w:tc>
          <w:tcPr>
            <w:tcW w:w="680" w:type="dxa"/>
          </w:tcPr>
          <w:p w14:paraId="27FAC40C" w14:textId="2E8349BE"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-14,88</w:t>
            </w:r>
          </w:p>
        </w:tc>
        <w:tc>
          <w:tcPr>
            <w:tcW w:w="680" w:type="dxa"/>
          </w:tcPr>
          <w:p w14:paraId="5A3FD002" w14:textId="7DB0C5E0"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+3,444</w:t>
            </w:r>
          </w:p>
        </w:tc>
        <w:tc>
          <w:tcPr>
            <w:tcW w:w="680" w:type="dxa"/>
          </w:tcPr>
          <w:p w14:paraId="5D1BB9C9" w14:textId="01A42A00"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-3,441</w:t>
            </w:r>
          </w:p>
        </w:tc>
        <w:tc>
          <w:tcPr>
            <w:tcW w:w="680" w:type="dxa"/>
          </w:tcPr>
          <w:p w14:paraId="0BB344CA" w14:textId="11EBECCA"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+112,7</w:t>
            </w:r>
          </w:p>
        </w:tc>
        <w:tc>
          <w:tcPr>
            <w:tcW w:w="680" w:type="dxa"/>
          </w:tcPr>
          <w:p w14:paraId="7762BB04" w14:textId="22E7A9FF" w:rsidR="006B31D1" w:rsidRPr="008942CD" w:rsidRDefault="008942CD" w:rsidP="008942CD">
            <w:pPr>
              <w:pStyle w:val="TAMainText"/>
              <w:ind w:firstLine="0"/>
              <w:jc w:val="center"/>
              <w:rPr>
                <w:rFonts w:ascii="Times New Roman" w:hAnsi="Times New Roman"/>
                <w:sz w:val="16"/>
                <w:szCs w:val="16"/>
                <w:lang w:val="pt-BR"/>
              </w:rPr>
            </w:pPr>
            <w:r>
              <w:rPr>
                <w:rFonts w:ascii="Times New Roman" w:hAnsi="Times New Roman"/>
                <w:sz w:val="16"/>
                <w:szCs w:val="16"/>
                <w:lang w:val="pt-BR"/>
              </w:rPr>
              <w:t>-113,4</w:t>
            </w:r>
          </w:p>
        </w:tc>
      </w:tr>
    </w:tbl>
    <w:p w14:paraId="4AC4147D" w14:textId="77777777" w:rsidR="00DC7822" w:rsidRDefault="00DC7822" w:rsidP="00380DDD">
      <w:pPr>
        <w:pStyle w:val="TAMainText"/>
        <w:ind w:firstLine="187"/>
        <w:jc w:val="center"/>
        <w:rPr>
          <w:rFonts w:ascii="Times New Roman" w:hAnsi="Times New Roman"/>
          <w:b/>
          <w:lang w:val="pt-BR"/>
        </w:rPr>
      </w:pPr>
    </w:p>
    <w:p w14:paraId="6E456F31" w14:textId="09C2691E" w:rsidR="008845E3" w:rsidRDefault="00B571B1" w:rsidP="008845E3">
      <w:pPr>
        <w:pStyle w:val="TAMainText"/>
        <w:ind w:firstLine="0"/>
        <w:rPr>
          <w:rFonts w:ascii="Times New Roman" w:hAnsi="Times New Roman"/>
          <w:lang w:val="pt-BR"/>
        </w:rPr>
      </w:pPr>
      <w:r>
        <w:rPr>
          <w:rFonts w:ascii="Times New Roman" w:hAnsi="Times New Roman"/>
          <w:i/>
          <w:lang w:val="pt-BR"/>
        </w:rPr>
        <w:t>Testes fotocatalíticos</w:t>
      </w:r>
      <w:r w:rsidR="008845E3" w:rsidRPr="001F25B2">
        <w:rPr>
          <w:rFonts w:ascii="Times New Roman" w:hAnsi="Times New Roman"/>
          <w:i/>
          <w:lang w:val="pt-BR"/>
        </w:rPr>
        <w:t>.</w:t>
      </w:r>
    </w:p>
    <w:p w14:paraId="167EAF36" w14:textId="3704EB92" w:rsidR="00D24AE0" w:rsidRDefault="00D24AE0" w:rsidP="00592092">
      <w:pPr>
        <w:pStyle w:val="TAMainText"/>
        <w:ind w:firstLine="187"/>
        <w:rPr>
          <w:rFonts w:ascii="Times New Roman" w:hAnsi="Times New Roman"/>
          <w:lang w:val="pt-BR"/>
        </w:rPr>
      </w:pPr>
      <w:r w:rsidRPr="00D24AE0">
        <w:rPr>
          <w:rFonts w:ascii="Times New Roman" w:hAnsi="Times New Roman"/>
          <w:lang w:val="pt-BR"/>
        </w:rPr>
        <w:t xml:space="preserve">A Figura </w:t>
      </w:r>
      <w:r w:rsidR="00380DDD">
        <w:rPr>
          <w:rFonts w:ascii="Times New Roman" w:hAnsi="Times New Roman"/>
          <w:lang w:val="pt-BR"/>
        </w:rPr>
        <w:t>4</w:t>
      </w:r>
      <w:r w:rsidRPr="00D24AE0">
        <w:rPr>
          <w:rFonts w:ascii="Times New Roman" w:hAnsi="Times New Roman"/>
          <w:lang w:val="pt-BR"/>
        </w:rPr>
        <w:t xml:space="preserve"> reporta o desempenho adsortivo e fotocatalítico dos materiais sintetizados.</w:t>
      </w:r>
      <w:r w:rsidR="00CD0DE4">
        <w:rPr>
          <w:rFonts w:ascii="Times New Roman" w:hAnsi="Times New Roman"/>
          <w:lang w:val="pt-BR"/>
        </w:rPr>
        <w:t xml:space="preserve"> E</w:t>
      </w:r>
      <w:r w:rsidRPr="00D24AE0">
        <w:rPr>
          <w:rFonts w:ascii="Times New Roman" w:hAnsi="Times New Roman"/>
          <w:lang w:val="pt-BR"/>
        </w:rPr>
        <w:t xml:space="preserve">sperava-se que, </w:t>
      </w:r>
      <w:r w:rsidR="00C34ED7">
        <w:rPr>
          <w:rFonts w:ascii="Times New Roman" w:hAnsi="Times New Roman"/>
          <w:lang w:val="pt-BR"/>
        </w:rPr>
        <w:t>durante o</w:t>
      </w:r>
      <w:r w:rsidRPr="00D24AE0">
        <w:rPr>
          <w:rFonts w:ascii="Times New Roman" w:hAnsi="Times New Roman"/>
          <w:lang w:val="pt-BR"/>
        </w:rPr>
        <w:t xml:space="preserve"> processo adsortivo, não houvesse</w:t>
      </w:r>
      <w:r w:rsidR="00CD0DE4">
        <w:rPr>
          <w:rFonts w:ascii="Times New Roman" w:hAnsi="Times New Roman"/>
          <w:lang w:val="pt-BR"/>
        </w:rPr>
        <w:t xml:space="preserve"> a presença de</w:t>
      </w:r>
      <w:r w:rsidRPr="00D24AE0">
        <w:rPr>
          <w:rFonts w:ascii="Times New Roman" w:hAnsi="Times New Roman"/>
          <w:lang w:val="pt-BR"/>
        </w:rPr>
        <w:t xml:space="preserve"> íons fosfato no meio reacional, pois esses seriam gerados pela degradação do glifosato ao longo da reação fotocatalítica, como produto de sua mineralização. Porém, verificou-se que a primeira alíquota retirada do meio reacional de todas as soluções preparadas continham PO</w:t>
      </w:r>
      <w:r w:rsidRPr="00E31131">
        <w:rPr>
          <w:rFonts w:ascii="Times New Roman" w:hAnsi="Times New Roman"/>
          <w:vertAlign w:val="subscript"/>
          <w:lang w:val="pt-BR"/>
        </w:rPr>
        <w:t>4</w:t>
      </w:r>
      <w:r w:rsidRPr="00E31131">
        <w:rPr>
          <w:rFonts w:ascii="Times New Roman" w:hAnsi="Times New Roman"/>
          <w:vertAlign w:val="superscript"/>
          <w:lang w:val="pt-BR"/>
        </w:rPr>
        <w:t>3-</w:t>
      </w:r>
      <w:r w:rsidRPr="00D24AE0">
        <w:rPr>
          <w:rFonts w:ascii="Times New Roman" w:hAnsi="Times New Roman"/>
          <w:lang w:val="pt-BR"/>
        </w:rPr>
        <w:t xml:space="preserve">. Acredita-se que esses íons sejam provenientes das substâncias presentes na formulação do herbicida comercial Roundup® empregado nesse trabalho. </w:t>
      </w:r>
      <w:r w:rsidR="00FE62DA">
        <w:rPr>
          <w:rFonts w:ascii="Times New Roman" w:hAnsi="Times New Roman"/>
          <w:lang w:val="pt-BR"/>
        </w:rPr>
        <w:t>O</w:t>
      </w:r>
      <w:r w:rsidRPr="00D24AE0">
        <w:rPr>
          <w:rFonts w:ascii="Times New Roman" w:hAnsi="Times New Roman"/>
          <w:lang w:val="pt-BR"/>
        </w:rPr>
        <w:t xml:space="preserve">bserva-se que </w:t>
      </w:r>
      <w:r w:rsidR="00CD0DE4">
        <w:rPr>
          <w:rFonts w:ascii="Times New Roman" w:hAnsi="Times New Roman"/>
          <w:lang w:val="pt-BR"/>
        </w:rPr>
        <w:t>a amostra FT se destacou na</w:t>
      </w:r>
      <w:r w:rsidRPr="00D24AE0">
        <w:rPr>
          <w:rFonts w:ascii="Times New Roman" w:hAnsi="Times New Roman"/>
          <w:lang w:val="pt-BR"/>
        </w:rPr>
        <w:t xml:space="preserve"> adsorção de íons fosfato.</w:t>
      </w:r>
    </w:p>
    <w:p w14:paraId="451DE323" w14:textId="4660902A" w:rsidR="00DC7822" w:rsidRDefault="006C6514" w:rsidP="00380DDD">
      <w:pPr>
        <w:pStyle w:val="TAMainText"/>
        <w:ind w:firstLine="187"/>
        <w:jc w:val="center"/>
        <w:rPr>
          <w:rFonts w:ascii="Times New Roman" w:hAnsi="Times New Roman"/>
          <w:b/>
          <w:lang w:val="pt-BR"/>
        </w:rPr>
      </w:pPr>
      <w:r w:rsidRPr="005104CE">
        <w:rPr>
          <w:rFonts w:ascii="Times New Roman" w:hAnsi="Times New Roman"/>
          <w:noProof/>
          <w:lang w:val="pt-BR"/>
        </w:rPr>
        <w:drawing>
          <wp:anchor distT="0" distB="0" distL="114300" distR="114300" simplePos="0" relativeHeight="251673599" behindDoc="0" locked="0" layoutInCell="1" allowOverlap="1" wp14:anchorId="38B2274B" wp14:editId="59791631">
            <wp:simplePos x="0" y="0"/>
            <wp:positionH relativeFrom="column">
              <wp:posOffset>3764008</wp:posOffset>
            </wp:positionH>
            <wp:positionV relativeFrom="paragraph">
              <wp:posOffset>221789</wp:posOffset>
            </wp:positionV>
            <wp:extent cx="2699658" cy="1990753"/>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2">
                      <a:extLst>
                        <a:ext uri="{28A0092B-C50C-407E-A947-70E740481C1C}">
                          <a14:useLocalDpi xmlns:a14="http://schemas.microsoft.com/office/drawing/2010/main" val="0"/>
                        </a:ext>
                      </a:extLst>
                    </a:blip>
                    <a:srcRect t="3097" b="858"/>
                    <a:stretch/>
                  </pic:blipFill>
                  <pic:spPr bwMode="auto">
                    <a:xfrm>
                      <a:off x="0" y="0"/>
                      <a:ext cx="2699658" cy="19907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EE2" w:rsidRPr="00C34ED7">
        <w:rPr>
          <w:rFonts w:ascii="Times New Roman" w:hAnsi="Times New Roman"/>
          <w:noProof/>
          <w:lang w:val="pt-BR"/>
        </w:rPr>
        <w:drawing>
          <wp:anchor distT="0" distB="0" distL="114300" distR="114300" simplePos="0" relativeHeight="251672575" behindDoc="0" locked="0" layoutInCell="1" allowOverlap="1" wp14:anchorId="48F0E207" wp14:editId="091622F4">
            <wp:simplePos x="0" y="0"/>
            <wp:positionH relativeFrom="column">
              <wp:posOffset>50895</wp:posOffset>
            </wp:positionH>
            <wp:positionV relativeFrom="paragraph">
              <wp:posOffset>18415</wp:posOffset>
            </wp:positionV>
            <wp:extent cx="3024505" cy="1908000"/>
            <wp:effectExtent l="0" t="0" r="4445"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a:extLst>
                        <a:ext uri="{28A0092B-C50C-407E-A947-70E740481C1C}">
                          <a14:useLocalDpi xmlns:a14="http://schemas.microsoft.com/office/drawing/2010/main" val="0"/>
                        </a:ext>
                      </a:extLst>
                    </a:blip>
                    <a:srcRect t="4740" b="4685"/>
                    <a:stretch/>
                  </pic:blipFill>
                  <pic:spPr bwMode="auto">
                    <a:xfrm>
                      <a:off x="0" y="0"/>
                      <a:ext cx="3024505" cy="19080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AA8588F" w14:textId="1EB9E8B0" w:rsidR="00F74239" w:rsidRDefault="00F74239" w:rsidP="00380DDD">
      <w:pPr>
        <w:pStyle w:val="TAMainText"/>
        <w:ind w:firstLine="187"/>
        <w:jc w:val="center"/>
        <w:rPr>
          <w:rFonts w:ascii="Times New Roman" w:hAnsi="Times New Roman"/>
          <w:lang w:val="pt-BR"/>
        </w:rPr>
      </w:pPr>
    </w:p>
    <w:p w14:paraId="787F85E5" w14:textId="236978AD" w:rsidR="00F74239" w:rsidRDefault="00F74239" w:rsidP="00592092">
      <w:pPr>
        <w:pStyle w:val="TAMainText"/>
        <w:ind w:firstLine="187"/>
        <w:rPr>
          <w:rFonts w:ascii="Times New Roman" w:hAnsi="Times New Roman"/>
          <w:lang w:val="pt-BR"/>
        </w:rPr>
      </w:pPr>
    </w:p>
    <w:p w14:paraId="7A3615F4" w14:textId="6EA24F17" w:rsidR="00F74239" w:rsidRDefault="00F74239" w:rsidP="00592092">
      <w:pPr>
        <w:pStyle w:val="TAMainText"/>
        <w:ind w:firstLine="187"/>
        <w:rPr>
          <w:rFonts w:ascii="Times New Roman" w:hAnsi="Times New Roman"/>
          <w:lang w:val="pt-BR"/>
        </w:rPr>
      </w:pPr>
    </w:p>
    <w:p w14:paraId="652F95A9" w14:textId="5D999088" w:rsidR="00F74239" w:rsidRDefault="00F74239" w:rsidP="00592092">
      <w:pPr>
        <w:pStyle w:val="TAMainText"/>
        <w:ind w:firstLine="187"/>
        <w:rPr>
          <w:rFonts w:ascii="Times New Roman" w:hAnsi="Times New Roman"/>
          <w:lang w:val="pt-BR"/>
        </w:rPr>
      </w:pPr>
    </w:p>
    <w:p w14:paraId="61134490" w14:textId="3B3A2B4B" w:rsidR="00F74239" w:rsidRDefault="00F74239" w:rsidP="00592092">
      <w:pPr>
        <w:pStyle w:val="TAMainText"/>
        <w:ind w:firstLine="187"/>
        <w:rPr>
          <w:rFonts w:ascii="Times New Roman" w:hAnsi="Times New Roman"/>
          <w:lang w:val="pt-BR"/>
        </w:rPr>
      </w:pPr>
    </w:p>
    <w:p w14:paraId="419BB410" w14:textId="787EEACA" w:rsidR="00F74239" w:rsidRDefault="00F74239" w:rsidP="00592092">
      <w:pPr>
        <w:pStyle w:val="TAMainText"/>
        <w:ind w:firstLine="187"/>
        <w:rPr>
          <w:rFonts w:ascii="Times New Roman" w:hAnsi="Times New Roman"/>
          <w:lang w:val="pt-BR"/>
        </w:rPr>
      </w:pPr>
    </w:p>
    <w:p w14:paraId="75819719" w14:textId="5ADC497C" w:rsidR="00F74239" w:rsidRDefault="00F74239" w:rsidP="00592092">
      <w:pPr>
        <w:pStyle w:val="TAMainText"/>
        <w:ind w:firstLine="187"/>
        <w:rPr>
          <w:rFonts w:ascii="Times New Roman" w:hAnsi="Times New Roman"/>
          <w:lang w:val="pt-BR"/>
        </w:rPr>
      </w:pPr>
    </w:p>
    <w:p w14:paraId="018019C6" w14:textId="05B66A82" w:rsidR="00F74239" w:rsidRDefault="00F74239" w:rsidP="00592092">
      <w:pPr>
        <w:pStyle w:val="TAMainText"/>
        <w:ind w:firstLine="187"/>
        <w:rPr>
          <w:rFonts w:ascii="Times New Roman" w:hAnsi="Times New Roman"/>
          <w:lang w:val="pt-BR"/>
        </w:rPr>
      </w:pPr>
    </w:p>
    <w:p w14:paraId="5D8080E6" w14:textId="04202DE1" w:rsidR="00F74239" w:rsidRDefault="00F74239" w:rsidP="00592092">
      <w:pPr>
        <w:pStyle w:val="TAMainText"/>
        <w:ind w:firstLine="187"/>
        <w:rPr>
          <w:rFonts w:ascii="Times New Roman" w:hAnsi="Times New Roman"/>
          <w:lang w:val="pt-BR"/>
        </w:rPr>
      </w:pPr>
    </w:p>
    <w:p w14:paraId="4074D682" w14:textId="35592D11" w:rsidR="00F74239" w:rsidRDefault="00F74239" w:rsidP="00592092">
      <w:pPr>
        <w:pStyle w:val="TAMainText"/>
        <w:ind w:firstLine="187"/>
        <w:rPr>
          <w:rFonts w:ascii="Times New Roman" w:hAnsi="Times New Roman"/>
          <w:lang w:val="pt-BR"/>
        </w:rPr>
      </w:pPr>
    </w:p>
    <w:p w14:paraId="490F7164" w14:textId="707DF2D3" w:rsidR="00F74239" w:rsidRDefault="00F74239" w:rsidP="00592092">
      <w:pPr>
        <w:pStyle w:val="TAMainText"/>
        <w:ind w:firstLine="187"/>
        <w:rPr>
          <w:rFonts w:ascii="Times New Roman" w:hAnsi="Times New Roman"/>
          <w:lang w:val="pt-BR"/>
        </w:rPr>
      </w:pPr>
    </w:p>
    <w:p w14:paraId="2AD97F44" w14:textId="74F41BDB" w:rsidR="00F74239" w:rsidRDefault="00F74239" w:rsidP="00592092">
      <w:pPr>
        <w:pStyle w:val="TAMainText"/>
        <w:ind w:firstLine="187"/>
        <w:rPr>
          <w:rFonts w:ascii="Times New Roman" w:hAnsi="Times New Roman"/>
          <w:lang w:val="pt-BR"/>
        </w:rPr>
      </w:pPr>
    </w:p>
    <w:p w14:paraId="09F5318D" w14:textId="52CE03EC" w:rsidR="00020493" w:rsidRDefault="00020493" w:rsidP="00FE62DA">
      <w:pPr>
        <w:pStyle w:val="VAFigureCaption"/>
        <w:spacing w:before="0"/>
        <w:rPr>
          <w:rFonts w:ascii="Times New Roman" w:hAnsi="Times New Roman"/>
          <w:lang w:val="pt-BR"/>
        </w:rPr>
      </w:pPr>
      <w:r>
        <w:rPr>
          <w:rFonts w:ascii="Times New Roman" w:hAnsi="Times New Roman"/>
          <w:b/>
          <w:lang w:val="pt-BR"/>
        </w:rPr>
        <w:t>Figura 4</w:t>
      </w:r>
      <w:r w:rsidRPr="00E038AF">
        <w:rPr>
          <w:rFonts w:ascii="Times New Roman" w:hAnsi="Times New Roman"/>
          <w:b/>
          <w:lang w:val="pt-BR"/>
        </w:rPr>
        <w:t>.</w:t>
      </w:r>
      <w:r w:rsidRPr="00E038AF">
        <w:rPr>
          <w:rFonts w:ascii="Times New Roman" w:hAnsi="Times New Roman"/>
          <w:lang w:val="pt-BR"/>
        </w:rPr>
        <w:t xml:space="preserve"> </w:t>
      </w:r>
      <w:r w:rsidRPr="00D12FC8">
        <w:rPr>
          <w:lang w:val="pt-BR"/>
        </w:rPr>
        <w:t>Mineralização do meio, em termos do íon fosfato, durante os testes adsortivo-fotocatalíticos como determinação indireta da remoção/degradação do glifosato ao longo do tratamento</w:t>
      </w:r>
      <w:r w:rsidRPr="00E038AF">
        <w:rPr>
          <w:rFonts w:ascii="Times New Roman" w:hAnsi="Times New Roman"/>
          <w:lang w:val="pt-BR"/>
        </w:rPr>
        <w:t>.</w:t>
      </w:r>
    </w:p>
    <w:p w14:paraId="4479644D" w14:textId="77777777" w:rsidR="00FE62DA" w:rsidRPr="00FE62DA" w:rsidRDefault="00FE62DA" w:rsidP="00FE62DA">
      <w:pPr>
        <w:rPr>
          <w:lang w:eastAsia="pt-BR"/>
        </w:rPr>
      </w:pPr>
    </w:p>
    <w:p w14:paraId="6A64AE07" w14:textId="772D1E58" w:rsidR="00B84F97" w:rsidRPr="00B84F97" w:rsidRDefault="00FE62DA" w:rsidP="00B84F97">
      <w:pPr>
        <w:pStyle w:val="TAMainText"/>
        <w:ind w:firstLine="187"/>
        <w:rPr>
          <w:rFonts w:ascii="Times New Roman" w:hAnsi="Times New Roman"/>
          <w:lang w:val="pt-BR"/>
        </w:rPr>
      </w:pPr>
      <w:r>
        <w:rPr>
          <w:rFonts w:ascii="Times New Roman" w:hAnsi="Times New Roman"/>
          <w:lang w:val="pt-BR"/>
        </w:rPr>
        <w:lastRenderedPageBreak/>
        <w:t>Verifica</w:t>
      </w:r>
      <w:r w:rsidR="00B84F97" w:rsidRPr="00B84F97">
        <w:rPr>
          <w:rFonts w:ascii="Times New Roman" w:hAnsi="Times New Roman"/>
          <w:lang w:val="pt-BR"/>
        </w:rPr>
        <w:t xml:space="preserve">-se que a amostra mais ativa do ponto de vista fotocatalítico foi </w:t>
      </w:r>
      <w:r w:rsidR="00E31131">
        <w:rPr>
          <w:rFonts w:ascii="Times New Roman" w:hAnsi="Times New Roman"/>
          <w:lang w:val="pt-BR"/>
        </w:rPr>
        <w:t>FT</w:t>
      </w:r>
      <w:r w:rsidR="00B84F97" w:rsidRPr="00B84F97">
        <w:rPr>
          <w:rFonts w:ascii="Times New Roman" w:hAnsi="Times New Roman"/>
          <w:lang w:val="pt-BR"/>
        </w:rPr>
        <w:t>, pois, apesar de a concentração de fosfato registrada durante o processo fotocatalítico ser inferio</w:t>
      </w:r>
      <w:r w:rsidR="00DC7822">
        <w:rPr>
          <w:rFonts w:ascii="Times New Roman" w:hAnsi="Times New Roman"/>
          <w:lang w:val="pt-BR"/>
        </w:rPr>
        <w:t>r ao registrado para a amostra T, a amostra T</w:t>
      </w:r>
      <w:r w:rsidR="00B84F97" w:rsidRPr="00B84F97">
        <w:rPr>
          <w:rFonts w:ascii="Times New Roman" w:hAnsi="Times New Roman"/>
          <w:lang w:val="pt-BR"/>
        </w:rPr>
        <w:t xml:space="preserve"> removeu men</w:t>
      </w:r>
      <w:r w:rsidR="00DC7822">
        <w:rPr>
          <w:rFonts w:ascii="Times New Roman" w:hAnsi="Times New Roman"/>
          <w:lang w:val="pt-BR"/>
        </w:rPr>
        <w:t>os fosfato por adsorção do que FT</w:t>
      </w:r>
      <w:r w:rsidR="00B84F97" w:rsidRPr="00B84F97">
        <w:rPr>
          <w:rFonts w:ascii="Times New Roman" w:hAnsi="Times New Roman"/>
          <w:lang w:val="pt-BR"/>
        </w:rPr>
        <w:t>, dessa forma, a concentração de fosfato no tempo zero de fotocatáli</w:t>
      </w:r>
      <w:r w:rsidR="00DC7822">
        <w:rPr>
          <w:rFonts w:ascii="Times New Roman" w:hAnsi="Times New Roman"/>
          <w:lang w:val="pt-BR"/>
        </w:rPr>
        <w:t>se foi superior para a amostra T</w:t>
      </w:r>
      <w:r w:rsidR="00B84F97" w:rsidRPr="00B84F97">
        <w:rPr>
          <w:rFonts w:ascii="Times New Roman" w:hAnsi="Times New Roman"/>
          <w:lang w:val="pt-BR"/>
        </w:rPr>
        <w:t xml:space="preserve"> quand</w:t>
      </w:r>
      <w:r w:rsidR="00DC7822">
        <w:rPr>
          <w:rFonts w:ascii="Times New Roman" w:hAnsi="Times New Roman"/>
          <w:lang w:val="pt-BR"/>
        </w:rPr>
        <w:t>o comparada com FT</w:t>
      </w:r>
      <w:r w:rsidR="00B84F97" w:rsidRPr="00B84F97">
        <w:rPr>
          <w:rFonts w:ascii="Times New Roman" w:hAnsi="Times New Roman"/>
          <w:lang w:val="pt-BR"/>
        </w:rPr>
        <w:t>, o que permite inferir que o tratament</w:t>
      </w:r>
      <w:r w:rsidR="00DC7822">
        <w:rPr>
          <w:rFonts w:ascii="Times New Roman" w:hAnsi="Times New Roman"/>
          <w:lang w:val="pt-BR"/>
        </w:rPr>
        <w:t>o fotocatalítico com a amostra T</w:t>
      </w:r>
      <w:r w:rsidR="00B84F97" w:rsidRPr="00B84F97">
        <w:rPr>
          <w:rFonts w:ascii="Times New Roman" w:hAnsi="Times New Roman"/>
          <w:lang w:val="pt-BR"/>
        </w:rPr>
        <w:t xml:space="preserve"> já se inicia com um</w:t>
      </w:r>
      <w:r w:rsidR="00C1417B">
        <w:rPr>
          <w:rFonts w:ascii="Times New Roman" w:hAnsi="Times New Roman"/>
          <w:lang w:val="pt-BR"/>
        </w:rPr>
        <w:t>a concentração maior de fosfato que não é advindo</w:t>
      </w:r>
      <w:r w:rsidR="00B84F97" w:rsidRPr="00B84F97">
        <w:rPr>
          <w:rFonts w:ascii="Times New Roman" w:hAnsi="Times New Roman"/>
          <w:lang w:val="pt-BR"/>
        </w:rPr>
        <w:t xml:space="preserve"> da decomposição do glifosato, mas sim do fosfato presente na formulação do Roundup®. </w:t>
      </w:r>
    </w:p>
    <w:p w14:paraId="3375346F" w14:textId="0A3A1A40" w:rsidR="00B84F97" w:rsidRPr="00B84F97" w:rsidRDefault="00B84F97" w:rsidP="00B84F97">
      <w:pPr>
        <w:pStyle w:val="TAMainText"/>
        <w:ind w:firstLine="187"/>
        <w:rPr>
          <w:rFonts w:ascii="Times New Roman" w:hAnsi="Times New Roman"/>
          <w:lang w:val="pt-BR"/>
        </w:rPr>
      </w:pPr>
      <w:r w:rsidRPr="00B84F97">
        <w:rPr>
          <w:rFonts w:ascii="Times New Roman" w:hAnsi="Times New Roman"/>
          <w:lang w:val="pt-BR"/>
        </w:rPr>
        <w:t xml:space="preserve">Esses resultados sugerem que, de fato, a ferrita de níquel isolada não é um fotocatalisador </w:t>
      </w:r>
      <w:r w:rsidR="00C1417B">
        <w:rPr>
          <w:rFonts w:ascii="Times New Roman" w:hAnsi="Times New Roman"/>
          <w:lang w:val="pt-BR"/>
        </w:rPr>
        <w:t>ativo</w:t>
      </w:r>
      <w:r w:rsidRPr="00B84F97">
        <w:rPr>
          <w:rFonts w:ascii="Times New Roman" w:hAnsi="Times New Roman"/>
          <w:lang w:val="pt-BR"/>
        </w:rPr>
        <w:t xml:space="preserve"> uma vez que a taxa de recombinação dos pares e</w:t>
      </w:r>
      <w:r w:rsidRPr="00DC7822">
        <w:rPr>
          <w:rFonts w:ascii="Times New Roman" w:hAnsi="Times New Roman"/>
          <w:vertAlign w:val="superscript"/>
          <w:lang w:val="pt-BR"/>
        </w:rPr>
        <w:t>-</w:t>
      </w:r>
      <w:r w:rsidRPr="00B84F97">
        <w:rPr>
          <w:rFonts w:ascii="Times New Roman" w:hAnsi="Times New Roman"/>
          <w:lang w:val="pt-BR"/>
        </w:rPr>
        <w:t>/h</w:t>
      </w:r>
      <w:r w:rsidRPr="00DC7822">
        <w:rPr>
          <w:rFonts w:ascii="Times New Roman" w:hAnsi="Times New Roman"/>
          <w:vertAlign w:val="superscript"/>
          <w:lang w:val="pt-BR"/>
        </w:rPr>
        <w:t>+</w:t>
      </w:r>
      <w:r w:rsidRPr="00B84F97">
        <w:rPr>
          <w:rFonts w:ascii="Times New Roman" w:hAnsi="Times New Roman"/>
          <w:lang w:val="pt-BR"/>
        </w:rPr>
        <w:t xml:space="preserve"> é demasiadamente elevada. O TiO</w:t>
      </w:r>
      <w:r w:rsidRPr="00DC7822">
        <w:rPr>
          <w:rFonts w:ascii="Times New Roman" w:hAnsi="Times New Roman"/>
          <w:vertAlign w:val="subscript"/>
          <w:lang w:val="pt-BR"/>
        </w:rPr>
        <w:t>2</w:t>
      </w:r>
      <w:r w:rsidRPr="00B84F97">
        <w:rPr>
          <w:rFonts w:ascii="Times New Roman" w:hAnsi="Times New Roman"/>
          <w:lang w:val="pt-BR"/>
        </w:rPr>
        <w:t xml:space="preserve"> apresentou desempenho fotocatalítico considerável, que foi aumentado por meio da sua associação com a ferrita, o que permite inferir que os objetivos de aumento da atividade fotocatalítica por meio da formação de </w:t>
      </w:r>
      <w:r w:rsidR="00C1417B">
        <w:rPr>
          <w:rFonts w:ascii="Times New Roman" w:hAnsi="Times New Roman"/>
          <w:lang w:val="pt-BR"/>
        </w:rPr>
        <w:t>heterojunções</w:t>
      </w:r>
      <w:r w:rsidRPr="00B84F97">
        <w:rPr>
          <w:rFonts w:ascii="Times New Roman" w:hAnsi="Times New Roman"/>
          <w:lang w:val="pt-BR"/>
        </w:rPr>
        <w:t xml:space="preserve"> </w:t>
      </w:r>
      <w:r w:rsidR="00DC7822">
        <w:rPr>
          <w:rFonts w:ascii="Times New Roman" w:hAnsi="Times New Roman"/>
          <w:lang w:val="pt-BR"/>
        </w:rPr>
        <w:t>NiFe</w:t>
      </w:r>
      <w:r w:rsidR="00DC7822" w:rsidRPr="00DC7822">
        <w:rPr>
          <w:rFonts w:ascii="Times New Roman" w:hAnsi="Times New Roman"/>
          <w:vertAlign w:val="subscript"/>
          <w:lang w:val="pt-BR"/>
        </w:rPr>
        <w:t>2</w:t>
      </w:r>
      <w:r w:rsidR="00DC7822">
        <w:rPr>
          <w:rFonts w:ascii="Times New Roman" w:hAnsi="Times New Roman"/>
          <w:lang w:val="pt-BR"/>
        </w:rPr>
        <w:t>O</w:t>
      </w:r>
      <w:r w:rsidR="00DC7822" w:rsidRPr="00DC7822">
        <w:rPr>
          <w:rFonts w:ascii="Times New Roman" w:hAnsi="Times New Roman"/>
          <w:vertAlign w:val="subscript"/>
          <w:lang w:val="pt-BR"/>
        </w:rPr>
        <w:t>4</w:t>
      </w:r>
      <w:r w:rsidR="00DC7822">
        <w:rPr>
          <w:rFonts w:ascii="Times New Roman" w:hAnsi="Times New Roman"/>
          <w:lang w:val="pt-BR"/>
        </w:rPr>
        <w:t>/</w:t>
      </w:r>
      <w:r w:rsidRPr="00B84F97">
        <w:rPr>
          <w:rFonts w:ascii="Times New Roman" w:hAnsi="Times New Roman"/>
          <w:lang w:val="pt-BR"/>
        </w:rPr>
        <w:t>TiO</w:t>
      </w:r>
      <w:r w:rsidRPr="00DC7822">
        <w:rPr>
          <w:rFonts w:ascii="Times New Roman" w:hAnsi="Times New Roman"/>
          <w:vertAlign w:val="subscript"/>
          <w:lang w:val="pt-BR"/>
        </w:rPr>
        <w:t>2</w:t>
      </w:r>
      <w:r w:rsidRPr="00B84F97">
        <w:rPr>
          <w:rFonts w:ascii="Times New Roman" w:hAnsi="Times New Roman"/>
          <w:lang w:val="pt-BR"/>
        </w:rPr>
        <w:t xml:space="preserve"> foram alcançados. Obteve-se, pois, um catalisador magnético com expressivo desempenho de degradação fotocatalítica do glifosato em meio aquoso sob radiação visível. A amostra </w:t>
      </w:r>
      <w:r w:rsidR="00DC7822">
        <w:rPr>
          <w:rFonts w:ascii="Times New Roman" w:hAnsi="Times New Roman"/>
          <w:lang w:val="pt-BR"/>
        </w:rPr>
        <w:t>FT0,1</w:t>
      </w:r>
      <w:r w:rsidRPr="00B84F97">
        <w:rPr>
          <w:rFonts w:ascii="Times New Roman" w:hAnsi="Times New Roman"/>
          <w:lang w:val="pt-BR"/>
        </w:rPr>
        <w:t xml:space="preserve"> também demonstrou potencial como fotocatalisador.</w:t>
      </w:r>
    </w:p>
    <w:p w14:paraId="37C58153" w14:textId="1ED69F58" w:rsidR="00DC7822" w:rsidRPr="00955B28" w:rsidRDefault="00B84F97" w:rsidP="00955B28">
      <w:pPr>
        <w:pStyle w:val="TAMainText"/>
        <w:ind w:firstLine="187"/>
        <w:rPr>
          <w:rFonts w:ascii="Times New Roman" w:hAnsi="Times New Roman"/>
          <w:lang w:val="pt-BR"/>
        </w:rPr>
      </w:pPr>
      <w:r w:rsidRPr="00B84F97">
        <w:rPr>
          <w:rFonts w:ascii="Times New Roman" w:hAnsi="Times New Roman"/>
          <w:lang w:val="pt-BR"/>
        </w:rPr>
        <w:t xml:space="preserve">Esses resultados podem ser explicados, ao menos parcialmente, por meio dos resultados de espectroscopia de fotoluminescência, em que se verificou que as amostras </w:t>
      </w:r>
      <w:r w:rsidR="00DC7822">
        <w:rPr>
          <w:rFonts w:ascii="Times New Roman" w:hAnsi="Times New Roman"/>
          <w:lang w:val="pt-BR"/>
        </w:rPr>
        <w:t>FT</w:t>
      </w:r>
      <w:r w:rsidRPr="00B84F97">
        <w:rPr>
          <w:rFonts w:ascii="Times New Roman" w:hAnsi="Times New Roman"/>
          <w:lang w:val="pt-BR"/>
        </w:rPr>
        <w:t xml:space="preserve"> e </w:t>
      </w:r>
      <w:r w:rsidR="00DC7822">
        <w:rPr>
          <w:rFonts w:ascii="Times New Roman" w:hAnsi="Times New Roman"/>
          <w:lang w:val="pt-BR"/>
        </w:rPr>
        <w:t>FT0,1</w:t>
      </w:r>
      <w:r w:rsidRPr="00B84F97">
        <w:rPr>
          <w:rFonts w:ascii="Times New Roman" w:hAnsi="Times New Roman"/>
          <w:lang w:val="pt-BR"/>
        </w:rPr>
        <w:t xml:space="preserve"> foram as heterojunções que se destacaram na diminuição da taxa de recombinação dos pares e</w:t>
      </w:r>
      <w:r w:rsidRPr="00DC7822">
        <w:rPr>
          <w:rFonts w:ascii="Times New Roman" w:hAnsi="Times New Roman"/>
          <w:vertAlign w:val="superscript"/>
          <w:lang w:val="pt-BR"/>
        </w:rPr>
        <w:t>-</w:t>
      </w:r>
      <w:r w:rsidRPr="00B84F97">
        <w:rPr>
          <w:rFonts w:ascii="Times New Roman" w:hAnsi="Times New Roman"/>
          <w:lang w:val="pt-BR"/>
        </w:rPr>
        <w:t>/h</w:t>
      </w:r>
      <w:r w:rsidRPr="00DC7822">
        <w:rPr>
          <w:rFonts w:ascii="Times New Roman" w:hAnsi="Times New Roman"/>
          <w:vertAlign w:val="superscript"/>
          <w:lang w:val="pt-BR"/>
        </w:rPr>
        <w:t>+</w:t>
      </w:r>
      <w:r w:rsidRPr="00B84F97">
        <w:rPr>
          <w:rFonts w:ascii="Times New Roman" w:hAnsi="Times New Roman"/>
          <w:lang w:val="pt-BR"/>
        </w:rPr>
        <w:t xml:space="preserve">, o que favorece o processo fotocatalítico. Registra-se, no entanto, um aumento da recombinação de elétrons e lacunas para as amostras </w:t>
      </w:r>
      <w:r w:rsidR="00DC7822">
        <w:rPr>
          <w:rFonts w:ascii="Times New Roman" w:hAnsi="Times New Roman"/>
          <w:lang w:val="pt-BR"/>
        </w:rPr>
        <w:t>FT0,5</w:t>
      </w:r>
      <w:r w:rsidRPr="00B84F97">
        <w:rPr>
          <w:rFonts w:ascii="Times New Roman" w:hAnsi="Times New Roman"/>
          <w:lang w:val="pt-BR"/>
        </w:rPr>
        <w:t xml:space="preserve"> e </w:t>
      </w:r>
      <w:r w:rsidR="00DC7822">
        <w:rPr>
          <w:rFonts w:ascii="Times New Roman" w:hAnsi="Times New Roman"/>
          <w:lang w:val="pt-BR"/>
        </w:rPr>
        <w:t>FT1</w:t>
      </w:r>
      <w:r w:rsidRPr="00B84F97">
        <w:rPr>
          <w:rFonts w:ascii="Times New Roman" w:hAnsi="Times New Roman"/>
          <w:lang w:val="pt-BR"/>
        </w:rPr>
        <w:t>, o que pode justificar seu inexpressivo desempenho fotocatalítico.</w:t>
      </w:r>
      <w:r w:rsidR="006C6514">
        <w:rPr>
          <w:rFonts w:ascii="Times New Roman" w:hAnsi="Times New Roman"/>
          <w:lang w:val="pt-BR"/>
        </w:rPr>
        <w:t xml:space="preserve"> </w:t>
      </w:r>
      <w:r w:rsidRPr="00B84F97">
        <w:rPr>
          <w:rFonts w:ascii="Times New Roman" w:hAnsi="Times New Roman"/>
          <w:lang w:val="pt-BR"/>
        </w:rPr>
        <w:t>Com o intuito de se comparar a taxa de geração de íons fosfato durante o processo fotocatalítico, realizou-se uma normalização dos dados em que foi definido como 100% a concentração de fosfato no tempo zero do procedimento de fotocatálise. Os resultados são apresentados na Figura 5.</w:t>
      </w:r>
    </w:p>
    <w:p w14:paraId="2EFF1011" w14:textId="104BC8BC" w:rsidR="00DC7822" w:rsidRDefault="00DC7822" w:rsidP="00F74239">
      <w:pPr>
        <w:pStyle w:val="TAMainText"/>
        <w:ind w:firstLine="187"/>
        <w:rPr>
          <w:rFonts w:ascii="Times New Roman" w:hAnsi="Times New Roman"/>
          <w:b/>
          <w:lang w:val="pt-BR"/>
        </w:rPr>
      </w:pPr>
    </w:p>
    <w:p w14:paraId="5B2DE2E6" w14:textId="46D49005" w:rsidR="00F74239" w:rsidRDefault="00F74239" w:rsidP="00B84F97">
      <w:pPr>
        <w:pStyle w:val="TAMainText"/>
        <w:ind w:firstLine="187"/>
        <w:rPr>
          <w:rFonts w:ascii="Times New Roman" w:hAnsi="Times New Roman"/>
          <w:lang w:val="pt-BR"/>
        </w:rPr>
      </w:pPr>
    </w:p>
    <w:p w14:paraId="1829DCBC" w14:textId="5CD55E9E" w:rsidR="00F74239" w:rsidRDefault="00F74239" w:rsidP="00B84F97">
      <w:pPr>
        <w:pStyle w:val="TAMainText"/>
        <w:ind w:firstLine="187"/>
        <w:rPr>
          <w:rFonts w:ascii="Times New Roman" w:hAnsi="Times New Roman"/>
          <w:lang w:val="pt-BR"/>
        </w:rPr>
      </w:pPr>
    </w:p>
    <w:p w14:paraId="0F7E100F" w14:textId="56CFB027" w:rsidR="00F74239" w:rsidRDefault="00F74239" w:rsidP="00B84F97">
      <w:pPr>
        <w:pStyle w:val="TAMainText"/>
        <w:ind w:firstLine="187"/>
        <w:rPr>
          <w:rFonts w:ascii="Times New Roman" w:hAnsi="Times New Roman"/>
          <w:lang w:val="pt-BR"/>
        </w:rPr>
      </w:pPr>
    </w:p>
    <w:p w14:paraId="56994A22" w14:textId="61CF0199" w:rsidR="00F74239" w:rsidRDefault="00F74239" w:rsidP="00B84F97">
      <w:pPr>
        <w:pStyle w:val="TAMainText"/>
        <w:ind w:firstLine="187"/>
        <w:rPr>
          <w:rFonts w:ascii="Times New Roman" w:hAnsi="Times New Roman"/>
          <w:lang w:val="pt-BR"/>
        </w:rPr>
      </w:pPr>
    </w:p>
    <w:p w14:paraId="7EB53D1A" w14:textId="50D773CE" w:rsidR="00F74239" w:rsidRDefault="00F74239" w:rsidP="00B84F97">
      <w:pPr>
        <w:pStyle w:val="TAMainText"/>
        <w:ind w:firstLine="187"/>
        <w:rPr>
          <w:rFonts w:ascii="Times New Roman" w:hAnsi="Times New Roman"/>
          <w:lang w:val="pt-BR"/>
        </w:rPr>
      </w:pPr>
    </w:p>
    <w:p w14:paraId="3E88D478" w14:textId="4AE563EA" w:rsidR="00F74239" w:rsidRDefault="00F74239" w:rsidP="00B84F97">
      <w:pPr>
        <w:pStyle w:val="TAMainText"/>
        <w:ind w:firstLine="187"/>
        <w:rPr>
          <w:rFonts w:ascii="Times New Roman" w:hAnsi="Times New Roman"/>
          <w:lang w:val="pt-BR"/>
        </w:rPr>
      </w:pPr>
    </w:p>
    <w:p w14:paraId="4FE78B44" w14:textId="03600694" w:rsidR="00F74239" w:rsidRDefault="00F74239" w:rsidP="00B84F97">
      <w:pPr>
        <w:pStyle w:val="TAMainText"/>
        <w:ind w:firstLine="187"/>
        <w:rPr>
          <w:rFonts w:ascii="Times New Roman" w:hAnsi="Times New Roman"/>
          <w:lang w:val="pt-BR"/>
        </w:rPr>
      </w:pPr>
    </w:p>
    <w:p w14:paraId="44052D09" w14:textId="69168891" w:rsidR="00F74239" w:rsidRDefault="00F74239" w:rsidP="00B84F97">
      <w:pPr>
        <w:pStyle w:val="TAMainText"/>
        <w:ind w:firstLine="187"/>
        <w:rPr>
          <w:rFonts w:ascii="Times New Roman" w:hAnsi="Times New Roman"/>
          <w:lang w:val="pt-BR"/>
        </w:rPr>
      </w:pPr>
    </w:p>
    <w:p w14:paraId="57D88E06" w14:textId="1F695D54" w:rsidR="00F74239" w:rsidRDefault="00F74239" w:rsidP="00B84F97">
      <w:pPr>
        <w:pStyle w:val="TAMainText"/>
        <w:ind w:firstLine="187"/>
        <w:rPr>
          <w:rFonts w:ascii="Times New Roman" w:hAnsi="Times New Roman"/>
          <w:lang w:val="pt-BR"/>
        </w:rPr>
      </w:pPr>
    </w:p>
    <w:p w14:paraId="459D8D29" w14:textId="66CA64FB" w:rsidR="00F74239" w:rsidRDefault="00F74239" w:rsidP="00B84F97">
      <w:pPr>
        <w:pStyle w:val="TAMainText"/>
        <w:ind w:firstLine="187"/>
        <w:rPr>
          <w:rFonts w:ascii="Times New Roman" w:hAnsi="Times New Roman"/>
          <w:lang w:val="pt-BR"/>
        </w:rPr>
      </w:pPr>
    </w:p>
    <w:p w14:paraId="6FE07558" w14:textId="550723AC" w:rsidR="00F74239" w:rsidRDefault="00F74239" w:rsidP="00B84F97">
      <w:pPr>
        <w:pStyle w:val="TAMainText"/>
        <w:ind w:firstLine="187"/>
        <w:rPr>
          <w:rFonts w:ascii="Times New Roman" w:hAnsi="Times New Roman"/>
          <w:lang w:val="pt-BR"/>
        </w:rPr>
      </w:pPr>
    </w:p>
    <w:p w14:paraId="0D58D6FD" w14:textId="77777777" w:rsidR="00D13529" w:rsidRDefault="00D13529" w:rsidP="00C1417B">
      <w:pPr>
        <w:pStyle w:val="VAFigureCaption"/>
        <w:spacing w:before="0"/>
        <w:rPr>
          <w:rFonts w:ascii="Times New Roman" w:hAnsi="Times New Roman"/>
          <w:b/>
          <w:lang w:val="pt-BR"/>
        </w:rPr>
      </w:pPr>
    </w:p>
    <w:p w14:paraId="56B904CC" w14:textId="682CACA0" w:rsidR="00C1417B" w:rsidRPr="00E038AF" w:rsidRDefault="00C1417B" w:rsidP="00C1417B">
      <w:pPr>
        <w:pStyle w:val="VAFigureCaption"/>
        <w:spacing w:before="0"/>
        <w:rPr>
          <w:rFonts w:ascii="Times New Roman" w:hAnsi="Times New Roman"/>
          <w:lang w:val="pt-BR"/>
        </w:rPr>
      </w:pPr>
      <w:r>
        <w:rPr>
          <w:rFonts w:ascii="Times New Roman" w:hAnsi="Times New Roman"/>
          <w:b/>
          <w:lang w:val="pt-BR"/>
        </w:rPr>
        <w:t>Figura 5</w:t>
      </w:r>
      <w:r w:rsidRPr="00E038AF">
        <w:rPr>
          <w:rFonts w:ascii="Times New Roman" w:hAnsi="Times New Roman"/>
          <w:b/>
          <w:lang w:val="pt-BR"/>
        </w:rPr>
        <w:t>.</w:t>
      </w:r>
      <w:r w:rsidRPr="00E038AF">
        <w:rPr>
          <w:rFonts w:ascii="Times New Roman" w:hAnsi="Times New Roman"/>
          <w:lang w:val="pt-BR"/>
        </w:rPr>
        <w:t xml:space="preserve"> </w:t>
      </w:r>
      <w:r w:rsidR="00CA673E" w:rsidRPr="00F4610C">
        <w:rPr>
          <w:lang w:val="pt-BR"/>
        </w:rPr>
        <w:t>Mineralização do meio, em termos do íon fosfato, durante os testes fotocatalíticos</w:t>
      </w:r>
      <w:r w:rsidR="00CA673E">
        <w:rPr>
          <w:lang w:val="pt-BR"/>
        </w:rPr>
        <w:t xml:space="preserve"> como determinação indireta da </w:t>
      </w:r>
      <w:r w:rsidR="00CA673E" w:rsidRPr="00F4610C">
        <w:rPr>
          <w:lang w:val="pt-BR"/>
        </w:rPr>
        <w:t>degradação do glifosato ao longo do tratamento</w:t>
      </w:r>
      <w:r w:rsidR="00CA673E">
        <w:rPr>
          <w:lang w:val="pt-BR"/>
        </w:rPr>
        <w:t xml:space="preserve">, em </w:t>
      </w:r>
      <w:r w:rsidR="00CA673E" w:rsidRPr="002615A4">
        <w:rPr>
          <w:rFonts w:ascii="Times New Roman" w:hAnsi="Times New Roman"/>
          <w:lang w:val="pt-BR"/>
        </w:rPr>
        <w:t>que [PO</w:t>
      </w:r>
      <w:r w:rsidR="00CA673E" w:rsidRPr="002615A4">
        <w:rPr>
          <w:rFonts w:ascii="Times New Roman" w:hAnsi="Times New Roman"/>
          <w:vertAlign w:val="subscript"/>
          <w:lang w:val="pt-BR"/>
        </w:rPr>
        <w:t>4</w:t>
      </w:r>
      <w:r w:rsidR="00CA673E" w:rsidRPr="002615A4">
        <w:rPr>
          <w:rFonts w:ascii="Times New Roman" w:hAnsi="Times New Roman"/>
          <w:vertAlign w:val="superscript"/>
          <w:lang w:val="pt-BR"/>
        </w:rPr>
        <w:t>3-</w:t>
      </w:r>
      <w:r w:rsidR="00CA673E" w:rsidRPr="002615A4">
        <w:rPr>
          <w:rFonts w:ascii="Times New Roman" w:hAnsi="Times New Roman"/>
          <w:lang w:val="pt-BR"/>
        </w:rPr>
        <w:t>] no</w:t>
      </w:r>
      <w:r w:rsidR="00CA673E">
        <w:rPr>
          <w:lang w:val="pt-BR"/>
        </w:rPr>
        <w:t xml:space="preserve"> tempo zero é igual a 100%</w:t>
      </w:r>
      <w:r w:rsidRPr="00E038AF">
        <w:rPr>
          <w:rFonts w:ascii="Times New Roman" w:hAnsi="Times New Roman"/>
          <w:lang w:val="pt-BR"/>
        </w:rPr>
        <w:t>.</w:t>
      </w:r>
    </w:p>
    <w:p w14:paraId="2A21013B" w14:textId="77777777" w:rsidR="00DC7822" w:rsidRDefault="00DC7822" w:rsidP="00B84F97">
      <w:pPr>
        <w:pStyle w:val="TAMainText"/>
        <w:ind w:firstLine="187"/>
        <w:rPr>
          <w:rFonts w:ascii="Times New Roman" w:hAnsi="Times New Roman"/>
          <w:lang w:val="pt-BR"/>
        </w:rPr>
      </w:pPr>
    </w:p>
    <w:p w14:paraId="25E1F318" w14:textId="77777777" w:rsidR="00166A9F" w:rsidRPr="00AD3B00" w:rsidRDefault="00DC7822" w:rsidP="00B84F97">
      <w:pPr>
        <w:pStyle w:val="TAMainText"/>
        <w:ind w:firstLine="187"/>
        <w:rPr>
          <w:rFonts w:ascii="Times New Roman" w:hAnsi="Times New Roman"/>
          <w:lang w:val="pt-BR"/>
        </w:rPr>
      </w:pPr>
      <w:r w:rsidRPr="00AD3B00">
        <w:rPr>
          <w:rFonts w:ascii="Times New Roman" w:hAnsi="Times New Roman"/>
          <w:lang w:val="pt-BR"/>
        </w:rPr>
        <w:lastRenderedPageBreak/>
        <w:t>A Figura 5</w:t>
      </w:r>
      <w:r w:rsidR="00B84F97" w:rsidRPr="00AD3B00">
        <w:rPr>
          <w:rFonts w:ascii="Times New Roman" w:hAnsi="Times New Roman"/>
          <w:lang w:val="pt-BR"/>
        </w:rPr>
        <w:t xml:space="preserve"> mostra que a fotólise, assim como a fotocatálise empregando as amostras </w:t>
      </w:r>
      <w:r w:rsidRPr="00AD3B00">
        <w:rPr>
          <w:rFonts w:ascii="Times New Roman" w:hAnsi="Times New Roman"/>
          <w:lang w:val="pt-BR"/>
        </w:rPr>
        <w:t>F</w:t>
      </w:r>
      <w:r w:rsidR="00B84F97" w:rsidRPr="00AD3B00">
        <w:rPr>
          <w:rFonts w:ascii="Times New Roman" w:hAnsi="Times New Roman"/>
          <w:lang w:val="pt-BR"/>
        </w:rPr>
        <w:t xml:space="preserve">, </w:t>
      </w:r>
      <w:r w:rsidRPr="00AD3B00">
        <w:rPr>
          <w:rFonts w:ascii="Times New Roman" w:hAnsi="Times New Roman"/>
          <w:lang w:val="pt-BR"/>
        </w:rPr>
        <w:t>FT0,5</w:t>
      </w:r>
      <w:r w:rsidR="00B84F97" w:rsidRPr="00AD3B00">
        <w:rPr>
          <w:rFonts w:ascii="Times New Roman" w:hAnsi="Times New Roman"/>
          <w:lang w:val="pt-BR"/>
        </w:rPr>
        <w:t xml:space="preserve"> e </w:t>
      </w:r>
      <w:r w:rsidRPr="00AD3B00">
        <w:rPr>
          <w:rFonts w:ascii="Times New Roman" w:hAnsi="Times New Roman"/>
          <w:lang w:val="pt-BR"/>
        </w:rPr>
        <w:t>FT1</w:t>
      </w:r>
      <w:r w:rsidR="00B84F97" w:rsidRPr="00AD3B00">
        <w:rPr>
          <w:rFonts w:ascii="Times New Roman" w:hAnsi="Times New Roman"/>
          <w:lang w:val="pt-BR"/>
        </w:rPr>
        <w:t xml:space="preserve"> não foram tratamentos adequados para a degradação de glifosato em meio aquoso. Por outro lado, o tratamento fotocatalítico com as amostras </w:t>
      </w:r>
      <w:r w:rsidRPr="00AD3B00">
        <w:rPr>
          <w:rFonts w:ascii="Times New Roman" w:hAnsi="Times New Roman"/>
          <w:lang w:val="pt-BR"/>
        </w:rPr>
        <w:t>FT</w:t>
      </w:r>
      <w:r w:rsidR="00B84F97" w:rsidRPr="00AD3B00">
        <w:rPr>
          <w:rFonts w:ascii="Times New Roman" w:hAnsi="Times New Roman"/>
          <w:lang w:val="pt-BR"/>
        </w:rPr>
        <w:t xml:space="preserve">, </w:t>
      </w:r>
      <w:r w:rsidRPr="00AD3B00">
        <w:rPr>
          <w:rFonts w:ascii="Times New Roman" w:hAnsi="Times New Roman"/>
          <w:lang w:val="pt-BR"/>
        </w:rPr>
        <w:t>T</w:t>
      </w:r>
      <w:r w:rsidR="00B84F97" w:rsidRPr="00AD3B00">
        <w:rPr>
          <w:rFonts w:ascii="Times New Roman" w:hAnsi="Times New Roman"/>
          <w:lang w:val="pt-BR"/>
        </w:rPr>
        <w:t xml:space="preserve"> e </w:t>
      </w:r>
      <w:r w:rsidRPr="00AD3B00">
        <w:rPr>
          <w:rFonts w:ascii="Times New Roman" w:hAnsi="Times New Roman"/>
          <w:lang w:val="pt-BR"/>
        </w:rPr>
        <w:t>FT0,1</w:t>
      </w:r>
      <w:r w:rsidR="00B84F97" w:rsidRPr="00AD3B00">
        <w:rPr>
          <w:rFonts w:ascii="Times New Roman" w:hAnsi="Times New Roman"/>
          <w:lang w:val="pt-BR"/>
        </w:rPr>
        <w:t xml:space="preserve"> apresentaram desempenhos satisfatórios na reação de decomposição fotocatalítica. A concentração de íons fosfato após 90 min de procedimento fotocatalítico aumentou em relação ao seu conteúdo inicial por fatores iguais a 4; 2,7 e 1,8 para as amostras </w:t>
      </w:r>
      <w:r w:rsidR="00706952" w:rsidRPr="00AD3B00">
        <w:rPr>
          <w:rFonts w:ascii="Times New Roman" w:hAnsi="Times New Roman"/>
          <w:lang w:val="pt-BR"/>
        </w:rPr>
        <w:t>FT</w:t>
      </w:r>
      <w:r w:rsidR="00B84F97" w:rsidRPr="00AD3B00">
        <w:rPr>
          <w:rFonts w:ascii="Times New Roman" w:hAnsi="Times New Roman"/>
          <w:lang w:val="pt-BR"/>
        </w:rPr>
        <w:t xml:space="preserve">, </w:t>
      </w:r>
      <w:r w:rsidR="00706952" w:rsidRPr="00AD3B00">
        <w:rPr>
          <w:rFonts w:ascii="Times New Roman" w:hAnsi="Times New Roman"/>
          <w:lang w:val="pt-BR"/>
        </w:rPr>
        <w:t>T</w:t>
      </w:r>
      <w:r w:rsidR="00B84F97" w:rsidRPr="00AD3B00">
        <w:rPr>
          <w:rFonts w:ascii="Times New Roman" w:hAnsi="Times New Roman"/>
          <w:lang w:val="pt-BR"/>
        </w:rPr>
        <w:t xml:space="preserve"> e </w:t>
      </w:r>
      <w:r w:rsidR="00706952" w:rsidRPr="00AD3B00">
        <w:rPr>
          <w:rFonts w:ascii="Times New Roman" w:hAnsi="Times New Roman"/>
          <w:lang w:val="pt-BR"/>
        </w:rPr>
        <w:t>FT0,1</w:t>
      </w:r>
      <w:r w:rsidR="00B84F97" w:rsidRPr="00AD3B00">
        <w:rPr>
          <w:rFonts w:ascii="Times New Roman" w:hAnsi="Times New Roman"/>
          <w:lang w:val="pt-BR"/>
        </w:rPr>
        <w:t xml:space="preserve">, respectivamente. </w:t>
      </w:r>
    </w:p>
    <w:p w14:paraId="1E4766C5" w14:textId="656E382C" w:rsidR="005414CF" w:rsidRDefault="00B84F97" w:rsidP="00B84F97">
      <w:pPr>
        <w:pStyle w:val="TAMainText"/>
        <w:ind w:firstLine="187"/>
        <w:rPr>
          <w:lang w:val="pt-BR"/>
        </w:rPr>
      </w:pPr>
      <w:r w:rsidRPr="00AD3B00">
        <w:rPr>
          <w:rFonts w:ascii="Times New Roman" w:hAnsi="Times New Roman"/>
          <w:lang w:val="pt-BR"/>
        </w:rPr>
        <w:t>Com o intuito de se averiguar o aumento da degradação fotocatalítica de glifosato em meio aquoso, decidiu-se por também conduzir as reações na presença de peróxido de hidrogênio (H</w:t>
      </w:r>
      <w:r w:rsidRPr="00AD3B00">
        <w:rPr>
          <w:rFonts w:ascii="Times New Roman" w:hAnsi="Times New Roman"/>
          <w:vertAlign w:val="subscript"/>
          <w:lang w:val="pt-BR"/>
        </w:rPr>
        <w:t>2</w:t>
      </w:r>
      <w:r w:rsidRPr="00AD3B00">
        <w:rPr>
          <w:rFonts w:ascii="Times New Roman" w:hAnsi="Times New Roman"/>
          <w:lang w:val="pt-BR"/>
        </w:rPr>
        <w:t>O</w:t>
      </w:r>
      <w:r w:rsidRPr="00AD3B00">
        <w:rPr>
          <w:rFonts w:ascii="Times New Roman" w:hAnsi="Times New Roman"/>
          <w:vertAlign w:val="subscript"/>
          <w:lang w:val="pt-BR"/>
        </w:rPr>
        <w:t>2</w:t>
      </w:r>
      <w:r w:rsidRPr="00AD3B00">
        <w:rPr>
          <w:rFonts w:ascii="Times New Roman" w:hAnsi="Times New Roman"/>
          <w:lang w:val="pt-BR"/>
        </w:rPr>
        <w:t>).</w:t>
      </w:r>
      <w:r w:rsidR="00166A9F" w:rsidRPr="00AD3B00">
        <w:rPr>
          <w:rFonts w:ascii="Times New Roman" w:hAnsi="Times New Roman"/>
          <w:lang w:val="pt-BR"/>
        </w:rPr>
        <w:t xml:space="preserve"> </w:t>
      </w:r>
      <w:r w:rsidRPr="00AD3B00">
        <w:rPr>
          <w:rFonts w:ascii="Times New Roman" w:hAnsi="Times New Roman"/>
          <w:lang w:val="pt-BR"/>
        </w:rPr>
        <w:t>Os testes fotocatalíticos com H</w:t>
      </w:r>
      <w:r w:rsidRPr="00AD3B00">
        <w:rPr>
          <w:rFonts w:ascii="Times New Roman" w:hAnsi="Times New Roman"/>
          <w:vertAlign w:val="subscript"/>
          <w:lang w:val="pt-BR"/>
        </w:rPr>
        <w:t>2</w:t>
      </w:r>
      <w:r w:rsidRPr="00AD3B00">
        <w:rPr>
          <w:rFonts w:ascii="Times New Roman" w:hAnsi="Times New Roman"/>
          <w:lang w:val="pt-BR"/>
        </w:rPr>
        <w:t>O</w:t>
      </w:r>
      <w:r w:rsidRPr="00AD3B00">
        <w:rPr>
          <w:rFonts w:ascii="Times New Roman" w:hAnsi="Times New Roman"/>
          <w:vertAlign w:val="subscript"/>
          <w:lang w:val="pt-BR"/>
        </w:rPr>
        <w:t>2</w:t>
      </w:r>
      <w:r w:rsidRPr="00AD3B00">
        <w:rPr>
          <w:rFonts w:ascii="Times New Roman" w:hAnsi="Times New Roman"/>
          <w:lang w:val="pt-BR"/>
        </w:rPr>
        <w:t xml:space="preserve"> foram realizados com os fotocatalisadores que obtiveram destaque, TiO</w:t>
      </w:r>
      <w:r w:rsidRPr="00AD3B00">
        <w:rPr>
          <w:rFonts w:ascii="Times New Roman" w:hAnsi="Times New Roman"/>
          <w:vertAlign w:val="subscript"/>
          <w:lang w:val="pt-BR"/>
        </w:rPr>
        <w:t>2</w:t>
      </w:r>
      <w:r w:rsidRPr="00AD3B00">
        <w:rPr>
          <w:rFonts w:ascii="Times New Roman" w:hAnsi="Times New Roman"/>
          <w:lang w:val="pt-BR"/>
        </w:rPr>
        <w:t xml:space="preserve"> e NiFe</w:t>
      </w:r>
      <w:r w:rsidRPr="00AD3B00">
        <w:rPr>
          <w:rFonts w:ascii="Times New Roman" w:hAnsi="Times New Roman"/>
          <w:vertAlign w:val="subscript"/>
          <w:lang w:val="pt-BR"/>
        </w:rPr>
        <w:t>2</w:t>
      </w:r>
      <w:r w:rsidRPr="00AD3B00">
        <w:rPr>
          <w:rFonts w:ascii="Times New Roman" w:hAnsi="Times New Roman"/>
          <w:lang w:val="pt-BR"/>
        </w:rPr>
        <w:t>O</w:t>
      </w:r>
      <w:r w:rsidRPr="00AD3B00">
        <w:rPr>
          <w:rFonts w:ascii="Times New Roman" w:hAnsi="Times New Roman"/>
          <w:vertAlign w:val="subscript"/>
          <w:lang w:val="pt-BR"/>
        </w:rPr>
        <w:t>4</w:t>
      </w:r>
      <w:r w:rsidR="00706952" w:rsidRPr="00AD3B00">
        <w:rPr>
          <w:rFonts w:ascii="Times New Roman" w:hAnsi="Times New Roman"/>
          <w:lang w:val="pt-BR"/>
        </w:rPr>
        <w:t>/</w:t>
      </w:r>
      <w:r w:rsidRPr="00AD3B00">
        <w:rPr>
          <w:rFonts w:ascii="Times New Roman" w:hAnsi="Times New Roman"/>
          <w:lang w:val="pt-BR"/>
        </w:rPr>
        <w:t>TiO</w:t>
      </w:r>
      <w:r w:rsidRPr="00AD3B00">
        <w:rPr>
          <w:rFonts w:ascii="Times New Roman" w:hAnsi="Times New Roman"/>
          <w:vertAlign w:val="subscript"/>
          <w:lang w:val="pt-BR"/>
        </w:rPr>
        <w:t>2</w:t>
      </w:r>
      <w:r w:rsidRPr="00AD3B00">
        <w:rPr>
          <w:rFonts w:ascii="Times New Roman" w:hAnsi="Times New Roman"/>
          <w:lang w:val="pt-BR"/>
        </w:rPr>
        <w:t xml:space="preserve"> (amostras </w:t>
      </w:r>
      <w:r w:rsidR="00706952" w:rsidRPr="00AD3B00">
        <w:rPr>
          <w:rFonts w:ascii="Times New Roman" w:hAnsi="Times New Roman"/>
          <w:lang w:val="pt-BR"/>
        </w:rPr>
        <w:t>T</w:t>
      </w:r>
      <w:r w:rsidRPr="00AD3B00">
        <w:rPr>
          <w:rFonts w:ascii="Times New Roman" w:hAnsi="Times New Roman"/>
          <w:lang w:val="pt-BR"/>
        </w:rPr>
        <w:t xml:space="preserve"> e </w:t>
      </w:r>
      <w:r w:rsidR="00706952" w:rsidRPr="00AD3B00">
        <w:rPr>
          <w:rFonts w:ascii="Times New Roman" w:hAnsi="Times New Roman"/>
          <w:lang w:val="pt-BR"/>
        </w:rPr>
        <w:t>FT</w:t>
      </w:r>
      <w:r w:rsidRPr="00AD3B00">
        <w:rPr>
          <w:rFonts w:ascii="Times New Roman" w:hAnsi="Times New Roman"/>
          <w:lang w:val="pt-BR"/>
        </w:rPr>
        <w:t xml:space="preserve">, respectivamente). A </w:t>
      </w:r>
      <w:r w:rsidR="00AD3B00" w:rsidRPr="00AD3B00">
        <w:rPr>
          <w:rFonts w:ascii="Times New Roman" w:hAnsi="Times New Roman"/>
        </w:rPr>
        <w:t xml:space="preserve">Figura </w:t>
      </w:r>
      <w:r w:rsidR="00706952" w:rsidRPr="00AD3B00">
        <w:rPr>
          <w:rFonts w:ascii="Times New Roman" w:hAnsi="Times New Roman"/>
          <w:lang w:val="pt-BR"/>
        </w:rPr>
        <w:t>6</w:t>
      </w:r>
      <w:r w:rsidRPr="00AD3B00">
        <w:rPr>
          <w:rFonts w:ascii="Times New Roman" w:hAnsi="Times New Roman"/>
          <w:lang w:val="pt-BR"/>
        </w:rPr>
        <w:t xml:space="preserve"> apresenta as curvas de degradação obtidas para as reações utilizando H</w:t>
      </w:r>
      <w:r w:rsidRPr="00AD3B00">
        <w:rPr>
          <w:rFonts w:ascii="Times New Roman" w:hAnsi="Times New Roman"/>
          <w:vertAlign w:val="subscript"/>
          <w:lang w:val="pt-BR"/>
        </w:rPr>
        <w:t>2</w:t>
      </w:r>
      <w:r w:rsidRPr="00AD3B00">
        <w:rPr>
          <w:rFonts w:ascii="Times New Roman" w:hAnsi="Times New Roman"/>
          <w:lang w:val="pt-BR"/>
        </w:rPr>
        <w:t>O</w:t>
      </w:r>
      <w:r w:rsidRPr="00AD3B00">
        <w:rPr>
          <w:rFonts w:ascii="Times New Roman" w:hAnsi="Times New Roman"/>
          <w:vertAlign w:val="subscript"/>
          <w:lang w:val="pt-BR"/>
        </w:rPr>
        <w:t>2</w:t>
      </w:r>
      <w:r w:rsidRPr="00AD3B00">
        <w:rPr>
          <w:rFonts w:ascii="Times New Roman" w:hAnsi="Times New Roman"/>
          <w:lang w:val="pt-BR"/>
        </w:rPr>
        <w:t xml:space="preserve"> e, para base de comparação, foram plotados também os resultados na ausência de peróxido. </w:t>
      </w:r>
    </w:p>
    <w:p w14:paraId="343E62D7" w14:textId="54AF50C3" w:rsidR="005414CF" w:rsidRDefault="00AD3B00" w:rsidP="00B84F97">
      <w:pPr>
        <w:pStyle w:val="TAMainText"/>
        <w:ind w:firstLine="187"/>
        <w:rPr>
          <w:lang w:val="pt-BR"/>
        </w:rPr>
      </w:pPr>
      <w:r w:rsidRPr="00AD3B00">
        <w:rPr>
          <w:noProof/>
          <w:lang w:val="pt-BR"/>
        </w:rPr>
        <w:drawing>
          <wp:anchor distT="0" distB="0" distL="114300" distR="114300" simplePos="0" relativeHeight="251674623" behindDoc="0" locked="0" layoutInCell="1" allowOverlap="1" wp14:anchorId="01D62D4C" wp14:editId="308D79AA">
            <wp:simplePos x="0" y="0"/>
            <wp:positionH relativeFrom="column">
              <wp:posOffset>-61384</wp:posOffset>
            </wp:positionH>
            <wp:positionV relativeFrom="paragraph">
              <wp:posOffset>-89324</wp:posOffset>
            </wp:positionV>
            <wp:extent cx="3027680" cy="1977722"/>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7680" cy="1977722"/>
                    </a:xfrm>
                    <a:prstGeom prst="rect">
                      <a:avLst/>
                    </a:prstGeom>
                    <a:noFill/>
                    <a:ln>
                      <a:noFill/>
                    </a:ln>
                  </pic:spPr>
                </pic:pic>
              </a:graphicData>
            </a:graphic>
          </wp:anchor>
        </w:drawing>
      </w:r>
    </w:p>
    <w:p w14:paraId="5862B2B0" w14:textId="58773D2D" w:rsidR="005414CF" w:rsidRDefault="005414CF" w:rsidP="00B84F97">
      <w:pPr>
        <w:pStyle w:val="TAMainText"/>
        <w:ind w:firstLine="187"/>
        <w:rPr>
          <w:lang w:val="pt-BR"/>
        </w:rPr>
      </w:pPr>
    </w:p>
    <w:p w14:paraId="5D6DE8F2" w14:textId="2C264EF1" w:rsidR="005414CF" w:rsidRDefault="005414CF" w:rsidP="00B84F97">
      <w:pPr>
        <w:pStyle w:val="TAMainText"/>
        <w:ind w:firstLine="187"/>
        <w:rPr>
          <w:lang w:val="pt-BR"/>
        </w:rPr>
      </w:pPr>
    </w:p>
    <w:p w14:paraId="5C8E720A" w14:textId="7043F507" w:rsidR="005414CF" w:rsidRDefault="005414CF" w:rsidP="00B84F97">
      <w:pPr>
        <w:pStyle w:val="TAMainText"/>
        <w:ind w:firstLine="187"/>
        <w:rPr>
          <w:lang w:val="pt-BR"/>
        </w:rPr>
      </w:pPr>
    </w:p>
    <w:p w14:paraId="5FB9D993" w14:textId="7968F861" w:rsidR="005414CF" w:rsidRDefault="005414CF" w:rsidP="00B84F97">
      <w:pPr>
        <w:pStyle w:val="TAMainText"/>
        <w:ind w:firstLine="187"/>
        <w:rPr>
          <w:lang w:val="pt-BR"/>
        </w:rPr>
      </w:pPr>
    </w:p>
    <w:p w14:paraId="77DCC47A" w14:textId="77777777" w:rsidR="005414CF" w:rsidRDefault="005414CF" w:rsidP="00B84F97">
      <w:pPr>
        <w:pStyle w:val="TAMainText"/>
        <w:ind w:firstLine="187"/>
        <w:rPr>
          <w:lang w:val="pt-BR"/>
        </w:rPr>
      </w:pPr>
    </w:p>
    <w:p w14:paraId="6B6A619F" w14:textId="6757503A" w:rsidR="005414CF" w:rsidRDefault="005414CF" w:rsidP="00B84F97">
      <w:pPr>
        <w:pStyle w:val="TAMainText"/>
        <w:ind w:firstLine="187"/>
        <w:rPr>
          <w:lang w:val="pt-BR"/>
        </w:rPr>
      </w:pPr>
    </w:p>
    <w:p w14:paraId="6B3000C7" w14:textId="79E7D244" w:rsidR="005414CF" w:rsidRDefault="005414CF" w:rsidP="00B84F97">
      <w:pPr>
        <w:pStyle w:val="TAMainText"/>
        <w:ind w:firstLine="187"/>
        <w:rPr>
          <w:lang w:val="pt-BR"/>
        </w:rPr>
      </w:pPr>
    </w:p>
    <w:p w14:paraId="2B9AC16A" w14:textId="77777777" w:rsidR="005414CF" w:rsidRDefault="005414CF" w:rsidP="00B84F97">
      <w:pPr>
        <w:pStyle w:val="TAMainText"/>
        <w:ind w:firstLine="187"/>
        <w:rPr>
          <w:lang w:val="pt-BR"/>
        </w:rPr>
      </w:pPr>
    </w:p>
    <w:p w14:paraId="6AFAC15E" w14:textId="33CD98DF" w:rsidR="005414CF" w:rsidRDefault="005414CF" w:rsidP="00B84F97">
      <w:pPr>
        <w:pStyle w:val="TAMainText"/>
        <w:ind w:firstLine="187"/>
        <w:rPr>
          <w:lang w:val="pt-BR"/>
        </w:rPr>
      </w:pPr>
    </w:p>
    <w:p w14:paraId="0E1D7FA6" w14:textId="77777777" w:rsidR="00AD3B00" w:rsidRDefault="00AD3B00" w:rsidP="00166A9F">
      <w:pPr>
        <w:pStyle w:val="TAMainText"/>
        <w:ind w:firstLine="0"/>
        <w:rPr>
          <w:b/>
          <w:lang w:val="pt-BR"/>
        </w:rPr>
      </w:pPr>
    </w:p>
    <w:p w14:paraId="1CB6C40C" w14:textId="77777777" w:rsidR="00AD3B00" w:rsidRDefault="00AD3B00" w:rsidP="00166A9F">
      <w:pPr>
        <w:pStyle w:val="TAMainText"/>
        <w:ind w:firstLine="0"/>
        <w:rPr>
          <w:b/>
          <w:lang w:val="pt-BR"/>
        </w:rPr>
      </w:pPr>
    </w:p>
    <w:p w14:paraId="3EF89EA7" w14:textId="00E2CA2B" w:rsidR="00166A9F" w:rsidRPr="00AD3B00" w:rsidRDefault="00166A9F" w:rsidP="002615A4">
      <w:pPr>
        <w:pStyle w:val="TAMainText"/>
        <w:spacing w:line="200" w:lineRule="exact"/>
        <w:ind w:firstLine="0"/>
        <w:rPr>
          <w:sz w:val="18"/>
          <w:lang w:val="pt-BR"/>
        </w:rPr>
      </w:pPr>
      <w:r w:rsidRPr="00AD3B00">
        <w:rPr>
          <w:b/>
          <w:sz w:val="18"/>
          <w:lang w:val="pt-BR"/>
        </w:rPr>
        <w:t>Figura 6.</w:t>
      </w:r>
      <w:r w:rsidRPr="00AD3B00">
        <w:rPr>
          <w:sz w:val="18"/>
          <w:lang w:val="pt-BR"/>
        </w:rPr>
        <w:t xml:space="preserve"> Mineralização do meio, em termos do íon fosfato, durante os testes adsortivo-fotocatalíticos como determinação indireta da remoção/degradação do glifosato ao longo do tratamento na presença de 2</w:t>
      </w:r>
      <w:r w:rsidR="00AD3B00">
        <w:rPr>
          <w:sz w:val="18"/>
          <w:lang w:val="pt-BR"/>
        </w:rPr>
        <w:t xml:space="preserve"> </w:t>
      </w:r>
      <w:r w:rsidRPr="00AD3B00">
        <w:rPr>
          <w:sz w:val="18"/>
          <w:lang w:val="pt-BR"/>
        </w:rPr>
        <w:t>mL</w:t>
      </w:r>
      <w:r w:rsidRPr="00AD3B00">
        <w:rPr>
          <w:sz w:val="18"/>
          <w:lang w:val="pt-BR"/>
        </w:rPr>
        <w:t xml:space="preserve"> de </w:t>
      </w:r>
      <w:r w:rsidRPr="00AD3B00">
        <w:rPr>
          <w:sz w:val="18"/>
          <w:lang w:val="pt-BR"/>
        </w:rPr>
        <w:t>H</w:t>
      </w:r>
      <w:r w:rsidRPr="00AD3B00">
        <w:rPr>
          <w:sz w:val="18"/>
          <w:vertAlign w:val="subscript"/>
          <w:lang w:val="pt-BR"/>
        </w:rPr>
        <w:t>2</w:t>
      </w:r>
      <w:r w:rsidRPr="00AD3B00">
        <w:rPr>
          <w:sz w:val="18"/>
          <w:lang w:val="pt-BR"/>
        </w:rPr>
        <w:t>O</w:t>
      </w:r>
      <w:r w:rsidRPr="00AD3B00">
        <w:rPr>
          <w:sz w:val="18"/>
          <w:vertAlign w:val="subscript"/>
          <w:lang w:val="pt-BR"/>
        </w:rPr>
        <w:t>2</w:t>
      </w:r>
      <w:r w:rsidRPr="00AD3B00">
        <w:rPr>
          <w:sz w:val="18"/>
          <w:lang w:val="pt-BR"/>
        </w:rPr>
        <w:t xml:space="preserve">. </w:t>
      </w:r>
    </w:p>
    <w:p w14:paraId="17D71807" w14:textId="77777777" w:rsidR="00166A9F" w:rsidRDefault="00166A9F" w:rsidP="00B84F97">
      <w:pPr>
        <w:pStyle w:val="TAMainText"/>
        <w:ind w:firstLine="187"/>
        <w:rPr>
          <w:lang w:val="pt-BR"/>
        </w:rPr>
      </w:pPr>
    </w:p>
    <w:p w14:paraId="28113960" w14:textId="666B36D0" w:rsidR="00706952" w:rsidRPr="00AD3B00" w:rsidRDefault="009526CD" w:rsidP="001C7181">
      <w:pPr>
        <w:pStyle w:val="TAMainText"/>
        <w:ind w:firstLine="187"/>
        <w:rPr>
          <w:rFonts w:ascii="Times New Roman" w:hAnsi="Times New Roman"/>
          <w:lang w:val="pt-BR"/>
        </w:rPr>
      </w:pPr>
      <w:r w:rsidRPr="00AD3B00">
        <w:rPr>
          <w:rFonts w:ascii="Times New Roman" w:hAnsi="Times New Roman"/>
          <w:lang w:val="pt-BR"/>
        </w:rPr>
        <w:t>V</w:t>
      </w:r>
      <w:r w:rsidR="00B84F97" w:rsidRPr="00AD3B00">
        <w:rPr>
          <w:rFonts w:ascii="Times New Roman" w:hAnsi="Times New Roman"/>
          <w:lang w:val="pt-BR"/>
        </w:rPr>
        <w:t>erifica-se um aumento expressivo nos valores de degradação do glifosato quando utilizado o peróxido. A maior concentração de íons fosfato foi registrada durante os 5 min iniciais do processo fotocatalítico empregando TiO</w:t>
      </w:r>
      <w:r w:rsidR="00B84F97" w:rsidRPr="00AD3B00">
        <w:rPr>
          <w:rFonts w:ascii="Times New Roman" w:hAnsi="Times New Roman"/>
          <w:vertAlign w:val="subscript"/>
          <w:lang w:val="pt-BR"/>
        </w:rPr>
        <w:t>2</w:t>
      </w:r>
      <w:r w:rsidR="00B84F97" w:rsidRPr="00AD3B00">
        <w:rPr>
          <w:rFonts w:ascii="Times New Roman" w:hAnsi="Times New Roman"/>
          <w:lang w:val="pt-BR"/>
        </w:rPr>
        <w:t xml:space="preserve">, cerca de 32 vezes maior do que no início do tratamento adsortivo-fotocatalítico. O emprego da amostra </w:t>
      </w:r>
      <w:r w:rsidR="00706952" w:rsidRPr="00AD3B00">
        <w:rPr>
          <w:rFonts w:ascii="Times New Roman" w:hAnsi="Times New Roman"/>
          <w:lang w:val="pt-BR"/>
        </w:rPr>
        <w:t>FT</w:t>
      </w:r>
      <w:r w:rsidR="00B84F97" w:rsidRPr="00AD3B00">
        <w:rPr>
          <w:rFonts w:ascii="Times New Roman" w:hAnsi="Times New Roman"/>
          <w:lang w:val="pt-BR"/>
        </w:rPr>
        <w:t>, por sua vez, resultou em um aumento de 25 vezes na concentração de íons fosfato. Quando se empregou apenas NiFe</w:t>
      </w:r>
      <w:r w:rsidR="00B84F97" w:rsidRPr="00AD3B00">
        <w:rPr>
          <w:rFonts w:ascii="Times New Roman" w:hAnsi="Times New Roman"/>
          <w:vertAlign w:val="subscript"/>
          <w:lang w:val="pt-BR"/>
        </w:rPr>
        <w:t>2</w:t>
      </w:r>
      <w:r w:rsidR="00B84F97" w:rsidRPr="00AD3B00">
        <w:rPr>
          <w:rFonts w:ascii="Times New Roman" w:hAnsi="Times New Roman"/>
          <w:lang w:val="pt-BR"/>
        </w:rPr>
        <w:t>O</w:t>
      </w:r>
      <w:r w:rsidR="00B84F97" w:rsidRPr="00AD3B00">
        <w:rPr>
          <w:rFonts w:ascii="Times New Roman" w:hAnsi="Times New Roman"/>
          <w:vertAlign w:val="subscript"/>
          <w:lang w:val="pt-BR"/>
        </w:rPr>
        <w:t>4</w:t>
      </w:r>
      <w:r w:rsidR="00706952" w:rsidRPr="00AD3B00">
        <w:rPr>
          <w:rFonts w:ascii="Times New Roman" w:hAnsi="Times New Roman"/>
          <w:lang w:val="pt-BR"/>
        </w:rPr>
        <w:t>/</w:t>
      </w:r>
      <w:r w:rsidR="00B84F97" w:rsidRPr="00AD3B00">
        <w:rPr>
          <w:rFonts w:ascii="Times New Roman" w:hAnsi="Times New Roman"/>
          <w:lang w:val="pt-BR"/>
        </w:rPr>
        <w:t>TiO</w:t>
      </w:r>
      <w:r w:rsidR="00B84F97" w:rsidRPr="00AD3B00">
        <w:rPr>
          <w:rFonts w:ascii="Times New Roman" w:hAnsi="Times New Roman"/>
          <w:vertAlign w:val="subscript"/>
          <w:lang w:val="pt-BR"/>
        </w:rPr>
        <w:t>2</w:t>
      </w:r>
      <w:r w:rsidR="00B84F97" w:rsidRPr="00AD3B00">
        <w:rPr>
          <w:rFonts w:ascii="Times New Roman" w:hAnsi="Times New Roman"/>
          <w:lang w:val="pt-BR"/>
        </w:rPr>
        <w:t xml:space="preserve"> e peróxido, o fator de aumento de concentração de fosfato foi de aproximadamente 29 vezes e se manteve constante ao longo de todo procedimento fotocatalítico.</w:t>
      </w:r>
    </w:p>
    <w:p w14:paraId="6D79415B" w14:textId="602D388E" w:rsidR="001C7181" w:rsidRDefault="001C7181" w:rsidP="001C7181">
      <w:pPr>
        <w:pStyle w:val="TAMainText"/>
        <w:ind w:firstLine="187"/>
        <w:rPr>
          <w:lang w:val="pt-BR"/>
        </w:rPr>
      </w:pPr>
      <w:r w:rsidRPr="001C7181">
        <w:rPr>
          <w:lang w:val="pt-BR"/>
        </w:rPr>
        <w:t xml:space="preserve">A </w:t>
      </w:r>
      <w:r w:rsidR="00AD3B00">
        <w:t xml:space="preserve">Figura </w:t>
      </w:r>
      <w:r w:rsidR="00706952" w:rsidRPr="00706952">
        <w:rPr>
          <w:lang w:val="pt-BR"/>
        </w:rPr>
        <w:t>7</w:t>
      </w:r>
      <w:r w:rsidRPr="001C7181">
        <w:rPr>
          <w:lang w:val="pt-BR"/>
        </w:rPr>
        <w:t xml:space="preserve"> compara todos os procedimentos de tratamento de decomposição do glifosato em meio aquoso que fizeram emprego do H</w:t>
      </w:r>
      <w:r w:rsidRPr="001C7181">
        <w:rPr>
          <w:vertAlign w:val="subscript"/>
          <w:lang w:val="pt-BR"/>
        </w:rPr>
        <w:t>2</w:t>
      </w:r>
      <w:r w:rsidRPr="001C7181">
        <w:rPr>
          <w:lang w:val="pt-BR"/>
        </w:rPr>
        <w:t>O</w:t>
      </w:r>
      <w:r w:rsidRPr="001C7181">
        <w:rPr>
          <w:vertAlign w:val="subscript"/>
          <w:lang w:val="pt-BR"/>
        </w:rPr>
        <w:t>2</w:t>
      </w:r>
      <w:r w:rsidRPr="001C7181">
        <w:rPr>
          <w:lang w:val="pt-BR"/>
        </w:rPr>
        <w:t xml:space="preserve">. </w:t>
      </w:r>
      <w:r w:rsidR="00441CAA">
        <w:t>No tempo zero (quando a luz era acesa</w:t>
      </w:r>
      <w:r w:rsidR="00441CAA">
        <w:t xml:space="preserve">), considerou-se </w:t>
      </w:r>
      <w:r w:rsidR="00441CAA">
        <w:t>a concentração de fosfato como 100%.</w:t>
      </w:r>
      <w:r w:rsidR="00441CAA">
        <w:t xml:space="preserve"> </w:t>
      </w:r>
      <w:r w:rsidRPr="001C7181">
        <w:rPr>
          <w:lang w:val="pt-BR"/>
        </w:rPr>
        <w:t xml:space="preserve">O uso de peróxido apenas (sem radiação e sem fotocatalisador) aumentou a concentração de fosfato em 20 vezes. A adição de luz visível ao processo elevou esse valor </w:t>
      </w:r>
      <w:r w:rsidRPr="001C7181">
        <w:rPr>
          <w:lang w:val="pt-BR"/>
        </w:rPr>
        <w:lastRenderedPageBreak/>
        <w:t>para 30 vezes. Adicionando-se ainda o</w:t>
      </w:r>
      <w:r w:rsidR="00964463">
        <w:rPr>
          <w:lang w:val="pt-BR"/>
        </w:rPr>
        <w:t>s</w:t>
      </w:r>
      <w:r w:rsidRPr="001C7181">
        <w:rPr>
          <w:lang w:val="pt-BR"/>
        </w:rPr>
        <w:t xml:space="preserve"> semicondutor</w:t>
      </w:r>
      <w:r w:rsidR="00964463">
        <w:rPr>
          <w:lang w:val="pt-BR"/>
        </w:rPr>
        <w:t>es</w:t>
      </w:r>
      <w:r w:rsidRPr="001C7181">
        <w:rPr>
          <w:lang w:val="pt-BR"/>
        </w:rPr>
        <w:t xml:space="preserve"> TiO</w:t>
      </w:r>
      <w:r w:rsidRPr="00706952">
        <w:rPr>
          <w:vertAlign w:val="subscript"/>
          <w:lang w:val="pt-BR"/>
        </w:rPr>
        <w:t>2</w:t>
      </w:r>
      <w:r w:rsidRPr="001C7181">
        <w:rPr>
          <w:lang w:val="pt-BR"/>
        </w:rPr>
        <w:t xml:space="preserve"> e </w:t>
      </w:r>
      <w:r w:rsidR="00706952">
        <w:rPr>
          <w:lang w:val="pt-BR"/>
        </w:rPr>
        <w:t>NiFe</w:t>
      </w:r>
      <w:r w:rsidR="00706952" w:rsidRPr="00706952">
        <w:rPr>
          <w:vertAlign w:val="subscript"/>
          <w:lang w:val="pt-BR"/>
        </w:rPr>
        <w:t>2</w:t>
      </w:r>
      <w:r w:rsidR="00706952">
        <w:rPr>
          <w:lang w:val="pt-BR"/>
        </w:rPr>
        <w:t>O</w:t>
      </w:r>
      <w:r w:rsidR="00706952" w:rsidRPr="00706952">
        <w:rPr>
          <w:vertAlign w:val="subscript"/>
          <w:lang w:val="pt-BR"/>
        </w:rPr>
        <w:t>4</w:t>
      </w:r>
      <w:r w:rsidR="00706952">
        <w:rPr>
          <w:lang w:val="pt-BR"/>
        </w:rPr>
        <w:t>/</w:t>
      </w:r>
      <w:r w:rsidRPr="001C7181">
        <w:rPr>
          <w:lang w:val="pt-BR"/>
        </w:rPr>
        <w:t>TiO</w:t>
      </w:r>
      <w:r w:rsidRPr="00706952">
        <w:rPr>
          <w:vertAlign w:val="subscript"/>
          <w:lang w:val="pt-BR"/>
        </w:rPr>
        <w:t>2</w:t>
      </w:r>
      <w:r w:rsidRPr="001C7181">
        <w:rPr>
          <w:lang w:val="pt-BR"/>
        </w:rPr>
        <w:t>, o aumento da concentração de fosfato em relação ao tempo zero foi de 78 vezes e 96 vezes, respectivamente. O procedimento de associação da radiação visível com H</w:t>
      </w:r>
      <w:r w:rsidRPr="00706952">
        <w:rPr>
          <w:vertAlign w:val="subscript"/>
          <w:lang w:val="pt-BR"/>
        </w:rPr>
        <w:t>2</w:t>
      </w:r>
      <w:r w:rsidRPr="001C7181">
        <w:rPr>
          <w:lang w:val="pt-BR"/>
        </w:rPr>
        <w:t>O</w:t>
      </w:r>
      <w:r w:rsidRPr="00706952">
        <w:rPr>
          <w:vertAlign w:val="subscript"/>
          <w:lang w:val="pt-BR"/>
        </w:rPr>
        <w:t>2</w:t>
      </w:r>
      <w:r w:rsidRPr="001C7181">
        <w:rPr>
          <w:lang w:val="pt-BR"/>
        </w:rPr>
        <w:t xml:space="preserve"> aumentou a concentração de fosfato em 45 vezes. Com base nos resultados obtidos, pode-se inferir que o uso </w:t>
      </w:r>
      <w:r w:rsidR="00706952">
        <w:rPr>
          <w:lang w:val="pt-BR"/>
        </w:rPr>
        <w:t>da</w:t>
      </w:r>
      <w:r w:rsidR="00964463">
        <w:rPr>
          <w:lang w:val="pt-BR"/>
        </w:rPr>
        <w:t xml:space="preserve"> heterojunção</w:t>
      </w:r>
      <w:r w:rsidRPr="001C7181">
        <w:rPr>
          <w:lang w:val="pt-BR"/>
        </w:rPr>
        <w:t xml:space="preserve"> NiFe</w:t>
      </w:r>
      <w:r w:rsidRPr="00706952">
        <w:rPr>
          <w:vertAlign w:val="subscript"/>
          <w:lang w:val="pt-BR"/>
        </w:rPr>
        <w:t>2</w:t>
      </w:r>
      <w:r w:rsidRPr="001C7181">
        <w:rPr>
          <w:lang w:val="pt-BR"/>
        </w:rPr>
        <w:t>O</w:t>
      </w:r>
      <w:r w:rsidRPr="00706952">
        <w:rPr>
          <w:vertAlign w:val="subscript"/>
          <w:lang w:val="pt-BR"/>
        </w:rPr>
        <w:t>4</w:t>
      </w:r>
      <w:r w:rsidR="00706952">
        <w:rPr>
          <w:lang w:val="pt-BR"/>
        </w:rPr>
        <w:t>/</w:t>
      </w:r>
      <w:r w:rsidRPr="001C7181">
        <w:rPr>
          <w:lang w:val="pt-BR"/>
        </w:rPr>
        <w:t>TiO</w:t>
      </w:r>
      <w:r w:rsidRPr="00706952">
        <w:rPr>
          <w:vertAlign w:val="subscript"/>
          <w:lang w:val="pt-BR"/>
        </w:rPr>
        <w:t>2</w:t>
      </w:r>
      <w:r w:rsidRPr="001C7181">
        <w:rPr>
          <w:lang w:val="pt-BR"/>
        </w:rPr>
        <w:t>, associado ao emprego de radiação visível e peróxido de hidrogênio é uma estratégia eficaz para a</w:t>
      </w:r>
      <w:r w:rsidR="002615A4">
        <w:rPr>
          <w:lang w:val="pt-BR"/>
        </w:rPr>
        <w:t xml:space="preserve"> descontaminação de glifosato do meio aquoso</w:t>
      </w:r>
      <w:r w:rsidRPr="001C7181">
        <w:rPr>
          <w:lang w:val="pt-BR"/>
        </w:rPr>
        <w:t>.</w:t>
      </w:r>
    </w:p>
    <w:p w14:paraId="506DEC5E" w14:textId="77777777" w:rsidR="00AF6E86" w:rsidRDefault="00AF6E86" w:rsidP="00EA4E1B">
      <w:pPr>
        <w:pStyle w:val="VAFigureCaption"/>
        <w:spacing w:before="0"/>
        <w:rPr>
          <w:rFonts w:ascii="Times New Roman" w:hAnsi="Times New Roman"/>
          <w:lang w:val="pt-BR"/>
        </w:rPr>
      </w:pPr>
    </w:p>
    <w:p w14:paraId="540E7515" w14:textId="20BDCC21" w:rsidR="00EA4E1B" w:rsidRPr="00E038AF" w:rsidRDefault="00F35874" w:rsidP="00EA4E1B">
      <w:pPr>
        <w:pStyle w:val="VAFigureCaption"/>
        <w:spacing w:before="0"/>
        <w:rPr>
          <w:rFonts w:ascii="Times New Roman" w:hAnsi="Times New Roman"/>
          <w:lang w:val="pt-BR"/>
        </w:rPr>
      </w:pPr>
      <w:r w:rsidRPr="00F35874">
        <w:rPr>
          <w:noProof/>
          <w:lang w:val="pt-BR"/>
        </w:rPr>
        <w:drawing>
          <wp:anchor distT="0" distB="0" distL="114300" distR="114300" simplePos="0" relativeHeight="251675647" behindDoc="0" locked="0" layoutInCell="1" allowOverlap="1" wp14:anchorId="01AFEEE8" wp14:editId="0940EF16">
            <wp:simplePos x="0" y="0"/>
            <wp:positionH relativeFrom="column">
              <wp:posOffset>-51859</wp:posOffset>
            </wp:positionH>
            <wp:positionV relativeFrom="paragraph">
              <wp:posOffset>-160867</wp:posOffset>
            </wp:positionV>
            <wp:extent cx="3027680" cy="2324833"/>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7680" cy="2324833"/>
                    </a:xfrm>
                    <a:prstGeom prst="rect">
                      <a:avLst/>
                    </a:prstGeom>
                    <a:noFill/>
                    <a:ln>
                      <a:noFill/>
                    </a:ln>
                  </pic:spPr>
                </pic:pic>
              </a:graphicData>
            </a:graphic>
          </wp:anchor>
        </w:drawing>
      </w:r>
    </w:p>
    <w:p w14:paraId="49AE8C02" w14:textId="265B89AF" w:rsidR="00EA4E1B" w:rsidRDefault="00EA4E1B" w:rsidP="00EA4E1B">
      <w:pPr>
        <w:pStyle w:val="TAMainText"/>
        <w:rPr>
          <w:lang w:val="pt-BR"/>
        </w:rPr>
      </w:pPr>
    </w:p>
    <w:p w14:paraId="46FE30FF" w14:textId="586249BD" w:rsidR="00EA4E1B" w:rsidRDefault="00EA4E1B" w:rsidP="00EA4E1B"/>
    <w:p w14:paraId="070B80F1" w14:textId="77777777" w:rsidR="008942CD" w:rsidRDefault="008942CD" w:rsidP="00EA4E1B">
      <w:pPr>
        <w:pStyle w:val="Ttulo2"/>
        <w:rPr>
          <w:rFonts w:ascii="Helvetica" w:hAnsi="Helvetica" w:cs="Helvetica"/>
          <w:sz w:val="24"/>
          <w:szCs w:val="24"/>
        </w:rPr>
      </w:pPr>
    </w:p>
    <w:p w14:paraId="672648DB" w14:textId="77777777" w:rsidR="00F35874" w:rsidRDefault="00F35874" w:rsidP="002615A4">
      <w:pPr>
        <w:pStyle w:val="TAMainText"/>
        <w:spacing w:line="200" w:lineRule="exact"/>
        <w:ind w:firstLine="0"/>
        <w:rPr>
          <w:b/>
          <w:sz w:val="18"/>
          <w:lang w:val="pt-BR"/>
        </w:rPr>
      </w:pPr>
    </w:p>
    <w:p w14:paraId="42C5F6FD" w14:textId="77777777" w:rsidR="00F35874" w:rsidRDefault="00F35874" w:rsidP="002615A4">
      <w:pPr>
        <w:pStyle w:val="TAMainText"/>
        <w:spacing w:line="200" w:lineRule="exact"/>
        <w:ind w:firstLine="0"/>
        <w:rPr>
          <w:b/>
          <w:sz w:val="18"/>
          <w:lang w:val="pt-BR"/>
        </w:rPr>
      </w:pPr>
    </w:p>
    <w:p w14:paraId="3FA1244C" w14:textId="77777777" w:rsidR="00F35874" w:rsidRDefault="00F35874" w:rsidP="002615A4">
      <w:pPr>
        <w:pStyle w:val="TAMainText"/>
        <w:spacing w:line="200" w:lineRule="exact"/>
        <w:ind w:firstLine="0"/>
        <w:rPr>
          <w:b/>
          <w:sz w:val="18"/>
          <w:lang w:val="pt-BR"/>
        </w:rPr>
      </w:pPr>
    </w:p>
    <w:p w14:paraId="23FA5007" w14:textId="77777777" w:rsidR="00F35874" w:rsidRDefault="00F35874" w:rsidP="002615A4">
      <w:pPr>
        <w:pStyle w:val="TAMainText"/>
        <w:spacing w:line="200" w:lineRule="exact"/>
        <w:ind w:firstLine="0"/>
        <w:rPr>
          <w:b/>
          <w:sz w:val="18"/>
          <w:lang w:val="pt-BR"/>
        </w:rPr>
      </w:pPr>
    </w:p>
    <w:p w14:paraId="54DCDCE8" w14:textId="77777777" w:rsidR="00F35874" w:rsidRDefault="00F35874" w:rsidP="002615A4">
      <w:pPr>
        <w:pStyle w:val="TAMainText"/>
        <w:spacing w:line="200" w:lineRule="exact"/>
        <w:ind w:firstLine="0"/>
        <w:rPr>
          <w:b/>
          <w:sz w:val="18"/>
          <w:lang w:val="pt-BR"/>
        </w:rPr>
      </w:pPr>
    </w:p>
    <w:p w14:paraId="38138B3F" w14:textId="77777777" w:rsidR="00F35874" w:rsidRDefault="00F35874" w:rsidP="002615A4">
      <w:pPr>
        <w:pStyle w:val="TAMainText"/>
        <w:spacing w:line="200" w:lineRule="exact"/>
        <w:ind w:firstLine="0"/>
        <w:rPr>
          <w:b/>
          <w:sz w:val="18"/>
          <w:lang w:val="pt-BR"/>
        </w:rPr>
      </w:pPr>
    </w:p>
    <w:p w14:paraId="60D1B6FE" w14:textId="77777777" w:rsidR="00F35874" w:rsidRDefault="00F35874" w:rsidP="002615A4">
      <w:pPr>
        <w:pStyle w:val="TAMainText"/>
        <w:spacing w:line="200" w:lineRule="exact"/>
        <w:ind w:firstLine="0"/>
        <w:rPr>
          <w:b/>
          <w:sz w:val="18"/>
          <w:lang w:val="pt-BR"/>
        </w:rPr>
      </w:pPr>
    </w:p>
    <w:p w14:paraId="68661692" w14:textId="77777777" w:rsidR="00F35874" w:rsidRDefault="00F35874" w:rsidP="002615A4">
      <w:pPr>
        <w:pStyle w:val="TAMainText"/>
        <w:spacing w:line="200" w:lineRule="exact"/>
        <w:ind w:firstLine="0"/>
        <w:rPr>
          <w:b/>
          <w:sz w:val="18"/>
          <w:lang w:val="pt-BR"/>
        </w:rPr>
      </w:pPr>
    </w:p>
    <w:p w14:paraId="2F7CD940" w14:textId="77777777" w:rsidR="00F35874" w:rsidRDefault="00F35874" w:rsidP="002615A4">
      <w:pPr>
        <w:pStyle w:val="TAMainText"/>
        <w:spacing w:line="200" w:lineRule="exact"/>
        <w:ind w:firstLine="0"/>
        <w:rPr>
          <w:b/>
          <w:sz w:val="18"/>
          <w:lang w:val="pt-BR"/>
        </w:rPr>
      </w:pPr>
    </w:p>
    <w:p w14:paraId="63A7298A" w14:textId="77777777" w:rsidR="00F35874" w:rsidRDefault="00F35874" w:rsidP="002615A4">
      <w:pPr>
        <w:pStyle w:val="TAMainText"/>
        <w:spacing w:line="200" w:lineRule="exact"/>
        <w:ind w:firstLine="0"/>
        <w:rPr>
          <w:b/>
          <w:sz w:val="18"/>
          <w:lang w:val="pt-BR"/>
        </w:rPr>
      </w:pPr>
    </w:p>
    <w:p w14:paraId="1EF1834E" w14:textId="77777777" w:rsidR="00F35874" w:rsidRDefault="00F35874" w:rsidP="002615A4">
      <w:pPr>
        <w:pStyle w:val="TAMainText"/>
        <w:spacing w:line="200" w:lineRule="exact"/>
        <w:ind w:firstLine="0"/>
        <w:rPr>
          <w:b/>
          <w:sz w:val="18"/>
          <w:lang w:val="pt-BR"/>
        </w:rPr>
      </w:pPr>
    </w:p>
    <w:p w14:paraId="3DFBA660" w14:textId="2411A52C" w:rsidR="008942CD" w:rsidRPr="002615A4" w:rsidRDefault="00964463" w:rsidP="00AF6E86">
      <w:pPr>
        <w:pStyle w:val="TAMainText"/>
        <w:spacing w:line="200" w:lineRule="exact"/>
        <w:ind w:firstLine="0"/>
        <w:rPr>
          <w:rFonts w:ascii="Times New Roman" w:hAnsi="Times New Roman"/>
          <w:sz w:val="18"/>
          <w:szCs w:val="18"/>
          <w:lang w:val="pt-BR"/>
        </w:rPr>
      </w:pPr>
      <w:r w:rsidRPr="002615A4">
        <w:rPr>
          <w:b/>
          <w:sz w:val="18"/>
          <w:lang w:val="pt-BR"/>
        </w:rPr>
        <w:t>Figura 7.</w:t>
      </w:r>
      <w:r w:rsidRPr="002615A4">
        <w:rPr>
          <w:sz w:val="18"/>
          <w:lang w:val="pt-BR"/>
        </w:rPr>
        <w:t xml:space="preserve"> Mineralização do meio, </w:t>
      </w:r>
      <w:r w:rsidRPr="002615A4">
        <w:rPr>
          <w:sz w:val="18"/>
          <w:szCs w:val="18"/>
          <w:lang w:val="pt-BR"/>
        </w:rPr>
        <w:t xml:space="preserve">em termos do íon fosfato, durante os testes fotocatalíticos como determinação indireta da degradação do glifosato ao longo do tratamento, em que </w:t>
      </w:r>
      <w:r w:rsidR="002615A4" w:rsidRPr="002615A4">
        <w:rPr>
          <w:sz w:val="18"/>
          <w:szCs w:val="18"/>
          <w:lang w:val="pt-BR"/>
        </w:rPr>
        <w:t>[PO</w:t>
      </w:r>
      <w:r w:rsidR="002615A4" w:rsidRPr="002615A4">
        <w:rPr>
          <w:sz w:val="18"/>
          <w:szCs w:val="18"/>
          <w:vertAlign w:val="subscript"/>
          <w:lang w:val="pt-BR"/>
        </w:rPr>
        <w:t>4</w:t>
      </w:r>
      <w:r w:rsidR="002615A4" w:rsidRPr="002615A4">
        <w:rPr>
          <w:sz w:val="18"/>
          <w:szCs w:val="18"/>
          <w:vertAlign w:val="superscript"/>
          <w:lang w:val="pt-BR"/>
        </w:rPr>
        <w:t>3-</w:t>
      </w:r>
      <w:r w:rsidR="002615A4" w:rsidRPr="002615A4">
        <w:rPr>
          <w:sz w:val="18"/>
          <w:szCs w:val="18"/>
          <w:lang w:val="pt-BR"/>
        </w:rPr>
        <w:t>]</w:t>
      </w:r>
      <w:r w:rsidRPr="002615A4">
        <w:rPr>
          <w:sz w:val="18"/>
          <w:szCs w:val="18"/>
          <w:lang w:val="pt-BR"/>
        </w:rPr>
        <w:t xml:space="preserve"> no tempo zero é igual a 100%. </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50EEDD9C" w14:textId="290E1ACF" w:rsidR="001C7181" w:rsidRPr="001C7181" w:rsidRDefault="001C7181" w:rsidP="001C7181">
      <w:pPr>
        <w:pStyle w:val="TAMainText"/>
        <w:ind w:firstLine="187"/>
        <w:rPr>
          <w:rFonts w:ascii="Times New Roman" w:hAnsi="Times New Roman"/>
          <w:lang w:val="pt-BR"/>
        </w:rPr>
      </w:pPr>
      <w:r w:rsidRPr="001C7181">
        <w:rPr>
          <w:rFonts w:ascii="Times New Roman" w:hAnsi="Times New Roman"/>
          <w:lang w:val="pt-BR"/>
        </w:rPr>
        <w:t>O método de Pechini adaptado foi eficiente na síntese dos óxidos simples</w:t>
      </w:r>
      <w:r w:rsidR="00AF1ABC">
        <w:rPr>
          <w:rFonts w:ascii="Times New Roman" w:hAnsi="Times New Roman"/>
          <w:lang w:val="pt-BR"/>
        </w:rPr>
        <w:t xml:space="preserve"> NiFe</w:t>
      </w:r>
      <w:r w:rsidR="00AF1ABC" w:rsidRPr="00AF1ABC">
        <w:rPr>
          <w:rFonts w:ascii="Times New Roman" w:hAnsi="Times New Roman"/>
          <w:vertAlign w:val="subscript"/>
          <w:lang w:val="pt-BR"/>
        </w:rPr>
        <w:t>2</w:t>
      </w:r>
      <w:r w:rsidR="00AF1ABC">
        <w:rPr>
          <w:rFonts w:ascii="Times New Roman" w:hAnsi="Times New Roman"/>
          <w:lang w:val="pt-BR"/>
        </w:rPr>
        <w:t>O</w:t>
      </w:r>
      <w:r w:rsidR="00AF1ABC" w:rsidRPr="00AF1ABC">
        <w:rPr>
          <w:rFonts w:ascii="Times New Roman" w:hAnsi="Times New Roman"/>
          <w:vertAlign w:val="subscript"/>
          <w:lang w:val="pt-BR"/>
        </w:rPr>
        <w:t>4</w:t>
      </w:r>
      <w:r w:rsidR="00AF1ABC">
        <w:rPr>
          <w:rFonts w:ascii="Times New Roman" w:hAnsi="Times New Roman"/>
          <w:lang w:val="pt-BR"/>
        </w:rPr>
        <w:t xml:space="preserve"> e TiO</w:t>
      </w:r>
      <w:r w:rsidR="00AF1ABC" w:rsidRPr="00AF1ABC">
        <w:rPr>
          <w:rFonts w:ascii="Times New Roman" w:hAnsi="Times New Roman"/>
          <w:vertAlign w:val="subscript"/>
          <w:lang w:val="pt-BR"/>
        </w:rPr>
        <w:t>2</w:t>
      </w:r>
      <w:r w:rsidRPr="001C7181">
        <w:rPr>
          <w:rFonts w:ascii="Times New Roman" w:hAnsi="Times New Roman"/>
          <w:lang w:val="pt-BR"/>
        </w:rPr>
        <w:t xml:space="preserve"> e das </w:t>
      </w:r>
      <w:r w:rsidR="009151CC">
        <w:rPr>
          <w:rFonts w:ascii="Times New Roman" w:hAnsi="Times New Roman"/>
          <w:lang w:val="pt-BR"/>
        </w:rPr>
        <w:t>heterojunções</w:t>
      </w:r>
      <w:r w:rsidRPr="001C7181">
        <w:rPr>
          <w:rFonts w:ascii="Times New Roman" w:hAnsi="Times New Roman"/>
          <w:lang w:val="pt-BR"/>
        </w:rPr>
        <w:t xml:space="preserve"> NiFe</w:t>
      </w:r>
      <w:r w:rsidRPr="009151CC">
        <w:rPr>
          <w:rFonts w:ascii="Times New Roman" w:hAnsi="Times New Roman"/>
          <w:vertAlign w:val="subscript"/>
          <w:lang w:val="pt-BR"/>
        </w:rPr>
        <w:t>2</w:t>
      </w:r>
      <w:r w:rsidRPr="001C7181">
        <w:rPr>
          <w:rFonts w:ascii="Times New Roman" w:hAnsi="Times New Roman"/>
          <w:lang w:val="pt-BR"/>
        </w:rPr>
        <w:t>O</w:t>
      </w:r>
      <w:r w:rsidRPr="009151CC">
        <w:rPr>
          <w:rFonts w:ascii="Times New Roman" w:hAnsi="Times New Roman"/>
          <w:vertAlign w:val="subscript"/>
          <w:lang w:val="pt-BR"/>
        </w:rPr>
        <w:t>4</w:t>
      </w:r>
      <w:r w:rsidR="009151CC">
        <w:rPr>
          <w:rFonts w:ascii="Times New Roman" w:hAnsi="Times New Roman"/>
          <w:lang w:val="pt-BR"/>
        </w:rPr>
        <w:t>/</w:t>
      </w:r>
      <w:r w:rsidRPr="001C7181">
        <w:rPr>
          <w:rFonts w:ascii="Times New Roman" w:hAnsi="Times New Roman"/>
          <w:lang w:val="pt-BR"/>
        </w:rPr>
        <w:t>TiO</w:t>
      </w:r>
      <w:r w:rsidRPr="009151CC">
        <w:rPr>
          <w:rFonts w:ascii="Times New Roman" w:hAnsi="Times New Roman"/>
          <w:vertAlign w:val="subscript"/>
          <w:lang w:val="pt-BR"/>
        </w:rPr>
        <w:t>2</w:t>
      </w:r>
      <w:r w:rsidRPr="001C7181">
        <w:rPr>
          <w:rFonts w:ascii="Times New Roman" w:hAnsi="Times New Roman"/>
          <w:lang w:val="pt-BR"/>
        </w:rPr>
        <w:t>. Para a ferrita de níquel, foram identificadas as fases NiFe</w:t>
      </w:r>
      <w:r w:rsidRPr="009151CC">
        <w:rPr>
          <w:rFonts w:ascii="Times New Roman" w:hAnsi="Times New Roman"/>
          <w:vertAlign w:val="subscript"/>
          <w:lang w:val="pt-BR"/>
        </w:rPr>
        <w:t>2</w:t>
      </w:r>
      <w:r w:rsidRPr="001C7181">
        <w:rPr>
          <w:rFonts w:ascii="Times New Roman" w:hAnsi="Times New Roman"/>
          <w:lang w:val="pt-BR"/>
        </w:rPr>
        <w:t>O</w:t>
      </w:r>
      <w:r w:rsidRPr="009151CC">
        <w:rPr>
          <w:rFonts w:ascii="Times New Roman" w:hAnsi="Times New Roman"/>
          <w:vertAlign w:val="subscript"/>
          <w:lang w:val="pt-BR"/>
        </w:rPr>
        <w:t>4</w:t>
      </w:r>
      <w:r w:rsidRPr="001C7181">
        <w:rPr>
          <w:rFonts w:ascii="Times New Roman" w:hAnsi="Times New Roman"/>
          <w:lang w:val="pt-BR"/>
        </w:rPr>
        <w:t>, α-Fe</w:t>
      </w:r>
      <w:r w:rsidRPr="009151CC">
        <w:rPr>
          <w:rFonts w:ascii="Times New Roman" w:hAnsi="Times New Roman"/>
          <w:vertAlign w:val="subscript"/>
          <w:lang w:val="pt-BR"/>
        </w:rPr>
        <w:t>2</w:t>
      </w:r>
      <w:r w:rsidRPr="001C7181">
        <w:rPr>
          <w:rFonts w:ascii="Times New Roman" w:hAnsi="Times New Roman"/>
          <w:lang w:val="pt-BR"/>
        </w:rPr>
        <w:t>O</w:t>
      </w:r>
      <w:r w:rsidRPr="009151CC">
        <w:rPr>
          <w:rFonts w:ascii="Times New Roman" w:hAnsi="Times New Roman"/>
          <w:vertAlign w:val="subscript"/>
          <w:lang w:val="pt-BR"/>
        </w:rPr>
        <w:t>3</w:t>
      </w:r>
      <w:r w:rsidRPr="001C7181">
        <w:rPr>
          <w:rFonts w:ascii="Times New Roman" w:hAnsi="Times New Roman"/>
          <w:lang w:val="pt-BR"/>
        </w:rPr>
        <w:t xml:space="preserve"> e NiO; para o TiO</w:t>
      </w:r>
      <w:r w:rsidRPr="009151CC">
        <w:rPr>
          <w:rFonts w:ascii="Times New Roman" w:hAnsi="Times New Roman"/>
          <w:vertAlign w:val="subscript"/>
          <w:lang w:val="pt-BR"/>
        </w:rPr>
        <w:t>2</w:t>
      </w:r>
      <w:r w:rsidRPr="001C7181">
        <w:rPr>
          <w:rFonts w:ascii="Times New Roman" w:hAnsi="Times New Roman"/>
          <w:lang w:val="pt-BR"/>
        </w:rPr>
        <w:t>,</w:t>
      </w:r>
      <w:r w:rsidR="009151CC">
        <w:rPr>
          <w:rFonts w:ascii="Times New Roman" w:hAnsi="Times New Roman"/>
          <w:lang w:val="pt-BR"/>
        </w:rPr>
        <w:t xml:space="preserve"> os polimorfos anatase e rutilo</w:t>
      </w:r>
      <w:r w:rsidRPr="001C7181">
        <w:rPr>
          <w:rFonts w:ascii="Times New Roman" w:hAnsi="Times New Roman"/>
          <w:lang w:val="pt-BR"/>
        </w:rPr>
        <w:t>. Verificou-se que a dopagem do TiO</w:t>
      </w:r>
      <w:r w:rsidRPr="009151CC">
        <w:rPr>
          <w:rFonts w:ascii="Times New Roman" w:hAnsi="Times New Roman"/>
          <w:vertAlign w:val="subscript"/>
          <w:lang w:val="pt-BR"/>
        </w:rPr>
        <w:t>2</w:t>
      </w:r>
      <w:r w:rsidRPr="001C7181">
        <w:rPr>
          <w:rFonts w:ascii="Times New Roman" w:hAnsi="Times New Roman"/>
          <w:lang w:val="pt-BR"/>
        </w:rPr>
        <w:t xml:space="preserve"> com Fe e a</w:t>
      </w:r>
      <w:r w:rsidR="00C02074">
        <w:rPr>
          <w:rFonts w:ascii="Times New Roman" w:hAnsi="Times New Roman"/>
          <w:lang w:val="pt-BR"/>
        </w:rPr>
        <w:t xml:space="preserve"> sua</w:t>
      </w:r>
      <w:r w:rsidRPr="001C7181">
        <w:rPr>
          <w:rFonts w:ascii="Times New Roman" w:hAnsi="Times New Roman"/>
          <w:lang w:val="pt-BR"/>
        </w:rPr>
        <w:t xml:space="preserve"> associação com a NiFe</w:t>
      </w:r>
      <w:r w:rsidRPr="009151CC">
        <w:rPr>
          <w:rFonts w:ascii="Times New Roman" w:hAnsi="Times New Roman"/>
          <w:vertAlign w:val="subscript"/>
          <w:lang w:val="pt-BR"/>
        </w:rPr>
        <w:t>2</w:t>
      </w:r>
      <w:r w:rsidRPr="001C7181">
        <w:rPr>
          <w:rFonts w:ascii="Times New Roman" w:hAnsi="Times New Roman"/>
          <w:lang w:val="pt-BR"/>
        </w:rPr>
        <w:t>O</w:t>
      </w:r>
      <w:r w:rsidRPr="009151CC">
        <w:rPr>
          <w:rFonts w:ascii="Times New Roman" w:hAnsi="Times New Roman"/>
          <w:vertAlign w:val="subscript"/>
          <w:lang w:val="pt-BR"/>
        </w:rPr>
        <w:t>4</w:t>
      </w:r>
      <w:r w:rsidRPr="001C7181">
        <w:rPr>
          <w:rFonts w:ascii="Times New Roman" w:hAnsi="Times New Roman"/>
          <w:lang w:val="pt-BR"/>
        </w:rPr>
        <w:t xml:space="preserve"> </w:t>
      </w:r>
      <w:r w:rsidR="00C02074">
        <w:rPr>
          <w:rFonts w:ascii="Times New Roman" w:hAnsi="Times New Roman"/>
          <w:lang w:val="pt-BR"/>
        </w:rPr>
        <w:t xml:space="preserve">favoreceu a transformação da fase anatase a </w:t>
      </w:r>
      <w:r w:rsidRPr="001C7181">
        <w:rPr>
          <w:rFonts w:ascii="Times New Roman" w:hAnsi="Times New Roman"/>
          <w:lang w:val="pt-BR"/>
        </w:rPr>
        <w:t>rutilo.</w:t>
      </w:r>
      <w:r w:rsidRPr="00EC1766">
        <w:rPr>
          <w:lang w:val="pt-BR"/>
        </w:rPr>
        <w:t xml:space="preserve"> </w:t>
      </w:r>
      <w:r w:rsidRPr="001C7181">
        <w:rPr>
          <w:rFonts w:ascii="Times New Roman" w:hAnsi="Times New Roman"/>
          <w:lang w:val="pt-BR"/>
        </w:rPr>
        <w:t>A associação entre a NiFe</w:t>
      </w:r>
      <w:r w:rsidRPr="009151CC">
        <w:rPr>
          <w:rFonts w:ascii="Times New Roman" w:hAnsi="Times New Roman"/>
          <w:vertAlign w:val="subscript"/>
          <w:lang w:val="pt-BR"/>
        </w:rPr>
        <w:t>2</w:t>
      </w:r>
      <w:r w:rsidRPr="001C7181">
        <w:rPr>
          <w:rFonts w:ascii="Times New Roman" w:hAnsi="Times New Roman"/>
          <w:lang w:val="pt-BR"/>
        </w:rPr>
        <w:t>O</w:t>
      </w:r>
      <w:r w:rsidRPr="009151CC">
        <w:rPr>
          <w:rFonts w:ascii="Times New Roman" w:hAnsi="Times New Roman"/>
          <w:vertAlign w:val="subscript"/>
          <w:lang w:val="pt-BR"/>
        </w:rPr>
        <w:t>4</w:t>
      </w:r>
      <w:r w:rsidRPr="001C7181">
        <w:rPr>
          <w:rFonts w:ascii="Times New Roman" w:hAnsi="Times New Roman"/>
          <w:lang w:val="pt-BR"/>
        </w:rPr>
        <w:t xml:space="preserve"> e o TiO</w:t>
      </w:r>
      <w:r w:rsidRPr="009151CC">
        <w:rPr>
          <w:rFonts w:ascii="Times New Roman" w:hAnsi="Times New Roman"/>
          <w:vertAlign w:val="subscript"/>
          <w:lang w:val="pt-BR"/>
        </w:rPr>
        <w:t>2</w:t>
      </w:r>
      <w:r w:rsidRPr="001C7181">
        <w:rPr>
          <w:rFonts w:ascii="Times New Roman" w:hAnsi="Times New Roman"/>
          <w:lang w:val="pt-BR"/>
        </w:rPr>
        <w:t xml:space="preserve"> proporcionou melhor desempenho fotocatalítico em comparação com os óxidos </w:t>
      </w:r>
      <w:r w:rsidR="00C02074">
        <w:rPr>
          <w:rFonts w:ascii="Times New Roman" w:hAnsi="Times New Roman"/>
          <w:lang w:val="pt-BR"/>
        </w:rPr>
        <w:t>simples</w:t>
      </w:r>
      <w:r w:rsidRPr="001C7181">
        <w:rPr>
          <w:rFonts w:ascii="Times New Roman" w:hAnsi="Times New Roman"/>
          <w:lang w:val="pt-BR"/>
        </w:rPr>
        <w:t>, constatação que pode ser explicada por meio dos resultados obtidos por meio da técnica de fotoluminescência, que revelaram que a associação dos materiais, formando um compósito magnético, resultou em uma diminuição da taxa de recombinação dos pares elétron-lacuna, o que melhora, de fato, o desempenho fotocatalítico. O fotocatalisador que apresentou o melhor desempenho na reação de degradação fotocatalítica do glifosato em me</w:t>
      </w:r>
      <w:r w:rsidR="009151CC">
        <w:rPr>
          <w:rFonts w:ascii="Times New Roman" w:hAnsi="Times New Roman"/>
          <w:lang w:val="pt-BR"/>
        </w:rPr>
        <w:t>io aquoso foi a amostra NiFe</w:t>
      </w:r>
      <w:r w:rsidR="009151CC" w:rsidRPr="009151CC">
        <w:rPr>
          <w:rFonts w:ascii="Times New Roman" w:hAnsi="Times New Roman"/>
          <w:vertAlign w:val="subscript"/>
          <w:lang w:val="pt-BR"/>
        </w:rPr>
        <w:t>2</w:t>
      </w:r>
      <w:r w:rsidR="009151CC">
        <w:rPr>
          <w:rFonts w:ascii="Times New Roman" w:hAnsi="Times New Roman"/>
          <w:lang w:val="pt-BR"/>
        </w:rPr>
        <w:t>O</w:t>
      </w:r>
      <w:r w:rsidR="009151CC" w:rsidRPr="009151CC">
        <w:rPr>
          <w:rFonts w:ascii="Times New Roman" w:hAnsi="Times New Roman"/>
          <w:vertAlign w:val="subscript"/>
          <w:lang w:val="pt-BR"/>
        </w:rPr>
        <w:t>4</w:t>
      </w:r>
      <w:r w:rsidR="009151CC">
        <w:rPr>
          <w:rFonts w:ascii="Times New Roman" w:hAnsi="Times New Roman"/>
          <w:lang w:val="pt-BR"/>
        </w:rPr>
        <w:t>/</w:t>
      </w:r>
      <w:r w:rsidRPr="001C7181">
        <w:rPr>
          <w:rFonts w:ascii="Times New Roman" w:hAnsi="Times New Roman"/>
          <w:lang w:val="pt-BR"/>
        </w:rPr>
        <w:t>TiO</w:t>
      </w:r>
      <w:r w:rsidRPr="009151CC">
        <w:rPr>
          <w:rFonts w:ascii="Times New Roman" w:hAnsi="Times New Roman"/>
          <w:vertAlign w:val="subscript"/>
          <w:lang w:val="pt-BR"/>
        </w:rPr>
        <w:t>2</w:t>
      </w:r>
      <w:r w:rsidRPr="001C7181">
        <w:rPr>
          <w:rFonts w:ascii="Times New Roman" w:hAnsi="Times New Roman"/>
          <w:lang w:val="pt-BR"/>
        </w:rPr>
        <w:t>. Verificou-se que a inserção de Fe na rede cristalina do TiO</w:t>
      </w:r>
      <w:r w:rsidRPr="009151CC">
        <w:rPr>
          <w:rFonts w:ascii="Times New Roman" w:hAnsi="Times New Roman"/>
          <w:vertAlign w:val="subscript"/>
          <w:lang w:val="pt-BR"/>
        </w:rPr>
        <w:t>2</w:t>
      </w:r>
      <w:r w:rsidRPr="001C7181">
        <w:rPr>
          <w:rFonts w:ascii="Times New Roman" w:hAnsi="Times New Roman"/>
          <w:lang w:val="pt-BR"/>
        </w:rPr>
        <w:t xml:space="preserve"> ocasionou um </w:t>
      </w:r>
      <w:r w:rsidR="00C53D29">
        <w:rPr>
          <w:rFonts w:ascii="Times New Roman" w:hAnsi="Times New Roman"/>
          <w:lang w:val="pt-BR"/>
        </w:rPr>
        <w:t>aumento da</w:t>
      </w:r>
      <w:r w:rsidRPr="001C7181">
        <w:rPr>
          <w:rFonts w:ascii="Times New Roman" w:hAnsi="Times New Roman"/>
          <w:lang w:val="pt-BR"/>
        </w:rPr>
        <w:t xml:space="preserve"> taxa de recombinação dos pares elétrons/lacunas</w:t>
      </w:r>
      <w:r w:rsidR="00C53D29">
        <w:rPr>
          <w:rFonts w:ascii="Times New Roman" w:hAnsi="Times New Roman"/>
          <w:lang w:val="pt-BR"/>
        </w:rPr>
        <w:t>, diminuindo, consequentemente,</w:t>
      </w:r>
      <w:r w:rsidRPr="001C7181">
        <w:rPr>
          <w:rFonts w:ascii="Times New Roman" w:hAnsi="Times New Roman"/>
          <w:lang w:val="pt-BR"/>
        </w:rPr>
        <w:t xml:space="preserve"> o potencial fotocatalítico do material. </w:t>
      </w:r>
    </w:p>
    <w:p w14:paraId="4A70FE93" w14:textId="1D2730AC" w:rsidR="00EA4E1B" w:rsidRPr="001F25B2" w:rsidRDefault="001C7181" w:rsidP="001C7181">
      <w:pPr>
        <w:pStyle w:val="TAMainText"/>
        <w:ind w:firstLine="187"/>
        <w:rPr>
          <w:rFonts w:ascii="Times New Roman" w:hAnsi="Times New Roman"/>
          <w:lang w:val="pt-BR"/>
        </w:rPr>
      </w:pPr>
      <w:r w:rsidRPr="001C7181">
        <w:rPr>
          <w:rFonts w:ascii="Times New Roman" w:hAnsi="Times New Roman"/>
          <w:lang w:val="pt-BR"/>
        </w:rPr>
        <w:t>A adição de H</w:t>
      </w:r>
      <w:r w:rsidRPr="009151CC">
        <w:rPr>
          <w:rFonts w:ascii="Times New Roman" w:hAnsi="Times New Roman"/>
          <w:vertAlign w:val="subscript"/>
          <w:lang w:val="pt-BR"/>
        </w:rPr>
        <w:t>2</w:t>
      </w:r>
      <w:r w:rsidRPr="001C7181">
        <w:rPr>
          <w:rFonts w:ascii="Times New Roman" w:hAnsi="Times New Roman"/>
          <w:lang w:val="pt-BR"/>
        </w:rPr>
        <w:t>O</w:t>
      </w:r>
      <w:r w:rsidRPr="009151CC">
        <w:rPr>
          <w:rFonts w:ascii="Times New Roman" w:hAnsi="Times New Roman"/>
          <w:vertAlign w:val="subscript"/>
          <w:lang w:val="pt-BR"/>
        </w:rPr>
        <w:t>2</w:t>
      </w:r>
      <w:r w:rsidRPr="001C7181">
        <w:rPr>
          <w:rFonts w:ascii="Times New Roman" w:hAnsi="Times New Roman"/>
          <w:lang w:val="pt-BR"/>
        </w:rPr>
        <w:t xml:space="preserve"> ao sistema reacional desempenhou um papel importante na degradação fotocatalítica do glifosato, </w:t>
      </w:r>
      <w:r w:rsidRPr="001C7181">
        <w:rPr>
          <w:rFonts w:ascii="Times New Roman" w:hAnsi="Times New Roman"/>
          <w:lang w:val="pt-BR"/>
        </w:rPr>
        <w:lastRenderedPageBreak/>
        <w:t>o que pode ser explicado pelo fato de o H</w:t>
      </w:r>
      <w:r w:rsidRPr="009151CC">
        <w:rPr>
          <w:rFonts w:ascii="Times New Roman" w:hAnsi="Times New Roman"/>
          <w:vertAlign w:val="subscript"/>
          <w:lang w:val="pt-BR"/>
        </w:rPr>
        <w:t>2</w:t>
      </w:r>
      <w:r w:rsidRPr="001C7181">
        <w:rPr>
          <w:rFonts w:ascii="Times New Roman" w:hAnsi="Times New Roman"/>
          <w:lang w:val="pt-BR"/>
        </w:rPr>
        <w:t>O</w:t>
      </w:r>
      <w:r w:rsidRPr="009151CC">
        <w:rPr>
          <w:rFonts w:ascii="Times New Roman" w:hAnsi="Times New Roman"/>
          <w:vertAlign w:val="subscript"/>
          <w:lang w:val="pt-BR"/>
        </w:rPr>
        <w:t>2</w:t>
      </w:r>
      <w:r w:rsidRPr="001C7181">
        <w:rPr>
          <w:rFonts w:ascii="Times New Roman" w:hAnsi="Times New Roman"/>
          <w:lang w:val="pt-BR"/>
        </w:rPr>
        <w:t xml:space="preserve"> ser um composto sequestrador de elétrons, reduzindo, dessa forma, a recombinação dessas cargas negativas com as lacunas positivas e aumentando a formação de radicais hidroxila, o que melhora o desempenho </w:t>
      </w:r>
      <w:r w:rsidR="006B31D1" w:rsidRPr="001C7181">
        <w:rPr>
          <w:rFonts w:ascii="Times New Roman" w:hAnsi="Times New Roman"/>
          <w:lang w:val="pt-BR"/>
        </w:rPr>
        <w:t>catalítico.</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76F98FF9" w:rsidR="00EA4E1B" w:rsidRPr="001F25B2" w:rsidRDefault="00806D09" w:rsidP="00EA4E1B">
      <w:pPr>
        <w:pStyle w:val="TAMainText"/>
        <w:rPr>
          <w:rFonts w:ascii="Times New Roman" w:hAnsi="Times New Roman"/>
          <w:lang w:val="pt-BR"/>
        </w:rPr>
      </w:pPr>
      <w:r>
        <w:rPr>
          <w:lang w:val="pt-BR"/>
        </w:rPr>
        <w:t>Os autores agradecem à</w:t>
      </w:r>
      <w:r w:rsidR="007D5148">
        <w:rPr>
          <w:lang w:val="pt-BR"/>
        </w:rPr>
        <w:t xml:space="preserve"> </w:t>
      </w:r>
      <w:r w:rsidR="007D5148" w:rsidRPr="007D5148">
        <w:rPr>
          <w:lang w:val="pt-BR"/>
        </w:rPr>
        <w:t>Central de Análises da UTFPR</w:t>
      </w:r>
      <w:r>
        <w:rPr>
          <w:lang w:val="pt-BR"/>
        </w:rPr>
        <w:t xml:space="preserve"> campus Pato Branco</w:t>
      </w:r>
      <w:r w:rsidR="007D5148" w:rsidRPr="007D5148">
        <w:rPr>
          <w:lang w:val="pt-BR"/>
        </w:rPr>
        <w:t xml:space="preserve">, ao </w:t>
      </w:r>
      <w:r w:rsidR="007D5148" w:rsidRPr="007D5148">
        <w:rPr>
          <w:rFonts w:cs="Arial"/>
          <w:shd w:val="clear" w:color="auto" w:fill="FFFFFF"/>
          <w:lang w:val="pt-BR"/>
        </w:rPr>
        <w:t>Centro de Caracterização Multiusuário em Pesquisa e Desenvolvimento de Materiais (C</w:t>
      </w:r>
      <w:r w:rsidR="007D5148" w:rsidRPr="007D5148">
        <w:rPr>
          <w:rFonts w:cs="Arial"/>
          <w:shd w:val="clear" w:color="auto" w:fill="FFFFFF"/>
          <w:vertAlign w:val="superscript"/>
          <w:lang w:val="pt-BR"/>
        </w:rPr>
        <w:t>2</w:t>
      </w:r>
      <w:r w:rsidR="007D5148" w:rsidRPr="007D5148">
        <w:rPr>
          <w:rFonts w:cs="Arial"/>
          <w:shd w:val="clear" w:color="auto" w:fill="FFFFFF"/>
          <w:lang w:val="pt-BR"/>
        </w:rPr>
        <w:t>MMa) do campus Ponta Grossa da UTFPR</w:t>
      </w:r>
      <w:r w:rsidR="007D5148" w:rsidRPr="007D5148">
        <w:rPr>
          <w:lang w:val="pt-BR"/>
        </w:rPr>
        <w:t>, ao Laboratório de Espectroscopia de Polímeros – LEPOL, do Departamento de Física da Universidad</w:t>
      </w:r>
      <w:r>
        <w:rPr>
          <w:lang w:val="pt-BR"/>
        </w:rPr>
        <w:t>e Federal de Santa Maria (UFSM) e</w:t>
      </w:r>
      <w:r w:rsidR="007D5148" w:rsidRPr="007D5148">
        <w:rPr>
          <w:lang w:val="pt-BR"/>
        </w:rPr>
        <w:t xml:space="preserve"> ao Laboratório de Magnetometria do Centro Brasileiro de Pesquisas Físicas (CBPF)</w:t>
      </w:r>
      <w:r>
        <w:rPr>
          <w:rFonts w:ascii="Times New Roman" w:hAnsi="Times New Roman"/>
          <w:lang w:val="pt-BR"/>
        </w:rPr>
        <w:t xml:space="preserve"> pelas análises de caracterização dos materiais </w:t>
      </w:r>
      <w:r w:rsidRPr="00A5229D">
        <w:rPr>
          <w:color w:val="000000"/>
        </w:rPr>
        <w:t xml:space="preserve">e ao Conselho Nacional de Desenvolvimento </w:t>
      </w:r>
      <w:r>
        <w:rPr>
          <w:color w:val="000000"/>
        </w:rPr>
        <w:t>Cientí</w:t>
      </w:r>
      <w:r w:rsidRPr="00A5229D">
        <w:rPr>
          <w:color w:val="000000"/>
        </w:rPr>
        <w:t>fico e Tecnológico (CNPq) pelo apoio financeiro por meio da Chamada MCTIC/CNPq nº28/2018-Universal Faixa A (Processo 436313/2018-9)</w:t>
      </w:r>
      <w:r>
        <w:rPr>
          <w:color w:val="000000"/>
        </w:rPr>
        <w:t>.</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24722B12" w14:textId="7702D9F7" w:rsidR="00955B28" w:rsidRDefault="00955B28" w:rsidP="00955B28">
      <w:pPr>
        <w:pStyle w:val="TAMainText"/>
        <w:numPr>
          <w:ilvl w:val="0"/>
          <w:numId w:val="1"/>
        </w:numPr>
        <w:rPr>
          <w:lang w:val="pt-BR"/>
        </w:rPr>
      </w:pPr>
      <w:r w:rsidRPr="00255448">
        <w:rPr>
          <w:lang w:val="pt-BR"/>
        </w:rPr>
        <w:t xml:space="preserve">LAJMANOVICH, Rafael C. e colab. </w:t>
      </w:r>
      <w:r w:rsidRPr="00255448">
        <w:t xml:space="preserve">Cocktails of pesticide residues in Prochilodus lineatus fish of the Salado River (South America): First record of high concentrations of polar herbicides. </w:t>
      </w:r>
      <w:r w:rsidRPr="00255448">
        <w:rPr>
          <w:lang w:val="pt-BR"/>
        </w:rPr>
        <w:t>Science of the Total Environment, v. 870, n. October 2022, 2023.</w:t>
      </w:r>
    </w:p>
    <w:p w14:paraId="46AA2DDB" w14:textId="09AE0AFF" w:rsidR="00255448" w:rsidRPr="00255448" w:rsidRDefault="00255448" w:rsidP="00955B28">
      <w:pPr>
        <w:pStyle w:val="TAMainText"/>
        <w:numPr>
          <w:ilvl w:val="0"/>
          <w:numId w:val="1"/>
        </w:numPr>
        <w:rPr>
          <w:lang w:val="pt-BR"/>
        </w:rPr>
      </w:pPr>
      <w:r w:rsidRPr="00F41CB8">
        <w:rPr>
          <w:rFonts w:cs="Arial"/>
          <w:noProof/>
          <w:lang w:val="pt-BR"/>
        </w:rPr>
        <w:t xml:space="preserve">AMARANTE JUNIOR, Ozelito Possidônio de </w:t>
      </w:r>
      <w:r w:rsidRPr="00F41CB8">
        <w:rPr>
          <w:rFonts w:cs="Arial"/>
          <w:i/>
          <w:iCs/>
          <w:noProof/>
          <w:lang w:val="pt-BR"/>
        </w:rPr>
        <w:t>et al.</w:t>
      </w:r>
      <w:r w:rsidRPr="00F41CB8">
        <w:rPr>
          <w:rFonts w:cs="Arial"/>
          <w:noProof/>
          <w:lang w:val="pt-BR"/>
        </w:rPr>
        <w:t xml:space="preserve"> Glifosato: propriedades, toxicidade, usos e legislação. </w:t>
      </w:r>
      <w:r w:rsidRPr="00F41CB8">
        <w:rPr>
          <w:rFonts w:cs="Arial"/>
          <w:b/>
          <w:bCs/>
          <w:noProof/>
          <w:lang w:val="pt-BR"/>
        </w:rPr>
        <w:t>Química Nova</w:t>
      </w:r>
      <w:r w:rsidRPr="00F41CB8">
        <w:rPr>
          <w:rFonts w:cs="Arial"/>
          <w:noProof/>
          <w:lang w:val="pt-BR"/>
        </w:rPr>
        <w:t>, [</w:t>
      </w:r>
      <w:r w:rsidRPr="00F41CB8">
        <w:rPr>
          <w:rFonts w:cs="Arial"/>
          <w:i/>
          <w:iCs/>
          <w:noProof/>
          <w:lang w:val="pt-BR"/>
        </w:rPr>
        <w:t>s. l.</w:t>
      </w:r>
      <w:r w:rsidRPr="00F41CB8">
        <w:rPr>
          <w:rFonts w:cs="Arial"/>
          <w:noProof/>
          <w:lang w:val="pt-BR"/>
        </w:rPr>
        <w:t xml:space="preserve">], v. 25, n. 4, p. 589–593, 2002. Disponível em: https://doi.org/10.1590/S0100-40422002000400014. </w:t>
      </w:r>
      <w:r w:rsidRPr="00977A98">
        <w:rPr>
          <w:rFonts w:cs="Arial"/>
          <w:noProof/>
        </w:rPr>
        <w:t>Acesso em: 23 abr. 2020.</w:t>
      </w:r>
    </w:p>
    <w:p w14:paraId="7304CE4A" w14:textId="4AEB102E" w:rsidR="00EA4E1B" w:rsidRDefault="00955B28" w:rsidP="00EA4E1B">
      <w:pPr>
        <w:pStyle w:val="TAMainText"/>
        <w:numPr>
          <w:ilvl w:val="0"/>
          <w:numId w:val="1"/>
        </w:numPr>
        <w:rPr>
          <w:lang w:val="pt-BR"/>
        </w:rPr>
      </w:pPr>
      <w:r w:rsidRPr="00F41CB8">
        <w:rPr>
          <w:rFonts w:cs="Arial"/>
          <w:noProof/>
          <w:lang w:val="pt-BR"/>
        </w:rPr>
        <w:t>ARANHA, Carolina Fernandes; RIBEIRO, Marcos Aurélio. Remoção de Glifosato utilizando ozonização fotocatalítica com TiO</w:t>
      </w:r>
      <w:r w:rsidRPr="00415332">
        <w:rPr>
          <w:rFonts w:cs="Arial"/>
          <w:noProof/>
          <w:vertAlign w:val="subscript"/>
          <w:lang w:val="pt-BR"/>
        </w:rPr>
        <w:t>2</w:t>
      </w:r>
      <w:r w:rsidRPr="00F41CB8">
        <w:rPr>
          <w:rFonts w:cs="Arial"/>
          <w:noProof/>
          <w:lang w:val="pt-BR"/>
        </w:rPr>
        <w:t xml:space="preserve">. </w:t>
      </w:r>
      <w:r w:rsidRPr="00673293">
        <w:rPr>
          <w:rFonts w:cs="Arial"/>
          <w:bCs/>
          <w:noProof/>
          <w:lang w:val="pt-BR"/>
        </w:rPr>
        <w:t>Monografia -</w:t>
      </w:r>
      <w:r w:rsidRPr="00673293">
        <w:rPr>
          <w:rFonts w:cs="Arial"/>
          <w:noProof/>
          <w:lang w:val="pt-BR"/>
        </w:rPr>
        <w:t xml:space="preserve"> Curso de Graduação em Engenharia Ambiental e Sanitária da Universidade Federal de Goiás. </w:t>
      </w:r>
      <w:r w:rsidRPr="00E0716C">
        <w:rPr>
          <w:rFonts w:cs="Arial"/>
          <w:noProof/>
        </w:rPr>
        <w:t>Goiânia, 2016.</w:t>
      </w:r>
    </w:p>
    <w:p w14:paraId="27825980" w14:textId="67B0EC70" w:rsidR="00955B28" w:rsidRDefault="00955B28" w:rsidP="00955B28">
      <w:pPr>
        <w:pStyle w:val="TAMainText"/>
        <w:numPr>
          <w:ilvl w:val="0"/>
          <w:numId w:val="1"/>
        </w:numPr>
        <w:rPr>
          <w:rFonts w:ascii="Times New Roman" w:hAnsi="Times New Roman"/>
        </w:rPr>
      </w:pPr>
      <w:r w:rsidRPr="00955B28">
        <w:rPr>
          <w:rFonts w:ascii="Times New Roman" w:hAnsi="Times New Roman"/>
        </w:rPr>
        <w:t>KIM, Hyun Soo et al. Synthesis of magnetically separable core@shell structured NiFe</w:t>
      </w:r>
      <w:r w:rsidRPr="00E144AB">
        <w:rPr>
          <w:rFonts w:ascii="Times New Roman" w:hAnsi="Times New Roman"/>
          <w:vertAlign w:val="subscript"/>
        </w:rPr>
        <w:t>2</w:t>
      </w:r>
      <w:r w:rsidRPr="00955B28">
        <w:rPr>
          <w:rFonts w:ascii="Times New Roman" w:hAnsi="Times New Roman"/>
        </w:rPr>
        <w:t>O</w:t>
      </w:r>
      <w:r w:rsidRPr="00E144AB">
        <w:rPr>
          <w:rFonts w:ascii="Times New Roman" w:hAnsi="Times New Roman"/>
          <w:vertAlign w:val="subscript"/>
        </w:rPr>
        <w:t>4</w:t>
      </w:r>
      <w:r w:rsidRPr="00955B28">
        <w:rPr>
          <w:rFonts w:ascii="Times New Roman" w:hAnsi="Times New Roman"/>
        </w:rPr>
        <w:t>@TiO</w:t>
      </w:r>
      <w:r w:rsidRPr="00E144AB">
        <w:rPr>
          <w:rFonts w:ascii="Times New Roman" w:hAnsi="Times New Roman"/>
          <w:vertAlign w:val="subscript"/>
        </w:rPr>
        <w:t>2</w:t>
      </w:r>
      <w:r w:rsidRPr="00955B28">
        <w:rPr>
          <w:rFonts w:ascii="Times New Roman" w:hAnsi="Times New Roman"/>
        </w:rPr>
        <w:t xml:space="preserve"> nanomaterial and its use for photocatalytic hydrogen production by methanol/water splitting. Chemical Engineering Journal, [s. l.], v. 243, p. 272–279, 2014.</w:t>
      </w:r>
    </w:p>
    <w:sectPr w:rsidR="00955B28" w:rsidSect="00EA4E1B">
      <w:headerReference w:type="default" r:id="rId16"/>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FB106" w14:textId="77777777" w:rsidR="00FA0004" w:rsidRDefault="00FA0004" w:rsidP="00EA4E1B">
      <w:pPr>
        <w:spacing w:after="0" w:line="240" w:lineRule="auto"/>
      </w:pPr>
      <w:r>
        <w:separator/>
      </w:r>
    </w:p>
  </w:endnote>
  <w:endnote w:type="continuationSeparator" w:id="0">
    <w:p w14:paraId="74563D09" w14:textId="77777777" w:rsidR="00FA0004" w:rsidRDefault="00FA0004"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65784" w14:textId="77777777" w:rsidR="00FA0004" w:rsidRDefault="00FA0004" w:rsidP="00EA4E1B">
      <w:pPr>
        <w:spacing w:after="0" w:line="240" w:lineRule="auto"/>
      </w:pPr>
      <w:r>
        <w:separator/>
      </w:r>
    </w:p>
  </w:footnote>
  <w:footnote w:type="continuationSeparator" w:id="0">
    <w:p w14:paraId="647B3C95" w14:textId="77777777" w:rsidR="00FA0004" w:rsidRDefault="00FA0004" w:rsidP="00EA4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B3C3A" w14:textId="77777777" w:rsidR="001A6F92" w:rsidRDefault="001A6F92" w:rsidP="00EA4E1B">
    <w:pPr>
      <w:pStyle w:val="Cabealho"/>
      <w:jc w:val="center"/>
    </w:pPr>
    <w:r>
      <w:rPr>
        <w:noProof/>
        <w:lang w:eastAsia="pt-BR"/>
      </w:rPr>
      <w:drawing>
        <wp:inline distT="0" distB="0" distL="0" distR="0" wp14:anchorId="105B2E2A" wp14:editId="1506B08A">
          <wp:extent cx="1524000" cy="1049325"/>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3CAF6936" wp14:editId="3064169B">
          <wp:extent cx="1963713" cy="696036"/>
          <wp:effectExtent l="0" t="0" r="0" b="8890"/>
          <wp:docPr id="25" name="Imagem 25"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23E7"/>
    <w:rsid w:val="000054DC"/>
    <w:rsid w:val="0001264A"/>
    <w:rsid w:val="00017D5B"/>
    <w:rsid w:val="00020493"/>
    <w:rsid w:val="00021570"/>
    <w:rsid w:val="00043626"/>
    <w:rsid w:val="00056CC7"/>
    <w:rsid w:val="00061A72"/>
    <w:rsid w:val="000A7632"/>
    <w:rsid w:val="000B10D0"/>
    <w:rsid w:val="000E013C"/>
    <w:rsid w:val="000F1D24"/>
    <w:rsid w:val="00166A9F"/>
    <w:rsid w:val="00191890"/>
    <w:rsid w:val="001A4B4A"/>
    <w:rsid w:val="001A6F92"/>
    <w:rsid w:val="001C7181"/>
    <w:rsid w:val="001D3985"/>
    <w:rsid w:val="001E58A9"/>
    <w:rsid w:val="001F25B2"/>
    <w:rsid w:val="001F75A4"/>
    <w:rsid w:val="00222230"/>
    <w:rsid w:val="002425DD"/>
    <w:rsid w:val="00255448"/>
    <w:rsid w:val="002615A4"/>
    <w:rsid w:val="0027678C"/>
    <w:rsid w:val="002B153C"/>
    <w:rsid w:val="002C3DDE"/>
    <w:rsid w:val="002C57CB"/>
    <w:rsid w:val="002D4AE4"/>
    <w:rsid w:val="002F1137"/>
    <w:rsid w:val="00331504"/>
    <w:rsid w:val="00340B1E"/>
    <w:rsid w:val="003541A0"/>
    <w:rsid w:val="00356594"/>
    <w:rsid w:val="003650CE"/>
    <w:rsid w:val="00380DDD"/>
    <w:rsid w:val="003C61E1"/>
    <w:rsid w:val="003C7971"/>
    <w:rsid w:val="003D7D0A"/>
    <w:rsid w:val="00402F3E"/>
    <w:rsid w:val="004124D0"/>
    <w:rsid w:val="00421DE4"/>
    <w:rsid w:val="00441CAA"/>
    <w:rsid w:val="00444448"/>
    <w:rsid w:val="00447C77"/>
    <w:rsid w:val="0045319A"/>
    <w:rsid w:val="00494DE4"/>
    <w:rsid w:val="004A5C24"/>
    <w:rsid w:val="004A6692"/>
    <w:rsid w:val="004C4996"/>
    <w:rsid w:val="004E5B68"/>
    <w:rsid w:val="004F3F42"/>
    <w:rsid w:val="005078A9"/>
    <w:rsid w:val="005104CE"/>
    <w:rsid w:val="005129AF"/>
    <w:rsid w:val="0051533B"/>
    <w:rsid w:val="0052112E"/>
    <w:rsid w:val="005414CF"/>
    <w:rsid w:val="005472D2"/>
    <w:rsid w:val="005507F8"/>
    <w:rsid w:val="005550F5"/>
    <w:rsid w:val="00592092"/>
    <w:rsid w:val="005B3357"/>
    <w:rsid w:val="005C2775"/>
    <w:rsid w:val="005D65EB"/>
    <w:rsid w:val="005E1034"/>
    <w:rsid w:val="00602847"/>
    <w:rsid w:val="00604718"/>
    <w:rsid w:val="006059D1"/>
    <w:rsid w:val="00640EE2"/>
    <w:rsid w:val="00652815"/>
    <w:rsid w:val="00670117"/>
    <w:rsid w:val="00690701"/>
    <w:rsid w:val="006B17E5"/>
    <w:rsid w:val="006B31D1"/>
    <w:rsid w:val="006C6514"/>
    <w:rsid w:val="006F0A7D"/>
    <w:rsid w:val="006F599B"/>
    <w:rsid w:val="00706952"/>
    <w:rsid w:val="007670A0"/>
    <w:rsid w:val="00767978"/>
    <w:rsid w:val="00781685"/>
    <w:rsid w:val="00787E66"/>
    <w:rsid w:val="007B4B2B"/>
    <w:rsid w:val="007D12A3"/>
    <w:rsid w:val="007D399A"/>
    <w:rsid w:val="007D5148"/>
    <w:rsid w:val="007F50E6"/>
    <w:rsid w:val="0080400B"/>
    <w:rsid w:val="00806D09"/>
    <w:rsid w:val="00853785"/>
    <w:rsid w:val="0085697F"/>
    <w:rsid w:val="00866822"/>
    <w:rsid w:val="0087707C"/>
    <w:rsid w:val="008845E3"/>
    <w:rsid w:val="008942CD"/>
    <w:rsid w:val="00896D28"/>
    <w:rsid w:val="008B1683"/>
    <w:rsid w:val="008C1B30"/>
    <w:rsid w:val="008E6735"/>
    <w:rsid w:val="00903E80"/>
    <w:rsid w:val="00910A8D"/>
    <w:rsid w:val="009151CC"/>
    <w:rsid w:val="00925ADC"/>
    <w:rsid w:val="00951BE3"/>
    <w:rsid w:val="009526CD"/>
    <w:rsid w:val="00955B28"/>
    <w:rsid w:val="00964463"/>
    <w:rsid w:val="009656D9"/>
    <w:rsid w:val="00976184"/>
    <w:rsid w:val="00977D25"/>
    <w:rsid w:val="009C7CB0"/>
    <w:rsid w:val="009D3F2F"/>
    <w:rsid w:val="00A150B2"/>
    <w:rsid w:val="00A17D85"/>
    <w:rsid w:val="00A32BA0"/>
    <w:rsid w:val="00A7703C"/>
    <w:rsid w:val="00A87CE8"/>
    <w:rsid w:val="00A94671"/>
    <w:rsid w:val="00AA083D"/>
    <w:rsid w:val="00AA182E"/>
    <w:rsid w:val="00AA67DD"/>
    <w:rsid w:val="00AC0BC7"/>
    <w:rsid w:val="00AD3B00"/>
    <w:rsid w:val="00AE35A7"/>
    <w:rsid w:val="00AF0400"/>
    <w:rsid w:val="00AF1ABC"/>
    <w:rsid w:val="00AF6E86"/>
    <w:rsid w:val="00B10D8D"/>
    <w:rsid w:val="00B30AEB"/>
    <w:rsid w:val="00B326A7"/>
    <w:rsid w:val="00B571B1"/>
    <w:rsid w:val="00B70A80"/>
    <w:rsid w:val="00B84F97"/>
    <w:rsid w:val="00BA6A6E"/>
    <w:rsid w:val="00BC35B4"/>
    <w:rsid w:val="00C02074"/>
    <w:rsid w:val="00C04658"/>
    <w:rsid w:val="00C04FE0"/>
    <w:rsid w:val="00C05DA4"/>
    <w:rsid w:val="00C1417B"/>
    <w:rsid w:val="00C16A2C"/>
    <w:rsid w:val="00C34ED7"/>
    <w:rsid w:val="00C372EF"/>
    <w:rsid w:val="00C445C8"/>
    <w:rsid w:val="00C53D29"/>
    <w:rsid w:val="00C76E54"/>
    <w:rsid w:val="00C76F58"/>
    <w:rsid w:val="00C90060"/>
    <w:rsid w:val="00CA673E"/>
    <w:rsid w:val="00CB12AF"/>
    <w:rsid w:val="00CB4F18"/>
    <w:rsid w:val="00CD0DE4"/>
    <w:rsid w:val="00D13529"/>
    <w:rsid w:val="00D22AAB"/>
    <w:rsid w:val="00D24AE0"/>
    <w:rsid w:val="00D3734C"/>
    <w:rsid w:val="00D9223F"/>
    <w:rsid w:val="00D96135"/>
    <w:rsid w:val="00DC7822"/>
    <w:rsid w:val="00DE2D38"/>
    <w:rsid w:val="00E02A21"/>
    <w:rsid w:val="00E038AF"/>
    <w:rsid w:val="00E144AB"/>
    <w:rsid w:val="00E20D25"/>
    <w:rsid w:val="00E31131"/>
    <w:rsid w:val="00E46BDD"/>
    <w:rsid w:val="00E56D02"/>
    <w:rsid w:val="00E72C9D"/>
    <w:rsid w:val="00EA4E1B"/>
    <w:rsid w:val="00EA5E5F"/>
    <w:rsid w:val="00EA72B5"/>
    <w:rsid w:val="00EC1766"/>
    <w:rsid w:val="00ED7D4F"/>
    <w:rsid w:val="00EF085D"/>
    <w:rsid w:val="00F13A5E"/>
    <w:rsid w:val="00F201C0"/>
    <w:rsid w:val="00F30661"/>
    <w:rsid w:val="00F35874"/>
    <w:rsid w:val="00F74239"/>
    <w:rsid w:val="00F90832"/>
    <w:rsid w:val="00F917DA"/>
    <w:rsid w:val="00FA0004"/>
    <w:rsid w:val="00FB1D82"/>
    <w:rsid w:val="00FC30E6"/>
    <w:rsid w:val="00FE62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E72C9D"/>
    <w:rPr>
      <w:color w:val="0563C1" w:themeColor="hyperlink"/>
      <w:u w:val="single"/>
    </w:rPr>
  </w:style>
  <w:style w:type="character" w:styleId="HiperlinkVisitado">
    <w:name w:val="FollowedHyperlink"/>
    <w:basedOn w:val="Fontepargpadro"/>
    <w:uiPriority w:val="99"/>
    <w:semiHidden/>
    <w:unhideWhenUsed/>
    <w:rsid w:val="0080400B"/>
    <w:rPr>
      <w:color w:val="954F72" w:themeColor="followedHyperlink"/>
      <w:u w:val="single"/>
    </w:rPr>
  </w:style>
  <w:style w:type="table" w:styleId="Tabelacomgrade">
    <w:name w:val="Table Grid"/>
    <w:basedOn w:val="Tabelanormal"/>
    <w:uiPriority w:val="39"/>
    <w:rsid w:val="006B3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05DA4"/>
    <w:pPr>
      <w:ind w:left="720"/>
      <w:contextualSpacing/>
    </w:pPr>
  </w:style>
  <w:style w:type="character" w:customStyle="1" w:styleId="fontstyle01">
    <w:name w:val="fontstyle01"/>
    <w:rsid w:val="00494DE4"/>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294209">
      <w:bodyDiv w:val="1"/>
      <w:marLeft w:val="0"/>
      <w:marRight w:val="0"/>
      <w:marTop w:val="0"/>
      <w:marBottom w:val="0"/>
      <w:divBdr>
        <w:top w:val="none" w:sz="0" w:space="0" w:color="auto"/>
        <w:left w:val="none" w:sz="0" w:space="0" w:color="auto"/>
        <w:bottom w:val="none" w:sz="0" w:space="0" w:color="auto"/>
        <w:right w:val="none" w:sz="0" w:space="0" w:color="auto"/>
      </w:divBdr>
    </w:div>
    <w:div w:id="21116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F6306-FC78-4F8A-A7AE-FE16C2EA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6</Pages>
  <Words>4011</Words>
  <Characters>21661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Rodrigo Brackmann</cp:lastModifiedBy>
  <cp:revision>62</cp:revision>
  <dcterms:created xsi:type="dcterms:W3CDTF">2023-04-21T18:52:00Z</dcterms:created>
  <dcterms:modified xsi:type="dcterms:W3CDTF">2023-04-28T21:05:00Z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(Portuguese - Brazil)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ff383348-e5e5-3174-9f47-d43a38a7d3a4</vt:lpwstr>
  </property>
  <property fmtid="{D5CDD505-2E9C-101B-9397-08002B2CF9AE}" pid="24" name="Mendeley Citation Style_1">
    <vt:lpwstr>http://www.zotero.org/styles/associacao-brasileira-de-normas-tecnicas-eceme</vt:lpwstr>
  </property>
</Properties>
</file>