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26CEE" w14:textId="7B7F98C6" w:rsidR="00AF0400" w:rsidRDefault="00CF32AF" w:rsidP="00EA4E1B">
      <w:pPr>
        <w:pStyle w:val="BATitle"/>
        <w:spacing w:before="0" w:after="0" w:line="240" w:lineRule="auto"/>
        <w:ind w:right="0"/>
        <w:jc w:val="both"/>
        <w:rPr>
          <w:sz w:val="32"/>
          <w:lang w:val="pt-BR"/>
        </w:rPr>
      </w:pPr>
      <w:bookmarkStart w:id="0" w:name="_Hlk1324517"/>
      <w:bookmarkStart w:id="1" w:name="_Hlk1324670"/>
      <w:bookmarkStart w:id="2" w:name="_Hlk133603379"/>
      <w:bookmarkEnd w:id="2"/>
      <w:r>
        <w:rPr>
          <w:noProof/>
        </w:rPr>
        <mc:AlternateContent>
          <mc:Choice Requires="wps">
            <w:drawing>
              <wp:anchor distT="0" distB="0" distL="114300" distR="114300" simplePos="0" relativeHeight="251660287" behindDoc="0" locked="0" layoutInCell="1" allowOverlap="1" wp14:anchorId="06BB050D" wp14:editId="4DACDBF8">
                <wp:simplePos x="0" y="0"/>
                <wp:positionH relativeFrom="margin">
                  <wp:posOffset>0</wp:posOffset>
                </wp:positionH>
                <wp:positionV relativeFrom="paragraph">
                  <wp:posOffset>0</wp:posOffset>
                </wp:positionV>
                <wp:extent cx="6507480" cy="167640"/>
                <wp:effectExtent l="0" t="0" r="0" b="0"/>
                <wp:wrapNone/>
                <wp:docPr id="157751066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NoSpacing"/>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BB050D" id="Rectangle 2" o:spid="_x0000_s1026" style="position:absolute;left:0;text-align:left;margin-left:0;margin-top:0;width:512.4pt;height:13.2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" fillcolor="#9a0000" stroked="f" strokeweight="1pt">
                <v:textbox inset=",0,,0">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NoSpacing"/>
                      </w:pPr>
                    </w:p>
                  </w:txbxContent>
                </v:textbox>
                <w10:wrap anchorx="margin"/>
              </v:rect>
            </w:pict>
          </mc:Fallback>
        </mc:AlternateContent>
      </w:r>
    </w:p>
    <w:p w14:paraId="63B100AA" w14:textId="53D2F4A4" w:rsidR="00EA4E1B" w:rsidRPr="004D49BC" w:rsidRDefault="004D49BC" w:rsidP="004D49BC">
      <w:pPr>
        <w:pStyle w:val="BATitle"/>
        <w:spacing w:before="240" w:line="240" w:lineRule="auto"/>
        <w:ind w:right="-11"/>
        <w:jc w:val="both"/>
        <w:rPr>
          <w:sz w:val="32"/>
        </w:rPr>
      </w:pPr>
      <w:r w:rsidRPr="0027150C">
        <w:rPr>
          <w:sz w:val="32"/>
        </w:rPr>
        <w:t>A Living Growth Model for the Fischer-Tropsch Synthesis</w:t>
      </w:r>
      <w:r w:rsidRPr="0027150C">
        <w:rPr>
          <w:rFonts w:ascii="Times New Roman" w:hAnsi="Times New Roman"/>
          <w:b w:val="0"/>
          <w:sz w:val="32"/>
        </w:rPr>
        <w:t xml:space="preserve"> </w:t>
      </w:r>
    </w:p>
    <w:p w14:paraId="1B804493" w14:textId="22CE732A" w:rsidR="00EA4E1B" w:rsidRPr="001F25B2" w:rsidRDefault="004D49BC" w:rsidP="00EA4E1B">
      <w:pPr>
        <w:pStyle w:val="BBAuthorName"/>
        <w:spacing w:after="120"/>
        <w:ind w:right="0"/>
        <w:jc w:val="both"/>
        <w:rPr>
          <w:rFonts w:ascii="Times New Roman" w:hAnsi="Times New Roman"/>
          <w:sz w:val="20"/>
          <w:lang w:val="pt-BR"/>
        </w:rPr>
      </w:pPr>
      <w:r w:rsidRPr="004D49BC">
        <w:rPr>
          <w:rFonts w:ascii="Times New Roman" w:hAnsi="Times New Roman"/>
          <w:sz w:val="20"/>
          <w:lang w:val="pt-BR"/>
        </w:rPr>
        <w:t>Caio H. Pinheiro</w:t>
      </w:r>
      <w:r w:rsidRPr="004D49BC">
        <w:rPr>
          <w:rFonts w:ascii="Times New Roman" w:hAnsi="Times New Roman"/>
          <w:sz w:val="20"/>
          <w:vertAlign w:val="superscript"/>
          <w:lang w:val="pt-BR"/>
        </w:rPr>
        <w:t>1</w:t>
      </w:r>
      <w:r>
        <w:rPr>
          <w:rFonts w:ascii="Times New Roman" w:hAnsi="Times New Roman"/>
          <w:sz w:val="20"/>
          <w:vertAlign w:val="superscript"/>
          <w:lang w:val="pt-BR"/>
        </w:rPr>
        <w:t>*</w:t>
      </w:r>
      <w:r>
        <w:rPr>
          <w:rFonts w:ascii="Times New Roman" w:hAnsi="Times New Roman"/>
          <w:sz w:val="20"/>
          <w:lang w:val="pt-BR"/>
        </w:rPr>
        <w:t xml:space="preserve">, </w:t>
      </w:r>
      <w:r w:rsidRPr="004D49BC">
        <w:rPr>
          <w:rFonts w:ascii="Times New Roman" w:hAnsi="Times New Roman"/>
          <w:sz w:val="20"/>
          <w:lang w:val="pt-BR"/>
        </w:rPr>
        <w:t>Maria A. S. Baldanza</w:t>
      </w:r>
      <w:r w:rsidRPr="004D49BC">
        <w:rPr>
          <w:rFonts w:ascii="Times New Roman" w:hAnsi="Times New Roman"/>
          <w:sz w:val="20"/>
          <w:vertAlign w:val="superscript"/>
          <w:lang w:val="pt-BR"/>
        </w:rPr>
        <w:t>1</w:t>
      </w:r>
      <w:r>
        <w:rPr>
          <w:rFonts w:ascii="Times New Roman" w:hAnsi="Times New Roman"/>
          <w:sz w:val="20"/>
          <w:lang w:val="pt-BR"/>
        </w:rPr>
        <w:t xml:space="preserve">, </w:t>
      </w:r>
      <w:r w:rsidRPr="004D49BC">
        <w:rPr>
          <w:rFonts w:ascii="Times New Roman" w:hAnsi="Times New Roman"/>
          <w:sz w:val="20"/>
          <w:lang w:val="pt-BR"/>
        </w:rPr>
        <w:t>Juliana L. Smarzaro</w:t>
      </w:r>
      <w:r w:rsidRPr="004D49BC">
        <w:rPr>
          <w:rFonts w:ascii="Times New Roman" w:hAnsi="Times New Roman"/>
          <w:sz w:val="20"/>
          <w:vertAlign w:val="superscript"/>
          <w:lang w:val="pt-BR"/>
        </w:rPr>
        <w:t>1</w:t>
      </w:r>
      <w:r>
        <w:rPr>
          <w:rFonts w:ascii="Times New Roman" w:hAnsi="Times New Roman"/>
          <w:sz w:val="20"/>
          <w:lang w:val="pt-BR"/>
        </w:rPr>
        <w:t>, Vera M. M. Salim</w:t>
      </w:r>
      <w:r w:rsidRPr="004D49BC">
        <w:rPr>
          <w:rFonts w:ascii="Times New Roman" w:hAnsi="Times New Roman"/>
          <w:sz w:val="20"/>
          <w:vertAlign w:val="superscript"/>
          <w:lang w:val="pt-BR"/>
        </w:rPr>
        <w:t>1</w:t>
      </w:r>
      <w:r>
        <w:rPr>
          <w:rFonts w:ascii="Times New Roman" w:hAnsi="Times New Roman"/>
          <w:sz w:val="20"/>
          <w:lang w:val="pt-BR"/>
        </w:rPr>
        <w:t>, Neuman S. de Resende</w:t>
      </w:r>
      <w:r w:rsidRPr="004D49BC">
        <w:rPr>
          <w:rFonts w:ascii="Times New Roman" w:hAnsi="Times New Roman"/>
          <w:sz w:val="20"/>
          <w:vertAlign w:val="superscript"/>
          <w:lang w:val="pt-BR"/>
        </w:rPr>
        <w:t>1</w:t>
      </w:r>
      <w:r>
        <w:rPr>
          <w:rFonts w:ascii="Times New Roman" w:hAnsi="Times New Roman"/>
          <w:sz w:val="20"/>
          <w:lang w:val="pt-BR"/>
        </w:rPr>
        <w:t>, José Carlos Pinto</w:t>
      </w:r>
      <w:r w:rsidRPr="004D49BC">
        <w:rPr>
          <w:rFonts w:ascii="Times New Roman" w:hAnsi="Times New Roman"/>
          <w:sz w:val="20"/>
          <w:vertAlign w:val="superscript"/>
          <w:lang w:val="pt-BR"/>
        </w:rPr>
        <w:t>1</w:t>
      </w:r>
      <w:r w:rsidRPr="004D49BC">
        <w:rPr>
          <w:rFonts w:ascii="Times New Roman" w:hAnsi="Times New Roman"/>
          <w:sz w:val="20"/>
          <w:lang w:val="pt-BR"/>
        </w:rPr>
        <w:t xml:space="preserve"> </w:t>
      </w:r>
    </w:p>
    <w:p w14:paraId="22D38595" w14:textId="5370841B" w:rsidR="00EA4E1B" w:rsidRPr="004D49BC" w:rsidRDefault="004D49BC" w:rsidP="00EA4E1B">
      <w:pPr>
        <w:pStyle w:val="BCAuthorAddress"/>
        <w:spacing w:after="0"/>
        <w:ind w:right="0"/>
        <w:jc w:val="both"/>
        <w:rPr>
          <w:i w:val="0"/>
          <w:iCs/>
          <w:lang w:val="pt-BR"/>
        </w:rPr>
      </w:pPr>
      <w:r w:rsidRPr="004D49BC">
        <w:rPr>
          <w:rFonts w:ascii="Times New Roman" w:hAnsi="Times New Roman"/>
          <w:vertAlign w:val="superscript"/>
          <w:lang w:val="pt-BR"/>
        </w:rPr>
        <w:t>1</w:t>
      </w:r>
      <w:r w:rsidRPr="004D49BC">
        <w:rPr>
          <w:lang w:val="pt-BR"/>
        </w:rPr>
        <w:t>Programa de Engenharia Química/COPPE, Universidade Federal do Rio Janeiro, Cidade Universitária, Rio de Janeiro, CP 68502, 21941-972, RJ, Brazi</w:t>
      </w:r>
      <w:r>
        <w:rPr>
          <w:lang w:val="pt-BR"/>
        </w:rPr>
        <w:t>l</w:t>
      </w:r>
      <w:r w:rsidR="00E834ED">
        <w:rPr>
          <w:lang w:val="pt-BR"/>
        </w:rPr>
        <w:t xml:space="preserve">   </w:t>
      </w:r>
      <w:r>
        <w:rPr>
          <w:lang w:val="pt-BR"/>
        </w:rPr>
        <w:t xml:space="preserve"> </w:t>
      </w:r>
      <w:r w:rsidRPr="004D49BC">
        <w:rPr>
          <w:rFonts w:ascii="Times New Roman" w:hAnsi="Times New Roman"/>
          <w:i w:val="0"/>
          <w:iCs/>
          <w:color w:val="000000" w:themeColor="text1"/>
          <w:vertAlign w:val="superscript"/>
          <w:lang w:val="pt-BR"/>
        </w:rPr>
        <w:t>*</w:t>
      </w:r>
      <w:r w:rsidRPr="004D49BC">
        <w:rPr>
          <w:rFonts w:ascii="Times New Roman" w:hAnsi="Times New Roman"/>
          <w:color w:val="4472C4" w:themeColor="accent1"/>
          <w:u w:val="single"/>
          <w:lang w:val="pt-BR"/>
        </w:rPr>
        <w:t>cpinheiro@peq.coppe.ufrj.br</w:t>
      </w:r>
    </w:p>
    <w:bookmarkEnd w:id="0"/>
    <w:p w14:paraId="238E7EC1" w14:textId="12E8A3E9" w:rsidR="00AF0400" w:rsidRDefault="00CF32AF" w:rsidP="00EA4E1B">
      <w:pPr>
        <w:pStyle w:val="BDAbstract"/>
        <w:spacing w:before="0" w:after="0" w:line="240" w:lineRule="auto"/>
        <w:rPr>
          <w:rFonts w:ascii="Times New Roman" w:hAnsi="Times New Roman"/>
          <w:b w:val="0"/>
          <w:sz w:val="20"/>
          <w:lang w:val="pt-BR"/>
        </w:rPr>
      </w:pPr>
      <w:r>
        <w:rPr>
          <w:noProof/>
        </w:rPr>
        <mc:AlternateContent>
          <mc:Choice Requires="wps">
            <w:drawing>
              <wp:anchor distT="0" distB="0" distL="114300" distR="114300" simplePos="0" relativeHeight="251658239" behindDoc="0" locked="0" layoutInCell="1" allowOverlap="1" wp14:anchorId="1E0536B7" wp14:editId="4DA375BD">
                <wp:simplePos x="0" y="0"/>
                <wp:positionH relativeFrom="margin">
                  <wp:align>right</wp:align>
                </wp:positionH>
                <wp:positionV relativeFrom="paragraph">
                  <wp:posOffset>34925</wp:posOffset>
                </wp:positionV>
                <wp:extent cx="6507480" cy="167640"/>
                <wp:effectExtent l="0" t="0" r="0" b="0"/>
                <wp:wrapNone/>
                <wp:docPr id="39932372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F07B3" w14:textId="5B74E7B2" w:rsidR="008C1B30" w:rsidRPr="00E67439" w:rsidRDefault="008C1B30" w:rsidP="008C1B30">
                            <w:pPr>
                              <w:pStyle w:val="BDAbstract"/>
                              <w:spacing w:before="0" w:after="0" w:line="240" w:lineRule="auto"/>
                              <w:jc w:val="center"/>
                              <w:rPr>
                                <w:rFonts w:cs="Helvetica"/>
                                <w:bCs/>
                                <w:sz w:val="20"/>
                                <w:lang w:val="pt-BR"/>
                              </w:rPr>
                            </w:pPr>
                            <w:r w:rsidRPr="00E67439">
                              <w:rPr>
                                <w:rFonts w:cs="Helvetica"/>
                                <w:bCs/>
                                <w:sz w:val="20"/>
                                <w:lang w:val="pt-BR"/>
                              </w:rPr>
                              <w:t xml:space="preserve">Resumo/Abstract </w:t>
                            </w:r>
                          </w:p>
                          <w:p w14:paraId="7638102C" w14:textId="04A73240" w:rsidR="00AF0400" w:rsidRPr="008C1B30" w:rsidRDefault="00AF0400" w:rsidP="008C1B30">
                            <w:pPr>
                              <w:pStyle w:val="NoSpacing"/>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0536B7" id="Rectangle 1" o:spid="_x0000_s1027" style="position:absolute;left:0;text-align:left;margin-left:461.2pt;margin-top:2.75pt;width:512.4pt;height:13.2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" fillcolor="#9a0000" stroked="f" strokeweight="1pt">
                <v:textbox inset=",0,,0">
                  <w:txbxContent>
                    <w:p w14:paraId="3D0F07B3" w14:textId="5B74E7B2" w:rsidR="008C1B30" w:rsidRPr="00E67439" w:rsidRDefault="008C1B30" w:rsidP="008C1B30">
                      <w:pPr>
                        <w:pStyle w:val="BDAbstract"/>
                        <w:spacing w:before="0" w:after="0" w:line="240" w:lineRule="auto"/>
                        <w:jc w:val="center"/>
                        <w:rPr>
                          <w:rFonts w:cs="Helvetica"/>
                          <w:bCs/>
                          <w:sz w:val="20"/>
                          <w:lang w:val="pt-BR"/>
                        </w:rPr>
                      </w:pPr>
                      <w:r w:rsidRPr="00E67439">
                        <w:rPr>
                          <w:rFonts w:cs="Helvetica"/>
                          <w:bCs/>
                          <w:sz w:val="20"/>
                          <w:lang w:val="pt-BR"/>
                        </w:rPr>
                        <w:t xml:space="preserve">Resumo/Abstract </w:t>
                      </w:r>
                    </w:p>
                    <w:p w14:paraId="7638102C" w14:textId="04A73240" w:rsidR="00AF0400" w:rsidRPr="008C1B30" w:rsidRDefault="00AF0400" w:rsidP="008C1B30">
                      <w:pPr>
                        <w:pStyle w:val="NoSpacing"/>
                      </w:pPr>
                    </w:p>
                  </w:txbxContent>
                </v:textbox>
                <w10:wrap anchorx="margin"/>
              </v:rect>
            </w:pict>
          </mc:Fallback>
        </mc:AlternateContent>
      </w:r>
    </w:p>
    <w:p w14:paraId="4A5DDA03" w14:textId="738EF898" w:rsidR="00AF0400" w:rsidRDefault="00AF0400" w:rsidP="00EA4E1B">
      <w:pPr>
        <w:pStyle w:val="BDAbstract"/>
        <w:spacing w:before="0" w:after="0" w:line="240" w:lineRule="auto"/>
        <w:rPr>
          <w:rFonts w:ascii="Times New Roman" w:hAnsi="Times New Roman"/>
          <w:b w:val="0"/>
          <w:sz w:val="20"/>
          <w:lang w:val="pt-BR"/>
        </w:rPr>
      </w:pPr>
    </w:p>
    <w:p w14:paraId="09FD1A71" w14:textId="789D5BBE" w:rsidR="00E85E24" w:rsidRPr="008661E4" w:rsidRDefault="00EA4E1B" w:rsidP="00EA4E1B">
      <w:pPr>
        <w:pStyle w:val="BDAbstract"/>
        <w:spacing w:before="0" w:after="0" w:line="240" w:lineRule="auto"/>
        <w:rPr>
          <w:rFonts w:ascii="Times New Roman" w:hAnsi="Times New Roman"/>
          <w:b w:val="0"/>
          <w:sz w:val="20"/>
          <w:lang w:val="pt-BR"/>
        </w:rPr>
      </w:pPr>
      <w:r w:rsidRPr="008661E4">
        <w:rPr>
          <w:rFonts w:ascii="Times New Roman" w:hAnsi="Times New Roman"/>
          <w:b w:val="0"/>
          <w:sz w:val="20"/>
          <w:lang w:val="pt-BR"/>
        </w:rPr>
        <w:t xml:space="preserve">RESUMO - </w:t>
      </w:r>
      <w:r w:rsidR="008661E4" w:rsidRPr="008661E4">
        <w:rPr>
          <w:rFonts w:ascii="Times New Roman" w:hAnsi="Times New Roman"/>
          <w:b w:val="0"/>
          <w:sz w:val="20"/>
          <w:lang w:val="pt-BR"/>
        </w:rPr>
        <w:t xml:space="preserve">Com o aumento da demanda global de energia, há uma crescente </w:t>
      </w:r>
      <w:r w:rsidR="008661E4">
        <w:rPr>
          <w:rFonts w:ascii="Times New Roman" w:hAnsi="Times New Roman"/>
          <w:b w:val="0"/>
          <w:sz w:val="20"/>
          <w:lang w:val="pt-BR"/>
        </w:rPr>
        <w:t>procura</w:t>
      </w:r>
      <w:r w:rsidR="008661E4" w:rsidRPr="008661E4">
        <w:rPr>
          <w:rFonts w:ascii="Times New Roman" w:hAnsi="Times New Roman"/>
          <w:b w:val="0"/>
          <w:sz w:val="20"/>
          <w:lang w:val="pt-BR"/>
        </w:rPr>
        <w:t xml:space="preserve"> por fontes energéticas renováveis</w:t>
      </w:r>
      <w:r w:rsidR="00876FF3">
        <w:rPr>
          <w:rFonts w:ascii="Times New Roman" w:hAnsi="Times New Roman"/>
          <w:b w:val="0"/>
          <w:sz w:val="20"/>
          <w:lang w:val="pt-BR"/>
        </w:rPr>
        <w:t xml:space="preserve">. </w:t>
      </w:r>
      <w:r w:rsidR="008661E4" w:rsidRPr="008661E4">
        <w:rPr>
          <w:rFonts w:ascii="Times New Roman" w:hAnsi="Times New Roman"/>
          <w:b w:val="0"/>
          <w:sz w:val="20"/>
          <w:lang w:val="pt-BR"/>
        </w:rPr>
        <w:t>Nesse contexto, a Síntese de Fischer-Tropsch (</w:t>
      </w:r>
      <w:r w:rsidR="008661E4">
        <w:rPr>
          <w:rFonts w:ascii="Times New Roman" w:hAnsi="Times New Roman"/>
          <w:b w:val="0"/>
          <w:sz w:val="20"/>
          <w:lang w:val="pt-BR"/>
        </w:rPr>
        <w:t>SFT</w:t>
      </w:r>
      <w:r w:rsidR="008661E4" w:rsidRPr="008661E4">
        <w:rPr>
          <w:rFonts w:ascii="Times New Roman" w:hAnsi="Times New Roman"/>
          <w:b w:val="0"/>
          <w:sz w:val="20"/>
          <w:lang w:val="pt-BR"/>
        </w:rPr>
        <w:t>) ressurge como uma alternativa promissora para a produção de combustíveis</w:t>
      </w:r>
      <w:r w:rsidR="008661E4">
        <w:rPr>
          <w:rFonts w:ascii="Times New Roman" w:hAnsi="Times New Roman"/>
          <w:b w:val="0"/>
          <w:sz w:val="20"/>
          <w:lang w:val="pt-BR"/>
        </w:rPr>
        <w:t xml:space="preserve"> que utilizam</w:t>
      </w:r>
      <w:r w:rsidR="008661E4" w:rsidRPr="008661E4">
        <w:rPr>
          <w:rFonts w:ascii="Times New Roman" w:hAnsi="Times New Roman"/>
          <w:b w:val="0"/>
          <w:sz w:val="20"/>
          <w:lang w:val="pt-BR"/>
        </w:rPr>
        <w:t xml:space="preserve"> fontes renováveis</w:t>
      </w:r>
      <w:r w:rsidR="00DB129C">
        <w:rPr>
          <w:rFonts w:ascii="Times New Roman" w:hAnsi="Times New Roman"/>
          <w:b w:val="0"/>
          <w:sz w:val="20"/>
          <w:lang w:val="pt-BR"/>
        </w:rPr>
        <w:t xml:space="preserve"> mais limpas</w:t>
      </w:r>
      <w:r w:rsidR="008661E4" w:rsidRPr="008661E4">
        <w:rPr>
          <w:rFonts w:ascii="Times New Roman" w:hAnsi="Times New Roman"/>
          <w:b w:val="0"/>
          <w:sz w:val="20"/>
          <w:lang w:val="pt-BR"/>
        </w:rPr>
        <w:t xml:space="preserve">, como o </w:t>
      </w:r>
      <w:r w:rsidR="008661E4">
        <w:rPr>
          <w:rFonts w:ascii="Times New Roman" w:hAnsi="Times New Roman"/>
          <w:b w:val="0"/>
          <w:sz w:val="20"/>
          <w:lang w:val="pt-BR"/>
        </w:rPr>
        <w:t>gás de síntese</w:t>
      </w:r>
      <w:r w:rsidR="008661E4" w:rsidRPr="008661E4">
        <w:rPr>
          <w:rFonts w:ascii="Times New Roman" w:hAnsi="Times New Roman"/>
          <w:b w:val="0"/>
          <w:sz w:val="20"/>
          <w:lang w:val="pt-BR"/>
        </w:rPr>
        <w:t xml:space="preserve"> (CO + H</w:t>
      </w:r>
      <w:r w:rsidR="008661E4" w:rsidRPr="008661E4">
        <w:rPr>
          <w:rFonts w:ascii="Times New Roman" w:hAnsi="Times New Roman"/>
          <w:b w:val="0"/>
          <w:sz w:val="20"/>
          <w:vertAlign w:val="subscript"/>
          <w:lang w:val="pt-BR"/>
        </w:rPr>
        <w:t>2</w:t>
      </w:r>
      <w:r w:rsidR="008661E4" w:rsidRPr="008661E4">
        <w:rPr>
          <w:rFonts w:ascii="Times New Roman" w:hAnsi="Times New Roman"/>
          <w:b w:val="0"/>
          <w:sz w:val="20"/>
          <w:lang w:val="pt-BR"/>
        </w:rPr>
        <w:t xml:space="preserve">) proveniente da biomassa. A modelagem matemática se mostra uma ferramenta útil para o desenvolvimento de produtos e processos </w:t>
      </w:r>
      <w:r w:rsidR="008661E4">
        <w:rPr>
          <w:rFonts w:ascii="Times New Roman" w:hAnsi="Times New Roman"/>
          <w:b w:val="0"/>
          <w:sz w:val="20"/>
          <w:lang w:val="pt-BR"/>
        </w:rPr>
        <w:t>em direção a essa</w:t>
      </w:r>
      <w:r w:rsidR="008661E4" w:rsidRPr="008661E4">
        <w:rPr>
          <w:rFonts w:ascii="Times New Roman" w:hAnsi="Times New Roman"/>
          <w:b w:val="0"/>
          <w:sz w:val="20"/>
          <w:lang w:val="pt-BR"/>
        </w:rPr>
        <w:t xml:space="preserve"> </w:t>
      </w:r>
      <w:r w:rsidR="008661E4">
        <w:rPr>
          <w:rFonts w:ascii="Times New Roman" w:hAnsi="Times New Roman"/>
          <w:b w:val="0"/>
          <w:sz w:val="20"/>
          <w:lang w:val="pt-BR"/>
        </w:rPr>
        <w:t>proposta</w:t>
      </w:r>
      <w:r w:rsidR="008661E4" w:rsidRPr="008661E4">
        <w:rPr>
          <w:rFonts w:ascii="Times New Roman" w:hAnsi="Times New Roman"/>
          <w:b w:val="0"/>
          <w:sz w:val="20"/>
          <w:lang w:val="pt-BR"/>
        </w:rPr>
        <w:t xml:space="preserve">. Nesse sentido, foi desenvolvido um novo modelo fenomenológico para </w:t>
      </w:r>
      <w:r w:rsidR="008661E4">
        <w:rPr>
          <w:rFonts w:ascii="Times New Roman" w:hAnsi="Times New Roman"/>
          <w:b w:val="0"/>
          <w:sz w:val="20"/>
          <w:lang w:val="pt-BR"/>
        </w:rPr>
        <w:t>a SFT</w:t>
      </w:r>
      <w:r w:rsidR="008661E4" w:rsidRPr="008661E4">
        <w:rPr>
          <w:rFonts w:ascii="Times New Roman" w:hAnsi="Times New Roman"/>
          <w:b w:val="0"/>
          <w:sz w:val="20"/>
          <w:lang w:val="pt-BR"/>
        </w:rPr>
        <w:t xml:space="preserve">, baseado em um esquema de polimerização viva, que </w:t>
      </w:r>
      <w:r w:rsidR="008661E4">
        <w:rPr>
          <w:rFonts w:ascii="Times New Roman" w:hAnsi="Times New Roman"/>
          <w:b w:val="0"/>
          <w:sz w:val="20"/>
          <w:lang w:val="pt-BR"/>
        </w:rPr>
        <w:t>até então</w:t>
      </w:r>
      <w:r w:rsidR="008661E4" w:rsidRPr="008661E4">
        <w:rPr>
          <w:rFonts w:ascii="Times New Roman" w:hAnsi="Times New Roman"/>
          <w:b w:val="0"/>
          <w:sz w:val="20"/>
          <w:lang w:val="pt-BR"/>
        </w:rPr>
        <w:t xml:space="preserve"> </w:t>
      </w:r>
      <w:r w:rsidR="008661E4">
        <w:rPr>
          <w:rFonts w:ascii="Times New Roman" w:hAnsi="Times New Roman"/>
          <w:b w:val="0"/>
          <w:sz w:val="20"/>
          <w:lang w:val="pt-BR"/>
        </w:rPr>
        <w:t>nunca foi</w:t>
      </w:r>
      <w:r w:rsidR="008661E4" w:rsidRPr="008661E4">
        <w:rPr>
          <w:rFonts w:ascii="Times New Roman" w:hAnsi="Times New Roman"/>
          <w:b w:val="0"/>
          <w:sz w:val="20"/>
          <w:lang w:val="pt-BR"/>
        </w:rPr>
        <w:t xml:space="preserve"> utilizado para representar </w:t>
      </w:r>
      <w:r w:rsidR="008661E4">
        <w:rPr>
          <w:rFonts w:ascii="Times New Roman" w:hAnsi="Times New Roman"/>
          <w:b w:val="0"/>
          <w:sz w:val="20"/>
          <w:lang w:val="pt-BR"/>
        </w:rPr>
        <w:t>o conjunto de</w:t>
      </w:r>
      <w:r w:rsidR="008661E4" w:rsidRPr="008661E4">
        <w:rPr>
          <w:rFonts w:ascii="Times New Roman" w:hAnsi="Times New Roman"/>
          <w:b w:val="0"/>
          <w:sz w:val="20"/>
          <w:lang w:val="pt-BR"/>
        </w:rPr>
        <w:t xml:space="preserve"> reações de </w:t>
      </w:r>
      <w:r w:rsidR="008661E4">
        <w:rPr>
          <w:rFonts w:ascii="Times New Roman" w:hAnsi="Times New Roman"/>
          <w:b w:val="0"/>
          <w:sz w:val="20"/>
          <w:lang w:val="pt-BR"/>
        </w:rPr>
        <w:t>que compõem a SFT</w:t>
      </w:r>
      <w:r w:rsidR="008661E4" w:rsidRPr="008661E4">
        <w:rPr>
          <w:rFonts w:ascii="Times New Roman" w:hAnsi="Times New Roman"/>
          <w:b w:val="0"/>
          <w:sz w:val="20"/>
          <w:lang w:val="pt-BR"/>
        </w:rPr>
        <w:t>. Este estudo se concentrou na estima</w:t>
      </w:r>
      <w:r w:rsidR="008661E4">
        <w:rPr>
          <w:rFonts w:ascii="Times New Roman" w:hAnsi="Times New Roman"/>
          <w:b w:val="0"/>
          <w:sz w:val="20"/>
          <w:lang w:val="pt-BR"/>
        </w:rPr>
        <w:t>ção</w:t>
      </w:r>
      <w:r w:rsidR="008661E4" w:rsidRPr="008661E4">
        <w:rPr>
          <w:rFonts w:ascii="Times New Roman" w:hAnsi="Times New Roman"/>
          <w:b w:val="0"/>
          <w:sz w:val="20"/>
          <w:lang w:val="pt-BR"/>
        </w:rPr>
        <w:t xml:space="preserve"> dos parâmetros do modelo</w:t>
      </w:r>
      <w:r w:rsidR="00876FF3">
        <w:rPr>
          <w:rFonts w:ascii="Times New Roman" w:hAnsi="Times New Roman"/>
          <w:b w:val="0"/>
          <w:sz w:val="20"/>
          <w:lang w:val="pt-BR"/>
        </w:rPr>
        <w:t xml:space="preserve"> proposto</w:t>
      </w:r>
      <w:r w:rsidR="008661E4" w:rsidRPr="008661E4">
        <w:rPr>
          <w:rFonts w:ascii="Times New Roman" w:hAnsi="Times New Roman"/>
          <w:b w:val="0"/>
          <w:sz w:val="20"/>
          <w:lang w:val="pt-BR"/>
        </w:rPr>
        <w:t xml:space="preserve">, e os resultados obtidos indicam que o modelo apresenta </w:t>
      </w:r>
      <w:r w:rsidR="008661E4">
        <w:rPr>
          <w:rFonts w:ascii="Times New Roman" w:hAnsi="Times New Roman"/>
          <w:b w:val="0"/>
          <w:sz w:val="20"/>
          <w:lang w:val="pt-BR"/>
        </w:rPr>
        <w:t>boa acurácia com os dados</w:t>
      </w:r>
      <w:r w:rsidR="008661E4" w:rsidRPr="008661E4">
        <w:rPr>
          <w:rFonts w:ascii="Times New Roman" w:hAnsi="Times New Roman"/>
          <w:b w:val="0"/>
          <w:sz w:val="20"/>
          <w:lang w:val="pt-BR"/>
        </w:rPr>
        <w:t xml:space="preserve"> </w:t>
      </w:r>
      <w:r w:rsidR="008661E4">
        <w:rPr>
          <w:rFonts w:ascii="Times New Roman" w:hAnsi="Times New Roman"/>
          <w:b w:val="0"/>
          <w:sz w:val="20"/>
          <w:lang w:val="pt-BR"/>
        </w:rPr>
        <w:t xml:space="preserve">experimentais de </w:t>
      </w:r>
      <w:r w:rsidR="008661E4" w:rsidRPr="008661E4">
        <w:rPr>
          <w:rFonts w:ascii="Times New Roman" w:hAnsi="Times New Roman"/>
          <w:b w:val="0"/>
          <w:sz w:val="20"/>
          <w:lang w:val="pt-BR"/>
        </w:rPr>
        <w:t>distribuições de tamanho de</w:t>
      </w:r>
      <w:r w:rsidR="008661E4">
        <w:rPr>
          <w:rFonts w:ascii="Times New Roman" w:hAnsi="Times New Roman"/>
          <w:b w:val="0"/>
          <w:sz w:val="20"/>
          <w:lang w:val="pt-BR"/>
        </w:rPr>
        <w:t xml:space="preserve"> cadeia</w:t>
      </w:r>
      <w:r w:rsidR="008661E4" w:rsidRPr="008661E4">
        <w:rPr>
          <w:rFonts w:ascii="Times New Roman" w:hAnsi="Times New Roman"/>
          <w:b w:val="0"/>
          <w:sz w:val="20"/>
          <w:lang w:val="pt-BR"/>
        </w:rPr>
        <w:t>, além de mostrar que a temperatura tem um efeito direto nas constantes cinéticas.</w:t>
      </w:r>
    </w:p>
    <w:p w14:paraId="5D8D4445" w14:textId="21C2B116" w:rsidR="00EA4E1B" w:rsidRPr="00DB129C" w:rsidRDefault="00EA4E1B" w:rsidP="00EA4E1B">
      <w:pPr>
        <w:pStyle w:val="BDAbstract"/>
        <w:spacing w:before="0" w:after="0" w:line="240" w:lineRule="auto"/>
        <w:rPr>
          <w:rFonts w:ascii="Times New Roman" w:hAnsi="Times New Roman"/>
          <w:b w:val="0"/>
          <w:i/>
          <w:sz w:val="20"/>
          <w:lang w:val="pt-BR"/>
        </w:rPr>
      </w:pPr>
      <w:r w:rsidRPr="00E85E24">
        <w:rPr>
          <w:rFonts w:ascii="Times New Roman" w:hAnsi="Times New Roman"/>
          <w:b w:val="0"/>
          <w:i/>
          <w:sz w:val="20"/>
          <w:lang w:val="pt-BR"/>
        </w:rPr>
        <w:t xml:space="preserve">Palavras-chave: </w:t>
      </w:r>
      <w:r w:rsidR="00DB129C" w:rsidRPr="00DB129C">
        <w:rPr>
          <w:rFonts w:ascii="Times New Roman" w:hAnsi="Times New Roman"/>
          <w:b w:val="0"/>
          <w:i/>
          <w:sz w:val="20"/>
          <w:lang w:val="pt-BR"/>
        </w:rPr>
        <w:t>Síntese de Fischer-Tropsch</w:t>
      </w:r>
      <w:r w:rsidR="00DB129C">
        <w:rPr>
          <w:rFonts w:ascii="Times New Roman" w:hAnsi="Times New Roman"/>
          <w:b w:val="0"/>
          <w:i/>
          <w:sz w:val="20"/>
          <w:lang w:val="pt-BR"/>
        </w:rPr>
        <w:t>,</w:t>
      </w:r>
      <w:r w:rsidR="00DB129C" w:rsidRPr="00DB129C">
        <w:rPr>
          <w:lang w:val="pt-BR"/>
        </w:rPr>
        <w:t xml:space="preserve"> </w:t>
      </w:r>
      <w:r w:rsidR="00DB129C">
        <w:rPr>
          <w:rFonts w:ascii="Times New Roman" w:hAnsi="Times New Roman"/>
          <w:b w:val="0"/>
          <w:i/>
          <w:sz w:val="20"/>
          <w:lang w:val="pt-BR"/>
        </w:rPr>
        <w:t>m</w:t>
      </w:r>
      <w:r w:rsidR="00DB129C" w:rsidRPr="00DB129C">
        <w:rPr>
          <w:rFonts w:ascii="Times New Roman" w:hAnsi="Times New Roman"/>
          <w:b w:val="0"/>
          <w:i/>
          <w:sz w:val="20"/>
          <w:lang w:val="pt-BR"/>
        </w:rPr>
        <w:t>odelagem</w:t>
      </w:r>
      <w:r w:rsidR="00DB129C">
        <w:rPr>
          <w:rFonts w:ascii="Times New Roman" w:hAnsi="Times New Roman"/>
          <w:b w:val="0"/>
          <w:i/>
          <w:sz w:val="20"/>
          <w:lang w:val="pt-BR"/>
        </w:rPr>
        <w:t>, d</w:t>
      </w:r>
      <w:r w:rsidR="00DB129C" w:rsidRPr="00DB129C">
        <w:rPr>
          <w:rFonts w:ascii="Times New Roman" w:hAnsi="Times New Roman"/>
          <w:b w:val="0"/>
          <w:i/>
          <w:sz w:val="20"/>
          <w:lang w:val="pt-BR"/>
        </w:rPr>
        <w:t>istribuição de tamanho de cadeia</w:t>
      </w:r>
      <w:r w:rsidR="00DB129C">
        <w:rPr>
          <w:rFonts w:ascii="Times New Roman" w:hAnsi="Times New Roman"/>
          <w:b w:val="0"/>
          <w:i/>
          <w:sz w:val="20"/>
          <w:lang w:val="pt-BR"/>
        </w:rPr>
        <w:t>, m</w:t>
      </w:r>
      <w:r w:rsidR="00DB129C" w:rsidRPr="00DB129C">
        <w:rPr>
          <w:rFonts w:ascii="Times New Roman" w:hAnsi="Times New Roman"/>
          <w:b w:val="0"/>
          <w:i/>
          <w:sz w:val="20"/>
          <w:lang w:val="pt-BR"/>
        </w:rPr>
        <w:t>ecanismo de polimerização viva</w:t>
      </w:r>
    </w:p>
    <w:p w14:paraId="7834780B" w14:textId="77777777" w:rsidR="00DB129C" w:rsidRPr="00E85E24" w:rsidRDefault="00DB129C" w:rsidP="00EA4E1B">
      <w:pPr>
        <w:pStyle w:val="BDAbstract"/>
        <w:spacing w:before="0" w:after="0" w:line="240" w:lineRule="auto"/>
        <w:rPr>
          <w:rFonts w:ascii="Times New Roman" w:hAnsi="Times New Roman"/>
          <w:b w:val="0"/>
          <w:sz w:val="20"/>
          <w:lang w:val="pt-BR"/>
        </w:rPr>
      </w:pPr>
    </w:p>
    <w:p w14:paraId="4FE88642" w14:textId="62258832" w:rsidR="0027150C" w:rsidRDefault="00EA4E1B" w:rsidP="00E85E24">
      <w:pPr>
        <w:pStyle w:val="BDAbstract"/>
        <w:spacing w:before="0" w:after="0" w:line="240" w:lineRule="auto"/>
        <w:rPr>
          <w:rFonts w:ascii="Times New Roman" w:hAnsi="Times New Roman"/>
          <w:b w:val="0"/>
          <w:sz w:val="20"/>
        </w:rPr>
      </w:pPr>
      <w:r w:rsidRPr="00E85E24">
        <w:rPr>
          <w:rFonts w:ascii="Times New Roman" w:hAnsi="Times New Roman"/>
          <w:b w:val="0"/>
          <w:sz w:val="20"/>
        </w:rPr>
        <w:t xml:space="preserve">ABSTRACT - </w:t>
      </w:r>
      <w:bookmarkEnd w:id="1"/>
      <w:r w:rsidR="00E85E24" w:rsidRPr="00E85E24">
        <w:rPr>
          <w:rFonts w:ascii="Times New Roman" w:hAnsi="Times New Roman"/>
          <w:b w:val="0"/>
          <w:sz w:val="20"/>
        </w:rPr>
        <w:t>The increasing worldwide energy demand encourages the search for renewable and clean energy resources. In this scenario, the Fischer-Tropsch Synthesis (FTS) emerges again as a convenient alternative for fuel production, now using cleaner and renewable sources, such as syngas (CO + H</w:t>
      </w:r>
      <w:r w:rsidR="00E85E24" w:rsidRPr="008661E4">
        <w:rPr>
          <w:rFonts w:ascii="Times New Roman" w:hAnsi="Times New Roman"/>
          <w:b w:val="0"/>
          <w:sz w:val="20"/>
          <w:vertAlign w:val="subscript"/>
        </w:rPr>
        <w:t>2</w:t>
      </w:r>
      <w:r w:rsidR="00E85E24" w:rsidRPr="00E85E24">
        <w:rPr>
          <w:rFonts w:ascii="Times New Roman" w:hAnsi="Times New Roman"/>
          <w:b w:val="0"/>
          <w:sz w:val="20"/>
        </w:rPr>
        <w:t>) from biomass. This goal can be tackled with the help of mathematical models that are useful for designing products and processes. For this reason, a novel phenomenological model for FTS was developed and is presented here. The model is based on a living addition polymerization scheme, which has not yet been used to represent FTS reactions. The present work focuses on the estimation of the respective model parameters, while the obtained results indicate that the model provides good fits for the available experimental carbon size distributions and that temperature exerts a significant direct effect on the kinetic rate constants.</w:t>
      </w:r>
    </w:p>
    <w:p w14:paraId="48D9B0C4" w14:textId="5D31E3DA" w:rsidR="0027150C" w:rsidRPr="0027150C" w:rsidRDefault="0027150C" w:rsidP="00E85E24">
      <w:pPr>
        <w:pStyle w:val="BDAbstract"/>
        <w:spacing w:before="0" w:after="0" w:line="240" w:lineRule="auto"/>
        <w:rPr>
          <w:rFonts w:ascii="Times New Roman" w:hAnsi="Times New Roman"/>
          <w:b w:val="0"/>
          <w:bCs/>
          <w:i/>
          <w:iCs/>
          <w:sz w:val="20"/>
        </w:rPr>
        <w:sectPr w:rsidR="0027150C" w:rsidRPr="0027150C" w:rsidSect="00EA4E1B">
          <w:headerReference w:type="default" r:id="rId8"/>
          <w:endnotePr>
            <w:numFmt w:val="decimal"/>
          </w:endnotePr>
          <w:pgSz w:w="11906" w:h="16838"/>
          <w:pgMar w:top="1418" w:right="1094" w:bottom="1418" w:left="567" w:header="709" w:footer="709" w:gutter="0"/>
          <w:cols w:space="708"/>
          <w:docGrid w:linePitch="360"/>
        </w:sectPr>
      </w:pPr>
      <w:r w:rsidRPr="0027150C">
        <w:rPr>
          <w:rFonts w:ascii="Times New Roman" w:hAnsi="Times New Roman"/>
          <w:b w:val="0"/>
          <w:bCs/>
          <w:i/>
          <w:iCs/>
          <w:sz w:val="20"/>
        </w:rPr>
        <w:t>Keywords: Fischer-Tropsch synthesis, modeling, chain size distribution, living polymerization mechanism.</w:t>
      </w:r>
    </w:p>
    <w:p w14:paraId="625F2C0A" w14:textId="11B0E8AE" w:rsidR="00EA4E1B" w:rsidRPr="0027150C" w:rsidRDefault="00C93163" w:rsidP="00EA4E1B">
      <w:pPr>
        <w:pStyle w:val="Heading2"/>
        <w:spacing w:before="0"/>
        <w:rPr>
          <w:rFonts w:ascii="Helvetica" w:hAnsi="Helvetica" w:cs="Helvetica"/>
          <w:sz w:val="24"/>
          <w:szCs w:val="24"/>
          <w:lang w:val="en-US"/>
        </w:rPr>
      </w:pPr>
      <w:r w:rsidRPr="0027150C">
        <w:rPr>
          <w:rFonts w:ascii="Helvetica" w:hAnsi="Helvetica" w:cs="Helvetica"/>
          <w:sz w:val="24"/>
          <w:szCs w:val="24"/>
          <w:lang w:val="en-US"/>
        </w:rPr>
        <w:t>Introduction</w:t>
      </w:r>
    </w:p>
    <w:p w14:paraId="6BC56F8B" w14:textId="531FF2AB" w:rsidR="00C93163" w:rsidRDefault="00C93163" w:rsidP="00B32F99">
      <w:pPr>
        <w:pStyle w:val="TAMainText"/>
        <w:spacing w:line="240" w:lineRule="auto"/>
        <w:rPr>
          <w:rFonts w:ascii="Times New Roman" w:hAnsi="Times New Roman"/>
        </w:rPr>
      </w:pPr>
      <w:r w:rsidRPr="00C93163">
        <w:rPr>
          <w:rFonts w:ascii="Times New Roman" w:hAnsi="Times New Roman"/>
        </w:rPr>
        <w:t xml:space="preserve">Fischer-Tropsch Synthesis (FTS), a classic industrial set of reactions commonly used for syngas conversion, revives as an interesting possibility to densify the hydrogen volumetric energy. Particularly, the FTS constitutes an optional process for producing sulfur-free and nitrogen-free hydrocarbons. As a matter of fact, synthetic fuel production constitutes an economical and environmental </w:t>
      </w:r>
      <w:r>
        <w:rPr>
          <w:rFonts w:ascii="Times New Roman" w:hAnsi="Times New Roman"/>
        </w:rPr>
        <w:t>alternative</w:t>
      </w:r>
      <w:r w:rsidRPr="00C93163">
        <w:rPr>
          <w:rFonts w:ascii="Times New Roman" w:hAnsi="Times New Roman"/>
        </w:rPr>
        <w:t xml:space="preserve"> for supplying the demands of the naval and heavy aircraft sectors, two fields that are still technologically far from replacing high-energy liquid fuels for batteries in the near- or middle-term future</w:t>
      </w:r>
      <w:r>
        <w:rPr>
          <w:rFonts w:ascii="Times New Roman" w:hAnsi="Times New Roman"/>
        </w:rPr>
        <w:t xml:space="preserve"> (1,2).</w:t>
      </w:r>
    </w:p>
    <w:p w14:paraId="58F80C00" w14:textId="77777777" w:rsidR="005819BE" w:rsidRDefault="00D2303F" w:rsidP="00B32F99">
      <w:pPr>
        <w:pStyle w:val="TAMainText"/>
        <w:spacing w:line="240" w:lineRule="auto"/>
        <w:rPr>
          <w:rFonts w:ascii="Times New Roman" w:hAnsi="Times New Roman"/>
        </w:rPr>
      </w:pPr>
      <w:r w:rsidRPr="00D2303F">
        <w:rPr>
          <w:rFonts w:ascii="Times New Roman" w:hAnsi="Times New Roman"/>
        </w:rPr>
        <w:t xml:space="preserve">Almost one hundred years after the initial development of the FTS process, its kinetics is not well understood yet and regarded as complex, primarily because of the broad amount of reactions that lead to different distributions of products. This fact makes product prediction usually difficult. However, the development of kinetic models for FTS is essential for process, simulation, design, and process optimization, as well as for the validation of hypotheses about reaction mechanisms. </w:t>
      </w:r>
    </w:p>
    <w:p w14:paraId="66C83549" w14:textId="23256135" w:rsidR="005819BE" w:rsidRDefault="005819BE" w:rsidP="00B32F99">
      <w:pPr>
        <w:pStyle w:val="TAMainText"/>
        <w:spacing w:line="240" w:lineRule="auto"/>
      </w:pPr>
      <w:r w:rsidRPr="005819BE">
        <w:rPr>
          <w:rFonts w:ascii="Times New Roman" w:hAnsi="Times New Roman"/>
        </w:rPr>
        <w:t xml:space="preserve">The </w:t>
      </w:r>
      <w:r>
        <w:rPr>
          <w:rFonts w:ascii="Times New Roman" w:hAnsi="Times New Roman"/>
        </w:rPr>
        <w:t>Anderson-</w:t>
      </w:r>
      <w:r w:rsidRPr="005819BE">
        <w:rPr>
          <w:rFonts w:ascii="Times New Roman" w:hAnsi="Times New Roman"/>
        </w:rPr>
        <w:t xml:space="preserve">Schulz-Flory </w:t>
      </w:r>
      <w:r>
        <w:rPr>
          <w:rFonts w:ascii="Times New Roman" w:hAnsi="Times New Roman"/>
        </w:rPr>
        <w:t xml:space="preserve">(ASF) </w:t>
      </w:r>
      <w:r w:rsidRPr="005819BE">
        <w:rPr>
          <w:rFonts w:ascii="Times New Roman" w:hAnsi="Times New Roman"/>
        </w:rPr>
        <w:t xml:space="preserve">distribution can be used to describe the FTS product distribution efficiently and for this reason remains the most popular model in this field, </w:t>
      </w:r>
      <w:r w:rsidRPr="005819BE">
        <w:rPr>
          <w:rFonts w:ascii="Times New Roman" w:hAnsi="Times New Roman"/>
        </w:rPr>
        <w:t>mainly due to its simplicity, which has been considered almost indispensable in studies that discuss FTS selectivity (3,4)</w:t>
      </w:r>
      <w:r>
        <w:rPr>
          <w:rFonts w:ascii="Times New Roman" w:hAnsi="Times New Roman"/>
        </w:rPr>
        <w:t xml:space="preserve">. </w:t>
      </w:r>
      <w:r w:rsidRPr="005819BE">
        <w:rPr>
          <w:rFonts w:ascii="Times New Roman" w:hAnsi="Times New Roman"/>
        </w:rPr>
        <w:t xml:space="preserve">According to </w:t>
      </w:r>
      <w:r>
        <w:rPr>
          <w:rFonts w:ascii="Times New Roman" w:hAnsi="Times New Roman"/>
        </w:rPr>
        <w:t>this</w:t>
      </w:r>
      <w:r w:rsidRPr="005819BE">
        <w:rPr>
          <w:rFonts w:ascii="Times New Roman" w:hAnsi="Times New Roman"/>
        </w:rPr>
        <w:t xml:space="preserve"> approach, the distribution is related to a single parameter </w:t>
      </w:r>
      <w:r w:rsidRPr="005819BE">
        <w:rPr>
          <w:rFonts w:ascii="Times New Roman" w:hAnsi="Times New Roman"/>
          <w:i/>
          <w:iCs/>
          <w:sz w:val="22"/>
          <w:szCs w:val="22"/>
        </w:rPr>
        <w:t>α</w:t>
      </w:r>
      <w:r w:rsidRPr="005819BE">
        <w:rPr>
          <w:rFonts w:ascii="Times New Roman" w:hAnsi="Times New Roman"/>
          <w:i/>
          <w:iCs/>
        </w:rPr>
        <w:t xml:space="preserve"> </w:t>
      </w:r>
      <w:r w:rsidRPr="005819BE">
        <w:rPr>
          <w:rFonts w:ascii="Times New Roman" w:hAnsi="Times New Roman"/>
        </w:rPr>
        <w:t>called the chain-growth probability, which represents the</w:t>
      </w:r>
      <w:r>
        <w:rPr>
          <w:rFonts w:ascii="Times New Roman" w:hAnsi="Times New Roman"/>
        </w:rPr>
        <w:t xml:space="preserve"> </w:t>
      </w:r>
      <w:r w:rsidRPr="005819BE">
        <w:rPr>
          <w:rFonts w:ascii="Times New Roman" w:hAnsi="Times New Roman"/>
        </w:rPr>
        <w:t>ratio between the propagation rate (</w:t>
      </w:r>
      <w:r w:rsidRPr="005819BE">
        <w:rPr>
          <w:rFonts w:ascii="Times New Roman" w:hAnsi="Times New Roman"/>
          <w:i/>
          <w:iCs/>
          <w:sz w:val="22"/>
          <w:szCs w:val="22"/>
        </w:rPr>
        <w:t>r</w:t>
      </w:r>
      <w:r w:rsidRPr="005819BE">
        <w:rPr>
          <w:rFonts w:ascii="Times New Roman" w:hAnsi="Times New Roman"/>
          <w:i/>
          <w:iCs/>
          <w:sz w:val="22"/>
          <w:szCs w:val="22"/>
          <w:vertAlign w:val="subscript"/>
        </w:rPr>
        <w:t>p</w:t>
      </w:r>
      <w:r w:rsidRPr="005819BE">
        <w:rPr>
          <w:rFonts w:ascii="Times New Roman" w:hAnsi="Times New Roman"/>
        </w:rPr>
        <w:t>) and the sum of propagation and termination rates (</w:t>
      </w:r>
      <w:r w:rsidRPr="005819BE">
        <w:rPr>
          <w:rFonts w:ascii="Times New Roman" w:hAnsi="Times New Roman"/>
          <w:i/>
          <w:iCs/>
          <w:sz w:val="22"/>
          <w:szCs w:val="22"/>
        </w:rPr>
        <w:t>r</w:t>
      </w:r>
      <w:r w:rsidRPr="005819BE">
        <w:rPr>
          <w:rFonts w:ascii="Times New Roman" w:hAnsi="Times New Roman"/>
          <w:i/>
          <w:iCs/>
          <w:sz w:val="22"/>
          <w:szCs w:val="22"/>
          <w:vertAlign w:val="subscript"/>
        </w:rPr>
        <w:t xml:space="preserve">p </w:t>
      </w:r>
      <w:r w:rsidRPr="00497127">
        <w:rPr>
          <w:rFonts w:ascii="Times New Roman" w:hAnsi="Times New Roman"/>
          <w:i/>
          <w:iCs/>
        </w:rPr>
        <w:t>+</w:t>
      </w:r>
      <w:r w:rsidRPr="005819BE">
        <w:rPr>
          <w:rFonts w:ascii="Times New Roman" w:hAnsi="Times New Roman"/>
          <w:i/>
          <w:iCs/>
          <w:sz w:val="22"/>
          <w:szCs w:val="22"/>
        </w:rPr>
        <w:t xml:space="preserve"> r</w:t>
      </w:r>
      <w:r w:rsidRPr="005819BE">
        <w:rPr>
          <w:rFonts w:ascii="Times New Roman" w:hAnsi="Times New Roman"/>
          <w:i/>
          <w:iCs/>
          <w:sz w:val="22"/>
          <w:szCs w:val="22"/>
          <w:vertAlign w:val="subscript"/>
        </w:rPr>
        <w:t>t</w:t>
      </w:r>
      <w:r w:rsidRPr="005819BE">
        <w:rPr>
          <w:rFonts w:ascii="Times New Roman" w:hAnsi="Times New Roman"/>
        </w:rPr>
        <w:t xml:space="preserve">). Therefore, the catalytic performance can be discussed and characterized by evaluating the product distribution and estimating the value of </w:t>
      </w:r>
      <w:r w:rsidRPr="005819BE">
        <w:rPr>
          <w:rFonts w:ascii="Times New Roman" w:hAnsi="Times New Roman"/>
          <w:i/>
          <w:iCs/>
          <w:sz w:val="22"/>
          <w:szCs w:val="22"/>
        </w:rPr>
        <w:t>α</w:t>
      </w:r>
      <w:r>
        <w:rPr>
          <w:rFonts w:ascii="Times New Roman" w:hAnsi="Times New Roman"/>
        </w:rPr>
        <w:t xml:space="preserve">. </w:t>
      </w:r>
      <w:r w:rsidRPr="005819BE">
        <w:rPr>
          <w:rFonts w:ascii="Times New Roman" w:hAnsi="Times New Roman"/>
        </w:rPr>
        <w:t>Although the ASF model is robust and useful, it does not fit all reported distributions</w:t>
      </w:r>
      <w:r w:rsidR="00E834ED">
        <w:rPr>
          <w:rFonts w:ascii="Times New Roman" w:hAnsi="Times New Roman"/>
        </w:rPr>
        <w:t xml:space="preserve"> (5-8)</w:t>
      </w:r>
      <w:r w:rsidRPr="005819BE">
        <w:rPr>
          <w:rFonts w:ascii="Times New Roman" w:hAnsi="Times New Roman"/>
        </w:rPr>
        <w:t>.</w:t>
      </w:r>
      <w:r w:rsidRPr="005819BE">
        <w:t xml:space="preserve"> </w:t>
      </w:r>
    </w:p>
    <w:p w14:paraId="6DB850C6" w14:textId="23366B13" w:rsidR="00EA4E1B" w:rsidRPr="00E834ED" w:rsidRDefault="00E67439" w:rsidP="00B32F99">
      <w:pPr>
        <w:pStyle w:val="TAMainText"/>
        <w:spacing w:line="240" w:lineRule="auto"/>
        <w:rPr>
          <w:rFonts w:ascii="Times New Roman" w:hAnsi="Times New Roman"/>
        </w:rPr>
      </w:pPr>
      <w:r>
        <w:rPr>
          <w:rFonts w:ascii="Times New Roman" w:hAnsi="Times New Roman"/>
        </w:rPr>
        <w:t>T</w:t>
      </w:r>
      <w:r w:rsidR="005819BE" w:rsidRPr="005819BE">
        <w:rPr>
          <w:rFonts w:ascii="Times New Roman" w:hAnsi="Times New Roman"/>
        </w:rPr>
        <w:t xml:space="preserve">he </w:t>
      </w:r>
      <w:r w:rsidR="00497127">
        <w:rPr>
          <w:rFonts w:ascii="Times New Roman" w:hAnsi="Times New Roman"/>
        </w:rPr>
        <w:t>current</w:t>
      </w:r>
      <w:r w:rsidR="005819BE" w:rsidRPr="005819BE">
        <w:rPr>
          <w:rFonts w:ascii="Times New Roman" w:hAnsi="Times New Roman"/>
        </w:rPr>
        <w:t xml:space="preserve"> work presents a phenomenological model that describes the FTS reactions according to a living addition polymerization mechanism and focuses on the pseudo-species propagation steps. Much more than deviations, experimentally observed product distributions obtained with the catalyst system Co/SiO</w:t>
      </w:r>
      <w:r w:rsidR="005819BE" w:rsidRPr="00497127">
        <w:rPr>
          <w:rFonts w:ascii="Times New Roman" w:hAnsi="Times New Roman"/>
          <w:vertAlign w:val="subscript"/>
        </w:rPr>
        <w:t>2</w:t>
      </w:r>
      <w:r w:rsidR="005819BE" w:rsidRPr="005819BE">
        <w:rPr>
          <w:rFonts w:ascii="Times New Roman" w:hAnsi="Times New Roman"/>
        </w:rPr>
        <w:t xml:space="preserve"> </w:t>
      </w:r>
      <w:r w:rsidR="00364E2C">
        <w:rPr>
          <w:rFonts w:ascii="Times New Roman" w:hAnsi="Times New Roman"/>
        </w:rPr>
        <w:t>(</w:t>
      </w:r>
      <w:r w:rsidR="00E834ED">
        <w:rPr>
          <w:rFonts w:ascii="Times New Roman" w:hAnsi="Times New Roman"/>
        </w:rPr>
        <w:t>7</w:t>
      </w:r>
      <w:r w:rsidR="005819BE" w:rsidRPr="005819BE">
        <w:rPr>
          <w:rFonts w:ascii="Times New Roman" w:hAnsi="Times New Roman"/>
        </w:rPr>
        <w:t xml:space="preserve">, </w:t>
      </w:r>
      <w:r w:rsidR="00E834ED">
        <w:rPr>
          <w:rFonts w:ascii="Times New Roman" w:hAnsi="Times New Roman"/>
        </w:rPr>
        <w:t>9</w:t>
      </w:r>
      <w:r w:rsidR="00364E2C">
        <w:rPr>
          <w:rFonts w:ascii="Times New Roman" w:hAnsi="Times New Roman"/>
        </w:rPr>
        <w:t>)</w:t>
      </w:r>
      <w:r w:rsidR="005819BE" w:rsidRPr="005819BE">
        <w:rPr>
          <w:rFonts w:ascii="Times New Roman" w:hAnsi="Times New Roman"/>
        </w:rPr>
        <w:t xml:space="preserve"> are clearly narrower than predicted by the ASF, and somewhat similar to the Poisson distribution. On the face of that, the FTS mechanism was revisited and described in accordance with a quasi-living polymerization scheme. It is shown that the proposed model can describe the available data successfully, suggesting that the reaction mechanism of the FTS process does not remain exactly the same for different catalyst systems.</w:t>
      </w:r>
    </w:p>
    <w:p w14:paraId="52FFAC79" w14:textId="2DC54819" w:rsidR="00EA4E1B" w:rsidRPr="00E834ED" w:rsidRDefault="00E834ED" w:rsidP="00EA4E1B">
      <w:pPr>
        <w:pStyle w:val="Heading2"/>
        <w:rPr>
          <w:rFonts w:ascii="Helvetica" w:hAnsi="Helvetica" w:cs="Helvetica"/>
          <w:sz w:val="24"/>
          <w:szCs w:val="24"/>
          <w:lang w:val="en-US"/>
        </w:rPr>
      </w:pPr>
      <w:r w:rsidRPr="00E834ED">
        <w:rPr>
          <w:rFonts w:ascii="Helvetica" w:hAnsi="Helvetica" w:cs="Helvetica"/>
          <w:sz w:val="24"/>
          <w:szCs w:val="24"/>
          <w:lang w:val="en-US"/>
        </w:rPr>
        <w:lastRenderedPageBreak/>
        <w:t>Model</w:t>
      </w:r>
    </w:p>
    <w:p w14:paraId="55701D39" w14:textId="7C9569A6" w:rsidR="0031710F" w:rsidRPr="0031710F" w:rsidRDefault="00B32F99" w:rsidP="00B80BF5">
      <w:pPr>
        <w:pStyle w:val="Heading2"/>
        <w:jc w:val="both"/>
        <w:rPr>
          <w:rFonts w:ascii="Times New Roman" w:eastAsia="Times New Roman" w:hAnsi="Times New Roman" w:cs="Times New Roman"/>
          <w:sz w:val="20"/>
          <w:szCs w:val="20"/>
          <w:lang w:val="en-US" w:eastAsia="pt-BR"/>
        </w:rPr>
      </w:pPr>
      <w:r>
        <w:rPr>
          <w:rFonts w:ascii="Times New Roman" w:eastAsia="Times New Roman" w:hAnsi="Times New Roman" w:cs="Times New Roman"/>
          <w:sz w:val="20"/>
          <w:szCs w:val="20"/>
          <w:lang w:val="en-US" w:eastAsia="pt-BR"/>
        </w:rPr>
        <w:t>The r</w:t>
      </w:r>
      <w:r w:rsidRPr="00B32F99">
        <w:rPr>
          <w:rFonts w:ascii="Times New Roman" w:eastAsia="Times New Roman" w:hAnsi="Times New Roman" w:cs="Times New Roman"/>
          <w:sz w:val="20"/>
          <w:szCs w:val="20"/>
          <w:lang w:val="en-US" w:eastAsia="pt-BR"/>
        </w:rPr>
        <w:t xml:space="preserve">eactions are assumed to occur in series and irreversibly (Pi + (-CH2-) → Pi+1), so the kinetic constants should be regarded as effective rate constants that may depend on the number of carbon atoms in the chain. </w:t>
      </w:r>
      <w:r w:rsidR="00B80BF5">
        <w:rPr>
          <w:rFonts w:ascii="Times New Roman" w:eastAsia="Times New Roman" w:hAnsi="Times New Roman" w:cs="Times New Roman"/>
          <w:sz w:val="20"/>
          <w:szCs w:val="20"/>
          <w:lang w:val="en-US" w:eastAsia="pt-BR"/>
        </w:rPr>
        <w:t>The</w:t>
      </w:r>
      <w:r w:rsidRPr="00B32F99">
        <w:rPr>
          <w:rFonts w:ascii="Times New Roman" w:eastAsia="Times New Roman" w:hAnsi="Times New Roman" w:cs="Times New Roman"/>
          <w:sz w:val="20"/>
          <w:szCs w:val="20"/>
          <w:lang w:val="en-US" w:eastAsia="pt-BR"/>
        </w:rPr>
        <w:t xml:space="preserve"> dynamic-spatial mass balance for the first reacting species can be written in the form of </w:t>
      </w:r>
      <w:r w:rsidR="0031710F">
        <w:rPr>
          <w:rFonts w:ascii="Times New Roman" w:eastAsia="Times New Roman" w:hAnsi="Times New Roman" w:cs="Times New Roman"/>
          <w:sz w:val="20"/>
          <w:szCs w:val="20"/>
          <w:lang w:val="en-US" w:eastAsia="pt-BR"/>
        </w:rPr>
        <w:t>eq.</w:t>
      </w:r>
      <w:r w:rsidRPr="00B32F99">
        <w:rPr>
          <w:rFonts w:ascii="Times New Roman" w:eastAsia="Times New Roman" w:hAnsi="Times New Roman" w:cs="Times New Roman"/>
          <w:sz w:val="20"/>
          <w:szCs w:val="20"/>
          <w:lang w:val="en-US" w:eastAsia="pt-BR"/>
        </w:rPr>
        <w:t xml:space="preserve"> 1, as follows:</w:t>
      </w:r>
    </w:p>
    <w:p w14:paraId="1439C8FF" w14:textId="6BAC531B" w:rsidR="0031710F" w:rsidRPr="00B80BF5" w:rsidRDefault="00000000" w:rsidP="0031710F">
      <w:pPr>
        <w:rPr>
          <w:lang w:val="en-US" w:eastAsia="pt-BR"/>
        </w:rPr>
      </w:pPr>
      <m:oMathPara>
        <m:oMath>
          <m:sSub>
            <m:sSubPr>
              <m:ctrlPr>
                <w:rPr>
                  <w:rFonts w:ascii="Cambria Math" w:hAnsi="Cambria Math"/>
                  <w:i/>
                  <w:lang w:val="en-US" w:eastAsia="pt-BR"/>
                </w:rPr>
              </m:ctrlPr>
            </m:sSubPr>
            <m:e>
              <m:r>
                <w:rPr>
                  <w:rFonts w:ascii="Cambria Math" w:hAnsi="Cambria Math"/>
                  <w:lang w:val="en-US" w:eastAsia="pt-BR"/>
                </w:rPr>
                <m:t>P</m:t>
              </m:r>
            </m:e>
            <m:sub>
              <m:r>
                <w:rPr>
                  <w:rFonts w:ascii="Cambria Math" w:hAnsi="Cambria Math"/>
                  <w:lang w:val="en-US" w:eastAsia="pt-BR"/>
                </w:rPr>
                <m:t>1</m:t>
              </m:r>
            </m:sub>
          </m:sSub>
          <m:r>
            <w:rPr>
              <w:rFonts w:ascii="Cambria Math" w:hAnsi="Cambria Math"/>
              <w:lang w:val="en-US" w:eastAsia="pt-BR"/>
            </w:rPr>
            <m:t xml:space="preserve">(τ ) = </m:t>
          </m:r>
          <m:sSub>
            <m:sSubPr>
              <m:ctrlPr>
                <w:rPr>
                  <w:rFonts w:ascii="Cambria Math" w:hAnsi="Cambria Math"/>
                  <w:i/>
                  <w:lang w:val="en-US" w:eastAsia="pt-BR"/>
                </w:rPr>
              </m:ctrlPr>
            </m:sSubPr>
            <m:e>
              <m:r>
                <w:rPr>
                  <w:rFonts w:ascii="Cambria Math" w:hAnsi="Cambria Math"/>
                  <w:lang w:val="en-US" w:eastAsia="pt-BR"/>
                </w:rPr>
                <m:t>P</m:t>
              </m:r>
            </m:e>
            <m:sub>
              <m:r>
                <w:rPr>
                  <w:rFonts w:ascii="Cambria Math" w:hAnsi="Cambria Math"/>
                  <w:lang w:val="en-US" w:eastAsia="pt-BR"/>
                </w:rPr>
                <m:t>1</m:t>
              </m:r>
            </m:sub>
          </m:sSub>
          <m:r>
            <w:rPr>
              <w:rFonts w:ascii="Cambria Math" w:hAnsi="Cambria Math"/>
              <w:lang w:val="en-US" w:eastAsia="pt-BR"/>
            </w:rPr>
            <m:t>(0) · exp (-</m:t>
          </m:r>
          <m:sSub>
            <m:sSubPr>
              <m:ctrlPr>
                <w:rPr>
                  <w:rFonts w:ascii="Cambria Math" w:hAnsi="Cambria Math"/>
                  <w:i/>
                  <w:lang w:val="en-US" w:eastAsia="pt-BR"/>
                </w:rPr>
              </m:ctrlPr>
            </m:sSubPr>
            <m:e>
              <m:r>
                <w:rPr>
                  <w:rFonts w:ascii="Cambria Math" w:hAnsi="Cambria Math"/>
                  <w:lang w:val="en-US" w:eastAsia="pt-BR"/>
                </w:rPr>
                <m:t>K</m:t>
              </m:r>
            </m:e>
            <m:sub>
              <m:r>
                <w:rPr>
                  <w:rFonts w:ascii="Cambria Math" w:hAnsi="Cambria Math"/>
                  <w:lang w:val="en-US" w:eastAsia="pt-BR"/>
                </w:rPr>
                <m:t>1</m:t>
              </m:r>
            </m:sub>
          </m:sSub>
          <m:r>
            <w:rPr>
              <w:rFonts w:ascii="Cambria Math" w:hAnsi="Cambria Math"/>
              <w:lang w:val="en-US" w:eastAsia="pt-BR"/>
            </w:rPr>
            <m:t xml:space="preserve"> τ )     eq. 1</m:t>
          </m:r>
        </m:oMath>
      </m:oMathPara>
    </w:p>
    <w:p w14:paraId="1CDABD63" w14:textId="2AC81417" w:rsidR="00B80BF5" w:rsidRPr="00B80BF5" w:rsidRDefault="00B80BF5" w:rsidP="00B80BF5">
      <w:pPr>
        <w:jc w:val="both"/>
        <w:rPr>
          <w:rFonts w:ascii="Times New Roman" w:eastAsia="Times New Roman" w:hAnsi="Times New Roman" w:cs="Times New Roman"/>
          <w:sz w:val="20"/>
          <w:szCs w:val="20"/>
          <w:lang w:val="en-US" w:eastAsia="pt-BR"/>
        </w:rPr>
      </w:pPr>
      <w:r w:rsidRPr="00B80BF5">
        <w:rPr>
          <w:rFonts w:ascii="Times New Roman" w:eastAsia="Times New Roman" w:hAnsi="Times New Roman" w:cs="Times New Roman"/>
          <w:sz w:val="20"/>
          <w:szCs w:val="20"/>
          <w:lang w:val="en-US" w:eastAsia="pt-BR"/>
        </w:rPr>
        <w:t xml:space="preserve">where </w:t>
      </w:r>
      <w:r w:rsidRPr="00B80BF5">
        <w:rPr>
          <w:rFonts w:ascii="Times New Roman" w:eastAsia="Times New Roman" w:hAnsi="Times New Roman" w:cs="Times New Roman"/>
          <w:i/>
          <w:iCs/>
          <w:sz w:val="20"/>
          <w:szCs w:val="20"/>
          <w:lang w:val="en-US" w:eastAsia="pt-BR"/>
        </w:rPr>
        <w:t>τ</w:t>
      </w:r>
      <w:r w:rsidRPr="00B80BF5">
        <w:rPr>
          <w:rFonts w:ascii="Times New Roman" w:eastAsia="Times New Roman" w:hAnsi="Times New Roman" w:cs="Times New Roman"/>
          <w:sz w:val="20"/>
          <w:szCs w:val="20"/>
          <w:lang w:val="en-US" w:eastAsia="pt-BR"/>
        </w:rPr>
        <w:t xml:space="preserve"> is a measure of the residence time (τ = </w:t>
      </w:r>
      <w:r w:rsidRPr="00B80BF5">
        <w:rPr>
          <w:rFonts w:ascii="Times New Roman" w:eastAsia="Times New Roman" w:hAnsi="Times New Roman" w:cs="Times New Roman"/>
          <w:i/>
          <w:iCs/>
          <w:sz w:val="20"/>
          <w:szCs w:val="20"/>
          <w:lang w:val="en-US" w:eastAsia="pt-BR"/>
        </w:rPr>
        <w:t>z v</w:t>
      </w:r>
      <w:r w:rsidRPr="00B80BF5">
        <w:rPr>
          <w:rFonts w:ascii="Times New Roman" w:eastAsia="Times New Roman" w:hAnsi="Times New Roman" w:cs="Times New Roman"/>
          <w:sz w:val="20"/>
          <w:szCs w:val="20"/>
          <w:vertAlign w:val="superscript"/>
          <w:lang w:val="en-US" w:eastAsia="pt-BR"/>
        </w:rPr>
        <w:t>-1</w:t>
      </w:r>
      <w:r w:rsidRPr="00B80BF5">
        <w:rPr>
          <w:rFonts w:ascii="Times New Roman" w:eastAsia="Times New Roman" w:hAnsi="Times New Roman" w:cs="Times New Roman"/>
          <w:sz w:val="20"/>
          <w:szCs w:val="20"/>
          <w:lang w:val="en-US" w:eastAsia="pt-BR"/>
        </w:rPr>
        <w:t xml:space="preserve">) in experiments performed in continuous tubular reactors, where </w:t>
      </w:r>
      <w:r w:rsidRPr="00B80BF5">
        <w:rPr>
          <w:rFonts w:ascii="Times New Roman" w:eastAsia="Times New Roman" w:hAnsi="Times New Roman" w:cs="Times New Roman"/>
          <w:i/>
          <w:iCs/>
          <w:sz w:val="20"/>
          <w:szCs w:val="20"/>
          <w:lang w:val="en-US" w:eastAsia="pt-BR"/>
        </w:rPr>
        <w:t>z</w:t>
      </w:r>
      <w:r w:rsidRPr="00B80BF5">
        <w:rPr>
          <w:rFonts w:ascii="Times New Roman" w:eastAsia="Times New Roman" w:hAnsi="Times New Roman" w:cs="Times New Roman"/>
          <w:sz w:val="20"/>
          <w:szCs w:val="20"/>
          <w:lang w:val="en-US" w:eastAsia="pt-BR"/>
        </w:rPr>
        <w:t xml:space="preserve"> is the axial direction and </w:t>
      </w:r>
      <w:r w:rsidRPr="00B80BF5">
        <w:rPr>
          <w:rFonts w:ascii="Times New Roman" w:eastAsia="Times New Roman" w:hAnsi="Times New Roman" w:cs="Times New Roman"/>
          <w:i/>
          <w:iCs/>
          <w:sz w:val="20"/>
          <w:szCs w:val="20"/>
          <w:lang w:val="en-US" w:eastAsia="pt-BR"/>
        </w:rPr>
        <w:t>v</w:t>
      </w:r>
      <w:r w:rsidRPr="00B80BF5">
        <w:rPr>
          <w:rFonts w:ascii="Times New Roman" w:eastAsia="Times New Roman" w:hAnsi="Times New Roman" w:cs="Times New Roman"/>
          <w:sz w:val="20"/>
          <w:szCs w:val="20"/>
          <w:lang w:val="en-US" w:eastAsia="pt-BR"/>
        </w:rPr>
        <w:t xml:space="preserve"> is the spatial flow velocity. As </w:t>
      </w:r>
      <w:r w:rsidRPr="00B80BF5">
        <w:rPr>
          <w:rFonts w:ascii="Times New Roman" w:eastAsia="Times New Roman" w:hAnsi="Times New Roman" w:cs="Times New Roman"/>
          <w:i/>
          <w:iCs/>
          <w:sz w:val="20"/>
          <w:szCs w:val="20"/>
          <w:lang w:val="en-US" w:eastAsia="pt-BR"/>
        </w:rPr>
        <w:t>v</w:t>
      </w:r>
      <w:r w:rsidRPr="00B80BF5">
        <w:rPr>
          <w:rFonts w:ascii="Times New Roman" w:eastAsia="Times New Roman" w:hAnsi="Times New Roman" w:cs="Times New Roman"/>
          <w:sz w:val="20"/>
          <w:szCs w:val="20"/>
          <w:lang w:val="en-US" w:eastAsia="pt-BR"/>
        </w:rPr>
        <w:t xml:space="preserve"> is related to the volumetric gas flow rate through the catalyst bed, </w:t>
      </w:r>
      <w:r w:rsidRPr="00B80BF5">
        <w:rPr>
          <w:rFonts w:ascii="Times New Roman" w:eastAsia="Times New Roman" w:hAnsi="Times New Roman" w:cs="Times New Roman"/>
          <w:i/>
          <w:iCs/>
          <w:sz w:val="20"/>
          <w:szCs w:val="20"/>
          <w:lang w:val="en-US" w:eastAsia="pt-BR"/>
        </w:rPr>
        <w:t>τ</w:t>
      </w:r>
      <w:r w:rsidRPr="00B80BF5">
        <w:rPr>
          <w:rFonts w:ascii="Times New Roman" w:eastAsia="Times New Roman" w:hAnsi="Times New Roman" w:cs="Times New Roman"/>
          <w:sz w:val="20"/>
          <w:szCs w:val="20"/>
          <w:vertAlign w:val="subscript"/>
          <w:lang w:val="en-US" w:eastAsia="pt-BR"/>
        </w:rPr>
        <w:t>f</w:t>
      </w:r>
      <w:r w:rsidRPr="00B80BF5">
        <w:rPr>
          <w:rFonts w:ascii="Times New Roman" w:eastAsia="Times New Roman" w:hAnsi="Times New Roman" w:cs="Times New Roman"/>
          <w:sz w:val="20"/>
          <w:szCs w:val="20"/>
          <w:lang w:val="en-US" w:eastAsia="pt-BR"/>
        </w:rPr>
        <w:t xml:space="preserve"> can also be written as a function of the </w:t>
      </w:r>
      <w:r w:rsidR="00831C3A" w:rsidRPr="00961AF5">
        <w:rPr>
          <w:rFonts w:ascii="Times New Roman" w:hAnsi="Times New Roman"/>
          <w:lang w:val="en-US"/>
        </w:rPr>
        <w:t>Gas Hourly Space Velocity</w:t>
      </w:r>
      <w:r w:rsidR="00831C3A" w:rsidRPr="00B80BF5">
        <w:rPr>
          <w:rFonts w:ascii="Times New Roman" w:eastAsia="Times New Roman" w:hAnsi="Times New Roman" w:cs="Times New Roman"/>
          <w:sz w:val="20"/>
          <w:szCs w:val="20"/>
          <w:lang w:val="en-US" w:eastAsia="pt-BR"/>
        </w:rPr>
        <w:t xml:space="preserve"> </w:t>
      </w:r>
      <w:r w:rsidR="00831C3A">
        <w:rPr>
          <w:rFonts w:ascii="Times New Roman" w:eastAsia="Times New Roman" w:hAnsi="Times New Roman" w:cs="Times New Roman"/>
          <w:sz w:val="20"/>
          <w:szCs w:val="20"/>
          <w:lang w:val="en-US" w:eastAsia="pt-BR"/>
        </w:rPr>
        <w:t>(</w:t>
      </w:r>
      <w:r w:rsidRPr="00B80BF5">
        <w:rPr>
          <w:rFonts w:ascii="Times New Roman" w:eastAsia="Times New Roman" w:hAnsi="Times New Roman" w:cs="Times New Roman"/>
          <w:sz w:val="20"/>
          <w:szCs w:val="20"/>
          <w:lang w:val="en-US" w:eastAsia="pt-BR"/>
        </w:rPr>
        <w:t>GHSV</w:t>
      </w:r>
      <w:r w:rsidR="00831C3A">
        <w:rPr>
          <w:rFonts w:ascii="Times New Roman" w:eastAsia="Times New Roman" w:hAnsi="Times New Roman" w:cs="Times New Roman"/>
          <w:sz w:val="20"/>
          <w:szCs w:val="20"/>
          <w:lang w:val="en-US" w:eastAsia="pt-BR"/>
        </w:rPr>
        <w:t>)</w:t>
      </w:r>
      <w:r w:rsidRPr="00B80BF5">
        <w:rPr>
          <w:rFonts w:ascii="Times New Roman" w:eastAsia="Times New Roman" w:hAnsi="Times New Roman" w:cs="Times New Roman"/>
          <w:sz w:val="20"/>
          <w:szCs w:val="20"/>
          <w:lang w:val="en-US" w:eastAsia="pt-BR"/>
        </w:rPr>
        <w:t xml:space="preserve"> in the form of eq. 2, where </w:t>
      </w:r>
      <w:r w:rsidRPr="00B80BF5">
        <w:rPr>
          <w:rFonts w:ascii="Times New Roman" w:eastAsia="Times New Roman" w:hAnsi="Times New Roman" w:cs="Times New Roman"/>
          <w:i/>
          <w:iCs/>
          <w:sz w:val="20"/>
          <w:szCs w:val="20"/>
          <w:lang w:val="en-US" w:eastAsia="pt-BR"/>
        </w:rPr>
        <w:t>ρ</w:t>
      </w:r>
      <w:r w:rsidRPr="00C13A32">
        <w:rPr>
          <w:rFonts w:ascii="Times New Roman" w:eastAsia="Times New Roman" w:hAnsi="Times New Roman" w:cs="Times New Roman"/>
          <w:sz w:val="20"/>
          <w:szCs w:val="20"/>
          <w:vertAlign w:val="subscript"/>
          <w:lang w:val="en-US" w:eastAsia="pt-BR"/>
        </w:rPr>
        <w:t>cat</w:t>
      </w:r>
      <w:r w:rsidRPr="00B80BF5">
        <w:rPr>
          <w:rFonts w:ascii="Times New Roman" w:eastAsia="Times New Roman" w:hAnsi="Times New Roman" w:cs="Times New Roman"/>
          <w:sz w:val="20"/>
          <w:szCs w:val="20"/>
          <w:lang w:val="en-US" w:eastAsia="pt-BR"/>
        </w:rPr>
        <w:t xml:space="preserve"> is the catalyst density and </w:t>
      </w:r>
      <w:r w:rsidRPr="00B80BF5">
        <w:rPr>
          <w:rFonts w:ascii="Times New Roman" w:eastAsia="Times New Roman" w:hAnsi="Times New Roman" w:cs="Times New Roman"/>
          <w:i/>
          <w:iCs/>
          <w:sz w:val="20"/>
          <w:szCs w:val="20"/>
          <w:lang w:val="en-US" w:eastAsia="pt-BR"/>
        </w:rPr>
        <w:t>ε</w:t>
      </w:r>
      <w:r w:rsidRPr="00B80BF5">
        <w:rPr>
          <w:rFonts w:ascii="Times New Roman" w:eastAsia="Times New Roman" w:hAnsi="Times New Roman" w:cs="Times New Roman"/>
          <w:sz w:val="20"/>
          <w:szCs w:val="20"/>
          <w:lang w:val="en-US" w:eastAsia="pt-BR"/>
        </w:rPr>
        <w:t xml:space="preserve"> is the bed porosity. </w:t>
      </w:r>
    </w:p>
    <w:p w14:paraId="16A3C1DC" w14:textId="6995B609" w:rsidR="00B80BF5" w:rsidRPr="00B80BF5" w:rsidRDefault="008923CA" w:rsidP="00B80BF5">
      <w:pPr>
        <w:jc w:val="both"/>
        <w:rPr>
          <w:rFonts w:ascii="Times New Roman" w:eastAsia="Times New Roman" w:hAnsi="Times New Roman" w:cs="Times New Roman"/>
          <w:sz w:val="20"/>
          <w:szCs w:val="20"/>
          <w:lang w:val="en-US" w:eastAsia="pt-BR"/>
        </w:rPr>
      </w:pPr>
      <m:oMathPara>
        <m:oMath>
          <m:r>
            <w:rPr>
              <w:rFonts w:ascii="Cambria Math" w:hAnsi="Cambria Math"/>
              <w:lang w:val="en-US" w:eastAsia="pt-BR"/>
            </w:rPr>
            <m:t>τ=</m:t>
          </m:r>
          <m:f>
            <m:fPr>
              <m:ctrlPr>
                <w:rPr>
                  <w:rFonts w:ascii="Cambria Math" w:hAnsi="Cambria Math"/>
                  <w:i/>
                  <w:lang w:val="en-US" w:eastAsia="pt-BR"/>
                </w:rPr>
              </m:ctrlPr>
            </m:fPr>
            <m:num>
              <m:r>
                <w:rPr>
                  <w:rFonts w:ascii="Cambria Math" w:eastAsia="Times New Roman" w:hAnsi="Cambria Math" w:cs="Times New Roman"/>
                  <w:sz w:val="20"/>
                  <w:szCs w:val="20"/>
                  <w:lang w:val="en-US" w:eastAsia="pt-BR"/>
                </w:rPr>
                <m:t>ε</m:t>
              </m:r>
            </m:num>
            <m:den>
              <m:r>
                <w:rPr>
                  <w:rFonts w:ascii="Cambria Math" w:hAnsi="Cambria Math"/>
                  <w:lang w:val="en-US" w:eastAsia="pt-BR"/>
                </w:rPr>
                <m:t xml:space="preserve">GHSV · </m:t>
              </m:r>
              <m:sSub>
                <m:sSubPr>
                  <m:ctrlPr>
                    <w:rPr>
                      <w:rFonts w:ascii="Cambria Math" w:hAnsi="Cambria Math"/>
                      <w:i/>
                      <w:lang w:val="en-US" w:eastAsia="pt-BR"/>
                    </w:rPr>
                  </m:ctrlPr>
                </m:sSubPr>
                <m:e>
                  <m:r>
                    <w:rPr>
                      <w:rFonts w:ascii="Cambria Math" w:eastAsia="Times New Roman" w:hAnsi="Cambria Math" w:cs="Times New Roman"/>
                      <w:sz w:val="20"/>
                      <w:szCs w:val="20"/>
                      <w:lang w:val="en-US" w:eastAsia="pt-BR"/>
                    </w:rPr>
                    <m:t>ρ</m:t>
                  </m:r>
                </m:e>
                <m:sub>
                  <m:r>
                    <w:rPr>
                      <w:rFonts w:ascii="Cambria Math" w:hAnsi="Cambria Math"/>
                      <w:lang w:val="en-US" w:eastAsia="pt-BR"/>
                    </w:rPr>
                    <m:t>cat</m:t>
                  </m:r>
                </m:sub>
              </m:sSub>
              <m:r>
                <w:rPr>
                  <w:rFonts w:ascii="Cambria Math" w:hAnsi="Cambria Math"/>
                  <w:lang w:val="en-US" w:eastAsia="pt-BR"/>
                </w:rPr>
                <m:t xml:space="preserve"> · (1- </m:t>
              </m:r>
              <m:r>
                <w:rPr>
                  <w:rFonts w:ascii="Cambria Math" w:eastAsia="Times New Roman" w:hAnsi="Cambria Math" w:cs="Times New Roman"/>
                  <w:sz w:val="20"/>
                  <w:szCs w:val="20"/>
                  <w:lang w:val="en-US" w:eastAsia="pt-BR"/>
                </w:rPr>
                <m:t>ε)</m:t>
              </m:r>
              <m:r>
                <w:rPr>
                  <w:rFonts w:ascii="Cambria Math" w:hAnsi="Cambria Math"/>
                  <w:lang w:val="en-US" w:eastAsia="pt-BR"/>
                </w:rPr>
                <m:t xml:space="preserve"> </m:t>
              </m:r>
            </m:den>
          </m:f>
          <m:r>
            <w:rPr>
              <w:rFonts w:ascii="Cambria Math" w:hAnsi="Cambria Math"/>
              <w:lang w:val="en-US" w:eastAsia="pt-BR"/>
            </w:rPr>
            <m:t xml:space="preserve">    eq. 2</m:t>
          </m:r>
        </m:oMath>
      </m:oMathPara>
    </w:p>
    <w:p w14:paraId="049F8660" w14:textId="4DE12E57" w:rsidR="00B32F99" w:rsidRDefault="008260AE" w:rsidP="00B32F99">
      <w:pPr>
        <w:pStyle w:val="Heading2"/>
        <w:ind w:firstLine="187"/>
        <w:jc w:val="both"/>
        <w:rPr>
          <w:rFonts w:ascii="Times New Roman" w:eastAsia="Times New Roman" w:hAnsi="Times New Roman" w:cs="Times New Roman"/>
          <w:sz w:val="20"/>
          <w:szCs w:val="20"/>
          <w:lang w:val="en-US" w:eastAsia="pt-BR"/>
        </w:rPr>
      </w:pPr>
      <w:r w:rsidRPr="008260AE">
        <w:rPr>
          <w:rFonts w:ascii="Times New Roman" w:eastAsia="Times New Roman" w:hAnsi="Times New Roman" w:cs="Times New Roman"/>
          <w:sz w:val="20"/>
          <w:szCs w:val="20"/>
          <w:lang w:val="en-US" w:eastAsia="pt-BR"/>
        </w:rPr>
        <w:t>For P</w:t>
      </w:r>
      <w:r w:rsidRPr="008260AE">
        <w:rPr>
          <w:rFonts w:ascii="Times New Roman" w:eastAsia="Times New Roman" w:hAnsi="Times New Roman" w:cs="Times New Roman"/>
          <w:sz w:val="20"/>
          <w:szCs w:val="20"/>
          <w:vertAlign w:val="subscript"/>
          <w:lang w:val="en-US" w:eastAsia="pt-BR"/>
        </w:rPr>
        <w:t>2</w:t>
      </w:r>
      <w:r w:rsidRPr="008260AE">
        <w:rPr>
          <w:rFonts w:ascii="Times New Roman" w:eastAsia="Times New Roman" w:hAnsi="Times New Roman" w:cs="Times New Roman"/>
          <w:sz w:val="20"/>
          <w:szCs w:val="20"/>
          <w:lang w:val="en-US" w:eastAsia="pt-BR"/>
        </w:rPr>
        <w:t xml:space="preserve">, the non-homogeneous linear ordinary differential equation can be solved in the form of </w:t>
      </w:r>
      <w:r>
        <w:rPr>
          <w:rFonts w:ascii="Times New Roman" w:eastAsia="Times New Roman" w:hAnsi="Times New Roman" w:cs="Times New Roman"/>
          <w:sz w:val="20"/>
          <w:szCs w:val="20"/>
          <w:lang w:val="en-US" w:eastAsia="pt-BR"/>
        </w:rPr>
        <w:t>e</w:t>
      </w:r>
      <w:r w:rsidRPr="008260AE">
        <w:rPr>
          <w:rFonts w:ascii="Times New Roman" w:eastAsia="Times New Roman" w:hAnsi="Times New Roman" w:cs="Times New Roman"/>
          <w:sz w:val="20"/>
          <w:szCs w:val="20"/>
          <w:lang w:val="en-US" w:eastAsia="pt-BR"/>
        </w:rPr>
        <w:t>q. 3, where P</w:t>
      </w:r>
      <w:r w:rsidRPr="008260AE">
        <w:rPr>
          <w:rFonts w:ascii="Times New Roman" w:eastAsia="Times New Roman" w:hAnsi="Times New Roman" w:cs="Times New Roman"/>
          <w:sz w:val="20"/>
          <w:szCs w:val="20"/>
          <w:vertAlign w:val="subscript"/>
          <w:lang w:val="en-US" w:eastAsia="pt-BR"/>
        </w:rPr>
        <w:t>2</w:t>
      </w:r>
      <w:r w:rsidRPr="008260AE">
        <w:rPr>
          <w:rFonts w:ascii="Times New Roman" w:eastAsia="Times New Roman" w:hAnsi="Times New Roman" w:cs="Times New Roman"/>
          <w:sz w:val="20"/>
          <w:szCs w:val="20"/>
          <w:lang w:val="en-US" w:eastAsia="pt-BR"/>
        </w:rPr>
        <w:t>(0) = 0.</w:t>
      </w:r>
    </w:p>
    <w:p w14:paraId="06BE55D4" w14:textId="133A56BE" w:rsidR="008260AE" w:rsidRPr="008260AE" w:rsidRDefault="00000000" w:rsidP="008260AE">
      <w:pPr>
        <w:rPr>
          <w:sz w:val="18"/>
          <w:szCs w:val="18"/>
          <w:lang w:val="en-US" w:eastAsia="pt-BR"/>
        </w:rPr>
      </w:pPr>
      <m:oMathPara>
        <m:oMath>
          <m:sSub>
            <m:sSubPr>
              <m:ctrlPr>
                <w:rPr>
                  <w:rFonts w:ascii="Cambria Math" w:hAnsi="Cambria Math"/>
                  <w:i/>
                  <w:sz w:val="18"/>
                  <w:szCs w:val="18"/>
                  <w:lang w:val="en-US" w:eastAsia="pt-BR"/>
                </w:rPr>
              </m:ctrlPr>
            </m:sSubPr>
            <m:e>
              <m:r>
                <w:rPr>
                  <w:rFonts w:ascii="Cambria Math" w:hAnsi="Cambria Math"/>
                  <w:sz w:val="18"/>
                  <w:szCs w:val="18"/>
                  <w:lang w:val="en-US" w:eastAsia="pt-BR"/>
                </w:rPr>
                <m:t>P</m:t>
              </m:r>
            </m:e>
            <m:sub>
              <m:r>
                <w:rPr>
                  <w:rFonts w:ascii="Cambria Math" w:hAnsi="Cambria Math"/>
                  <w:sz w:val="18"/>
                  <w:szCs w:val="18"/>
                  <w:lang w:val="en-US" w:eastAsia="pt-BR"/>
                </w:rPr>
                <m:t>2</m:t>
              </m:r>
            </m:sub>
          </m:sSub>
          <m:d>
            <m:dPr>
              <m:ctrlPr>
                <w:rPr>
                  <w:rFonts w:ascii="Cambria Math" w:hAnsi="Cambria Math"/>
                  <w:i/>
                  <w:sz w:val="18"/>
                  <w:szCs w:val="18"/>
                  <w:lang w:val="en-US" w:eastAsia="pt-BR"/>
                </w:rPr>
              </m:ctrlPr>
            </m:dPr>
            <m:e>
              <m:r>
                <w:rPr>
                  <w:rFonts w:ascii="Cambria Math" w:hAnsi="Cambria Math"/>
                  <w:sz w:val="18"/>
                  <w:szCs w:val="18"/>
                  <w:lang w:val="en-US" w:eastAsia="pt-BR"/>
                </w:rPr>
                <m:t xml:space="preserve">τ </m:t>
              </m:r>
            </m:e>
          </m:d>
          <m:r>
            <w:rPr>
              <w:rFonts w:ascii="Cambria Math" w:hAnsi="Cambria Math"/>
              <w:sz w:val="18"/>
              <w:szCs w:val="18"/>
              <w:lang w:val="en-US" w:eastAsia="pt-BR"/>
            </w:rPr>
            <m:t xml:space="preserve">= </m:t>
          </m:r>
          <m:sSub>
            <m:sSubPr>
              <m:ctrlPr>
                <w:rPr>
                  <w:rFonts w:ascii="Cambria Math" w:hAnsi="Cambria Math"/>
                  <w:i/>
                  <w:sz w:val="18"/>
                  <w:szCs w:val="18"/>
                  <w:lang w:val="en-US" w:eastAsia="pt-BR"/>
                </w:rPr>
              </m:ctrlPr>
            </m:sSubPr>
            <m:e>
              <m:r>
                <w:rPr>
                  <w:rFonts w:ascii="Cambria Math" w:hAnsi="Cambria Math"/>
                  <w:sz w:val="18"/>
                  <w:szCs w:val="18"/>
                  <w:lang w:val="en-US" w:eastAsia="pt-BR"/>
                </w:rPr>
                <m:t>P</m:t>
              </m:r>
            </m:e>
            <m:sub>
              <m:r>
                <w:rPr>
                  <w:rFonts w:ascii="Cambria Math" w:hAnsi="Cambria Math"/>
                  <w:sz w:val="18"/>
                  <w:szCs w:val="18"/>
                  <w:lang w:val="en-US" w:eastAsia="pt-BR"/>
                </w:rPr>
                <m:t>1</m:t>
              </m:r>
            </m:sub>
          </m:sSub>
          <m:d>
            <m:dPr>
              <m:ctrlPr>
                <w:rPr>
                  <w:rFonts w:ascii="Cambria Math" w:hAnsi="Cambria Math"/>
                  <w:i/>
                  <w:sz w:val="18"/>
                  <w:szCs w:val="18"/>
                  <w:lang w:val="en-US" w:eastAsia="pt-BR"/>
                </w:rPr>
              </m:ctrlPr>
            </m:dPr>
            <m:e>
              <m:r>
                <w:rPr>
                  <w:rFonts w:ascii="Cambria Math" w:hAnsi="Cambria Math"/>
                  <w:sz w:val="18"/>
                  <w:szCs w:val="18"/>
                  <w:lang w:val="en-US" w:eastAsia="pt-BR"/>
                </w:rPr>
                <m:t>0</m:t>
              </m:r>
            </m:e>
          </m:d>
          <m:r>
            <w:rPr>
              <w:rFonts w:ascii="Cambria Math" w:hAnsi="Cambria Math"/>
              <w:sz w:val="18"/>
              <w:szCs w:val="18"/>
              <w:lang w:val="en-US" w:eastAsia="pt-BR"/>
            </w:rPr>
            <m:t xml:space="preserve">· </m:t>
          </m:r>
          <m:sSub>
            <m:sSubPr>
              <m:ctrlPr>
                <w:rPr>
                  <w:rFonts w:ascii="Cambria Math" w:hAnsi="Cambria Math"/>
                  <w:i/>
                  <w:sz w:val="18"/>
                  <w:szCs w:val="18"/>
                  <w:lang w:val="en-US" w:eastAsia="pt-BR"/>
                </w:rPr>
              </m:ctrlPr>
            </m:sSubPr>
            <m:e>
              <m:r>
                <w:rPr>
                  <w:rFonts w:ascii="Cambria Math" w:hAnsi="Cambria Math"/>
                  <w:sz w:val="18"/>
                  <w:szCs w:val="18"/>
                  <w:lang w:val="en-US" w:eastAsia="pt-BR"/>
                </w:rPr>
                <m:t>K</m:t>
              </m:r>
            </m:e>
            <m:sub>
              <m:r>
                <w:rPr>
                  <w:rFonts w:ascii="Cambria Math" w:hAnsi="Cambria Math"/>
                  <w:sz w:val="18"/>
                  <w:szCs w:val="18"/>
                  <w:lang w:val="en-US" w:eastAsia="pt-BR"/>
                </w:rPr>
                <m:t>1</m:t>
              </m:r>
            </m:sub>
          </m:sSub>
          <m:r>
            <w:rPr>
              <w:rFonts w:ascii="Cambria Math" w:hAnsi="Cambria Math"/>
              <w:sz w:val="18"/>
              <w:szCs w:val="18"/>
              <w:lang w:val="en-US" w:eastAsia="pt-BR"/>
            </w:rPr>
            <m:t xml:space="preserve"> </m:t>
          </m:r>
          <m:f>
            <m:fPr>
              <m:ctrlPr>
                <w:rPr>
                  <w:rFonts w:ascii="Cambria Math" w:hAnsi="Cambria Math"/>
                  <w:i/>
                  <w:sz w:val="18"/>
                  <w:szCs w:val="18"/>
                  <w:lang w:val="en-US" w:eastAsia="pt-BR"/>
                </w:rPr>
              </m:ctrlPr>
            </m:fPr>
            <m:num>
              <m:r>
                <w:rPr>
                  <w:rFonts w:ascii="Cambria Math" w:hAnsi="Cambria Math"/>
                  <w:sz w:val="18"/>
                  <w:szCs w:val="18"/>
                  <w:lang w:val="en-US" w:eastAsia="pt-BR"/>
                </w:rPr>
                <m:t xml:space="preserve">exp </m:t>
              </m:r>
              <m:d>
                <m:dPr>
                  <m:ctrlPr>
                    <w:rPr>
                      <w:rFonts w:ascii="Cambria Math" w:hAnsi="Cambria Math"/>
                      <w:i/>
                      <w:sz w:val="18"/>
                      <w:szCs w:val="18"/>
                      <w:lang w:val="en-US" w:eastAsia="pt-BR"/>
                    </w:rPr>
                  </m:ctrlPr>
                </m:dPr>
                <m:e>
                  <m:r>
                    <w:rPr>
                      <w:rFonts w:ascii="Cambria Math" w:hAnsi="Cambria Math"/>
                      <w:sz w:val="18"/>
                      <w:szCs w:val="18"/>
                      <w:lang w:val="en-US" w:eastAsia="pt-BR"/>
                    </w:rPr>
                    <m:t>-</m:t>
                  </m:r>
                  <m:sSub>
                    <m:sSubPr>
                      <m:ctrlPr>
                        <w:rPr>
                          <w:rFonts w:ascii="Cambria Math" w:hAnsi="Cambria Math"/>
                          <w:i/>
                          <w:sz w:val="18"/>
                          <w:szCs w:val="18"/>
                          <w:lang w:val="en-US" w:eastAsia="pt-BR"/>
                        </w:rPr>
                      </m:ctrlPr>
                    </m:sSubPr>
                    <m:e>
                      <m:r>
                        <w:rPr>
                          <w:rFonts w:ascii="Cambria Math" w:hAnsi="Cambria Math"/>
                          <w:sz w:val="18"/>
                          <w:szCs w:val="18"/>
                          <w:lang w:val="en-US" w:eastAsia="pt-BR"/>
                        </w:rPr>
                        <m:t>K</m:t>
                      </m:r>
                    </m:e>
                    <m:sub>
                      <m:r>
                        <w:rPr>
                          <w:rFonts w:ascii="Cambria Math" w:hAnsi="Cambria Math"/>
                          <w:sz w:val="18"/>
                          <w:szCs w:val="18"/>
                          <w:lang w:val="en-US" w:eastAsia="pt-BR"/>
                        </w:rPr>
                        <m:t>1</m:t>
                      </m:r>
                    </m:sub>
                  </m:sSub>
                  <m:r>
                    <w:rPr>
                      <w:rFonts w:ascii="Cambria Math" w:hAnsi="Cambria Math"/>
                      <w:sz w:val="18"/>
                      <w:szCs w:val="18"/>
                      <w:lang w:val="en-US" w:eastAsia="pt-BR"/>
                    </w:rPr>
                    <m:t xml:space="preserve"> τ </m:t>
                  </m:r>
                </m:e>
              </m:d>
              <m:r>
                <w:rPr>
                  <w:rFonts w:ascii="Cambria Math" w:hAnsi="Cambria Math"/>
                  <w:sz w:val="18"/>
                  <w:szCs w:val="18"/>
                  <w:lang w:val="en-US" w:eastAsia="pt-BR"/>
                </w:rPr>
                <m:t>+ exp (-</m:t>
              </m:r>
              <m:sSub>
                <m:sSubPr>
                  <m:ctrlPr>
                    <w:rPr>
                      <w:rFonts w:ascii="Cambria Math" w:hAnsi="Cambria Math"/>
                      <w:i/>
                      <w:sz w:val="18"/>
                      <w:szCs w:val="18"/>
                      <w:lang w:val="en-US" w:eastAsia="pt-BR"/>
                    </w:rPr>
                  </m:ctrlPr>
                </m:sSubPr>
                <m:e>
                  <m:r>
                    <w:rPr>
                      <w:rFonts w:ascii="Cambria Math" w:hAnsi="Cambria Math"/>
                      <w:sz w:val="18"/>
                      <w:szCs w:val="18"/>
                      <w:lang w:val="en-US" w:eastAsia="pt-BR"/>
                    </w:rPr>
                    <m:t>K</m:t>
                  </m:r>
                </m:e>
                <m:sub>
                  <m:r>
                    <w:rPr>
                      <w:rFonts w:ascii="Cambria Math" w:hAnsi="Cambria Math"/>
                      <w:sz w:val="18"/>
                      <w:szCs w:val="18"/>
                      <w:lang w:val="en-US" w:eastAsia="pt-BR"/>
                    </w:rPr>
                    <m:t>2</m:t>
                  </m:r>
                </m:sub>
              </m:sSub>
              <m:r>
                <w:rPr>
                  <w:rFonts w:ascii="Cambria Math" w:hAnsi="Cambria Math"/>
                  <w:sz w:val="18"/>
                  <w:szCs w:val="18"/>
                  <w:lang w:val="en-US" w:eastAsia="pt-BR"/>
                </w:rPr>
                <m:t xml:space="preserve"> τ )</m:t>
              </m:r>
            </m:num>
            <m:den>
              <m:r>
                <w:rPr>
                  <w:rFonts w:ascii="Cambria Math" w:hAnsi="Cambria Math"/>
                  <w:sz w:val="18"/>
                  <w:szCs w:val="18"/>
                  <w:lang w:val="en-US" w:eastAsia="pt-BR"/>
                </w:rPr>
                <m:t>(</m:t>
              </m:r>
              <m:sSub>
                <m:sSubPr>
                  <m:ctrlPr>
                    <w:rPr>
                      <w:rFonts w:ascii="Cambria Math" w:hAnsi="Cambria Math"/>
                      <w:i/>
                      <w:sz w:val="18"/>
                      <w:szCs w:val="18"/>
                      <w:lang w:val="en-US" w:eastAsia="pt-BR"/>
                    </w:rPr>
                  </m:ctrlPr>
                </m:sSubPr>
                <m:e>
                  <m:r>
                    <w:rPr>
                      <w:rFonts w:ascii="Cambria Math" w:hAnsi="Cambria Math"/>
                      <w:sz w:val="18"/>
                      <w:szCs w:val="18"/>
                      <w:lang w:val="en-US" w:eastAsia="pt-BR"/>
                    </w:rPr>
                    <m:t>K</m:t>
                  </m:r>
                </m:e>
                <m:sub>
                  <m:r>
                    <w:rPr>
                      <w:rFonts w:ascii="Cambria Math" w:hAnsi="Cambria Math"/>
                      <w:sz w:val="18"/>
                      <w:szCs w:val="18"/>
                      <w:lang w:val="en-US" w:eastAsia="pt-BR"/>
                    </w:rPr>
                    <m:t>2</m:t>
                  </m:r>
                </m:sub>
              </m:sSub>
              <m:r>
                <w:rPr>
                  <w:rFonts w:ascii="Cambria Math" w:hAnsi="Cambria Math"/>
                  <w:sz w:val="18"/>
                  <w:szCs w:val="18"/>
                  <w:lang w:val="en-US" w:eastAsia="pt-BR"/>
                </w:rPr>
                <m:t xml:space="preserve">- </m:t>
              </m:r>
              <m:sSub>
                <m:sSubPr>
                  <m:ctrlPr>
                    <w:rPr>
                      <w:rFonts w:ascii="Cambria Math" w:hAnsi="Cambria Math"/>
                      <w:i/>
                      <w:sz w:val="18"/>
                      <w:szCs w:val="18"/>
                      <w:lang w:val="en-US" w:eastAsia="pt-BR"/>
                    </w:rPr>
                  </m:ctrlPr>
                </m:sSubPr>
                <m:e>
                  <m:r>
                    <w:rPr>
                      <w:rFonts w:ascii="Cambria Math" w:hAnsi="Cambria Math"/>
                      <w:sz w:val="18"/>
                      <w:szCs w:val="18"/>
                      <w:lang w:val="en-US" w:eastAsia="pt-BR"/>
                    </w:rPr>
                    <m:t>K</m:t>
                  </m:r>
                </m:e>
                <m:sub>
                  <m:r>
                    <w:rPr>
                      <w:rFonts w:ascii="Cambria Math" w:hAnsi="Cambria Math"/>
                      <w:sz w:val="18"/>
                      <w:szCs w:val="18"/>
                      <w:lang w:val="en-US" w:eastAsia="pt-BR"/>
                    </w:rPr>
                    <m:t>1</m:t>
                  </m:r>
                </m:sub>
              </m:sSub>
              <m:r>
                <w:rPr>
                  <w:rFonts w:ascii="Cambria Math" w:hAnsi="Cambria Math"/>
                  <w:sz w:val="18"/>
                  <w:szCs w:val="18"/>
                  <w:lang w:val="en-US" w:eastAsia="pt-BR"/>
                </w:rPr>
                <m:t xml:space="preserve"> )</m:t>
              </m:r>
            </m:den>
          </m:f>
          <m:r>
            <w:rPr>
              <w:rFonts w:ascii="Cambria Math" w:hAnsi="Cambria Math"/>
              <w:sz w:val="18"/>
              <w:szCs w:val="18"/>
              <w:lang w:val="en-US" w:eastAsia="pt-BR"/>
            </w:rPr>
            <m:t xml:space="preserve">     eq. 3</m:t>
          </m:r>
        </m:oMath>
      </m:oMathPara>
    </w:p>
    <w:p w14:paraId="1536C8AA" w14:textId="0EFB1FD5" w:rsidR="008260AE" w:rsidRDefault="008260AE" w:rsidP="008260AE">
      <w:pPr>
        <w:rPr>
          <w:rFonts w:ascii="Times New Roman" w:hAnsi="Times New Roman" w:cs="Times New Roman"/>
          <w:sz w:val="20"/>
          <w:szCs w:val="20"/>
          <w:lang w:val="en-US" w:eastAsia="pt-BR"/>
        </w:rPr>
      </w:pPr>
      <w:r w:rsidRPr="008260AE">
        <w:rPr>
          <w:rFonts w:ascii="Times New Roman" w:hAnsi="Times New Roman" w:cs="Times New Roman"/>
          <w:sz w:val="20"/>
          <w:szCs w:val="20"/>
          <w:lang w:val="en-US" w:eastAsia="pt-BR"/>
        </w:rPr>
        <w:t>which can be extended for the next mass balance equations in the form:</w:t>
      </w:r>
    </w:p>
    <w:p w14:paraId="42F5AE33" w14:textId="7046EF6A" w:rsidR="00031D71" w:rsidRPr="00F87692" w:rsidRDefault="00000000" w:rsidP="008260AE">
      <w:pPr>
        <w:rPr>
          <w:rFonts w:ascii="Times New Roman" w:hAnsi="Times New Roman" w:cs="Times New Roman"/>
          <w:sz w:val="18"/>
          <w:szCs w:val="18"/>
          <w:lang w:val="en-US" w:eastAsia="pt-BR"/>
        </w:rPr>
      </w:pPr>
      <m:oMathPara>
        <m:oMath>
          <m:sSub>
            <m:sSubPr>
              <m:ctrlPr>
                <w:rPr>
                  <w:rFonts w:ascii="Cambria Math" w:hAnsi="Cambria Math"/>
                  <w:i/>
                  <w:sz w:val="18"/>
                  <w:szCs w:val="18"/>
                  <w:lang w:val="en-US" w:eastAsia="pt-BR"/>
                </w:rPr>
              </m:ctrlPr>
            </m:sSubPr>
            <m:e>
              <m:r>
                <w:rPr>
                  <w:rFonts w:ascii="Cambria Math" w:hAnsi="Cambria Math"/>
                  <w:sz w:val="18"/>
                  <w:szCs w:val="18"/>
                  <w:lang w:val="en-US" w:eastAsia="pt-BR"/>
                </w:rPr>
                <m:t>P</m:t>
              </m:r>
            </m:e>
            <m:sub>
              <m:r>
                <w:rPr>
                  <w:rFonts w:ascii="Cambria Math" w:hAnsi="Cambria Math"/>
                  <w:sz w:val="18"/>
                  <w:szCs w:val="18"/>
                  <w:lang w:val="en-US" w:eastAsia="pt-BR"/>
                </w:rPr>
                <m:t>N</m:t>
              </m:r>
            </m:sub>
          </m:sSub>
          <m:d>
            <m:dPr>
              <m:ctrlPr>
                <w:rPr>
                  <w:rFonts w:ascii="Cambria Math" w:hAnsi="Cambria Math"/>
                  <w:i/>
                  <w:sz w:val="18"/>
                  <w:szCs w:val="18"/>
                  <w:lang w:val="en-US" w:eastAsia="pt-BR"/>
                </w:rPr>
              </m:ctrlPr>
            </m:dPr>
            <m:e>
              <m:r>
                <w:rPr>
                  <w:rFonts w:ascii="Cambria Math" w:hAnsi="Cambria Math"/>
                  <w:sz w:val="18"/>
                  <w:szCs w:val="18"/>
                  <w:lang w:val="en-US" w:eastAsia="pt-BR"/>
                </w:rPr>
                <m:t xml:space="preserve">τ </m:t>
              </m:r>
            </m:e>
          </m:d>
          <m:r>
            <w:rPr>
              <w:rFonts w:ascii="Cambria Math" w:hAnsi="Cambria Math" w:cs="Times New Roman"/>
              <w:sz w:val="20"/>
              <w:szCs w:val="20"/>
              <w:lang w:val="en-US" w:eastAsia="pt-BR"/>
            </w:rPr>
            <m:t xml:space="preserve">= </m:t>
          </m:r>
          <m:sSub>
            <m:sSubPr>
              <m:ctrlPr>
                <w:rPr>
                  <w:rFonts w:ascii="Cambria Math" w:hAnsi="Cambria Math"/>
                  <w:i/>
                  <w:sz w:val="18"/>
                  <w:szCs w:val="18"/>
                  <w:lang w:val="en-US" w:eastAsia="pt-BR"/>
                </w:rPr>
              </m:ctrlPr>
            </m:sSubPr>
            <m:e>
              <m:r>
                <w:rPr>
                  <w:rFonts w:ascii="Cambria Math" w:hAnsi="Cambria Math"/>
                  <w:sz w:val="18"/>
                  <w:szCs w:val="18"/>
                  <w:lang w:val="en-US" w:eastAsia="pt-BR"/>
                </w:rPr>
                <m:t>P</m:t>
              </m:r>
            </m:e>
            <m:sub>
              <m:r>
                <w:rPr>
                  <w:rFonts w:ascii="Cambria Math" w:hAnsi="Cambria Math"/>
                  <w:sz w:val="18"/>
                  <w:szCs w:val="18"/>
                  <w:lang w:val="en-US" w:eastAsia="pt-BR"/>
                </w:rPr>
                <m:t>1</m:t>
              </m:r>
            </m:sub>
          </m:sSub>
          <m:d>
            <m:dPr>
              <m:ctrlPr>
                <w:rPr>
                  <w:rFonts w:ascii="Cambria Math" w:hAnsi="Cambria Math"/>
                  <w:i/>
                  <w:sz w:val="18"/>
                  <w:szCs w:val="18"/>
                  <w:lang w:val="en-US" w:eastAsia="pt-BR"/>
                </w:rPr>
              </m:ctrlPr>
            </m:dPr>
            <m:e>
              <m:r>
                <w:rPr>
                  <w:rFonts w:ascii="Cambria Math" w:hAnsi="Cambria Math"/>
                  <w:sz w:val="18"/>
                  <w:szCs w:val="18"/>
                  <w:lang w:val="en-US" w:eastAsia="pt-BR"/>
                </w:rPr>
                <m:t>0</m:t>
              </m:r>
            </m:e>
          </m:d>
          <m:r>
            <w:rPr>
              <w:rFonts w:ascii="Cambria Math" w:hAnsi="Cambria Math"/>
              <w:sz w:val="18"/>
              <w:szCs w:val="18"/>
              <w:lang w:val="en-US" w:eastAsia="pt-BR"/>
            </w:rPr>
            <m:t xml:space="preserve"> </m:t>
          </m:r>
          <m:nary>
            <m:naryPr>
              <m:chr m:val="∏"/>
              <m:limLoc m:val="undOvr"/>
              <m:ctrlPr>
                <w:rPr>
                  <w:rFonts w:ascii="Cambria Math" w:hAnsi="Cambria Math"/>
                  <w:i/>
                  <w:sz w:val="18"/>
                  <w:szCs w:val="18"/>
                  <w:lang w:val="en-US" w:eastAsia="pt-BR"/>
                </w:rPr>
              </m:ctrlPr>
            </m:naryPr>
            <m:sub>
              <m:r>
                <w:rPr>
                  <w:rFonts w:ascii="Cambria Math" w:hAnsi="Cambria Math"/>
                  <w:sz w:val="18"/>
                  <w:szCs w:val="18"/>
                  <w:lang w:val="en-US" w:eastAsia="pt-BR"/>
                </w:rPr>
                <m:t>j=1</m:t>
              </m:r>
            </m:sub>
            <m:sup>
              <m:r>
                <w:rPr>
                  <w:rFonts w:ascii="Cambria Math" w:hAnsi="Cambria Math"/>
                  <w:sz w:val="18"/>
                  <w:szCs w:val="18"/>
                  <w:lang w:val="en-US" w:eastAsia="pt-BR"/>
                </w:rPr>
                <m:t>N-1</m:t>
              </m:r>
            </m:sup>
            <m:e>
              <m:sSub>
                <m:sSubPr>
                  <m:ctrlPr>
                    <w:rPr>
                      <w:rFonts w:ascii="Cambria Math" w:hAnsi="Cambria Math"/>
                      <w:i/>
                      <w:sz w:val="18"/>
                      <w:szCs w:val="18"/>
                      <w:lang w:val="en-US" w:eastAsia="pt-BR"/>
                    </w:rPr>
                  </m:ctrlPr>
                </m:sSubPr>
                <m:e>
                  <m:r>
                    <w:rPr>
                      <w:rFonts w:ascii="Cambria Math" w:hAnsi="Cambria Math"/>
                      <w:sz w:val="18"/>
                      <w:szCs w:val="18"/>
                      <w:lang w:val="en-US" w:eastAsia="pt-BR"/>
                    </w:rPr>
                    <m:t>K</m:t>
                  </m:r>
                </m:e>
                <m:sub>
                  <m:r>
                    <w:rPr>
                      <w:rFonts w:ascii="Cambria Math" w:hAnsi="Cambria Math"/>
                      <w:sz w:val="18"/>
                      <w:szCs w:val="18"/>
                      <w:lang w:val="en-US" w:eastAsia="pt-BR"/>
                    </w:rPr>
                    <m:t xml:space="preserve">j </m:t>
                  </m:r>
                </m:sub>
              </m:sSub>
            </m:e>
          </m:nary>
          <m:nary>
            <m:naryPr>
              <m:chr m:val="∑"/>
              <m:limLoc m:val="undOvr"/>
              <m:ctrlPr>
                <w:rPr>
                  <w:rFonts w:ascii="Cambria Math" w:hAnsi="Cambria Math"/>
                  <w:i/>
                  <w:sz w:val="18"/>
                  <w:szCs w:val="18"/>
                  <w:lang w:val="en-US" w:eastAsia="pt-BR"/>
                </w:rPr>
              </m:ctrlPr>
            </m:naryPr>
            <m:sub>
              <m:r>
                <w:rPr>
                  <w:rFonts w:ascii="Cambria Math" w:hAnsi="Cambria Math"/>
                  <w:sz w:val="18"/>
                  <w:szCs w:val="18"/>
                  <w:lang w:val="en-US" w:eastAsia="pt-BR"/>
                </w:rPr>
                <m:t>i=1</m:t>
              </m:r>
            </m:sub>
            <m:sup>
              <m:r>
                <w:rPr>
                  <w:rFonts w:ascii="Cambria Math" w:hAnsi="Cambria Math"/>
                  <w:sz w:val="18"/>
                  <w:szCs w:val="18"/>
                  <w:lang w:val="en-US" w:eastAsia="pt-BR"/>
                </w:rPr>
                <m:t>N-1</m:t>
              </m:r>
            </m:sup>
            <m:e>
              <m:f>
                <m:fPr>
                  <m:ctrlPr>
                    <w:rPr>
                      <w:rFonts w:ascii="Cambria Math" w:hAnsi="Cambria Math"/>
                      <w:i/>
                      <w:sz w:val="18"/>
                      <w:szCs w:val="18"/>
                      <w:lang w:val="en-US" w:eastAsia="pt-BR"/>
                    </w:rPr>
                  </m:ctrlPr>
                </m:fPr>
                <m:num>
                  <m:r>
                    <w:rPr>
                      <w:rFonts w:ascii="Cambria Math" w:hAnsi="Cambria Math"/>
                      <w:sz w:val="18"/>
                      <w:szCs w:val="18"/>
                      <w:lang w:val="en-US" w:eastAsia="pt-BR"/>
                    </w:rPr>
                    <m:t xml:space="preserve">exp </m:t>
                  </m:r>
                  <m:d>
                    <m:dPr>
                      <m:ctrlPr>
                        <w:rPr>
                          <w:rFonts w:ascii="Cambria Math" w:hAnsi="Cambria Math"/>
                          <w:i/>
                          <w:sz w:val="18"/>
                          <w:szCs w:val="18"/>
                          <w:lang w:val="en-US" w:eastAsia="pt-BR"/>
                        </w:rPr>
                      </m:ctrlPr>
                    </m:dPr>
                    <m:e>
                      <m:r>
                        <w:rPr>
                          <w:rFonts w:ascii="Cambria Math" w:hAnsi="Cambria Math"/>
                          <w:sz w:val="18"/>
                          <w:szCs w:val="18"/>
                          <w:lang w:val="en-US" w:eastAsia="pt-BR"/>
                        </w:rPr>
                        <m:t>-</m:t>
                      </m:r>
                      <m:sSub>
                        <m:sSubPr>
                          <m:ctrlPr>
                            <w:rPr>
                              <w:rFonts w:ascii="Cambria Math" w:hAnsi="Cambria Math"/>
                              <w:i/>
                              <w:sz w:val="18"/>
                              <w:szCs w:val="18"/>
                              <w:lang w:val="en-US" w:eastAsia="pt-BR"/>
                            </w:rPr>
                          </m:ctrlPr>
                        </m:sSubPr>
                        <m:e>
                          <m:r>
                            <w:rPr>
                              <w:rFonts w:ascii="Cambria Math" w:hAnsi="Cambria Math"/>
                              <w:sz w:val="18"/>
                              <w:szCs w:val="18"/>
                              <w:lang w:val="en-US" w:eastAsia="pt-BR"/>
                            </w:rPr>
                            <m:t>K</m:t>
                          </m:r>
                        </m:e>
                        <m:sub>
                          <m:r>
                            <w:rPr>
                              <w:rFonts w:ascii="Cambria Math" w:hAnsi="Cambria Math"/>
                              <w:sz w:val="18"/>
                              <w:szCs w:val="18"/>
                              <w:lang w:val="en-US" w:eastAsia="pt-BR"/>
                            </w:rPr>
                            <m:t>i</m:t>
                          </m:r>
                        </m:sub>
                      </m:sSub>
                      <m:r>
                        <w:rPr>
                          <w:rFonts w:ascii="Cambria Math" w:hAnsi="Cambria Math"/>
                          <w:sz w:val="18"/>
                          <w:szCs w:val="18"/>
                          <w:lang w:val="en-US" w:eastAsia="pt-BR"/>
                        </w:rPr>
                        <m:t xml:space="preserve"> τ </m:t>
                      </m:r>
                    </m:e>
                  </m:d>
                  <m:r>
                    <w:rPr>
                      <w:rFonts w:ascii="Cambria Math" w:hAnsi="Cambria Math"/>
                      <w:sz w:val="18"/>
                      <w:szCs w:val="18"/>
                      <w:lang w:val="en-US" w:eastAsia="pt-BR"/>
                    </w:rPr>
                    <m:t>+ exp (-</m:t>
                  </m:r>
                  <m:sSub>
                    <m:sSubPr>
                      <m:ctrlPr>
                        <w:rPr>
                          <w:rFonts w:ascii="Cambria Math" w:hAnsi="Cambria Math"/>
                          <w:i/>
                          <w:sz w:val="18"/>
                          <w:szCs w:val="18"/>
                          <w:lang w:val="en-US" w:eastAsia="pt-BR"/>
                        </w:rPr>
                      </m:ctrlPr>
                    </m:sSubPr>
                    <m:e>
                      <m:r>
                        <w:rPr>
                          <w:rFonts w:ascii="Cambria Math" w:hAnsi="Cambria Math"/>
                          <w:sz w:val="18"/>
                          <w:szCs w:val="18"/>
                          <w:lang w:val="en-US" w:eastAsia="pt-BR"/>
                        </w:rPr>
                        <m:t>K</m:t>
                      </m:r>
                    </m:e>
                    <m:sub>
                      <m:r>
                        <w:rPr>
                          <w:rFonts w:ascii="Cambria Math" w:hAnsi="Cambria Math"/>
                          <w:sz w:val="18"/>
                          <w:szCs w:val="18"/>
                          <w:lang w:val="en-US" w:eastAsia="pt-BR"/>
                        </w:rPr>
                        <m:t>N</m:t>
                      </m:r>
                    </m:sub>
                  </m:sSub>
                  <m:r>
                    <w:rPr>
                      <w:rFonts w:ascii="Cambria Math" w:hAnsi="Cambria Math"/>
                      <w:sz w:val="18"/>
                      <w:szCs w:val="18"/>
                      <w:lang w:val="en-US" w:eastAsia="pt-BR"/>
                    </w:rPr>
                    <m:t xml:space="preserve"> τ) </m:t>
                  </m:r>
                </m:num>
                <m:den>
                  <m:nary>
                    <m:naryPr>
                      <m:chr m:val="∏"/>
                      <m:limLoc m:val="undOvr"/>
                      <m:ctrlPr>
                        <w:rPr>
                          <w:rFonts w:ascii="Cambria Math" w:hAnsi="Cambria Math"/>
                          <w:i/>
                          <w:sz w:val="18"/>
                          <w:szCs w:val="18"/>
                          <w:lang w:val="en-US" w:eastAsia="pt-BR"/>
                        </w:rPr>
                      </m:ctrlPr>
                    </m:naryPr>
                    <m:sub>
                      <m:r>
                        <w:rPr>
                          <w:rFonts w:ascii="Cambria Math" w:hAnsi="Cambria Math"/>
                          <w:sz w:val="18"/>
                          <w:szCs w:val="18"/>
                          <w:lang w:val="en-US" w:eastAsia="pt-BR"/>
                        </w:rPr>
                        <m:t>j=1,j≠i</m:t>
                      </m:r>
                    </m:sub>
                    <m:sup>
                      <m:r>
                        <w:rPr>
                          <w:rFonts w:ascii="Cambria Math" w:hAnsi="Cambria Math"/>
                          <w:sz w:val="18"/>
                          <w:szCs w:val="18"/>
                          <w:lang w:val="en-US" w:eastAsia="pt-BR"/>
                        </w:rPr>
                        <m:t>N</m:t>
                      </m:r>
                    </m:sup>
                    <m:e>
                      <m:r>
                        <w:rPr>
                          <w:rFonts w:ascii="Cambria Math" w:hAnsi="Cambria Math"/>
                          <w:sz w:val="18"/>
                          <w:szCs w:val="18"/>
                          <w:lang w:val="en-US" w:eastAsia="pt-BR"/>
                        </w:rPr>
                        <m:t>(</m:t>
                      </m:r>
                      <m:sSub>
                        <m:sSubPr>
                          <m:ctrlPr>
                            <w:rPr>
                              <w:rFonts w:ascii="Cambria Math" w:hAnsi="Cambria Math"/>
                              <w:i/>
                              <w:sz w:val="18"/>
                              <w:szCs w:val="18"/>
                              <w:lang w:val="en-US" w:eastAsia="pt-BR"/>
                            </w:rPr>
                          </m:ctrlPr>
                        </m:sSubPr>
                        <m:e>
                          <m:r>
                            <w:rPr>
                              <w:rFonts w:ascii="Cambria Math" w:hAnsi="Cambria Math"/>
                              <w:sz w:val="18"/>
                              <w:szCs w:val="18"/>
                              <w:lang w:val="en-US" w:eastAsia="pt-BR"/>
                            </w:rPr>
                            <m:t>K</m:t>
                          </m:r>
                        </m:e>
                        <m:sub>
                          <m:r>
                            <w:rPr>
                              <w:rFonts w:ascii="Cambria Math" w:hAnsi="Cambria Math"/>
                              <w:sz w:val="18"/>
                              <w:szCs w:val="18"/>
                              <w:lang w:val="en-US" w:eastAsia="pt-BR"/>
                            </w:rPr>
                            <m:t>j</m:t>
                          </m:r>
                        </m:sub>
                      </m:sSub>
                      <m:r>
                        <w:rPr>
                          <w:rFonts w:ascii="Cambria Math" w:hAnsi="Cambria Math"/>
                          <w:sz w:val="18"/>
                          <w:szCs w:val="18"/>
                          <w:lang w:val="en-US" w:eastAsia="pt-BR"/>
                        </w:rPr>
                        <m:t xml:space="preserve">- </m:t>
                      </m:r>
                      <m:sSub>
                        <m:sSubPr>
                          <m:ctrlPr>
                            <w:rPr>
                              <w:rFonts w:ascii="Cambria Math" w:hAnsi="Cambria Math"/>
                              <w:i/>
                              <w:sz w:val="18"/>
                              <w:szCs w:val="18"/>
                              <w:lang w:val="en-US" w:eastAsia="pt-BR"/>
                            </w:rPr>
                          </m:ctrlPr>
                        </m:sSubPr>
                        <m:e>
                          <m:r>
                            <w:rPr>
                              <w:rFonts w:ascii="Cambria Math" w:hAnsi="Cambria Math"/>
                              <w:sz w:val="18"/>
                              <w:szCs w:val="18"/>
                              <w:lang w:val="en-US" w:eastAsia="pt-BR"/>
                            </w:rPr>
                            <m:t>K</m:t>
                          </m:r>
                        </m:e>
                        <m:sub>
                          <m:r>
                            <w:rPr>
                              <w:rFonts w:ascii="Cambria Math" w:hAnsi="Cambria Math"/>
                              <w:sz w:val="18"/>
                              <w:szCs w:val="18"/>
                              <w:lang w:val="en-US" w:eastAsia="pt-BR"/>
                            </w:rPr>
                            <m:t>i</m:t>
                          </m:r>
                        </m:sub>
                      </m:sSub>
                      <m:r>
                        <w:rPr>
                          <w:rFonts w:ascii="Cambria Math" w:hAnsi="Cambria Math"/>
                          <w:sz w:val="18"/>
                          <w:szCs w:val="18"/>
                          <w:lang w:val="en-US" w:eastAsia="pt-BR"/>
                        </w:rPr>
                        <m:t xml:space="preserve"> )</m:t>
                      </m:r>
                    </m:e>
                  </m:nary>
                </m:den>
              </m:f>
              <m:r>
                <w:rPr>
                  <w:rFonts w:ascii="Cambria Math" w:hAnsi="Cambria Math"/>
                  <w:sz w:val="18"/>
                  <w:szCs w:val="18"/>
                  <w:lang w:val="en-US" w:eastAsia="pt-BR"/>
                </w:rPr>
                <m:t xml:space="preserve"> eq. 4</m:t>
              </m:r>
            </m:e>
          </m:nary>
          <m:r>
            <w:rPr>
              <w:rFonts w:ascii="Cambria Math" w:hAnsi="Cambria Math"/>
              <w:sz w:val="18"/>
              <w:szCs w:val="18"/>
              <w:lang w:val="en-US" w:eastAsia="pt-BR"/>
            </w:rPr>
            <m:t xml:space="preserve"> </m:t>
          </m:r>
        </m:oMath>
      </m:oMathPara>
    </w:p>
    <w:p w14:paraId="25F1ABDC" w14:textId="2BFB2D55" w:rsidR="00F87692" w:rsidRDefault="00F87692" w:rsidP="00F87692">
      <w:pPr>
        <w:ind w:firstLine="187"/>
        <w:jc w:val="both"/>
        <w:rPr>
          <w:rFonts w:ascii="Times New Roman" w:hAnsi="Times New Roman" w:cs="Times New Roman"/>
          <w:sz w:val="20"/>
          <w:szCs w:val="20"/>
          <w:lang w:val="en-US" w:eastAsia="pt-BR"/>
        </w:rPr>
      </w:pPr>
      <w:r w:rsidRPr="00F87692">
        <w:rPr>
          <w:rFonts w:ascii="Times New Roman" w:hAnsi="Times New Roman" w:cs="Times New Roman"/>
          <w:sz w:val="20"/>
          <w:szCs w:val="20"/>
          <w:lang w:val="en-US" w:eastAsia="pt-BR"/>
        </w:rPr>
        <w:t xml:space="preserve">At this point, one must observe that </w:t>
      </w:r>
      <w:r w:rsidRPr="00F87692">
        <w:rPr>
          <w:rFonts w:ascii="Times New Roman" w:hAnsi="Times New Roman" w:cs="Times New Roman"/>
          <w:i/>
          <w:iCs/>
          <w:sz w:val="20"/>
          <w:szCs w:val="20"/>
          <w:lang w:val="en-US" w:eastAsia="pt-BR"/>
        </w:rPr>
        <w:t>N</w:t>
      </w:r>
      <w:r w:rsidRPr="00F87692">
        <w:rPr>
          <w:rFonts w:ascii="Times New Roman" w:hAnsi="Times New Roman" w:cs="Times New Roman"/>
          <w:sz w:val="20"/>
          <w:szCs w:val="20"/>
          <w:lang w:val="en-US" w:eastAsia="pt-BR"/>
        </w:rPr>
        <w:t xml:space="preserve"> parameters must be estimated. To avoid superparameterization of the</w:t>
      </w:r>
      <w:r>
        <w:rPr>
          <w:rFonts w:ascii="Times New Roman" w:hAnsi="Times New Roman" w:cs="Times New Roman"/>
          <w:sz w:val="20"/>
          <w:szCs w:val="20"/>
          <w:lang w:val="en-US" w:eastAsia="pt-BR"/>
        </w:rPr>
        <w:t xml:space="preserve"> </w:t>
      </w:r>
      <w:r w:rsidRPr="00F87692">
        <w:rPr>
          <w:rFonts w:ascii="Times New Roman" w:hAnsi="Times New Roman" w:cs="Times New Roman"/>
          <w:sz w:val="20"/>
          <w:szCs w:val="20"/>
          <w:lang w:val="en-US" w:eastAsia="pt-BR"/>
        </w:rPr>
        <w:t>proposed model, an empirical model inspired by the well-known Flory distribution is proposed</w:t>
      </w:r>
      <w:r w:rsidR="00452C7F">
        <w:rPr>
          <w:rFonts w:ascii="Times New Roman" w:hAnsi="Times New Roman" w:cs="Times New Roman"/>
          <w:sz w:val="20"/>
          <w:szCs w:val="20"/>
          <w:lang w:val="en-US" w:eastAsia="pt-BR"/>
        </w:rPr>
        <w:t xml:space="preserve"> (10)</w:t>
      </w:r>
      <w:r>
        <w:rPr>
          <w:rFonts w:ascii="Times New Roman" w:hAnsi="Times New Roman" w:cs="Times New Roman"/>
          <w:sz w:val="20"/>
          <w:szCs w:val="20"/>
          <w:lang w:val="en-US" w:eastAsia="pt-BR"/>
        </w:rPr>
        <w:t xml:space="preserve">, </w:t>
      </w:r>
      <w:r w:rsidRPr="00F87692">
        <w:rPr>
          <w:rFonts w:ascii="Times New Roman" w:hAnsi="Times New Roman" w:cs="Times New Roman"/>
          <w:sz w:val="20"/>
          <w:szCs w:val="20"/>
          <w:lang w:val="en-US" w:eastAsia="pt-BR"/>
        </w:rPr>
        <w:t>as follows:</w:t>
      </w:r>
    </w:p>
    <w:p w14:paraId="0C86EB0B" w14:textId="4F1AF622" w:rsidR="00452C7F" w:rsidRPr="00452C7F" w:rsidRDefault="00000000" w:rsidP="00F87692">
      <w:pPr>
        <w:ind w:firstLine="187"/>
        <w:jc w:val="both"/>
        <w:rPr>
          <w:rFonts w:ascii="Times New Roman" w:hAnsi="Times New Roman" w:cs="Times New Roman"/>
          <w:sz w:val="20"/>
          <w:szCs w:val="20"/>
          <w:lang w:val="en-US" w:eastAsia="pt-BR"/>
        </w:rPr>
      </w:pPr>
      <m:oMathPara>
        <m:oMath>
          <m:sSub>
            <m:sSubPr>
              <m:ctrlPr>
                <w:rPr>
                  <w:rFonts w:ascii="Cambria Math" w:hAnsi="Cambria Math" w:cs="Times New Roman"/>
                  <w:i/>
                  <w:sz w:val="20"/>
                  <w:szCs w:val="20"/>
                  <w:lang w:val="en-US" w:eastAsia="pt-BR"/>
                </w:rPr>
              </m:ctrlPr>
            </m:sSubPr>
            <m:e>
              <m:r>
                <w:rPr>
                  <w:rFonts w:ascii="Cambria Math" w:hAnsi="Cambria Math" w:cs="Times New Roman"/>
                  <w:sz w:val="20"/>
                  <w:szCs w:val="20"/>
                  <w:lang w:val="en-US" w:eastAsia="pt-BR"/>
                </w:rPr>
                <m:t>K</m:t>
              </m:r>
            </m:e>
            <m:sub>
              <m:r>
                <w:rPr>
                  <w:rFonts w:ascii="Cambria Math" w:hAnsi="Cambria Math" w:cs="Times New Roman"/>
                  <w:sz w:val="20"/>
                  <w:szCs w:val="20"/>
                  <w:lang w:val="en-US" w:eastAsia="pt-BR"/>
                </w:rPr>
                <m:t>i</m:t>
              </m:r>
            </m:sub>
          </m:sSub>
          <m:r>
            <w:rPr>
              <w:rFonts w:ascii="Cambria Math" w:hAnsi="Cambria Math" w:cs="Times New Roman"/>
              <w:sz w:val="20"/>
              <w:szCs w:val="20"/>
              <w:lang w:val="en-US" w:eastAsia="pt-BR"/>
            </w:rPr>
            <m:t>=</m:t>
          </m:r>
          <m:sSup>
            <m:sSupPr>
              <m:ctrlPr>
                <w:rPr>
                  <w:rFonts w:ascii="Cambria Math" w:hAnsi="Cambria Math" w:cs="Times New Roman"/>
                  <w:i/>
                  <w:sz w:val="20"/>
                  <w:szCs w:val="20"/>
                  <w:lang w:val="en-US" w:eastAsia="pt-BR"/>
                </w:rPr>
              </m:ctrlPr>
            </m:sSupPr>
            <m:e>
              <m:r>
                <w:rPr>
                  <w:rFonts w:ascii="Cambria Math" w:hAnsi="Cambria Math" w:cs="Times New Roman"/>
                  <w:sz w:val="20"/>
                  <w:szCs w:val="20"/>
                  <w:lang w:val="en-US" w:eastAsia="pt-BR"/>
                </w:rPr>
                <m:t>q</m:t>
              </m:r>
            </m:e>
            <m:sup>
              <m:r>
                <w:rPr>
                  <w:rFonts w:ascii="Cambria Math" w:hAnsi="Cambria Math" w:cs="Times New Roman"/>
                  <w:sz w:val="20"/>
                  <w:szCs w:val="20"/>
                  <w:lang w:val="en-US" w:eastAsia="pt-BR"/>
                </w:rPr>
                <m:t>i-1</m:t>
              </m:r>
            </m:sup>
          </m:sSup>
          <m:sSub>
            <m:sSubPr>
              <m:ctrlPr>
                <w:rPr>
                  <w:rFonts w:ascii="Cambria Math" w:hAnsi="Cambria Math" w:cs="Times New Roman"/>
                  <w:i/>
                  <w:sz w:val="20"/>
                  <w:szCs w:val="20"/>
                  <w:lang w:val="en-US" w:eastAsia="pt-BR"/>
                </w:rPr>
              </m:ctrlPr>
            </m:sSubPr>
            <m:e>
              <m:r>
                <w:rPr>
                  <w:rFonts w:ascii="Cambria Math" w:hAnsi="Cambria Math" w:cs="Times New Roman"/>
                  <w:sz w:val="20"/>
                  <w:szCs w:val="20"/>
                  <w:lang w:val="en-US" w:eastAsia="pt-BR"/>
                </w:rPr>
                <m:t>K</m:t>
              </m:r>
            </m:e>
            <m:sub>
              <m:r>
                <w:rPr>
                  <w:rFonts w:ascii="Cambria Math" w:hAnsi="Cambria Math" w:cs="Times New Roman"/>
                  <w:sz w:val="20"/>
                  <w:szCs w:val="20"/>
                  <w:lang w:val="en-US" w:eastAsia="pt-BR"/>
                </w:rPr>
                <m:t>1</m:t>
              </m:r>
            </m:sub>
          </m:sSub>
          <m:r>
            <w:rPr>
              <w:rFonts w:ascii="Cambria Math" w:hAnsi="Cambria Math" w:cs="Times New Roman"/>
              <w:sz w:val="20"/>
              <w:szCs w:val="20"/>
              <w:lang w:val="en-US" w:eastAsia="pt-BR"/>
            </w:rPr>
            <m:t xml:space="preserve"> </m:t>
          </m:r>
          <m:r>
            <w:rPr>
              <w:rFonts w:ascii="Cambria Math" w:hAnsi="Cambria Math"/>
              <w:sz w:val="18"/>
              <w:szCs w:val="18"/>
              <w:lang w:val="en-US" w:eastAsia="pt-BR"/>
            </w:rPr>
            <m:t xml:space="preserve"> eq.5</m:t>
          </m:r>
          <m:r>
            <w:rPr>
              <w:rFonts w:ascii="Cambria Math" w:hAnsi="Cambria Math" w:cs="Times New Roman"/>
              <w:sz w:val="20"/>
              <w:szCs w:val="20"/>
              <w:lang w:val="en-US" w:eastAsia="pt-BR"/>
            </w:rPr>
            <m:t xml:space="preserve">  </m:t>
          </m:r>
        </m:oMath>
      </m:oMathPara>
    </w:p>
    <w:p w14:paraId="46A88ED7" w14:textId="4CE1B093" w:rsidR="00452C7F" w:rsidRDefault="00452C7F" w:rsidP="00452C7F">
      <w:pPr>
        <w:ind w:firstLine="187"/>
        <w:jc w:val="both"/>
        <w:rPr>
          <w:rFonts w:ascii="Times New Roman" w:hAnsi="Times New Roman" w:cs="Times New Roman"/>
          <w:sz w:val="20"/>
          <w:szCs w:val="20"/>
          <w:lang w:val="en-US" w:eastAsia="pt-BR"/>
        </w:rPr>
      </w:pPr>
      <w:r w:rsidRPr="00452C7F">
        <w:rPr>
          <w:rFonts w:ascii="Times New Roman" w:hAnsi="Times New Roman" w:cs="Times New Roman"/>
          <w:sz w:val="20"/>
          <w:szCs w:val="20"/>
          <w:lang w:val="en-US" w:eastAsia="pt-BR"/>
        </w:rPr>
        <w:t xml:space="preserve">where </w:t>
      </w:r>
      <w:r w:rsidRPr="00452C7F">
        <w:rPr>
          <w:rFonts w:ascii="Times New Roman" w:hAnsi="Times New Roman" w:cs="Times New Roman"/>
          <w:i/>
          <w:iCs/>
          <w:sz w:val="20"/>
          <w:szCs w:val="20"/>
          <w:lang w:val="en-US" w:eastAsia="pt-BR"/>
        </w:rPr>
        <w:t>q</w:t>
      </w:r>
      <w:r w:rsidRPr="00452C7F">
        <w:rPr>
          <w:rFonts w:ascii="Times New Roman" w:hAnsi="Times New Roman" w:cs="Times New Roman"/>
          <w:sz w:val="20"/>
          <w:szCs w:val="20"/>
          <w:lang w:val="en-US" w:eastAsia="pt-BR"/>
        </w:rPr>
        <w:t xml:space="preserve"> empirically describes the expected reduction of reactivity when</w:t>
      </w:r>
      <w:r>
        <w:rPr>
          <w:rFonts w:ascii="Times New Roman" w:hAnsi="Times New Roman" w:cs="Times New Roman"/>
          <w:sz w:val="20"/>
          <w:szCs w:val="20"/>
          <w:lang w:val="en-US" w:eastAsia="pt-BR"/>
        </w:rPr>
        <w:t xml:space="preserve"> </w:t>
      </w:r>
      <w:r w:rsidRPr="00452C7F">
        <w:rPr>
          <w:rFonts w:ascii="Times New Roman" w:hAnsi="Times New Roman" w:cs="Times New Roman"/>
          <w:sz w:val="20"/>
          <w:szCs w:val="20"/>
          <w:lang w:val="en-US" w:eastAsia="pt-BR"/>
        </w:rPr>
        <w:t>the molar mass of the carbon chain increases, due to reduction of chain</w:t>
      </w:r>
      <w:r>
        <w:rPr>
          <w:rFonts w:ascii="Times New Roman" w:hAnsi="Times New Roman" w:cs="Times New Roman"/>
          <w:sz w:val="20"/>
          <w:szCs w:val="20"/>
          <w:lang w:val="en-US" w:eastAsia="pt-BR"/>
        </w:rPr>
        <w:t xml:space="preserve"> </w:t>
      </w:r>
      <w:r w:rsidRPr="00452C7F">
        <w:rPr>
          <w:rFonts w:ascii="Times New Roman" w:hAnsi="Times New Roman" w:cs="Times New Roman"/>
          <w:sz w:val="20"/>
          <w:szCs w:val="20"/>
          <w:lang w:val="en-US" w:eastAsia="pt-BR"/>
        </w:rPr>
        <w:t>mobility</w:t>
      </w:r>
      <w:r>
        <w:rPr>
          <w:rFonts w:ascii="Times New Roman" w:hAnsi="Times New Roman" w:cs="Times New Roman"/>
          <w:sz w:val="20"/>
          <w:szCs w:val="20"/>
          <w:lang w:val="en-US" w:eastAsia="pt-BR"/>
        </w:rPr>
        <w:t>.</w:t>
      </w:r>
    </w:p>
    <w:p w14:paraId="794FE443" w14:textId="3A87D352" w:rsidR="0057397D" w:rsidRDefault="0057397D" w:rsidP="0057397D">
      <w:pPr>
        <w:ind w:firstLine="187"/>
        <w:jc w:val="both"/>
        <w:rPr>
          <w:rFonts w:ascii="Times New Roman" w:hAnsi="Times New Roman" w:cs="Times New Roman"/>
          <w:sz w:val="20"/>
          <w:szCs w:val="20"/>
          <w:lang w:val="en-US" w:eastAsia="pt-BR"/>
        </w:rPr>
      </w:pPr>
      <w:r w:rsidRPr="0057397D">
        <w:rPr>
          <w:rFonts w:ascii="Times New Roman" w:hAnsi="Times New Roman" w:cs="Times New Roman"/>
          <w:sz w:val="20"/>
          <w:szCs w:val="20"/>
          <w:lang w:val="en-US" w:eastAsia="pt-BR"/>
        </w:rPr>
        <w:t xml:space="preserve">The objective function presented in </w:t>
      </w:r>
      <w:r>
        <w:rPr>
          <w:rFonts w:ascii="Times New Roman" w:hAnsi="Times New Roman" w:cs="Times New Roman"/>
          <w:sz w:val="20"/>
          <w:szCs w:val="20"/>
          <w:lang w:val="en-US" w:eastAsia="pt-BR"/>
        </w:rPr>
        <w:t>eq. 6</w:t>
      </w:r>
      <w:r w:rsidRPr="0057397D">
        <w:rPr>
          <w:rFonts w:ascii="Times New Roman" w:hAnsi="Times New Roman" w:cs="Times New Roman"/>
          <w:sz w:val="20"/>
          <w:szCs w:val="20"/>
          <w:lang w:val="en-US" w:eastAsia="pt-BR"/>
        </w:rPr>
        <w:t xml:space="preserve"> is used here to evaluate the dimensionless difference between the predicted value</w:t>
      </w:r>
      <w:r>
        <w:rPr>
          <w:rFonts w:ascii="Times New Roman" w:hAnsi="Times New Roman" w:cs="Times New Roman"/>
          <w:sz w:val="20"/>
          <w:szCs w:val="20"/>
          <w:lang w:val="en-US" w:eastAsia="pt-BR"/>
        </w:rPr>
        <w:t xml:space="preserve"> </w:t>
      </w:r>
      <m:oMath>
        <m:sSubSup>
          <m:sSubSupPr>
            <m:ctrlPr>
              <w:rPr>
                <w:rFonts w:ascii="Cambria Math" w:hAnsi="Cambria Math" w:cs="Times New Roman"/>
                <w:i/>
                <w:sz w:val="20"/>
                <w:szCs w:val="20"/>
                <w:lang w:val="en-US" w:eastAsia="pt-BR"/>
              </w:rPr>
            </m:ctrlPr>
          </m:sSubSupPr>
          <m:e>
            <m:r>
              <w:rPr>
                <w:rFonts w:ascii="Cambria Math" w:hAnsi="Cambria Math" w:cs="Times New Roman"/>
                <w:sz w:val="20"/>
                <w:szCs w:val="20"/>
                <w:lang w:val="en-US" w:eastAsia="pt-BR"/>
              </w:rPr>
              <m:t>(y</m:t>
            </m:r>
          </m:e>
          <m:sub>
            <m:r>
              <w:rPr>
                <w:rFonts w:ascii="Cambria Math" w:hAnsi="Cambria Math" w:cs="Times New Roman"/>
                <w:sz w:val="20"/>
                <w:szCs w:val="20"/>
                <w:lang w:val="en-US" w:eastAsia="pt-BR"/>
              </w:rPr>
              <m:t>i</m:t>
            </m:r>
          </m:sub>
          <m:sup>
            <m:r>
              <w:rPr>
                <w:rFonts w:ascii="Cambria Math" w:hAnsi="Cambria Math" w:cs="Times New Roman"/>
                <w:sz w:val="20"/>
                <w:szCs w:val="20"/>
                <w:lang w:val="en-US" w:eastAsia="pt-BR"/>
              </w:rPr>
              <m:t>*</m:t>
            </m:r>
          </m:sup>
        </m:sSubSup>
        <m:r>
          <w:rPr>
            <w:rFonts w:ascii="Cambria Math" w:hAnsi="Cambria Math" w:cs="Times New Roman"/>
            <w:sz w:val="20"/>
            <w:szCs w:val="20"/>
            <w:lang w:val="en-US" w:eastAsia="pt-BR"/>
          </w:rPr>
          <m:t>)</m:t>
        </m:r>
      </m:oMath>
      <w:r w:rsidRPr="0057397D">
        <w:rPr>
          <w:rFonts w:ascii="Times New Roman" w:hAnsi="Times New Roman" w:cs="Times New Roman"/>
          <w:sz w:val="20"/>
          <w:szCs w:val="20"/>
          <w:lang w:val="en-US" w:eastAsia="pt-BR"/>
        </w:rPr>
        <w:t>and the experimental</w:t>
      </w:r>
      <w:r>
        <w:rPr>
          <w:rFonts w:ascii="Times New Roman" w:hAnsi="Times New Roman" w:cs="Times New Roman"/>
          <w:sz w:val="20"/>
          <w:szCs w:val="20"/>
          <w:lang w:val="en-US" w:eastAsia="pt-BR"/>
        </w:rPr>
        <w:t xml:space="preserve"> </w:t>
      </w:r>
      <m:oMath>
        <m:sSubSup>
          <m:sSubSupPr>
            <m:ctrlPr>
              <w:rPr>
                <w:rFonts w:ascii="Cambria Math" w:hAnsi="Cambria Math" w:cs="Times New Roman"/>
                <w:i/>
                <w:sz w:val="20"/>
                <w:szCs w:val="20"/>
                <w:lang w:val="en-US" w:eastAsia="pt-BR"/>
              </w:rPr>
            </m:ctrlPr>
          </m:sSubSupPr>
          <m:e>
            <m:r>
              <w:rPr>
                <w:rFonts w:ascii="Cambria Math" w:hAnsi="Cambria Math" w:cs="Times New Roman"/>
                <w:sz w:val="20"/>
                <w:szCs w:val="20"/>
                <w:lang w:val="en-US" w:eastAsia="pt-BR"/>
              </w:rPr>
              <m:t>(y</m:t>
            </m:r>
          </m:e>
          <m:sub>
            <m:r>
              <w:rPr>
                <w:rFonts w:ascii="Cambria Math" w:hAnsi="Cambria Math" w:cs="Times New Roman"/>
                <w:sz w:val="20"/>
                <w:szCs w:val="20"/>
                <w:lang w:val="en-US" w:eastAsia="pt-BR"/>
              </w:rPr>
              <m:t>i</m:t>
            </m:r>
          </m:sub>
          <m:sup>
            <m:r>
              <w:rPr>
                <w:rFonts w:ascii="Cambria Math" w:hAnsi="Cambria Math" w:cs="Times New Roman"/>
                <w:sz w:val="20"/>
                <w:szCs w:val="20"/>
                <w:lang w:val="en-US" w:eastAsia="pt-BR"/>
              </w:rPr>
              <m:t>e</m:t>
            </m:r>
          </m:sup>
        </m:sSubSup>
        <m:r>
          <w:rPr>
            <w:rFonts w:ascii="Cambria Math" w:hAnsi="Cambria Math" w:cs="Times New Roman"/>
            <w:sz w:val="20"/>
            <w:szCs w:val="20"/>
            <w:lang w:val="en-US" w:eastAsia="pt-BR"/>
          </w:rPr>
          <m:t>)</m:t>
        </m:r>
      </m:oMath>
      <w:r w:rsidRPr="0057397D">
        <w:rPr>
          <w:rFonts w:ascii="Times New Roman" w:hAnsi="Times New Roman" w:cs="Times New Roman"/>
          <w:sz w:val="20"/>
          <w:szCs w:val="20"/>
          <w:lang w:val="en-US" w:eastAsia="pt-BR"/>
        </w:rPr>
        <w:t xml:space="preserve"> values</w:t>
      </w:r>
      <w:r>
        <w:rPr>
          <w:rFonts w:ascii="Times New Roman" w:hAnsi="Times New Roman" w:cs="Times New Roman"/>
          <w:sz w:val="20"/>
          <w:szCs w:val="20"/>
          <w:lang w:val="en-US" w:eastAsia="pt-BR"/>
        </w:rPr>
        <w:t xml:space="preserve">, </w:t>
      </w:r>
      <w:r w:rsidRPr="0057397D">
        <w:rPr>
          <w:rFonts w:ascii="Times New Roman" w:hAnsi="Times New Roman" w:cs="Times New Roman"/>
          <w:sz w:val="20"/>
          <w:szCs w:val="20"/>
          <w:lang w:val="en-US" w:eastAsia="pt-BR"/>
        </w:rPr>
        <w:t>using the normalized molar fractions</w:t>
      </w:r>
      <w:r>
        <w:rPr>
          <w:rFonts w:ascii="Times New Roman" w:hAnsi="Times New Roman" w:cs="Times New Roman"/>
          <w:sz w:val="20"/>
          <w:szCs w:val="20"/>
          <w:lang w:val="en-US" w:eastAsia="pt-BR"/>
        </w:rPr>
        <w:t xml:space="preserve">. </w:t>
      </w:r>
      <w:r w:rsidRPr="0057397D">
        <w:rPr>
          <w:rFonts w:ascii="Times New Roman" w:hAnsi="Times New Roman" w:cs="Times New Roman"/>
          <w:sz w:val="20"/>
          <w:szCs w:val="20"/>
          <w:lang w:val="en-US" w:eastAsia="pt-BR"/>
        </w:rPr>
        <w:t>When</w:t>
      </w:r>
      <w:r>
        <w:rPr>
          <w:rFonts w:ascii="Times New Roman" w:hAnsi="Times New Roman" w:cs="Times New Roman"/>
          <w:sz w:val="20"/>
          <w:szCs w:val="20"/>
          <w:lang w:val="en-US" w:eastAsia="pt-BR"/>
        </w:rPr>
        <w:t xml:space="preserve"> </w:t>
      </w:r>
      <w:r w:rsidRPr="0057397D">
        <w:rPr>
          <w:rFonts w:ascii="Times New Roman" w:hAnsi="Times New Roman" w:cs="Times New Roman"/>
          <w:sz w:val="20"/>
          <w:szCs w:val="20"/>
          <w:lang w:val="en-US" w:eastAsia="pt-BR"/>
        </w:rPr>
        <w:t>all variances are equal (which is usually assumed for models with only one</w:t>
      </w:r>
      <w:r>
        <w:rPr>
          <w:rFonts w:ascii="Times New Roman" w:hAnsi="Times New Roman" w:cs="Times New Roman"/>
          <w:sz w:val="20"/>
          <w:szCs w:val="20"/>
          <w:lang w:val="en-US" w:eastAsia="pt-BR"/>
        </w:rPr>
        <w:t xml:space="preserve"> </w:t>
      </w:r>
      <w:r w:rsidRPr="0057397D">
        <w:rPr>
          <w:rFonts w:ascii="Times New Roman" w:hAnsi="Times New Roman" w:cs="Times New Roman"/>
          <w:sz w:val="20"/>
          <w:szCs w:val="20"/>
          <w:lang w:val="en-US" w:eastAsia="pt-BR"/>
        </w:rPr>
        <w:t>dependent variable</w:t>
      </w:r>
      <w:r>
        <w:rPr>
          <w:rFonts w:ascii="Times New Roman" w:hAnsi="Times New Roman" w:cs="Times New Roman"/>
          <w:sz w:val="20"/>
          <w:szCs w:val="20"/>
          <w:lang w:val="en-US" w:eastAsia="pt-BR"/>
        </w:rPr>
        <w:t>), as follows:</w:t>
      </w:r>
    </w:p>
    <w:p w14:paraId="595F45CD" w14:textId="61BED5E3" w:rsidR="0057397D" w:rsidRDefault="0057397D" w:rsidP="0057397D">
      <w:pPr>
        <w:ind w:firstLine="187"/>
        <w:jc w:val="both"/>
        <w:rPr>
          <w:rFonts w:ascii="Times New Roman" w:hAnsi="Times New Roman" w:cs="Times New Roman"/>
          <w:sz w:val="20"/>
          <w:szCs w:val="20"/>
          <w:lang w:val="en-US" w:eastAsia="pt-BR"/>
        </w:rPr>
      </w:pPr>
      <m:oMathPara>
        <m:oMath>
          <m:r>
            <w:rPr>
              <w:rFonts w:ascii="Cambria Math" w:hAnsi="Cambria Math" w:cs="Times New Roman"/>
              <w:sz w:val="20"/>
              <w:szCs w:val="20"/>
              <w:lang w:val="en-US" w:eastAsia="pt-BR"/>
            </w:rPr>
            <m:t>f</m:t>
          </m:r>
          <m:d>
            <m:dPr>
              <m:ctrlPr>
                <w:rPr>
                  <w:rFonts w:ascii="Cambria Math" w:hAnsi="Cambria Math" w:cs="Times New Roman"/>
                  <w:i/>
                  <w:sz w:val="20"/>
                  <w:szCs w:val="20"/>
                  <w:lang w:val="en-US" w:eastAsia="pt-BR"/>
                </w:rPr>
              </m:ctrlPr>
            </m:dPr>
            <m:e>
              <m:r>
                <w:rPr>
                  <w:rFonts w:ascii="Cambria Math" w:hAnsi="Cambria Math" w:cs="Times New Roman"/>
                  <w:sz w:val="20"/>
                  <w:szCs w:val="20"/>
                  <w:lang w:val="en-US" w:eastAsia="pt-BR"/>
                </w:rPr>
                <m:t>θ</m:t>
              </m:r>
            </m:e>
          </m:d>
          <m:r>
            <w:rPr>
              <w:rFonts w:ascii="Cambria Math" w:hAnsi="Cambria Math" w:cs="Times New Roman"/>
              <w:sz w:val="20"/>
              <w:szCs w:val="20"/>
              <w:lang w:val="en-US" w:eastAsia="pt-BR"/>
            </w:rPr>
            <m:t xml:space="preserve">= </m:t>
          </m:r>
          <m:nary>
            <m:naryPr>
              <m:chr m:val="∑"/>
              <m:limLoc m:val="undOvr"/>
              <m:ctrlPr>
                <w:rPr>
                  <w:rFonts w:ascii="Cambria Math" w:hAnsi="Cambria Math" w:cs="Times New Roman"/>
                  <w:i/>
                  <w:sz w:val="20"/>
                  <w:szCs w:val="20"/>
                  <w:lang w:val="en-US" w:eastAsia="pt-BR"/>
                </w:rPr>
              </m:ctrlPr>
            </m:naryPr>
            <m:sub>
              <m:r>
                <w:rPr>
                  <w:rFonts w:ascii="Cambria Math" w:hAnsi="Cambria Math" w:cs="Times New Roman"/>
                  <w:sz w:val="20"/>
                  <w:szCs w:val="20"/>
                  <w:lang w:val="en-US" w:eastAsia="pt-BR"/>
                </w:rPr>
                <m:t>i=1</m:t>
              </m:r>
            </m:sub>
            <m:sup>
              <m:r>
                <w:rPr>
                  <w:rFonts w:ascii="Cambria Math" w:hAnsi="Cambria Math" w:cs="Times New Roman"/>
                  <w:sz w:val="20"/>
                  <w:szCs w:val="20"/>
                  <w:lang w:val="en-US" w:eastAsia="pt-BR"/>
                </w:rPr>
                <m:t>N</m:t>
              </m:r>
            </m:sup>
            <m:e>
              <m:sSup>
                <m:sSupPr>
                  <m:ctrlPr>
                    <w:rPr>
                      <w:rFonts w:ascii="Cambria Math" w:hAnsi="Cambria Math" w:cs="Times New Roman"/>
                      <w:i/>
                      <w:sz w:val="20"/>
                      <w:szCs w:val="20"/>
                      <w:lang w:val="en-US" w:eastAsia="pt-BR"/>
                    </w:rPr>
                  </m:ctrlPr>
                </m:sSupPr>
                <m:e>
                  <m:r>
                    <w:rPr>
                      <w:rFonts w:ascii="Cambria Math" w:hAnsi="Cambria Math" w:cs="Times New Roman"/>
                      <w:sz w:val="20"/>
                      <w:szCs w:val="20"/>
                      <w:lang w:val="en-US" w:eastAsia="pt-BR"/>
                    </w:rPr>
                    <m:t>(</m:t>
                  </m:r>
                  <m:sSubSup>
                    <m:sSubSupPr>
                      <m:ctrlPr>
                        <w:rPr>
                          <w:rFonts w:ascii="Cambria Math" w:hAnsi="Cambria Math" w:cs="Times New Roman"/>
                          <w:i/>
                          <w:sz w:val="20"/>
                          <w:szCs w:val="20"/>
                          <w:lang w:val="en-US" w:eastAsia="pt-BR"/>
                        </w:rPr>
                      </m:ctrlPr>
                    </m:sSubSupPr>
                    <m:e>
                      <m:r>
                        <w:rPr>
                          <w:rFonts w:ascii="Cambria Math" w:hAnsi="Cambria Math" w:cs="Times New Roman"/>
                          <w:sz w:val="20"/>
                          <w:szCs w:val="20"/>
                          <w:lang w:val="en-US" w:eastAsia="pt-BR"/>
                        </w:rPr>
                        <m:t>y</m:t>
                      </m:r>
                    </m:e>
                    <m:sub>
                      <m:r>
                        <w:rPr>
                          <w:rFonts w:ascii="Cambria Math" w:hAnsi="Cambria Math" w:cs="Times New Roman"/>
                          <w:sz w:val="20"/>
                          <w:szCs w:val="20"/>
                          <w:lang w:val="en-US" w:eastAsia="pt-BR"/>
                        </w:rPr>
                        <m:t>i</m:t>
                      </m:r>
                    </m:sub>
                    <m:sup>
                      <m:r>
                        <w:rPr>
                          <w:rFonts w:ascii="Cambria Math" w:hAnsi="Cambria Math" w:cs="Times New Roman"/>
                          <w:sz w:val="20"/>
                          <w:szCs w:val="20"/>
                          <w:lang w:val="en-US" w:eastAsia="pt-BR"/>
                        </w:rPr>
                        <m:t>*</m:t>
                      </m:r>
                    </m:sup>
                  </m:sSubSup>
                  <m:r>
                    <w:rPr>
                      <w:rFonts w:ascii="Cambria Math" w:hAnsi="Cambria Math" w:cs="Times New Roman"/>
                      <w:sz w:val="20"/>
                      <w:szCs w:val="20"/>
                      <w:lang w:val="en-US" w:eastAsia="pt-BR"/>
                    </w:rPr>
                    <m:t>-</m:t>
                  </m:r>
                  <m:sSubSup>
                    <m:sSubSupPr>
                      <m:ctrlPr>
                        <w:rPr>
                          <w:rFonts w:ascii="Cambria Math" w:hAnsi="Cambria Math" w:cs="Times New Roman"/>
                          <w:i/>
                          <w:sz w:val="20"/>
                          <w:szCs w:val="20"/>
                          <w:lang w:val="en-US" w:eastAsia="pt-BR"/>
                        </w:rPr>
                      </m:ctrlPr>
                    </m:sSubSupPr>
                    <m:e>
                      <m:r>
                        <w:rPr>
                          <w:rFonts w:ascii="Cambria Math" w:hAnsi="Cambria Math" w:cs="Times New Roman"/>
                          <w:sz w:val="20"/>
                          <w:szCs w:val="20"/>
                          <w:lang w:val="en-US" w:eastAsia="pt-BR"/>
                        </w:rPr>
                        <m:t>y</m:t>
                      </m:r>
                    </m:e>
                    <m:sub>
                      <m:r>
                        <w:rPr>
                          <w:rFonts w:ascii="Cambria Math" w:hAnsi="Cambria Math" w:cs="Times New Roman"/>
                          <w:sz w:val="20"/>
                          <w:szCs w:val="20"/>
                          <w:lang w:val="en-US" w:eastAsia="pt-BR"/>
                        </w:rPr>
                        <m:t>i</m:t>
                      </m:r>
                    </m:sub>
                    <m:sup>
                      <m:r>
                        <w:rPr>
                          <w:rFonts w:ascii="Cambria Math" w:hAnsi="Cambria Math" w:cs="Times New Roman"/>
                          <w:sz w:val="20"/>
                          <w:szCs w:val="20"/>
                          <w:lang w:val="en-US" w:eastAsia="pt-BR"/>
                        </w:rPr>
                        <m:t>e</m:t>
                      </m:r>
                    </m:sup>
                  </m:sSubSup>
                  <m:r>
                    <w:rPr>
                      <w:rFonts w:ascii="Cambria Math" w:hAnsi="Cambria Math" w:cs="Times New Roman"/>
                      <w:sz w:val="20"/>
                      <w:szCs w:val="20"/>
                      <w:lang w:val="en-US" w:eastAsia="pt-BR"/>
                    </w:rPr>
                    <m:t>)</m:t>
                  </m:r>
                </m:e>
                <m:sup>
                  <m:r>
                    <w:rPr>
                      <w:rFonts w:ascii="Cambria Math" w:hAnsi="Cambria Math" w:cs="Times New Roman"/>
                      <w:sz w:val="20"/>
                      <w:szCs w:val="20"/>
                      <w:lang w:val="en-US" w:eastAsia="pt-BR"/>
                    </w:rPr>
                    <m:t>2</m:t>
                  </m:r>
                </m:sup>
              </m:sSup>
            </m:e>
          </m:nary>
          <m:r>
            <w:rPr>
              <w:rFonts w:ascii="Cambria Math" w:hAnsi="Cambria Math" w:cs="Times New Roman"/>
              <w:sz w:val="20"/>
              <w:szCs w:val="20"/>
              <w:lang w:val="en-US" w:eastAsia="pt-BR"/>
            </w:rPr>
            <m:t xml:space="preserve">   </m:t>
          </m:r>
          <m:r>
            <w:rPr>
              <w:rFonts w:ascii="Cambria Math" w:hAnsi="Cambria Math"/>
              <w:sz w:val="18"/>
              <w:szCs w:val="18"/>
              <w:lang w:val="en-US" w:eastAsia="pt-BR"/>
            </w:rPr>
            <m:t>eq.6</m:t>
          </m:r>
          <m:r>
            <w:rPr>
              <w:rFonts w:ascii="Cambria Math" w:hAnsi="Cambria Math" w:cs="Times New Roman"/>
              <w:sz w:val="20"/>
              <w:szCs w:val="20"/>
              <w:lang w:val="en-US" w:eastAsia="pt-BR"/>
            </w:rPr>
            <m:t xml:space="preserve">  </m:t>
          </m:r>
        </m:oMath>
      </m:oMathPara>
    </w:p>
    <w:p w14:paraId="71C957FE" w14:textId="559E3D45" w:rsidR="00452C7F" w:rsidRDefault="0057397D" w:rsidP="00452C7F">
      <w:pPr>
        <w:ind w:firstLine="187"/>
        <w:jc w:val="both"/>
        <w:rPr>
          <w:rFonts w:ascii="Times New Roman" w:hAnsi="Times New Roman" w:cs="Times New Roman"/>
          <w:sz w:val="20"/>
          <w:szCs w:val="20"/>
          <w:lang w:val="en-US" w:eastAsia="pt-BR"/>
        </w:rPr>
      </w:pPr>
      <w:r w:rsidRPr="0057397D">
        <w:rPr>
          <w:rFonts w:ascii="Times New Roman" w:hAnsi="Times New Roman" w:cs="Times New Roman"/>
          <w:sz w:val="20"/>
          <w:szCs w:val="20"/>
          <w:lang w:val="en-US" w:eastAsia="pt-BR"/>
        </w:rPr>
        <w:t xml:space="preserve">In order to estimate the vector parameter </w:t>
      </w:r>
      <w:r w:rsidRPr="0057397D">
        <w:rPr>
          <w:rFonts w:ascii="Times New Roman" w:hAnsi="Times New Roman" w:cs="Times New Roman"/>
          <w:i/>
          <w:iCs/>
          <w:sz w:val="20"/>
          <w:szCs w:val="20"/>
          <w:lang w:val="en-US" w:eastAsia="pt-BR"/>
        </w:rPr>
        <w:t>θ</w:t>
      </w:r>
      <w:r w:rsidRPr="0057397D">
        <w:rPr>
          <w:rFonts w:ascii="Times New Roman" w:hAnsi="Times New Roman" w:cs="Times New Roman"/>
          <w:sz w:val="20"/>
          <w:szCs w:val="20"/>
          <w:lang w:val="en-US" w:eastAsia="pt-BR"/>
        </w:rPr>
        <w:t xml:space="preserve">, a stochastic optimization algorithm was implemented in Python 3.10.0, based on the well-known Particle Swarm Optimization </w:t>
      </w:r>
      <w:r>
        <w:rPr>
          <w:rFonts w:ascii="Times New Roman" w:hAnsi="Times New Roman" w:cs="Times New Roman"/>
          <w:sz w:val="20"/>
          <w:szCs w:val="20"/>
          <w:lang w:val="en-US" w:eastAsia="pt-BR"/>
        </w:rPr>
        <w:t>(11-12).</w:t>
      </w:r>
    </w:p>
    <w:p w14:paraId="34289FC9" w14:textId="5D8DB228" w:rsidR="004006F9" w:rsidRDefault="004006F9" w:rsidP="00452C7F">
      <w:pPr>
        <w:ind w:firstLine="187"/>
        <w:jc w:val="both"/>
        <w:rPr>
          <w:rFonts w:ascii="Times New Roman" w:hAnsi="Times New Roman" w:cs="Times New Roman"/>
          <w:sz w:val="20"/>
          <w:szCs w:val="20"/>
          <w:lang w:val="en-US" w:eastAsia="pt-BR"/>
        </w:rPr>
      </w:pPr>
      <w:r w:rsidRPr="004006F9">
        <w:rPr>
          <w:rFonts w:ascii="Times New Roman" w:hAnsi="Times New Roman" w:cs="Times New Roman"/>
          <w:sz w:val="20"/>
          <w:szCs w:val="20"/>
          <w:lang w:val="en-US" w:eastAsia="pt-BR"/>
        </w:rPr>
        <w:t xml:space="preserve">The computation of the confidence region of model parameters of nonlinear models can constitute a big challenge. Beale </w:t>
      </w:r>
      <w:r>
        <w:rPr>
          <w:rFonts w:ascii="Times New Roman" w:hAnsi="Times New Roman" w:cs="Times New Roman"/>
          <w:sz w:val="20"/>
          <w:szCs w:val="20"/>
          <w:lang w:val="en-US" w:eastAsia="pt-BR"/>
        </w:rPr>
        <w:t>(12)</w:t>
      </w:r>
      <w:r w:rsidRPr="004006F9">
        <w:rPr>
          <w:rFonts w:ascii="Times New Roman" w:hAnsi="Times New Roman" w:cs="Times New Roman"/>
          <w:sz w:val="20"/>
          <w:szCs w:val="20"/>
          <w:lang w:val="en-US" w:eastAsia="pt-BR"/>
        </w:rPr>
        <w:t xml:space="preserve"> was the first to propose the use of </w:t>
      </w:r>
      <w:r>
        <w:rPr>
          <w:rFonts w:ascii="Times New Roman" w:hAnsi="Times New Roman" w:cs="Times New Roman"/>
          <w:sz w:val="20"/>
          <w:szCs w:val="20"/>
          <w:lang w:val="en-US" w:eastAsia="pt-BR"/>
        </w:rPr>
        <w:t>eq. 7</w:t>
      </w:r>
      <w:r w:rsidRPr="004006F9">
        <w:rPr>
          <w:rFonts w:ascii="Times New Roman" w:hAnsi="Times New Roman" w:cs="Times New Roman"/>
          <w:sz w:val="20"/>
          <w:szCs w:val="20"/>
          <w:lang w:val="en-US" w:eastAsia="pt-BR"/>
        </w:rPr>
        <w:t xml:space="preserve"> for evaluation of confidence regions in nonlinear estimation problems. Schwaab et al. </w:t>
      </w:r>
      <w:r>
        <w:rPr>
          <w:rFonts w:ascii="Times New Roman" w:hAnsi="Times New Roman" w:cs="Times New Roman"/>
          <w:sz w:val="20"/>
          <w:szCs w:val="20"/>
          <w:lang w:val="en-US" w:eastAsia="pt-BR"/>
        </w:rPr>
        <w:t>(13)</w:t>
      </w:r>
      <w:r w:rsidRPr="004006F9">
        <w:rPr>
          <w:rFonts w:ascii="Times New Roman" w:hAnsi="Times New Roman" w:cs="Times New Roman"/>
          <w:sz w:val="20"/>
          <w:szCs w:val="20"/>
          <w:lang w:val="en-US" w:eastAsia="pt-BR"/>
        </w:rPr>
        <w:t xml:space="preserve"> used this equation to obtain the likelihood confidence region:</w:t>
      </w:r>
    </w:p>
    <w:p w14:paraId="0118321F" w14:textId="25A542C8" w:rsidR="009F6985" w:rsidRDefault="009F6985" w:rsidP="009F6985">
      <w:pPr>
        <w:ind w:firstLine="187"/>
        <w:jc w:val="center"/>
        <w:rPr>
          <w:rFonts w:ascii="Times New Roman" w:hAnsi="Times New Roman" w:cs="Times New Roman"/>
          <w:sz w:val="20"/>
          <w:szCs w:val="20"/>
          <w:lang w:val="en-US" w:eastAsia="pt-BR"/>
        </w:rPr>
      </w:pPr>
      <m:oMath>
        <m:r>
          <w:rPr>
            <w:rFonts w:ascii="Cambria Math" w:hAnsi="Cambria Math" w:cs="Times New Roman"/>
            <w:sz w:val="20"/>
            <w:szCs w:val="20"/>
            <w:lang w:val="en-US" w:eastAsia="pt-BR"/>
          </w:rPr>
          <m:t>f</m:t>
        </m:r>
        <m:d>
          <m:dPr>
            <m:ctrlPr>
              <w:rPr>
                <w:rFonts w:ascii="Cambria Math" w:hAnsi="Cambria Math" w:cs="Times New Roman"/>
                <w:i/>
                <w:sz w:val="20"/>
                <w:szCs w:val="20"/>
                <w:lang w:val="en-US" w:eastAsia="pt-BR"/>
              </w:rPr>
            </m:ctrlPr>
          </m:dPr>
          <m:e>
            <m:r>
              <w:rPr>
                <w:rFonts w:ascii="Cambria Math" w:hAnsi="Cambria Math" w:cs="Times New Roman"/>
                <w:sz w:val="20"/>
                <w:szCs w:val="20"/>
                <w:lang w:val="en-US" w:eastAsia="pt-BR"/>
              </w:rPr>
              <m:t>θ</m:t>
            </m:r>
          </m:e>
        </m:d>
        <m:r>
          <w:rPr>
            <w:rFonts w:ascii="Cambria Math" w:hAnsi="Cambria Math" w:cs="Times New Roman"/>
            <w:sz w:val="20"/>
            <w:szCs w:val="20"/>
            <w:lang w:val="en-US" w:eastAsia="pt-BR"/>
          </w:rPr>
          <m:t>≤f</m:t>
        </m:r>
        <m:d>
          <m:dPr>
            <m:ctrlPr>
              <w:rPr>
                <w:rFonts w:ascii="Cambria Math" w:hAnsi="Cambria Math" w:cs="Times New Roman"/>
                <w:i/>
                <w:sz w:val="20"/>
                <w:szCs w:val="20"/>
                <w:lang w:val="en-US" w:eastAsia="pt-BR"/>
              </w:rPr>
            </m:ctrlPr>
          </m:dPr>
          <m:e>
            <m:bar>
              <m:barPr>
                <m:pos m:val="top"/>
                <m:ctrlPr>
                  <w:rPr>
                    <w:rFonts w:ascii="Cambria Math" w:hAnsi="Cambria Math" w:cs="Times New Roman"/>
                    <w:i/>
                    <w:sz w:val="20"/>
                    <w:szCs w:val="20"/>
                    <w:lang w:val="en-US" w:eastAsia="pt-BR"/>
                  </w:rPr>
                </m:ctrlPr>
              </m:barPr>
              <m:e>
                <m:r>
                  <w:rPr>
                    <w:rFonts w:ascii="Cambria Math" w:hAnsi="Cambria Math" w:cs="Times New Roman"/>
                    <w:sz w:val="20"/>
                    <w:szCs w:val="20"/>
                    <w:lang w:val="en-US" w:eastAsia="pt-BR"/>
                  </w:rPr>
                  <m:t>θ</m:t>
                </m:r>
              </m:e>
            </m:bar>
          </m:e>
        </m:d>
        <m:d>
          <m:dPr>
            <m:ctrlPr>
              <w:rPr>
                <w:rFonts w:ascii="Cambria Math" w:hAnsi="Cambria Math" w:cs="Times New Roman"/>
                <w:i/>
                <w:sz w:val="20"/>
                <w:szCs w:val="20"/>
                <w:lang w:val="en-US" w:eastAsia="pt-BR"/>
              </w:rPr>
            </m:ctrlPr>
          </m:dPr>
          <m:e>
            <m:r>
              <w:rPr>
                <w:rFonts w:ascii="Cambria Math" w:hAnsi="Cambria Math" w:cs="Times New Roman"/>
                <w:sz w:val="20"/>
                <w:szCs w:val="20"/>
                <w:lang w:val="en-US" w:eastAsia="pt-BR"/>
              </w:rPr>
              <m:t>1+</m:t>
            </m:r>
            <m:f>
              <m:fPr>
                <m:ctrlPr>
                  <w:rPr>
                    <w:rFonts w:ascii="Cambria Math" w:hAnsi="Cambria Math" w:cs="Times New Roman"/>
                    <w:i/>
                    <w:sz w:val="20"/>
                    <w:szCs w:val="20"/>
                    <w:lang w:val="en-US" w:eastAsia="pt-BR"/>
                  </w:rPr>
                </m:ctrlPr>
              </m:fPr>
              <m:num>
                <m:r>
                  <w:rPr>
                    <w:rFonts w:ascii="Cambria Math" w:hAnsi="Cambria Math" w:cs="Times New Roman"/>
                    <w:sz w:val="20"/>
                    <w:szCs w:val="20"/>
                    <w:lang w:val="en-US" w:eastAsia="pt-BR"/>
                  </w:rPr>
                  <m:t>n</m:t>
                </m:r>
              </m:num>
              <m:den>
                <m:r>
                  <w:rPr>
                    <w:rFonts w:ascii="Cambria Math" w:hAnsi="Cambria Math" w:cs="Times New Roman"/>
                    <w:sz w:val="20"/>
                    <w:szCs w:val="20"/>
                    <w:lang w:val="en-US" w:eastAsia="pt-BR"/>
                  </w:rPr>
                  <m:t>N-n</m:t>
                </m:r>
              </m:den>
            </m:f>
            <m:r>
              <w:rPr>
                <w:rFonts w:ascii="Cambria Math" w:hAnsi="Cambria Math" w:cs="Times New Roman"/>
                <w:sz w:val="20"/>
                <w:szCs w:val="20"/>
                <w:lang w:val="en-US" w:eastAsia="pt-BR"/>
              </w:rPr>
              <m:t xml:space="preserve"> </m:t>
            </m:r>
            <m:sSubSup>
              <m:sSubSupPr>
                <m:ctrlPr>
                  <w:rPr>
                    <w:rFonts w:ascii="Cambria Math" w:hAnsi="Cambria Math" w:cs="Times New Roman"/>
                    <w:i/>
                    <w:sz w:val="20"/>
                    <w:szCs w:val="20"/>
                    <w:lang w:val="en-US" w:eastAsia="pt-BR"/>
                  </w:rPr>
                </m:ctrlPr>
              </m:sSubSupPr>
              <m:e>
                <m:r>
                  <w:rPr>
                    <w:rFonts w:ascii="Cambria Math" w:hAnsi="Cambria Math" w:cs="Times New Roman"/>
                    <w:sz w:val="20"/>
                    <w:szCs w:val="20"/>
                    <w:lang w:val="en-US" w:eastAsia="pt-BR"/>
                  </w:rPr>
                  <m:t>F</m:t>
                </m:r>
              </m:e>
              <m:sub>
                <m:r>
                  <w:rPr>
                    <w:rFonts w:ascii="Cambria Math" w:hAnsi="Cambria Math" w:cs="Times New Roman"/>
                    <w:sz w:val="20"/>
                    <w:szCs w:val="20"/>
                    <w:lang w:val="en-US" w:eastAsia="pt-BR"/>
                  </w:rPr>
                  <m:t>n,N-n</m:t>
                </m:r>
              </m:sub>
              <m:sup>
                <m:r>
                  <w:rPr>
                    <w:rFonts w:ascii="Cambria Math" w:hAnsi="Cambria Math" w:cs="Times New Roman"/>
                    <w:sz w:val="20"/>
                    <w:szCs w:val="20"/>
                    <w:lang w:val="en-US" w:eastAsia="pt-BR"/>
                  </w:rPr>
                  <m:t>1-α</m:t>
                </m:r>
              </m:sup>
            </m:sSubSup>
          </m:e>
        </m:d>
        <m:r>
          <w:rPr>
            <w:rFonts w:ascii="Cambria Math" w:hAnsi="Cambria Math" w:cs="Times New Roman"/>
            <w:sz w:val="20"/>
            <w:szCs w:val="20"/>
            <w:lang w:val="en-US" w:eastAsia="pt-BR"/>
          </w:rPr>
          <m:t xml:space="preserve"> </m:t>
        </m:r>
      </m:oMath>
      <w:r>
        <w:rPr>
          <w:rFonts w:ascii="Times New Roman" w:hAnsi="Times New Roman" w:cs="Times New Roman"/>
          <w:sz w:val="20"/>
          <w:szCs w:val="20"/>
          <w:lang w:val="en-US" w:eastAsia="pt-BR"/>
        </w:rPr>
        <w:t xml:space="preserve"> </w:t>
      </w:r>
      <w:r w:rsidRPr="009F6985">
        <w:rPr>
          <w:rFonts w:ascii="Times New Roman" w:hAnsi="Times New Roman" w:cs="Times New Roman"/>
          <w:i/>
          <w:iCs/>
          <w:sz w:val="20"/>
          <w:szCs w:val="20"/>
          <w:lang w:val="en-US" w:eastAsia="pt-BR"/>
        </w:rPr>
        <w:t xml:space="preserve">eq. </w:t>
      </w:r>
      <w:r>
        <w:rPr>
          <w:rFonts w:ascii="Times New Roman" w:hAnsi="Times New Roman" w:cs="Times New Roman"/>
          <w:i/>
          <w:iCs/>
          <w:sz w:val="20"/>
          <w:szCs w:val="20"/>
          <w:lang w:val="en-US" w:eastAsia="pt-BR"/>
        </w:rPr>
        <w:t>7</w:t>
      </w:r>
    </w:p>
    <w:p w14:paraId="26909467" w14:textId="33CCA09E" w:rsidR="009F6985" w:rsidRDefault="009F6985" w:rsidP="00452C7F">
      <w:pPr>
        <w:ind w:firstLine="187"/>
        <w:jc w:val="both"/>
        <w:rPr>
          <w:rFonts w:ascii="Times New Roman" w:hAnsi="Times New Roman" w:cs="Times New Roman"/>
          <w:sz w:val="20"/>
          <w:szCs w:val="20"/>
          <w:lang w:val="en-US" w:eastAsia="pt-BR"/>
        </w:rPr>
      </w:pPr>
      <w:r w:rsidRPr="009F6985">
        <w:rPr>
          <w:rFonts w:ascii="Times New Roman" w:hAnsi="Times New Roman" w:cs="Times New Roman"/>
          <w:sz w:val="20"/>
          <w:szCs w:val="20"/>
          <w:lang w:val="en-US" w:eastAsia="pt-BR"/>
        </w:rPr>
        <w:t xml:space="preserve">where </w:t>
      </w:r>
      <w:r w:rsidRPr="009F6985">
        <w:rPr>
          <w:rFonts w:ascii="Times New Roman" w:hAnsi="Times New Roman" w:cs="Times New Roman"/>
          <w:i/>
          <w:iCs/>
          <w:sz w:val="20"/>
          <w:szCs w:val="20"/>
          <w:lang w:val="en-US" w:eastAsia="pt-BR"/>
        </w:rPr>
        <w:t>n</w:t>
      </w:r>
      <w:r w:rsidRPr="009F6985">
        <w:rPr>
          <w:rFonts w:ascii="Times New Roman" w:hAnsi="Times New Roman" w:cs="Times New Roman"/>
          <w:sz w:val="20"/>
          <w:szCs w:val="20"/>
          <w:lang w:val="en-US" w:eastAsia="pt-BR"/>
        </w:rPr>
        <w:t xml:space="preserve"> is the number of estimated model parameters and the F value is computed with the classic F-distribution with confidence level of 95%. Fortunately, the application of heuristic methods — as performed in the present work — generates many candidates that satisfy </w:t>
      </w:r>
      <w:r>
        <w:rPr>
          <w:rFonts w:ascii="Times New Roman" w:hAnsi="Times New Roman" w:cs="Times New Roman"/>
          <w:sz w:val="20"/>
          <w:szCs w:val="20"/>
          <w:lang w:val="en-US" w:eastAsia="pt-BR"/>
        </w:rPr>
        <w:t>eq. 7</w:t>
      </w:r>
      <w:r w:rsidRPr="009F6985">
        <w:rPr>
          <w:rFonts w:ascii="Times New Roman" w:hAnsi="Times New Roman" w:cs="Times New Roman"/>
          <w:sz w:val="20"/>
          <w:szCs w:val="20"/>
          <w:lang w:val="en-US" w:eastAsia="pt-BR"/>
        </w:rPr>
        <w:t xml:space="preserve"> and reveal the detailed shape of the confidence region of model parameters</w:t>
      </w:r>
      <w:r>
        <w:rPr>
          <w:rFonts w:ascii="Times New Roman" w:hAnsi="Times New Roman" w:cs="Times New Roman"/>
          <w:sz w:val="20"/>
          <w:szCs w:val="20"/>
          <w:lang w:val="en-US" w:eastAsia="pt-BR"/>
        </w:rPr>
        <w:t>.</w:t>
      </w:r>
    </w:p>
    <w:p w14:paraId="35A7ABA4" w14:textId="09656346" w:rsidR="0057397D" w:rsidRDefault="0057397D" w:rsidP="0057397D">
      <w:pPr>
        <w:pStyle w:val="Heading2"/>
        <w:rPr>
          <w:rFonts w:ascii="Helvetica" w:hAnsi="Helvetica" w:cs="Helvetica"/>
          <w:sz w:val="24"/>
          <w:szCs w:val="24"/>
          <w:lang w:val="en-US"/>
        </w:rPr>
      </w:pPr>
      <w:r>
        <w:rPr>
          <w:rFonts w:ascii="Helvetica" w:hAnsi="Helvetica" w:cs="Helvetica"/>
          <w:sz w:val="24"/>
          <w:szCs w:val="24"/>
          <w:lang w:val="en-US"/>
        </w:rPr>
        <w:t>Experimental</w:t>
      </w:r>
    </w:p>
    <w:p w14:paraId="63438E14" w14:textId="0CC8673F" w:rsidR="00B72C49" w:rsidRPr="00B72C49" w:rsidRDefault="00B72C49" w:rsidP="00B72C49">
      <w:pPr>
        <w:ind w:firstLine="187"/>
        <w:jc w:val="both"/>
        <w:rPr>
          <w:rFonts w:ascii="Times New Roman" w:hAnsi="Times New Roman" w:cs="Times New Roman"/>
          <w:sz w:val="20"/>
          <w:szCs w:val="20"/>
          <w:lang w:val="en-US" w:eastAsia="pt-BR"/>
        </w:rPr>
      </w:pPr>
      <w:r w:rsidRPr="00B72C49">
        <w:rPr>
          <w:rFonts w:ascii="Times New Roman" w:hAnsi="Times New Roman" w:cs="Times New Roman"/>
          <w:sz w:val="20"/>
          <w:szCs w:val="20"/>
          <w:lang w:val="en-US" w:eastAsia="pt-BR"/>
        </w:rPr>
        <w:t>Co/SiO</w:t>
      </w:r>
      <w:r w:rsidRPr="00B72C49">
        <w:rPr>
          <w:rFonts w:ascii="Times New Roman" w:hAnsi="Times New Roman" w:cs="Times New Roman"/>
          <w:sz w:val="20"/>
          <w:szCs w:val="20"/>
          <w:vertAlign w:val="subscript"/>
          <w:lang w:val="en-US" w:eastAsia="pt-BR"/>
        </w:rPr>
        <w:t>2</w:t>
      </w:r>
      <w:r w:rsidRPr="00B72C49">
        <w:rPr>
          <w:rFonts w:ascii="Times New Roman" w:hAnsi="Times New Roman" w:cs="Times New Roman"/>
          <w:sz w:val="20"/>
          <w:szCs w:val="20"/>
          <w:lang w:val="en-US" w:eastAsia="pt-BR"/>
        </w:rPr>
        <w:t xml:space="preserve"> catalyst preparation via incipient wetness has been reported by Smarzaro et al. </w:t>
      </w:r>
      <w:r>
        <w:rPr>
          <w:rFonts w:ascii="Times New Roman" w:hAnsi="Times New Roman" w:cs="Times New Roman"/>
          <w:sz w:val="20"/>
          <w:szCs w:val="20"/>
          <w:lang w:val="en-US" w:eastAsia="pt-BR"/>
        </w:rPr>
        <w:t>(7)</w:t>
      </w:r>
      <w:r w:rsidRPr="00B72C49">
        <w:rPr>
          <w:rFonts w:ascii="Times New Roman" w:hAnsi="Times New Roman" w:cs="Times New Roman"/>
          <w:sz w:val="20"/>
          <w:szCs w:val="20"/>
          <w:lang w:val="en-US" w:eastAsia="pt-BR"/>
        </w:rPr>
        <w:t>. Particularly, the amount of precursor was designed to provide a catalyst with cobalt loading of 10 wt%.</w:t>
      </w:r>
    </w:p>
    <w:p w14:paraId="0D41F02D" w14:textId="4C47EA47" w:rsidR="0057397D" w:rsidRPr="008260AE" w:rsidRDefault="00B72C49" w:rsidP="00B72C49">
      <w:pPr>
        <w:ind w:firstLine="187"/>
        <w:jc w:val="both"/>
        <w:rPr>
          <w:rFonts w:ascii="Times New Roman" w:hAnsi="Times New Roman" w:cs="Times New Roman"/>
          <w:sz w:val="20"/>
          <w:szCs w:val="20"/>
          <w:lang w:val="en-US" w:eastAsia="pt-BR"/>
        </w:rPr>
      </w:pPr>
      <w:r w:rsidRPr="00B72C49">
        <w:rPr>
          <w:rFonts w:ascii="Times New Roman" w:hAnsi="Times New Roman" w:cs="Times New Roman"/>
          <w:sz w:val="20"/>
          <w:szCs w:val="20"/>
          <w:lang w:val="en-US" w:eastAsia="pt-BR"/>
        </w:rPr>
        <w:t>The reaction experiments were performed in a fixed-bed reactor, using α-Al</w:t>
      </w:r>
      <w:r w:rsidRPr="00B72C49">
        <w:rPr>
          <w:rFonts w:ascii="Times New Roman" w:hAnsi="Times New Roman" w:cs="Times New Roman"/>
          <w:sz w:val="20"/>
          <w:szCs w:val="20"/>
          <w:vertAlign w:val="subscript"/>
          <w:lang w:val="en-US" w:eastAsia="pt-BR"/>
        </w:rPr>
        <w:t>2</w:t>
      </w:r>
      <w:r w:rsidRPr="00B72C49">
        <w:rPr>
          <w:rFonts w:ascii="Times New Roman" w:hAnsi="Times New Roman" w:cs="Times New Roman"/>
          <w:sz w:val="20"/>
          <w:szCs w:val="20"/>
          <w:lang w:val="en-US" w:eastAsia="pt-BR"/>
        </w:rPr>
        <w:t>O</w:t>
      </w:r>
      <w:r w:rsidRPr="00B72C49">
        <w:rPr>
          <w:rFonts w:ascii="Times New Roman" w:hAnsi="Times New Roman" w:cs="Times New Roman"/>
          <w:sz w:val="20"/>
          <w:szCs w:val="20"/>
          <w:vertAlign w:val="subscript"/>
          <w:lang w:val="en-US" w:eastAsia="pt-BR"/>
        </w:rPr>
        <w:t>3</w:t>
      </w:r>
      <w:r w:rsidRPr="00B72C49">
        <w:rPr>
          <w:rFonts w:ascii="Times New Roman" w:hAnsi="Times New Roman" w:cs="Times New Roman"/>
          <w:sz w:val="20"/>
          <w:szCs w:val="20"/>
          <w:lang w:val="en-US" w:eastAsia="pt-BR"/>
        </w:rPr>
        <w:t xml:space="preserve"> as a diluent. The catalytic tests followed three consecutive steps: reduction, cleaning, and reaction. In the first step, the GHSV was equal to 10 L h</w:t>
      </w:r>
      <w:r w:rsidRPr="00B72C49">
        <w:rPr>
          <w:rFonts w:ascii="Times New Roman" w:hAnsi="Times New Roman" w:cs="Times New Roman"/>
          <w:sz w:val="20"/>
          <w:szCs w:val="20"/>
          <w:vertAlign w:val="superscript"/>
          <w:lang w:val="en-US" w:eastAsia="pt-BR"/>
        </w:rPr>
        <w:t>−1</w:t>
      </w:r>
      <w:r w:rsidRPr="00B72C49">
        <w:rPr>
          <w:rFonts w:ascii="Times New Roman" w:hAnsi="Times New Roman" w:cs="Times New Roman"/>
          <w:sz w:val="20"/>
          <w:szCs w:val="20"/>
          <w:lang w:val="en-US" w:eastAsia="pt-BR"/>
        </w:rPr>
        <w:t xml:space="preserve"> g</w:t>
      </w:r>
      <w:r w:rsidRPr="00B72C49">
        <w:rPr>
          <w:rFonts w:ascii="Times New Roman" w:hAnsi="Times New Roman" w:cs="Times New Roman"/>
          <w:sz w:val="20"/>
          <w:szCs w:val="20"/>
          <w:vertAlign w:val="superscript"/>
          <w:lang w:val="en-US" w:eastAsia="pt-BR"/>
        </w:rPr>
        <w:t>−1</w:t>
      </w:r>
      <w:r w:rsidRPr="00B72C49">
        <w:rPr>
          <w:rFonts w:ascii="Times New Roman" w:hAnsi="Times New Roman" w:cs="Times New Roman"/>
          <w:sz w:val="20"/>
          <w:szCs w:val="20"/>
          <w:lang w:val="en-US" w:eastAsia="pt-BR"/>
        </w:rPr>
        <w:t xml:space="preserve"> under hydrogen atmosphere and the reaction temperature was increased at a rate of 5 °C min</w:t>
      </w:r>
      <w:r w:rsidRPr="00B72C49">
        <w:rPr>
          <w:rFonts w:ascii="Times New Roman" w:hAnsi="Times New Roman" w:cs="Times New Roman"/>
          <w:sz w:val="20"/>
          <w:szCs w:val="20"/>
          <w:vertAlign w:val="superscript"/>
          <w:lang w:val="en-US" w:eastAsia="pt-BR"/>
        </w:rPr>
        <w:t>−1</w:t>
      </w:r>
      <w:r w:rsidRPr="00B72C49">
        <w:rPr>
          <w:rFonts w:ascii="Times New Roman" w:hAnsi="Times New Roman" w:cs="Times New Roman"/>
          <w:sz w:val="20"/>
          <w:szCs w:val="20"/>
          <w:lang w:val="en-US" w:eastAsia="pt-BR"/>
        </w:rPr>
        <w:t xml:space="preserve"> until 365 °C, which was then kept constant for 10 hours. In the second step, the reactor was cooled down to the reaction temperature (210 °C</w:t>
      </w:r>
      <w:r>
        <w:rPr>
          <w:rFonts w:ascii="Times New Roman" w:hAnsi="Times New Roman" w:cs="Times New Roman"/>
          <w:sz w:val="20"/>
          <w:szCs w:val="20"/>
          <w:lang w:val="en-US" w:eastAsia="pt-BR"/>
        </w:rPr>
        <w:t>, 230 °C, or 250 °C</w:t>
      </w:r>
      <w:r w:rsidRPr="00B72C49">
        <w:rPr>
          <w:rFonts w:ascii="Times New Roman" w:hAnsi="Times New Roman" w:cs="Times New Roman"/>
          <w:sz w:val="20"/>
          <w:szCs w:val="20"/>
          <w:lang w:val="en-US" w:eastAsia="pt-BR"/>
        </w:rPr>
        <w:t>), and the system was cleaned for 30 min under He flow. Finally, the reaction was performed at steady pressure condition of 2 MPa for 24 hours. The bed dilution ratio (wt:wt) was equal to 1:1, the feed composition (vol:vol) was equal to [H</w:t>
      </w:r>
      <w:r w:rsidRPr="00B72C49">
        <w:rPr>
          <w:rFonts w:ascii="Times New Roman" w:hAnsi="Times New Roman" w:cs="Times New Roman"/>
          <w:sz w:val="20"/>
          <w:szCs w:val="20"/>
          <w:vertAlign w:val="subscript"/>
          <w:lang w:val="en-US" w:eastAsia="pt-BR"/>
        </w:rPr>
        <w:t>2</w:t>
      </w:r>
      <w:r w:rsidRPr="00B72C49">
        <w:rPr>
          <w:rFonts w:ascii="Times New Roman" w:hAnsi="Times New Roman" w:cs="Times New Roman"/>
          <w:sz w:val="20"/>
          <w:szCs w:val="20"/>
          <w:lang w:val="en-US" w:eastAsia="pt-BR"/>
        </w:rPr>
        <w:t>]: [CO] = 2:1 and the GHSV value was equal to 6 L h</w:t>
      </w:r>
      <w:r w:rsidRPr="00B72C49">
        <w:rPr>
          <w:rFonts w:ascii="Times New Roman" w:hAnsi="Times New Roman" w:cs="Times New Roman"/>
          <w:sz w:val="20"/>
          <w:szCs w:val="20"/>
          <w:vertAlign w:val="superscript"/>
          <w:lang w:val="en-US" w:eastAsia="pt-BR"/>
        </w:rPr>
        <w:t>−1</w:t>
      </w:r>
      <w:r w:rsidRPr="00B72C49">
        <w:rPr>
          <w:rFonts w:ascii="Times New Roman" w:hAnsi="Times New Roman" w:cs="Times New Roman"/>
          <w:sz w:val="20"/>
          <w:szCs w:val="20"/>
          <w:lang w:val="en-US" w:eastAsia="pt-BR"/>
        </w:rPr>
        <w:t xml:space="preserve"> g</w:t>
      </w:r>
      <w:r w:rsidRPr="00B72C49">
        <w:rPr>
          <w:rFonts w:ascii="Times New Roman" w:hAnsi="Times New Roman" w:cs="Times New Roman"/>
          <w:sz w:val="20"/>
          <w:szCs w:val="20"/>
          <w:vertAlign w:val="superscript"/>
          <w:lang w:val="en-US" w:eastAsia="pt-BR"/>
        </w:rPr>
        <w:t>−1</w:t>
      </w:r>
      <w:r>
        <w:rPr>
          <w:rFonts w:ascii="Times New Roman" w:hAnsi="Times New Roman" w:cs="Times New Roman"/>
          <w:sz w:val="20"/>
          <w:szCs w:val="20"/>
          <w:lang w:val="en-US" w:eastAsia="pt-BR"/>
        </w:rPr>
        <w:t>.</w:t>
      </w:r>
    </w:p>
    <w:p w14:paraId="0417BD23" w14:textId="53DEC5D8" w:rsidR="00B72C49" w:rsidRPr="004006F9" w:rsidRDefault="00B72C49" w:rsidP="00B72C49">
      <w:pPr>
        <w:pStyle w:val="Heading2"/>
        <w:rPr>
          <w:rFonts w:ascii="Helvetica" w:hAnsi="Helvetica" w:cs="Helvetica"/>
          <w:sz w:val="24"/>
          <w:szCs w:val="24"/>
          <w:lang w:val="en-US"/>
        </w:rPr>
      </w:pPr>
      <w:r w:rsidRPr="004006F9">
        <w:rPr>
          <w:rFonts w:ascii="Helvetica" w:hAnsi="Helvetica" w:cs="Helvetica"/>
          <w:sz w:val="24"/>
          <w:szCs w:val="24"/>
          <w:lang w:val="en-US"/>
        </w:rPr>
        <w:lastRenderedPageBreak/>
        <w:t>Results</w:t>
      </w:r>
    </w:p>
    <w:p w14:paraId="3B794532" w14:textId="248CF9A4" w:rsidR="0027150C" w:rsidRDefault="0027150C" w:rsidP="0027150C">
      <w:pPr>
        <w:rPr>
          <w:i/>
          <w:iCs/>
          <w:color w:val="000000"/>
          <w:sz w:val="20"/>
          <w:szCs w:val="20"/>
          <w:lang w:val="en-US"/>
        </w:rPr>
      </w:pPr>
      <w:r w:rsidRPr="0027150C">
        <w:rPr>
          <w:i/>
          <w:iCs/>
          <w:color w:val="000000"/>
          <w:sz w:val="20"/>
          <w:szCs w:val="20"/>
          <w:lang w:val="en-US"/>
        </w:rPr>
        <w:t>Some aspects of the proposed model</w:t>
      </w:r>
    </w:p>
    <w:p w14:paraId="72F89034" w14:textId="7265A3EA" w:rsidR="00863A28" w:rsidRPr="00863A28" w:rsidRDefault="0056759F" w:rsidP="00863A28">
      <w:pPr>
        <w:jc w:val="both"/>
        <w:rPr>
          <w:rFonts w:ascii="Times New Roman" w:hAnsi="Times New Roman" w:cs="Times New Roman"/>
          <w:sz w:val="20"/>
          <w:szCs w:val="20"/>
          <w:lang w:val="en-US"/>
        </w:rPr>
      </w:pPr>
      <w:r>
        <w:rPr>
          <w:rFonts w:ascii="Times New Roman" w:hAnsi="Times New Roman"/>
          <w:noProof/>
        </w:rPr>
        <w:drawing>
          <wp:anchor distT="0" distB="0" distL="114300" distR="114300" simplePos="0" relativeHeight="251661311" behindDoc="0" locked="0" layoutInCell="1" allowOverlap="1" wp14:anchorId="4FCFA9D8" wp14:editId="163DB10E">
            <wp:simplePos x="0" y="0"/>
            <wp:positionH relativeFrom="column">
              <wp:posOffset>3469005</wp:posOffset>
            </wp:positionH>
            <wp:positionV relativeFrom="paragraph">
              <wp:posOffset>2043430</wp:posOffset>
            </wp:positionV>
            <wp:extent cx="3027680" cy="2032000"/>
            <wp:effectExtent l="0" t="0" r="1270" b="6350"/>
            <wp:wrapSquare wrapText="bothSides"/>
            <wp:docPr id="20055047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504741" name="Picture 200550474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27680" cy="2032000"/>
                    </a:xfrm>
                    <a:prstGeom prst="rect">
                      <a:avLst/>
                    </a:prstGeom>
                  </pic:spPr>
                </pic:pic>
              </a:graphicData>
            </a:graphic>
          </wp:anchor>
        </w:drawing>
      </w:r>
      <w:r w:rsidR="00863A28" w:rsidRPr="00863A28">
        <w:rPr>
          <w:rFonts w:ascii="Times New Roman" w:hAnsi="Times New Roman" w:cs="Times New Roman"/>
          <w:sz w:val="20"/>
          <w:szCs w:val="20"/>
          <w:lang w:val="en-US"/>
        </w:rPr>
        <w:t xml:space="preserve">The proposed model predicts several chain size distributions for different times (or GHSV values in the case of experiments performed in continuous tubular reactors), as illustrated in Fig.1. The graphs in Fig.1-a, b, and c depict </w:t>
      </w:r>
      <w:r w:rsidR="00863A28" w:rsidRPr="00863A28">
        <w:rPr>
          <w:rFonts w:ascii="Times New Roman" w:hAnsi="Times New Roman"/>
          <w:i/>
          <w:iCs/>
          <w:lang w:val="en-US"/>
        </w:rPr>
        <w:t>K</w:t>
      </w:r>
      <w:r w:rsidR="00863A28" w:rsidRPr="00863A28">
        <w:rPr>
          <w:rFonts w:ascii="Times New Roman" w:hAnsi="Times New Roman"/>
          <w:i/>
          <w:iCs/>
          <w:vertAlign w:val="subscript"/>
          <w:lang w:val="en-US"/>
        </w:rPr>
        <w:t>1</w:t>
      </w:r>
      <w:r w:rsidR="00863A28" w:rsidRPr="00863A28">
        <w:rPr>
          <w:rFonts w:ascii="Times New Roman" w:hAnsi="Times New Roman" w:cs="Times New Roman"/>
          <w:sz w:val="20"/>
          <w:szCs w:val="20"/>
          <w:lang w:val="en-US"/>
        </w:rPr>
        <w:t xml:space="preserve"> as equal to 10 h</w:t>
      </w:r>
      <w:r w:rsidR="00863A28" w:rsidRPr="00863A28">
        <w:rPr>
          <w:rFonts w:ascii="Times New Roman" w:hAnsi="Times New Roman" w:cs="Times New Roman"/>
          <w:sz w:val="20"/>
          <w:szCs w:val="20"/>
          <w:vertAlign w:val="superscript"/>
          <w:lang w:val="en-US"/>
        </w:rPr>
        <w:t>−1</w:t>
      </w:r>
      <w:r w:rsidR="00863A28" w:rsidRPr="00863A28">
        <w:rPr>
          <w:rFonts w:ascii="Times New Roman" w:hAnsi="Times New Roman" w:cs="Times New Roman"/>
          <w:sz w:val="20"/>
          <w:szCs w:val="20"/>
          <w:lang w:val="en-US"/>
        </w:rPr>
        <w:t xml:space="preserve">. Increasing </w:t>
      </w:r>
      <w:r w:rsidR="00863A28" w:rsidRPr="00863A28">
        <w:rPr>
          <w:rFonts w:ascii="Times New Roman" w:hAnsi="Times New Roman" w:cs="Times New Roman"/>
          <w:i/>
          <w:iCs/>
          <w:sz w:val="20"/>
          <w:szCs w:val="20"/>
          <w:lang w:val="en-US"/>
        </w:rPr>
        <w:t>q</w:t>
      </w:r>
      <w:r w:rsidR="00863A28" w:rsidRPr="00863A28">
        <w:rPr>
          <w:rFonts w:ascii="Times New Roman" w:hAnsi="Times New Roman" w:cs="Times New Roman"/>
          <w:sz w:val="20"/>
          <w:szCs w:val="20"/>
          <w:lang w:val="en-US"/>
        </w:rPr>
        <w:t xml:space="preserve"> results in a flattened distribution that is shifted towards products with higher chain sizes. On the other hand, by setting q = 0.8, an increase in </w:t>
      </w:r>
      <w:r w:rsidR="00863A28" w:rsidRPr="00863A28">
        <w:rPr>
          <w:rFonts w:ascii="Times New Roman" w:hAnsi="Times New Roman"/>
          <w:i/>
          <w:iCs/>
          <w:lang w:val="en-US"/>
        </w:rPr>
        <w:t>K</w:t>
      </w:r>
      <w:r w:rsidR="00863A28" w:rsidRPr="00863A28">
        <w:rPr>
          <w:rFonts w:ascii="Times New Roman" w:hAnsi="Times New Roman"/>
          <w:i/>
          <w:iCs/>
          <w:vertAlign w:val="subscript"/>
          <w:lang w:val="en-US"/>
        </w:rPr>
        <w:t>1</w:t>
      </w:r>
      <w:r w:rsidR="00863A28" w:rsidRPr="00863A28">
        <w:rPr>
          <w:rFonts w:ascii="Times New Roman" w:hAnsi="Times New Roman" w:cs="Times New Roman"/>
          <w:sz w:val="20"/>
          <w:szCs w:val="20"/>
          <w:lang w:val="en-US"/>
        </w:rPr>
        <w:t xml:space="preserve"> shifts the distribution towards longer carbon chains, but it is not flattened, as shown in Fig.1-d, e, and f. These examples demonstrate that the </w:t>
      </w:r>
      <w:r w:rsidR="00863A28" w:rsidRPr="00863A28">
        <w:rPr>
          <w:rFonts w:ascii="Times New Roman" w:hAnsi="Times New Roman" w:cs="Times New Roman"/>
          <w:i/>
          <w:iCs/>
          <w:sz w:val="20"/>
          <w:szCs w:val="20"/>
          <w:lang w:val="en-US"/>
        </w:rPr>
        <w:t>q</w:t>
      </w:r>
      <w:r w:rsidR="00863A28" w:rsidRPr="00863A28">
        <w:rPr>
          <w:rFonts w:ascii="Times New Roman" w:hAnsi="Times New Roman" w:cs="Times New Roman"/>
          <w:sz w:val="20"/>
          <w:szCs w:val="20"/>
          <w:lang w:val="en-US"/>
        </w:rPr>
        <w:t xml:space="preserve"> parameter can regulate FTS selectivity. This is because </w:t>
      </w:r>
      <w:r w:rsidR="00863A28" w:rsidRPr="00863A28">
        <w:rPr>
          <w:rFonts w:ascii="Times New Roman" w:hAnsi="Times New Roman" w:cs="Times New Roman"/>
          <w:i/>
          <w:iCs/>
          <w:sz w:val="20"/>
          <w:szCs w:val="20"/>
          <w:lang w:val="en-US"/>
        </w:rPr>
        <w:t>q</w:t>
      </w:r>
      <w:r w:rsidR="00863A28" w:rsidRPr="00863A28">
        <w:rPr>
          <w:rFonts w:ascii="Times New Roman" w:hAnsi="Times New Roman" w:cs="Times New Roman"/>
          <w:sz w:val="20"/>
          <w:szCs w:val="20"/>
          <w:lang w:val="en-US"/>
        </w:rPr>
        <w:t xml:space="preserve"> influences each effective constant </w:t>
      </w:r>
      <w:r w:rsidR="00863A28" w:rsidRPr="00863A28">
        <w:rPr>
          <w:rFonts w:ascii="Times New Roman" w:hAnsi="Times New Roman"/>
          <w:i/>
          <w:iCs/>
          <w:lang w:val="en-US"/>
        </w:rPr>
        <w:t>K</w:t>
      </w:r>
      <w:r w:rsidR="00863A28" w:rsidRPr="00863A28">
        <w:rPr>
          <w:rFonts w:ascii="Times New Roman" w:hAnsi="Times New Roman"/>
          <w:i/>
          <w:iCs/>
          <w:vertAlign w:val="subscript"/>
          <w:lang w:val="en-US"/>
        </w:rPr>
        <w:t>1</w:t>
      </w:r>
      <w:r w:rsidR="00863A28" w:rsidRPr="00863A28">
        <w:rPr>
          <w:rFonts w:ascii="Times New Roman" w:hAnsi="Times New Roman" w:cs="Times New Roman"/>
          <w:sz w:val="20"/>
          <w:szCs w:val="20"/>
          <w:lang w:val="en-US"/>
        </w:rPr>
        <w:t xml:space="preserve">, as shown in </w:t>
      </w:r>
      <w:r w:rsidR="00863A28">
        <w:rPr>
          <w:rFonts w:ascii="Times New Roman" w:hAnsi="Times New Roman" w:cs="Times New Roman"/>
          <w:sz w:val="20"/>
          <w:szCs w:val="20"/>
          <w:lang w:val="en-US"/>
        </w:rPr>
        <w:t>eq.</w:t>
      </w:r>
      <w:r w:rsidR="00863A28" w:rsidRPr="00863A28">
        <w:rPr>
          <w:rFonts w:ascii="Times New Roman" w:hAnsi="Times New Roman" w:cs="Times New Roman"/>
          <w:sz w:val="20"/>
          <w:szCs w:val="20"/>
          <w:lang w:val="en-US"/>
        </w:rPr>
        <w:t xml:space="preserve"> </w:t>
      </w:r>
      <w:r w:rsidR="00863A28">
        <w:rPr>
          <w:rFonts w:ascii="Times New Roman" w:hAnsi="Times New Roman" w:cs="Times New Roman"/>
          <w:sz w:val="20"/>
          <w:szCs w:val="20"/>
          <w:lang w:val="en-US"/>
        </w:rPr>
        <w:t>5</w:t>
      </w:r>
      <w:r w:rsidR="00863A28" w:rsidRPr="00863A28">
        <w:rPr>
          <w:rFonts w:ascii="Times New Roman" w:hAnsi="Times New Roman" w:cs="Times New Roman"/>
          <w:sz w:val="20"/>
          <w:szCs w:val="20"/>
          <w:lang w:val="en-US"/>
        </w:rPr>
        <w:t>.</w:t>
      </w:r>
    </w:p>
    <w:p w14:paraId="5075F990" w14:textId="1DC64AC8" w:rsidR="00E242F9" w:rsidRDefault="00E242F9" w:rsidP="00E242F9">
      <w:r>
        <w:rPr>
          <w:noProof/>
        </w:rPr>
        <w:drawing>
          <wp:inline distT="0" distB="0" distL="0" distR="0" wp14:anchorId="66E8A6F5" wp14:editId="75DB4E4E">
            <wp:extent cx="3119370" cy="2095500"/>
            <wp:effectExtent l="0" t="0" r="5080" b="0"/>
            <wp:docPr id="944783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78362" name="Picture 9447836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26371" cy="2100203"/>
                    </a:xfrm>
                    <a:prstGeom prst="rect">
                      <a:avLst/>
                    </a:prstGeom>
                  </pic:spPr>
                </pic:pic>
              </a:graphicData>
            </a:graphic>
          </wp:inline>
        </w:drawing>
      </w:r>
    </w:p>
    <w:p w14:paraId="52547526" w14:textId="6C22A017" w:rsidR="00863A28" w:rsidRDefault="00863A28" w:rsidP="00863A28">
      <w:pPr>
        <w:pStyle w:val="VAFigureCaption"/>
        <w:spacing w:before="0"/>
        <w:rPr>
          <w:rFonts w:ascii="Times New Roman" w:hAnsi="Times New Roman"/>
        </w:rPr>
      </w:pPr>
      <w:r w:rsidRPr="00863A28">
        <w:rPr>
          <w:rFonts w:ascii="Times New Roman" w:hAnsi="Times New Roman"/>
          <w:b/>
        </w:rPr>
        <w:t>Figure 1.</w:t>
      </w:r>
      <w:r w:rsidRPr="00863A28">
        <w:rPr>
          <w:rFonts w:ascii="Times New Roman" w:hAnsi="Times New Roman"/>
        </w:rPr>
        <w:t xml:space="preserve"> Chain size distributions as functions of the model parameters. Each distribution represents a different reaction time. (a, b, and c) </w:t>
      </w:r>
      <w:r w:rsidRPr="00863A28">
        <w:rPr>
          <w:rFonts w:ascii="Times New Roman" w:hAnsi="Times New Roman"/>
          <w:i/>
          <w:iCs/>
        </w:rPr>
        <w:t xml:space="preserve">q </w:t>
      </w:r>
      <w:r w:rsidRPr="00863A28">
        <w:rPr>
          <w:rFonts w:ascii="Times New Roman" w:hAnsi="Times New Roman"/>
        </w:rPr>
        <w:t xml:space="preserve">= 0.6, 0.8, and 0.9, respectively, and </w:t>
      </w:r>
      <w:r w:rsidRPr="00863A28">
        <w:rPr>
          <w:rFonts w:ascii="Times New Roman" w:hAnsi="Times New Roman"/>
          <w:i/>
          <w:iCs/>
        </w:rPr>
        <w:t>K</w:t>
      </w:r>
      <w:r w:rsidRPr="00863A28">
        <w:rPr>
          <w:rFonts w:ascii="Times New Roman" w:hAnsi="Times New Roman"/>
          <w:i/>
          <w:iCs/>
          <w:vertAlign w:val="subscript"/>
        </w:rPr>
        <w:t>1</w:t>
      </w:r>
      <w:r w:rsidRPr="00863A28">
        <w:rPr>
          <w:rFonts w:ascii="Times New Roman" w:hAnsi="Times New Roman"/>
        </w:rPr>
        <w:t xml:space="preserve"> = 10 h</w:t>
      </w:r>
      <w:r w:rsidRPr="00863A28">
        <w:rPr>
          <w:rFonts w:ascii="Times New Roman" w:hAnsi="Times New Roman"/>
          <w:vertAlign w:val="superscript"/>
        </w:rPr>
        <w:t>−1</w:t>
      </w:r>
      <w:r w:rsidRPr="00863A28">
        <w:rPr>
          <w:rFonts w:ascii="Times New Roman" w:hAnsi="Times New Roman"/>
        </w:rPr>
        <w:t>; and (d, e, and f)</w:t>
      </w:r>
      <w:r w:rsidRPr="00863A28">
        <w:rPr>
          <w:rFonts w:ascii="Times New Roman" w:hAnsi="Times New Roman"/>
          <w:i/>
          <w:iCs/>
        </w:rPr>
        <w:t xml:space="preserve"> K</w:t>
      </w:r>
      <w:r w:rsidRPr="00863A28">
        <w:rPr>
          <w:rFonts w:ascii="Times New Roman" w:hAnsi="Times New Roman"/>
          <w:i/>
          <w:iCs/>
          <w:vertAlign w:val="subscript"/>
        </w:rPr>
        <w:t>1</w:t>
      </w:r>
      <w:r w:rsidRPr="00863A28">
        <w:rPr>
          <w:rFonts w:ascii="Times New Roman" w:hAnsi="Times New Roman"/>
          <w:i/>
          <w:iCs/>
        </w:rPr>
        <w:t xml:space="preserve"> </w:t>
      </w:r>
      <w:r w:rsidRPr="00863A28">
        <w:rPr>
          <w:rFonts w:ascii="Times New Roman" w:hAnsi="Times New Roman"/>
        </w:rPr>
        <w:t>= 0.5, 10, and 100 h</w:t>
      </w:r>
      <w:r w:rsidRPr="00863A28">
        <w:rPr>
          <w:rFonts w:ascii="Times New Roman" w:hAnsi="Times New Roman"/>
          <w:vertAlign w:val="superscript"/>
        </w:rPr>
        <w:t>−1</w:t>
      </w:r>
      <w:r w:rsidRPr="00863A28">
        <w:rPr>
          <w:rFonts w:ascii="Times New Roman" w:hAnsi="Times New Roman"/>
        </w:rPr>
        <w:t xml:space="preserve">, respectively, and </w:t>
      </w:r>
      <w:r w:rsidRPr="00863A28">
        <w:rPr>
          <w:rFonts w:ascii="Times New Roman" w:hAnsi="Times New Roman"/>
          <w:i/>
          <w:iCs/>
        </w:rPr>
        <w:t>q</w:t>
      </w:r>
      <w:r w:rsidRPr="00863A28">
        <w:rPr>
          <w:rFonts w:ascii="Times New Roman" w:hAnsi="Times New Roman"/>
        </w:rPr>
        <w:t xml:space="preserve"> = 0.8</w:t>
      </w:r>
    </w:p>
    <w:p w14:paraId="3AB5856E" w14:textId="77777777" w:rsidR="00022DE7" w:rsidRDefault="00022DE7" w:rsidP="00022DE7">
      <w:pPr>
        <w:spacing w:line="240" w:lineRule="auto"/>
        <w:ind w:firstLine="187"/>
        <w:jc w:val="both"/>
        <w:rPr>
          <w:rFonts w:ascii="Times New Roman" w:hAnsi="Times New Roman" w:cs="Times New Roman"/>
          <w:sz w:val="20"/>
          <w:szCs w:val="20"/>
          <w:lang w:val="en-US"/>
        </w:rPr>
      </w:pPr>
    </w:p>
    <w:p w14:paraId="19EDEF50" w14:textId="7A8E2886" w:rsidR="00E242F9" w:rsidRDefault="00022DE7" w:rsidP="00022DE7">
      <w:pPr>
        <w:spacing w:line="240" w:lineRule="auto"/>
        <w:ind w:firstLine="187"/>
        <w:jc w:val="both"/>
        <w:rPr>
          <w:rFonts w:ascii="Times New Roman" w:hAnsi="Times New Roman" w:cs="Times New Roman"/>
          <w:sz w:val="20"/>
          <w:szCs w:val="20"/>
          <w:lang w:val="en-US"/>
        </w:rPr>
      </w:pPr>
      <w:r w:rsidRPr="00022DE7">
        <w:rPr>
          <w:rFonts w:ascii="Times New Roman" w:hAnsi="Times New Roman" w:cs="Times New Roman"/>
          <w:sz w:val="20"/>
          <w:szCs w:val="20"/>
          <w:lang w:val="en-US"/>
        </w:rPr>
        <w:t xml:space="preserve">To demonstrate the dynamic selectivity behavior based on the proposed model, we cordially request the reader to view an animated video through a QR code provided in Fig. </w:t>
      </w:r>
      <w:r>
        <w:rPr>
          <w:rFonts w:ascii="Times New Roman" w:hAnsi="Times New Roman" w:cs="Times New Roman"/>
          <w:sz w:val="20"/>
          <w:szCs w:val="20"/>
          <w:lang w:val="en-US"/>
        </w:rPr>
        <w:t>2</w:t>
      </w:r>
      <w:r w:rsidRPr="00022DE7">
        <w:rPr>
          <w:rFonts w:ascii="Times New Roman" w:hAnsi="Times New Roman" w:cs="Times New Roman"/>
          <w:sz w:val="20"/>
          <w:szCs w:val="20"/>
          <w:lang w:val="en-US"/>
        </w:rPr>
        <w:t>.</w:t>
      </w:r>
    </w:p>
    <w:p w14:paraId="25CBDC49" w14:textId="1A3CC835" w:rsidR="00022DE7" w:rsidRDefault="00022DE7" w:rsidP="00022DE7">
      <w:pPr>
        <w:spacing w:line="240" w:lineRule="auto"/>
        <w:ind w:firstLine="187"/>
        <w:jc w:val="center"/>
        <w:rPr>
          <w:rFonts w:ascii="Times New Roman" w:hAnsi="Times New Roman" w:cs="Times New Roman"/>
          <w:sz w:val="20"/>
          <w:szCs w:val="20"/>
          <w:lang w:val="en-US"/>
        </w:rPr>
      </w:pPr>
      <w:r>
        <w:rPr>
          <w:rFonts w:ascii="Times New Roman" w:hAnsi="Times New Roman" w:cs="Times New Roman"/>
          <w:noProof/>
          <w:sz w:val="20"/>
          <w:szCs w:val="20"/>
          <w:lang w:val="en-US"/>
        </w:rPr>
        <w:drawing>
          <wp:inline distT="0" distB="0" distL="0" distR="0" wp14:anchorId="28D950C7" wp14:editId="011D42E9">
            <wp:extent cx="1504950" cy="1504950"/>
            <wp:effectExtent l="0" t="0" r="0" b="0"/>
            <wp:docPr id="9382983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298310" name="Picture 9382983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04950" cy="1504950"/>
                    </a:xfrm>
                    <a:prstGeom prst="rect">
                      <a:avLst/>
                    </a:prstGeom>
                  </pic:spPr>
                </pic:pic>
              </a:graphicData>
            </a:graphic>
          </wp:inline>
        </w:drawing>
      </w:r>
    </w:p>
    <w:p w14:paraId="49E99F1E" w14:textId="58728D3F" w:rsidR="00022DE7" w:rsidRDefault="00022DE7" w:rsidP="0056759F">
      <w:pPr>
        <w:pStyle w:val="VAFigureCaption"/>
        <w:rPr>
          <w:rFonts w:ascii="Times New Roman" w:hAnsi="Times New Roman"/>
        </w:rPr>
      </w:pPr>
      <w:r w:rsidRPr="00863A28">
        <w:rPr>
          <w:rFonts w:ascii="Times New Roman" w:hAnsi="Times New Roman"/>
          <w:b/>
        </w:rPr>
        <w:t xml:space="preserve">Figure </w:t>
      </w:r>
      <w:r>
        <w:rPr>
          <w:rFonts w:ascii="Times New Roman" w:hAnsi="Times New Roman"/>
          <w:b/>
        </w:rPr>
        <w:t>2</w:t>
      </w:r>
      <w:r w:rsidRPr="00863A28">
        <w:rPr>
          <w:rFonts w:ascii="Times New Roman" w:hAnsi="Times New Roman"/>
          <w:b/>
        </w:rPr>
        <w:t>.</w:t>
      </w:r>
      <w:r w:rsidRPr="00863A28">
        <w:rPr>
          <w:rFonts w:ascii="Times New Roman" w:hAnsi="Times New Roman"/>
        </w:rPr>
        <w:t xml:space="preserve"> </w:t>
      </w:r>
      <w:r w:rsidRPr="00022DE7">
        <w:rPr>
          <w:rFonts w:ascii="Times New Roman" w:hAnsi="Times New Roman"/>
        </w:rPr>
        <w:t>Animation of dynamic selectivity dependence of Living Growth Model parameters</w:t>
      </w:r>
    </w:p>
    <w:p w14:paraId="4D08783C" w14:textId="67099AD5" w:rsidR="00022DE7" w:rsidRPr="00961AF5" w:rsidRDefault="00961AF5" w:rsidP="00E242F9">
      <w:pPr>
        <w:rPr>
          <w:lang w:val="en-US"/>
        </w:rPr>
      </w:pPr>
      <w:r w:rsidRPr="00961AF5">
        <w:rPr>
          <w:i/>
          <w:iCs/>
          <w:color w:val="000000"/>
          <w:sz w:val="20"/>
          <w:szCs w:val="20"/>
          <w:lang w:val="en-US"/>
        </w:rPr>
        <w:t>Steady-state reaction</w:t>
      </w:r>
    </w:p>
    <w:p w14:paraId="08AC690D" w14:textId="03B0EF7C" w:rsidR="00961AF5" w:rsidRDefault="00961AF5" w:rsidP="00EA4E1B">
      <w:pPr>
        <w:pStyle w:val="TAMainText"/>
        <w:ind w:firstLine="187"/>
        <w:rPr>
          <w:rFonts w:ascii="Times New Roman" w:hAnsi="Times New Roman"/>
        </w:rPr>
      </w:pPr>
      <w:r w:rsidRPr="00961AF5">
        <w:rPr>
          <w:rFonts w:ascii="Times New Roman" w:hAnsi="Times New Roman"/>
        </w:rPr>
        <w:t>As depicted in Fig. 3, the system can achieve a steady state within the initial few hours of the reaction, even though the balance equations do not forecast a steady-state solution. However, since the reaction time is finite and regulated by the feed rates, the model can effectively anticipate steady-state solutions. As per usual practice, the time-on-stream (</w:t>
      </w:r>
      <w:r w:rsidRPr="00831C3A">
        <w:rPr>
          <w:rFonts w:ascii="Times New Roman" w:hAnsi="Times New Roman"/>
          <w:i/>
          <w:iCs/>
        </w:rPr>
        <w:t>t</w:t>
      </w:r>
      <w:r w:rsidRPr="00961AF5">
        <w:rPr>
          <w:rFonts w:ascii="Times New Roman" w:hAnsi="Times New Roman"/>
        </w:rPr>
        <w:t>) can be correlated with the flow velocity (</w:t>
      </w:r>
      <w:r w:rsidRPr="00831C3A">
        <w:rPr>
          <w:rFonts w:ascii="Times New Roman" w:hAnsi="Times New Roman"/>
          <w:i/>
          <w:iCs/>
        </w:rPr>
        <w:t>v</w:t>
      </w:r>
      <w:r w:rsidRPr="00961AF5">
        <w:rPr>
          <w:rFonts w:ascii="Times New Roman" w:hAnsi="Times New Roman"/>
        </w:rPr>
        <w:t>) and the axial position (</w:t>
      </w:r>
      <w:r w:rsidRPr="00831C3A">
        <w:rPr>
          <w:rFonts w:ascii="Times New Roman" w:hAnsi="Times New Roman"/>
          <w:i/>
          <w:iCs/>
        </w:rPr>
        <w:t>l</w:t>
      </w:r>
      <w:r w:rsidRPr="00961AF5">
        <w:rPr>
          <w:rFonts w:ascii="Times New Roman" w:hAnsi="Times New Roman"/>
        </w:rPr>
        <w:t>), in the form (</w:t>
      </w:r>
      <w:r w:rsidRPr="00831C3A">
        <w:rPr>
          <w:rFonts w:ascii="Times New Roman" w:hAnsi="Times New Roman"/>
          <w:i/>
          <w:iCs/>
        </w:rPr>
        <w:t>t</w:t>
      </w:r>
      <w:r w:rsidRPr="00831C3A">
        <w:rPr>
          <w:rFonts w:ascii="Times New Roman" w:hAnsi="Times New Roman"/>
        </w:rPr>
        <w:t>=</w:t>
      </w:r>
      <w:r w:rsidRPr="00831C3A">
        <w:rPr>
          <w:rFonts w:ascii="Times New Roman" w:hAnsi="Times New Roman"/>
          <w:i/>
          <w:iCs/>
        </w:rPr>
        <w:t>v</w:t>
      </w:r>
      <w:r w:rsidRPr="00961AF5">
        <w:rPr>
          <w:rFonts w:ascii="Times New Roman" w:hAnsi="Times New Roman"/>
        </w:rPr>
        <w:t xml:space="preserve">). Therefore, the </w:t>
      </w:r>
      <w:r w:rsidR="00831C3A">
        <w:rPr>
          <w:rFonts w:ascii="Times New Roman" w:hAnsi="Times New Roman"/>
        </w:rPr>
        <w:t xml:space="preserve">GHSV </w:t>
      </w:r>
      <w:r w:rsidRPr="00961AF5">
        <w:rPr>
          <w:rFonts w:ascii="Times New Roman" w:hAnsi="Times New Roman"/>
        </w:rPr>
        <w:t xml:space="preserve">can be employed to regulate the time-on-stream (and, therefore, the growth time). Inspired by the technique presented by Birky et al. </w:t>
      </w:r>
      <w:r w:rsidR="0056759F">
        <w:rPr>
          <w:rFonts w:ascii="Times New Roman" w:hAnsi="Times New Roman"/>
        </w:rPr>
        <w:t>(15),</w:t>
      </w:r>
      <w:r w:rsidRPr="00961AF5">
        <w:rPr>
          <w:rFonts w:ascii="Times New Roman" w:hAnsi="Times New Roman"/>
        </w:rPr>
        <w:t xml:space="preserve"> it is presumed that the examined reaction system operates under a kinetic regime. The observed linear relationships at 3.5 h and 21.4 h indicate that the likelihood of diffusion limitation can </w:t>
      </w:r>
      <w:r w:rsidR="0056759F">
        <w:rPr>
          <w:rFonts w:ascii="Times New Roman" w:hAnsi="Times New Roman"/>
        </w:rPr>
        <w:t>be ruled out</w:t>
      </w:r>
      <w:r w:rsidRPr="00961AF5">
        <w:rPr>
          <w:rFonts w:ascii="Times New Roman" w:hAnsi="Times New Roman"/>
        </w:rPr>
        <w:t>.</w:t>
      </w:r>
    </w:p>
    <w:p w14:paraId="7DA52991" w14:textId="5E763384" w:rsidR="009F6985" w:rsidRPr="00BC2DD6" w:rsidRDefault="0056759F" w:rsidP="0056759F">
      <w:pPr>
        <w:pStyle w:val="TAMainText"/>
        <w:ind w:firstLine="187"/>
        <w:rPr>
          <w:rFonts w:ascii="Times New Roman" w:hAnsi="Times New Roman"/>
          <w:sz w:val="18"/>
          <w:szCs w:val="18"/>
        </w:rPr>
      </w:pPr>
      <w:r w:rsidRPr="00BC2DD6">
        <w:rPr>
          <w:rFonts w:ascii="Times New Roman" w:hAnsi="Times New Roman"/>
          <w:b/>
          <w:sz w:val="18"/>
          <w:szCs w:val="18"/>
        </w:rPr>
        <w:t xml:space="preserve">Figure </w:t>
      </w:r>
      <w:r w:rsidRPr="00BC2DD6">
        <w:rPr>
          <w:rFonts w:ascii="Times New Roman" w:hAnsi="Times New Roman"/>
          <w:b/>
          <w:sz w:val="18"/>
          <w:szCs w:val="18"/>
        </w:rPr>
        <w:t>3</w:t>
      </w:r>
      <w:r w:rsidRPr="00863A28">
        <w:rPr>
          <w:rFonts w:ascii="Times New Roman" w:hAnsi="Times New Roman"/>
          <w:b/>
        </w:rPr>
        <w:t>.</w:t>
      </w:r>
      <w:r w:rsidRPr="00863A28">
        <w:rPr>
          <w:rFonts w:ascii="Times New Roman" w:hAnsi="Times New Roman"/>
        </w:rPr>
        <w:t xml:space="preserve"> </w:t>
      </w:r>
      <w:r w:rsidRPr="00BC2DD6">
        <w:rPr>
          <w:rFonts w:ascii="Times New Roman" w:hAnsi="Times New Roman"/>
          <w:sz w:val="18"/>
          <w:szCs w:val="18"/>
        </w:rPr>
        <w:t>Stability test results for several spatial velocities. The linear relationship between</w:t>
      </w:r>
      <w:r w:rsidRPr="00BC2DD6">
        <w:rPr>
          <w:rFonts w:ascii="Times New Roman" w:hAnsi="Times New Roman"/>
          <w:sz w:val="18"/>
          <w:szCs w:val="18"/>
        </w:rPr>
        <w:t xml:space="preserve"> </w:t>
      </w:r>
      <w:r w:rsidRPr="00BC2DD6">
        <w:rPr>
          <w:rFonts w:ascii="Times New Roman" w:hAnsi="Times New Roman"/>
          <w:sz w:val="18"/>
          <w:szCs w:val="18"/>
        </w:rPr>
        <w:t>CO conversion and reactor space-time confirms the kinetic regime of the investigated</w:t>
      </w:r>
      <w:r w:rsidRPr="00BC2DD6">
        <w:rPr>
          <w:rFonts w:ascii="Times New Roman" w:hAnsi="Times New Roman"/>
          <w:sz w:val="18"/>
          <w:szCs w:val="18"/>
        </w:rPr>
        <w:t xml:space="preserve"> </w:t>
      </w:r>
      <w:r w:rsidRPr="00BC2DD6">
        <w:rPr>
          <w:rFonts w:ascii="Times New Roman" w:hAnsi="Times New Roman"/>
          <w:sz w:val="18"/>
          <w:szCs w:val="18"/>
        </w:rPr>
        <w:t>system. The tests were performed with 300 mg of catalyst with varying flow rates at the</w:t>
      </w:r>
      <w:r w:rsidRPr="00BC2DD6">
        <w:rPr>
          <w:rFonts w:ascii="Times New Roman" w:hAnsi="Times New Roman"/>
          <w:sz w:val="18"/>
          <w:szCs w:val="18"/>
        </w:rPr>
        <w:t xml:space="preserve"> </w:t>
      </w:r>
      <w:r w:rsidRPr="00BC2DD6">
        <w:rPr>
          <w:rFonts w:ascii="Times New Roman" w:hAnsi="Times New Roman"/>
          <w:sz w:val="18"/>
          <w:szCs w:val="18"/>
        </w:rPr>
        <w:t>reaction temperature of 210 °C and total pressure of 10 M</w:t>
      </w:r>
      <w:r w:rsidRPr="00BC2DD6">
        <w:rPr>
          <w:rFonts w:ascii="Times New Roman" w:hAnsi="Times New Roman"/>
          <w:sz w:val="18"/>
          <w:szCs w:val="18"/>
        </w:rPr>
        <w:t>p</w:t>
      </w:r>
      <w:r w:rsidRPr="00BC2DD6">
        <w:rPr>
          <w:rFonts w:ascii="Times New Roman" w:hAnsi="Times New Roman"/>
          <w:sz w:val="18"/>
          <w:szCs w:val="18"/>
        </w:rPr>
        <w:t>a</w:t>
      </w:r>
    </w:p>
    <w:p w14:paraId="3312990C" w14:textId="77777777" w:rsidR="0056759F" w:rsidRDefault="0056759F" w:rsidP="0056759F">
      <w:pPr>
        <w:pStyle w:val="TAMainText"/>
        <w:ind w:firstLine="187"/>
        <w:rPr>
          <w:rFonts w:ascii="Times New Roman" w:hAnsi="Times New Roman"/>
        </w:rPr>
      </w:pPr>
    </w:p>
    <w:p w14:paraId="1C958E1A" w14:textId="4BC25161" w:rsidR="0056759F" w:rsidRDefault="0056759F" w:rsidP="0056759F">
      <w:pPr>
        <w:rPr>
          <w:i/>
          <w:iCs/>
          <w:color w:val="000000"/>
          <w:sz w:val="20"/>
          <w:szCs w:val="20"/>
          <w:lang w:val="en-US"/>
        </w:rPr>
      </w:pPr>
      <w:r>
        <w:rPr>
          <w:i/>
          <w:iCs/>
          <w:color w:val="000000"/>
          <w:sz w:val="20"/>
          <w:szCs w:val="20"/>
          <w:lang w:val="en-US"/>
        </w:rPr>
        <w:t>Experimental results</w:t>
      </w:r>
    </w:p>
    <w:p w14:paraId="5C1955CF" w14:textId="23000BAB" w:rsidR="00BC2DD6" w:rsidRDefault="00BC2DD6" w:rsidP="00BC2DD6">
      <w:pPr>
        <w:ind w:firstLine="187"/>
        <w:jc w:val="both"/>
        <w:rPr>
          <w:rFonts w:ascii="Times New Roman" w:hAnsi="Times New Roman" w:cs="Times New Roman"/>
          <w:color w:val="000000"/>
          <w:sz w:val="20"/>
          <w:szCs w:val="20"/>
          <w:lang w:val="en-US"/>
        </w:rPr>
      </w:pPr>
      <w:r w:rsidRPr="00BC2DD6">
        <w:rPr>
          <w:rFonts w:ascii="Times New Roman" w:hAnsi="Times New Roman" w:cs="Times New Roman"/>
          <w:color w:val="000000"/>
          <w:sz w:val="20"/>
          <w:szCs w:val="20"/>
          <w:lang w:val="en-US"/>
        </w:rPr>
        <w:t xml:space="preserve">Fig.4 illustrates that the available experimental results do not follow the usually assumed ASF pattern. The distribution profile is much narrower, and </w:t>
      </w:r>
      <w:r>
        <w:rPr>
          <w:rFonts w:ascii="Times New Roman" w:hAnsi="Times New Roman" w:cs="Times New Roman"/>
          <w:color w:val="000000"/>
          <w:sz w:val="20"/>
          <w:szCs w:val="20"/>
          <w:lang w:val="en-US"/>
        </w:rPr>
        <w:t>w</w:t>
      </w:r>
      <w:r w:rsidRPr="00BC2DD6">
        <w:rPr>
          <w:rFonts w:ascii="Times New Roman" w:hAnsi="Times New Roman" w:cs="Times New Roman"/>
          <w:color w:val="000000"/>
          <w:sz w:val="20"/>
          <w:szCs w:val="20"/>
          <w:lang w:val="en-US"/>
        </w:rPr>
        <w:t>ax</w:t>
      </w:r>
      <w:r>
        <w:rPr>
          <w:rFonts w:ascii="Times New Roman" w:hAnsi="Times New Roman" w:cs="Times New Roman"/>
          <w:color w:val="000000"/>
          <w:sz w:val="20"/>
          <w:szCs w:val="20"/>
          <w:lang w:val="en-US"/>
        </w:rPr>
        <w:t>es</w:t>
      </w:r>
      <w:r w:rsidRPr="00BC2DD6">
        <w:rPr>
          <w:rFonts w:ascii="Times New Roman" w:hAnsi="Times New Roman" w:cs="Times New Roman"/>
          <w:color w:val="000000"/>
          <w:sz w:val="20"/>
          <w:szCs w:val="20"/>
          <w:lang w:val="en-US"/>
        </w:rPr>
        <w:t xml:space="preserve">  are more selective than predicted by the ideal-ASF. Notably, the distribution profile found was much more selective to a narrow range of products than predicted by the ASF model.</w:t>
      </w:r>
    </w:p>
    <w:p w14:paraId="068B5CE3" w14:textId="293FD6F2" w:rsidR="00BC2DD6" w:rsidRDefault="00BC2DD6" w:rsidP="00BC2DD6">
      <w:pPr>
        <w:ind w:firstLine="187"/>
        <w:jc w:val="both"/>
        <w:rPr>
          <w:rFonts w:ascii="Times New Roman" w:hAnsi="Times New Roman" w:cs="Times New Roman"/>
          <w:color w:val="000000"/>
          <w:sz w:val="20"/>
          <w:szCs w:val="20"/>
          <w:lang w:val="en-US"/>
        </w:rPr>
      </w:pPr>
      <w:r w:rsidRPr="00BC2DD6">
        <w:rPr>
          <w:rFonts w:ascii="Times New Roman" w:hAnsi="Times New Roman" w:cs="Times New Roman"/>
          <w:color w:val="000000"/>
          <w:sz w:val="20"/>
          <w:szCs w:val="20"/>
          <w:lang w:val="en-US"/>
        </w:rPr>
        <w:t xml:space="preserve">Following the previous discussion, the kinetic constants </w:t>
      </w:r>
      <w:r w:rsidRPr="007955B2">
        <w:rPr>
          <w:rFonts w:ascii="Times New Roman" w:hAnsi="Times New Roman" w:cs="Times New Roman"/>
          <w:i/>
          <w:iCs/>
          <w:color w:val="000000"/>
          <w:sz w:val="20"/>
          <w:szCs w:val="20"/>
          <w:lang w:val="en-US"/>
        </w:rPr>
        <w:t>Ki</w:t>
      </w:r>
      <w:r w:rsidRPr="00BC2DD6">
        <w:rPr>
          <w:rFonts w:ascii="Times New Roman" w:hAnsi="Times New Roman" w:cs="Times New Roman"/>
          <w:color w:val="000000"/>
          <w:sz w:val="20"/>
          <w:szCs w:val="20"/>
          <w:lang w:val="en-US"/>
        </w:rPr>
        <w:t xml:space="preserve"> were estimated as functions of the chain length with the help of eq. 4. For the tests performed when the reaction temperature was varied — Fig.5-a, b, and c — there apparently was some sort of overfitting.</w:t>
      </w:r>
    </w:p>
    <w:p w14:paraId="7332FAE1" w14:textId="353B0BE1" w:rsidR="00BC2DD6" w:rsidRDefault="00BC2DD6" w:rsidP="007955B2">
      <w:pPr>
        <w:ind w:firstLine="187"/>
        <w:jc w:val="center"/>
        <w:rPr>
          <w:rFonts w:ascii="Times New Roman" w:hAnsi="Times New Roman" w:cs="Times New Roman"/>
          <w:color w:val="000000"/>
          <w:sz w:val="20"/>
          <w:szCs w:val="20"/>
          <w:lang w:val="en-US"/>
        </w:rPr>
      </w:pPr>
      <w:r>
        <w:rPr>
          <w:rFonts w:ascii="Times New Roman" w:hAnsi="Times New Roman" w:cs="Times New Roman"/>
          <w:noProof/>
          <w:color w:val="000000"/>
          <w:sz w:val="20"/>
          <w:szCs w:val="20"/>
          <w:lang w:val="en-US"/>
        </w:rPr>
        <w:lastRenderedPageBreak/>
        <w:drawing>
          <wp:inline distT="0" distB="0" distL="0" distR="0" wp14:anchorId="35438BA2" wp14:editId="1B1CF237">
            <wp:extent cx="2143125" cy="1987153"/>
            <wp:effectExtent l="0" t="0" r="0" b="0"/>
            <wp:docPr id="3798291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829142" name="Picture 37982914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59320" cy="2002170"/>
                    </a:xfrm>
                    <a:prstGeom prst="rect">
                      <a:avLst/>
                    </a:prstGeom>
                  </pic:spPr>
                </pic:pic>
              </a:graphicData>
            </a:graphic>
          </wp:inline>
        </w:drawing>
      </w:r>
    </w:p>
    <w:p w14:paraId="706B272F" w14:textId="66608103" w:rsidR="00BC2DD6" w:rsidRDefault="00BC2DD6" w:rsidP="00BC2DD6">
      <w:pPr>
        <w:ind w:firstLine="187"/>
        <w:jc w:val="both"/>
        <w:rPr>
          <w:rFonts w:ascii="Times New Roman" w:hAnsi="Times New Roman" w:cs="Times New Roman"/>
          <w:color w:val="000000"/>
          <w:sz w:val="18"/>
          <w:szCs w:val="18"/>
          <w:lang w:val="en-US"/>
        </w:rPr>
      </w:pPr>
      <w:r w:rsidRPr="00BC2DD6">
        <w:rPr>
          <w:rFonts w:ascii="Times New Roman" w:hAnsi="Times New Roman" w:cs="Times New Roman"/>
          <w:b/>
          <w:bCs/>
          <w:color w:val="000000"/>
          <w:sz w:val="18"/>
          <w:szCs w:val="18"/>
          <w:lang w:val="en-US"/>
        </w:rPr>
        <w:t xml:space="preserve">Figure </w:t>
      </w:r>
      <w:r w:rsidRPr="00BC2DD6">
        <w:rPr>
          <w:rFonts w:ascii="Times New Roman" w:hAnsi="Times New Roman" w:cs="Times New Roman"/>
          <w:b/>
          <w:bCs/>
          <w:color w:val="000000"/>
          <w:sz w:val="18"/>
          <w:szCs w:val="18"/>
          <w:lang w:val="en-US"/>
        </w:rPr>
        <w:t>4</w:t>
      </w:r>
      <w:r w:rsidRPr="00BC2DD6">
        <w:rPr>
          <w:rFonts w:ascii="Times New Roman" w:hAnsi="Times New Roman" w:cs="Times New Roman"/>
          <w:color w:val="000000"/>
          <w:sz w:val="20"/>
          <w:szCs w:val="20"/>
          <w:lang w:val="en-US"/>
        </w:rPr>
        <w:t xml:space="preserve">. </w:t>
      </w:r>
      <w:r w:rsidR="007955B2">
        <w:rPr>
          <w:rFonts w:ascii="Times New Roman" w:hAnsi="Times New Roman" w:cs="Times New Roman"/>
          <w:color w:val="000000"/>
          <w:sz w:val="20"/>
          <w:szCs w:val="20"/>
          <w:lang w:val="en-US"/>
        </w:rPr>
        <w:t>Ideal</w:t>
      </w:r>
      <w:r w:rsidRPr="00BC2DD6">
        <w:rPr>
          <w:rFonts w:ascii="Times New Roman" w:hAnsi="Times New Roman" w:cs="Times New Roman"/>
          <w:color w:val="000000"/>
          <w:sz w:val="18"/>
          <w:szCs w:val="18"/>
          <w:lang w:val="en-US"/>
        </w:rPr>
        <w:t>-ASF model with a single α parameter, and the</w:t>
      </w:r>
      <w:r w:rsidRPr="00BC2DD6">
        <w:rPr>
          <w:rFonts w:ascii="Times New Roman" w:hAnsi="Times New Roman" w:cs="Times New Roman"/>
          <w:color w:val="000000"/>
          <w:sz w:val="18"/>
          <w:szCs w:val="18"/>
          <w:lang w:val="en-US"/>
        </w:rPr>
        <w:t xml:space="preserve"> </w:t>
      </w:r>
      <w:r w:rsidRPr="00BC2DD6">
        <w:rPr>
          <w:rFonts w:ascii="Times New Roman" w:hAnsi="Times New Roman" w:cs="Times New Roman"/>
          <w:color w:val="000000"/>
          <w:sz w:val="18"/>
          <w:szCs w:val="18"/>
          <w:lang w:val="en-US"/>
        </w:rPr>
        <w:t>selectivity distribution data for FTS</w:t>
      </w:r>
    </w:p>
    <w:p w14:paraId="2F977882" w14:textId="2F797A5A" w:rsidR="007955B2" w:rsidRPr="00BC2DD6" w:rsidRDefault="007955B2" w:rsidP="00BC2DD6">
      <w:pPr>
        <w:ind w:firstLine="187"/>
        <w:jc w:val="both"/>
        <w:rPr>
          <w:rFonts w:ascii="Times New Roman" w:hAnsi="Times New Roman" w:cs="Times New Roman"/>
          <w:color w:val="000000"/>
          <w:sz w:val="20"/>
          <w:szCs w:val="20"/>
          <w:lang w:val="en-US"/>
        </w:rPr>
      </w:pPr>
      <w:r w:rsidRPr="007955B2">
        <w:rPr>
          <w:rFonts w:ascii="Times New Roman" w:hAnsi="Times New Roman" w:cs="Times New Roman"/>
          <w:color w:val="000000"/>
          <w:sz w:val="20"/>
          <w:szCs w:val="20"/>
          <w:lang w:val="en-US"/>
        </w:rPr>
        <w:t xml:space="preserve">The estimated parameters are displayed as a function of chain length in Fig. 5d. Although values tended to be dispersed in the areas where the distribution values were small, it must be noted that the model parameters stayed within a relatively small range of values. As the model deviations become less sensitive to model parameters in the regions where the product distribution </w:t>
      </w:r>
      <w:r>
        <w:rPr>
          <w:rFonts w:ascii="Times New Roman" w:hAnsi="Times New Roman" w:cs="Times New Roman"/>
          <w:color w:val="000000"/>
          <w:sz w:val="20"/>
          <w:szCs w:val="20"/>
          <w:lang w:val="en-US"/>
        </w:rPr>
        <w:t>data</w:t>
      </w:r>
      <w:r w:rsidRPr="007955B2">
        <w:rPr>
          <w:rFonts w:ascii="Times New Roman" w:hAnsi="Times New Roman" w:cs="Times New Roman"/>
          <w:color w:val="000000"/>
          <w:sz w:val="20"/>
          <w:szCs w:val="20"/>
          <w:lang w:val="en-US"/>
        </w:rPr>
        <w:t xml:space="preserve"> becomes small, this may have already been anticipated. To some extent, the empirical model proposed in eq. 5 is validated by the fact that the model parameters tended to decrease with chain size in the region where distribution signals were more significant. On the other hand, the obtained results also imply that, as one might anticipate, the kinetic rate constants depend on the reaction temperature.</w:t>
      </w:r>
    </w:p>
    <w:p w14:paraId="44F5E32C" w14:textId="19BB2CB6" w:rsidR="00BC2DD6" w:rsidRDefault="00BC2DD6" w:rsidP="007955B2">
      <w:pPr>
        <w:jc w:val="center"/>
        <w:rPr>
          <w:lang w:val="en-US"/>
        </w:rPr>
      </w:pPr>
      <w:r>
        <w:rPr>
          <w:noProof/>
          <w:lang w:val="en-US"/>
        </w:rPr>
        <w:drawing>
          <wp:inline distT="0" distB="0" distL="0" distR="0" wp14:anchorId="3CAEF7FE" wp14:editId="064EFEB1">
            <wp:extent cx="1924050" cy="2598760"/>
            <wp:effectExtent l="0" t="0" r="0" b="0"/>
            <wp:docPr id="43804727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047279" name="Picture 43804727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28967" cy="2605401"/>
                    </a:xfrm>
                    <a:prstGeom prst="rect">
                      <a:avLst/>
                    </a:prstGeom>
                  </pic:spPr>
                </pic:pic>
              </a:graphicData>
            </a:graphic>
          </wp:inline>
        </w:drawing>
      </w:r>
    </w:p>
    <w:p w14:paraId="0FB70623" w14:textId="3649ADC5" w:rsidR="007955B2" w:rsidRPr="007955B2" w:rsidRDefault="007955B2" w:rsidP="007955B2">
      <w:pPr>
        <w:jc w:val="both"/>
        <w:rPr>
          <w:sz w:val="18"/>
          <w:szCs w:val="18"/>
          <w:lang w:val="en-US"/>
        </w:rPr>
      </w:pPr>
      <w:r w:rsidRPr="007955B2">
        <w:rPr>
          <w:rFonts w:ascii="Times New Roman" w:hAnsi="Times New Roman" w:cs="Times New Roman"/>
          <w:b/>
          <w:bCs/>
          <w:color w:val="000000"/>
          <w:sz w:val="18"/>
          <w:szCs w:val="18"/>
          <w:lang w:val="en-US"/>
        </w:rPr>
        <w:t xml:space="preserve">Figure </w:t>
      </w:r>
      <w:r w:rsidRPr="007955B2">
        <w:rPr>
          <w:rFonts w:ascii="Times New Roman" w:hAnsi="Times New Roman" w:cs="Times New Roman"/>
          <w:b/>
          <w:bCs/>
          <w:color w:val="000000"/>
          <w:sz w:val="18"/>
          <w:szCs w:val="18"/>
          <w:lang w:val="en-US"/>
        </w:rPr>
        <w:t>5</w:t>
      </w:r>
      <w:r w:rsidRPr="007955B2">
        <w:rPr>
          <w:rFonts w:ascii="Times New Roman" w:hAnsi="Times New Roman" w:cs="Times New Roman"/>
          <w:color w:val="000000"/>
          <w:sz w:val="18"/>
          <w:szCs w:val="18"/>
          <w:lang w:val="en-US"/>
        </w:rPr>
        <w:t>.</w:t>
      </w:r>
      <w:r w:rsidRPr="007955B2">
        <w:rPr>
          <w:rFonts w:ascii="Times New Roman" w:hAnsi="Times New Roman" w:cs="Times New Roman"/>
          <w:color w:val="000000"/>
          <w:sz w:val="18"/>
          <w:szCs w:val="18"/>
          <w:lang w:val="en-US"/>
        </w:rPr>
        <w:t xml:space="preserve"> </w:t>
      </w:r>
      <w:r>
        <w:rPr>
          <w:rFonts w:ascii="Times New Roman" w:hAnsi="Times New Roman" w:cs="Times New Roman"/>
          <w:color w:val="000000"/>
          <w:sz w:val="18"/>
          <w:szCs w:val="18"/>
          <w:lang w:val="en-US"/>
        </w:rPr>
        <w:t>Fitted c</w:t>
      </w:r>
      <w:r w:rsidRPr="007955B2">
        <w:rPr>
          <w:rFonts w:ascii="Times New Roman" w:hAnsi="Times New Roman" w:cs="Times New Roman"/>
          <w:color w:val="000000"/>
          <w:sz w:val="18"/>
          <w:szCs w:val="18"/>
          <w:lang w:val="en-US"/>
        </w:rPr>
        <w:t>hain size distributions (a) 210 °C, (b) 230</w:t>
      </w:r>
      <w:r w:rsidRPr="007955B2">
        <w:rPr>
          <w:rFonts w:ascii="Times New Roman" w:hAnsi="Times New Roman" w:cs="Times New Roman"/>
          <w:color w:val="000000"/>
          <w:sz w:val="18"/>
          <w:szCs w:val="18"/>
          <w:lang w:val="en-US"/>
        </w:rPr>
        <w:t xml:space="preserve"> </w:t>
      </w:r>
      <w:r w:rsidRPr="007955B2">
        <w:rPr>
          <w:rFonts w:ascii="Times New Roman" w:hAnsi="Times New Roman" w:cs="Times New Roman"/>
          <w:color w:val="000000"/>
          <w:sz w:val="18"/>
          <w:szCs w:val="18"/>
          <w:lang w:val="en-US"/>
        </w:rPr>
        <w:t>°C, (c) 250 °C, and (d) estimated parameters as functions of the chain size</w:t>
      </w:r>
    </w:p>
    <w:p w14:paraId="55100A3D" w14:textId="61CCE70C" w:rsidR="007955B2" w:rsidRDefault="001C65DD" w:rsidP="001C65DD">
      <w:pPr>
        <w:ind w:firstLine="187"/>
        <w:jc w:val="both"/>
        <w:rPr>
          <w:rFonts w:ascii="Times New Roman" w:hAnsi="Times New Roman" w:cs="Times New Roman"/>
          <w:noProof/>
          <w:sz w:val="20"/>
          <w:szCs w:val="20"/>
          <w:lang w:val="en-US"/>
        </w:rPr>
      </w:pPr>
      <w:r>
        <w:rPr>
          <w:rFonts w:ascii="Times New Roman" w:hAnsi="Times New Roman" w:cs="Times New Roman"/>
          <w:sz w:val="20"/>
          <w:szCs w:val="20"/>
          <w:lang w:val="en-US"/>
        </w:rPr>
        <w:t>Now, a</w:t>
      </w:r>
      <w:r w:rsidRPr="001C65DD">
        <w:rPr>
          <w:rFonts w:ascii="Times New Roman" w:hAnsi="Times New Roman" w:cs="Times New Roman"/>
          <w:sz w:val="20"/>
          <w:szCs w:val="20"/>
          <w:lang w:val="en-US"/>
        </w:rPr>
        <w:t xml:space="preserve">s shown in Fig.6-a, b, and c, when the model parameters were estimated using </w:t>
      </w:r>
      <w:r>
        <w:rPr>
          <w:rFonts w:ascii="Times New Roman" w:hAnsi="Times New Roman" w:cs="Times New Roman"/>
          <w:sz w:val="20"/>
          <w:szCs w:val="20"/>
          <w:lang w:val="en-US"/>
        </w:rPr>
        <w:t>eq.</w:t>
      </w:r>
      <w:r w:rsidRPr="001C65DD">
        <w:rPr>
          <w:rFonts w:ascii="Times New Roman" w:hAnsi="Times New Roman" w:cs="Times New Roman"/>
          <w:sz w:val="20"/>
          <w:szCs w:val="20"/>
          <w:lang w:val="en-US"/>
        </w:rPr>
        <w:t xml:space="preserve"> </w:t>
      </w:r>
      <w:r>
        <w:rPr>
          <w:rFonts w:ascii="Times New Roman" w:hAnsi="Times New Roman" w:cs="Times New Roman"/>
          <w:sz w:val="20"/>
          <w:szCs w:val="20"/>
          <w:lang w:val="en-US"/>
        </w:rPr>
        <w:t>5</w:t>
      </w:r>
      <w:r w:rsidRPr="001C65DD">
        <w:rPr>
          <w:rFonts w:ascii="Times New Roman" w:hAnsi="Times New Roman" w:cs="Times New Roman"/>
          <w:sz w:val="20"/>
          <w:szCs w:val="20"/>
          <w:lang w:val="en-US"/>
        </w:rPr>
        <w:t xml:space="preserve">, it was found that there was a strong correlation between the FTS-selectivity data and the values that were calculated with the developed model. When T = 210 °C, 230 °C, and 250 °C were used, the correlation coefficients in these cases were 0.96, 0.96, and 0.89, respectively. Although the model performances can be regarded as very good and that the model is able to capture the main features of the observed data, one can observe some persistent deviations for small and large numbers of carbons, suggesting that </w:t>
      </w:r>
      <w:r>
        <w:rPr>
          <w:rFonts w:ascii="Times New Roman" w:hAnsi="Times New Roman" w:cs="Times New Roman"/>
          <w:sz w:val="20"/>
          <w:szCs w:val="20"/>
          <w:lang w:val="en-US"/>
        </w:rPr>
        <w:t>eq. 5</w:t>
      </w:r>
      <w:r w:rsidRPr="001C65DD">
        <w:rPr>
          <w:rFonts w:ascii="Times New Roman" w:hAnsi="Times New Roman" w:cs="Times New Roman"/>
          <w:sz w:val="20"/>
          <w:szCs w:val="20"/>
          <w:lang w:val="en-US"/>
        </w:rPr>
        <w:t xml:space="preserve"> introduced some bias and can be improved.</w:t>
      </w:r>
      <w:r w:rsidRPr="001C65DD">
        <w:rPr>
          <w:rFonts w:ascii="Times New Roman" w:hAnsi="Times New Roman" w:cs="Times New Roman"/>
          <w:noProof/>
          <w:sz w:val="20"/>
          <w:szCs w:val="20"/>
          <w:lang w:val="en-US"/>
        </w:rPr>
        <w:t xml:space="preserve"> </w:t>
      </w:r>
    </w:p>
    <w:p w14:paraId="2357AB7A" w14:textId="755A2116" w:rsidR="001C65DD" w:rsidRDefault="001C65DD" w:rsidP="001C65DD">
      <w:pPr>
        <w:ind w:firstLine="187"/>
        <w:jc w:val="center"/>
        <w:rPr>
          <w:rFonts w:ascii="Times New Roman" w:hAnsi="Times New Roman" w:cs="Times New Roman"/>
          <w:sz w:val="20"/>
          <w:szCs w:val="20"/>
          <w:lang w:val="en-US"/>
        </w:rPr>
      </w:pPr>
      <w:r>
        <w:rPr>
          <w:rFonts w:ascii="Times New Roman" w:hAnsi="Times New Roman" w:cs="Times New Roman"/>
          <w:noProof/>
          <w:sz w:val="20"/>
          <w:szCs w:val="20"/>
          <w:lang w:val="en-US"/>
        </w:rPr>
        <w:drawing>
          <wp:inline distT="0" distB="0" distL="0" distR="0" wp14:anchorId="1DB44AEC" wp14:editId="4BC2CC36">
            <wp:extent cx="1885950" cy="1966509"/>
            <wp:effectExtent l="0" t="0" r="0" b="0"/>
            <wp:docPr id="130835790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357901" name="Picture 1308357901"/>
                    <pic:cNvPicPr/>
                  </pic:nvPicPr>
                  <pic:blipFill rotWithShape="1">
                    <a:blip r:embed="rId14" cstate="print">
                      <a:extLst>
                        <a:ext uri="{28A0092B-C50C-407E-A947-70E740481C1C}">
                          <a14:useLocalDpi xmlns:a14="http://schemas.microsoft.com/office/drawing/2010/main" val="0"/>
                        </a:ext>
                      </a:extLst>
                    </a:blip>
                    <a:srcRect r="53754"/>
                    <a:stretch/>
                  </pic:blipFill>
                  <pic:spPr bwMode="auto">
                    <a:xfrm>
                      <a:off x="0" y="0"/>
                      <a:ext cx="1891138" cy="1971919"/>
                    </a:xfrm>
                    <a:prstGeom prst="rect">
                      <a:avLst/>
                    </a:prstGeom>
                    <a:ln>
                      <a:noFill/>
                    </a:ln>
                    <a:extLst>
                      <a:ext uri="{53640926-AAD7-44D8-BBD7-CCE9431645EC}">
                        <a14:shadowObscured xmlns:a14="http://schemas.microsoft.com/office/drawing/2010/main"/>
                      </a:ext>
                    </a:extLst>
                  </pic:spPr>
                </pic:pic>
              </a:graphicData>
            </a:graphic>
          </wp:inline>
        </w:drawing>
      </w:r>
    </w:p>
    <w:p w14:paraId="64407794" w14:textId="0055EFCB" w:rsidR="001C65DD" w:rsidRDefault="001C65DD" w:rsidP="001C65DD">
      <w:pPr>
        <w:jc w:val="both"/>
        <w:rPr>
          <w:rFonts w:ascii="Times New Roman" w:hAnsi="Times New Roman" w:cs="Times New Roman"/>
          <w:color w:val="000000"/>
          <w:sz w:val="18"/>
          <w:szCs w:val="18"/>
          <w:lang w:val="en-US"/>
        </w:rPr>
      </w:pPr>
      <w:r w:rsidRPr="007955B2">
        <w:rPr>
          <w:rFonts w:ascii="Times New Roman" w:hAnsi="Times New Roman" w:cs="Times New Roman"/>
          <w:b/>
          <w:bCs/>
          <w:color w:val="000000"/>
          <w:sz w:val="18"/>
          <w:szCs w:val="18"/>
          <w:lang w:val="en-US"/>
        </w:rPr>
        <w:t xml:space="preserve">Figure </w:t>
      </w:r>
      <w:r>
        <w:rPr>
          <w:rFonts w:ascii="Times New Roman" w:hAnsi="Times New Roman" w:cs="Times New Roman"/>
          <w:b/>
          <w:bCs/>
          <w:color w:val="000000"/>
          <w:sz w:val="18"/>
          <w:szCs w:val="18"/>
          <w:lang w:val="en-US"/>
        </w:rPr>
        <w:t>6</w:t>
      </w:r>
      <w:r w:rsidRPr="007955B2">
        <w:rPr>
          <w:rFonts w:ascii="Times New Roman" w:hAnsi="Times New Roman" w:cs="Times New Roman"/>
          <w:color w:val="000000"/>
          <w:sz w:val="18"/>
          <w:szCs w:val="18"/>
          <w:lang w:val="en-US"/>
        </w:rPr>
        <w:t xml:space="preserve">. </w:t>
      </w:r>
      <w:r w:rsidRPr="001C65DD">
        <w:rPr>
          <w:rFonts w:ascii="Times New Roman" w:hAnsi="Times New Roman" w:cs="Times New Roman"/>
          <w:color w:val="000000"/>
          <w:sz w:val="18"/>
          <w:szCs w:val="18"/>
          <w:lang w:val="en-US"/>
        </w:rPr>
        <w:t>Product distribution as a function of temperature, and fitted living model: (a)</w:t>
      </w:r>
      <w:r>
        <w:rPr>
          <w:rFonts w:ascii="Times New Roman" w:hAnsi="Times New Roman" w:cs="Times New Roman"/>
          <w:color w:val="000000"/>
          <w:sz w:val="18"/>
          <w:szCs w:val="18"/>
          <w:lang w:val="en-US"/>
        </w:rPr>
        <w:t xml:space="preserve"> </w:t>
      </w:r>
      <w:r w:rsidRPr="001C65DD">
        <w:rPr>
          <w:rFonts w:ascii="Times New Roman" w:hAnsi="Times New Roman" w:cs="Times New Roman"/>
          <w:color w:val="000000"/>
          <w:sz w:val="18"/>
          <w:szCs w:val="18"/>
          <w:lang w:val="en-US"/>
        </w:rPr>
        <w:t>210 °C, (b) 230 °C,</w:t>
      </w:r>
      <w:r>
        <w:rPr>
          <w:rFonts w:ascii="Times New Roman" w:hAnsi="Times New Roman" w:cs="Times New Roman"/>
          <w:color w:val="000000"/>
          <w:sz w:val="18"/>
          <w:szCs w:val="18"/>
          <w:lang w:val="en-US"/>
        </w:rPr>
        <w:t xml:space="preserve"> and</w:t>
      </w:r>
      <w:r w:rsidRPr="001C65DD">
        <w:rPr>
          <w:rFonts w:ascii="Times New Roman" w:hAnsi="Times New Roman" w:cs="Times New Roman"/>
          <w:color w:val="000000"/>
          <w:sz w:val="18"/>
          <w:szCs w:val="18"/>
          <w:lang w:val="en-US"/>
        </w:rPr>
        <w:t xml:space="preserve"> (c) 250 °C</w:t>
      </w:r>
    </w:p>
    <w:p w14:paraId="1BE3BF01" w14:textId="5BDA5CD8" w:rsidR="00207EC6" w:rsidRDefault="00207EC6" w:rsidP="00207EC6">
      <w:pPr>
        <w:ind w:firstLine="187"/>
        <w:jc w:val="both"/>
        <w:rPr>
          <w:rFonts w:ascii="Times New Roman" w:hAnsi="Times New Roman" w:cs="Times New Roman"/>
          <w:color w:val="000000"/>
          <w:sz w:val="20"/>
          <w:szCs w:val="20"/>
          <w:lang w:val="en-US"/>
        </w:rPr>
      </w:pPr>
      <w:r w:rsidRPr="00207EC6">
        <w:rPr>
          <w:rFonts w:ascii="Times New Roman" w:hAnsi="Times New Roman" w:cs="Times New Roman"/>
          <w:color w:val="000000"/>
          <w:sz w:val="20"/>
          <w:szCs w:val="20"/>
          <w:lang w:val="en-US"/>
        </w:rPr>
        <w:t>The estimated constant values (</w:t>
      </w:r>
      <w:r w:rsidRPr="00207EC6">
        <w:rPr>
          <w:rFonts w:ascii="Times New Roman" w:hAnsi="Times New Roman" w:cs="Times New Roman"/>
          <w:i/>
          <w:iCs/>
          <w:color w:val="000000"/>
          <w:sz w:val="20"/>
          <w:szCs w:val="20"/>
          <w:lang w:val="en-US"/>
        </w:rPr>
        <w:t>K</w:t>
      </w:r>
      <w:r w:rsidRPr="00207EC6">
        <w:rPr>
          <w:rFonts w:ascii="Times New Roman" w:hAnsi="Times New Roman" w:cs="Times New Roman"/>
          <w:i/>
          <w:iCs/>
          <w:color w:val="000000"/>
          <w:sz w:val="20"/>
          <w:szCs w:val="20"/>
          <w:vertAlign w:val="subscript"/>
          <w:lang w:val="en-US"/>
        </w:rPr>
        <w:t>1</w:t>
      </w:r>
      <w:r w:rsidRPr="00207EC6">
        <w:rPr>
          <w:rFonts w:ascii="Times New Roman" w:hAnsi="Times New Roman" w:cs="Times New Roman"/>
          <w:color w:val="000000"/>
          <w:sz w:val="20"/>
          <w:szCs w:val="20"/>
          <w:lang w:val="en-US"/>
        </w:rPr>
        <w:t xml:space="preserve"> and </w:t>
      </w:r>
      <w:r w:rsidRPr="00207EC6">
        <w:rPr>
          <w:rFonts w:ascii="Times New Roman" w:hAnsi="Times New Roman" w:cs="Times New Roman"/>
          <w:i/>
          <w:iCs/>
          <w:color w:val="000000"/>
          <w:sz w:val="20"/>
          <w:szCs w:val="20"/>
          <w:lang w:val="en-US"/>
        </w:rPr>
        <w:t>q</w:t>
      </w:r>
      <w:r w:rsidRPr="00207EC6">
        <w:rPr>
          <w:rFonts w:ascii="Times New Roman" w:hAnsi="Times New Roman" w:cs="Times New Roman"/>
          <w:color w:val="000000"/>
          <w:sz w:val="20"/>
          <w:szCs w:val="20"/>
          <w:lang w:val="en-US"/>
        </w:rPr>
        <w:t>) indicated that the kinetic parameters depend on the chain length and temperature, as shown in Fig.6-a, b, and c. To support this statement and confirm whether the parameters are in fact distinct, the convergence of the objective-function values obtained by PSO were investigated, as illustrated in Fig.7-a1, b1, and c1.</w:t>
      </w:r>
    </w:p>
    <w:p w14:paraId="70252D11" w14:textId="4D573564" w:rsidR="00A07250" w:rsidRPr="00207EC6" w:rsidRDefault="00A07250" w:rsidP="00207EC6">
      <w:pPr>
        <w:ind w:firstLine="187"/>
        <w:jc w:val="both"/>
        <w:rPr>
          <w:rFonts w:ascii="Times New Roman" w:hAnsi="Times New Roman" w:cs="Times New Roman"/>
          <w:color w:val="000000"/>
          <w:sz w:val="20"/>
          <w:szCs w:val="20"/>
          <w:lang w:val="en-US"/>
        </w:rPr>
      </w:pPr>
      <w:r w:rsidRPr="00A07250">
        <w:rPr>
          <w:rFonts w:ascii="Times New Roman" w:hAnsi="Times New Roman" w:cs="Times New Roman"/>
          <w:color w:val="000000"/>
          <w:sz w:val="20"/>
          <w:szCs w:val="20"/>
          <w:lang w:val="en-US"/>
        </w:rPr>
        <w:t xml:space="preserve">The likelihood confidence regions of the estimated model parameters are displayed in Fig. 7-a2, b2, and c2. Remember that even though the graph's so-called "global minimum" is denoted by a red X, all of the gray dots that make up the region are equally likely, with a 95% confidence level. According to Fig.6-a and b, the minimum values estimated for the parameter q in this experimental range were very similar and not overly sensitive to the reactor temperature. The second parameter, however, was positively impacted by the reaction temperature, with </w:t>
      </w:r>
      <w:r w:rsidRPr="00A07250">
        <w:rPr>
          <w:rFonts w:ascii="Times New Roman" w:hAnsi="Times New Roman" w:cs="Times New Roman"/>
          <w:i/>
          <w:iCs/>
          <w:color w:val="000000"/>
          <w:sz w:val="20"/>
          <w:szCs w:val="20"/>
          <w:lang w:val="en-US"/>
        </w:rPr>
        <w:t>K</w:t>
      </w:r>
      <w:r w:rsidRPr="00A07250">
        <w:rPr>
          <w:rFonts w:ascii="Times New Roman" w:hAnsi="Times New Roman" w:cs="Times New Roman"/>
          <w:i/>
          <w:iCs/>
          <w:color w:val="000000"/>
          <w:sz w:val="20"/>
          <w:szCs w:val="20"/>
          <w:vertAlign w:val="subscript"/>
          <w:lang w:val="en-US"/>
        </w:rPr>
        <w:t>1</w:t>
      </w:r>
      <w:r w:rsidRPr="00A07250">
        <w:rPr>
          <w:rFonts w:ascii="Times New Roman" w:hAnsi="Times New Roman" w:cs="Times New Roman"/>
          <w:color w:val="000000"/>
          <w:sz w:val="20"/>
          <w:szCs w:val="20"/>
          <w:lang w:val="en-US"/>
        </w:rPr>
        <w:t xml:space="preserve"> equaling 2.17 h</w:t>
      </w:r>
      <w:r w:rsidRPr="00A07250">
        <w:rPr>
          <w:rFonts w:ascii="Times New Roman" w:hAnsi="Times New Roman" w:cs="Times New Roman"/>
          <w:color w:val="000000"/>
          <w:sz w:val="20"/>
          <w:szCs w:val="20"/>
          <w:vertAlign w:val="superscript"/>
          <w:lang w:val="en-US"/>
        </w:rPr>
        <w:t>-</w:t>
      </w:r>
      <w:r>
        <w:rPr>
          <w:rFonts w:ascii="Times New Roman" w:hAnsi="Times New Roman" w:cs="Times New Roman"/>
          <w:color w:val="000000"/>
          <w:sz w:val="20"/>
          <w:szCs w:val="20"/>
          <w:vertAlign w:val="superscript"/>
          <w:lang w:val="en-US"/>
        </w:rPr>
        <w:t>1</w:t>
      </w:r>
      <w:r>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vertAlign w:val="superscript"/>
          <w:lang w:val="en-US"/>
        </w:rPr>
        <w:t xml:space="preserve"> </w:t>
      </w:r>
      <w:r w:rsidRPr="00A07250">
        <w:rPr>
          <w:rFonts w:ascii="Times New Roman" w:hAnsi="Times New Roman" w:cs="Times New Roman"/>
          <w:color w:val="000000"/>
          <w:sz w:val="20"/>
          <w:szCs w:val="20"/>
          <w:lang w:val="en-US"/>
        </w:rPr>
        <w:t>and 2.29 h</w:t>
      </w:r>
      <w:r w:rsidRPr="00A07250">
        <w:rPr>
          <w:rFonts w:ascii="Times New Roman" w:hAnsi="Times New Roman" w:cs="Times New Roman"/>
          <w:color w:val="000000"/>
          <w:sz w:val="20"/>
          <w:szCs w:val="20"/>
          <w:vertAlign w:val="superscript"/>
          <w:lang w:val="en-US"/>
        </w:rPr>
        <w:t>-</w:t>
      </w:r>
      <w:r w:rsidRPr="00A07250">
        <w:rPr>
          <w:rFonts w:ascii="Times New Roman" w:hAnsi="Times New Roman" w:cs="Times New Roman"/>
          <w:color w:val="000000"/>
          <w:sz w:val="20"/>
          <w:szCs w:val="20"/>
          <w:vertAlign w:val="superscript"/>
          <w:lang w:val="en-US"/>
        </w:rPr>
        <w:t>1</w:t>
      </w:r>
      <w:r w:rsidRPr="00A07250">
        <w:rPr>
          <w:rFonts w:ascii="Times New Roman" w:hAnsi="Times New Roman" w:cs="Times New Roman"/>
          <w:color w:val="000000"/>
          <w:sz w:val="20"/>
          <w:szCs w:val="20"/>
          <w:lang w:val="en-US"/>
        </w:rPr>
        <w:t>, respectively, for 210 °C</w:t>
      </w:r>
      <w:r>
        <w:rPr>
          <w:rFonts w:ascii="Times New Roman" w:hAnsi="Times New Roman" w:cs="Times New Roman"/>
          <w:color w:val="000000"/>
          <w:sz w:val="20"/>
          <w:szCs w:val="20"/>
          <w:lang w:val="en-US"/>
        </w:rPr>
        <w:t>,</w:t>
      </w:r>
      <w:r w:rsidRPr="00A07250">
        <w:rPr>
          <w:rFonts w:ascii="Times New Roman" w:hAnsi="Times New Roman" w:cs="Times New Roman"/>
          <w:color w:val="000000"/>
          <w:sz w:val="20"/>
          <w:szCs w:val="20"/>
          <w:lang w:val="en-US"/>
        </w:rPr>
        <w:t xml:space="preserve"> </w:t>
      </w:r>
      <w:r w:rsidRPr="00A07250">
        <w:rPr>
          <w:rFonts w:ascii="Times New Roman" w:hAnsi="Times New Roman" w:cs="Times New Roman"/>
          <w:color w:val="000000"/>
          <w:sz w:val="20"/>
          <w:szCs w:val="20"/>
          <w:lang w:val="en-US"/>
        </w:rPr>
        <w:t>and 230 °C.</w:t>
      </w:r>
    </w:p>
    <w:p w14:paraId="65C748E6" w14:textId="455FCDAF" w:rsidR="00207EC6" w:rsidRPr="007955B2" w:rsidRDefault="00A07250" w:rsidP="001C65DD">
      <w:pPr>
        <w:jc w:val="both"/>
        <w:rPr>
          <w:sz w:val="18"/>
          <w:szCs w:val="18"/>
          <w:lang w:val="en-US"/>
        </w:rPr>
      </w:pPr>
      <w:r w:rsidRPr="00A07250">
        <w:rPr>
          <w:rFonts w:ascii="Times New Roman" w:hAnsi="Times New Roman" w:cs="Times New Roman"/>
          <w:noProof/>
          <w:sz w:val="20"/>
          <w:szCs w:val="20"/>
          <w:lang w:val="en-US"/>
        </w:rPr>
        <w:lastRenderedPageBreak/>
        <mc:AlternateContent>
          <mc:Choice Requires="wps">
            <w:drawing>
              <wp:anchor distT="45720" distB="45720" distL="114300" distR="114300" simplePos="0" relativeHeight="251664383" behindDoc="0" locked="0" layoutInCell="1" allowOverlap="1" wp14:anchorId="2EA14F1B" wp14:editId="746361E5">
                <wp:simplePos x="0" y="0"/>
                <wp:positionH relativeFrom="margin">
                  <wp:posOffset>668655</wp:posOffset>
                </wp:positionH>
                <wp:positionV relativeFrom="paragraph">
                  <wp:posOffset>4720590</wp:posOffset>
                </wp:positionV>
                <wp:extent cx="5334000" cy="581025"/>
                <wp:effectExtent l="0" t="0" r="0" b="952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581025"/>
                        </a:xfrm>
                        <a:prstGeom prst="rect">
                          <a:avLst/>
                        </a:prstGeom>
                        <a:solidFill>
                          <a:srgbClr val="FFFFFF"/>
                        </a:solidFill>
                        <a:ln w="9525">
                          <a:noFill/>
                          <a:miter lim="800000"/>
                          <a:headEnd/>
                          <a:tailEnd/>
                        </a:ln>
                      </wps:spPr>
                      <wps:txbx>
                        <w:txbxContent>
                          <w:p w14:paraId="370DE7CD" w14:textId="14E31F22" w:rsidR="00A07250" w:rsidRPr="005F2F23" w:rsidRDefault="00A07250" w:rsidP="00A07250">
                            <w:pPr>
                              <w:ind w:firstLine="187"/>
                              <w:jc w:val="both"/>
                              <w:rPr>
                                <w:rFonts w:ascii="Times New Roman" w:hAnsi="Times New Roman" w:cs="Times New Roman"/>
                                <w:sz w:val="18"/>
                                <w:szCs w:val="18"/>
                                <w:lang w:val="en-US"/>
                              </w:rPr>
                            </w:pPr>
                            <w:r w:rsidRPr="005F2F23">
                              <w:rPr>
                                <w:rFonts w:ascii="Times New Roman" w:hAnsi="Times New Roman" w:cs="Times New Roman"/>
                                <w:b/>
                                <w:bCs/>
                                <w:sz w:val="18"/>
                                <w:szCs w:val="18"/>
                                <w:lang w:val="en-US"/>
                              </w:rPr>
                              <w:t>Figure 7.</w:t>
                            </w:r>
                            <w:r w:rsidRPr="005F2F23">
                              <w:rPr>
                                <w:rFonts w:ascii="Times New Roman" w:hAnsi="Times New Roman" w:cs="Times New Roman"/>
                                <w:sz w:val="18"/>
                                <w:szCs w:val="18"/>
                                <w:lang w:val="en-US"/>
                              </w:rPr>
                              <w:t xml:space="preserve"> (a) 210 °C, (b) 230 °C, and (c) 250 °C. (1) Objective function final values, and (2) likelihood confidence region</w:t>
                            </w:r>
                          </w:p>
                          <w:p w14:paraId="4D10FEDA" w14:textId="7FF5D46C" w:rsidR="00A07250" w:rsidRPr="00A07250" w:rsidRDefault="00A07250">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A14F1B" id="_x0000_t202" coordsize="21600,21600" o:spt="202" path="m,l,21600r21600,l21600,xe">
                <v:stroke joinstyle="miter"/>
                <v:path gradientshapeok="t" o:connecttype="rect"/>
              </v:shapetype>
              <v:shape id="Text Box 2" o:spid="_x0000_s1028" type="#_x0000_t202" style="position:absolute;left:0;text-align:left;margin-left:52.65pt;margin-top:371.7pt;width:420pt;height:45.75pt;z-index:25166438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" stroked="f">
                <v:textbox>
                  <w:txbxContent>
                    <w:p w14:paraId="370DE7CD" w14:textId="14E31F22" w:rsidR="00A07250" w:rsidRPr="005F2F23" w:rsidRDefault="00A07250" w:rsidP="00A07250">
                      <w:pPr>
                        <w:ind w:firstLine="187"/>
                        <w:jc w:val="both"/>
                        <w:rPr>
                          <w:rFonts w:ascii="Times New Roman" w:hAnsi="Times New Roman" w:cs="Times New Roman"/>
                          <w:sz w:val="18"/>
                          <w:szCs w:val="18"/>
                          <w:lang w:val="en-US"/>
                        </w:rPr>
                      </w:pPr>
                      <w:r w:rsidRPr="005F2F23">
                        <w:rPr>
                          <w:rFonts w:ascii="Times New Roman" w:hAnsi="Times New Roman" w:cs="Times New Roman"/>
                          <w:b/>
                          <w:bCs/>
                          <w:sz w:val="18"/>
                          <w:szCs w:val="18"/>
                          <w:lang w:val="en-US"/>
                        </w:rPr>
                        <w:t>Figure 7.</w:t>
                      </w:r>
                      <w:r w:rsidRPr="005F2F23">
                        <w:rPr>
                          <w:rFonts w:ascii="Times New Roman" w:hAnsi="Times New Roman" w:cs="Times New Roman"/>
                          <w:sz w:val="18"/>
                          <w:szCs w:val="18"/>
                          <w:lang w:val="en-US"/>
                        </w:rPr>
                        <w:t xml:space="preserve"> (a) 210 °C, (b) 230 °C, and (c) 250 °C. (1) Objective function final values, and (2) likelihood confidence region</w:t>
                      </w:r>
                    </w:p>
                    <w:p w14:paraId="4D10FEDA" w14:textId="7FF5D46C" w:rsidR="00A07250" w:rsidRPr="00A07250" w:rsidRDefault="00A07250">
                      <w:pPr>
                        <w:rPr>
                          <w:lang w:val="en-US"/>
                        </w:rPr>
                      </w:pPr>
                    </w:p>
                  </w:txbxContent>
                </v:textbox>
                <w10:wrap type="topAndBottom" anchorx="margin"/>
              </v:shape>
            </w:pict>
          </mc:Fallback>
        </mc:AlternateContent>
      </w:r>
      <w:r>
        <w:rPr>
          <w:noProof/>
        </w:rPr>
        <w:drawing>
          <wp:anchor distT="0" distB="0" distL="114300" distR="114300" simplePos="0" relativeHeight="251662335" behindDoc="0" locked="0" layoutInCell="1" allowOverlap="1" wp14:anchorId="7291F747" wp14:editId="6878AABC">
            <wp:simplePos x="0" y="0"/>
            <wp:positionH relativeFrom="page">
              <wp:align>center</wp:align>
            </wp:positionH>
            <wp:positionV relativeFrom="paragraph">
              <wp:posOffset>142875</wp:posOffset>
            </wp:positionV>
            <wp:extent cx="4486275" cy="4544612"/>
            <wp:effectExtent l="0" t="0" r="0" b="8890"/>
            <wp:wrapTopAndBottom/>
            <wp:docPr id="155709382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093820" name="Picture 1557093820"/>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86275" cy="4544612"/>
                    </a:xfrm>
                    <a:prstGeom prst="rect">
                      <a:avLst/>
                    </a:prstGeom>
                  </pic:spPr>
                </pic:pic>
              </a:graphicData>
            </a:graphic>
            <wp14:sizeRelH relativeFrom="margin">
              <wp14:pctWidth>0</wp14:pctWidth>
            </wp14:sizeRelH>
            <wp14:sizeRelV relativeFrom="margin">
              <wp14:pctHeight>0</wp14:pctHeight>
            </wp14:sizeRelV>
          </wp:anchor>
        </w:drawing>
      </w:r>
    </w:p>
    <w:p w14:paraId="46FE30FF" w14:textId="20C1AAFD" w:rsidR="00EA4E1B" w:rsidRPr="00A16A5C" w:rsidRDefault="00A16A5C" w:rsidP="00A16A5C">
      <w:pPr>
        <w:ind w:firstLine="187"/>
        <w:jc w:val="both"/>
        <w:rPr>
          <w:rFonts w:ascii="Times New Roman" w:hAnsi="Times New Roman" w:cs="Times New Roman"/>
          <w:sz w:val="20"/>
          <w:szCs w:val="20"/>
          <w:lang w:val="en-US"/>
        </w:rPr>
      </w:pPr>
      <w:r w:rsidRPr="00A16A5C">
        <w:rPr>
          <w:rFonts w:ascii="Times New Roman" w:hAnsi="Times New Roman" w:cs="Times New Roman"/>
          <w:sz w:val="20"/>
          <w:szCs w:val="20"/>
          <w:lang w:val="en-US"/>
        </w:rPr>
        <w:t>However, w</w:t>
      </w:r>
      <w:r w:rsidRPr="00A16A5C">
        <w:rPr>
          <w:rFonts w:ascii="Times New Roman" w:hAnsi="Times New Roman" w:cs="Times New Roman"/>
          <w:sz w:val="20"/>
          <w:szCs w:val="20"/>
          <w:lang w:val="en-US"/>
        </w:rPr>
        <w:t>hen the temperature was higher (250 °C), the likelihood confidence</w:t>
      </w:r>
      <w:r w:rsidRPr="00A16A5C">
        <w:rPr>
          <w:rFonts w:ascii="Times New Roman" w:hAnsi="Times New Roman" w:cs="Times New Roman"/>
          <w:sz w:val="20"/>
          <w:szCs w:val="20"/>
          <w:lang w:val="en-US"/>
        </w:rPr>
        <w:t xml:space="preserve"> </w:t>
      </w:r>
      <w:r w:rsidRPr="00A16A5C">
        <w:rPr>
          <w:rFonts w:ascii="Times New Roman" w:hAnsi="Times New Roman" w:cs="Times New Roman"/>
          <w:sz w:val="20"/>
          <w:szCs w:val="20"/>
          <w:lang w:val="en-US"/>
        </w:rPr>
        <w:t>region was shifted, ensuring the estimation of an undeniably different pair of parameters, as shown in Fig.7-c2. This result shows that the parameters</w:t>
      </w:r>
      <w:r w:rsidRPr="00A16A5C">
        <w:rPr>
          <w:rFonts w:ascii="Times New Roman" w:hAnsi="Times New Roman" w:cs="Times New Roman"/>
          <w:sz w:val="20"/>
          <w:szCs w:val="20"/>
          <w:lang w:val="en-US"/>
        </w:rPr>
        <w:t xml:space="preserve"> </w:t>
      </w:r>
      <w:r w:rsidRPr="00A16A5C">
        <w:rPr>
          <w:rFonts w:ascii="Times New Roman" w:hAnsi="Times New Roman" w:cs="Times New Roman"/>
          <w:sz w:val="20"/>
          <w:szCs w:val="20"/>
          <w:lang w:val="en-US"/>
        </w:rPr>
        <w:t>estimated at 250 °C were significantly different from the ones estimated in the other tests, suggesting that from a certain temperature, the events linked to the living mechanism may be favored.</w:t>
      </w:r>
    </w:p>
    <w:p w14:paraId="52119C50" w14:textId="1740E3F3" w:rsidR="00A16A5C" w:rsidRPr="004006F9" w:rsidRDefault="00A16A5C" w:rsidP="00A16A5C">
      <w:pPr>
        <w:pStyle w:val="Heading2"/>
        <w:rPr>
          <w:rFonts w:ascii="Helvetica" w:hAnsi="Helvetica" w:cs="Helvetica"/>
          <w:sz w:val="24"/>
          <w:szCs w:val="24"/>
          <w:lang w:val="en-US"/>
        </w:rPr>
      </w:pPr>
      <w:r>
        <w:rPr>
          <w:rFonts w:ascii="Helvetica" w:hAnsi="Helvetica" w:cs="Helvetica"/>
          <w:sz w:val="24"/>
          <w:szCs w:val="24"/>
          <w:lang w:val="en-US"/>
        </w:rPr>
        <w:t>Conclusions</w:t>
      </w:r>
    </w:p>
    <w:p w14:paraId="2BCAA031" w14:textId="2F758DF0" w:rsidR="00A07250" w:rsidRPr="00A16A5C" w:rsidRDefault="00A16A5C" w:rsidP="00A16A5C">
      <w:pPr>
        <w:jc w:val="both"/>
        <w:rPr>
          <w:rFonts w:ascii="Times New Roman" w:hAnsi="Times New Roman" w:cs="Times New Roman"/>
          <w:sz w:val="20"/>
          <w:szCs w:val="20"/>
          <w:lang w:val="en-US"/>
        </w:rPr>
      </w:pPr>
      <w:r w:rsidRPr="00A16A5C">
        <w:rPr>
          <w:rFonts w:ascii="Times New Roman" w:hAnsi="Times New Roman" w:cs="Times New Roman"/>
          <w:sz w:val="20"/>
          <w:szCs w:val="20"/>
          <w:lang w:val="en-US"/>
        </w:rPr>
        <w:t>Using the Co/SiO</w:t>
      </w:r>
      <w:r w:rsidRPr="00A16A5C">
        <w:rPr>
          <w:rFonts w:ascii="Times New Roman" w:hAnsi="Times New Roman" w:cs="Times New Roman"/>
          <w:sz w:val="20"/>
          <w:szCs w:val="20"/>
          <w:vertAlign w:val="subscript"/>
          <w:lang w:val="en-US"/>
        </w:rPr>
        <w:t>2</w:t>
      </w:r>
      <w:r w:rsidRPr="00A16A5C">
        <w:rPr>
          <w:rFonts w:ascii="Times New Roman" w:hAnsi="Times New Roman" w:cs="Times New Roman"/>
          <w:sz w:val="20"/>
          <w:szCs w:val="20"/>
          <w:lang w:val="en-US"/>
        </w:rPr>
        <w:t xml:space="preserve"> catalyst as a reference, it was shown that the chain size distributions of Fischer-Tropsh Synthesis (FTS) processes do not necessarily follow the Anderson-Schulz-Flory (ASF) distribution, resembling many times the Poisson distribution. For this reason, a new model was proposed to describe chain size distributions, based on a living addition polymerization model for FTS, where propagation reactions are irreversible. After estimating the model parameters with the help of the particle swarm optimization method (PSO), a good agreement was found between the model and the reaction data. Particularly, the reaction temperature was found to exert a significant effect on the estimated model parameters, causing an increase in kinetic rate constants and a decrease in the growth probability value.</w:t>
      </w:r>
    </w:p>
    <w:p w14:paraId="6BE32F7B" w14:textId="5D16B30B" w:rsidR="00EA4E1B" w:rsidRDefault="00A16A5C" w:rsidP="00EA4E1B">
      <w:pPr>
        <w:pStyle w:val="Heading2"/>
        <w:rPr>
          <w:rFonts w:ascii="Helvetica" w:hAnsi="Helvetica" w:cs="Helvetica"/>
          <w:sz w:val="24"/>
          <w:szCs w:val="24"/>
        </w:rPr>
      </w:pPr>
      <w:r>
        <w:rPr>
          <w:rFonts w:ascii="Helvetica" w:hAnsi="Helvetica" w:cs="Helvetica"/>
          <w:sz w:val="24"/>
          <w:szCs w:val="24"/>
        </w:rPr>
        <w:t>A</w:t>
      </w:r>
      <w:r w:rsidRPr="00A16A5C">
        <w:rPr>
          <w:rFonts w:ascii="Helvetica" w:hAnsi="Helvetica" w:cs="Helvetica"/>
          <w:sz w:val="24"/>
          <w:szCs w:val="24"/>
        </w:rPr>
        <w:t>cknowledgements</w:t>
      </w:r>
    </w:p>
    <w:p w14:paraId="3FC9A7CE" w14:textId="26072B90" w:rsidR="00A16A5C" w:rsidRPr="00A16A5C" w:rsidRDefault="00A16A5C" w:rsidP="00A16A5C">
      <w:pPr>
        <w:jc w:val="both"/>
        <w:rPr>
          <w:rFonts w:ascii="Times New Roman" w:hAnsi="Times New Roman" w:cs="Times New Roman"/>
          <w:sz w:val="20"/>
          <w:szCs w:val="20"/>
        </w:rPr>
      </w:pPr>
      <w:r w:rsidRPr="00A16A5C">
        <w:rPr>
          <w:rFonts w:ascii="Times New Roman" w:hAnsi="Times New Roman" w:cs="Times New Roman"/>
          <w:sz w:val="20"/>
          <w:szCs w:val="20"/>
        </w:rPr>
        <w:t>The authors thank CNPq (Conselho Nacional de Desenvolvimento Científico e Tecnológico, Brazil) process number 142211/2020-6</w:t>
      </w:r>
      <w:r>
        <w:rPr>
          <w:rFonts w:ascii="Times New Roman" w:hAnsi="Times New Roman" w:cs="Times New Roman"/>
          <w:sz w:val="20"/>
          <w:szCs w:val="20"/>
        </w:rPr>
        <w:t>.</w:t>
      </w:r>
      <w:r w:rsidRPr="00A16A5C">
        <w:rPr>
          <w:rFonts w:ascii="Times New Roman" w:hAnsi="Times New Roman" w:cs="Times New Roman"/>
          <w:sz w:val="20"/>
          <w:szCs w:val="20"/>
        </w:rPr>
        <w:t xml:space="preserve"> </w:t>
      </w:r>
    </w:p>
    <w:p w14:paraId="03C44EDF" w14:textId="77777777" w:rsidR="00A16A5C" w:rsidRPr="00A16A5C" w:rsidRDefault="00A16A5C" w:rsidP="00A16A5C"/>
    <w:p w14:paraId="7CFC8922" w14:textId="77777777" w:rsidR="00A16A5C" w:rsidRDefault="00A16A5C" w:rsidP="00A16A5C"/>
    <w:p w14:paraId="1EAAA287" w14:textId="050182E5" w:rsidR="00EA4E1B" w:rsidRPr="001F25B2" w:rsidRDefault="00EA4E1B" w:rsidP="00EA4E1B">
      <w:pPr>
        <w:pStyle w:val="Heading2"/>
        <w:rPr>
          <w:rFonts w:ascii="Helvetica" w:hAnsi="Helvetica" w:cs="Helvetica"/>
          <w:sz w:val="24"/>
          <w:szCs w:val="24"/>
        </w:rPr>
      </w:pPr>
      <w:r w:rsidRPr="001F25B2">
        <w:rPr>
          <w:rFonts w:ascii="Helvetica" w:hAnsi="Helvetica" w:cs="Helvetica"/>
          <w:sz w:val="24"/>
          <w:szCs w:val="24"/>
        </w:rPr>
        <w:t>R</w:t>
      </w:r>
      <w:r w:rsidR="00A16A5C">
        <w:rPr>
          <w:rFonts w:ascii="Helvetica" w:hAnsi="Helvetica" w:cs="Helvetica"/>
          <w:sz w:val="24"/>
          <w:szCs w:val="24"/>
        </w:rPr>
        <w:t>eferences</w:t>
      </w:r>
    </w:p>
    <w:p w14:paraId="158D911D" w14:textId="37CE2A9C" w:rsidR="00EA4E1B" w:rsidRDefault="00EA4E1B" w:rsidP="00EA4E1B">
      <w:pPr>
        <w:pStyle w:val="TAMainText"/>
        <w:ind w:firstLine="0"/>
        <w:rPr>
          <w:lang w:val="pt-BR"/>
        </w:rPr>
      </w:pPr>
    </w:p>
    <w:p w14:paraId="58716424" w14:textId="3CE2AF9A" w:rsidR="007B4B2B" w:rsidRPr="00C93163" w:rsidRDefault="00C93163" w:rsidP="00EA4E1B">
      <w:pPr>
        <w:pStyle w:val="TAMainText"/>
        <w:numPr>
          <w:ilvl w:val="0"/>
          <w:numId w:val="1"/>
        </w:numPr>
      </w:pPr>
      <w:r w:rsidRPr="00C93163">
        <w:rPr>
          <w:rFonts w:ascii="Times New Roman" w:hAnsi="Times New Roman"/>
        </w:rPr>
        <w:t xml:space="preserve">Viswanathan, Venkatasubramanian, and B. Matthew Knapp. </w:t>
      </w:r>
      <w:r w:rsidRPr="00C93163">
        <w:rPr>
          <w:rFonts w:ascii="Times New Roman" w:hAnsi="Times New Roman"/>
          <w:i/>
          <w:iCs/>
        </w:rPr>
        <w:t xml:space="preserve">Nature Sustainability </w:t>
      </w:r>
      <w:r w:rsidRPr="00C93163">
        <w:rPr>
          <w:rFonts w:ascii="Times New Roman" w:hAnsi="Times New Roman"/>
          <w:b/>
          <w:bCs/>
        </w:rPr>
        <w:t>2019</w:t>
      </w:r>
      <w:r>
        <w:rPr>
          <w:rFonts w:ascii="Times New Roman" w:hAnsi="Times New Roman"/>
        </w:rPr>
        <w:t>,</w:t>
      </w:r>
      <w:r w:rsidRPr="00C93163">
        <w:rPr>
          <w:rFonts w:ascii="Times New Roman" w:hAnsi="Times New Roman"/>
        </w:rPr>
        <w:t xml:space="preserve"> 88-89.</w:t>
      </w:r>
    </w:p>
    <w:p w14:paraId="3E8B8776" w14:textId="2EE16C63" w:rsidR="00C93163" w:rsidRDefault="00C93163" w:rsidP="00EA4E1B">
      <w:pPr>
        <w:pStyle w:val="TAMainText"/>
        <w:numPr>
          <w:ilvl w:val="0"/>
          <w:numId w:val="1"/>
        </w:numPr>
      </w:pPr>
      <w:r w:rsidRPr="00C93163">
        <w:t xml:space="preserve">Drünert, S., Neuling, U., Zitscher, T., &amp; Kaltschmitt, M. </w:t>
      </w:r>
      <w:r w:rsidRPr="00C93163">
        <w:rPr>
          <w:i/>
          <w:iCs/>
        </w:rPr>
        <w:t>Applied energy</w:t>
      </w:r>
      <w:r w:rsidRPr="00C93163">
        <w:t xml:space="preserve">, </w:t>
      </w:r>
      <w:r w:rsidRPr="00C93163">
        <w:rPr>
          <w:b/>
          <w:bCs/>
        </w:rPr>
        <w:t>2020</w:t>
      </w:r>
      <w:r>
        <w:t xml:space="preserve">, </w:t>
      </w:r>
      <w:r w:rsidRPr="00C93163">
        <w:t>277, 115578.</w:t>
      </w:r>
    </w:p>
    <w:p w14:paraId="60A3275C" w14:textId="5A88CB94" w:rsidR="00364E2C" w:rsidRDefault="00364E2C" w:rsidP="00EA4E1B">
      <w:pPr>
        <w:pStyle w:val="TAMainText"/>
        <w:numPr>
          <w:ilvl w:val="0"/>
          <w:numId w:val="1"/>
        </w:numPr>
      </w:pPr>
      <w:r w:rsidRPr="00364E2C">
        <w:t xml:space="preserve">Henrici‐Olivé, G., </w:t>
      </w:r>
      <w:r>
        <w:t>and</w:t>
      </w:r>
      <w:r w:rsidRPr="00364E2C">
        <w:t xml:space="preserve"> Olive, S. </w:t>
      </w:r>
      <w:r w:rsidRPr="00364E2C">
        <w:rPr>
          <w:i/>
          <w:iCs/>
        </w:rPr>
        <w:t>Angewandte Chemie International Edition in English</w:t>
      </w:r>
      <w:r w:rsidRPr="00364E2C">
        <w:t xml:space="preserve">, </w:t>
      </w:r>
      <w:r w:rsidRPr="00364E2C">
        <w:rPr>
          <w:b/>
          <w:bCs/>
        </w:rPr>
        <w:t>1976</w:t>
      </w:r>
      <w:r>
        <w:t xml:space="preserve">, </w:t>
      </w:r>
      <w:r w:rsidRPr="00364E2C">
        <w:t>15(3), 136-141.</w:t>
      </w:r>
    </w:p>
    <w:p w14:paraId="368947CE" w14:textId="0845B616" w:rsidR="00364E2C" w:rsidRDefault="00364E2C" w:rsidP="00EA4E1B">
      <w:pPr>
        <w:pStyle w:val="TAMainText"/>
        <w:numPr>
          <w:ilvl w:val="0"/>
          <w:numId w:val="1"/>
        </w:numPr>
      </w:pPr>
      <w:r w:rsidRPr="00364E2C">
        <w:t xml:space="preserve">Li, J., He, Y., Tan, L., Zhang, P., Peng, X., Oruganti, A., </w:t>
      </w:r>
      <w:r>
        <w:t>and</w:t>
      </w:r>
      <w:r w:rsidRPr="00364E2C">
        <w:t xml:space="preserve"> Tsubaki, N. </w:t>
      </w:r>
      <w:r w:rsidRPr="00364E2C">
        <w:rPr>
          <w:i/>
          <w:iCs/>
        </w:rPr>
        <w:t>Nature Catalysis</w:t>
      </w:r>
      <w:r w:rsidRPr="00364E2C">
        <w:t xml:space="preserve">. </w:t>
      </w:r>
      <w:r w:rsidRPr="00364E2C">
        <w:rPr>
          <w:b/>
          <w:bCs/>
        </w:rPr>
        <w:t>2018</w:t>
      </w:r>
      <w:r w:rsidRPr="00364E2C">
        <w:t>, 1, 787-793.</w:t>
      </w:r>
    </w:p>
    <w:p w14:paraId="4CB21D8C" w14:textId="46F6C8DC" w:rsidR="00364E2C" w:rsidRDefault="00364E2C" w:rsidP="00EA4E1B">
      <w:pPr>
        <w:pStyle w:val="TAMainText"/>
        <w:numPr>
          <w:ilvl w:val="0"/>
          <w:numId w:val="1"/>
        </w:numPr>
      </w:pPr>
      <w:r w:rsidRPr="00364E2C">
        <w:t xml:space="preserve">Madon, R. J. </w:t>
      </w:r>
      <w:r w:rsidRPr="00364E2C">
        <w:rPr>
          <w:i/>
          <w:iCs/>
        </w:rPr>
        <w:t>J. Catal.;(United States</w:t>
      </w:r>
      <w:r w:rsidRPr="00364E2C">
        <w:t>),</w:t>
      </w:r>
      <w:r>
        <w:t xml:space="preserve"> </w:t>
      </w:r>
      <w:r w:rsidRPr="00364E2C">
        <w:rPr>
          <w:b/>
          <w:bCs/>
        </w:rPr>
        <w:t>1979</w:t>
      </w:r>
      <w:r>
        <w:t>,</w:t>
      </w:r>
      <w:r w:rsidRPr="00364E2C">
        <w:t xml:space="preserve"> 57(1).</w:t>
      </w:r>
    </w:p>
    <w:p w14:paraId="77A16FF3" w14:textId="78F1EA62" w:rsidR="00E834ED" w:rsidRDefault="00E834ED" w:rsidP="00EA4E1B">
      <w:pPr>
        <w:pStyle w:val="TAMainText"/>
        <w:numPr>
          <w:ilvl w:val="0"/>
          <w:numId w:val="1"/>
        </w:numPr>
      </w:pPr>
      <w:r w:rsidRPr="00E834ED">
        <w:t xml:space="preserve">Khuwijitjaru, P., Plernjit, J., Suaylam, B., Samuhaseneetoo, S., Pongsawatmanit, R., &amp; Adachi, S. </w:t>
      </w:r>
      <w:r w:rsidRPr="00E834ED">
        <w:rPr>
          <w:i/>
          <w:iCs/>
        </w:rPr>
        <w:t>The Canadian Journal of Chemical Engineering</w:t>
      </w:r>
      <w:r w:rsidRPr="00E834ED">
        <w:t>,</w:t>
      </w:r>
      <w:r>
        <w:t xml:space="preserve"> </w:t>
      </w:r>
      <w:r w:rsidRPr="00E834ED">
        <w:rPr>
          <w:b/>
          <w:bCs/>
        </w:rPr>
        <w:t>2014</w:t>
      </w:r>
      <w:r>
        <w:t>,</w:t>
      </w:r>
      <w:r w:rsidRPr="00E834ED">
        <w:t xml:space="preserve"> 92(5), 810-815.</w:t>
      </w:r>
    </w:p>
    <w:p w14:paraId="3137A03C" w14:textId="19E129C6" w:rsidR="00364E2C" w:rsidRDefault="00364E2C" w:rsidP="00EA4E1B">
      <w:pPr>
        <w:pStyle w:val="TAMainText"/>
        <w:numPr>
          <w:ilvl w:val="0"/>
          <w:numId w:val="1"/>
        </w:numPr>
        <w:rPr>
          <w:lang w:val="pt-BR"/>
        </w:rPr>
      </w:pPr>
      <w:r w:rsidRPr="00E834ED">
        <w:rPr>
          <w:lang w:val="pt-BR"/>
        </w:rPr>
        <w:t xml:space="preserve">Smarzaro, J. L., Baldanza, M. A., de Almeida, A. J., Caytuero, A., Salim, V. M., Passos, F. B., &amp; Teixeira da Silva, V. </w:t>
      </w:r>
      <w:r w:rsidRPr="00E834ED">
        <w:rPr>
          <w:i/>
          <w:iCs/>
          <w:lang w:val="pt-BR"/>
        </w:rPr>
        <w:t>Industrial &amp; Engineering Chemistry Research</w:t>
      </w:r>
      <w:r w:rsidRPr="00E834ED">
        <w:rPr>
          <w:lang w:val="pt-BR"/>
        </w:rPr>
        <w:t xml:space="preserve">, </w:t>
      </w:r>
      <w:r w:rsidRPr="00E834ED">
        <w:rPr>
          <w:b/>
          <w:bCs/>
          <w:lang w:val="pt-BR"/>
        </w:rPr>
        <w:t>2021</w:t>
      </w:r>
      <w:r w:rsidRPr="00E834ED">
        <w:rPr>
          <w:lang w:val="pt-BR"/>
        </w:rPr>
        <w:t>, 60(32), 11942-11953.</w:t>
      </w:r>
    </w:p>
    <w:p w14:paraId="3285C496" w14:textId="790EA06A" w:rsidR="00E834ED" w:rsidRPr="00E834ED" w:rsidRDefault="00E834ED" w:rsidP="00EA4E1B">
      <w:pPr>
        <w:pStyle w:val="TAMainText"/>
        <w:numPr>
          <w:ilvl w:val="0"/>
          <w:numId w:val="1"/>
        </w:numPr>
        <w:rPr>
          <w:lang w:val="pt-BR"/>
        </w:rPr>
      </w:pPr>
      <w:r w:rsidRPr="00E834ED">
        <w:rPr>
          <w:lang w:val="pt-BR"/>
        </w:rPr>
        <w:t>Westphalen, G., Baldanza, M. A., de Almeida, A. J., Salim, V. M. M., da Silva, M. A. P., &amp; da Silva, V. T.</w:t>
      </w:r>
      <w:r>
        <w:rPr>
          <w:lang w:val="pt-BR"/>
        </w:rPr>
        <w:t xml:space="preserve"> </w:t>
      </w:r>
      <w:r w:rsidRPr="00E834ED">
        <w:rPr>
          <w:i/>
          <w:iCs/>
          <w:lang w:val="pt-BR"/>
        </w:rPr>
        <w:t>Catalysis Letters</w:t>
      </w:r>
      <w:r w:rsidRPr="00E834ED">
        <w:rPr>
          <w:lang w:val="pt-BR"/>
        </w:rPr>
        <w:t xml:space="preserve">, </w:t>
      </w:r>
      <w:r w:rsidRPr="00E834ED">
        <w:rPr>
          <w:b/>
          <w:bCs/>
          <w:lang w:val="pt-BR"/>
        </w:rPr>
        <w:t>2020</w:t>
      </w:r>
      <w:r>
        <w:rPr>
          <w:lang w:val="pt-BR"/>
        </w:rPr>
        <w:t xml:space="preserve">, </w:t>
      </w:r>
      <w:r w:rsidRPr="00E834ED">
        <w:rPr>
          <w:lang w:val="pt-BR"/>
        </w:rPr>
        <w:t>152(7), 2056-2066.</w:t>
      </w:r>
    </w:p>
    <w:p w14:paraId="68C88E85" w14:textId="2343AF0F" w:rsidR="00364E2C" w:rsidRDefault="00364E2C" w:rsidP="00364E2C">
      <w:pPr>
        <w:pStyle w:val="TAMainText"/>
        <w:numPr>
          <w:ilvl w:val="0"/>
          <w:numId w:val="1"/>
        </w:numPr>
        <w:rPr>
          <w:lang w:val="pt-BR"/>
        </w:rPr>
      </w:pPr>
      <w:r w:rsidRPr="00E834ED">
        <w:rPr>
          <w:lang w:val="pt-BR"/>
        </w:rPr>
        <w:t>Juliana L Smarzaro. Tese de Doutorado, Universidade Federal do Rio de Janeiro, 2021.</w:t>
      </w:r>
    </w:p>
    <w:p w14:paraId="6EA674B3" w14:textId="4E9A1EED" w:rsidR="00452C7F" w:rsidRDefault="00452C7F" w:rsidP="00364E2C">
      <w:pPr>
        <w:pStyle w:val="TAMainText"/>
        <w:numPr>
          <w:ilvl w:val="0"/>
          <w:numId w:val="1"/>
        </w:numPr>
      </w:pPr>
      <w:r w:rsidRPr="00452C7F">
        <w:t xml:space="preserve">Ray, W. H. </w:t>
      </w:r>
      <w:r w:rsidRPr="00452C7F">
        <w:rPr>
          <w:i/>
          <w:iCs/>
        </w:rPr>
        <w:t>Journal of Macromolecular Science - Reviews in Macromolecular Chemistry</w:t>
      </w:r>
      <w:r w:rsidRPr="00452C7F">
        <w:t>,</w:t>
      </w:r>
      <w:r>
        <w:t xml:space="preserve"> </w:t>
      </w:r>
      <w:r w:rsidRPr="00452C7F">
        <w:rPr>
          <w:b/>
          <w:bCs/>
        </w:rPr>
        <w:t>1972</w:t>
      </w:r>
      <w:r>
        <w:t>,</w:t>
      </w:r>
      <w:r w:rsidRPr="00452C7F">
        <w:t xml:space="preserve"> 8(1), 1-56.</w:t>
      </w:r>
    </w:p>
    <w:p w14:paraId="2EF00088" w14:textId="2FD2CB70" w:rsidR="0057397D" w:rsidRDefault="0057397D" w:rsidP="0057397D">
      <w:pPr>
        <w:pStyle w:val="TAMainText"/>
        <w:numPr>
          <w:ilvl w:val="0"/>
          <w:numId w:val="1"/>
        </w:numPr>
      </w:pPr>
      <w:r>
        <w:t xml:space="preserve">J. Kennedy and R. Eberhart. </w:t>
      </w:r>
      <w:r w:rsidRPr="0057397D">
        <w:rPr>
          <w:i/>
          <w:iCs/>
        </w:rPr>
        <w:t>International Conference on Neural Networks</w:t>
      </w:r>
      <w:r>
        <w:t xml:space="preserve">, </w:t>
      </w:r>
      <w:r w:rsidRPr="0057397D">
        <w:rPr>
          <w:b/>
          <w:bCs/>
        </w:rPr>
        <w:t>1995</w:t>
      </w:r>
      <w:r>
        <w:t>, pages 1942–1948</w:t>
      </w:r>
    </w:p>
    <w:p w14:paraId="533693E5" w14:textId="2D0C914E" w:rsidR="0057397D" w:rsidRDefault="0057397D" w:rsidP="0057397D">
      <w:pPr>
        <w:pStyle w:val="TAMainText"/>
        <w:numPr>
          <w:ilvl w:val="0"/>
          <w:numId w:val="1"/>
        </w:numPr>
      </w:pPr>
      <w:r>
        <w:t xml:space="preserve">J. Blank and K. Deb. pymoo: Multi-objective optimization in python. </w:t>
      </w:r>
      <w:r w:rsidRPr="0057397D">
        <w:rPr>
          <w:b/>
          <w:bCs/>
        </w:rPr>
        <w:t>2020</w:t>
      </w:r>
      <w:r>
        <w:rPr>
          <w:b/>
          <w:bCs/>
        </w:rPr>
        <w:t xml:space="preserve"> </w:t>
      </w:r>
      <w:r>
        <w:t xml:space="preserve">Access, 8:89497–89509, </w:t>
      </w:r>
    </w:p>
    <w:p w14:paraId="54687D60" w14:textId="4ADA6472" w:rsidR="0057397D" w:rsidRDefault="004006F9" w:rsidP="004006F9">
      <w:pPr>
        <w:pStyle w:val="TAMainText"/>
        <w:numPr>
          <w:ilvl w:val="0"/>
          <w:numId w:val="1"/>
        </w:numPr>
      </w:pPr>
      <w:r>
        <w:t xml:space="preserve">E. M. L. Beale. </w:t>
      </w:r>
      <w:r w:rsidRPr="004006F9">
        <w:rPr>
          <w:i/>
          <w:iCs/>
        </w:rPr>
        <w:t>Journal of the Royal Statistical Society: Series B (Methodological)</w:t>
      </w:r>
      <w:r>
        <w:t xml:space="preserve">, </w:t>
      </w:r>
      <w:r w:rsidRPr="004006F9">
        <w:rPr>
          <w:b/>
          <w:bCs/>
        </w:rPr>
        <w:t>1960</w:t>
      </w:r>
      <w:r>
        <w:t xml:space="preserve">, </w:t>
      </w:r>
      <w:r>
        <w:t>22(1):</w:t>
      </w:r>
      <w:r>
        <w:t xml:space="preserve"> </w:t>
      </w:r>
      <w:r>
        <w:t>41–76.</w:t>
      </w:r>
    </w:p>
    <w:p w14:paraId="49F68539" w14:textId="79986B71" w:rsidR="00452C7F" w:rsidRDefault="004006F9" w:rsidP="004006F9">
      <w:pPr>
        <w:pStyle w:val="TAMainText"/>
        <w:numPr>
          <w:ilvl w:val="0"/>
          <w:numId w:val="1"/>
        </w:numPr>
      </w:pPr>
      <w:r w:rsidRPr="004006F9">
        <w:rPr>
          <w:lang w:val="pt-BR"/>
        </w:rPr>
        <w:t>Marcio Schwaab, Evaristo Chalbaud Biscaia, Jr., José Luiz Monteiro,</w:t>
      </w:r>
      <w:r w:rsidRPr="004006F9">
        <w:rPr>
          <w:lang w:val="pt-BR"/>
        </w:rPr>
        <w:t xml:space="preserve"> </w:t>
      </w:r>
      <w:r w:rsidRPr="004006F9">
        <w:rPr>
          <w:lang w:val="pt-BR"/>
        </w:rPr>
        <w:t xml:space="preserve">and José Carlos Pinto. </w:t>
      </w:r>
      <w:r w:rsidRPr="004006F9">
        <w:rPr>
          <w:i/>
          <w:iCs/>
        </w:rPr>
        <w:t>Chemical Engineering Science</w:t>
      </w:r>
      <w:r>
        <w:t xml:space="preserve">, </w:t>
      </w:r>
      <w:r w:rsidRPr="004006F9">
        <w:rPr>
          <w:b/>
          <w:bCs/>
        </w:rPr>
        <w:t>2008</w:t>
      </w:r>
      <w:r>
        <w:t xml:space="preserve">, </w:t>
      </w:r>
      <w:r>
        <w:t>63(6):1542–1552</w:t>
      </w:r>
    </w:p>
    <w:p w14:paraId="0BEC387D" w14:textId="792EEEC1" w:rsidR="00C93163" w:rsidRPr="00C93163" w:rsidRDefault="0056759F" w:rsidP="00A16A5C">
      <w:pPr>
        <w:pStyle w:val="TAMainText"/>
        <w:numPr>
          <w:ilvl w:val="0"/>
          <w:numId w:val="1"/>
        </w:numPr>
      </w:pPr>
      <w:r>
        <w:t xml:space="preserve">Theodore W. Birky, Joseph T. Kozlowski, and Robert J. Davis. </w:t>
      </w:r>
      <w:r w:rsidRPr="0056759F">
        <w:rPr>
          <w:i/>
          <w:iCs/>
        </w:rPr>
        <w:t>Journal of Catalysis</w:t>
      </w:r>
      <w:r>
        <w:t xml:space="preserve">, </w:t>
      </w:r>
      <w:r w:rsidRPr="0056759F">
        <w:rPr>
          <w:b/>
          <w:bCs/>
        </w:rPr>
        <w:t>2013</w:t>
      </w:r>
      <w:r>
        <w:t xml:space="preserve">, </w:t>
      </w:r>
      <w:r w:rsidRPr="0056759F">
        <w:t>298:130–137</w:t>
      </w:r>
    </w:p>
    <w:sectPr w:rsidR="00C93163" w:rsidRPr="00C93163"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25179" w14:textId="77777777" w:rsidR="00A30B8F" w:rsidRDefault="00A30B8F" w:rsidP="00EA4E1B">
      <w:pPr>
        <w:spacing w:after="0" w:line="240" w:lineRule="auto"/>
      </w:pPr>
      <w:r>
        <w:separator/>
      </w:r>
    </w:p>
  </w:endnote>
  <w:endnote w:type="continuationSeparator" w:id="0">
    <w:p w14:paraId="33FA96C7" w14:textId="77777777" w:rsidR="00A30B8F" w:rsidRDefault="00A30B8F"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F0A6A" w14:textId="77777777" w:rsidR="00A30B8F" w:rsidRDefault="00A30B8F" w:rsidP="00EA4E1B">
      <w:pPr>
        <w:spacing w:after="0" w:line="240" w:lineRule="auto"/>
      </w:pPr>
      <w:r>
        <w:separator/>
      </w:r>
    </w:p>
  </w:footnote>
  <w:footnote w:type="continuationSeparator" w:id="0">
    <w:p w14:paraId="6093BBBA" w14:textId="77777777" w:rsidR="00A30B8F" w:rsidRDefault="00A30B8F"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9F22" w14:textId="15EBCFB1" w:rsidR="00EA4E1B" w:rsidRDefault="00AF0400" w:rsidP="00EA4E1B">
    <w:pPr>
      <w:pStyle w:val="Header"/>
      <w:jc w:val="center"/>
    </w:pPr>
    <w:r>
      <w:rPr>
        <w:noProof/>
      </w:rPr>
      <w:drawing>
        <wp:inline distT="0" distB="0" distL="0" distR="0" wp14:anchorId="128B8774" wp14:editId="6C5718AB">
          <wp:extent cx="1524000" cy="1049325"/>
          <wp:effectExtent l="0" t="0" r="0" b="0"/>
          <wp:docPr id="1586884095" name="Picture 1586884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rPr>
      <w:t xml:space="preserve">                                                </w:t>
    </w:r>
    <w:r w:rsidR="00EA4E1B">
      <w:rPr>
        <w:noProof/>
        <w:lang w:eastAsia="pt-BR"/>
      </w:rPr>
      <w:drawing>
        <wp:inline distT="0" distB="0" distL="0" distR="0" wp14:anchorId="10EB0FB8" wp14:editId="021C4271">
          <wp:extent cx="1963713" cy="696036"/>
          <wp:effectExtent l="0" t="0" r="0" b="8890"/>
          <wp:docPr id="209835218" name="Picture 209835218"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F1197"/>
    <w:multiLevelType w:val="singleLevel"/>
    <w:tmpl w:val="0416000F"/>
    <w:lvl w:ilvl="0">
      <w:start w:val="1"/>
      <w:numFmt w:val="decimal"/>
      <w:lvlText w:val="%1."/>
      <w:lvlJc w:val="left"/>
      <w:pPr>
        <w:tabs>
          <w:tab w:val="num" w:pos="360"/>
        </w:tabs>
        <w:ind w:left="360" w:hanging="360"/>
      </w:pPr>
    </w:lvl>
  </w:abstractNum>
  <w:num w:numId="1" w16cid:durableId="1811439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LE0NDMzNbI0NjQzNzBT0lEKTi0uzszPAykwqgUA1hGPPSwAAAA="/>
  </w:docVars>
  <w:rsids>
    <w:rsidRoot w:val="00EA4E1B"/>
    <w:rsid w:val="0001264A"/>
    <w:rsid w:val="00022DE7"/>
    <w:rsid w:val="00031D71"/>
    <w:rsid w:val="00061A72"/>
    <w:rsid w:val="000D41B5"/>
    <w:rsid w:val="000F1D24"/>
    <w:rsid w:val="001B38AC"/>
    <w:rsid w:val="001C65DD"/>
    <w:rsid w:val="001E58A9"/>
    <w:rsid w:val="001F25B2"/>
    <w:rsid w:val="001F5631"/>
    <w:rsid w:val="00207EC6"/>
    <w:rsid w:val="00222230"/>
    <w:rsid w:val="0027150C"/>
    <w:rsid w:val="002F38DC"/>
    <w:rsid w:val="0031710F"/>
    <w:rsid w:val="00340B1E"/>
    <w:rsid w:val="00364E2C"/>
    <w:rsid w:val="004006F9"/>
    <w:rsid w:val="00401B7D"/>
    <w:rsid w:val="00402F3E"/>
    <w:rsid w:val="00452C7F"/>
    <w:rsid w:val="00497127"/>
    <w:rsid w:val="004D49BC"/>
    <w:rsid w:val="004F3F42"/>
    <w:rsid w:val="0052112E"/>
    <w:rsid w:val="0056759F"/>
    <w:rsid w:val="0057397D"/>
    <w:rsid w:val="005819BE"/>
    <w:rsid w:val="005C2775"/>
    <w:rsid w:val="005D22CA"/>
    <w:rsid w:val="005D65EB"/>
    <w:rsid w:val="005F2F23"/>
    <w:rsid w:val="00604718"/>
    <w:rsid w:val="00652815"/>
    <w:rsid w:val="006F599B"/>
    <w:rsid w:val="007670A0"/>
    <w:rsid w:val="0077518F"/>
    <w:rsid w:val="00781685"/>
    <w:rsid w:val="007955B2"/>
    <w:rsid w:val="007B4B2B"/>
    <w:rsid w:val="008260AE"/>
    <w:rsid w:val="00831C3A"/>
    <w:rsid w:val="00863A28"/>
    <w:rsid w:val="008661E4"/>
    <w:rsid w:val="00866822"/>
    <w:rsid w:val="00876FF3"/>
    <w:rsid w:val="008923CA"/>
    <w:rsid w:val="008B1683"/>
    <w:rsid w:val="008C1B30"/>
    <w:rsid w:val="00952179"/>
    <w:rsid w:val="00961AF5"/>
    <w:rsid w:val="009656D9"/>
    <w:rsid w:val="009C7CB0"/>
    <w:rsid w:val="009F6985"/>
    <w:rsid w:val="00A07250"/>
    <w:rsid w:val="00A16A5C"/>
    <w:rsid w:val="00A17D85"/>
    <w:rsid w:val="00A30B8F"/>
    <w:rsid w:val="00A5062A"/>
    <w:rsid w:val="00A87CE8"/>
    <w:rsid w:val="00AA182E"/>
    <w:rsid w:val="00AF0400"/>
    <w:rsid w:val="00B30AEB"/>
    <w:rsid w:val="00B32F99"/>
    <w:rsid w:val="00B72C49"/>
    <w:rsid w:val="00B74899"/>
    <w:rsid w:val="00B80BF5"/>
    <w:rsid w:val="00BA6A6E"/>
    <w:rsid w:val="00BC2DD6"/>
    <w:rsid w:val="00C13A32"/>
    <w:rsid w:val="00C76E54"/>
    <w:rsid w:val="00C93163"/>
    <w:rsid w:val="00CF32AF"/>
    <w:rsid w:val="00D2303F"/>
    <w:rsid w:val="00D321ED"/>
    <w:rsid w:val="00D455C4"/>
    <w:rsid w:val="00D96135"/>
    <w:rsid w:val="00DB129C"/>
    <w:rsid w:val="00E02A21"/>
    <w:rsid w:val="00E038AF"/>
    <w:rsid w:val="00E242F9"/>
    <w:rsid w:val="00E67439"/>
    <w:rsid w:val="00E834ED"/>
    <w:rsid w:val="00E834EE"/>
    <w:rsid w:val="00E85E24"/>
    <w:rsid w:val="00EA4E1B"/>
    <w:rsid w:val="00F30661"/>
    <w:rsid w:val="00F87692"/>
    <w:rsid w:val="00F917DA"/>
    <w:rsid w:val="00FB1E6D"/>
    <w:rsid w:val="00FF1E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3DEEE"/>
  <w15:docId w15:val="{FB2D68C1-99AF-4B17-8CD6-DEED9210F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5B2"/>
  </w:style>
  <w:style w:type="paragraph" w:styleId="Heading1">
    <w:name w:val="heading 1"/>
    <w:basedOn w:val="Normal"/>
    <w:next w:val="Normal"/>
    <w:link w:val="Heading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1F25B2"/>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A4E1B"/>
    <w:rPr>
      <w:vertAlign w:val="superscript"/>
    </w:rPr>
  </w:style>
  <w:style w:type="paragraph" w:styleId="FootnoteText">
    <w:name w:val="footnote text"/>
    <w:basedOn w:val="Normal"/>
    <w:next w:val="Normal"/>
    <w:link w:val="FootnoteText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FootnoteTextChar">
    <w:name w:val="Footnote Text Char"/>
    <w:basedOn w:val="DefaultParagraphFont"/>
    <w:link w:val="FootnoteText"/>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Heading2Char">
    <w:name w:val="Heading 2 Char"/>
    <w:basedOn w:val="DefaultParagraphFont"/>
    <w:link w:val="Heading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Header">
    <w:name w:val="header"/>
    <w:basedOn w:val="Normal"/>
    <w:link w:val="HeaderChar"/>
    <w:unhideWhenUsed/>
    <w:rsid w:val="00EA4E1B"/>
    <w:pPr>
      <w:tabs>
        <w:tab w:val="center" w:pos="4252"/>
        <w:tab w:val="right" w:pos="8504"/>
      </w:tabs>
      <w:spacing w:after="0" w:line="240" w:lineRule="auto"/>
    </w:pPr>
  </w:style>
  <w:style w:type="character" w:customStyle="1" w:styleId="HeaderChar">
    <w:name w:val="Header Char"/>
    <w:basedOn w:val="DefaultParagraphFont"/>
    <w:link w:val="Header"/>
    <w:uiPriority w:val="99"/>
    <w:rsid w:val="00EA4E1B"/>
  </w:style>
  <w:style w:type="paragraph" w:styleId="Footer">
    <w:name w:val="footer"/>
    <w:basedOn w:val="Normal"/>
    <w:link w:val="FooterChar"/>
    <w:uiPriority w:val="99"/>
    <w:unhideWhenUsed/>
    <w:rsid w:val="00EA4E1B"/>
    <w:pPr>
      <w:tabs>
        <w:tab w:val="center" w:pos="4252"/>
        <w:tab w:val="right" w:pos="8504"/>
      </w:tabs>
      <w:spacing w:after="0" w:line="240" w:lineRule="auto"/>
    </w:pPr>
  </w:style>
  <w:style w:type="character" w:customStyle="1" w:styleId="FooterChar">
    <w:name w:val="Footer Char"/>
    <w:basedOn w:val="DefaultParagraphFont"/>
    <w:link w:val="Footer"/>
    <w:uiPriority w:val="99"/>
    <w:rsid w:val="00EA4E1B"/>
  </w:style>
  <w:style w:type="paragraph" w:styleId="BalloonText">
    <w:name w:val="Balloon Text"/>
    <w:basedOn w:val="Normal"/>
    <w:link w:val="BalloonTextChar"/>
    <w:uiPriority w:val="99"/>
    <w:semiHidden/>
    <w:unhideWhenUsed/>
    <w:rsid w:val="001E58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8A9"/>
    <w:rPr>
      <w:rFonts w:ascii="Tahoma" w:hAnsi="Tahoma" w:cs="Tahoma"/>
      <w:sz w:val="16"/>
      <w:szCs w:val="16"/>
    </w:rPr>
  </w:style>
  <w:style w:type="paragraph" w:styleId="EndnoteText">
    <w:name w:val="endnote text"/>
    <w:basedOn w:val="Normal"/>
    <w:link w:val="EndnoteTextChar"/>
    <w:uiPriority w:val="99"/>
    <w:semiHidden/>
    <w:unhideWhenUsed/>
    <w:rsid w:val="001E58A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E58A9"/>
    <w:rPr>
      <w:sz w:val="20"/>
      <w:szCs w:val="20"/>
    </w:rPr>
  </w:style>
  <w:style w:type="character" w:styleId="EndnoteReference">
    <w:name w:val="endnote reference"/>
    <w:basedOn w:val="DefaultParagraphFont"/>
    <w:uiPriority w:val="99"/>
    <w:semiHidden/>
    <w:unhideWhenUsed/>
    <w:rsid w:val="001E58A9"/>
    <w:rPr>
      <w:vertAlign w:val="superscript"/>
    </w:rPr>
  </w:style>
  <w:style w:type="character" w:customStyle="1" w:styleId="Heading1Char">
    <w:name w:val="Heading 1 Char"/>
    <w:basedOn w:val="DefaultParagraphFont"/>
    <w:link w:val="Heading1"/>
    <w:uiPriority w:val="9"/>
    <w:rsid w:val="001F25B2"/>
    <w:rPr>
      <w:rFonts w:asciiTheme="majorHAnsi" w:eastAsiaTheme="majorEastAsia" w:hAnsiTheme="majorHAnsi" w:cstheme="majorBidi"/>
      <w:color w:val="2F5496" w:themeColor="accent1" w:themeShade="BF"/>
      <w:sz w:val="40"/>
      <w:szCs w:val="40"/>
    </w:rPr>
  </w:style>
  <w:style w:type="character" w:customStyle="1" w:styleId="Heading3Char">
    <w:name w:val="Heading 3 Char"/>
    <w:basedOn w:val="DefaultParagraphFont"/>
    <w:link w:val="Heading3"/>
    <w:uiPriority w:val="9"/>
    <w:semiHidden/>
    <w:rsid w:val="001F25B2"/>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1F25B2"/>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1F25B2"/>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1F25B2"/>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1F25B2"/>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1F25B2"/>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1F25B2"/>
    <w:rPr>
      <w:b/>
      <w:bCs/>
      <w:i/>
      <w:iCs/>
    </w:rPr>
  </w:style>
  <w:style w:type="paragraph" w:styleId="Caption">
    <w:name w:val="caption"/>
    <w:basedOn w:val="Normal"/>
    <w:next w:val="Normal"/>
    <w:uiPriority w:val="35"/>
    <w:semiHidden/>
    <w:unhideWhenUsed/>
    <w:qFormat/>
    <w:rsid w:val="001F25B2"/>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1F25B2"/>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1F25B2"/>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1F25B2"/>
    <w:rPr>
      <w:color w:val="44546A" w:themeColor="text2"/>
      <w:sz w:val="28"/>
      <w:szCs w:val="28"/>
    </w:rPr>
  </w:style>
  <w:style w:type="character" w:styleId="Strong">
    <w:name w:val="Strong"/>
    <w:basedOn w:val="DefaultParagraphFont"/>
    <w:uiPriority w:val="22"/>
    <w:qFormat/>
    <w:rsid w:val="001F25B2"/>
    <w:rPr>
      <w:b/>
      <w:bCs/>
    </w:rPr>
  </w:style>
  <w:style w:type="character" w:styleId="Emphasis">
    <w:name w:val="Emphasis"/>
    <w:basedOn w:val="DefaultParagraphFont"/>
    <w:uiPriority w:val="20"/>
    <w:qFormat/>
    <w:rsid w:val="001F25B2"/>
    <w:rPr>
      <w:i/>
      <w:iCs/>
      <w:color w:val="000000" w:themeColor="text1"/>
    </w:rPr>
  </w:style>
  <w:style w:type="paragraph" w:styleId="NoSpacing">
    <w:name w:val="No Spacing"/>
    <w:uiPriority w:val="1"/>
    <w:qFormat/>
    <w:rsid w:val="001F25B2"/>
    <w:pPr>
      <w:spacing w:after="0" w:line="240" w:lineRule="auto"/>
    </w:pPr>
  </w:style>
  <w:style w:type="paragraph" w:styleId="Quote">
    <w:name w:val="Quote"/>
    <w:basedOn w:val="Normal"/>
    <w:next w:val="Normal"/>
    <w:link w:val="QuoteChar"/>
    <w:uiPriority w:val="29"/>
    <w:qFormat/>
    <w:rsid w:val="001F25B2"/>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1F25B2"/>
    <w:rPr>
      <w:i/>
      <w:iCs/>
      <w:color w:val="7B7B7B" w:themeColor="accent3" w:themeShade="BF"/>
      <w:sz w:val="24"/>
      <w:szCs w:val="24"/>
    </w:rPr>
  </w:style>
  <w:style w:type="paragraph" w:styleId="IntenseQuote">
    <w:name w:val="Intense Quote"/>
    <w:basedOn w:val="Normal"/>
    <w:next w:val="Normal"/>
    <w:link w:val="IntenseQuote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1F25B2"/>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1F25B2"/>
    <w:rPr>
      <w:i/>
      <w:iCs/>
      <w:color w:val="595959" w:themeColor="text1" w:themeTint="A6"/>
    </w:rPr>
  </w:style>
  <w:style w:type="character" w:styleId="IntenseEmphasis">
    <w:name w:val="Intense Emphasis"/>
    <w:basedOn w:val="DefaultParagraphFont"/>
    <w:uiPriority w:val="21"/>
    <w:qFormat/>
    <w:rsid w:val="001F25B2"/>
    <w:rPr>
      <w:b/>
      <w:bCs/>
      <w:i/>
      <w:iCs/>
      <w:color w:val="auto"/>
    </w:rPr>
  </w:style>
  <w:style w:type="character" w:styleId="SubtleReference">
    <w:name w:val="Subtle Reference"/>
    <w:basedOn w:val="DefaultParagraphFont"/>
    <w:uiPriority w:val="31"/>
    <w:qFormat/>
    <w:rsid w:val="001F25B2"/>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1F25B2"/>
    <w:rPr>
      <w:b/>
      <w:bCs/>
      <w:caps w:val="0"/>
      <w:smallCaps/>
      <w:color w:val="auto"/>
      <w:spacing w:val="0"/>
      <w:u w:val="single"/>
    </w:rPr>
  </w:style>
  <w:style w:type="character" w:styleId="BookTitle">
    <w:name w:val="Book Title"/>
    <w:basedOn w:val="DefaultParagraphFont"/>
    <w:uiPriority w:val="33"/>
    <w:qFormat/>
    <w:rsid w:val="001F25B2"/>
    <w:rPr>
      <w:b/>
      <w:bCs/>
      <w:caps w:val="0"/>
      <w:smallCaps/>
      <w:spacing w:val="0"/>
    </w:rPr>
  </w:style>
  <w:style w:type="paragraph" w:styleId="TOCHeading">
    <w:name w:val="TOC Heading"/>
    <w:basedOn w:val="Heading1"/>
    <w:next w:val="Normal"/>
    <w:uiPriority w:val="39"/>
    <w:semiHidden/>
    <w:unhideWhenUsed/>
    <w:qFormat/>
    <w:rsid w:val="001F25B2"/>
    <w:pPr>
      <w:outlineLvl w:val="9"/>
    </w:pPr>
  </w:style>
  <w:style w:type="character" w:styleId="PlaceholderText">
    <w:name w:val="Placeholder Text"/>
    <w:basedOn w:val="DefaultParagraphFont"/>
    <w:uiPriority w:val="99"/>
    <w:semiHidden/>
    <w:rsid w:val="00B32F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C4864-6DA6-4DBF-87D2-C1D41352C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2699</Words>
  <Characters>15389</Characters>
  <Application>Microsoft Office Word</Application>
  <DocSecurity>0</DocSecurity>
  <Lines>128</Lines>
  <Paragraphs>36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18052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Marcel Ribeiro Gallo</dc:creator>
  <cp:keywords/>
  <dc:description/>
  <cp:lastModifiedBy>Caio Henrique</cp:lastModifiedBy>
  <cp:revision>2</cp:revision>
  <dcterms:created xsi:type="dcterms:W3CDTF">2023-04-28T23:06:00Z</dcterms:created>
  <dcterms:modified xsi:type="dcterms:W3CDTF">2023-04-28T23:06:00Z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y fmtid="{D5CDD505-2E9C-101B-9397-08002B2CF9AE}" pid="22" name="GrammarlyDocumentId">
    <vt:lpwstr>ce53ca96c86bbc836d2851834550fdf5be6f014fa5f36b3da7edf15f6adf9764</vt:lpwstr>
  </property>
</Properties>
</file>