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670"/>
      <w:bookmarkStart w:id="1" w:name="_Hlk1324517"/>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&#13;&#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5FB2857B" w:rsidR="00EA4E1B" w:rsidRPr="001F25B2" w:rsidRDefault="00065935" w:rsidP="00EA4E1B">
      <w:pPr>
        <w:pStyle w:val="BATitle"/>
        <w:spacing w:before="240" w:line="240" w:lineRule="auto"/>
        <w:ind w:right="-11"/>
        <w:jc w:val="both"/>
        <w:rPr>
          <w:rFonts w:ascii="Times New Roman" w:hAnsi="Times New Roman"/>
          <w:sz w:val="20"/>
          <w:lang w:val="pt-BR"/>
        </w:rPr>
      </w:pPr>
      <w:r w:rsidRPr="00065935">
        <w:rPr>
          <w:sz w:val="32"/>
          <w:lang w:val="pt-BR"/>
        </w:rPr>
        <w:t>Hidrólise do óleo do mesocarpo da macaúba (</w:t>
      </w:r>
      <w:proofErr w:type="spellStart"/>
      <w:r w:rsidRPr="00065935">
        <w:rPr>
          <w:i/>
          <w:iCs/>
          <w:sz w:val="32"/>
          <w:lang w:val="pt-BR"/>
        </w:rPr>
        <w:t>Acrocomia</w:t>
      </w:r>
      <w:proofErr w:type="spellEnd"/>
      <w:r w:rsidRPr="00065935">
        <w:rPr>
          <w:i/>
          <w:iCs/>
          <w:sz w:val="32"/>
          <w:lang w:val="pt-BR"/>
        </w:rPr>
        <w:t xml:space="preserve"> </w:t>
      </w:r>
      <w:proofErr w:type="spellStart"/>
      <w:r w:rsidRPr="00065935">
        <w:rPr>
          <w:i/>
          <w:iCs/>
          <w:sz w:val="32"/>
          <w:lang w:val="pt-BR"/>
        </w:rPr>
        <w:t>aculeata</w:t>
      </w:r>
      <w:proofErr w:type="spellEnd"/>
      <w:r w:rsidRPr="00065935">
        <w:rPr>
          <w:sz w:val="32"/>
          <w:lang w:val="pt-BR"/>
        </w:rPr>
        <w:t>) utilizando catalisadores heterogêneos ácidos</w:t>
      </w:r>
    </w:p>
    <w:p w14:paraId="18735493" w14:textId="66DE5219" w:rsidR="00EA4E1B" w:rsidRPr="00065935" w:rsidRDefault="00065935" w:rsidP="00EA4E1B">
      <w:pPr>
        <w:pStyle w:val="BBAuthorName"/>
        <w:spacing w:after="120"/>
        <w:ind w:right="0"/>
        <w:jc w:val="both"/>
        <w:rPr>
          <w:rFonts w:ascii="Times New Roman" w:hAnsi="Times New Roman"/>
          <w:sz w:val="20"/>
          <w:lang w:val="pt-BR"/>
        </w:rPr>
      </w:pPr>
      <w:r>
        <w:rPr>
          <w:rFonts w:ascii="Times New Roman" w:hAnsi="Times New Roman"/>
          <w:sz w:val="20"/>
          <w:lang w:val="pt-BR"/>
        </w:rPr>
        <w:t>Victor José R. dos Santos</w:t>
      </w:r>
      <w:r w:rsidR="00EA4E1B" w:rsidRPr="001F25B2">
        <w:rPr>
          <w:rFonts w:ascii="Times New Roman" w:hAnsi="Times New Roman"/>
          <w:sz w:val="20"/>
          <w:vertAlign w:val="superscript"/>
          <w:lang w:val="pt-BR"/>
        </w:rPr>
        <w:t>1</w:t>
      </w:r>
      <w:r>
        <w:rPr>
          <w:rFonts w:ascii="Times New Roman" w:hAnsi="Times New Roman"/>
          <w:sz w:val="20"/>
          <w:vertAlign w:val="superscript"/>
          <w:lang w:val="pt-BR"/>
        </w:rPr>
        <w:t>*</w:t>
      </w:r>
      <w:r>
        <w:rPr>
          <w:rFonts w:ascii="Times New Roman" w:hAnsi="Times New Roman"/>
          <w:sz w:val="20"/>
          <w:lang w:val="pt-BR"/>
        </w:rPr>
        <w:t>; Ivan Pedro A. S. Xavier</w:t>
      </w:r>
      <w:r w:rsidR="00E370A3">
        <w:rPr>
          <w:rFonts w:ascii="Times New Roman" w:hAnsi="Times New Roman"/>
          <w:sz w:val="20"/>
          <w:vertAlign w:val="superscript"/>
          <w:lang w:val="pt-BR"/>
        </w:rPr>
        <w:t>1</w:t>
      </w:r>
      <w:r>
        <w:rPr>
          <w:rFonts w:ascii="Times New Roman" w:hAnsi="Times New Roman"/>
          <w:sz w:val="20"/>
          <w:lang w:val="pt-BR"/>
        </w:rPr>
        <w:t>; Ricardo R. Soares</w:t>
      </w:r>
      <w:r w:rsidR="00E370A3" w:rsidRPr="00E370A3">
        <w:rPr>
          <w:rFonts w:ascii="Times New Roman" w:hAnsi="Times New Roman"/>
          <w:sz w:val="20"/>
          <w:vertAlign w:val="superscript"/>
          <w:lang w:val="pt-BR"/>
        </w:rPr>
        <w:t>1</w:t>
      </w:r>
      <w:r w:rsidR="00E370A3" w:rsidRPr="00E370A3">
        <w:rPr>
          <w:rFonts w:ascii="Times New Roman" w:hAnsi="Times New Roman"/>
          <w:sz w:val="20"/>
          <w:lang w:val="pt-BR"/>
        </w:rPr>
        <w:t>.</w:t>
      </w:r>
    </w:p>
    <w:p w14:paraId="22D38595" w14:textId="30E4A65F" w:rsidR="00EA4E1B" w:rsidRDefault="00EA4E1B" w:rsidP="00EA4E1B">
      <w:pPr>
        <w:pStyle w:val="BCAuthorAddress"/>
        <w:spacing w:after="0"/>
        <w:ind w:right="0"/>
        <w:jc w:val="both"/>
        <w:rPr>
          <w:lang w:val="pt-BR"/>
        </w:rPr>
      </w:pPr>
      <w:r>
        <w:rPr>
          <w:vertAlign w:val="superscript"/>
          <w:lang w:val="pt-BR"/>
        </w:rPr>
        <w:t>1</w:t>
      </w:r>
      <w:r w:rsidR="00854F95">
        <w:rPr>
          <w:lang w:val="pt-BR"/>
        </w:rPr>
        <w:t>Grupo de Processos Catalíticos e Termoquímicos (GPCATT) - F</w:t>
      </w:r>
      <w:r w:rsidR="00E370A3">
        <w:rPr>
          <w:lang w:val="pt-BR"/>
        </w:rPr>
        <w:t>aculdade de Engenharia Química - Bloco 1K - U</w:t>
      </w:r>
      <w:r>
        <w:rPr>
          <w:lang w:val="pt-BR"/>
        </w:rPr>
        <w:t>n</w:t>
      </w:r>
      <w:r w:rsidR="00065935">
        <w:rPr>
          <w:lang w:val="pt-BR"/>
        </w:rPr>
        <w:t xml:space="preserve">iversidade Federal de Uberlândia, </w:t>
      </w:r>
      <w:r w:rsidR="00E370A3" w:rsidRPr="00E370A3">
        <w:rPr>
          <w:lang w:val="pt-BR"/>
        </w:rPr>
        <w:t>Av. João Naves de Ávila, 2121 - Bairro Santa Mônica</w:t>
      </w:r>
      <w:r w:rsidR="00E370A3">
        <w:rPr>
          <w:lang w:val="pt-BR"/>
        </w:rPr>
        <w:t xml:space="preserve">, Uberlândia - MG - </w:t>
      </w:r>
      <w:r w:rsidR="00E370A3" w:rsidRPr="00E370A3">
        <w:rPr>
          <w:lang w:val="pt-BR"/>
        </w:rPr>
        <w:t>CEP 38</w:t>
      </w:r>
      <w:r w:rsidR="00E370A3">
        <w:rPr>
          <w:lang w:val="pt-BR"/>
        </w:rPr>
        <w:t>.</w:t>
      </w:r>
      <w:r w:rsidR="00E370A3" w:rsidRPr="00E370A3">
        <w:rPr>
          <w:lang w:val="pt-BR"/>
        </w:rPr>
        <w:t>400-902</w:t>
      </w:r>
      <w:r w:rsidR="00E370A3">
        <w:rPr>
          <w:lang w:val="pt-BR"/>
        </w:rPr>
        <w:t xml:space="preserve">, </w:t>
      </w:r>
      <w:proofErr w:type="gramStart"/>
      <w:r w:rsidR="00E370A3">
        <w:rPr>
          <w:lang w:val="pt-BR"/>
        </w:rPr>
        <w:t>victorromao@ufu.br .</w:t>
      </w:r>
      <w:proofErr w:type="gramEnd"/>
    </w:p>
    <w:p w14:paraId="2839CB71" w14:textId="77777777" w:rsidR="005C1647" w:rsidRPr="005C1647" w:rsidRDefault="005C1647" w:rsidP="005C1647">
      <w:pPr>
        <w:spacing w:after="0"/>
        <w:rPr>
          <w:lang w:eastAsia="pt-BR"/>
        </w:rPr>
      </w:pPr>
    </w:p>
    <w:bookmarkEnd w:id="1"/>
    <w:p w14:paraId="238E7EC1" w14:textId="756F767A" w:rsidR="00AF0400" w:rsidRDefault="005C1647"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398B9E4">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0CF2C80" w:rsidR="008C1B30" w:rsidRPr="00E370A3" w:rsidRDefault="008C1B30" w:rsidP="008C1B30">
                            <w:pPr>
                              <w:pStyle w:val="BDAbstract"/>
                              <w:spacing w:before="0" w:after="0" w:line="240" w:lineRule="auto"/>
                              <w:jc w:val="center"/>
                              <w:rPr>
                                <w:rFonts w:cs="Helvetica"/>
                                <w:bCs/>
                                <w:sz w:val="24"/>
                                <w:szCs w:val="24"/>
                                <w:lang w:val="pt-BR"/>
                              </w:rPr>
                            </w:pPr>
                            <w:r w:rsidRPr="00E370A3">
                              <w:rPr>
                                <w:rFonts w:cs="Helvetica"/>
                                <w:bCs/>
                                <w:sz w:val="24"/>
                                <w:szCs w:val="24"/>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" fillcolor="#9a0000" stroked="f" strokeweight="1pt">
                <v:textbox inset=",0,,0">
                  <w:txbxContent>
                    <w:p w14:paraId="3D0F07B3" w14:textId="00CF2C80" w:rsidR="008C1B30" w:rsidRPr="00E370A3" w:rsidRDefault="008C1B30" w:rsidP="008C1B30">
                      <w:pPr>
                        <w:pStyle w:val="BDAbstract"/>
                        <w:spacing w:before="0" w:after="0" w:line="240" w:lineRule="auto"/>
                        <w:jc w:val="center"/>
                        <w:rPr>
                          <w:rFonts w:cs="Helvetica"/>
                          <w:bCs/>
                          <w:sz w:val="24"/>
                          <w:szCs w:val="24"/>
                          <w:lang w:val="pt-BR"/>
                        </w:rPr>
                      </w:pPr>
                      <w:r w:rsidRPr="00E370A3">
                        <w:rPr>
                          <w:rFonts w:cs="Helvetica"/>
                          <w:bCs/>
                          <w:sz w:val="24"/>
                          <w:szCs w:val="24"/>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7520243" w14:textId="06A78DD2" w:rsidR="005C1647"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5C1647" w:rsidRPr="005C1647">
        <w:rPr>
          <w:rFonts w:ascii="Times New Roman" w:hAnsi="Times New Roman"/>
          <w:b w:val="0"/>
          <w:sz w:val="20"/>
          <w:lang w:val="pt-BR"/>
        </w:rPr>
        <w:t>Recentemente, o GPCATT apresentou uma contribuição tecnológica</w:t>
      </w:r>
      <w:r w:rsidR="001B4385">
        <w:rPr>
          <w:rFonts w:ascii="Times New Roman" w:hAnsi="Times New Roman"/>
          <w:b w:val="0"/>
          <w:sz w:val="20"/>
          <w:lang w:val="pt-BR"/>
        </w:rPr>
        <w:t xml:space="preserve"> alinhada com a </w:t>
      </w:r>
      <w:r w:rsidR="001B4385" w:rsidRPr="005C1647">
        <w:rPr>
          <w:rFonts w:ascii="Times New Roman" w:hAnsi="Times New Roman"/>
          <w:b w:val="0"/>
          <w:sz w:val="20"/>
          <w:lang w:val="pt-BR"/>
        </w:rPr>
        <w:t xml:space="preserve">crescente demanda global </w:t>
      </w:r>
      <w:r w:rsidR="001B4385">
        <w:rPr>
          <w:rFonts w:ascii="Times New Roman" w:hAnsi="Times New Roman"/>
          <w:b w:val="0"/>
          <w:sz w:val="20"/>
          <w:lang w:val="pt-BR"/>
        </w:rPr>
        <w:t xml:space="preserve">por </w:t>
      </w:r>
      <w:r w:rsidR="001B4385" w:rsidRPr="005C1647">
        <w:rPr>
          <w:rFonts w:ascii="Times New Roman" w:hAnsi="Times New Roman"/>
          <w:b w:val="0"/>
          <w:sz w:val="20"/>
          <w:lang w:val="pt-BR"/>
        </w:rPr>
        <w:t>energia e as preocupações ambientais</w:t>
      </w:r>
      <w:r w:rsidR="001B4385">
        <w:rPr>
          <w:rFonts w:ascii="Times New Roman" w:hAnsi="Times New Roman"/>
          <w:b w:val="0"/>
          <w:sz w:val="20"/>
          <w:lang w:val="pt-BR"/>
        </w:rPr>
        <w:t>, compreendendo</w:t>
      </w:r>
      <w:r w:rsidR="005C1647" w:rsidRPr="005C1647">
        <w:rPr>
          <w:rFonts w:ascii="Times New Roman" w:hAnsi="Times New Roman"/>
          <w:b w:val="0"/>
          <w:sz w:val="20"/>
          <w:lang w:val="pt-BR"/>
        </w:rPr>
        <w:t xml:space="preserve"> uma sequência de processos</w:t>
      </w:r>
      <w:r w:rsidR="001B4385">
        <w:rPr>
          <w:rFonts w:ascii="Times New Roman" w:hAnsi="Times New Roman"/>
          <w:b w:val="0"/>
          <w:sz w:val="20"/>
          <w:lang w:val="pt-BR"/>
        </w:rPr>
        <w:t xml:space="preserve"> </w:t>
      </w:r>
      <w:r w:rsidR="005C1647" w:rsidRPr="005C1647">
        <w:rPr>
          <w:rFonts w:ascii="Times New Roman" w:hAnsi="Times New Roman"/>
          <w:b w:val="0"/>
          <w:sz w:val="20"/>
          <w:lang w:val="pt-BR"/>
        </w:rPr>
        <w:t xml:space="preserve">Hidrólise-Reforma-Hidrogenação-Desoxigenação </w:t>
      </w:r>
      <w:r w:rsidR="001B4385">
        <w:rPr>
          <w:rFonts w:ascii="Times New Roman" w:hAnsi="Times New Roman"/>
          <w:b w:val="0"/>
          <w:sz w:val="20"/>
          <w:lang w:val="pt-BR"/>
        </w:rPr>
        <w:t xml:space="preserve">podendo </w:t>
      </w:r>
      <w:r w:rsidR="005C1647" w:rsidRPr="005C1647">
        <w:rPr>
          <w:rFonts w:ascii="Times New Roman" w:hAnsi="Times New Roman"/>
          <w:b w:val="0"/>
          <w:sz w:val="20"/>
          <w:lang w:val="pt-BR"/>
        </w:rPr>
        <w:t>leva</w:t>
      </w:r>
      <w:r w:rsidR="001B4385">
        <w:rPr>
          <w:rFonts w:ascii="Times New Roman" w:hAnsi="Times New Roman"/>
          <w:b w:val="0"/>
          <w:sz w:val="20"/>
          <w:lang w:val="pt-BR"/>
        </w:rPr>
        <w:t>r</w:t>
      </w:r>
      <w:r w:rsidR="005C1647" w:rsidRPr="005C1647">
        <w:rPr>
          <w:rFonts w:ascii="Times New Roman" w:hAnsi="Times New Roman"/>
          <w:b w:val="0"/>
          <w:sz w:val="20"/>
          <w:lang w:val="pt-BR"/>
        </w:rPr>
        <w:t xml:space="preserve"> à produção de biocombustíveis</w:t>
      </w:r>
      <w:r w:rsidR="001B4385">
        <w:rPr>
          <w:rFonts w:ascii="Times New Roman" w:hAnsi="Times New Roman"/>
          <w:b w:val="0"/>
          <w:sz w:val="20"/>
          <w:lang w:val="pt-BR"/>
        </w:rPr>
        <w:t xml:space="preserve"> bem como</w:t>
      </w:r>
      <w:r w:rsidR="005C1647" w:rsidRPr="005C1647">
        <w:rPr>
          <w:rFonts w:ascii="Times New Roman" w:hAnsi="Times New Roman"/>
          <w:b w:val="0"/>
          <w:sz w:val="20"/>
          <w:lang w:val="pt-BR"/>
        </w:rPr>
        <w:t xml:space="preserve"> outros produtos com alto valor agregado.</w:t>
      </w:r>
      <w:r w:rsidR="005C1647">
        <w:rPr>
          <w:rFonts w:ascii="Times New Roman" w:hAnsi="Times New Roman"/>
          <w:b w:val="0"/>
          <w:sz w:val="20"/>
          <w:lang w:val="pt-BR"/>
        </w:rPr>
        <w:t xml:space="preserve"> </w:t>
      </w:r>
      <w:r w:rsidR="005C1647" w:rsidRPr="005C1647">
        <w:rPr>
          <w:rFonts w:ascii="Times New Roman" w:hAnsi="Times New Roman"/>
          <w:b w:val="0"/>
          <w:sz w:val="20"/>
          <w:lang w:val="pt-BR"/>
        </w:rPr>
        <w:t>Buscou-se, portanto, avaliar a performance de diferentes catalisadores ácidos na hidrólise do óleo do mesocarpo do fruto da macaúba (OMM)</w:t>
      </w:r>
      <w:r w:rsidR="001B4385">
        <w:rPr>
          <w:rFonts w:ascii="Times New Roman" w:hAnsi="Times New Roman"/>
          <w:b w:val="0"/>
          <w:sz w:val="20"/>
          <w:lang w:val="pt-BR"/>
        </w:rPr>
        <w:t xml:space="preserve"> </w:t>
      </w:r>
      <w:r w:rsidR="005C1647" w:rsidRPr="005C1647">
        <w:rPr>
          <w:rFonts w:ascii="Times New Roman" w:hAnsi="Times New Roman"/>
          <w:b w:val="0"/>
          <w:sz w:val="20"/>
          <w:lang w:val="pt-BR"/>
        </w:rPr>
        <w:t xml:space="preserve">em reator batelada. Estes catalisadores foram previamente caracterizados por </w:t>
      </w:r>
      <w:proofErr w:type="spellStart"/>
      <w:r w:rsidR="005C1647" w:rsidRPr="005C1647">
        <w:rPr>
          <w:rFonts w:ascii="Times New Roman" w:hAnsi="Times New Roman"/>
          <w:b w:val="0"/>
          <w:sz w:val="20"/>
          <w:lang w:val="pt-BR"/>
        </w:rPr>
        <w:t>Fisissorção</w:t>
      </w:r>
      <w:proofErr w:type="spellEnd"/>
      <w:r w:rsidR="005C1647" w:rsidRPr="005C1647">
        <w:rPr>
          <w:rFonts w:ascii="Times New Roman" w:hAnsi="Times New Roman"/>
          <w:b w:val="0"/>
          <w:sz w:val="20"/>
          <w:lang w:val="pt-BR"/>
        </w:rPr>
        <w:t xml:space="preserve"> de N</w:t>
      </w:r>
      <w:r w:rsidR="005C1647" w:rsidRPr="005C1647">
        <w:rPr>
          <w:rFonts w:ascii="Times New Roman" w:hAnsi="Times New Roman"/>
          <w:b w:val="0"/>
          <w:sz w:val="20"/>
          <w:vertAlign w:val="subscript"/>
          <w:lang w:val="pt-BR"/>
        </w:rPr>
        <w:t>2</w:t>
      </w:r>
      <w:r w:rsidR="005C1647" w:rsidRPr="005C1647">
        <w:rPr>
          <w:rFonts w:ascii="Times New Roman" w:hAnsi="Times New Roman"/>
          <w:b w:val="0"/>
          <w:sz w:val="20"/>
          <w:lang w:val="pt-BR"/>
        </w:rPr>
        <w:t>, DRX, DTP-NH</w:t>
      </w:r>
      <w:r w:rsidR="005C1647" w:rsidRPr="005C1647">
        <w:rPr>
          <w:rFonts w:ascii="Times New Roman" w:hAnsi="Times New Roman"/>
          <w:b w:val="0"/>
          <w:sz w:val="20"/>
          <w:vertAlign w:val="subscript"/>
          <w:lang w:val="pt-BR"/>
        </w:rPr>
        <w:t>3</w:t>
      </w:r>
      <w:r w:rsidR="005C1647" w:rsidRPr="005C1647">
        <w:rPr>
          <w:rFonts w:ascii="Times New Roman" w:hAnsi="Times New Roman"/>
          <w:b w:val="0"/>
          <w:sz w:val="20"/>
          <w:lang w:val="pt-BR"/>
        </w:rPr>
        <w:t xml:space="preserve">. Os resultados </w:t>
      </w:r>
      <w:r w:rsidR="001B4385">
        <w:rPr>
          <w:rFonts w:ascii="Times New Roman" w:hAnsi="Times New Roman"/>
          <w:b w:val="0"/>
          <w:sz w:val="20"/>
          <w:lang w:val="pt-BR"/>
        </w:rPr>
        <w:t xml:space="preserve">mostram que a </w:t>
      </w:r>
      <w:r w:rsidR="001B4385" w:rsidRPr="005C1647">
        <w:rPr>
          <w:rFonts w:ascii="Times New Roman" w:hAnsi="Times New Roman"/>
          <w:b w:val="0"/>
          <w:sz w:val="20"/>
          <w:lang w:val="pt-BR"/>
        </w:rPr>
        <w:t xml:space="preserve">força dos sítios </w:t>
      </w:r>
      <w:r w:rsidR="001B4385">
        <w:rPr>
          <w:rFonts w:ascii="Times New Roman" w:hAnsi="Times New Roman"/>
          <w:b w:val="0"/>
          <w:sz w:val="20"/>
          <w:lang w:val="pt-BR"/>
        </w:rPr>
        <w:t xml:space="preserve">ácidos </w:t>
      </w:r>
      <w:r w:rsidR="001B4385" w:rsidRPr="005C1647">
        <w:rPr>
          <w:rFonts w:ascii="Times New Roman" w:hAnsi="Times New Roman"/>
          <w:b w:val="0"/>
          <w:sz w:val="20"/>
          <w:lang w:val="pt-BR"/>
        </w:rPr>
        <w:t>cresceu</w:t>
      </w:r>
      <w:r w:rsidR="005C1647" w:rsidRPr="005C1647">
        <w:rPr>
          <w:rFonts w:ascii="Times New Roman" w:hAnsi="Times New Roman"/>
          <w:b w:val="0"/>
          <w:sz w:val="20"/>
          <w:lang w:val="pt-BR"/>
        </w:rPr>
        <w:t xml:space="preserve"> na seguinte ordem: SiO</w:t>
      </w:r>
      <w:r w:rsidR="005C1647" w:rsidRPr="005C1647">
        <w:rPr>
          <w:rFonts w:ascii="Times New Roman" w:hAnsi="Times New Roman"/>
          <w:b w:val="0"/>
          <w:sz w:val="20"/>
          <w:vertAlign w:val="subscript"/>
          <w:lang w:val="pt-BR"/>
        </w:rPr>
        <w:t>2</w:t>
      </w:r>
      <w:r w:rsidR="005C1647" w:rsidRPr="005C1647">
        <w:rPr>
          <w:rFonts w:ascii="Times New Roman" w:hAnsi="Times New Roman"/>
          <w:b w:val="0"/>
          <w:sz w:val="20"/>
          <w:lang w:val="pt-BR"/>
        </w:rPr>
        <w:t>-Al</w:t>
      </w:r>
      <w:r w:rsidR="005C1647" w:rsidRPr="005C1647">
        <w:rPr>
          <w:rFonts w:ascii="Times New Roman" w:hAnsi="Times New Roman"/>
          <w:b w:val="0"/>
          <w:sz w:val="20"/>
          <w:vertAlign w:val="subscript"/>
          <w:lang w:val="pt-BR"/>
        </w:rPr>
        <w:t>2</w:t>
      </w:r>
      <w:r w:rsidR="005C1647" w:rsidRPr="005C1647">
        <w:rPr>
          <w:rFonts w:ascii="Times New Roman" w:hAnsi="Times New Roman"/>
          <w:b w:val="0"/>
          <w:sz w:val="20"/>
          <w:lang w:val="pt-BR"/>
        </w:rPr>
        <w:t>O</w:t>
      </w:r>
      <w:r w:rsidR="005C1647" w:rsidRPr="005C1647">
        <w:rPr>
          <w:rFonts w:ascii="Times New Roman" w:hAnsi="Times New Roman"/>
          <w:b w:val="0"/>
          <w:sz w:val="20"/>
          <w:vertAlign w:val="subscript"/>
          <w:lang w:val="pt-BR"/>
        </w:rPr>
        <w:t>3</w:t>
      </w:r>
      <w:r w:rsidR="005C1647" w:rsidRPr="005C1647">
        <w:rPr>
          <w:rFonts w:ascii="Times New Roman" w:hAnsi="Times New Roman"/>
          <w:b w:val="0"/>
          <w:sz w:val="20"/>
          <w:lang w:val="pt-BR"/>
        </w:rPr>
        <w:t>&gt;MCM-41&gt;γ-Al</w:t>
      </w:r>
      <w:r w:rsidR="005C1647" w:rsidRPr="005C1647">
        <w:rPr>
          <w:rFonts w:ascii="Times New Roman" w:hAnsi="Times New Roman"/>
          <w:b w:val="0"/>
          <w:sz w:val="20"/>
          <w:vertAlign w:val="subscript"/>
          <w:lang w:val="pt-BR"/>
        </w:rPr>
        <w:t>2</w:t>
      </w:r>
      <w:r w:rsidR="005C1647" w:rsidRPr="005C1647">
        <w:rPr>
          <w:rFonts w:ascii="Times New Roman" w:hAnsi="Times New Roman"/>
          <w:b w:val="0"/>
          <w:sz w:val="20"/>
          <w:lang w:val="pt-BR"/>
        </w:rPr>
        <w:t>O</w:t>
      </w:r>
      <w:r w:rsidR="005C1647" w:rsidRPr="005C1647">
        <w:rPr>
          <w:rFonts w:ascii="Times New Roman" w:hAnsi="Times New Roman"/>
          <w:b w:val="0"/>
          <w:sz w:val="20"/>
          <w:vertAlign w:val="subscript"/>
          <w:lang w:val="pt-BR"/>
        </w:rPr>
        <w:t>3</w:t>
      </w:r>
      <w:r w:rsidR="005C1647" w:rsidRPr="005C1647">
        <w:rPr>
          <w:rFonts w:ascii="Times New Roman" w:hAnsi="Times New Roman"/>
          <w:b w:val="0"/>
          <w:sz w:val="20"/>
          <w:lang w:val="pt-BR"/>
        </w:rPr>
        <w:t>&gt;10Sn/γ-Al</w:t>
      </w:r>
      <w:r w:rsidR="005C1647" w:rsidRPr="005C1647">
        <w:rPr>
          <w:rFonts w:ascii="Times New Roman" w:hAnsi="Times New Roman"/>
          <w:b w:val="0"/>
          <w:sz w:val="20"/>
          <w:vertAlign w:val="subscript"/>
          <w:lang w:val="pt-BR"/>
        </w:rPr>
        <w:t>2</w:t>
      </w:r>
      <w:r w:rsidR="005C1647" w:rsidRPr="005C1647">
        <w:rPr>
          <w:rFonts w:ascii="Times New Roman" w:hAnsi="Times New Roman"/>
          <w:b w:val="0"/>
          <w:sz w:val="20"/>
          <w:lang w:val="pt-BR"/>
        </w:rPr>
        <w:t>O</w:t>
      </w:r>
      <w:r w:rsidR="005C1647" w:rsidRPr="005C1647">
        <w:rPr>
          <w:rFonts w:ascii="Times New Roman" w:hAnsi="Times New Roman"/>
          <w:b w:val="0"/>
          <w:sz w:val="20"/>
          <w:vertAlign w:val="subscript"/>
          <w:lang w:val="pt-BR"/>
        </w:rPr>
        <w:t>3</w:t>
      </w:r>
      <w:r w:rsidR="005C1647" w:rsidRPr="005C1647">
        <w:rPr>
          <w:rFonts w:ascii="Times New Roman" w:hAnsi="Times New Roman"/>
          <w:b w:val="0"/>
          <w:sz w:val="20"/>
          <w:lang w:val="pt-BR"/>
        </w:rPr>
        <w:t>. Apesar da presença de reação homogênea, todos os catalisadores apresentaram atividade catalítica e seletividade à formação de ácido oleico (C18:1) e palmítico (C16:0). Em seguida, realizou-se um estudo cinético utilizando a γ-Al</w:t>
      </w:r>
      <w:r w:rsidR="005C1647" w:rsidRPr="005C1647">
        <w:rPr>
          <w:rFonts w:ascii="Times New Roman" w:hAnsi="Times New Roman"/>
          <w:b w:val="0"/>
          <w:sz w:val="20"/>
          <w:vertAlign w:val="subscript"/>
          <w:lang w:val="pt-BR"/>
        </w:rPr>
        <w:t>2</w:t>
      </w:r>
      <w:r w:rsidR="005C1647" w:rsidRPr="005C1647">
        <w:rPr>
          <w:rFonts w:ascii="Times New Roman" w:hAnsi="Times New Roman"/>
          <w:b w:val="0"/>
          <w:sz w:val="20"/>
          <w:lang w:val="pt-BR"/>
        </w:rPr>
        <w:t>O</w:t>
      </w:r>
      <w:r w:rsidR="005C1647" w:rsidRPr="005C1647">
        <w:rPr>
          <w:rFonts w:ascii="Times New Roman" w:hAnsi="Times New Roman"/>
          <w:b w:val="0"/>
          <w:sz w:val="20"/>
          <w:vertAlign w:val="subscript"/>
          <w:lang w:val="pt-BR"/>
        </w:rPr>
        <w:t>3</w:t>
      </w:r>
      <w:r w:rsidR="005C1647" w:rsidRPr="005C1647">
        <w:rPr>
          <w:rFonts w:ascii="Times New Roman" w:hAnsi="Times New Roman"/>
          <w:b w:val="0"/>
          <w:sz w:val="20"/>
          <w:lang w:val="pt-BR"/>
        </w:rPr>
        <w:t xml:space="preserve">, que foi o melhor catalisador, mediante planejamento experimental. A constante cinética aparente obtida a 250 </w:t>
      </w:r>
      <w:proofErr w:type="spellStart"/>
      <w:r w:rsidR="005C1647" w:rsidRPr="005C1647">
        <w:rPr>
          <w:rFonts w:ascii="Times New Roman" w:hAnsi="Times New Roman"/>
          <w:b w:val="0"/>
          <w:sz w:val="20"/>
          <w:vertAlign w:val="superscript"/>
          <w:lang w:val="pt-BR"/>
        </w:rPr>
        <w:t>o</w:t>
      </w:r>
      <w:r w:rsidR="005C1647" w:rsidRPr="005C1647">
        <w:rPr>
          <w:rFonts w:ascii="Times New Roman" w:hAnsi="Times New Roman"/>
          <w:b w:val="0"/>
          <w:sz w:val="20"/>
          <w:lang w:val="pt-BR"/>
        </w:rPr>
        <w:t>C</w:t>
      </w:r>
      <w:proofErr w:type="spellEnd"/>
      <w:r w:rsidR="005C1647" w:rsidRPr="005C1647">
        <w:rPr>
          <w:rFonts w:ascii="Times New Roman" w:hAnsi="Times New Roman"/>
          <w:b w:val="0"/>
          <w:sz w:val="20"/>
          <w:lang w:val="pt-BR"/>
        </w:rPr>
        <w:t xml:space="preserve"> (k</w:t>
      </w:r>
      <w:r w:rsidR="005C1647" w:rsidRPr="005C1647">
        <w:rPr>
          <w:rFonts w:ascii="Times New Roman" w:hAnsi="Times New Roman"/>
          <w:b w:val="0"/>
          <w:sz w:val="20"/>
          <w:vertAlign w:val="subscript"/>
          <w:lang w:val="pt-BR"/>
        </w:rPr>
        <w:t>250</w:t>
      </w:r>
      <w:r w:rsidR="005C1647" w:rsidRPr="005C1647">
        <w:rPr>
          <w:rFonts w:ascii="Times New Roman" w:hAnsi="Times New Roman"/>
          <w:b w:val="0"/>
          <w:sz w:val="20"/>
          <w:lang w:val="pt-BR"/>
        </w:rPr>
        <w:t>) foi aproximadamente, 30 vezes maior do que a da reação homogênea, com uma energia de ativação aparente de 6,92 kJ∙mol</w:t>
      </w:r>
      <w:r w:rsidR="005C1647" w:rsidRPr="005C1647">
        <w:rPr>
          <w:rFonts w:ascii="Times New Roman" w:hAnsi="Times New Roman"/>
          <w:b w:val="0"/>
          <w:sz w:val="20"/>
          <w:vertAlign w:val="superscript"/>
          <w:lang w:val="pt-BR"/>
        </w:rPr>
        <w:t>-1</w:t>
      </w:r>
      <w:r w:rsidR="005C1647" w:rsidRPr="005C1647">
        <w:rPr>
          <w:rFonts w:ascii="Times New Roman" w:hAnsi="Times New Roman"/>
          <w:b w:val="0"/>
          <w:sz w:val="20"/>
          <w:lang w:val="pt-BR"/>
        </w:rPr>
        <w:t>.</w:t>
      </w:r>
    </w:p>
    <w:p w14:paraId="09B41B70" w14:textId="14E3FA7B"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854F95" w:rsidRPr="00854F95">
        <w:rPr>
          <w:rFonts w:ascii="Times New Roman" w:hAnsi="Times New Roman"/>
          <w:b w:val="0"/>
          <w:i/>
          <w:sz w:val="20"/>
          <w:lang w:val="pt-BR"/>
        </w:rPr>
        <w:t>hidrólise, macaúba, γ-Al</w:t>
      </w:r>
      <w:r w:rsidR="00854F95" w:rsidRPr="00854F95">
        <w:rPr>
          <w:rFonts w:ascii="Times New Roman" w:hAnsi="Times New Roman"/>
          <w:b w:val="0"/>
          <w:i/>
          <w:sz w:val="20"/>
          <w:vertAlign w:val="subscript"/>
          <w:lang w:val="pt-BR"/>
        </w:rPr>
        <w:t>2</w:t>
      </w:r>
      <w:r w:rsidR="00854F95" w:rsidRPr="00854F95">
        <w:rPr>
          <w:rFonts w:ascii="Times New Roman" w:hAnsi="Times New Roman"/>
          <w:b w:val="0"/>
          <w:i/>
          <w:sz w:val="20"/>
          <w:lang w:val="pt-BR"/>
        </w:rPr>
        <w:t>O</w:t>
      </w:r>
      <w:r w:rsidR="00854F95" w:rsidRPr="00854F95">
        <w:rPr>
          <w:rFonts w:ascii="Times New Roman" w:hAnsi="Times New Roman"/>
          <w:b w:val="0"/>
          <w:i/>
          <w:sz w:val="20"/>
          <w:vertAlign w:val="subscript"/>
          <w:lang w:val="pt-BR"/>
        </w:rPr>
        <w:t>3</w:t>
      </w:r>
      <w:r w:rsidR="00854F95" w:rsidRPr="00854F95">
        <w:rPr>
          <w:rFonts w:ascii="Times New Roman" w:hAnsi="Times New Roman"/>
          <w:b w:val="0"/>
          <w:i/>
          <w:sz w:val="20"/>
          <w:lang w:val="pt-BR"/>
        </w:rPr>
        <w:t>, ácidos graxos livres, biocombustíveis</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666DB9C9" w:rsidR="00EA4E1B" w:rsidRPr="001B4385" w:rsidRDefault="00EA4E1B" w:rsidP="00EA4E1B">
      <w:pPr>
        <w:pStyle w:val="BDAbstract"/>
        <w:spacing w:before="0" w:after="0" w:line="240" w:lineRule="auto"/>
        <w:rPr>
          <w:rFonts w:ascii="Times New Roman" w:hAnsi="Times New Roman"/>
          <w:b w:val="0"/>
          <w:sz w:val="20"/>
        </w:rPr>
      </w:pPr>
      <w:r w:rsidRPr="001B4385">
        <w:rPr>
          <w:rFonts w:ascii="Times New Roman" w:hAnsi="Times New Roman"/>
          <w:b w:val="0"/>
          <w:sz w:val="20"/>
        </w:rPr>
        <w:t xml:space="preserve">ABSTRACT - </w:t>
      </w:r>
      <w:r w:rsidR="001B4385" w:rsidRPr="001B4385">
        <w:rPr>
          <w:rFonts w:ascii="Times New Roman" w:hAnsi="Times New Roman"/>
          <w:b w:val="0"/>
          <w:sz w:val="20"/>
        </w:rPr>
        <w:t>Recently, the</w:t>
      </w:r>
      <w:r w:rsidR="00854F95">
        <w:rPr>
          <w:rFonts w:ascii="Times New Roman" w:hAnsi="Times New Roman"/>
          <w:b w:val="0"/>
          <w:sz w:val="20"/>
        </w:rPr>
        <w:t xml:space="preserve"> </w:t>
      </w:r>
      <w:r w:rsidR="001B4385" w:rsidRPr="001B4385">
        <w:rPr>
          <w:rFonts w:ascii="Times New Roman" w:hAnsi="Times New Roman"/>
          <w:b w:val="0"/>
          <w:sz w:val="20"/>
        </w:rPr>
        <w:t xml:space="preserve">GPCATT made a definite technological contribution to a growing global demand for energy and environmental concerns, comprising a sequence of Hydrolysis-Reform-Hydrogenation-Deoxygenation processes capable of leading to the production of biofuels as well as other high value products. aggregate. Therefore, we sought to evaluate the performance of different catalysts used in the hydrolysis of </w:t>
      </w:r>
      <w:proofErr w:type="spellStart"/>
      <w:r w:rsidR="001B4385" w:rsidRPr="001B4385">
        <w:rPr>
          <w:rFonts w:ascii="Times New Roman" w:hAnsi="Times New Roman"/>
          <w:b w:val="0"/>
          <w:sz w:val="20"/>
        </w:rPr>
        <w:t>macaúba</w:t>
      </w:r>
      <w:proofErr w:type="spellEnd"/>
      <w:r w:rsidR="001B4385" w:rsidRPr="001B4385">
        <w:rPr>
          <w:rFonts w:ascii="Times New Roman" w:hAnsi="Times New Roman"/>
          <w:b w:val="0"/>
          <w:sz w:val="20"/>
        </w:rPr>
        <w:t xml:space="preserve"> fruit mesocarp oil (OMM) in a batch reactor. These catalysts were previously presented by N</w:t>
      </w:r>
      <w:r w:rsidR="001B4385" w:rsidRPr="001B4385">
        <w:rPr>
          <w:rFonts w:ascii="Times New Roman" w:hAnsi="Times New Roman"/>
          <w:b w:val="0"/>
          <w:sz w:val="20"/>
          <w:vertAlign w:val="subscript"/>
        </w:rPr>
        <w:t>2</w:t>
      </w:r>
      <w:r w:rsidR="001B4385" w:rsidRPr="001B4385">
        <w:rPr>
          <w:rFonts w:ascii="Times New Roman" w:hAnsi="Times New Roman"/>
          <w:b w:val="0"/>
          <w:sz w:val="20"/>
        </w:rPr>
        <w:t xml:space="preserve"> Physisorption, DRX, DTP-NH</w:t>
      </w:r>
      <w:r w:rsidR="001B4385" w:rsidRPr="001B4385">
        <w:rPr>
          <w:rFonts w:ascii="Times New Roman" w:hAnsi="Times New Roman"/>
          <w:b w:val="0"/>
          <w:sz w:val="20"/>
          <w:vertAlign w:val="subscript"/>
        </w:rPr>
        <w:t>3</w:t>
      </w:r>
      <w:r w:rsidR="001B4385" w:rsidRPr="001B4385">
        <w:rPr>
          <w:rFonts w:ascii="Times New Roman" w:hAnsi="Times New Roman"/>
          <w:b w:val="0"/>
          <w:sz w:val="20"/>
        </w:rPr>
        <w:t>. The results show that the strength of the tolerated sites grew in the following order: SiO</w:t>
      </w:r>
      <w:r w:rsidR="001B4385" w:rsidRPr="001B4385">
        <w:rPr>
          <w:rFonts w:ascii="Times New Roman" w:hAnsi="Times New Roman"/>
          <w:b w:val="0"/>
          <w:sz w:val="20"/>
          <w:vertAlign w:val="subscript"/>
        </w:rPr>
        <w:t>2</w:t>
      </w:r>
      <w:r w:rsidR="001B4385" w:rsidRPr="001B4385">
        <w:rPr>
          <w:rFonts w:ascii="Times New Roman" w:hAnsi="Times New Roman"/>
          <w:b w:val="0"/>
          <w:sz w:val="20"/>
        </w:rPr>
        <w:t>-Al</w:t>
      </w:r>
      <w:r w:rsidR="001B4385" w:rsidRPr="001B4385">
        <w:rPr>
          <w:rFonts w:ascii="Times New Roman" w:hAnsi="Times New Roman"/>
          <w:b w:val="0"/>
          <w:sz w:val="20"/>
          <w:vertAlign w:val="subscript"/>
        </w:rPr>
        <w:t>2</w:t>
      </w:r>
      <w:r w:rsidR="001B4385" w:rsidRPr="001B4385">
        <w:rPr>
          <w:rFonts w:ascii="Times New Roman" w:hAnsi="Times New Roman"/>
          <w:b w:val="0"/>
          <w:sz w:val="20"/>
        </w:rPr>
        <w:t>O</w:t>
      </w:r>
      <w:r w:rsidR="001B4385" w:rsidRPr="001B4385">
        <w:rPr>
          <w:rFonts w:ascii="Times New Roman" w:hAnsi="Times New Roman"/>
          <w:b w:val="0"/>
          <w:sz w:val="20"/>
          <w:vertAlign w:val="subscript"/>
        </w:rPr>
        <w:t>3</w:t>
      </w:r>
      <w:r w:rsidR="001B4385" w:rsidRPr="001B4385">
        <w:rPr>
          <w:rFonts w:ascii="Times New Roman" w:hAnsi="Times New Roman"/>
          <w:b w:val="0"/>
          <w:sz w:val="20"/>
        </w:rPr>
        <w:t>&gt;MCM-41&gt;</w:t>
      </w:r>
      <w:r w:rsidR="001B4385" w:rsidRPr="001B4385">
        <w:rPr>
          <w:rFonts w:ascii="Times New Roman" w:hAnsi="Times New Roman"/>
          <w:b w:val="0"/>
          <w:sz w:val="20"/>
          <w:lang w:val="pt-BR"/>
        </w:rPr>
        <w:t>γ</w:t>
      </w:r>
      <w:r w:rsidR="001B4385" w:rsidRPr="001B4385">
        <w:rPr>
          <w:rFonts w:ascii="Times New Roman" w:hAnsi="Times New Roman"/>
          <w:b w:val="0"/>
          <w:sz w:val="20"/>
        </w:rPr>
        <w:t>-Al</w:t>
      </w:r>
      <w:r w:rsidR="001B4385" w:rsidRPr="001B4385">
        <w:rPr>
          <w:rFonts w:ascii="Times New Roman" w:hAnsi="Times New Roman"/>
          <w:b w:val="0"/>
          <w:sz w:val="20"/>
          <w:vertAlign w:val="subscript"/>
        </w:rPr>
        <w:t>2</w:t>
      </w:r>
      <w:r w:rsidR="001B4385" w:rsidRPr="001B4385">
        <w:rPr>
          <w:rFonts w:ascii="Times New Roman" w:hAnsi="Times New Roman"/>
          <w:b w:val="0"/>
          <w:sz w:val="20"/>
        </w:rPr>
        <w:t>O</w:t>
      </w:r>
      <w:r w:rsidR="001B4385" w:rsidRPr="001B4385">
        <w:rPr>
          <w:rFonts w:ascii="Times New Roman" w:hAnsi="Times New Roman"/>
          <w:b w:val="0"/>
          <w:sz w:val="20"/>
          <w:vertAlign w:val="subscript"/>
        </w:rPr>
        <w:t>3</w:t>
      </w:r>
      <w:r w:rsidR="001B4385" w:rsidRPr="001B4385">
        <w:rPr>
          <w:rFonts w:ascii="Times New Roman" w:hAnsi="Times New Roman"/>
          <w:b w:val="0"/>
          <w:sz w:val="20"/>
        </w:rPr>
        <w:t>&gt;10Sn/</w:t>
      </w:r>
      <w:r w:rsidR="001B4385" w:rsidRPr="001B4385">
        <w:rPr>
          <w:rFonts w:ascii="Times New Roman" w:hAnsi="Times New Roman"/>
          <w:b w:val="0"/>
          <w:sz w:val="20"/>
          <w:lang w:val="pt-BR"/>
        </w:rPr>
        <w:t>γ</w:t>
      </w:r>
      <w:r w:rsidR="001B4385" w:rsidRPr="001B4385">
        <w:rPr>
          <w:rFonts w:ascii="Times New Roman" w:hAnsi="Times New Roman"/>
          <w:b w:val="0"/>
          <w:sz w:val="20"/>
        </w:rPr>
        <w:t>-Al</w:t>
      </w:r>
      <w:r w:rsidR="001B4385" w:rsidRPr="001B4385">
        <w:rPr>
          <w:rFonts w:ascii="Times New Roman" w:hAnsi="Times New Roman"/>
          <w:b w:val="0"/>
          <w:sz w:val="20"/>
          <w:vertAlign w:val="subscript"/>
        </w:rPr>
        <w:t>2</w:t>
      </w:r>
      <w:r w:rsidR="001B4385" w:rsidRPr="001B4385">
        <w:rPr>
          <w:rFonts w:ascii="Times New Roman" w:hAnsi="Times New Roman"/>
          <w:b w:val="0"/>
          <w:sz w:val="20"/>
        </w:rPr>
        <w:t>O</w:t>
      </w:r>
      <w:r w:rsidR="001B4385" w:rsidRPr="001B4385">
        <w:rPr>
          <w:rFonts w:ascii="Times New Roman" w:hAnsi="Times New Roman"/>
          <w:b w:val="0"/>
          <w:sz w:val="20"/>
          <w:vertAlign w:val="subscript"/>
        </w:rPr>
        <w:t>3</w:t>
      </w:r>
      <w:r w:rsidR="001B4385" w:rsidRPr="001B4385">
        <w:rPr>
          <w:rFonts w:ascii="Times New Roman" w:hAnsi="Times New Roman"/>
          <w:b w:val="0"/>
          <w:sz w:val="20"/>
        </w:rPr>
        <w:t xml:space="preserve">. Despite the presence of emitted reaction, all catalysts showed catalytic activity and selectivity to the formation of oleic acid (C18:1) and palmitic acid (C16:0). Then, a kinetic study was carried out using </w:t>
      </w:r>
      <w:r w:rsidR="001B4385" w:rsidRPr="001B4385">
        <w:rPr>
          <w:rFonts w:ascii="Times New Roman" w:hAnsi="Times New Roman"/>
          <w:b w:val="0"/>
          <w:sz w:val="20"/>
          <w:lang w:val="pt-BR"/>
        </w:rPr>
        <w:t>γ</w:t>
      </w:r>
      <w:r w:rsidR="001B4385" w:rsidRPr="001B4385">
        <w:rPr>
          <w:rFonts w:ascii="Times New Roman" w:hAnsi="Times New Roman"/>
          <w:b w:val="0"/>
          <w:sz w:val="20"/>
        </w:rPr>
        <w:t>-Al</w:t>
      </w:r>
      <w:r w:rsidR="001B4385" w:rsidRPr="00854F95">
        <w:rPr>
          <w:rFonts w:ascii="Times New Roman" w:hAnsi="Times New Roman"/>
          <w:b w:val="0"/>
          <w:sz w:val="20"/>
          <w:vertAlign w:val="subscript"/>
        </w:rPr>
        <w:t>2</w:t>
      </w:r>
      <w:r w:rsidR="001B4385" w:rsidRPr="001B4385">
        <w:rPr>
          <w:rFonts w:ascii="Times New Roman" w:hAnsi="Times New Roman"/>
          <w:b w:val="0"/>
          <w:sz w:val="20"/>
        </w:rPr>
        <w:t>O</w:t>
      </w:r>
      <w:r w:rsidR="001B4385" w:rsidRPr="00854F95">
        <w:rPr>
          <w:rFonts w:ascii="Times New Roman" w:hAnsi="Times New Roman"/>
          <w:b w:val="0"/>
          <w:sz w:val="20"/>
          <w:vertAlign w:val="subscript"/>
        </w:rPr>
        <w:t>3</w:t>
      </w:r>
      <w:r w:rsidR="001B4385" w:rsidRPr="001B4385">
        <w:rPr>
          <w:rFonts w:ascii="Times New Roman" w:hAnsi="Times New Roman"/>
          <w:b w:val="0"/>
          <w:sz w:val="20"/>
        </w:rPr>
        <w:t xml:space="preserve">, which was the best catalyst, through experimental design. The apparent kinetic constant at 250 </w:t>
      </w:r>
      <w:proofErr w:type="spellStart"/>
      <w:r w:rsidR="001B4385" w:rsidRPr="00854F95">
        <w:rPr>
          <w:rFonts w:ascii="Times New Roman" w:hAnsi="Times New Roman"/>
          <w:b w:val="0"/>
          <w:sz w:val="20"/>
          <w:vertAlign w:val="superscript"/>
        </w:rPr>
        <w:t>o</w:t>
      </w:r>
      <w:r w:rsidR="001B4385" w:rsidRPr="001B4385">
        <w:rPr>
          <w:rFonts w:ascii="Times New Roman" w:hAnsi="Times New Roman"/>
          <w:b w:val="0"/>
          <w:sz w:val="20"/>
        </w:rPr>
        <w:t>C</w:t>
      </w:r>
      <w:proofErr w:type="spellEnd"/>
      <w:r w:rsidR="001B4385" w:rsidRPr="001B4385">
        <w:rPr>
          <w:rFonts w:ascii="Times New Roman" w:hAnsi="Times New Roman"/>
          <w:b w:val="0"/>
          <w:sz w:val="20"/>
        </w:rPr>
        <w:t xml:space="preserve"> (k</w:t>
      </w:r>
      <w:r w:rsidR="001B4385" w:rsidRPr="00854F95">
        <w:rPr>
          <w:rFonts w:ascii="Times New Roman" w:hAnsi="Times New Roman"/>
          <w:b w:val="0"/>
          <w:sz w:val="20"/>
          <w:vertAlign w:val="subscript"/>
        </w:rPr>
        <w:t>250</w:t>
      </w:r>
      <w:r w:rsidR="001B4385" w:rsidRPr="001B4385">
        <w:rPr>
          <w:rFonts w:ascii="Times New Roman" w:hAnsi="Times New Roman"/>
          <w:b w:val="0"/>
          <w:sz w:val="20"/>
        </w:rPr>
        <w:t>) was approximately 30 times greater than the call reaction, with an apparent activation energy of 6.92 kJ∙mol</w:t>
      </w:r>
      <w:r w:rsidR="001B4385" w:rsidRPr="00854F95">
        <w:rPr>
          <w:rFonts w:ascii="Times New Roman" w:hAnsi="Times New Roman"/>
          <w:b w:val="0"/>
          <w:sz w:val="20"/>
          <w:vertAlign w:val="superscript"/>
        </w:rPr>
        <w:t>-1</w:t>
      </w:r>
      <w:r w:rsidR="001B4385" w:rsidRPr="001B4385">
        <w:rPr>
          <w:rFonts w:ascii="Times New Roman" w:hAnsi="Times New Roman"/>
          <w:b w:val="0"/>
          <w:sz w:val="20"/>
        </w:rPr>
        <w:t>.</w:t>
      </w:r>
    </w:p>
    <w:p w14:paraId="5F4A84E8" w14:textId="77FF33E6" w:rsidR="00EA4E1B" w:rsidRPr="00854F95" w:rsidRDefault="00EA4E1B" w:rsidP="00EA4E1B">
      <w:pPr>
        <w:pStyle w:val="BDAbstract"/>
        <w:spacing w:before="0" w:after="120" w:line="240" w:lineRule="auto"/>
        <w:rPr>
          <w:rFonts w:ascii="Times New Roman" w:hAnsi="Times New Roman"/>
          <w:b w:val="0"/>
          <w:i/>
          <w:sz w:val="20"/>
        </w:rPr>
      </w:pPr>
      <w:r w:rsidRPr="00854F95">
        <w:rPr>
          <w:rFonts w:ascii="Times New Roman" w:hAnsi="Times New Roman"/>
          <w:b w:val="0"/>
          <w:i/>
          <w:sz w:val="20"/>
        </w:rPr>
        <w:t xml:space="preserve">Keywords: </w:t>
      </w:r>
      <w:r w:rsidR="00854F95" w:rsidRPr="00854F95">
        <w:rPr>
          <w:rFonts w:ascii="Times New Roman" w:hAnsi="Times New Roman"/>
          <w:b w:val="0"/>
          <w:i/>
          <w:sz w:val="20"/>
        </w:rPr>
        <w:t xml:space="preserve">hydrolysis, </w:t>
      </w:r>
      <w:proofErr w:type="spellStart"/>
      <w:r w:rsidR="00F67447">
        <w:rPr>
          <w:rFonts w:ascii="Times New Roman" w:hAnsi="Times New Roman"/>
          <w:b w:val="0"/>
          <w:i/>
          <w:sz w:val="20"/>
        </w:rPr>
        <w:t>macauba</w:t>
      </w:r>
      <w:proofErr w:type="spellEnd"/>
      <w:r w:rsidR="00854F95" w:rsidRPr="00854F95">
        <w:rPr>
          <w:rFonts w:ascii="Times New Roman" w:hAnsi="Times New Roman"/>
          <w:b w:val="0"/>
          <w:i/>
          <w:sz w:val="20"/>
        </w:rPr>
        <w:t xml:space="preserve">, </w:t>
      </w:r>
      <w:r w:rsidR="00854F95" w:rsidRPr="00854F95">
        <w:rPr>
          <w:rFonts w:ascii="Times New Roman" w:hAnsi="Times New Roman"/>
          <w:b w:val="0"/>
          <w:i/>
          <w:sz w:val="20"/>
          <w:lang w:val="pt-BR"/>
        </w:rPr>
        <w:t>γ</w:t>
      </w:r>
      <w:r w:rsidR="00854F95" w:rsidRPr="00854F95">
        <w:rPr>
          <w:rFonts w:ascii="Times New Roman" w:hAnsi="Times New Roman"/>
          <w:b w:val="0"/>
          <w:i/>
          <w:sz w:val="20"/>
        </w:rPr>
        <w:t>-Al</w:t>
      </w:r>
      <w:r w:rsidR="00854F95" w:rsidRPr="00854F95">
        <w:rPr>
          <w:rFonts w:ascii="Times New Roman" w:hAnsi="Times New Roman"/>
          <w:b w:val="0"/>
          <w:i/>
          <w:sz w:val="20"/>
          <w:vertAlign w:val="subscript"/>
        </w:rPr>
        <w:t>2</w:t>
      </w:r>
      <w:r w:rsidR="00854F95" w:rsidRPr="00854F95">
        <w:rPr>
          <w:rFonts w:ascii="Times New Roman" w:hAnsi="Times New Roman"/>
          <w:b w:val="0"/>
          <w:i/>
          <w:sz w:val="20"/>
        </w:rPr>
        <w:t>O</w:t>
      </w:r>
      <w:r w:rsidR="00854F95" w:rsidRPr="00854F95">
        <w:rPr>
          <w:rFonts w:ascii="Times New Roman" w:hAnsi="Times New Roman"/>
          <w:b w:val="0"/>
          <w:i/>
          <w:sz w:val="20"/>
          <w:vertAlign w:val="subscript"/>
        </w:rPr>
        <w:t>3</w:t>
      </w:r>
      <w:r w:rsidR="00854F95" w:rsidRPr="00854F95">
        <w:rPr>
          <w:rFonts w:ascii="Times New Roman" w:hAnsi="Times New Roman"/>
          <w:b w:val="0"/>
          <w:i/>
          <w:sz w:val="20"/>
        </w:rPr>
        <w:t xml:space="preserve">, free fatty acids, </w:t>
      </w:r>
      <w:r w:rsidR="00F67447">
        <w:rPr>
          <w:rFonts w:ascii="Times New Roman" w:hAnsi="Times New Roman"/>
          <w:b w:val="0"/>
          <w:i/>
          <w:sz w:val="20"/>
        </w:rPr>
        <w:t>biofuels</w:t>
      </w:r>
      <w:r w:rsidR="00854F95" w:rsidRPr="00854F95">
        <w:rPr>
          <w:rFonts w:ascii="Times New Roman" w:hAnsi="Times New Roman"/>
          <w:b w:val="0"/>
          <w:i/>
          <w:sz w:val="20"/>
        </w:rPr>
        <w:t>.</w:t>
      </w:r>
    </w:p>
    <w:bookmarkEnd w:id="0"/>
    <w:p w14:paraId="48D9B0C4" w14:textId="77777777" w:rsidR="00EA4E1B" w:rsidRPr="00854F95" w:rsidRDefault="00EA4E1B" w:rsidP="00EA4E1B">
      <w:pPr>
        <w:rPr>
          <w:lang w:val="en-US"/>
        </w:rPr>
        <w:sectPr w:rsidR="00EA4E1B" w:rsidRPr="00854F95"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5A5019A5" w14:textId="26D4DBBD" w:rsidR="00D50ADB" w:rsidRDefault="00D50ADB" w:rsidP="00EA4E1B">
      <w:pPr>
        <w:pStyle w:val="TAMainText"/>
        <w:rPr>
          <w:rStyle w:val="eop"/>
          <w:lang w:val="pt-BR"/>
        </w:rPr>
      </w:pPr>
      <w:r w:rsidRPr="00D50ADB">
        <w:rPr>
          <w:rStyle w:val="normaltextrun"/>
          <w:lang w:val="pt-BR"/>
        </w:rPr>
        <w:t>A sociedade contemporânea, além do acesso popularizado à informação, convive com um grande aumento populacional, além de um desenvolvimento industrial e tecnológico, no qual a energia é um elemento fundamental. Logo, o consumo energético mundial aumentará nos próximos anos; porém, com a exigência da sustentabilidade, a geração de energia e produtos demandará o uso cada vez maior de fontes limpas</w:t>
      </w:r>
      <w:r>
        <w:rPr>
          <w:rStyle w:val="normaltextrun"/>
          <w:lang w:val="pt-BR"/>
        </w:rPr>
        <w:t xml:space="preserve"> (1)</w:t>
      </w:r>
      <w:r w:rsidRPr="00D50ADB">
        <w:rPr>
          <w:rStyle w:val="normaltextrun"/>
          <w:lang w:val="pt-BR"/>
        </w:rPr>
        <w:t>.</w:t>
      </w:r>
    </w:p>
    <w:p w14:paraId="2B45FFB9" w14:textId="3CBBC0E4" w:rsidR="00D50ADB" w:rsidRDefault="00854F95" w:rsidP="00EA4E1B">
      <w:pPr>
        <w:pStyle w:val="TAMainText"/>
        <w:rPr>
          <w:rStyle w:val="normaltextrun"/>
          <w:lang w:val="pt-BR"/>
        </w:rPr>
      </w:pPr>
      <w:r w:rsidRPr="00854F95">
        <w:rPr>
          <w:rStyle w:val="normaltextrun"/>
          <w:lang w:val="pt-BR"/>
        </w:rPr>
        <w:t xml:space="preserve">No sentido de contribuir para desenvolvimento de processo para a produção de </w:t>
      </w:r>
      <w:proofErr w:type="spellStart"/>
      <w:r w:rsidRPr="00854F95">
        <w:rPr>
          <w:rStyle w:val="normaltextrun"/>
          <w:lang w:val="pt-BR"/>
        </w:rPr>
        <w:t>BioQAv</w:t>
      </w:r>
      <w:proofErr w:type="spellEnd"/>
      <w:r w:rsidRPr="00854F95">
        <w:rPr>
          <w:rStyle w:val="normaltextrun"/>
          <w:lang w:val="pt-BR"/>
        </w:rPr>
        <w:t xml:space="preserve"> via </w:t>
      </w:r>
      <w:proofErr w:type="spellStart"/>
      <w:r w:rsidRPr="00854F95">
        <w:rPr>
          <w:rStyle w:val="normaltextrun"/>
          <w:lang w:val="pt-BR"/>
        </w:rPr>
        <w:t>oleoquímica</w:t>
      </w:r>
      <w:proofErr w:type="spellEnd"/>
      <w:r w:rsidRPr="00854F95">
        <w:rPr>
          <w:rStyle w:val="normaltextrun"/>
          <w:lang w:val="pt-BR"/>
        </w:rPr>
        <w:t xml:space="preserve">, o </w:t>
      </w:r>
      <w:r>
        <w:rPr>
          <w:rStyle w:val="normaltextrun"/>
          <w:lang w:val="pt-BR"/>
        </w:rPr>
        <w:t>GPCATT</w:t>
      </w:r>
      <w:r w:rsidRPr="00854F95">
        <w:rPr>
          <w:rStyle w:val="normaltextrun"/>
          <w:lang w:val="pt-BR"/>
        </w:rPr>
        <w:t xml:space="preserve">, desenvolveu tecnologia a partir de trabalho pioneiro </w:t>
      </w:r>
      <w:r w:rsidR="00D50ADB">
        <w:rPr>
          <w:rStyle w:val="normaltextrun"/>
          <w:lang w:val="pt-BR"/>
        </w:rPr>
        <w:t>descrito na literatura</w:t>
      </w:r>
      <w:r w:rsidRPr="00854F95">
        <w:rPr>
          <w:rStyle w:val="normaltextrun"/>
          <w:lang w:val="pt-BR"/>
        </w:rPr>
        <w:t>, que leva à produção dos supracitados biocombustíveis, mas também pode possibilitar a formação de outros produtos de alto valor agregado</w:t>
      </w:r>
      <w:r w:rsidR="00D50ADB">
        <w:rPr>
          <w:rStyle w:val="normaltextrun"/>
          <w:lang w:val="pt-BR"/>
        </w:rPr>
        <w:t xml:space="preserve"> (2)</w:t>
      </w:r>
      <w:r w:rsidRPr="00854F95">
        <w:rPr>
          <w:rStyle w:val="normaltextrun"/>
          <w:lang w:val="pt-BR"/>
        </w:rPr>
        <w:t>.</w:t>
      </w:r>
    </w:p>
    <w:p w14:paraId="5689CE15" w14:textId="09E3D18F" w:rsidR="00D50ADB" w:rsidRDefault="00854F95" w:rsidP="00D50ADB">
      <w:pPr>
        <w:pStyle w:val="TAMainText"/>
        <w:rPr>
          <w:rStyle w:val="normaltextrun"/>
          <w:lang w:val="pt-BR"/>
        </w:rPr>
      </w:pPr>
      <w:r w:rsidRPr="00854F95">
        <w:rPr>
          <w:rStyle w:val="normaltextrun"/>
          <w:lang w:val="pt-BR"/>
        </w:rPr>
        <w:t>Os glicerídeos do óleo são hidrolisados para formar glicerol e ácidos graxos (saturados e insaturados). Na sequência, é realizada a reforma em fase aquosa (sigla em inglês: APR) do glicerol visando a obtenção de hidrogênio verde (H</w:t>
      </w:r>
      <w:r w:rsidRPr="00854F95">
        <w:rPr>
          <w:rStyle w:val="normaltextrun"/>
          <w:sz w:val="19"/>
          <w:szCs w:val="19"/>
          <w:vertAlign w:val="subscript"/>
          <w:lang w:val="pt-BR"/>
        </w:rPr>
        <w:t>2</w:t>
      </w:r>
      <w:r w:rsidRPr="00854F95">
        <w:rPr>
          <w:rStyle w:val="normaltextrun"/>
          <w:lang w:val="pt-BR"/>
        </w:rPr>
        <w:t xml:space="preserve">), utilizado na hidrogenação dos ácidos graxos insaturados, e os ácidos graxos saturados obtidos são desoxigenados para a obtenção de hidrocarbonetos. Com as condições reacionais e catalisador adequados, pode ocorrer a conversão do glicerol resultante da hidrólise, levando à formação de hidrogênio e dióxido de carbono </w:t>
      </w:r>
      <w:r w:rsidRPr="00854F95">
        <w:rPr>
          <w:rStyle w:val="normaltextrun"/>
          <w:i/>
          <w:iCs/>
          <w:lang w:val="pt-BR"/>
        </w:rPr>
        <w:t>in situ</w:t>
      </w:r>
      <w:r w:rsidRPr="00854F95">
        <w:rPr>
          <w:rStyle w:val="normaltextrun"/>
          <w:lang w:val="pt-BR"/>
        </w:rPr>
        <w:t xml:space="preserve">. Neste caso, o hidrogênio obtido pode ser utilizado na chamada hidrólise-hidrogenação de ácidos graxos insaturados, ou seja, as etapas podem ser realizadas de maneira integrada, utilizando o mesmo catalisador </w:t>
      </w:r>
      <w:r w:rsidR="00D50ADB">
        <w:rPr>
          <w:rStyle w:val="normaltextrun"/>
          <w:lang w:val="pt-BR"/>
        </w:rPr>
        <w:t>(3-4)</w:t>
      </w:r>
      <w:r w:rsidRPr="00854F95">
        <w:rPr>
          <w:rStyle w:val="normaltextrun"/>
          <w:lang w:val="pt-BR"/>
        </w:rPr>
        <w:t>.</w:t>
      </w:r>
    </w:p>
    <w:p w14:paraId="6515CB62" w14:textId="75F3A85B" w:rsidR="00D50ADB" w:rsidRDefault="00D50ADB" w:rsidP="00D50ADB">
      <w:pPr>
        <w:pStyle w:val="TAMainText"/>
        <w:rPr>
          <w:rStyle w:val="normaltextrun"/>
          <w:lang w:val="pt-BR"/>
        </w:rPr>
      </w:pPr>
      <w:r w:rsidRPr="00D50ADB">
        <w:rPr>
          <w:rStyle w:val="normaltextrun"/>
          <w:lang w:val="pt-BR"/>
        </w:rPr>
        <w:t xml:space="preserve">O óleo de macaúba é obtido a partir da extração do fruto da palmeira </w:t>
      </w:r>
      <w:proofErr w:type="spellStart"/>
      <w:r w:rsidRPr="00D50ADB">
        <w:rPr>
          <w:rStyle w:val="normaltextrun"/>
          <w:i/>
          <w:iCs/>
          <w:lang w:val="pt-BR"/>
        </w:rPr>
        <w:t>Acrocomia</w:t>
      </w:r>
      <w:proofErr w:type="spellEnd"/>
      <w:r w:rsidRPr="00D50ADB">
        <w:rPr>
          <w:rStyle w:val="normaltextrun"/>
          <w:i/>
          <w:iCs/>
          <w:lang w:val="pt-BR"/>
        </w:rPr>
        <w:t xml:space="preserve"> </w:t>
      </w:r>
      <w:proofErr w:type="spellStart"/>
      <w:r w:rsidRPr="00D50ADB">
        <w:rPr>
          <w:rStyle w:val="normaltextrun"/>
          <w:i/>
          <w:iCs/>
          <w:lang w:val="pt-BR"/>
        </w:rPr>
        <w:t>aculeata</w:t>
      </w:r>
      <w:proofErr w:type="spellEnd"/>
      <w:r w:rsidRPr="00D50ADB">
        <w:rPr>
          <w:rStyle w:val="normaltextrun"/>
          <w:lang w:val="pt-BR"/>
        </w:rPr>
        <w:t xml:space="preserve"> (</w:t>
      </w:r>
      <w:proofErr w:type="spellStart"/>
      <w:r w:rsidRPr="00D50ADB">
        <w:rPr>
          <w:rStyle w:val="normaltextrun"/>
          <w:lang w:val="pt-BR"/>
        </w:rPr>
        <w:t>Jacq</w:t>
      </w:r>
      <w:proofErr w:type="spellEnd"/>
      <w:r w:rsidRPr="00D50ADB">
        <w:rPr>
          <w:rStyle w:val="normaltextrun"/>
          <w:lang w:val="pt-BR"/>
        </w:rPr>
        <w:t xml:space="preserve">.) </w:t>
      </w:r>
      <w:proofErr w:type="spellStart"/>
      <w:r w:rsidRPr="00D50ADB">
        <w:rPr>
          <w:rStyle w:val="normaltextrun"/>
          <w:lang w:val="pt-BR"/>
        </w:rPr>
        <w:t>Lodd</w:t>
      </w:r>
      <w:proofErr w:type="spellEnd"/>
      <w:r w:rsidRPr="00D50ADB">
        <w:rPr>
          <w:rStyle w:val="normaltextrun"/>
          <w:lang w:val="pt-BR"/>
        </w:rPr>
        <w:t xml:space="preserve">. </w:t>
      </w:r>
      <w:proofErr w:type="spellStart"/>
      <w:r w:rsidRPr="00D50ADB">
        <w:rPr>
          <w:rStyle w:val="normaltextrun"/>
          <w:lang w:val="pt-BR"/>
        </w:rPr>
        <w:t>ex</w:t>
      </w:r>
      <w:proofErr w:type="spellEnd"/>
      <w:r w:rsidRPr="00D50ADB">
        <w:rPr>
          <w:rStyle w:val="normaltextrun"/>
          <w:lang w:val="pt-BR"/>
        </w:rPr>
        <w:t xml:space="preserve"> Mart., da família </w:t>
      </w:r>
      <w:proofErr w:type="spellStart"/>
      <w:r w:rsidRPr="00D50ADB">
        <w:rPr>
          <w:rStyle w:val="normaltextrun"/>
          <w:i/>
          <w:iCs/>
          <w:lang w:val="pt-BR"/>
        </w:rPr>
        <w:t>Arecaceae</w:t>
      </w:r>
      <w:proofErr w:type="spellEnd"/>
      <w:r w:rsidRPr="00D50ADB">
        <w:rPr>
          <w:rStyle w:val="normaltextrun"/>
          <w:lang w:val="pt-BR"/>
        </w:rPr>
        <w:t xml:space="preserve">, nativa de florestas tropicais da América </w:t>
      </w:r>
      <w:r w:rsidRPr="00D50ADB">
        <w:rPr>
          <w:rStyle w:val="normaltextrun"/>
          <w:lang w:val="pt-BR"/>
        </w:rPr>
        <w:lastRenderedPageBreak/>
        <w:t>do Sul, facilmente encontradas dispersas em áreas do Cerrado Brasileiro. A produtividade do óleo de macaúba é estimada em 4000 kg por hectare, permitindo que seja favoravelmente comparado com o óleo de palma, extraído do fruto do dendezeiro (</w:t>
      </w:r>
      <w:proofErr w:type="spellStart"/>
      <w:r w:rsidRPr="00D50ADB">
        <w:rPr>
          <w:rStyle w:val="normaltextrun"/>
          <w:i/>
          <w:iCs/>
          <w:lang w:val="pt-BR"/>
        </w:rPr>
        <w:t>Elaeis</w:t>
      </w:r>
      <w:proofErr w:type="spellEnd"/>
      <w:r w:rsidRPr="00D50ADB">
        <w:rPr>
          <w:rStyle w:val="normaltextrun"/>
          <w:i/>
          <w:iCs/>
          <w:lang w:val="pt-BR"/>
        </w:rPr>
        <w:t xml:space="preserve"> guineenses</w:t>
      </w:r>
      <w:r w:rsidRPr="00D50ADB">
        <w:rPr>
          <w:rStyle w:val="normaltextrun"/>
          <w:lang w:val="pt-BR"/>
        </w:rPr>
        <w:t xml:space="preserve">), palmeira originária da África, com uma produtividade de 6500 kg por hectare </w:t>
      </w:r>
      <w:r>
        <w:rPr>
          <w:rStyle w:val="normaltextrun"/>
          <w:lang w:val="pt-BR"/>
        </w:rPr>
        <w:t>(5)</w:t>
      </w:r>
      <w:r w:rsidRPr="00D50ADB">
        <w:rPr>
          <w:rStyle w:val="normaltextrun"/>
          <w:lang w:val="pt-BR"/>
        </w:rPr>
        <w:t xml:space="preserve">. Devido à elevada produtividade de óleo não-comestível, em decorrência do alto índice de acidez e composição química, o óleo de macaúba, seja da polpa ou da semente, é muito promissor para a produção de diesel verde, </w:t>
      </w:r>
      <w:proofErr w:type="spellStart"/>
      <w:r w:rsidRPr="00D50ADB">
        <w:rPr>
          <w:rStyle w:val="normaltextrun"/>
          <w:lang w:val="pt-BR"/>
        </w:rPr>
        <w:t>BioQAv</w:t>
      </w:r>
      <w:proofErr w:type="spellEnd"/>
      <w:r>
        <w:rPr>
          <w:rStyle w:val="normaltextrun"/>
          <w:lang w:val="pt-BR"/>
        </w:rPr>
        <w:t xml:space="preserve"> (6)</w:t>
      </w:r>
      <w:r w:rsidRPr="00D50ADB">
        <w:rPr>
          <w:rStyle w:val="normaltextrun"/>
          <w:lang w:val="pt-BR"/>
        </w:rPr>
        <w:t>, além de outros produtos.</w:t>
      </w:r>
    </w:p>
    <w:p w14:paraId="543230A6" w14:textId="658201AE" w:rsidR="009222D0" w:rsidRDefault="009222D0" w:rsidP="00D50ADB">
      <w:pPr>
        <w:pStyle w:val="TAMainText"/>
        <w:rPr>
          <w:rStyle w:val="normaltextrun"/>
          <w:lang w:val="pt-BR"/>
        </w:rPr>
      </w:pPr>
      <w:r w:rsidRPr="009222D0">
        <w:rPr>
          <w:rStyle w:val="normaltextrun"/>
          <w:lang w:val="pt-BR"/>
        </w:rPr>
        <w:t>A</w:t>
      </w:r>
      <w:r>
        <w:rPr>
          <w:rStyle w:val="normaltextrun"/>
          <w:lang w:val="pt-PT"/>
        </w:rPr>
        <w:t xml:space="preserve"> hidrólise em condições subcríticas, é uma reação </w:t>
      </w:r>
      <w:proofErr w:type="spellStart"/>
      <w:r>
        <w:rPr>
          <w:rStyle w:val="normaltextrun"/>
          <w:lang w:val="pt-PT"/>
        </w:rPr>
        <w:t>pseudo-homogênea</w:t>
      </w:r>
      <w:proofErr w:type="spellEnd"/>
      <w:r>
        <w:rPr>
          <w:rStyle w:val="normaltextrun"/>
          <w:lang w:val="pt-PT"/>
        </w:rPr>
        <w:t xml:space="preserve"> e de primeira ordem em relação aos glicerídeos, cujo as etapas ou reações sucessivas são elementares</w:t>
      </w:r>
      <w:r w:rsidR="00BE6AA0">
        <w:rPr>
          <w:rStyle w:val="normaltextrun"/>
          <w:lang w:val="pt-PT"/>
        </w:rPr>
        <w:t xml:space="preserve"> </w:t>
      </w:r>
      <w:r>
        <w:rPr>
          <w:rStyle w:val="normaltextrun"/>
          <w:lang w:val="pt-BR"/>
        </w:rPr>
        <w:t>(7-8)</w:t>
      </w:r>
      <w:r w:rsidRPr="009222D0">
        <w:rPr>
          <w:rStyle w:val="normaltextrun"/>
          <w:lang w:val="pt-BR"/>
        </w:rPr>
        <w:t>.</w:t>
      </w:r>
    </w:p>
    <w:p w14:paraId="580A02D8" w14:textId="2FEEB258" w:rsidR="009222D0" w:rsidRPr="009222D0" w:rsidRDefault="009222D0" w:rsidP="00D50ADB">
      <w:pPr>
        <w:pStyle w:val="TAMainText"/>
        <w:rPr>
          <w:rStyle w:val="normaltextrun"/>
          <w:lang w:val="pt-BR"/>
        </w:rPr>
      </w:pPr>
      <w:r w:rsidRPr="009222D0">
        <w:rPr>
          <w:rStyle w:val="normaltextrun"/>
          <w:lang w:val="pt-BR"/>
        </w:rPr>
        <w:t xml:space="preserve">Para a otimizar o processo de hidrólise, estágio inicial da rota alternativa apresentada, são considerados como principais parâmetros de otimização da reação: a temperatura reacional e a razão água-óleo </w:t>
      </w:r>
      <w:r>
        <w:rPr>
          <w:rStyle w:val="normaltextrun"/>
          <w:lang w:val="pt-BR"/>
        </w:rPr>
        <w:t>(9)</w:t>
      </w:r>
      <w:r w:rsidRPr="009222D0">
        <w:rPr>
          <w:rStyle w:val="normaltextrun"/>
          <w:lang w:val="pt-BR"/>
        </w:rPr>
        <w:t>.</w:t>
      </w:r>
    </w:p>
    <w:p w14:paraId="117DDC32" w14:textId="13F3D534" w:rsidR="009222D0" w:rsidRPr="00D50ADB" w:rsidRDefault="009222D0" w:rsidP="00D50ADB">
      <w:pPr>
        <w:pStyle w:val="TAMainText"/>
        <w:rPr>
          <w:lang w:val="pt-BR"/>
        </w:rPr>
      </w:pPr>
      <w:r>
        <w:rPr>
          <w:rStyle w:val="normaltextrun"/>
          <w:lang w:val="pt-BR"/>
        </w:rPr>
        <w:t xml:space="preserve">O objetivo deste trabalho </w:t>
      </w:r>
      <w:r w:rsidR="007C2B75">
        <w:rPr>
          <w:rStyle w:val="normaltextrun"/>
          <w:lang w:val="pt-BR"/>
        </w:rPr>
        <w:t>foi</w:t>
      </w:r>
      <w:r>
        <w:rPr>
          <w:rStyle w:val="normaltextrun"/>
          <w:lang w:val="pt-BR"/>
        </w:rPr>
        <w:t xml:space="preserve"> a</w:t>
      </w:r>
      <w:r w:rsidRPr="009222D0">
        <w:rPr>
          <w:rStyle w:val="normaltextrun"/>
          <w:lang w:val="pt-BR"/>
        </w:rPr>
        <w:t>valiar catalisadores ácidos e desenvolver a cinética da reação de hidrólise do óleo de mesocarpo da macaúba, uma das etapas inerentes à produção de biocombustíveis entre outros produtos.</w:t>
      </w:r>
      <w:r w:rsidRPr="009222D0">
        <w:rPr>
          <w:rStyle w:val="eop"/>
          <w:lang w:val="pt-BR"/>
        </w:rPr>
        <w:t> </w:t>
      </w:r>
    </w:p>
    <w:p w14:paraId="6DB850C6" w14:textId="08789AA3" w:rsidR="00EA4E1B" w:rsidRPr="001F25B2" w:rsidRDefault="00EA4E1B" w:rsidP="00EA4E1B">
      <w:pPr>
        <w:pStyle w:val="TAMainText"/>
        <w:rPr>
          <w:rFonts w:ascii="Times New Roman" w:hAnsi="Times New Roman"/>
          <w:b/>
          <w:lang w:val="pt-BR"/>
        </w:rPr>
      </w:pPr>
      <w:r w:rsidRPr="001F25B2">
        <w:rPr>
          <w:rFonts w:ascii="Times New Roman" w:hAnsi="Times New Roman"/>
          <w:b/>
          <w:lang w:val="pt-BR"/>
        </w:rPr>
        <w:t xml:space="preserve"> </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7BE6D6DE" w14:textId="6FFED8F6" w:rsidR="00C41066" w:rsidRPr="00C41066" w:rsidRDefault="00C41066" w:rsidP="00C41066">
      <w:pPr>
        <w:pStyle w:val="TAMainText"/>
        <w:ind w:firstLine="0"/>
        <w:rPr>
          <w:i/>
          <w:iCs/>
          <w:lang w:val="pt-BR"/>
        </w:rPr>
      </w:pPr>
      <w:r w:rsidRPr="00C41066">
        <w:rPr>
          <w:rStyle w:val="eop"/>
          <w:i/>
          <w:iCs/>
          <w:color w:val="000000"/>
          <w:lang w:val="pt-BR"/>
        </w:rPr>
        <w:t>Obtenção e Caracterização de Catalisadores</w:t>
      </w:r>
    </w:p>
    <w:p w14:paraId="77AF340B" w14:textId="00B36230" w:rsidR="00C41066" w:rsidRPr="00C41066" w:rsidRDefault="00C41066" w:rsidP="00C41066">
      <w:pPr>
        <w:pStyle w:val="TAMainText"/>
        <w:rPr>
          <w:rStyle w:val="eop"/>
          <w:color w:val="000000"/>
          <w:lang w:val="pt-BR"/>
        </w:rPr>
      </w:pPr>
      <w:r w:rsidRPr="00C41066">
        <w:rPr>
          <w:rStyle w:val="eop"/>
          <w:color w:val="000000"/>
          <w:lang w:val="pt-BR"/>
        </w:rPr>
        <w:t xml:space="preserve">A peneira molecular MCM-41 foi obtida </w:t>
      </w:r>
      <w:r>
        <w:rPr>
          <w:rStyle w:val="eop"/>
          <w:color w:val="000000"/>
          <w:lang w:val="pt-BR"/>
        </w:rPr>
        <w:t xml:space="preserve">conforme </w:t>
      </w:r>
      <w:r w:rsidRPr="00C41066">
        <w:rPr>
          <w:rStyle w:val="eop"/>
          <w:color w:val="000000"/>
          <w:lang w:val="pt-BR"/>
        </w:rPr>
        <w:t xml:space="preserve">estudo </w:t>
      </w:r>
      <w:r>
        <w:rPr>
          <w:rStyle w:val="eop"/>
          <w:color w:val="000000"/>
          <w:lang w:val="pt-BR"/>
        </w:rPr>
        <w:t>da literatura (1</w:t>
      </w:r>
      <w:r w:rsidR="005A05D9">
        <w:rPr>
          <w:rStyle w:val="eop"/>
          <w:color w:val="000000"/>
          <w:lang w:val="pt-BR"/>
        </w:rPr>
        <w:t>0</w:t>
      </w:r>
      <w:r>
        <w:rPr>
          <w:rStyle w:val="eop"/>
          <w:color w:val="000000"/>
          <w:lang w:val="pt-BR"/>
        </w:rPr>
        <w:t>)</w:t>
      </w:r>
      <w:r w:rsidR="005A05D9">
        <w:rPr>
          <w:rStyle w:val="eop"/>
          <w:color w:val="000000"/>
          <w:lang w:val="pt-BR"/>
        </w:rPr>
        <w:t xml:space="preserve">, </w:t>
      </w:r>
      <w:r w:rsidRPr="00C41066">
        <w:rPr>
          <w:rStyle w:val="eop"/>
          <w:color w:val="000000"/>
          <w:lang w:val="pt-BR"/>
        </w:rPr>
        <w:t>por meio de síntese hidrotérmica a 150 °C por 24 h. O tratamento pós-síntese ocorreu em duas etapas: deposição de carbono utilizando glicose comercial, na proporção de massa de 1 g (suporte): 2,2 g (glicose): 3,5 g (água), seguido de lavagem com solução de ácido fluorídrico 0,2 mol</w:t>
      </w:r>
      <w:r w:rsidRPr="00C41066">
        <w:rPr>
          <w:rStyle w:val="eop"/>
          <w:rFonts w:ascii="Cambria Math" w:hAnsi="Cambria Math" w:cs="Cambria Math"/>
          <w:color w:val="000000"/>
          <w:lang w:val="pt-BR"/>
        </w:rPr>
        <w:t>∙</w:t>
      </w:r>
      <w:r w:rsidRPr="00C41066">
        <w:rPr>
          <w:rStyle w:val="eop"/>
          <w:color w:val="000000"/>
          <w:lang w:val="pt-BR"/>
        </w:rPr>
        <w:t>L</w:t>
      </w:r>
      <w:r w:rsidRPr="00BF2049">
        <w:rPr>
          <w:rStyle w:val="eop"/>
          <w:color w:val="000000"/>
          <w:vertAlign w:val="superscript"/>
          <w:lang w:val="pt-BR"/>
        </w:rPr>
        <w:t>-1</w:t>
      </w:r>
      <w:r w:rsidRPr="00C41066">
        <w:rPr>
          <w:rStyle w:val="eop"/>
          <w:color w:val="000000"/>
          <w:lang w:val="pt-BR"/>
        </w:rPr>
        <w:t xml:space="preserve"> a 65 °C por 2 h. </w:t>
      </w:r>
    </w:p>
    <w:p w14:paraId="6ECB44BE" w14:textId="176C8123" w:rsidR="00C41066" w:rsidRDefault="00C41066" w:rsidP="00C41066">
      <w:pPr>
        <w:pStyle w:val="TAMainText"/>
        <w:rPr>
          <w:rStyle w:val="eop"/>
          <w:color w:val="000000"/>
          <w:lang w:val="pt-BR"/>
        </w:rPr>
      </w:pPr>
      <w:r w:rsidRPr="00C41066">
        <w:rPr>
          <w:rStyle w:val="eop"/>
          <w:color w:val="000000"/>
          <w:lang w:val="pt-BR"/>
        </w:rPr>
        <w:t xml:space="preserve">Utilizou-se os suportes comerciais </w:t>
      </w:r>
      <w:proofErr w:type="spellStart"/>
      <w:r w:rsidRPr="00C41066">
        <w:rPr>
          <w:rStyle w:val="eop"/>
          <w:color w:val="000000"/>
          <w:lang w:val="pt-BR"/>
        </w:rPr>
        <w:t>pseudoboemita</w:t>
      </w:r>
      <w:proofErr w:type="spellEnd"/>
      <w:r w:rsidRPr="00C41066">
        <w:rPr>
          <w:rStyle w:val="eop"/>
          <w:color w:val="000000"/>
          <w:lang w:val="pt-BR"/>
        </w:rPr>
        <w:t xml:space="preserve"> (G-250, BASF) e sílica-alumina (G-135, Sigma-Aldrich) para a obtenção dos catalisadores γ-Al</w:t>
      </w:r>
      <w:r w:rsidRPr="00BF2049">
        <w:rPr>
          <w:rStyle w:val="eop"/>
          <w:color w:val="000000"/>
          <w:vertAlign w:val="subscript"/>
          <w:lang w:val="pt-BR"/>
        </w:rPr>
        <w:t>2</w:t>
      </w:r>
      <w:r w:rsidRPr="00C41066">
        <w:rPr>
          <w:rStyle w:val="eop"/>
          <w:color w:val="000000"/>
          <w:lang w:val="pt-BR"/>
        </w:rPr>
        <w:t>O</w:t>
      </w:r>
      <w:r w:rsidRPr="00BF2049">
        <w:rPr>
          <w:rStyle w:val="eop"/>
          <w:color w:val="000000"/>
          <w:vertAlign w:val="subscript"/>
          <w:lang w:val="pt-BR"/>
        </w:rPr>
        <w:t>3</w:t>
      </w:r>
      <w:r w:rsidRPr="00C41066">
        <w:rPr>
          <w:rStyle w:val="eop"/>
          <w:color w:val="000000"/>
          <w:lang w:val="pt-BR"/>
        </w:rPr>
        <w:t xml:space="preserve"> e SiO</w:t>
      </w:r>
      <w:r w:rsidRPr="00BF2049">
        <w:rPr>
          <w:rStyle w:val="eop"/>
          <w:color w:val="000000"/>
          <w:vertAlign w:val="subscript"/>
          <w:lang w:val="pt-BR"/>
        </w:rPr>
        <w:t>2</w:t>
      </w:r>
      <w:r w:rsidRPr="00C41066">
        <w:rPr>
          <w:rStyle w:val="eop"/>
          <w:color w:val="000000"/>
          <w:lang w:val="pt-BR"/>
        </w:rPr>
        <w:t>-Al</w:t>
      </w:r>
      <w:r w:rsidRPr="00BF2049">
        <w:rPr>
          <w:rStyle w:val="eop"/>
          <w:color w:val="000000"/>
          <w:vertAlign w:val="subscript"/>
          <w:lang w:val="pt-BR"/>
        </w:rPr>
        <w:t>2</w:t>
      </w:r>
      <w:r w:rsidRPr="00C41066">
        <w:rPr>
          <w:rStyle w:val="eop"/>
          <w:color w:val="000000"/>
          <w:lang w:val="pt-BR"/>
        </w:rPr>
        <w:t>O</w:t>
      </w:r>
      <w:r w:rsidRPr="00BF2049">
        <w:rPr>
          <w:rStyle w:val="eop"/>
          <w:color w:val="000000"/>
          <w:vertAlign w:val="subscript"/>
          <w:lang w:val="pt-BR"/>
        </w:rPr>
        <w:t>3</w:t>
      </w:r>
      <w:r w:rsidRPr="00C41066">
        <w:rPr>
          <w:rStyle w:val="eop"/>
          <w:color w:val="000000"/>
          <w:lang w:val="pt-BR"/>
        </w:rPr>
        <w:t xml:space="preserve">, respectivamente. Obteve-se uma amostra do catalisador </w:t>
      </w:r>
      <w:proofErr w:type="spellStart"/>
      <w:r w:rsidRPr="00C41066">
        <w:rPr>
          <w:rStyle w:val="eop"/>
          <w:color w:val="000000"/>
          <w:lang w:val="pt-BR"/>
        </w:rPr>
        <w:t>xSn</w:t>
      </w:r>
      <w:proofErr w:type="spellEnd"/>
      <w:r w:rsidRPr="00C41066">
        <w:rPr>
          <w:rStyle w:val="eop"/>
          <w:color w:val="000000"/>
          <w:lang w:val="pt-BR"/>
        </w:rPr>
        <w:t>/γ-Al</w:t>
      </w:r>
      <w:r w:rsidRPr="00F67447">
        <w:rPr>
          <w:rStyle w:val="eop"/>
          <w:color w:val="000000"/>
          <w:vertAlign w:val="subscript"/>
          <w:lang w:val="pt-BR"/>
        </w:rPr>
        <w:t>2</w:t>
      </w:r>
      <w:r w:rsidRPr="00C41066">
        <w:rPr>
          <w:rStyle w:val="eop"/>
          <w:color w:val="000000"/>
          <w:lang w:val="pt-BR"/>
        </w:rPr>
        <w:t>O</w:t>
      </w:r>
      <w:r w:rsidRPr="00F67447">
        <w:rPr>
          <w:rStyle w:val="eop"/>
          <w:color w:val="000000"/>
          <w:vertAlign w:val="subscript"/>
          <w:lang w:val="pt-BR"/>
        </w:rPr>
        <w:t>3</w:t>
      </w:r>
      <w:r w:rsidRPr="00C41066">
        <w:rPr>
          <w:rStyle w:val="eop"/>
          <w:color w:val="000000"/>
          <w:lang w:val="pt-BR"/>
        </w:rPr>
        <w:t xml:space="preserve"> (x = 10% m/m), preparado anteriormente no nosso grupo de pesquisa pelo método de impregnação via úmida, durante 6 h a 80 °C. Todos os materiais foram calcinados a 500 °C, por 4 h, sob fluxo de ar a uma taxa de aquecimento de 2 °C</w:t>
      </w:r>
      <w:r w:rsidRPr="00C41066">
        <w:rPr>
          <w:rStyle w:val="eop"/>
          <w:rFonts w:ascii="Cambria Math" w:hAnsi="Cambria Math" w:cs="Cambria Math"/>
          <w:color w:val="000000"/>
          <w:lang w:val="pt-BR"/>
        </w:rPr>
        <w:t>∙</w:t>
      </w:r>
      <w:r w:rsidRPr="00C41066">
        <w:rPr>
          <w:rStyle w:val="eop"/>
          <w:color w:val="000000"/>
          <w:lang w:val="pt-BR"/>
        </w:rPr>
        <w:t>min-1.</w:t>
      </w:r>
    </w:p>
    <w:p w14:paraId="26398188" w14:textId="0B77E48C" w:rsidR="00C41066" w:rsidRDefault="00554580" w:rsidP="00C41066">
      <w:pPr>
        <w:pStyle w:val="TAMainText"/>
        <w:rPr>
          <w:rStyle w:val="normaltextrun"/>
        </w:rPr>
      </w:pPr>
      <w:r w:rsidRPr="00554580">
        <w:rPr>
          <w:rStyle w:val="normaltextrun"/>
          <w:lang w:val="pt-BR"/>
        </w:rPr>
        <w:t xml:space="preserve">A técnica de </w:t>
      </w:r>
      <w:proofErr w:type="spellStart"/>
      <w:r w:rsidRPr="00554580">
        <w:rPr>
          <w:rStyle w:val="normaltextrun"/>
          <w:lang w:val="pt-BR"/>
        </w:rPr>
        <w:t>Fisissorção</w:t>
      </w:r>
      <w:proofErr w:type="spellEnd"/>
      <w:r w:rsidRPr="00554580">
        <w:rPr>
          <w:rStyle w:val="normaltextrun"/>
          <w:lang w:val="pt-BR"/>
        </w:rPr>
        <w:t xml:space="preserve"> de N</w:t>
      </w:r>
      <w:r w:rsidRPr="00554580">
        <w:rPr>
          <w:rStyle w:val="normaltextrun"/>
          <w:sz w:val="19"/>
          <w:szCs w:val="19"/>
          <w:vertAlign w:val="subscript"/>
          <w:lang w:val="pt-BR"/>
        </w:rPr>
        <w:t>2</w:t>
      </w:r>
      <w:r w:rsidRPr="00554580">
        <w:rPr>
          <w:rStyle w:val="normaltextrun"/>
          <w:lang w:val="pt-BR"/>
        </w:rPr>
        <w:t xml:space="preserve"> foi realizada para determinação de propriedades texturais, utilizando um equipamento modelo ASAP 2020 PLUS, da marca </w:t>
      </w:r>
      <w:proofErr w:type="spellStart"/>
      <w:r w:rsidRPr="00554580">
        <w:rPr>
          <w:rStyle w:val="normaltextrun"/>
          <w:lang w:val="pt-BR"/>
        </w:rPr>
        <w:t>Micrometics</w:t>
      </w:r>
      <w:proofErr w:type="spellEnd"/>
      <w:r w:rsidRPr="00554580">
        <w:rPr>
          <w:rStyle w:val="normaltextrun"/>
          <w:lang w:val="pt-BR"/>
        </w:rPr>
        <w:t xml:space="preserve">, analisador de área superficial BET, diâmetro e volume de poros. As amostras foram </w:t>
      </w:r>
      <w:proofErr w:type="spellStart"/>
      <w:r w:rsidRPr="00554580">
        <w:rPr>
          <w:rStyle w:val="normaltextrun"/>
          <w:lang w:val="pt-BR"/>
        </w:rPr>
        <w:t>desgaseificadas</w:t>
      </w:r>
      <w:proofErr w:type="spellEnd"/>
      <w:r w:rsidRPr="00554580">
        <w:rPr>
          <w:rStyle w:val="normaltextrun"/>
          <w:lang w:val="pt-BR"/>
        </w:rPr>
        <w:t xml:space="preserve"> em vácuo antes das análises, a 300 °C, durante 90 min, e, a seguir, resfriadas até a temperatura ambiente. </w:t>
      </w:r>
      <w:proofErr w:type="spellStart"/>
      <w:r>
        <w:rPr>
          <w:rStyle w:val="normaltextrun"/>
        </w:rPr>
        <w:t>Iniciou</w:t>
      </w:r>
      <w:proofErr w:type="spellEnd"/>
      <w:r>
        <w:rPr>
          <w:rStyle w:val="normaltextrun"/>
        </w:rPr>
        <w:t xml:space="preserve">-se as </w:t>
      </w:r>
      <w:proofErr w:type="spellStart"/>
      <w:r>
        <w:rPr>
          <w:rStyle w:val="normaltextrun"/>
        </w:rPr>
        <w:t>análises</w:t>
      </w:r>
      <w:proofErr w:type="spellEnd"/>
      <w:r>
        <w:rPr>
          <w:rStyle w:val="normaltextrun"/>
        </w:rPr>
        <w:t xml:space="preserve"> a </w:t>
      </w:r>
      <w:proofErr w:type="spellStart"/>
      <w:r>
        <w:rPr>
          <w:rStyle w:val="normaltextrun"/>
        </w:rPr>
        <w:t>uma</w:t>
      </w:r>
      <w:proofErr w:type="spellEnd"/>
      <w:r>
        <w:rPr>
          <w:rStyle w:val="normaltextrun"/>
        </w:rPr>
        <w:t xml:space="preserve"> </w:t>
      </w:r>
      <w:proofErr w:type="spellStart"/>
      <w:r>
        <w:rPr>
          <w:rStyle w:val="normaltextrun"/>
        </w:rPr>
        <w:t>temperatura</w:t>
      </w:r>
      <w:proofErr w:type="spellEnd"/>
      <w:r>
        <w:rPr>
          <w:rStyle w:val="normaltextrun"/>
        </w:rPr>
        <w:t xml:space="preserve"> de -196 °C.</w:t>
      </w:r>
    </w:p>
    <w:p w14:paraId="0852B47B" w14:textId="20E5E590" w:rsidR="00554580" w:rsidRDefault="00554580" w:rsidP="00C41066">
      <w:pPr>
        <w:pStyle w:val="TAMainText"/>
        <w:rPr>
          <w:rStyle w:val="normaltextrun"/>
          <w:lang w:val="pt-BR"/>
        </w:rPr>
      </w:pPr>
      <w:r w:rsidRPr="00554580">
        <w:rPr>
          <w:rStyle w:val="normaltextrun"/>
          <w:lang w:val="pt-BR"/>
        </w:rPr>
        <w:t xml:space="preserve">As fases cristalinas presentes em catalisadores são identificadas através da técnica de DRX. O equipamento utilizado nas análises foi o modelo XRD-600 da </w:t>
      </w:r>
      <w:proofErr w:type="spellStart"/>
      <w:r w:rsidRPr="00554580">
        <w:rPr>
          <w:rStyle w:val="normaltextrun"/>
          <w:lang w:val="pt-BR"/>
        </w:rPr>
        <w:t>Shimadzu</w:t>
      </w:r>
      <w:proofErr w:type="spellEnd"/>
      <w:r w:rsidRPr="00554580">
        <w:rPr>
          <w:rStyle w:val="normaltextrun"/>
          <w:lang w:val="pt-BR"/>
        </w:rPr>
        <w:t xml:space="preserve">, </w:t>
      </w:r>
      <w:r w:rsidRPr="00554580">
        <w:rPr>
          <w:rStyle w:val="normaltextrun"/>
          <w:lang w:val="pt-BR"/>
        </w:rPr>
        <w:t xml:space="preserve">utilizando radiação </w:t>
      </w:r>
      <w:proofErr w:type="spellStart"/>
      <w:r w:rsidRPr="00554580">
        <w:rPr>
          <w:rStyle w:val="normaltextrun"/>
          <w:lang w:val="pt-BR"/>
        </w:rPr>
        <w:t>CuK</w:t>
      </w:r>
      <w:proofErr w:type="spellEnd"/>
      <w:r>
        <w:rPr>
          <w:rStyle w:val="normaltextrun"/>
          <w:rFonts w:ascii="Symbol" w:hAnsi="Symbol"/>
        </w:rPr>
        <w:t>a</w:t>
      </w:r>
      <w:r w:rsidRPr="00554580">
        <w:rPr>
          <w:rStyle w:val="normaltextrun"/>
          <w:lang w:val="pt-BR"/>
        </w:rPr>
        <w:t xml:space="preserve"> (1,5406 Å). Os </w:t>
      </w:r>
      <w:proofErr w:type="spellStart"/>
      <w:r w:rsidRPr="00554580">
        <w:rPr>
          <w:rStyle w:val="normaltextrun"/>
          <w:lang w:val="pt-BR"/>
        </w:rPr>
        <w:t>difratogramas</w:t>
      </w:r>
      <w:proofErr w:type="spellEnd"/>
      <w:r w:rsidRPr="00554580">
        <w:rPr>
          <w:rStyle w:val="normaltextrun"/>
          <w:lang w:val="pt-BR"/>
        </w:rPr>
        <w:t xml:space="preserve"> foram obtidos nas seguintes condições: varredura entre 2</w:t>
      </w:r>
      <w:r>
        <w:rPr>
          <w:rStyle w:val="normaltextrun"/>
          <w:rFonts w:ascii="Symbol" w:hAnsi="Symbol"/>
        </w:rPr>
        <w:t>q</w:t>
      </w:r>
      <w:r w:rsidRPr="00554580">
        <w:rPr>
          <w:rStyle w:val="normaltextrun"/>
          <w:lang w:val="pt-BR"/>
        </w:rPr>
        <w:t xml:space="preserve"> = 20° e 90°, com um passo de 0,02° e um tempo de contagem de 0,6 segundo por passo.</w:t>
      </w:r>
    </w:p>
    <w:p w14:paraId="79145F02" w14:textId="1FEF02C9" w:rsidR="00554580" w:rsidRDefault="00554580" w:rsidP="00554580">
      <w:pPr>
        <w:pStyle w:val="TAMainText"/>
        <w:rPr>
          <w:rStyle w:val="normaltextrun"/>
          <w:lang w:val="pt-BR"/>
        </w:rPr>
      </w:pPr>
      <w:r w:rsidRPr="00554580">
        <w:rPr>
          <w:rStyle w:val="normaltextrun"/>
          <w:lang w:val="pt-BR"/>
        </w:rPr>
        <w:t>Os sítios ácidos totais foram determinados por Dessorção de amônia à Temperatura Programada (DTP-NH</w:t>
      </w:r>
      <w:r w:rsidRPr="00554580">
        <w:rPr>
          <w:rStyle w:val="normaltextrun"/>
          <w:sz w:val="19"/>
          <w:szCs w:val="19"/>
          <w:vertAlign w:val="subscript"/>
          <w:lang w:val="pt-BR"/>
        </w:rPr>
        <w:t>3</w:t>
      </w:r>
      <w:r w:rsidRPr="00554580">
        <w:rPr>
          <w:rStyle w:val="normaltextrun"/>
          <w:lang w:val="pt-BR"/>
        </w:rPr>
        <w:t>). Pesou-se 300 mg das amostras que foram transferidos para um reator de quartzo. A adsorção de NH</w:t>
      </w:r>
      <w:r w:rsidRPr="00554580">
        <w:rPr>
          <w:rStyle w:val="normaltextrun"/>
          <w:sz w:val="19"/>
          <w:szCs w:val="19"/>
          <w:vertAlign w:val="subscript"/>
          <w:lang w:val="pt-BR"/>
        </w:rPr>
        <w:t>3</w:t>
      </w:r>
      <w:r w:rsidRPr="00554580">
        <w:rPr>
          <w:rStyle w:val="normaltextrun"/>
          <w:lang w:val="pt-BR"/>
        </w:rPr>
        <w:t xml:space="preserve"> (4,84% em hélio) ocorreu por meio da saturação das amostras com uma série de pulsos de NH</w:t>
      </w:r>
      <w:r w:rsidRPr="00554580">
        <w:rPr>
          <w:rStyle w:val="normaltextrun"/>
          <w:sz w:val="19"/>
          <w:szCs w:val="19"/>
          <w:vertAlign w:val="subscript"/>
          <w:lang w:val="pt-BR"/>
        </w:rPr>
        <w:t>3</w:t>
      </w:r>
      <w:r w:rsidRPr="00554580">
        <w:rPr>
          <w:rStyle w:val="normaltextrun"/>
          <w:lang w:val="pt-BR"/>
        </w:rPr>
        <w:t>, a 40 °C, sob fluxo de argônio. Os dados foram coletados através do espectrômetro de massas durante a dessorção, ao longo de um aquecimento a 10 °C</w:t>
      </w:r>
      <w:r w:rsidRPr="00554580">
        <w:rPr>
          <w:rStyle w:val="normaltextrun"/>
          <w:rFonts w:ascii="Cambria Math" w:hAnsi="Cambria Math" w:cs="Cambria Math"/>
          <w:lang w:val="pt-BR"/>
        </w:rPr>
        <w:t>∙</w:t>
      </w:r>
      <w:r w:rsidRPr="00554580">
        <w:rPr>
          <w:rStyle w:val="normaltextrun"/>
          <w:lang w:val="pt-BR"/>
        </w:rPr>
        <w:t>min</w:t>
      </w:r>
      <w:r w:rsidRPr="00554580">
        <w:rPr>
          <w:rStyle w:val="normaltextrun"/>
          <w:sz w:val="19"/>
          <w:szCs w:val="19"/>
          <w:vertAlign w:val="superscript"/>
          <w:lang w:val="pt-BR"/>
        </w:rPr>
        <w:t>-1</w:t>
      </w:r>
      <w:r w:rsidRPr="00554580">
        <w:rPr>
          <w:rStyle w:val="normaltextrun"/>
          <w:lang w:val="pt-BR"/>
        </w:rPr>
        <w:t xml:space="preserve"> (de 25 a 600 °C), sob fluxo de argônio.</w:t>
      </w:r>
    </w:p>
    <w:p w14:paraId="1284C481" w14:textId="77777777" w:rsidR="00515111" w:rsidRDefault="00515111" w:rsidP="00554580">
      <w:pPr>
        <w:pStyle w:val="TAMainText"/>
        <w:rPr>
          <w:rStyle w:val="normaltextrun"/>
          <w:lang w:val="pt-BR"/>
        </w:rPr>
      </w:pPr>
    </w:p>
    <w:p w14:paraId="50A29397" w14:textId="61579C4F" w:rsidR="00554580" w:rsidRPr="00554580" w:rsidRDefault="00554580" w:rsidP="00554580">
      <w:pPr>
        <w:pStyle w:val="TAMainText"/>
        <w:ind w:firstLine="0"/>
        <w:rPr>
          <w:rStyle w:val="normaltextrun"/>
          <w:i/>
          <w:iCs/>
          <w:lang w:val="pt-BR"/>
        </w:rPr>
      </w:pPr>
      <w:r w:rsidRPr="00554580">
        <w:rPr>
          <w:rStyle w:val="normaltextrun"/>
          <w:i/>
          <w:iCs/>
          <w:lang w:val="pt-BR"/>
        </w:rPr>
        <w:t>Procedimento Experimental da Reação</w:t>
      </w:r>
    </w:p>
    <w:p w14:paraId="2E83DF90" w14:textId="7120C482" w:rsidR="00BF2049" w:rsidRDefault="00554580" w:rsidP="00BF2049">
      <w:pPr>
        <w:pStyle w:val="TAMainText"/>
        <w:rPr>
          <w:rStyle w:val="normaltextrun"/>
          <w:lang w:val="pt-BR"/>
        </w:rPr>
      </w:pPr>
      <w:r w:rsidRPr="00554580">
        <w:rPr>
          <w:rStyle w:val="normaltextrun"/>
          <w:lang w:val="pt-BR"/>
        </w:rPr>
        <w:t xml:space="preserve">Utilizou-se um reator batelada modelo 4842 da PARR </w:t>
      </w:r>
      <w:proofErr w:type="spellStart"/>
      <w:r w:rsidRPr="00554580">
        <w:rPr>
          <w:rStyle w:val="normaltextrun"/>
          <w:lang w:val="pt-BR"/>
        </w:rPr>
        <w:t>Instrument</w:t>
      </w:r>
      <w:proofErr w:type="spellEnd"/>
      <w:r w:rsidRPr="00554580">
        <w:rPr>
          <w:rStyle w:val="normaltextrun"/>
          <w:lang w:val="pt-BR"/>
        </w:rPr>
        <w:t>, feito de aço inoxidável, com controladores de temperatura e agitação, monitoramento de pressão e tempo preliminar de ajuste da temperatura, portanto o tempo de reação foi considerado a partir do momento em que se atingiu a temperatura requerida</w:t>
      </w:r>
      <w:r>
        <w:rPr>
          <w:rStyle w:val="normaltextrun"/>
          <w:lang w:val="pt-BR"/>
        </w:rPr>
        <w:t xml:space="preserve"> (após 30 min)</w:t>
      </w:r>
      <w:r w:rsidRPr="00554580">
        <w:rPr>
          <w:rStyle w:val="normaltextrun"/>
          <w:lang w:val="pt-BR"/>
        </w:rPr>
        <w:t xml:space="preserve">. A agitação </w:t>
      </w:r>
      <w:r>
        <w:rPr>
          <w:rStyle w:val="normaltextrun"/>
          <w:lang w:val="pt-BR"/>
        </w:rPr>
        <w:t xml:space="preserve">e a pressão foram </w:t>
      </w:r>
      <w:r w:rsidRPr="00554580">
        <w:rPr>
          <w:rStyle w:val="normaltextrun"/>
          <w:lang w:val="pt-BR"/>
        </w:rPr>
        <w:t>mantida</w:t>
      </w:r>
      <w:r>
        <w:rPr>
          <w:rStyle w:val="normaltextrun"/>
          <w:lang w:val="pt-BR"/>
        </w:rPr>
        <w:t xml:space="preserve">s constantes, 800 rpm e </w:t>
      </w:r>
      <w:r w:rsidRPr="00554580">
        <w:rPr>
          <w:rStyle w:val="normaltextrun"/>
          <w:lang w:val="pt-BR"/>
        </w:rPr>
        <w:t>50 bar,</w:t>
      </w:r>
      <w:r>
        <w:rPr>
          <w:rStyle w:val="normaltextrun"/>
          <w:lang w:val="pt-BR"/>
        </w:rPr>
        <w:t xml:space="preserve"> respectivamente.</w:t>
      </w:r>
      <w:r w:rsidR="00BF2049">
        <w:rPr>
          <w:rStyle w:val="normaltextrun"/>
          <w:lang w:val="pt-BR"/>
        </w:rPr>
        <w:t xml:space="preserve"> C</w:t>
      </w:r>
      <w:r w:rsidRPr="00554580">
        <w:rPr>
          <w:rStyle w:val="normaltextrun"/>
          <w:lang w:val="pt-BR"/>
        </w:rPr>
        <w:t>om razão de óleo e água 1:1 (m/m) e 5 % (m/m) de catalisador</w:t>
      </w:r>
      <w:r w:rsidR="00BF2049">
        <w:rPr>
          <w:rStyle w:val="normaltextrun"/>
          <w:lang w:val="pt-BR"/>
        </w:rPr>
        <w:t xml:space="preserve"> na alimentação. Nos testes preliminares utilizou-se as temperaturas de 50 e 250 </w:t>
      </w:r>
      <w:r w:rsidR="00BF2049" w:rsidRPr="001B1537">
        <w:rPr>
          <w:rStyle w:val="normaltextrun"/>
          <w:lang w:val="pt-BR"/>
        </w:rPr>
        <w:t>°C</w:t>
      </w:r>
      <w:r w:rsidR="00BF2049">
        <w:rPr>
          <w:rStyle w:val="normaltextrun"/>
          <w:lang w:val="pt-BR"/>
        </w:rPr>
        <w:t xml:space="preserve">. Após a elaboração do planejamento de experimentos, realizou-se </w:t>
      </w:r>
      <w:r w:rsidR="00BF2049" w:rsidRPr="00BF2049">
        <w:rPr>
          <w:rStyle w:val="normaltextrun"/>
          <w:lang w:val="pt-BR"/>
        </w:rPr>
        <w:t>36 experimentos diferentes</w:t>
      </w:r>
      <w:r w:rsidR="00BF2049">
        <w:rPr>
          <w:rStyle w:val="normaltextrun"/>
          <w:lang w:val="pt-BR"/>
        </w:rPr>
        <w:t>,</w:t>
      </w:r>
      <w:r w:rsidR="00BF2049" w:rsidRPr="00BF2049">
        <w:rPr>
          <w:rStyle w:val="normaltextrun"/>
          <w:lang w:val="pt-BR"/>
        </w:rPr>
        <w:t xml:space="preserve"> para a reação de hidrólise do</w:t>
      </w:r>
      <w:r w:rsidR="00BF2049">
        <w:rPr>
          <w:rStyle w:val="normaltextrun"/>
          <w:lang w:val="pt-BR"/>
        </w:rPr>
        <w:t xml:space="preserve"> OMM </w:t>
      </w:r>
      <w:r w:rsidR="00BF2049" w:rsidRPr="00BF2049">
        <w:rPr>
          <w:rStyle w:val="normaltextrun"/>
          <w:lang w:val="pt-BR"/>
        </w:rPr>
        <w:t>sem catalisador (reação homogênea) e utilizando o catalisador γ-Al</w:t>
      </w:r>
      <w:r w:rsidR="00BF2049" w:rsidRPr="00BF2049">
        <w:rPr>
          <w:rStyle w:val="normaltextrun"/>
          <w:vertAlign w:val="subscript"/>
          <w:lang w:val="pt-BR"/>
        </w:rPr>
        <w:t>2</w:t>
      </w:r>
      <w:r w:rsidR="00BF2049" w:rsidRPr="00BF2049">
        <w:rPr>
          <w:rStyle w:val="normaltextrun"/>
          <w:lang w:val="pt-BR"/>
        </w:rPr>
        <w:t>O</w:t>
      </w:r>
      <w:r w:rsidR="00BF2049" w:rsidRPr="00BF2049">
        <w:rPr>
          <w:rStyle w:val="normaltextrun"/>
          <w:vertAlign w:val="subscript"/>
          <w:lang w:val="pt-BR"/>
        </w:rPr>
        <w:t>3</w:t>
      </w:r>
      <w:r w:rsidR="00BF2049" w:rsidRPr="00BF2049">
        <w:rPr>
          <w:rStyle w:val="normaltextrun"/>
          <w:lang w:val="pt-BR"/>
        </w:rPr>
        <w:t xml:space="preserve"> (reação heterogênea).</w:t>
      </w:r>
    </w:p>
    <w:p w14:paraId="367F4792" w14:textId="55091D32" w:rsidR="00BF2049" w:rsidRDefault="00BF2049" w:rsidP="00F67447">
      <w:pPr>
        <w:pStyle w:val="TAMainText"/>
        <w:rPr>
          <w:rStyle w:val="normaltextrun"/>
          <w:lang w:val="pt-BR"/>
        </w:rPr>
      </w:pPr>
      <w:r w:rsidRPr="00BF2049">
        <w:rPr>
          <w:rStyle w:val="normaltextrun"/>
          <w:lang w:val="pt-BR"/>
        </w:rPr>
        <w:t>Ao final da reação, transferiu-se o conteúdo do reator para um tubo plástico que foi submetido à uma centrifugação a 4000 rpm por 1 hora para separação das fases líquidas do catalisador</w:t>
      </w:r>
      <w:r>
        <w:rPr>
          <w:rStyle w:val="normaltextrun"/>
          <w:lang w:val="pt-BR"/>
        </w:rPr>
        <w:t>, para posterior quantificação</w:t>
      </w:r>
      <w:r w:rsidRPr="00BF2049">
        <w:rPr>
          <w:rStyle w:val="normaltextrun"/>
          <w:lang w:val="pt-BR"/>
        </w:rPr>
        <w:t>.</w:t>
      </w:r>
    </w:p>
    <w:p w14:paraId="03517699" w14:textId="77777777" w:rsidR="00515111" w:rsidRDefault="00515111" w:rsidP="00F67447">
      <w:pPr>
        <w:pStyle w:val="TAMainText"/>
        <w:rPr>
          <w:rStyle w:val="normaltextrun"/>
          <w:lang w:val="pt-BR"/>
        </w:rPr>
      </w:pPr>
    </w:p>
    <w:p w14:paraId="1A3F5BF3" w14:textId="033A0265" w:rsidR="00F67447" w:rsidRPr="0044641D" w:rsidRDefault="0044641D" w:rsidP="0044641D">
      <w:pPr>
        <w:pStyle w:val="TAMainText"/>
        <w:ind w:firstLine="0"/>
        <w:rPr>
          <w:i/>
          <w:iCs/>
          <w:lang w:val="pt-BR"/>
        </w:rPr>
      </w:pPr>
      <w:r w:rsidRPr="0044641D">
        <w:rPr>
          <w:i/>
          <w:iCs/>
          <w:lang w:val="pt-BR"/>
        </w:rPr>
        <w:t>Procedimentos Analíticos</w:t>
      </w:r>
    </w:p>
    <w:p w14:paraId="73B2006E" w14:textId="13BC0438" w:rsidR="0044641D" w:rsidRDefault="0044641D" w:rsidP="0044641D">
      <w:pPr>
        <w:pStyle w:val="TAMainText"/>
        <w:rPr>
          <w:rStyle w:val="eop"/>
          <w:color w:val="000000"/>
          <w:lang w:val="pt-BR"/>
        </w:rPr>
      </w:pPr>
      <w:r>
        <w:rPr>
          <w:rStyle w:val="normaltextrun"/>
          <w:lang w:val="pt-BR"/>
        </w:rPr>
        <w:t>A fase orgânica</w:t>
      </w:r>
      <w:r>
        <w:rPr>
          <w:rStyle w:val="normaltextrun"/>
          <w:lang w:val="pt-BR"/>
        </w:rPr>
        <w:t xml:space="preserve"> foi analisad</w:t>
      </w:r>
      <w:r>
        <w:rPr>
          <w:rStyle w:val="normaltextrun"/>
          <w:lang w:val="pt-BR"/>
        </w:rPr>
        <w:t>a</w:t>
      </w:r>
      <w:r>
        <w:rPr>
          <w:rStyle w:val="normaltextrun"/>
          <w:lang w:val="pt-BR"/>
        </w:rPr>
        <w:t xml:space="preserve"> por cromatógrafo gasoso </w:t>
      </w:r>
      <w:r w:rsidRPr="001B1537">
        <w:rPr>
          <w:rStyle w:val="normaltextrun"/>
          <w:lang w:val="pt-BR"/>
        </w:rPr>
        <w:t xml:space="preserve">modelo GC-2010, da marca </w:t>
      </w:r>
      <w:proofErr w:type="spellStart"/>
      <w:r w:rsidRPr="001B1537">
        <w:rPr>
          <w:rStyle w:val="normaltextrun"/>
          <w:lang w:val="pt-BR"/>
        </w:rPr>
        <w:t>Shimadzu</w:t>
      </w:r>
      <w:proofErr w:type="spellEnd"/>
      <w:r w:rsidRPr="001B1537">
        <w:rPr>
          <w:rStyle w:val="normaltextrun"/>
          <w:lang w:val="pt-BR"/>
        </w:rPr>
        <w:t xml:space="preserve">, equipado com coluna capilar da marca </w:t>
      </w:r>
      <w:proofErr w:type="spellStart"/>
      <w:r w:rsidRPr="001B1537">
        <w:rPr>
          <w:rStyle w:val="normaltextrun"/>
          <w:lang w:val="pt-BR"/>
        </w:rPr>
        <w:t>Zebron</w:t>
      </w:r>
      <w:proofErr w:type="spellEnd"/>
      <w:r w:rsidRPr="001B1537">
        <w:rPr>
          <w:rStyle w:val="normaltextrun"/>
          <w:lang w:val="pt-BR"/>
        </w:rPr>
        <w:t xml:space="preserve"> ZB-5HT Inferno (30m</w:t>
      </w:r>
      <w:r>
        <w:rPr>
          <w:rStyle w:val="normaltextrun"/>
          <w:lang w:val="pt-BR"/>
        </w:rPr>
        <w:t xml:space="preserve"> </w:t>
      </w:r>
      <w:r w:rsidRPr="001B1537">
        <w:rPr>
          <w:rStyle w:val="normaltextrun"/>
          <w:lang w:val="pt-BR"/>
        </w:rPr>
        <w:t>x</w:t>
      </w:r>
      <w:r>
        <w:rPr>
          <w:rStyle w:val="normaltextrun"/>
          <w:lang w:val="pt-BR"/>
        </w:rPr>
        <w:t xml:space="preserve"> </w:t>
      </w:r>
      <w:r w:rsidRPr="001B1537">
        <w:rPr>
          <w:rStyle w:val="normaltextrun"/>
          <w:lang w:val="pt-BR"/>
        </w:rPr>
        <w:t>0,25mm</w:t>
      </w:r>
      <w:r>
        <w:rPr>
          <w:rStyle w:val="normaltextrun"/>
          <w:lang w:val="pt-BR"/>
        </w:rPr>
        <w:t xml:space="preserve"> </w:t>
      </w:r>
      <w:r w:rsidRPr="001B1537">
        <w:rPr>
          <w:rStyle w:val="normaltextrun"/>
          <w:lang w:val="pt-BR"/>
        </w:rPr>
        <w:t>x</w:t>
      </w:r>
      <w:r>
        <w:rPr>
          <w:rStyle w:val="normaltextrun"/>
          <w:lang w:val="pt-BR"/>
        </w:rPr>
        <w:t xml:space="preserve"> </w:t>
      </w:r>
      <w:r w:rsidRPr="001B1537">
        <w:rPr>
          <w:rStyle w:val="normaltextrun"/>
          <w:lang w:val="pt-BR"/>
        </w:rPr>
        <w:t xml:space="preserve">0,10 </w:t>
      </w:r>
      <w:r>
        <w:rPr>
          <w:rStyle w:val="normaltextrun"/>
          <w:lang w:val="el-GR"/>
        </w:rPr>
        <w:t>μ</w:t>
      </w:r>
      <w:r w:rsidRPr="001B1537">
        <w:rPr>
          <w:rStyle w:val="normaltextrun"/>
          <w:lang w:val="pt-BR"/>
        </w:rPr>
        <w:t xml:space="preserve">m), </w:t>
      </w:r>
      <w:proofErr w:type="spellStart"/>
      <w:r w:rsidRPr="001B1537">
        <w:rPr>
          <w:rStyle w:val="normaltextrun"/>
          <w:lang w:val="pt-BR"/>
        </w:rPr>
        <w:t>autoinjetor</w:t>
      </w:r>
      <w:proofErr w:type="spellEnd"/>
      <w:r w:rsidRPr="001B1537">
        <w:rPr>
          <w:rStyle w:val="normaltextrun"/>
          <w:lang w:val="pt-BR"/>
        </w:rPr>
        <w:t xml:space="preserve"> split/</w:t>
      </w:r>
      <w:proofErr w:type="spellStart"/>
      <w:r w:rsidRPr="001B1537">
        <w:rPr>
          <w:rStyle w:val="normaltextrun"/>
          <w:lang w:val="pt-BR"/>
        </w:rPr>
        <w:t>splitless</w:t>
      </w:r>
      <w:proofErr w:type="spellEnd"/>
      <w:r w:rsidRPr="001B1537">
        <w:rPr>
          <w:rStyle w:val="normaltextrun"/>
          <w:lang w:val="pt-BR"/>
        </w:rPr>
        <w:t xml:space="preserve"> (AOC-20i)</w:t>
      </w:r>
      <w:r>
        <w:rPr>
          <w:rStyle w:val="normaltextrun"/>
          <w:lang w:val="pt-BR"/>
        </w:rPr>
        <w:t xml:space="preserve"> a 270 </w:t>
      </w:r>
      <w:r w:rsidRPr="001B1537">
        <w:rPr>
          <w:rStyle w:val="normaltextrun"/>
          <w:lang w:val="pt-BR"/>
        </w:rPr>
        <w:t>°C e Detector de Ionização em Chama (sigla em inglês: FID)</w:t>
      </w:r>
      <w:r>
        <w:rPr>
          <w:rStyle w:val="normaltextrun"/>
          <w:lang w:val="pt-BR"/>
        </w:rPr>
        <w:t xml:space="preserve"> a 400 </w:t>
      </w:r>
      <w:r w:rsidRPr="001B1537">
        <w:rPr>
          <w:rStyle w:val="normaltextrun"/>
          <w:lang w:val="pt-BR"/>
        </w:rPr>
        <w:t>°C</w:t>
      </w:r>
      <w:r>
        <w:rPr>
          <w:rStyle w:val="normaltextrun"/>
          <w:lang w:val="pt-BR"/>
        </w:rPr>
        <w:t xml:space="preserve">. Para a </w:t>
      </w:r>
      <w:r>
        <w:rPr>
          <w:rStyle w:val="eop"/>
          <w:lang w:val="pt-BR"/>
        </w:rPr>
        <w:t xml:space="preserve">identificação e quantificação dos compostos constituintes utilizou-se o Método EN 14105 e padrões comerciais de </w:t>
      </w:r>
      <w:r w:rsidRPr="00F67447">
        <w:rPr>
          <w:rStyle w:val="eop"/>
          <w:lang w:val="pt-BR"/>
        </w:rPr>
        <w:t xml:space="preserve">para Trioleína, </w:t>
      </w:r>
      <w:proofErr w:type="spellStart"/>
      <w:r w:rsidRPr="00F67447">
        <w:rPr>
          <w:rStyle w:val="eop"/>
          <w:lang w:val="pt-BR"/>
        </w:rPr>
        <w:t>Dioleína</w:t>
      </w:r>
      <w:proofErr w:type="spellEnd"/>
      <w:r w:rsidRPr="00F67447">
        <w:rPr>
          <w:rStyle w:val="eop"/>
          <w:lang w:val="pt-BR"/>
        </w:rPr>
        <w:t xml:space="preserve"> e </w:t>
      </w:r>
      <w:proofErr w:type="spellStart"/>
      <w:r w:rsidRPr="00F67447">
        <w:rPr>
          <w:rStyle w:val="eop"/>
          <w:lang w:val="pt-BR"/>
        </w:rPr>
        <w:t>Monooleína</w:t>
      </w:r>
      <w:proofErr w:type="spellEnd"/>
      <w:r w:rsidRPr="00F67447">
        <w:rPr>
          <w:rStyle w:val="eop"/>
          <w:lang w:val="pt-BR"/>
        </w:rPr>
        <w:t xml:space="preserve"> (Sigma-Aldrich) apresentando concentrações iniciais equivalentes a 5000 µg</w:t>
      </w:r>
      <w:r w:rsidRPr="00F67447">
        <w:rPr>
          <w:rStyle w:val="eop"/>
          <w:rFonts w:ascii="Cambria Math" w:hAnsi="Cambria Math" w:cs="Cambria Math"/>
          <w:lang w:val="pt-BR"/>
        </w:rPr>
        <w:t>∙</w:t>
      </w:r>
      <w:r w:rsidRPr="00F67447">
        <w:rPr>
          <w:rStyle w:val="eop"/>
          <w:lang w:val="pt-BR"/>
        </w:rPr>
        <w:t>mL</w:t>
      </w:r>
      <w:r w:rsidRPr="00F67447">
        <w:rPr>
          <w:rStyle w:val="eop"/>
          <w:vertAlign w:val="superscript"/>
          <w:lang w:val="pt-BR"/>
        </w:rPr>
        <w:t>-1</w:t>
      </w:r>
      <w:r>
        <w:rPr>
          <w:rStyle w:val="eop"/>
          <w:lang w:val="pt-BR"/>
        </w:rPr>
        <w:t xml:space="preserve"> para análise dos glicerídeos e o método EN 14103 e o padrão </w:t>
      </w:r>
      <w:r w:rsidRPr="0044641D">
        <w:rPr>
          <w:rStyle w:val="normaltextrun"/>
          <w:lang w:val="pt-BR"/>
        </w:rPr>
        <w:t>FAME Mix C8-C24, Sigma-Aldrich</w:t>
      </w:r>
      <w:r>
        <w:rPr>
          <w:rStyle w:val="eop"/>
          <w:lang w:val="pt-BR"/>
        </w:rPr>
        <w:t xml:space="preserve"> para a análise dos ácidos graxos livres (AGL), com os seguintes patamares de aquecimento: temperatura inicial de </w:t>
      </w:r>
      <w:r w:rsidRPr="00E169F8">
        <w:rPr>
          <w:rStyle w:val="normaltextrun"/>
          <w:color w:val="000000"/>
          <w:lang w:val="pt-BR"/>
        </w:rPr>
        <w:t>30 °C por 5 min</w:t>
      </w:r>
      <w:r>
        <w:rPr>
          <w:rStyle w:val="normaltextrun"/>
          <w:color w:val="000000"/>
          <w:lang w:val="pt-BR"/>
        </w:rPr>
        <w:t xml:space="preserve">, </w:t>
      </w:r>
      <w:r w:rsidRPr="00E169F8">
        <w:rPr>
          <w:rStyle w:val="normaltextrun"/>
          <w:color w:val="000000"/>
          <w:lang w:val="pt-BR"/>
        </w:rPr>
        <w:t>15 °C/min até 180 °C por 5 min</w:t>
      </w:r>
      <w:r>
        <w:rPr>
          <w:rStyle w:val="eop"/>
          <w:color w:val="000000"/>
          <w:lang w:val="pt-BR"/>
        </w:rPr>
        <w:t xml:space="preserve">, </w:t>
      </w:r>
      <w:r w:rsidRPr="00E169F8">
        <w:rPr>
          <w:rStyle w:val="normaltextrun"/>
          <w:color w:val="000000"/>
          <w:lang w:val="pt-BR"/>
        </w:rPr>
        <w:t>5 °C/min até 280 °C por 5 min</w:t>
      </w:r>
      <w:r>
        <w:rPr>
          <w:rStyle w:val="eop"/>
          <w:color w:val="000000"/>
          <w:lang w:val="pt-BR"/>
        </w:rPr>
        <w:t xml:space="preserve"> e </w:t>
      </w:r>
      <w:r w:rsidRPr="00E169F8">
        <w:rPr>
          <w:rStyle w:val="normaltextrun"/>
          <w:color w:val="000000"/>
          <w:lang w:val="pt-BR"/>
        </w:rPr>
        <w:t>10 °C/min até 380 °C por 15 min</w:t>
      </w:r>
      <w:r>
        <w:rPr>
          <w:rStyle w:val="eop"/>
          <w:color w:val="000000"/>
          <w:lang w:val="pt-BR"/>
        </w:rPr>
        <w:t xml:space="preserve"> (70 min).</w:t>
      </w:r>
    </w:p>
    <w:p w14:paraId="70C5AA1C" w14:textId="2EFA9377" w:rsidR="0044641D" w:rsidRDefault="0044641D" w:rsidP="00F67447">
      <w:pPr>
        <w:pStyle w:val="TAMainText"/>
        <w:rPr>
          <w:rStyle w:val="normaltextrun"/>
          <w:lang w:val="pt-BR"/>
        </w:rPr>
      </w:pPr>
      <w:r w:rsidRPr="0044641D">
        <w:rPr>
          <w:rStyle w:val="normaltextrun"/>
          <w:lang w:val="pt-BR"/>
        </w:rPr>
        <w:t xml:space="preserve">Analisou-se a fase aquosa por Cromatografia Líquida de Alta Performance (sigla em inglês: HPLC) para quantificar o número de mols de glicerol presente na fase aquosa </w:t>
      </w:r>
      <w:r w:rsidRPr="0044641D">
        <w:rPr>
          <w:rStyle w:val="normaltextrun"/>
          <w:lang w:val="pt-BR"/>
        </w:rPr>
        <w:lastRenderedPageBreak/>
        <w:t xml:space="preserve">proveniente da reação de hidrólise do óleo vegetal. O equipamento utilizado nesta análise é de injeção manual, modelo LC-20AD da </w:t>
      </w:r>
      <w:proofErr w:type="spellStart"/>
      <w:r w:rsidRPr="0044641D">
        <w:rPr>
          <w:rStyle w:val="normaltextrun"/>
          <w:lang w:val="pt-BR"/>
        </w:rPr>
        <w:t>Shimadzu</w:t>
      </w:r>
      <w:proofErr w:type="spellEnd"/>
      <w:r w:rsidRPr="0044641D">
        <w:rPr>
          <w:rStyle w:val="normaltextrun"/>
          <w:lang w:val="pt-BR"/>
        </w:rPr>
        <w:t xml:space="preserve">, equipado com uma coluna </w:t>
      </w:r>
      <w:proofErr w:type="spellStart"/>
      <w:r w:rsidRPr="0044641D">
        <w:rPr>
          <w:rStyle w:val="normaltextrun"/>
          <w:lang w:val="pt-BR"/>
        </w:rPr>
        <w:t>Rezex</w:t>
      </w:r>
      <w:proofErr w:type="spellEnd"/>
      <w:r w:rsidRPr="0044641D">
        <w:rPr>
          <w:rStyle w:val="normaltextrun"/>
          <w:lang w:val="pt-BR"/>
        </w:rPr>
        <w:t xml:space="preserve"> ROA-</w:t>
      </w:r>
      <w:proofErr w:type="spellStart"/>
      <w:r w:rsidRPr="0044641D">
        <w:rPr>
          <w:rStyle w:val="normaltextrun"/>
          <w:lang w:val="pt-BR"/>
        </w:rPr>
        <w:t>Organic</w:t>
      </w:r>
      <w:proofErr w:type="spellEnd"/>
      <w:r w:rsidRPr="0044641D">
        <w:rPr>
          <w:rStyle w:val="normaltextrun"/>
          <w:lang w:val="pt-BR"/>
        </w:rPr>
        <w:t xml:space="preserve"> </w:t>
      </w:r>
      <w:proofErr w:type="spellStart"/>
      <w:r w:rsidRPr="0044641D">
        <w:rPr>
          <w:rStyle w:val="normaltextrun"/>
          <w:lang w:val="pt-BR"/>
        </w:rPr>
        <w:t>Acid</w:t>
      </w:r>
      <w:proofErr w:type="spellEnd"/>
      <w:r w:rsidRPr="0044641D">
        <w:rPr>
          <w:rStyle w:val="normaltextrun"/>
          <w:lang w:val="pt-BR"/>
        </w:rPr>
        <w:t xml:space="preserve"> H</w:t>
      </w:r>
      <w:r w:rsidRPr="0044641D">
        <w:rPr>
          <w:rStyle w:val="normaltextrun"/>
          <w:sz w:val="19"/>
          <w:szCs w:val="19"/>
          <w:vertAlign w:val="superscript"/>
          <w:lang w:val="pt-BR"/>
        </w:rPr>
        <w:t>+</w:t>
      </w:r>
      <w:r w:rsidRPr="0044641D">
        <w:rPr>
          <w:rStyle w:val="normaltextrun"/>
          <w:lang w:val="pt-BR"/>
        </w:rPr>
        <w:t xml:space="preserve"> (8%) (300 x 7,8 mm), forno, </w:t>
      </w:r>
      <w:proofErr w:type="spellStart"/>
      <w:r w:rsidRPr="0044641D">
        <w:rPr>
          <w:rStyle w:val="normaltextrun"/>
          <w:lang w:val="pt-BR"/>
        </w:rPr>
        <w:t>desgaseificador</w:t>
      </w:r>
      <w:proofErr w:type="spellEnd"/>
      <w:r w:rsidRPr="0044641D">
        <w:rPr>
          <w:rStyle w:val="normaltextrun"/>
          <w:lang w:val="pt-BR"/>
        </w:rPr>
        <w:t xml:space="preserve"> e detector UV/VIS.</w:t>
      </w:r>
    </w:p>
    <w:p w14:paraId="0ABACB76" w14:textId="77777777" w:rsidR="00515111" w:rsidRDefault="00515111" w:rsidP="00F67447">
      <w:pPr>
        <w:pStyle w:val="TAMainText"/>
        <w:rPr>
          <w:rStyle w:val="eop"/>
          <w:lang w:val="pt-BR"/>
        </w:rPr>
      </w:pPr>
    </w:p>
    <w:p w14:paraId="7EAA74C1" w14:textId="77777777" w:rsidR="0044641D" w:rsidRPr="00552A57" w:rsidRDefault="0044641D" w:rsidP="00552A57">
      <w:pPr>
        <w:pStyle w:val="TAMainText"/>
        <w:ind w:firstLine="0"/>
        <w:rPr>
          <w:rStyle w:val="eop"/>
          <w:i/>
          <w:iCs/>
          <w:lang w:val="pt-BR"/>
        </w:rPr>
      </w:pPr>
      <w:r w:rsidRPr="00552A57">
        <w:rPr>
          <w:rStyle w:val="eop"/>
          <w:i/>
          <w:iCs/>
          <w:lang w:val="pt-BR"/>
        </w:rPr>
        <w:t>Parâmetros Cinéticos</w:t>
      </w:r>
    </w:p>
    <w:p w14:paraId="1003C34F" w14:textId="094379FF" w:rsidR="00552A57" w:rsidRDefault="0044641D" w:rsidP="00552A57">
      <w:pPr>
        <w:pStyle w:val="TAMainText"/>
        <w:rPr>
          <w:rFonts w:ascii="Times New Roman" w:hAnsi="Times New Roman"/>
          <w:lang w:val="pt-BR"/>
        </w:rPr>
      </w:pPr>
      <w:r w:rsidRPr="0044641D">
        <w:rPr>
          <w:rFonts w:ascii="Times New Roman" w:hAnsi="Times New Roman"/>
          <w:lang w:val="pt-BR"/>
        </w:rPr>
        <w:t xml:space="preserve">A conversão dos </w:t>
      </w:r>
      <w:proofErr w:type="spellStart"/>
      <w:r w:rsidRPr="0044641D">
        <w:rPr>
          <w:rFonts w:ascii="Times New Roman" w:hAnsi="Times New Roman"/>
          <w:lang w:val="pt-BR"/>
        </w:rPr>
        <w:t>triacilglicerídeos</w:t>
      </w:r>
      <w:proofErr w:type="spellEnd"/>
      <w:r w:rsidRPr="0044641D">
        <w:rPr>
          <w:rFonts w:ascii="Times New Roman" w:hAnsi="Times New Roman"/>
          <w:lang w:val="pt-BR"/>
        </w:rPr>
        <w:t xml:space="preserve"> (</w:t>
      </w:r>
      <w:r w:rsidRPr="0044641D">
        <w:rPr>
          <w:rFonts w:ascii="Times New Roman" w:hAnsi="Times New Roman"/>
          <w:bdr w:val="none" w:sz="0" w:space="0" w:color="auto" w:frame="1"/>
          <w:lang w:val="pt-BR"/>
        </w:rPr>
        <w:t>X</w:t>
      </w:r>
      <w:r w:rsidRPr="0044641D">
        <w:rPr>
          <w:rFonts w:ascii="Times New Roman" w:hAnsi="Times New Roman"/>
          <w:bdr w:val="none" w:sz="0" w:space="0" w:color="auto" w:frame="1"/>
          <w:vertAlign w:val="subscript"/>
          <w:lang w:val="pt-BR"/>
        </w:rPr>
        <w:t>TAG</w:t>
      </w:r>
      <w:r w:rsidRPr="0044641D">
        <w:rPr>
          <w:rFonts w:ascii="Times New Roman" w:hAnsi="Times New Roman"/>
          <w:lang w:val="pt-BR"/>
        </w:rPr>
        <w:t>) é o número de mols de TAG que reagiram por mol de TAG alimentado ao sistema, conforme definido na Equação</w:t>
      </w:r>
      <w:r w:rsidR="00552A57">
        <w:rPr>
          <w:rFonts w:ascii="Times New Roman" w:hAnsi="Times New Roman"/>
          <w:lang w:val="pt-BR"/>
        </w:rPr>
        <w:t xml:space="preserve"> 1.</w:t>
      </w:r>
    </w:p>
    <w:p w14:paraId="3C05BA56" w14:textId="77777777" w:rsidR="00515111" w:rsidRPr="00552A57" w:rsidRDefault="00515111" w:rsidP="00552A57">
      <w:pPr>
        <w:pStyle w:val="TAMainText"/>
        <w:rPr>
          <w:rFonts w:ascii="Times New Roman" w:hAnsi="Times New Roman"/>
          <w:lang w:val="pt-BR"/>
        </w:rPr>
      </w:pPr>
    </w:p>
    <w:p w14:paraId="4376E4C7" w14:textId="1A355E0F" w:rsidR="00515111" w:rsidRDefault="00552A57" w:rsidP="00515111">
      <w:pPr>
        <w:spacing w:after="0"/>
        <w:jc w:val="center"/>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X</m:t>
            </m:r>
          </m:e>
          <m:sub>
            <m:r>
              <w:rPr>
                <w:rFonts w:ascii="Cambria Math" w:hAnsi="Cambria Math" w:cs="Times New Roman"/>
                <w:sz w:val="20"/>
                <w:szCs w:val="20"/>
              </w:rPr>
              <m:t>TAG</m:t>
            </m:r>
          </m:sub>
        </m:sSub>
        <m:r>
          <w:rPr>
            <w:rFonts w:ascii="Cambria Math" w:hAnsi="Cambria Math" w:cs="Times New Roman"/>
            <w:sz w:val="20"/>
            <w:szCs w:val="20"/>
          </w:rPr>
          <m:t>=</m:t>
        </m:r>
        <m:d>
          <m:dPr>
            <m:ctrlPr>
              <w:rPr>
                <w:rFonts w:ascii="Cambria Math" w:hAnsi="Cambria Math" w:cs="Times New Roman"/>
                <w:i/>
                <w:iCs/>
                <w:sz w:val="20"/>
                <w:szCs w:val="20"/>
              </w:rPr>
            </m:ctrlPr>
          </m:dPr>
          <m:e>
            <m:f>
              <m:fPr>
                <m:ctrlPr>
                  <w:rPr>
                    <w:rFonts w:ascii="Cambria Math" w:hAnsi="Cambria Math" w:cs="Times New Roman"/>
                    <w:i/>
                    <w:iCs/>
                    <w:sz w:val="20"/>
                    <w:szCs w:val="20"/>
                  </w:rPr>
                </m:ctrlPr>
              </m:fPr>
              <m:num>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TAG</m:t>
                        </m:r>
                      </m:e>
                      <m:sub>
                        <m:r>
                          <w:rPr>
                            <w:rFonts w:ascii="Cambria Math" w:hAnsi="Cambria Math" w:cs="Times New Roman"/>
                            <w:sz w:val="20"/>
                            <w:szCs w:val="20"/>
                          </w:rPr>
                          <m:t>0</m:t>
                        </m:r>
                      </m:sub>
                    </m:sSub>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TAG</m:t>
                    </m:r>
                  </m:sub>
                </m:sSub>
              </m:num>
              <m:den>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TAG</m:t>
                        </m:r>
                      </m:e>
                      <m:sub>
                        <m:r>
                          <w:rPr>
                            <w:rFonts w:ascii="Cambria Math" w:hAnsi="Cambria Math" w:cs="Times New Roman"/>
                            <w:sz w:val="20"/>
                            <w:szCs w:val="20"/>
                          </w:rPr>
                          <m:t>0</m:t>
                        </m:r>
                      </m:sub>
                    </m:sSub>
                  </m:sub>
                </m:sSub>
              </m:den>
            </m:f>
          </m:e>
        </m:d>
        <m:r>
          <w:rPr>
            <w:rFonts w:ascii="Cambria Math" w:hAnsi="Cambria Math" w:cs="Times New Roman"/>
            <w:sz w:val="20"/>
            <w:szCs w:val="20"/>
          </w:rPr>
          <m:t>∙100 </m:t>
        </m:r>
      </m:oMath>
      <w:r w:rsidR="00D8075E">
        <w:rPr>
          <w:rFonts w:ascii="Times New Roman" w:hAnsi="Times New Roman" w:cs="Times New Roman"/>
          <w:sz w:val="20"/>
          <w:szCs w:val="20"/>
        </w:rPr>
        <w:tab/>
      </w:r>
      <w:r w:rsidR="00D8075E">
        <w:rPr>
          <w:rFonts w:ascii="Times New Roman" w:hAnsi="Times New Roman" w:cs="Times New Roman"/>
          <w:sz w:val="20"/>
          <w:szCs w:val="20"/>
        </w:rPr>
        <w:tab/>
      </w:r>
      <w:r w:rsidR="00D8075E">
        <w:rPr>
          <w:rFonts w:ascii="Times New Roman" w:hAnsi="Times New Roman" w:cs="Times New Roman"/>
          <w:sz w:val="20"/>
          <w:szCs w:val="20"/>
        </w:rPr>
        <w:tab/>
      </w:r>
      <w:r w:rsidRPr="00552A57">
        <w:rPr>
          <w:rFonts w:ascii="Times New Roman" w:hAnsi="Times New Roman" w:cs="Times New Roman"/>
          <w:sz w:val="20"/>
          <w:szCs w:val="20"/>
        </w:rPr>
        <w:t>(1)</w:t>
      </w:r>
    </w:p>
    <w:p w14:paraId="0FE6C429" w14:textId="3B1C3054" w:rsidR="00552A57" w:rsidRPr="00552A57" w:rsidRDefault="00552A57" w:rsidP="00D8075E">
      <w:pPr>
        <w:spacing w:after="0"/>
        <w:jc w:val="both"/>
        <w:rPr>
          <w:rFonts w:ascii="Times New Roman" w:hAnsi="Times New Roman" w:cs="Times New Roman"/>
          <w:sz w:val="20"/>
          <w:szCs w:val="20"/>
        </w:rPr>
      </w:pPr>
      <w:r w:rsidRPr="00552A57">
        <w:rPr>
          <w:rFonts w:ascii="Times New Roman" w:hAnsi="Times New Roman" w:cs="Times New Roman"/>
          <w:sz w:val="20"/>
          <w:szCs w:val="20"/>
        </w:rPr>
        <w:t>Onde:</w:t>
      </w:r>
    </w:p>
    <w:p w14:paraId="2300021B" w14:textId="77777777" w:rsidR="00552A57" w:rsidRPr="00552A57" w:rsidRDefault="00552A57" w:rsidP="00552A57">
      <w:pPr>
        <w:spacing w:after="0"/>
        <w:jc w:val="both"/>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TAG</m:t>
                </m:r>
              </m:e>
              <m:sub>
                <m:r>
                  <w:rPr>
                    <w:rFonts w:ascii="Cambria Math" w:hAnsi="Cambria Math" w:cs="Times New Roman"/>
                    <w:sz w:val="20"/>
                    <w:szCs w:val="20"/>
                  </w:rPr>
                  <m:t>0</m:t>
                </m:r>
              </m:sub>
            </m:sSub>
          </m:sub>
        </m:sSub>
        <m:r>
          <w:rPr>
            <w:rFonts w:ascii="Cambria Math" w:hAnsi="Cambria Math" w:cs="Times New Roman"/>
            <w:sz w:val="20"/>
            <w:szCs w:val="20"/>
          </w:rPr>
          <m:t> </m:t>
        </m:r>
      </m:oMath>
      <w:r w:rsidRPr="00552A57">
        <w:rPr>
          <w:rFonts w:ascii="Times New Roman" w:hAnsi="Times New Roman" w:cs="Times New Roman"/>
          <w:sz w:val="20"/>
          <w:szCs w:val="20"/>
        </w:rPr>
        <w:t>= mols de triacilglicerídeos iniciais;</w:t>
      </w:r>
    </w:p>
    <w:p w14:paraId="7DEF1A8A" w14:textId="42CA4F88" w:rsidR="00D8075E" w:rsidRDefault="00552A57" w:rsidP="00515111">
      <w:pPr>
        <w:spacing w:after="0"/>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TAG</m:t>
            </m:r>
          </m:sub>
        </m:sSub>
        <m:r>
          <w:rPr>
            <w:rFonts w:ascii="Cambria Math" w:hAnsi="Cambria Math" w:cs="Times New Roman"/>
            <w:sz w:val="20"/>
            <w:szCs w:val="20"/>
          </w:rPr>
          <m:t> </m:t>
        </m:r>
      </m:oMath>
      <w:r w:rsidRPr="00552A57">
        <w:rPr>
          <w:rFonts w:ascii="Times New Roman" w:hAnsi="Times New Roman" w:cs="Times New Roman"/>
          <w:sz w:val="20"/>
          <w:szCs w:val="20"/>
        </w:rPr>
        <w:t xml:space="preserve">= mols de </w:t>
      </w:r>
      <w:proofErr w:type="spellStart"/>
      <w:r w:rsidRPr="00552A57">
        <w:rPr>
          <w:rFonts w:ascii="Times New Roman" w:hAnsi="Times New Roman" w:cs="Times New Roman"/>
          <w:sz w:val="20"/>
          <w:szCs w:val="20"/>
        </w:rPr>
        <w:t>triacilgliceríde</w:t>
      </w:r>
      <w:r>
        <w:rPr>
          <w:rFonts w:ascii="Times New Roman" w:hAnsi="Times New Roman" w:cs="Times New Roman"/>
          <w:sz w:val="20"/>
          <w:szCs w:val="20"/>
        </w:rPr>
        <w:t>os</w:t>
      </w:r>
      <w:proofErr w:type="spellEnd"/>
      <w:r w:rsidRPr="00552A57">
        <w:rPr>
          <w:rFonts w:ascii="Times New Roman" w:hAnsi="Times New Roman" w:cs="Times New Roman"/>
          <w:sz w:val="20"/>
          <w:szCs w:val="20"/>
        </w:rPr>
        <w:t xml:space="preserve"> ao longo da reação.</w:t>
      </w:r>
    </w:p>
    <w:p w14:paraId="6ED3BB16" w14:textId="77777777" w:rsidR="00515111" w:rsidRPr="00515111" w:rsidRDefault="00515111" w:rsidP="00515111">
      <w:pPr>
        <w:spacing w:after="0"/>
        <w:jc w:val="both"/>
        <w:rPr>
          <w:rFonts w:ascii="Times New Roman" w:hAnsi="Times New Roman" w:cs="Times New Roman"/>
          <w:sz w:val="20"/>
          <w:szCs w:val="20"/>
        </w:rPr>
      </w:pPr>
    </w:p>
    <w:p w14:paraId="35CEF00F" w14:textId="0E3AB99B" w:rsidR="00552A57" w:rsidRDefault="00552A57" w:rsidP="00552A57">
      <w:pPr>
        <w:pStyle w:val="TAMainText"/>
        <w:rPr>
          <w:rFonts w:ascii="Times New Roman" w:hAnsi="Times New Roman"/>
          <w:lang w:val="pt-BR"/>
        </w:rPr>
      </w:pPr>
      <w:r w:rsidRPr="00552A57">
        <w:rPr>
          <w:rFonts w:ascii="Times New Roman" w:hAnsi="Times New Roman"/>
          <w:lang w:val="pt-BR"/>
        </w:rPr>
        <w:t>Quando temos reações múltiplas, a seletividade global (</w:t>
      </w:r>
      <m:oMath>
        <m:sSub>
          <m:sSubPr>
            <m:ctrlPr>
              <w:rPr>
                <w:rFonts w:ascii="Cambria Math" w:hAnsi="Cambria Math"/>
                <w:i/>
                <w:iCs/>
              </w:rPr>
            </m:ctrlPr>
          </m:sSubPr>
          <m:e>
            <m:r>
              <w:rPr>
                <w:rFonts w:ascii="Cambria Math" w:hAnsi="Cambria Math"/>
              </w:rPr>
              <m:t>S</m:t>
            </m:r>
          </m:e>
          <m:sub>
            <m:r>
              <w:rPr>
                <w:rFonts w:ascii="Cambria Math" w:hAnsi="Cambria Math"/>
              </w:rPr>
              <m:t>i</m:t>
            </m:r>
          </m:sub>
        </m:sSub>
      </m:oMath>
      <w:r w:rsidRPr="00552A57">
        <w:rPr>
          <w:rFonts w:ascii="Times New Roman" w:hAnsi="Times New Roman"/>
          <w:lang w:val="pt-BR"/>
        </w:rPr>
        <w:t xml:space="preserve">) nos indica como um produto é formado preferencialmente em relação a outros, como é demonstrado na Equação </w:t>
      </w:r>
      <w:r>
        <w:rPr>
          <w:rFonts w:ascii="Times New Roman" w:hAnsi="Times New Roman"/>
          <w:lang w:val="pt-BR"/>
        </w:rPr>
        <w:t>2</w:t>
      </w:r>
      <w:r w:rsidRPr="00552A57">
        <w:rPr>
          <w:rFonts w:ascii="Times New Roman" w:hAnsi="Times New Roman"/>
          <w:lang w:val="pt-BR"/>
        </w:rPr>
        <w:t>.</w:t>
      </w:r>
    </w:p>
    <w:p w14:paraId="2260A0B5" w14:textId="77777777" w:rsidR="00515111" w:rsidRPr="00552A57" w:rsidRDefault="00515111" w:rsidP="00552A57">
      <w:pPr>
        <w:pStyle w:val="TAMainText"/>
        <w:rPr>
          <w:rFonts w:ascii="Times New Roman" w:hAnsi="Times New Roman"/>
          <w:lang w:val="pt-BR"/>
        </w:rPr>
      </w:pPr>
    </w:p>
    <w:p w14:paraId="26ED4AE0" w14:textId="70021039" w:rsidR="00515111" w:rsidRDefault="00552A57" w:rsidP="00515111">
      <w:pPr>
        <w:spacing w:after="0"/>
        <w:jc w:val="center"/>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r>
          <w:rPr>
            <w:rFonts w:ascii="Cambria Math" w:hAnsi="Cambria Math" w:cs="Times New Roman"/>
            <w:sz w:val="20"/>
            <w:szCs w:val="20"/>
          </w:rPr>
          <m:t>=</m:t>
        </m:r>
        <m:f>
          <m:fPr>
            <m:ctrlPr>
              <w:rPr>
                <w:rFonts w:ascii="Cambria Math" w:hAnsi="Cambria Math" w:cs="Times New Roman"/>
                <w:i/>
                <w:iCs/>
                <w:sz w:val="20"/>
                <w:szCs w:val="20"/>
              </w:rPr>
            </m:ctrlPr>
          </m:fPr>
          <m:num>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prod</m:t>
                    </m:r>
                  </m:e>
                  <m:sub>
                    <m:r>
                      <w:rPr>
                        <w:rFonts w:ascii="Cambria Math" w:hAnsi="Cambria Math" w:cs="Times New Roman"/>
                        <w:sz w:val="20"/>
                        <w:szCs w:val="20"/>
                      </w:rPr>
                      <m:t>i</m:t>
                    </m:r>
                  </m:sub>
                </m:sSub>
              </m:sub>
            </m:sSub>
          </m:num>
          <m:den>
            <m:nary>
              <m:naryPr>
                <m:chr m:val="∑"/>
                <m:supHide m:val="1"/>
                <m:ctrlPr>
                  <w:rPr>
                    <w:rFonts w:ascii="Cambria Math" w:hAnsi="Cambria Math" w:cs="Times New Roman"/>
                    <w:i/>
                    <w:iCs/>
                    <w:sz w:val="20"/>
                    <w:szCs w:val="20"/>
                  </w:rPr>
                </m:ctrlPr>
              </m:naryPr>
              <m:sub>
                <m:r>
                  <w:rPr>
                    <w:rFonts w:ascii="Cambria Math" w:hAnsi="Cambria Math" w:cs="Times New Roman"/>
                    <w:sz w:val="20"/>
                    <w:szCs w:val="20"/>
                  </w:rPr>
                  <m:t>j</m:t>
                </m:r>
              </m:sub>
              <m:sup/>
              <m:e>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prod</m:t>
                        </m:r>
                      </m:e>
                      <m:sub>
                        <m:r>
                          <w:rPr>
                            <w:rFonts w:ascii="Cambria Math" w:hAnsi="Cambria Math" w:cs="Times New Roman"/>
                            <w:sz w:val="20"/>
                            <w:szCs w:val="20"/>
                          </w:rPr>
                          <m:t>j≠i</m:t>
                        </m:r>
                      </m:sub>
                    </m:sSub>
                  </m:sub>
                </m:sSub>
              </m:e>
            </m:nary>
          </m:den>
        </m:f>
        <m:r>
          <w:rPr>
            <w:rFonts w:ascii="Cambria Math" w:hAnsi="Cambria Math" w:cs="Times New Roman"/>
            <w:sz w:val="20"/>
            <w:szCs w:val="20"/>
          </w:rPr>
          <m:t>.100</m:t>
        </m:r>
      </m:oMath>
      <w:r w:rsidRPr="00552A57">
        <w:rPr>
          <w:rFonts w:ascii="Times New Roman" w:hAnsi="Times New Roman" w:cs="Times New Roman"/>
          <w:sz w:val="20"/>
          <w:szCs w:val="20"/>
        </w:rPr>
        <w:tab/>
      </w:r>
      <w:r w:rsidR="00D8075E">
        <w:rPr>
          <w:rFonts w:ascii="Times New Roman" w:hAnsi="Times New Roman" w:cs="Times New Roman"/>
          <w:sz w:val="20"/>
          <w:szCs w:val="20"/>
        </w:rPr>
        <w:tab/>
      </w:r>
      <w:r w:rsidR="00D8075E">
        <w:rPr>
          <w:rFonts w:ascii="Times New Roman" w:hAnsi="Times New Roman" w:cs="Times New Roman"/>
          <w:sz w:val="20"/>
          <w:szCs w:val="20"/>
        </w:rPr>
        <w:tab/>
      </w:r>
      <w:r w:rsidR="00D8075E">
        <w:rPr>
          <w:rFonts w:ascii="Times New Roman" w:hAnsi="Times New Roman" w:cs="Times New Roman"/>
          <w:sz w:val="20"/>
          <w:szCs w:val="20"/>
        </w:rPr>
        <w:tab/>
      </w:r>
      <w:r w:rsidRPr="00552A57">
        <w:rPr>
          <w:rFonts w:ascii="Times New Roman" w:hAnsi="Times New Roman" w:cs="Times New Roman"/>
          <w:sz w:val="20"/>
          <w:szCs w:val="20"/>
        </w:rPr>
        <w:t>(</w:t>
      </w:r>
      <w:r>
        <w:rPr>
          <w:rFonts w:ascii="Times New Roman" w:hAnsi="Times New Roman" w:cs="Times New Roman"/>
          <w:sz w:val="20"/>
          <w:szCs w:val="20"/>
        </w:rPr>
        <w:t>2</w:t>
      </w:r>
      <w:r w:rsidRPr="00552A57">
        <w:rPr>
          <w:rFonts w:ascii="Times New Roman" w:hAnsi="Times New Roman" w:cs="Times New Roman"/>
          <w:sz w:val="20"/>
          <w:szCs w:val="20"/>
        </w:rPr>
        <w:t>)</w:t>
      </w:r>
    </w:p>
    <w:p w14:paraId="15BD4CAF" w14:textId="43336D1A" w:rsidR="00552A57" w:rsidRPr="00552A57" w:rsidRDefault="00552A57" w:rsidP="00552A57">
      <w:pPr>
        <w:spacing w:after="0"/>
        <w:jc w:val="both"/>
        <w:rPr>
          <w:rFonts w:ascii="Times New Roman" w:hAnsi="Times New Roman" w:cs="Times New Roman"/>
          <w:sz w:val="20"/>
          <w:szCs w:val="20"/>
        </w:rPr>
      </w:pPr>
      <w:r w:rsidRPr="00552A57">
        <w:rPr>
          <w:rFonts w:ascii="Times New Roman" w:hAnsi="Times New Roman" w:cs="Times New Roman"/>
          <w:sz w:val="20"/>
          <w:szCs w:val="20"/>
        </w:rPr>
        <w:t>Onde:</w:t>
      </w:r>
    </w:p>
    <w:p w14:paraId="1A339245" w14:textId="2B1C905C" w:rsidR="00552A57" w:rsidRPr="00552A57" w:rsidRDefault="00552A57" w:rsidP="00552A57">
      <w:pPr>
        <w:spacing w:after="0"/>
        <w:jc w:val="both"/>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prod</m:t>
                </m:r>
              </m:e>
              <m:sub>
                <m:r>
                  <w:rPr>
                    <w:rFonts w:ascii="Cambria Math" w:hAnsi="Cambria Math" w:cs="Times New Roman"/>
                    <w:sz w:val="20"/>
                    <w:szCs w:val="20"/>
                  </w:rPr>
                  <m:t>i</m:t>
                </m:r>
              </m:sub>
            </m:sSub>
          </m:sub>
        </m:sSub>
      </m:oMath>
      <w:r w:rsidRPr="00552A57">
        <w:rPr>
          <w:rFonts w:ascii="Times New Roman" w:hAnsi="Times New Roman" w:cs="Times New Roman"/>
          <w:sz w:val="20"/>
          <w:szCs w:val="20"/>
        </w:rPr>
        <w:t>= mols do produto de interesse formado;</w:t>
      </w:r>
    </w:p>
    <w:p w14:paraId="41FAC1B8" w14:textId="0C6628F7" w:rsidR="00D8075E" w:rsidRDefault="00552A57" w:rsidP="00515111">
      <w:pPr>
        <w:spacing w:after="0"/>
        <w:jc w:val="both"/>
        <w:rPr>
          <w:rFonts w:ascii="Times New Roman" w:hAnsi="Times New Roman" w:cs="Times New Roman"/>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prod</m:t>
                </m:r>
              </m:e>
              <m:sub>
                <m:r>
                  <w:rPr>
                    <w:rFonts w:ascii="Cambria Math" w:hAnsi="Cambria Math" w:cs="Times New Roman"/>
                    <w:sz w:val="20"/>
                    <w:szCs w:val="20"/>
                  </w:rPr>
                  <m:t>j≠i</m:t>
                </m:r>
              </m:sub>
            </m:sSub>
          </m:sub>
        </m:sSub>
      </m:oMath>
      <w:r w:rsidRPr="00552A57">
        <w:rPr>
          <w:rFonts w:ascii="Times New Roman" w:hAnsi="Times New Roman" w:cs="Times New Roman"/>
          <w:iCs/>
          <w:sz w:val="20"/>
          <w:szCs w:val="20"/>
        </w:rPr>
        <w:t>= mols dos demais produtos formados.</w:t>
      </w:r>
    </w:p>
    <w:p w14:paraId="324A84E1" w14:textId="77777777" w:rsidR="00515111" w:rsidRPr="00515111" w:rsidRDefault="00515111" w:rsidP="00515111">
      <w:pPr>
        <w:spacing w:after="0"/>
        <w:jc w:val="both"/>
        <w:rPr>
          <w:rFonts w:ascii="Times New Roman" w:hAnsi="Times New Roman" w:cs="Times New Roman"/>
          <w:sz w:val="20"/>
          <w:szCs w:val="20"/>
        </w:rPr>
      </w:pPr>
    </w:p>
    <w:p w14:paraId="1A058E6F" w14:textId="1E14D44B" w:rsidR="00D8075E" w:rsidRDefault="00D8075E" w:rsidP="00D8075E">
      <w:pPr>
        <w:pStyle w:val="TAMainText"/>
        <w:rPr>
          <w:rFonts w:ascii="Times New Roman" w:hAnsi="Times New Roman"/>
          <w:lang w:val="pt-BR"/>
        </w:rPr>
      </w:pPr>
      <w:r w:rsidRPr="00D8075E">
        <w:rPr>
          <w:rFonts w:ascii="Times New Roman" w:hAnsi="Times New Roman"/>
          <w:lang w:val="pt-BR"/>
        </w:rPr>
        <w:t>O rendimento global percentual em ácidos graxos livres (</w:t>
      </w:r>
      <m:oMath>
        <m:sSub>
          <m:sSubPr>
            <m:ctrlPr>
              <w:rPr>
                <w:rFonts w:ascii="Cambria Math" w:hAnsi="Cambria Math"/>
                <w:i/>
                <w:iCs/>
              </w:rPr>
            </m:ctrlPr>
          </m:sSubPr>
          <m:e>
            <m:sSub>
              <m:sSubPr>
                <m:ctrlPr>
                  <w:rPr>
                    <w:rFonts w:ascii="Cambria Math" w:hAnsi="Cambria Math"/>
                    <w:i/>
                    <w:iCs/>
                  </w:rPr>
                </m:ctrlPr>
              </m:sSubPr>
              <m:e>
                <m:r>
                  <w:rPr>
                    <w:rFonts w:ascii="Cambria Math" w:hAnsi="Cambria Math"/>
                  </w:rPr>
                  <m:t>Y</m:t>
                </m:r>
              </m:e>
              <m:sub>
                <m:r>
                  <w:rPr>
                    <w:rFonts w:ascii="Cambria Math" w:hAnsi="Cambria Math"/>
                  </w:rPr>
                  <m:t>AGL</m:t>
                </m:r>
              </m:sub>
            </m:sSub>
          </m:e>
          <m:sub>
            <m:r>
              <w:rPr>
                <w:rFonts w:ascii="Cambria Math" w:hAnsi="Cambria Math"/>
              </w:rPr>
              <m:t>i</m:t>
            </m:r>
          </m:sub>
        </m:sSub>
      </m:oMath>
      <w:r w:rsidRPr="00D8075E">
        <w:rPr>
          <w:rFonts w:ascii="Times New Roman" w:hAnsi="Times New Roman"/>
          <w:lang w:val="pt-BR"/>
        </w:rPr>
        <w:t xml:space="preserve">) é definido pela Equação </w:t>
      </w:r>
      <w:r>
        <w:rPr>
          <w:rFonts w:ascii="Times New Roman" w:hAnsi="Times New Roman"/>
          <w:lang w:val="pt-BR"/>
        </w:rPr>
        <w:t>3</w:t>
      </w:r>
      <w:r w:rsidRPr="00D8075E">
        <w:rPr>
          <w:rFonts w:ascii="Times New Roman" w:hAnsi="Times New Roman"/>
          <w:lang w:val="pt-BR"/>
        </w:rPr>
        <w:t xml:space="preserve">. </w:t>
      </w:r>
      <w:proofErr w:type="spellStart"/>
      <w:r w:rsidRPr="00D8075E">
        <w:rPr>
          <w:rFonts w:ascii="Times New Roman" w:hAnsi="Times New Roman"/>
        </w:rPr>
        <w:t>Esse</w:t>
      </w:r>
      <w:proofErr w:type="spellEnd"/>
      <w:r w:rsidRPr="00D8075E">
        <w:rPr>
          <w:rFonts w:ascii="Times New Roman" w:hAnsi="Times New Roman"/>
        </w:rPr>
        <w:t xml:space="preserve"> valor é dado pela razão entre o número de mols de AGL e o número de mols de TAG que reagiram. </w:t>
      </w:r>
      <w:r w:rsidRPr="00D8075E">
        <w:rPr>
          <w:rFonts w:ascii="Times New Roman" w:hAnsi="Times New Roman"/>
          <w:lang w:val="pt-BR"/>
        </w:rPr>
        <w:t xml:space="preserve">A Equação </w:t>
      </w:r>
      <w:r w:rsidRPr="00D8075E">
        <w:rPr>
          <w:rFonts w:ascii="Times New Roman" w:hAnsi="Times New Roman"/>
          <w:lang w:val="pt-BR"/>
        </w:rPr>
        <w:t>4</w:t>
      </w:r>
      <w:r w:rsidRPr="00D8075E">
        <w:rPr>
          <w:rFonts w:ascii="Times New Roman" w:hAnsi="Times New Roman"/>
          <w:lang w:val="pt-BR"/>
        </w:rPr>
        <w:t xml:space="preserve"> apresenta o somatório do rendimento de todos os AGL.</w:t>
      </w:r>
    </w:p>
    <w:p w14:paraId="5B149C8E" w14:textId="77777777" w:rsidR="00515111" w:rsidRPr="00D8075E" w:rsidRDefault="00515111" w:rsidP="00D8075E">
      <w:pPr>
        <w:pStyle w:val="TAMainText"/>
        <w:rPr>
          <w:rFonts w:ascii="Times New Roman" w:hAnsi="Times New Roman"/>
          <w:lang w:val="pt-BR"/>
        </w:rPr>
      </w:pPr>
    </w:p>
    <w:p w14:paraId="5124C073" w14:textId="2A4A0C27" w:rsidR="00D8075E" w:rsidRPr="00D8075E" w:rsidRDefault="00D8075E" w:rsidP="00515111">
      <w:pPr>
        <w:spacing w:after="0"/>
        <w:jc w:val="center"/>
        <w:rPr>
          <w:rFonts w:ascii="Times New Roman" w:hAnsi="Times New Roman" w:cs="Times New Roman"/>
          <w:sz w:val="20"/>
          <w:szCs w:val="20"/>
        </w:rPr>
      </w:pPr>
      <m:oMath>
        <m:sSub>
          <m:sSubPr>
            <m:ctrlPr>
              <w:rPr>
                <w:rFonts w:ascii="Cambria Math" w:hAnsi="Cambria Math" w:cs="Times New Roman"/>
                <w:i/>
                <w:iCs/>
                <w:sz w:val="20"/>
                <w:szCs w:val="20"/>
              </w:rPr>
            </m:ctrlPr>
          </m:sSubPr>
          <m:e>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AGL</m:t>
                </m:r>
              </m:sub>
            </m:sSub>
          </m:e>
          <m:sub>
            <m:r>
              <w:rPr>
                <w:rFonts w:ascii="Cambria Math" w:hAnsi="Cambria Math" w:cs="Times New Roman"/>
                <w:sz w:val="20"/>
                <w:szCs w:val="20"/>
              </w:rPr>
              <m:t>i</m:t>
            </m:r>
          </m:sub>
        </m:sSub>
        <m:r>
          <w:rPr>
            <w:rFonts w:ascii="Cambria Math" w:hAnsi="Cambria Math" w:cs="Times New Roman"/>
            <w:sz w:val="20"/>
            <w:szCs w:val="20"/>
          </w:rPr>
          <m:t>=</m:t>
        </m:r>
        <m:f>
          <m:fPr>
            <m:ctrlPr>
              <w:rPr>
                <w:rFonts w:ascii="Cambria Math" w:hAnsi="Cambria Math" w:cs="Times New Roman"/>
                <w:i/>
                <w:iCs/>
                <w:sz w:val="20"/>
                <w:szCs w:val="20"/>
              </w:rPr>
            </m:ctrlPr>
          </m:fPr>
          <m:num>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AGL</m:t>
                    </m:r>
                  </m:e>
                  <m:sub>
                    <m:r>
                      <w:rPr>
                        <w:rFonts w:ascii="Cambria Math" w:hAnsi="Cambria Math" w:cs="Times New Roman"/>
                        <w:sz w:val="20"/>
                        <w:szCs w:val="20"/>
                      </w:rPr>
                      <m:t>i</m:t>
                    </m:r>
                  </m:sub>
                </m:sSub>
              </m:sub>
            </m:sSub>
          </m:num>
          <m:den>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TAG</m:t>
                    </m:r>
                  </m:e>
                  <m:sub>
                    <m:r>
                      <w:rPr>
                        <w:rFonts w:ascii="Cambria Math" w:hAnsi="Cambria Math" w:cs="Times New Roman"/>
                        <w:sz w:val="20"/>
                        <w:szCs w:val="20"/>
                      </w:rPr>
                      <m:t>0</m:t>
                    </m:r>
                  </m:sub>
                </m:sSub>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TAG</m:t>
                </m:r>
              </m:sub>
            </m:sSub>
          </m:den>
        </m:f>
        <m:r>
          <w:rPr>
            <w:rFonts w:ascii="Cambria Math" w:hAnsi="Cambria Math" w:cs="Times New Roman"/>
            <w:sz w:val="20"/>
            <w:szCs w:val="20"/>
          </w:rPr>
          <m:t>.100</m:t>
        </m:r>
      </m:oMath>
      <w:r w:rsidRPr="00D8075E">
        <w:rPr>
          <w:rFonts w:ascii="Times New Roman" w:hAnsi="Times New Roman" w:cs="Times New Roman"/>
          <w:sz w:val="20"/>
          <w:szCs w:val="20"/>
        </w:rPr>
        <w:tab/>
      </w:r>
      <w:r w:rsidRPr="00D8075E">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8075E">
        <w:rPr>
          <w:rFonts w:ascii="Times New Roman" w:hAnsi="Times New Roman" w:cs="Times New Roman"/>
          <w:sz w:val="20"/>
          <w:szCs w:val="20"/>
        </w:rPr>
        <w:t>(</w:t>
      </w:r>
      <w:r>
        <w:rPr>
          <w:rFonts w:ascii="Times New Roman" w:hAnsi="Times New Roman" w:cs="Times New Roman"/>
          <w:sz w:val="20"/>
          <w:szCs w:val="20"/>
        </w:rPr>
        <w:t>3</w:t>
      </w:r>
      <w:r w:rsidRPr="00D8075E">
        <w:rPr>
          <w:rFonts w:ascii="Times New Roman" w:hAnsi="Times New Roman" w:cs="Times New Roman"/>
          <w:sz w:val="20"/>
          <w:szCs w:val="20"/>
        </w:rPr>
        <w:t>)</w:t>
      </w:r>
    </w:p>
    <w:p w14:paraId="1A586215" w14:textId="77777777" w:rsidR="00515111" w:rsidRPr="00515111" w:rsidRDefault="00515111" w:rsidP="00515111">
      <w:pPr>
        <w:spacing w:after="0"/>
        <w:jc w:val="center"/>
        <w:rPr>
          <w:rFonts w:ascii="Times New Roman" w:hAnsi="Times New Roman" w:cs="Times New Roman"/>
          <w:sz w:val="20"/>
          <w:szCs w:val="20"/>
        </w:rPr>
      </w:pPr>
    </w:p>
    <w:p w14:paraId="0885A873" w14:textId="37CDE12D" w:rsidR="00515111" w:rsidRDefault="00D8075E" w:rsidP="00515111">
      <w:pPr>
        <w:spacing w:after="0"/>
        <w:jc w:val="center"/>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AGL total</m:t>
            </m:r>
          </m:sub>
        </m:sSub>
        <m:r>
          <w:rPr>
            <w:rFonts w:ascii="Cambria Math" w:hAnsi="Cambria Math" w:cs="Times New Roman"/>
            <w:sz w:val="20"/>
            <w:szCs w:val="20"/>
          </w:rPr>
          <m:t>=</m:t>
        </m:r>
        <m:nary>
          <m:naryPr>
            <m:chr m:val="∑"/>
            <m:limLoc m:val="undOvr"/>
            <m:subHide m:val="1"/>
            <m:supHide m:val="1"/>
            <m:ctrlPr>
              <w:rPr>
                <w:rFonts w:ascii="Cambria Math" w:hAnsi="Cambria Math" w:cs="Times New Roman"/>
                <w:i/>
                <w:sz w:val="20"/>
                <w:szCs w:val="20"/>
              </w:rPr>
            </m:ctrlPr>
          </m:naryPr>
          <m:sub/>
          <m:sup/>
          <m:e>
            <m:sSub>
              <m:sSubPr>
                <m:ctrlPr>
                  <w:rPr>
                    <w:rFonts w:ascii="Cambria Math" w:hAnsi="Cambria Math" w:cs="Times New Roman"/>
                    <w:i/>
                    <w:iCs/>
                    <w:sz w:val="20"/>
                    <w:szCs w:val="20"/>
                  </w:rPr>
                </m:ctrlPr>
              </m:sSubPr>
              <m:e>
                <m:r>
                  <w:rPr>
                    <w:rFonts w:ascii="Cambria Math" w:hAnsi="Cambria Math" w:cs="Times New Roman"/>
                    <w:sz w:val="20"/>
                    <w:szCs w:val="20"/>
                  </w:rPr>
                  <m:t>Y</m:t>
                </m:r>
              </m:e>
              <m:sub>
                <m:sSub>
                  <m:sSubPr>
                    <m:ctrlPr>
                      <w:rPr>
                        <w:rFonts w:ascii="Cambria Math" w:hAnsi="Cambria Math" w:cs="Times New Roman"/>
                        <w:i/>
                        <w:iCs/>
                        <w:sz w:val="20"/>
                        <w:szCs w:val="20"/>
                      </w:rPr>
                    </m:ctrlPr>
                  </m:sSubPr>
                  <m:e>
                    <m:r>
                      <w:rPr>
                        <w:rFonts w:ascii="Cambria Math" w:hAnsi="Cambria Math" w:cs="Times New Roman"/>
                        <w:sz w:val="20"/>
                        <w:szCs w:val="20"/>
                      </w:rPr>
                      <m:t>AGL</m:t>
                    </m:r>
                  </m:e>
                  <m:sub>
                    <m:r>
                      <w:rPr>
                        <w:rFonts w:ascii="Cambria Math" w:hAnsi="Cambria Math" w:cs="Times New Roman"/>
                        <w:sz w:val="20"/>
                        <w:szCs w:val="20"/>
                      </w:rPr>
                      <m:t>i</m:t>
                    </m:r>
                  </m:sub>
                </m:sSub>
              </m:sub>
            </m:sSub>
          </m:e>
        </m:nary>
      </m:oMath>
      <w:r w:rsidRPr="00D8075E">
        <w:rPr>
          <w:rFonts w:ascii="Times New Roman" w:hAnsi="Times New Roman" w:cs="Times New Roman"/>
          <w:sz w:val="20"/>
          <w:szCs w:val="20"/>
        </w:rPr>
        <w:tab/>
      </w:r>
      <w:r w:rsidRPr="00D8075E">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8075E">
        <w:rPr>
          <w:rFonts w:ascii="Times New Roman" w:hAnsi="Times New Roman" w:cs="Times New Roman"/>
          <w:sz w:val="20"/>
          <w:szCs w:val="20"/>
        </w:rPr>
        <w:t>(</w:t>
      </w:r>
      <w:r>
        <w:rPr>
          <w:rFonts w:ascii="Times New Roman" w:hAnsi="Times New Roman" w:cs="Times New Roman"/>
          <w:sz w:val="20"/>
          <w:szCs w:val="20"/>
        </w:rPr>
        <w:t>4</w:t>
      </w:r>
      <w:r w:rsidRPr="00D8075E">
        <w:rPr>
          <w:rFonts w:ascii="Times New Roman" w:hAnsi="Times New Roman" w:cs="Times New Roman"/>
          <w:sz w:val="20"/>
          <w:szCs w:val="20"/>
        </w:rPr>
        <w:t>)</w:t>
      </w:r>
    </w:p>
    <w:p w14:paraId="5F6CCFF0" w14:textId="75C10264" w:rsidR="00D8075E" w:rsidRPr="00D8075E" w:rsidRDefault="00D8075E" w:rsidP="00D8075E">
      <w:pPr>
        <w:spacing w:after="0"/>
        <w:jc w:val="both"/>
        <w:rPr>
          <w:rFonts w:ascii="Times New Roman" w:hAnsi="Times New Roman" w:cs="Times New Roman"/>
          <w:sz w:val="20"/>
          <w:szCs w:val="20"/>
        </w:rPr>
      </w:pPr>
      <w:r w:rsidRPr="00D8075E">
        <w:rPr>
          <w:rFonts w:ascii="Times New Roman" w:hAnsi="Times New Roman" w:cs="Times New Roman"/>
          <w:sz w:val="20"/>
          <w:szCs w:val="20"/>
        </w:rPr>
        <w:t>Onde:</w:t>
      </w:r>
    </w:p>
    <w:p w14:paraId="6C720B98" w14:textId="0DBADA9A" w:rsidR="00D8075E" w:rsidRPr="00D8075E" w:rsidRDefault="00D8075E" w:rsidP="00D8075E">
      <w:pPr>
        <w:spacing w:after="0"/>
        <w:jc w:val="both"/>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TAG</m:t>
                </m:r>
              </m:e>
              <m:sub>
                <m:r>
                  <w:rPr>
                    <w:rFonts w:ascii="Cambria Math" w:hAnsi="Cambria Math" w:cs="Times New Roman"/>
                    <w:sz w:val="20"/>
                    <w:szCs w:val="20"/>
                  </w:rPr>
                  <m:t>0</m:t>
                </m:r>
              </m:sub>
            </m:sSub>
          </m:sub>
        </m:sSub>
        <m:r>
          <w:rPr>
            <w:rFonts w:ascii="Cambria Math" w:hAnsi="Cambria Math" w:cs="Times New Roman"/>
            <w:sz w:val="20"/>
            <w:szCs w:val="20"/>
          </w:rPr>
          <m:t> </m:t>
        </m:r>
      </m:oMath>
      <w:r w:rsidRPr="00D8075E">
        <w:rPr>
          <w:rFonts w:ascii="Times New Roman" w:hAnsi="Times New Roman" w:cs="Times New Roman"/>
          <w:sz w:val="20"/>
          <w:szCs w:val="20"/>
        </w:rPr>
        <w:t>= mols de triacilglicerídeos iniciais;</w:t>
      </w:r>
    </w:p>
    <w:p w14:paraId="6E33A527" w14:textId="548BB6E2" w:rsidR="00D8075E" w:rsidRPr="00D8075E" w:rsidRDefault="00D8075E" w:rsidP="00D8075E">
      <w:pPr>
        <w:spacing w:after="0"/>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TAG</m:t>
            </m:r>
          </m:sub>
        </m:sSub>
        <m:r>
          <w:rPr>
            <w:rFonts w:ascii="Cambria Math" w:hAnsi="Cambria Math" w:cs="Times New Roman"/>
            <w:sz w:val="20"/>
            <w:szCs w:val="20"/>
          </w:rPr>
          <m:t> </m:t>
        </m:r>
      </m:oMath>
      <w:r w:rsidRPr="00D8075E">
        <w:rPr>
          <w:rFonts w:ascii="Times New Roman" w:hAnsi="Times New Roman" w:cs="Times New Roman"/>
          <w:sz w:val="20"/>
          <w:szCs w:val="20"/>
        </w:rPr>
        <w:t xml:space="preserve">= mols de </w:t>
      </w:r>
      <w:proofErr w:type="spellStart"/>
      <w:r w:rsidRPr="00D8075E">
        <w:rPr>
          <w:rFonts w:ascii="Times New Roman" w:hAnsi="Times New Roman" w:cs="Times New Roman"/>
          <w:sz w:val="20"/>
          <w:szCs w:val="20"/>
        </w:rPr>
        <w:t>triacilglicerídeos</w:t>
      </w:r>
      <w:proofErr w:type="spellEnd"/>
      <w:r w:rsidRPr="00D8075E">
        <w:rPr>
          <w:rFonts w:ascii="Times New Roman" w:hAnsi="Times New Roman" w:cs="Times New Roman"/>
          <w:sz w:val="20"/>
          <w:szCs w:val="20"/>
        </w:rPr>
        <w:t xml:space="preserve"> ao longo da reação;</w:t>
      </w:r>
    </w:p>
    <w:p w14:paraId="4E53A867" w14:textId="6EFC611F" w:rsidR="00D8075E" w:rsidRPr="00D8075E" w:rsidRDefault="00D8075E" w:rsidP="00D8075E">
      <w:pPr>
        <w:spacing w:after="0"/>
        <w:jc w:val="both"/>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AGL</m:t>
                </m:r>
              </m:e>
              <m:sub>
                <m:r>
                  <w:rPr>
                    <w:rFonts w:ascii="Cambria Math" w:hAnsi="Cambria Math" w:cs="Times New Roman"/>
                    <w:sz w:val="20"/>
                    <w:szCs w:val="20"/>
                  </w:rPr>
                  <m:t>i</m:t>
                </m:r>
              </m:sub>
            </m:sSub>
          </m:sub>
        </m:sSub>
      </m:oMath>
      <w:r w:rsidRPr="00D8075E">
        <w:rPr>
          <w:rFonts w:ascii="Times New Roman" w:hAnsi="Times New Roman" w:cs="Times New Roman"/>
          <w:sz w:val="20"/>
          <w:szCs w:val="20"/>
        </w:rPr>
        <w:t>= mols de cada ácido graxo livre formado;</w:t>
      </w:r>
    </w:p>
    <w:p w14:paraId="668A5BC4" w14:textId="70443AE2" w:rsidR="00D8075E" w:rsidRDefault="00D8075E" w:rsidP="00D8075E">
      <w:pPr>
        <w:spacing w:after="0"/>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AGL total</m:t>
            </m:r>
          </m:sub>
        </m:sSub>
      </m:oMath>
      <w:r w:rsidRPr="00D8075E">
        <w:rPr>
          <w:rFonts w:ascii="Times New Roman" w:hAnsi="Times New Roman" w:cs="Times New Roman"/>
          <w:sz w:val="20"/>
          <w:szCs w:val="20"/>
        </w:rPr>
        <w:t>= rendimento total em ácidos graxos livres.</w:t>
      </w:r>
    </w:p>
    <w:p w14:paraId="5F897BF2" w14:textId="77777777" w:rsidR="00515111" w:rsidRPr="00D8075E" w:rsidRDefault="00515111" w:rsidP="00D8075E">
      <w:pPr>
        <w:spacing w:after="0"/>
        <w:jc w:val="both"/>
        <w:rPr>
          <w:rFonts w:ascii="Times New Roman" w:hAnsi="Times New Roman" w:cs="Times New Roman"/>
          <w:sz w:val="20"/>
          <w:szCs w:val="20"/>
        </w:rPr>
      </w:pPr>
    </w:p>
    <w:p w14:paraId="35A75109" w14:textId="44EF8B76" w:rsidR="00D8075E" w:rsidRDefault="00D8075E" w:rsidP="00D8075E">
      <w:pPr>
        <w:pStyle w:val="TAMainText"/>
        <w:rPr>
          <w:rFonts w:ascii="Times New Roman" w:hAnsi="Times New Roman"/>
          <w:lang w:val="pt-BR"/>
        </w:rPr>
      </w:pPr>
      <w:bookmarkStart w:id="2" w:name="OLE_LINK1"/>
      <w:r w:rsidRPr="00D8075E">
        <w:rPr>
          <w:rFonts w:ascii="Times New Roman" w:hAnsi="Times New Roman"/>
          <w:lang w:val="pt-BR"/>
        </w:rPr>
        <w:t xml:space="preserve">O rendimento percentual global em MAG e DAG – </w:t>
      </w:r>
      <m:oMath>
        <m:sSub>
          <m:sSubPr>
            <m:ctrlPr>
              <w:rPr>
                <w:rFonts w:ascii="Cambria Math" w:hAnsi="Cambria Math"/>
                <w:i/>
                <w:iCs/>
              </w:rPr>
            </m:ctrlPr>
          </m:sSubPr>
          <m:e>
            <m:r>
              <w:rPr>
                <w:rFonts w:ascii="Cambria Math" w:hAnsi="Cambria Math"/>
              </w:rPr>
              <m:t>Y</m:t>
            </m:r>
          </m:e>
          <m:sub>
            <m:r>
              <w:rPr>
                <w:rFonts w:ascii="Cambria Math" w:hAnsi="Cambria Math"/>
                <w:lang w:val="pt-BR"/>
              </w:rPr>
              <m:t>(</m:t>
            </m:r>
            <m:r>
              <w:rPr>
                <w:rFonts w:ascii="Cambria Math" w:hAnsi="Cambria Math"/>
              </w:rPr>
              <m:t>MAG</m:t>
            </m:r>
            <m:r>
              <w:rPr>
                <w:rFonts w:ascii="Cambria Math" w:hAnsi="Cambria Math"/>
                <w:lang w:val="pt-BR"/>
              </w:rPr>
              <m:t>+</m:t>
            </m:r>
            <m:r>
              <w:rPr>
                <w:rFonts w:ascii="Cambria Math" w:hAnsi="Cambria Math"/>
              </w:rPr>
              <m:t>DAG</m:t>
            </m:r>
            <m:r>
              <w:rPr>
                <w:rFonts w:ascii="Cambria Math" w:hAnsi="Cambria Math"/>
                <w:lang w:val="pt-BR"/>
              </w:rPr>
              <m:t>)</m:t>
            </m:r>
          </m:sub>
        </m:sSub>
      </m:oMath>
      <w:r w:rsidRPr="00D8075E">
        <w:rPr>
          <w:rFonts w:ascii="Times New Roman" w:hAnsi="Times New Roman"/>
          <w:iCs/>
          <w:lang w:val="pt-BR"/>
        </w:rPr>
        <w:t xml:space="preserve">, </w:t>
      </w:r>
      <w:bookmarkEnd w:id="2"/>
      <w:r w:rsidRPr="00D8075E">
        <w:rPr>
          <w:rFonts w:ascii="Times New Roman" w:hAnsi="Times New Roman"/>
          <w:lang w:val="pt-BR"/>
        </w:rPr>
        <w:t xml:space="preserve">é mostrado na Equação </w:t>
      </w:r>
      <w:r>
        <w:rPr>
          <w:rFonts w:ascii="Times New Roman" w:hAnsi="Times New Roman"/>
          <w:lang w:val="pt-BR"/>
        </w:rPr>
        <w:t>5</w:t>
      </w:r>
      <w:r w:rsidRPr="00D8075E">
        <w:rPr>
          <w:rFonts w:ascii="Times New Roman" w:hAnsi="Times New Roman"/>
          <w:lang w:val="pt-BR"/>
        </w:rPr>
        <w:t>, equivalendo à razão entre o somatório do número de mols de MAG e DAG e o número de mols de TAG que reagiram.</w:t>
      </w:r>
    </w:p>
    <w:p w14:paraId="51BF3C22" w14:textId="77777777" w:rsidR="00515111" w:rsidRDefault="00515111" w:rsidP="00D8075E">
      <w:pPr>
        <w:pStyle w:val="TAMainText"/>
        <w:rPr>
          <w:rFonts w:ascii="Times New Roman" w:hAnsi="Times New Roman"/>
          <w:lang w:val="pt-BR"/>
        </w:rPr>
      </w:pPr>
    </w:p>
    <w:p w14:paraId="6EDC92EB" w14:textId="41A2ADA8" w:rsidR="00D8075E" w:rsidRPr="00D8075E" w:rsidRDefault="00D8075E" w:rsidP="00D8075E">
      <w:pPr>
        <w:jc w:val="right"/>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Y</m:t>
            </m:r>
          </m:e>
          <m:sub>
            <m:r>
              <w:rPr>
                <w:rFonts w:ascii="Cambria Math" w:hAnsi="Cambria Math" w:cs="Times New Roman"/>
                <w:sz w:val="20"/>
                <w:szCs w:val="20"/>
              </w:rPr>
              <m:t>(MAG+DAG)</m:t>
            </m:r>
          </m:sub>
        </m:sSub>
        <m:r>
          <w:rPr>
            <w:rFonts w:ascii="Cambria Math" w:hAnsi="Cambria Math" w:cs="Times New Roman"/>
            <w:sz w:val="20"/>
            <w:szCs w:val="20"/>
          </w:rPr>
          <m:t>=</m:t>
        </m:r>
        <m:f>
          <m:fPr>
            <m:ctrlPr>
              <w:rPr>
                <w:rFonts w:ascii="Cambria Math" w:hAnsi="Cambria Math" w:cs="Times New Roman"/>
                <w:i/>
                <w:iCs/>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(MAG+DAG)</m:t>
                </m:r>
              </m:sub>
            </m:sSub>
          </m:num>
          <m:den>
            <m:sSub>
              <m:sSubPr>
                <m:ctrlPr>
                  <w:rPr>
                    <w:rFonts w:ascii="Cambria Math" w:hAnsi="Cambria Math" w:cs="Times New Roman"/>
                    <w:i/>
                    <w:iCs/>
                    <w:sz w:val="20"/>
                    <w:szCs w:val="20"/>
                  </w:rPr>
                </m:ctrlPr>
              </m:sSubPr>
              <m:e>
                <m:r>
                  <w:rPr>
                    <w:rFonts w:ascii="Cambria Math" w:hAnsi="Cambria Math" w:cs="Times New Roman"/>
                    <w:sz w:val="20"/>
                    <w:szCs w:val="20"/>
                  </w:rPr>
                  <m:t>n</m:t>
                </m:r>
              </m:e>
              <m:sub>
                <m:sSub>
                  <m:sSubPr>
                    <m:ctrlPr>
                      <w:rPr>
                        <w:rFonts w:ascii="Cambria Math" w:hAnsi="Cambria Math" w:cs="Times New Roman"/>
                        <w:i/>
                        <w:iCs/>
                        <w:sz w:val="20"/>
                        <w:szCs w:val="20"/>
                      </w:rPr>
                    </m:ctrlPr>
                  </m:sSubPr>
                  <m:e>
                    <m:r>
                      <w:rPr>
                        <w:rFonts w:ascii="Cambria Math" w:hAnsi="Cambria Math" w:cs="Times New Roman"/>
                        <w:sz w:val="20"/>
                        <w:szCs w:val="20"/>
                      </w:rPr>
                      <m:t>TAG</m:t>
                    </m:r>
                  </m:e>
                  <m:sub>
                    <m:r>
                      <w:rPr>
                        <w:rFonts w:ascii="Cambria Math" w:hAnsi="Cambria Math" w:cs="Times New Roman"/>
                        <w:sz w:val="20"/>
                        <w:szCs w:val="20"/>
                      </w:rPr>
                      <m:t>0</m:t>
                    </m:r>
                  </m:sub>
                </m:sSub>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TAG</m:t>
                </m:r>
              </m:sub>
            </m:sSub>
          </m:den>
        </m:f>
        <m:r>
          <w:rPr>
            <w:rFonts w:ascii="Cambria Math" w:hAnsi="Cambria Math" w:cs="Times New Roman"/>
            <w:sz w:val="20"/>
            <w:szCs w:val="20"/>
          </w:rPr>
          <m:t>.100</m:t>
        </m:r>
      </m:oMath>
      <w:r w:rsidRPr="00D8075E">
        <w:rPr>
          <w:rFonts w:ascii="Times New Roman" w:hAnsi="Times New Roman" w:cs="Times New Roman"/>
          <w:sz w:val="20"/>
          <w:szCs w:val="20"/>
        </w:rPr>
        <w:tab/>
      </w:r>
      <w:r w:rsidRPr="00D8075E">
        <w:rPr>
          <w:rFonts w:ascii="Times New Roman" w:hAnsi="Times New Roman" w:cs="Times New Roman"/>
          <w:sz w:val="20"/>
          <w:szCs w:val="20"/>
        </w:rPr>
        <w:tab/>
      </w:r>
      <w:r w:rsidRPr="00D8075E">
        <w:rPr>
          <w:rFonts w:ascii="Times New Roman" w:hAnsi="Times New Roman" w:cs="Times New Roman"/>
          <w:sz w:val="20"/>
          <w:szCs w:val="20"/>
        </w:rPr>
        <w:tab/>
        <w:t>(</w:t>
      </w:r>
      <w:r>
        <w:rPr>
          <w:rFonts w:ascii="Times New Roman" w:hAnsi="Times New Roman" w:cs="Times New Roman"/>
          <w:sz w:val="20"/>
          <w:szCs w:val="20"/>
        </w:rPr>
        <w:t>5</w:t>
      </w:r>
      <w:r w:rsidRPr="00D8075E">
        <w:rPr>
          <w:rFonts w:ascii="Times New Roman" w:hAnsi="Times New Roman" w:cs="Times New Roman"/>
          <w:sz w:val="20"/>
          <w:szCs w:val="20"/>
        </w:rPr>
        <w:t>)</w:t>
      </w:r>
    </w:p>
    <w:p w14:paraId="6034D833" w14:textId="6797E8E1" w:rsidR="00D8075E" w:rsidRPr="00D8075E" w:rsidRDefault="00D8075E" w:rsidP="00D8075E">
      <w:pPr>
        <w:pStyle w:val="TAMainText"/>
        <w:ind w:firstLine="0"/>
        <w:rPr>
          <w:rFonts w:ascii="Times New Roman" w:hAnsi="Times New Roman"/>
          <w:lang w:val="pt-BR"/>
        </w:rPr>
      </w:pPr>
      <w:r w:rsidRPr="00D8075E">
        <w:rPr>
          <w:rFonts w:ascii="Times New Roman" w:hAnsi="Times New Roman"/>
          <w:lang w:val="pt-BR"/>
        </w:rPr>
        <w:t>Onde:</w:t>
      </w:r>
    </w:p>
    <w:p w14:paraId="66570C8B" w14:textId="615C3CF5" w:rsidR="00D8075E" w:rsidRPr="00D8075E" w:rsidRDefault="00D8075E" w:rsidP="00D8075E">
      <w:pPr>
        <w:pStyle w:val="TAMainText"/>
        <w:ind w:firstLine="0"/>
        <w:rPr>
          <w:rFonts w:ascii="Times New Roman" w:hAnsi="Times New Roman"/>
          <w:lang w:val="pt-BR"/>
        </w:rPr>
      </w:pPr>
      <m:oMath>
        <m:sSub>
          <m:sSubPr>
            <m:ctrlPr>
              <w:rPr>
                <w:rFonts w:ascii="Cambria Math" w:hAnsi="Cambria Math"/>
                <w:i/>
              </w:rPr>
            </m:ctrlPr>
          </m:sSubPr>
          <m:e>
            <m:r>
              <w:rPr>
                <w:rFonts w:ascii="Cambria Math" w:hAnsi="Cambria Math"/>
              </w:rPr>
              <m:t>n</m:t>
            </m:r>
          </m:e>
          <m:sub>
            <m:r>
              <w:rPr>
                <w:rFonts w:ascii="Cambria Math" w:hAnsi="Cambria Math"/>
                <w:lang w:val="pt-BR"/>
              </w:rPr>
              <m:t>(</m:t>
            </m:r>
            <m:r>
              <w:rPr>
                <w:rFonts w:ascii="Cambria Math" w:hAnsi="Cambria Math"/>
              </w:rPr>
              <m:t>MAG</m:t>
            </m:r>
            <m:r>
              <w:rPr>
                <w:rFonts w:ascii="Cambria Math" w:hAnsi="Cambria Math"/>
                <w:lang w:val="pt-BR"/>
              </w:rPr>
              <m:t>+</m:t>
            </m:r>
            <m:r>
              <w:rPr>
                <w:rFonts w:ascii="Cambria Math" w:hAnsi="Cambria Math"/>
              </w:rPr>
              <m:t>DAG</m:t>
            </m:r>
            <m:r>
              <w:rPr>
                <w:rFonts w:ascii="Cambria Math" w:hAnsi="Cambria Math"/>
                <w:lang w:val="pt-BR"/>
              </w:rPr>
              <m:t>)</m:t>
            </m:r>
          </m:sub>
        </m:sSub>
        <m:r>
          <w:rPr>
            <w:rFonts w:ascii="Cambria Math" w:hAnsi="Cambria Math"/>
            <w:lang w:val="pt-BR"/>
          </w:rPr>
          <m:t xml:space="preserve"> </m:t>
        </m:r>
      </m:oMath>
      <w:r w:rsidRPr="00D8075E">
        <w:rPr>
          <w:rFonts w:ascii="Times New Roman" w:hAnsi="Times New Roman"/>
          <w:lang w:val="pt-BR"/>
        </w:rPr>
        <w:t>= mols de mono e diacilglicerídeos ao longo da reação;</w:t>
      </w:r>
    </w:p>
    <w:p w14:paraId="34891F8A" w14:textId="6ED3D9BA" w:rsidR="00D8075E" w:rsidRPr="00D8075E" w:rsidRDefault="00D8075E" w:rsidP="00D8075E">
      <w:pPr>
        <w:pStyle w:val="TAMainText"/>
        <w:ind w:firstLine="0"/>
        <w:rPr>
          <w:rFonts w:ascii="Times New Roman" w:hAnsi="Times New Roman"/>
          <w:lang w:val="pt-BR"/>
        </w:rPr>
      </w:pPr>
      <m:oMath>
        <m:sSub>
          <m:sSubPr>
            <m:ctrlPr>
              <w:rPr>
                <w:rFonts w:ascii="Cambria Math" w:hAnsi="Cambria Math"/>
                <w:i/>
                <w:iCs/>
              </w:rPr>
            </m:ctrlPr>
          </m:sSubPr>
          <m:e>
            <m:r>
              <w:rPr>
                <w:rFonts w:ascii="Cambria Math" w:hAnsi="Cambria Math"/>
              </w:rPr>
              <m:t>n</m:t>
            </m:r>
          </m:e>
          <m:sub>
            <m:sSub>
              <m:sSubPr>
                <m:ctrlPr>
                  <w:rPr>
                    <w:rFonts w:ascii="Cambria Math" w:hAnsi="Cambria Math"/>
                    <w:i/>
                    <w:iCs/>
                  </w:rPr>
                </m:ctrlPr>
              </m:sSubPr>
              <m:e>
                <m:r>
                  <w:rPr>
                    <w:rFonts w:ascii="Cambria Math" w:hAnsi="Cambria Math"/>
                  </w:rPr>
                  <m:t>TAG</m:t>
                </m:r>
              </m:e>
              <m:sub>
                <m:r>
                  <w:rPr>
                    <w:rFonts w:ascii="Cambria Math" w:hAnsi="Cambria Math"/>
                    <w:lang w:val="pt-BR"/>
                  </w:rPr>
                  <m:t>0</m:t>
                </m:r>
              </m:sub>
            </m:sSub>
          </m:sub>
        </m:sSub>
      </m:oMath>
      <w:r w:rsidRPr="00D8075E">
        <w:rPr>
          <w:rFonts w:ascii="Times New Roman" w:hAnsi="Times New Roman"/>
          <w:lang w:val="pt-BR"/>
        </w:rPr>
        <w:t>= mols de triacilglicerídeos iniciais;</w:t>
      </w:r>
    </w:p>
    <w:p w14:paraId="0FBB3627" w14:textId="0493F182" w:rsidR="00552A57" w:rsidRDefault="00D8075E" w:rsidP="00515111">
      <w:pPr>
        <w:pStyle w:val="TAMainText"/>
        <w:ind w:firstLine="0"/>
        <w:rPr>
          <w:rFonts w:ascii="Times New Roman" w:hAnsi="Times New Roman"/>
          <w:lang w:val="pt-BR"/>
        </w:rPr>
      </w:pPr>
      <m:oMath>
        <m:sSub>
          <m:sSubPr>
            <m:ctrlPr>
              <w:rPr>
                <w:rFonts w:ascii="Cambria Math" w:hAnsi="Cambria Math"/>
                <w:i/>
                <w:iCs/>
                <w:lang w:val="pt-BR"/>
              </w:rPr>
            </m:ctrlPr>
          </m:sSubPr>
          <m:e>
            <m:r>
              <w:rPr>
                <w:rFonts w:ascii="Cambria Math" w:hAnsi="Cambria Math"/>
                <w:lang w:val="pt-BR"/>
              </w:rPr>
              <m:t>n</m:t>
            </m:r>
          </m:e>
          <m:sub>
            <m:sSub>
              <m:sSubPr>
                <m:ctrlPr>
                  <w:rPr>
                    <w:rFonts w:ascii="Cambria Math" w:hAnsi="Cambria Math"/>
                    <w:i/>
                    <w:iCs/>
                    <w:lang w:val="pt-BR"/>
                  </w:rPr>
                </m:ctrlPr>
              </m:sSubPr>
              <m:e>
                <m:r>
                  <w:rPr>
                    <w:rFonts w:ascii="Cambria Math" w:hAnsi="Cambria Math"/>
                    <w:lang w:val="pt-BR"/>
                  </w:rPr>
                  <m:t>TAG</m:t>
                </m:r>
              </m:e>
              <m:sub>
                <m:r>
                  <w:rPr>
                    <w:rFonts w:ascii="Cambria Math" w:hAnsi="Cambria Math"/>
                    <w:lang w:val="pt-BR"/>
                  </w:rPr>
                  <m:t>t</m:t>
                </m:r>
              </m:sub>
            </m:sSub>
          </m:sub>
        </m:sSub>
        <m:r>
          <w:rPr>
            <w:rFonts w:ascii="Cambria Math" w:hAnsi="Cambria Math"/>
            <w:lang w:val="pt-BR"/>
          </w:rPr>
          <m:t> </m:t>
        </m:r>
      </m:oMath>
      <w:r w:rsidRPr="00D8075E">
        <w:rPr>
          <w:rFonts w:ascii="Times New Roman" w:hAnsi="Times New Roman"/>
          <w:lang w:val="pt-BR"/>
        </w:rPr>
        <w:t xml:space="preserve">= mols de </w:t>
      </w:r>
      <w:proofErr w:type="spellStart"/>
      <w:r w:rsidRPr="00D8075E">
        <w:rPr>
          <w:rFonts w:ascii="Times New Roman" w:hAnsi="Times New Roman"/>
          <w:lang w:val="pt-BR"/>
        </w:rPr>
        <w:t>triacilglicerídeo</w:t>
      </w:r>
      <w:r>
        <w:rPr>
          <w:rFonts w:ascii="Times New Roman" w:hAnsi="Times New Roman"/>
          <w:lang w:val="pt-BR"/>
        </w:rPr>
        <w:t>s</w:t>
      </w:r>
      <w:proofErr w:type="spellEnd"/>
      <w:r w:rsidRPr="00D8075E">
        <w:rPr>
          <w:rFonts w:ascii="Times New Roman" w:hAnsi="Times New Roman"/>
          <w:lang w:val="pt-BR"/>
        </w:rPr>
        <w:t xml:space="preserve"> ao longo da reação.</w:t>
      </w:r>
    </w:p>
    <w:p w14:paraId="113A7552" w14:textId="77777777" w:rsidR="00515111" w:rsidRPr="00515111" w:rsidRDefault="00515111" w:rsidP="00515111">
      <w:pPr>
        <w:pStyle w:val="TAMainText"/>
        <w:ind w:firstLine="0"/>
        <w:rPr>
          <w:rFonts w:ascii="Times New Roman" w:hAnsi="Times New Roman"/>
          <w:lang w:val="pt-BR"/>
        </w:rPr>
      </w:pPr>
    </w:p>
    <w:p w14:paraId="14A88E48" w14:textId="52CDF392" w:rsidR="00EE4A00" w:rsidRDefault="00EE4A00" w:rsidP="00EE4A00">
      <w:pPr>
        <w:pStyle w:val="TAMainText"/>
        <w:rPr>
          <w:rFonts w:ascii="Times New Roman" w:hAnsi="Times New Roman"/>
          <w:lang w:val="pt-BR"/>
        </w:rPr>
      </w:pPr>
      <w:r>
        <w:rPr>
          <w:rFonts w:ascii="Times New Roman" w:hAnsi="Times New Roman"/>
          <w:lang w:val="pt-BR"/>
        </w:rPr>
        <w:t>O</w:t>
      </w:r>
      <w:r w:rsidRPr="00EE4A00">
        <w:rPr>
          <w:rFonts w:ascii="Times New Roman" w:hAnsi="Times New Roman"/>
          <w:lang w:val="pt-BR"/>
        </w:rPr>
        <w:t xml:space="preserve"> modelo de lei de velocidade para a reação homogênea reversível é apresentado a seguir. Para a </w:t>
      </w:r>
      <w:r>
        <w:rPr>
          <w:rFonts w:ascii="Times New Roman" w:hAnsi="Times New Roman"/>
          <w:lang w:val="pt-BR"/>
        </w:rPr>
        <w:t xml:space="preserve">molécula de </w:t>
      </w:r>
      <w:proofErr w:type="spellStart"/>
      <w:r>
        <w:rPr>
          <w:rFonts w:ascii="Times New Roman" w:hAnsi="Times New Roman"/>
          <w:lang w:val="pt-BR"/>
        </w:rPr>
        <w:t>triacilglicerídeos</w:t>
      </w:r>
      <w:proofErr w:type="spellEnd"/>
      <w:r>
        <w:rPr>
          <w:rFonts w:ascii="Times New Roman" w:hAnsi="Times New Roman"/>
          <w:lang w:val="pt-BR"/>
        </w:rPr>
        <w:t xml:space="preserve"> (A)</w:t>
      </w:r>
      <w:r w:rsidRPr="00EE4A00">
        <w:rPr>
          <w:rFonts w:ascii="Times New Roman" w:hAnsi="Times New Roman"/>
          <w:lang w:val="pt-BR"/>
        </w:rPr>
        <w:t xml:space="preserve">, temos (Equação </w:t>
      </w:r>
      <w:r>
        <w:rPr>
          <w:rFonts w:ascii="Times New Roman" w:hAnsi="Times New Roman"/>
          <w:lang w:val="pt-BR"/>
        </w:rPr>
        <w:t>6</w:t>
      </w:r>
      <w:r w:rsidRPr="00EE4A00">
        <w:rPr>
          <w:rFonts w:ascii="Times New Roman" w:hAnsi="Times New Roman"/>
          <w:lang w:val="pt-BR"/>
        </w:rPr>
        <w:t>).</w:t>
      </w:r>
    </w:p>
    <w:p w14:paraId="5B014E3C" w14:textId="77777777" w:rsidR="00515111" w:rsidRDefault="00515111" w:rsidP="00EE4A00">
      <w:pPr>
        <w:pStyle w:val="TAMainText"/>
        <w:rPr>
          <w:rFonts w:ascii="Times New Roman" w:hAnsi="Times New Roman"/>
          <w:lang w:val="pt-BR"/>
        </w:rPr>
      </w:pPr>
    </w:p>
    <w:p w14:paraId="7DA22DF7" w14:textId="2082B335" w:rsidR="00EE4A00" w:rsidRPr="00EE4A00" w:rsidRDefault="00EE4A00" w:rsidP="00EE4A00">
      <w:pPr>
        <w:jc w:val="center"/>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m:t>
                </m:r>
              </m:sub>
            </m:sSub>
          </m:num>
          <m:den>
            <m:r>
              <w:rPr>
                <w:rFonts w:ascii="Cambria Math" w:hAnsi="Cambria Math" w:cs="Times New Roman"/>
                <w:sz w:val="20"/>
                <w:szCs w:val="20"/>
              </w:rPr>
              <m:t>dt</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A</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A</m:t>
            </m:r>
          </m:sub>
          <m:sup>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A</m:t>
                </m:r>
              </m:sub>
            </m:sSub>
          </m:sup>
        </m:sSubSup>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B</m:t>
            </m:r>
          </m:sub>
          <m:sup>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B</m:t>
                </m:r>
              </m:sub>
            </m:sSub>
          </m:sup>
        </m:sSub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C</m:t>
            </m:r>
          </m:sub>
          <m:sup>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C</m:t>
                </m:r>
              </m:sub>
            </m:sSub>
          </m:sup>
        </m:sSubSup>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D</m:t>
            </m:r>
          </m:sub>
          <m:sup>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D</m:t>
                </m:r>
              </m:sub>
            </m:sSub>
          </m:sup>
        </m:sSubSup>
      </m:oMath>
      <w:r w:rsidRPr="00EE4A00">
        <w:rPr>
          <w:rFonts w:ascii="Times New Roman" w:hAnsi="Times New Roman" w:cs="Times New Roman"/>
          <w:sz w:val="20"/>
          <w:szCs w:val="20"/>
        </w:rPr>
        <w:tab/>
      </w:r>
      <w:r w:rsidRPr="00EE4A00">
        <w:rPr>
          <w:rFonts w:ascii="Times New Roman" w:hAnsi="Times New Roman" w:cs="Times New Roman"/>
          <w:sz w:val="20"/>
          <w:szCs w:val="20"/>
        </w:rPr>
        <w:tab/>
        <w:t>(</w:t>
      </w:r>
      <w:r>
        <w:rPr>
          <w:rFonts w:ascii="Times New Roman" w:hAnsi="Times New Roman" w:cs="Times New Roman"/>
          <w:sz w:val="20"/>
          <w:szCs w:val="20"/>
        </w:rPr>
        <w:t>6</w:t>
      </w:r>
      <w:r w:rsidRPr="00EE4A00">
        <w:rPr>
          <w:rFonts w:ascii="Times New Roman" w:hAnsi="Times New Roman" w:cs="Times New Roman"/>
          <w:sz w:val="20"/>
          <w:szCs w:val="20"/>
        </w:rPr>
        <w:t>)</w:t>
      </w:r>
    </w:p>
    <w:p w14:paraId="133B118F" w14:textId="77777777" w:rsidR="000D71A8" w:rsidRPr="000D71A8" w:rsidRDefault="000D71A8" w:rsidP="000D71A8">
      <w:pPr>
        <w:pStyle w:val="TAMainText"/>
        <w:ind w:firstLine="0"/>
        <w:rPr>
          <w:rFonts w:ascii="Times New Roman" w:hAnsi="Times New Roman"/>
          <w:lang w:val="pt-BR"/>
        </w:rPr>
      </w:pPr>
      <w:r w:rsidRPr="000D71A8">
        <w:rPr>
          <w:rFonts w:ascii="Times New Roman" w:hAnsi="Times New Roman"/>
          <w:lang w:val="pt-BR"/>
        </w:rPr>
        <w:t>Onde:</w:t>
      </w:r>
    </w:p>
    <w:p w14:paraId="5C1D46B5" w14:textId="51F6CBC5" w:rsidR="000D71A8" w:rsidRPr="000D71A8" w:rsidRDefault="000D71A8" w:rsidP="000D71A8">
      <w:pPr>
        <w:pStyle w:val="TAMainText"/>
        <w:ind w:firstLine="0"/>
        <w:rPr>
          <w:rFonts w:ascii="Times New Roman" w:hAnsi="Times New Roman"/>
          <w:lang w:val="pt-BR"/>
        </w:rPr>
      </w:pPr>
      <m:oMath>
        <m:sSub>
          <m:sSubPr>
            <m:ctrlPr>
              <w:rPr>
                <w:rFonts w:ascii="Cambria Math" w:hAnsi="Cambria Math"/>
                <w:i/>
              </w:rPr>
            </m:ctrlPr>
          </m:sSubPr>
          <m:e>
            <m:r>
              <w:rPr>
                <w:rFonts w:ascii="Cambria Math" w:hAnsi="Cambria Math"/>
              </w:rPr>
              <m:t>r</m:t>
            </m:r>
          </m:e>
          <m:sub>
            <m:r>
              <w:rPr>
                <w:rFonts w:ascii="Cambria Math" w:hAnsi="Cambria Math"/>
              </w:rPr>
              <m:t>j</m:t>
            </m:r>
          </m:sub>
        </m:sSub>
      </m:oMath>
      <w:r w:rsidRPr="000D71A8">
        <w:rPr>
          <w:rFonts w:ascii="Times New Roman" w:hAnsi="Times New Roman"/>
          <w:lang w:val="pt-BR"/>
        </w:rPr>
        <w:t>= velocidade de formação da espécie j;</w:t>
      </w:r>
    </w:p>
    <w:p w14:paraId="6A2E6A96" w14:textId="6FA48108" w:rsidR="000D71A8" w:rsidRPr="000D71A8" w:rsidRDefault="000D71A8" w:rsidP="000D71A8">
      <w:pPr>
        <w:pStyle w:val="TAMainText"/>
        <w:ind w:firstLine="0"/>
        <w:rPr>
          <w:rFonts w:ascii="Times New Roman" w:hAnsi="Times New Roman"/>
          <w:lang w:val="pt-BR"/>
        </w:rPr>
      </w:pP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0D71A8">
        <w:rPr>
          <w:rFonts w:ascii="Times New Roman" w:hAnsi="Times New Roman"/>
          <w:lang w:val="pt-BR"/>
        </w:rPr>
        <w:t>= concentração da espécie j;</w:t>
      </w:r>
    </w:p>
    <w:p w14:paraId="11BBFEB9" w14:textId="6239B5C9" w:rsidR="000D71A8" w:rsidRPr="000D71A8" w:rsidRDefault="000D71A8" w:rsidP="000D71A8">
      <w:pPr>
        <w:pStyle w:val="TAMainText"/>
        <w:ind w:firstLine="0"/>
        <w:rPr>
          <w:rFonts w:ascii="Times New Roman" w:hAnsi="Times New Roman"/>
          <w:lang w:val="pt-BR"/>
        </w:rPr>
      </w:pPr>
      <m:oMath>
        <m:sSub>
          <m:sSubPr>
            <m:ctrlPr>
              <w:rPr>
                <w:rFonts w:ascii="Cambria Math" w:hAnsi="Cambria Math"/>
                <w:i/>
              </w:rPr>
            </m:ctrlPr>
          </m:sSubPr>
          <m:e>
            <m:r>
              <w:rPr>
                <w:rFonts w:ascii="Cambria Math" w:hAnsi="Cambria Math"/>
              </w:rPr>
              <m:t>O</m:t>
            </m:r>
          </m:e>
          <m:sub>
            <m:r>
              <w:rPr>
                <w:rFonts w:ascii="Cambria Math" w:hAnsi="Cambria Math"/>
              </w:rPr>
              <m:t>j</m:t>
            </m:r>
          </m:sub>
        </m:sSub>
      </m:oMath>
      <w:r w:rsidRPr="000D71A8">
        <w:rPr>
          <w:rFonts w:ascii="Times New Roman" w:hAnsi="Times New Roman"/>
          <w:lang w:val="pt-BR"/>
        </w:rPr>
        <w:t>= ordem parcial da reação;</w:t>
      </w:r>
    </w:p>
    <w:p w14:paraId="58F9B4E6" w14:textId="5C234A42" w:rsidR="000D71A8" w:rsidRDefault="000D71A8" w:rsidP="00515111">
      <w:pPr>
        <w:pStyle w:val="TAMainText"/>
        <w:ind w:firstLine="0"/>
        <w:rPr>
          <w:rFonts w:ascii="Times New Roman" w:hAnsi="Times New Roman"/>
          <w:lang w:val="pt-BR"/>
        </w:rPr>
      </w:pPr>
      <m:oMath>
        <m:sSub>
          <m:sSubPr>
            <m:ctrlPr>
              <w:rPr>
                <w:rFonts w:ascii="Cambria Math" w:hAnsi="Cambria Math"/>
                <w:i/>
              </w:rPr>
            </m:ctrlPr>
          </m:sSubPr>
          <m:e>
            <m:r>
              <w:rPr>
                <w:rFonts w:ascii="Cambria Math" w:hAnsi="Cambria Math"/>
              </w:rPr>
              <m:t>k</m:t>
            </m:r>
          </m:e>
          <m:sub>
            <m:r>
              <w:rPr>
                <w:rFonts w:ascii="Cambria Math" w:hAnsi="Cambria Math"/>
              </w:rPr>
              <m:t>x</m:t>
            </m:r>
          </m:sub>
        </m:sSub>
      </m:oMath>
      <w:r w:rsidRPr="000D71A8">
        <w:rPr>
          <w:rFonts w:ascii="Times New Roman" w:hAnsi="Times New Roman"/>
          <w:lang w:val="pt-BR"/>
        </w:rPr>
        <w:t>= constante de velocidade da reação;</w:t>
      </w:r>
    </w:p>
    <w:p w14:paraId="05DEF34D" w14:textId="77777777" w:rsidR="00515111" w:rsidRDefault="00515111" w:rsidP="00515111">
      <w:pPr>
        <w:pStyle w:val="TAMainText"/>
        <w:ind w:firstLine="0"/>
        <w:rPr>
          <w:rFonts w:ascii="Times New Roman" w:hAnsi="Times New Roman"/>
          <w:lang w:val="pt-BR"/>
        </w:rPr>
      </w:pPr>
    </w:p>
    <w:p w14:paraId="49EBEF27" w14:textId="7496D1C0" w:rsidR="00EE4A00" w:rsidRDefault="00EE4A00" w:rsidP="00EE4A00">
      <w:pPr>
        <w:pStyle w:val="TAMainText"/>
        <w:rPr>
          <w:rFonts w:ascii="Times New Roman" w:hAnsi="Times New Roman"/>
          <w:lang w:val="pt-BR"/>
        </w:rPr>
      </w:pPr>
      <w:r>
        <w:rPr>
          <w:rFonts w:ascii="Times New Roman" w:hAnsi="Times New Roman"/>
          <w:lang w:val="pt-BR"/>
        </w:rPr>
        <w:t>Utilizando o método das taxas iniciais e considerando a concentração de água (B) em excesso (constante)</w:t>
      </w:r>
      <w:r w:rsidR="000D71A8">
        <w:rPr>
          <w:rFonts w:ascii="Times New Roman" w:hAnsi="Times New Roman"/>
          <w:lang w:val="pt-BR"/>
        </w:rPr>
        <w:t xml:space="preserve">, </w:t>
      </w:r>
      <w:r w:rsidR="000D71A8" w:rsidRPr="000D71A8">
        <w:rPr>
          <w:rFonts w:ascii="Times New Roman" w:hAnsi="Times New Roman"/>
          <w:lang w:val="pt-BR"/>
        </w:rPr>
        <w:t xml:space="preserve">pode-se aplicar o método integral para a determinação da lei de velocidade da reação, integrando sua substituição na equação do balanço molar, com a condição de contorno </w:t>
      </w:r>
      <m:oMath>
        <m:sSub>
          <m:sSubPr>
            <m:ctrlPr>
              <w:rPr>
                <w:rFonts w:ascii="Cambria Math" w:hAnsi="Cambria Math"/>
                <w:i/>
                <w:lang w:val="pt-BR"/>
              </w:rPr>
            </m:ctrlPr>
          </m:sSubPr>
          <m:e>
            <m:r>
              <w:rPr>
                <w:rFonts w:ascii="Cambria Math" w:hAnsi="Cambria Math"/>
                <w:lang w:val="pt-BR"/>
              </w:rPr>
              <m:t>C</m:t>
            </m:r>
          </m:e>
          <m:sub>
            <m:r>
              <w:rPr>
                <w:rFonts w:ascii="Cambria Math" w:hAnsi="Cambria Math"/>
                <w:lang w:val="pt-BR"/>
              </w:rPr>
              <m:t>A</m:t>
            </m:r>
          </m:sub>
        </m:sSub>
        <m:r>
          <w:rPr>
            <w:rFonts w:ascii="Cambria Math" w:hAnsi="Cambria Math"/>
            <w:lang w:val="pt-BR"/>
          </w:rPr>
          <m:t>=</m:t>
        </m:r>
        <m:sSub>
          <m:sSubPr>
            <m:ctrlPr>
              <w:rPr>
                <w:rFonts w:ascii="Cambria Math" w:hAnsi="Cambria Math"/>
                <w:i/>
                <w:lang w:val="pt-BR"/>
              </w:rPr>
            </m:ctrlPr>
          </m:sSubPr>
          <m:e>
            <m:r>
              <w:rPr>
                <w:rFonts w:ascii="Cambria Math" w:hAnsi="Cambria Math"/>
                <w:lang w:val="pt-BR"/>
              </w:rPr>
              <m:t>C</m:t>
            </m:r>
          </m:e>
          <m:sub>
            <m:r>
              <w:rPr>
                <w:rFonts w:ascii="Cambria Math" w:hAnsi="Cambria Math"/>
                <w:lang w:val="pt-BR"/>
              </w:rPr>
              <m:t>A0</m:t>
            </m:r>
          </m:sub>
        </m:sSub>
      </m:oMath>
      <w:r w:rsidR="000D71A8" w:rsidRPr="000D71A8">
        <w:rPr>
          <w:rFonts w:ascii="Times New Roman" w:hAnsi="Times New Roman"/>
          <w:lang w:val="pt-BR"/>
        </w:rPr>
        <w:t xml:space="preserve"> em </w:t>
      </w:r>
      <m:oMath>
        <m:r>
          <w:rPr>
            <w:rFonts w:ascii="Cambria Math" w:hAnsi="Cambria Math"/>
            <w:lang w:val="pt-BR"/>
          </w:rPr>
          <m:t>t=0</m:t>
        </m:r>
      </m:oMath>
      <w:r w:rsidR="000D71A8" w:rsidRPr="000D71A8">
        <w:rPr>
          <w:rFonts w:ascii="Times New Roman" w:hAnsi="Times New Roman"/>
          <w:lang w:val="pt-BR"/>
        </w:rPr>
        <w:t xml:space="preserve">, expresso na Equação </w:t>
      </w:r>
      <w:r w:rsidR="000D71A8">
        <w:rPr>
          <w:rFonts w:ascii="Times New Roman" w:hAnsi="Times New Roman"/>
          <w:lang w:val="pt-BR"/>
        </w:rPr>
        <w:t>7.</w:t>
      </w:r>
    </w:p>
    <w:p w14:paraId="0E29048E" w14:textId="77777777" w:rsidR="00515111" w:rsidRDefault="00515111" w:rsidP="00EE4A00">
      <w:pPr>
        <w:pStyle w:val="TAMainText"/>
        <w:rPr>
          <w:rFonts w:ascii="Times New Roman" w:hAnsi="Times New Roman"/>
          <w:lang w:val="pt-BR"/>
        </w:rPr>
      </w:pPr>
    </w:p>
    <w:p w14:paraId="5BD36A7F" w14:textId="7CA9F93F" w:rsidR="000D71A8" w:rsidRDefault="000D71A8" w:rsidP="000D71A8">
      <w:pPr>
        <w:jc w:val="center"/>
        <w:rPr>
          <w:rFonts w:ascii="Times New Roman" w:hAnsi="Times New Roman" w:cs="Times New Roman"/>
          <w:sz w:val="20"/>
          <w:szCs w:val="20"/>
        </w:rPr>
      </w:pPr>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ln</m:t>
            </m:r>
          </m:fName>
          <m:e>
            <m:sSub>
              <m:sSubPr>
                <m:ctrlPr>
                  <w:rPr>
                    <w:rFonts w:ascii="Cambria Math" w:hAnsi="Cambria Math" w:cs="Times New Roman"/>
                    <w:i/>
                    <w:sz w:val="20"/>
                    <w:szCs w:val="20"/>
                  </w:rPr>
                </m:ctrlPr>
              </m:sSubPr>
              <m:e>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A0</m:t>
                            </m:r>
                          </m:sub>
                        </m:sSub>
                      </m:num>
                      <m:den>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m:t>
                            </m:r>
                          </m:sub>
                        </m:sSub>
                      </m:den>
                    </m:f>
                  </m:e>
                </m:d>
              </m:e>
              <m:sub>
                <m:r>
                  <w:rPr>
                    <w:rFonts w:ascii="Cambria Math" w:hAnsi="Cambria Math" w:cs="Times New Roman"/>
                    <w:sz w:val="20"/>
                    <w:szCs w:val="20"/>
                  </w:rPr>
                  <m:t>0</m:t>
                </m:r>
              </m:sub>
            </m:sSub>
          </m:e>
        </m:func>
        <m:r>
          <w:rPr>
            <w:rFonts w:ascii="Cambria Math" w:hAnsi="Cambria Math" w:cs="Times New Roman"/>
            <w:sz w:val="20"/>
            <w:szCs w:val="20"/>
          </w:rPr>
          <m:t>=</m:t>
        </m:r>
        <m:sSub>
          <m:sSubPr>
            <m:ctrlPr>
              <w:rPr>
                <w:rFonts w:ascii="Cambria Math" w:hAnsi="Cambria Math" w:cs="Times New Roman"/>
                <w:i/>
                <w:sz w:val="20"/>
                <w:szCs w:val="20"/>
              </w:rPr>
            </m:ctrlPr>
          </m:sSubPr>
          <m:e>
            <m:sSup>
              <m:sSupPr>
                <m:ctrlPr>
                  <w:rPr>
                    <w:rFonts w:ascii="Cambria Math" w:hAnsi="Cambria Math" w:cs="Times New Roman"/>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e>
          <m:sub>
            <m:r>
              <w:rPr>
                <w:rFonts w:ascii="Cambria Math" w:hAnsi="Cambria Math" w:cs="Times New Roman"/>
                <w:sz w:val="20"/>
                <w:szCs w:val="20"/>
              </w:rPr>
              <m:t>1</m:t>
            </m:r>
          </m:sub>
        </m:sSub>
        <m:r>
          <w:rPr>
            <w:rFonts w:ascii="Cambria Math" w:hAnsi="Cambria Math" w:cs="Times New Roman"/>
            <w:sz w:val="20"/>
            <w:szCs w:val="20"/>
          </w:rPr>
          <m:t>t</m:t>
        </m:r>
      </m:oMath>
      <w:r w:rsidRPr="000D71A8">
        <w:rPr>
          <w:rFonts w:ascii="Times New Roman" w:hAnsi="Times New Roman" w:cs="Times New Roman"/>
          <w:sz w:val="20"/>
          <w:szCs w:val="20"/>
        </w:rPr>
        <w:tab/>
      </w:r>
      <w:r w:rsidRPr="000D71A8">
        <w:rPr>
          <w:rFonts w:ascii="Times New Roman" w:hAnsi="Times New Roman" w:cs="Times New Roman"/>
          <w:sz w:val="20"/>
          <w:szCs w:val="20"/>
        </w:rPr>
        <w:tab/>
      </w:r>
      <w:r w:rsidRPr="000D71A8">
        <w:rPr>
          <w:rFonts w:ascii="Times New Roman" w:hAnsi="Times New Roman" w:cs="Times New Roman"/>
          <w:sz w:val="20"/>
          <w:szCs w:val="20"/>
        </w:rPr>
        <w:tab/>
      </w:r>
      <w:r w:rsidRPr="000D71A8">
        <w:rPr>
          <w:rFonts w:ascii="Times New Roman" w:hAnsi="Times New Roman" w:cs="Times New Roman"/>
          <w:sz w:val="20"/>
          <w:szCs w:val="20"/>
        </w:rPr>
        <w:tab/>
      </w:r>
      <w:r>
        <w:rPr>
          <w:rFonts w:ascii="Times New Roman" w:hAnsi="Times New Roman" w:cs="Times New Roman"/>
          <w:sz w:val="20"/>
          <w:szCs w:val="20"/>
        </w:rPr>
        <w:tab/>
      </w:r>
      <w:r w:rsidRPr="000D71A8">
        <w:rPr>
          <w:rFonts w:ascii="Times New Roman" w:hAnsi="Times New Roman" w:cs="Times New Roman"/>
          <w:sz w:val="20"/>
          <w:szCs w:val="20"/>
        </w:rPr>
        <w:t>(</w:t>
      </w:r>
      <w:r>
        <w:rPr>
          <w:rFonts w:ascii="Times New Roman" w:hAnsi="Times New Roman" w:cs="Times New Roman"/>
          <w:sz w:val="20"/>
          <w:szCs w:val="20"/>
        </w:rPr>
        <w:t>7</w:t>
      </w:r>
      <w:r w:rsidRPr="000D71A8">
        <w:rPr>
          <w:rFonts w:ascii="Times New Roman" w:hAnsi="Times New Roman" w:cs="Times New Roman"/>
          <w:sz w:val="20"/>
          <w:szCs w:val="20"/>
        </w:rPr>
        <w:t>)</w:t>
      </w:r>
    </w:p>
    <w:p w14:paraId="4C2814E9" w14:textId="35C9BF9F" w:rsidR="000D71A8" w:rsidRPr="000D71A8" w:rsidRDefault="000D71A8" w:rsidP="000D71A8">
      <w:pPr>
        <w:rPr>
          <w:rFonts w:ascii="Times New Roman" w:hAnsi="Times New Roman" w:cs="Times New Roman"/>
          <w:sz w:val="20"/>
          <w:szCs w:val="20"/>
        </w:rPr>
      </w:pPr>
      <w:r w:rsidRPr="000D71A8">
        <w:rPr>
          <w:rFonts w:ascii="Times New Roman" w:hAnsi="Times New Roman" w:cs="Times New Roman"/>
          <w:sz w:val="20"/>
          <w:szCs w:val="20"/>
        </w:rPr>
        <w:t xml:space="preserve">Na qual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B0</m:t>
            </m:r>
          </m:sub>
          <m:sup>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B</m:t>
                </m:r>
              </m:sub>
            </m:sSub>
          </m:sup>
        </m:sSubSup>
      </m:oMath>
      <w:r w:rsidRPr="000D71A8">
        <w:rPr>
          <w:rFonts w:ascii="Times New Roman" w:hAnsi="Times New Roman" w:cs="Times New Roman"/>
          <w:sz w:val="20"/>
          <w:szCs w:val="20"/>
        </w:rPr>
        <w:t>.</w:t>
      </w:r>
    </w:p>
    <w:p w14:paraId="2AB90173" w14:textId="4C268BD8" w:rsidR="000D71A8" w:rsidRDefault="000D71A8" w:rsidP="000D71A8">
      <w:pPr>
        <w:pStyle w:val="TAMainText"/>
        <w:rPr>
          <w:rFonts w:ascii="Times New Roman" w:hAnsi="Times New Roman"/>
          <w:lang w:val="pt-BR"/>
        </w:rPr>
      </w:pPr>
      <w:r w:rsidRPr="000D71A8">
        <w:rPr>
          <w:rFonts w:ascii="Times New Roman" w:hAnsi="Times New Roman"/>
          <w:lang w:val="pt-BR"/>
        </w:rPr>
        <w:t xml:space="preserve">A taxa específica </w:t>
      </w:r>
      <m:oMath>
        <m:d>
          <m:dPr>
            <m:ctrlPr>
              <w:rPr>
                <w:rFonts w:ascii="Cambria Math" w:hAnsi="Cambria Math"/>
                <w:i/>
              </w:rPr>
            </m:ctrlPr>
          </m:dPr>
          <m:e>
            <m:r>
              <w:rPr>
                <w:rFonts w:ascii="Cambria Math" w:hAnsi="Cambria Math"/>
                <w:lang w:val="pt-BR"/>
              </w:rPr>
              <m:t>-</m:t>
            </m:r>
            <m:sSub>
              <m:sSubPr>
                <m:ctrlPr>
                  <w:rPr>
                    <w:rFonts w:ascii="Cambria Math" w:hAnsi="Cambria Math"/>
                    <w:i/>
                  </w:rPr>
                </m:ctrlPr>
              </m:sSubPr>
              <m:e>
                <m:sSup>
                  <m:sSupPr>
                    <m:ctrlPr>
                      <w:rPr>
                        <w:rFonts w:ascii="Cambria Math" w:hAnsi="Cambria Math"/>
                        <w:i/>
                      </w:rPr>
                    </m:ctrlPr>
                  </m:sSupPr>
                  <m:e>
                    <m:r>
                      <w:rPr>
                        <w:rFonts w:ascii="Cambria Math" w:hAnsi="Cambria Math"/>
                      </w:rPr>
                      <m:t>r</m:t>
                    </m:r>
                  </m:e>
                  <m:sup>
                    <m:r>
                      <w:rPr>
                        <w:rFonts w:ascii="Cambria Math" w:hAnsi="Cambria Math"/>
                        <w:lang w:val="pt-BR"/>
                      </w:rPr>
                      <m:t>'</m:t>
                    </m:r>
                  </m:sup>
                </m:sSup>
              </m:e>
              <m:sub>
                <m:r>
                  <w:rPr>
                    <w:rFonts w:ascii="Cambria Math" w:hAnsi="Cambria Math"/>
                  </w:rPr>
                  <m:t>A</m:t>
                </m:r>
                <m:r>
                  <w:rPr>
                    <w:rFonts w:ascii="Cambria Math" w:hAnsi="Cambria Math"/>
                    <w:lang w:val="pt-BR"/>
                  </w:rPr>
                  <m:t>0</m:t>
                </m:r>
              </m:sub>
            </m:sSub>
          </m:e>
        </m:d>
      </m:oMath>
      <w:r w:rsidRPr="000D71A8">
        <w:rPr>
          <w:rFonts w:ascii="Times New Roman" w:hAnsi="Times New Roman"/>
          <w:lang w:val="pt-BR"/>
        </w:rPr>
        <w:t xml:space="preserve"> pode ser obtida multiplicando-se </w:t>
      </w:r>
      <w:r w:rsidR="00890357">
        <w:rPr>
          <w:rFonts w:ascii="Times New Roman" w:hAnsi="Times New Roman"/>
          <w:lang w:val="pt-BR"/>
        </w:rPr>
        <w:t>a equação do modelo de velocidade</w:t>
      </w:r>
      <w:r w:rsidRPr="000D71A8">
        <w:rPr>
          <w:rFonts w:ascii="Times New Roman" w:hAnsi="Times New Roman"/>
          <w:lang w:val="pt-BR"/>
        </w:rPr>
        <w:t xml:space="preserve"> pela razão entre o volume reacional (</w:t>
      </w:r>
      <m:oMath>
        <m:sSub>
          <m:sSubPr>
            <m:ctrlPr>
              <w:rPr>
                <w:rFonts w:ascii="Cambria Math" w:hAnsi="Cambria Math"/>
                <w:i/>
              </w:rPr>
            </m:ctrlPr>
          </m:sSubPr>
          <m:e>
            <m:r>
              <w:rPr>
                <w:rFonts w:ascii="Cambria Math" w:hAnsi="Cambria Math"/>
              </w:rPr>
              <m:t>V</m:t>
            </m:r>
          </m:e>
          <m:sub>
            <m:r>
              <w:rPr>
                <w:rFonts w:ascii="Cambria Math" w:hAnsi="Cambria Math"/>
              </w:rPr>
              <m:t>R</m:t>
            </m:r>
          </m:sub>
        </m:sSub>
        <m:r>
          <w:rPr>
            <w:rFonts w:ascii="Cambria Math" w:hAnsi="Cambria Math"/>
            <w:lang w:val="pt-BR"/>
          </w:rPr>
          <m:t>)</m:t>
        </m:r>
      </m:oMath>
      <w:r w:rsidRPr="000D71A8">
        <w:rPr>
          <w:rFonts w:ascii="Times New Roman" w:hAnsi="Times New Roman"/>
          <w:lang w:val="pt-BR"/>
        </w:rPr>
        <w:t xml:space="preserve"> e a massa de catalisador</w:t>
      </w:r>
      <w:r>
        <w:rPr>
          <w:rFonts w:ascii="Times New Roman" w:hAnsi="Times New Roman"/>
          <w:lang w:val="pt-BR"/>
        </w:rPr>
        <w:t xml:space="preserve"> </w:t>
      </w:r>
      <w:r w:rsidRPr="000D71A8">
        <w:rPr>
          <w:rFonts w:ascii="Times New Roman" w:hAnsi="Times New Roman"/>
          <w:lang w:val="pt-BR"/>
        </w:rPr>
        <w:t>(</w:t>
      </w:r>
      <m:oMath>
        <m:sSub>
          <m:sSubPr>
            <m:ctrlPr>
              <w:rPr>
                <w:rFonts w:ascii="Cambria Math" w:hAnsi="Cambria Math"/>
                <w:i/>
              </w:rPr>
            </m:ctrlPr>
          </m:sSubPr>
          <m:e>
            <m:r>
              <w:rPr>
                <w:rFonts w:ascii="Cambria Math" w:hAnsi="Cambria Math"/>
              </w:rPr>
              <m:t>m</m:t>
            </m:r>
          </m:e>
          <m:sub>
            <m:r>
              <w:rPr>
                <w:rFonts w:ascii="Cambria Math" w:hAnsi="Cambria Math"/>
              </w:rPr>
              <m:t>cat</m:t>
            </m:r>
          </m:sub>
        </m:sSub>
        <m:r>
          <w:rPr>
            <w:rFonts w:ascii="Cambria Math" w:hAnsi="Cambria Math"/>
            <w:lang w:val="pt-BR"/>
          </w:rPr>
          <m:t>)</m:t>
        </m:r>
      </m:oMath>
      <w:r w:rsidRPr="000D71A8">
        <w:rPr>
          <w:rFonts w:ascii="Times New Roman" w:hAnsi="Times New Roman"/>
          <w:lang w:val="pt-BR"/>
        </w:rPr>
        <w:t xml:space="preserve">, como está descrito na Equação </w:t>
      </w:r>
      <w:r>
        <w:rPr>
          <w:rFonts w:ascii="Times New Roman" w:hAnsi="Times New Roman"/>
          <w:lang w:val="pt-BR"/>
        </w:rPr>
        <w:t>8</w:t>
      </w:r>
      <w:r w:rsidRPr="000D71A8">
        <w:rPr>
          <w:rFonts w:ascii="Times New Roman" w:hAnsi="Times New Roman"/>
          <w:lang w:val="pt-BR"/>
        </w:rPr>
        <w:t>.</w:t>
      </w:r>
    </w:p>
    <w:p w14:paraId="671324FA" w14:textId="77777777" w:rsidR="00515111" w:rsidRDefault="00515111" w:rsidP="000D71A8">
      <w:pPr>
        <w:pStyle w:val="TAMainText"/>
        <w:rPr>
          <w:rFonts w:ascii="Times New Roman" w:hAnsi="Times New Roman"/>
          <w:lang w:val="pt-BR"/>
        </w:rPr>
      </w:pPr>
    </w:p>
    <w:p w14:paraId="1D695DDD" w14:textId="778101D3" w:rsidR="00890357" w:rsidRDefault="00890357" w:rsidP="00890357">
      <w:pPr>
        <w:jc w:val="center"/>
        <w:rPr>
          <w:rFonts w:ascii="Times New Roman" w:hAnsi="Times New Roman" w:cs="Times New Roman"/>
          <w:sz w:val="20"/>
          <w:szCs w:val="20"/>
        </w:rPr>
      </w:pPr>
      <m:oMath>
        <m:r>
          <w:rPr>
            <w:rFonts w:ascii="Cambria Math" w:hAnsi="Cambria Math" w:cs="Times New Roman"/>
            <w:sz w:val="20"/>
            <w:szCs w:val="20"/>
          </w:rPr>
          <m:t>-</m:t>
        </m:r>
        <m:sSub>
          <m:sSubPr>
            <m:ctrlPr>
              <w:rPr>
                <w:rFonts w:ascii="Cambria Math" w:hAnsi="Cambria Math" w:cs="Times New Roman"/>
                <w:i/>
                <w:sz w:val="20"/>
                <w:szCs w:val="20"/>
              </w:rPr>
            </m:ctrlPr>
          </m:sSubPr>
          <m:e>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m:t>
                </m:r>
              </m:sup>
            </m:sSup>
          </m:e>
          <m:sub>
            <m:r>
              <w:rPr>
                <w:rFonts w:ascii="Cambria Math" w:hAnsi="Cambria Math" w:cs="Times New Roman"/>
                <w:sz w:val="20"/>
                <w:szCs w:val="20"/>
              </w:rPr>
              <m:t>A0</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0,0145L</m:t>
            </m:r>
          </m:num>
          <m:den>
            <m:r>
              <w:rPr>
                <w:rFonts w:ascii="Cambria Math" w:hAnsi="Cambria Math" w:cs="Times New Roman"/>
                <w:sz w:val="20"/>
                <w:szCs w:val="20"/>
              </w:rPr>
              <m:t>0,70</m:t>
            </m:r>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cat</m:t>
                </m:r>
              </m:sub>
            </m:sSub>
          </m:den>
        </m:f>
        <m:sSub>
          <m:sSubPr>
            <m:ctrlPr>
              <w:rPr>
                <w:rFonts w:ascii="Cambria Math" w:hAnsi="Cambria Math" w:cs="Times New Roman"/>
                <w:i/>
                <w:sz w:val="20"/>
                <w:szCs w:val="20"/>
              </w:rPr>
            </m:ctrlPr>
          </m:sSubPr>
          <m:e>
            <m:d>
              <m:dPr>
                <m:ctrlPr>
                  <w:rPr>
                    <w:rFonts w:ascii="Cambria Math" w:hAnsi="Cambria Math" w:cs="Times New Roman"/>
                    <w:i/>
                    <w:sz w:val="20"/>
                    <w:szCs w:val="20"/>
                  </w:rPr>
                </m:ctrlPr>
              </m:dPr>
              <m:e>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m:t>
                        </m:r>
                      </m:sub>
                    </m:sSub>
                  </m:num>
                  <m:den>
                    <m:r>
                      <w:rPr>
                        <w:rFonts w:ascii="Cambria Math" w:hAnsi="Cambria Math" w:cs="Times New Roman"/>
                        <w:sz w:val="20"/>
                        <w:szCs w:val="20"/>
                      </w:rPr>
                      <m:t>dt</m:t>
                    </m:r>
                  </m:den>
                </m:f>
              </m:e>
            </m:d>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A0</m:t>
            </m:r>
          </m:sub>
          <m:sup>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A</m:t>
                </m:r>
              </m:sub>
            </m:sSub>
          </m:sup>
        </m:sSubSup>
      </m:oMath>
      <w:r>
        <w:rPr>
          <w:rFonts w:ascii="Times New Roman" w:hAnsi="Times New Roman" w:cs="Times New Roman"/>
          <w:sz w:val="20"/>
          <w:szCs w:val="20"/>
        </w:rPr>
        <w:tab/>
      </w:r>
      <w:r>
        <w:rPr>
          <w:rFonts w:ascii="Times New Roman" w:hAnsi="Times New Roman" w:cs="Times New Roman"/>
          <w:sz w:val="20"/>
          <w:szCs w:val="20"/>
        </w:rPr>
        <w:tab/>
        <w:t>(8)</w:t>
      </w:r>
    </w:p>
    <w:p w14:paraId="690F0733" w14:textId="72958545" w:rsidR="00890357" w:rsidRPr="00890357" w:rsidRDefault="00890357" w:rsidP="00890357">
      <w:pPr>
        <w:rPr>
          <w:rFonts w:ascii="Times New Roman" w:hAnsi="Times New Roman" w:cs="Times New Roman"/>
          <w:sz w:val="20"/>
          <w:szCs w:val="20"/>
        </w:rPr>
      </w:pPr>
      <w:r w:rsidRPr="00890357">
        <w:rPr>
          <w:rFonts w:ascii="Times New Roman" w:hAnsi="Times New Roman" w:cs="Times New Roman"/>
          <w:sz w:val="20"/>
          <w:szCs w:val="20"/>
        </w:rPr>
        <w:t xml:space="preserve">Na qual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R</m:t>
                </m:r>
              </m:sub>
            </m:sSub>
          </m:num>
          <m:den>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cat</m:t>
                </m:r>
              </m:sub>
            </m:sSub>
          </m:den>
        </m:f>
        <m:sSub>
          <m:sSubPr>
            <m:ctrlPr>
              <w:rPr>
                <w:rFonts w:ascii="Cambria Math" w:hAnsi="Cambria Math" w:cs="Times New Roman"/>
                <w:i/>
                <w:sz w:val="20"/>
                <w:szCs w:val="20"/>
              </w:rPr>
            </m:ctrlPr>
          </m:sSubPr>
          <m:e>
            <m:sSup>
              <m:sSupPr>
                <m:ctrlPr>
                  <w:rPr>
                    <w:rFonts w:ascii="Cambria Math" w:hAnsi="Cambria Math" w:cs="Times New Roman"/>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e>
          <m:sub>
            <m:r>
              <w:rPr>
                <w:rFonts w:ascii="Cambria Math" w:hAnsi="Cambria Math" w:cs="Times New Roman"/>
                <w:sz w:val="20"/>
                <w:szCs w:val="20"/>
              </w:rPr>
              <m:t>1</m:t>
            </m:r>
          </m:sub>
        </m:sSub>
      </m:oMath>
      <w:r w:rsidRPr="00890357">
        <w:rPr>
          <w:rFonts w:ascii="Times New Roman" w:hAnsi="Times New Roman" w:cs="Times New Roman"/>
          <w:sz w:val="20"/>
          <w:szCs w:val="20"/>
        </w:rPr>
        <w:t>.</w:t>
      </w:r>
    </w:p>
    <w:p w14:paraId="638C2BC4" w14:textId="36BE7292" w:rsidR="00890357" w:rsidRDefault="00890357" w:rsidP="004E6297">
      <w:pPr>
        <w:pStyle w:val="TAMainText"/>
        <w:rPr>
          <w:rFonts w:ascii="Times New Roman" w:hAnsi="Times New Roman"/>
          <w:lang w:val="pt-BR"/>
        </w:rPr>
      </w:pPr>
      <w:r w:rsidRPr="00890357">
        <w:rPr>
          <w:rFonts w:ascii="Times New Roman" w:hAnsi="Times New Roman"/>
          <w:lang w:val="pt-BR"/>
        </w:rPr>
        <w:t xml:space="preserve">O fator </w:t>
      </w:r>
      <w:proofErr w:type="spellStart"/>
      <w:r w:rsidRPr="00890357">
        <w:rPr>
          <w:rFonts w:ascii="Times New Roman" w:hAnsi="Times New Roman"/>
          <w:lang w:val="pt-BR"/>
        </w:rPr>
        <w:t>pré</w:t>
      </w:r>
      <w:proofErr w:type="spellEnd"/>
      <w:r w:rsidRPr="00890357">
        <w:rPr>
          <w:rFonts w:ascii="Times New Roman" w:hAnsi="Times New Roman"/>
          <w:lang w:val="pt-BR"/>
        </w:rPr>
        <w:t>-exponencial (</w:t>
      </w:r>
      <m:oMath>
        <m:sSub>
          <m:sSubPr>
            <m:ctrlPr>
              <w:rPr>
                <w:rFonts w:ascii="Cambria Math" w:hAnsi="Cambria Math"/>
                <w:i/>
              </w:rPr>
            </m:ctrlPr>
          </m:sSubPr>
          <m:e>
            <m:r>
              <w:rPr>
                <w:rFonts w:ascii="Cambria Math" w:hAnsi="Cambria Math"/>
              </w:rPr>
              <m:t>A</m:t>
            </m:r>
            <m:r>
              <w:rPr>
                <w:rFonts w:ascii="Cambria Math" w:hAnsi="Cambria Math"/>
                <w:lang w:val="pt-BR"/>
              </w:rPr>
              <m:t>'</m:t>
            </m:r>
          </m:e>
          <m:sub>
            <m:r>
              <w:rPr>
                <w:rFonts w:ascii="Cambria Math" w:hAnsi="Cambria Math"/>
                <w:lang w:val="pt-BR"/>
              </w:rPr>
              <m:t>0</m:t>
            </m:r>
          </m:sub>
        </m:sSub>
      </m:oMath>
      <w:r w:rsidRPr="00890357">
        <w:rPr>
          <w:rFonts w:ascii="Times New Roman" w:hAnsi="Times New Roman"/>
          <w:lang w:val="pt-BR"/>
        </w:rPr>
        <w:t>) e a energia de ativação da reação (</w:t>
      </w:r>
      <m:oMath>
        <m:sSup>
          <m:sSupPr>
            <m:ctrlPr>
              <w:rPr>
                <w:rFonts w:ascii="Cambria Math" w:hAnsi="Cambria Math"/>
                <w:i/>
              </w:rPr>
            </m:ctrlPr>
          </m:sSupPr>
          <m:e>
            <m:sSub>
              <m:sSubPr>
                <m:ctrlPr>
                  <w:rPr>
                    <w:rFonts w:ascii="Cambria Math" w:hAnsi="Cambria Math"/>
                    <w:i/>
                  </w:rPr>
                </m:ctrlPr>
              </m:sSubPr>
              <m:e>
                <m:r>
                  <w:rPr>
                    <w:rFonts w:ascii="Cambria Math" w:hAnsi="Cambria Math"/>
                  </w:rPr>
                  <m:t>E</m:t>
                </m:r>
              </m:e>
              <m:sub>
                <m:r>
                  <w:rPr>
                    <w:rFonts w:ascii="Cambria Math" w:hAnsi="Cambria Math"/>
                  </w:rPr>
                  <m:t>A</m:t>
                </m:r>
              </m:sub>
            </m:sSub>
          </m:e>
          <m:sup>
            <m:r>
              <w:rPr>
                <w:rFonts w:ascii="Cambria Math" w:hAnsi="Cambria Math"/>
                <w:lang w:val="pt-BR"/>
              </w:rPr>
              <m:t>'</m:t>
            </m:r>
          </m:sup>
        </m:sSup>
        <m:r>
          <w:rPr>
            <w:rFonts w:ascii="Cambria Math" w:hAnsi="Cambria Math"/>
            <w:lang w:val="pt-BR"/>
          </w:rPr>
          <m:t>)</m:t>
        </m:r>
      </m:oMath>
      <w:r w:rsidRPr="00890357">
        <w:rPr>
          <w:rFonts w:ascii="Times New Roman" w:hAnsi="Times New Roman"/>
          <w:lang w:val="pt-BR"/>
        </w:rPr>
        <w:t xml:space="preserve"> aparentes, podem ser obtid</w:t>
      </w:r>
      <w:r w:rsidR="004E6297">
        <w:rPr>
          <w:rFonts w:ascii="Times New Roman" w:hAnsi="Times New Roman"/>
          <w:lang w:val="pt-BR"/>
        </w:rPr>
        <w:t>o</w:t>
      </w:r>
      <w:r w:rsidRPr="00890357">
        <w:rPr>
          <w:rFonts w:ascii="Times New Roman" w:hAnsi="Times New Roman"/>
          <w:lang w:val="pt-BR"/>
        </w:rPr>
        <w:t>s através de um gráfico</w:t>
      </w:r>
      <w:r w:rsidR="004E6297">
        <w:rPr>
          <w:rFonts w:ascii="Times New Roman" w:hAnsi="Times New Roman"/>
          <w:lang w:val="pt-BR"/>
        </w:rPr>
        <w:t xml:space="preserve"> </w:t>
      </w:r>
      <w:r w:rsidRPr="00890357">
        <w:rPr>
          <w:rFonts w:ascii="Times New Roman" w:hAnsi="Times New Roman"/>
          <w:lang w:val="pt-BR"/>
        </w:rPr>
        <w:t xml:space="preserve">a partir da Equação </w:t>
      </w:r>
      <w:r>
        <w:rPr>
          <w:rFonts w:ascii="Times New Roman" w:hAnsi="Times New Roman"/>
          <w:lang w:val="pt-BR"/>
        </w:rPr>
        <w:t xml:space="preserve">de </w:t>
      </w:r>
      <w:proofErr w:type="spellStart"/>
      <w:r w:rsidRPr="00890357">
        <w:rPr>
          <w:rFonts w:eastAsiaTheme="minorEastAsia"/>
          <w:szCs w:val="24"/>
          <w:lang w:val="pt-BR"/>
        </w:rPr>
        <w:t>Arrhenius</w:t>
      </w:r>
      <w:proofErr w:type="spellEnd"/>
      <w:r w:rsidRPr="00890357">
        <w:rPr>
          <w:rFonts w:ascii="Times New Roman" w:hAnsi="Times New Roman"/>
          <w:lang w:val="pt-BR"/>
        </w:rPr>
        <w:t xml:space="preserve"> </w:t>
      </w:r>
      <w:r w:rsidRPr="00890357">
        <w:rPr>
          <w:rFonts w:ascii="Times New Roman" w:hAnsi="Times New Roman"/>
          <w:lang w:val="pt-BR"/>
        </w:rPr>
        <w:t>linearizada</w:t>
      </w:r>
      <w:r>
        <w:rPr>
          <w:rFonts w:ascii="Times New Roman" w:hAnsi="Times New Roman"/>
          <w:lang w:val="pt-BR"/>
        </w:rPr>
        <w:t xml:space="preserve"> (9)</w:t>
      </w:r>
      <w:r w:rsidRPr="00890357">
        <w:rPr>
          <w:rFonts w:ascii="Times New Roman" w:hAnsi="Times New Roman"/>
          <w:lang w:val="pt-BR"/>
        </w:rPr>
        <w:t>.</w:t>
      </w:r>
    </w:p>
    <w:p w14:paraId="64B6C1B7" w14:textId="677D8383" w:rsidR="00515111" w:rsidRDefault="00515111" w:rsidP="004E6297">
      <w:pPr>
        <w:pStyle w:val="TAMainText"/>
        <w:rPr>
          <w:rFonts w:ascii="Times New Roman" w:hAnsi="Times New Roman"/>
          <w:lang w:val="pt-BR"/>
        </w:rPr>
      </w:pPr>
    </w:p>
    <w:p w14:paraId="17E50F88" w14:textId="77777777" w:rsidR="004E6297" w:rsidRDefault="004E6297" w:rsidP="004E6297">
      <w:pPr>
        <w:jc w:val="center"/>
        <w:rPr>
          <w:rFonts w:ascii="Times New Roman" w:hAnsi="Times New Roman" w:cs="Times New Roman"/>
          <w:sz w:val="20"/>
          <w:szCs w:val="20"/>
        </w:rPr>
      </w:pPr>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ln</m:t>
            </m:r>
          </m:fName>
          <m:e>
            <m:sSub>
              <m:sSubPr>
                <m:ctrlPr>
                  <w:rPr>
                    <w:rFonts w:ascii="Cambria Math" w:hAnsi="Cambria Math" w:cs="Times New Roman"/>
                    <w:i/>
                    <w:sz w:val="20"/>
                    <w:szCs w:val="20"/>
                  </w:rPr>
                </m:ctrlPr>
              </m:sSubPr>
              <m:e>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m:t>
                                    </m:r>
                                  </m:sub>
                                </m:sSub>
                              </m:num>
                              <m:den>
                                <m:r>
                                  <w:rPr>
                                    <w:rFonts w:ascii="Cambria Math" w:hAnsi="Cambria Math" w:cs="Times New Roman"/>
                                    <w:sz w:val="20"/>
                                    <w:szCs w:val="20"/>
                                  </w:rPr>
                                  <m:t>dt</m:t>
                                </m:r>
                              </m:den>
                            </m:f>
                          </m:e>
                        </m:d>
                      </m:num>
                      <m:den>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A0</m:t>
                                </m:r>
                              </m:sub>
                            </m:sSub>
                          </m:e>
                        </m:d>
                      </m:den>
                    </m:f>
                  </m:e>
                </m:d>
              </m:e>
              <m:sub>
                <m:r>
                  <w:rPr>
                    <w:rFonts w:ascii="Cambria Math" w:hAnsi="Cambria Math" w:cs="Times New Roman"/>
                    <w:sz w:val="20"/>
                    <w:szCs w:val="20"/>
                  </w:rPr>
                  <m:t>0</m:t>
                </m:r>
              </m:sub>
            </m:sSub>
          </m:e>
        </m:func>
        <m:r>
          <w:rPr>
            <w:rFonts w:ascii="Cambria Math" w:hAnsi="Cambria Math" w:cs="Times New Roman"/>
            <w:sz w:val="20"/>
            <w:szCs w:val="20"/>
          </w:rPr>
          <m:t>=</m:t>
        </m:r>
        <m:func>
          <m:funcPr>
            <m:ctrlPr>
              <w:rPr>
                <w:rFonts w:ascii="Cambria Math" w:hAnsi="Cambria Math" w:cs="Times New Roman"/>
                <w:i/>
                <w:sz w:val="20"/>
                <w:szCs w:val="20"/>
              </w:rPr>
            </m:ctrlPr>
          </m:funcPr>
          <m:fName>
            <m:r>
              <m:rPr>
                <m:sty m:val="p"/>
              </m:rPr>
              <w:rPr>
                <w:rFonts w:ascii="Cambria Math" w:hAnsi="Cambria Math" w:cs="Times New Roman"/>
                <w:sz w:val="20"/>
                <w:szCs w:val="20"/>
              </w:rPr>
              <m:t>ln</m:t>
            </m:r>
          </m:fName>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e>
                  <m:sub>
                    <m:r>
                      <w:rPr>
                        <w:rFonts w:ascii="Cambria Math" w:hAnsi="Cambria Math" w:cs="Times New Roman"/>
                        <w:sz w:val="20"/>
                        <w:szCs w:val="20"/>
                      </w:rPr>
                      <m:t>0</m:t>
                    </m:r>
                  </m:sub>
                </m:sSub>
              </m:e>
            </m:d>
          </m:e>
        </m:func>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A</m:t>
                    </m:r>
                  </m:sub>
                </m:sSub>
              </m:e>
              <m:sup>
                <m:r>
                  <w:rPr>
                    <w:rFonts w:ascii="Cambria Math" w:hAnsi="Cambria Math" w:cs="Times New Roman"/>
                    <w:sz w:val="20"/>
                    <w:szCs w:val="20"/>
                  </w:rPr>
                  <m:t>'</m:t>
                </m:r>
              </m:sup>
            </m:sSup>
          </m:num>
          <m:den>
            <m:r>
              <w:rPr>
                <w:rFonts w:ascii="Cambria Math" w:hAnsi="Cambria Math" w:cs="Times New Roman"/>
                <w:sz w:val="20"/>
                <w:szCs w:val="20"/>
              </w:rPr>
              <m:t>R</m:t>
            </m:r>
          </m:den>
        </m:f>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T</m:t>
            </m:r>
          </m:den>
        </m:f>
      </m:oMath>
      <w:r w:rsidRPr="004E6297">
        <w:rPr>
          <w:rFonts w:ascii="Times New Roman" w:hAnsi="Times New Roman" w:cs="Times New Roman"/>
          <w:sz w:val="20"/>
          <w:szCs w:val="20"/>
        </w:rPr>
        <w:tab/>
      </w:r>
      <w:r w:rsidRPr="004E6297">
        <w:rPr>
          <w:rFonts w:ascii="Times New Roman" w:hAnsi="Times New Roman" w:cs="Times New Roman"/>
          <w:sz w:val="20"/>
          <w:szCs w:val="20"/>
        </w:rPr>
        <w:tab/>
      </w:r>
      <w:r w:rsidRPr="004E6297">
        <w:rPr>
          <w:rFonts w:ascii="Times New Roman" w:hAnsi="Times New Roman" w:cs="Times New Roman"/>
          <w:sz w:val="20"/>
          <w:szCs w:val="20"/>
        </w:rPr>
        <w:tab/>
        <w:t>(9)</w:t>
      </w:r>
    </w:p>
    <w:p w14:paraId="54A437C0" w14:textId="74AF8D40" w:rsidR="004E6297" w:rsidRPr="004E6297" w:rsidRDefault="004E6297" w:rsidP="00142A4A">
      <w:pPr>
        <w:spacing w:after="0"/>
        <w:jc w:val="both"/>
        <w:rPr>
          <w:rFonts w:ascii="Times New Roman" w:hAnsi="Times New Roman" w:cs="Times New Roman"/>
          <w:sz w:val="20"/>
          <w:szCs w:val="20"/>
        </w:rPr>
      </w:pPr>
      <w:r w:rsidRPr="004E6297">
        <w:rPr>
          <w:rFonts w:ascii="Times New Roman" w:hAnsi="Times New Roman" w:cs="Times New Roman"/>
          <w:sz w:val="20"/>
          <w:szCs w:val="20"/>
        </w:rPr>
        <w:t xml:space="preserve">Sendo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0</m:t>
            </m:r>
          </m:sub>
        </m:sSub>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B0</m:t>
            </m:r>
          </m:sub>
          <m:sup>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B</m:t>
                </m:r>
              </m:sub>
            </m:sSub>
          </m:sup>
        </m:sSubSup>
      </m:oMath>
      <w:r w:rsidRPr="004E6297">
        <w:rPr>
          <w:rFonts w:ascii="Times New Roman" w:hAnsi="Times New Roman" w:cs="Times New Roman"/>
          <w:sz w:val="20"/>
          <w:szCs w:val="20"/>
        </w:rPr>
        <w:t>.</w:t>
      </w:r>
    </w:p>
    <w:p w14:paraId="7A28D782" w14:textId="47943FD5" w:rsidR="004E6297" w:rsidRDefault="004E6297" w:rsidP="004E6297">
      <w:pPr>
        <w:pStyle w:val="TAMainText"/>
        <w:rPr>
          <w:rFonts w:ascii="Times New Roman" w:hAnsi="Times New Roman"/>
          <w:lang w:val="pt-BR"/>
        </w:rPr>
      </w:pPr>
    </w:p>
    <w:p w14:paraId="136BD1AC" w14:textId="1DD86EC6" w:rsidR="00EA4E1B" w:rsidRPr="001F25B2" w:rsidRDefault="004E6297" w:rsidP="00EA4E1B">
      <w:pPr>
        <w:pStyle w:val="Ttulo2"/>
        <w:rPr>
          <w:rFonts w:ascii="Helvetica" w:hAnsi="Helvetica" w:cs="Helvetica"/>
          <w:sz w:val="24"/>
          <w:szCs w:val="24"/>
        </w:rPr>
      </w:pPr>
      <w:r>
        <w:rPr>
          <w:rFonts w:ascii="Helvetica" w:hAnsi="Helvetica" w:cs="Helvetica"/>
          <w:sz w:val="24"/>
          <w:szCs w:val="24"/>
        </w:rPr>
        <w:lastRenderedPageBreak/>
        <w:t xml:space="preserve">Resultados </w:t>
      </w:r>
      <w:r w:rsidR="00EA4E1B" w:rsidRPr="001F25B2">
        <w:rPr>
          <w:rFonts w:ascii="Helvetica" w:hAnsi="Helvetica" w:cs="Helvetica"/>
          <w:sz w:val="24"/>
          <w:szCs w:val="24"/>
        </w:rPr>
        <w:t>e Discussão</w:t>
      </w:r>
    </w:p>
    <w:p w14:paraId="33243BD4" w14:textId="16A04B10" w:rsidR="004E6297" w:rsidRPr="004E6297" w:rsidRDefault="004E6297" w:rsidP="004E6297">
      <w:pPr>
        <w:pStyle w:val="TAMainText"/>
        <w:ind w:firstLine="0"/>
        <w:rPr>
          <w:rFonts w:ascii="Times New Roman" w:hAnsi="Times New Roman"/>
          <w:i/>
          <w:iCs/>
          <w:lang w:val="pt-BR"/>
        </w:rPr>
      </w:pPr>
      <w:r w:rsidRPr="004E6297">
        <w:rPr>
          <w:rFonts w:ascii="Times New Roman" w:hAnsi="Times New Roman"/>
          <w:i/>
          <w:iCs/>
          <w:lang w:val="pt-BR"/>
        </w:rPr>
        <w:t>Caracterização de Catalisadores</w:t>
      </w:r>
    </w:p>
    <w:p w14:paraId="6315A26D" w14:textId="1F8E04D8" w:rsidR="00D44BD4" w:rsidRDefault="004E6297" w:rsidP="00D44BD4">
      <w:pPr>
        <w:pStyle w:val="TAMainText"/>
        <w:ind w:firstLine="187"/>
        <w:rPr>
          <w:rFonts w:ascii="Times New Roman" w:hAnsi="Times New Roman"/>
          <w:lang w:val="pt-BR"/>
        </w:rPr>
      </w:pPr>
      <w:r w:rsidRPr="004E6297">
        <w:rPr>
          <w:rFonts w:ascii="Times New Roman" w:hAnsi="Times New Roman"/>
          <w:lang w:val="pt-BR"/>
        </w:rPr>
        <w:t xml:space="preserve">As propriedades texturais obtidas através de </w:t>
      </w:r>
      <w:proofErr w:type="spellStart"/>
      <w:r w:rsidRPr="004E6297">
        <w:rPr>
          <w:rFonts w:ascii="Times New Roman" w:hAnsi="Times New Roman"/>
          <w:lang w:val="pt-BR"/>
        </w:rPr>
        <w:t>fisissorção</w:t>
      </w:r>
      <w:proofErr w:type="spellEnd"/>
      <w:r w:rsidRPr="004E6297">
        <w:rPr>
          <w:rFonts w:ascii="Times New Roman" w:hAnsi="Times New Roman"/>
          <w:lang w:val="pt-BR"/>
        </w:rPr>
        <w:t xml:space="preserve"> de nitrogênio para os suportes calcinados a 500 °C  estão descritas na Tabela </w:t>
      </w:r>
      <w:r>
        <w:rPr>
          <w:rFonts w:ascii="Times New Roman" w:hAnsi="Times New Roman"/>
          <w:lang w:val="pt-BR"/>
        </w:rPr>
        <w:t>1</w:t>
      </w:r>
      <w:r w:rsidRPr="004E6297">
        <w:rPr>
          <w:rFonts w:ascii="Times New Roman" w:hAnsi="Times New Roman"/>
          <w:lang w:val="pt-BR"/>
        </w:rPr>
        <w:t xml:space="preserve">. A </w:t>
      </w:r>
      <w:r w:rsidRPr="004E6297">
        <w:rPr>
          <w:rFonts w:ascii="Times New Roman" w:hAnsi="Times New Roman"/>
        </w:rPr>
        <w:t>γ</w:t>
      </w:r>
      <w:r w:rsidRPr="004E6297">
        <w:rPr>
          <w:rFonts w:ascii="Times New Roman" w:hAnsi="Times New Roman"/>
          <w:lang w:val="pt-BR"/>
        </w:rPr>
        <w:t>-Al</w:t>
      </w:r>
      <w:r w:rsidRPr="004E6297">
        <w:rPr>
          <w:rFonts w:ascii="Times New Roman" w:hAnsi="Times New Roman"/>
          <w:vertAlign w:val="subscript"/>
          <w:lang w:val="pt-BR"/>
        </w:rPr>
        <w:t>2</w:t>
      </w:r>
      <w:r w:rsidRPr="004E6297">
        <w:rPr>
          <w:rFonts w:ascii="Times New Roman" w:hAnsi="Times New Roman"/>
          <w:lang w:val="pt-BR"/>
        </w:rPr>
        <w:t>O</w:t>
      </w:r>
      <w:r w:rsidRPr="004E6297">
        <w:rPr>
          <w:rFonts w:ascii="Times New Roman" w:hAnsi="Times New Roman"/>
          <w:vertAlign w:val="subscript"/>
          <w:lang w:val="pt-BR"/>
        </w:rPr>
        <w:t>3</w:t>
      </w:r>
      <w:r w:rsidRPr="004E6297">
        <w:rPr>
          <w:rFonts w:ascii="Times New Roman" w:hAnsi="Times New Roman"/>
          <w:lang w:val="pt-BR"/>
        </w:rPr>
        <w:t xml:space="preserve"> apresentou menor valor de área superficial (S</w:t>
      </w:r>
      <w:r w:rsidRPr="004E6297">
        <w:rPr>
          <w:rFonts w:ascii="Times New Roman" w:hAnsi="Times New Roman"/>
          <w:vertAlign w:val="subscript"/>
          <w:lang w:val="pt-BR"/>
        </w:rPr>
        <w:t>BET</w:t>
      </w:r>
      <w:r w:rsidRPr="004E6297">
        <w:rPr>
          <w:rFonts w:ascii="Times New Roman" w:hAnsi="Times New Roman"/>
          <w:lang w:val="pt-BR"/>
        </w:rPr>
        <w:t xml:space="preserve"> = 285,20 m</w:t>
      </w:r>
      <w:r w:rsidRPr="004E6297">
        <w:rPr>
          <w:rFonts w:ascii="Times New Roman" w:hAnsi="Times New Roman"/>
          <w:vertAlign w:val="superscript"/>
          <w:lang w:val="pt-BR"/>
        </w:rPr>
        <w:t>2</w:t>
      </w:r>
      <w:r w:rsidRPr="004E6297">
        <w:rPr>
          <w:rFonts w:ascii="Times New Roman" w:hAnsi="Times New Roman"/>
          <w:lang w:val="pt-BR"/>
        </w:rPr>
        <w:t>∙g</w:t>
      </w:r>
      <w:r w:rsidRPr="004E6297">
        <w:rPr>
          <w:rFonts w:ascii="Times New Roman" w:hAnsi="Times New Roman"/>
          <w:vertAlign w:val="superscript"/>
          <w:lang w:val="pt-BR"/>
        </w:rPr>
        <w:t>-1</w:t>
      </w:r>
      <w:r w:rsidRPr="004E6297">
        <w:rPr>
          <w:rFonts w:ascii="Times New Roman" w:hAnsi="Times New Roman"/>
          <w:lang w:val="pt-BR"/>
        </w:rPr>
        <w:t>), e maiores valores de volume (</w:t>
      </w:r>
      <w:proofErr w:type="spellStart"/>
      <w:r w:rsidRPr="004E6297">
        <w:rPr>
          <w:rFonts w:ascii="Times New Roman" w:hAnsi="Times New Roman"/>
          <w:lang w:val="pt-BR"/>
        </w:rPr>
        <w:t>V</w:t>
      </w:r>
      <w:r w:rsidRPr="004E6297">
        <w:rPr>
          <w:rFonts w:ascii="Times New Roman" w:hAnsi="Times New Roman"/>
          <w:vertAlign w:val="subscript"/>
          <w:lang w:val="pt-BR"/>
        </w:rPr>
        <w:t>poro</w:t>
      </w:r>
      <w:proofErr w:type="spellEnd"/>
      <w:r w:rsidRPr="004E6297">
        <w:rPr>
          <w:rFonts w:ascii="Times New Roman" w:hAnsi="Times New Roman"/>
          <w:lang w:val="pt-BR"/>
        </w:rPr>
        <w:t xml:space="preserve"> = 0,75 cm</w:t>
      </w:r>
      <w:r w:rsidRPr="004E6297">
        <w:rPr>
          <w:rFonts w:ascii="Times New Roman" w:hAnsi="Times New Roman"/>
          <w:vertAlign w:val="superscript"/>
          <w:lang w:val="pt-BR"/>
        </w:rPr>
        <w:t>3</w:t>
      </w:r>
      <w:r w:rsidRPr="004E6297">
        <w:rPr>
          <w:rFonts w:ascii="Times New Roman" w:hAnsi="Times New Roman"/>
          <w:lang w:val="pt-BR"/>
        </w:rPr>
        <w:t>∙g</w:t>
      </w:r>
      <w:r w:rsidRPr="004E6297">
        <w:rPr>
          <w:rFonts w:ascii="Times New Roman" w:hAnsi="Times New Roman"/>
          <w:vertAlign w:val="superscript"/>
          <w:lang w:val="pt-BR"/>
        </w:rPr>
        <w:t>-1</w:t>
      </w:r>
      <w:r w:rsidRPr="004E6297">
        <w:rPr>
          <w:rFonts w:ascii="Times New Roman" w:hAnsi="Times New Roman"/>
          <w:lang w:val="pt-BR"/>
        </w:rPr>
        <w:t>) e de diâmetro (</w:t>
      </w:r>
      <w:proofErr w:type="spellStart"/>
      <w:r w:rsidRPr="004E6297">
        <w:rPr>
          <w:rFonts w:ascii="Times New Roman" w:hAnsi="Times New Roman"/>
          <w:lang w:val="pt-BR"/>
        </w:rPr>
        <w:t>D</w:t>
      </w:r>
      <w:r w:rsidRPr="004E6297">
        <w:rPr>
          <w:rFonts w:ascii="Times New Roman" w:hAnsi="Times New Roman"/>
          <w:vertAlign w:val="subscript"/>
          <w:lang w:val="pt-BR"/>
        </w:rPr>
        <w:t>poro</w:t>
      </w:r>
      <w:proofErr w:type="spellEnd"/>
      <w:r w:rsidRPr="004E6297">
        <w:rPr>
          <w:rFonts w:ascii="Times New Roman" w:hAnsi="Times New Roman"/>
          <w:lang w:val="pt-BR"/>
        </w:rPr>
        <w:t xml:space="preserve"> = 6,78 </w:t>
      </w:r>
      <w:proofErr w:type="spellStart"/>
      <w:r w:rsidRPr="004E6297">
        <w:rPr>
          <w:rFonts w:ascii="Times New Roman" w:hAnsi="Times New Roman"/>
          <w:lang w:val="pt-BR"/>
        </w:rPr>
        <w:t>nm</w:t>
      </w:r>
      <w:proofErr w:type="spellEnd"/>
      <w:r w:rsidRPr="004E6297">
        <w:rPr>
          <w:rFonts w:ascii="Times New Roman" w:hAnsi="Times New Roman"/>
          <w:lang w:val="pt-BR"/>
        </w:rPr>
        <w:t>) de poro, comparada com a SiO</w:t>
      </w:r>
      <w:r w:rsidRPr="004E6297">
        <w:rPr>
          <w:rFonts w:ascii="Times New Roman" w:hAnsi="Times New Roman"/>
          <w:vertAlign w:val="subscript"/>
          <w:lang w:val="pt-BR"/>
        </w:rPr>
        <w:t>2</w:t>
      </w:r>
      <w:r w:rsidRPr="004E6297">
        <w:rPr>
          <w:rFonts w:ascii="Times New Roman" w:hAnsi="Times New Roman"/>
          <w:lang w:val="pt-BR"/>
        </w:rPr>
        <w:t>-Al</w:t>
      </w:r>
      <w:r w:rsidRPr="004E6297">
        <w:rPr>
          <w:rFonts w:ascii="Times New Roman" w:hAnsi="Times New Roman"/>
          <w:vertAlign w:val="subscript"/>
          <w:lang w:val="pt-BR"/>
        </w:rPr>
        <w:t>2</w:t>
      </w:r>
      <w:r w:rsidRPr="004E6297">
        <w:rPr>
          <w:rFonts w:ascii="Times New Roman" w:hAnsi="Times New Roman"/>
          <w:lang w:val="pt-BR"/>
        </w:rPr>
        <w:t>O</w:t>
      </w:r>
      <w:r w:rsidRPr="004E6297">
        <w:rPr>
          <w:rFonts w:ascii="Times New Roman" w:hAnsi="Times New Roman"/>
          <w:vertAlign w:val="subscript"/>
          <w:lang w:val="pt-BR"/>
        </w:rPr>
        <w:t>3</w:t>
      </w:r>
      <w:r w:rsidRPr="004E6297">
        <w:rPr>
          <w:rFonts w:ascii="Times New Roman" w:hAnsi="Times New Roman"/>
          <w:lang w:val="pt-BR"/>
        </w:rPr>
        <w:t>, S</w:t>
      </w:r>
      <w:r w:rsidRPr="004E6297">
        <w:rPr>
          <w:rFonts w:ascii="Times New Roman" w:hAnsi="Times New Roman"/>
          <w:vertAlign w:val="subscript"/>
          <w:lang w:val="pt-BR"/>
        </w:rPr>
        <w:t>BET</w:t>
      </w:r>
      <w:r w:rsidRPr="004E6297">
        <w:rPr>
          <w:rFonts w:ascii="Times New Roman" w:hAnsi="Times New Roman"/>
          <w:lang w:val="pt-BR"/>
        </w:rPr>
        <w:t xml:space="preserve"> = 348,06 m</w:t>
      </w:r>
      <w:r w:rsidRPr="004E6297">
        <w:rPr>
          <w:rFonts w:ascii="Times New Roman" w:hAnsi="Times New Roman"/>
          <w:vertAlign w:val="superscript"/>
          <w:lang w:val="pt-BR"/>
        </w:rPr>
        <w:t>2</w:t>
      </w:r>
      <w:r w:rsidRPr="004E6297">
        <w:rPr>
          <w:rFonts w:ascii="Times New Roman" w:hAnsi="Times New Roman"/>
          <w:lang w:val="pt-BR"/>
        </w:rPr>
        <w:t>∙g</w:t>
      </w:r>
      <w:r w:rsidRPr="004E6297">
        <w:rPr>
          <w:rFonts w:ascii="Times New Roman" w:hAnsi="Times New Roman"/>
          <w:vertAlign w:val="superscript"/>
          <w:lang w:val="pt-BR"/>
        </w:rPr>
        <w:t>-1</w:t>
      </w:r>
      <w:r w:rsidRPr="004E6297">
        <w:rPr>
          <w:rFonts w:ascii="Times New Roman" w:hAnsi="Times New Roman"/>
          <w:lang w:val="pt-BR"/>
        </w:rPr>
        <w:t xml:space="preserve">, </w:t>
      </w:r>
      <w:proofErr w:type="spellStart"/>
      <w:r w:rsidRPr="004E6297">
        <w:rPr>
          <w:rFonts w:ascii="Times New Roman" w:hAnsi="Times New Roman"/>
          <w:lang w:val="pt-BR"/>
        </w:rPr>
        <w:t>V</w:t>
      </w:r>
      <w:r w:rsidRPr="004E6297">
        <w:rPr>
          <w:rFonts w:ascii="Times New Roman" w:hAnsi="Times New Roman"/>
          <w:vertAlign w:val="subscript"/>
          <w:lang w:val="pt-BR"/>
        </w:rPr>
        <w:t>poro</w:t>
      </w:r>
      <w:proofErr w:type="spellEnd"/>
      <w:r w:rsidRPr="004E6297">
        <w:rPr>
          <w:rFonts w:ascii="Times New Roman" w:hAnsi="Times New Roman"/>
          <w:lang w:val="pt-BR"/>
        </w:rPr>
        <w:t xml:space="preserve"> = 0,57 cm</w:t>
      </w:r>
      <w:r w:rsidRPr="004E6297">
        <w:rPr>
          <w:rFonts w:ascii="Times New Roman" w:hAnsi="Times New Roman"/>
          <w:vertAlign w:val="superscript"/>
          <w:lang w:val="pt-BR"/>
        </w:rPr>
        <w:t>3</w:t>
      </w:r>
      <w:r w:rsidRPr="004E6297">
        <w:rPr>
          <w:rFonts w:ascii="Times New Roman" w:hAnsi="Times New Roman"/>
          <w:lang w:val="pt-BR"/>
        </w:rPr>
        <w:t>∙g</w:t>
      </w:r>
      <w:r w:rsidRPr="004E6297">
        <w:rPr>
          <w:rFonts w:ascii="Times New Roman" w:hAnsi="Times New Roman"/>
          <w:vertAlign w:val="superscript"/>
          <w:lang w:val="pt-BR"/>
        </w:rPr>
        <w:t>-1</w:t>
      </w:r>
      <w:r w:rsidRPr="004E6297">
        <w:rPr>
          <w:rFonts w:ascii="Times New Roman" w:hAnsi="Times New Roman"/>
          <w:lang w:val="pt-BR"/>
        </w:rPr>
        <w:t xml:space="preserve">, e </w:t>
      </w:r>
      <w:proofErr w:type="spellStart"/>
      <w:r w:rsidRPr="004E6297">
        <w:rPr>
          <w:rFonts w:ascii="Times New Roman" w:hAnsi="Times New Roman"/>
          <w:lang w:val="pt-BR"/>
        </w:rPr>
        <w:t>D</w:t>
      </w:r>
      <w:r w:rsidRPr="004E6297">
        <w:rPr>
          <w:rFonts w:ascii="Times New Roman" w:hAnsi="Times New Roman"/>
          <w:vertAlign w:val="subscript"/>
          <w:lang w:val="pt-BR"/>
        </w:rPr>
        <w:t>poro</w:t>
      </w:r>
      <w:proofErr w:type="spellEnd"/>
      <w:r w:rsidRPr="004E6297">
        <w:rPr>
          <w:rFonts w:ascii="Times New Roman" w:hAnsi="Times New Roman"/>
          <w:lang w:val="pt-BR"/>
        </w:rPr>
        <w:t xml:space="preserve"> = 4,50 </w:t>
      </w:r>
      <w:proofErr w:type="spellStart"/>
      <w:r w:rsidRPr="004E6297">
        <w:rPr>
          <w:rFonts w:ascii="Times New Roman" w:hAnsi="Times New Roman"/>
          <w:lang w:val="pt-BR"/>
        </w:rPr>
        <w:t>nm</w:t>
      </w:r>
      <w:proofErr w:type="spellEnd"/>
      <w:r w:rsidRPr="004E6297">
        <w:rPr>
          <w:rFonts w:ascii="Times New Roman" w:hAnsi="Times New Roman"/>
          <w:lang w:val="pt-BR"/>
        </w:rPr>
        <w:t xml:space="preserve">; e com a MCM-41, que de acordo com os estudos </w:t>
      </w:r>
      <w:r>
        <w:rPr>
          <w:rFonts w:ascii="Times New Roman" w:hAnsi="Times New Roman"/>
          <w:lang w:val="pt-BR"/>
        </w:rPr>
        <w:t>presentes na literatura (1</w:t>
      </w:r>
      <w:r w:rsidR="005A05D9">
        <w:rPr>
          <w:rFonts w:ascii="Times New Roman" w:hAnsi="Times New Roman"/>
          <w:lang w:val="pt-BR"/>
        </w:rPr>
        <w:t>0</w:t>
      </w:r>
      <w:r>
        <w:rPr>
          <w:rFonts w:ascii="Times New Roman" w:hAnsi="Times New Roman"/>
          <w:lang w:val="pt-BR"/>
        </w:rPr>
        <w:t>)</w:t>
      </w:r>
      <w:r w:rsidRPr="004E6297">
        <w:rPr>
          <w:rFonts w:ascii="Times New Roman" w:hAnsi="Times New Roman"/>
          <w:lang w:val="pt-BR"/>
        </w:rPr>
        <w:t>*, exibiu S</w:t>
      </w:r>
      <w:r w:rsidRPr="004E6297">
        <w:rPr>
          <w:rFonts w:ascii="Times New Roman" w:hAnsi="Times New Roman"/>
          <w:vertAlign w:val="subscript"/>
          <w:lang w:val="pt-BR"/>
        </w:rPr>
        <w:t>BET</w:t>
      </w:r>
      <w:r w:rsidRPr="004E6297">
        <w:rPr>
          <w:rFonts w:ascii="Times New Roman" w:hAnsi="Times New Roman"/>
          <w:lang w:val="pt-BR"/>
        </w:rPr>
        <w:t xml:space="preserve"> = 885,00 m</w:t>
      </w:r>
      <w:r w:rsidRPr="004E6297">
        <w:rPr>
          <w:rFonts w:ascii="Times New Roman" w:hAnsi="Times New Roman"/>
          <w:vertAlign w:val="superscript"/>
          <w:lang w:val="pt-BR"/>
        </w:rPr>
        <w:t>2</w:t>
      </w:r>
      <w:r w:rsidRPr="004E6297">
        <w:rPr>
          <w:rFonts w:ascii="Times New Roman" w:hAnsi="Times New Roman"/>
          <w:lang w:val="pt-BR"/>
        </w:rPr>
        <w:t>∙g</w:t>
      </w:r>
      <w:r w:rsidRPr="004E6297">
        <w:rPr>
          <w:rFonts w:ascii="Times New Roman" w:hAnsi="Times New Roman"/>
          <w:vertAlign w:val="superscript"/>
          <w:lang w:val="pt-BR"/>
        </w:rPr>
        <w:t>-1</w:t>
      </w:r>
      <w:r w:rsidRPr="004E6297">
        <w:rPr>
          <w:rFonts w:ascii="Times New Roman" w:hAnsi="Times New Roman"/>
          <w:lang w:val="pt-BR"/>
        </w:rPr>
        <w:t xml:space="preserve">, </w:t>
      </w:r>
      <w:proofErr w:type="spellStart"/>
      <w:r w:rsidRPr="004E6297">
        <w:rPr>
          <w:rFonts w:ascii="Times New Roman" w:hAnsi="Times New Roman"/>
          <w:lang w:val="pt-BR"/>
        </w:rPr>
        <w:t>V</w:t>
      </w:r>
      <w:r w:rsidRPr="004E6297">
        <w:rPr>
          <w:rFonts w:ascii="Times New Roman" w:hAnsi="Times New Roman"/>
          <w:vertAlign w:val="subscript"/>
          <w:lang w:val="pt-BR"/>
        </w:rPr>
        <w:t>poro</w:t>
      </w:r>
      <w:proofErr w:type="spellEnd"/>
      <w:r w:rsidRPr="004E6297">
        <w:rPr>
          <w:rFonts w:ascii="Times New Roman" w:hAnsi="Times New Roman"/>
          <w:lang w:val="pt-BR"/>
        </w:rPr>
        <w:t xml:space="preserve"> = 0,57 cm</w:t>
      </w:r>
      <w:r w:rsidRPr="004E6297">
        <w:rPr>
          <w:rFonts w:ascii="Times New Roman" w:hAnsi="Times New Roman"/>
          <w:vertAlign w:val="superscript"/>
          <w:lang w:val="pt-BR"/>
        </w:rPr>
        <w:t>3</w:t>
      </w:r>
      <w:r w:rsidRPr="004E6297">
        <w:rPr>
          <w:rFonts w:ascii="Times New Roman" w:hAnsi="Times New Roman"/>
          <w:lang w:val="pt-BR"/>
        </w:rPr>
        <w:t>∙g</w:t>
      </w:r>
      <w:r w:rsidRPr="004E6297">
        <w:rPr>
          <w:rFonts w:ascii="Times New Roman" w:hAnsi="Times New Roman"/>
          <w:vertAlign w:val="superscript"/>
          <w:lang w:val="pt-BR"/>
        </w:rPr>
        <w:t>-1</w:t>
      </w:r>
      <w:r w:rsidRPr="004E6297">
        <w:rPr>
          <w:rFonts w:ascii="Times New Roman" w:hAnsi="Times New Roman"/>
          <w:lang w:val="pt-BR"/>
        </w:rPr>
        <w:t xml:space="preserve">, e </w:t>
      </w:r>
      <w:proofErr w:type="spellStart"/>
      <w:r w:rsidRPr="004E6297">
        <w:rPr>
          <w:rFonts w:ascii="Times New Roman" w:hAnsi="Times New Roman"/>
          <w:lang w:val="pt-BR"/>
        </w:rPr>
        <w:t>D</w:t>
      </w:r>
      <w:r w:rsidRPr="004E6297">
        <w:rPr>
          <w:rFonts w:ascii="Times New Roman" w:hAnsi="Times New Roman"/>
          <w:vertAlign w:val="subscript"/>
          <w:lang w:val="pt-BR"/>
        </w:rPr>
        <w:t>poro</w:t>
      </w:r>
      <w:proofErr w:type="spellEnd"/>
      <w:r w:rsidRPr="004E6297">
        <w:rPr>
          <w:rFonts w:ascii="Times New Roman" w:hAnsi="Times New Roman"/>
          <w:lang w:val="pt-BR"/>
        </w:rPr>
        <w:t xml:space="preserve"> = 3,20 </w:t>
      </w:r>
      <w:proofErr w:type="spellStart"/>
      <w:r w:rsidRPr="004E6297">
        <w:rPr>
          <w:rFonts w:ascii="Times New Roman" w:hAnsi="Times New Roman"/>
          <w:lang w:val="pt-BR"/>
        </w:rPr>
        <w:t>nm</w:t>
      </w:r>
      <w:proofErr w:type="spellEnd"/>
      <w:r w:rsidRPr="004E6297">
        <w:rPr>
          <w:rFonts w:ascii="Times New Roman" w:hAnsi="Times New Roman"/>
          <w:lang w:val="pt-BR"/>
        </w:rPr>
        <w:t>.</w:t>
      </w:r>
    </w:p>
    <w:p w14:paraId="0D78E994" w14:textId="77777777" w:rsidR="00D44BD4" w:rsidRDefault="00D44BD4" w:rsidP="00D44BD4">
      <w:pPr>
        <w:pStyle w:val="TAMainText"/>
        <w:ind w:firstLine="0"/>
        <w:rPr>
          <w:rFonts w:ascii="Times New Roman" w:hAnsi="Times New Roman"/>
          <w:lang w:val="pt-BR"/>
        </w:rPr>
      </w:pPr>
    </w:p>
    <w:p w14:paraId="05398CE7" w14:textId="77777777" w:rsidR="00D44BD4" w:rsidRPr="00E038AF" w:rsidRDefault="00D44BD4" w:rsidP="00D44BD4">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Pr="00D44BD4">
        <w:rPr>
          <w:rFonts w:ascii="Times New Roman" w:hAnsi="Times New Roman"/>
          <w:lang w:val="pt-BR"/>
        </w:rPr>
        <w:t>Propriedades texturais dos suportes calcinados.</w:t>
      </w:r>
    </w:p>
    <w:tbl>
      <w:tblPr>
        <w:tblW w:w="48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1"/>
        <w:gridCol w:w="1204"/>
        <w:gridCol w:w="1276"/>
        <w:gridCol w:w="1123"/>
      </w:tblGrid>
      <w:tr w:rsidR="00D44BD4" w:rsidRPr="00072C7A" w14:paraId="3552D40B" w14:textId="77777777" w:rsidTr="00711F32">
        <w:tc>
          <w:tcPr>
            <w:tcW w:w="1201" w:type="dxa"/>
            <w:vAlign w:val="center"/>
          </w:tcPr>
          <w:p w14:paraId="0BDF2574" w14:textId="77777777" w:rsidR="00D44BD4" w:rsidRPr="00402F74" w:rsidRDefault="00D44BD4" w:rsidP="00711F32">
            <w:pPr>
              <w:pStyle w:val="TCTableBody"/>
              <w:spacing w:after="0" w:line="360" w:lineRule="auto"/>
              <w:jc w:val="center"/>
              <w:rPr>
                <w:szCs w:val="18"/>
                <w:lang w:val="pt-BR"/>
              </w:rPr>
            </w:pPr>
            <w:proofErr w:type="spellStart"/>
            <w:r w:rsidRPr="00402F74">
              <w:rPr>
                <w:rFonts w:ascii="Times New Roman" w:hAnsi="Times New Roman"/>
                <w:color w:val="000000" w:themeColor="text1"/>
                <w:kern w:val="24"/>
                <w:szCs w:val="18"/>
              </w:rPr>
              <w:t>Amostra</w:t>
            </w:r>
            <w:proofErr w:type="spellEnd"/>
          </w:p>
        </w:tc>
        <w:tc>
          <w:tcPr>
            <w:tcW w:w="1204" w:type="dxa"/>
            <w:vAlign w:val="center"/>
          </w:tcPr>
          <w:p w14:paraId="0AAC9B13"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themeColor="text1"/>
                <w:kern w:val="24"/>
                <w:szCs w:val="18"/>
              </w:rPr>
              <w:t>S</w:t>
            </w:r>
            <w:r w:rsidRPr="00402F74">
              <w:rPr>
                <w:rFonts w:ascii="Times New Roman" w:hAnsi="Times New Roman"/>
                <w:color w:val="000000" w:themeColor="text1"/>
                <w:kern w:val="24"/>
                <w:szCs w:val="18"/>
                <w:vertAlign w:val="subscript"/>
              </w:rPr>
              <w:t>BET</w:t>
            </w:r>
            <w:r w:rsidRPr="00402F74">
              <w:rPr>
                <w:rFonts w:ascii="Times New Roman" w:hAnsi="Times New Roman"/>
                <w:color w:val="000000" w:themeColor="text1"/>
                <w:kern w:val="24"/>
                <w:szCs w:val="18"/>
              </w:rPr>
              <w:t xml:space="preserve"> (m</w:t>
            </w:r>
            <w:r w:rsidRPr="00402F74">
              <w:rPr>
                <w:rFonts w:ascii="Times New Roman" w:hAnsi="Times New Roman"/>
                <w:color w:val="000000" w:themeColor="text1"/>
                <w:kern w:val="24"/>
                <w:szCs w:val="18"/>
                <w:vertAlign w:val="superscript"/>
              </w:rPr>
              <w:t>2</w:t>
            </w:r>
            <w:r w:rsidRPr="00402F74">
              <w:rPr>
                <w:rFonts w:ascii="Times New Roman" w:hAnsi="Times New Roman"/>
                <w:color w:val="000000" w:themeColor="text1"/>
                <w:kern w:val="24"/>
                <w:szCs w:val="18"/>
              </w:rPr>
              <w:t>∙g</w:t>
            </w:r>
            <w:r w:rsidRPr="00402F74">
              <w:rPr>
                <w:rFonts w:ascii="Times New Roman" w:hAnsi="Times New Roman"/>
                <w:color w:val="000000" w:themeColor="text1"/>
                <w:kern w:val="24"/>
                <w:szCs w:val="18"/>
                <w:vertAlign w:val="superscript"/>
              </w:rPr>
              <w:t>-1</w:t>
            </w:r>
            <w:r w:rsidRPr="00402F74">
              <w:rPr>
                <w:rFonts w:ascii="Times New Roman" w:hAnsi="Times New Roman"/>
                <w:color w:val="000000" w:themeColor="text1"/>
                <w:kern w:val="24"/>
                <w:szCs w:val="18"/>
              </w:rPr>
              <w:t>)</w:t>
            </w:r>
          </w:p>
        </w:tc>
        <w:tc>
          <w:tcPr>
            <w:tcW w:w="1276" w:type="dxa"/>
            <w:vAlign w:val="center"/>
          </w:tcPr>
          <w:p w14:paraId="1AC5E9C4" w14:textId="77777777" w:rsidR="00D44BD4" w:rsidRPr="00402F74" w:rsidRDefault="00D44BD4" w:rsidP="00711F32">
            <w:pPr>
              <w:pStyle w:val="TCTableBody"/>
              <w:spacing w:after="0" w:line="360" w:lineRule="auto"/>
              <w:jc w:val="center"/>
              <w:rPr>
                <w:szCs w:val="18"/>
                <w:lang w:val="pt-BR"/>
              </w:rPr>
            </w:pPr>
            <w:proofErr w:type="spellStart"/>
            <w:r w:rsidRPr="00402F74">
              <w:rPr>
                <w:rFonts w:ascii="Times New Roman" w:hAnsi="Times New Roman"/>
                <w:color w:val="000000" w:themeColor="text1"/>
                <w:kern w:val="24"/>
                <w:szCs w:val="18"/>
              </w:rPr>
              <w:t>V</w:t>
            </w:r>
            <w:r w:rsidRPr="00402F74">
              <w:rPr>
                <w:rFonts w:ascii="Times New Roman" w:hAnsi="Times New Roman"/>
                <w:color w:val="000000" w:themeColor="text1"/>
                <w:kern w:val="24"/>
                <w:szCs w:val="18"/>
                <w:vertAlign w:val="superscript"/>
              </w:rPr>
              <w:t>a</w:t>
            </w:r>
            <w:r w:rsidRPr="00402F74">
              <w:rPr>
                <w:rFonts w:ascii="Times New Roman" w:hAnsi="Times New Roman"/>
                <w:color w:val="000000" w:themeColor="text1"/>
                <w:kern w:val="24"/>
                <w:szCs w:val="18"/>
                <w:vertAlign w:val="subscript"/>
              </w:rPr>
              <w:t>poro</w:t>
            </w:r>
            <w:proofErr w:type="spellEnd"/>
            <w:r w:rsidRPr="00402F74">
              <w:rPr>
                <w:rFonts w:ascii="Times New Roman" w:hAnsi="Times New Roman"/>
                <w:color w:val="000000" w:themeColor="text1"/>
                <w:kern w:val="24"/>
                <w:szCs w:val="18"/>
              </w:rPr>
              <w:t xml:space="preserve"> (cm</w:t>
            </w:r>
            <w:r w:rsidRPr="00402F74">
              <w:rPr>
                <w:rFonts w:ascii="Times New Roman" w:hAnsi="Times New Roman"/>
                <w:color w:val="000000" w:themeColor="text1"/>
                <w:kern w:val="24"/>
                <w:szCs w:val="18"/>
                <w:vertAlign w:val="superscript"/>
              </w:rPr>
              <w:t>3</w:t>
            </w:r>
            <w:r w:rsidRPr="00402F74">
              <w:rPr>
                <w:rFonts w:ascii="Times New Roman" w:hAnsi="Times New Roman"/>
                <w:color w:val="000000" w:themeColor="text1"/>
                <w:kern w:val="24"/>
                <w:szCs w:val="18"/>
              </w:rPr>
              <w:t>∙g</w:t>
            </w:r>
            <w:r w:rsidRPr="00402F74">
              <w:rPr>
                <w:rFonts w:ascii="Times New Roman" w:hAnsi="Times New Roman"/>
                <w:color w:val="000000" w:themeColor="text1"/>
                <w:kern w:val="24"/>
                <w:szCs w:val="18"/>
                <w:vertAlign w:val="superscript"/>
              </w:rPr>
              <w:t>-1</w:t>
            </w:r>
            <w:r w:rsidRPr="00402F74">
              <w:rPr>
                <w:rFonts w:ascii="Times New Roman" w:hAnsi="Times New Roman"/>
                <w:color w:val="000000" w:themeColor="text1"/>
                <w:kern w:val="24"/>
                <w:szCs w:val="18"/>
              </w:rPr>
              <w:t>)</w:t>
            </w:r>
          </w:p>
        </w:tc>
        <w:tc>
          <w:tcPr>
            <w:tcW w:w="1123" w:type="dxa"/>
            <w:vAlign w:val="center"/>
          </w:tcPr>
          <w:p w14:paraId="35A5D115" w14:textId="77777777" w:rsidR="00D44BD4" w:rsidRPr="00402F74" w:rsidRDefault="00D44BD4" w:rsidP="00711F32">
            <w:pPr>
              <w:pStyle w:val="TCTableBody"/>
              <w:spacing w:after="0" w:line="360" w:lineRule="auto"/>
              <w:jc w:val="center"/>
              <w:rPr>
                <w:szCs w:val="18"/>
                <w:lang w:val="pt-BR"/>
              </w:rPr>
            </w:pPr>
            <w:proofErr w:type="spellStart"/>
            <w:r w:rsidRPr="00402F74">
              <w:rPr>
                <w:rFonts w:ascii="Times New Roman" w:hAnsi="Times New Roman"/>
                <w:color w:val="000000" w:themeColor="text1"/>
                <w:kern w:val="24"/>
                <w:szCs w:val="18"/>
              </w:rPr>
              <w:t>D</w:t>
            </w:r>
            <w:r w:rsidRPr="00402F74">
              <w:rPr>
                <w:rFonts w:ascii="Times New Roman" w:hAnsi="Times New Roman"/>
                <w:color w:val="000000" w:themeColor="text1"/>
                <w:kern w:val="24"/>
                <w:szCs w:val="18"/>
                <w:vertAlign w:val="superscript"/>
              </w:rPr>
              <w:t>a</w:t>
            </w:r>
            <w:r w:rsidRPr="00402F74">
              <w:rPr>
                <w:rFonts w:ascii="Times New Roman" w:hAnsi="Times New Roman"/>
                <w:color w:val="000000" w:themeColor="text1"/>
                <w:kern w:val="24"/>
                <w:szCs w:val="18"/>
                <w:vertAlign w:val="subscript"/>
              </w:rPr>
              <w:t>poro</w:t>
            </w:r>
            <w:proofErr w:type="spellEnd"/>
            <w:r w:rsidRPr="00402F74">
              <w:rPr>
                <w:rFonts w:ascii="Times New Roman" w:hAnsi="Times New Roman"/>
                <w:color w:val="000000" w:themeColor="text1"/>
                <w:kern w:val="24"/>
                <w:szCs w:val="18"/>
              </w:rPr>
              <w:t xml:space="preserve"> (nm)</w:t>
            </w:r>
          </w:p>
        </w:tc>
      </w:tr>
      <w:tr w:rsidR="00D44BD4" w:rsidRPr="00072C7A" w14:paraId="201FCCAD" w14:textId="77777777" w:rsidTr="00711F32">
        <w:tc>
          <w:tcPr>
            <w:tcW w:w="1201" w:type="dxa"/>
            <w:vAlign w:val="center"/>
          </w:tcPr>
          <w:p w14:paraId="459D736D"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themeColor="text1"/>
                <w:kern w:val="24"/>
                <w:szCs w:val="18"/>
              </w:rPr>
              <w:t>γ-Al</w:t>
            </w:r>
            <w:r w:rsidRPr="00402F74">
              <w:rPr>
                <w:rFonts w:ascii="Times New Roman" w:hAnsi="Times New Roman"/>
                <w:color w:val="000000" w:themeColor="text1"/>
                <w:kern w:val="24"/>
                <w:szCs w:val="18"/>
                <w:vertAlign w:val="subscript"/>
              </w:rPr>
              <w:t>2</w:t>
            </w:r>
            <w:r w:rsidRPr="00402F74">
              <w:rPr>
                <w:rFonts w:ascii="Times New Roman" w:hAnsi="Times New Roman"/>
                <w:color w:val="000000" w:themeColor="text1"/>
                <w:kern w:val="24"/>
                <w:szCs w:val="18"/>
              </w:rPr>
              <w:t>O</w:t>
            </w:r>
            <w:r w:rsidRPr="00402F74">
              <w:rPr>
                <w:rFonts w:ascii="Times New Roman" w:hAnsi="Times New Roman"/>
                <w:color w:val="000000" w:themeColor="text1"/>
                <w:kern w:val="24"/>
                <w:szCs w:val="18"/>
                <w:vertAlign w:val="subscript"/>
              </w:rPr>
              <w:t>3</w:t>
            </w:r>
          </w:p>
        </w:tc>
        <w:tc>
          <w:tcPr>
            <w:tcW w:w="1204" w:type="dxa"/>
            <w:vAlign w:val="center"/>
          </w:tcPr>
          <w:p w14:paraId="4461F6BD"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kern w:val="24"/>
                <w:szCs w:val="18"/>
              </w:rPr>
              <w:t>285,20</w:t>
            </w:r>
          </w:p>
        </w:tc>
        <w:tc>
          <w:tcPr>
            <w:tcW w:w="1276" w:type="dxa"/>
            <w:vAlign w:val="center"/>
          </w:tcPr>
          <w:p w14:paraId="7D4377D7"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kern w:val="24"/>
                <w:szCs w:val="18"/>
              </w:rPr>
              <w:t>0,75</w:t>
            </w:r>
          </w:p>
        </w:tc>
        <w:tc>
          <w:tcPr>
            <w:tcW w:w="1123" w:type="dxa"/>
            <w:vAlign w:val="center"/>
          </w:tcPr>
          <w:p w14:paraId="20596260"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kern w:val="24"/>
                <w:szCs w:val="18"/>
              </w:rPr>
              <w:t>6,78</w:t>
            </w:r>
          </w:p>
        </w:tc>
      </w:tr>
      <w:tr w:rsidR="00D44BD4" w:rsidRPr="00072C7A" w14:paraId="6CA584D9" w14:textId="77777777" w:rsidTr="00711F32">
        <w:tc>
          <w:tcPr>
            <w:tcW w:w="1201" w:type="dxa"/>
            <w:vAlign w:val="center"/>
          </w:tcPr>
          <w:p w14:paraId="7EFBCD7A"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themeColor="text1"/>
                <w:kern w:val="24"/>
                <w:szCs w:val="18"/>
              </w:rPr>
              <w:t>SiO</w:t>
            </w:r>
            <w:r w:rsidRPr="00402F74">
              <w:rPr>
                <w:rFonts w:ascii="Times New Roman" w:hAnsi="Times New Roman"/>
                <w:color w:val="000000" w:themeColor="text1"/>
                <w:kern w:val="24"/>
                <w:szCs w:val="18"/>
                <w:vertAlign w:val="subscript"/>
              </w:rPr>
              <w:t>2</w:t>
            </w:r>
            <w:r w:rsidRPr="00402F74">
              <w:rPr>
                <w:rFonts w:ascii="Times New Roman" w:hAnsi="Times New Roman"/>
                <w:color w:val="000000" w:themeColor="text1"/>
                <w:kern w:val="24"/>
                <w:szCs w:val="18"/>
              </w:rPr>
              <w:t>-Al</w:t>
            </w:r>
            <w:r w:rsidRPr="00402F74">
              <w:rPr>
                <w:rFonts w:ascii="Times New Roman" w:hAnsi="Times New Roman"/>
                <w:color w:val="000000" w:themeColor="text1"/>
                <w:kern w:val="24"/>
                <w:szCs w:val="18"/>
                <w:vertAlign w:val="subscript"/>
              </w:rPr>
              <w:t>2</w:t>
            </w:r>
            <w:r w:rsidRPr="00402F74">
              <w:rPr>
                <w:rFonts w:ascii="Times New Roman" w:hAnsi="Times New Roman"/>
                <w:color w:val="000000" w:themeColor="text1"/>
                <w:kern w:val="24"/>
                <w:szCs w:val="18"/>
              </w:rPr>
              <w:t>O</w:t>
            </w:r>
            <w:r w:rsidRPr="00402F74">
              <w:rPr>
                <w:rFonts w:ascii="Times New Roman" w:hAnsi="Times New Roman"/>
                <w:color w:val="000000" w:themeColor="text1"/>
                <w:kern w:val="24"/>
                <w:szCs w:val="18"/>
                <w:vertAlign w:val="subscript"/>
              </w:rPr>
              <w:t>3</w:t>
            </w:r>
          </w:p>
        </w:tc>
        <w:tc>
          <w:tcPr>
            <w:tcW w:w="1204" w:type="dxa"/>
            <w:vAlign w:val="center"/>
          </w:tcPr>
          <w:p w14:paraId="1D06D036"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kern w:val="24"/>
                <w:szCs w:val="18"/>
              </w:rPr>
              <w:t>348,06</w:t>
            </w:r>
          </w:p>
        </w:tc>
        <w:tc>
          <w:tcPr>
            <w:tcW w:w="1276" w:type="dxa"/>
            <w:vAlign w:val="center"/>
          </w:tcPr>
          <w:p w14:paraId="296E6A15"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kern w:val="24"/>
                <w:szCs w:val="18"/>
              </w:rPr>
              <w:t>0,57</w:t>
            </w:r>
          </w:p>
        </w:tc>
        <w:tc>
          <w:tcPr>
            <w:tcW w:w="1123" w:type="dxa"/>
            <w:vAlign w:val="center"/>
          </w:tcPr>
          <w:p w14:paraId="0BE85F87"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kern w:val="24"/>
                <w:szCs w:val="18"/>
              </w:rPr>
              <w:t>4,50</w:t>
            </w:r>
          </w:p>
        </w:tc>
      </w:tr>
      <w:tr w:rsidR="00D44BD4" w:rsidRPr="00072C7A" w14:paraId="565926FF" w14:textId="77777777" w:rsidTr="00711F32">
        <w:trPr>
          <w:trHeight w:val="454"/>
        </w:trPr>
        <w:tc>
          <w:tcPr>
            <w:tcW w:w="1201" w:type="dxa"/>
            <w:tcBorders>
              <w:bottom w:val="single" w:sz="6" w:space="0" w:color="auto"/>
            </w:tcBorders>
            <w:vAlign w:val="center"/>
          </w:tcPr>
          <w:p w14:paraId="24E66BA0"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themeColor="text1"/>
                <w:kern w:val="24"/>
                <w:szCs w:val="18"/>
              </w:rPr>
              <w:t>*MCM-41</w:t>
            </w:r>
          </w:p>
        </w:tc>
        <w:tc>
          <w:tcPr>
            <w:tcW w:w="1204" w:type="dxa"/>
            <w:tcBorders>
              <w:bottom w:val="single" w:sz="6" w:space="0" w:color="auto"/>
            </w:tcBorders>
            <w:vAlign w:val="center"/>
          </w:tcPr>
          <w:p w14:paraId="36BB9717"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kern w:val="24"/>
                <w:szCs w:val="18"/>
              </w:rPr>
              <w:t>885,00</w:t>
            </w:r>
          </w:p>
        </w:tc>
        <w:tc>
          <w:tcPr>
            <w:tcW w:w="1276" w:type="dxa"/>
            <w:tcBorders>
              <w:bottom w:val="single" w:sz="6" w:space="0" w:color="auto"/>
            </w:tcBorders>
            <w:vAlign w:val="center"/>
          </w:tcPr>
          <w:p w14:paraId="55A02F83"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kern w:val="24"/>
                <w:szCs w:val="18"/>
              </w:rPr>
              <w:t>0,72</w:t>
            </w:r>
          </w:p>
        </w:tc>
        <w:tc>
          <w:tcPr>
            <w:tcW w:w="1123" w:type="dxa"/>
            <w:tcBorders>
              <w:bottom w:val="single" w:sz="6" w:space="0" w:color="auto"/>
            </w:tcBorders>
            <w:vAlign w:val="center"/>
          </w:tcPr>
          <w:p w14:paraId="7D4B8C7A" w14:textId="77777777" w:rsidR="00D44BD4" w:rsidRPr="00402F74" w:rsidRDefault="00D44BD4" w:rsidP="00711F32">
            <w:pPr>
              <w:pStyle w:val="TCTableBody"/>
              <w:spacing w:after="0" w:line="360" w:lineRule="auto"/>
              <w:jc w:val="center"/>
              <w:rPr>
                <w:szCs w:val="18"/>
                <w:lang w:val="pt-BR"/>
              </w:rPr>
            </w:pPr>
            <w:r w:rsidRPr="00402F74">
              <w:rPr>
                <w:rFonts w:ascii="Times New Roman" w:hAnsi="Times New Roman"/>
                <w:color w:val="000000"/>
                <w:kern w:val="24"/>
                <w:szCs w:val="18"/>
              </w:rPr>
              <w:t>3,20</w:t>
            </w:r>
          </w:p>
        </w:tc>
      </w:tr>
      <w:tr w:rsidR="00D44BD4" w:rsidRPr="00072C7A" w14:paraId="79BBF8E8" w14:textId="77777777" w:rsidTr="00711F32">
        <w:tc>
          <w:tcPr>
            <w:tcW w:w="4804" w:type="dxa"/>
            <w:gridSpan w:val="4"/>
            <w:tcBorders>
              <w:top w:val="single" w:sz="6" w:space="0" w:color="auto"/>
              <w:left w:val="nil"/>
              <w:bottom w:val="nil"/>
              <w:right w:val="nil"/>
            </w:tcBorders>
            <w:vAlign w:val="center"/>
          </w:tcPr>
          <w:p w14:paraId="3539D616" w14:textId="77777777" w:rsidR="00D44BD4" w:rsidRPr="00D44BD4" w:rsidRDefault="00D44BD4" w:rsidP="00711F32">
            <w:pPr>
              <w:pStyle w:val="TCTableBody"/>
              <w:spacing w:after="0"/>
              <w:rPr>
                <w:rFonts w:ascii="Times New Roman" w:hAnsi="Times New Roman"/>
                <w:lang w:val="pt-BR"/>
              </w:rPr>
            </w:pPr>
            <w:r w:rsidRPr="00D44BD4">
              <w:rPr>
                <w:rFonts w:ascii="Times New Roman" w:hAnsi="Times New Roman"/>
                <w:lang w:val="pt-BR"/>
              </w:rPr>
              <w:t>Fonte: Autor, 2023.</w:t>
            </w:r>
          </w:p>
          <w:p w14:paraId="06D6CE7B" w14:textId="77777777" w:rsidR="00D44BD4" w:rsidRPr="00E038AF" w:rsidRDefault="00D44BD4" w:rsidP="00711F32">
            <w:pPr>
              <w:pStyle w:val="TCTableBody"/>
              <w:spacing w:after="0"/>
              <w:rPr>
                <w:rFonts w:ascii="Times New Roman" w:hAnsi="Times New Roman"/>
                <w:lang w:val="pt-BR"/>
              </w:rPr>
            </w:pPr>
            <w:r w:rsidRPr="00D44BD4">
              <w:rPr>
                <w:rFonts w:ascii="Times New Roman" w:hAnsi="Times New Roman"/>
                <w:lang w:val="pt-BR"/>
              </w:rPr>
              <w:t xml:space="preserve">Legenda: </w:t>
            </w:r>
            <w:proofErr w:type="spellStart"/>
            <w:r w:rsidRPr="00D44BD4">
              <w:rPr>
                <w:rFonts w:ascii="Times New Roman" w:hAnsi="Times New Roman"/>
                <w:vertAlign w:val="superscript"/>
                <w:lang w:val="pt-BR"/>
              </w:rPr>
              <w:t>a</w:t>
            </w:r>
            <w:r w:rsidRPr="00D44BD4">
              <w:rPr>
                <w:rFonts w:ascii="Times New Roman" w:hAnsi="Times New Roman"/>
                <w:lang w:val="pt-BR"/>
              </w:rPr>
              <w:t>Método</w:t>
            </w:r>
            <w:proofErr w:type="spellEnd"/>
            <w:r w:rsidRPr="00D44BD4">
              <w:rPr>
                <w:rFonts w:ascii="Times New Roman" w:hAnsi="Times New Roman"/>
                <w:lang w:val="pt-BR"/>
              </w:rPr>
              <w:t xml:space="preserve"> BJH, a partir da isoterma de dessorção.</w:t>
            </w:r>
          </w:p>
        </w:tc>
      </w:tr>
    </w:tbl>
    <w:p w14:paraId="5A082328" w14:textId="77777777" w:rsidR="00D44BD4" w:rsidRDefault="00D44BD4" w:rsidP="00D44BD4">
      <w:pPr>
        <w:pStyle w:val="TAMainText"/>
        <w:ind w:firstLine="0"/>
        <w:rPr>
          <w:rFonts w:ascii="Times New Roman" w:hAnsi="Times New Roman"/>
          <w:lang w:val="pt-BR"/>
        </w:rPr>
      </w:pPr>
    </w:p>
    <w:p w14:paraId="7E3CE41A" w14:textId="322405AB" w:rsidR="00D44BD4" w:rsidRPr="00E038AF" w:rsidRDefault="00D44BD4" w:rsidP="00D44BD4">
      <w:pPr>
        <w:pStyle w:val="TAMainText"/>
        <w:ind w:firstLine="187"/>
        <w:rPr>
          <w:rFonts w:ascii="Times New Roman" w:hAnsi="Times New Roman"/>
          <w:lang w:val="pt-BR"/>
        </w:rPr>
      </w:pPr>
      <w:r w:rsidRPr="00D44BD4">
        <w:rPr>
          <w:szCs w:val="24"/>
          <w:lang w:val="pt-BR"/>
        </w:rPr>
        <w:t xml:space="preserve">Na Figura </w:t>
      </w:r>
      <w:r>
        <w:rPr>
          <w:szCs w:val="24"/>
          <w:lang w:val="pt-BR"/>
        </w:rPr>
        <w:t>1</w:t>
      </w:r>
      <w:r w:rsidRPr="00D44BD4">
        <w:rPr>
          <w:szCs w:val="24"/>
          <w:lang w:val="pt-BR"/>
        </w:rPr>
        <w:t xml:space="preserve"> são apresentados os espectros de difração de raios-X de alto ângulo dos suportes calcinados a 500 °C.</w:t>
      </w:r>
    </w:p>
    <w:p w14:paraId="307595D3" w14:textId="77777777" w:rsidR="00E038AF" w:rsidRDefault="00E038AF" w:rsidP="00EA4E1B">
      <w:pPr>
        <w:pStyle w:val="TAMainText"/>
        <w:ind w:firstLine="187"/>
        <w:rPr>
          <w:lang w:val="pt-BR"/>
        </w:rPr>
      </w:pPr>
    </w:p>
    <w:p w14:paraId="7F644015" w14:textId="2263D76B" w:rsidR="00EA4E1B" w:rsidRPr="00D44BD4" w:rsidRDefault="00D44BD4" w:rsidP="00D44BD4">
      <w:pPr>
        <w:spacing w:after="0"/>
        <w:jc w:val="center"/>
        <w:rPr>
          <w:rFonts w:ascii="Times New Roman" w:hAnsi="Times New Roman" w:cs="Times New Roman"/>
        </w:rPr>
      </w:pPr>
      <w:r>
        <w:rPr>
          <w:noProof/>
        </w:rPr>
        <w:drawing>
          <wp:inline distT="0" distB="0" distL="0" distR="0" wp14:anchorId="1F68EDE7" wp14:editId="040128FC">
            <wp:extent cx="3027680" cy="2369185"/>
            <wp:effectExtent l="0" t="0" r="0" b="5715"/>
            <wp:docPr id="1042835022" name="Imagem 1" descr="Project Path: C:\Users\victo\OneDrive\Documentos\Mestrado\2021-01\PEQ001 - Dissertação\VICTORROMAO\Caracterização de Catalisadores\DRX\DRX suportes.opju&#10;PE Folder: /DRX suportes/Folder1/&#10;Short Name: 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ct Path: C:\Users\victo\OneDrive\Documentos\Mestrado\2021-01\PEQ001 - Dissertação\VICTORROMAO\Caracterização de Catalisadores\DRX\DRX suportes.opju&#10;PE Folder: /DRX suportes/Folder1/&#10;Short Name: Graph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7680" cy="2369185"/>
                    </a:xfrm>
                    <a:prstGeom prst="rect">
                      <a:avLst/>
                    </a:prstGeom>
                    <a:noFill/>
                    <a:ln>
                      <a:noFill/>
                    </a:ln>
                  </pic:spPr>
                </pic:pic>
              </a:graphicData>
            </a:graphic>
          </wp:inline>
        </w:drawing>
      </w:r>
    </w:p>
    <w:p w14:paraId="540E7515" w14:textId="5DA4AF9D" w:rsidR="00EA4E1B" w:rsidRPr="00E038AF" w:rsidRDefault="00EA4E1B" w:rsidP="00EA4E1B">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proofErr w:type="spellStart"/>
      <w:r w:rsidR="00D44BD4" w:rsidRPr="00D44BD4">
        <w:rPr>
          <w:szCs w:val="24"/>
          <w:lang w:val="pt-BR"/>
        </w:rPr>
        <w:t>Difratogramas</w:t>
      </w:r>
      <w:proofErr w:type="spellEnd"/>
      <w:r w:rsidR="00D44BD4" w:rsidRPr="00D44BD4">
        <w:rPr>
          <w:szCs w:val="24"/>
          <w:lang w:val="pt-BR"/>
        </w:rPr>
        <w:t xml:space="preserve"> de DRX dos suportes calcinados</w:t>
      </w:r>
      <w:r w:rsidRPr="00E038AF">
        <w:rPr>
          <w:rFonts w:ascii="Times New Roman" w:hAnsi="Times New Roman"/>
          <w:lang w:val="pt-BR"/>
        </w:rPr>
        <w:t>.</w:t>
      </w:r>
    </w:p>
    <w:p w14:paraId="49AE8C02" w14:textId="3704D18C" w:rsidR="00EA4E1B" w:rsidRDefault="00EA4E1B" w:rsidP="00EA4E1B">
      <w:pPr>
        <w:pStyle w:val="TAMainText"/>
        <w:rPr>
          <w:lang w:val="pt-BR"/>
        </w:rPr>
      </w:pPr>
    </w:p>
    <w:p w14:paraId="46FE30FF" w14:textId="106A1D35" w:rsidR="00EA4E1B" w:rsidRDefault="00D44BD4" w:rsidP="00515111">
      <w:pPr>
        <w:pStyle w:val="TAMainText"/>
        <w:rPr>
          <w:szCs w:val="24"/>
          <w:lang w:val="pt-BR"/>
        </w:rPr>
      </w:pPr>
      <w:r w:rsidRPr="00D44BD4">
        <w:rPr>
          <w:szCs w:val="24"/>
          <w:lang w:val="pt-BR"/>
        </w:rPr>
        <w:t>A peneira molecular MCM-41 apresentou fase cristalina nas posições 2</w:t>
      </w:r>
      <w:r>
        <w:rPr>
          <w:szCs w:val="24"/>
        </w:rPr>
        <w:t>θ</w:t>
      </w:r>
      <w:r w:rsidRPr="00D44BD4">
        <w:rPr>
          <w:szCs w:val="24"/>
          <w:lang w:val="pt-BR"/>
        </w:rPr>
        <w:t xml:space="preserve"> = 43,9°; 64,3° e 77,5° (ICSD n° 068162), referente à estrutura hexagonal porosa </w:t>
      </w:r>
      <w:r w:rsidR="00515111">
        <w:rPr>
          <w:szCs w:val="24"/>
          <w:lang w:val="pt-BR"/>
        </w:rPr>
        <w:t>(1</w:t>
      </w:r>
      <w:r w:rsidR="005A05D9">
        <w:rPr>
          <w:szCs w:val="24"/>
          <w:lang w:val="pt-BR"/>
        </w:rPr>
        <w:t>1</w:t>
      </w:r>
      <w:r w:rsidR="00515111">
        <w:rPr>
          <w:szCs w:val="24"/>
          <w:lang w:val="pt-BR"/>
        </w:rPr>
        <w:t>)</w:t>
      </w:r>
      <w:r w:rsidRPr="00D44BD4">
        <w:rPr>
          <w:szCs w:val="24"/>
          <w:lang w:val="pt-BR"/>
        </w:rPr>
        <w:t xml:space="preserve">. </w:t>
      </w:r>
      <w:r w:rsidRPr="00515111">
        <w:rPr>
          <w:szCs w:val="24"/>
          <w:lang w:val="pt-BR"/>
        </w:rPr>
        <w:t>A SiO</w:t>
      </w:r>
      <w:r w:rsidRPr="00515111">
        <w:rPr>
          <w:szCs w:val="24"/>
          <w:vertAlign w:val="subscript"/>
          <w:lang w:val="pt-BR"/>
        </w:rPr>
        <w:t>2</w:t>
      </w:r>
      <w:r w:rsidRPr="00515111">
        <w:rPr>
          <w:color w:val="000000" w:themeColor="text1"/>
          <w:kern w:val="24"/>
          <w:szCs w:val="24"/>
          <w:lang w:val="pt-BR"/>
        </w:rPr>
        <w:t>-Al</w:t>
      </w:r>
      <w:r w:rsidRPr="00515111">
        <w:rPr>
          <w:color w:val="000000" w:themeColor="text1"/>
          <w:kern w:val="24"/>
          <w:szCs w:val="24"/>
          <w:vertAlign w:val="subscript"/>
          <w:lang w:val="pt-BR"/>
        </w:rPr>
        <w:t>2</w:t>
      </w:r>
      <w:r w:rsidRPr="00515111">
        <w:rPr>
          <w:color w:val="000000" w:themeColor="text1"/>
          <w:kern w:val="24"/>
          <w:szCs w:val="24"/>
          <w:lang w:val="pt-BR"/>
        </w:rPr>
        <w:t>O</w:t>
      </w:r>
      <w:r w:rsidRPr="00515111">
        <w:rPr>
          <w:color w:val="000000" w:themeColor="text1"/>
          <w:kern w:val="24"/>
          <w:szCs w:val="24"/>
          <w:vertAlign w:val="subscript"/>
          <w:lang w:val="pt-BR"/>
        </w:rPr>
        <w:t>3</w:t>
      </w:r>
      <w:r w:rsidRPr="00515111">
        <w:rPr>
          <w:color w:val="000000" w:themeColor="text1"/>
          <w:kern w:val="24"/>
          <w:szCs w:val="24"/>
          <w:lang w:val="pt-BR"/>
        </w:rPr>
        <w:t xml:space="preserve"> exibiu pico característico da estrutura amorfa para o óxido de silício (</w:t>
      </w:r>
      <w:r w:rsidRPr="00515111">
        <w:rPr>
          <w:szCs w:val="24"/>
          <w:lang w:val="pt-BR"/>
        </w:rPr>
        <w:t>SiO</w:t>
      </w:r>
      <w:r w:rsidRPr="00515111">
        <w:rPr>
          <w:szCs w:val="24"/>
          <w:vertAlign w:val="subscript"/>
          <w:lang w:val="pt-BR"/>
        </w:rPr>
        <w:t>2</w:t>
      </w:r>
      <w:r w:rsidRPr="00515111">
        <w:rPr>
          <w:szCs w:val="24"/>
          <w:lang w:val="pt-BR"/>
        </w:rPr>
        <w:t>) na posição 2</w:t>
      </w:r>
      <w:r>
        <w:rPr>
          <w:szCs w:val="24"/>
        </w:rPr>
        <w:t>θ</w:t>
      </w:r>
      <w:r w:rsidRPr="00515111">
        <w:rPr>
          <w:szCs w:val="24"/>
          <w:lang w:val="pt-BR"/>
        </w:rPr>
        <w:t xml:space="preserve"> = 22,6° (ICSD n° 075651), não sendo observada a presença de cristais de alumínio (</w:t>
      </w:r>
      <w:r w:rsidRPr="00515111">
        <w:rPr>
          <w:color w:val="000000" w:themeColor="text1"/>
          <w:kern w:val="24"/>
          <w:szCs w:val="24"/>
          <w:lang w:val="pt-BR"/>
        </w:rPr>
        <w:t>Al</w:t>
      </w:r>
      <w:r w:rsidRPr="00515111">
        <w:rPr>
          <w:szCs w:val="24"/>
          <w:lang w:val="pt-BR"/>
        </w:rPr>
        <w:t>), indicando que estes óxidos estão bem dispersos entre si</w:t>
      </w:r>
      <w:r w:rsidR="00515111">
        <w:rPr>
          <w:szCs w:val="24"/>
          <w:lang w:val="pt-BR"/>
        </w:rPr>
        <w:t xml:space="preserve"> (1</w:t>
      </w:r>
      <w:r w:rsidR="00077EFD">
        <w:rPr>
          <w:szCs w:val="24"/>
          <w:lang w:val="pt-BR"/>
        </w:rPr>
        <w:t>2</w:t>
      </w:r>
      <w:r w:rsidR="00515111">
        <w:rPr>
          <w:szCs w:val="24"/>
          <w:lang w:val="pt-BR"/>
        </w:rPr>
        <w:t>)</w:t>
      </w:r>
      <w:r w:rsidRPr="00515111">
        <w:rPr>
          <w:szCs w:val="24"/>
          <w:lang w:val="pt-BR"/>
        </w:rPr>
        <w:t xml:space="preserve">. Enquanto a </w:t>
      </w:r>
      <w:r w:rsidRPr="00515111">
        <w:rPr>
          <w:color w:val="000000" w:themeColor="text1"/>
          <w:kern w:val="24"/>
          <w:szCs w:val="24"/>
          <w:lang w:val="pt-BR"/>
        </w:rPr>
        <w:t>Al</w:t>
      </w:r>
      <w:r w:rsidRPr="00515111">
        <w:rPr>
          <w:color w:val="000000" w:themeColor="text1"/>
          <w:kern w:val="24"/>
          <w:szCs w:val="24"/>
          <w:vertAlign w:val="subscript"/>
          <w:lang w:val="pt-BR"/>
        </w:rPr>
        <w:t>2</w:t>
      </w:r>
      <w:r w:rsidRPr="00515111">
        <w:rPr>
          <w:color w:val="000000" w:themeColor="text1"/>
          <w:kern w:val="24"/>
          <w:szCs w:val="24"/>
          <w:lang w:val="pt-BR"/>
        </w:rPr>
        <w:t>O</w:t>
      </w:r>
      <w:r w:rsidRPr="00515111">
        <w:rPr>
          <w:color w:val="000000" w:themeColor="text1"/>
          <w:kern w:val="24"/>
          <w:szCs w:val="24"/>
          <w:vertAlign w:val="subscript"/>
          <w:lang w:val="pt-BR"/>
        </w:rPr>
        <w:t>3</w:t>
      </w:r>
      <w:r w:rsidRPr="00515111">
        <w:rPr>
          <w:szCs w:val="24"/>
          <w:lang w:val="pt-BR"/>
        </w:rPr>
        <w:t xml:space="preserve"> apresentou picos correspondentes à fase </w:t>
      </w:r>
      <w:r w:rsidRPr="00B26F16">
        <w:rPr>
          <w:color w:val="000000" w:themeColor="text1"/>
          <w:kern w:val="24"/>
          <w:szCs w:val="24"/>
        </w:rPr>
        <w:t>γ</w:t>
      </w:r>
      <w:r w:rsidRPr="00515111">
        <w:rPr>
          <w:color w:val="000000" w:themeColor="text1"/>
          <w:kern w:val="24"/>
          <w:szCs w:val="24"/>
          <w:lang w:val="pt-BR"/>
        </w:rPr>
        <w:t xml:space="preserve"> </w:t>
      </w:r>
      <w:r w:rsidRPr="00515111">
        <w:rPr>
          <w:szCs w:val="24"/>
          <w:lang w:val="pt-BR"/>
        </w:rPr>
        <w:t>nas posições 2</w:t>
      </w:r>
      <w:r>
        <w:rPr>
          <w:szCs w:val="24"/>
        </w:rPr>
        <w:t>θ</w:t>
      </w:r>
      <w:r w:rsidRPr="00515111">
        <w:rPr>
          <w:szCs w:val="24"/>
          <w:lang w:val="pt-BR"/>
        </w:rPr>
        <w:t xml:space="preserve"> = 37,7°; 45,9° e 66,8° (ICSD n° 066558),</w:t>
      </w:r>
      <w:r w:rsidRPr="00515111">
        <w:rPr>
          <w:color w:val="000000" w:themeColor="text1"/>
          <w:kern w:val="24"/>
          <w:szCs w:val="24"/>
          <w:lang w:val="pt-BR"/>
        </w:rPr>
        <w:t xml:space="preserve"> </w:t>
      </w:r>
      <w:r w:rsidRPr="00515111">
        <w:rPr>
          <w:szCs w:val="24"/>
          <w:lang w:val="pt-BR"/>
        </w:rPr>
        <w:t>estrutura com baixa cristalinidade.</w:t>
      </w:r>
    </w:p>
    <w:p w14:paraId="2BAAB8F0" w14:textId="09048787" w:rsidR="00515111" w:rsidRDefault="00515111" w:rsidP="00515111">
      <w:pPr>
        <w:pStyle w:val="TAMainText"/>
        <w:rPr>
          <w:szCs w:val="24"/>
          <w:lang w:val="pt-BR"/>
        </w:rPr>
      </w:pPr>
      <w:r w:rsidRPr="00515111">
        <w:rPr>
          <w:szCs w:val="24"/>
          <w:lang w:val="pt-BR"/>
        </w:rPr>
        <w:t>Os perfis de dessorção de amônia à temperatura programada (DTP-NH</w:t>
      </w:r>
      <w:r w:rsidRPr="00515111">
        <w:rPr>
          <w:szCs w:val="24"/>
          <w:vertAlign w:val="subscript"/>
          <w:lang w:val="pt-BR"/>
        </w:rPr>
        <w:t>3</w:t>
      </w:r>
      <w:r w:rsidRPr="00515111">
        <w:rPr>
          <w:szCs w:val="24"/>
          <w:lang w:val="pt-BR"/>
        </w:rPr>
        <w:t>) dos suporte</w:t>
      </w:r>
      <w:r w:rsidR="007C5BBD">
        <w:rPr>
          <w:szCs w:val="24"/>
          <w:lang w:val="pt-BR"/>
        </w:rPr>
        <w:t>s</w:t>
      </w:r>
      <w:r w:rsidRPr="00515111">
        <w:rPr>
          <w:szCs w:val="24"/>
          <w:lang w:val="pt-BR"/>
        </w:rPr>
        <w:t xml:space="preserve"> são mostrados na Figura </w:t>
      </w:r>
      <w:r w:rsidR="00142A4A">
        <w:rPr>
          <w:szCs w:val="24"/>
          <w:lang w:val="pt-BR"/>
        </w:rPr>
        <w:t>2</w:t>
      </w:r>
      <w:r w:rsidRPr="00515111">
        <w:rPr>
          <w:szCs w:val="24"/>
          <w:lang w:val="pt-BR"/>
        </w:rPr>
        <w:t>, indicando as forças relativas dos sítios ácidos.</w:t>
      </w:r>
    </w:p>
    <w:p w14:paraId="24D6096E" w14:textId="77777777" w:rsidR="00142A4A" w:rsidRDefault="00142A4A" w:rsidP="00142A4A">
      <w:pPr>
        <w:pStyle w:val="TAMainText"/>
        <w:ind w:firstLine="0"/>
        <w:rPr>
          <w:lang w:val="pt-BR"/>
        </w:rPr>
      </w:pPr>
    </w:p>
    <w:p w14:paraId="423488F8" w14:textId="17260646" w:rsidR="00142A4A" w:rsidRPr="00D44BD4" w:rsidRDefault="00142A4A" w:rsidP="00142A4A">
      <w:pPr>
        <w:spacing w:after="0"/>
        <w:jc w:val="center"/>
        <w:rPr>
          <w:rFonts w:ascii="Times New Roman" w:hAnsi="Times New Roman" w:cs="Times New Roman"/>
        </w:rPr>
      </w:pPr>
      <w:r>
        <w:fldChar w:fldCharType="begin"/>
      </w:r>
      <w:r>
        <w:instrText xml:space="preserve"> INCLUDEPICTURE "/Users/Romario/Library/Group Containers/UBF8T346G9.ms/WebArchiveCopyPasteTempFiles/com.microsoft.Word/dgCqW3XhaJgAAAAASUVORK5CYII=" \* MERGEFORMATINET </w:instrText>
      </w:r>
      <w:r>
        <w:fldChar w:fldCharType="separate"/>
      </w:r>
      <w:r>
        <w:rPr>
          <w:noProof/>
        </w:rPr>
        <w:drawing>
          <wp:inline distT="0" distB="0" distL="0" distR="0" wp14:anchorId="051EB60D" wp14:editId="16C17805">
            <wp:extent cx="3027680" cy="2508250"/>
            <wp:effectExtent l="0" t="0" r="0" b="6350"/>
            <wp:docPr id="628436073" name="Imagem 6" descr="Project Path: C:\Users\victo\OneDrive\Documentos\Mestrado\2021-01\PEQ001 - Dissertação\VICTORROMAO\Caracterização de Catalisadores\TPD\TPD-NH3\mcm-41_tpdnh3_28-09-22_victor.opj&#10;PE Folder: /mcm-41_tpdnh3_28-09-22_victor/Folder1/&#10;Short Name: Grap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ject Path: C:\Users\victo\OneDrive\Documentos\Mestrado\2021-01\PEQ001 - Dissertação\VICTORROMAO\Caracterização de Catalisadores\TPD\TPD-NH3\mcm-41_tpdnh3_28-09-22_victor.opj&#10;PE Folder: /mcm-41_tpdnh3_28-09-22_victor/Folder1/&#10;Short Name: Graph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2508250"/>
                    </a:xfrm>
                    <a:prstGeom prst="rect">
                      <a:avLst/>
                    </a:prstGeom>
                    <a:noFill/>
                    <a:ln>
                      <a:noFill/>
                    </a:ln>
                  </pic:spPr>
                </pic:pic>
              </a:graphicData>
            </a:graphic>
          </wp:inline>
        </w:drawing>
      </w:r>
      <w:r>
        <w:fldChar w:fldCharType="end"/>
      </w:r>
    </w:p>
    <w:p w14:paraId="3545A529" w14:textId="246DDEAD" w:rsidR="00515111" w:rsidRDefault="00142A4A" w:rsidP="00903649">
      <w:pPr>
        <w:pStyle w:val="VAFigureCaption"/>
        <w:spacing w:before="0"/>
        <w:rPr>
          <w:rStyle w:val="normaltextru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903649" w:rsidRPr="00903649">
        <w:rPr>
          <w:rStyle w:val="normaltextrun"/>
          <w:lang w:val="pt-BR"/>
        </w:rPr>
        <w:t>Perfil de DTP-NH</w:t>
      </w:r>
      <w:r w:rsidR="00903649" w:rsidRPr="00903649">
        <w:rPr>
          <w:rStyle w:val="normaltextrun"/>
          <w:sz w:val="19"/>
          <w:szCs w:val="19"/>
          <w:vertAlign w:val="subscript"/>
          <w:lang w:val="pt-BR"/>
        </w:rPr>
        <w:t>3</w:t>
      </w:r>
      <w:r w:rsidR="00903649" w:rsidRPr="00903649">
        <w:rPr>
          <w:rStyle w:val="normaltextrun"/>
          <w:lang w:val="pt-BR"/>
        </w:rPr>
        <w:t xml:space="preserve"> dos suportes </w:t>
      </w:r>
      <w:proofErr w:type="spellStart"/>
      <w:r w:rsidR="00903649" w:rsidRPr="00903649">
        <w:rPr>
          <w:rStyle w:val="normaltextrun"/>
          <w:lang w:val="pt-BR"/>
        </w:rPr>
        <w:t>mesoporosos</w:t>
      </w:r>
      <w:proofErr w:type="spellEnd"/>
      <w:r w:rsidR="00903649" w:rsidRPr="00903649">
        <w:rPr>
          <w:rStyle w:val="normaltextrun"/>
          <w:lang w:val="pt-BR"/>
        </w:rPr>
        <w:t>.</w:t>
      </w:r>
    </w:p>
    <w:p w14:paraId="04611544" w14:textId="77777777" w:rsidR="00903649" w:rsidRPr="00903649" w:rsidRDefault="00903649" w:rsidP="00903649">
      <w:pPr>
        <w:spacing w:after="0"/>
        <w:rPr>
          <w:rFonts w:ascii="Times New Roman" w:hAnsi="Times New Roman" w:cs="Times New Roman"/>
          <w:sz w:val="20"/>
          <w:szCs w:val="20"/>
          <w:lang w:eastAsia="pt-BR"/>
        </w:rPr>
      </w:pPr>
    </w:p>
    <w:p w14:paraId="04F5221B" w14:textId="13AFFB88" w:rsidR="00903649" w:rsidRPr="00903649" w:rsidRDefault="00903649" w:rsidP="00903649">
      <w:pPr>
        <w:pStyle w:val="TAMainText"/>
        <w:ind w:firstLine="187"/>
        <w:rPr>
          <w:rFonts w:ascii="Times New Roman" w:hAnsi="Times New Roman"/>
          <w:lang w:val="pt-BR"/>
        </w:rPr>
      </w:pPr>
      <w:r w:rsidRPr="00903649">
        <w:rPr>
          <w:rFonts w:ascii="Times New Roman" w:hAnsi="Times New Roman"/>
          <w:lang w:val="pt-BR"/>
        </w:rPr>
        <w:t>A dessorção de amônia (</w:t>
      </w:r>
      <w:r w:rsidRPr="00903649">
        <w:rPr>
          <w:rFonts w:ascii="Times New Roman" w:hAnsi="Times New Roman"/>
          <w:lang w:val="el-GR"/>
        </w:rPr>
        <w:t>μ</w:t>
      </w:r>
      <w:r w:rsidRPr="00903649">
        <w:rPr>
          <w:rFonts w:ascii="Times New Roman" w:hAnsi="Times New Roman"/>
          <w:lang w:val="pt-BR"/>
        </w:rPr>
        <w:t>mol NH</w:t>
      </w:r>
      <w:r w:rsidRPr="00903649">
        <w:rPr>
          <w:rFonts w:ascii="Times New Roman" w:hAnsi="Times New Roman"/>
          <w:vertAlign w:val="subscript"/>
          <w:lang w:val="pt-BR"/>
        </w:rPr>
        <w:t>3</w:t>
      </w:r>
      <w:r w:rsidRPr="00903649">
        <w:rPr>
          <w:rFonts w:ascii="Times New Roman" w:hAnsi="Times New Roman"/>
          <w:lang w:val="pt-BR"/>
        </w:rPr>
        <w:t>∙g</w:t>
      </w:r>
      <w:r w:rsidRPr="00903649">
        <w:rPr>
          <w:rFonts w:ascii="Times New Roman" w:hAnsi="Times New Roman"/>
          <w:vertAlign w:val="superscript"/>
          <w:lang w:val="pt-BR"/>
        </w:rPr>
        <w:t>-1</w:t>
      </w:r>
      <w:r w:rsidRPr="00903649">
        <w:rPr>
          <w:rFonts w:ascii="Times New Roman" w:hAnsi="Times New Roman"/>
          <w:lang w:val="pt-BR"/>
        </w:rPr>
        <w:t xml:space="preserve"> de suporte) está associada à concentração de sítios ácidos totais (C</w:t>
      </w:r>
      <w:r w:rsidRPr="00903649">
        <w:rPr>
          <w:rFonts w:ascii="Times New Roman" w:hAnsi="Times New Roman"/>
          <w:vertAlign w:val="subscript"/>
          <w:lang w:val="pt-BR"/>
        </w:rPr>
        <w:t>SAT</w:t>
      </w:r>
      <w:r w:rsidRPr="00903649">
        <w:rPr>
          <w:rFonts w:ascii="Times New Roman" w:hAnsi="Times New Roman"/>
          <w:lang w:val="pt-BR"/>
        </w:rPr>
        <w:t>), e a razão entre esse valor e a área superficial específica (S</w:t>
      </w:r>
      <w:r w:rsidRPr="00903649">
        <w:rPr>
          <w:rFonts w:ascii="Times New Roman" w:hAnsi="Times New Roman"/>
          <w:vertAlign w:val="subscript"/>
          <w:lang w:val="pt-BR"/>
        </w:rPr>
        <w:t>BET</w:t>
      </w:r>
      <w:r w:rsidRPr="00903649">
        <w:rPr>
          <w:rFonts w:ascii="Times New Roman" w:hAnsi="Times New Roman"/>
          <w:lang w:val="pt-BR"/>
        </w:rPr>
        <w:t>), representa a densidade de sítios ácidos totais (D</w:t>
      </w:r>
      <w:r w:rsidRPr="00903649">
        <w:rPr>
          <w:rFonts w:ascii="Times New Roman" w:hAnsi="Times New Roman"/>
          <w:vertAlign w:val="subscript"/>
          <w:lang w:val="pt-BR"/>
        </w:rPr>
        <w:t>SAT</w:t>
      </w:r>
      <w:r w:rsidRPr="00903649">
        <w:rPr>
          <w:rFonts w:ascii="Times New Roman" w:hAnsi="Times New Roman"/>
          <w:lang w:val="pt-BR"/>
        </w:rPr>
        <w:t xml:space="preserve">) </w:t>
      </w:r>
      <w:r w:rsidR="007C5BBD">
        <w:rPr>
          <w:rFonts w:ascii="Times New Roman" w:hAnsi="Times New Roman"/>
          <w:lang w:val="pt-BR"/>
        </w:rPr>
        <w:t>(</w:t>
      </w:r>
      <w:r w:rsidR="00077EFD">
        <w:rPr>
          <w:rFonts w:ascii="Times New Roman" w:hAnsi="Times New Roman"/>
          <w:lang w:val="pt-BR"/>
        </w:rPr>
        <w:t>13-14</w:t>
      </w:r>
      <w:r w:rsidR="007C5BBD">
        <w:rPr>
          <w:rFonts w:ascii="Times New Roman" w:hAnsi="Times New Roman"/>
          <w:lang w:val="pt-BR"/>
        </w:rPr>
        <w:t>)</w:t>
      </w:r>
      <w:r w:rsidRPr="00903649">
        <w:rPr>
          <w:rFonts w:ascii="Times New Roman" w:hAnsi="Times New Roman"/>
          <w:lang w:val="pt-BR"/>
        </w:rPr>
        <w:t>.</w:t>
      </w:r>
      <w:r w:rsidR="007C5BBD">
        <w:rPr>
          <w:rFonts w:ascii="Times New Roman" w:hAnsi="Times New Roman"/>
          <w:lang w:val="pt-BR"/>
        </w:rPr>
        <w:t xml:space="preserve"> A</w:t>
      </w:r>
      <w:r w:rsidRPr="00903649">
        <w:rPr>
          <w:rFonts w:ascii="Times New Roman" w:hAnsi="Times New Roman"/>
          <w:lang w:val="pt-BR"/>
        </w:rPr>
        <w:t>s amostras que têm perfil de DTP-NH</w:t>
      </w:r>
      <w:r w:rsidRPr="00903649">
        <w:rPr>
          <w:rFonts w:ascii="Times New Roman" w:hAnsi="Times New Roman"/>
          <w:vertAlign w:val="subscript"/>
          <w:lang w:val="pt-BR"/>
        </w:rPr>
        <w:t>3</w:t>
      </w:r>
      <w:r w:rsidRPr="00903649">
        <w:rPr>
          <w:rFonts w:ascii="Times New Roman" w:hAnsi="Times New Roman"/>
          <w:lang w:val="pt-BR"/>
        </w:rPr>
        <w:t xml:space="preserve"> em temperatura baixa (50-250 °C), possuem sítios ácidos fracos; na faixa de temperatura entre 250 e 500 °C (intermediária), sítios ácidos de força média; e em altas temperaturas (500-850 °C), apresentam sítios mais fortes</w:t>
      </w:r>
      <w:r w:rsidR="007C5BBD">
        <w:rPr>
          <w:rFonts w:ascii="Times New Roman" w:hAnsi="Times New Roman"/>
          <w:lang w:val="pt-BR"/>
        </w:rPr>
        <w:t xml:space="preserve"> (</w:t>
      </w:r>
      <w:r w:rsidR="00077EFD">
        <w:rPr>
          <w:rFonts w:ascii="Times New Roman" w:hAnsi="Times New Roman"/>
          <w:lang w:val="pt-BR"/>
        </w:rPr>
        <w:t>13</w:t>
      </w:r>
      <w:r w:rsidR="007C5BBD">
        <w:rPr>
          <w:rFonts w:ascii="Times New Roman" w:hAnsi="Times New Roman"/>
          <w:lang w:val="pt-BR"/>
        </w:rPr>
        <w:t>)</w:t>
      </w:r>
      <w:r w:rsidRPr="00903649">
        <w:rPr>
          <w:rFonts w:ascii="Times New Roman" w:hAnsi="Times New Roman"/>
          <w:lang w:val="pt-BR"/>
        </w:rPr>
        <w:t>.</w:t>
      </w:r>
    </w:p>
    <w:p w14:paraId="2B80AFA0" w14:textId="28542BB8" w:rsidR="00903649" w:rsidRDefault="00903649" w:rsidP="00903649">
      <w:pPr>
        <w:pStyle w:val="TAMainText"/>
        <w:ind w:firstLine="187"/>
        <w:rPr>
          <w:rFonts w:ascii="Times New Roman" w:hAnsi="Times New Roman"/>
          <w:lang w:val="pt-BR"/>
        </w:rPr>
      </w:pPr>
      <w:r w:rsidRPr="00903649">
        <w:rPr>
          <w:rFonts w:ascii="Times New Roman" w:hAnsi="Times New Roman"/>
          <w:lang w:val="pt-BR"/>
        </w:rPr>
        <w:t>A MCM-41 forneceu maior área dessorção de amônia (NH</w:t>
      </w:r>
      <w:r w:rsidRPr="00903649">
        <w:rPr>
          <w:rFonts w:ascii="Times New Roman" w:hAnsi="Times New Roman"/>
          <w:vertAlign w:val="subscript"/>
          <w:lang w:val="pt-BR"/>
        </w:rPr>
        <w:t>3</w:t>
      </w:r>
      <w:r w:rsidRPr="00903649">
        <w:rPr>
          <w:rFonts w:ascii="Times New Roman" w:hAnsi="Times New Roman"/>
          <w:lang w:val="pt-BR"/>
        </w:rPr>
        <w:t>), com o aumento da temperatura de 50 °C até 200 °C). A SiO</w:t>
      </w:r>
      <w:r w:rsidRPr="00903649">
        <w:rPr>
          <w:rFonts w:ascii="Times New Roman" w:hAnsi="Times New Roman"/>
          <w:vertAlign w:val="subscript"/>
          <w:lang w:val="pt-BR"/>
        </w:rPr>
        <w:t>2</w:t>
      </w:r>
      <w:r w:rsidRPr="00903649">
        <w:rPr>
          <w:rFonts w:ascii="Times New Roman" w:hAnsi="Times New Roman"/>
          <w:lang w:val="pt-BR"/>
        </w:rPr>
        <w:t>-Al</w:t>
      </w:r>
      <w:r w:rsidRPr="00903649">
        <w:rPr>
          <w:rFonts w:ascii="Times New Roman" w:hAnsi="Times New Roman"/>
          <w:vertAlign w:val="subscript"/>
          <w:lang w:val="pt-BR"/>
        </w:rPr>
        <w:t>2</w:t>
      </w:r>
      <w:r w:rsidRPr="00903649">
        <w:rPr>
          <w:rFonts w:ascii="Times New Roman" w:hAnsi="Times New Roman"/>
          <w:lang w:val="pt-BR"/>
        </w:rPr>
        <w:t>O</w:t>
      </w:r>
      <w:r w:rsidRPr="00903649">
        <w:rPr>
          <w:rFonts w:ascii="Times New Roman" w:hAnsi="Times New Roman"/>
          <w:vertAlign w:val="subscript"/>
          <w:lang w:val="pt-BR"/>
        </w:rPr>
        <w:t>3</w:t>
      </w:r>
      <w:r w:rsidRPr="00903649">
        <w:rPr>
          <w:rFonts w:ascii="Times New Roman" w:hAnsi="Times New Roman"/>
          <w:lang w:val="pt-BR"/>
        </w:rPr>
        <w:t xml:space="preserve"> exibiu uma acidez fraca, conforme indicado pelo intervalo estreito de temperatura de dessorção de NH</w:t>
      </w:r>
      <w:r w:rsidRPr="00903649">
        <w:rPr>
          <w:rFonts w:ascii="Times New Roman" w:hAnsi="Times New Roman"/>
          <w:vertAlign w:val="subscript"/>
          <w:lang w:val="pt-BR"/>
        </w:rPr>
        <w:t>3</w:t>
      </w:r>
      <w:r w:rsidRPr="00903649">
        <w:rPr>
          <w:rFonts w:ascii="Times New Roman" w:hAnsi="Times New Roman"/>
          <w:lang w:val="pt-BR"/>
        </w:rPr>
        <w:t xml:space="preserve"> (50-225 °C), conforme mostrado na Tabela </w:t>
      </w:r>
      <w:r>
        <w:rPr>
          <w:rFonts w:ascii="Times New Roman" w:hAnsi="Times New Roman"/>
          <w:lang w:val="pt-BR"/>
        </w:rPr>
        <w:t>2</w:t>
      </w:r>
      <w:r w:rsidRPr="00903649">
        <w:rPr>
          <w:rFonts w:ascii="Times New Roman" w:hAnsi="Times New Roman"/>
          <w:lang w:val="pt-BR"/>
        </w:rPr>
        <w:t>. Enquanto a γ-Al</w:t>
      </w:r>
      <w:r w:rsidRPr="00903649">
        <w:rPr>
          <w:rFonts w:ascii="Times New Roman" w:hAnsi="Times New Roman"/>
          <w:vertAlign w:val="subscript"/>
          <w:lang w:val="pt-BR"/>
        </w:rPr>
        <w:t>2</w:t>
      </w:r>
      <w:r w:rsidRPr="00903649">
        <w:rPr>
          <w:rFonts w:ascii="Times New Roman" w:hAnsi="Times New Roman"/>
          <w:lang w:val="pt-BR"/>
        </w:rPr>
        <w:t>O</w:t>
      </w:r>
      <w:r w:rsidRPr="00903649">
        <w:rPr>
          <w:rFonts w:ascii="Times New Roman" w:hAnsi="Times New Roman"/>
          <w:vertAlign w:val="subscript"/>
          <w:lang w:val="pt-BR"/>
        </w:rPr>
        <w:t>3</w:t>
      </w:r>
      <w:r w:rsidRPr="00903649">
        <w:rPr>
          <w:rFonts w:ascii="Times New Roman" w:hAnsi="Times New Roman"/>
          <w:lang w:val="pt-BR"/>
        </w:rPr>
        <w:t xml:space="preserve"> apresentou uma tendência de sítios ácidos de força média (50-275 °C), devido à acidez de </w:t>
      </w:r>
      <w:proofErr w:type="spellStart"/>
      <w:r w:rsidRPr="00903649">
        <w:rPr>
          <w:rFonts w:ascii="Times New Roman" w:hAnsi="Times New Roman"/>
          <w:lang w:val="pt"/>
        </w:rPr>
        <w:t>Brønsted</w:t>
      </w:r>
      <w:proofErr w:type="spellEnd"/>
      <w:r w:rsidR="00077EFD">
        <w:rPr>
          <w:rFonts w:ascii="Times New Roman" w:hAnsi="Times New Roman"/>
          <w:lang w:val="pt"/>
        </w:rPr>
        <w:t xml:space="preserve"> </w:t>
      </w:r>
      <w:r w:rsidR="007C5BBD">
        <w:rPr>
          <w:rFonts w:ascii="Times New Roman" w:hAnsi="Times New Roman"/>
          <w:lang w:val="pt-BR"/>
        </w:rPr>
        <w:t>(1</w:t>
      </w:r>
      <w:r w:rsidR="00077EFD">
        <w:rPr>
          <w:rFonts w:ascii="Times New Roman" w:hAnsi="Times New Roman"/>
          <w:lang w:val="pt-BR"/>
        </w:rPr>
        <w:t>5</w:t>
      </w:r>
      <w:r w:rsidR="007C5BBD">
        <w:rPr>
          <w:rFonts w:ascii="Times New Roman" w:hAnsi="Times New Roman"/>
          <w:lang w:val="pt-BR"/>
        </w:rPr>
        <w:t>)</w:t>
      </w:r>
      <w:r w:rsidRPr="00903649">
        <w:rPr>
          <w:rFonts w:ascii="Times New Roman" w:hAnsi="Times New Roman"/>
          <w:lang w:val="pt-BR"/>
        </w:rPr>
        <w:t>.</w:t>
      </w:r>
    </w:p>
    <w:p w14:paraId="7C196D28" w14:textId="77777777" w:rsidR="00903649" w:rsidRDefault="00903649" w:rsidP="00903649">
      <w:pPr>
        <w:pStyle w:val="TAMainText"/>
        <w:ind w:firstLine="187"/>
        <w:rPr>
          <w:rFonts w:ascii="Times New Roman" w:hAnsi="Times New Roman"/>
          <w:lang w:val="pt-BR"/>
        </w:rPr>
      </w:pPr>
    </w:p>
    <w:p w14:paraId="3B3AFBE4" w14:textId="0D2F0319" w:rsidR="00903649" w:rsidRPr="00903649" w:rsidRDefault="00903649" w:rsidP="00903649">
      <w:pPr>
        <w:pStyle w:val="TAMainText"/>
        <w:ind w:firstLine="0"/>
        <w:rPr>
          <w:rFonts w:ascii="Times New Roman" w:hAnsi="Times New Roman"/>
          <w:i/>
          <w:iCs/>
          <w:lang w:val="pt-BR"/>
        </w:rPr>
      </w:pPr>
      <w:r w:rsidRPr="00903649">
        <w:rPr>
          <w:rFonts w:ascii="Times New Roman" w:hAnsi="Times New Roman"/>
          <w:i/>
          <w:iCs/>
          <w:lang w:val="pt-BR"/>
        </w:rPr>
        <w:t>Teste catalítico</w:t>
      </w:r>
    </w:p>
    <w:p w14:paraId="494B4374" w14:textId="3A20242A" w:rsidR="00903649" w:rsidRDefault="00903649" w:rsidP="00903649">
      <w:pPr>
        <w:pStyle w:val="TAMainText"/>
        <w:ind w:firstLine="187"/>
        <w:rPr>
          <w:rFonts w:ascii="Times New Roman" w:hAnsi="Times New Roman"/>
          <w:lang w:val="pt-BR"/>
        </w:rPr>
      </w:pPr>
      <w:r w:rsidRPr="00903649">
        <w:rPr>
          <w:rFonts w:ascii="Times New Roman" w:hAnsi="Times New Roman"/>
          <w:lang w:val="pt-BR"/>
        </w:rPr>
        <w:t>Os parâmetros das reações de hidrólise do</w:t>
      </w:r>
      <w:r w:rsidR="002543E4">
        <w:rPr>
          <w:rFonts w:ascii="Times New Roman" w:hAnsi="Times New Roman"/>
          <w:lang w:val="pt-BR"/>
        </w:rPr>
        <w:t xml:space="preserve"> </w:t>
      </w:r>
      <w:r w:rsidRPr="00903649">
        <w:rPr>
          <w:rFonts w:ascii="Times New Roman" w:hAnsi="Times New Roman"/>
          <w:lang w:val="pt-BR"/>
        </w:rPr>
        <w:t xml:space="preserve">OMM, realizadas em diferentes temperaturas (250 e 50 °C), estão listados na Tabela </w:t>
      </w:r>
      <w:r>
        <w:rPr>
          <w:rFonts w:ascii="Times New Roman" w:hAnsi="Times New Roman"/>
          <w:lang w:val="pt-BR"/>
        </w:rPr>
        <w:t>3</w:t>
      </w:r>
      <w:r w:rsidRPr="00903649">
        <w:rPr>
          <w:rFonts w:ascii="Times New Roman" w:hAnsi="Times New Roman"/>
          <w:lang w:val="pt-BR"/>
        </w:rPr>
        <w:t xml:space="preserve">. Nas reações heterogêneas os suportes </w:t>
      </w:r>
      <w:r w:rsidRPr="00903649">
        <w:rPr>
          <w:rFonts w:ascii="Times New Roman" w:hAnsi="Times New Roman"/>
          <w:lang w:val="el-GR"/>
        </w:rPr>
        <w:t>γ</w:t>
      </w:r>
      <w:r w:rsidRPr="00903649">
        <w:rPr>
          <w:rFonts w:ascii="Times New Roman" w:hAnsi="Times New Roman"/>
          <w:lang w:val="pt-BR"/>
        </w:rPr>
        <w:t>-Al</w:t>
      </w:r>
      <w:r w:rsidRPr="00903649">
        <w:rPr>
          <w:rFonts w:ascii="Times New Roman" w:hAnsi="Times New Roman"/>
          <w:vertAlign w:val="subscript"/>
          <w:lang w:val="pt-BR"/>
        </w:rPr>
        <w:t>2</w:t>
      </w:r>
      <w:r w:rsidRPr="00903649">
        <w:rPr>
          <w:rFonts w:ascii="Times New Roman" w:hAnsi="Times New Roman"/>
          <w:lang w:val="pt-BR"/>
        </w:rPr>
        <w:t>O</w:t>
      </w:r>
      <w:r w:rsidRPr="00903649">
        <w:rPr>
          <w:rFonts w:ascii="Times New Roman" w:hAnsi="Times New Roman"/>
          <w:vertAlign w:val="subscript"/>
          <w:lang w:val="pt-BR"/>
        </w:rPr>
        <w:t>3</w:t>
      </w:r>
      <w:r w:rsidRPr="00903649">
        <w:rPr>
          <w:rFonts w:ascii="Times New Roman" w:hAnsi="Times New Roman"/>
          <w:lang w:val="pt-BR"/>
        </w:rPr>
        <w:t>, SiO</w:t>
      </w:r>
      <w:r w:rsidRPr="00903649">
        <w:rPr>
          <w:rFonts w:ascii="Times New Roman" w:hAnsi="Times New Roman"/>
          <w:vertAlign w:val="subscript"/>
          <w:lang w:val="pt-BR"/>
        </w:rPr>
        <w:t>2</w:t>
      </w:r>
      <w:r w:rsidRPr="00903649">
        <w:rPr>
          <w:rFonts w:ascii="Times New Roman" w:hAnsi="Times New Roman"/>
          <w:lang w:val="pt-BR"/>
        </w:rPr>
        <w:t>-Al</w:t>
      </w:r>
      <w:r w:rsidRPr="00903649">
        <w:rPr>
          <w:rFonts w:ascii="Times New Roman" w:hAnsi="Times New Roman"/>
          <w:vertAlign w:val="subscript"/>
          <w:lang w:val="pt-BR"/>
        </w:rPr>
        <w:t>2</w:t>
      </w:r>
      <w:r w:rsidRPr="00903649">
        <w:rPr>
          <w:rFonts w:ascii="Times New Roman" w:hAnsi="Times New Roman"/>
          <w:lang w:val="pt-BR"/>
        </w:rPr>
        <w:t>O</w:t>
      </w:r>
      <w:r w:rsidRPr="00903649">
        <w:rPr>
          <w:rFonts w:ascii="Times New Roman" w:hAnsi="Times New Roman"/>
          <w:vertAlign w:val="subscript"/>
          <w:lang w:val="pt-BR"/>
        </w:rPr>
        <w:t>3</w:t>
      </w:r>
      <w:r w:rsidRPr="00903649">
        <w:rPr>
          <w:rFonts w:ascii="Times New Roman" w:hAnsi="Times New Roman"/>
          <w:lang w:val="pt-BR"/>
        </w:rPr>
        <w:t xml:space="preserve"> e MCM-41 foram utilizados como catalisadores. Também foi desenvolvido o teste catalítico com a amostra 10Sn/γ-Al</w:t>
      </w:r>
      <w:r w:rsidRPr="00903649">
        <w:rPr>
          <w:rFonts w:ascii="Times New Roman" w:hAnsi="Times New Roman"/>
          <w:vertAlign w:val="subscript"/>
          <w:lang w:val="pt-BR"/>
        </w:rPr>
        <w:t>2</w:t>
      </w:r>
      <w:r w:rsidRPr="00903649">
        <w:rPr>
          <w:rFonts w:ascii="Times New Roman" w:hAnsi="Times New Roman"/>
          <w:lang w:val="pt-BR"/>
        </w:rPr>
        <w:t>O</w:t>
      </w:r>
      <w:r w:rsidRPr="00903649">
        <w:rPr>
          <w:rFonts w:ascii="Times New Roman" w:hAnsi="Times New Roman"/>
          <w:vertAlign w:val="subscript"/>
          <w:lang w:val="pt-BR"/>
        </w:rPr>
        <w:t>3</w:t>
      </w:r>
      <w:r w:rsidRPr="00903649">
        <w:rPr>
          <w:rFonts w:ascii="Times New Roman" w:hAnsi="Times New Roman"/>
          <w:lang w:val="pt-BR"/>
        </w:rPr>
        <w:t xml:space="preserve"> apenas a 50 °C. Avaliou-se a conversão de TAG e as seletividades dos principais compostos de interesse: ácido palmítico (C16:0), ácido oleico (C18:0) e MAG</w:t>
      </w:r>
      <w:r w:rsidR="002543E4">
        <w:rPr>
          <w:rFonts w:ascii="Times New Roman" w:hAnsi="Times New Roman"/>
          <w:lang w:val="pt-BR"/>
        </w:rPr>
        <w:t xml:space="preserve"> e </w:t>
      </w:r>
      <w:r w:rsidRPr="00903649">
        <w:rPr>
          <w:rFonts w:ascii="Times New Roman" w:hAnsi="Times New Roman"/>
          <w:lang w:val="pt-BR"/>
        </w:rPr>
        <w:t>DAG, após 120 min de reação.</w:t>
      </w:r>
    </w:p>
    <w:p w14:paraId="6056C218" w14:textId="77777777" w:rsidR="002543E4" w:rsidRPr="00903649" w:rsidRDefault="002543E4" w:rsidP="00903649">
      <w:pPr>
        <w:pStyle w:val="TAMainText"/>
        <w:ind w:firstLine="187"/>
        <w:rPr>
          <w:rFonts w:ascii="Times New Roman" w:hAnsi="Times New Roman"/>
          <w:lang w:val="pt-BR"/>
        </w:rPr>
      </w:pPr>
    </w:p>
    <w:p w14:paraId="16AF78FE" w14:textId="3DE49B9C" w:rsidR="002543E4" w:rsidRPr="005B2566" w:rsidRDefault="002543E4" w:rsidP="002543E4">
      <w:pPr>
        <w:pStyle w:val="VDTableTitle"/>
        <w:spacing w:after="120"/>
        <w:jc w:val="both"/>
        <w:rPr>
          <w:rFonts w:ascii="Times New Roman" w:hAnsi="Times New Roman"/>
          <w:lang w:val="pt-BR"/>
        </w:rPr>
      </w:pPr>
      <w:r w:rsidRPr="00E038AF">
        <w:rPr>
          <w:rFonts w:ascii="Times New Roman" w:hAnsi="Times New Roman"/>
          <w:b/>
          <w:lang w:val="pt-BR"/>
        </w:rPr>
        <w:t xml:space="preserve">Tabela </w:t>
      </w:r>
      <w:r w:rsidR="005B2566">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sidR="005B2566" w:rsidRPr="005B2566">
        <w:rPr>
          <w:lang w:val="pt-BR"/>
        </w:rPr>
        <w:t>Comparativo dos parâmetros reacionais em diferentes temperaturas de reação.</w:t>
      </w:r>
    </w:p>
    <w:tbl>
      <w:tblPr>
        <w:tblW w:w="48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00"/>
        <w:gridCol w:w="1038"/>
        <w:gridCol w:w="709"/>
        <w:gridCol w:w="709"/>
        <w:gridCol w:w="708"/>
        <w:gridCol w:w="840"/>
      </w:tblGrid>
      <w:tr w:rsidR="004D0BE1" w:rsidRPr="004D0BE1" w14:paraId="07A0D492" w14:textId="77777777" w:rsidTr="004D0BE1">
        <w:tc>
          <w:tcPr>
            <w:tcW w:w="800" w:type="dxa"/>
            <w:vAlign w:val="center"/>
          </w:tcPr>
          <w:p w14:paraId="23ABD4CC" w14:textId="3DFEAFAD"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proofErr w:type="spellStart"/>
            <w:r w:rsidRPr="004D0BE1">
              <w:rPr>
                <w:rFonts w:ascii="Times New Roman" w:hAnsi="Times New Roman"/>
                <w:color w:val="000000" w:themeColor="text1"/>
                <w:sz w:val="16"/>
                <w:szCs w:val="16"/>
              </w:rPr>
              <w:lastRenderedPageBreak/>
              <w:t>Amostra</w:t>
            </w:r>
            <w:proofErr w:type="spellEnd"/>
          </w:p>
        </w:tc>
        <w:tc>
          <w:tcPr>
            <w:tcW w:w="1038" w:type="dxa"/>
            <w:vAlign w:val="center"/>
          </w:tcPr>
          <w:p w14:paraId="120F5E91" w14:textId="31B9F695"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proofErr w:type="spellStart"/>
            <w:r w:rsidRPr="004D0BE1">
              <w:rPr>
                <w:rFonts w:ascii="Times New Roman" w:eastAsia="Calibri" w:hAnsi="Times New Roman"/>
                <w:color w:val="000000" w:themeColor="text1"/>
                <w:sz w:val="16"/>
                <w:szCs w:val="16"/>
              </w:rPr>
              <w:t>Tempera</w:t>
            </w:r>
            <w:r w:rsidRPr="004D0BE1">
              <w:rPr>
                <w:rFonts w:ascii="Times New Roman" w:eastAsia="Calibri" w:hAnsi="Times New Roman"/>
                <w:color w:val="000000" w:themeColor="text1"/>
                <w:sz w:val="16"/>
                <w:szCs w:val="16"/>
              </w:rPr>
              <w:t>t</w:t>
            </w:r>
            <w:r>
              <w:rPr>
                <w:rFonts w:ascii="Times New Roman" w:eastAsia="Calibri" w:hAnsi="Times New Roman"/>
                <w:color w:val="000000" w:themeColor="text1"/>
                <w:sz w:val="16"/>
                <w:szCs w:val="16"/>
              </w:rPr>
              <w:t>ura</w:t>
            </w:r>
            <w:proofErr w:type="spellEnd"/>
            <w:r w:rsidRPr="004D0BE1">
              <w:rPr>
                <w:rFonts w:ascii="Times New Roman" w:eastAsia="Calibri" w:hAnsi="Times New Roman"/>
                <w:color w:val="000000" w:themeColor="text1"/>
                <w:sz w:val="16"/>
                <w:szCs w:val="16"/>
              </w:rPr>
              <w:t xml:space="preserve"> (°C)</w:t>
            </w:r>
          </w:p>
        </w:tc>
        <w:tc>
          <w:tcPr>
            <w:tcW w:w="709" w:type="dxa"/>
            <w:vAlign w:val="center"/>
          </w:tcPr>
          <w:p w14:paraId="72ABACF3" w14:textId="7D169A43"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X</w:t>
            </w:r>
            <w:r w:rsidRPr="004D0BE1">
              <w:rPr>
                <w:rFonts w:ascii="Times New Roman" w:eastAsia="Calibri" w:hAnsi="Times New Roman"/>
                <w:color w:val="000000" w:themeColor="text1"/>
                <w:sz w:val="16"/>
                <w:szCs w:val="16"/>
                <w:vertAlign w:val="subscript"/>
              </w:rPr>
              <w:t>TAG</w:t>
            </w:r>
            <w:r w:rsidRPr="004D0BE1">
              <w:rPr>
                <w:rFonts w:ascii="Times New Roman" w:eastAsia="Calibri" w:hAnsi="Times New Roman"/>
                <w:color w:val="000000" w:themeColor="text1"/>
                <w:sz w:val="16"/>
                <w:szCs w:val="16"/>
              </w:rPr>
              <w:t xml:space="preserve"> (%mol)</w:t>
            </w:r>
          </w:p>
        </w:tc>
        <w:tc>
          <w:tcPr>
            <w:tcW w:w="709" w:type="dxa"/>
            <w:vAlign w:val="center"/>
          </w:tcPr>
          <w:p w14:paraId="3F16E309" w14:textId="672908D4"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rPr>
            </w:pPr>
            <w:r w:rsidRPr="004D0BE1">
              <w:rPr>
                <w:rFonts w:ascii="Times New Roman" w:eastAsia="Calibri" w:hAnsi="Times New Roman"/>
                <w:color w:val="000000" w:themeColor="text1"/>
                <w:sz w:val="16"/>
                <w:szCs w:val="16"/>
              </w:rPr>
              <w:t>S</w:t>
            </w:r>
            <w:r w:rsidRPr="004D0BE1">
              <w:rPr>
                <w:rFonts w:ascii="Times New Roman" w:eastAsia="Calibri" w:hAnsi="Times New Roman"/>
                <w:color w:val="000000" w:themeColor="text1"/>
                <w:sz w:val="16"/>
                <w:szCs w:val="16"/>
                <w:vertAlign w:val="subscript"/>
              </w:rPr>
              <w:t>C16:0</w:t>
            </w:r>
            <w:r w:rsidRPr="004D0BE1">
              <w:rPr>
                <w:rFonts w:ascii="Times New Roman" w:eastAsia="Calibri" w:hAnsi="Times New Roman"/>
                <w:color w:val="000000" w:themeColor="text1"/>
                <w:sz w:val="16"/>
                <w:szCs w:val="16"/>
              </w:rPr>
              <w:t xml:space="preserve"> (%mol)</w:t>
            </w:r>
          </w:p>
        </w:tc>
        <w:tc>
          <w:tcPr>
            <w:tcW w:w="708" w:type="dxa"/>
            <w:vAlign w:val="center"/>
          </w:tcPr>
          <w:p w14:paraId="6C109461" w14:textId="2C449D09"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eastAsia="Calibri" w:hAnsi="Times New Roman"/>
                <w:color w:val="000000" w:themeColor="text1"/>
                <w:sz w:val="16"/>
                <w:szCs w:val="16"/>
              </w:rPr>
              <w:t>S</w:t>
            </w:r>
            <w:r w:rsidRPr="004D0BE1">
              <w:rPr>
                <w:rFonts w:ascii="Times New Roman" w:eastAsia="Calibri" w:hAnsi="Times New Roman"/>
                <w:color w:val="000000" w:themeColor="text1"/>
                <w:sz w:val="16"/>
                <w:szCs w:val="16"/>
                <w:vertAlign w:val="subscript"/>
              </w:rPr>
              <w:t>C18:1</w:t>
            </w:r>
            <w:r w:rsidRPr="004D0BE1">
              <w:rPr>
                <w:rFonts w:ascii="Times New Roman" w:eastAsia="Calibri" w:hAnsi="Times New Roman"/>
                <w:color w:val="000000" w:themeColor="text1"/>
                <w:sz w:val="16"/>
                <w:szCs w:val="16"/>
              </w:rPr>
              <w:t xml:space="preserve"> (%mol)</w:t>
            </w:r>
          </w:p>
        </w:tc>
        <w:tc>
          <w:tcPr>
            <w:tcW w:w="840" w:type="dxa"/>
            <w:vAlign w:val="center"/>
          </w:tcPr>
          <w:p w14:paraId="53192B59" w14:textId="5F492AF3"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eastAsia="Calibri" w:hAnsi="Times New Roman"/>
                <w:color w:val="000000" w:themeColor="text1"/>
                <w:sz w:val="16"/>
                <w:szCs w:val="16"/>
              </w:rPr>
              <w:t>S</w:t>
            </w:r>
            <w:r w:rsidRPr="004D0BE1">
              <w:rPr>
                <w:rFonts w:ascii="Times New Roman" w:eastAsia="Calibri" w:hAnsi="Times New Roman"/>
                <w:color w:val="000000" w:themeColor="text1"/>
                <w:sz w:val="16"/>
                <w:szCs w:val="16"/>
                <w:vertAlign w:val="subscript"/>
              </w:rPr>
              <w:t>(MAG+DAG)</w:t>
            </w:r>
            <w:r w:rsidRPr="004D0BE1">
              <w:rPr>
                <w:rFonts w:ascii="Times New Roman" w:eastAsia="Calibri" w:hAnsi="Times New Roman"/>
                <w:color w:val="000000" w:themeColor="text1"/>
                <w:sz w:val="16"/>
                <w:szCs w:val="16"/>
              </w:rPr>
              <w:t xml:space="preserve"> (%mol)</w:t>
            </w:r>
          </w:p>
        </w:tc>
      </w:tr>
      <w:tr w:rsidR="004D0BE1" w:rsidRPr="004D0BE1" w14:paraId="412B5984" w14:textId="77777777" w:rsidTr="004D0BE1">
        <w:tc>
          <w:tcPr>
            <w:tcW w:w="800" w:type="dxa"/>
            <w:vAlign w:val="center"/>
          </w:tcPr>
          <w:p w14:paraId="5878627A" w14:textId="15018D76"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proofErr w:type="spellStart"/>
            <w:r w:rsidRPr="004D0BE1">
              <w:rPr>
                <w:rFonts w:ascii="Times New Roman" w:eastAsia="Calibri" w:hAnsi="Times New Roman"/>
                <w:color w:val="000000" w:themeColor="text1"/>
                <w:sz w:val="16"/>
                <w:szCs w:val="16"/>
              </w:rPr>
              <w:t>Controle</w:t>
            </w:r>
            <w:proofErr w:type="spellEnd"/>
          </w:p>
        </w:tc>
        <w:tc>
          <w:tcPr>
            <w:tcW w:w="1038" w:type="dxa"/>
            <w:vMerge w:val="restart"/>
            <w:vAlign w:val="center"/>
          </w:tcPr>
          <w:p w14:paraId="1D66D08B" w14:textId="6A7D1BA6"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250</w:t>
            </w:r>
          </w:p>
        </w:tc>
        <w:tc>
          <w:tcPr>
            <w:tcW w:w="709" w:type="dxa"/>
            <w:vAlign w:val="center"/>
          </w:tcPr>
          <w:p w14:paraId="0C5B1F65" w14:textId="779CB1E5"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94,84</w:t>
            </w:r>
          </w:p>
        </w:tc>
        <w:tc>
          <w:tcPr>
            <w:tcW w:w="709" w:type="dxa"/>
            <w:vAlign w:val="center"/>
          </w:tcPr>
          <w:p w14:paraId="1ED01054" w14:textId="516189B6"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rPr>
            </w:pPr>
            <w:r w:rsidRPr="004D0BE1">
              <w:rPr>
                <w:rFonts w:ascii="Times New Roman" w:eastAsia="Calibri" w:hAnsi="Times New Roman"/>
                <w:color w:val="000000" w:themeColor="text1"/>
                <w:sz w:val="16"/>
                <w:szCs w:val="16"/>
              </w:rPr>
              <w:t>13,04</w:t>
            </w:r>
          </w:p>
        </w:tc>
        <w:tc>
          <w:tcPr>
            <w:tcW w:w="708" w:type="dxa"/>
            <w:vAlign w:val="center"/>
          </w:tcPr>
          <w:p w14:paraId="2F0F278E" w14:textId="25ECFE22"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57,42</w:t>
            </w:r>
          </w:p>
        </w:tc>
        <w:tc>
          <w:tcPr>
            <w:tcW w:w="840" w:type="dxa"/>
            <w:vAlign w:val="center"/>
          </w:tcPr>
          <w:p w14:paraId="736D3F89" w14:textId="0FDE313A"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23,79</w:t>
            </w:r>
          </w:p>
        </w:tc>
      </w:tr>
      <w:tr w:rsidR="004D0BE1" w:rsidRPr="004D0BE1" w14:paraId="5ADB6140" w14:textId="77777777" w:rsidTr="004D0BE1">
        <w:tc>
          <w:tcPr>
            <w:tcW w:w="800" w:type="dxa"/>
            <w:vAlign w:val="center"/>
          </w:tcPr>
          <w:p w14:paraId="271E544E" w14:textId="5A132D80"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hAnsi="Times New Roman"/>
                <w:color w:val="000000" w:themeColor="text1"/>
                <w:sz w:val="16"/>
                <w:szCs w:val="16"/>
                <w:lang w:val="el-GR"/>
              </w:rPr>
              <w:t>γ</w:t>
            </w:r>
            <w:r w:rsidRPr="004D0BE1">
              <w:rPr>
                <w:rFonts w:ascii="Times New Roman" w:hAnsi="Times New Roman"/>
                <w:color w:val="000000" w:themeColor="text1"/>
                <w:sz w:val="16"/>
                <w:szCs w:val="16"/>
              </w:rPr>
              <w:t>-Al</w:t>
            </w:r>
            <w:r w:rsidRPr="004D0BE1">
              <w:rPr>
                <w:rFonts w:ascii="Times New Roman" w:hAnsi="Times New Roman"/>
                <w:color w:val="000000" w:themeColor="text1"/>
                <w:sz w:val="16"/>
                <w:szCs w:val="16"/>
                <w:vertAlign w:val="subscript"/>
              </w:rPr>
              <w:t>2</w:t>
            </w:r>
            <w:r w:rsidRPr="004D0BE1">
              <w:rPr>
                <w:rFonts w:ascii="Times New Roman" w:hAnsi="Times New Roman"/>
                <w:color w:val="000000" w:themeColor="text1"/>
                <w:sz w:val="16"/>
                <w:szCs w:val="16"/>
              </w:rPr>
              <w:t>O</w:t>
            </w:r>
            <w:r w:rsidRPr="004D0BE1">
              <w:rPr>
                <w:rFonts w:ascii="Times New Roman" w:hAnsi="Times New Roman"/>
                <w:color w:val="000000" w:themeColor="text1"/>
                <w:sz w:val="16"/>
                <w:szCs w:val="16"/>
                <w:vertAlign w:val="subscript"/>
              </w:rPr>
              <w:t>3</w:t>
            </w:r>
          </w:p>
        </w:tc>
        <w:tc>
          <w:tcPr>
            <w:tcW w:w="1038" w:type="dxa"/>
            <w:vMerge/>
            <w:vAlign w:val="center"/>
          </w:tcPr>
          <w:p w14:paraId="51950ABB" w14:textId="43B74FCC"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p>
        </w:tc>
        <w:tc>
          <w:tcPr>
            <w:tcW w:w="709" w:type="dxa"/>
            <w:vAlign w:val="center"/>
          </w:tcPr>
          <w:p w14:paraId="5DC982F8" w14:textId="2CC56084"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99,99</w:t>
            </w:r>
          </w:p>
        </w:tc>
        <w:tc>
          <w:tcPr>
            <w:tcW w:w="709" w:type="dxa"/>
            <w:vAlign w:val="center"/>
          </w:tcPr>
          <w:p w14:paraId="16B25889" w14:textId="2B1479B4"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rPr>
            </w:pPr>
            <w:r w:rsidRPr="004D0BE1">
              <w:rPr>
                <w:rFonts w:ascii="Times New Roman" w:eastAsia="Calibri" w:hAnsi="Times New Roman"/>
                <w:color w:val="000000" w:themeColor="text1"/>
                <w:sz w:val="16"/>
                <w:szCs w:val="16"/>
              </w:rPr>
              <w:t>10,04</w:t>
            </w:r>
          </w:p>
        </w:tc>
        <w:tc>
          <w:tcPr>
            <w:tcW w:w="708" w:type="dxa"/>
            <w:vAlign w:val="center"/>
          </w:tcPr>
          <w:p w14:paraId="52FB3D96" w14:textId="4B8DA862"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45,40</w:t>
            </w:r>
          </w:p>
        </w:tc>
        <w:tc>
          <w:tcPr>
            <w:tcW w:w="840" w:type="dxa"/>
            <w:vAlign w:val="center"/>
          </w:tcPr>
          <w:p w14:paraId="0B7677B7" w14:textId="1481A812"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4,86</w:t>
            </w:r>
          </w:p>
        </w:tc>
      </w:tr>
      <w:tr w:rsidR="004D0BE1" w:rsidRPr="004D0BE1" w14:paraId="57A4FC0B" w14:textId="77777777" w:rsidTr="004D0BE1">
        <w:tc>
          <w:tcPr>
            <w:tcW w:w="800" w:type="dxa"/>
            <w:vAlign w:val="center"/>
          </w:tcPr>
          <w:p w14:paraId="2D2EAFD0" w14:textId="4D1986AA"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hAnsi="Times New Roman"/>
                <w:color w:val="000000" w:themeColor="text1"/>
                <w:sz w:val="16"/>
                <w:szCs w:val="16"/>
              </w:rPr>
              <w:t>SiO</w:t>
            </w:r>
            <w:r w:rsidRPr="004D0BE1">
              <w:rPr>
                <w:rFonts w:ascii="Times New Roman" w:hAnsi="Times New Roman"/>
                <w:color w:val="000000" w:themeColor="text1"/>
                <w:sz w:val="16"/>
                <w:szCs w:val="16"/>
                <w:vertAlign w:val="subscript"/>
              </w:rPr>
              <w:t>2</w:t>
            </w:r>
            <w:r w:rsidRPr="004D0BE1">
              <w:rPr>
                <w:rFonts w:ascii="Times New Roman" w:hAnsi="Times New Roman"/>
                <w:color w:val="000000" w:themeColor="text1"/>
                <w:sz w:val="16"/>
                <w:szCs w:val="16"/>
              </w:rPr>
              <w:t>- Al</w:t>
            </w:r>
            <w:r w:rsidRPr="004D0BE1">
              <w:rPr>
                <w:rFonts w:ascii="Times New Roman" w:hAnsi="Times New Roman"/>
                <w:color w:val="000000" w:themeColor="text1"/>
                <w:sz w:val="16"/>
                <w:szCs w:val="16"/>
                <w:vertAlign w:val="subscript"/>
              </w:rPr>
              <w:t>2</w:t>
            </w:r>
            <w:r w:rsidRPr="004D0BE1">
              <w:rPr>
                <w:rFonts w:ascii="Times New Roman" w:hAnsi="Times New Roman"/>
                <w:color w:val="000000" w:themeColor="text1"/>
                <w:sz w:val="16"/>
                <w:szCs w:val="16"/>
              </w:rPr>
              <w:t>O</w:t>
            </w:r>
            <w:r w:rsidRPr="004D0BE1">
              <w:rPr>
                <w:rFonts w:ascii="Times New Roman" w:hAnsi="Times New Roman"/>
                <w:color w:val="000000" w:themeColor="text1"/>
                <w:sz w:val="16"/>
                <w:szCs w:val="16"/>
                <w:vertAlign w:val="subscript"/>
              </w:rPr>
              <w:t>3</w:t>
            </w:r>
          </w:p>
        </w:tc>
        <w:tc>
          <w:tcPr>
            <w:tcW w:w="1038" w:type="dxa"/>
            <w:vMerge/>
            <w:vAlign w:val="center"/>
          </w:tcPr>
          <w:p w14:paraId="731B970D" w14:textId="6CD7D448"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p>
        </w:tc>
        <w:tc>
          <w:tcPr>
            <w:tcW w:w="709" w:type="dxa"/>
            <w:vAlign w:val="center"/>
          </w:tcPr>
          <w:p w14:paraId="047EBB6C" w14:textId="067EF80C"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99,65</w:t>
            </w:r>
          </w:p>
        </w:tc>
        <w:tc>
          <w:tcPr>
            <w:tcW w:w="709" w:type="dxa"/>
            <w:vAlign w:val="center"/>
          </w:tcPr>
          <w:p w14:paraId="0CE8CEB7" w14:textId="4FFE9463"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rPr>
            </w:pPr>
            <w:r w:rsidRPr="004D0BE1">
              <w:rPr>
                <w:rFonts w:ascii="Times New Roman" w:eastAsia="Calibri" w:hAnsi="Times New Roman"/>
                <w:color w:val="000000" w:themeColor="text1"/>
                <w:sz w:val="16"/>
                <w:szCs w:val="16"/>
              </w:rPr>
              <w:t>8,37</w:t>
            </w:r>
          </w:p>
        </w:tc>
        <w:tc>
          <w:tcPr>
            <w:tcW w:w="708" w:type="dxa"/>
            <w:vAlign w:val="center"/>
          </w:tcPr>
          <w:p w14:paraId="5A4F09F6" w14:textId="748F845C"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37,46</w:t>
            </w:r>
          </w:p>
        </w:tc>
        <w:tc>
          <w:tcPr>
            <w:tcW w:w="840" w:type="dxa"/>
            <w:vAlign w:val="center"/>
          </w:tcPr>
          <w:p w14:paraId="253E0726" w14:textId="40D5BAED"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21,15</w:t>
            </w:r>
          </w:p>
        </w:tc>
      </w:tr>
      <w:tr w:rsidR="004D0BE1" w:rsidRPr="004D0BE1" w14:paraId="5F53C4C7" w14:textId="77777777" w:rsidTr="004D0BE1">
        <w:tc>
          <w:tcPr>
            <w:tcW w:w="800" w:type="dxa"/>
            <w:vAlign w:val="center"/>
          </w:tcPr>
          <w:p w14:paraId="327CD6FA" w14:textId="6270F987"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hAnsi="Times New Roman"/>
                <w:color w:val="000000" w:themeColor="text1"/>
                <w:sz w:val="16"/>
                <w:szCs w:val="16"/>
              </w:rPr>
              <w:t>MCM-41</w:t>
            </w:r>
          </w:p>
        </w:tc>
        <w:tc>
          <w:tcPr>
            <w:tcW w:w="1038" w:type="dxa"/>
            <w:vMerge/>
            <w:vAlign w:val="center"/>
          </w:tcPr>
          <w:p w14:paraId="7A5015D9" w14:textId="77777777"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p>
        </w:tc>
        <w:tc>
          <w:tcPr>
            <w:tcW w:w="709" w:type="dxa"/>
            <w:vAlign w:val="center"/>
          </w:tcPr>
          <w:p w14:paraId="6D632EA6" w14:textId="23218B4F"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99,59</w:t>
            </w:r>
          </w:p>
        </w:tc>
        <w:tc>
          <w:tcPr>
            <w:tcW w:w="709" w:type="dxa"/>
            <w:vAlign w:val="center"/>
          </w:tcPr>
          <w:p w14:paraId="11018A39" w14:textId="58EA1251"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rPr>
            </w:pPr>
            <w:r w:rsidRPr="004D0BE1">
              <w:rPr>
                <w:rFonts w:ascii="Times New Roman" w:eastAsia="Calibri" w:hAnsi="Times New Roman"/>
                <w:color w:val="000000" w:themeColor="text1"/>
                <w:sz w:val="16"/>
                <w:szCs w:val="16"/>
              </w:rPr>
              <w:t>10,60</w:t>
            </w:r>
          </w:p>
        </w:tc>
        <w:tc>
          <w:tcPr>
            <w:tcW w:w="708" w:type="dxa"/>
            <w:vAlign w:val="center"/>
          </w:tcPr>
          <w:p w14:paraId="03206030" w14:textId="26CD853E"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47,58</w:t>
            </w:r>
          </w:p>
        </w:tc>
        <w:tc>
          <w:tcPr>
            <w:tcW w:w="840" w:type="dxa"/>
            <w:vAlign w:val="center"/>
          </w:tcPr>
          <w:p w14:paraId="0C16BCC0" w14:textId="357D70DE"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26,53</w:t>
            </w:r>
          </w:p>
        </w:tc>
      </w:tr>
      <w:tr w:rsidR="004D0BE1" w:rsidRPr="004D0BE1" w14:paraId="79A7B1EE" w14:textId="77777777" w:rsidTr="004D0BE1">
        <w:tc>
          <w:tcPr>
            <w:tcW w:w="800" w:type="dxa"/>
            <w:vAlign w:val="center"/>
          </w:tcPr>
          <w:p w14:paraId="2BB0EB83" w14:textId="285FCA38"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proofErr w:type="spellStart"/>
            <w:r w:rsidRPr="004D0BE1">
              <w:rPr>
                <w:rFonts w:ascii="Times New Roman" w:eastAsia="Calibri" w:hAnsi="Times New Roman"/>
                <w:color w:val="000000" w:themeColor="text1"/>
                <w:sz w:val="16"/>
                <w:szCs w:val="16"/>
              </w:rPr>
              <w:t>Controle</w:t>
            </w:r>
            <w:proofErr w:type="spellEnd"/>
          </w:p>
        </w:tc>
        <w:tc>
          <w:tcPr>
            <w:tcW w:w="1038" w:type="dxa"/>
            <w:vMerge/>
            <w:vAlign w:val="center"/>
          </w:tcPr>
          <w:p w14:paraId="3D47DA5B" w14:textId="77777777"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p>
        </w:tc>
        <w:tc>
          <w:tcPr>
            <w:tcW w:w="709" w:type="dxa"/>
            <w:vAlign w:val="center"/>
          </w:tcPr>
          <w:p w14:paraId="08909FC4" w14:textId="7DDD8A73"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17,53</w:t>
            </w:r>
          </w:p>
        </w:tc>
        <w:tc>
          <w:tcPr>
            <w:tcW w:w="709" w:type="dxa"/>
            <w:vAlign w:val="center"/>
          </w:tcPr>
          <w:p w14:paraId="2F4DD95A" w14:textId="37156240"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rPr>
            </w:pPr>
            <w:r w:rsidRPr="004D0BE1">
              <w:rPr>
                <w:rFonts w:ascii="Times New Roman" w:eastAsia="Calibri" w:hAnsi="Times New Roman"/>
                <w:color w:val="000000" w:themeColor="text1"/>
                <w:sz w:val="16"/>
                <w:szCs w:val="16"/>
              </w:rPr>
              <w:t>7,10</w:t>
            </w:r>
          </w:p>
        </w:tc>
        <w:tc>
          <w:tcPr>
            <w:tcW w:w="708" w:type="dxa"/>
            <w:vAlign w:val="center"/>
          </w:tcPr>
          <w:p w14:paraId="58981F8B" w14:textId="4A67107C"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25,92</w:t>
            </w:r>
          </w:p>
        </w:tc>
        <w:tc>
          <w:tcPr>
            <w:tcW w:w="840" w:type="dxa"/>
            <w:vAlign w:val="center"/>
          </w:tcPr>
          <w:p w14:paraId="5EFF0D22" w14:textId="6EF039B7"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58,38</w:t>
            </w:r>
          </w:p>
        </w:tc>
      </w:tr>
      <w:tr w:rsidR="004D0BE1" w:rsidRPr="004D0BE1" w14:paraId="67882281" w14:textId="77777777" w:rsidTr="004D0BE1">
        <w:tc>
          <w:tcPr>
            <w:tcW w:w="800" w:type="dxa"/>
            <w:vAlign w:val="center"/>
          </w:tcPr>
          <w:p w14:paraId="3161FCD6" w14:textId="6F309C37"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hAnsi="Times New Roman"/>
                <w:color w:val="000000" w:themeColor="text1"/>
                <w:sz w:val="16"/>
                <w:szCs w:val="16"/>
                <w:lang w:val="el-GR"/>
              </w:rPr>
              <w:t>γ</w:t>
            </w:r>
            <w:r w:rsidRPr="004D0BE1">
              <w:rPr>
                <w:rFonts w:ascii="Times New Roman" w:hAnsi="Times New Roman"/>
                <w:color w:val="000000" w:themeColor="text1"/>
                <w:sz w:val="16"/>
                <w:szCs w:val="16"/>
              </w:rPr>
              <w:t>-Al</w:t>
            </w:r>
            <w:r w:rsidRPr="004D0BE1">
              <w:rPr>
                <w:rFonts w:ascii="Times New Roman" w:hAnsi="Times New Roman"/>
                <w:color w:val="000000" w:themeColor="text1"/>
                <w:sz w:val="16"/>
                <w:szCs w:val="16"/>
                <w:vertAlign w:val="subscript"/>
              </w:rPr>
              <w:t>2</w:t>
            </w:r>
            <w:r w:rsidRPr="004D0BE1">
              <w:rPr>
                <w:rFonts w:ascii="Times New Roman" w:hAnsi="Times New Roman"/>
                <w:color w:val="000000" w:themeColor="text1"/>
                <w:sz w:val="16"/>
                <w:szCs w:val="16"/>
              </w:rPr>
              <w:t>O</w:t>
            </w:r>
            <w:r w:rsidRPr="004D0BE1">
              <w:rPr>
                <w:rFonts w:ascii="Times New Roman" w:hAnsi="Times New Roman"/>
                <w:color w:val="000000" w:themeColor="text1"/>
                <w:sz w:val="16"/>
                <w:szCs w:val="16"/>
                <w:vertAlign w:val="subscript"/>
              </w:rPr>
              <w:t>3</w:t>
            </w:r>
          </w:p>
        </w:tc>
        <w:tc>
          <w:tcPr>
            <w:tcW w:w="1038" w:type="dxa"/>
            <w:vMerge w:val="restart"/>
            <w:vAlign w:val="center"/>
          </w:tcPr>
          <w:p w14:paraId="172D5D82" w14:textId="7BA81458"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50</w:t>
            </w:r>
          </w:p>
        </w:tc>
        <w:tc>
          <w:tcPr>
            <w:tcW w:w="709" w:type="dxa"/>
            <w:vAlign w:val="center"/>
          </w:tcPr>
          <w:p w14:paraId="42690DCE" w14:textId="7045F9B9"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47,32</w:t>
            </w:r>
          </w:p>
        </w:tc>
        <w:tc>
          <w:tcPr>
            <w:tcW w:w="709" w:type="dxa"/>
            <w:vAlign w:val="center"/>
          </w:tcPr>
          <w:p w14:paraId="53437FE9" w14:textId="478A0FEA"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rPr>
            </w:pPr>
            <w:r w:rsidRPr="004D0BE1">
              <w:rPr>
                <w:rFonts w:ascii="Times New Roman" w:eastAsia="Calibri" w:hAnsi="Times New Roman"/>
                <w:color w:val="000000" w:themeColor="text1"/>
                <w:sz w:val="16"/>
                <w:szCs w:val="16"/>
              </w:rPr>
              <w:t>9,78</w:t>
            </w:r>
          </w:p>
        </w:tc>
        <w:tc>
          <w:tcPr>
            <w:tcW w:w="708" w:type="dxa"/>
            <w:vAlign w:val="center"/>
          </w:tcPr>
          <w:p w14:paraId="5F8EF2F2" w14:textId="16915874"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53,62</w:t>
            </w:r>
          </w:p>
        </w:tc>
        <w:tc>
          <w:tcPr>
            <w:tcW w:w="840" w:type="dxa"/>
            <w:vAlign w:val="center"/>
          </w:tcPr>
          <w:p w14:paraId="0A0B1DEF" w14:textId="60FB28D0"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23,60</w:t>
            </w:r>
          </w:p>
        </w:tc>
      </w:tr>
      <w:tr w:rsidR="004D0BE1" w:rsidRPr="004D0BE1" w14:paraId="4A0830F6" w14:textId="77777777" w:rsidTr="004D0BE1">
        <w:tc>
          <w:tcPr>
            <w:tcW w:w="800" w:type="dxa"/>
            <w:vAlign w:val="center"/>
          </w:tcPr>
          <w:p w14:paraId="28C11396" w14:textId="77777777" w:rsidR="004D0BE1" w:rsidRDefault="004D0BE1" w:rsidP="004D0BE1">
            <w:pPr>
              <w:pStyle w:val="TCTableBody"/>
              <w:spacing w:after="0" w:line="360" w:lineRule="auto"/>
              <w:jc w:val="center"/>
              <w:rPr>
                <w:rFonts w:ascii="Times New Roman" w:hAnsi="Times New Roman"/>
                <w:color w:val="000000" w:themeColor="text1"/>
                <w:sz w:val="16"/>
                <w:szCs w:val="16"/>
                <w:lang w:val="el-GR"/>
              </w:rPr>
            </w:pPr>
            <w:r w:rsidRPr="004D0BE1">
              <w:rPr>
                <w:rFonts w:ascii="Times New Roman" w:hAnsi="Times New Roman"/>
                <w:color w:val="000000" w:themeColor="text1"/>
                <w:sz w:val="16"/>
                <w:szCs w:val="16"/>
              </w:rPr>
              <w:t>10</w:t>
            </w:r>
            <w:proofErr w:type="spellStart"/>
            <w:r w:rsidRPr="004D0BE1">
              <w:rPr>
                <w:rFonts w:ascii="Times New Roman" w:hAnsi="Times New Roman"/>
                <w:color w:val="000000" w:themeColor="text1"/>
                <w:sz w:val="16"/>
                <w:szCs w:val="16"/>
                <w:lang w:val="el-GR"/>
              </w:rPr>
              <w:t>Sn</w:t>
            </w:r>
            <w:proofErr w:type="spellEnd"/>
            <w:r w:rsidRPr="004D0BE1">
              <w:rPr>
                <w:rFonts w:ascii="Times New Roman" w:hAnsi="Times New Roman"/>
                <w:color w:val="000000" w:themeColor="text1"/>
                <w:sz w:val="16"/>
                <w:szCs w:val="16"/>
                <w:lang w:val="el-GR"/>
              </w:rPr>
              <w:t>/</w:t>
            </w:r>
          </w:p>
          <w:p w14:paraId="6CA0900B" w14:textId="36E5CB9D"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hAnsi="Times New Roman"/>
                <w:color w:val="000000" w:themeColor="text1"/>
                <w:sz w:val="16"/>
                <w:szCs w:val="16"/>
                <w:lang w:val="el-GR"/>
              </w:rPr>
              <w:t>γ-Al</w:t>
            </w:r>
            <w:r w:rsidRPr="004D0BE1">
              <w:rPr>
                <w:rFonts w:ascii="Times New Roman" w:hAnsi="Times New Roman"/>
                <w:color w:val="000000" w:themeColor="text1"/>
                <w:sz w:val="16"/>
                <w:szCs w:val="16"/>
                <w:vertAlign w:val="subscript"/>
                <w:lang w:val="el-GR"/>
              </w:rPr>
              <w:t>2</w:t>
            </w:r>
            <w:r w:rsidRPr="004D0BE1">
              <w:rPr>
                <w:rFonts w:ascii="Times New Roman" w:hAnsi="Times New Roman"/>
                <w:color w:val="000000" w:themeColor="text1"/>
                <w:sz w:val="16"/>
                <w:szCs w:val="16"/>
                <w:lang w:val="el-GR"/>
              </w:rPr>
              <w:t>O</w:t>
            </w:r>
            <w:r w:rsidRPr="004D0BE1">
              <w:rPr>
                <w:rFonts w:ascii="Times New Roman" w:hAnsi="Times New Roman"/>
                <w:color w:val="000000" w:themeColor="text1"/>
                <w:sz w:val="16"/>
                <w:szCs w:val="16"/>
                <w:vertAlign w:val="subscript"/>
                <w:lang w:val="el-GR"/>
              </w:rPr>
              <w:t>3</w:t>
            </w:r>
          </w:p>
        </w:tc>
        <w:tc>
          <w:tcPr>
            <w:tcW w:w="1038" w:type="dxa"/>
            <w:vMerge/>
            <w:vAlign w:val="center"/>
          </w:tcPr>
          <w:p w14:paraId="66C2E663" w14:textId="1ED5659E"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p>
        </w:tc>
        <w:tc>
          <w:tcPr>
            <w:tcW w:w="709" w:type="dxa"/>
            <w:vAlign w:val="center"/>
          </w:tcPr>
          <w:p w14:paraId="5E0D4F7C" w14:textId="2C27A94B"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46,29</w:t>
            </w:r>
          </w:p>
        </w:tc>
        <w:tc>
          <w:tcPr>
            <w:tcW w:w="709" w:type="dxa"/>
            <w:vAlign w:val="center"/>
          </w:tcPr>
          <w:p w14:paraId="3FAF3AFD" w14:textId="089661B7"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rPr>
            </w:pPr>
            <w:r w:rsidRPr="004D0BE1">
              <w:rPr>
                <w:rFonts w:ascii="Times New Roman" w:eastAsia="Calibri" w:hAnsi="Times New Roman"/>
                <w:color w:val="000000" w:themeColor="text1"/>
                <w:sz w:val="16"/>
                <w:szCs w:val="16"/>
              </w:rPr>
              <w:t>10,2</w:t>
            </w:r>
          </w:p>
        </w:tc>
        <w:tc>
          <w:tcPr>
            <w:tcW w:w="708" w:type="dxa"/>
            <w:vAlign w:val="center"/>
          </w:tcPr>
          <w:p w14:paraId="4076C7D0" w14:textId="0C2F5731"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51,24</w:t>
            </w:r>
          </w:p>
        </w:tc>
        <w:tc>
          <w:tcPr>
            <w:tcW w:w="840" w:type="dxa"/>
            <w:vAlign w:val="center"/>
          </w:tcPr>
          <w:p w14:paraId="27DC507A" w14:textId="0F309EA3"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21,86</w:t>
            </w:r>
          </w:p>
        </w:tc>
      </w:tr>
      <w:tr w:rsidR="004D0BE1" w:rsidRPr="004D0BE1" w14:paraId="654A1EC8" w14:textId="77777777" w:rsidTr="004D0BE1">
        <w:tc>
          <w:tcPr>
            <w:tcW w:w="800" w:type="dxa"/>
            <w:vAlign w:val="center"/>
          </w:tcPr>
          <w:p w14:paraId="689C22FF" w14:textId="574290A8"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hAnsi="Times New Roman"/>
                <w:color w:val="000000" w:themeColor="text1"/>
                <w:sz w:val="16"/>
                <w:szCs w:val="16"/>
              </w:rPr>
              <w:t>SiO</w:t>
            </w:r>
            <w:r w:rsidRPr="004D0BE1">
              <w:rPr>
                <w:rFonts w:ascii="Times New Roman" w:hAnsi="Times New Roman"/>
                <w:color w:val="000000" w:themeColor="text1"/>
                <w:sz w:val="16"/>
                <w:szCs w:val="16"/>
                <w:vertAlign w:val="subscript"/>
              </w:rPr>
              <w:t>2</w:t>
            </w:r>
            <w:r w:rsidRPr="004D0BE1">
              <w:rPr>
                <w:rFonts w:ascii="Times New Roman" w:hAnsi="Times New Roman"/>
                <w:color w:val="000000" w:themeColor="text1"/>
                <w:sz w:val="16"/>
                <w:szCs w:val="16"/>
              </w:rPr>
              <w:t>-Al</w:t>
            </w:r>
            <w:r w:rsidRPr="004D0BE1">
              <w:rPr>
                <w:rFonts w:ascii="Times New Roman" w:hAnsi="Times New Roman"/>
                <w:color w:val="000000" w:themeColor="text1"/>
                <w:sz w:val="16"/>
                <w:szCs w:val="16"/>
                <w:vertAlign w:val="subscript"/>
              </w:rPr>
              <w:t>2</w:t>
            </w:r>
            <w:r w:rsidRPr="004D0BE1">
              <w:rPr>
                <w:rFonts w:ascii="Times New Roman" w:hAnsi="Times New Roman"/>
                <w:color w:val="000000" w:themeColor="text1"/>
                <w:sz w:val="16"/>
                <w:szCs w:val="16"/>
              </w:rPr>
              <w:t>O</w:t>
            </w:r>
            <w:r w:rsidRPr="004D0BE1">
              <w:rPr>
                <w:rFonts w:ascii="Times New Roman" w:hAnsi="Times New Roman"/>
                <w:color w:val="000000" w:themeColor="text1"/>
                <w:sz w:val="16"/>
                <w:szCs w:val="16"/>
                <w:vertAlign w:val="subscript"/>
              </w:rPr>
              <w:t>3</w:t>
            </w:r>
          </w:p>
        </w:tc>
        <w:tc>
          <w:tcPr>
            <w:tcW w:w="1038" w:type="dxa"/>
            <w:vMerge/>
            <w:vAlign w:val="center"/>
          </w:tcPr>
          <w:p w14:paraId="48F78B72" w14:textId="77777777"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p>
        </w:tc>
        <w:tc>
          <w:tcPr>
            <w:tcW w:w="709" w:type="dxa"/>
            <w:vAlign w:val="center"/>
          </w:tcPr>
          <w:p w14:paraId="5BAD6316" w14:textId="2FB454C6"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31,22</w:t>
            </w:r>
          </w:p>
        </w:tc>
        <w:tc>
          <w:tcPr>
            <w:tcW w:w="709" w:type="dxa"/>
            <w:vAlign w:val="center"/>
          </w:tcPr>
          <w:p w14:paraId="25BF388E" w14:textId="3424FE4E"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rPr>
            </w:pPr>
            <w:r w:rsidRPr="004D0BE1">
              <w:rPr>
                <w:rFonts w:ascii="Times New Roman" w:eastAsia="Calibri" w:hAnsi="Times New Roman"/>
                <w:color w:val="000000" w:themeColor="text1"/>
                <w:sz w:val="16"/>
                <w:szCs w:val="16"/>
              </w:rPr>
              <w:t>7,48</w:t>
            </w:r>
          </w:p>
        </w:tc>
        <w:tc>
          <w:tcPr>
            <w:tcW w:w="708" w:type="dxa"/>
            <w:vAlign w:val="center"/>
          </w:tcPr>
          <w:p w14:paraId="33E97934" w14:textId="0A3CD007"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51,69</w:t>
            </w:r>
          </w:p>
        </w:tc>
        <w:tc>
          <w:tcPr>
            <w:tcW w:w="840" w:type="dxa"/>
            <w:vAlign w:val="center"/>
          </w:tcPr>
          <w:p w14:paraId="1EDB7CA9" w14:textId="5A056047"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31,23</w:t>
            </w:r>
          </w:p>
        </w:tc>
      </w:tr>
      <w:tr w:rsidR="004D0BE1" w:rsidRPr="004D0BE1" w14:paraId="4D65017E" w14:textId="77777777" w:rsidTr="004D0BE1">
        <w:tc>
          <w:tcPr>
            <w:tcW w:w="800" w:type="dxa"/>
            <w:vAlign w:val="center"/>
          </w:tcPr>
          <w:p w14:paraId="678BD21E" w14:textId="1B4B656D"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hAnsi="Times New Roman"/>
                <w:color w:val="000000" w:themeColor="text1"/>
                <w:sz w:val="16"/>
                <w:szCs w:val="16"/>
              </w:rPr>
              <w:t>MCM-41</w:t>
            </w:r>
          </w:p>
        </w:tc>
        <w:tc>
          <w:tcPr>
            <w:tcW w:w="1038" w:type="dxa"/>
            <w:vMerge/>
            <w:vAlign w:val="center"/>
          </w:tcPr>
          <w:p w14:paraId="7A08C593" w14:textId="77777777"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p>
        </w:tc>
        <w:tc>
          <w:tcPr>
            <w:tcW w:w="709" w:type="dxa"/>
            <w:vAlign w:val="center"/>
          </w:tcPr>
          <w:p w14:paraId="3D90A232" w14:textId="367ED413"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lang w:val="pt-BR"/>
              </w:rPr>
            </w:pPr>
            <w:r w:rsidRPr="004D0BE1">
              <w:rPr>
                <w:rFonts w:ascii="Times New Roman" w:eastAsia="Calibri" w:hAnsi="Times New Roman"/>
                <w:color w:val="000000" w:themeColor="text1"/>
                <w:sz w:val="16"/>
                <w:szCs w:val="16"/>
              </w:rPr>
              <w:t>18,69</w:t>
            </w:r>
          </w:p>
        </w:tc>
        <w:tc>
          <w:tcPr>
            <w:tcW w:w="709" w:type="dxa"/>
            <w:vAlign w:val="center"/>
          </w:tcPr>
          <w:p w14:paraId="70AB3380" w14:textId="3A9AAFB3" w:rsidR="004D0BE1" w:rsidRPr="004D0BE1" w:rsidRDefault="004D0BE1" w:rsidP="004D0BE1">
            <w:pPr>
              <w:pStyle w:val="TCTableBody"/>
              <w:spacing w:after="0" w:line="360" w:lineRule="auto"/>
              <w:jc w:val="center"/>
              <w:rPr>
                <w:rFonts w:ascii="Times New Roman" w:hAnsi="Times New Roman"/>
                <w:color w:val="000000" w:themeColor="text1"/>
                <w:kern w:val="24"/>
                <w:sz w:val="16"/>
                <w:szCs w:val="16"/>
              </w:rPr>
            </w:pPr>
            <w:r w:rsidRPr="004D0BE1">
              <w:rPr>
                <w:rFonts w:ascii="Times New Roman" w:eastAsia="Calibri" w:hAnsi="Times New Roman"/>
                <w:color w:val="000000" w:themeColor="text1"/>
                <w:sz w:val="16"/>
                <w:szCs w:val="16"/>
              </w:rPr>
              <w:t>6,74</w:t>
            </w:r>
          </w:p>
        </w:tc>
        <w:tc>
          <w:tcPr>
            <w:tcW w:w="708" w:type="dxa"/>
            <w:vAlign w:val="center"/>
          </w:tcPr>
          <w:p w14:paraId="72E39F72" w14:textId="5B5334DA"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58,87</w:t>
            </w:r>
          </w:p>
        </w:tc>
        <w:tc>
          <w:tcPr>
            <w:tcW w:w="840" w:type="dxa"/>
            <w:vAlign w:val="center"/>
          </w:tcPr>
          <w:p w14:paraId="2168D2A0" w14:textId="221F6C55" w:rsidR="004D0BE1" w:rsidRPr="004D0BE1" w:rsidRDefault="004D0BE1" w:rsidP="004D0BE1">
            <w:pPr>
              <w:pStyle w:val="TCTableBody"/>
              <w:spacing w:after="0" w:line="360" w:lineRule="auto"/>
              <w:jc w:val="center"/>
              <w:rPr>
                <w:rFonts w:ascii="Times New Roman" w:hAnsi="Times New Roman"/>
                <w:sz w:val="16"/>
                <w:szCs w:val="16"/>
              </w:rPr>
            </w:pPr>
            <w:r w:rsidRPr="004D0BE1">
              <w:rPr>
                <w:rFonts w:ascii="Times New Roman" w:hAnsi="Times New Roman"/>
                <w:color w:val="000000" w:themeColor="text1"/>
                <w:sz w:val="16"/>
                <w:szCs w:val="16"/>
              </w:rPr>
              <w:t>29,66</w:t>
            </w:r>
          </w:p>
        </w:tc>
      </w:tr>
      <w:tr w:rsidR="002543E4" w:rsidRPr="00072C7A" w14:paraId="6049EC7B" w14:textId="77777777" w:rsidTr="00711F32">
        <w:tc>
          <w:tcPr>
            <w:tcW w:w="4804" w:type="dxa"/>
            <w:gridSpan w:val="6"/>
            <w:tcBorders>
              <w:top w:val="single" w:sz="6" w:space="0" w:color="auto"/>
              <w:left w:val="nil"/>
              <w:bottom w:val="nil"/>
              <w:right w:val="nil"/>
            </w:tcBorders>
            <w:vAlign w:val="center"/>
          </w:tcPr>
          <w:p w14:paraId="43CE66C8" w14:textId="74807F66" w:rsidR="002543E4" w:rsidRPr="00903649" w:rsidRDefault="002543E4" w:rsidP="00711F32">
            <w:pPr>
              <w:pStyle w:val="TCTableBody"/>
              <w:spacing w:after="0"/>
              <w:rPr>
                <w:rFonts w:ascii="Times New Roman" w:hAnsi="Times New Roman"/>
                <w:lang w:val="pt-BR"/>
              </w:rPr>
            </w:pPr>
            <w:r w:rsidRPr="00D44BD4">
              <w:rPr>
                <w:rFonts w:ascii="Times New Roman" w:hAnsi="Times New Roman"/>
                <w:lang w:val="pt-BR"/>
              </w:rPr>
              <w:t>Fonte: Autor, 2023.</w:t>
            </w:r>
          </w:p>
        </w:tc>
      </w:tr>
    </w:tbl>
    <w:p w14:paraId="342AD531" w14:textId="15E238EA" w:rsidR="00903649" w:rsidRDefault="00903649" w:rsidP="00903649">
      <w:pPr>
        <w:spacing w:after="0"/>
        <w:rPr>
          <w:rFonts w:ascii="Times New Roman" w:hAnsi="Times New Roman" w:cs="Times New Roman"/>
          <w:sz w:val="20"/>
          <w:szCs w:val="20"/>
          <w:lang w:eastAsia="pt-BR"/>
        </w:rPr>
      </w:pPr>
    </w:p>
    <w:p w14:paraId="3C2333B0" w14:textId="66692949" w:rsidR="005B2566" w:rsidRDefault="005B2566" w:rsidP="004D0BE1">
      <w:pPr>
        <w:pStyle w:val="TAMainText"/>
        <w:ind w:firstLine="187"/>
        <w:rPr>
          <w:szCs w:val="24"/>
          <w:lang w:val="pt-BR"/>
        </w:rPr>
      </w:pPr>
      <w:r w:rsidRPr="005B2566">
        <w:rPr>
          <w:szCs w:val="24"/>
          <w:lang w:val="pt-BR"/>
        </w:rPr>
        <w:t xml:space="preserve">Além da seletividade para os principais AGL constituintes do OMM bruto, após 120 min de reação de hidrólise catalisada pela </w:t>
      </w:r>
      <w:r w:rsidRPr="0048408E">
        <w:rPr>
          <w:szCs w:val="24"/>
          <w:lang w:val="el-GR"/>
        </w:rPr>
        <w:t>γ</w:t>
      </w:r>
      <w:r w:rsidRPr="005B2566">
        <w:rPr>
          <w:szCs w:val="24"/>
          <w:lang w:val="pt-BR"/>
        </w:rPr>
        <w:t>-Al</w:t>
      </w:r>
      <w:r w:rsidRPr="005B2566">
        <w:rPr>
          <w:szCs w:val="24"/>
          <w:vertAlign w:val="subscript"/>
          <w:lang w:val="pt-BR"/>
        </w:rPr>
        <w:t>2</w:t>
      </w:r>
      <w:r w:rsidRPr="005B2566">
        <w:rPr>
          <w:szCs w:val="24"/>
          <w:lang w:val="pt-BR"/>
        </w:rPr>
        <w:t>O</w:t>
      </w:r>
      <w:r w:rsidRPr="005B2566">
        <w:rPr>
          <w:szCs w:val="24"/>
          <w:vertAlign w:val="subscript"/>
          <w:lang w:val="pt-BR"/>
        </w:rPr>
        <w:t>3</w:t>
      </w:r>
      <w:r w:rsidRPr="005B2566">
        <w:rPr>
          <w:szCs w:val="24"/>
          <w:lang w:val="pt-BR"/>
        </w:rPr>
        <w:t xml:space="preserve">, observou-se valores de seletividade consideráveis para os ácidos </w:t>
      </w:r>
      <w:proofErr w:type="spellStart"/>
      <w:r w:rsidRPr="005B2566">
        <w:rPr>
          <w:szCs w:val="24"/>
          <w:lang w:val="pt-BR"/>
        </w:rPr>
        <w:t>palmitoleico</w:t>
      </w:r>
      <w:proofErr w:type="spellEnd"/>
      <w:r w:rsidRPr="005B2566">
        <w:rPr>
          <w:szCs w:val="24"/>
          <w:lang w:val="pt-BR"/>
        </w:rPr>
        <w:t>, esteárico, linoleico e linolênico: S</w:t>
      </w:r>
      <w:r w:rsidRPr="005B2566">
        <w:rPr>
          <w:szCs w:val="24"/>
          <w:vertAlign w:val="subscript"/>
          <w:lang w:val="pt-BR"/>
        </w:rPr>
        <w:t>C16:1</w:t>
      </w:r>
      <w:r w:rsidRPr="005B2566">
        <w:rPr>
          <w:szCs w:val="24"/>
          <w:lang w:val="pt-BR"/>
        </w:rPr>
        <w:t xml:space="preserve"> = 5,66%, S</w:t>
      </w:r>
      <w:r w:rsidRPr="005B2566">
        <w:rPr>
          <w:szCs w:val="24"/>
          <w:vertAlign w:val="subscript"/>
          <w:lang w:val="pt-BR"/>
        </w:rPr>
        <w:t>C18:0</w:t>
      </w:r>
      <w:r w:rsidRPr="005B2566">
        <w:rPr>
          <w:szCs w:val="24"/>
          <w:lang w:val="pt-BR"/>
        </w:rPr>
        <w:t xml:space="preserve"> = 3,72%, S</w:t>
      </w:r>
      <w:r w:rsidRPr="005B2566">
        <w:rPr>
          <w:szCs w:val="24"/>
          <w:vertAlign w:val="subscript"/>
          <w:lang w:val="pt-BR"/>
        </w:rPr>
        <w:t>C18:2</w:t>
      </w:r>
      <w:r w:rsidRPr="005B2566">
        <w:rPr>
          <w:szCs w:val="24"/>
          <w:lang w:val="pt-BR"/>
        </w:rPr>
        <w:t xml:space="preserve"> = 15,15% e S</w:t>
      </w:r>
      <w:r w:rsidRPr="005B2566">
        <w:rPr>
          <w:szCs w:val="24"/>
          <w:vertAlign w:val="subscript"/>
          <w:lang w:val="pt-BR"/>
        </w:rPr>
        <w:t>C18:3</w:t>
      </w:r>
      <w:r w:rsidRPr="005B2566">
        <w:rPr>
          <w:szCs w:val="24"/>
          <w:lang w:val="pt-BR"/>
        </w:rPr>
        <w:t xml:space="preserve"> = 6,41%, respectivamente. As reações catalisadas pelos demais suportes também apresentaram seletividade elevada para outros compostos nas mesmas condições reacionais: </w:t>
      </w:r>
      <w:r w:rsidRPr="005B2566">
        <w:rPr>
          <w:color w:val="000000" w:themeColor="text1"/>
          <w:kern w:val="24"/>
          <w:lang w:val="pt-BR"/>
        </w:rPr>
        <w:t>SiO</w:t>
      </w:r>
      <w:r w:rsidRPr="005B2566">
        <w:rPr>
          <w:color w:val="000000" w:themeColor="text1"/>
          <w:kern w:val="24"/>
          <w:vertAlign w:val="subscript"/>
          <w:lang w:val="pt-BR"/>
        </w:rPr>
        <w:t>2</w:t>
      </w:r>
      <w:r w:rsidRPr="005B2566">
        <w:rPr>
          <w:color w:val="000000" w:themeColor="text1"/>
          <w:kern w:val="24"/>
          <w:lang w:val="pt-BR"/>
        </w:rPr>
        <w:t>-Al</w:t>
      </w:r>
      <w:r w:rsidRPr="005B2566">
        <w:rPr>
          <w:color w:val="000000" w:themeColor="text1"/>
          <w:kern w:val="24"/>
          <w:vertAlign w:val="subscript"/>
          <w:lang w:val="pt-BR"/>
        </w:rPr>
        <w:t>2</w:t>
      </w:r>
      <w:r w:rsidRPr="005B2566">
        <w:rPr>
          <w:color w:val="000000" w:themeColor="text1"/>
          <w:kern w:val="24"/>
          <w:lang w:val="pt-BR"/>
        </w:rPr>
        <w:t>O</w:t>
      </w:r>
      <w:r w:rsidRPr="005B2566">
        <w:rPr>
          <w:color w:val="000000" w:themeColor="text1"/>
          <w:kern w:val="24"/>
          <w:vertAlign w:val="subscript"/>
          <w:lang w:val="pt-BR"/>
        </w:rPr>
        <w:t>3</w:t>
      </w:r>
      <w:r w:rsidRPr="005B2566">
        <w:rPr>
          <w:color w:val="000000" w:themeColor="text1"/>
          <w:kern w:val="24"/>
          <w:lang w:val="pt-BR"/>
        </w:rPr>
        <w:t xml:space="preserve"> (</w:t>
      </w:r>
      <w:r w:rsidRPr="005B2566">
        <w:rPr>
          <w:szCs w:val="24"/>
          <w:lang w:val="pt-BR"/>
        </w:rPr>
        <w:t>S</w:t>
      </w:r>
      <w:r w:rsidRPr="005B2566">
        <w:rPr>
          <w:szCs w:val="24"/>
          <w:vertAlign w:val="subscript"/>
          <w:lang w:val="pt-BR"/>
        </w:rPr>
        <w:t>C16:1</w:t>
      </w:r>
      <w:r w:rsidRPr="005B2566">
        <w:rPr>
          <w:szCs w:val="24"/>
          <w:lang w:val="pt-BR"/>
        </w:rPr>
        <w:t xml:space="preserve"> = 5,91% S</w:t>
      </w:r>
      <w:r w:rsidRPr="005B2566">
        <w:rPr>
          <w:szCs w:val="24"/>
          <w:vertAlign w:val="subscript"/>
          <w:lang w:val="pt-BR"/>
        </w:rPr>
        <w:t>C18:2</w:t>
      </w:r>
      <w:r w:rsidRPr="005B2566">
        <w:rPr>
          <w:szCs w:val="24"/>
          <w:lang w:val="pt-BR"/>
        </w:rPr>
        <w:t xml:space="preserve"> = 19,83%); </w:t>
      </w:r>
      <w:r w:rsidRPr="005B2566">
        <w:rPr>
          <w:color w:val="000000" w:themeColor="text1"/>
          <w:kern w:val="24"/>
          <w:lang w:val="pt-BR"/>
        </w:rPr>
        <w:t>e MCM-41 (</w:t>
      </w:r>
      <w:r w:rsidRPr="005B2566">
        <w:rPr>
          <w:szCs w:val="24"/>
          <w:lang w:val="pt-BR"/>
        </w:rPr>
        <w:t>S</w:t>
      </w:r>
      <w:r w:rsidRPr="005B2566">
        <w:rPr>
          <w:szCs w:val="24"/>
          <w:vertAlign w:val="subscript"/>
          <w:lang w:val="pt-BR"/>
        </w:rPr>
        <w:t>C16:1</w:t>
      </w:r>
      <w:r w:rsidRPr="005B2566">
        <w:rPr>
          <w:szCs w:val="24"/>
          <w:lang w:val="pt-BR"/>
        </w:rPr>
        <w:t xml:space="preserve"> = 2,22%, S</w:t>
      </w:r>
      <w:r w:rsidRPr="005B2566">
        <w:rPr>
          <w:szCs w:val="24"/>
          <w:vertAlign w:val="subscript"/>
          <w:lang w:val="pt-BR"/>
        </w:rPr>
        <w:t>C18:2</w:t>
      </w:r>
      <w:r w:rsidRPr="005B2566">
        <w:rPr>
          <w:szCs w:val="24"/>
          <w:lang w:val="pt-BR"/>
        </w:rPr>
        <w:t xml:space="preserve"> = 4,73% e S</w:t>
      </w:r>
      <w:r w:rsidRPr="005B2566">
        <w:rPr>
          <w:szCs w:val="24"/>
          <w:vertAlign w:val="subscript"/>
          <w:lang w:val="pt-BR"/>
        </w:rPr>
        <w:t>C18:3</w:t>
      </w:r>
      <w:r w:rsidRPr="005B2566">
        <w:rPr>
          <w:szCs w:val="24"/>
          <w:lang w:val="pt-BR"/>
        </w:rPr>
        <w:t xml:space="preserve"> = 1,92%).</w:t>
      </w:r>
    </w:p>
    <w:p w14:paraId="1FC1B4E1" w14:textId="25FDCB3C" w:rsidR="005B2566" w:rsidRDefault="005B2566" w:rsidP="004D0BE1">
      <w:pPr>
        <w:pStyle w:val="TAMainText"/>
        <w:ind w:firstLine="187"/>
        <w:rPr>
          <w:szCs w:val="24"/>
          <w:lang w:val="pt-BR"/>
        </w:rPr>
      </w:pPr>
      <w:r w:rsidRPr="005B2566">
        <w:rPr>
          <w:szCs w:val="24"/>
          <w:lang w:val="pt-BR"/>
        </w:rPr>
        <w:t xml:space="preserve">Com exceção da hidrólise completa alcançada na reação catalisada pela </w:t>
      </w:r>
      <w:r w:rsidRPr="0048408E">
        <w:rPr>
          <w:szCs w:val="24"/>
          <w:lang w:val="el-GR"/>
        </w:rPr>
        <w:t>γ</w:t>
      </w:r>
      <w:r w:rsidRPr="005B2566">
        <w:rPr>
          <w:szCs w:val="24"/>
          <w:lang w:val="pt-BR"/>
        </w:rPr>
        <w:t>-Al</w:t>
      </w:r>
      <w:r w:rsidRPr="005B2566">
        <w:rPr>
          <w:szCs w:val="24"/>
          <w:vertAlign w:val="subscript"/>
          <w:lang w:val="pt-BR"/>
        </w:rPr>
        <w:t>2</w:t>
      </w:r>
      <w:r w:rsidRPr="005B2566">
        <w:rPr>
          <w:szCs w:val="24"/>
          <w:lang w:val="pt-BR"/>
        </w:rPr>
        <w:t>O</w:t>
      </w:r>
      <w:r w:rsidRPr="005B2566">
        <w:rPr>
          <w:szCs w:val="24"/>
          <w:vertAlign w:val="subscript"/>
          <w:lang w:val="pt-BR"/>
        </w:rPr>
        <w:t>3</w:t>
      </w:r>
      <w:r w:rsidRPr="005B2566">
        <w:rPr>
          <w:szCs w:val="24"/>
          <w:lang w:val="pt-BR"/>
        </w:rPr>
        <w:t xml:space="preserve">, após 2 horas de reação, com base na menor seletividade em MAG+DAG (4,86%), não foi possível avaliar </w:t>
      </w:r>
      <w:r>
        <w:rPr>
          <w:szCs w:val="24"/>
          <w:lang w:val="pt-BR"/>
        </w:rPr>
        <w:t>claramente</w:t>
      </w:r>
      <w:r w:rsidRPr="005B2566">
        <w:rPr>
          <w:szCs w:val="24"/>
          <w:lang w:val="pt-BR"/>
        </w:rPr>
        <w:t xml:space="preserve"> a atividade catalítica dos suportes através da análise de todos os parâmetros reacionais. Portanto, as análises foram realizadas à uma menor temperatura (50 °C) no intuito de investigar o desempenho de cada sólido com mais detalhes.</w:t>
      </w:r>
    </w:p>
    <w:p w14:paraId="79F157A4" w14:textId="680C1E48" w:rsidR="005B2566" w:rsidRDefault="005B2566" w:rsidP="004D0BE1">
      <w:pPr>
        <w:pStyle w:val="TAMainText"/>
        <w:ind w:firstLine="187"/>
        <w:rPr>
          <w:szCs w:val="24"/>
          <w:lang w:val="pt-BR"/>
        </w:rPr>
      </w:pPr>
      <w:r w:rsidRPr="005B2566">
        <w:rPr>
          <w:szCs w:val="24"/>
          <w:lang w:val="pt-BR"/>
        </w:rPr>
        <w:t>U</w:t>
      </w:r>
      <w:r w:rsidRPr="005B2566">
        <w:rPr>
          <w:rFonts w:eastAsia="Calibri"/>
          <w:color w:val="000000" w:themeColor="text1"/>
          <w:kern w:val="24"/>
          <w:szCs w:val="24"/>
          <w:lang w:val="pt-BR"/>
        </w:rPr>
        <w:t xml:space="preserve">tilizando-se a </w:t>
      </w:r>
      <w:r w:rsidRPr="0048408E">
        <w:rPr>
          <w:szCs w:val="24"/>
        </w:rPr>
        <w:t>γ</w:t>
      </w:r>
      <w:r w:rsidRPr="005B2566">
        <w:rPr>
          <w:szCs w:val="24"/>
          <w:lang w:val="pt-BR"/>
        </w:rPr>
        <w:t>-Al</w:t>
      </w:r>
      <w:r w:rsidRPr="005B2566">
        <w:rPr>
          <w:szCs w:val="24"/>
          <w:vertAlign w:val="subscript"/>
          <w:lang w:val="pt-BR"/>
        </w:rPr>
        <w:t>2</w:t>
      </w:r>
      <w:r w:rsidRPr="005B2566">
        <w:rPr>
          <w:szCs w:val="24"/>
          <w:lang w:val="pt-BR"/>
        </w:rPr>
        <w:t>O</w:t>
      </w:r>
      <w:r w:rsidRPr="005B2566">
        <w:rPr>
          <w:szCs w:val="24"/>
          <w:vertAlign w:val="subscript"/>
          <w:lang w:val="pt-BR"/>
        </w:rPr>
        <w:t>3</w:t>
      </w:r>
      <w:r w:rsidRPr="005B2566">
        <w:rPr>
          <w:rFonts w:eastAsia="Calibri"/>
          <w:color w:val="000000" w:themeColor="text1"/>
          <w:kern w:val="24"/>
          <w:szCs w:val="24"/>
          <w:lang w:val="pt-BR"/>
        </w:rPr>
        <w:t xml:space="preserve"> como catalisador na hidrólise </w:t>
      </w:r>
      <w:r w:rsidRPr="005B2566">
        <w:rPr>
          <w:szCs w:val="24"/>
          <w:lang w:val="pt-BR"/>
        </w:rPr>
        <w:t xml:space="preserve">do </w:t>
      </w:r>
      <w:r>
        <w:rPr>
          <w:szCs w:val="24"/>
          <w:lang w:val="pt-BR"/>
        </w:rPr>
        <w:t>OMM</w:t>
      </w:r>
      <w:r w:rsidRPr="005B2566">
        <w:rPr>
          <w:szCs w:val="24"/>
          <w:lang w:val="pt-BR"/>
        </w:rPr>
        <w:t>, esta reação</w:t>
      </w:r>
      <w:r w:rsidRPr="005B2566">
        <w:rPr>
          <w:rFonts w:eastAsia="Calibri"/>
          <w:color w:val="000000" w:themeColor="text1"/>
          <w:kern w:val="24"/>
          <w:szCs w:val="24"/>
          <w:lang w:val="pt-BR"/>
        </w:rPr>
        <w:t xml:space="preserve"> foi facilitada, </w:t>
      </w:r>
      <w:r w:rsidRPr="005B2566">
        <w:rPr>
          <w:szCs w:val="24"/>
          <w:lang w:val="pt-BR"/>
        </w:rPr>
        <w:t xml:space="preserve">obtendo-se uma elevada conversão dos glicerídeos, uma alta seletividade em </w:t>
      </w:r>
      <w:r>
        <w:rPr>
          <w:szCs w:val="24"/>
          <w:lang w:val="pt-BR"/>
        </w:rPr>
        <w:t>AGL</w:t>
      </w:r>
      <w:r w:rsidRPr="005B2566">
        <w:rPr>
          <w:szCs w:val="24"/>
          <w:lang w:val="pt-BR"/>
        </w:rPr>
        <w:t xml:space="preserve">, associada com </w:t>
      </w:r>
      <w:r w:rsidRPr="005B2566">
        <w:rPr>
          <w:rFonts w:eastAsia="Calibri"/>
          <w:color w:val="000000" w:themeColor="text1"/>
          <w:kern w:val="24"/>
          <w:szCs w:val="24"/>
          <w:lang w:val="pt-BR"/>
        </w:rPr>
        <w:t xml:space="preserve">a menor seletividade para </w:t>
      </w:r>
      <w:r>
        <w:rPr>
          <w:rFonts w:eastAsia="Calibri"/>
          <w:color w:val="000000" w:themeColor="text1"/>
          <w:kern w:val="24"/>
          <w:szCs w:val="24"/>
          <w:lang w:val="pt-BR"/>
        </w:rPr>
        <w:t>MAG e DAG</w:t>
      </w:r>
      <w:r w:rsidRPr="005B2566">
        <w:rPr>
          <w:rFonts w:eastAsia="Calibri"/>
          <w:color w:val="000000" w:themeColor="text1"/>
          <w:kern w:val="24"/>
          <w:szCs w:val="24"/>
          <w:lang w:val="pt-BR"/>
        </w:rPr>
        <w:t xml:space="preserve"> (S</w:t>
      </w:r>
      <w:r w:rsidRPr="005B2566">
        <w:rPr>
          <w:rFonts w:eastAsia="Calibri"/>
          <w:color w:val="000000" w:themeColor="text1"/>
          <w:kern w:val="24"/>
          <w:szCs w:val="24"/>
          <w:vertAlign w:val="subscript"/>
          <w:lang w:val="pt-BR"/>
        </w:rPr>
        <w:t>(MAG+DAG)</w:t>
      </w:r>
      <w:r w:rsidRPr="005B2566">
        <w:rPr>
          <w:rFonts w:eastAsia="Calibri"/>
          <w:color w:val="000000" w:themeColor="text1"/>
          <w:kern w:val="24"/>
          <w:szCs w:val="24"/>
          <w:lang w:val="pt-BR"/>
        </w:rPr>
        <w:t xml:space="preserve"> = 23,60%). O melhor desempenho </w:t>
      </w:r>
      <w:r w:rsidRPr="005B2566">
        <w:rPr>
          <w:szCs w:val="24"/>
          <w:lang w:val="pt-BR"/>
        </w:rPr>
        <w:t xml:space="preserve">pode ser explicado pela maior presença de sítios ácidos de Lewis na superfície catalítica da </w:t>
      </w:r>
      <w:r w:rsidRPr="0048408E">
        <w:rPr>
          <w:szCs w:val="24"/>
        </w:rPr>
        <w:t>γ</w:t>
      </w:r>
      <w:r w:rsidRPr="005B2566">
        <w:rPr>
          <w:szCs w:val="24"/>
          <w:lang w:val="pt-BR"/>
        </w:rPr>
        <w:t>-Al</w:t>
      </w:r>
      <w:r w:rsidRPr="005B2566">
        <w:rPr>
          <w:szCs w:val="24"/>
          <w:vertAlign w:val="subscript"/>
          <w:lang w:val="pt-BR"/>
        </w:rPr>
        <w:t>2</w:t>
      </w:r>
      <w:r w:rsidRPr="005B2566">
        <w:rPr>
          <w:szCs w:val="24"/>
          <w:lang w:val="pt-BR"/>
        </w:rPr>
        <w:t>O</w:t>
      </w:r>
      <w:r w:rsidRPr="005B2566">
        <w:rPr>
          <w:szCs w:val="24"/>
          <w:vertAlign w:val="subscript"/>
          <w:lang w:val="pt-BR"/>
        </w:rPr>
        <w:t>3</w:t>
      </w:r>
      <w:r w:rsidRPr="005B2566">
        <w:rPr>
          <w:szCs w:val="24"/>
          <w:lang w:val="pt-BR"/>
        </w:rPr>
        <w:t xml:space="preserve">, </w:t>
      </w:r>
      <w:r w:rsidR="00DF66DC">
        <w:rPr>
          <w:szCs w:val="24"/>
          <w:lang w:val="pt-BR"/>
        </w:rPr>
        <w:t>e maiores valores de</w:t>
      </w:r>
      <w:r w:rsidRPr="005B2566">
        <w:rPr>
          <w:szCs w:val="24"/>
          <w:lang w:val="pt-BR"/>
        </w:rPr>
        <w:t xml:space="preserve"> diâmetros, </w:t>
      </w:r>
      <w:r w:rsidR="00DF66DC">
        <w:rPr>
          <w:szCs w:val="24"/>
          <w:lang w:val="pt-BR"/>
        </w:rPr>
        <w:t>que auxilia</w:t>
      </w:r>
      <w:r w:rsidRPr="005B2566">
        <w:rPr>
          <w:szCs w:val="24"/>
          <w:lang w:val="pt-BR"/>
        </w:rPr>
        <w:t xml:space="preserve"> o transporte de massa </w:t>
      </w:r>
      <w:r w:rsidR="00971C61">
        <w:rPr>
          <w:szCs w:val="24"/>
          <w:lang w:val="pt-BR"/>
        </w:rPr>
        <w:t>(1-2)</w:t>
      </w:r>
      <w:r w:rsidRPr="005B2566">
        <w:rPr>
          <w:szCs w:val="24"/>
          <w:lang w:val="pt-BR"/>
        </w:rPr>
        <w:t>.</w:t>
      </w:r>
    </w:p>
    <w:p w14:paraId="54088C17" w14:textId="77777777" w:rsidR="005B2566" w:rsidRDefault="005B2566" w:rsidP="004D0BE1">
      <w:pPr>
        <w:pStyle w:val="TAMainText"/>
        <w:ind w:firstLine="187"/>
        <w:rPr>
          <w:szCs w:val="24"/>
          <w:lang w:val="pt-BR"/>
        </w:rPr>
      </w:pPr>
    </w:p>
    <w:p w14:paraId="1A7C2AC7" w14:textId="135C4949" w:rsidR="005B2566" w:rsidRPr="005B2566" w:rsidRDefault="005B2566" w:rsidP="005B2566">
      <w:pPr>
        <w:pStyle w:val="TAMainText"/>
        <w:ind w:firstLine="0"/>
        <w:rPr>
          <w:i/>
          <w:iCs/>
          <w:szCs w:val="24"/>
          <w:lang w:val="pt-BR"/>
        </w:rPr>
      </w:pPr>
      <w:r w:rsidRPr="005B2566">
        <w:rPr>
          <w:i/>
          <w:iCs/>
          <w:szCs w:val="24"/>
          <w:lang w:val="pt-BR"/>
        </w:rPr>
        <w:t>Estudo Cinético</w:t>
      </w:r>
    </w:p>
    <w:p w14:paraId="18A11CED" w14:textId="77777777" w:rsidR="00E83D65" w:rsidRDefault="005B2566" w:rsidP="00E83D65">
      <w:pPr>
        <w:pStyle w:val="TAMainText"/>
        <w:ind w:firstLine="187"/>
        <w:rPr>
          <w:lang w:val="pt-BR"/>
        </w:rPr>
      </w:pPr>
      <w:r w:rsidRPr="005B2566">
        <w:rPr>
          <w:szCs w:val="24"/>
          <w:lang w:val="pt-BR"/>
        </w:rPr>
        <w:t xml:space="preserve">Na Figura </w:t>
      </w:r>
      <w:r w:rsidR="00A758ED">
        <w:rPr>
          <w:szCs w:val="24"/>
          <w:lang w:val="pt-BR"/>
        </w:rPr>
        <w:t>3</w:t>
      </w:r>
      <w:r w:rsidRPr="005B2566">
        <w:rPr>
          <w:szCs w:val="24"/>
          <w:lang w:val="pt-BR"/>
        </w:rPr>
        <w:t xml:space="preserve"> são mostrados os resultados da conversão de</w:t>
      </w:r>
      <w:r>
        <w:rPr>
          <w:szCs w:val="24"/>
          <w:lang w:val="pt-BR"/>
        </w:rPr>
        <w:t xml:space="preserve"> </w:t>
      </w:r>
      <w:r w:rsidRPr="005B2566">
        <w:rPr>
          <w:szCs w:val="24"/>
          <w:lang w:val="pt-BR"/>
        </w:rPr>
        <w:t xml:space="preserve">TAG, obtidas nas reações de hidrólise </w:t>
      </w:r>
      <w:r>
        <w:rPr>
          <w:szCs w:val="24"/>
          <w:lang w:val="pt-BR"/>
        </w:rPr>
        <w:t>OMM.</w:t>
      </w:r>
      <w:r w:rsidR="00E83D65">
        <w:rPr>
          <w:szCs w:val="24"/>
          <w:lang w:val="pt-BR"/>
        </w:rPr>
        <w:t xml:space="preserve"> </w:t>
      </w:r>
      <w:r w:rsidR="00E83D65" w:rsidRPr="00971C61">
        <w:rPr>
          <w:lang w:val="pt-BR"/>
        </w:rPr>
        <w:t>A hidrólise de óleos e gorduras é uma reação de equilíbrio e caracteriza-se por um aumento gradual na velocidade de reação, devido ao aumento da solubilidade da água em AGL, MAG e DAG.</w:t>
      </w:r>
    </w:p>
    <w:p w14:paraId="16A5B90F" w14:textId="2BD2B8BA" w:rsidR="005B2566" w:rsidRDefault="00E83D65" w:rsidP="00E83D65">
      <w:pPr>
        <w:pStyle w:val="TAMainText"/>
        <w:ind w:firstLine="187"/>
        <w:rPr>
          <w:szCs w:val="24"/>
          <w:lang w:val="pt-BR"/>
        </w:rPr>
      </w:pPr>
      <w:r w:rsidRPr="00971C61">
        <w:rPr>
          <w:lang w:val="pt-BR"/>
        </w:rPr>
        <w:t xml:space="preserve">Os parâmetros cinéticos para a hidrólise encontram-se descritos na Tabela </w:t>
      </w:r>
      <w:r>
        <w:rPr>
          <w:lang w:val="pt-BR"/>
        </w:rPr>
        <w:t>4</w:t>
      </w:r>
      <w:r>
        <w:rPr>
          <w:lang w:val="pt-BR"/>
        </w:rPr>
        <w:t>.</w:t>
      </w:r>
    </w:p>
    <w:p w14:paraId="140DEDA3" w14:textId="77777777" w:rsidR="00971C61" w:rsidRPr="005B2566" w:rsidRDefault="00971C61" w:rsidP="004D0BE1">
      <w:pPr>
        <w:pStyle w:val="TAMainText"/>
        <w:ind w:firstLine="187"/>
        <w:rPr>
          <w:rFonts w:ascii="Times New Roman" w:hAnsi="Times New Roman"/>
          <w:lang w:val="pt-BR"/>
        </w:rPr>
      </w:pPr>
    </w:p>
    <w:p w14:paraId="306F1BEC" w14:textId="752D4C75" w:rsidR="00971C61" w:rsidRPr="00D44BD4" w:rsidRDefault="00971C61" w:rsidP="00971C61">
      <w:pPr>
        <w:spacing w:after="0"/>
        <w:jc w:val="center"/>
        <w:rPr>
          <w:rFonts w:ascii="Times New Roman" w:hAnsi="Times New Roman" w:cs="Times New Roman"/>
        </w:rPr>
      </w:pPr>
      <w:r>
        <w:rPr>
          <w:noProof/>
        </w:rPr>
        <w:drawing>
          <wp:inline distT="0" distB="0" distL="0" distR="0" wp14:anchorId="7336E1D0" wp14:editId="5E2B22B4">
            <wp:extent cx="3027680" cy="2551430"/>
            <wp:effectExtent l="0" t="0" r="0" b="1270"/>
            <wp:docPr id="2005553759" name="Imagem 7" descr="Project Path: C:\Users\victo\OneDrive\Documentos\Mestrado\2021-01\PEQ001 - Dissertação\VICTORROMAO\Victor\Testes IIRBQAV\IIRBQAV Gráficos.opju&#10;PE Folder: /IIRBQAV Gráficos/Folder1/&#10;Short Name: 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roject Path: C:\Users\victo\OneDrive\Documentos\Mestrado\2021-01\PEQ001 - Dissertação\VICTORROMAO\Victor\Testes IIRBQAV\IIRBQAV Gráficos.opju&#10;PE Folder: /IIRBQAV Gráficos/Folder1/&#10;Short Name: Graph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7680" cy="2551430"/>
                    </a:xfrm>
                    <a:prstGeom prst="rect">
                      <a:avLst/>
                    </a:prstGeom>
                    <a:noFill/>
                    <a:ln>
                      <a:noFill/>
                    </a:ln>
                  </pic:spPr>
                </pic:pic>
              </a:graphicData>
            </a:graphic>
          </wp:inline>
        </w:drawing>
      </w:r>
    </w:p>
    <w:p w14:paraId="318EFC9C" w14:textId="43FD7690" w:rsidR="00971C61" w:rsidRDefault="00971C61" w:rsidP="00971C61">
      <w:pPr>
        <w:pStyle w:val="VAFigureCaption"/>
        <w:spacing w:before="0"/>
        <w:rPr>
          <w:rStyle w:val="normaltextrun"/>
          <w:lang w:val="pt-BR"/>
        </w:rPr>
      </w:pPr>
      <w:r w:rsidRPr="00E038AF">
        <w:rPr>
          <w:rFonts w:ascii="Times New Roman" w:hAnsi="Times New Roman"/>
          <w:b/>
          <w:lang w:val="pt-BR"/>
        </w:rPr>
        <w:t xml:space="preserve">Figura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sidRPr="00971C61">
        <w:rPr>
          <w:szCs w:val="24"/>
          <w:lang w:val="pt-BR"/>
        </w:rPr>
        <w:t xml:space="preserve">Conversão de </w:t>
      </w:r>
      <w:proofErr w:type="spellStart"/>
      <w:r w:rsidRPr="00971C61">
        <w:rPr>
          <w:szCs w:val="24"/>
          <w:lang w:val="pt-BR"/>
        </w:rPr>
        <w:t>triacilglicerídeos</w:t>
      </w:r>
      <w:proofErr w:type="spellEnd"/>
      <w:r w:rsidRPr="00971C61">
        <w:rPr>
          <w:szCs w:val="24"/>
          <w:lang w:val="pt-BR"/>
        </w:rPr>
        <w:t xml:space="preserve"> (TAG)</w:t>
      </w:r>
      <w:r w:rsidRPr="00903649">
        <w:rPr>
          <w:rStyle w:val="normaltextrun"/>
          <w:lang w:val="pt-BR"/>
        </w:rPr>
        <w:t>.</w:t>
      </w:r>
    </w:p>
    <w:p w14:paraId="4FD15817" w14:textId="77777777" w:rsidR="00E83D65" w:rsidRDefault="00E83D65" w:rsidP="00E83D65">
      <w:pPr>
        <w:pStyle w:val="TAMainText"/>
        <w:ind w:firstLine="0"/>
        <w:rPr>
          <w:lang w:val="pt-BR"/>
        </w:rPr>
      </w:pPr>
    </w:p>
    <w:p w14:paraId="70B9EA48" w14:textId="0700BA17" w:rsidR="00971C61" w:rsidRPr="00E038AF" w:rsidRDefault="00971C61" w:rsidP="00971C61">
      <w:pPr>
        <w:pStyle w:val="VDTableTitle"/>
        <w:spacing w:after="120"/>
        <w:jc w:val="both"/>
        <w:rPr>
          <w:rFonts w:ascii="Times New Roman" w:hAnsi="Times New Roman"/>
          <w:lang w:val="pt-BR"/>
        </w:rPr>
      </w:pPr>
      <w:r w:rsidRPr="00E038AF">
        <w:rPr>
          <w:rFonts w:ascii="Times New Roman" w:hAnsi="Times New Roman"/>
          <w:b/>
          <w:lang w:val="pt-BR"/>
        </w:rPr>
        <w:t xml:space="preserve">Tabela </w:t>
      </w:r>
      <w:r>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sidR="00A758ED" w:rsidRPr="00A758ED">
        <w:rPr>
          <w:szCs w:val="24"/>
          <w:lang w:val="pt-BR"/>
        </w:rPr>
        <w:t>Comparativo dos parâmetros cinéticos em diferentes temperaturas de reação.</w:t>
      </w:r>
    </w:p>
    <w:tbl>
      <w:tblPr>
        <w:tblW w:w="48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0"/>
        <w:gridCol w:w="1162"/>
        <w:gridCol w:w="850"/>
        <w:gridCol w:w="871"/>
        <w:gridCol w:w="961"/>
      </w:tblGrid>
      <w:tr w:rsidR="00A758ED" w:rsidRPr="00072C7A" w14:paraId="34AE8508" w14:textId="77777777" w:rsidTr="00D371ED">
        <w:trPr>
          <w:trHeight w:val="340"/>
        </w:trPr>
        <w:tc>
          <w:tcPr>
            <w:tcW w:w="960" w:type="dxa"/>
            <w:tcBorders>
              <w:bottom w:val="single" w:sz="6" w:space="0" w:color="auto"/>
            </w:tcBorders>
            <w:vAlign w:val="center"/>
          </w:tcPr>
          <w:p w14:paraId="6310147F" w14:textId="4BE1769F" w:rsidR="00A758ED" w:rsidRPr="00A758ED" w:rsidRDefault="00A758ED" w:rsidP="00A758ED">
            <w:pPr>
              <w:pStyle w:val="TCTableBody"/>
              <w:spacing w:after="0" w:line="276" w:lineRule="auto"/>
              <w:jc w:val="center"/>
              <w:rPr>
                <w:rFonts w:ascii="Times New Roman" w:hAnsi="Times New Roman"/>
                <w:color w:val="000000" w:themeColor="text1"/>
                <w:kern w:val="24"/>
                <w:sz w:val="16"/>
                <w:szCs w:val="16"/>
                <w:lang w:val="pt-BR"/>
              </w:rPr>
            </w:pPr>
            <w:proofErr w:type="spellStart"/>
            <w:r w:rsidRPr="00A758ED">
              <w:rPr>
                <w:rFonts w:ascii="Times New Roman" w:hAnsi="Times New Roman"/>
                <w:color w:val="000000"/>
                <w:sz w:val="16"/>
                <w:szCs w:val="16"/>
              </w:rPr>
              <w:t>Reação</w:t>
            </w:r>
            <w:proofErr w:type="spellEnd"/>
          </w:p>
        </w:tc>
        <w:tc>
          <w:tcPr>
            <w:tcW w:w="1162" w:type="dxa"/>
            <w:tcBorders>
              <w:bottom w:val="single" w:sz="6" w:space="0" w:color="auto"/>
            </w:tcBorders>
            <w:vAlign w:val="center"/>
          </w:tcPr>
          <w:p w14:paraId="23909857" w14:textId="77777777" w:rsidR="00A758ED" w:rsidRPr="00A758ED" w:rsidRDefault="00A758ED" w:rsidP="00A758ED">
            <w:pPr>
              <w:spacing w:line="276" w:lineRule="auto"/>
              <w:jc w:val="center"/>
              <w:rPr>
                <w:rFonts w:ascii="Times New Roman" w:eastAsia="Times New Roman" w:hAnsi="Times New Roman" w:cs="Times New Roman"/>
                <w:color w:val="000000"/>
                <w:sz w:val="16"/>
                <w:szCs w:val="16"/>
                <w:lang w:eastAsia="pt-BR"/>
              </w:rPr>
            </w:pPr>
            <w:r w:rsidRPr="00A758ED">
              <w:rPr>
                <w:rFonts w:ascii="Times New Roman" w:eastAsia="Times New Roman" w:hAnsi="Times New Roman" w:cs="Times New Roman"/>
                <w:color w:val="000000"/>
                <w:sz w:val="16"/>
                <w:szCs w:val="16"/>
                <w:lang w:eastAsia="pt-BR"/>
              </w:rPr>
              <w:t>Temperatura</w:t>
            </w:r>
          </w:p>
          <w:p w14:paraId="7AEF2FCA" w14:textId="7D310EA1"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[°C]</w:t>
            </w:r>
          </w:p>
        </w:tc>
        <w:tc>
          <w:tcPr>
            <w:tcW w:w="850" w:type="dxa"/>
            <w:tcBorders>
              <w:bottom w:val="single" w:sz="6" w:space="0" w:color="auto"/>
            </w:tcBorders>
            <w:vAlign w:val="center"/>
          </w:tcPr>
          <w:p w14:paraId="5E0B2C33" w14:textId="7253DBAC" w:rsidR="00A758ED" w:rsidRPr="00A758ED" w:rsidRDefault="00A758ED" w:rsidP="00A758ED">
            <w:pPr>
              <w:spacing w:line="276" w:lineRule="auto"/>
              <w:jc w:val="center"/>
              <w:rPr>
                <w:rFonts w:ascii="Times New Roman" w:eastAsia="Times New Roman" w:hAnsi="Times New Roman" w:cs="Times New Roman"/>
                <w:color w:val="000000"/>
                <w:sz w:val="16"/>
                <w:szCs w:val="16"/>
                <w:lang w:eastAsia="pt-BR"/>
              </w:rPr>
            </w:pPr>
            <m:oMathPara>
              <m:oMath>
                <m:sSub>
                  <m:sSubPr>
                    <m:ctrlPr>
                      <w:rPr>
                        <w:rFonts w:ascii="Cambria Math" w:eastAsia="Times New Roman" w:hAnsi="Cambria Math" w:cs="Times New Roman"/>
                        <w:i/>
                        <w:color w:val="000000"/>
                        <w:sz w:val="16"/>
                        <w:szCs w:val="16"/>
                        <w:lang w:eastAsia="pt-BR"/>
                      </w:rPr>
                    </m:ctrlPr>
                  </m:sSubPr>
                  <m:e>
                    <m:r>
                      <w:rPr>
                        <w:rFonts w:ascii="Cambria Math" w:eastAsia="Times New Roman" w:hAnsi="Cambria Math" w:cs="Times New Roman"/>
                        <w:color w:val="000000"/>
                        <w:sz w:val="16"/>
                        <w:szCs w:val="16"/>
                        <w:lang w:eastAsia="pt-BR"/>
                      </w:rPr>
                      <m:t>k'</m:t>
                    </m:r>
                  </m:e>
                  <m:sub>
                    <m:r>
                      <w:rPr>
                        <w:rFonts w:ascii="Cambria Math" w:eastAsia="Times New Roman" w:hAnsi="Cambria Math" w:cs="Times New Roman"/>
                        <w:color w:val="000000"/>
                        <w:sz w:val="16"/>
                        <w:szCs w:val="16"/>
                        <w:lang w:eastAsia="pt-BR"/>
                      </w:rPr>
                      <m:t>A</m:t>
                    </m:r>
                  </m:sub>
                </m:sSub>
              </m:oMath>
            </m:oMathPara>
          </w:p>
          <w:p w14:paraId="4509488D" w14:textId="6DAB8827"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[(mol/L)</w:t>
            </w:r>
            <w:r w:rsidRPr="00A758ED">
              <w:rPr>
                <w:rFonts w:ascii="Times New Roman" w:hAnsi="Times New Roman"/>
                <w:color w:val="000000"/>
                <w:sz w:val="16"/>
                <w:szCs w:val="16"/>
                <w:vertAlign w:val="superscript"/>
              </w:rPr>
              <w:t>2</w:t>
            </w:r>
            <w:r w:rsidRPr="00A758ED">
              <w:rPr>
                <w:rFonts w:ascii="Times New Roman" w:hAnsi="Times New Roman"/>
                <w:color w:val="000000"/>
                <w:sz w:val="16"/>
                <w:szCs w:val="16"/>
              </w:rPr>
              <w:t>∙</w:t>
            </w:r>
            <w:proofErr w:type="gramStart"/>
            <w:r w:rsidRPr="00A758ED">
              <w:rPr>
                <w:rFonts w:ascii="Times New Roman" w:hAnsi="Times New Roman"/>
                <w:color w:val="000000"/>
                <w:sz w:val="16"/>
                <w:szCs w:val="16"/>
              </w:rPr>
              <w:t>min</w:t>
            </w:r>
            <w:r w:rsidRPr="00A758ED">
              <w:rPr>
                <w:rFonts w:ascii="Times New Roman" w:hAnsi="Times New Roman"/>
                <w:color w:val="000000"/>
                <w:sz w:val="16"/>
                <w:szCs w:val="16"/>
                <w:vertAlign w:val="superscript"/>
              </w:rPr>
              <w:t>-1</w:t>
            </w:r>
            <w:proofErr w:type="gramEnd"/>
            <w:r w:rsidRPr="00A758ED">
              <w:rPr>
                <w:rFonts w:ascii="Times New Roman" w:hAnsi="Times New Roman"/>
                <w:color w:val="000000"/>
                <w:sz w:val="16"/>
                <w:szCs w:val="16"/>
              </w:rPr>
              <w:t>]</w:t>
            </w:r>
          </w:p>
        </w:tc>
        <w:tc>
          <w:tcPr>
            <w:tcW w:w="871" w:type="dxa"/>
            <w:tcBorders>
              <w:bottom w:val="single" w:sz="6" w:space="0" w:color="auto"/>
            </w:tcBorders>
            <w:vAlign w:val="center"/>
          </w:tcPr>
          <w:p w14:paraId="68932206" w14:textId="499AAE3E" w:rsidR="00A758ED" w:rsidRPr="00A758ED" w:rsidRDefault="00A758ED" w:rsidP="00A758ED">
            <w:pPr>
              <w:spacing w:line="276" w:lineRule="auto"/>
              <w:jc w:val="center"/>
              <w:rPr>
                <w:rFonts w:ascii="Times New Roman" w:eastAsia="Times New Roman" w:hAnsi="Times New Roman" w:cs="Times New Roman"/>
                <w:color w:val="000000"/>
                <w:sz w:val="16"/>
                <w:szCs w:val="16"/>
                <w:lang w:eastAsia="pt-BR"/>
              </w:rPr>
            </w:pPr>
            <m:oMathPara>
              <m:oMath>
                <m:sSub>
                  <m:sSubPr>
                    <m:ctrlPr>
                      <w:rPr>
                        <w:rFonts w:ascii="Cambria Math" w:eastAsia="Times New Roman" w:hAnsi="Cambria Math" w:cs="Times New Roman"/>
                        <w:i/>
                        <w:color w:val="000000"/>
                        <w:sz w:val="16"/>
                        <w:szCs w:val="16"/>
                        <w:lang w:eastAsia="pt-BR"/>
                      </w:rPr>
                    </m:ctrlPr>
                  </m:sSubPr>
                  <m:e>
                    <m:r>
                      <w:rPr>
                        <w:rFonts w:ascii="Cambria Math" w:eastAsia="Times New Roman" w:hAnsi="Cambria Math" w:cs="Times New Roman"/>
                        <w:color w:val="000000"/>
                        <w:sz w:val="16"/>
                        <w:szCs w:val="16"/>
                        <w:lang w:eastAsia="pt-BR"/>
                      </w:rPr>
                      <m:t>k</m:t>
                    </m:r>
                  </m:e>
                  <m:sub>
                    <m:r>
                      <w:rPr>
                        <w:rFonts w:ascii="Cambria Math" w:eastAsia="Times New Roman" w:hAnsi="Cambria Math" w:cs="Times New Roman"/>
                        <w:color w:val="000000"/>
                        <w:sz w:val="16"/>
                        <w:szCs w:val="16"/>
                        <w:lang w:eastAsia="pt-BR"/>
                      </w:rPr>
                      <m:t>A</m:t>
                    </m:r>
                  </m:sub>
                </m:sSub>
              </m:oMath>
            </m:oMathPara>
          </w:p>
          <w:p w14:paraId="118B7208" w14:textId="77777777" w:rsidR="00A758ED" w:rsidRDefault="00A758ED" w:rsidP="00A758ED">
            <w:pPr>
              <w:pStyle w:val="TCTableBody"/>
              <w:spacing w:after="0" w:line="276" w:lineRule="auto"/>
              <w:jc w:val="center"/>
              <w:rPr>
                <w:rFonts w:ascii="Times New Roman" w:hAnsi="Times New Roman"/>
                <w:color w:val="000000"/>
                <w:sz w:val="16"/>
                <w:szCs w:val="16"/>
              </w:rPr>
            </w:pPr>
            <w:r w:rsidRPr="00A758ED">
              <w:rPr>
                <w:rFonts w:ascii="Times New Roman" w:hAnsi="Times New Roman"/>
                <w:color w:val="000000"/>
                <w:sz w:val="16"/>
                <w:szCs w:val="16"/>
              </w:rPr>
              <w:t>[L∙mol</w:t>
            </w:r>
            <w:r w:rsidRPr="00A758ED">
              <w:rPr>
                <w:rFonts w:ascii="Times New Roman" w:hAnsi="Times New Roman"/>
                <w:color w:val="000000"/>
                <w:sz w:val="16"/>
                <w:szCs w:val="16"/>
                <w:vertAlign w:val="superscript"/>
              </w:rPr>
              <w:t>-1</w:t>
            </w:r>
            <w:r w:rsidRPr="00A758ED">
              <w:rPr>
                <w:rFonts w:ascii="Times New Roman" w:hAnsi="Times New Roman"/>
                <w:color w:val="000000"/>
                <w:sz w:val="16"/>
                <w:szCs w:val="16"/>
              </w:rPr>
              <w:t>∙</w:t>
            </w:r>
          </w:p>
          <w:p w14:paraId="10311FEB" w14:textId="67F733CF"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proofErr w:type="gramStart"/>
            <w:r w:rsidRPr="00A758ED">
              <w:rPr>
                <w:rFonts w:ascii="Times New Roman" w:hAnsi="Times New Roman"/>
                <w:color w:val="000000"/>
                <w:sz w:val="16"/>
                <w:szCs w:val="16"/>
              </w:rPr>
              <w:t>min</w:t>
            </w:r>
            <w:r w:rsidRPr="00A758ED">
              <w:rPr>
                <w:rFonts w:ascii="Times New Roman" w:hAnsi="Times New Roman"/>
                <w:color w:val="000000"/>
                <w:sz w:val="16"/>
                <w:szCs w:val="16"/>
                <w:vertAlign w:val="superscript"/>
              </w:rPr>
              <w:t>-1</w:t>
            </w:r>
            <w:proofErr w:type="gramEnd"/>
            <w:r w:rsidRPr="00A758ED">
              <w:rPr>
                <w:rFonts w:ascii="Times New Roman" w:hAnsi="Times New Roman"/>
                <w:color w:val="000000"/>
                <w:sz w:val="16"/>
                <w:szCs w:val="16"/>
              </w:rPr>
              <w:t>]</w:t>
            </w:r>
          </w:p>
        </w:tc>
        <w:tc>
          <w:tcPr>
            <w:tcW w:w="961" w:type="dxa"/>
            <w:tcBorders>
              <w:bottom w:val="single" w:sz="6" w:space="0" w:color="auto"/>
            </w:tcBorders>
            <w:vAlign w:val="center"/>
          </w:tcPr>
          <w:p w14:paraId="1479747D" w14:textId="2A1BFDBE" w:rsidR="00A758ED" w:rsidRPr="00A758ED" w:rsidRDefault="00A758ED" w:rsidP="00A758ED">
            <w:pPr>
              <w:spacing w:line="276" w:lineRule="auto"/>
              <w:jc w:val="center"/>
              <w:rPr>
                <w:rFonts w:ascii="Times New Roman" w:eastAsia="Times New Roman" w:hAnsi="Times New Roman" w:cs="Times New Roman"/>
                <w:color w:val="000000"/>
                <w:sz w:val="16"/>
                <w:szCs w:val="16"/>
                <w:lang w:eastAsia="pt-BR"/>
              </w:rPr>
            </w:pPr>
            <w:r w:rsidRPr="00A758ED">
              <w:rPr>
                <w:rFonts w:ascii="Times New Roman" w:eastAsia="Times New Roman" w:hAnsi="Times New Roman" w:cs="Times New Roman"/>
                <w:color w:val="000000"/>
                <w:sz w:val="16"/>
                <w:szCs w:val="16"/>
                <w:lang w:eastAsia="pt-BR"/>
              </w:rPr>
              <w:t>-</w:t>
            </w:r>
            <m:oMath>
              <m:sSub>
                <m:sSubPr>
                  <m:ctrlPr>
                    <w:rPr>
                      <w:rFonts w:ascii="Cambria Math" w:eastAsia="Times New Roman" w:hAnsi="Cambria Math" w:cs="Times New Roman"/>
                      <w:i/>
                      <w:color w:val="000000"/>
                      <w:sz w:val="16"/>
                      <w:szCs w:val="16"/>
                      <w:lang w:eastAsia="pt-BR"/>
                    </w:rPr>
                  </m:ctrlPr>
                </m:sSubPr>
                <m:e>
                  <m:r>
                    <w:rPr>
                      <w:rFonts w:ascii="Cambria Math" w:eastAsia="Times New Roman" w:hAnsi="Cambria Math" w:cs="Times New Roman"/>
                      <w:color w:val="000000"/>
                      <w:sz w:val="16"/>
                      <w:szCs w:val="16"/>
                      <w:lang w:eastAsia="pt-BR"/>
                    </w:rPr>
                    <m:t>r'</m:t>
                  </m:r>
                </m:e>
                <m:sub>
                  <m:r>
                    <w:rPr>
                      <w:rFonts w:ascii="Cambria Math" w:eastAsia="Times New Roman" w:hAnsi="Cambria Math" w:cs="Times New Roman"/>
                      <w:color w:val="000000"/>
                      <w:sz w:val="16"/>
                      <w:szCs w:val="16"/>
                      <w:lang w:eastAsia="pt-BR"/>
                    </w:rPr>
                    <m:t>A0</m:t>
                  </m:r>
                </m:sub>
              </m:sSub>
            </m:oMath>
          </w:p>
          <w:p w14:paraId="2706FBA8" w14:textId="77777777" w:rsidR="00A758ED" w:rsidRDefault="00A758ED" w:rsidP="00A758ED">
            <w:pPr>
              <w:pStyle w:val="TCTableBody"/>
              <w:spacing w:after="0" w:line="276" w:lineRule="auto"/>
              <w:jc w:val="center"/>
              <w:rPr>
                <w:rFonts w:ascii="Times New Roman" w:hAnsi="Times New Roman"/>
                <w:color w:val="000000"/>
                <w:sz w:val="16"/>
                <w:szCs w:val="16"/>
                <w:lang w:val="pt-BR"/>
              </w:rPr>
            </w:pPr>
            <w:r w:rsidRPr="00A758ED">
              <w:rPr>
                <w:rFonts w:ascii="Times New Roman" w:hAnsi="Times New Roman"/>
                <w:color w:val="000000"/>
                <w:sz w:val="16"/>
                <w:szCs w:val="16"/>
                <w:lang w:val="pt-BR"/>
              </w:rPr>
              <w:t>[mol∙g</w:t>
            </w:r>
            <w:r w:rsidRPr="00A758ED">
              <w:rPr>
                <w:rFonts w:ascii="Times New Roman" w:hAnsi="Times New Roman"/>
                <w:color w:val="000000"/>
                <w:sz w:val="16"/>
                <w:szCs w:val="16"/>
                <w:vertAlign w:val="subscript"/>
                <w:lang w:val="pt-BR"/>
              </w:rPr>
              <w:t>cat</w:t>
            </w:r>
            <w:r w:rsidRPr="00A758ED">
              <w:rPr>
                <w:rFonts w:ascii="Times New Roman" w:hAnsi="Times New Roman"/>
                <w:color w:val="000000"/>
                <w:sz w:val="16"/>
                <w:szCs w:val="16"/>
                <w:vertAlign w:val="superscript"/>
                <w:lang w:val="pt-BR"/>
              </w:rPr>
              <w:t>-1</w:t>
            </w:r>
            <w:r w:rsidRPr="00A758ED">
              <w:rPr>
                <w:rFonts w:ascii="Times New Roman" w:hAnsi="Times New Roman"/>
                <w:color w:val="000000"/>
                <w:sz w:val="16"/>
                <w:szCs w:val="16"/>
                <w:lang w:val="pt-BR"/>
              </w:rPr>
              <w:t>∙</w:t>
            </w:r>
          </w:p>
          <w:p w14:paraId="47A233EA" w14:textId="0BAA8041" w:rsidR="00A758ED" w:rsidRPr="00A758ED" w:rsidRDefault="00A758ED" w:rsidP="00A758ED">
            <w:pPr>
              <w:pStyle w:val="TCTableBody"/>
              <w:spacing w:after="0" w:line="276" w:lineRule="auto"/>
              <w:jc w:val="center"/>
              <w:rPr>
                <w:rFonts w:ascii="Times New Roman" w:hAnsi="Times New Roman"/>
                <w:sz w:val="16"/>
                <w:szCs w:val="16"/>
                <w:lang w:val="pt-BR"/>
              </w:rPr>
            </w:pPr>
            <w:r w:rsidRPr="00A758ED">
              <w:rPr>
                <w:rFonts w:ascii="Times New Roman" w:hAnsi="Times New Roman"/>
                <w:color w:val="000000"/>
                <w:sz w:val="16"/>
                <w:szCs w:val="16"/>
                <w:lang w:val="pt-BR"/>
              </w:rPr>
              <w:t>min</w:t>
            </w:r>
            <w:r w:rsidRPr="00A758ED">
              <w:rPr>
                <w:rFonts w:ascii="Times New Roman" w:hAnsi="Times New Roman"/>
                <w:color w:val="000000"/>
                <w:sz w:val="16"/>
                <w:szCs w:val="16"/>
                <w:vertAlign w:val="superscript"/>
                <w:lang w:val="pt-BR"/>
              </w:rPr>
              <w:t>-1</w:t>
            </w:r>
            <w:r w:rsidRPr="00A758ED">
              <w:rPr>
                <w:rFonts w:ascii="Times New Roman" w:hAnsi="Times New Roman"/>
                <w:color w:val="000000"/>
                <w:sz w:val="16"/>
                <w:szCs w:val="16"/>
                <w:lang w:val="pt-BR"/>
              </w:rPr>
              <w:t>]</w:t>
            </w:r>
          </w:p>
        </w:tc>
      </w:tr>
      <w:tr w:rsidR="00A758ED" w:rsidRPr="00072C7A" w14:paraId="0758A27F" w14:textId="77777777" w:rsidTr="00D371ED">
        <w:trPr>
          <w:trHeight w:val="340"/>
        </w:trPr>
        <w:tc>
          <w:tcPr>
            <w:tcW w:w="960" w:type="dxa"/>
            <w:vMerge w:val="restart"/>
            <w:vAlign w:val="center"/>
          </w:tcPr>
          <w:p w14:paraId="3DD1A965" w14:textId="6CFBBCF5" w:rsidR="00A758ED" w:rsidRPr="00A758ED" w:rsidRDefault="00A758ED" w:rsidP="00A758ED">
            <w:pPr>
              <w:pStyle w:val="TCTableBody"/>
              <w:spacing w:after="0" w:line="276" w:lineRule="auto"/>
              <w:jc w:val="center"/>
              <w:rPr>
                <w:rFonts w:ascii="Times New Roman" w:hAnsi="Times New Roman"/>
                <w:color w:val="000000" w:themeColor="text1"/>
                <w:kern w:val="24"/>
                <w:sz w:val="16"/>
                <w:szCs w:val="16"/>
                <w:lang w:val="pt-BR"/>
              </w:rPr>
            </w:pPr>
            <w:proofErr w:type="spellStart"/>
            <w:r w:rsidRPr="00A758ED">
              <w:rPr>
                <w:rFonts w:ascii="Times New Roman" w:hAnsi="Times New Roman"/>
                <w:color w:val="000000"/>
                <w:sz w:val="16"/>
                <w:szCs w:val="16"/>
              </w:rPr>
              <w:t>Controle</w:t>
            </w:r>
            <w:proofErr w:type="spellEnd"/>
            <w:r w:rsidRPr="00A758ED">
              <w:rPr>
                <w:rFonts w:ascii="Times New Roman" w:hAnsi="Times New Roman"/>
                <w:color w:val="000000"/>
                <w:sz w:val="16"/>
                <w:szCs w:val="16"/>
              </w:rPr>
              <w:t xml:space="preserve"> (Branco)</w:t>
            </w:r>
          </w:p>
        </w:tc>
        <w:tc>
          <w:tcPr>
            <w:tcW w:w="1162" w:type="dxa"/>
            <w:tcBorders>
              <w:bottom w:val="single" w:sz="6" w:space="0" w:color="auto"/>
            </w:tcBorders>
            <w:vAlign w:val="center"/>
          </w:tcPr>
          <w:p w14:paraId="2F5C5E3C" w14:textId="108CFA5E"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50</w:t>
            </w:r>
          </w:p>
        </w:tc>
        <w:tc>
          <w:tcPr>
            <w:tcW w:w="850" w:type="dxa"/>
            <w:tcBorders>
              <w:bottom w:val="single" w:sz="6" w:space="0" w:color="auto"/>
            </w:tcBorders>
            <w:vAlign w:val="center"/>
          </w:tcPr>
          <w:p w14:paraId="0597F5C6" w14:textId="0B6DA944"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2,60E-03</w:t>
            </w:r>
          </w:p>
        </w:tc>
        <w:tc>
          <w:tcPr>
            <w:tcW w:w="871" w:type="dxa"/>
            <w:tcBorders>
              <w:bottom w:val="single" w:sz="6" w:space="0" w:color="auto"/>
            </w:tcBorders>
            <w:vAlign w:val="center"/>
          </w:tcPr>
          <w:p w14:paraId="31BC5578" w14:textId="09034343"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9,69E-05</w:t>
            </w:r>
          </w:p>
        </w:tc>
        <w:tc>
          <w:tcPr>
            <w:tcW w:w="961" w:type="dxa"/>
            <w:tcBorders>
              <w:bottom w:val="single" w:sz="6" w:space="0" w:color="auto"/>
            </w:tcBorders>
            <w:vAlign w:val="center"/>
          </w:tcPr>
          <w:p w14:paraId="21279A56" w14:textId="5D382599" w:rsidR="00A758ED" w:rsidRPr="00A758ED" w:rsidRDefault="00A758ED" w:rsidP="00A758ED">
            <w:pPr>
              <w:pStyle w:val="TCTableBody"/>
              <w:spacing w:after="0" w:line="276" w:lineRule="auto"/>
              <w:jc w:val="center"/>
              <w:rPr>
                <w:rFonts w:ascii="Times New Roman" w:hAnsi="Times New Roman"/>
                <w:sz w:val="16"/>
                <w:szCs w:val="16"/>
                <w:lang w:val="pt-BR"/>
              </w:rPr>
            </w:pPr>
            <w:r w:rsidRPr="00A758ED">
              <w:rPr>
                <w:rFonts w:ascii="Times New Roman" w:hAnsi="Times New Roman"/>
                <w:color w:val="000000"/>
                <w:sz w:val="16"/>
                <w:szCs w:val="16"/>
              </w:rPr>
              <w:t>-</w:t>
            </w:r>
          </w:p>
        </w:tc>
      </w:tr>
      <w:tr w:rsidR="00A758ED" w:rsidRPr="00072C7A" w14:paraId="02AC662C" w14:textId="77777777" w:rsidTr="00D371ED">
        <w:trPr>
          <w:trHeight w:val="340"/>
        </w:trPr>
        <w:tc>
          <w:tcPr>
            <w:tcW w:w="960" w:type="dxa"/>
            <w:vMerge/>
            <w:vAlign w:val="center"/>
          </w:tcPr>
          <w:p w14:paraId="798D9582" w14:textId="77777777" w:rsidR="00A758ED" w:rsidRPr="00A758ED" w:rsidRDefault="00A758ED" w:rsidP="00A758ED">
            <w:pPr>
              <w:pStyle w:val="TCTableBody"/>
              <w:spacing w:after="0" w:line="276" w:lineRule="auto"/>
              <w:jc w:val="center"/>
              <w:rPr>
                <w:rFonts w:ascii="Times New Roman" w:hAnsi="Times New Roman"/>
                <w:color w:val="000000" w:themeColor="text1"/>
                <w:kern w:val="24"/>
                <w:sz w:val="16"/>
                <w:szCs w:val="16"/>
                <w:lang w:val="pt-BR"/>
              </w:rPr>
            </w:pPr>
          </w:p>
        </w:tc>
        <w:tc>
          <w:tcPr>
            <w:tcW w:w="1162" w:type="dxa"/>
            <w:tcBorders>
              <w:bottom w:val="single" w:sz="6" w:space="0" w:color="auto"/>
            </w:tcBorders>
            <w:vAlign w:val="center"/>
          </w:tcPr>
          <w:p w14:paraId="47AD8C52" w14:textId="4E074AA1"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75</w:t>
            </w:r>
          </w:p>
        </w:tc>
        <w:tc>
          <w:tcPr>
            <w:tcW w:w="850" w:type="dxa"/>
            <w:tcBorders>
              <w:bottom w:val="single" w:sz="6" w:space="0" w:color="auto"/>
            </w:tcBorders>
            <w:vAlign w:val="center"/>
          </w:tcPr>
          <w:p w14:paraId="67ECF570" w14:textId="08C6D97C"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3,20E-03</w:t>
            </w:r>
          </w:p>
        </w:tc>
        <w:tc>
          <w:tcPr>
            <w:tcW w:w="871" w:type="dxa"/>
            <w:tcBorders>
              <w:bottom w:val="single" w:sz="6" w:space="0" w:color="auto"/>
            </w:tcBorders>
            <w:vAlign w:val="center"/>
          </w:tcPr>
          <w:p w14:paraId="0890A6C1" w14:textId="4F92191A"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1,19E-04</w:t>
            </w:r>
          </w:p>
        </w:tc>
        <w:tc>
          <w:tcPr>
            <w:tcW w:w="961" w:type="dxa"/>
            <w:tcBorders>
              <w:bottom w:val="single" w:sz="6" w:space="0" w:color="auto"/>
            </w:tcBorders>
            <w:vAlign w:val="center"/>
          </w:tcPr>
          <w:p w14:paraId="3059DE28" w14:textId="32D9D6FC" w:rsidR="00A758ED" w:rsidRPr="00A758ED" w:rsidRDefault="00A758ED" w:rsidP="00A758ED">
            <w:pPr>
              <w:pStyle w:val="TCTableBody"/>
              <w:spacing w:after="0" w:line="276" w:lineRule="auto"/>
              <w:jc w:val="center"/>
              <w:rPr>
                <w:rFonts w:ascii="Times New Roman" w:hAnsi="Times New Roman"/>
                <w:sz w:val="16"/>
                <w:szCs w:val="16"/>
                <w:lang w:val="pt-BR"/>
              </w:rPr>
            </w:pPr>
            <w:r w:rsidRPr="00A758ED">
              <w:rPr>
                <w:rFonts w:ascii="Times New Roman" w:hAnsi="Times New Roman"/>
                <w:color w:val="000000"/>
                <w:sz w:val="16"/>
                <w:szCs w:val="16"/>
              </w:rPr>
              <w:t>-</w:t>
            </w:r>
          </w:p>
        </w:tc>
      </w:tr>
      <w:tr w:rsidR="00A758ED" w:rsidRPr="00072C7A" w14:paraId="1A094BE3" w14:textId="77777777" w:rsidTr="00D371ED">
        <w:trPr>
          <w:trHeight w:val="340"/>
        </w:trPr>
        <w:tc>
          <w:tcPr>
            <w:tcW w:w="960" w:type="dxa"/>
            <w:vMerge/>
            <w:tcBorders>
              <w:bottom w:val="single" w:sz="6" w:space="0" w:color="auto"/>
            </w:tcBorders>
            <w:vAlign w:val="center"/>
          </w:tcPr>
          <w:p w14:paraId="2AD85DF5" w14:textId="77777777" w:rsidR="00A758ED" w:rsidRPr="00A758ED" w:rsidRDefault="00A758ED" w:rsidP="00A758ED">
            <w:pPr>
              <w:pStyle w:val="TCTableBody"/>
              <w:spacing w:after="0" w:line="276" w:lineRule="auto"/>
              <w:jc w:val="center"/>
              <w:rPr>
                <w:rFonts w:ascii="Times New Roman" w:hAnsi="Times New Roman"/>
                <w:color w:val="000000" w:themeColor="text1"/>
                <w:kern w:val="24"/>
                <w:sz w:val="16"/>
                <w:szCs w:val="16"/>
                <w:lang w:val="pt-BR"/>
              </w:rPr>
            </w:pPr>
          </w:p>
        </w:tc>
        <w:tc>
          <w:tcPr>
            <w:tcW w:w="1162" w:type="dxa"/>
            <w:tcBorders>
              <w:bottom w:val="single" w:sz="6" w:space="0" w:color="auto"/>
            </w:tcBorders>
            <w:vAlign w:val="center"/>
          </w:tcPr>
          <w:p w14:paraId="49994DC8" w14:textId="6A194189"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100</w:t>
            </w:r>
          </w:p>
        </w:tc>
        <w:tc>
          <w:tcPr>
            <w:tcW w:w="850" w:type="dxa"/>
            <w:tcBorders>
              <w:bottom w:val="single" w:sz="6" w:space="0" w:color="auto"/>
            </w:tcBorders>
            <w:vAlign w:val="center"/>
          </w:tcPr>
          <w:p w14:paraId="1949D0F8" w14:textId="65F40341"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4,00E-03</w:t>
            </w:r>
          </w:p>
        </w:tc>
        <w:tc>
          <w:tcPr>
            <w:tcW w:w="871" w:type="dxa"/>
            <w:tcBorders>
              <w:bottom w:val="single" w:sz="6" w:space="0" w:color="auto"/>
            </w:tcBorders>
            <w:vAlign w:val="center"/>
          </w:tcPr>
          <w:p w14:paraId="3FE26F5E" w14:textId="5D2DB053"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1,49E-04</w:t>
            </w:r>
          </w:p>
        </w:tc>
        <w:tc>
          <w:tcPr>
            <w:tcW w:w="961" w:type="dxa"/>
            <w:tcBorders>
              <w:bottom w:val="single" w:sz="6" w:space="0" w:color="auto"/>
            </w:tcBorders>
            <w:vAlign w:val="center"/>
          </w:tcPr>
          <w:p w14:paraId="6CD7489B" w14:textId="3CD24694" w:rsidR="00A758ED" w:rsidRPr="00A758ED" w:rsidRDefault="00A758ED" w:rsidP="00A758ED">
            <w:pPr>
              <w:pStyle w:val="TCTableBody"/>
              <w:spacing w:after="0" w:line="276" w:lineRule="auto"/>
              <w:jc w:val="center"/>
              <w:rPr>
                <w:rFonts w:ascii="Times New Roman" w:hAnsi="Times New Roman"/>
                <w:sz w:val="16"/>
                <w:szCs w:val="16"/>
                <w:lang w:val="pt-BR"/>
              </w:rPr>
            </w:pPr>
            <w:r w:rsidRPr="00A758ED">
              <w:rPr>
                <w:rFonts w:ascii="Times New Roman" w:hAnsi="Times New Roman"/>
                <w:color w:val="000000"/>
                <w:sz w:val="16"/>
                <w:szCs w:val="16"/>
              </w:rPr>
              <w:t>-</w:t>
            </w:r>
          </w:p>
        </w:tc>
      </w:tr>
      <w:tr w:rsidR="00A758ED" w:rsidRPr="00072C7A" w14:paraId="67F52712" w14:textId="77777777" w:rsidTr="00D371ED">
        <w:trPr>
          <w:trHeight w:val="340"/>
        </w:trPr>
        <w:tc>
          <w:tcPr>
            <w:tcW w:w="960" w:type="dxa"/>
            <w:vMerge w:val="restart"/>
            <w:vAlign w:val="center"/>
          </w:tcPr>
          <w:p w14:paraId="33DC7DED" w14:textId="69EA8137" w:rsidR="00A758ED" w:rsidRPr="00A758ED" w:rsidRDefault="00A758ED" w:rsidP="00A758ED">
            <w:pPr>
              <w:pStyle w:val="TCTableBody"/>
              <w:spacing w:after="0" w:line="276" w:lineRule="auto"/>
              <w:jc w:val="center"/>
              <w:rPr>
                <w:rFonts w:ascii="Times New Roman" w:hAnsi="Times New Roman"/>
                <w:color w:val="000000" w:themeColor="text1"/>
                <w:kern w:val="24"/>
                <w:sz w:val="16"/>
                <w:szCs w:val="16"/>
                <w:lang w:val="pt-BR"/>
              </w:rPr>
            </w:pPr>
            <w:proofErr w:type="spellStart"/>
            <w:r w:rsidRPr="00A758ED">
              <w:rPr>
                <w:rFonts w:ascii="Times New Roman" w:hAnsi="Times New Roman"/>
                <w:color w:val="000000"/>
                <w:sz w:val="16"/>
                <w:szCs w:val="16"/>
              </w:rPr>
              <w:t>Catalítica</w:t>
            </w:r>
            <w:proofErr w:type="spellEnd"/>
            <w:r w:rsidRPr="00A758ED">
              <w:rPr>
                <w:rFonts w:ascii="Times New Roman" w:hAnsi="Times New Roman"/>
                <w:color w:val="000000"/>
                <w:sz w:val="16"/>
                <w:szCs w:val="16"/>
              </w:rPr>
              <w:t xml:space="preserve"> (</w:t>
            </w:r>
            <w:r w:rsidRPr="00A758ED">
              <w:rPr>
                <w:rFonts w:ascii="Times New Roman" w:hAnsi="Times New Roman"/>
                <w:color w:val="000000" w:themeColor="text1"/>
                <w:kern w:val="24"/>
                <w:sz w:val="16"/>
                <w:szCs w:val="16"/>
              </w:rPr>
              <w:t>γ-Al</w:t>
            </w:r>
            <w:r w:rsidRPr="00A758ED">
              <w:rPr>
                <w:rFonts w:ascii="Times New Roman" w:hAnsi="Times New Roman"/>
                <w:color w:val="000000" w:themeColor="text1"/>
                <w:kern w:val="24"/>
                <w:sz w:val="16"/>
                <w:szCs w:val="16"/>
                <w:vertAlign w:val="subscript"/>
              </w:rPr>
              <w:t>2</w:t>
            </w:r>
            <w:r w:rsidRPr="00A758ED">
              <w:rPr>
                <w:rFonts w:ascii="Times New Roman" w:hAnsi="Times New Roman"/>
                <w:color w:val="000000" w:themeColor="text1"/>
                <w:kern w:val="24"/>
                <w:sz w:val="16"/>
                <w:szCs w:val="16"/>
              </w:rPr>
              <w:t>O</w:t>
            </w:r>
            <w:r w:rsidRPr="00A758ED">
              <w:rPr>
                <w:rFonts w:ascii="Times New Roman" w:hAnsi="Times New Roman"/>
                <w:color w:val="000000" w:themeColor="text1"/>
                <w:kern w:val="24"/>
                <w:sz w:val="16"/>
                <w:szCs w:val="16"/>
                <w:vertAlign w:val="subscript"/>
              </w:rPr>
              <w:t>3</w:t>
            </w:r>
            <w:r w:rsidRPr="00A758ED">
              <w:rPr>
                <w:rFonts w:ascii="Times New Roman" w:hAnsi="Times New Roman"/>
                <w:color w:val="000000"/>
                <w:sz w:val="16"/>
                <w:szCs w:val="16"/>
              </w:rPr>
              <w:t>)</w:t>
            </w:r>
          </w:p>
        </w:tc>
        <w:tc>
          <w:tcPr>
            <w:tcW w:w="1162" w:type="dxa"/>
            <w:tcBorders>
              <w:bottom w:val="single" w:sz="6" w:space="0" w:color="auto"/>
            </w:tcBorders>
            <w:vAlign w:val="center"/>
          </w:tcPr>
          <w:p w14:paraId="2CD7B149" w14:textId="646C18EF"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50</w:t>
            </w:r>
          </w:p>
        </w:tc>
        <w:tc>
          <w:tcPr>
            <w:tcW w:w="850" w:type="dxa"/>
            <w:tcBorders>
              <w:bottom w:val="single" w:sz="6" w:space="0" w:color="auto"/>
            </w:tcBorders>
            <w:vAlign w:val="center"/>
          </w:tcPr>
          <w:p w14:paraId="69B8FC3B" w14:textId="22056FA1"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5,80E-03</w:t>
            </w:r>
          </w:p>
        </w:tc>
        <w:tc>
          <w:tcPr>
            <w:tcW w:w="871" w:type="dxa"/>
            <w:tcBorders>
              <w:bottom w:val="single" w:sz="6" w:space="0" w:color="auto"/>
            </w:tcBorders>
            <w:vAlign w:val="center"/>
          </w:tcPr>
          <w:p w14:paraId="78B164E8" w14:textId="45982F0E"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2,16E-04</w:t>
            </w:r>
          </w:p>
        </w:tc>
        <w:tc>
          <w:tcPr>
            <w:tcW w:w="961" w:type="dxa"/>
            <w:tcBorders>
              <w:bottom w:val="single" w:sz="6" w:space="0" w:color="auto"/>
            </w:tcBorders>
            <w:vAlign w:val="center"/>
          </w:tcPr>
          <w:p w14:paraId="487913B0" w14:textId="7A52156F" w:rsidR="00A758ED" w:rsidRPr="00A758ED" w:rsidRDefault="00A758ED" w:rsidP="00A758ED">
            <w:pPr>
              <w:pStyle w:val="TCTableBody"/>
              <w:spacing w:after="0" w:line="276" w:lineRule="auto"/>
              <w:jc w:val="center"/>
              <w:rPr>
                <w:rFonts w:ascii="Times New Roman" w:hAnsi="Times New Roman"/>
                <w:sz w:val="16"/>
                <w:szCs w:val="16"/>
                <w:lang w:val="pt-BR"/>
              </w:rPr>
            </w:pPr>
            <w:r w:rsidRPr="00A758ED">
              <w:rPr>
                <w:rFonts w:ascii="Times New Roman" w:hAnsi="Times New Roman"/>
                <w:color w:val="000000"/>
                <w:sz w:val="16"/>
                <w:szCs w:val="16"/>
              </w:rPr>
              <w:t>1,93E-04</w:t>
            </w:r>
          </w:p>
        </w:tc>
      </w:tr>
      <w:tr w:rsidR="00A758ED" w:rsidRPr="00072C7A" w14:paraId="7B96F8CD" w14:textId="77777777" w:rsidTr="00D371ED">
        <w:trPr>
          <w:trHeight w:val="340"/>
        </w:trPr>
        <w:tc>
          <w:tcPr>
            <w:tcW w:w="960" w:type="dxa"/>
            <w:vMerge/>
            <w:vAlign w:val="center"/>
          </w:tcPr>
          <w:p w14:paraId="42E8B91A" w14:textId="77777777" w:rsidR="00A758ED" w:rsidRPr="00A758ED" w:rsidRDefault="00A758ED" w:rsidP="00A758ED">
            <w:pPr>
              <w:pStyle w:val="TCTableBody"/>
              <w:spacing w:after="0" w:line="276" w:lineRule="auto"/>
              <w:jc w:val="center"/>
              <w:rPr>
                <w:rFonts w:ascii="Times New Roman" w:hAnsi="Times New Roman"/>
                <w:color w:val="000000" w:themeColor="text1"/>
                <w:kern w:val="24"/>
                <w:sz w:val="16"/>
                <w:szCs w:val="16"/>
                <w:lang w:val="pt-BR"/>
              </w:rPr>
            </w:pPr>
          </w:p>
        </w:tc>
        <w:tc>
          <w:tcPr>
            <w:tcW w:w="1162" w:type="dxa"/>
            <w:tcBorders>
              <w:bottom w:val="single" w:sz="6" w:space="0" w:color="auto"/>
            </w:tcBorders>
            <w:vAlign w:val="center"/>
          </w:tcPr>
          <w:p w14:paraId="7511F2EF" w14:textId="3A0D2C00"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75</w:t>
            </w:r>
          </w:p>
        </w:tc>
        <w:tc>
          <w:tcPr>
            <w:tcW w:w="850" w:type="dxa"/>
            <w:tcBorders>
              <w:bottom w:val="single" w:sz="6" w:space="0" w:color="auto"/>
            </w:tcBorders>
            <w:vAlign w:val="center"/>
          </w:tcPr>
          <w:p w14:paraId="4CA1A885" w14:textId="265DCC66"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8,20E-03</w:t>
            </w:r>
          </w:p>
        </w:tc>
        <w:tc>
          <w:tcPr>
            <w:tcW w:w="871" w:type="dxa"/>
            <w:tcBorders>
              <w:bottom w:val="single" w:sz="6" w:space="0" w:color="auto"/>
            </w:tcBorders>
            <w:vAlign w:val="center"/>
          </w:tcPr>
          <w:p w14:paraId="70CACD28" w14:textId="77773B12"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3,06E-04</w:t>
            </w:r>
          </w:p>
        </w:tc>
        <w:tc>
          <w:tcPr>
            <w:tcW w:w="961" w:type="dxa"/>
            <w:tcBorders>
              <w:bottom w:val="single" w:sz="6" w:space="0" w:color="auto"/>
            </w:tcBorders>
            <w:vAlign w:val="center"/>
          </w:tcPr>
          <w:p w14:paraId="2F2D6561" w14:textId="34220F76" w:rsidR="00A758ED" w:rsidRPr="00A758ED" w:rsidRDefault="00A758ED" w:rsidP="00A758ED">
            <w:pPr>
              <w:pStyle w:val="TCTableBody"/>
              <w:spacing w:after="0" w:line="276" w:lineRule="auto"/>
              <w:jc w:val="center"/>
              <w:rPr>
                <w:rFonts w:ascii="Times New Roman" w:hAnsi="Times New Roman"/>
                <w:sz w:val="16"/>
                <w:szCs w:val="16"/>
                <w:lang w:val="pt-BR"/>
              </w:rPr>
            </w:pPr>
            <w:r w:rsidRPr="00A758ED">
              <w:rPr>
                <w:rFonts w:ascii="Times New Roman" w:hAnsi="Times New Roman"/>
                <w:color w:val="000000"/>
                <w:sz w:val="16"/>
                <w:szCs w:val="16"/>
              </w:rPr>
              <w:t>2,72E-04</w:t>
            </w:r>
          </w:p>
        </w:tc>
      </w:tr>
      <w:tr w:rsidR="00A758ED" w:rsidRPr="00072C7A" w14:paraId="6241498D" w14:textId="77777777" w:rsidTr="00D371ED">
        <w:trPr>
          <w:trHeight w:val="340"/>
        </w:trPr>
        <w:tc>
          <w:tcPr>
            <w:tcW w:w="960" w:type="dxa"/>
            <w:vMerge/>
            <w:tcBorders>
              <w:bottom w:val="single" w:sz="6" w:space="0" w:color="auto"/>
            </w:tcBorders>
            <w:vAlign w:val="center"/>
          </w:tcPr>
          <w:p w14:paraId="4495887F" w14:textId="77777777" w:rsidR="00A758ED" w:rsidRPr="00A758ED" w:rsidRDefault="00A758ED" w:rsidP="00A758ED">
            <w:pPr>
              <w:pStyle w:val="TCTableBody"/>
              <w:spacing w:after="0" w:line="276" w:lineRule="auto"/>
              <w:jc w:val="center"/>
              <w:rPr>
                <w:rFonts w:ascii="Times New Roman" w:hAnsi="Times New Roman"/>
                <w:color w:val="000000" w:themeColor="text1"/>
                <w:kern w:val="24"/>
                <w:sz w:val="16"/>
                <w:szCs w:val="16"/>
                <w:lang w:val="pt-BR"/>
              </w:rPr>
            </w:pPr>
          </w:p>
        </w:tc>
        <w:tc>
          <w:tcPr>
            <w:tcW w:w="1162" w:type="dxa"/>
            <w:tcBorders>
              <w:bottom w:val="single" w:sz="6" w:space="0" w:color="auto"/>
            </w:tcBorders>
            <w:vAlign w:val="center"/>
          </w:tcPr>
          <w:p w14:paraId="37A24542" w14:textId="19B7E754"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100</w:t>
            </w:r>
          </w:p>
        </w:tc>
        <w:tc>
          <w:tcPr>
            <w:tcW w:w="850" w:type="dxa"/>
            <w:tcBorders>
              <w:bottom w:val="single" w:sz="6" w:space="0" w:color="auto"/>
            </w:tcBorders>
            <w:vAlign w:val="center"/>
          </w:tcPr>
          <w:p w14:paraId="6747B5A3" w14:textId="3F32439A"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1,18E-02</w:t>
            </w:r>
          </w:p>
        </w:tc>
        <w:tc>
          <w:tcPr>
            <w:tcW w:w="871" w:type="dxa"/>
            <w:tcBorders>
              <w:bottom w:val="single" w:sz="6" w:space="0" w:color="auto"/>
            </w:tcBorders>
            <w:vAlign w:val="center"/>
          </w:tcPr>
          <w:p w14:paraId="4510250D" w14:textId="06584CBB" w:rsidR="00A758ED" w:rsidRPr="00A758ED" w:rsidRDefault="00A758ED" w:rsidP="00A758ED">
            <w:pPr>
              <w:pStyle w:val="TCTableBody"/>
              <w:spacing w:after="0" w:line="276" w:lineRule="auto"/>
              <w:jc w:val="center"/>
              <w:rPr>
                <w:rFonts w:ascii="Times New Roman" w:hAnsi="Times New Roman"/>
                <w:color w:val="000000"/>
                <w:kern w:val="24"/>
                <w:sz w:val="16"/>
                <w:szCs w:val="16"/>
                <w:lang w:val="pt-BR"/>
              </w:rPr>
            </w:pPr>
            <w:r w:rsidRPr="00A758ED">
              <w:rPr>
                <w:rFonts w:ascii="Times New Roman" w:hAnsi="Times New Roman"/>
                <w:color w:val="000000"/>
                <w:sz w:val="16"/>
                <w:szCs w:val="16"/>
              </w:rPr>
              <w:t>4,40E-04</w:t>
            </w:r>
          </w:p>
        </w:tc>
        <w:tc>
          <w:tcPr>
            <w:tcW w:w="961" w:type="dxa"/>
            <w:tcBorders>
              <w:bottom w:val="single" w:sz="6" w:space="0" w:color="auto"/>
            </w:tcBorders>
            <w:vAlign w:val="center"/>
          </w:tcPr>
          <w:p w14:paraId="176A40B6" w14:textId="048456FD" w:rsidR="00A758ED" w:rsidRPr="00A758ED" w:rsidRDefault="00A758ED" w:rsidP="00A758ED">
            <w:pPr>
              <w:pStyle w:val="TCTableBody"/>
              <w:spacing w:after="0" w:line="276" w:lineRule="auto"/>
              <w:jc w:val="center"/>
              <w:rPr>
                <w:rFonts w:ascii="Times New Roman" w:hAnsi="Times New Roman"/>
                <w:sz w:val="16"/>
                <w:szCs w:val="16"/>
                <w:lang w:val="pt-BR"/>
              </w:rPr>
            </w:pPr>
            <w:r w:rsidRPr="00A758ED">
              <w:rPr>
                <w:rFonts w:ascii="Times New Roman" w:hAnsi="Times New Roman"/>
                <w:color w:val="000000"/>
                <w:sz w:val="16"/>
                <w:szCs w:val="16"/>
              </w:rPr>
              <w:t>3,92E-04</w:t>
            </w:r>
          </w:p>
        </w:tc>
      </w:tr>
      <w:tr w:rsidR="00971C61" w:rsidRPr="00072C7A" w14:paraId="05357480" w14:textId="77777777" w:rsidTr="00711F32">
        <w:tc>
          <w:tcPr>
            <w:tcW w:w="4804" w:type="dxa"/>
            <w:gridSpan w:val="5"/>
            <w:tcBorders>
              <w:top w:val="single" w:sz="6" w:space="0" w:color="auto"/>
              <w:left w:val="nil"/>
              <w:bottom w:val="nil"/>
              <w:right w:val="nil"/>
            </w:tcBorders>
            <w:vAlign w:val="center"/>
          </w:tcPr>
          <w:p w14:paraId="03418FC7" w14:textId="425D337B" w:rsidR="00971C61" w:rsidRPr="00903649" w:rsidRDefault="00971C61" w:rsidP="00711F32">
            <w:pPr>
              <w:pStyle w:val="TCTableBody"/>
              <w:spacing w:after="0"/>
              <w:rPr>
                <w:rFonts w:ascii="Times New Roman" w:hAnsi="Times New Roman"/>
                <w:lang w:val="pt-BR"/>
              </w:rPr>
            </w:pPr>
            <w:r w:rsidRPr="00D44BD4">
              <w:rPr>
                <w:rFonts w:ascii="Times New Roman" w:hAnsi="Times New Roman"/>
                <w:lang w:val="pt-BR"/>
              </w:rPr>
              <w:t>Fonte: Autor, 2023.</w:t>
            </w:r>
          </w:p>
        </w:tc>
      </w:tr>
    </w:tbl>
    <w:p w14:paraId="62EC7935" w14:textId="77777777" w:rsidR="001E6003" w:rsidRPr="001F25B2" w:rsidRDefault="001E6003" w:rsidP="00712997">
      <w:pPr>
        <w:pStyle w:val="TAMainText"/>
        <w:ind w:firstLine="0"/>
        <w:rPr>
          <w:rFonts w:ascii="Times New Roman" w:hAnsi="Times New Roman"/>
          <w:lang w:val="pt-BR"/>
        </w:rPr>
      </w:pPr>
    </w:p>
    <w:p w14:paraId="45EE133E" w14:textId="77777777" w:rsidR="00D371ED" w:rsidRDefault="00D371ED" w:rsidP="00D371ED">
      <w:pPr>
        <w:pStyle w:val="TAMainText"/>
        <w:ind w:firstLine="187"/>
        <w:rPr>
          <w:rFonts w:eastAsiaTheme="minorEastAsia"/>
          <w:szCs w:val="24"/>
          <w:lang w:val="pt-BR"/>
        </w:rPr>
      </w:pPr>
      <w:r w:rsidRPr="00A758ED">
        <w:rPr>
          <w:szCs w:val="24"/>
          <w:lang w:val="pt-BR"/>
        </w:rPr>
        <w:t xml:space="preserve">Os valores de energia de ativação </w:t>
      </w:r>
      <m:oMath>
        <m:d>
          <m:dPr>
            <m:ctrlPr>
              <w:rPr>
                <w:rFonts w:ascii="Cambria Math"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E</m:t>
                </m:r>
                <m:r>
                  <w:rPr>
                    <w:rFonts w:ascii="Cambria Math" w:eastAsiaTheme="minorEastAsia" w:hAnsi="Cambria Math"/>
                    <w:szCs w:val="24"/>
                    <w:lang w:val="pt-BR"/>
                  </w:rPr>
                  <m:t>'</m:t>
                </m:r>
              </m:e>
              <m:sub>
                <m:r>
                  <w:rPr>
                    <w:rFonts w:ascii="Cambria Math" w:eastAsiaTheme="minorEastAsia" w:hAnsi="Cambria Math"/>
                    <w:szCs w:val="24"/>
                  </w:rPr>
                  <m:t>A</m:t>
                </m:r>
              </m:sub>
            </m:sSub>
            <m:ctrlPr>
              <w:rPr>
                <w:rFonts w:ascii="Cambria Math" w:eastAsiaTheme="minorEastAsia" w:hAnsi="Cambria Math"/>
                <w:i/>
                <w:szCs w:val="24"/>
              </w:rPr>
            </m:ctrlPr>
          </m:e>
        </m:d>
      </m:oMath>
      <w:r w:rsidRPr="00A758ED">
        <w:rPr>
          <w:rFonts w:eastAsiaTheme="minorEastAsia"/>
          <w:szCs w:val="24"/>
          <w:lang w:val="pt-BR"/>
        </w:rPr>
        <w:t xml:space="preserve"> e do fator pré-exponencial da equação de </w:t>
      </w:r>
      <w:proofErr w:type="spellStart"/>
      <w:r w:rsidRPr="00A758ED">
        <w:rPr>
          <w:rFonts w:eastAsiaTheme="minorEastAsia"/>
          <w:szCs w:val="24"/>
          <w:lang w:val="pt-BR"/>
        </w:rPr>
        <w:t>Arrhenius</w:t>
      </w:r>
      <w:proofErr w:type="spellEnd"/>
      <w:r w:rsidRPr="00A758ED">
        <w:rPr>
          <w:rFonts w:eastAsiaTheme="minorEastAsia"/>
          <w:szCs w:val="24"/>
          <w:lang w:val="pt-BR"/>
        </w:rPr>
        <w:t xml:space="preserve"> </w:t>
      </w:r>
      <m:oMath>
        <m:r>
          <w:rPr>
            <w:rFonts w:ascii="Cambria Math" w:eastAsiaTheme="minorEastAsia" w:hAnsi="Cambria Math"/>
            <w:szCs w:val="24"/>
            <w:lang w:val="pt-BR"/>
          </w:rPr>
          <m:t>(</m:t>
        </m:r>
        <m:sSub>
          <m:sSubPr>
            <m:ctrlPr>
              <w:rPr>
                <w:rFonts w:ascii="Cambria Math" w:hAnsi="Cambria Math"/>
                <w:i/>
                <w:szCs w:val="24"/>
              </w:rPr>
            </m:ctrlPr>
          </m:sSubPr>
          <m:e>
            <m:r>
              <w:rPr>
                <w:rFonts w:ascii="Cambria Math" w:hAnsi="Cambria Math"/>
                <w:szCs w:val="24"/>
              </w:rPr>
              <m:t>A</m:t>
            </m:r>
            <m:r>
              <w:rPr>
                <w:rFonts w:ascii="Cambria Math" w:hAnsi="Cambria Math"/>
                <w:szCs w:val="24"/>
                <w:lang w:val="pt-BR"/>
              </w:rPr>
              <m:t>'</m:t>
            </m:r>
          </m:e>
          <m:sub>
            <m:r>
              <w:rPr>
                <w:rFonts w:ascii="Cambria Math" w:hAnsi="Cambria Math"/>
                <w:szCs w:val="24"/>
                <w:lang w:val="pt-BR"/>
              </w:rPr>
              <m:t>0</m:t>
            </m:r>
          </m:sub>
        </m:sSub>
        <m:r>
          <w:rPr>
            <w:rFonts w:ascii="Cambria Math" w:hAnsi="Cambria Math"/>
            <w:szCs w:val="24"/>
            <w:lang w:val="pt-BR"/>
          </w:rPr>
          <m:t>)</m:t>
        </m:r>
      </m:oMath>
      <w:r w:rsidRPr="00A758ED">
        <w:rPr>
          <w:rFonts w:eastAsiaTheme="minorEastAsia"/>
          <w:szCs w:val="24"/>
          <w:lang w:val="pt-BR"/>
        </w:rPr>
        <w:t xml:space="preserve"> calculados para as reações homogênea e heterogênea</w:t>
      </w:r>
      <w:r>
        <w:rPr>
          <w:rFonts w:eastAsiaTheme="minorEastAsia"/>
          <w:szCs w:val="24"/>
          <w:lang w:val="pt-BR"/>
        </w:rPr>
        <w:t xml:space="preserve"> </w:t>
      </w:r>
      <w:r w:rsidRPr="00A758ED">
        <w:rPr>
          <w:rFonts w:eastAsiaTheme="minorEastAsia"/>
          <w:szCs w:val="24"/>
          <w:lang w:val="pt-BR"/>
        </w:rPr>
        <w:t xml:space="preserve">são respectivamente: </w:t>
      </w:r>
      <m:oMath>
        <m:sSub>
          <m:sSubPr>
            <m:ctrlPr>
              <w:rPr>
                <w:rFonts w:ascii="Cambria Math" w:eastAsiaTheme="minorEastAsia" w:hAnsi="Cambria Math"/>
                <w:i/>
                <w:szCs w:val="24"/>
              </w:rPr>
            </m:ctrlPr>
          </m:sSubPr>
          <m:e>
            <m:r>
              <w:rPr>
                <w:rFonts w:ascii="Cambria Math" w:eastAsiaTheme="minorEastAsia" w:hAnsi="Cambria Math"/>
                <w:szCs w:val="24"/>
              </w:rPr>
              <m:t>E</m:t>
            </m:r>
            <m:r>
              <w:rPr>
                <w:rFonts w:ascii="Cambria Math" w:eastAsiaTheme="minorEastAsia" w:hAnsi="Cambria Math"/>
                <w:szCs w:val="24"/>
                <w:lang w:val="pt-BR"/>
              </w:rPr>
              <m:t>'</m:t>
            </m:r>
          </m:e>
          <m:sub>
            <m:r>
              <w:rPr>
                <w:rFonts w:ascii="Cambria Math" w:eastAsiaTheme="minorEastAsia" w:hAnsi="Cambria Math"/>
                <w:szCs w:val="24"/>
              </w:rPr>
              <m:t>A</m:t>
            </m:r>
          </m:sub>
        </m:sSub>
      </m:oMath>
      <w:r w:rsidRPr="00A758ED">
        <w:rPr>
          <w:rFonts w:eastAsiaTheme="minorEastAsia"/>
          <w:szCs w:val="24"/>
          <w:lang w:val="pt-BR"/>
        </w:rPr>
        <w:t xml:space="preserve"> = 10,70 kJ</w:t>
      </w:r>
      <w:r w:rsidRPr="00A758ED">
        <w:rPr>
          <w:rFonts w:ascii="Cambria Math" w:eastAsiaTheme="minorEastAsia" w:hAnsi="Cambria Math" w:cs="Cambria Math"/>
          <w:szCs w:val="24"/>
          <w:lang w:val="pt-BR"/>
        </w:rPr>
        <w:t>∙</w:t>
      </w:r>
      <w:r w:rsidRPr="00A758ED">
        <w:rPr>
          <w:rFonts w:eastAsiaTheme="minorEastAsia"/>
          <w:szCs w:val="24"/>
          <w:lang w:val="pt-BR"/>
        </w:rPr>
        <w:t>mol</w:t>
      </w:r>
      <w:r w:rsidRPr="00A758ED">
        <w:rPr>
          <w:rFonts w:eastAsiaTheme="minorEastAsia"/>
          <w:szCs w:val="24"/>
          <w:vertAlign w:val="superscript"/>
          <w:lang w:val="pt-BR"/>
        </w:rPr>
        <w:t>-1</w:t>
      </w:r>
      <w:r w:rsidRPr="00A758ED">
        <w:rPr>
          <w:rFonts w:eastAsiaTheme="minorEastAsia"/>
          <w:szCs w:val="24"/>
          <w:lang w:val="pt-BR"/>
        </w:rPr>
        <w:t xml:space="preserve"> e </w:t>
      </w:r>
      <m:oMath>
        <m:sSub>
          <m:sSubPr>
            <m:ctrlPr>
              <w:rPr>
                <w:rFonts w:ascii="Cambria Math" w:hAnsi="Cambria Math"/>
                <w:i/>
                <w:szCs w:val="24"/>
              </w:rPr>
            </m:ctrlPr>
          </m:sSubPr>
          <m:e>
            <m:r>
              <w:rPr>
                <w:rFonts w:ascii="Cambria Math" w:hAnsi="Cambria Math"/>
                <w:szCs w:val="24"/>
              </w:rPr>
              <m:t>A</m:t>
            </m:r>
            <m:r>
              <w:rPr>
                <w:rFonts w:ascii="Cambria Math" w:hAnsi="Cambria Math"/>
                <w:szCs w:val="24"/>
                <w:lang w:val="pt-BR"/>
              </w:rPr>
              <m:t>'</m:t>
            </m:r>
          </m:e>
          <m:sub>
            <m:r>
              <w:rPr>
                <w:rFonts w:ascii="Cambria Math" w:hAnsi="Cambria Math"/>
                <w:szCs w:val="24"/>
                <w:lang w:val="pt-BR"/>
              </w:rPr>
              <m:t>0</m:t>
            </m:r>
          </m:sub>
        </m:sSub>
      </m:oMath>
      <w:r w:rsidRPr="00A758ED">
        <w:rPr>
          <w:rFonts w:eastAsiaTheme="minorEastAsia"/>
          <w:szCs w:val="24"/>
          <w:lang w:val="pt-BR"/>
        </w:rPr>
        <w:t xml:space="preserve"> = 2,65; </w:t>
      </w:r>
      <m:oMath>
        <m:sSub>
          <m:sSubPr>
            <m:ctrlPr>
              <w:rPr>
                <w:rFonts w:ascii="Cambria Math" w:eastAsiaTheme="minorEastAsia" w:hAnsi="Cambria Math"/>
                <w:i/>
                <w:szCs w:val="24"/>
              </w:rPr>
            </m:ctrlPr>
          </m:sSubPr>
          <m:e>
            <m:r>
              <w:rPr>
                <w:rFonts w:ascii="Cambria Math" w:eastAsiaTheme="minorEastAsia" w:hAnsi="Cambria Math"/>
                <w:szCs w:val="24"/>
              </w:rPr>
              <m:t>E</m:t>
            </m:r>
            <m:r>
              <w:rPr>
                <w:rFonts w:ascii="Cambria Math" w:eastAsiaTheme="minorEastAsia" w:hAnsi="Cambria Math"/>
                <w:szCs w:val="24"/>
                <w:lang w:val="pt-BR"/>
              </w:rPr>
              <m:t>'</m:t>
            </m:r>
          </m:e>
          <m:sub>
            <m:r>
              <w:rPr>
                <w:rFonts w:ascii="Cambria Math" w:eastAsiaTheme="minorEastAsia" w:hAnsi="Cambria Math"/>
                <w:szCs w:val="24"/>
              </w:rPr>
              <m:t>A</m:t>
            </m:r>
          </m:sub>
        </m:sSub>
      </m:oMath>
      <w:r w:rsidRPr="00A758ED">
        <w:rPr>
          <w:rFonts w:eastAsiaTheme="minorEastAsia"/>
          <w:szCs w:val="24"/>
          <w:lang w:val="pt-BR"/>
        </w:rPr>
        <w:t xml:space="preserve"> = 6,92 kJ</w:t>
      </w:r>
      <w:r w:rsidRPr="00A758ED">
        <w:rPr>
          <w:rFonts w:ascii="Cambria Math" w:eastAsiaTheme="minorEastAsia" w:hAnsi="Cambria Math" w:cs="Cambria Math"/>
          <w:szCs w:val="24"/>
          <w:lang w:val="pt-BR"/>
        </w:rPr>
        <w:t>∙</w:t>
      </w:r>
      <w:r w:rsidRPr="00A758ED">
        <w:rPr>
          <w:rFonts w:eastAsiaTheme="minorEastAsia"/>
          <w:szCs w:val="24"/>
          <w:lang w:val="pt-BR"/>
        </w:rPr>
        <w:t>mol</w:t>
      </w:r>
      <w:r w:rsidRPr="00A758ED">
        <w:rPr>
          <w:rFonts w:eastAsiaTheme="minorEastAsia"/>
          <w:szCs w:val="24"/>
          <w:vertAlign w:val="superscript"/>
          <w:lang w:val="pt-BR"/>
        </w:rPr>
        <w:t>-1</w:t>
      </w:r>
      <w:r w:rsidRPr="00A758ED">
        <w:rPr>
          <w:rFonts w:eastAsiaTheme="minorEastAsia"/>
          <w:szCs w:val="24"/>
          <w:lang w:val="pt-BR"/>
        </w:rPr>
        <w:t xml:space="preserve"> e </w:t>
      </w:r>
      <m:oMath>
        <m:sSub>
          <m:sSubPr>
            <m:ctrlPr>
              <w:rPr>
                <w:rFonts w:ascii="Cambria Math" w:hAnsi="Cambria Math"/>
                <w:i/>
                <w:szCs w:val="24"/>
              </w:rPr>
            </m:ctrlPr>
          </m:sSubPr>
          <m:e>
            <m:r>
              <w:rPr>
                <w:rFonts w:ascii="Cambria Math" w:hAnsi="Cambria Math"/>
                <w:szCs w:val="24"/>
              </w:rPr>
              <m:t>A</m:t>
            </m:r>
            <m:r>
              <w:rPr>
                <w:rFonts w:ascii="Cambria Math" w:hAnsi="Cambria Math"/>
                <w:szCs w:val="24"/>
                <w:lang w:val="pt-BR"/>
              </w:rPr>
              <m:t>'</m:t>
            </m:r>
          </m:e>
          <m:sub>
            <m:r>
              <w:rPr>
                <w:rFonts w:ascii="Cambria Math" w:hAnsi="Cambria Math"/>
                <w:szCs w:val="24"/>
                <w:lang w:val="pt-BR"/>
              </w:rPr>
              <m:t>0</m:t>
            </m:r>
          </m:sub>
        </m:sSub>
      </m:oMath>
      <w:r w:rsidRPr="00A758ED">
        <w:rPr>
          <w:rFonts w:eastAsiaTheme="minorEastAsia"/>
          <w:szCs w:val="24"/>
          <w:lang w:val="pt-BR"/>
        </w:rPr>
        <w:t xml:space="preserve"> = 32,0.</w:t>
      </w:r>
      <w:r>
        <w:rPr>
          <w:rFonts w:eastAsiaTheme="minorEastAsia"/>
          <w:szCs w:val="24"/>
          <w:lang w:val="pt-BR"/>
        </w:rPr>
        <w:t xml:space="preserve"> V</w:t>
      </w:r>
      <w:r w:rsidRPr="00A758ED">
        <w:rPr>
          <w:rFonts w:eastAsiaTheme="minorEastAsia"/>
          <w:szCs w:val="24"/>
          <w:lang w:val="pt-BR"/>
        </w:rPr>
        <w:t xml:space="preserve">erificou-se que a constante de velocidade aparente a 250 °C </w:t>
      </w:r>
      <m:oMath>
        <m:r>
          <w:rPr>
            <w:rFonts w:ascii="Cambria Math" w:eastAsiaTheme="minorEastAsia" w:hAnsi="Cambria Math"/>
            <w:szCs w:val="24"/>
            <w:lang w:val="pt-BR"/>
          </w:rPr>
          <m:t>(</m:t>
        </m:r>
        <m:sSub>
          <m:sSubPr>
            <m:ctrlPr>
              <w:rPr>
                <w:rFonts w:ascii="Cambria Math" w:eastAsiaTheme="minorEastAsia" w:hAnsi="Cambria Math"/>
                <w:i/>
                <w:szCs w:val="24"/>
              </w:rPr>
            </m:ctrlPr>
          </m:sSubPr>
          <m:e>
            <m:r>
              <w:rPr>
                <w:rFonts w:ascii="Cambria Math" w:eastAsiaTheme="minorEastAsia" w:hAnsi="Cambria Math"/>
                <w:szCs w:val="24"/>
              </w:rPr>
              <m:t>k</m:t>
            </m:r>
          </m:e>
          <m:sub>
            <m:r>
              <w:rPr>
                <w:rFonts w:ascii="Cambria Math" w:eastAsiaTheme="minorEastAsia" w:hAnsi="Cambria Math"/>
                <w:szCs w:val="24"/>
                <w:lang w:val="pt-BR"/>
              </w:rPr>
              <m:t>250</m:t>
            </m:r>
          </m:sub>
        </m:sSub>
        <m:r>
          <w:rPr>
            <w:rFonts w:ascii="Cambria Math" w:eastAsiaTheme="minorEastAsia" w:hAnsi="Cambria Math"/>
            <w:szCs w:val="24"/>
            <w:lang w:val="pt-BR"/>
          </w:rPr>
          <m:t>)</m:t>
        </m:r>
      </m:oMath>
      <w:r w:rsidRPr="00A758ED">
        <w:rPr>
          <w:rFonts w:eastAsiaTheme="minorEastAsia"/>
          <w:szCs w:val="24"/>
          <w:lang w:val="pt-BR"/>
        </w:rPr>
        <w:t xml:space="preserve"> é 30 vezes maior</w:t>
      </w:r>
      <w:r>
        <w:rPr>
          <w:rFonts w:eastAsiaTheme="minorEastAsia"/>
          <w:szCs w:val="24"/>
          <w:lang w:val="pt-BR"/>
        </w:rPr>
        <w:t xml:space="preserve"> na reação catalítica.</w:t>
      </w:r>
    </w:p>
    <w:p w14:paraId="5964FDE0" w14:textId="77777777" w:rsidR="00D371ED" w:rsidRDefault="00D371ED" w:rsidP="00D371ED">
      <w:pPr>
        <w:pStyle w:val="TAMainText"/>
        <w:ind w:firstLine="187"/>
        <w:rPr>
          <w:szCs w:val="24"/>
          <w:lang w:val="pt-BR"/>
        </w:rPr>
      </w:pPr>
      <w:r w:rsidRPr="00A758ED">
        <w:rPr>
          <w:szCs w:val="24"/>
          <w:lang w:val="pt-BR"/>
        </w:rPr>
        <w:t xml:space="preserve">Conforme pode ser visto na Figura </w:t>
      </w:r>
      <w:r>
        <w:rPr>
          <w:szCs w:val="24"/>
          <w:lang w:val="pt-BR"/>
        </w:rPr>
        <w:t>4</w:t>
      </w:r>
      <w:r w:rsidRPr="00A758ED">
        <w:rPr>
          <w:szCs w:val="24"/>
          <w:lang w:val="pt-BR"/>
        </w:rPr>
        <w:t xml:space="preserve">, </w:t>
      </w:r>
      <w:r>
        <w:rPr>
          <w:szCs w:val="24"/>
          <w:lang w:val="pt-BR"/>
        </w:rPr>
        <w:t xml:space="preserve">a </w:t>
      </w:r>
      <w:r w:rsidRPr="00A758ED">
        <w:rPr>
          <w:szCs w:val="24"/>
          <w:lang w:val="pt-BR"/>
        </w:rPr>
        <w:t>50 °C</w:t>
      </w:r>
      <w:r>
        <w:rPr>
          <w:szCs w:val="24"/>
          <w:lang w:val="pt-BR"/>
        </w:rPr>
        <w:t xml:space="preserve"> </w:t>
      </w:r>
      <w:r w:rsidRPr="00A758ED">
        <w:rPr>
          <w:szCs w:val="24"/>
          <w:lang w:val="pt-BR"/>
        </w:rPr>
        <w:t>após 120 min de hidrólise homogênea, obteve-se o maior rendimento em MAG+DAG (48,11%). Até 60 min iniciais, observa-se um aumento no rendimento de MAG e DAG, que posteriormente é decrescido até o final da reação. Exceto na hidrólise catalítica a 100 °C</w:t>
      </w:r>
      <w:r>
        <w:rPr>
          <w:szCs w:val="24"/>
          <w:lang w:val="pt-BR"/>
        </w:rPr>
        <w:t>.</w:t>
      </w:r>
    </w:p>
    <w:p w14:paraId="59C259E2" w14:textId="77777777" w:rsidR="00D371ED" w:rsidRDefault="00D371ED" w:rsidP="00A758ED">
      <w:pPr>
        <w:spacing w:after="0"/>
        <w:jc w:val="center"/>
      </w:pPr>
    </w:p>
    <w:p w14:paraId="6DEB2FBD" w14:textId="429B4567" w:rsidR="00A758ED" w:rsidRPr="00D44BD4" w:rsidRDefault="001E6003" w:rsidP="00A758ED">
      <w:pPr>
        <w:spacing w:after="0"/>
        <w:jc w:val="center"/>
        <w:rPr>
          <w:rFonts w:ascii="Times New Roman" w:hAnsi="Times New Roman" w:cs="Times New Roman"/>
        </w:rPr>
      </w:pPr>
      <w:r>
        <w:lastRenderedPageBreak/>
        <w:fldChar w:fldCharType="begin"/>
      </w:r>
      <w:r>
        <w:instrText xml:space="preserve"> INCLUDEPICTURE "/Users/Romario/Library/Group Containers/UBF8T346G9.ms/WebArchiveCopyPasteTempFiles/com.microsoft.Word/LytWnAAAAAElFTkSuQmCC" \* MERGEFORMATINET </w:instrText>
      </w:r>
      <w:r>
        <w:fldChar w:fldCharType="separate"/>
      </w:r>
      <w:r>
        <w:rPr>
          <w:noProof/>
        </w:rPr>
        <w:drawing>
          <wp:inline distT="0" distB="0" distL="0" distR="0" wp14:anchorId="2C3BDC17" wp14:editId="4BF4828F">
            <wp:extent cx="3027680" cy="2556510"/>
            <wp:effectExtent l="0" t="0" r="0" b="0"/>
            <wp:docPr id="585184506" name="Imagem 8" descr="Project Path: C:\Users\victo\OneDrive\Documentos\Mestrado\2021-01\PEQ001 - Dissertação\VICTORROMAO\Victor\Testes IIRBQAV\IIRBQAV Gráficos.opju&#10;PE Folder: /IIRBQAV Gráficos/Folder1/&#10;Short Name: Grap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oject Path: C:\Users\victo\OneDrive\Documentos\Mestrado\2021-01\PEQ001 - Dissertação\VICTORROMAO\Victor\Testes IIRBQAV\IIRBQAV Gráficos.opju&#10;PE Folder: /IIRBQAV Gráficos/Folder1/&#10;Short Name: Graph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7680" cy="2556510"/>
                    </a:xfrm>
                    <a:prstGeom prst="rect">
                      <a:avLst/>
                    </a:prstGeom>
                    <a:noFill/>
                    <a:ln>
                      <a:noFill/>
                    </a:ln>
                  </pic:spPr>
                </pic:pic>
              </a:graphicData>
            </a:graphic>
          </wp:inline>
        </w:drawing>
      </w:r>
      <w:r>
        <w:fldChar w:fldCharType="end"/>
      </w:r>
    </w:p>
    <w:p w14:paraId="72935766" w14:textId="71706926" w:rsidR="00A758ED" w:rsidRPr="00E83D65" w:rsidRDefault="00A758ED" w:rsidP="00A758ED">
      <w:pPr>
        <w:pStyle w:val="VAFigureCaption"/>
        <w:spacing w:before="0"/>
        <w:rPr>
          <w:rStyle w:val="normaltextrun"/>
          <w:lang w:val="pt-BR"/>
        </w:rPr>
      </w:pPr>
      <w:r w:rsidRPr="00E038AF">
        <w:rPr>
          <w:rFonts w:ascii="Times New Roman" w:hAnsi="Times New Roman"/>
          <w:b/>
          <w:lang w:val="pt-BR"/>
        </w:rPr>
        <w:t xml:space="preserve">Figura </w:t>
      </w:r>
      <w:r w:rsidR="00E83D65">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sidR="00E83D65" w:rsidRPr="00E83D65">
        <w:rPr>
          <w:rStyle w:val="normaltextrun"/>
          <w:lang w:val="pt-BR"/>
        </w:rPr>
        <w:t xml:space="preserve">Rendimento em mono e </w:t>
      </w:r>
      <w:proofErr w:type="spellStart"/>
      <w:r w:rsidR="00E83D65" w:rsidRPr="00E83D65">
        <w:rPr>
          <w:rStyle w:val="normaltextrun"/>
          <w:lang w:val="pt-BR"/>
        </w:rPr>
        <w:t>diacilglicerídeos</w:t>
      </w:r>
      <w:proofErr w:type="spellEnd"/>
      <w:r w:rsidR="00E83D65" w:rsidRPr="00E83D65">
        <w:rPr>
          <w:rStyle w:val="normaltextrun"/>
          <w:lang w:val="pt-BR"/>
        </w:rPr>
        <w:t xml:space="preserve"> (MAG+DAG).</w:t>
      </w:r>
    </w:p>
    <w:p w14:paraId="1F10F0EB" w14:textId="77777777" w:rsidR="00971C61" w:rsidRDefault="00971C61" w:rsidP="004D0BE1">
      <w:pPr>
        <w:spacing w:after="0"/>
        <w:rPr>
          <w:rFonts w:ascii="Times New Roman" w:eastAsia="Times New Roman" w:hAnsi="Times New Roman" w:cs="Times New Roman"/>
          <w:sz w:val="20"/>
          <w:szCs w:val="20"/>
          <w:lang w:eastAsia="pt-BR"/>
        </w:rPr>
      </w:pPr>
    </w:p>
    <w:p w14:paraId="16340253" w14:textId="477552A4" w:rsidR="00D371ED" w:rsidRDefault="00E83D65" w:rsidP="00D371ED">
      <w:pPr>
        <w:pStyle w:val="TAMainText"/>
        <w:ind w:firstLine="187"/>
        <w:rPr>
          <w:rFonts w:ascii="Times New Roman" w:hAnsi="Times New Roman"/>
          <w:lang w:val="pt-BR"/>
        </w:rPr>
      </w:pPr>
      <w:r>
        <w:rPr>
          <w:rFonts w:ascii="Times New Roman" w:hAnsi="Times New Roman"/>
          <w:lang w:val="pt-BR"/>
        </w:rPr>
        <w:t>De acordo com a literatura</w:t>
      </w:r>
      <w:r w:rsidRPr="00E83D65">
        <w:rPr>
          <w:rFonts w:ascii="Times New Roman" w:hAnsi="Times New Roman"/>
          <w:lang w:val="pt-BR"/>
        </w:rPr>
        <w:t xml:space="preserve"> (1</w:t>
      </w:r>
      <w:r>
        <w:rPr>
          <w:rFonts w:ascii="Times New Roman" w:hAnsi="Times New Roman"/>
          <w:lang w:val="pt-BR"/>
        </w:rPr>
        <w:t>7</w:t>
      </w:r>
      <w:r w:rsidRPr="00E83D65">
        <w:rPr>
          <w:rFonts w:ascii="Times New Roman" w:hAnsi="Times New Roman"/>
          <w:lang w:val="pt-BR"/>
        </w:rPr>
        <w:t xml:space="preserve">), a relação entre as quantidades de água e óleo é fundamental no rendimento quando a reação atinge o equilíbrio, que é determinado apenas com base na razão óleo/água, sendo independente da temperatura. Pois a reação ocorre no sentido dos reagentes, com o aumento da concentração de glicerol (Figura </w:t>
      </w:r>
      <w:r>
        <w:rPr>
          <w:rFonts w:ascii="Times New Roman" w:hAnsi="Times New Roman"/>
          <w:lang w:val="pt-BR"/>
        </w:rPr>
        <w:t>5</w:t>
      </w:r>
      <w:r w:rsidRPr="00E83D65">
        <w:rPr>
          <w:rFonts w:ascii="Times New Roman" w:hAnsi="Times New Roman"/>
          <w:lang w:val="pt-BR"/>
        </w:rPr>
        <w:t>).</w:t>
      </w:r>
    </w:p>
    <w:p w14:paraId="32A31A5D" w14:textId="77777777" w:rsidR="00E83D65" w:rsidRDefault="00E83D65" w:rsidP="00D371ED">
      <w:pPr>
        <w:pStyle w:val="TAMainText"/>
        <w:ind w:firstLine="187"/>
        <w:rPr>
          <w:rFonts w:ascii="Times New Roman" w:hAnsi="Times New Roman"/>
          <w:lang w:val="pt-BR"/>
        </w:rPr>
      </w:pPr>
    </w:p>
    <w:p w14:paraId="4BB4418C" w14:textId="736D1913" w:rsidR="00E83D65" w:rsidRPr="00D44BD4" w:rsidRDefault="00E83D65" w:rsidP="00E83D65">
      <w:pPr>
        <w:spacing w:after="0"/>
        <w:jc w:val="center"/>
        <w:rPr>
          <w:rFonts w:ascii="Times New Roman" w:hAnsi="Times New Roman" w:cs="Times New Roman"/>
        </w:rPr>
      </w:pPr>
      <w:r>
        <w:rPr>
          <w:noProof/>
        </w:rPr>
        <w:drawing>
          <wp:inline distT="0" distB="0" distL="0" distR="0" wp14:anchorId="65D3DCEF" wp14:editId="042AD151">
            <wp:extent cx="3027680" cy="2432050"/>
            <wp:effectExtent l="0" t="0" r="0" b="6350"/>
            <wp:docPr id="26541421" name="Imagem 9" descr="Project Path: C:\Users\victo\OneDrive\Documentos\Mestrado\2021-01\PEQ001 - Dissertação\VICTORROMAO\Victor\Testes IIRBQAV\IIRBQAV Gráficos.opju&#10;PE Folder: /IIRBQAV Gráficos/Folder1/&#10;Short Name: 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roject Path: C:\Users\victo\OneDrive\Documentos\Mestrado\2021-01\PEQ001 - Dissertação\VICTORROMAO\Victor\Testes IIRBQAV\IIRBQAV Gráficos.opju&#10;PE Folder: /IIRBQAV Gráficos/Folder1/&#10;Short Name: Graph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7680" cy="2432050"/>
                    </a:xfrm>
                    <a:prstGeom prst="rect">
                      <a:avLst/>
                    </a:prstGeom>
                    <a:noFill/>
                    <a:ln>
                      <a:noFill/>
                    </a:ln>
                  </pic:spPr>
                </pic:pic>
              </a:graphicData>
            </a:graphic>
          </wp:inline>
        </w:drawing>
      </w:r>
    </w:p>
    <w:p w14:paraId="5D437A3D" w14:textId="700CA879" w:rsidR="00E83D65" w:rsidRPr="00E83D65" w:rsidRDefault="00E83D65" w:rsidP="00E83D65">
      <w:pPr>
        <w:pStyle w:val="VAFigureCaption"/>
        <w:spacing w:before="0"/>
        <w:rPr>
          <w:rStyle w:val="normaltextrun"/>
          <w:lang w:val="pt-BR"/>
        </w:rPr>
      </w:pPr>
      <w:r w:rsidRPr="00E038AF">
        <w:rPr>
          <w:rFonts w:ascii="Times New Roman" w:hAnsi="Times New Roman"/>
          <w:b/>
          <w:lang w:val="pt-BR"/>
        </w:rPr>
        <w:t xml:space="preserve">Figura </w:t>
      </w:r>
      <w:r>
        <w:rPr>
          <w:rFonts w:ascii="Times New Roman" w:hAnsi="Times New Roman"/>
          <w:b/>
          <w:lang w:val="pt-BR"/>
        </w:rPr>
        <w:t>5</w:t>
      </w:r>
      <w:r w:rsidRPr="00E038AF">
        <w:rPr>
          <w:rFonts w:ascii="Times New Roman" w:hAnsi="Times New Roman"/>
          <w:b/>
          <w:lang w:val="pt-BR"/>
        </w:rPr>
        <w:t>.</w:t>
      </w:r>
      <w:r w:rsidRPr="00E038AF">
        <w:rPr>
          <w:rFonts w:ascii="Times New Roman" w:hAnsi="Times New Roman"/>
          <w:lang w:val="pt-BR"/>
        </w:rPr>
        <w:t xml:space="preserve"> </w:t>
      </w:r>
      <w:r w:rsidRPr="00E83D65">
        <w:rPr>
          <w:rStyle w:val="normaltextrun"/>
          <w:lang w:val="pt-BR"/>
        </w:rPr>
        <w:t>Mols de glicerol na fase aquosa.</w:t>
      </w:r>
    </w:p>
    <w:p w14:paraId="0B5B6166" w14:textId="77777777" w:rsidR="00E83D65" w:rsidRPr="001F25B2" w:rsidRDefault="00E83D65" w:rsidP="00D371ED">
      <w:pPr>
        <w:pStyle w:val="TAMainText"/>
        <w:ind w:firstLine="187"/>
        <w:rPr>
          <w:rFonts w:ascii="Times New Roman" w:hAnsi="Times New Roman"/>
          <w:lang w:val="pt-BR"/>
        </w:rPr>
      </w:pPr>
    </w:p>
    <w:p w14:paraId="20AA905D" w14:textId="176D09E2"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5C7C03AD" w14:textId="70335FCF" w:rsidR="00591902" w:rsidRDefault="00E83D65" w:rsidP="00591902">
      <w:pPr>
        <w:pStyle w:val="TAMainText"/>
        <w:ind w:firstLine="187"/>
        <w:rPr>
          <w:rFonts w:ascii="Times New Roman" w:hAnsi="Times New Roman"/>
          <w:lang w:val="pt-BR"/>
        </w:rPr>
      </w:pPr>
      <w:r w:rsidRPr="00E83D65">
        <w:rPr>
          <w:rFonts w:ascii="Times New Roman" w:hAnsi="Times New Roman"/>
          <w:lang w:val="pt-BR"/>
        </w:rPr>
        <w:t>Conclui-se que o OMM é apropriado ao desenvolvimento de diesel verde</w:t>
      </w:r>
      <w:r w:rsidR="00591902">
        <w:rPr>
          <w:rFonts w:ascii="Times New Roman" w:hAnsi="Times New Roman"/>
          <w:lang w:val="pt-BR"/>
        </w:rPr>
        <w:t xml:space="preserve"> e outros </w:t>
      </w:r>
      <w:proofErr w:type="spellStart"/>
      <w:r w:rsidR="00591902">
        <w:rPr>
          <w:rFonts w:ascii="Times New Roman" w:hAnsi="Times New Roman"/>
          <w:lang w:val="pt-BR"/>
        </w:rPr>
        <w:t>bioprodutos</w:t>
      </w:r>
      <w:proofErr w:type="spellEnd"/>
      <w:r w:rsidR="00591902">
        <w:rPr>
          <w:rFonts w:ascii="Times New Roman" w:hAnsi="Times New Roman"/>
          <w:lang w:val="pt-BR"/>
        </w:rPr>
        <w:t xml:space="preserve"> pela </w:t>
      </w:r>
      <w:r w:rsidRPr="00E83D65">
        <w:rPr>
          <w:rFonts w:ascii="Times New Roman" w:hAnsi="Times New Roman"/>
          <w:lang w:val="pt-BR"/>
        </w:rPr>
        <w:t>rota alternativa</w:t>
      </w:r>
      <w:r w:rsidR="00591902">
        <w:rPr>
          <w:rFonts w:ascii="Times New Roman" w:hAnsi="Times New Roman"/>
          <w:lang w:val="pt-BR"/>
        </w:rPr>
        <w:t>.</w:t>
      </w:r>
    </w:p>
    <w:p w14:paraId="19C5B6A8" w14:textId="1474B622" w:rsidR="00591902" w:rsidRDefault="00E83D65" w:rsidP="00591902">
      <w:pPr>
        <w:pStyle w:val="TAMainText"/>
        <w:ind w:firstLine="187"/>
        <w:rPr>
          <w:rFonts w:ascii="Times New Roman" w:hAnsi="Times New Roman"/>
          <w:lang w:val="pt-BR"/>
        </w:rPr>
      </w:pPr>
      <w:r w:rsidRPr="00E83D65">
        <w:rPr>
          <w:rFonts w:ascii="Times New Roman" w:hAnsi="Times New Roman"/>
          <w:lang w:val="pt-BR"/>
        </w:rPr>
        <w:t>O uso de catalisador e o aumento da temperatura e do tempo reacional favorecem a reação de hidrólise.​</w:t>
      </w:r>
    </w:p>
    <w:p w14:paraId="25E3553D" w14:textId="77777777" w:rsidR="006F43F7" w:rsidRDefault="00591902" w:rsidP="00591902">
      <w:pPr>
        <w:pStyle w:val="TAMainText"/>
        <w:ind w:firstLine="187"/>
        <w:rPr>
          <w:rFonts w:ascii="Times New Roman" w:hAnsi="Times New Roman"/>
          <w:lang w:val="pt-BR"/>
        </w:rPr>
      </w:pPr>
      <w:r>
        <w:rPr>
          <w:rFonts w:ascii="Times New Roman" w:hAnsi="Times New Roman"/>
          <w:lang w:val="pt-BR"/>
        </w:rPr>
        <w:t xml:space="preserve">A </w:t>
      </w:r>
      <w:r w:rsidR="00E83D65" w:rsidRPr="00E83D65">
        <w:rPr>
          <w:rFonts w:ascii="Times New Roman" w:hAnsi="Times New Roman"/>
          <w:lang w:val="pt-BR"/>
        </w:rPr>
        <w:t>hidrólise utilizando</w:t>
      </w:r>
      <w:r>
        <w:rPr>
          <w:rFonts w:ascii="Times New Roman" w:hAnsi="Times New Roman"/>
          <w:lang w:val="pt-BR"/>
        </w:rPr>
        <w:t xml:space="preserve"> </w:t>
      </w:r>
      <w:r w:rsidR="00E83D65" w:rsidRPr="00E83D65">
        <w:rPr>
          <w:rFonts w:ascii="Times New Roman" w:hAnsi="Times New Roman"/>
        </w:rPr>
        <w:t>γ</w:t>
      </w:r>
      <w:r w:rsidR="00E83D65" w:rsidRPr="00E83D65">
        <w:rPr>
          <w:rFonts w:ascii="Times New Roman" w:hAnsi="Times New Roman"/>
          <w:lang w:val="pt-BR"/>
        </w:rPr>
        <w:t>-Al</w:t>
      </w:r>
      <w:r w:rsidR="00E83D65" w:rsidRPr="00E83D65">
        <w:rPr>
          <w:rFonts w:ascii="Times New Roman" w:hAnsi="Times New Roman"/>
          <w:vertAlign w:val="subscript"/>
          <w:lang w:val="pt-BR"/>
        </w:rPr>
        <w:t>2</w:t>
      </w:r>
      <w:r w:rsidR="00E83D65" w:rsidRPr="00E83D65">
        <w:rPr>
          <w:rFonts w:ascii="Times New Roman" w:hAnsi="Times New Roman"/>
          <w:lang w:val="pt-BR"/>
        </w:rPr>
        <w:t>O</w:t>
      </w:r>
      <w:r w:rsidR="00E83D65" w:rsidRPr="00E83D65">
        <w:rPr>
          <w:rFonts w:ascii="Times New Roman" w:hAnsi="Times New Roman"/>
          <w:vertAlign w:val="subscript"/>
          <w:lang w:val="pt-BR"/>
        </w:rPr>
        <w:t>3</w:t>
      </w:r>
      <w:r>
        <w:rPr>
          <w:rFonts w:ascii="Times New Roman" w:hAnsi="Times New Roman"/>
          <w:lang w:val="pt-BR"/>
        </w:rPr>
        <w:t xml:space="preserve"> apresentou </w:t>
      </w:r>
      <w:r w:rsidR="00E83D65" w:rsidRPr="00E83D65">
        <w:rPr>
          <w:rFonts w:ascii="Times New Roman" w:hAnsi="Times New Roman"/>
          <w:lang w:val="pt-BR"/>
        </w:rPr>
        <w:t>melhor desempenho</w:t>
      </w:r>
      <w:r>
        <w:rPr>
          <w:rFonts w:ascii="Times New Roman" w:hAnsi="Times New Roman"/>
          <w:lang w:val="pt-BR"/>
        </w:rPr>
        <w:t xml:space="preserve"> devido </w:t>
      </w:r>
      <w:r w:rsidRPr="00E83D65">
        <w:rPr>
          <w:rFonts w:ascii="Times New Roman" w:hAnsi="Times New Roman"/>
          <w:lang w:val="pt-BR"/>
        </w:rPr>
        <w:t>aos</w:t>
      </w:r>
      <w:r w:rsidR="00E83D65" w:rsidRPr="00E83D65">
        <w:rPr>
          <w:rFonts w:ascii="Times New Roman" w:hAnsi="Times New Roman"/>
          <w:lang w:val="pt-BR"/>
        </w:rPr>
        <w:t xml:space="preserve"> sítios ácidos de Lewis</w:t>
      </w:r>
      <w:r>
        <w:rPr>
          <w:rFonts w:ascii="Times New Roman" w:hAnsi="Times New Roman"/>
          <w:lang w:val="pt-BR"/>
        </w:rPr>
        <w:t>.</w:t>
      </w:r>
    </w:p>
    <w:p w14:paraId="4A70FE93" w14:textId="3EBE14CD" w:rsidR="00EA4E1B" w:rsidRDefault="006F43F7" w:rsidP="006F43F7">
      <w:pPr>
        <w:pStyle w:val="TAMainText"/>
        <w:ind w:firstLine="187"/>
        <w:rPr>
          <w:rFonts w:ascii="Times New Roman" w:hAnsi="Times New Roman"/>
          <w:lang w:val="pt-BR"/>
        </w:rPr>
      </w:pPr>
      <w:r>
        <w:rPr>
          <w:rFonts w:ascii="Times New Roman" w:hAnsi="Times New Roman"/>
          <w:lang w:val="pt-BR"/>
        </w:rPr>
        <w:t>A</w:t>
      </w:r>
      <w:r>
        <w:rPr>
          <w:szCs w:val="24"/>
          <w:lang w:val="pt-BR"/>
        </w:rPr>
        <w:t>lém disso,</w:t>
      </w:r>
      <w:r w:rsidR="00591902" w:rsidRPr="00591902">
        <w:rPr>
          <w:szCs w:val="24"/>
          <w:lang w:val="pt-BR"/>
        </w:rPr>
        <w:t xml:space="preserve"> reação completa foi facilitada, obtendo-se uma elevada conversão de DAG e MAG e alto rendimento em AGL</w:t>
      </w:r>
      <w:r w:rsidR="00E83D65" w:rsidRPr="00E83D65">
        <w:rPr>
          <w:rFonts w:ascii="Times New Roman" w:hAnsi="Times New Roman"/>
          <w:lang w:val="pt-BR"/>
        </w:rPr>
        <w:t>.​</w:t>
      </w:r>
    </w:p>
    <w:p w14:paraId="75DCA9C2" w14:textId="77777777" w:rsidR="006F43F7" w:rsidRPr="006F43F7" w:rsidRDefault="006F43F7" w:rsidP="006F43F7">
      <w:pPr>
        <w:pStyle w:val="TAMainText"/>
        <w:ind w:firstLine="187"/>
        <w:rPr>
          <w:rFonts w:ascii="Times New Roman" w:hAnsi="Times New Roman"/>
          <w:lang w:val="pt-BR"/>
        </w:rPr>
      </w:pPr>
    </w:p>
    <w:p w14:paraId="6BE32F7B" w14:textId="4F456A38" w:rsidR="00EA4E1B" w:rsidRPr="001F25B2" w:rsidRDefault="00EA4E1B" w:rsidP="006F43F7">
      <w:pPr>
        <w:pStyle w:val="Ttulo2"/>
        <w:spacing w:before="0"/>
        <w:rPr>
          <w:rFonts w:ascii="Helvetica" w:hAnsi="Helvetica" w:cs="Helvetica"/>
          <w:sz w:val="24"/>
          <w:szCs w:val="24"/>
        </w:rPr>
      </w:pPr>
      <w:r w:rsidRPr="001F25B2">
        <w:rPr>
          <w:rFonts w:ascii="Helvetica" w:hAnsi="Helvetica" w:cs="Helvetica"/>
          <w:sz w:val="24"/>
          <w:szCs w:val="24"/>
        </w:rPr>
        <w:t>Agradecimentos</w:t>
      </w:r>
    </w:p>
    <w:p w14:paraId="05A178F9" w14:textId="798C7F81" w:rsidR="00EA4E1B" w:rsidRDefault="00591902" w:rsidP="00EA4E1B">
      <w:pPr>
        <w:pStyle w:val="TAMainText"/>
        <w:rPr>
          <w:rFonts w:ascii="Times New Roman" w:hAnsi="Times New Roman"/>
          <w:lang w:val="pt-BR"/>
        </w:rPr>
      </w:pPr>
      <w:r>
        <w:rPr>
          <w:rFonts w:ascii="Times New Roman" w:hAnsi="Times New Roman"/>
          <w:lang w:val="pt-BR"/>
        </w:rPr>
        <w:t>A</w:t>
      </w:r>
      <w:r w:rsidR="00EA4E1B" w:rsidRPr="001F25B2">
        <w:rPr>
          <w:rFonts w:ascii="Times New Roman" w:hAnsi="Times New Roman"/>
          <w:lang w:val="pt-BR"/>
        </w:rPr>
        <w:t>gradec</w:t>
      </w:r>
      <w:r>
        <w:rPr>
          <w:rFonts w:ascii="Times New Roman" w:hAnsi="Times New Roman"/>
          <w:lang w:val="pt-BR"/>
        </w:rPr>
        <w:t>em</w:t>
      </w:r>
      <w:r w:rsidR="00EA4E1B" w:rsidRPr="001F25B2">
        <w:rPr>
          <w:rFonts w:ascii="Times New Roman" w:hAnsi="Times New Roman"/>
          <w:lang w:val="pt-BR"/>
        </w:rPr>
        <w:t>os</w:t>
      </w:r>
      <w:r>
        <w:rPr>
          <w:rFonts w:ascii="Times New Roman" w:hAnsi="Times New Roman"/>
          <w:lang w:val="pt-BR"/>
        </w:rPr>
        <w:t xml:space="preserve"> à CAPES, ao CNPq e à FAPEMIG pelo incentivo financeiro</w:t>
      </w:r>
      <w:r w:rsidR="00EA4E1B" w:rsidRPr="001F25B2">
        <w:rPr>
          <w:rFonts w:ascii="Times New Roman" w:hAnsi="Times New Roman"/>
          <w:lang w:val="pt-BR"/>
        </w:rPr>
        <w:t>.</w:t>
      </w:r>
    </w:p>
    <w:p w14:paraId="5AD34664" w14:textId="77777777" w:rsidR="00591902" w:rsidRPr="001F25B2" w:rsidRDefault="00591902" w:rsidP="00EA4E1B">
      <w:pPr>
        <w:pStyle w:val="TAMainText"/>
        <w:rPr>
          <w:rFonts w:ascii="Times New Roman" w:hAnsi="Times New Roman"/>
          <w:lang w:val="pt-BR"/>
        </w:rPr>
      </w:pPr>
    </w:p>
    <w:p w14:paraId="7304CE4A" w14:textId="5A26399C" w:rsidR="00EA4E1B" w:rsidRPr="006F43F7" w:rsidRDefault="00EA4E1B" w:rsidP="006F43F7">
      <w:pPr>
        <w:pStyle w:val="Ttulo2"/>
        <w:rPr>
          <w:rFonts w:ascii="Helvetica" w:hAnsi="Helvetica" w:cs="Helvetica"/>
          <w:sz w:val="24"/>
          <w:szCs w:val="24"/>
        </w:rPr>
      </w:pPr>
      <w:r w:rsidRPr="001F25B2">
        <w:rPr>
          <w:rFonts w:ascii="Helvetica" w:hAnsi="Helvetica" w:cs="Helvetica"/>
          <w:sz w:val="24"/>
          <w:szCs w:val="24"/>
        </w:rPr>
        <w:t>Referências</w:t>
      </w:r>
    </w:p>
    <w:p w14:paraId="47CAC5CF" w14:textId="06A8E890" w:rsidR="002A2395" w:rsidRPr="002A2395" w:rsidRDefault="002A2395" w:rsidP="00EA4E1B">
      <w:pPr>
        <w:pStyle w:val="TAMainText"/>
        <w:numPr>
          <w:ilvl w:val="0"/>
          <w:numId w:val="1"/>
        </w:numPr>
      </w:pPr>
      <w:proofErr w:type="spellStart"/>
      <w:r w:rsidRPr="002A2395">
        <w:rPr>
          <w:szCs w:val="24"/>
          <w:lang w:val="pt-BR"/>
        </w:rPr>
        <w:t>V</w:t>
      </w:r>
      <w:r w:rsidRPr="002A2395">
        <w:rPr>
          <w:szCs w:val="24"/>
          <w:lang w:val="pt-BR"/>
        </w:rPr>
        <w:t>isioli</w:t>
      </w:r>
      <w:proofErr w:type="spellEnd"/>
      <w:r w:rsidRPr="002A2395">
        <w:rPr>
          <w:szCs w:val="24"/>
          <w:lang w:val="pt-BR"/>
        </w:rPr>
        <w:t>, L. J.; D</w:t>
      </w:r>
      <w:r>
        <w:rPr>
          <w:szCs w:val="24"/>
          <w:lang w:val="pt-BR"/>
        </w:rPr>
        <w:t>e</w:t>
      </w:r>
      <w:r w:rsidRPr="002A2395">
        <w:rPr>
          <w:szCs w:val="24"/>
          <w:lang w:val="pt-BR"/>
        </w:rPr>
        <w:t xml:space="preserve"> C</w:t>
      </w:r>
      <w:r w:rsidRPr="002A2395">
        <w:rPr>
          <w:szCs w:val="24"/>
          <w:lang w:val="pt-BR"/>
        </w:rPr>
        <w:t>astilhos</w:t>
      </w:r>
      <w:r w:rsidRPr="002A2395">
        <w:rPr>
          <w:szCs w:val="24"/>
          <w:lang w:val="pt-BR"/>
        </w:rPr>
        <w:t>, F.; D</w:t>
      </w:r>
      <w:r>
        <w:rPr>
          <w:szCs w:val="24"/>
          <w:lang w:val="pt-BR"/>
        </w:rPr>
        <w:t>a</w:t>
      </w:r>
      <w:r w:rsidRPr="002A2395">
        <w:rPr>
          <w:szCs w:val="24"/>
          <w:lang w:val="pt-BR"/>
        </w:rPr>
        <w:t xml:space="preserve"> S</w:t>
      </w:r>
      <w:r w:rsidRPr="002A2395">
        <w:rPr>
          <w:szCs w:val="24"/>
          <w:lang w:val="pt-BR"/>
        </w:rPr>
        <w:t>ilva</w:t>
      </w:r>
      <w:r w:rsidRPr="002A2395">
        <w:rPr>
          <w:szCs w:val="24"/>
          <w:lang w:val="pt-BR"/>
        </w:rPr>
        <w:t>, C. </w:t>
      </w:r>
      <w:r w:rsidRPr="002A2395">
        <w:rPr>
          <w:szCs w:val="24"/>
        </w:rPr>
        <w:t>The Journal of Supercritical Fluids</w:t>
      </w:r>
      <w:r w:rsidRPr="00B26F16">
        <w:rPr>
          <w:szCs w:val="24"/>
        </w:rPr>
        <w:t xml:space="preserve">, </w:t>
      </w:r>
      <w:r w:rsidRPr="002A2395">
        <w:rPr>
          <w:b/>
          <w:bCs/>
          <w:szCs w:val="24"/>
        </w:rPr>
        <w:t>2019</w:t>
      </w:r>
      <w:r>
        <w:rPr>
          <w:szCs w:val="24"/>
        </w:rPr>
        <w:t>,</w:t>
      </w:r>
      <w:r w:rsidRPr="00B26F16">
        <w:rPr>
          <w:szCs w:val="24"/>
        </w:rPr>
        <w:t xml:space="preserve"> 150, 65-74.</w:t>
      </w:r>
    </w:p>
    <w:p w14:paraId="0FF6E9FD" w14:textId="734AF54C" w:rsidR="00EA4E1B" w:rsidRDefault="002A2395" w:rsidP="00C247BD">
      <w:pPr>
        <w:pStyle w:val="TAMainText"/>
        <w:numPr>
          <w:ilvl w:val="0"/>
          <w:numId w:val="1"/>
        </w:numPr>
        <w:rPr>
          <w:rFonts w:ascii="Times New Roman" w:hAnsi="Times New Roman"/>
          <w:lang w:val="pt-BR"/>
        </w:rPr>
      </w:pPr>
      <w:r>
        <w:rPr>
          <w:rFonts w:ascii="Times New Roman" w:hAnsi="Times New Roman"/>
          <w:lang w:val="pt-BR"/>
        </w:rPr>
        <w:t xml:space="preserve">G. C. </w:t>
      </w:r>
      <w:r w:rsidRPr="002A2395">
        <w:rPr>
          <w:szCs w:val="24"/>
          <w:lang w:val="pt-BR"/>
        </w:rPr>
        <w:t>DÍAZ,</w:t>
      </w:r>
      <w:r>
        <w:rPr>
          <w:szCs w:val="24"/>
          <w:lang w:val="pt-BR"/>
        </w:rPr>
        <w:t xml:space="preserve"> </w:t>
      </w:r>
      <w:r w:rsidR="00EA4E1B" w:rsidRPr="00E038AF">
        <w:rPr>
          <w:rFonts w:ascii="Times New Roman" w:hAnsi="Times New Roman"/>
          <w:lang w:val="pt-BR"/>
        </w:rPr>
        <w:t>Tese de Doutorado</w:t>
      </w:r>
      <w:r>
        <w:rPr>
          <w:rFonts w:ascii="Times New Roman" w:hAnsi="Times New Roman"/>
          <w:lang w:val="pt-BR"/>
        </w:rPr>
        <w:t xml:space="preserve"> </w:t>
      </w:r>
      <w:r w:rsidRPr="002A2395">
        <w:rPr>
          <w:szCs w:val="24"/>
          <w:lang w:val="pt-BR"/>
        </w:rPr>
        <w:t>Universidade Federal do Rio de Janeiro</w:t>
      </w:r>
      <w:r w:rsidR="00EA4E1B" w:rsidRPr="00E038AF">
        <w:rPr>
          <w:rFonts w:ascii="Times New Roman" w:hAnsi="Times New Roman"/>
          <w:lang w:val="pt-BR"/>
        </w:rPr>
        <w:t xml:space="preserve">, </w:t>
      </w:r>
      <w:r>
        <w:rPr>
          <w:rFonts w:ascii="Times New Roman" w:hAnsi="Times New Roman"/>
          <w:lang w:val="pt-BR"/>
        </w:rPr>
        <w:t>2012</w:t>
      </w:r>
      <w:r w:rsidR="00EA4E1B" w:rsidRPr="00E038AF">
        <w:rPr>
          <w:rFonts w:ascii="Times New Roman" w:hAnsi="Times New Roman"/>
          <w:lang w:val="pt-BR"/>
        </w:rPr>
        <w:t>.</w:t>
      </w:r>
    </w:p>
    <w:p w14:paraId="3E595EC5" w14:textId="6F1DC2DD" w:rsidR="002A2395" w:rsidRPr="00C247BD" w:rsidRDefault="002A2395" w:rsidP="00C247BD">
      <w:pPr>
        <w:pStyle w:val="TAMainText"/>
        <w:numPr>
          <w:ilvl w:val="0"/>
          <w:numId w:val="1"/>
        </w:numPr>
        <w:rPr>
          <w:rFonts w:ascii="Times New Roman" w:hAnsi="Times New Roman"/>
          <w:lang w:val="pt-BR"/>
        </w:rPr>
      </w:pPr>
      <w:r w:rsidRPr="002A2395">
        <w:rPr>
          <w:szCs w:val="24"/>
          <w:lang w:val="pt-BR"/>
        </w:rPr>
        <w:t>C</w:t>
      </w:r>
      <w:r w:rsidRPr="002A2395">
        <w:rPr>
          <w:szCs w:val="24"/>
          <w:lang w:val="pt-BR"/>
        </w:rPr>
        <w:t>risóstomo</w:t>
      </w:r>
      <w:r w:rsidRPr="002A2395">
        <w:rPr>
          <w:szCs w:val="24"/>
          <w:lang w:val="pt-BR"/>
        </w:rPr>
        <w:t>, C. A. B.; A</w:t>
      </w:r>
      <w:r w:rsidRPr="002A2395">
        <w:rPr>
          <w:szCs w:val="24"/>
          <w:lang w:val="pt-BR"/>
        </w:rPr>
        <w:t>lmeida</w:t>
      </w:r>
      <w:r w:rsidRPr="002A2395">
        <w:rPr>
          <w:szCs w:val="24"/>
          <w:lang w:val="pt-BR"/>
        </w:rPr>
        <w:t>, T. S. S.; S</w:t>
      </w:r>
      <w:r w:rsidRPr="002A2395">
        <w:rPr>
          <w:szCs w:val="24"/>
          <w:lang w:val="pt-BR"/>
        </w:rPr>
        <w:t>oares</w:t>
      </w:r>
      <w:r w:rsidRPr="002A2395">
        <w:rPr>
          <w:szCs w:val="24"/>
          <w:lang w:val="pt-BR"/>
        </w:rPr>
        <w:t xml:space="preserve">, R. R. </w:t>
      </w:r>
      <w:proofErr w:type="spellStart"/>
      <w:r w:rsidRPr="002A2395">
        <w:rPr>
          <w:szCs w:val="24"/>
          <w:lang w:val="pt-BR"/>
        </w:rPr>
        <w:t>Catalysis</w:t>
      </w:r>
      <w:proofErr w:type="spellEnd"/>
      <w:r w:rsidRPr="002A2395">
        <w:rPr>
          <w:szCs w:val="24"/>
          <w:lang w:val="pt-BR"/>
        </w:rPr>
        <w:t xml:space="preserve"> Today</w:t>
      </w:r>
      <w:r>
        <w:rPr>
          <w:szCs w:val="24"/>
          <w:lang w:val="pt-BR"/>
        </w:rPr>
        <w:t xml:space="preserve">, </w:t>
      </w:r>
      <w:r w:rsidRPr="002A2395">
        <w:rPr>
          <w:b/>
          <w:bCs/>
          <w:szCs w:val="24"/>
          <w:lang w:val="pt-BR"/>
        </w:rPr>
        <w:t>2021</w:t>
      </w:r>
      <w:r>
        <w:rPr>
          <w:szCs w:val="24"/>
          <w:lang w:val="pt-BR"/>
        </w:rPr>
        <w:t>,</w:t>
      </w:r>
      <w:r w:rsidRPr="002A2395">
        <w:rPr>
          <w:szCs w:val="24"/>
          <w:lang w:val="pt-BR"/>
        </w:rPr>
        <w:t xml:space="preserve"> 367,</w:t>
      </w:r>
      <w:r>
        <w:rPr>
          <w:szCs w:val="24"/>
          <w:lang w:val="pt-BR"/>
        </w:rPr>
        <w:t xml:space="preserve"> </w:t>
      </w:r>
      <w:r w:rsidRPr="002A2395">
        <w:rPr>
          <w:szCs w:val="24"/>
          <w:lang w:val="pt-BR"/>
        </w:rPr>
        <w:t>124-136.</w:t>
      </w:r>
    </w:p>
    <w:p w14:paraId="4F4FFE5B" w14:textId="3E18AEC7" w:rsidR="00C247BD" w:rsidRPr="002A2395" w:rsidRDefault="002A2395" w:rsidP="002A2395">
      <w:pPr>
        <w:pStyle w:val="TAMainText"/>
        <w:numPr>
          <w:ilvl w:val="0"/>
          <w:numId w:val="1"/>
        </w:numPr>
        <w:rPr>
          <w:rFonts w:ascii="Times New Roman" w:hAnsi="Times New Roman"/>
          <w:lang w:val="pt-BR"/>
        </w:rPr>
      </w:pPr>
      <w:r w:rsidRPr="00490F5D">
        <w:rPr>
          <w:szCs w:val="24"/>
          <w:lang w:val="pt-BR"/>
        </w:rPr>
        <w:t>Crisóstomo, C. A. B.</w:t>
      </w:r>
      <w:r w:rsidR="00EA4E1B" w:rsidRPr="00490F5D">
        <w:rPr>
          <w:rFonts w:ascii="Times New Roman" w:hAnsi="Times New Roman"/>
          <w:lang w:val="pt-BR"/>
        </w:rPr>
        <w:t xml:space="preserve"> </w:t>
      </w:r>
      <w:r w:rsidRPr="00490F5D">
        <w:rPr>
          <w:rFonts w:ascii="Times New Roman" w:hAnsi="Times New Roman"/>
          <w:lang w:val="pt-BR"/>
        </w:rPr>
        <w:t>B</w:t>
      </w:r>
      <w:r>
        <w:rPr>
          <w:rFonts w:ascii="Times New Roman" w:hAnsi="Times New Roman"/>
          <w:lang w:val="pt-BR"/>
        </w:rPr>
        <w:t>R</w:t>
      </w:r>
      <w:r w:rsidR="00EA4E1B" w:rsidRPr="00490F5D">
        <w:rPr>
          <w:rFonts w:ascii="Times New Roman" w:hAnsi="Times New Roman"/>
          <w:lang w:val="pt-BR"/>
        </w:rPr>
        <w:t xml:space="preserve">. </w:t>
      </w:r>
      <w:r w:rsidR="00EA4E1B" w:rsidRPr="002A2395">
        <w:rPr>
          <w:rFonts w:ascii="Times New Roman" w:hAnsi="Times New Roman"/>
        </w:rPr>
        <w:t>Patent</w:t>
      </w:r>
      <w:r w:rsidRPr="002A2395">
        <w:rPr>
          <w:rFonts w:ascii="Times New Roman" w:hAnsi="Times New Roman"/>
          <w:lang w:val="pt-BR"/>
        </w:rPr>
        <w:t>e</w:t>
      </w:r>
      <w:r w:rsidR="00EA4E1B" w:rsidRPr="002A2395">
        <w:rPr>
          <w:rFonts w:ascii="Times New Roman" w:hAnsi="Times New Roman"/>
        </w:rPr>
        <w:t xml:space="preserve"> </w:t>
      </w:r>
      <w:r w:rsidR="00490F5D" w:rsidRPr="00490F5D">
        <w:rPr>
          <w:rFonts w:ascii="Times New Roman" w:hAnsi="Times New Roman"/>
          <w:lang w:val="pt-BR"/>
        </w:rPr>
        <w:t>10201800427</w:t>
      </w:r>
      <w:r w:rsidR="00EA4E1B" w:rsidRPr="002A2395">
        <w:rPr>
          <w:rFonts w:ascii="Times New Roman" w:hAnsi="Times New Roman"/>
        </w:rPr>
        <w:t xml:space="preserve">, </w:t>
      </w:r>
      <w:r>
        <w:rPr>
          <w:rFonts w:ascii="Times New Roman" w:hAnsi="Times New Roman"/>
          <w:lang w:val="pt-BR"/>
        </w:rPr>
        <w:t>202</w:t>
      </w:r>
      <w:r w:rsidR="00490F5D">
        <w:rPr>
          <w:rFonts w:ascii="Times New Roman" w:hAnsi="Times New Roman"/>
          <w:lang w:val="pt-BR"/>
        </w:rPr>
        <w:t>1</w:t>
      </w:r>
      <w:r w:rsidR="00EA4E1B" w:rsidRPr="002A2395">
        <w:rPr>
          <w:rFonts w:ascii="Times New Roman" w:hAnsi="Times New Roman"/>
        </w:rPr>
        <w:t xml:space="preserve">; </w:t>
      </w:r>
      <w:proofErr w:type="spellStart"/>
      <w:r w:rsidRPr="002A2395">
        <w:rPr>
          <w:szCs w:val="24"/>
          <w:lang w:val="pt-BR"/>
        </w:rPr>
        <w:t>Catalysis</w:t>
      </w:r>
      <w:proofErr w:type="spellEnd"/>
      <w:r w:rsidRPr="002A2395">
        <w:rPr>
          <w:szCs w:val="24"/>
          <w:lang w:val="pt-BR"/>
        </w:rPr>
        <w:t xml:space="preserve"> Today</w:t>
      </w:r>
      <w:r>
        <w:rPr>
          <w:szCs w:val="24"/>
          <w:lang w:val="pt-BR"/>
        </w:rPr>
        <w:t xml:space="preserve">, </w:t>
      </w:r>
      <w:r w:rsidRPr="002A2395">
        <w:rPr>
          <w:b/>
          <w:bCs/>
          <w:szCs w:val="24"/>
          <w:lang w:val="pt-BR"/>
        </w:rPr>
        <w:t>2021</w:t>
      </w:r>
      <w:r>
        <w:rPr>
          <w:szCs w:val="24"/>
          <w:lang w:val="pt-BR"/>
        </w:rPr>
        <w:t>,</w:t>
      </w:r>
      <w:r w:rsidRPr="002A2395">
        <w:rPr>
          <w:szCs w:val="24"/>
          <w:lang w:val="pt-BR"/>
        </w:rPr>
        <w:t xml:space="preserve"> 367,</w:t>
      </w:r>
      <w:r>
        <w:rPr>
          <w:szCs w:val="24"/>
          <w:lang w:val="pt-BR"/>
        </w:rPr>
        <w:t xml:space="preserve"> </w:t>
      </w:r>
      <w:r w:rsidRPr="002A2395">
        <w:rPr>
          <w:szCs w:val="24"/>
          <w:lang w:val="pt-BR"/>
        </w:rPr>
        <w:t>124-136</w:t>
      </w:r>
    </w:p>
    <w:p w14:paraId="031F55A1" w14:textId="2429CA21" w:rsidR="002A2395" w:rsidRDefault="00BE6AA0" w:rsidP="002A2395">
      <w:pPr>
        <w:pStyle w:val="TAMainText"/>
        <w:numPr>
          <w:ilvl w:val="0"/>
          <w:numId w:val="1"/>
        </w:numPr>
        <w:rPr>
          <w:rFonts w:ascii="Times New Roman" w:hAnsi="Times New Roman"/>
          <w:lang w:val="pt-BR"/>
        </w:rPr>
      </w:pPr>
      <w:r w:rsidRPr="00BE6AA0">
        <w:rPr>
          <w:rFonts w:ascii="Times New Roman" w:hAnsi="Times New Roman"/>
          <w:lang w:val="pt-BR"/>
        </w:rPr>
        <w:t>C</w:t>
      </w:r>
      <w:r w:rsidR="00712997" w:rsidRPr="00BE6AA0">
        <w:rPr>
          <w:rFonts w:ascii="Times New Roman" w:hAnsi="Times New Roman"/>
          <w:lang w:val="pt-BR"/>
        </w:rPr>
        <w:t>ruz</w:t>
      </w:r>
      <w:r w:rsidRPr="00BE6AA0">
        <w:rPr>
          <w:rFonts w:ascii="Times New Roman" w:hAnsi="Times New Roman"/>
          <w:lang w:val="pt-BR"/>
        </w:rPr>
        <w:t xml:space="preserve">, Y. R.; </w:t>
      </w:r>
      <w:proofErr w:type="spellStart"/>
      <w:r w:rsidRPr="00BE6AA0">
        <w:rPr>
          <w:rFonts w:ascii="Times New Roman" w:hAnsi="Times New Roman"/>
          <w:lang w:val="pt-BR"/>
        </w:rPr>
        <w:t>R</w:t>
      </w:r>
      <w:r w:rsidR="00712997" w:rsidRPr="00BE6AA0">
        <w:rPr>
          <w:rFonts w:ascii="Times New Roman" w:hAnsi="Times New Roman"/>
          <w:lang w:val="pt-BR"/>
        </w:rPr>
        <w:t>ossa</w:t>
      </w:r>
      <w:proofErr w:type="spellEnd"/>
      <w:r w:rsidRPr="00BE6AA0">
        <w:rPr>
          <w:rFonts w:ascii="Times New Roman" w:hAnsi="Times New Roman"/>
          <w:lang w:val="pt-BR"/>
        </w:rPr>
        <w:t>, V.; D</w:t>
      </w:r>
      <w:r w:rsidR="00712997" w:rsidRPr="00BE6AA0">
        <w:rPr>
          <w:rFonts w:ascii="Times New Roman" w:hAnsi="Times New Roman"/>
          <w:lang w:val="pt-BR"/>
        </w:rPr>
        <w:t>íaz</w:t>
      </w:r>
      <w:r w:rsidRPr="00BE6AA0">
        <w:rPr>
          <w:rFonts w:ascii="Times New Roman" w:hAnsi="Times New Roman"/>
          <w:lang w:val="pt-BR"/>
        </w:rPr>
        <w:t>, G. C.; C</w:t>
      </w:r>
      <w:r w:rsidR="00712997" w:rsidRPr="00BE6AA0">
        <w:rPr>
          <w:rFonts w:ascii="Times New Roman" w:hAnsi="Times New Roman"/>
          <w:lang w:val="pt-BR"/>
        </w:rPr>
        <w:t>árdenas</w:t>
      </w:r>
      <w:r w:rsidRPr="00BE6AA0">
        <w:rPr>
          <w:rFonts w:ascii="Times New Roman" w:hAnsi="Times New Roman"/>
          <w:lang w:val="pt-BR"/>
        </w:rPr>
        <w:t xml:space="preserve">, D. A. V.; </w:t>
      </w:r>
      <w:proofErr w:type="spellStart"/>
      <w:r w:rsidRPr="00BE6AA0">
        <w:rPr>
          <w:rFonts w:ascii="Times New Roman" w:hAnsi="Times New Roman"/>
          <w:lang w:val="pt-BR"/>
        </w:rPr>
        <w:t>M</w:t>
      </w:r>
      <w:r w:rsidR="00712997" w:rsidRPr="00BE6AA0">
        <w:rPr>
          <w:rFonts w:ascii="Times New Roman" w:hAnsi="Times New Roman"/>
          <w:lang w:val="pt-BR"/>
        </w:rPr>
        <w:t>uchave</w:t>
      </w:r>
      <w:proofErr w:type="spellEnd"/>
      <w:r w:rsidRPr="00BE6AA0">
        <w:rPr>
          <w:rFonts w:ascii="Times New Roman" w:hAnsi="Times New Roman"/>
          <w:lang w:val="pt-BR"/>
        </w:rPr>
        <w:t>, G. J.; C</w:t>
      </w:r>
      <w:r w:rsidR="00712997" w:rsidRPr="00BE6AA0">
        <w:rPr>
          <w:rFonts w:ascii="Times New Roman" w:hAnsi="Times New Roman"/>
          <w:lang w:val="pt-BR"/>
        </w:rPr>
        <w:t>ardoso</w:t>
      </w:r>
      <w:r w:rsidRPr="00BE6AA0">
        <w:rPr>
          <w:rFonts w:ascii="Times New Roman" w:hAnsi="Times New Roman"/>
          <w:lang w:val="pt-BR"/>
        </w:rPr>
        <w:t xml:space="preserve">, W. R.; </w:t>
      </w:r>
      <w:proofErr w:type="spellStart"/>
      <w:r w:rsidRPr="00BE6AA0">
        <w:rPr>
          <w:rFonts w:ascii="Times New Roman" w:hAnsi="Times New Roman"/>
          <w:lang w:val="pt-BR"/>
        </w:rPr>
        <w:t>A</w:t>
      </w:r>
      <w:r w:rsidR="00712997" w:rsidRPr="00BE6AA0">
        <w:rPr>
          <w:rFonts w:ascii="Times New Roman" w:hAnsi="Times New Roman"/>
          <w:lang w:val="pt-BR"/>
        </w:rPr>
        <w:t>randa</w:t>
      </w:r>
      <w:proofErr w:type="spellEnd"/>
      <w:r w:rsidRPr="00BE6AA0">
        <w:rPr>
          <w:rFonts w:ascii="Times New Roman" w:hAnsi="Times New Roman"/>
          <w:lang w:val="pt-BR"/>
        </w:rPr>
        <w:t xml:space="preserve">, D. A. G. </w:t>
      </w:r>
      <w:proofErr w:type="spellStart"/>
      <w:r w:rsidRPr="00712997">
        <w:rPr>
          <w:rFonts w:ascii="Times New Roman" w:hAnsi="Times New Roman"/>
          <w:lang w:val="pt-BR"/>
        </w:rPr>
        <w:t>International</w:t>
      </w:r>
      <w:proofErr w:type="spellEnd"/>
      <w:r w:rsidRPr="00712997">
        <w:rPr>
          <w:rFonts w:ascii="Times New Roman" w:hAnsi="Times New Roman"/>
          <w:lang w:val="pt-BR"/>
        </w:rPr>
        <w:t xml:space="preserve"> </w:t>
      </w:r>
      <w:proofErr w:type="spellStart"/>
      <w:r w:rsidRPr="00712997">
        <w:rPr>
          <w:rFonts w:ascii="Times New Roman" w:hAnsi="Times New Roman"/>
          <w:lang w:val="pt-BR"/>
        </w:rPr>
        <w:t>Journal</w:t>
      </w:r>
      <w:proofErr w:type="spellEnd"/>
      <w:r w:rsidRPr="00712997">
        <w:rPr>
          <w:rFonts w:ascii="Times New Roman" w:hAnsi="Times New Roman"/>
          <w:lang w:val="pt-BR"/>
        </w:rPr>
        <w:t xml:space="preserve"> </w:t>
      </w:r>
      <w:proofErr w:type="spellStart"/>
      <w:r w:rsidRPr="00712997">
        <w:rPr>
          <w:rFonts w:ascii="Times New Roman" w:hAnsi="Times New Roman"/>
          <w:lang w:val="pt-BR"/>
        </w:rPr>
        <w:t>of</w:t>
      </w:r>
      <w:proofErr w:type="spellEnd"/>
      <w:r w:rsidRPr="00712997">
        <w:rPr>
          <w:rFonts w:ascii="Times New Roman" w:hAnsi="Times New Roman"/>
          <w:lang w:val="pt-BR"/>
        </w:rPr>
        <w:t xml:space="preserve"> </w:t>
      </w:r>
      <w:proofErr w:type="spellStart"/>
      <w:r w:rsidRPr="00712997">
        <w:rPr>
          <w:rFonts w:ascii="Times New Roman" w:hAnsi="Times New Roman"/>
          <w:lang w:val="pt-BR"/>
        </w:rPr>
        <w:t>Development</w:t>
      </w:r>
      <w:proofErr w:type="spellEnd"/>
      <w:r w:rsidRPr="00712997">
        <w:rPr>
          <w:rFonts w:ascii="Times New Roman" w:hAnsi="Times New Roman"/>
          <w:lang w:val="pt-BR"/>
        </w:rPr>
        <w:t xml:space="preserve"> </w:t>
      </w:r>
      <w:proofErr w:type="spellStart"/>
      <w:r w:rsidRPr="00712997">
        <w:rPr>
          <w:rFonts w:ascii="Times New Roman" w:hAnsi="Times New Roman"/>
          <w:lang w:val="pt-BR"/>
        </w:rPr>
        <w:t>Research</w:t>
      </w:r>
      <w:proofErr w:type="spellEnd"/>
      <w:r w:rsidRPr="00BE6AA0">
        <w:rPr>
          <w:rFonts w:ascii="Times New Roman" w:hAnsi="Times New Roman"/>
          <w:lang w:val="pt-BR"/>
        </w:rPr>
        <w:t xml:space="preserve">, </w:t>
      </w:r>
      <w:r w:rsidR="00712997" w:rsidRPr="00712997">
        <w:rPr>
          <w:rFonts w:ascii="Times New Roman" w:hAnsi="Times New Roman"/>
          <w:b/>
          <w:bCs/>
          <w:lang w:val="pt-BR"/>
        </w:rPr>
        <w:t>2021</w:t>
      </w:r>
      <w:r w:rsidR="00712997">
        <w:rPr>
          <w:rFonts w:ascii="Times New Roman" w:hAnsi="Times New Roman"/>
          <w:lang w:val="pt-BR"/>
        </w:rPr>
        <w:t>,</w:t>
      </w:r>
      <w:r w:rsidRPr="00BE6AA0">
        <w:rPr>
          <w:rFonts w:ascii="Times New Roman" w:hAnsi="Times New Roman"/>
          <w:lang w:val="pt-BR"/>
        </w:rPr>
        <w:t xml:space="preserve"> 11, 43810-43818.</w:t>
      </w:r>
    </w:p>
    <w:p w14:paraId="69386591" w14:textId="2C7D9BCC" w:rsidR="00BE6AA0" w:rsidRDefault="00BE6AA0" w:rsidP="002A2395">
      <w:pPr>
        <w:pStyle w:val="TAMainText"/>
        <w:numPr>
          <w:ilvl w:val="0"/>
          <w:numId w:val="1"/>
        </w:numPr>
        <w:rPr>
          <w:rFonts w:ascii="Times New Roman" w:hAnsi="Times New Roman"/>
          <w:lang w:val="pt-BR"/>
        </w:rPr>
      </w:pPr>
      <w:r w:rsidRPr="00BE6AA0">
        <w:rPr>
          <w:rFonts w:ascii="Times New Roman" w:hAnsi="Times New Roman"/>
          <w:lang w:val="pt-BR"/>
        </w:rPr>
        <w:t>M</w:t>
      </w:r>
      <w:r w:rsidR="00712997" w:rsidRPr="00BE6AA0">
        <w:rPr>
          <w:rFonts w:ascii="Times New Roman" w:hAnsi="Times New Roman"/>
          <w:lang w:val="pt-BR"/>
        </w:rPr>
        <w:t>oreira</w:t>
      </w:r>
      <w:r w:rsidRPr="00BE6AA0">
        <w:rPr>
          <w:rFonts w:ascii="Times New Roman" w:hAnsi="Times New Roman"/>
          <w:lang w:val="pt-BR"/>
        </w:rPr>
        <w:t>, J. B. D.; R</w:t>
      </w:r>
      <w:r w:rsidR="00712997" w:rsidRPr="00BE6AA0">
        <w:rPr>
          <w:rFonts w:ascii="Times New Roman" w:hAnsi="Times New Roman"/>
          <w:lang w:val="pt-BR"/>
        </w:rPr>
        <w:t>ezende</w:t>
      </w:r>
      <w:r w:rsidRPr="00BE6AA0">
        <w:rPr>
          <w:rFonts w:ascii="Times New Roman" w:hAnsi="Times New Roman"/>
          <w:lang w:val="pt-BR"/>
        </w:rPr>
        <w:t xml:space="preserve">, D. B.; </w:t>
      </w:r>
      <w:proofErr w:type="spellStart"/>
      <w:r w:rsidRPr="00BE6AA0">
        <w:rPr>
          <w:rFonts w:ascii="Times New Roman" w:hAnsi="Times New Roman"/>
          <w:lang w:val="pt-BR"/>
        </w:rPr>
        <w:t>P</w:t>
      </w:r>
      <w:r w:rsidR="00712997" w:rsidRPr="00BE6AA0">
        <w:rPr>
          <w:rFonts w:ascii="Times New Roman" w:hAnsi="Times New Roman"/>
          <w:lang w:val="pt-BR"/>
        </w:rPr>
        <w:t>asa</w:t>
      </w:r>
      <w:proofErr w:type="spellEnd"/>
      <w:r w:rsidRPr="00BE6AA0">
        <w:rPr>
          <w:rFonts w:ascii="Times New Roman" w:hAnsi="Times New Roman"/>
          <w:lang w:val="pt-BR"/>
        </w:rPr>
        <w:t xml:space="preserve">, V. M. D. </w:t>
      </w:r>
      <w:proofErr w:type="spellStart"/>
      <w:r w:rsidRPr="00712997">
        <w:rPr>
          <w:rFonts w:ascii="Times New Roman" w:hAnsi="Times New Roman"/>
          <w:lang w:val="pt-BR"/>
        </w:rPr>
        <w:t>Fuel</w:t>
      </w:r>
      <w:proofErr w:type="spellEnd"/>
      <w:r w:rsidRPr="00712997">
        <w:rPr>
          <w:rFonts w:ascii="Times New Roman" w:hAnsi="Times New Roman"/>
          <w:lang w:val="pt-BR"/>
        </w:rPr>
        <w:t>,</w:t>
      </w:r>
      <w:r w:rsidRPr="00BE6AA0">
        <w:rPr>
          <w:rFonts w:ascii="Times New Roman" w:hAnsi="Times New Roman"/>
          <w:lang w:val="pt-BR"/>
        </w:rPr>
        <w:t xml:space="preserve"> </w:t>
      </w:r>
      <w:r w:rsidR="00712997">
        <w:rPr>
          <w:rFonts w:ascii="Times New Roman" w:hAnsi="Times New Roman"/>
          <w:lang w:val="pt-BR"/>
        </w:rPr>
        <w:t xml:space="preserve">2020, </w:t>
      </w:r>
      <w:r w:rsidRPr="00BE6AA0">
        <w:rPr>
          <w:rFonts w:ascii="Times New Roman" w:hAnsi="Times New Roman"/>
          <w:lang w:val="pt-BR"/>
        </w:rPr>
        <w:t>269, 117253</w:t>
      </w:r>
      <w:r w:rsidR="00712997">
        <w:rPr>
          <w:rFonts w:ascii="Times New Roman" w:hAnsi="Times New Roman"/>
          <w:lang w:val="pt-BR"/>
        </w:rPr>
        <w:t>.</w:t>
      </w:r>
    </w:p>
    <w:p w14:paraId="0CB1DEC7" w14:textId="5E7307B8" w:rsidR="00BE6AA0" w:rsidRDefault="00BE6AA0" w:rsidP="002A2395">
      <w:pPr>
        <w:pStyle w:val="TAMainText"/>
        <w:numPr>
          <w:ilvl w:val="0"/>
          <w:numId w:val="1"/>
        </w:numPr>
        <w:rPr>
          <w:rFonts w:ascii="Times New Roman" w:hAnsi="Times New Roman"/>
        </w:rPr>
      </w:pPr>
      <w:r w:rsidRPr="00BE6AA0">
        <w:rPr>
          <w:rFonts w:ascii="Times New Roman" w:hAnsi="Times New Roman"/>
        </w:rPr>
        <w:t>P</w:t>
      </w:r>
      <w:r w:rsidR="00712997" w:rsidRPr="00BE6AA0">
        <w:rPr>
          <w:rFonts w:ascii="Times New Roman" w:hAnsi="Times New Roman"/>
        </w:rPr>
        <w:t>atil</w:t>
      </w:r>
      <w:r w:rsidRPr="00BE6AA0">
        <w:rPr>
          <w:rFonts w:ascii="Times New Roman" w:hAnsi="Times New Roman"/>
        </w:rPr>
        <w:t>, T. A.; R</w:t>
      </w:r>
      <w:r w:rsidR="00712997" w:rsidRPr="00BE6AA0">
        <w:rPr>
          <w:rFonts w:ascii="Times New Roman" w:hAnsi="Times New Roman"/>
        </w:rPr>
        <w:t>aghunathan</w:t>
      </w:r>
      <w:r w:rsidRPr="00BE6AA0">
        <w:rPr>
          <w:rFonts w:ascii="Times New Roman" w:hAnsi="Times New Roman"/>
        </w:rPr>
        <w:t>, T. S.; S</w:t>
      </w:r>
      <w:r w:rsidR="00712997" w:rsidRPr="00BE6AA0">
        <w:rPr>
          <w:rFonts w:ascii="Times New Roman" w:hAnsi="Times New Roman"/>
        </w:rPr>
        <w:t>hankar</w:t>
      </w:r>
      <w:r w:rsidRPr="00BE6AA0">
        <w:rPr>
          <w:rFonts w:ascii="Times New Roman" w:hAnsi="Times New Roman"/>
        </w:rPr>
        <w:t>, H. S. </w:t>
      </w:r>
      <w:r w:rsidRPr="00712997">
        <w:rPr>
          <w:rFonts w:ascii="Times New Roman" w:hAnsi="Times New Roman"/>
        </w:rPr>
        <w:t>Industrial &amp; engineering chemistry research</w:t>
      </w:r>
      <w:r w:rsidRPr="00BE6AA0">
        <w:rPr>
          <w:rFonts w:ascii="Times New Roman" w:hAnsi="Times New Roman"/>
        </w:rPr>
        <w:t xml:space="preserve">, </w:t>
      </w:r>
      <w:r w:rsidR="00712997" w:rsidRPr="00712997">
        <w:rPr>
          <w:rFonts w:ascii="Times New Roman" w:hAnsi="Times New Roman"/>
          <w:b/>
          <w:bCs/>
        </w:rPr>
        <w:t>1988b</w:t>
      </w:r>
      <w:r w:rsidR="00712997">
        <w:rPr>
          <w:rFonts w:ascii="Times New Roman" w:hAnsi="Times New Roman"/>
        </w:rPr>
        <w:t xml:space="preserve">, </w:t>
      </w:r>
      <w:r w:rsidRPr="00BE6AA0">
        <w:rPr>
          <w:rFonts w:ascii="Times New Roman" w:hAnsi="Times New Roman"/>
        </w:rPr>
        <w:t>27, 735-739.</w:t>
      </w:r>
    </w:p>
    <w:p w14:paraId="62423093" w14:textId="73BC0A8B" w:rsidR="00BE6AA0" w:rsidRPr="00BE6AA0" w:rsidRDefault="00BE6AA0" w:rsidP="002A2395">
      <w:pPr>
        <w:pStyle w:val="TAMainText"/>
        <w:numPr>
          <w:ilvl w:val="0"/>
          <w:numId w:val="1"/>
        </w:numPr>
        <w:rPr>
          <w:rFonts w:ascii="Times New Roman" w:hAnsi="Times New Roman"/>
        </w:rPr>
      </w:pPr>
      <w:proofErr w:type="spellStart"/>
      <w:r w:rsidRPr="00BE6AA0">
        <w:rPr>
          <w:rFonts w:ascii="Times New Roman" w:hAnsi="Times New Roman"/>
        </w:rPr>
        <w:t>M</w:t>
      </w:r>
      <w:r w:rsidR="00712997" w:rsidRPr="00BE6AA0">
        <w:rPr>
          <w:rFonts w:ascii="Times New Roman" w:hAnsi="Times New Roman"/>
        </w:rPr>
        <w:t>icic</w:t>
      </w:r>
      <w:proofErr w:type="spellEnd"/>
      <w:r w:rsidRPr="00BE6AA0">
        <w:rPr>
          <w:rFonts w:ascii="Times New Roman" w:hAnsi="Times New Roman"/>
        </w:rPr>
        <w:t xml:space="preserve">, R. D.; </w:t>
      </w:r>
      <w:proofErr w:type="spellStart"/>
      <w:r w:rsidRPr="00BE6AA0">
        <w:rPr>
          <w:rFonts w:ascii="Times New Roman" w:hAnsi="Times New Roman"/>
        </w:rPr>
        <w:t>T</w:t>
      </w:r>
      <w:r w:rsidR="00712997" w:rsidRPr="00BE6AA0">
        <w:rPr>
          <w:rFonts w:ascii="Times New Roman" w:hAnsi="Times New Roman"/>
        </w:rPr>
        <w:t>omić</w:t>
      </w:r>
      <w:proofErr w:type="spellEnd"/>
      <w:r w:rsidRPr="00BE6AA0">
        <w:rPr>
          <w:rFonts w:ascii="Times New Roman" w:hAnsi="Times New Roman"/>
        </w:rPr>
        <w:t>, M. D.; K</w:t>
      </w:r>
      <w:r w:rsidR="00712997" w:rsidRPr="00BE6AA0">
        <w:rPr>
          <w:rFonts w:ascii="Times New Roman" w:hAnsi="Times New Roman"/>
        </w:rPr>
        <w:t>iss</w:t>
      </w:r>
      <w:r w:rsidRPr="00BE6AA0">
        <w:rPr>
          <w:rFonts w:ascii="Times New Roman" w:hAnsi="Times New Roman"/>
        </w:rPr>
        <w:t xml:space="preserve">, F. E.; </w:t>
      </w:r>
      <w:proofErr w:type="spellStart"/>
      <w:r w:rsidRPr="00BE6AA0">
        <w:rPr>
          <w:rFonts w:ascii="Times New Roman" w:hAnsi="Times New Roman"/>
        </w:rPr>
        <w:t>N</w:t>
      </w:r>
      <w:r w:rsidR="00712997" w:rsidRPr="00BE6AA0">
        <w:rPr>
          <w:rFonts w:ascii="Times New Roman" w:hAnsi="Times New Roman"/>
        </w:rPr>
        <w:t>ikolić</w:t>
      </w:r>
      <w:r w:rsidRPr="00BE6AA0">
        <w:rPr>
          <w:rFonts w:ascii="Times New Roman" w:hAnsi="Times New Roman"/>
        </w:rPr>
        <w:t>-D</w:t>
      </w:r>
      <w:r w:rsidR="00712997" w:rsidRPr="00BE6AA0">
        <w:rPr>
          <w:rFonts w:ascii="Times New Roman" w:hAnsi="Times New Roman"/>
        </w:rPr>
        <w:t>jorić</w:t>
      </w:r>
      <w:proofErr w:type="spellEnd"/>
      <w:r w:rsidRPr="00BE6AA0">
        <w:rPr>
          <w:rFonts w:ascii="Times New Roman" w:hAnsi="Times New Roman"/>
        </w:rPr>
        <w:t xml:space="preserve">, E. B.; </w:t>
      </w:r>
      <w:proofErr w:type="spellStart"/>
      <w:r w:rsidRPr="00BE6AA0">
        <w:rPr>
          <w:rFonts w:ascii="Times New Roman" w:hAnsi="Times New Roman"/>
        </w:rPr>
        <w:t>S</w:t>
      </w:r>
      <w:r w:rsidR="00712997" w:rsidRPr="00BE6AA0">
        <w:rPr>
          <w:rFonts w:ascii="Times New Roman" w:hAnsi="Times New Roman"/>
        </w:rPr>
        <w:t>imikić</w:t>
      </w:r>
      <w:proofErr w:type="spellEnd"/>
      <w:r w:rsidRPr="00BE6AA0">
        <w:rPr>
          <w:rFonts w:ascii="Times New Roman" w:hAnsi="Times New Roman"/>
        </w:rPr>
        <w:t>, M. Ð. </w:t>
      </w:r>
      <w:r w:rsidRPr="00712997">
        <w:rPr>
          <w:rFonts w:ascii="Times New Roman" w:hAnsi="Times New Roman"/>
        </w:rPr>
        <w:t>The Journal of Supercritical Fluids</w:t>
      </w:r>
      <w:r w:rsidRPr="00BE6AA0">
        <w:rPr>
          <w:rFonts w:ascii="Times New Roman" w:hAnsi="Times New Roman"/>
        </w:rPr>
        <w:t>,</w:t>
      </w:r>
      <w:r w:rsidR="00712997">
        <w:rPr>
          <w:rFonts w:ascii="Times New Roman" w:hAnsi="Times New Roman"/>
        </w:rPr>
        <w:t xml:space="preserve"> </w:t>
      </w:r>
      <w:r w:rsidR="00712997">
        <w:rPr>
          <w:rFonts w:ascii="Times New Roman" w:hAnsi="Times New Roman"/>
          <w:b/>
          <w:bCs/>
        </w:rPr>
        <w:t>2015</w:t>
      </w:r>
      <w:r w:rsidR="00712997">
        <w:rPr>
          <w:rFonts w:ascii="Times New Roman" w:hAnsi="Times New Roman"/>
        </w:rPr>
        <w:t>,</w:t>
      </w:r>
      <w:r w:rsidRPr="00BE6AA0">
        <w:rPr>
          <w:rFonts w:ascii="Times New Roman" w:hAnsi="Times New Roman"/>
        </w:rPr>
        <w:t xml:space="preserve"> 103, 90-100</w:t>
      </w:r>
      <w:r w:rsidR="00712997">
        <w:rPr>
          <w:rFonts w:ascii="Times New Roman" w:hAnsi="Times New Roman"/>
        </w:rPr>
        <w:t>.</w:t>
      </w:r>
    </w:p>
    <w:p w14:paraId="6795794C" w14:textId="2D68DAEE" w:rsidR="00BE6AA0" w:rsidRDefault="005A05D9" w:rsidP="002A2395">
      <w:pPr>
        <w:pStyle w:val="TAMainText"/>
        <w:numPr>
          <w:ilvl w:val="0"/>
          <w:numId w:val="1"/>
        </w:numPr>
        <w:rPr>
          <w:rFonts w:ascii="Times New Roman" w:hAnsi="Times New Roman"/>
        </w:rPr>
      </w:pPr>
      <w:r w:rsidRPr="005A05D9">
        <w:rPr>
          <w:rFonts w:ascii="Times New Roman" w:hAnsi="Times New Roman"/>
        </w:rPr>
        <w:t>W</w:t>
      </w:r>
      <w:r w:rsidR="00712997" w:rsidRPr="005A05D9">
        <w:rPr>
          <w:rFonts w:ascii="Times New Roman" w:hAnsi="Times New Roman"/>
        </w:rPr>
        <w:t>ang</w:t>
      </w:r>
      <w:r w:rsidRPr="005A05D9">
        <w:rPr>
          <w:rFonts w:ascii="Times New Roman" w:hAnsi="Times New Roman"/>
        </w:rPr>
        <w:t xml:space="preserve">, A, W, C.; </w:t>
      </w:r>
      <w:proofErr w:type="spellStart"/>
      <w:r w:rsidRPr="005A05D9">
        <w:rPr>
          <w:rFonts w:ascii="Times New Roman" w:hAnsi="Times New Roman"/>
        </w:rPr>
        <w:t>T</w:t>
      </w:r>
      <w:r w:rsidR="00712997" w:rsidRPr="005A05D9">
        <w:rPr>
          <w:rFonts w:ascii="Times New Roman" w:hAnsi="Times New Roman"/>
        </w:rPr>
        <w:t>hapaliya</w:t>
      </w:r>
      <w:proofErr w:type="spellEnd"/>
      <w:r w:rsidRPr="005A05D9">
        <w:rPr>
          <w:rFonts w:ascii="Times New Roman" w:hAnsi="Times New Roman"/>
        </w:rPr>
        <w:t>, N.; C</w:t>
      </w:r>
      <w:r w:rsidR="00712997" w:rsidRPr="005A05D9">
        <w:rPr>
          <w:rFonts w:ascii="Times New Roman" w:hAnsi="Times New Roman"/>
        </w:rPr>
        <w:t>ampos</w:t>
      </w:r>
      <w:r w:rsidRPr="005A05D9">
        <w:rPr>
          <w:rFonts w:ascii="Times New Roman" w:hAnsi="Times New Roman"/>
        </w:rPr>
        <w:t xml:space="preserve">, A.; </w:t>
      </w:r>
      <w:proofErr w:type="spellStart"/>
      <w:r w:rsidRPr="005A05D9">
        <w:rPr>
          <w:rFonts w:ascii="Times New Roman" w:hAnsi="Times New Roman"/>
        </w:rPr>
        <w:t>S</w:t>
      </w:r>
      <w:r w:rsidR="00712997" w:rsidRPr="005A05D9">
        <w:rPr>
          <w:rFonts w:ascii="Times New Roman" w:hAnsi="Times New Roman"/>
        </w:rPr>
        <w:t>tikeleather</w:t>
      </w:r>
      <w:proofErr w:type="spellEnd"/>
      <w:r w:rsidRPr="005A05D9">
        <w:rPr>
          <w:rFonts w:ascii="Times New Roman" w:hAnsi="Times New Roman"/>
        </w:rPr>
        <w:t>, L, F.; R</w:t>
      </w:r>
      <w:r w:rsidR="00712997" w:rsidRPr="005A05D9">
        <w:rPr>
          <w:rFonts w:ascii="Times New Roman" w:hAnsi="Times New Roman"/>
        </w:rPr>
        <w:t>oberts</w:t>
      </w:r>
      <w:r w:rsidRPr="005A05D9">
        <w:rPr>
          <w:rFonts w:ascii="Times New Roman" w:hAnsi="Times New Roman"/>
        </w:rPr>
        <w:t>, W</w:t>
      </w:r>
      <w:r>
        <w:rPr>
          <w:rFonts w:ascii="Times New Roman" w:hAnsi="Times New Roman"/>
        </w:rPr>
        <w:t xml:space="preserve">. </w:t>
      </w:r>
      <w:r w:rsidRPr="00712997">
        <w:rPr>
          <w:rFonts w:ascii="Times New Roman" w:hAnsi="Times New Roman"/>
        </w:rPr>
        <w:t>Fuel</w:t>
      </w:r>
      <w:r w:rsidR="00712997">
        <w:rPr>
          <w:rFonts w:ascii="Times New Roman" w:hAnsi="Times New Roman"/>
        </w:rPr>
        <w:t xml:space="preserve">, </w:t>
      </w:r>
      <w:r w:rsidR="00712997" w:rsidRPr="00712997">
        <w:rPr>
          <w:rFonts w:ascii="Times New Roman" w:hAnsi="Times New Roman"/>
          <w:b/>
          <w:bCs/>
        </w:rPr>
        <w:t>2012</w:t>
      </w:r>
      <w:r w:rsidR="00712997">
        <w:rPr>
          <w:rFonts w:ascii="Times New Roman" w:hAnsi="Times New Roman"/>
        </w:rPr>
        <w:t xml:space="preserve">, </w:t>
      </w:r>
      <w:r w:rsidRPr="005A05D9">
        <w:rPr>
          <w:rFonts w:ascii="Times New Roman" w:hAnsi="Times New Roman"/>
        </w:rPr>
        <w:t>95, 622–629.</w:t>
      </w:r>
    </w:p>
    <w:p w14:paraId="784FD44C" w14:textId="0CB102B7" w:rsidR="005A05D9" w:rsidRPr="005A05D9" w:rsidRDefault="005A05D9" w:rsidP="002A2395">
      <w:pPr>
        <w:pStyle w:val="TAMainText"/>
        <w:numPr>
          <w:ilvl w:val="0"/>
          <w:numId w:val="1"/>
        </w:numPr>
        <w:rPr>
          <w:rFonts w:ascii="Times New Roman" w:hAnsi="Times New Roman"/>
          <w:lang w:val="pt-BR"/>
        </w:rPr>
      </w:pPr>
      <w:r w:rsidRPr="005A05D9">
        <w:rPr>
          <w:szCs w:val="24"/>
          <w:lang w:val="pt-BR"/>
        </w:rPr>
        <w:t>S</w:t>
      </w:r>
      <w:r w:rsidR="00712997" w:rsidRPr="005A05D9">
        <w:rPr>
          <w:szCs w:val="24"/>
          <w:lang w:val="pt-BR"/>
        </w:rPr>
        <w:t>ilva</w:t>
      </w:r>
      <w:r w:rsidRPr="005A05D9">
        <w:rPr>
          <w:szCs w:val="24"/>
          <w:lang w:val="pt-BR"/>
        </w:rPr>
        <w:t>, D. P.; S</w:t>
      </w:r>
      <w:r w:rsidR="00712997" w:rsidRPr="005A05D9">
        <w:rPr>
          <w:szCs w:val="24"/>
          <w:lang w:val="pt-BR"/>
        </w:rPr>
        <w:t>olano</w:t>
      </w:r>
      <w:r w:rsidRPr="005A05D9">
        <w:rPr>
          <w:szCs w:val="24"/>
          <w:lang w:val="pt-BR"/>
        </w:rPr>
        <w:t>, J. R.; S</w:t>
      </w:r>
      <w:r w:rsidR="00712997" w:rsidRPr="005A05D9">
        <w:rPr>
          <w:szCs w:val="24"/>
          <w:lang w:val="pt-BR"/>
        </w:rPr>
        <w:t>ousa</w:t>
      </w:r>
      <w:r w:rsidRPr="005A05D9">
        <w:rPr>
          <w:szCs w:val="24"/>
          <w:lang w:val="pt-BR"/>
        </w:rPr>
        <w:t>, L. V.; S</w:t>
      </w:r>
      <w:r w:rsidR="00712997" w:rsidRPr="005A05D9">
        <w:rPr>
          <w:szCs w:val="24"/>
          <w:lang w:val="pt-BR"/>
        </w:rPr>
        <w:t>ilva</w:t>
      </w:r>
      <w:r w:rsidRPr="005A05D9">
        <w:rPr>
          <w:szCs w:val="24"/>
          <w:lang w:val="pt-BR"/>
        </w:rPr>
        <w:t>, B. J.; Q</w:t>
      </w:r>
      <w:r w:rsidR="00712997" w:rsidRPr="005A05D9">
        <w:rPr>
          <w:szCs w:val="24"/>
          <w:lang w:val="pt-BR"/>
        </w:rPr>
        <w:t>uintela</w:t>
      </w:r>
      <w:r w:rsidRPr="005A05D9">
        <w:rPr>
          <w:szCs w:val="24"/>
          <w:lang w:val="pt-BR"/>
        </w:rPr>
        <w:t>, P. H.; S</w:t>
      </w:r>
      <w:r w:rsidR="00712997" w:rsidRPr="005A05D9">
        <w:rPr>
          <w:szCs w:val="24"/>
          <w:lang w:val="pt-BR"/>
        </w:rPr>
        <w:t>ilva</w:t>
      </w:r>
      <w:r w:rsidRPr="005A05D9">
        <w:rPr>
          <w:szCs w:val="24"/>
          <w:lang w:val="pt-BR"/>
        </w:rPr>
        <w:t xml:space="preserve">, A. O. </w:t>
      </w:r>
      <w:proofErr w:type="spellStart"/>
      <w:r w:rsidRPr="00712997">
        <w:rPr>
          <w:szCs w:val="24"/>
          <w:lang w:val="pt-BR"/>
        </w:rPr>
        <w:t>Journal</w:t>
      </w:r>
      <w:proofErr w:type="spellEnd"/>
      <w:r w:rsidRPr="00712997">
        <w:rPr>
          <w:szCs w:val="24"/>
          <w:lang w:val="pt-BR"/>
        </w:rPr>
        <w:t xml:space="preserve"> </w:t>
      </w:r>
      <w:proofErr w:type="spellStart"/>
      <w:r w:rsidRPr="00712997">
        <w:rPr>
          <w:szCs w:val="24"/>
          <w:lang w:val="pt-BR"/>
        </w:rPr>
        <w:t>of</w:t>
      </w:r>
      <w:proofErr w:type="spellEnd"/>
      <w:r w:rsidRPr="00712997">
        <w:rPr>
          <w:szCs w:val="24"/>
          <w:lang w:val="pt-BR"/>
        </w:rPr>
        <w:t xml:space="preserve"> Sol-Gel Science </w:t>
      </w:r>
      <w:proofErr w:type="spellStart"/>
      <w:r w:rsidRPr="00712997">
        <w:rPr>
          <w:szCs w:val="24"/>
          <w:lang w:val="pt-BR"/>
        </w:rPr>
        <w:t>and</w:t>
      </w:r>
      <w:proofErr w:type="spellEnd"/>
      <w:r w:rsidRPr="00712997">
        <w:rPr>
          <w:szCs w:val="24"/>
          <w:lang w:val="pt-BR"/>
        </w:rPr>
        <w:t xml:space="preserve"> Technology</w:t>
      </w:r>
      <w:r w:rsidRPr="005A05D9">
        <w:rPr>
          <w:szCs w:val="24"/>
          <w:lang w:val="pt-BR"/>
        </w:rPr>
        <w:t xml:space="preserve">, </w:t>
      </w:r>
      <w:r w:rsidR="00712997" w:rsidRPr="00712997">
        <w:rPr>
          <w:b/>
          <w:bCs/>
          <w:szCs w:val="24"/>
          <w:lang w:val="pt-BR"/>
        </w:rPr>
        <w:t>2021</w:t>
      </w:r>
      <w:r w:rsidR="00712997">
        <w:rPr>
          <w:szCs w:val="24"/>
          <w:lang w:val="pt-BR"/>
        </w:rPr>
        <w:t xml:space="preserve">, </w:t>
      </w:r>
      <w:r w:rsidRPr="005A05D9">
        <w:rPr>
          <w:szCs w:val="24"/>
          <w:lang w:val="pt-BR"/>
        </w:rPr>
        <w:t>97, 382-392.</w:t>
      </w:r>
    </w:p>
    <w:p w14:paraId="26B52357" w14:textId="7C204162" w:rsidR="00077EFD" w:rsidRPr="00077EFD" w:rsidRDefault="00077EFD" w:rsidP="00077EFD">
      <w:pPr>
        <w:pStyle w:val="TAMainText"/>
        <w:numPr>
          <w:ilvl w:val="0"/>
          <w:numId w:val="1"/>
        </w:numPr>
        <w:rPr>
          <w:rFonts w:ascii="Times New Roman" w:hAnsi="Times New Roman"/>
          <w:lang w:val="pt-BR"/>
        </w:rPr>
      </w:pPr>
      <w:proofErr w:type="spellStart"/>
      <w:r w:rsidRPr="00077EFD">
        <w:rPr>
          <w:szCs w:val="24"/>
          <w:lang w:val="pt-BR"/>
        </w:rPr>
        <w:t>J</w:t>
      </w:r>
      <w:r w:rsidR="00712997" w:rsidRPr="00077EFD">
        <w:rPr>
          <w:szCs w:val="24"/>
          <w:lang w:val="pt-BR"/>
        </w:rPr>
        <w:t>ankowska</w:t>
      </w:r>
      <w:proofErr w:type="spellEnd"/>
      <w:r w:rsidRPr="00077EFD">
        <w:rPr>
          <w:szCs w:val="24"/>
          <w:lang w:val="pt-BR"/>
        </w:rPr>
        <w:t xml:space="preserve">, A.; </w:t>
      </w:r>
      <w:proofErr w:type="spellStart"/>
      <w:r w:rsidRPr="00077EFD">
        <w:rPr>
          <w:szCs w:val="24"/>
          <w:lang w:val="pt-BR"/>
        </w:rPr>
        <w:t>C</w:t>
      </w:r>
      <w:r w:rsidR="00712997" w:rsidRPr="00077EFD">
        <w:rPr>
          <w:szCs w:val="24"/>
          <w:lang w:val="pt-BR"/>
        </w:rPr>
        <w:t>hłopek</w:t>
      </w:r>
      <w:proofErr w:type="spellEnd"/>
      <w:r w:rsidRPr="00077EFD">
        <w:rPr>
          <w:szCs w:val="24"/>
          <w:lang w:val="pt-BR"/>
        </w:rPr>
        <w:t xml:space="preserve">, A.; </w:t>
      </w:r>
      <w:proofErr w:type="spellStart"/>
      <w:r w:rsidRPr="00077EFD">
        <w:rPr>
          <w:szCs w:val="24"/>
          <w:lang w:val="pt-BR"/>
        </w:rPr>
        <w:t>K</w:t>
      </w:r>
      <w:r w:rsidR="00712997" w:rsidRPr="00077EFD">
        <w:rPr>
          <w:szCs w:val="24"/>
          <w:lang w:val="pt-BR"/>
        </w:rPr>
        <w:t>owalczyk</w:t>
      </w:r>
      <w:proofErr w:type="spellEnd"/>
      <w:r w:rsidRPr="00077EFD">
        <w:rPr>
          <w:szCs w:val="24"/>
          <w:lang w:val="pt-BR"/>
        </w:rPr>
        <w:t xml:space="preserve">, A.; </w:t>
      </w:r>
      <w:proofErr w:type="spellStart"/>
      <w:r w:rsidRPr="00077EFD">
        <w:rPr>
          <w:szCs w:val="24"/>
          <w:lang w:val="pt-BR"/>
        </w:rPr>
        <w:t>R</w:t>
      </w:r>
      <w:r w:rsidR="00712997" w:rsidRPr="00077EFD">
        <w:rPr>
          <w:szCs w:val="24"/>
          <w:lang w:val="pt-BR"/>
        </w:rPr>
        <w:t>utkowska</w:t>
      </w:r>
      <w:proofErr w:type="spellEnd"/>
      <w:r w:rsidRPr="00077EFD">
        <w:rPr>
          <w:szCs w:val="24"/>
          <w:lang w:val="pt-BR"/>
        </w:rPr>
        <w:t xml:space="preserve">, M.; </w:t>
      </w:r>
      <w:proofErr w:type="spellStart"/>
      <w:r w:rsidRPr="00077EFD">
        <w:rPr>
          <w:szCs w:val="24"/>
          <w:lang w:val="pt-BR"/>
        </w:rPr>
        <w:t>M</w:t>
      </w:r>
      <w:r w:rsidR="00712997" w:rsidRPr="00077EFD">
        <w:rPr>
          <w:szCs w:val="24"/>
          <w:lang w:val="pt-BR"/>
        </w:rPr>
        <w:t>ichalik</w:t>
      </w:r>
      <w:proofErr w:type="spellEnd"/>
      <w:r w:rsidRPr="00077EFD">
        <w:rPr>
          <w:szCs w:val="24"/>
          <w:lang w:val="pt-BR"/>
        </w:rPr>
        <w:t>, M.; L</w:t>
      </w:r>
      <w:r w:rsidR="00712997" w:rsidRPr="00077EFD">
        <w:rPr>
          <w:szCs w:val="24"/>
          <w:lang w:val="pt-BR"/>
        </w:rPr>
        <w:t>iu</w:t>
      </w:r>
      <w:r w:rsidRPr="00077EFD">
        <w:rPr>
          <w:szCs w:val="24"/>
          <w:lang w:val="pt-BR"/>
        </w:rPr>
        <w:t xml:space="preserve">, S.; </w:t>
      </w:r>
      <w:proofErr w:type="spellStart"/>
      <w:r w:rsidRPr="00077EFD">
        <w:rPr>
          <w:szCs w:val="24"/>
          <w:lang w:val="pt-BR"/>
        </w:rPr>
        <w:t>C</w:t>
      </w:r>
      <w:r w:rsidR="00712997" w:rsidRPr="00077EFD">
        <w:rPr>
          <w:szCs w:val="24"/>
          <w:lang w:val="pt-BR"/>
        </w:rPr>
        <w:t>hmielarz</w:t>
      </w:r>
      <w:proofErr w:type="spellEnd"/>
      <w:r w:rsidRPr="00077EFD">
        <w:rPr>
          <w:szCs w:val="24"/>
          <w:lang w:val="pt-BR"/>
        </w:rPr>
        <w:t xml:space="preserve">, L. </w:t>
      </w:r>
      <w:proofErr w:type="spellStart"/>
      <w:r w:rsidRPr="00D371ED">
        <w:rPr>
          <w:szCs w:val="24"/>
          <w:lang w:val="pt-BR"/>
        </w:rPr>
        <w:t>Molecules</w:t>
      </w:r>
      <w:proofErr w:type="spellEnd"/>
      <w:r w:rsidRPr="00077EFD">
        <w:rPr>
          <w:szCs w:val="24"/>
          <w:lang w:val="pt-BR"/>
        </w:rPr>
        <w:t xml:space="preserve">, </w:t>
      </w:r>
      <w:r w:rsidR="00712997" w:rsidRPr="00712997">
        <w:rPr>
          <w:b/>
          <w:bCs/>
          <w:szCs w:val="24"/>
          <w:lang w:val="pt-BR"/>
        </w:rPr>
        <w:t>2020</w:t>
      </w:r>
      <w:r w:rsidR="00712997">
        <w:rPr>
          <w:szCs w:val="24"/>
          <w:lang w:val="pt-BR"/>
        </w:rPr>
        <w:t xml:space="preserve">, </w:t>
      </w:r>
      <w:r w:rsidRPr="00077EFD">
        <w:rPr>
          <w:szCs w:val="24"/>
          <w:lang w:val="pt-BR"/>
        </w:rPr>
        <w:t>25, 5651</w:t>
      </w:r>
      <w:r w:rsidR="00712997">
        <w:rPr>
          <w:szCs w:val="24"/>
          <w:lang w:val="pt-BR"/>
        </w:rPr>
        <w:t>.</w:t>
      </w:r>
    </w:p>
    <w:p w14:paraId="2DF5B717" w14:textId="19B88E79" w:rsidR="00077EFD" w:rsidRDefault="00077EFD" w:rsidP="00077EFD">
      <w:pPr>
        <w:pStyle w:val="TAMainText"/>
        <w:numPr>
          <w:ilvl w:val="0"/>
          <w:numId w:val="1"/>
        </w:numPr>
        <w:rPr>
          <w:szCs w:val="24"/>
        </w:rPr>
      </w:pPr>
      <w:r w:rsidRPr="00077EFD">
        <w:rPr>
          <w:szCs w:val="24"/>
        </w:rPr>
        <w:t>G</w:t>
      </w:r>
      <w:r w:rsidR="00712997" w:rsidRPr="00077EFD">
        <w:rPr>
          <w:szCs w:val="24"/>
        </w:rPr>
        <w:t>uo</w:t>
      </w:r>
      <w:r w:rsidRPr="00077EFD">
        <w:rPr>
          <w:szCs w:val="24"/>
        </w:rPr>
        <w:t>, Y. H.; P</w:t>
      </w:r>
      <w:r w:rsidR="00712997" w:rsidRPr="00077EFD">
        <w:rPr>
          <w:szCs w:val="24"/>
        </w:rPr>
        <w:t>an</w:t>
      </w:r>
      <w:r w:rsidRPr="00077EFD">
        <w:rPr>
          <w:szCs w:val="24"/>
        </w:rPr>
        <w:t>, G. X.; X</w:t>
      </w:r>
      <w:r w:rsidR="00712997">
        <w:rPr>
          <w:szCs w:val="24"/>
        </w:rPr>
        <w:t>u</w:t>
      </w:r>
      <w:r w:rsidRPr="00077EFD">
        <w:rPr>
          <w:szCs w:val="24"/>
        </w:rPr>
        <w:t>, M. H.; W</w:t>
      </w:r>
      <w:r w:rsidR="00712997">
        <w:rPr>
          <w:szCs w:val="24"/>
        </w:rPr>
        <w:t>u</w:t>
      </w:r>
      <w:r w:rsidRPr="00077EFD">
        <w:rPr>
          <w:szCs w:val="24"/>
        </w:rPr>
        <w:t>, T.; W</w:t>
      </w:r>
      <w:r w:rsidR="00712997">
        <w:rPr>
          <w:szCs w:val="24"/>
        </w:rPr>
        <w:t>ang</w:t>
      </w:r>
      <w:r w:rsidRPr="00077EFD">
        <w:rPr>
          <w:szCs w:val="24"/>
        </w:rPr>
        <w:t xml:space="preserve">, Y. Y. Clays and Clay Minerals, </w:t>
      </w:r>
      <w:r w:rsidR="00D371ED" w:rsidRPr="00D371ED">
        <w:rPr>
          <w:b/>
          <w:bCs/>
          <w:szCs w:val="24"/>
        </w:rPr>
        <w:t>2019</w:t>
      </w:r>
      <w:r w:rsidR="00D371ED">
        <w:rPr>
          <w:szCs w:val="24"/>
        </w:rPr>
        <w:t xml:space="preserve">, </w:t>
      </w:r>
      <w:r w:rsidRPr="00077EFD">
        <w:rPr>
          <w:szCs w:val="24"/>
        </w:rPr>
        <w:t>67, 325-333.</w:t>
      </w:r>
    </w:p>
    <w:p w14:paraId="58E981A0" w14:textId="41E9983A" w:rsidR="00077EFD" w:rsidRDefault="00077EFD" w:rsidP="00077EFD">
      <w:pPr>
        <w:pStyle w:val="TAMainText"/>
        <w:numPr>
          <w:ilvl w:val="0"/>
          <w:numId w:val="1"/>
        </w:numPr>
        <w:rPr>
          <w:szCs w:val="24"/>
        </w:rPr>
      </w:pPr>
      <w:proofErr w:type="spellStart"/>
      <w:r w:rsidRPr="00870015">
        <w:rPr>
          <w:szCs w:val="24"/>
        </w:rPr>
        <w:t>K</w:t>
      </w:r>
      <w:r w:rsidR="00D371ED" w:rsidRPr="00870015">
        <w:rPr>
          <w:szCs w:val="24"/>
        </w:rPr>
        <w:t>hder</w:t>
      </w:r>
      <w:proofErr w:type="spellEnd"/>
      <w:r w:rsidRPr="00870015">
        <w:rPr>
          <w:szCs w:val="24"/>
        </w:rPr>
        <w:t>, A. E. R. S.</w:t>
      </w:r>
      <w:r>
        <w:rPr>
          <w:szCs w:val="24"/>
        </w:rPr>
        <w:t>;</w:t>
      </w:r>
      <w:r w:rsidRPr="00870015">
        <w:rPr>
          <w:szCs w:val="24"/>
        </w:rPr>
        <w:t xml:space="preserve"> A</w:t>
      </w:r>
      <w:r w:rsidR="00D371ED" w:rsidRPr="00870015">
        <w:rPr>
          <w:szCs w:val="24"/>
        </w:rPr>
        <w:t>hmed</w:t>
      </w:r>
      <w:r w:rsidRPr="00870015">
        <w:rPr>
          <w:szCs w:val="24"/>
        </w:rPr>
        <w:t>, S. A.</w:t>
      </w:r>
      <w:r>
        <w:rPr>
          <w:szCs w:val="24"/>
        </w:rPr>
        <w:t>;</w:t>
      </w:r>
      <w:r w:rsidRPr="00870015">
        <w:rPr>
          <w:szCs w:val="24"/>
        </w:rPr>
        <w:t xml:space="preserve"> </w:t>
      </w:r>
      <w:proofErr w:type="spellStart"/>
      <w:r w:rsidRPr="00870015">
        <w:rPr>
          <w:szCs w:val="24"/>
        </w:rPr>
        <w:t>K</w:t>
      </w:r>
      <w:r w:rsidR="00D371ED" w:rsidRPr="00870015">
        <w:rPr>
          <w:szCs w:val="24"/>
        </w:rPr>
        <w:t>hairou</w:t>
      </w:r>
      <w:proofErr w:type="spellEnd"/>
      <w:r w:rsidRPr="00870015">
        <w:rPr>
          <w:szCs w:val="24"/>
        </w:rPr>
        <w:t>, K. S.</w:t>
      </w:r>
      <w:r>
        <w:rPr>
          <w:szCs w:val="24"/>
        </w:rPr>
        <w:t>;</w:t>
      </w:r>
      <w:r w:rsidRPr="00870015">
        <w:rPr>
          <w:szCs w:val="24"/>
        </w:rPr>
        <w:t xml:space="preserve"> </w:t>
      </w:r>
      <w:proofErr w:type="spellStart"/>
      <w:r w:rsidRPr="00870015">
        <w:rPr>
          <w:szCs w:val="24"/>
        </w:rPr>
        <w:t>A</w:t>
      </w:r>
      <w:r w:rsidR="00D371ED" w:rsidRPr="00870015">
        <w:rPr>
          <w:szCs w:val="24"/>
        </w:rPr>
        <w:t>ltass</w:t>
      </w:r>
      <w:proofErr w:type="spellEnd"/>
      <w:r w:rsidRPr="00870015">
        <w:rPr>
          <w:szCs w:val="24"/>
        </w:rPr>
        <w:t>, H. M</w:t>
      </w:r>
      <w:r w:rsidRPr="00A22694">
        <w:rPr>
          <w:szCs w:val="24"/>
        </w:rPr>
        <w:t xml:space="preserve">. </w:t>
      </w:r>
      <w:r w:rsidRPr="00D371ED">
        <w:rPr>
          <w:szCs w:val="24"/>
        </w:rPr>
        <w:t>Journal of Porous Materials</w:t>
      </w:r>
      <w:r w:rsidRPr="00870015">
        <w:rPr>
          <w:szCs w:val="24"/>
        </w:rPr>
        <w:t>,</w:t>
      </w:r>
      <w:r w:rsidR="00D371ED">
        <w:rPr>
          <w:szCs w:val="24"/>
        </w:rPr>
        <w:t xml:space="preserve"> 2018,</w:t>
      </w:r>
      <w:r w:rsidRPr="00870015">
        <w:rPr>
          <w:szCs w:val="24"/>
        </w:rPr>
        <w:t xml:space="preserve"> 25,</w:t>
      </w:r>
      <w:r w:rsidR="00D371ED">
        <w:rPr>
          <w:szCs w:val="24"/>
        </w:rPr>
        <w:t xml:space="preserve"> </w:t>
      </w:r>
      <w:r w:rsidRPr="00870015">
        <w:rPr>
          <w:szCs w:val="24"/>
        </w:rPr>
        <w:t>1-13.</w:t>
      </w:r>
    </w:p>
    <w:p w14:paraId="476128CD" w14:textId="05E8C51A" w:rsidR="00077EFD" w:rsidRDefault="00077EFD" w:rsidP="00077EFD">
      <w:pPr>
        <w:pStyle w:val="TAMainText"/>
        <w:numPr>
          <w:ilvl w:val="0"/>
          <w:numId w:val="1"/>
        </w:numPr>
        <w:rPr>
          <w:szCs w:val="24"/>
          <w:lang w:val="pt-BR"/>
        </w:rPr>
      </w:pPr>
      <w:r w:rsidRPr="00077EFD">
        <w:rPr>
          <w:szCs w:val="24"/>
          <w:lang w:val="pt-BR"/>
        </w:rPr>
        <w:t>F</w:t>
      </w:r>
      <w:r w:rsidR="00D371ED" w:rsidRPr="00077EFD">
        <w:rPr>
          <w:szCs w:val="24"/>
          <w:lang w:val="pt-BR"/>
        </w:rPr>
        <w:t>reitas</w:t>
      </w:r>
      <w:r w:rsidRPr="00077EFD">
        <w:rPr>
          <w:szCs w:val="24"/>
          <w:lang w:val="pt-BR"/>
        </w:rPr>
        <w:t>, L. N. S.; S</w:t>
      </w:r>
      <w:r w:rsidR="00D371ED" w:rsidRPr="00077EFD">
        <w:rPr>
          <w:szCs w:val="24"/>
          <w:lang w:val="pt-BR"/>
        </w:rPr>
        <w:t>ousa</w:t>
      </w:r>
      <w:r w:rsidRPr="00077EFD">
        <w:rPr>
          <w:szCs w:val="24"/>
          <w:lang w:val="pt-BR"/>
        </w:rPr>
        <w:t>, F. P.; C</w:t>
      </w:r>
      <w:r w:rsidR="00D371ED" w:rsidRPr="00077EFD">
        <w:rPr>
          <w:szCs w:val="24"/>
          <w:lang w:val="pt-BR"/>
        </w:rPr>
        <w:t>arvalho</w:t>
      </w:r>
      <w:r w:rsidRPr="00077EFD">
        <w:rPr>
          <w:szCs w:val="24"/>
          <w:lang w:val="pt-BR"/>
        </w:rPr>
        <w:t xml:space="preserve">, A. R.; </w:t>
      </w:r>
      <w:proofErr w:type="spellStart"/>
      <w:r w:rsidRPr="00077EFD">
        <w:rPr>
          <w:szCs w:val="24"/>
          <w:lang w:val="pt-BR"/>
        </w:rPr>
        <w:t>P</w:t>
      </w:r>
      <w:r w:rsidR="00D371ED" w:rsidRPr="00077EFD">
        <w:rPr>
          <w:szCs w:val="24"/>
          <w:lang w:val="pt-BR"/>
        </w:rPr>
        <w:t>asa</w:t>
      </w:r>
      <w:proofErr w:type="spellEnd"/>
      <w:r w:rsidRPr="00077EFD">
        <w:rPr>
          <w:szCs w:val="24"/>
          <w:lang w:val="pt-BR"/>
        </w:rPr>
        <w:t xml:space="preserve">, V. M. D. </w:t>
      </w:r>
      <w:proofErr w:type="spellStart"/>
      <w:r w:rsidRPr="00D371ED">
        <w:rPr>
          <w:szCs w:val="24"/>
          <w:lang w:val="pt-BR"/>
        </w:rPr>
        <w:t>Fuel</w:t>
      </w:r>
      <w:proofErr w:type="spellEnd"/>
      <w:r w:rsidRPr="00077EFD">
        <w:rPr>
          <w:szCs w:val="24"/>
          <w:lang w:val="pt-BR"/>
        </w:rPr>
        <w:t xml:space="preserve">, </w:t>
      </w:r>
      <w:r w:rsidR="00D371ED" w:rsidRPr="00D371ED">
        <w:rPr>
          <w:b/>
          <w:bCs/>
          <w:szCs w:val="24"/>
          <w:lang w:val="pt-BR"/>
        </w:rPr>
        <w:t>2021</w:t>
      </w:r>
      <w:r w:rsidR="00D371ED">
        <w:rPr>
          <w:szCs w:val="24"/>
          <w:lang w:val="pt-BR"/>
        </w:rPr>
        <w:t>,</w:t>
      </w:r>
      <w:r w:rsidRPr="00077EFD">
        <w:rPr>
          <w:szCs w:val="24"/>
          <w:lang w:val="pt-BR"/>
        </w:rPr>
        <w:t xml:space="preserve"> 287, 119472-119483.</w:t>
      </w:r>
    </w:p>
    <w:p w14:paraId="4938660E" w14:textId="1457DC1D" w:rsidR="00077EFD" w:rsidRDefault="00077EFD" w:rsidP="00077EFD">
      <w:pPr>
        <w:pStyle w:val="TAMainText"/>
        <w:numPr>
          <w:ilvl w:val="0"/>
          <w:numId w:val="1"/>
        </w:numPr>
        <w:rPr>
          <w:szCs w:val="24"/>
        </w:rPr>
      </w:pPr>
      <w:r w:rsidRPr="003A7931">
        <w:rPr>
          <w:szCs w:val="24"/>
        </w:rPr>
        <w:t>S</w:t>
      </w:r>
      <w:r w:rsidR="00D371ED" w:rsidRPr="003A7931">
        <w:rPr>
          <w:szCs w:val="24"/>
        </w:rPr>
        <w:t>atyarthi</w:t>
      </w:r>
      <w:r w:rsidRPr="003A7931">
        <w:rPr>
          <w:szCs w:val="24"/>
        </w:rPr>
        <w:t>, J. K.; S</w:t>
      </w:r>
      <w:r w:rsidR="00D371ED" w:rsidRPr="003A7931">
        <w:rPr>
          <w:szCs w:val="24"/>
        </w:rPr>
        <w:t>rinivas</w:t>
      </w:r>
      <w:r w:rsidRPr="003A7931">
        <w:rPr>
          <w:szCs w:val="24"/>
        </w:rPr>
        <w:t xml:space="preserve">, D.; </w:t>
      </w:r>
      <w:proofErr w:type="spellStart"/>
      <w:r w:rsidRPr="003A7931">
        <w:rPr>
          <w:szCs w:val="24"/>
        </w:rPr>
        <w:t>R</w:t>
      </w:r>
      <w:r w:rsidR="00D371ED" w:rsidRPr="003A7931">
        <w:rPr>
          <w:szCs w:val="24"/>
        </w:rPr>
        <w:t>atnasamy</w:t>
      </w:r>
      <w:proofErr w:type="spellEnd"/>
      <w:r w:rsidRPr="003A7931">
        <w:rPr>
          <w:szCs w:val="24"/>
        </w:rPr>
        <w:t>, P. </w:t>
      </w:r>
      <w:r w:rsidRPr="00D371ED">
        <w:rPr>
          <w:szCs w:val="24"/>
        </w:rPr>
        <w:t>Applied Catalysis A: General,</w:t>
      </w:r>
      <w:r w:rsidRPr="006F694A">
        <w:rPr>
          <w:szCs w:val="24"/>
        </w:rPr>
        <w:t xml:space="preserve"> </w:t>
      </w:r>
      <w:r w:rsidR="00D371ED">
        <w:rPr>
          <w:szCs w:val="24"/>
        </w:rPr>
        <w:t xml:space="preserve">2011, </w:t>
      </w:r>
      <w:r w:rsidRPr="006F694A">
        <w:rPr>
          <w:szCs w:val="24"/>
        </w:rPr>
        <w:t>391, 427-435.</w:t>
      </w:r>
    </w:p>
    <w:p w14:paraId="58716424" w14:textId="7B9335D2" w:rsidR="007B4B2B" w:rsidRDefault="00DF66DC" w:rsidP="00EA4E1B">
      <w:pPr>
        <w:pStyle w:val="TAMainText"/>
        <w:numPr>
          <w:ilvl w:val="0"/>
          <w:numId w:val="1"/>
        </w:numPr>
        <w:rPr>
          <w:szCs w:val="24"/>
          <w:lang w:val="pt-BR"/>
        </w:rPr>
      </w:pPr>
      <w:r w:rsidRPr="00DF66DC">
        <w:rPr>
          <w:szCs w:val="24"/>
          <w:lang w:val="pt-BR"/>
        </w:rPr>
        <w:t>C</w:t>
      </w:r>
      <w:r w:rsidR="00D371ED" w:rsidRPr="00DF66DC">
        <w:rPr>
          <w:szCs w:val="24"/>
          <w:lang w:val="pt-BR"/>
        </w:rPr>
        <w:t>osta</w:t>
      </w:r>
      <w:r w:rsidRPr="00DF66DC">
        <w:rPr>
          <w:szCs w:val="24"/>
          <w:lang w:val="pt-BR"/>
        </w:rPr>
        <w:t>, B. E. B.; D</w:t>
      </w:r>
      <w:r w:rsidR="00D371ED" w:rsidRPr="00DF66DC">
        <w:rPr>
          <w:szCs w:val="24"/>
          <w:lang w:val="pt-BR"/>
        </w:rPr>
        <w:t>amasceno</w:t>
      </w:r>
      <w:r w:rsidRPr="00DF66DC">
        <w:rPr>
          <w:szCs w:val="24"/>
          <w:lang w:val="pt-BR"/>
        </w:rPr>
        <w:t>, R. F.; S</w:t>
      </w:r>
      <w:r w:rsidR="00D371ED" w:rsidRPr="00DF66DC">
        <w:rPr>
          <w:szCs w:val="24"/>
          <w:lang w:val="pt-BR"/>
        </w:rPr>
        <w:t>ilva</w:t>
      </w:r>
      <w:r w:rsidRPr="00DF66DC">
        <w:rPr>
          <w:szCs w:val="24"/>
          <w:lang w:val="pt-BR"/>
        </w:rPr>
        <w:t xml:space="preserve">, A. O.; </w:t>
      </w:r>
      <w:proofErr w:type="spellStart"/>
      <w:r w:rsidRPr="00DF66DC">
        <w:rPr>
          <w:szCs w:val="24"/>
          <w:lang w:val="pt-BR"/>
        </w:rPr>
        <w:t>M</w:t>
      </w:r>
      <w:r w:rsidR="00D371ED" w:rsidRPr="00DF66DC">
        <w:rPr>
          <w:szCs w:val="24"/>
          <w:lang w:val="pt-BR"/>
        </w:rPr>
        <w:t>eneghetti</w:t>
      </w:r>
      <w:proofErr w:type="spellEnd"/>
      <w:r w:rsidRPr="00DF66DC">
        <w:rPr>
          <w:szCs w:val="24"/>
          <w:lang w:val="pt-BR"/>
        </w:rPr>
        <w:t>, S. M.</w:t>
      </w:r>
      <w:r w:rsidRPr="00DF66DC">
        <w:rPr>
          <w:szCs w:val="24"/>
          <w:lang w:val="pt-BR"/>
        </w:rPr>
        <w:t xml:space="preserve"> </w:t>
      </w:r>
      <w:proofErr w:type="spellStart"/>
      <w:r w:rsidRPr="00D371ED">
        <w:rPr>
          <w:szCs w:val="24"/>
          <w:lang w:val="pt-BR"/>
        </w:rPr>
        <w:t>Microporous</w:t>
      </w:r>
      <w:proofErr w:type="spellEnd"/>
      <w:r w:rsidRPr="00D371ED">
        <w:rPr>
          <w:szCs w:val="24"/>
          <w:lang w:val="pt-BR"/>
        </w:rPr>
        <w:t xml:space="preserve"> </w:t>
      </w:r>
      <w:proofErr w:type="spellStart"/>
      <w:r w:rsidRPr="00D371ED">
        <w:rPr>
          <w:szCs w:val="24"/>
          <w:lang w:val="pt-BR"/>
        </w:rPr>
        <w:t>and</w:t>
      </w:r>
      <w:proofErr w:type="spellEnd"/>
      <w:r w:rsidRPr="00D371ED">
        <w:rPr>
          <w:szCs w:val="24"/>
          <w:lang w:val="pt-BR"/>
        </w:rPr>
        <w:t xml:space="preserve"> </w:t>
      </w:r>
      <w:proofErr w:type="spellStart"/>
      <w:r w:rsidRPr="00D371ED">
        <w:rPr>
          <w:szCs w:val="24"/>
          <w:lang w:val="pt-BR"/>
        </w:rPr>
        <w:t>Mesoporous</w:t>
      </w:r>
      <w:proofErr w:type="spellEnd"/>
      <w:r w:rsidRPr="00D371ED">
        <w:rPr>
          <w:szCs w:val="24"/>
          <w:lang w:val="pt-BR"/>
        </w:rPr>
        <w:t xml:space="preserve"> </w:t>
      </w:r>
      <w:proofErr w:type="spellStart"/>
      <w:r w:rsidRPr="00D371ED">
        <w:rPr>
          <w:szCs w:val="24"/>
          <w:lang w:val="pt-BR"/>
        </w:rPr>
        <w:t>Materials</w:t>
      </w:r>
      <w:proofErr w:type="spellEnd"/>
      <w:r w:rsidRPr="00D371ED">
        <w:rPr>
          <w:szCs w:val="24"/>
          <w:lang w:val="pt-BR"/>
        </w:rPr>
        <w:t>,</w:t>
      </w:r>
      <w:r w:rsidRPr="00DF66DC">
        <w:rPr>
          <w:szCs w:val="24"/>
          <w:lang w:val="pt-BR"/>
        </w:rPr>
        <w:t xml:space="preserve"> </w:t>
      </w:r>
      <w:r w:rsidR="00D371ED" w:rsidRPr="00D371ED">
        <w:rPr>
          <w:b/>
          <w:bCs/>
          <w:szCs w:val="24"/>
          <w:lang w:val="pt-BR"/>
        </w:rPr>
        <w:t>2021</w:t>
      </w:r>
      <w:r w:rsidR="00D371ED">
        <w:rPr>
          <w:szCs w:val="24"/>
          <w:lang w:val="pt-BR"/>
        </w:rPr>
        <w:t xml:space="preserve">, </w:t>
      </w:r>
      <w:r w:rsidRPr="00DF66DC">
        <w:rPr>
          <w:szCs w:val="24"/>
          <w:lang w:val="pt-BR"/>
        </w:rPr>
        <w:t>310, 110630.</w:t>
      </w:r>
    </w:p>
    <w:p w14:paraId="5411E56A" w14:textId="5DD2E1F7" w:rsidR="00E83D65" w:rsidRPr="006F43F7" w:rsidRDefault="006F43F7" w:rsidP="00EA4E1B">
      <w:pPr>
        <w:pStyle w:val="TAMainText"/>
        <w:numPr>
          <w:ilvl w:val="0"/>
          <w:numId w:val="1"/>
        </w:numPr>
        <w:rPr>
          <w:szCs w:val="24"/>
        </w:rPr>
      </w:pPr>
      <w:proofErr w:type="spellStart"/>
      <w:r w:rsidRPr="00564EC5">
        <w:rPr>
          <w:szCs w:val="24"/>
        </w:rPr>
        <w:t>L</w:t>
      </w:r>
      <w:r w:rsidRPr="00564EC5">
        <w:rPr>
          <w:szCs w:val="24"/>
        </w:rPr>
        <w:t>ascaray</w:t>
      </w:r>
      <w:proofErr w:type="spellEnd"/>
      <w:r w:rsidRPr="00564EC5">
        <w:rPr>
          <w:szCs w:val="24"/>
        </w:rPr>
        <w:t>, L. </w:t>
      </w:r>
      <w:r w:rsidRPr="006F43F7">
        <w:rPr>
          <w:szCs w:val="24"/>
        </w:rPr>
        <w:t>Industrial &amp; Engineering Chemistry</w:t>
      </w:r>
      <w:r w:rsidRPr="00564EC5">
        <w:rPr>
          <w:szCs w:val="24"/>
        </w:rPr>
        <w:t>,</w:t>
      </w:r>
      <w:r>
        <w:rPr>
          <w:szCs w:val="24"/>
        </w:rPr>
        <w:t xml:space="preserve"> 1949,</w:t>
      </w:r>
      <w:r w:rsidRPr="00564EC5">
        <w:rPr>
          <w:szCs w:val="24"/>
        </w:rPr>
        <w:t xml:space="preserve"> 41, 786-790.</w:t>
      </w:r>
    </w:p>
    <w:sectPr w:rsidR="00E83D65" w:rsidRPr="006F43F7"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296C" w14:textId="77777777" w:rsidR="00FE7315" w:rsidRDefault="00FE7315" w:rsidP="00EA4E1B">
      <w:pPr>
        <w:spacing w:after="0" w:line="240" w:lineRule="auto"/>
      </w:pPr>
      <w:r>
        <w:separator/>
      </w:r>
    </w:p>
  </w:endnote>
  <w:endnote w:type="continuationSeparator" w:id="0">
    <w:p w14:paraId="0F897FFD" w14:textId="77777777" w:rsidR="00FE7315" w:rsidRDefault="00FE731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BB35" w14:textId="77777777" w:rsidR="00FE7315" w:rsidRDefault="00FE7315" w:rsidP="00EA4E1B">
      <w:pPr>
        <w:spacing w:after="0" w:line="240" w:lineRule="auto"/>
      </w:pPr>
      <w:r>
        <w:separator/>
      </w:r>
    </w:p>
  </w:footnote>
  <w:footnote w:type="continuationSeparator" w:id="0">
    <w:p w14:paraId="1669F527" w14:textId="77777777" w:rsidR="00FE7315" w:rsidRDefault="00FE731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65935"/>
    <w:rsid w:val="00077EFD"/>
    <w:rsid w:val="000D71A8"/>
    <w:rsid w:val="000F1D24"/>
    <w:rsid w:val="00142A4A"/>
    <w:rsid w:val="001B1537"/>
    <w:rsid w:val="001B4385"/>
    <w:rsid w:val="001E58A9"/>
    <w:rsid w:val="001E6003"/>
    <w:rsid w:val="001F25B2"/>
    <w:rsid w:val="00222230"/>
    <w:rsid w:val="002543E4"/>
    <w:rsid w:val="002A2395"/>
    <w:rsid w:val="00340B1E"/>
    <w:rsid w:val="00402F3E"/>
    <w:rsid w:val="00402F74"/>
    <w:rsid w:val="0044641D"/>
    <w:rsid w:val="00490F5D"/>
    <w:rsid w:val="004D0517"/>
    <w:rsid w:val="004D0BE1"/>
    <w:rsid w:val="004E6297"/>
    <w:rsid w:val="004F3F42"/>
    <w:rsid w:val="00515111"/>
    <w:rsid w:val="0052112E"/>
    <w:rsid w:val="00552A57"/>
    <w:rsid w:val="00554580"/>
    <w:rsid w:val="00591902"/>
    <w:rsid w:val="005A05D9"/>
    <w:rsid w:val="005B2566"/>
    <w:rsid w:val="005C1647"/>
    <w:rsid w:val="005C2775"/>
    <w:rsid w:val="005D65EB"/>
    <w:rsid w:val="00604718"/>
    <w:rsid w:val="00652815"/>
    <w:rsid w:val="006F43F7"/>
    <w:rsid w:val="006F599B"/>
    <w:rsid w:val="00712997"/>
    <w:rsid w:val="007670A0"/>
    <w:rsid w:val="007741BF"/>
    <w:rsid w:val="00781685"/>
    <w:rsid w:val="007B4B2B"/>
    <w:rsid w:val="007C2B75"/>
    <w:rsid w:val="007C5BBD"/>
    <w:rsid w:val="00854F95"/>
    <w:rsid w:val="00866822"/>
    <w:rsid w:val="00890357"/>
    <w:rsid w:val="008B1683"/>
    <w:rsid w:val="008C1B30"/>
    <w:rsid w:val="00903649"/>
    <w:rsid w:val="009222D0"/>
    <w:rsid w:val="009656D9"/>
    <w:rsid w:val="00971C61"/>
    <w:rsid w:val="009C7CB0"/>
    <w:rsid w:val="00A17D85"/>
    <w:rsid w:val="00A758ED"/>
    <w:rsid w:val="00A87CE8"/>
    <w:rsid w:val="00AA182E"/>
    <w:rsid w:val="00AF0400"/>
    <w:rsid w:val="00B30AEB"/>
    <w:rsid w:val="00BA6A6E"/>
    <w:rsid w:val="00BE6AA0"/>
    <w:rsid w:val="00BF2049"/>
    <w:rsid w:val="00C07221"/>
    <w:rsid w:val="00C247BD"/>
    <w:rsid w:val="00C41066"/>
    <w:rsid w:val="00C76E54"/>
    <w:rsid w:val="00C93144"/>
    <w:rsid w:val="00D371ED"/>
    <w:rsid w:val="00D44BD4"/>
    <w:rsid w:val="00D50ADB"/>
    <w:rsid w:val="00D8075E"/>
    <w:rsid w:val="00D96135"/>
    <w:rsid w:val="00DF66DC"/>
    <w:rsid w:val="00E02A21"/>
    <w:rsid w:val="00E038AF"/>
    <w:rsid w:val="00E169F8"/>
    <w:rsid w:val="00E370A3"/>
    <w:rsid w:val="00E83D65"/>
    <w:rsid w:val="00EA4E1B"/>
    <w:rsid w:val="00EE4A00"/>
    <w:rsid w:val="00F30661"/>
    <w:rsid w:val="00F67447"/>
    <w:rsid w:val="00F917DA"/>
    <w:rsid w:val="00FE7315"/>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E370A3"/>
    <w:rPr>
      <w:color w:val="0563C1" w:themeColor="hyperlink"/>
      <w:u w:val="single"/>
    </w:rPr>
  </w:style>
  <w:style w:type="character" w:styleId="MenoPendente">
    <w:name w:val="Unresolved Mention"/>
    <w:basedOn w:val="Fontepargpadro"/>
    <w:uiPriority w:val="99"/>
    <w:semiHidden/>
    <w:unhideWhenUsed/>
    <w:rsid w:val="00E370A3"/>
    <w:rPr>
      <w:color w:val="605E5C"/>
      <w:shd w:val="clear" w:color="auto" w:fill="E1DFDD"/>
    </w:rPr>
  </w:style>
  <w:style w:type="character" w:customStyle="1" w:styleId="normaltextrun">
    <w:name w:val="normaltextrun"/>
    <w:basedOn w:val="Fontepargpadro"/>
    <w:rsid w:val="00854F95"/>
  </w:style>
  <w:style w:type="character" w:customStyle="1" w:styleId="eop">
    <w:name w:val="eop"/>
    <w:basedOn w:val="Fontepargpadro"/>
    <w:rsid w:val="00854F95"/>
  </w:style>
  <w:style w:type="character" w:customStyle="1" w:styleId="mathspan">
    <w:name w:val="mathspan"/>
    <w:basedOn w:val="Fontepargpadro"/>
    <w:rsid w:val="0044641D"/>
  </w:style>
  <w:style w:type="character" w:customStyle="1" w:styleId="mi">
    <w:name w:val="mi"/>
    <w:basedOn w:val="Fontepargpadro"/>
    <w:rsid w:val="0044641D"/>
  </w:style>
  <w:style w:type="character" w:customStyle="1" w:styleId="mjxassistivemathml">
    <w:name w:val="mjx_assistive_mathml"/>
    <w:basedOn w:val="Fontepargpadro"/>
    <w:rsid w:val="0044641D"/>
  </w:style>
  <w:style w:type="character" w:styleId="TextodoEspaoReservado">
    <w:name w:val="Placeholder Text"/>
    <w:basedOn w:val="Fontepargpadro"/>
    <w:uiPriority w:val="99"/>
    <w:semiHidden/>
    <w:rsid w:val="00552A57"/>
    <w:rPr>
      <w:color w:val="808080"/>
    </w:rPr>
  </w:style>
  <w:style w:type="paragraph" w:styleId="PargrafodaLista">
    <w:name w:val="List Paragraph"/>
    <w:basedOn w:val="Normal"/>
    <w:uiPriority w:val="34"/>
    <w:qFormat/>
    <w:rsid w:val="00C247BD"/>
    <w:pPr>
      <w:ind w:left="720"/>
      <w:contextualSpacing/>
    </w:pPr>
  </w:style>
  <w:style w:type="paragraph" w:customStyle="1" w:styleId="paragraph">
    <w:name w:val="paragraph"/>
    <w:basedOn w:val="Normal"/>
    <w:rsid w:val="00E83D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83D65"/>
  </w:style>
  <w:style w:type="character" w:customStyle="1" w:styleId="spellingerror">
    <w:name w:val="spellingerror"/>
    <w:basedOn w:val="Fontepargpadro"/>
    <w:rsid w:val="00E83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992">
      <w:marLeft w:val="0"/>
      <w:marRight w:val="0"/>
      <w:marTop w:val="0"/>
      <w:marBottom w:val="0"/>
      <w:divBdr>
        <w:top w:val="none" w:sz="0" w:space="0" w:color="auto"/>
        <w:left w:val="none" w:sz="0" w:space="0" w:color="auto"/>
        <w:bottom w:val="none" w:sz="0" w:space="0" w:color="auto"/>
        <w:right w:val="none" w:sz="0" w:space="0" w:color="auto"/>
      </w:divBdr>
    </w:div>
    <w:div w:id="53549612">
      <w:bodyDiv w:val="1"/>
      <w:marLeft w:val="0"/>
      <w:marRight w:val="0"/>
      <w:marTop w:val="0"/>
      <w:marBottom w:val="0"/>
      <w:divBdr>
        <w:top w:val="none" w:sz="0" w:space="0" w:color="auto"/>
        <w:left w:val="none" w:sz="0" w:space="0" w:color="auto"/>
        <w:bottom w:val="none" w:sz="0" w:space="0" w:color="auto"/>
        <w:right w:val="none" w:sz="0" w:space="0" w:color="auto"/>
      </w:divBdr>
    </w:div>
    <w:div w:id="226651697">
      <w:bodyDiv w:val="1"/>
      <w:marLeft w:val="0"/>
      <w:marRight w:val="0"/>
      <w:marTop w:val="0"/>
      <w:marBottom w:val="0"/>
      <w:divBdr>
        <w:top w:val="none" w:sz="0" w:space="0" w:color="auto"/>
        <w:left w:val="none" w:sz="0" w:space="0" w:color="auto"/>
        <w:bottom w:val="none" w:sz="0" w:space="0" w:color="auto"/>
        <w:right w:val="none" w:sz="0" w:space="0" w:color="auto"/>
      </w:divBdr>
    </w:div>
    <w:div w:id="481124972">
      <w:marLeft w:val="0"/>
      <w:marRight w:val="0"/>
      <w:marTop w:val="0"/>
      <w:marBottom w:val="0"/>
      <w:divBdr>
        <w:top w:val="none" w:sz="0" w:space="0" w:color="auto"/>
        <w:left w:val="none" w:sz="0" w:space="0" w:color="auto"/>
        <w:bottom w:val="none" w:sz="0" w:space="0" w:color="auto"/>
        <w:right w:val="none" w:sz="0" w:space="0" w:color="auto"/>
      </w:divBdr>
    </w:div>
    <w:div w:id="680814358">
      <w:bodyDiv w:val="1"/>
      <w:marLeft w:val="0"/>
      <w:marRight w:val="0"/>
      <w:marTop w:val="0"/>
      <w:marBottom w:val="0"/>
      <w:divBdr>
        <w:top w:val="none" w:sz="0" w:space="0" w:color="auto"/>
        <w:left w:val="none" w:sz="0" w:space="0" w:color="auto"/>
        <w:bottom w:val="none" w:sz="0" w:space="0" w:color="auto"/>
        <w:right w:val="none" w:sz="0" w:space="0" w:color="auto"/>
      </w:divBdr>
      <w:divsChild>
        <w:div w:id="1392578242">
          <w:marLeft w:val="0"/>
          <w:marRight w:val="0"/>
          <w:marTop w:val="0"/>
          <w:marBottom w:val="0"/>
          <w:divBdr>
            <w:top w:val="none" w:sz="0" w:space="0" w:color="auto"/>
            <w:left w:val="none" w:sz="0" w:space="0" w:color="auto"/>
            <w:bottom w:val="none" w:sz="0" w:space="0" w:color="auto"/>
            <w:right w:val="none" w:sz="0" w:space="0" w:color="auto"/>
          </w:divBdr>
        </w:div>
        <w:div w:id="1174227706">
          <w:marLeft w:val="0"/>
          <w:marRight w:val="0"/>
          <w:marTop w:val="0"/>
          <w:marBottom w:val="0"/>
          <w:divBdr>
            <w:top w:val="none" w:sz="0" w:space="0" w:color="auto"/>
            <w:left w:val="none" w:sz="0" w:space="0" w:color="auto"/>
            <w:bottom w:val="none" w:sz="0" w:space="0" w:color="auto"/>
            <w:right w:val="none" w:sz="0" w:space="0" w:color="auto"/>
          </w:divBdr>
        </w:div>
        <w:div w:id="1767379380">
          <w:marLeft w:val="0"/>
          <w:marRight w:val="0"/>
          <w:marTop w:val="0"/>
          <w:marBottom w:val="0"/>
          <w:divBdr>
            <w:top w:val="none" w:sz="0" w:space="0" w:color="auto"/>
            <w:left w:val="none" w:sz="0" w:space="0" w:color="auto"/>
            <w:bottom w:val="none" w:sz="0" w:space="0" w:color="auto"/>
            <w:right w:val="none" w:sz="0" w:space="0" w:color="auto"/>
          </w:divBdr>
        </w:div>
        <w:div w:id="634481492">
          <w:marLeft w:val="0"/>
          <w:marRight w:val="0"/>
          <w:marTop w:val="0"/>
          <w:marBottom w:val="0"/>
          <w:divBdr>
            <w:top w:val="none" w:sz="0" w:space="0" w:color="auto"/>
            <w:left w:val="none" w:sz="0" w:space="0" w:color="auto"/>
            <w:bottom w:val="none" w:sz="0" w:space="0" w:color="auto"/>
            <w:right w:val="none" w:sz="0" w:space="0" w:color="auto"/>
          </w:divBdr>
        </w:div>
      </w:divsChild>
    </w:div>
    <w:div w:id="723531976">
      <w:bodyDiv w:val="1"/>
      <w:marLeft w:val="0"/>
      <w:marRight w:val="0"/>
      <w:marTop w:val="0"/>
      <w:marBottom w:val="0"/>
      <w:divBdr>
        <w:top w:val="none" w:sz="0" w:space="0" w:color="auto"/>
        <w:left w:val="none" w:sz="0" w:space="0" w:color="auto"/>
        <w:bottom w:val="none" w:sz="0" w:space="0" w:color="auto"/>
        <w:right w:val="none" w:sz="0" w:space="0" w:color="auto"/>
      </w:divBdr>
      <w:divsChild>
        <w:div w:id="1694309208">
          <w:marLeft w:val="0"/>
          <w:marRight w:val="0"/>
          <w:marTop w:val="0"/>
          <w:marBottom w:val="0"/>
          <w:divBdr>
            <w:top w:val="none" w:sz="0" w:space="0" w:color="auto"/>
            <w:left w:val="none" w:sz="0" w:space="0" w:color="auto"/>
            <w:bottom w:val="none" w:sz="0" w:space="0" w:color="auto"/>
            <w:right w:val="none" w:sz="0" w:space="0" w:color="auto"/>
          </w:divBdr>
        </w:div>
        <w:div w:id="356348905">
          <w:marLeft w:val="0"/>
          <w:marRight w:val="0"/>
          <w:marTop w:val="0"/>
          <w:marBottom w:val="0"/>
          <w:divBdr>
            <w:top w:val="none" w:sz="0" w:space="0" w:color="auto"/>
            <w:left w:val="none" w:sz="0" w:space="0" w:color="auto"/>
            <w:bottom w:val="none" w:sz="0" w:space="0" w:color="auto"/>
            <w:right w:val="none" w:sz="0" w:space="0" w:color="auto"/>
          </w:divBdr>
        </w:div>
        <w:div w:id="1428189065">
          <w:marLeft w:val="0"/>
          <w:marRight w:val="0"/>
          <w:marTop w:val="0"/>
          <w:marBottom w:val="0"/>
          <w:divBdr>
            <w:top w:val="none" w:sz="0" w:space="0" w:color="auto"/>
            <w:left w:val="none" w:sz="0" w:space="0" w:color="auto"/>
            <w:bottom w:val="none" w:sz="0" w:space="0" w:color="auto"/>
            <w:right w:val="none" w:sz="0" w:space="0" w:color="auto"/>
          </w:divBdr>
        </w:div>
        <w:div w:id="310063402">
          <w:marLeft w:val="0"/>
          <w:marRight w:val="0"/>
          <w:marTop w:val="0"/>
          <w:marBottom w:val="0"/>
          <w:divBdr>
            <w:top w:val="none" w:sz="0" w:space="0" w:color="auto"/>
            <w:left w:val="none" w:sz="0" w:space="0" w:color="auto"/>
            <w:bottom w:val="none" w:sz="0" w:space="0" w:color="auto"/>
            <w:right w:val="none" w:sz="0" w:space="0" w:color="auto"/>
          </w:divBdr>
        </w:div>
      </w:divsChild>
    </w:div>
    <w:div w:id="915357848">
      <w:bodyDiv w:val="1"/>
      <w:marLeft w:val="0"/>
      <w:marRight w:val="0"/>
      <w:marTop w:val="0"/>
      <w:marBottom w:val="0"/>
      <w:divBdr>
        <w:top w:val="none" w:sz="0" w:space="0" w:color="auto"/>
        <w:left w:val="none" w:sz="0" w:space="0" w:color="auto"/>
        <w:bottom w:val="none" w:sz="0" w:space="0" w:color="auto"/>
        <w:right w:val="none" w:sz="0" w:space="0" w:color="auto"/>
      </w:divBdr>
    </w:div>
    <w:div w:id="1086684651">
      <w:bodyDiv w:val="1"/>
      <w:marLeft w:val="0"/>
      <w:marRight w:val="0"/>
      <w:marTop w:val="0"/>
      <w:marBottom w:val="0"/>
      <w:divBdr>
        <w:top w:val="none" w:sz="0" w:space="0" w:color="auto"/>
        <w:left w:val="none" w:sz="0" w:space="0" w:color="auto"/>
        <w:bottom w:val="none" w:sz="0" w:space="0" w:color="auto"/>
        <w:right w:val="none" w:sz="0" w:space="0" w:color="auto"/>
      </w:divBdr>
    </w:div>
    <w:div w:id="1132093953">
      <w:bodyDiv w:val="1"/>
      <w:marLeft w:val="0"/>
      <w:marRight w:val="0"/>
      <w:marTop w:val="0"/>
      <w:marBottom w:val="0"/>
      <w:divBdr>
        <w:top w:val="none" w:sz="0" w:space="0" w:color="auto"/>
        <w:left w:val="none" w:sz="0" w:space="0" w:color="auto"/>
        <w:bottom w:val="none" w:sz="0" w:space="0" w:color="auto"/>
        <w:right w:val="none" w:sz="0" w:space="0" w:color="auto"/>
      </w:divBdr>
      <w:divsChild>
        <w:div w:id="1687903933">
          <w:marLeft w:val="0"/>
          <w:marRight w:val="0"/>
          <w:marTop w:val="0"/>
          <w:marBottom w:val="0"/>
          <w:divBdr>
            <w:top w:val="none" w:sz="0" w:space="0" w:color="auto"/>
            <w:left w:val="none" w:sz="0" w:space="0" w:color="auto"/>
            <w:bottom w:val="none" w:sz="0" w:space="0" w:color="auto"/>
            <w:right w:val="none" w:sz="0" w:space="0" w:color="auto"/>
          </w:divBdr>
        </w:div>
        <w:div w:id="395280224">
          <w:marLeft w:val="0"/>
          <w:marRight w:val="0"/>
          <w:marTop w:val="0"/>
          <w:marBottom w:val="0"/>
          <w:divBdr>
            <w:top w:val="none" w:sz="0" w:space="0" w:color="auto"/>
            <w:left w:val="none" w:sz="0" w:space="0" w:color="auto"/>
            <w:bottom w:val="none" w:sz="0" w:space="0" w:color="auto"/>
            <w:right w:val="none" w:sz="0" w:space="0" w:color="auto"/>
          </w:divBdr>
        </w:div>
      </w:divsChild>
    </w:div>
    <w:div w:id="1189294396">
      <w:marLeft w:val="0"/>
      <w:marRight w:val="0"/>
      <w:marTop w:val="0"/>
      <w:marBottom w:val="0"/>
      <w:divBdr>
        <w:top w:val="none" w:sz="0" w:space="0" w:color="auto"/>
        <w:left w:val="none" w:sz="0" w:space="0" w:color="auto"/>
        <w:bottom w:val="none" w:sz="0" w:space="0" w:color="auto"/>
        <w:right w:val="none" w:sz="0" w:space="0" w:color="auto"/>
      </w:divBdr>
    </w:div>
    <w:div w:id="1268735888">
      <w:marLeft w:val="0"/>
      <w:marRight w:val="0"/>
      <w:marTop w:val="0"/>
      <w:marBottom w:val="0"/>
      <w:divBdr>
        <w:top w:val="none" w:sz="0" w:space="0" w:color="auto"/>
        <w:left w:val="none" w:sz="0" w:space="0" w:color="auto"/>
        <w:bottom w:val="none" w:sz="0" w:space="0" w:color="auto"/>
        <w:right w:val="none" w:sz="0" w:space="0" w:color="auto"/>
      </w:divBdr>
    </w:div>
    <w:div w:id="1287542625">
      <w:marLeft w:val="0"/>
      <w:marRight w:val="0"/>
      <w:marTop w:val="0"/>
      <w:marBottom w:val="0"/>
      <w:divBdr>
        <w:top w:val="none" w:sz="0" w:space="0" w:color="auto"/>
        <w:left w:val="none" w:sz="0" w:space="0" w:color="auto"/>
        <w:bottom w:val="none" w:sz="0" w:space="0" w:color="auto"/>
        <w:right w:val="none" w:sz="0" w:space="0" w:color="auto"/>
      </w:divBdr>
    </w:div>
    <w:div w:id="1307971341">
      <w:marLeft w:val="0"/>
      <w:marRight w:val="0"/>
      <w:marTop w:val="0"/>
      <w:marBottom w:val="0"/>
      <w:divBdr>
        <w:top w:val="none" w:sz="0" w:space="0" w:color="auto"/>
        <w:left w:val="none" w:sz="0" w:space="0" w:color="auto"/>
        <w:bottom w:val="none" w:sz="0" w:space="0" w:color="auto"/>
        <w:right w:val="none" w:sz="0" w:space="0" w:color="auto"/>
      </w:divBdr>
    </w:div>
    <w:div w:id="1362631859">
      <w:marLeft w:val="0"/>
      <w:marRight w:val="0"/>
      <w:marTop w:val="0"/>
      <w:marBottom w:val="0"/>
      <w:divBdr>
        <w:top w:val="none" w:sz="0" w:space="0" w:color="auto"/>
        <w:left w:val="none" w:sz="0" w:space="0" w:color="auto"/>
        <w:bottom w:val="none" w:sz="0" w:space="0" w:color="auto"/>
        <w:right w:val="none" w:sz="0" w:space="0" w:color="auto"/>
      </w:divBdr>
    </w:div>
    <w:div w:id="1452282327">
      <w:marLeft w:val="0"/>
      <w:marRight w:val="0"/>
      <w:marTop w:val="0"/>
      <w:marBottom w:val="0"/>
      <w:divBdr>
        <w:top w:val="none" w:sz="0" w:space="0" w:color="auto"/>
        <w:left w:val="none" w:sz="0" w:space="0" w:color="auto"/>
        <w:bottom w:val="none" w:sz="0" w:space="0" w:color="auto"/>
        <w:right w:val="none" w:sz="0" w:space="0" w:color="auto"/>
      </w:divBdr>
    </w:div>
    <w:div w:id="1512406875">
      <w:marLeft w:val="0"/>
      <w:marRight w:val="0"/>
      <w:marTop w:val="0"/>
      <w:marBottom w:val="0"/>
      <w:divBdr>
        <w:top w:val="none" w:sz="0" w:space="0" w:color="auto"/>
        <w:left w:val="none" w:sz="0" w:space="0" w:color="auto"/>
        <w:bottom w:val="none" w:sz="0" w:space="0" w:color="auto"/>
        <w:right w:val="none" w:sz="0" w:space="0" w:color="auto"/>
      </w:divBdr>
    </w:div>
    <w:div w:id="1629967289">
      <w:bodyDiv w:val="1"/>
      <w:marLeft w:val="0"/>
      <w:marRight w:val="0"/>
      <w:marTop w:val="0"/>
      <w:marBottom w:val="0"/>
      <w:divBdr>
        <w:top w:val="none" w:sz="0" w:space="0" w:color="auto"/>
        <w:left w:val="none" w:sz="0" w:space="0" w:color="auto"/>
        <w:bottom w:val="none" w:sz="0" w:space="0" w:color="auto"/>
        <w:right w:val="none" w:sz="0" w:space="0" w:color="auto"/>
      </w:divBdr>
    </w:div>
    <w:div w:id="1905607556">
      <w:bodyDiv w:val="1"/>
      <w:marLeft w:val="0"/>
      <w:marRight w:val="0"/>
      <w:marTop w:val="0"/>
      <w:marBottom w:val="0"/>
      <w:divBdr>
        <w:top w:val="none" w:sz="0" w:space="0" w:color="auto"/>
        <w:left w:val="none" w:sz="0" w:space="0" w:color="auto"/>
        <w:bottom w:val="none" w:sz="0" w:space="0" w:color="auto"/>
        <w:right w:val="none" w:sz="0" w:space="0" w:color="auto"/>
      </w:divBdr>
    </w:div>
    <w:div w:id="1912806107">
      <w:marLeft w:val="0"/>
      <w:marRight w:val="0"/>
      <w:marTop w:val="0"/>
      <w:marBottom w:val="0"/>
      <w:divBdr>
        <w:top w:val="none" w:sz="0" w:space="0" w:color="auto"/>
        <w:left w:val="none" w:sz="0" w:space="0" w:color="auto"/>
        <w:bottom w:val="none" w:sz="0" w:space="0" w:color="auto"/>
        <w:right w:val="none" w:sz="0" w:space="0" w:color="auto"/>
      </w:divBdr>
    </w:div>
    <w:div w:id="1953973876">
      <w:bodyDiv w:val="1"/>
      <w:marLeft w:val="0"/>
      <w:marRight w:val="0"/>
      <w:marTop w:val="0"/>
      <w:marBottom w:val="0"/>
      <w:divBdr>
        <w:top w:val="none" w:sz="0" w:space="0" w:color="auto"/>
        <w:left w:val="none" w:sz="0" w:space="0" w:color="auto"/>
        <w:bottom w:val="none" w:sz="0" w:space="0" w:color="auto"/>
        <w:right w:val="none" w:sz="0" w:space="0" w:color="auto"/>
      </w:divBdr>
      <w:divsChild>
        <w:div w:id="1167405061">
          <w:marLeft w:val="0"/>
          <w:marRight w:val="0"/>
          <w:marTop w:val="0"/>
          <w:marBottom w:val="0"/>
          <w:divBdr>
            <w:top w:val="none" w:sz="0" w:space="0" w:color="auto"/>
            <w:left w:val="none" w:sz="0" w:space="0" w:color="auto"/>
            <w:bottom w:val="none" w:sz="0" w:space="0" w:color="auto"/>
            <w:right w:val="none" w:sz="0" w:space="0" w:color="auto"/>
          </w:divBdr>
        </w:div>
        <w:div w:id="1206137282">
          <w:marLeft w:val="0"/>
          <w:marRight w:val="0"/>
          <w:marTop w:val="0"/>
          <w:marBottom w:val="0"/>
          <w:divBdr>
            <w:top w:val="none" w:sz="0" w:space="0" w:color="auto"/>
            <w:left w:val="none" w:sz="0" w:space="0" w:color="auto"/>
            <w:bottom w:val="none" w:sz="0" w:space="0" w:color="auto"/>
            <w:right w:val="none" w:sz="0" w:space="0" w:color="auto"/>
          </w:divBdr>
        </w:div>
      </w:divsChild>
    </w:div>
    <w:div w:id="1957322052">
      <w:bodyDiv w:val="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
        <w:div w:id="474106298">
          <w:marLeft w:val="0"/>
          <w:marRight w:val="0"/>
          <w:marTop w:val="0"/>
          <w:marBottom w:val="0"/>
          <w:divBdr>
            <w:top w:val="none" w:sz="0" w:space="0" w:color="auto"/>
            <w:left w:val="none" w:sz="0" w:space="0" w:color="auto"/>
            <w:bottom w:val="none" w:sz="0" w:space="0" w:color="auto"/>
            <w:right w:val="none" w:sz="0" w:space="0" w:color="auto"/>
          </w:divBdr>
        </w:div>
        <w:div w:id="75129542">
          <w:marLeft w:val="0"/>
          <w:marRight w:val="0"/>
          <w:marTop w:val="0"/>
          <w:marBottom w:val="0"/>
          <w:divBdr>
            <w:top w:val="none" w:sz="0" w:space="0" w:color="auto"/>
            <w:left w:val="none" w:sz="0" w:space="0" w:color="auto"/>
            <w:bottom w:val="none" w:sz="0" w:space="0" w:color="auto"/>
            <w:right w:val="none" w:sz="0" w:space="0" w:color="auto"/>
          </w:divBdr>
        </w:div>
        <w:div w:id="1506476642">
          <w:marLeft w:val="0"/>
          <w:marRight w:val="0"/>
          <w:marTop w:val="0"/>
          <w:marBottom w:val="0"/>
          <w:divBdr>
            <w:top w:val="none" w:sz="0" w:space="0" w:color="auto"/>
            <w:left w:val="none" w:sz="0" w:space="0" w:color="auto"/>
            <w:bottom w:val="none" w:sz="0" w:space="0" w:color="auto"/>
            <w:right w:val="none" w:sz="0" w:space="0" w:color="auto"/>
          </w:divBdr>
        </w:div>
      </w:divsChild>
    </w:div>
    <w:div w:id="2023778550">
      <w:bodyDiv w:val="1"/>
      <w:marLeft w:val="0"/>
      <w:marRight w:val="0"/>
      <w:marTop w:val="0"/>
      <w:marBottom w:val="0"/>
      <w:divBdr>
        <w:top w:val="none" w:sz="0" w:space="0" w:color="auto"/>
        <w:left w:val="none" w:sz="0" w:space="0" w:color="auto"/>
        <w:bottom w:val="none" w:sz="0" w:space="0" w:color="auto"/>
        <w:right w:val="none" w:sz="0" w:space="0" w:color="auto"/>
      </w:divBdr>
    </w:div>
    <w:div w:id="2029334683">
      <w:marLeft w:val="0"/>
      <w:marRight w:val="0"/>
      <w:marTop w:val="0"/>
      <w:marBottom w:val="0"/>
      <w:divBdr>
        <w:top w:val="none" w:sz="0" w:space="0" w:color="auto"/>
        <w:left w:val="none" w:sz="0" w:space="0" w:color="auto"/>
        <w:bottom w:val="none" w:sz="0" w:space="0" w:color="auto"/>
        <w:right w:val="none" w:sz="0" w:space="0" w:color="auto"/>
      </w:divBdr>
    </w:div>
    <w:div w:id="2035226991">
      <w:bodyDiv w:val="1"/>
      <w:marLeft w:val="0"/>
      <w:marRight w:val="0"/>
      <w:marTop w:val="0"/>
      <w:marBottom w:val="0"/>
      <w:divBdr>
        <w:top w:val="none" w:sz="0" w:space="0" w:color="auto"/>
        <w:left w:val="none" w:sz="0" w:space="0" w:color="auto"/>
        <w:bottom w:val="none" w:sz="0" w:space="0" w:color="auto"/>
        <w:right w:val="none" w:sz="0" w:space="0" w:color="auto"/>
      </w:divBdr>
    </w:div>
    <w:div w:id="2098862475">
      <w:marLeft w:val="0"/>
      <w:marRight w:val="0"/>
      <w:marTop w:val="0"/>
      <w:marBottom w:val="0"/>
      <w:divBdr>
        <w:top w:val="none" w:sz="0" w:space="0" w:color="auto"/>
        <w:left w:val="none" w:sz="0" w:space="0" w:color="auto"/>
        <w:bottom w:val="none" w:sz="0" w:space="0" w:color="auto"/>
        <w:right w:val="none" w:sz="0" w:space="0" w:color="auto"/>
      </w:divBdr>
    </w:div>
    <w:div w:id="213864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3667</Words>
  <Characters>19806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Romário Vilarinho</cp:lastModifiedBy>
  <cp:revision>2</cp:revision>
  <dcterms:created xsi:type="dcterms:W3CDTF">2023-04-30T02:53:00Z</dcterms:created>
  <dcterms:modified xsi:type="dcterms:W3CDTF">2023-04-30T02:53:00Z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