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324670"/>
    <w:bookmarkStart w:id="1" w:name="_Hlk1324517"/>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3392834D" w14:textId="11E97237" w:rsidR="001F2924" w:rsidRDefault="00D84641" w:rsidP="00D84641">
      <w:pPr>
        <w:pStyle w:val="BATitle"/>
        <w:spacing w:before="0" w:after="0" w:line="240" w:lineRule="auto"/>
        <w:ind w:right="0"/>
        <w:jc w:val="center"/>
        <w:rPr>
          <w:rFonts w:ascii="Times New Roman" w:hAnsi="Times New Roman"/>
          <w:sz w:val="20"/>
          <w:lang w:val="pt-BR"/>
        </w:rPr>
      </w:pPr>
      <w:r>
        <w:rPr>
          <w:sz w:val="32"/>
          <w:lang w:val="pt-BR"/>
        </w:rPr>
        <w:t>Degradação fotocatalítica do corante amarelo reativo BF-4G empregando nanopartículas de</w:t>
      </w:r>
      <w:r w:rsidR="00F87931">
        <w:rPr>
          <w:sz w:val="32"/>
          <w:lang w:val="pt-BR"/>
        </w:rPr>
        <w:t xml:space="preserve"> Ni-TiO</w:t>
      </w:r>
      <w:r w:rsidR="00F87931">
        <w:rPr>
          <w:sz w:val="32"/>
          <w:vertAlign w:val="subscript"/>
          <w:lang w:val="pt-BR"/>
        </w:rPr>
        <w:t>2</w:t>
      </w:r>
      <w:r w:rsidR="00F87931">
        <w:rPr>
          <w:sz w:val="32"/>
          <w:lang w:val="pt-BR"/>
        </w:rPr>
        <w:t xml:space="preserve"> </w:t>
      </w:r>
    </w:p>
    <w:p w14:paraId="18735493" w14:textId="24C60173" w:rsidR="00EA4E1B" w:rsidRDefault="00C12887"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Vitória Beatriz da Cruz Oliveira</w:t>
      </w:r>
      <w:r w:rsidR="00D84641">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Rodrigo Brackmann</w:t>
      </w:r>
      <w:r w:rsidR="00D84641">
        <w:rPr>
          <w:rFonts w:ascii="Times New Roman" w:hAnsi="Times New Roman"/>
          <w:sz w:val="20"/>
          <w:vertAlign w:val="superscript"/>
          <w:lang w:val="pt-BR"/>
        </w:rPr>
        <w:t>1</w:t>
      </w:r>
    </w:p>
    <w:p w14:paraId="6C07A9EF" w14:textId="4E449703" w:rsidR="00DA31AF" w:rsidRDefault="00D84641" w:rsidP="00EA4E1B">
      <w:pPr>
        <w:pStyle w:val="BCAuthorAddress"/>
        <w:spacing w:after="0"/>
        <w:ind w:right="0"/>
        <w:jc w:val="both"/>
        <w:rPr>
          <w:lang w:val="pt-BR"/>
        </w:rPr>
      </w:pPr>
      <w:r w:rsidRPr="004933F3">
        <w:rPr>
          <w:vertAlign w:val="superscript"/>
          <w:lang w:val="pt-BR"/>
        </w:rPr>
        <w:t xml:space="preserve">1 </w:t>
      </w:r>
      <w:r>
        <w:rPr>
          <w:lang w:val="pt-BR"/>
        </w:rPr>
        <w:t xml:space="preserve">Departamento de Química, </w:t>
      </w:r>
      <w:r w:rsidR="00DA31AF" w:rsidRPr="00DA31AF">
        <w:rPr>
          <w:lang w:val="pt-BR"/>
        </w:rPr>
        <w:t xml:space="preserve">Universidade Tecnológica </w:t>
      </w:r>
      <w:r w:rsidR="00DA31AF">
        <w:rPr>
          <w:lang w:val="pt-BR"/>
        </w:rPr>
        <w:t>Federal do Paraná</w:t>
      </w:r>
      <w:r>
        <w:rPr>
          <w:lang w:val="pt-BR"/>
        </w:rPr>
        <w:t xml:space="preserve"> (UTFPR), Via do Conhecimento, Km 01, Fraron, CEP 85503-390, Pato Branco, Paraná, Brasil</w:t>
      </w:r>
    </w:p>
    <w:p w14:paraId="3F30C3F3" w14:textId="114E4D12" w:rsidR="004933F3" w:rsidRPr="004933F3" w:rsidRDefault="004933F3" w:rsidP="004933F3">
      <w:pPr>
        <w:rPr>
          <w:rFonts w:ascii="Times" w:eastAsia="Times New Roman" w:hAnsi="Times" w:cs="Times New Roman"/>
          <w:i/>
          <w:sz w:val="20"/>
          <w:szCs w:val="20"/>
          <w:lang w:eastAsia="pt-BR"/>
        </w:rPr>
      </w:pPr>
      <w:r w:rsidRPr="004933F3">
        <w:rPr>
          <w:rFonts w:ascii="Times" w:eastAsia="Times New Roman" w:hAnsi="Times" w:cs="Times New Roman"/>
          <w:i/>
          <w:sz w:val="20"/>
          <w:szCs w:val="20"/>
          <w:lang w:eastAsia="pt-BR"/>
        </w:rPr>
        <w:t>*vitoriaoliveira.2001@alunos.utfpr.edu.br</w:t>
      </w:r>
    </w:p>
    <w:bookmarkEnd w:id="1"/>
    <w:p w14:paraId="238E7EC1" w14:textId="78BADB23"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7B9B9C2" w:rsidR="008C1B30" w:rsidRPr="008C1B30" w:rsidRDefault="004933F3" w:rsidP="008C1B30">
                            <w:pPr>
                              <w:pStyle w:val="BDAbstract"/>
                              <w:spacing w:before="0" w:after="0" w:line="240" w:lineRule="auto"/>
                              <w:jc w:val="center"/>
                              <w:rPr>
                                <w:rFonts w:cs="Helvetica"/>
                                <w:bCs/>
                                <w:sz w:val="20"/>
                                <w:lang w:val="pt-BR"/>
                              </w:rPr>
                            </w:pPr>
                            <w:r>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17B9B9C2" w:rsidR="008C1B30" w:rsidRPr="008C1B30" w:rsidRDefault="004933F3" w:rsidP="008C1B30">
                      <w:pPr>
                        <w:pStyle w:val="BDAbstract"/>
                        <w:spacing w:before="0" w:after="0" w:line="240" w:lineRule="auto"/>
                        <w:jc w:val="center"/>
                        <w:rPr>
                          <w:rFonts w:cs="Helvetica"/>
                          <w:bCs/>
                          <w:sz w:val="20"/>
                          <w:lang w:val="pt-BR"/>
                        </w:rPr>
                      </w:pPr>
                      <w:r>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2CEA2AF7" w14:textId="0747E99F" w:rsidR="00293EFF" w:rsidRPr="00480FE3"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C12887">
        <w:rPr>
          <w:rFonts w:ascii="Times New Roman" w:hAnsi="Times New Roman"/>
          <w:b w:val="0"/>
          <w:sz w:val="20"/>
          <w:lang w:val="pt-BR"/>
        </w:rPr>
        <w:t>–</w:t>
      </w:r>
      <w:r w:rsidR="00D84641">
        <w:rPr>
          <w:rFonts w:ascii="Times New Roman" w:hAnsi="Times New Roman"/>
          <w:b w:val="0"/>
          <w:sz w:val="20"/>
          <w:lang w:val="pt-BR"/>
        </w:rPr>
        <w:t>Investigou-se o efeito da dopagem de níquel na estrutura</w:t>
      </w:r>
      <w:r w:rsidR="002148EB">
        <w:rPr>
          <w:rFonts w:ascii="Times New Roman" w:hAnsi="Times New Roman"/>
          <w:b w:val="0"/>
          <w:sz w:val="20"/>
          <w:lang w:val="pt-BR"/>
        </w:rPr>
        <w:t xml:space="preserve"> do TiO</w:t>
      </w:r>
      <w:r w:rsidR="002148EB">
        <w:rPr>
          <w:rFonts w:ascii="Times New Roman" w:hAnsi="Times New Roman"/>
          <w:b w:val="0"/>
          <w:sz w:val="20"/>
          <w:vertAlign w:val="subscript"/>
          <w:lang w:val="pt-BR"/>
        </w:rPr>
        <w:t>2</w:t>
      </w:r>
      <w:r w:rsidR="002148EB">
        <w:rPr>
          <w:rFonts w:ascii="Times New Roman" w:hAnsi="Times New Roman"/>
          <w:b w:val="0"/>
          <w:sz w:val="20"/>
          <w:lang w:val="pt-BR"/>
        </w:rPr>
        <w:t xml:space="preserve"> sobre suas propriedades e atividade na degradação fotocatalítica do corante têxtil amarelo reativo BF-4G. O TiO</w:t>
      </w:r>
      <w:r w:rsidR="002148EB">
        <w:rPr>
          <w:rFonts w:ascii="Times New Roman" w:hAnsi="Times New Roman"/>
          <w:b w:val="0"/>
          <w:sz w:val="20"/>
          <w:vertAlign w:val="subscript"/>
          <w:lang w:val="pt-BR"/>
        </w:rPr>
        <w:t>2</w:t>
      </w:r>
      <w:r w:rsidR="002148EB">
        <w:rPr>
          <w:rFonts w:ascii="Times New Roman" w:hAnsi="Times New Roman"/>
          <w:b w:val="0"/>
          <w:sz w:val="20"/>
          <w:lang w:val="pt-BR"/>
        </w:rPr>
        <w:t xml:space="preserve"> foi sintetizado</w:t>
      </w:r>
      <w:r w:rsidR="00D84641">
        <w:rPr>
          <w:rFonts w:ascii="Times New Roman" w:hAnsi="Times New Roman"/>
          <w:b w:val="0"/>
          <w:sz w:val="20"/>
          <w:lang w:val="pt-BR"/>
        </w:rPr>
        <w:t xml:space="preserve"> </w:t>
      </w:r>
      <w:r w:rsidR="00293EFF">
        <w:rPr>
          <w:rFonts w:ascii="Times New Roman" w:hAnsi="Times New Roman"/>
          <w:b w:val="0"/>
          <w:sz w:val="20"/>
          <w:lang w:val="pt-BR"/>
        </w:rPr>
        <w:t xml:space="preserve">na sua forma pura e com diferentes teores molares de níquel </w:t>
      </w:r>
      <w:r w:rsidR="002148EB">
        <w:rPr>
          <w:rFonts w:ascii="Times New Roman" w:hAnsi="Times New Roman"/>
          <w:b w:val="0"/>
          <w:sz w:val="20"/>
          <w:lang w:val="pt-BR"/>
        </w:rPr>
        <w:t>(</w:t>
      </w:r>
      <w:r w:rsidR="00293EFF">
        <w:rPr>
          <w:rFonts w:ascii="Times New Roman" w:hAnsi="Times New Roman"/>
          <w:b w:val="0"/>
          <w:sz w:val="20"/>
          <w:lang w:val="pt-BR"/>
        </w:rPr>
        <w:t>0,1; 1; 5 e 10%</w:t>
      </w:r>
      <w:r w:rsidR="002148EB">
        <w:rPr>
          <w:rFonts w:ascii="Times New Roman" w:hAnsi="Times New Roman"/>
          <w:b w:val="0"/>
          <w:sz w:val="20"/>
          <w:lang w:val="pt-BR"/>
        </w:rPr>
        <w:t>)</w:t>
      </w:r>
      <w:r w:rsidR="00293EFF">
        <w:rPr>
          <w:rFonts w:ascii="Times New Roman" w:hAnsi="Times New Roman"/>
          <w:b w:val="0"/>
          <w:sz w:val="20"/>
          <w:lang w:val="pt-BR"/>
        </w:rPr>
        <w:t xml:space="preserve">. Os óxidos foram caracterizados por difratometria de raios X, análise colorimétrica e termogravimétrica. </w:t>
      </w:r>
      <w:r w:rsidR="002148EB">
        <w:rPr>
          <w:rFonts w:ascii="Times New Roman" w:hAnsi="Times New Roman"/>
          <w:b w:val="0"/>
          <w:sz w:val="20"/>
          <w:lang w:val="pt-BR"/>
        </w:rPr>
        <w:t>T</w:t>
      </w:r>
      <w:r w:rsidR="00293EFF">
        <w:rPr>
          <w:rFonts w:ascii="Times New Roman" w:hAnsi="Times New Roman"/>
          <w:b w:val="0"/>
          <w:sz w:val="20"/>
          <w:lang w:val="pt-BR"/>
        </w:rPr>
        <w:t>eores de</w:t>
      </w:r>
      <w:r w:rsidR="002148EB">
        <w:rPr>
          <w:rFonts w:ascii="Times New Roman" w:hAnsi="Times New Roman"/>
          <w:b w:val="0"/>
          <w:sz w:val="20"/>
          <w:lang w:val="pt-BR"/>
        </w:rPr>
        <w:t xml:space="preserve"> Ni de</w:t>
      </w:r>
      <w:r w:rsidR="00293EFF">
        <w:rPr>
          <w:rFonts w:ascii="Times New Roman" w:hAnsi="Times New Roman"/>
          <w:b w:val="0"/>
          <w:sz w:val="20"/>
          <w:lang w:val="pt-BR"/>
        </w:rPr>
        <w:t xml:space="preserve"> 0,1 e 1%</w:t>
      </w:r>
      <w:r w:rsidR="002148EB">
        <w:rPr>
          <w:rFonts w:ascii="Times New Roman" w:hAnsi="Times New Roman"/>
          <w:b w:val="0"/>
          <w:sz w:val="20"/>
          <w:lang w:val="pt-BR"/>
        </w:rPr>
        <w:t xml:space="preserve"> aceleraram a perda de massa dos polímeros precursores dos óxidos e dificultaram a transição do polimorfo anatase do TiO</w:t>
      </w:r>
      <w:r w:rsidR="002148EB">
        <w:rPr>
          <w:rFonts w:ascii="Times New Roman" w:hAnsi="Times New Roman"/>
          <w:b w:val="0"/>
          <w:sz w:val="20"/>
          <w:vertAlign w:val="subscript"/>
          <w:lang w:val="pt-BR"/>
        </w:rPr>
        <w:t>2</w:t>
      </w:r>
      <w:r w:rsidR="002148EB">
        <w:rPr>
          <w:rFonts w:ascii="Times New Roman" w:hAnsi="Times New Roman"/>
          <w:b w:val="0"/>
          <w:sz w:val="20"/>
          <w:lang w:val="pt-BR"/>
        </w:rPr>
        <w:t xml:space="preserve"> a rutilo.</w:t>
      </w:r>
      <w:r w:rsidR="00293EFF">
        <w:rPr>
          <w:rFonts w:ascii="Times New Roman" w:hAnsi="Times New Roman"/>
          <w:b w:val="0"/>
          <w:sz w:val="20"/>
          <w:lang w:val="pt-BR"/>
        </w:rPr>
        <w:t xml:space="preserve"> </w:t>
      </w:r>
      <w:r w:rsidR="004933F3">
        <w:rPr>
          <w:rFonts w:ascii="Times New Roman" w:hAnsi="Times New Roman"/>
          <w:b w:val="0"/>
          <w:sz w:val="20"/>
          <w:lang w:val="pt-BR"/>
        </w:rPr>
        <w:t>Os óxidos com 5 e 10% de Ni</w:t>
      </w:r>
      <w:r w:rsidR="001F60C3">
        <w:rPr>
          <w:rFonts w:ascii="Times New Roman" w:hAnsi="Times New Roman"/>
          <w:b w:val="0"/>
          <w:sz w:val="20"/>
          <w:lang w:val="pt-BR"/>
        </w:rPr>
        <w:t xml:space="preserve"> apresentaram, além dos polimorfos anatase e rutilo, a fase </w:t>
      </w:r>
      <w:r w:rsidR="001F60C3" w:rsidRPr="001F60C3">
        <w:rPr>
          <w:rFonts w:ascii="Times New Roman" w:hAnsi="Times New Roman"/>
          <w:b w:val="0"/>
          <w:sz w:val="20"/>
          <w:lang w:val="pt-BR"/>
        </w:rPr>
        <w:t>NiTiO</w:t>
      </w:r>
      <w:r w:rsidR="001F60C3">
        <w:rPr>
          <w:rFonts w:ascii="Times New Roman" w:hAnsi="Times New Roman"/>
          <w:b w:val="0"/>
          <w:sz w:val="20"/>
          <w:vertAlign w:val="subscript"/>
          <w:lang w:val="pt-BR"/>
        </w:rPr>
        <w:t>3</w:t>
      </w:r>
      <w:r w:rsidR="001F60C3">
        <w:rPr>
          <w:rFonts w:ascii="Times New Roman" w:hAnsi="Times New Roman"/>
          <w:b w:val="0"/>
          <w:sz w:val="20"/>
          <w:lang w:val="pt-BR"/>
        </w:rPr>
        <w:t xml:space="preserve"> </w:t>
      </w:r>
      <w:r w:rsidR="000C1C98">
        <w:rPr>
          <w:rFonts w:ascii="Times New Roman" w:hAnsi="Times New Roman"/>
          <w:b w:val="0"/>
          <w:sz w:val="20"/>
          <w:lang w:val="pt-BR"/>
        </w:rPr>
        <w:t xml:space="preserve">em sua composição, que conferiu </w:t>
      </w:r>
      <w:r w:rsidR="00480FE3">
        <w:rPr>
          <w:rFonts w:ascii="Times New Roman" w:hAnsi="Times New Roman"/>
          <w:b w:val="0"/>
          <w:sz w:val="20"/>
          <w:lang w:val="pt-BR"/>
        </w:rPr>
        <w:t xml:space="preserve">coloração amarelada às amostras. </w:t>
      </w:r>
      <w:r w:rsidR="000C1C98">
        <w:rPr>
          <w:rFonts w:ascii="Times New Roman" w:hAnsi="Times New Roman"/>
          <w:b w:val="0"/>
          <w:sz w:val="20"/>
          <w:lang w:val="pt-BR"/>
        </w:rPr>
        <w:t>A amostra com 10% de Ni</w:t>
      </w:r>
      <w:r w:rsidR="002D7F10">
        <w:rPr>
          <w:rFonts w:ascii="Times New Roman" w:hAnsi="Times New Roman"/>
          <w:b w:val="0"/>
          <w:sz w:val="20"/>
          <w:lang w:val="pt-BR"/>
        </w:rPr>
        <w:t xml:space="preserve"> </w:t>
      </w:r>
      <w:r w:rsidR="000C1C98">
        <w:rPr>
          <w:rFonts w:ascii="Times New Roman" w:hAnsi="Times New Roman"/>
          <w:b w:val="0"/>
          <w:sz w:val="20"/>
          <w:lang w:val="pt-BR"/>
        </w:rPr>
        <w:t xml:space="preserve">se destacou na remoção do corante por adsorção. A fotólise foi eficiente na degradação do corante apenas quando utilizada radiação UV; a radiação </w:t>
      </w:r>
      <w:r w:rsidR="000C1C98" w:rsidRPr="005E512E">
        <w:rPr>
          <w:rFonts w:ascii="Times New Roman" w:hAnsi="Times New Roman"/>
          <w:b w:val="0"/>
          <w:sz w:val="20"/>
          <w:lang w:val="pt-BR"/>
        </w:rPr>
        <w:t>visível não foi capaz de degradar o composto. Nos testes fotocatalíticos com radiação UV, todos os óxidos apresentaram atividade semelhante, porém, com o emprego da radiação visível</w:t>
      </w:r>
      <w:r w:rsidR="004933F3" w:rsidRPr="005E512E">
        <w:rPr>
          <w:rFonts w:ascii="Times New Roman" w:hAnsi="Times New Roman"/>
          <w:b w:val="0"/>
          <w:sz w:val="20"/>
          <w:lang w:val="pt-BR"/>
        </w:rPr>
        <w:t>,</w:t>
      </w:r>
      <w:r w:rsidR="000C1C98" w:rsidRPr="005E512E">
        <w:rPr>
          <w:rFonts w:ascii="Times New Roman" w:hAnsi="Times New Roman"/>
          <w:b w:val="0"/>
          <w:sz w:val="20"/>
          <w:lang w:val="pt-BR"/>
        </w:rPr>
        <w:t xml:space="preserve"> a amostra com 10% de Ni se destacou durante as primeiras 2 h de tratamento</w:t>
      </w:r>
      <w:r w:rsidR="005E512E" w:rsidRPr="005E512E">
        <w:rPr>
          <w:rFonts w:ascii="Times New Roman" w:hAnsi="Times New Roman"/>
          <w:b w:val="0"/>
          <w:sz w:val="20"/>
          <w:lang w:val="pt-BR"/>
        </w:rPr>
        <w:t>. E</w:t>
      </w:r>
      <w:r w:rsidR="000C1C98" w:rsidRPr="005E512E">
        <w:rPr>
          <w:rFonts w:ascii="Times New Roman" w:hAnsi="Times New Roman"/>
          <w:b w:val="0"/>
          <w:sz w:val="20"/>
          <w:lang w:val="pt-BR"/>
        </w:rPr>
        <w:t>m tempos</w:t>
      </w:r>
      <w:r w:rsidR="000C1C98">
        <w:rPr>
          <w:rFonts w:ascii="Times New Roman" w:hAnsi="Times New Roman"/>
          <w:b w:val="0"/>
          <w:sz w:val="20"/>
          <w:lang w:val="pt-BR"/>
        </w:rPr>
        <w:t xml:space="preserve"> maiores, o óxido não dopado foi o que mais degradou o corante.</w:t>
      </w:r>
    </w:p>
    <w:p w14:paraId="09B41B70" w14:textId="5B37BFB3" w:rsidR="00EA4E1B" w:rsidRPr="002D7F10"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D7F10">
        <w:rPr>
          <w:rFonts w:ascii="Times New Roman" w:hAnsi="Times New Roman"/>
          <w:b w:val="0"/>
          <w:i/>
          <w:sz w:val="20"/>
          <w:lang w:val="pt-BR"/>
        </w:rPr>
        <w:t>TiO</w:t>
      </w:r>
      <w:r w:rsidR="002D7F10">
        <w:rPr>
          <w:rFonts w:ascii="Times New Roman" w:hAnsi="Times New Roman"/>
          <w:b w:val="0"/>
          <w:i/>
          <w:sz w:val="20"/>
          <w:vertAlign w:val="subscript"/>
          <w:lang w:val="pt-BR"/>
        </w:rPr>
        <w:t>2</w:t>
      </w:r>
      <w:r w:rsidR="002D7F10">
        <w:rPr>
          <w:rFonts w:ascii="Times New Roman" w:hAnsi="Times New Roman"/>
          <w:b w:val="0"/>
          <w:i/>
          <w:sz w:val="20"/>
          <w:lang w:val="pt-BR"/>
        </w:rPr>
        <w:t>, dopagem, níquel, fotocatálise</w:t>
      </w:r>
      <w:r w:rsidR="000C1C98">
        <w:rPr>
          <w:rFonts w:ascii="Times New Roman" w:hAnsi="Times New Roman"/>
          <w:b w:val="0"/>
          <w:i/>
          <w:sz w:val="20"/>
          <w:lang w:val="pt-BR"/>
        </w:rPr>
        <w:t xml:space="preserve"> heterogênea</w:t>
      </w:r>
      <w:r w:rsidR="002D7F10">
        <w:rPr>
          <w:rFonts w:ascii="Times New Roman" w:hAnsi="Times New Roman"/>
          <w:b w:val="0"/>
          <w:i/>
          <w:sz w:val="20"/>
          <w:lang w:val="pt-BR"/>
        </w:rPr>
        <w:t>, corante</w:t>
      </w:r>
      <w:r w:rsidR="005E512E">
        <w:rPr>
          <w:rFonts w:ascii="Times New Roman" w:hAnsi="Times New Roman"/>
          <w:b w:val="0"/>
          <w:i/>
          <w:sz w:val="20"/>
          <w:lang w:val="pt-BR"/>
        </w:rPr>
        <w:t xml:space="preserve"> amarelo reativo BF-4G</w:t>
      </w:r>
      <w:r w:rsidR="00557FBA">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508A8469" w:rsidR="00EA4E1B" w:rsidRPr="006D10AB" w:rsidRDefault="00EA4E1B" w:rsidP="00EA4E1B">
      <w:pPr>
        <w:pStyle w:val="BDAbstract"/>
        <w:spacing w:before="0" w:after="0" w:line="240" w:lineRule="auto"/>
        <w:rPr>
          <w:rFonts w:ascii="Times New Roman" w:hAnsi="Times New Roman"/>
          <w:b w:val="0"/>
          <w:sz w:val="20"/>
        </w:rPr>
      </w:pPr>
      <w:r w:rsidRPr="006D10AB">
        <w:rPr>
          <w:rFonts w:ascii="Times New Roman" w:hAnsi="Times New Roman"/>
          <w:b w:val="0"/>
          <w:sz w:val="20"/>
        </w:rPr>
        <w:t xml:space="preserve">ABSTRACT </w:t>
      </w:r>
      <w:r w:rsidR="002D7F10" w:rsidRPr="006D10AB">
        <w:rPr>
          <w:rFonts w:ascii="Times New Roman" w:hAnsi="Times New Roman"/>
          <w:b w:val="0"/>
          <w:sz w:val="20"/>
        </w:rPr>
        <w:t>–</w:t>
      </w:r>
      <w:r w:rsidRPr="006D10AB">
        <w:rPr>
          <w:rFonts w:ascii="Times New Roman" w:hAnsi="Times New Roman"/>
          <w:b w:val="0"/>
          <w:sz w:val="20"/>
        </w:rPr>
        <w:t xml:space="preserve"> </w:t>
      </w:r>
      <w:r w:rsidR="000C1C98" w:rsidRPr="006D10AB">
        <w:rPr>
          <w:rFonts w:ascii="Times New Roman" w:hAnsi="Times New Roman"/>
          <w:b w:val="0"/>
          <w:sz w:val="20"/>
        </w:rPr>
        <w:t>The effect of nickel doping in the structure of TiO</w:t>
      </w:r>
      <w:r w:rsidR="000C1C98" w:rsidRPr="006D10AB">
        <w:rPr>
          <w:rFonts w:ascii="Times New Roman" w:hAnsi="Times New Roman"/>
          <w:b w:val="0"/>
          <w:sz w:val="20"/>
          <w:vertAlign w:val="subscript"/>
        </w:rPr>
        <w:t>2</w:t>
      </w:r>
      <w:r w:rsidR="000C1C98" w:rsidRPr="006D10AB">
        <w:rPr>
          <w:rFonts w:ascii="Times New Roman" w:hAnsi="Times New Roman"/>
          <w:b w:val="0"/>
          <w:sz w:val="20"/>
        </w:rPr>
        <w:t xml:space="preserve"> on its properties and activity in the photocatalytic degradation of the reactive yellow textile dye BF-4G was investigated. TiO</w:t>
      </w:r>
      <w:r w:rsidR="000C1C98" w:rsidRPr="006D10AB">
        <w:rPr>
          <w:rFonts w:ascii="Times New Roman" w:hAnsi="Times New Roman"/>
          <w:b w:val="0"/>
          <w:sz w:val="20"/>
          <w:vertAlign w:val="subscript"/>
        </w:rPr>
        <w:t>2</w:t>
      </w:r>
      <w:r w:rsidR="000C1C98" w:rsidRPr="006D10AB">
        <w:rPr>
          <w:rFonts w:ascii="Times New Roman" w:hAnsi="Times New Roman"/>
          <w:b w:val="0"/>
          <w:sz w:val="20"/>
        </w:rPr>
        <w:t xml:space="preserve"> was synthesized in its pure form and with different molar contents of nickel (0.1; 1; 5 and 10%). The oxides were characterized by X-ray diffraction, colorimetric and thermogravimetric analysis. Ni contents of 0.1 and 1% accelerated the mass loss of the oxide precursor polymers and hindered the transition of the TiO</w:t>
      </w:r>
      <w:r w:rsidR="000C1C98" w:rsidRPr="006D10AB">
        <w:rPr>
          <w:rFonts w:ascii="Times New Roman" w:hAnsi="Times New Roman"/>
          <w:b w:val="0"/>
          <w:sz w:val="20"/>
          <w:vertAlign w:val="subscript"/>
        </w:rPr>
        <w:t>2</w:t>
      </w:r>
      <w:r w:rsidR="000C1C98" w:rsidRPr="006D10AB">
        <w:rPr>
          <w:rFonts w:ascii="Times New Roman" w:hAnsi="Times New Roman"/>
          <w:b w:val="0"/>
          <w:sz w:val="20"/>
        </w:rPr>
        <w:t xml:space="preserve"> anatase polymorph to rutile. The oxides with 5 and 10% of Ni presented, in addition to the anatase and rutile polymorphs, the NiTiO</w:t>
      </w:r>
      <w:r w:rsidR="000C1C98" w:rsidRPr="006D10AB">
        <w:rPr>
          <w:rFonts w:ascii="Times New Roman" w:hAnsi="Times New Roman"/>
          <w:b w:val="0"/>
          <w:sz w:val="20"/>
          <w:vertAlign w:val="subscript"/>
        </w:rPr>
        <w:t>3</w:t>
      </w:r>
      <w:r w:rsidR="000C1C98" w:rsidRPr="006D10AB">
        <w:rPr>
          <w:rFonts w:ascii="Times New Roman" w:hAnsi="Times New Roman"/>
          <w:b w:val="0"/>
          <w:sz w:val="20"/>
        </w:rPr>
        <w:t xml:space="preserve"> phase in their composition, which gave the samples a yellowish color. The sample with 10% Ni stood out in removing the dye by adsorption. Photolysis was efficient in dye degradation only when UV radiation </w:t>
      </w:r>
      <w:r w:rsidR="000C1C98" w:rsidRPr="005E512E">
        <w:rPr>
          <w:rFonts w:ascii="Times New Roman" w:hAnsi="Times New Roman"/>
          <w:b w:val="0"/>
          <w:sz w:val="20"/>
        </w:rPr>
        <w:t>was used; visible radiation was not able to degrade the compound. In the photocatalytic tests with UV radiation, all oxides showed similar activity, however, with the use of visible radiation, the sample with 10% Ni stood out during the first 2 h of treatment</w:t>
      </w:r>
      <w:r w:rsidR="005E512E" w:rsidRPr="005E512E">
        <w:rPr>
          <w:rFonts w:ascii="Times New Roman" w:hAnsi="Times New Roman"/>
          <w:b w:val="0"/>
          <w:sz w:val="20"/>
        </w:rPr>
        <w:t>. A</w:t>
      </w:r>
      <w:r w:rsidR="000C1C98" w:rsidRPr="005E512E">
        <w:rPr>
          <w:rFonts w:ascii="Times New Roman" w:hAnsi="Times New Roman"/>
          <w:b w:val="0"/>
          <w:sz w:val="20"/>
        </w:rPr>
        <w:t>t</w:t>
      </w:r>
      <w:r w:rsidR="000C1C98" w:rsidRPr="006D10AB">
        <w:rPr>
          <w:rFonts w:ascii="Times New Roman" w:hAnsi="Times New Roman"/>
          <w:b w:val="0"/>
          <w:sz w:val="20"/>
        </w:rPr>
        <w:t xml:space="preserve"> longer times, the undoped oxide was the one that most degraded the dye</w:t>
      </w:r>
      <w:r w:rsidR="005E512E">
        <w:rPr>
          <w:rFonts w:ascii="Times New Roman" w:hAnsi="Times New Roman"/>
          <w:b w:val="0"/>
          <w:sz w:val="20"/>
        </w:rPr>
        <w:t>.</w:t>
      </w:r>
    </w:p>
    <w:p w14:paraId="48D9B0C4" w14:textId="51CCF0EF" w:rsidR="00EA4E1B" w:rsidRPr="00557FBA" w:rsidRDefault="00EA4E1B" w:rsidP="00557FBA">
      <w:pPr>
        <w:pStyle w:val="BDAbstract"/>
        <w:spacing w:before="0" w:after="120" w:line="240" w:lineRule="auto"/>
        <w:rPr>
          <w:rFonts w:ascii="Times New Roman" w:hAnsi="Times New Roman"/>
          <w:b w:val="0"/>
          <w:i/>
          <w:sz w:val="20"/>
        </w:rPr>
        <w:sectPr w:rsidR="00EA4E1B" w:rsidRPr="00557FBA" w:rsidSect="00EA4E1B">
          <w:headerReference w:type="default" r:id="rId8"/>
          <w:endnotePr>
            <w:numFmt w:val="decimal"/>
          </w:endnotePr>
          <w:pgSz w:w="11906" w:h="16838"/>
          <w:pgMar w:top="1418" w:right="1094" w:bottom="1418" w:left="567" w:header="709" w:footer="709" w:gutter="0"/>
          <w:cols w:space="708"/>
          <w:docGrid w:linePitch="360"/>
        </w:sectPr>
      </w:pPr>
      <w:r w:rsidRPr="006D10AB">
        <w:rPr>
          <w:rFonts w:ascii="Times New Roman" w:hAnsi="Times New Roman"/>
          <w:b w:val="0"/>
          <w:i/>
          <w:sz w:val="20"/>
        </w:rPr>
        <w:t>Keywords</w:t>
      </w:r>
      <w:r w:rsidRPr="005E512E">
        <w:rPr>
          <w:rFonts w:ascii="Times New Roman" w:hAnsi="Times New Roman"/>
          <w:b w:val="0"/>
          <w:i/>
          <w:sz w:val="20"/>
        </w:rPr>
        <w:t xml:space="preserve">: </w:t>
      </w:r>
      <w:r w:rsidR="00D25BFA" w:rsidRPr="005E512E">
        <w:rPr>
          <w:rFonts w:ascii="Times New Roman" w:hAnsi="Times New Roman"/>
          <w:b w:val="0"/>
          <w:i/>
          <w:sz w:val="20"/>
        </w:rPr>
        <w:t>TiO</w:t>
      </w:r>
      <w:r w:rsidR="00D25BFA" w:rsidRPr="005E512E">
        <w:rPr>
          <w:rFonts w:ascii="Times New Roman" w:hAnsi="Times New Roman"/>
          <w:b w:val="0"/>
          <w:i/>
          <w:sz w:val="20"/>
          <w:vertAlign w:val="subscript"/>
        </w:rPr>
        <w:t>2</w:t>
      </w:r>
      <w:r w:rsidR="00D25BFA" w:rsidRPr="005E512E">
        <w:rPr>
          <w:rFonts w:ascii="Times New Roman" w:hAnsi="Times New Roman"/>
          <w:b w:val="0"/>
          <w:i/>
          <w:sz w:val="20"/>
        </w:rPr>
        <w:t>, doping,</w:t>
      </w:r>
      <w:r w:rsidR="00D25BFA" w:rsidRPr="006D10AB">
        <w:rPr>
          <w:rFonts w:ascii="Times New Roman" w:hAnsi="Times New Roman"/>
          <w:b w:val="0"/>
          <w:i/>
          <w:sz w:val="20"/>
        </w:rPr>
        <w:t xml:space="preserve"> nickel, </w:t>
      </w:r>
      <w:r w:rsidR="000C1C98" w:rsidRPr="006D10AB">
        <w:rPr>
          <w:rFonts w:ascii="Times New Roman" w:hAnsi="Times New Roman"/>
          <w:b w:val="0"/>
          <w:i/>
          <w:sz w:val="20"/>
        </w:rPr>
        <w:t xml:space="preserve">heterogeneous </w:t>
      </w:r>
      <w:r w:rsidR="00D25BFA" w:rsidRPr="006D10AB">
        <w:rPr>
          <w:rFonts w:ascii="Times New Roman" w:hAnsi="Times New Roman"/>
          <w:b w:val="0"/>
          <w:i/>
          <w:sz w:val="20"/>
        </w:rPr>
        <w:t xml:space="preserve">photocatalysis, </w:t>
      </w:r>
      <w:r w:rsidR="005E512E" w:rsidRPr="005E512E">
        <w:rPr>
          <w:rFonts w:ascii="Times New Roman" w:hAnsi="Times New Roman"/>
          <w:b w:val="0"/>
          <w:i/>
          <w:sz w:val="20"/>
          <w:lang w:val="pt-BR"/>
        </w:rPr>
        <w:t>BF-4G reactive yellow dye</w:t>
      </w:r>
      <w:bookmarkEnd w:id="0"/>
      <w:r w:rsidR="00557FBA">
        <w:rPr>
          <w:rFonts w:ascii="Times New Roman" w:hAnsi="Times New Roman"/>
          <w:b w:val="0"/>
          <w:i/>
          <w:sz w:val="20"/>
          <w:lang w:val="pt-BR"/>
        </w:rPr>
        <w:t>.</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14:paraId="1AFB8362" w14:textId="2059A928" w:rsidR="00561F5E" w:rsidRDefault="00561F5E" w:rsidP="00EA4E1B">
      <w:pPr>
        <w:pStyle w:val="TAMainText"/>
        <w:rPr>
          <w:rFonts w:ascii="Times New Roman" w:hAnsi="Times New Roman"/>
          <w:lang w:val="pt-BR"/>
        </w:rPr>
      </w:pPr>
      <w:r>
        <w:rPr>
          <w:rFonts w:ascii="Times New Roman" w:hAnsi="Times New Roman"/>
          <w:lang w:val="pt-BR"/>
        </w:rPr>
        <w:t xml:space="preserve">Os recursos hídricos vêm sendo constantemente contaminados por inúmeros compostos químicos </w:t>
      </w:r>
      <w:r w:rsidR="000C1C98">
        <w:rPr>
          <w:rFonts w:ascii="Times New Roman" w:hAnsi="Times New Roman"/>
          <w:lang w:val="pt-BR"/>
        </w:rPr>
        <w:t>destacando-se os corantes oriundos principalmente de processos da indústria têxtil</w:t>
      </w:r>
      <w:r w:rsidR="00205C30">
        <w:rPr>
          <w:rFonts w:ascii="Times New Roman" w:hAnsi="Times New Roman"/>
          <w:lang w:val="pt-BR"/>
        </w:rPr>
        <w:t>,</w:t>
      </w:r>
      <w:r w:rsidR="000C1C98">
        <w:rPr>
          <w:rFonts w:ascii="Times New Roman" w:hAnsi="Times New Roman"/>
          <w:lang w:val="pt-BR"/>
        </w:rPr>
        <w:t xml:space="preserve"> que </w:t>
      </w:r>
      <w:r>
        <w:rPr>
          <w:rFonts w:ascii="Times New Roman" w:hAnsi="Times New Roman"/>
          <w:lang w:val="pt-BR"/>
        </w:rPr>
        <w:t>apresenta</w:t>
      </w:r>
      <w:r w:rsidR="00205C30">
        <w:rPr>
          <w:rFonts w:ascii="Times New Roman" w:hAnsi="Times New Roman"/>
          <w:lang w:val="pt-BR"/>
        </w:rPr>
        <w:t>m</w:t>
      </w:r>
      <w:r>
        <w:rPr>
          <w:rFonts w:ascii="Times New Roman" w:hAnsi="Times New Roman"/>
          <w:lang w:val="pt-BR"/>
        </w:rPr>
        <w:t xml:space="preserve"> estruturas moleculares complexas, </w:t>
      </w:r>
      <w:r w:rsidR="000C1C98">
        <w:rPr>
          <w:rFonts w:ascii="Times New Roman" w:hAnsi="Times New Roman"/>
          <w:lang w:val="pt-BR"/>
        </w:rPr>
        <w:t xml:space="preserve">com a </w:t>
      </w:r>
      <w:r>
        <w:rPr>
          <w:rFonts w:ascii="Times New Roman" w:hAnsi="Times New Roman"/>
          <w:lang w:val="pt-BR"/>
        </w:rPr>
        <w:t>presença d</w:t>
      </w:r>
      <w:r w:rsidR="000C1C98">
        <w:rPr>
          <w:rFonts w:ascii="Times New Roman" w:hAnsi="Times New Roman"/>
          <w:lang w:val="pt-BR"/>
        </w:rPr>
        <w:t>e</w:t>
      </w:r>
      <w:r>
        <w:rPr>
          <w:rFonts w:ascii="Times New Roman" w:hAnsi="Times New Roman"/>
          <w:lang w:val="pt-BR"/>
        </w:rPr>
        <w:t xml:space="preserve"> anéis aromáticos,</w:t>
      </w:r>
      <w:r w:rsidR="007F2419">
        <w:rPr>
          <w:rFonts w:ascii="Times New Roman" w:hAnsi="Times New Roman"/>
          <w:lang w:val="pt-BR"/>
        </w:rPr>
        <w:t xml:space="preserve"> o que dificulta a sua descontaminação por processos convencionais de tratamento</w:t>
      </w:r>
      <w:r>
        <w:rPr>
          <w:rFonts w:ascii="Times New Roman" w:hAnsi="Times New Roman"/>
          <w:lang w:val="pt-BR"/>
        </w:rPr>
        <w:t xml:space="preserve"> </w:t>
      </w:r>
    </w:p>
    <w:p w14:paraId="2261EDE0" w14:textId="16C7AB50" w:rsidR="00561F5E" w:rsidRPr="00D66E11" w:rsidRDefault="00213B07" w:rsidP="00EA4E1B">
      <w:pPr>
        <w:pStyle w:val="TAMainText"/>
        <w:rPr>
          <w:rFonts w:ascii="Times New Roman" w:hAnsi="Times New Roman"/>
          <w:lang w:val="pt-BR"/>
        </w:rPr>
      </w:pPr>
      <w:r>
        <w:rPr>
          <w:rFonts w:ascii="Times New Roman" w:hAnsi="Times New Roman"/>
          <w:lang w:val="pt-BR"/>
        </w:rPr>
        <w:t>Os Process</w:t>
      </w:r>
      <w:r w:rsidR="00205C30">
        <w:rPr>
          <w:rFonts w:ascii="Times New Roman" w:hAnsi="Times New Roman"/>
          <w:lang w:val="pt-BR"/>
        </w:rPr>
        <w:t>os Oxidativos Avançados (POA’s)</w:t>
      </w:r>
      <w:r>
        <w:rPr>
          <w:rFonts w:ascii="Times New Roman" w:hAnsi="Times New Roman"/>
          <w:lang w:val="pt-BR"/>
        </w:rPr>
        <w:t xml:space="preserve"> estão </w:t>
      </w:r>
      <w:r w:rsidR="007F2419">
        <w:rPr>
          <w:rFonts w:ascii="Times New Roman" w:hAnsi="Times New Roman"/>
          <w:lang w:val="pt-BR"/>
        </w:rPr>
        <w:t xml:space="preserve">consolidando como </w:t>
      </w:r>
      <w:r>
        <w:rPr>
          <w:rFonts w:ascii="Times New Roman" w:hAnsi="Times New Roman"/>
          <w:lang w:val="pt-BR"/>
        </w:rPr>
        <w:t xml:space="preserve">uma alternativa para melhorar o processo de degradação de contaminantes de difícil remoção do meio líquido. </w:t>
      </w:r>
      <w:r w:rsidR="007F2419">
        <w:rPr>
          <w:rFonts w:ascii="Times New Roman" w:hAnsi="Times New Roman"/>
          <w:lang w:val="pt-BR"/>
        </w:rPr>
        <w:t>Tais processos</w:t>
      </w:r>
      <w:r w:rsidR="006F3B60">
        <w:rPr>
          <w:rFonts w:ascii="Times New Roman" w:hAnsi="Times New Roman"/>
          <w:lang w:val="pt-BR"/>
        </w:rPr>
        <w:t xml:space="preserve"> são caracterizados pela formação d</w:t>
      </w:r>
      <w:r w:rsidR="007F2419">
        <w:rPr>
          <w:rFonts w:ascii="Times New Roman" w:hAnsi="Times New Roman"/>
          <w:lang w:val="pt-BR"/>
        </w:rPr>
        <w:t>e</w:t>
      </w:r>
      <w:r w:rsidR="006F3B60">
        <w:rPr>
          <w:rFonts w:ascii="Times New Roman" w:hAnsi="Times New Roman"/>
          <w:lang w:val="pt-BR"/>
        </w:rPr>
        <w:t xml:space="preserve"> radicais hidroxila </w:t>
      </w:r>
      <w:r w:rsidR="006F3B60" w:rsidRPr="006F3B60">
        <w:rPr>
          <w:rFonts w:ascii="Times New Roman" w:hAnsi="Times New Roman"/>
          <w:lang w:val="pt-BR"/>
        </w:rPr>
        <w:t>(</w:t>
      </w:r>
      <w:r w:rsidR="006F3B60" w:rsidRPr="00205C30">
        <w:rPr>
          <w:rFonts w:ascii="Times New Roman" w:hAnsi="Times New Roman"/>
          <w:vertAlign w:val="superscript"/>
          <w:lang w:val="pt-BR"/>
        </w:rPr>
        <w:t>●</w:t>
      </w:r>
      <w:r w:rsidR="006F3B60" w:rsidRPr="006F3B60">
        <w:rPr>
          <w:rFonts w:ascii="Times New Roman" w:hAnsi="Times New Roman"/>
          <w:lang w:val="pt-BR"/>
        </w:rPr>
        <w:t>OH)</w:t>
      </w:r>
      <w:r w:rsidR="006F3B60">
        <w:rPr>
          <w:rFonts w:ascii="Times New Roman" w:hAnsi="Times New Roman"/>
          <w:lang w:val="pt-BR"/>
        </w:rPr>
        <w:t>, que possuem elevado poder oxidativo</w:t>
      </w:r>
      <w:r w:rsidR="007F2419">
        <w:rPr>
          <w:rFonts w:ascii="Times New Roman" w:hAnsi="Times New Roman"/>
          <w:lang w:val="pt-BR"/>
        </w:rPr>
        <w:t>,</w:t>
      </w:r>
      <w:r w:rsidR="006F3B60">
        <w:rPr>
          <w:rFonts w:ascii="Times New Roman" w:hAnsi="Times New Roman"/>
          <w:lang w:val="pt-BR"/>
        </w:rPr>
        <w:t xml:space="preserve"> capazes de atuar </w:t>
      </w:r>
      <w:r w:rsidR="006F3B60" w:rsidRPr="00D66E11">
        <w:rPr>
          <w:rFonts w:ascii="Times New Roman" w:hAnsi="Times New Roman"/>
          <w:lang w:val="pt-BR"/>
        </w:rPr>
        <w:t>sobre substratos orgânicos e inorgânicos.</w:t>
      </w:r>
      <w:r w:rsidR="00B54FC1" w:rsidRPr="00D66E11">
        <w:rPr>
          <w:rFonts w:ascii="Times New Roman" w:hAnsi="Times New Roman"/>
          <w:lang w:val="pt-BR"/>
        </w:rPr>
        <w:t xml:space="preserve"> Idealmente os contaminantes orgânicos </w:t>
      </w:r>
      <w:r w:rsidR="007F2419" w:rsidRPr="00D66E11">
        <w:rPr>
          <w:rFonts w:ascii="Times New Roman" w:hAnsi="Times New Roman"/>
          <w:lang w:val="pt-BR"/>
        </w:rPr>
        <w:t xml:space="preserve">são </w:t>
      </w:r>
      <w:r w:rsidR="00B54FC1" w:rsidRPr="00D66E11">
        <w:rPr>
          <w:rFonts w:ascii="Times New Roman" w:hAnsi="Times New Roman"/>
          <w:lang w:val="pt-BR"/>
        </w:rPr>
        <w:t>mineralizados a CO</w:t>
      </w:r>
      <w:r w:rsidR="00B54FC1" w:rsidRPr="00D66E11">
        <w:rPr>
          <w:rFonts w:ascii="Times New Roman" w:hAnsi="Times New Roman"/>
          <w:vertAlign w:val="subscript"/>
          <w:lang w:val="pt-BR"/>
        </w:rPr>
        <w:t>2</w:t>
      </w:r>
      <w:r w:rsidR="00B54FC1" w:rsidRPr="00D66E11">
        <w:rPr>
          <w:rFonts w:ascii="Times New Roman" w:hAnsi="Times New Roman"/>
          <w:lang w:val="pt-BR"/>
        </w:rPr>
        <w:t>, H</w:t>
      </w:r>
      <w:r w:rsidR="00B54FC1" w:rsidRPr="00D66E11">
        <w:rPr>
          <w:rFonts w:ascii="Times New Roman" w:hAnsi="Times New Roman"/>
          <w:vertAlign w:val="subscript"/>
          <w:lang w:val="pt-BR"/>
        </w:rPr>
        <w:t>2</w:t>
      </w:r>
      <w:r w:rsidR="00B54FC1" w:rsidRPr="00D66E11">
        <w:rPr>
          <w:rFonts w:ascii="Times New Roman" w:hAnsi="Times New Roman"/>
          <w:lang w:val="pt-BR"/>
        </w:rPr>
        <w:t>O e minerais (</w:t>
      </w:r>
      <w:r w:rsidR="00D66E11" w:rsidRPr="00D66E11">
        <w:rPr>
          <w:rFonts w:ascii="Times New Roman" w:hAnsi="Times New Roman"/>
          <w:lang w:val="pt-BR"/>
        </w:rPr>
        <w:t>1</w:t>
      </w:r>
      <w:r w:rsidR="00B54FC1" w:rsidRPr="00D66E11">
        <w:rPr>
          <w:rFonts w:ascii="Times New Roman" w:hAnsi="Times New Roman"/>
          <w:lang w:val="pt-BR"/>
        </w:rPr>
        <w:t>).</w:t>
      </w:r>
    </w:p>
    <w:p w14:paraId="6B2078C2" w14:textId="475F802F" w:rsidR="00B54FC1" w:rsidRDefault="00B54FC1" w:rsidP="00EA4E1B">
      <w:pPr>
        <w:pStyle w:val="TAMainText"/>
        <w:rPr>
          <w:rFonts w:ascii="Times New Roman" w:hAnsi="Times New Roman"/>
          <w:lang w:val="pt-BR"/>
        </w:rPr>
      </w:pPr>
      <w:r w:rsidRPr="00D66E11">
        <w:rPr>
          <w:rFonts w:ascii="Times New Roman" w:hAnsi="Times New Roman"/>
          <w:lang w:val="pt-BR"/>
        </w:rPr>
        <w:t>Dentre os POA’s</w:t>
      </w:r>
      <w:r w:rsidR="00D66E11">
        <w:rPr>
          <w:rFonts w:ascii="Times New Roman" w:hAnsi="Times New Roman"/>
          <w:lang w:val="pt-BR"/>
        </w:rPr>
        <w:t>,</w:t>
      </w:r>
      <w:r w:rsidRPr="00D66E11">
        <w:rPr>
          <w:rFonts w:ascii="Times New Roman" w:hAnsi="Times New Roman"/>
          <w:lang w:val="pt-BR"/>
        </w:rPr>
        <w:t xml:space="preserve"> a fotocatálise heterogênea</w:t>
      </w:r>
      <w:r>
        <w:rPr>
          <w:rFonts w:ascii="Times New Roman" w:hAnsi="Times New Roman"/>
          <w:lang w:val="pt-BR"/>
        </w:rPr>
        <w:t xml:space="preserve"> vem se destacando</w:t>
      </w:r>
      <w:r w:rsidR="007F2419">
        <w:rPr>
          <w:rFonts w:ascii="Times New Roman" w:hAnsi="Times New Roman"/>
          <w:lang w:val="pt-BR"/>
        </w:rPr>
        <w:t xml:space="preserve">. Trata-se de um </w:t>
      </w:r>
      <w:r>
        <w:rPr>
          <w:rFonts w:ascii="Times New Roman" w:hAnsi="Times New Roman"/>
          <w:lang w:val="pt-BR"/>
        </w:rPr>
        <w:t xml:space="preserve">processo </w:t>
      </w:r>
      <w:r w:rsidR="007F2419">
        <w:rPr>
          <w:rFonts w:ascii="Times New Roman" w:hAnsi="Times New Roman"/>
          <w:lang w:val="pt-BR"/>
        </w:rPr>
        <w:t xml:space="preserve">que </w:t>
      </w:r>
      <w:r>
        <w:rPr>
          <w:rFonts w:ascii="Times New Roman" w:hAnsi="Times New Roman"/>
          <w:lang w:val="pt-BR"/>
        </w:rPr>
        <w:t xml:space="preserve">faz uso de um </w:t>
      </w:r>
      <w:r>
        <w:rPr>
          <w:rFonts w:ascii="Times New Roman" w:hAnsi="Times New Roman"/>
          <w:lang w:val="pt-BR"/>
        </w:rPr>
        <w:lastRenderedPageBreak/>
        <w:t>semicondutor sólido e radiação ultravioleta (UV) ou visível (V</w:t>
      </w:r>
      <w:r w:rsidR="007F2419">
        <w:rPr>
          <w:rFonts w:ascii="Times New Roman" w:hAnsi="Times New Roman"/>
          <w:lang w:val="pt-BR"/>
        </w:rPr>
        <w:t>is</w:t>
      </w:r>
      <w:r>
        <w:rPr>
          <w:rFonts w:ascii="Times New Roman" w:hAnsi="Times New Roman"/>
          <w:lang w:val="pt-BR"/>
        </w:rPr>
        <w:t>)</w:t>
      </w:r>
      <w:r w:rsidR="007F2419">
        <w:rPr>
          <w:rFonts w:ascii="Times New Roman" w:hAnsi="Times New Roman"/>
          <w:lang w:val="pt-BR"/>
        </w:rPr>
        <w:t xml:space="preserve"> que</w:t>
      </w:r>
      <w:r w:rsidR="00D66E11">
        <w:rPr>
          <w:rFonts w:ascii="Times New Roman" w:hAnsi="Times New Roman"/>
          <w:lang w:val="pt-BR"/>
        </w:rPr>
        <w:t>,</w:t>
      </w:r>
      <w:r w:rsidR="007F2419">
        <w:rPr>
          <w:rFonts w:ascii="Times New Roman" w:hAnsi="Times New Roman"/>
          <w:lang w:val="pt-BR"/>
        </w:rPr>
        <w:t xml:space="preserve"> ao incidir sobre o semicondutor, excita os elétrons da banda de valência (BV) para a banda de condução (BC), levando à</w:t>
      </w:r>
      <w:r>
        <w:rPr>
          <w:rFonts w:ascii="Times New Roman" w:hAnsi="Times New Roman"/>
          <w:lang w:val="pt-BR"/>
        </w:rPr>
        <w:t xml:space="preserve"> </w:t>
      </w:r>
      <w:r w:rsidR="00075388">
        <w:rPr>
          <w:rFonts w:ascii="Times New Roman" w:hAnsi="Times New Roman"/>
          <w:lang w:val="pt-BR"/>
        </w:rPr>
        <w:t>formação d</w:t>
      </w:r>
      <w:r w:rsidR="007F2419">
        <w:rPr>
          <w:rFonts w:ascii="Times New Roman" w:hAnsi="Times New Roman"/>
          <w:lang w:val="pt-BR"/>
        </w:rPr>
        <w:t>e lacunas positivamente carregadas (h</w:t>
      </w:r>
      <w:r w:rsidR="007F2419">
        <w:rPr>
          <w:rFonts w:ascii="Times New Roman" w:hAnsi="Times New Roman"/>
          <w:vertAlign w:val="superscript"/>
          <w:lang w:val="pt-BR"/>
        </w:rPr>
        <w:t>+</w:t>
      </w:r>
      <w:r w:rsidR="007F2419">
        <w:rPr>
          <w:rFonts w:ascii="Times New Roman" w:hAnsi="Times New Roman"/>
          <w:lang w:val="pt-BR"/>
        </w:rPr>
        <w:t>) na BV e acúmulo de elétron (e</w:t>
      </w:r>
      <w:r w:rsidR="007F2419">
        <w:rPr>
          <w:rFonts w:ascii="Times New Roman" w:hAnsi="Times New Roman"/>
          <w:vertAlign w:val="superscript"/>
          <w:lang w:val="pt-BR"/>
        </w:rPr>
        <w:t>-</w:t>
      </w:r>
      <w:r w:rsidR="007F2419">
        <w:rPr>
          <w:rFonts w:ascii="Times New Roman" w:hAnsi="Times New Roman"/>
          <w:lang w:val="pt-BR"/>
        </w:rPr>
        <w:t>) na BC, os chamados</w:t>
      </w:r>
      <w:r w:rsidR="00075388">
        <w:rPr>
          <w:rFonts w:ascii="Times New Roman" w:hAnsi="Times New Roman"/>
          <w:lang w:val="pt-BR"/>
        </w:rPr>
        <w:t xml:space="preserve"> pares elétron/lacuna </w:t>
      </w:r>
      <w:r w:rsidR="00075388" w:rsidRPr="00075388">
        <w:rPr>
          <w:rFonts w:ascii="Times New Roman" w:hAnsi="Times New Roman"/>
          <w:lang w:val="pt-BR"/>
        </w:rPr>
        <w:t>(e</w:t>
      </w:r>
      <w:r w:rsidR="00075388" w:rsidRPr="00D66E11">
        <w:rPr>
          <w:rFonts w:ascii="Times New Roman" w:hAnsi="Times New Roman"/>
          <w:vertAlign w:val="superscript"/>
          <w:lang w:val="pt-BR"/>
        </w:rPr>
        <w:t>-</w:t>
      </w:r>
      <w:r w:rsidR="00075388" w:rsidRPr="00075388">
        <w:rPr>
          <w:rFonts w:ascii="Times New Roman" w:hAnsi="Times New Roman"/>
          <w:lang w:val="pt-BR"/>
        </w:rPr>
        <w:t>/h</w:t>
      </w:r>
      <w:r w:rsidR="00075388" w:rsidRPr="00D66E11">
        <w:rPr>
          <w:rFonts w:ascii="Times New Roman" w:hAnsi="Times New Roman"/>
          <w:vertAlign w:val="superscript"/>
          <w:lang w:val="pt-BR"/>
        </w:rPr>
        <w:t>+</w:t>
      </w:r>
      <w:r w:rsidR="00075388" w:rsidRPr="00075388">
        <w:rPr>
          <w:rFonts w:ascii="Times New Roman" w:hAnsi="Times New Roman"/>
          <w:lang w:val="pt-BR"/>
        </w:rPr>
        <w:t>)</w:t>
      </w:r>
      <w:r w:rsidR="00075388">
        <w:rPr>
          <w:rFonts w:ascii="Times New Roman" w:hAnsi="Times New Roman"/>
          <w:lang w:val="pt-BR"/>
        </w:rPr>
        <w:t xml:space="preserve">, </w:t>
      </w:r>
      <w:r w:rsidR="007F2419">
        <w:rPr>
          <w:rFonts w:ascii="Times New Roman" w:hAnsi="Times New Roman"/>
          <w:lang w:val="pt-BR"/>
        </w:rPr>
        <w:t xml:space="preserve">que </w:t>
      </w:r>
      <w:r w:rsidR="00075388">
        <w:rPr>
          <w:rFonts w:ascii="Times New Roman" w:hAnsi="Times New Roman"/>
          <w:lang w:val="pt-BR"/>
        </w:rPr>
        <w:t>são capazes de promover reações de oxirreduç</w:t>
      </w:r>
      <w:r w:rsidR="007F2419">
        <w:rPr>
          <w:rFonts w:ascii="Times New Roman" w:hAnsi="Times New Roman"/>
          <w:lang w:val="pt-BR"/>
        </w:rPr>
        <w:t>ão</w:t>
      </w:r>
      <w:r w:rsidR="00075388">
        <w:rPr>
          <w:rFonts w:ascii="Times New Roman" w:hAnsi="Times New Roman"/>
          <w:lang w:val="pt-BR"/>
        </w:rPr>
        <w:t xml:space="preserve">, </w:t>
      </w:r>
      <w:r w:rsidR="007F2419">
        <w:rPr>
          <w:rFonts w:ascii="Times New Roman" w:hAnsi="Times New Roman"/>
          <w:lang w:val="pt-BR"/>
        </w:rPr>
        <w:t>resultando na formação do</w:t>
      </w:r>
      <w:r w:rsidR="00075388">
        <w:rPr>
          <w:rFonts w:ascii="Times New Roman" w:hAnsi="Times New Roman"/>
          <w:lang w:val="pt-BR"/>
        </w:rPr>
        <w:t xml:space="preserve">s radicais que </w:t>
      </w:r>
      <w:r w:rsidR="00075388" w:rsidRPr="00D66E11">
        <w:rPr>
          <w:rFonts w:ascii="Times New Roman" w:hAnsi="Times New Roman"/>
          <w:lang w:val="pt-BR"/>
        </w:rPr>
        <w:t xml:space="preserve">podem degradar as moléculas do contaminante </w:t>
      </w:r>
      <w:r w:rsidR="007F2419" w:rsidRPr="00D66E11">
        <w:rPr>
          <w:rFonts w:ascii="Times New Roman" w:hAnsi="Times New Roman"/>
          <w:lang w:val="pt-BR"/>
        </w:rPr>
        <w:t xml:space="preserve">de interesse </w:t>
      </w:r>
      <w:r w:rsidR="00075388" w:rsidRPr="00D66E11">
        <w:rPr>
          <w:rFonts w:ascii="Times New Roman" w:hAnsi="Times New Roman"/>
          <w:lang w:val="pt-BR"/>
        </w:rPr>
        <w:t>(</w:t>
      </w:r>
      <w:r w:rsidR="00D66E11" w:rsidRPr="00D66E11">
        <w:rPr>
          <w:rFonts w:ascii="Times New Roman" w:hAnsi="Times New Roman"/>
          <w:lang w:val="pt-BR"/>
        </w:rPr>
        <w:t>2</w:t>
      </w:r>
      <w:r w:rsidR="00075388" w:rsidRPr="00D66E11">
        <w:rPr>
          <w:rFonts w:ascii="Times New Roman" w:hAnsi="Times New Roman"/>
          <w:lang w:val="pt-BR"/>
        </w:rPr>
        <w:t>).</w:t>
      </w:r>
    </w:p>
    <w:p w14:paraId="3F5B94B0" w14:textId="50EE636B" w:rsidR="00075388" w:rsidRDefault="004772EB" w:rsidP="00EA4E1B">
      <w:pPr>
        <w:pStyle w:val="TAMainText"/>
        <w:rPr>
          <w:rFonts w:ascii="Times New Roman" w:hAnsi="Times New Roman"/>
          <w:lang w:val="pt-BR"/>
        </w:rPr>
      </w:pPr>
      <w:r>
        <w:rPr>
          <w:rFonts w:ascii="Times New Roman" w:hAnsi="Times New Roman"/>
          <w:lang w:val="pt-BR"/>
        </w:rPr>
        <w:t xml:space="preserve"> O TiO</w:t>
      </w:r>
      <w:r>
        <w:rPr>
          <w:rFonts w:ascii="Times New Roman" w:hAnsi="Times New Roman"/>
          <w:vertAlign w:val="subscript"/>
          <w:lang w:val="pt-BR"/>
        </w:rPr>
        <w:t>2</w:t>
      </w:r>
      <w:r>
        <w:rPr>
          <w:rFonts w:ascii="Times New Roman" w:hAnsi="Times New Roman"/>
          <w:lang w:val="pt-BR"/>
        </w:rPr>
        <w:t xml:space="preserve"> é o fotocatalisador mais investigado por apresentar atoxidade, estabilidade química, térmica e fotoquímica, insolubilidade em água e energia de </w:t>
      </w:r>
      <w:r w:rsidRPr="004772EB">
        <w:rPr>
          <w:rFonts w:ascii="Times New Roman" w:hAnsi="Times New Roman"/>
          <w:i/>
          <w:iCs/>
          <w:lang w:val="pt-BR"/>
        </w:rPr>
        <w:t>band gap</w:t>
      </w:r>
      <w:r>
        <w:rPr>
          <w:rFonts w:ascii="Times New Roman" w:hAnsi="Times New Roman"/>
          <w:i/>
          <w:iCs/>
          <w:lang w:val="pt-BR"/>
        </w:rPr>
        <w:t xml:space="preserve"> </w:t>
      </w:r>
      <w:r>
        <w:rPr>
          <w:rFonts w:ascii="Times New Roman" w:hAnsi="Times New Roman"/>
          <w:lang w:val="pt-BR"/>
        </w:rPr>
        <w:t xml:space="preserve">(energia necessária para promover os elétrons da BV para a BC) </w:t>
      </w:r>
      <w:r w:rsidR="00B0483D">
        <w:rPr>
          <w:rFonts w:ascii="Times New Roman" w:hAnsi="Times New Roman"/>
          <w:lang w:val="pt-BR"/>
        </w:rPr>
        <w:t xml:space="preserve">em torno de 3,2 eV, tornando possível a </w:t>
      </w:r>
      <w:r w:rsidR="007F2419">
        <w:rPr>
          <w:rFonts w:ascii="Times New Roman" w:hAnsi="Times New Roman"/>
          <w:lang w:val="pt-BR"/>
        </w:rPr>
        <w:t>excitação eletrônica com emprego de</w:t>
      </w:r>
      <w:r w:rsidR="00B0483D">
        <w:rPr>
          <w:rFonts w:ascii="Times New Roman" w:hAnsi="Times New Roman"/>
          <w:lang w:val="pt-BR"/>
        </w:rPr>
        <w:t xml:space="preserve"> radiação </w:t>
      </w:r>
      <w:r w:rsidR="00C456FE" w:rsidRPr="00BA599B">
        <w:rPr>
          <w:rFonts w:ascii="Times New Roman" w:hAnsi="Times New Roman"/>
          <w:lang w:val="pt-BR"/>
        </w:rPr>
        <w:t>UV</w:t>
      </w:r>
      <w:r w:rsidR="00B0483D" w:rsidRPr="00BA599B">
        <w:rPr>
          <w:rFonts w:ascii="Times New Roman" w:hAnsi="Times New Roman"/>
          <w:lang w:val="pt-BR"/>
        </w:rPr>
        <w:t xml:space="preserve"> (</w:t>
      </w:r>
      <w:r w:rsidR="00BA599B" w:rsidRPr="00BA599B">
        <w:rPr>
          <w:rFonts w:ascii="Times New Roman" w:hAnsi="Times New Roman"/>
          <w:lang w:val="pt-BR"/>
        </w:rPr>
        <w:t>3</w:t>
      </w:r>
      <w:r w:rsidR="00B0483D" w:rsidRPr="00BA599B">
        <w:rPr>
          <w:rFonts w:ascii="Times New Roman" w:hAnsi="Times New Roman"/>
          <w:lang w:val="pt-BR"/>
        </w:rPr>
        <w:t>). Porém</w:t>
      </w:r>
      <w:r w:rsidR="00B0483D">
        <w:rPr>
          <w:rFonts w:ascii="Times New Roman" w:hAnsi="Times New Roman"/>
          <w:lang w:val="pt-BR"/>
        </w:rPr>
        <w:t xml:space="preserve"> ess</w:t>
      </w:r>
      <w:r w:rsidR="007F2419">
        <w:rPr>
          <w:rFonts w:ascii="Times New Roman" w:hAnsi="Times New Roman"/>
          <w:lang w:val="pt-BR"/>
        </w:rPr>
        <w:t>e relativo elevado valor de</w:t>
      </w:r>
      <w:r w:rsidR="00B0483D">
        <w:rPr>
          <w:rFonts w:ascii="Times New Roman" w:hAnsi="Times New Roman"/>
          <w:lang w:val="pt-BR"/>
        </w:rPr>
        <w:t xml:space="preserve"> energia de </w:t>
      </w:r>
      <w:r w:rsidR="00B0483D" w:rsidRPr="00B0483D">
        <w:rPr>
          <w:rFonts w:ascii="Times New Roman" w:hAnsi="Times New Roman"/>
          <w:i/>
          <w:iCs/>
          <w:lang w:val="pt-BR"/>
        </w:rPr>
        <w:t>band gap</w:t>
      </w:r>
      <w:r w:rsidR="00B0483D">
        <w:rPr>
          <w:rFonts w:ascii="Times New Roman" w:hAnsi="Times New Roman"/>
          <w:i/>
          <w:iCs/>
          <w:lang w:val="pt-BR"/>
        </w:rPr>
        <w:t xml:space="preserve"> </w:t>
      </w:r>
      <w:r w:rsidR="00B0483D">
        <w:rPr>
          <w:rFonts w:ascii="Times New Roman" w:hAnsi="Times New Roman"/>
          <w:lang w:val="pt-BR"/>
        </w:rPr>
        <w:t xml:space="preserve">impossibilita </w:t>
      </w:r>
      <w:r w:rsidR="007F2419">
        <w:rPr>
          <w:rFonts w:ascii="Times New Roman" w:hAnsi="Times New Roman"/>
          <w:lang w:val="pt-BR"/>
        </w:rPr>
        <w:t>o emprego eficiente do processo</w:t>
      </w:r>
      <w:r w:rsidR="008D4679">
        <w:rPr>
          <w:rFonts w:ascii="Times New Roman" w:hAnsi="Times New Roman"/>
          <w:lang w:val="pt-BR"/>
        </w:rPr>
        <w:t xml:space="preserve"> fotocatalítico sob radiação visível, mais amplamente disponível do que a radiação UV. </w:t>
      </w:r>
    </w:p>
    <w:p w14:paraId="7DC8D4BB" w14:textId="25D6A865" w:rsidR="00B0483D" w:rsidRPr="006D10AB" w:rsidRDefault="00B0483D" w:rsidP="00EA4E1B">
      <w:pPr>
        <w:pStyle w:val="TAMainText"/>
        <w:rPr>
          <w:lang w:val="pt-BR"/>
        </w:rPr>
      </w:pPr>
      <w:r>
        <w:rPr>
          <w:rFonts w:ascii="Times New Roman" w:hAnsi="Times New Roman"/>
          <w:lang w:val="pt-BR"/>
        </w:rPr>
        <w:lastRenderedPageBreak/>
        <w:t>A dopagem do TiO</w:t>
      </w:r>
      <w:r w:rsidRPr="00B0483D">
        <w:rPr>
          <w:rFonts w:ascii="Times New Roman" w:hAnsi="Times New Roman"/>
          <w:vertAlign w:val="subscript"/>
          <w:lang w:val="pt-BR"/>
        </w:rPr>
        <w:t>2</w:t>
      </w:r>
      <w:r>
        <w:rPr>
          <w:rFonts w:ascii="Times New Roman" w:hAnsi="Times New Roman"/>
          <w:lang w:val="pt-BR"/>
        </w:rPr>
        <w:t xml:space="preserve"> com metais de transição vem sendo utilizad</w:t>
      </w:r>
      <w:r w:rsidR="00C456FE">
        <w:rPr>
          <w:rFonts w:ascii="Times New Roman" w:hAnsi="Times New Roman"/>
          <w:lang w:val="pt-BR"/>
        </w:rPr>
        <w:t>a</w:t>
      </w:r>
      <w:r>
        <w:rPr>
          <w:rFonts w:ascii="Times New Roman" w:hAnsi="Times New Roman"/>
          <w:lang w:val="pt-BR"/>
        </w:rPr>
        <w:t xml:space="preserve"> como </w:t>
      </w:r>
      <w:r w:rsidR="008D4679">
        <w:rPr>
          <w:rFonts w:ascii="Times New Roman" w:hAnsi="Times New Roman"/>
          <w:lang w:val="pt-BR"/>
        </w:rPr>
        <w:t xml:space="preserve">uma estratégia para </w:t>
      </w:r>
      <w:r>
        <w:rPr>
          <w:rFonts w:ascii="Times New Roman" w:hAnsi="Times New Roman"/>
          <w:lang w:val="pt-BR"/>
        </w:rPr>
        <w:t>solucionar essa questão</w:t>
      </w:r>
      <w:r w:rsidR="008D4679">
        <w:rPr>
          <w:rFonts w:ascii="Times New Roman" w:hAnsi="Times New Roman"/>
          <w:lang w:val="pt-BR"/>
        </w:rPr>
        <w:t>,</w:t>
      </w:r>
      <w:r w:rsidR="00BA599B">
        <w:rPr>
          <w:rFonts w:ascii="Times New Roman" w:hAnsi="Times New Roman"/>
          <w:lang w:val="pt-BR"/>
        </w:rPr>
        <w:t xml:space="preserve"> pois</w:t>
      </w:r>
      <w:r>
        <w:rPr>
          <w:rFonts w:ascii="Times New Roman" w:hAnsi="Times New Roman"/>
          <w:lang w:val="pt-BR"/>
        </w:rPr>
        <w:t xml:space="preserve"> </w:t>
      </w:r>
      <w:r w:rsidR="008D4679">
        <w:rPr>
          <w:rFonts w:ascii="Times New Roman" w:hAnsi="Times New Roman"/>
          <w:lang w:val="pt-BR"/>
        </w:rPr>
        <w:t xml:space="preserve">esse processo </w:t>
      </w:r>
      <w:r>
        <w:rPr>
          <w:rFonts w:ascii="Times New Roman" w:hAnsi="Times New Roman"/>
          <w:lang w:val="pt-BR"/>
        </w:rPr>
        <w:t>contrib</w:t>
      </w:r>
      <w:r w:rsidR="008D4679">
        <w:rPr>
          <w:rFonts w:ascii="Times New Roman" w:hAnsi="Times New Roman"/>
          <w:lang w:val="pt-BR"/>
        </w:rPr>
        <w:t>ui</w:t>
      </w:r>
      <w:r>
        <w:rPr>
          <w:rFonts w:ascii="Times New Roman" w:hAnsi="Times New Roman"/>
          <w:lang w:val="pt-BR"/>
        </w:rPr>
        <w:t xml:space="preserve"> </w:t>
      </w:r>
      <w:r w:rsidR="008D4679">
        <w:rPr>
          <w:rFonts w:ascii="Times New Roman" w:hAnsi="Times New Roman"/>
          <w:lang w:val="pt-BR"/>
        </w:rPr>
        <w:t>para a</w:t>
      </w:r>
      <w:r>
        <w:rPr>
          <w:rFonts w:ascii="Times New Roman" w:hAnsi="Times New Roman"/>
          <w:lang w:val="pt-BR"/>
        </w:rPr>
        <w:t xml:space="preserve"> geração de novos níveis </w:t>
      </w:r>
      <w:r w:rsidR="008D4679">
        <w:rPr>
          <w:rFonts w:ascii="Times New Roman" w:hAnsi="Times New Roman"/>
          <w:lang w:val="pt-BR"/>
        </w:rPr>
        <w:t>energéticos</w:t>
      </w:r>
      <w:r>
        <w:rPr>
          <w:rFonts w:ascii="Times New Roman" w:hAnsi="Times New Roman"/>
          <w:lang w:val="pt-BR"/>
        </w:rPr>
        <w:t xml:space="preserve"> </w:t>
      </w:r>
      <w:r w:rsidR="00C57ED5">
        <w:rPr>
          <w:rFonts w:ascii="Times New Roman" w:hAnsi="Times New Roman"/>
          <w:lang w:val="pt-BR"/>
        </w:rPr>
        <w:t xml:space="preserve">capazes de aprisionar elétrons ou lacunas catiônicas, dificultando a recombinação dos pares </w:t>
      </w:r>
      <w:r w:rsidR="00C57ED5" w:rsidRPr="006D10AB">
        <w:rPr>
          <w:lang w:val="pt-BR"/>
        </w:rPr>
        <w:t>e</w:t>
      </w:r>
      <w:r w:rsidR="00C57ED5" w:rsidRPr="006D10AB">
        <w:rPr>
          <w:vertAlign w:val="superscript"/>
          <w:lang w:val="pt-BR"/>
        </w:rPr>
        <w:t>-</w:t>
      </w:r>
      <w:r w:rsidR="00C57ED5" w:rsidRPr="006D10AB">
        <w:rPr>
          <w:lang w:val="pt-BR"/>
        </w:rPr>
        <w:t>/h</w:t>
      </w:r>
      <w:r w:rsidR="00C57ED5" w:rsidRPr="006D10AB">
        <w:rPr>
          <w:vertAlign w:val="superscript"/>
          <w:lang w:val="pt-BR"/>
        </w:rPr>
        <w:t>+</w:t>
      </w:r>
      <w:r w:rsidR="00C57ED5" w:rsidRPr="006D10AB">
        <w:rPr>
          <w:lang w:val="pt-BR"/>
        </w:rPr>
        <w:t>, aumentando</w:t>
      </w:r>
      <w:r w:rsidR="008D4679" w:rsidRPr="006D10AB">
        <w:rPr>
          <w:lang w:val="pt-BR"/>
        </w:rPr>
        <w:t xml:space="preserve">, pois, </w:t>
      </w:r>
      <w:r w:rsidR="00C57ED5" w:rsidRPr="006D10AB">
        <w:rPr>
          <w:lang w:val="pt-BR"/>
        </w:rPr>
        <w:t>a eficiência do processo fotocatalítico</w:t>
      </w:r>
      <w:r w:rsidR="008D4679" w:rsidRPr="006D10AB">
        <w:rPr>
          <w:lang w:val="pt-BR"/>
        </w:rPr>
        <w:t>. Além disso, a dopagem tem sido reportada como uma forma de se estender o espectro de absorção do TiO</w:t>
      </w:r>
      <w:r w:rsidR="008D4679" w:rsidRPr="006D10AB">
        <w:rPr>
          <w:vertAlign w:val="subscript"/>
          <w:lang w:val="pt-BR"/>
        </w:rPr>
        <w:t>2</w:t>
      </w:r>
      <w:r w:rsidR="008D4679" w:rsidRPr="006D10AB">
        <w:rPr>
          <w:lang w:val="pt-BR"/>
        </w:rPr>
        <w:t xml:space="preserve"> para o visível.</w:t>
      </w:r>
      <w:r w:rsidR="00C57ED5" w:rsidRPr="006D10AB">
        <w:rPr>
          <w:lang w:val="pt-BR"/>
        </w:rPr>
        <w:t xml:space="preserve"> </w:t>
      </w:r>
    </w:p>
    <w:p w14:paraId="71C34F87" w14:textId="60997E85" w:rsidR="008D4679" w:rsidRPr="006D10AB" w:rsidRDefault="008D4679" w:rsidP="00EA4E1B">
      <w:pPr>
        <w:pStyle w:val="TAMainText"/>
        <w:rPr>
          <w:lang w:val="pt-BR"/>
        </w:rPr>
      </w:pPr>
      <w:r w:rsidRPr="006D10AB">
        <w:rPr>
          <w:lang w:val="pt-BR"/>
        </w:rPr>
        <w:t>O</w:t>
      </w:r>
      <w:r w:rsidR="00C57ED5" w:rsidRPr="006D10AB">
        <w:rPr>
          <w:lang w:val="pt-BR"/>
        </w:rPr>
        <w:t xml:space="preserve"> Ni</w:t>
      </w:r>
      <w:r w:rsidR="00C57ED5" w:rsidRPr="006D10AB">
        <w:rPr>
          <w:vertAlign w:val="superscript"/>
          <w:lang w:val="pt-BR"/>
        </w:rPr>
        <w:t>2+</w:t>
      </w:r>
      <w:r w:rsidR="00C57ED5" w:rsidRPr="006D10AB">
        <w:rPr>
          <w:lang w:val="pt-BR"/>
        </w:rPr>
        <w:t xml:space="preserve"> </w:t>
      </w:r>
      <w:r w:rsidR="0099398C">
        <w:rPr>
          <w:lang w:val="pt-BR"/>
        </w:rPr>
        <w:t>tem sido investigado como dopante</w:t>
      </w:r>
      <w:r w:rsidRPr="006D10AB">
        <w:rPr>
          <w:lang w:val="pt-BR"/>
        </w:rPr>
        <w:t xml:space="preserve"> por ser capaz de diminuir </w:t>
      </w:r>
      <w:r w:rsidR="00C57ED5" w:rsidRPr="006D10AB">
        <w:rPr>
          <w:lang w:val="pt-BR"/>
        </w:rPr>
        <w:t>a</w:t>
      </w:r>
      <w:r w:rsidR="00EC3858" w:rsidRPr="006D10AB">
        <w:rPr>
          <w:lang w:val="pt-BR"/>
        </w:rPr>
        <w:t xml:space="preserve"> </w:t>
      </w:r>
      <w:r w:rsidR="00C57ED5" w:rsidRPr="006D10AB">
        <w:rPr>
          <w:lang w:val="pt-BR"/>
        </w:rPr>
        <w:t>taxa de recombinação dos pares e</w:t>
      </w:r>
      <w:r w:rsidR="00C57ED5" w:rsidRPr="006D10AB">
        <w:rPr>
          <w:vertAlign w:val="superscript"/>
          <w:lang w:val="pt-BR"/>
        </w:rPr>
        <w:t>-</w:t>
      </w:r>
      <w:r w:rsidR="00C57ED5" w:rsidRPr="006D10AB">
        <w:rPr>
          <w:lang w:val="pt-BR"/>
        </w:rPr>
        <w:t>/h</w:t>
      </w:r>
      <w:r w:rsidR="00C57ED5" w:rsidRPr="006D10AB">
        <w:rPr>
          <w:vertAlign w:val="superscript"/>
          <w:lang w:val="pt-BR"/>
        </w:rPr>
        <w:t>+</w:t>
      </w:r>
      <w:r w:rsidR="00C57ED5" w:rsidRPr="006D10AB">
        <w:rPr>
          <w:lang w:val="pt-BR"/>
        </w:rPr>
        <w:t xml:space="preserve"> na </w:t>
      </w:r>
      <w:r w:rsidR="00BA599B" w:rsidRPr="006D10AB">
        <w:rPr>
          <w:lang w:val="pt-BR"/>
        </w:rPr>
        <w:t>superfície</w:t>
      </w:r>
      <w:r w:rsidR="00C57ED5" w:rsidRPr="006D10AB">
        <w:rPr>
          <w:lang w:val="pt-BR"/>
        </w:rPr>
        <w:t xml:space="preserve"> do TiO</w:t>
      </w:r>
      <w:r w:rsidR="00C57ED5" w:rsidRPr="006D10AB">
        <w:rPr>
          <w:vertAlign w:val="subscript"/>
          <w:lang w:val="pt-BR"/>
        </w:rPr>
        <w:t>2</w:t>
      </w:r>
      <w:r w:rsidR="00C57ED5" w:rsidRPr="006D10AB">
        <w:rPr>
          <w:lang w:val="pt-BR"/>
        </w:rPr>
        <w:t xml:space="preserve"> (</w:t>
      </w:r>
      <w:r w:rsidR="00BA599B">
        <w:rPr>
          <w:lang w:val="pt-BR"/>
        </w:rPr>
        <w:t>4</w:t>
      </w:r>
      <w:r w:rsidR="00C57ED5" w:rsidRPr="006D10AB">
        <w:rPr>
          <w:lang w:val="pt-BR"/>
        </w:rPr>
        <w:t xml:space="preserve">). </w:t>
      </w:r>
    </w:p>
    <w:p w14:paraId="2A8E783E" w14:textId="2743B046" w:rsidR="00C57ED5" w:rsidRPr="006D10AB" w:rsidRDefault="00C57ED5" w:rsidP="00EA4E1B">
      <w:pPr>
        <w:pStyle w:val="TAMainText"/>
        <w:rPr>
          <w:lang w:val="pt-BR"/>
        </w:rPr>
      </w:pPr>
      <w:r w:rsidRPr="006D10AB">
        <w:rPr>
          <w:lang w:val="pt-BR"/>
        </w:rPr>
        <w:t xml:space="preserve">Nesse </w:t>
      </w:r>
      <w:r w:rsidR="008D4679" w:rsidRPr="006D10AB">
        <w:rPr>
          <w:lang w:val="pt-BR"/>
        </w:rPr>
        <w:t>contexto,</w:t>
      </w:r>
      <w:r w:rsidRPr="006D10AB">
        <w:rPr>
          <w:lang w:val="pt-BR"/>
        </w:rPr>
        <w:t xml:space="preserve"> o objetivo deste trabalho é avaliar a influência </w:t>
      </w:r>
      <w:r w:rsidR="008D4679" w:rsidRPr="006D10AB">
        <w:rPr>
          <w:lang w:val="pt-BR"/>
        </w:rPr>
        <w:t>da dopagem de Ni</w:t>
      </w:r>
      <w:r w:rsidR="008D4679" w:rsidRPr="006D10AB">
        <w:rPr>
          <w:vertAlign w:val="superscript"/>
          <w:lang w:val="pt-BR"/>
        </w:rPr>
        <w:t xml:space="preserve">2+ </w:t>
      </w:r>
      <w:r w:rsidR="008D4679" w:rsidRPr="006D10AB">
        <w:rPr>
          <w:lang w:val="pt-BR"/>
        </w:rPr>
        <w:t>nas propriedades do TiO</w:t>
      </w:r>
      <w:r w:rsidR="008D4679" w:rsidRPr="006D10AB">
        <w:rPr>
          <w:vertAlign w:val="subscript"/>
          <w:lang w:val="pt-BR"/>
        </w:rPr>
        <w:t>2</w:t>
      </w:r>
      <w:r w:rsidR="008D4679" w:rsidRPr="006D10AB">
        <w:rPr>
          <w:lang w:val="pt-BR"/>
        </w:rPr>
        <w:t xml:space="preserve"> e no seu desempenho fotocatalítico </w:t>
      </w:r>
      <w:r w:rsidR="008D4679" w:rsidRPr="00BA599B">
        <w:rPr>
          <w:lang w:val="pt-BR"/>
        </w:rPr>
        <w:t>de degradação do corante amarelo reativo BF-4G sob radiação UV</w:t>
      </w:r>
      <w:r w:rsidR="00BA599B" w:rsidRPr="00BA599B">
        <w:rPr>
          <w:lang w:val="pt-BR"/>
        </w:rPr>
        <w:t xml:space="preserve"> </w:t>
      </w:r>
      <w:r w:rsidR="008D4679" w:rsidRPr="00BA599B">
        <w:rPr>
          <w:lang w:val="pt-BR"/>
        </w:rPr>
        <w:t>e Vis.</w:t>
      </w:r>
      <w:r w:rsidR="008D4679" w:rsidRPr="006D10AB">
        <w:rPr>
          <w:lang w:val="pt-BR"/>
        </w:rPr>
        <w:t xml:space="preserve">  </w:t>
      </w:r>
    </w:p>
    <w:p w14:paraId="2932936C" w14:textId="77777777" w:rsidR="005276E8" w:rsidRPr="00C57ED5" w:rsidRDefault="005276E8" w:rsidP="00EA4E1B">
      <w:pPr>
        <w:pStyle w:val="TAMainText"/>
        <w:rPr>
          <w:rFonts w:ascii="Times New Roman" w:hAnsi="Times New Roman"/>
          <w:lang w:val="pt-BR"/>
        </w:rPr>
      </w:pPr>
    </w:p>
    <w:p w14:paraId="52FFAC79"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1E77B1BE" w14:textId="71F6783E" w:rsidR="00213094" w:rsidRPr="00213094" w:rsidRDefault="00213094" w:rsidP="00387254">
      <w:pPr>
        <w:spacing w:after="0" w:line="240" w:lineRule="exact"/>
        <w:rPr>
          <w:i/>
          <w:iCs/>
        </w:rPr>
      </w:pPr>
      <w:r>
        <w:rPr>
          <w:i/>
          <w:iCs/>
        </w:rPr>
        <w:t>Síntese dos fotocatalisadores</w:t>
      </w:r>
    </w:p>
    <w:p w14:paraId="467CE3C1" w14:textId="61D1A500" w:rsidR="00B90B7A" w:rsidRPr="00EC3858" w:rsidRDefault="00EC3858" w:rsidP="00387254">
      <w:pPr>
        <w:pStyle w:val="TAMainText"/>
        <w:ind w:firstLine="204"/>
        <w:rPr>
          <w:rFonts w:ascii="Times New Roman" w:hAnsi="Times New Roman"/>
          <w:iCs/>
          <w:lang w:val="pt-BR"/>
        </w:rPr>
      </w:pPr>
      <w:r>
        <w:rPr>
          <w:rFonts w:ascii="Times New Roman" w:hAnsi="Times New Roman"/>
          <w:iCs/>
          <w:lang w:val="pt-BR"/>
        </w:rPr>
        <w:t>Os fotocatalisad</w:t>
      </w:r>
      <w:r w:rsidR="00374299">
        <w:rPr>
          <w:rFonts w:ascii="Times New Roman" w:hAnsi="Times New Roman"/>
          <w:iCs/>
          <w:lang w:val="pt-BR"/>
        </w:rPr>
        <w:t xml:space="preserve">ores foram sintetizados </w:t>
      </w:r>
      <w:r w:rsidR="00213094">
        <w:rPr>
          <w:rFonts w:ascii="Times New Roman" w:hAnsi="Times New Roman"/>
          <w:iCs/>
          <w:lang w:val="pt-BR"/>
        </w:rPr>
        <w:t>por meio de uma</w:t>
      </w:r>
      <w:r>
        <w:rPr>
          <w:rFonts w:ascii="Times New Roman" w:hAnsi="Times New Roman"/>
          <w:iCs/>
          <w:lang w:val="pt-BR"/>
        </w:rPr>
        <w:t xml:space="preserve"> adaptação do método de Pechini, denominad</w:t>
      </w:r>
      <w:r w:rsidR="00213094">
        <w:rPr>
          <w:rFonts w:ascii="Times New Roman" w:hAnsi="Times New Roman"/>
          <w:iCs/>
          <w:lang w:val="pt-BR"/>
        </w:rPr>
        <w:t>a de</w:t>
      </w:r>
      <w:r>
        <w:rPr>
          <w:rFonts w:ascii="Times New Roman" w:hAnsi="Times New Roman"/>
          <w:iCs/>
          <w:lang w:val="pt-BR"/>
        </w:rPr>
        <w:t xml:space="preserve"> método dos precursores poliméricos</w:t>
      </w:r>
      <w:r w:rsidR="00374299">
        <w:rPr>
          <w:rFonts w:ascii="Times New Roman" w:hAnsi="Times New Roman"/>
          <w:iCs/>
          <w:lang w:val="pt-BR"/>
        </w:rPr>
        <w:t>,</w:t>
      </w:r>
      <w:r>
        <w:rPr>
          <w:rFonts w:ascii="Times New Roman" w:hAnsi="Times New Roman"/>
          <w:iCs/>
          <w:lang w:val="pt-BR"/>
        </w:rPr>
        <w:t xml:space="preserve"> que se baseia na complexação de cátions metálicos </w:t>
      </w:r>
      <w:r w:rsidR="00374299">
        <w:rPr>
          <w:rFonts w:ascii="Times New Roman" w:hAnsi="Times New Roman"/>
          <w:iCs/>
          <w:lang w:val="pt-BR"/>
        </w:rPr>
        <w:t>em uma</w:t>
      </w:r>
      <w:r>
        <w:rPr>
          <w:rFonts w:ascii="Times New Roman" w:hAnsi="Times New Roman"/>
          <w:iCs/>
          <w:lang w:val="pt-BR"/>
        </w:rPr>
        <w:t xml:space="preserve"> matriz</w:t>
      </w:r>
      <w:r w:rsidR="00374299">
        <w:rPr>
          <w:rFonts w:ascii="Times New Roman" w:hAnsi="Times New Roman"/>
          <w:iCs/>
          <w:lang w:val="pt-BR"/>
        </w:rPr>
        <w:t xml:space="preserve"> </w:t>
      </w:r>
      <w:r>
        <w:rPr>
          <w:rFonts w:ascii="Times New Roman" w:hAnsi="Times New Roman"/>
          <w:iCs/>
          <w:lang w:val="pt-BR"/>
        </w:rPr>
        <w:t>para posterior formação de um polímero, no qual, os cátions estão homogeneamente dispersos. Cinco materiais foram</w:t>
      </w:r>
      <w:r w:rsidR="00F97C89">
        <w:rPr>
          <w:rFonts w:ascii="Times New Roman" w:hAnsi="Times New Roman"/>
          <w:iCs/>
          <w:lang w:val="pt-BR"/>
        </w:rPr>
        <w:t xml:space="preserve"> preparados: TiO</w:t>
      </w:r>
      <w:r w:rsidR="00F97C89" w:rsidRPr="00F97C89">
        <w:rPr>
          <w:rFonts w:ascii="Times New Roman" w:hAnsi="Times New Roman"/>
          <w:iCs/>
          <w:vertAlign w:val="subscript"/>
          <w:lang w:val="pt-BR"/>
        </w:rPr>
        <w:t>2</w:t>
      </w:r>
      <w:r w:rsidR="00F97C89">
        <w:rPr>
          <w:rFonts w:ascii="Times New Roman" w:hAnsi="Times New Roman"/>
          <w:iCs/>
          <w:lang w:val="pt-BR"/>
        </w:rPr>
        <w:t xml:space="preserve"> puro (TN0) e dopado com quatro teores molares de níquel</w:t>
      </w:r>
      <w:r w:rsidR="00213094">
        <w:rPr>
          <w:rFonts w:ascii="Times New Roman" w:hAnsi="Times New Roman"/>
          <w:iCs/>
          <w:lang w:val="pt-BR"/>
        </w:rPr>
        <w:t>-</w:t>
      </w:r>
      <w:r w:rsidR="00F97C89">
        <w:rPr>
          <w:rFonts w:ascii="Times New Roman" w:hAnsi="Times New Roman"/>
          <w:iCs/>
          <w:lang w:val="pt-BR"/>
        </w:rPr>
        <w:t xml:space="preserve"> 0,1%; 1%; 5% e 10%</w:t>
      </w:r>
      <w:r w:rsidR="00213094">
        <w:rPr>
          <w:rFonts w:ascii="Times New Roman" w:hAnsi="Times New Roman"/>
          <w:iCs/>
          <w:lang w:val="pt-BR"/>
        </w:rPr>
        <w:t>. A</w:t>
      </w:r>
      <w:r w:rsidR="00F97C89">
        <w:rPr>
          <w:rFonts w:ascii="Times New Roman" w:hAnsi="Times New Roman"/>
          <w:iCs/>
          <w:lang w:val="pt-BR"/>
        </w:rPr>
        <w:t>s amostras foram nomeadas</w:t>
      </w:r>
      <w:r w:rsidR="00374299">
        <w:rPr>
          <w:rFonts w:ascii="Times New Roman" w:hAnsi="Times New Roman"/>
          <w:iCs/>
          <w:lang w:val="pt-BR"/>
        </w:rPr>
        <w:t>,</w:t>
      </w:r>
      <w:r w:rsidR="00F97C89">
        <w:rPr>
          <w:rFonts w:ascii="Times New Roman" w:hAnsi="Times New Roman"/>
          <w:iCs/>
          <w:lang w:val="pt-BR"/>
        </w:rPr>
        <w:t xml:space="preserve"> respectivamente</w:t>
      </w:r>
      <w:r w:rsidR="00374299">
        <w:rPr>
          <w:rFonts w:ascii="Times New Roman" w:hAnsi="Times New Roman"/>
          <w:iCs/>
          <w:lang w:val="pt-BR"/>
        </w:rPr>
        <w:t>,</w:t>
      </w:r>
      <w:r w:rsidR="00213094">
        <w:rPr>
          <w:rFonts w:ascii="Times New Roman" w:hAnsi="Times New Roman"/>
          <w:iCs/>
          <w:lang w:val="pt-BR"/>
        </w:rPr>
        <w:t xml:space="preserve"> de</w:t>
      </w:r>
      <w:r w:rsidR="00F97C89">
        <w:rPr>
          <w:rFonts w:ascii="Times New Roman" w:hAnsi="Times New Roman"/>
          <w:iCs/>
          <w:lang w:val="pt-BR"/>
        </w:rPr>
        <w:t xml:space="preserve"> TN0,1; TN1; TN5 e TN10. </w:t>
      </w:r>
      <w:r>
        <w:rPr>
          <w:rFonts w:ascii="Times New Roman" w:hAnsi="Times New Roman"/>
          <w:iCs/>
          <w:lang w:val="pt-BR"/>
        </w:rPr>
        <w:tab/>
      </w:r>
    </w:p>
    <w:p w14:paraId="1C52975D" w14:textId="5D64E3E8" w:rsidR="00640A10" w:rsidRDefault="00213094" w:rsidP="00EA4E1B">
      <w:pPr>
        <w:pStyle w:val="TAMainText"/>
        <w:rPr>
          <w:rFonts w:ascii="Times New Roman" w:hAnsi="Times New Roman"/>
          <w:lang w:val="pt-BR"/>
        </w:rPr>
      </w:pPr>
      <w:r>
        <w:rPr>
          <w:rFonts w:ascii="Times New Roman" w:hAnsi="Times New Roman"/>
          <w:lang w:val="pt-BR"/>
        </w:rPr>
        <w:t xml:space="preserve">Inicialmente foram preparadas soluções aquosas de citrato de titânio e citrato de níquel. </w:t>
      </w:r>
      <w:r w:rsidR="00640A10">
        <w:rPr>
          <w:rFonts w:ascii="Times New Roman" w:hAnsi="Times New Roman"/>
          <w:lang w:val="pt-BR"/>
        </w:rPr>
        <w:t>Para a síntese do citrato de titânio, foram misturad</w:t>
      </w:r>
      <w:r>
        <w:rPr>
          <w:rFonts w:ascii="Times New Roman" w:hAnsi="Times New Roman"/>
          <w:lang w:val="pt-BR"/>
        </w:rPr>
        <w:t>o</w:t>
      </w:r>
      <w:r w:rsidR="00640A10">
        <w:rPr>
          <w:rFonts w:ascii="Times New Roman" w:hAnsi="Times New Roman"/>
          <w:lang w:val="pt-BR"/>
        </w:rPr>
        <w:t>s</w:t>
      </w:r>
      <w:r>
        <w:rPr>
          <w:rFonts w:ascii="Times New Roman" w:hAnsi="Times New Roman"/>
          <w:lang w:val="pt-BR"/>
        </w:rPr>
        <w:t>,</w:t>
      </w:r>
      <w:r w:rsidR="00640A10">
        <w:rPr>
          <w:rFonts w:ascii="Times New Roman" w:hAnsi="Times New Roman"/>
          <w:lang w:val="pt-BR"/>
        </w:rPr>
        <w:t xml:space="preserve"> à temperatura ambiente</w:t>
      </w:r>
      <w:r>
        <w:rPr>
          <w:rFonts w:ascii="Times New Roman" w:hAnsi="Times New Roman"/>
          <w:lang w:val="pt-BR"/>
        </w:rPr>
        <w:t>,</w:t>
      </w:r>
      <w:r w:rsidR="00640A10">
        <w:rPr>
          <w:rFonts w:ascii="Times New Roman" w:hAnsi="Times New Roman"/>
          <w:lang w:val="pt-BR"/>
        </w:rPr>
        <w:t xml:space="preserve"> isopropóxido de titânio e ácido cítrico (AC) com proporção molar AC:Ti de 3:1. Para a hom</w:t>
      </w:r>
      <w:r>
        <w:rPr>
          <w:rFonts w:ascii="Times New Roman" w:hAnsi="Times New Roman"/>
          <w:lang w:val="pt-BR"/>
        </w:rPr>
        <w:t>o</w:t>
      </w:r>
      <w:r w:rsidR="00640A10">
        <w:rPr>
          <w:rFonts w:ascii="Times New Roman" w:hAnsi="Times New Roman"/>
          <w:lang w:val="pt-BR"/>
        </w:rPr>
        <w:t xml:space="preserve">geneização da solução, a mesma foi submetida a aquecimento </w:t>
      </w:r>
      <w:r>
        <w:rPr>
          <w:rFonts w:ascii="Times New Roman" w:hAnsi="Times New Roman"/>
          <w:lang w:val="pt-BR"/>
        </w:rPr>
        <w:t>a</w:t>
      </w:r>
      <w:r w:rsidR="00640A10">
        <w:rPr>
          <w:rFonts w:ascii="Times New Roman" w:hAnsi="Times New Roman"/>
          <w:lang w:val="pt-BR"/>
        </w:rPr>
        <w:t xml:space="preserve"> 80</w:t>
      </w:r>
      <w:r>
        <w:rPr>
          <w:rFonts w:ascii="Times New Roman" w:hAnsi="Times New Roman"/>
          <w:lang w:val="pt-BR"/>
        </w:rPr>
        <w:t xml:space="preserve"> </w:t>
      </w:r>
      <w:r w:rsidR="00640A10">
        <w:rPr>
          <w:rFonts w:ascii="Times New Roman" w:hAnsi="Times New Roman"/>
          <w:lang w:val="pt-BR"/>
        </w:rPr>
        <w:t>°C até a completa</w:t>
      </w:r>
      <w:r>
        <w:rPr>
          <w:rFonts w:ascii="Times New Roman" w:hAnsi="Times New Roman"/>
          <w:lang w:val="pt-BR"/>
        </w:rPr>
        <w:t xml:space="preserve"> solubilização</w:t>
      </w:r>
      <w:r w:rsidR="00640A10">
        <w:rPr>
          <w:rFonts w:ascii="Times New Roman" w:hAnsi="Times New Roman"/>
          <w:lang w:val="pt-BR"/>
        </w:rPr>
        <w:t xml:space="preserve">. Posteriormente o </w:t>
      </w:r>
      <w:r>
        <w:rPr>
          <w:rFonts w:ascii="Times New Roman" w:hAnsi="Times New Roman"/>
          <w:lang w:val="pt-BR"/>
        </w:rPr>
        <w:t xml:space="preserve">seu </w:t>
      </w:r>
      <w:r w:rsidR="00640A10">
        <w:rPr>
          <w:rFonts w:ascii="Times New Roman" w:hAnsi="Times New Roman"/>
          <w:lang w:val="pt-BR"/>
        </w:rPr>
        <w:t>pH foi corrigido para 4,0 com a adição d</w:t>
      </w:r>
      <w:r>
        <w:rPr>
          <w:rFonts w:ascii="Times New Roman" w:hAnsi="Times New Roman"/>
          <w:lang w:val="pt-BR"/>
        </w:rPr>
        <w:t>e</w:t>
      </w:r>
      <w:r w:rsidR="00640A10">
        <w:rPr>
          <w:rFonts w:ascii="Times New Roman" w:hAnsi="Times New Roman"/>
          <w:lang w:val="pt-BR"/>
        </w:rPr>
        <w:t xml:space="preserve"> hidróxido de amônio e a solução </w:t>
      </w:r>
      <w:r>
        <w:rPr>
          <w:rFonts w:ascii="Times New Roman" w:hAnsi="Times New Roman"/>
          <w:lang w:val="pt-BR"/>
        </w:rPr>
        <w:t>permaneceu</w:t>
      </w:r>
      <w:r w:rsidR="00640A10">
        <w:rPr>
          <w:rFonts w:ascii="Times New Roman" w:hAnsi="Times New Roman"/>
          <w:lang w:val="pt-BR"/>
        </w:rPr>
        <w:t xml:space="preserve"> </w:t>
      </w:r>
      <w:r w:rsidR="007C056A">
        <w:rPr>
          <w:rFonts w:ascii="Times New Roman" w:hAnsi="Times New Roman"/>
          <w:lang w:val="pt-BR"/>
        </w:rPr>
        <w:t>sob</w:t>
      </w:r>
      <w:r w:rsidR="00640A10">
        <w:rPr>
          <w:rFonts w:ascii="Times New Roman" w:hAnsi="Times New Roman"/>
          <w:lang w:val="pt-BR"/>
        </w:rPr>
        <w:t xml:space="preserve"> agitação magnética por 2 h a 80</w:t>
      </w:r>
      <w:r w:rsidR="007C056A">
        <w:rPr>
          <w:rFonts w:ascii="Times New Roman" w:hAnsi="Times New Roman"/>
          <w:lang w:val="pt-BR"/>
        </w:rPr>
        <w:t xml:space="preserve"> </w:t>
      </w:r>
      <w:r w:rsidR="00640A10">
        <w:rPr>
          <w:rFonts w:ascii="Times New Roman" w:hAnsi="Times New Roman"/>
          <w:lang w:val="pt-BR"/>
        </w:rPr>
        <w:t>°C.</w:t>
      </w:r>
    </w:p>
    <w:p w14:paraId="4135431E" w14:textId="1715B5F0" w:rsidR="00624442" w:rsidRDefault="00FF55A8" w:rsidP="00EA4E1B">
      <w:pPr>
        <w:pStyle w:val="TAMainText"/>
        <w:rPr>
          <w:rFonts w:ascii="Times New Roman" w:hAnsi="Times New Roman"/>
          <w:lang w:val="pt-BR"/>
        </w:rPr>
      </w:pPr>
      <w:r>
        <w:rPr>
          <w:rFonts w:ascii="Times New Roman" w:hAnsi="Times New Roman"/>
          <w:lang w:val="pt-BR"/>
        </w:rPr>
        <w:t>Para a síntese do citrato de níquel, uma solução aquosa de nitra</w:t>
      </w:r>
      <w:r w:rsidR="00FB2DC5">
        <w:rPr>
          <w:rFonts w:ascii="Times New Roman" w:hAnsi="Times New Roman"/>
          <w:lang w:val="pt-BR"/>
        </w:rPr>
        <w:t>to de níquel e AC foi preparada de forma que a proporção molar</w:t>
      </w:r>
      <w:r w:rsidR="007C056A">
        <w:rPr>
          <w:rFonts w:ascii="Times New Roman" w:hAnsi="Times New Roman"/>
          <w:lang w:val="pt-BR"/>
        </w:rPr>
        <w:t xml:space="preserve"> AC:Ni</w:t>
      </w:r>
      <w:r w:rsidR="00FB2DC5">
        <w:rPr>
          <w:rFonts w:ascii="Times New Roman" w:hAnsi="Times New Roman"/>
          <w:lang w:val="pt-BR"/>
        </w:rPr>
        <w:t xml:space="preserve"> também </w:t>
      </w:r>
      <w:r w:rsidR="007C056A">
        <w:rPr>
          <w:rFonts w:ascii="Times New Roman" w:hAnsi="Times New Roman"/>
          <w:lang w:val="pt-BR"/>
        </w:rPr>
        <w:t xml:space="preserve">fosse de </w:t>
      </w:r>
      <w:r w:rsidR="00FB2DC5">
        <w:rPr>
          <w:rFonts w:ascii="Times New Roman" w:hAnsi="Times New Roman"/>
          <w:lang w:val="pt-BR"/>
        </w:rPr>
        <w:t xml:space="preserve">3:1. </w:t>
      </w:r>
      <w:r w:rsidR="007C056A">
        <w:rPr>
          <w:rFonts w:ascii="Times New Roman" w:hAnsi="Times New Roman"/>
          <w:lang w:val="pt-BR"/>
        </w:rPr>
        <w:t xml:space="preserve">O pH da solução foi ajustado para 4,0, e a </w:t>
      </w:r>
      <w:r w:rsidR="00445EB0">
        <w:rPr>
          <w:rFonts w:ascii="Times New Roman" w:hAnsi="Times New Roman"/>
          <w:lang w:val="pt-BR"/>
        </w:rPr>
        <w:t>mesma</w:t>
      </w:r>
      <w:r w:rsidR="00FB2DC5">
        <w:rPr>
          <w:rFonts w:ascii="Times New Roman" w:hAnsi="Times New Roman"/>
          <w:lang w:val="pt-BR"/>
        </w:rPr>
        <w:t xml:space="preserve"> foi </w:t>
      </w:r>
      <w:r w:rsidR="007C056A">
        <w:rPr>
          <w:rFonts w:ascii="Times New Roman" w:hAnsi="Times New Roman"/>
          <w:lang w:val="pt-BR"/>
        </w:rPr>
        <w:t>aquecida a</w:t>
      </w:r>
      <w:r w:rsidR="00FB2DC5">
        <w:rPr>
          <w:rFonts w:ascii="Times New Roman" w:hAnsi="Times New Roman"/>
          <w:lang w:val="pt-BR"/>
        </w:rPr>
        <w:t xml:space="preserve"> 60</w:t>
      </w:r>
      <w:r w:rsidR="00445EB0">
        <w:rPr>
          <w:rFonts w:ascii="Times New Roman" w:hAnsi="Times New Roman"/>
          <w:lang w:val="pt-BR"/>
        </w:rPr>
        <w:t> </w:t>
      </w:r>
      <w:r w:rsidR="00FB2DC5">
        <w:rPr>
          <w:rFonts w:ascii="Times New Roman" w:hAnsi="Times New Roman"/>
          <w:lang w:val="pt-BR"/>
        </w:rPr>
        <w:t xml:space="preserve">°C sob agitação magnética por 30 min. </w:t>
      </w:r>
    </w:p>
    <w:p w14:paraId="0735302B" w14:textId="6D23204B" w:rsidR="00CD6DEC" w:rsidRDefault="00ED3D4E" w:rsidP="008D3E03">
      <w:pPr>
        <w:pStyle w:val="TAMainText"/>
        <w:rPr>
          <w:rFonts w:ascii="Times New Roman" w:hAnsi="Times New Roman"/>
          <w:lang w:val="pt-BR"/>
        </w:rPr>
      </w:pPr>
      <w:r>
        <w:rPr>
          <w:rFonts w:ascii="Times New Roman" w:hAnsi="Times New Roman"/>
          <w:lang w:val="pt-BR"/>
        </w:rPr>
        <w:t>As quantidades adequadas de citrato de níquel e de titânio para a razão estequiométrica</w:t>
      </w:r>
      <w:r w:rsidR="007C056A">
        <w:rPr>
          <w:rFonts w:ascii="Times New Roman" w:hAnsi="Times New Roman"/>
          <w:lang w:val="pt-BR"/>
        </w:rPr>
        <w:t xml:space="preserve"> </w:t>
      </w:r>
      <w:r>
        <w:rPr>
          <w:rFonts w:ascii="Times New Roman" w:hAnsi="Times New Roman"/>
          <w:lang w:val="pt-BR"/>
        </w:rPr>
        <w:t>Ti/Ni desejada foram misturadas</w:t>
      </w:r>
      <w:r w:rsidR="007C056A">
        <w:rPr>
          <w:rFonts w:ascii="Times New Roman" w:hAnsi="Times New Roman"/>
          <w:lang w:val="pt-BR"/>
        </w:rPr>
        <w:t xml:space="preserve"> à temperatura</w:t>
      </w:r>
      <w:r>
        <w:rPr>
          <w:rFonts w:ascii="Times New Roman" w:hAnsi="Times New Roman"/>
          <w:lang w:val="pt-BR"/>
        </w:rPr>
        <w:t xml:space="preserve"> ambiente e aquecidas sob agitação magnética a 93</w:t>
      </w:r>
      <w:r w:rsidR="007C056A">
        <w:rPr>
          <w:rFonts w:ascii="Times New Roman" w:hAnsi="Times New Roman"/>
          <w:lang w:val="pt-BR"/>
        </w:rPr>
        <w:t xml:space="preserve"> </w:t>
      </w:r>
      <w:r>
        <w:rPr>
          <w:rFonts w:ascii="Times New Roman" w:hAnsi="Times New Roman"/>
          <w:lang w:val="pt-BR"/>
        </w:rPr>
        <w:t>°C.</w:t>
      </w:r>
      <w:r w:rsidR="007C056A">
        <w:rPr>
          <w:rFonts w:ascii="Times New Roman" w:hAnsi="Times New Roman"/>
          <w:lang w:val="pt-BR"/>
        </w:rPr>
        <w:t xml:space="preserve"> A</w:t>
      </w:r>
      <w:r>
        <w:rPr>
          <w:rFonts w:ascii="Times New Roman" w:hAnsi="Times New Roman"/>
          <w:lang w:val="pt-BR"/>
        </w:rPr>
        <w:t xml:space="preserve">dicionou-se etilenoglicol (EG) de modo que a proporção mássica AC:EG </w:t>
      </w:r>
      <w:r w:rsidR="007C056A">
        <w:rPr>
          <w:rFonts w:ascii="Times New Roman" w:hAnsi="Times New Roman"/>
          <w:lang w:val="pt-BR"/>
        </w:rPr>
        <w:t>fosse</w:t>
      </w:r>
      <w:r>
        <w:rPr>
          <w:rFonts w:ascii="Times New Roman" w:hAnsi="Times New Roman"/>
          <w:lang w:val="pt-BR"/>
        </w:rPr>
        <w:t xml:space="preserve"> igual a 3:2. As soluções </w:t>
      </w:r>
      <w:r w:rsidR="007C056A">
        <w:rPr>
          <w:rFonts w:ascii="Times New Roman" w:hAnsi="Times New Roman"/>
          <w:lang w:val="pt-BR"/>
        </w:rPr>
        <w:t>permaneceram</w:t>
      </w:r>
      <w:r>
        <w:rPr>
          <w:rFonts w:ascii="Times New Roman" w:hAnsi="Times New Roman"/>
          <w:lang w:val="pt-BR"/>
        </w:rPr>
        <w:t xml:space="preserve"> sob aquecimento e agitação magnética até a formação da</w:t>
      </w:r>
      <w:r w:rsidR="00FE1575">
        <w:rPr>
          <w:rFonts w:ascii="Times New Roman" w:hAnsi="Times New Roman"/>
          <w:lang w:val="pt-BR"/>
        </w:rPr>
        <w:t>s</w:t>
      </w:r>
      <w:r>
        <w:rPr>
          <w:rFonts w:ascii="Times New Roman" w:hAnsi="Times New Roman"/>
          <w:lang w:val="pt-BR"/>
        </w:rPr>
        <w:t xml:space="preserve"> resina</w:t>
      </w:r>
      <w:r w:rsidR="00FE1575">
        <w:rPr>
          <w:rFonts w:ascii="Times New Roman" w:hAnsi="Times New Roman"/>
          <w:lang w:val="pt-BR"/>
        </w:rPr>
        <w:t>s</w:t>
      </w:r>
      <w:r>
        <w:rPr>
          <w:rFonts w:ascii="Times New Roman" w:hAnsi="Times New Roman"/>
          <w:lang w:val="pt-BR"/>
        </w:rPr>
        <w:t xml:space="preserve"> </w:t>
      </w:r>
      <w:r w:rsidR="00FE1575">
        <w:rPr>
          <w:rFonts w:ascii="Times New Roman" w:hAnsi="Times New Roman"/>
          <w:lang w:val="pt-BR"/>
        </w:rPr>
        <w:t xml:space="preserve">poliméricas, </w:t>
      </w:r>
      <w:r w:rsidR="00FE1575" w:rsidRPr="00FE1575">
        <w:rPr>
          <w:rFonts w:ascii="Times New Roman" w:hAnsi="Times New Roman"/>
          <w:lang w:val="pt-BR"/>
        </w:rPr>
        <w:t xml:space="preserve">que foram secas </w:t>
      </w:r>
      <w:r w:rsidR="007C056A">
        <w:rPr>
          <w:rFonts w:ascii="Times New Roman" w:hAnsi="Times New Roman"/>
          <w:i/>
          <w:iCs/>
          <w:lang w:val="pt-BR"/>
        </w:rPr>
        <w:t xml:space="preserve">overnight </w:t>
      </w:r>
      <w:r w:rsidR="00FE1575" w:rsidRPr="00FE1575">
        <w:rPr>
          <w:rFonts w:ascii="Times New Roman" w:hAnsi="Times New Roman"/>
          <w:lang w:val="pt-BR"/>
        </w:rPr>
        <w:t>a 110 °C em estufa e então calcinadas a 550 °C por 3 h à taxa de aquecimento de 1 °C min</w:t>
      </w:r>
      <w:r w:rsidR="00FE1575" w:rsidRPr="00B841BE">
        <w:rPr>
          <w:rFonts w:ascii="Times New Roman" w:hAnsi="Times New Roman"/>
          <w:vertAlign w:val="superscript"/>
          <w:lang w:val="pt-BR"/>
        </w:rPr>
        <w:t>-1</w:t>
      </w:r>
      <w:r w:rsidR="00FE1575" w:rsidRPr="00FE1575">
        <w:rPr>
          <w:rFonts w:ascii="Times New Roman" w:hAnsi="Times New Roman"/>
          <w:lang w:val="pt-BR"/>
        </w:rPr>
        <w:t>, obtendo-se, dessa forma, os materiais desejados.</w:t>
      </w:r>
    </w:p>
    <w:p w14:paraId="031E616F" w14:textId="1021226C" w:rsidR="00D63E42" w:rsidRDefault="008D3E03" w:rsidP="00EA4E1B">
      <w:pPr>
        <w:pStyle w:val="TAMainText"/>
        <w:rPr>
          <w:rFonts w:ascii="Times New Roman" w:hAnsi="Times New Roman"/>
          <w:lang w:val="pt-BR"/>
        </w:rPr>
      </w:pPr>
      <w:r>
        <w:rPr>
          <w:rFonts w:ascii="Times New Roman" w:hAnsi="Times New Roman"/>
          <w:lang w:val="pt-BR"/>
        </w:rPr>
        <w:t>Após o processo de</w:t>
      </w:r>
      <w:r w:rsidR="00B66113">
        <w:rPr>
          <w:rFonts w:ascii="Times New Roman" w:hAnsi="Times New Roman"/>
          <w:lang w:val="pt-BR"/>
        </w:rPr>
        <w:t xml:space="preserve"> produção, </w:t>
      </w:r>
      <w:r>
        <w:rPr>
          <w:rFonts w:ascii="Times New Roman" w:hAnsi="Times New Roman"/>
          <w:lang w:val="pt-BR"/>
        </w:rPr>
        <w:t xml:space="preserve">as </w:t>
      </w:r>
      <w:r w:rsidR="00B66113">
        <w:rPr>
          <w:rFonts w:ascii="Times New Roman" w:hAnsi="Times New Roman"/>
          <w:lang w:val="pt-BR"/>
        </w:rPr>
        <w:t xml:space="preserve">cinco amostras </w:t>
      </w:r>
      <w:r>
        <w:rPr>
          <w:rFonts w:ascii="Times New Roman" w:hAnsi="Times New Roman"/>
          <w:lang w:val="pt-BR"/>
        </w:rPr>
        <w:t>foram maceradas e</w:t>
      </w:r>
      <w:r w:rsidR="00B66113">
        <w:rPr>
          <w:rFonts w:ascii="Times New Roman" w:hAnsi="Times New Roman"/>
          <w:lang w:val="pt-BR"/>
        </w:rPr>
        <w:t xml:space="preserve"> posteriormente pesadas</w:t>
      </w:r>
      <w:r w:rsidR="00445EB0">
        <w:rPr>
          <w:rFonts w:ascii="Times New Roman" w:hAnsi="Times New Roman"/>
          <w:lang w:val="pt-BR"/>
        </w:rPr>
        <w:t xml:space="preserve">. </w:t>
      </w:r>
      <w:r>
        <w:rPr>
          <w:rFonts w:ascii="Times New Roman" w:hAnsi="Times New Roman"/>
          <w:lang w:val="pt-BR"/>
        </w:rPr>
        <w:t xml:space="preserve">Os rendimentos </w:t>
      </w:r>
      <w:r>
        <w:rPr>
          <w:rFonts w:ascii="Times New Roman" w:hAnsi="Times New Roman"/>
          <w:lang w:val="pt-BR"/>
        </w:rPr>
        <w:lastRenderedPageBreak/>
        <w:t>obtidos para as amostras TN0; TN0,1; TN1; TN5 e TN10 foram, respectivamente</w:t>
      </w:r>
      <w:r w:rsidR="00445EB0">
        <w:rPr>
          <w:rFonts w:ascii="Times New Roman" w:hAnsi="Times New Roman"/>
          <w:lang w:val="pt-BR"/>
        </w:rPr>
        <w:t>,</w:t>
      </w:r>
      <w:r>
        <w:rPr>
          <w:rFonts w:ascii="Times New Roman" w:hAnsi="Times New Roman"/>
          <w:lang w:val="pt-BR"/>
        </w:rPr>
        <w:t xml:space="preserve"> iguais a 77,5%; 81,7%; 65,5%; 89,5% e 80,6%. As perdas mais expressivas de material ocorreram durante a calcinação das amostras devido à elevada exotermicidade da reação de combustão dos polímeros, o que acabou projetando uma porção das amostras para fora dos cadinhos de porcelana. </w:t>
      </w:r>
    </w:p>
    <w:p w14:paraId="5DBC79E5" w14:textId="229D2175" w:rsidR="00B841BE" w:rsidRDefault="00B66113" w:rsidP="00EA4E1B">
      <w:pPr>
        <w:pStyle w:val="TAMainText"/>
        <w:rPr>
          <w:rFonts w:ascii="Times New Roman" w:hAnsi="Times New Roman"/>
          <w:lang w:val="pt-BR"/>
        </w:rPr>
      </w:pPr>
      <w:r>
        <w:rPr>
          <w:rFonts w:ascii="Times New Roman" w:hAnsi="Times New Roman"/>
          <w:lang w:val="pt-BR"/>
        </w:rPr>
        <w:t>Após concluir essa etapa da pesquisa, as amostras sintetizadas foram encaminhadas para a caracterização.</w:t>
      </w:r>
    </w:p>
    <w:p w14:paraId="410A7714" w14:textId="77777777" w:rsidR="00B841BE" w:rsidRDefault="00B841BE" w:rsidP="00EA4E1B">
      <w:pPr>
        <w:pStyle w:val="TAMainText"/>
        <w:rPr>
          <w:rFonts w:ascii="Times New Roman" w:hAnsi="Times New Roman"/>
          <w:lang w:val="pt-BR"/>
        </w:rPr>
      </w:pPr>
    </w:p>
    <w:p w14:paraId="5D6EB4B4" w14:textId="4FE64C86" w:rsidR="00B841BE" w:rsidRDefault="00B841BE" w:rsidP="00B841BE">
      <w:pPr>
        <w:pStyle w:val="TAMainText"/>
        <w:ind w:firstLine="0"/>
        <w:rPr>
          <w:rFonts w:ascii="Times New Roman" w:hAnsi="Times New Roman"/>
          <w:i/>
          <w:lang w:val="pt-BR"/>
        </w:rPr>
      </w:pPr>
      <w:r>
        <w:rPr>
          <w:rFonts w:ascii="Times New Roman" w:hAnsi="Times New Roman"/>
          <w:i/>
          <w:lang w:val="pt-BR"/>
        </w:rPr>
        <w:t>Caracterização</w:t>
      </w:r>
      <w:r w:rsidR="002932B0">
        <w:rPr>
          <w:rFonts w:ascii="Times New Roman" w:hAnsi="Times New Roman"/>
          <w:i/>
          <w:lang w:val="pt-BR"/>
        </w:rPr>
        <w:t xml:space="preserve"> das resinas poliméricas e</w:t>
      </w:r>
      <w:r>
        <w:rPr>
          <w:rFonts w:ascii="Times New Roman" w:hAnsi="Times New Roman"/>
          <w:i/>
          <w:lang w:val="pt-BR"/>
        </w:rPr>
        <w:t xml:space="preserve"> dos fotocatalisadores</w:t>
      </w:r>
      <w:r w:rsidR="002932B0">
        <w:rPr>
          <w:rFonts w:ascii="Times New Roman" w:hAnsi="Times New Roman"/>
          <w:i/>
          <w:lang w:val="pt-BR"/>
        </w:rPr>
        <w:t xml:space="preserve"> óxidos</w:t>
      </w:r>
    </w:p>
    <w:p w14:paraId="600AC55C" w14:textId="77777777" w:rsidR="002932B0" w:rsidRDefault="00B841BE" w:rsidP="00EA4E1B">
      <w:pPr>
        <w:pStyle w:val="TAMainText"/>
        <w:rPr>
          <w:rFonts w:ascii="Times New Roman" w:hAnsi="Times New Roman"/>
          <w:iCs/>
          <w:lang w:val="pt-BR"/>
        </w:rPr>
      </w:pPr>
      <w:r>
        <w:rPr>
          <w:rFonts w:ascii="Times New Roman" w:hAnsi="Times New Roman"/>
          <w:iCs/>
          <w:lang w:val="pt-BR"/>
        </w:rPr>
        <w:t>A degradação oxidativa das resinas poliméricas secas</w:t>
      </w:r>
      <w:r w:rsidR="002932B0">
        <w:rPr>
          <w:rFonts w:ascii="Times New Roman" w:hAnsi="Times New Roman"/>
          <w:iCs/>
          <w:lang w:val="pt-BR"/>
        </w:rPr>
        <w:t xml:space="preserve"> (precursoras dos fotocatalisadores óxidos)</w:t>
      </w:r>
      <w:r>
        <w:rPr>
          <w:rFonts w:ascii="Times New Roman" w:hAnsi="Times New Roman"/>
          <w:iCs/>
          <w:lang w:val="pt-BR"/>
        </w:rPr>
        <w:t xml:space="preserve"> foi investigada por análise termogravimétrica em equipamento TA Instruments SDT Q600 por meio de aquecimento de aproximadamente 10 mg dos polímeros da temperatura ambiente a 1000</w:t>
      </w:r>
      <w:r w:rsidR="002932B0">
        <w:rPr>
          <w:rFonts w:ascii="Times New Roman" w:hAnsi="Times New Roman"/>
          <w:iCs/>
          <w:lang w:val="pt-BR"/>
        </w:rPr>
        <w:t xml:space="preserve"> </w:t>
      </w:r>
      <w:r>
        <w:rPr>
          <w:rFonts w:ascii="Times New Roman" w:hAnsi="Times New Roman"/>
          <w:iCs/>
          <w:lang w:val="pt-BR"/>
        </w:rPr>
        <w:t>°C à taxa de aquecimento de 10</w:t>
      </w:r>
      <w:r w:rsidR="002932B0">
        <w:rPr>
          <w:rFonts w:ascii="Times New Roman" w:hAnsi="Times New Roman"/>
          <w:iCs/>
          <w:lang w:val="pt-BR"/>
        </w:rPr>
        <w:t xml:space="preserve"> </w:t>
      </w:r>
      <w:r>
        <w:rPr>
          <w:rFonts w:ascii="Times New Roman" w:hAnsi="Times New Roman"/>
          <w:iCs/>
          <w:lang w:val="pt-BR"/>
        </w:rPr>
        <w:t>°C min</w:t>
      </w:r>
      <w:r>
        <w:rPr>
          <w:rFonts w:ascii="Times New Roman" w:hAnsi="Times New Roman"/>
          <w:iCs/>
          <w:vertAlign w:val="superscript"/>
          <w:lang w:val="pt-BR"/>
        </w:rPr>
        <w:t>-1</w:t>
      </w:r>
      <w:r>
        <w:rPr>
          <w:rFonts w:ascii="Times New Roman" w:hAnsi="Times New Roman"/>
          <w:iCs/>
          <w:lang w:val="pt-BR"/>
        </w:rPr>
        <w:t xml:space="preserve"> sob atmosfera de 100 mL min</w:t>
      </w:r>
      <w:r>
        <w:rPr>
          <w:rFonts w:ascii="Times New Roman" w:hAnsi="Times New Roman"/>
          <w:iCs/>
          <w:vertAlign w:val="superscript"/>
          <w:lang w:val="pt-BR"/>
        </w:rPr>
        <w:t>-1</w:t>
      </w:r>
      <w:r>
        <w:rPr>
          <w:rFonts w:ascii="Times New Roman" w:hAnsi="Times New Roman"/>
          <w:iCs/>
          <w:lang w:val="pt-BR"/>
        </w:rPr>
        <w:t xml:space="preserve"> de ar </w:t>
      </w:r>
      <w:r w:rsidRPr="002932B0">
        <w:rPr>
          <w:rFonts w:ascii="Times New Roman" w:hAnsi="Times New Roman"/>
          <w:iCs/>
          <w:lang w:val="pt-BR"/>
        </w:rPr>
        <w:t xml:space="preserve">sintético. </w:t>
      </w:r>
    </w:p>
    <w:p w14:paraId="1BA22EF4" w14:textId="5B9D8997" w:rsidR="005276E8" w:rsidRDefault="00B841BE" w:rsidP="00EA4E1B">
      <w:pPr>
        <w:pStyle w:val="TAMainText"/>
        <w:rPr>
          <w:rFonts w:ascii="Times New Roman" w:hAnsi="Times New Roman"/>
          <w:iCs/>
          <w:lang w:val="pt-BR"/>
        </w:rPr>
      </w:pPr>
      <w:r w:rsidRPr="002932B0">
        <w:rPr>
          <w:rFonts w:ascii="Times New Roman" w:hAnsi="Times New Roman"/>
          <w:iCs/>
          <w:lang w:val="pt-BR"/>
        </w:rPr>
        <w:t xml:space="preserve">A determinação dos parâmetros colorimétricos dos </w:t>
      </w:r>
      <w:r w:rsidR="002932B0">
        <w:rPr>
          <w:rFonts w:ascii="Times New Roman" w:hAnsi="Times New Roman"/>
          <w:iCs/>
          <w:lang w:val="pt-BR"/>
        </w:rPr>
        <w:t xml:space="preserve">fotocatalisadores </w:t>
      </w:r>
      <w:r w:rsidRPr="002932B0">
        <w:rPr>
          <w:rFonts w:ascii="Times New Roman" w:hAnsi="Times New Roman"/>
          <w:iCs/>
          <w:lang w:val="pt-BR"/>
        </w:rPr>
        <w:t>óxidos sintetizados foi realizada por meio da utilização</w:t>
      </w:r>
      <w:r>
        <w:rPr>
          <w:rFonts w:ascii="Times New Roman" w:hAnsi="Times New Roman"/>
          <w:iCs/>
          <w:lang w:val="pt-BR"/>
        </w:rPr>
        <w:t xml:space="preserve"> </w:t>
      </w:r>
      <w:r w:rsidR="006419CA">
        <w:rPr>
          <w:rFonts w:ascii="Times New Roman" w:hAnsi="Times New Roman"/>
          <w:iCs/>
          <w:lang w:val="pt-BR"/>
        </w:rPr>
        <w:t xml:space="preserve">de colorímetro Konica Minolta, modelo CR-400. Difratogramas de raios X dos óxidos foram registrados em equipamento Rigaku Miniflex 600 (40 kV e 15 mA) com radiação de cobre Cu </w:t>
      </w:r>
      <w:r w:rsidR="006419CA" w:rsidRPr="006D10AB">
        <w:rPr>
          <w:rFonts w:ascii="Times New Roman" w:hAnsi="Times New Roman"/>
          <w:lang w:val="pt-BR"/>
        </w:rPr>
        <w:t>K</w:t>
      </w:r>
      <w:r w:rsidR="006419CA">
        <w:rPr>
          <w:rFonts w:ascii="Times New Roman" w:hAnsi="Times New Roman"/>
        </w:rPr>
        <w:t>α</w:t>
      </w:r>
      <w:r w:rsidR="006419CA" w:rsidRPr="006D10AB">
        <w:rPr>
          <w:rFonts w:ascii="Times New Roman" w:hAnsi="Times New Roman"/>
          <w:lang w:val="pt-BR"/>
        </w:rPr>
        <w:t xml:space="preserve"> (</w:t>
      </w:r>
      <w:r w:rsidR="006419CA">
        <w:rPr>
          <w:rFonts w:ascii="Times New Roman" w:hAnsi="Times New Roman"/>
        </w:rPr>
        <w:t>λ</w:t>
      </w:r>
      <w:r w:rsidR="006419CA" w:rsidRPr="006D10AB">
        <w:rPr>
          <w:rFonts w:ascii="Times New Roman" w:hAnsi="Times New Roman"/>
          <w:lang w:val="pt-BR"/>
        </w:rPr>
        <w:t xml:space="preserve"> = 1,5406 Å) em interval</w:t>
      </w:r>
      <w:r w:rsidR="002932B0">
        <w:rPr>
          <w:rFonts w:ascii="Times New Roman" w:hAnsi="Times New Roman"/>
          <w:lang w:val="pt-BR"/>
        </w:rPr>
        <w:t>o</w:t>
      </w:r>
      <w:r w:rsidR="006419CA" w:rsidRPr="006D10AB">
        <w:rPr>
          <w:rFonts w:ascii="Times New Roman" w:hAnsi="Times New Roman"/>
          <w:lang w:val="pt-BR"/>
        </w:rPr>
        <w:t xml:space="preserve"> de 2</w:t>
      </w:r>
      <w:r w:rsidR="006419CA">
        <w:rPr>
          <w:rFonts w:ascii="Times New Roman" w:hAnsi="Times New Roman"/>
        </w:rPr>
        <w:t>θ</w:t>
      </w:r>
      <w:r w:rsidR="006419CA">
        <w:rPr>
          <w:rFonts w:ascii="Times New Roman" w:hAnsi="Times New Roman"/>
          <w:iCs/>
          <w:lang w:val="pt-BR"/>
        </w:rPr>
        <w:t xml:space="preserve"> de 3 a 90° </w:t>
      </w:r>
      <w:r w:rsidR="006419CA" w:rsidRPr="002932B0">
        <w:rPr>
          <w:rFonts w:ascii="Times New Roman" w:hAnsi="Times New Roman"/>
          <w:iCs/>
          <w:lang w:val="pt-BR"/>
        </w:rPr>
        <w:t xml:space="preserve">em modo </w:t>
      </w:r>
      <w:r w:rsidR="006419CA" w:rsidRPr="002932B0">
        <w:rPr>
          <w:rFonts w:ascii="Times New Roman" w:hAnsi="Times New Roman"/>
          <w:i/>
          <w:lang w:val="pt-BR"/>
        </w:rPr>
        <w:t xml:space="preserve">step can </w:t>
      </w:r>
      <w:r w:rsidR="006419CA" w:rsidRPr="002932B0">
        <w:rPr>
          <w:rFonts w:ascii="Times New Roman" w:hAnsi="Times New Roman"/>
          <w:iCs/>
          <w:lang w:val="pt-BR"/>
        </w:rPr>
        <w:t>com passo de 0,02° e tempo de 1 s por passo. Os difratogramas foram refinados pelo método de Rietvel</w:t>
      </w:r>
      <w:r w:rsidR="002932B0" w:rsidRPr="002932B0">
        <w:rPr>
          <w:rFonts w:ascii="Times New Roman" w:hAnsi="Times New Roman"/>
          <w:iCs/>
          <w:lang w:val="pt-BR"/>
        </w:rPr>
        <w:t>d</w:t>
      </w:r>
      <w:r w:rsidR="006419CA" w:rsidRPr="002932B0">
        <w:rPr>
          <w:rFonts w:ascii="Times New Roman" w:hAnsi="Times New Roman"/>
          <w:iCs/>
          <w:lang w:val="pt-BR"/>
        </w:rPr>
        <w:t xml:space="preserve"> em</w:t>
      </w:r>
      <w:r w:rsidR="006419CA">
        <w:rPr>
          <w:rFonts w:ascii="Times New Roman" w:hAnsi="Times New Roman"/>
          <w:iCs/>
          <w:lang w:val="pt-BR"/>
        </w:rPr>
        <w:t xml:space="preserve"> </w:t>
      </w:r>
      <w:r w:rsidR="006419CA">
        <w:rPr>
          <w:rFonts w:ascii="Times New Roman" w:hAnsi="Times New Roman"/>
          <w:i/>
          <w:lang w:val="pt-BR"/>
        </w:rPr>
        <w:t xml:space="preserve">software </w:t>
      </w:r>
      <w:r w:rsidR="006419CA">
        <w:rPr>
          <w:rFonts w:ascii="Times New Roman" w:hAnsi="Times New Roman"/>
          <w:iCs/>
          <w:lang w:val="pt-BR"/>
        </w:rPr>
        <w:t>GSAS com interface gráfica EXPGUI.</w:t>
      </w:r>
    </w:p>
    <w:p w14:paraId="57B3CF1A" w14:textId="77777777" w:rsidR="006419CA" w:rsidRDefault="006419CA" w:rsidP="00EA4E1B">
      <w:pPr>
        <w:pStyle w:val="TAMainText"/>
        <w:rPr>
          <w:rFonts w:ascii="Times New Roman" w:hAnsi="Times New Roman"/>
          <w:iCs/>
          <w:lang w:val="pt-BR"/>
        </w:rPr>
      </w:pPr>
    </w:p>
    <w:p w14:paraId="4FA52E8C" w14:textId="5B10E212" w:rsidR="006419CA" w:rsidRDefault="006419CA" w:rsidP="006419CA">
      <w:pPr>
        <w:pStyle w:val="TAMainText"/>
        <w:ind w:firstLine="0"/>
        <w:rPr>
          <w:rFonts w:ascii="Times New Roman" w:hAnsi="Times New Roman"/>
          <w:i/>
          <w:lang w:val="pt-BR"/>
        </w:rPr>
      </w:pPr>
      <w:r>
        <w:rPr>
          <w:rFonts w:ascii="Times New Roman" w:hAnsi="Times New Roman"/>
          <w:i/>
          <w:lang w:val="pt-BR"/>
        </w:rPr>
        <w:t>Testes fotocatalíticos</w:t>
      </w:r>
    </w:p>
    <w:p w14:paraId="1C284329" w14:textId="5FD4CCAB" w:rsidR="006419CA" w:rsidRDefault="00763DAD" w:rsidP="00EA4E1B">
      <w:pPr>
        <w:pStyle w:val="TAMainText"/>
        <w:rPr>
          <w:rFonts w:ascii="Times New Roman" w:hAnsi="Times New Roman"/>
          <w:iCs/>
          <w:lang w:val="pt-BR"/>
        </w:rPr>
      </w:pPr>
      <w:r>
        <w:rPr>
          <w:rFonts w:ascii="Times New Roman" w:hAnsi="Times New Roman"/>
          <w:iCs/>
          <w:lang w:val="pt-BR"/>
        </w:rPr>
        <w:t xml:space="preserve">Os óxidos sintetizados foram avaliados </w:t>
      </w:r>
      <w:r w:rsidR="00663D3C">
        <w:rPr>
          <w:rFonts w:ascii="Times New Roman" w:hAnsi="Times New Roman"/>
          <w:iCs/>
          <w:lang w:val="pt-BR"/>
        </w:rPr>
        <w:t xml:space="preserve">como fotocatalisadores </w:t>
      </w:r>
      <w:r>
        <w:rPr>
          <w:rFonts w:ascii="Times New Roman" w:hAnsi="Times New Roman"/>
          <w:iCs/>
          <w:lang w:val="pt-BR"/>
        </w:rPr>
        <w:t>na</w:t>
      </w:r>
      <w:r w:rsidR="00663D3C">
        <w:rPr>
          <w:rFonts w:ascii="Times New Roman" w:hAnsi="Times New Roman"/>
          <w:iCs/>
          <w:lang w:val="pt-BR"/>
        </w:rPr>
        <w:t xml:space="preserve"> reação de</w:t>
      </w:r>
      <w:r>
        <w:rPr>
          <w:rFonts w:ascii="Times New Roman" w:hAnsi="Times New Roman"/>
          <w:iCs/>
          <w:lang w:val="pt-BR"/>
        </w:rPr>
        <w:t xml:space="preserve"> degradação do corante têxtil amarelo reativo BF-4G sob radiação UV e </w:t>
      </w:r>
      <w:r w:rsidR="00663D3C">
        <w:rPr>
          <w:rFonts w:ascii="Times New Roman" w:hAnsi="Times New Roman"/>
          <w:iCs/>
          <w:lang w:val="pt-BR"/>
        </w:rPr>
        <w:t>Vis</w:t>
      </w:r>
      <w:r>
        <w:rPr>
          <w:rFonts w:ascii="Times New Roman" w:hAnsi="Times New Roman"/>
          <w:iCs/>
          <w:lang w:val="pt-BR"/>
        </w:rPr>
        <w:t>. Para os experimentos com radiação UV, foi empregado um reator em batelada de borossilicato dotado de sistema de resfriamento com água acoplado a um agitador magnético. Os testes fotocatalíticos foram conduzidos com volume reacional de 200 mL, concentração de fotocat</w:t>
      </w:r>
      <w:r w:rsidR="004D18E0">
        <w:rPr>
          <w:rFonts w:ascii="Times New Roman" w:hAnsi="Times New Roman"/>
          <w:iCs/>
          <w:lang w:val="pt-BR"/>
        </w:rPr>
        <w:t>a</w:t>
      </w:r>
      <w:r>
        <w:rPr>
          <w:rFonts w:ascii="Times New Roman" w:hAnsi="Times New Roman"/>
          <w:iCs/>
          <w:lang w:val="pt-BR"/>
        </w:rPr>
        <w:t>lisador de 0,5</w:t>
      </w:r>
      <w:r w:rsidR="00663D3C">
        <w:rPr>
          <w:rFonts w:ascii="Times New Roman" w:hAnsi="Times New Roman"/>
          <w:iCs/>
          <w:lang w:val="pt-BR"/>
        </w:rPr>
        <w:t> </w:t>
      </w:r>
      <w:r>
        <w:rPr>
          <w:rFonts w:ascii="Times New Roman" w:hAnsi="Times New Roman"/>
          <w:iCs/>
          <w:lang w:val="pt-BR"/>
        </w:rPr>
        <w:t>g L</w:t>
      </w:r>
      <w:r>
        <w:rPr>
          <w:rFonts w:ascii="Times New Roman" w:hAnsi="Times New Roman"/>
          <w:iCs/>
          <w:vertAlign w:val="superscript"/>
          <w:lang w:val="pt-BR"/>
        </w:rPr>
        <w:t>-1</w:t>
      </w:r>
      <w:r>
        <w:rPr>
          <w:rFonts w:ascii="Times New Roman" w:hAnsi="Times New Roman"/>
          <w:iCs/>
          <w:lang w:val="pt-BR"/>
        </w:rPr>
        <w:t xml:space="preserve"> e concentração de corante igual a 50</w:t>
      </w:r>
      <w:r w:rsidR="00400A58">
        <w:rPr>
          <w:rFonts w:ascii="Times New Roman" w:hAnsi="Times New Roman"/>
          <w:iCs/>
          <w:lang w:val="pt-BR"/>
        </w:rPr>
        <w:t xml:space="preserve"> </w:t>
      </w:r>
      <w:r>
        <w:rPr>
          <w:rFonts w:ascii="Times New Roman" w:hAnsi="Times New Roman"/>
          <w:iCs/>
          <w:lang w:val="pt-BR"/>
        </w:rPr>
        <w:t>mg L</w:t>
      </w:r>
      <w:r>
        <w:rPr>
          <w:rFonts w:ascii="Times New Roman" w:hAnsi="Times New Roman"/>
          <w:iCs/>
          <w:vertAlign w:val="superscript"/>
          <w:lang w:val="pt-BR"/>
        </w:rPr>
        <w:t>-1</w:t>
      </w:r>
      <w:r>
        <w:rPr>
          <w:rFonts w:ascii="Times New Roman" w:hAnsi="Times New Roman"/>
          <w:iCs/>
          <w:lang w:val="pt-BR"/>
        </w:rPr>
        <w:t>. A fonte de irradiação utilizada foi uma lâmpada de vapor de mercúrio de 80 W (Osram) com bulbo protetor de quartzo submersa.</w:t>
      </w:r>
      <w:r w:rsidR="00663D3C">
        <w:rPr>
          <w:rFonts w:ascii="Times New Roman" w:hAnsi="Times New Roman"/>
          <w:iCs/>
          <w:lang w:val="pt-BR"/>
        </w:rPr>
        <w:t xml:space="preserve"> Ressalta-se que a lei de Lambert-Beer foi respeitada no intervalo de concentrações </w:t>
      </w:r>
      <w:r w:rsidR="004D18E0">
        <w:rPr>
          <w:rFonts w:ascii="Times New Roman" w:hAnsi="Times New Roman"/>
          <w:iCs/>
          <w:lang w:val="pt-BR"/>
        </w:rPr>
        <w:t>de corante investigadas nesse trabalho.</w:t>
      </w:r>
    </w:p>
    <w:p w14:paraId="451FCC1E" w14:textId="1A081773" w:rsidR="002567CB" w:rsidRDefault="00763DAD" w:rsidP="00DC0CAB">
      <w:pPr>
        <w:pStyle w:val="TAMainText"/>
        <w:rPr>
          <w:rFonts w:ascii="Times New Roman" w:hAnsi="Times New Roman"/>
          <w:iCs/>
          <w:lang w:val="pt-BR"/>
        </w:rPr>
      </w:pPr>
      <w:r>
        <w:rPr>
          <w:rFonts w:ascii="Times New Roman" w:hAnsi="Times New Roman"/>
          <w:iCs/>
          <w:lang w:val="pt-BR"/>
        </w:rPr>
        <w:t>Para os testes com radiação visível</w:t>
      </w:r>
      <w:r w:rsidR="00802CE2">
        <w:rPr>
          <w:rFonts w:ascii="Times New Roman" w:hAnsi="Times New Roman"/>
          <w:iCs/>
          <w:lang w:val="pt-BR"/>
        </w:rPr>
        <w:t>,</w:t>
      </w:r>
      <w:r>
        <w:rPr>
          <w:rFonts w:ascii="Times New Roman" w:hAnsi="Times New Roman"/>
          <w:iCs/>
          <w:lang w:val="pt-BR"/>
        </w:rPr>
        <w:t xml:space="preserve"> foi utilizado um reator composto de um tubo cilíndrico interno de borossilicato com 100 mm de diâmetro e um tubo externo de PVC (policloreto de vinila) de diâmetro de 150 mm. O reator possui ainda</w:t>
      </w:r>
      <w:r w:rsidR="008219BA">
        <w:rPr>
          <w:rFonts w:ascii="Times New Roman" w:hAnsi="Times New Roman"/>
          <w:iCs/>
          <w:lang w:val="pt-BR"/>
        </w:rPr>
        <w:t xml:space="preserve"> sistema de </w:t>
      </w:r>
      <w:r w:rsidR="00802CE2">
        <w:rPr>
          <w:rFonts w:ascii="Times New Roman" w:hAnsi="Times New Roman"/>
          <w:iCs/>
          <w:lang w:val="pt-BR"/>
        </w:rPr>
        <w:t>resfriamento</w:t>
      </w:r>
      <w:r w:rsidR="008219BA">
        <w:rPr>
          <w:rFonts w:ascii="Times New Roman" w:hAnsi="Times New Roman"/>
          <w:iCs/>
          <w:lang w:val="pt-BR"/>
        </w:rPr>
        <w:t xml:space="preserve"> por banho termostático com água que circula entre os tubos</w:t>
      </w:r>
      <w:r w:rsidR="00802CE2">
        <w:rPr>
          <w:rFonts w:ascii="Times New Roman" w:hAnsi="Times New Roman"/>
          <w:iCs/>
          <w:lang w:val="pt-BR"/>
        </w:rPr>
        <w:t>,</w:t>
      </w:r>
      <w:r w:rsidR="008219BA">
        <w:rPr>
          <w:rFonts w:ascii="Times New Roman" w:hAnsi="Times New Roman"/>
          <w:iCs/>
          <w:lang w:val="pt-BR"/>
        </w:rPr>
        <w:t xml:space="preserve"> oxigenação por bomba de ar e agitação magnética</w:t>
      </w:r>
      <w:r w:rsidR="00FA14FE">
        <w:rPr>
          <w:rFonts w:ascii="Times New Roman" w:hAnsi="Times New Roman"/>
          <w:iCs/>
          <w:lang w:val="pt-BR"/>
        </w:rPr>
        <w:t xml:space="preserve">. A fonte de radiação visível foi posicionada no interior do tubo interno, fixada na tampa do reator e imersa no meio reacional. Foi empregada uma </w:t>
      </w:r>
      <w:r w:rsidR="00FA14FE">
        <w:rPr>
          <w:rFonts w:ascii="Times New Roman" w:hAnsi="Times New Roman"/>
          <w:iCs/>
          <w:lang w:val="pt-BR"/>
        </w:rPr>
        <w:lastRenderedPageBreak/>
        <w:t>lâmpada halógena modelo Osram – HQI–T 250 W/D PRO, com emissão de luz na faixa de 300 a 800 nm. Para a oxigenação do meio reacional</w:t>
      </w:r>
      <w:r w:rsidR="00802CE2">
        <w:rPr>
          <w:rFonts w:ascii="Times New Roman" w:hAnsi="Times New Roman"/>
          <w:iCs/>
          <w:lang w:val="pt-BR"/>
        </w:rPr>
        <w:t>,</w:t>
      </w:r>
      <w:r w:rsidR="00FA14FE">
        <w:rPr>
          <w:rFonts w:ascii="Times New Roman" w:hAnsi="Times New Roman"/>
          <w:iCs/>
          <w:lang w:val="pt-BR"/>
        </w:rPr>
        <w:t xml:space="preserve"> foi utilizado um compressor de ar eletromagnético Resun Aco-002, juntamente com um medidor de vazão de ar (rotâmetro) MKB. Os testes fotocatalíticos foram conduzidos com volume reacional de 1,5 L, concentração de fotocatalisador de 0,5</w:t>
      </w:r>
      <w:r w:rsidR="00802CE2">
        <w:rPr>
          <w:rFonts w:ascii="Times New Roman" w:hAnsi="Times New Roman"/>
          <w:iCs/>
          <w:lang w:val="pt-BR"/>
        </w:rPr>
        <w:t xml:space="preserve"> </w:t>
      </w:r>
      <w:r w:rsidR="00FA14FE">
        <w:rPr>
          <w:rFonts w:ascii="Times New Roman" w:hAnsi="Times New Roman"/>
          <w:iCs/>
          <w:lang w:val="pt-BR"/>
        </w:rPr>
        <w:t>g L</w:t>
      </w:r>
      <w:r w:rsidR="00FA14FE">
        <w:rPr>
          <w:rFonts w:ascii="Times New Roman" w:hAnsi="Times New Roman"/>
          <w:iCs/>
          <w:vertAlign w:val="superscript"/>
          <w:lang w:val="pt-BR"/>
        </w:rPr>
        <w:t>-1</w:t>
      </w:r>
      <w:r w:rsidR="00FA14FE">
        <w:rPr>
          <w:rFonts w:ascii="Times New Roman" w:hAnsi="Times New Roman"/>
          <w:iCs/>
          <w:lang w:val="pt-BR"/>
        </w:rPr>
        <w:t xml:space="preserve"> e concentração de corante igual a 50</w:t>
      </w:r>
      <w:r w:rsidR="00802CE2">
        <w:rPr>
          <w:rFonts w:ascii="Times New Roman" w:hAnsi="Times New Roman"/>
          <w:iCs/>
          <w:lang w:val="pt-BR"/>
        </w:rPr>
        <w:t xml:space="preserve"> </w:t>
      </w:r>
      <w:r w:rsidR="00FA14FE">
        <w:rPr>
          <w:rFonts w:ascii="Times New Roman" w:hAnsi="Times New Roman"/>
          <w:iCs/>
          <w:lang w:val="pt-BR"/>
        </w:rPr>
        <w:t>mg L</w:t>
      </w:r>
      <w:r w:rsidR="00FA14FE">
        <w:rPr>
          <w:rFonts w:ascii="Times New Roman" w:hAnsi="Times New Roman"/>
          <w:iCs/>
          <w:vertAlign w:val="superscript"/>
          <w:lang w:val="pt-BR"/>
        </w:rPr>
        <w:t>-1</w:t>
      </w:r>
      <w:r w:rsidR="002567CB">
        <w:rPr>
          <w:rFonts w:ascii="Times New Roman" w:hAnsi="Times New Roman"/>
          <w:iCs/>
          <w:lang w:val="pt-BR"/>
        </w:rPr>
        <w:t>.</w:t>
      </w:r>
      <w:r w:rsidR="003474F6">
        <w:rPr>
          <w:rFonts w:ascii="Times New Roman" w:hAnsi="Times New Roman"/>
          <w:iCs/>
          <w:lang w:val="pt-BR"/>
        </w:rPr>
        <w:t xml:space="preserve"> Foi utilizado um reator de maior volume reacional para os testes fotocatalíticos com radiação visível com o intuito de se investigar a potencialidade desse tratamento </w:t>
      </w:r>
      <w:r w:rsidR="00482C71">
        <w:rPr>
          <w:rFonts w:ascii="Times New Roman" w:hAnsi="Times New Roman"/>
          <w:iCs/>
          <w:lang w:val="pt-BR"/>
        </w:rPr>
        <w:t>em condições mais próximas de um efluente real.</w:t>
      </w:r>
    </w:p>
    <w:p w14:paraId="75D756D0" w14:textId="2441D163" w:rsidR="002567CB" w:rsidRPr="00FA14FE" w:rsidRDefault="002567CB" w:rsidP="00EA4E1B">
      <w:pPr>
        <w:pStyle w:val="TAMainText"/>
        <w:rPr>
          <w:rFonts w:ascii="Times New Roman" w:hAnsi="Times New Roman"/>
          <w:iCs/>
          <w:lang w:val="pt-BR"/>
        </w:rPr>
      </w:pPr>
      <w:r>
        <w:rPr>
          <w:rFonts w:ascii="Times New Roman" w:hAnsi="Times New Roman"/>
          <w:iCs/>
          <w:lang w:val="pt-BR"/>
        </w:rPr>
        <w:t xml:space="preserve">Anteriormente aos ensaios fotocatalíticos, os materiais permaneceram em contato com a solução do corante por 1 h para avaliação da sua remoção por adsorção. Alíquotas foram retiradas do meio reacional durante </w:t>
      </w:r>
      <w:r w:rsidR="00482C71">
        <w:rPr>
          <w:rFonts w:ascii="Times New Roman" w:hAnsi="Times New Roman"/>
          <w:iCs/>
          <w:lang w:val="pt-BR"/>
        </w:rPr>
        <w:t>esse período</w:t>
      </w:r>
      <w:r>
        <w:rPr>
          <w:rFonts w:ascii="Times New Roman" w:hAnsi="Times New Roman"/>
          <w:iCs/>
          <w:lang w:val="pt-BR"/>
        </w:rPr>
        <w:t xml:space="preserve">. Na continuação dos </w:t>
      </w:r>
      <w:r w:rsidRPr="00482C71">
        <w:rPr>
          <w:rFonts w:ascii="Times New Roman" w:hAnsi="Times New Roman"/>
          <w:iCs/>
          <w:lang w:val="pt-BR"/>
        </w:rPr>
        <w:t>experimentos, a lâmpada foi ligada e alíquotas foram coletadas do meio reacional nos tempos de 0,</w:t>
      </w:r>
      <w:r w:rsidR="00482C71" w:rsidRPr="00482C71">
        <w:rPr>
          <w:rFonts w:ascii="Times New Roman" w:hAnsi="Times New Roman"/>
          <w:iCs/>
          <w:lang w:val="pt-BR"/>
        </w:rPr>
        <w:t xml:space="preserve"> </w:t>
      </w:r>
      <w:r w:rsidRPr="00482C71">
        <w:rPr>
          <w:rFonts w:ascii="Times New Roman" w:hAnsi="Times New Roman"/>
          <w:iCs/>
          <w:lang w:val="pt-BR"/>
        </w:rPr>
        <w:t>5,</w:t>
      </w:r>
      <w:r w:rsidR="00482C71" w:rsidRPr="00482C71">
        <w:rPr>
          <w:rFonts w:ascii="Times New Roman" w:hAnsi="Times New Roman"/>
          <w:iCs/>
          <w:lang w:val="pt-BR"/>
        </w:rPr>
        <w:t xml:space="preserve"> </w:t>
      </w:r>
      <w:r w:rsidRPr="00482C71">
        <w:rPr>
          <w:rFonts w:ascii="Times New Roman" w:hAnsi="Times New Roman"/>
          <w:iCs/>
          <w:lang w:val="pt-BR"/>
        </w:rPr>
        <w:t>10,</w:t>
      </w:r>
      <w:r w:rsidR="00482C71" w:rsidRPr="00482C71">
        <w:rPr>
          <w:rFonts w:ascii="Times New Roman" w:hAnsi="Times New Roman"/>
          <w:iCs/>
          <w:lang w:val="pt-BR"/>
        </w:rPr>
        <w:t xml:space="preserve"> </w:t>
      </w:r>
      <w:r w:rsidRPr="00482C71">
        <w:rPr>
          <w:rFonts w:ascii="Times New Roman" w:hAnsi="Times New Roman"/>
          <w:iCs/>
          <w:lang w:val="pt-BR"/>
        </w:rPr>
        <w:t>20,</w:t>
      </w:r>
      <w:r w:rsidR="00482C71" w:rsidRPr="00482C71">
        <w:rPr>
          <w:rFonts w:ascii="Times New Roman" w:hAnsi="Times New Roman"/>
          <w:iCs/>
          <w:lang w:val="pt-BR"/>
        </w:rPr>
        <w:t xml:space="preserve"> 30, 60 e 90 min</w:t>
      </w:r>
      <w:r w:rsidRPr="00482C71">
        <w:rPr>
          <w:rFonts w:ascii="Times New Roman" w:hAnsi="Times New Roman"/>
          <w:iCs/>
          <w:lang w:val="pt-BR"/>
        </w:rPr>
        <w:t xml:space="preserve"> de fotocatálise. As alíquotas foram analisadas por espectrofotometria UV-Vis em </w:t>
      </w:r>
      <w:r w:rsidR="00482C71">
        <w:rPr>
          <w:rFonts w:ascii="Times New Roman" w:hAnsi="Times New Roman"/>
          <w:iCs/>
          <w:lang w:val="pt-BR"/>
        </w:rPr>
        <w:t>equipamento</w:t>
      </w:r>
      <w:r w:rsidRPr="00482C71">
        <w:rPr>
          <w:rFonts w:ascii="Times New Roman" w:hAnsi="Times New Roman"/>
          <w:iCs/>
          <w:lang w:val="pt-BR"/>
        </w:rPr>
        <w:t xml:space="preserve"> Shimadzu UV-1800 em comprimento de onda de 427 nm. Teste fotolíticos foram</w:t>
      </w:r>
      <w:r>
        <w:rPr>
          <w:rFonts w:ascii="Times New Roman" w:hAnsi="Times New Roman"/>
          <w:iCs/>
          <w:lang w:val="pt-BR"/>
        </w:rPr>
        <w:t xml:space="preserve"> realizados com a mesma metodologia empregada para os testes fotocatalíticos, mas na ausência de fotocatalisador. </w:t>
      </w:r>
    </w:p>
    <w:p w14:paraId="79C1299A" w14:textId="77777777" w:rsidR="006419CA" w:rsidRPr="006419CA" w:rsidRDefault="006419CA" w:rsidP="00EA4E1B">
      <w:pPr>
        <w:pStyle w:val="TAMainText"/>
        <w:rPr>
          <w:rFonts w:ascii="Times New Roman" w:hAnsi="Times New Roman"/>
          <w:iCs/>
          <w:lang w:val="pt-BR"/>
        </w:rPr>
      </w:pPr>
    </w:p>
    <w:p w14:paraId="6419CE78" w14:textId="609868EB" w:rsidR="00B841BE" w:rsidRPr="00B841BE" w:rsidRDefault="00EA4E1B" w:rsidP="00B841BE">
      <w:pPr>
        <w:pStyle w:val="Ttulo2"/>
        <w:rPr>
          <w:rFonts w:ascii="Helvetica" w:hAnsi="Helvetica" w:cs="Helvetica"/>
          <w:sz w:val="24"/>
          <w:szCs w:val="24"/>
        </w:rPr>
      </w:pPr>
      <w:r w:rsidRPr="001F25B2">
        <w:rPr>
          <w:rFonts w:ascii="Helvetica" w:hAnsi="Helvetica" w:cs="Helvetica"/>
          <w:sz w:val="24"/>
          <w:szCs w:val="24"/>
        </w:rPr>
        <w:t>Resultados e Discussão</w:t>
      </w:r>
    </w:p>
    <w:p w14:paraId="70B85F6E" w14:textId="09D7B24B" w:rsidR="00B10021" w:rsidRPr="00B10021" w:rsidRDefault="002567CB" w:rsidP="00B10021">
      <w:pPr>
        <w:pStyle w:val="TAMainText"/>
        <w:ind w:firstLine="0"/>
        <w:rPr>
          <w:rFonts w:ascii="Times New Roman" w:hAnsi="Times New Roman"/>
          <w:i/>
          <w:lang w:val="pt-BR"/>
        </w:rPr>
      </w:pPr>
      <w:r>
        <w:rPr>
          <w:rFonts w:ascii="Times New Roman" w:hAnsi="Times New Roman"/>
          <w:i/>
          <w:lang w:val="pt-BR"/>
        </w:rPr>
        <w:t xml:space="preserve">Caracterização </w:t>
      </w:r>
      <w:r w:rsidR="007C0946">
        <w:rPr>
          <w:rFonts w:ascii="Times New Roman" w:hAnsi="Times New Roman"/>
          <w:i/>
          <w:lang w:val="pt-BR"/>
        </w:rPr>
        <w:t>das resinas poliméricas e dos fotocatalisadores óxidos</w:t>
      </w:r>
    </w:p>
    <w:p w14:paraId="332074A9" w14:textId="03C98816" w:rsidR="0085287D" w:rsidRDefault="00560151" w:rsidP="00EA4E1B">
      <w:pPr>
        <w:pStyle w:val="TAMainText"/>
        <w:ind w:firstLine="187"/>
        <w:rPr>
          <w:rFonts w:ascii="Times New Roman" w:hAnsi="Times New Roman"/>
          <w:lang w:val="pt-BR"/>
        </w:rPr>
      </w:pPr>
      <w:r>
        <w:rPr>
          <w:rFonts w:ascii="Times New Roman" w:hAnsi="Times New Roman"/>
          <w:lang w:val="pt-BR"/>
        </w:rPr>
        <w:t xml:space="preserve">A figura 1 </w:t>
      </w:r>
      <w:r w:rsidR="002567CB">
        <w:rPr>
          <w:rFonts w:ascii="Times New Roman" w:hAnsi="Times New Roman"/>
          <w:lang w:val="pt-BR"/>
        </w:rPr>
        <w:t>a</w:t>
      </w:r>
      <w:r>
        <w:rPr>
          <w:rFonts w:ascii="Times New Roman" w:hAnsi="Times New Roman"/>
          <w:lang w:val="pt-BR"/>
        </w:rPr>
        <w:t>presenta os resultados da</w:t>
      </w:r>
      <w:r w:rsidR="002567CB">
        <w:rPr>
          <w:rFonts w:ascii="Times New Roman" w:hAnsi="Times New Roman"/>
          <w:lang w:val="pt-BR"/>
        </w:rPr>
        <w:t>s</w:t>
      </w:r>
      <w:r>
        <w:rPr>
          <w:rFonts w:ascii="Times New Roman" w:hAnsi="Times New Roman"/>
          <w:lang w:val="pt-BR"/>
        </w:rPr>
        <w:t xml:space="preserve"> análise</w:t>
      </w:r>
      <w:r w:rsidR="002567CB">
        <w:rPr>
          <w:rFonts w:ascii="Times New Roman" w:hAnsi="Times New Roman"/>
          <w:lang w:val="pt-BR"/>
        </w:rPr>
        <w:t>s</w:t>
      </w:r>
      <w:r>
        <w:rPr>
          <w:rFonts w:ascii="Times New Roman" w:hAnsi="Times New Roman"/>
          <w:lang w:val="pt-BR"/>
        </w:rPr>
        <w:t xml:space="preserve"> termogravimétrica</w:t>
      </w:r>
      <w:r w:rsidR="002567CB">
        <w:rPr>
          <w:rFonts w:ascii="Times New Roman" w:hAnsi="Times New Roman"/>
          <w:lang w:val="pt-BR"/>
        </w:rPr>
        <w:t>s d</w:t>
      </w:r>
      <w:r>
        <w:rPr>
          <w:rFonts w:ascii="Times New Roman" w:hAnsi="Times New Roman"/>
          <w:lang w:val="pt-BR"/>
        </w:rPr>
        <w:t>as resinas poliméricas</w:t>
      </w:r>
      <w:r w:rsidR="002567CB">
        <w:rPr>
          <w:rFonts w:ascii="Times New Roman" w:hAnsi="Times New Roman"/>
          <w:lang w:val="pt-BR"/>
        </w:rPr>
        <w:t xml:space="preserve"> precursoras</w:t>
      </w:r>
      <w:r>
        <w:rPr>
          <w:rFonts w:ascii="Times New Roman" w:hAnsi="Times New Roman"/>
          <w:lang w:val="pt-BR"/>
        </w:rPr>
        <w:t xml:space="preserve"> dos óxido</w:t>
      </w:r>
      <w:r w:rsidR="002567CB">
        <w:rPr>
          <w:rFonts w:ascii="Times New Roman" w:hAnsi="Times New Roman"/>
          <w:lang w:val="pt-BR"/>
        </w:rPr>
        <w:t>s</w:t>
      </w:r>
      <w:r w:rsidR="00FD2207">
        <w:rPr>
          <w:rFonts w:ascii="Times New Roman" w:hAnsi="Times New Roman"/>
          <w:lang w:val="pt-BR"/>
        </w:rPr>
        <w:t xml:space="preserve">. </w:t>
      </w:r>
      <w:r w:rsidR="006F0619">
        <w:rPr>
          <w:rFonts w:ascii="Times New Roman" w:hAnsi="Times New Roman"/>
          <w:lang w:val="pt-BR"/>
        </w:rPr>
        <w:t>A</w:t>
      </w:r>
      <w:r w:rsidR="00EE7AC6">
        <w:rPr>
          <w:rFonts w:ascii="Times New Roman" w:hAnsi="Times New Roman"/>
          <w:lang w:val="pt-BR"/>
        </w:rPr>
        <w:t xml:space="preserve"> figura</w:t>
      </w:r>
      <w:r w:rsidR="00FD2207">
        <w:rPr>
          <w:rFonts w:ascii="Times New Roman" w:hAnsi="Times New Roman"/>
          <w:lang w:val="pt-BR"/>
        </w:rPr>
        <w:t xml:space="preserve"> 1(a) </w:t>
      </w:r>
      <w:r w:rsidR="002567CB">
        <w:rPr>
          <w:rFonts w:ascii="Times New Roman" w:hAnsi="Times New Roman"/>
          <w:lang w:val="pt-BR"/>
        </w:rPr>
        <w:t>m</w:t>
      </w:r>
      <w:r w:rsidR="00D6042C">
        <w:rPr>
          <w:rFonts w:ascii="Times New Roman" w:hAnsi="Times New Roman"/>
          <w:lang w:val="pt-BR"/>
        </w:rPr>
        <w:t>o</w:t>
      </w:r>
      <w:r w:rsidR="00C24ADE">
        <w:rPr>
          <w:rFonts w:ascii="Times New Roman" w:hAnsi="Times New Roman"/>
          <w:lang w:val="pt-BR"/>
        </w:rPr>
        <w:t xml:space="preserve">stra </w:t>
      </w:r>
      <w:r w:rsidR="00787150">
        <w:rPr>
          <w:rFonts w:ascii="Times New Roman" w:hAnsi="Times New Roman"/>
          <w:lang w:val="pt-BR"/>
        </w:rPr>
        <w:t>os perfis d</w:t>
      </w:r>
      <w:r w:rsidR="00394B8F">
        <w:rPr>
          <w:rFonts w:ascii="Times New Roman" w:hAnsi="Times New Roman"/>
          <w:lang w:val="pt-BR"/>
        </w:rPr>
        <w:t>e</w:t>
      </w:r>
      <w:r w:rsidR="00C24ADE">
        <w:rPr>
          <w:rFonts w:ascii="Times New Roman" w:hAnsi="Times New Roman"/>
          <w:lang w:val="pt-BR"/>
        </w:rPr>
        <w:t xml:space="preserve"> perda de massa,</w:t>
      </w:r>
      <w:r w:rsidR="00394B8F">
        <w:rPr>
          <w:rFonts w:ascii="Times New Roman" w:hAnsi="Times New Roman"/>
          <w:lang w:val="pt-BR"/>
        </w:rPr>
        <w:t xml:space="preserve"> em que se observa eliminação de aproximadamente 90% da massa inicial dos polímeros com o aquecimento. </w:t>
      </w:r>
      <w:r w:rsidR="00C24ADE">
        <w:rPr>
          <w:rFonts w:ascii="Times New Roman" w:hAnsi="Times New Roman"/>
          <w:lang w:val="pt-BR"/>
        </w:rPr>
        <w:t xml:space="preserve"> </w:t>
      </w:r>
      <w:r w:rsidR="00787150">
        <w:rPr>
          <w:rFonts w:ascii="Times New Roman" w:hAnsi="Times New Roman"/>
          <w:lang w:val="pt-BR"/>
        </w:rPr>
        <w:t xml:space="preserve">É possível verificar que a adição de </w:t>
      </w:r>
      <w:r w:rsidR="00394B8F">
        <w:rPr>
          <w:rFonts w:ascii="Times New Roman" w:hAnsi="Times New Roman"/>
          <w:lang w:val="pt-BR"/>
        </w:rPr>
        <w:t>baixos</w:t>
      </w:r>
      <w:r w:rsidR="00787150">
        <w:rPr>
          <w:rFonts w:ascii="Times New Roman" w:hAnsi="Times New Roman"/>
          <w:lang w:val="pt-BR"/>
        </w:rPr>
        <w:t xml:space="preserve"> teores de níquel (0,1 e 1%) acelera o processo d</w:t>
      </w:r>
      <w:r w:rsidR="00394B8F">
        <w:rPr>
          <w:rFonts w:ascii="Times New Roman" w:hAnsi="Times New Roman"/>
          <w:lang w:val="pt-BR"/>
        </w:rPr>
        <w:t>e</w:t>
      </w:r>
      <w:r w:rsidR="00787150">
        <w:rPr>
          <w:rFonts w:ascii="Times New Roman" w:hAnsi="Times New Roman"/>
          <w:lang w:val="pt-BR"/>
        </w:rPr>
        <w:t xml:space="preserve"> perda de massa, enquanto </w:t>
      </w:r>
      <w:r w:rsidR="00394B8F">
        <w:rPr>
          <w:rFonts w:ascii="Times New Roman" w:hAnsi="Times New Roman"/>
          <w:lang w:val="pt-BR"/>
        </w:rPr>
        <w:t>que</w:t>
      </w:r>
      <w:r w:rsidR="00787150">
        <w:rPr>
          <w:rFonts w:ascii="Times New Roman" w:hAnsi="Times New Roman"/>
          <w:lang w:val="pt-BR"/>
        </w:rPr>
        <w:t xml:space="preserve"> teores mais </w:t>
      </w:r>
      <w:r w:rsidR="00787150" w:rsidRPr="00D6042C">
        <w:rPr>
          <w:rFonts w:ascii="Times New Roman" w:hAnsi="Times New Roman"/>
          <w:lang w:val="pt-BR"/>
        </w:rPr>
        <w:t>elevados (5 e 10%) dificultam essa eliminação mássica. Na figura 1(b), são apresentados os perfis de DTG e DTA da amostra TN1, representativos de todas as amostras. Em torno d</w:t>
      </w:r>
      <w:r w:rsidR="00394B8F" w:rsidRPr="00D6042C">
        <w:rPr>
          <w:rFonts w:ascii="Times New Roman" w:hAnsi="Times New Roman"/>
          <w:lang w:val="pt-BR"/>
        </w:rPr>
        <w:t>e</w:t>
      </w:r>
      <w:r w:rsidR="00787150" w:rsidRPr="00D6042C">
        <w:rPr>
          <w:rFonts w:ascii="Times New Roman" w:hAnsi="Times New Roman"/>
          <w:lang w:val="pt-BR"/>
        </w:rPr>
        <w:t xml:space="preserve"> 192</w:t>
      </w:r>
      <w:r w:rsidR="00D6042C">
        <w:rPr>
          <w:rFonts w:ascii="Times New Roman" w:hAnsi="Times New Roman"/>
          <w:lang w:val="pt-BR"/>
        </w:rPr>
        <w:t xml:space="preserve"> </w:t>
      </w:r>
      <w:r w:rsidR="00787150">
        <w:rPr>
          <w:rFonts w:ascii="Times New Roman" w:hAnsi="Times New Roman"/>
          <w:lang w:val="pt-BR"/>
        </w:rPr>
        <w:t>°C</w:t>
      </w:r>
      <w:r w:rsidR="00D6042C">
        <w:rPr>
          <w:rFonts w:ascii="Times New Roman" w:hAnsi="Times New Roman"/>
          <w:lang w:val="pt-BR"/>
        </w:rPr>
        <w:t>,</w:t>
      </w:r>
      <w:r w:rsidR="00787150">
        <w:rPr>
          <w:rFonts w:ascii="Times New Roman" w:hAnsi="Times New Roman"/>
          <w:lang w:val="pt-BR"/>
        </w:rPr>
        <w:t xml:space="preserve"> é registrado um</w:t>
      </w:r>
      <w:r w:rsidR="00394B8F">
        <w:rPr>
          <w:rFonts w:ascii="Times New Roman" w:hAnsi="Times New Roman"/>
          <w:lang w:val="pt-BR"/>
        </w:rPr>
        <w:t xml:space="preserve"> evento endotérmico de</w:t>
      </w:r>
      <w:r w:rsidR="00787150">
        <w:rPr>
          <w:rFonts w:ascii="Times New Roman" w:hAnsi="Times New Roman"/>
          <w:lang w:val="pt-BR"/>
        </w:rPr>
        <w:t xml:space="preserve"> perda de massa </w:t>
      </w:r>
      <w:r w:rsidR="00394B8F">
        <w:rPr>
          <w:rFonts w:ascii="Times New Roman" w:hAnsi="Times New Roman"/>
          <w:lang w:val="pt-BR"/>
        </w:rPr>
        <w:t xml:space="preserve">que se deve </w:t>
      </w:r>
      <w:r w:rsidR="00E7287B">
        <w:rPr>
          <w:rFonts w:ascii="Times New Roman" w:hAnsi="Times New Roman"/>
          <w:lang w:val="pt-BR"/>
        </w:rPr>
        <w:t xml:space="preserve">possivelmente </w:t>
      </w:r>
      <w:r w:rsidR="00394B8F">
        <w:rPr>
          <w:rFonts w:ascii="Times New Roman" w:hAnsi="Times New Roman"/>
          <w:lang w:val="pt-BR"/>
        </w:rPr>
        <w:t>à</w:t>
      </w:r>
      <w:r w:rsidR="00E7287B">
        <w:rPr>
          <w:rFonts w:ascii="Times New Roman" w:hAnsi="Times New Roman"/>
          <w:lang w:val="pt-BR"/>
        </w:rPr>
        <w:t xml:space="preserve"> eliminação de água. </w:t>
      </w:r>
      <w:r w:rsidR="00394B8F">
        <w:rPr>
          <w:rFonts w:ascii="Times New Roman" w:hAnsi="Times New Roman"/>
          <w:lang w:val="pt-BR"/>
        </w:rPr>
        <w:t>Em</w:t>
      </w:r>
      <w:r w:rsidR="00E7287B">
        <w:rPr>
          <w:rFonts w:ascii="Times New Roman" w:hAnsi="Times New Roman"/>
          <w:lang w:val="pt-BR"/>
        </w:rPr>
        <w:t xml:space="preserve"> 538</w:t>
      </w:r>
      <w:r w:rsidR="00394B8F">
        <w:rPr>
          <w:rFonts w:ascii="Times New Roman" w:hAnsi="Times New Roman"/>
          <w:lang w:val="pt-BR"/>
        </w:rPr>
        <w:t xml:space="preserve"> </w:t>
      </w:r>
      <w:r w:rsidR="00E7287B">
        <w:rPr>
          <w:rFonts w:ascii="Times New Roman" w:hAnsi="Times New Roman"/>
          <w:lang w:val="pt-BR"/>
        </w:rPr>
        <w:t xml:space="preserve">°C observa-se um evento exotérmico com significativa perda de massa, sendo provavelmente </w:t>
      </w:r>
      <w:r w:rsidR="00394B8F">
        <w:rPr>
          <w:rFonts w:ascii="Times New Roman" w:hAnsi="Times New Roman"/>
          <w:lang w:val="pt-BR"/>
        </w:rPr>
        <w:t>resultante d</w:t>
      </w:r>
      <w:r w:rsidR="00E7287B">
        <w:rPr>
          <w:rFonts w:ascii="Times New Roman" w:hAnsi="Times New Roman"/>
          <w:lang w:val="pt-BR"/>
        </w:rPr>
        <w:t>a combustão da matéria orgânica presente nas resinas.</w:t>
      </w:r>
      <w:r w:rsidR="00394B8F">
        <w:rPr>
          <w:rFonts w:ascii="Times New Roman" w:hAnsi="Times New Roman"/>
          <w:lang w:val="pt-BR"/>
        </w:rPr>
        <w:t xml:space="preserve"> Em temperaturas superiores a 600 °C</w:t>
      </w:r>
      <w:r w:rsidR="00D6042C">
        <w:rPr>
          <w:rFonts w:ascii="Times New Roman" w:hAnsi="Times New Roman"/>
          <w:lang w:val="pt-BR"/>
        </w:rPr>
        <w:t>,</w:t>
      </w:r>
      <w:r w:rsidR="00394B8F">
        <w:rPr>
          <w:rFonts w:ascii="Times New Roman" w:hAnsi="Times New Roman"/>
          <w:lang w:val="pt-BR"/>
        </w:rPr>
        <w:t xml:space="preserve"> não se observam mais fenômenos térmicos ou mássicos expressivos.</w:t>
      </w:r>
    </w:p>
    <w:p w14:paraId="572FA634" w14:textId="1DE81F9F" w:rsidR="00221BDF" w:rsidRDefault="007C0946" w:rsidP="00221BDF">
      <w:pPr>
        <w:jc w:val="center"/>
        <w:rPr>
          <w:rFonts w:ascii="Times New Roman" w:hAnsi="Times New Roman" w:cs="Times New Roman"/>
        </w:rPr>
      </w:pPr>
      <w:r>
        <w:rPr>
          <w:rFonts w:ascii="Times New Roman" w:hAnsi="Times New Roman" w:cs="Times New Roman"/>
          <w:noProof/>
          <w:sz w:val="24"/>
          <w:szCs w:val="24"/>
          <w:lang w:eastAsia="pt-BR"/>
        </w:rPr>
        <w:lastRenderedPageBreak/>
        <mc:AlternateContent>
          <mc:Choice Requires="wps">
            <w:drawing>
              <wp:anchor distT="0" distB="0" distL="114300" distR="114300" simplePos="0" relativeHeight="251664383" behindDoc="0" locked="0" layoutInCell="1" allowOverlap="1" wp14:anchorId="25E1EA81" wp14:editId="4883656B">
                <wp:simplePos x="0" y="0"/>
                <wp:positionH relativeFrom="column">
                  <wp:posOffset>51435</wp:posOffset>
                </wp:positionH>
                <wp:positionV relativeFrom="paragraph">
                  <wp:posOffset>2069465</wp:posOffset>
                </wp:positionV>
                <wp:extent cx="381000" cy="227965"/>
                <wp:effectExtent l="0" t="0" r="0" b="635"/>
                <wp:wrapNone/>
                <wp:docPr id="10" name="Caixa de Texto 10"/>
                <wp:cNvGraphicFramePr/>
                <a:graphic xmlns:a="http://schemas.openxmlformats.org/drawingml/2006/main">
                  <a:graphicData uri="http://schemas.microsoft.com/office/word/2010/wordprocessingShape">
                    <wps:wsp>
                      <wps:cNvSpPr txBox="1"/>
                      <wps:spPr>
                        <a:xfrm>
                          <a:off x="0" y="0"/>
                          <a:ext cx="381000"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E1919" w14:textId="77777777" w:rsidR="0085287D" w:rsidRDefault="0085287D" w:rsidP="0085287D">
                            <w:pPr>
                              <w:jc w:val="cente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1EA81" id="_x0000_t202" coordsize="21600,21600" o:spt="202" path="m,l,21600r21600,l21600,xe">
                <v:stroke joinstyle="miter"/>
                <v:path gradientshapeok="t" o:connecttype="rect"/>
              </v:shapetype>
              <v:shape id="Caixa de Texto 10" o:spid="_x0000_s1028" type="#_x0000_t202" style="position:absolute;left:0;text-align:left;margin-left:4.05pt;margin-top:162.95pt;width:30pt;height:17.95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" filled="f" stroked="f" strokeweight=".5pt">
                <v:textbox>
                  <w:txbxContent>
                    <w:p w14:paraId="66EE1919" w14:textId="77777777" w:rsidR="0085287D" w:rsidRDefault="0085287D" w:rsidP="0085287D">
                      <w:pPr>
                        <w:jc w:val="cente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Pr>
          <w:rFonts w:ascii="Times New Roman" w:hAnsi="Times New Roman" w:cs="Times New Roman"/>
          <w:noProof/>
          <w:sz w:val="24"/>
          <w:szCs w:val="24"/>
          <w:lang w:eastAsia="pt-BR"/>
        </w:rPr>
        <mc:AlternateContent>
          <mc:Choice Requires="wps">
            <w:drawing>
              <wp:anchor distT="0" distB="0" distL="114300" distR="114300" simplePos="0" relativeHeight="251662335" behindDoc="0" locked="0" layoutInCell="1" allowOverlap="1" wp14:anchorId="465D5E88" wp14:editId="54AE302F">
                <wp:simplePos x="0" y="0"/>
                <wp:positionH relativeFrom="column">
                  <wp:posOffset>31750</wp:posOffset>
                </wp:positionH>
                <wp:positionV relativeFrom="paragraph">
                  <wp:posOffset>-58737</wp:posOffset>
                </wp:positionV>
                <wp:extent cx="337185" cy="227965"/>
                <wp:effectExtent l="0" t="0" r="0" b="635"/>
                <wp:wrapNone/>
                <wp:docPr id="6" name="Caixa de Texto 6"/>
                <wp:cNvGraphicFramePr/>
                <a:graphic xmlns:a="http://schemas.openxmlformats.org/drawingml/2006/main">
                  <a:graphicData uri="http://schemas.microsoft.com/office/word/2010/wordprocessingShape">
                    <wps:wsp>
                      <wps:cNvSpPr txBox="1"/>
                      <wps:spPr>
                        <a:xfrm>
                          <a:off x="0" y="0"/>
                          <a:ext cx="337185"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00649F" w14:textId="77777777" w:rsidR="0085287D" w:rsidRDefault="0085287D" w:rsidP="0085287D">
                            <w:pPr>
                              <w:jc w:val="cente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D5E88" id="Caixa de Texto 6" o:spid="_x0000_s1029" type="#_x0000_t202" style="position:absolute;left:0;text-align:left;margin-left:2.5pt;margin-top:-4.6pt;width:26.55pt;height:17.95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" filled="f" stroked="f" strokeweight=".5pt">
                <v:textbox>
                  <w:txbxContent>
                    <w:p w14:paraId="0700649F" w14:textId="77777777" w:rsidR="0085287D" w:rsidRDefault="0085287D" w:rsidP="0085287D">
                      <w:pPr>
                        <w:jc w:val="cente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r w:rsidR="00221BDF">
        <w:rPr>
          <w:rFonts w:ascii="Times New Roman" w:hAnsi="Times New Roman" w:cs="Times New Roman"/>
          <w:noProof/>
          <w:lang w:eastAsia="pt-BR"/>
        </w:rPr>
        <w:drawing>
          <wp:inline distT="0" distB="0" distL="0" distR="0" wp14:anchorId="646B5693" wp14:editId="0FFEFC49">
            <wp:extent cx="2621280" cy="2145665"/>
            <wp:effectExtent l="0" t="0" r="762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145665"/>
                    </a:xfrm>
                    <a:prstGeom prst="rect">
                      <a:avLst/>
                    </a:prstGeom>
                    <a:noFill/>
                  </pic:spPr>
                </pic:pic>
              </a:graphicData>
            </a:graphic>
          </wp:inline>
        </w:drawing>
      </w:r>
    </w:p>
    <w:p w14:paraId="1B6327B1" w14:textId="55AE61BB" w:rsidR="00221BDF" w:rsidRPr="00E038AF" w:rsidRDefault="00221BDF" w:rsidP="00221BDF">
      <w:pPr>
        <w:jc w:val="center"/>
        <w:rPr>
          <w:rFonts w:ascii="Times New Roman" w:hAnsi="Times New Roman" w:cs="Times New Roman"/>
        </w:rPr>
      </w:pPr>
      <w:r>
        <w:rPr>
          <w:rFonts w:ascii="Times New Roman" w:hAnsi="Times New Roman" w:cs="Times New Roman"/>
          <w:noProof/>
          <w:lang w:eastAsia="pt-BR"/>
        </w:rPr>
        <w:drawing>
          <wp:inline distT="0" distB="0" distL="0" distR="0" wp14:anchorId="7E376309" wp14:editId="07DC929C">
            <wp:extent cx="2822575" cy="212788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575" cy="2127885"/>
                    </a:xfrm>
                    <a:prstGeom prst="rect">
                      <a:avLst/>
                    </a:prstGeom>
                    <a:noFill/>
                  </pic:spPr>
                </pic:pic>
              </a:graphicData>
            </a:graphic>
          </wp:inline>
        </w:drawing>
      </w:r>
    </w:p>
    <w:p w14:paraId="207850B1" w14:textId="04E39786" w:rsidR="00E7287B" w:rsidRDefault="00EB2EE4" w:rsidP="00972269">
      <w:pPr>
        <w:spacing w:after="0" w:line="200" w:lineRule="exact"/>
        <w:jc w:val="both"/>
        <w:rPr>
          <w:rFonts w:ascii="Times New Roman" w:hAnsi="Times New Roman" w:cs="Times New Roman"/>
          <w:sz w:val="18"/>
          <w:szCs w:val="18"/>
        </w:rPr>
      </w:pPr>
      <w:r w:rsidRPr="00D51168">
        <w:rPr>
          <w:rFonts w:ascii="Times New Roman" w:hAnsi="Times New Roman" w:cs="Times New Roman"/>
          <w:b/>
          <w:bCs/>
          <w:sz w:val="18"/>
          <w:szCs w:val="18"/>
        </w:rPr>
        <w:t>Figura 1.</w:t>
      </w:r>
      <w:r w:rsidRPr="00D51168">
        <w:rPr>
          <w:sz w:val="20"/>
          <w:szCs w:val="20"/>
        </w:rPr>
        <w:t xml:space="preserve"> </w:t>
      </w:r>
      <w:r w:rsidRPr="00D51168">
        <w:rPr>
          <w:rFonts w:ascii="Times New Roman" w:hAnsi="Times New Roman" w:cs="Times New Roman"/>
          <w:sz w:val="18"/>
          <w:szCs w:val="18"/>
        </w:rPr>
        <w:t>Comportamento termogravimétrico das resinas precursoras dos óxidos Ni-TiO</w:t>
      </w:r>
      <w:r w:rsidRPr="001E04E0">
        <w:rPr>
          <w:rFonts w:ascii="Times New Roman" w:hAnsi="Times New Roman" w:cs="Times New Roman"/>
          <w:sz w:val="18"/>
          <w:szCs w:val="18"/>
          <w:vertAlign w:val="subscript"/>
        </w:rPr>
        <w:t>2</w:t>
      </w:r>
      <w:r w:rsidRPr="00D51168">
        <w:rPr>
          <w:rFonts w:ascii="Times New Roman" w:hAnsi="Times New Roman" w:cs="Times New Roman"/>
          <w:sz w:val="18"/>
          <w:szCs w:val="18"/>
        </w:rPr>
        <w:t>: (a) Perfis de perda de massa, (b) Perfis de DTG e DTA</w:t>
      </w:r>
      <w:r w:rsidR="00972269">
        <w:rPr>
          <w:rFonts w:ascii="Times New Roman" w:hAnsi="Times New Roman" w:cs="Times New Roman"/>
          <w:sz w:val="18"/>
          <w:szCs w:val="18"/>
        </w:rPr>
        <w:t>.</w:t>
      </w:r>
    </w:p>
    <w:p w14:paraId="1962F87D" w14:textId="77777777" w:rsidR="00972269" w:rsidRPr="00F26F89" w:rsidRDefault="00972269" w:rsidP="00972269">
      <w:pPr>
        <w:spacing w:after="0" w:line="200" w:lineRule="exact"/>
        <w:jc w:val="both"/>
        <w:rPr>
          <w:rFonts w:ascii="Times New Roman" w:hAnsi="Times New Roman" w:cs="Times New Roman"/>
          <w:sz w:val="18"/>
          <w:szCs w:val="18"/>
        </w:rPr>
      </w:pPr>
    </w:p>
    <w:p w14:paraId="5014839E" w14:textId="18244CD7" w:rsidR="00E7287B" w:rsidRPr="005C5DC0" w:rsidRDefault="00F26F89" w:rsidP="00EA4E1B">
      <w:pPr>
        <w:pStyle w:val="TAMainText"/>
        <w:ind w:firstLine="187"/>
        <w:rPr>
          <w:rFonts w:ascii="Times New Roman" w:hAnsi="Times New Roman"/>
          <w:lang w:val="pt-BR"/>
        </w:rPr>
      </w:pPr>
      <w:r>
        <w:rPr>
          <w:rFonts w:ascii="Times New Roman" w:hAnsi="Times New Roman"/>
          <w:lang w:val="pt-BR"/>
        </w:rPr>
        <w:t>O</w:t>
      </w:r>
      <w:r w:rsidR="00A54401">
        <w:rPr>
          <w:rFonts w:ascii="Times New Roman" w:hAnsi="Times New Roman"/>
          <w:lang w:val="pt-BR"/>
        </w:rPr>
        <w:t>s difratogramas de raio</w:t>
      </w:r>
      <w:r>
        <w:rPr>
          <w:rFonts w:ascii="Times New Roman" w:hAnsi="Times New Roman"/>
          <w:lang w:val="pt-BR"/>
        </w:rPr>
        <w:t>s</w:t>
      </w:r>
      <w:r w:rsidR="00A54401">
        <w:rPr>
          <w:rFonts w:ascii="Times New Roman" w:hAnsi="Times New Roman"/>
          <w:lang w:val="pt-BR"/>
        </w:rPr>
        <w:t xml:space="preserve"> </w:t>
      </w:r>
      <w:r w:rsidR="001E04E0">
        <w:rPr>
          <w:rFonts w:ascii="Times New Roman" w:hAnsi="Times New Roman"/>
          <w:lang w:val="pt-BR"/>
        </w:rPr>
        <w:t>X</w:t>
      </w:r>
      <w:r w:rsidR="00A54401">
        <w:rPr>
          <w:rFonts w:ascii="Times New Roman" w:hAnsi="Times New Roman"/>
          <w:lang w:val="pt-BR"/>
        </w:rPr>
        <w:t xml:space="preserve"> dos óxido</w:t>
      </w:r>
      <w:r w:rsidR="009C4D2A">
        <w:rPr>
          <w:rFonts w:ascii="Times New Roman" w:hAnsi="Times New Roman"/>
          <w:lang w:val="pt-BR"/>
        </w:rPr>
        <w:t>s</w:t>
      </w:r>
      <w:r w:rsidR="00A54401">
        <w:rPr>
          <w:rFonts w:ascii="Times New Roman" w:hAnsi="Times New Roman"/>
          <w:lang w:val="pt-BR"/>
        </w:rPr>
        <w:t xml:space="preserve"> sintetizados </w:t>
      </w:r>
      <w:r>
        <w:rPr>
          <w:rFonts w:ascii="Times New Roman" w:hAnsi="Times New Roman"/>
          <w:lang w:val="pt-BR"/>
        </w:rPr>
        <w:t>são apresentados</w:t>
      </w:r>
      <w:r w:rsidR="00A54401">
        <w:rPr>
          <w:rFonts w:ascii="Times New Roman" w:hAnsi="Times New Roman"/>
          <w:lang w:val="pt-BR"/>
        </w:rPr>
        <w:t xml:space="preserve"> na figura 2(a). </w:t>
      </w:r>
      <w:r>
        <w:rPr>
          <w:rFonts w:ascii="Times New Roman" w:hAnsi="Times New Roman"/>
          <w:lang w:val="pt-BR"/>
        </w:rPr>
        <w:t>O</w:t>
      </w:r>
      <w:r w:rsidR="00A54401">
        <w:rPr>
          <w:rFonts w:ascii="Times New Roman" w:hAnsi="Times New Roman"/>
          <w:lang w:val="pt-BR"/>
        </w:rPr>
        <w:t>bserva</w:t>
      </w:r>
      <w:r>
        <w:rPr>
          <w:rFonts w:ascii="Times New Roman" w:hAnsi="Times New Roman"/>
          <w:lang w:val="pt-BR"/>
        </w:rPr>
        <w:t>-se</w:t>
      </w:r>
      <w:r w:rsidR="00A54401">
        <w:rPr>
          <w:rFonts w:ascii="Times New Roman" w:hAnsi="Times New Roman"/>
          <w:lang w:val="pt-BR"/>
        </w:rPr>
        <w:t xml:space="preserve"> que as amostras TN0; TN0,1 e TN1 apres</w:t>
      </w:r>
      <w:r w:rsidR="00C458A6">
        <w:rPr>
          <w:rFonts w:ascii="Times New Roman" w:hAnsi="Times New Roman"/>
          <w:lang w:val="pt-BR"/>
        </w:rPr>
        <w:t>en</w:t>
      </w:r>
      <w:r w:rsidR="00A54401">
        <w:rPr>
          <w:rFonts w:ascii="Times New Roman" w:hAnsi="Times New Roman"/>
          <w:lang w:val="pt-BR"/>
        </w:rPr>
        <w:t xml:space="preserve">taram duas fases cristalinas </w:t>
      </w:r>
      <w:r w:rsidR="00A54401" w:rsidRPr="00A54401">
        <w:rPr>
          <w:rFonts w:ascii="Times New Roman" w:hAnsi="Times New Roman"/>
          <w:lang w:val="pt-BR"/>
        </w:rPr>
        <w:t>indexadas como anatase (JCPDS73-1764) e rutilo (JCPDS76-0317)</w:t>
      </w:r>
      <w:r w:rsidR="00A54401">
        <w:rPr>
          <w:rFonts w:ascii="Times New Roman" w:hAnsi="Times New Roman"/>
          <w:lang w:val="pt-BR"/>
        </w:rPr>
        <w:t>, polimorfos do TiO</w:t>
      </w:r>
      <w:r w:rsidR="00A54401">
        <w:rPr>
          <w:rFonts w:ascii="Times New Roman" w:hAnsi="Times New Roman"/>
          <w:vertAlign w:val="subscript"/>
          <w:lang w:val="pt-BR"/>
        </w:rPr>
        <w:t>2</w:t>
      </w:r>
      <w:r w:rsidR="00A54401">
        <w:rPr>
          <w:rFonts w:ascii="Times New Roman" w:hAnsi="Times New Roman"/>
          <w:lang w:val="pt-BR"/>
        </w:rPr>
        <w:t xml:space="preserve">. </w:t>
      </w:r>
      <w:r w:rsidR="0029466D">
        <w:rPr>
          <w:rFonts w:ascii="Times New Roman" w:hAnsi="Times New Roman"/>
          <w:lang w:val="pt-BR"/>
        </w:rPr>
        <w:t>A incorporação</w:t>
      </w:r>
      <w:r w:rsidR="00A54401">
        <w:rPr>
          <w:rFonts w:ascii="Times New Roman" w:hAnsi="Times New Roman"/>
          <w:lang w:val="pt-BR"/>
        </w:rPr>
        <w:t xml:space="preserve"> de níquel </w:t>
      </w:r>
      <w:r w:rsidR="0029466D">
        <w:rPr>
          <w:rFonts w:ascii="Times New Roman" w:hAnsi="Times New Roman"/>
          <w:lang w:val="pt-BR"/>
        </w:rPr>
        <w:t xml:space="preserve">em </w:t>
      </w:r>
      <w:r w:rsidR="005C5DC0">
        <w:rPr>
          <w:rFonts w:ascii="Times New Roman" w:hAnsi="Times New Roman"/>
          <w:lang w:val="pt-BR"/>
        </w:rPr>
        <w:t>até 1%</w:t>
      </w:r>
      <w:r w:rsidR="00A54401">
        <w:rPr>
          <w:rFonts w:ascii="Times New Roman" w:hAnsi="Times New Roman"/>
          <w:lang w:val="pt-BR"/>
        </w:rPr>
        <w:t xml:space="preserve"> </w:t>
      </w:r>
      <w:r w:rsidR="005C5DC0">
        <w:rPr>
          <w:rFonts w:ascii="Times New Roman" w:hAnsi="Times New Roman"/>
          <w:lang w:val="pt-BR"/>
        </w:rPr>
        <w:t>resultou em um aumento relativo</w:t>
      </w:r>
      <w:r w:rsidR="0029466D">
        <w:rPr>
          <w:rFonts w:ascii="Times New Roman" w:hAnsi="Times New Roman"/>
          <w:lang w:val="pt-BR"/>
        </w:rPr>
        <w:t xml:space="preserve"> d</w:t>
      </w:r>
      <w:r w:rsidR="00A54401">
        <w:rPr>
          <w:rFonts w:ascii="Times New Roman" w:hAnsi="Times New Roman"/>
          <w:lang w:val="pt-BR"/>
        </w:rPr>
        <w:t xml:space="preserve">a intensidade da fase anatase </w:t>
      </w:r>
      <w:r w:rsidR="0029466D">
        <w:rPr>
          <w:rFonts w:ascii="Times New Roman" w:hAnsi="Times New Roman"/>
          <w:lang w:val="pt-BR"/>
        </w:rPr>
        <w:t xml:space="preserve">em relação à </w:t>
      </w:r>
      <w:r w:rsidR="0086072F">
        <w:rPr>
          <w:rFonts w:ascii="Times New Roman" w:hAnsi="Times New Roman"/>
          <w:lang w:val="pt-BR"/>
        </w:rPr>
        <w:t xml:space="preserve">fase rutilo, o que permite inferir que a adição de </w:t>
      </w:r>
      <w:r w:rsidR="0029466D">
        <w:rPr>
          <w:rFonts w:ascii="Times New Roman" w:hAnsi="Times New Roman"/>
          <w:lang w:val="pt-BR"/>
        </w:rPr>
        <w:t>baixos</w:t>
      </w:r>
      <w:r w:rsidR="0086072F">
        <w:rPr>
          <w:rFonts w:ascii="Times New Roman" w:hAnsi="Times New Roman"/>
          <w:lang w:val="pt-BR"/>
        </w:rPr>
        <w:t xml:space="preserve"> teores de níquel dificulta a transição </w:t>
      </w:r>
      <w:r w:rsidR="0029466D">
        <w:rPr>
          <w:rFonts w:ascii="Times New Roman" w:hAnsi="Times New Roman"/>
          <w:lang w:val="pt-BR"/>
        </w:rPr>
        <w:t>de anatase para</w:t>
      </w:r>
      <w:r w:rsidR="0086072F">
        <w:rPr>
          <w:rFonts w:ascii="Times New Roman" w:hAnsi="Times New Roman"/>
          <w:lang w:val="pt-BR"/>
        </w:rPr>
        <w:t xml:space="preserve"> rutilo</w:t>
      </w:r>
      <w:r w:rsidR="0029466D">
        <w:rPr>
          <w:rFonts w:ascii="Times New Roman" w:hAnsi="Times New Roman"/>
          <w:lang w:val="pt-BR"/>
        </w:rPr>
        <w:t xml:space="preserve"> (APR). </w:t>
      </w:r>
      <w:r w:rsidR="0086072F" w:rsidRPr="0086072F">
        <w:rPr>
          <w:rFonts w:ascii="Times New Roman" w:hAnsi="Times New Roman"/>
          <w:lang w:val="pt-BR"/>
        </w:rPr>
        <w:t xml:space="preserve">As amostras TN5 e TN10 apresentaram ainda uma terceira fase </w:t>
      </w:r>
      <w:r w:rsidR="0086072F" w:rsidRPr="005C5DC0">
        <w:rPr>
          <w:rFonts w:ascii="Times New Roman" w:hAnsi="Times New Roman"/>
          <w:lang w:val="pt-BR"/>
        </w:rPr>
        <w:t>cristalina identificada como NiTiO</w:t>
      </w:r>
      <w:r w:rsidR="0086072F" w:rsidRPr="005C5DC0">
        <w:rPr>
          <w:rFonts w:ascii="Times New Roman" w:hAnsi="Times New Roman"/>
          <w:vertAlign w:val="subscript"/>
          <w:lang w:val="pt-BR"/>
        </w:rPr>
        <w:t>3</w:t>
      </w:r>
      <w:r w:rsidR="0086072F" w:rsidRPr="005C5DC0">
        <w:rPr>
          <w:rFonts w:ascii="Times New Roman" w:hAnsi="Times New Roman"/>
          <w:lang w:val="pt-BR"/>
        </w:rPr>
        <w:t xml:space="preserve"> (JCPDS76-0335).</w:t>
      </w:r>
    </w:p>
    <w:p w14:paraId="10B4BB52" w14:textId="048705E2" w:rsidR="00D51168" w:rsidRDefault="0086072F" w:rsidP="005C5DC0">
      <w:pPr>
        <w:pStyle w:val="TAMainText"/>
        <w:ind w:firstLine="187"/>
        <w:rPr>
          <w:rFonts w:ascii="Times New Roman" w:hAnsi="Times New Roman"/>
          <w:lang w:val="pt-BR"/>
        </w:rPr>
      </w:pPr>
      <w:r w:rsidRPr="005C5DC0">
        <w:rPr>
          <w:rFonts w:ascii="Times New Roman" w:hAnsi="Times New Roman"/>
          <w:lang w:val="pt-BR"/>
        </w:rPr>
        <w:t xml:space="preserve">A figura 2(b) </w:t>
      </w:r>
      <w:r w:rsidR="0029466D" w:rsidRPr="005C5DC0">
        <w:rPr>
          <w:rFonts w:ascii="Times New Roman" w:hAnsi="Times New Roman"/>
          <w:lang w:val="pt-BR"/>
        </w:rPr>
        <w:t>a</w:t>
      </w:r>
      <w:r w:rsidRPr="005C5DC0">
        <w:rPr>
          <w:rFonts w:ascii="Times New Roman" w:hAnsi="Times New Roman"/>
          <w:lang w:val="pt-BR"/>
        </w:rPr>
        <w:t xml:space="preserve">presenta </w:t>
      </w:r>
      <w:r w:rsidR="001E04E0" w:rsidRPr="005C5DC0">
        <w:rPr>
          <w:rFonts w:ascii="Times New Roman" w:hAnsi="Times New Roman"/>
          <w:lang w:val="pt-BR"/>
        </w:rPr>
        <w:t>o</w:t>
      </w:r>
      <w:r w:rsidRPr="005C5DC0">
        <w:rPr>
          <w:rFonts w:ascii="Times New Roman" w:hAnsi="Times New Roman"/>
          <w:lang w:val="pt-BR"/>
        </w:rPr>
        <w:t xml:space="preserve"> difratograma de raio</w:t>
      </w:r>
      <w:r w:rsidR="0029466D" w:rsidRPr="005C5DC0">
        <w:rPr>
          <w:rFonts w:ascii="Times New Roman" w:hAnsi="Times New Roman"/>
          <w:lang w:val="pt-BR"/>
        </w:rPr>
        <w:t>s</w:t>
      </w:r>
      <w:r w:rsidRPr="005C5DC0">
        <w:rPr>
          <w:rFonts w:ascii="Times New Roman" w:hAnsi="Times New Roman"/>
          <w:lang w:val="pt-BR"/>
        </w:rPr>
        <w:t xml:space="preserve"> X d</w:t>
      </w:r>
      <w:r w:rsidR="0029466D" w:rsidRPr="005C5DC0">
        <w:rPr>
          <w:rFonts w:ascii="Times New Roman" w:hAnsi="Times New Roman"/>
          <w:lang w:val="pt-BR"/>
        </w:rPr>
        <w:t>a amostra</w:t>
      </w:r>
      <w:r w:rsidRPr="005C5DC0">
        <w:rPr>
          <w:rFonts w:ascii="Times New Roman" w:hAnsi="Times New Roman"/>
          <w:lang w:val="pt-BR"/>
        </w:rPr>
        <w:t xml:space="preserve"> TN10, refinad</w:t>
      </w:r>
      <w:r w:rsidR="001E04E0" w:rsidRPr="005C5DC0">
        <w:rPr>
          <w:rFonts w:ascii="Times New Roman" w:hAnsi="Times New Roman"/>
          <w:lang w:val="pt-BR"/>
        </w:rPr>
        <w:t>o</w:t>
      </w:r>
      <w:r>
        <w:rPr>
          <w:rFonts w:ascii="Times New Roman" w:hAnsi="Times New Roman"/>
          <w:lang w:val="pt-BR"/>
        </w:rPr>
        <w:t xml:space="preserve"> pelo método de Rietveld. </w:t>
      </w:r>
      <w:r w:rsidR="00C458A6" w:rsidRPr="00C458A6">
        <w:rPr>
          <w:rFonts w:ascii="Times New Roman" w:hAnsi="Times New Roman"/>
          <w:lang w:val="pt-BR"/>
        </w:rPr>
        <w:t>O</w:t>
      </w:r>
      <w:r w:rsidR="0029466D">
        <w:rPr>
          <w:rFonts w:ascii="Times New Roman" w:hAnsi="Times New Roman"/>
          <w:lang w:val="pt-BR"/>
        </w:rPr>
        <w:t>s</w:t>
      </w:r>
      <w:r w:rsidR="00C458A6" w:rsidRPr="00C458A6">
        <w:rPr>
          <w:rFonts w:ascii="Times New Roman" w:hAnsi="Times New Roman"/>
          <w:lang w:val="pt-BR"/>
        </w:rPr>
        <w:t xml:space="preserve"> modelo</w:t>
      </w:r>
      <w:r w:rsidR="0029466D">
        <w:rPr>
          <w:rFonts w:ascii="Times New Roman" w:hAnsi="Times New Roman"/>
          <w:lang w:val="pt-BR"/>
        </w:rPr>
        <w:t>s</w:t>
      </w:r>
      <w:r w:rsidR="00C458A6" w:rsidRPr="00C458A6">
        <w:rPr>
          <w:rFonts w:ascii="Times New Roman" w:hAnsi="Times New Roman"/>
          <w:lang w:val="pt-BR"/>
        </w:rPr>
        <w:t xml:space="preserve"> empregado</w:t>
      </w:r>
      <w:r w:rsidR="0029466D">
        <w:rPr>
          <w:rFonts w:ascii="Times New Roman" w:hAnsi="Times New Roman"/>
          <w:lang w:val="pt-BR"/>
        </w:rPr>
        <w:t>s</w:t>
      </w:r>
      <w:r w:rsidR="00C458A6" w:rsidRPr="00C458A6">
        <w:rPr>
          <w:rFonts w:ascii="Times New Roman" w:hAnsi="Times New Roman"/>
          <w:lang w:val="pt-BR"/>
        </w:rPr>
        <w:t xml:space="preserve"> para o</w:t>
      </w:r>
      <w:r w:rsidR="0029466D">
        <w:rPr>
          <w:rFonts w:ascii="Times New Roman" w:hAnsi="Times New Roman"/>
          <w:lang w:val="pt-BR"/>
        </w:rPr>
        <w:t>s</w:t>
      </w:r>
      <w:r w:rsidR="00C458A6" w:rsidRPr="00C458A6">
        <w:rPr>
          <w:rFonts w:ascii="Times New Roman" w:hAnsi="Times New Roman"/>
          <w:lang w:val="pt-BR"/>
        </w:rPr>
        <w:t xml:space="preserve"> refinamento</w:t>
      </w:r>
      <w:r w:rsidR="0029466D">
        <w:rPr>
          <w:rFonts w:ascii="Times New Roman" w:hAnsi="Times New Roman"/>
          <w:lang w:val="pt-BR"/>
        </w:rPr>
        <w:t>s</w:t>
      </w:r>
      <w:r w:rsidR="00C458A6" w:rsidRPr="00C458A6">
        <w:rPr>
          <w:rFonts w:ascii="Times New Roman" w:hAnsi="Times New Roman"/>
          <w:lang w:val="pt-BR"/>
        </w:rPr>
        <w:t xml:space="preserve"> se </w:t>
      </w:r>
      <w:r w:rsidR="0029466D">
        <w:rPr>
          <w:rFonts w:ascii="Times New Roman" w:hAnsi="Times New Roman"/>
          <w:lang w:val="pt-BR"/>
        </w:rPr>
        <w:t>ajustaram adequadamente</w:t>
      </w:r>
      <w:r w:rsidR="00C458A6" w:rsidRPr="00C458A6">
        <w:rPr>
          <w:rFonts w:ascii="Times New Roman" w:hAnsi="Times New Roman"/>
          <w:lang w:val="pt-BR"/>
        </w:rPr>
        <w:t xml:space="preserve"> aos dados experimentais, o que pode ser comprovado pelos</w:t>
      </w:r>
      <w:r w:rsidR="0029466D">
        <w:rPr>
          <w:rFonts w:ascii="Times New Roman" w:hAnsi="Times New Roman"/>
          <w:lang w:val="pt-BR"/>
        </w:rPr>
        <w:t xml:space="preserve"> valores dos</w:t>
      </w:r>
      <w:r w:rsidR="00C458A6" w:rsidRPr="00C458A6">
        <w:rPr>
          <w:rFonts w:ascii="Times New Roman" w:hAnsi="Times New Roman"/>
          <w:lang w:val="pt-BR"/>
        </w:rPr>
        <w:t xml:space="preserve"> parâmetros de qualidade Rp e Rwp </w:t>
      </w:r>
      <w:r w:rsidR="0029466D">
        <w:rPr>
          <w:rFonts w:ascii="Times New Roman" w:hAnsi="Times New Roman"/>
          <w:lang w:val="pt-BR"/>
        </w:rPr>
        <w:t>inferiores a</w:t>
      </w:r>
      <w:r w:rsidR="00C458A6" w:rsidRPr="00C458A6">
        <w:rPr>
          <w:rFonts w:ascii="Times New Roman" w:hAnsi="Times New Roman"/>
          <w:lang w:val="pt-BR"/>
        </w:rPr>
        <w:t xml:space="preserve"> 10% e de χ</w:t>
      </w:r>
      <w:r w:rsidR="00C458A6" w:rsidRPr="005C5DC0">
        <w:rPr>
          <w:rFonts w:ascii="Times New Roman" w:hAnsi="Times New Roman"/>
          <w:vertAlign w:val="superscript"/>
          <w:lang w:val="pt-BR"/>
        </w:rPr>
        <w:t>2</w:t>
      </w:r>
      <w:r w:rsidR="00C458A6" w:rsidRPr="00C458A6">
        <w:rPr>
          <w:rFonts w:ascii="Times New Roman" w:hAnsi="Times New Roman"/>
          <w:lang w:val="pt-BR"/>
        </w:rPr>
        <w:t xml:space="preserve"> próximo a 1</w:t>
      </w:r>
      <w:r w:rsidR="0029466D">
        <w:rPr>
          <w:rFonts w:ascii="Times New Roman" w:hAnsi="Times New Roman"/>
          <w:lang w:val="pt-BR"/>
        </w:rPr>
        <w:t xml:space="preserve"> para todas as amostras</w:t>
      </w:r>
      <w:r w:rsidR="00C458A6" w:rsidRPr="00C458A6">
        <w:rPr>
          <w:rFonts w:ascii="Times New Roman" w:hAnsi="Times New Roman"/>
          <w:lang w:val="pt-BR"/>
        </w:rPr>
        <w:t>.</w:t>
      </w:r>
      <w:r w:rsidR="00C458A6">
        <w:rPr>
          <w:rFonts w:ascii="Times New Roman" w:hAnsi="Times New Roman"/>
          <w:lang w:val="pt-BR"/>
        </w:rPr>
        <w:t xml:space="preserve"> </w:t>
      </w:r>
      <w:r w:rsidR="0029466D">
        <w:rPr>
          <w:rFonts w:ascii="Times New Roman" w:hAnsi="Times New Roman"/>
          <w:lang w:val="pt-BR"/>
        </w:rPr>
        <w:t xml:space="preserve">O refinamento dos difratogramas permitiu a quantificação das fases presentes nas diferentes amostras, conforme a tabela 1, </w:t>
      </w:r>
      <w:r w:rsidR="00C458A6">
        <w:rPr>
          <w:rFonts w:ascii="Times New Roman" w:hAnsi="Times New Roman"/>
          <w:lang w:val="pt-BR"/>
        </w:rPr>
        <w:t>comprov</w:t>
      </w:r>
      <w:r w:rsidR="0029466D">
        <w:rPr>
          <w:rFonts w:ascii="Times New Roman" w:hAnsi="Times New Roman"/>
          <w:lang w:val="pt-BR"/>
        </w:rPr>
        <w:t>ando-se</w:t>
      </w:r>
      <w:r w:rsidR="00C458A6">
        <w:rPr>
          <w:rFonts w:ascii="Times New Roman" w:hAnsi="Times New Roman"/>
          <w:lang w:val="pt-BR"/>
        </w:rPr>
        <w:t xml:space="preserve"> que a inserção de níquel</w:t>
      </w:r>
      <w:r w:rsidR="0029466D">
        <w:rPr>
          <w:rFonts w:ascii="Times New Roman" w:hAnsi="Times New Roman"/>
          <w:lang w:val="pt-BR"/>
        </w:rPr>
        <w:t xml:space="preserve"> </w:t>
      </w:r>
      <w:r w:rsidR="00C458A6">
        <w:rPr>
          <w:rFonts w:ascii="Times New Roman" w:hAnsi="Times New Roman"/>
          <w:lang w:val="pt-BR"/>
        </w:rPr>
        <w:t xml:space="preserve">dificultou a transição APR </w:t>
      </w:r>
      <w:r w:rsidR="00C458A6" w:rsidRPr="00C458A6">
        <w:rPr>
          <w:rFonts w:ascii="Times New Roman" w:hAnsi="Times New Roman"/>
          <w:lang w:val="pt-BR"/>
        </w:rPr>
        <w:t xml:space="preserve">uma vez que todas as </w:t>
      </w:r>
      <w:r w:rsidR="00C458A6" w:rsidRPr="00C458A6">
        <w:rPr>
          <w:rFonts w:ascii="Times New Roman" w:hAnsi="Times New Roman"/>
          <w:lang w:val="pt-BR"/>
        </w:rPr>
        <w:lastRenderedPageBreak/>
        <w:t xml:space="preserve">amostras contendo o dopante apresentaram teores de anatase </w:t>
      </w:r>
      <w:r w:rsidR="0029466D" w:rsidRPr="00C458A6">
        <w:rPr>
          <w:rFonts w:ascii="Times New Roman" w:hAnsi="Times New Roman"/>
          <w:lang w:val="pt-BR"/>
        </w:rPr>
        <w:t>superior</w:t>
      </w:r>
      <w:r w:rsidR="005C5DC0">
        <w:rPr>
          <w:rFonts w:ascii="Times New Roman" w:hAnsi="Times New Roman"/>
          <w:lang w:val="pt-BR"/>
        </w:rPr>
        <w:t>es</w:t>
      </w:r>
      <w:r w:rsidR="00C458A6" w:rsidRPr="00C458A6">
        <w:rPr>
          <w:rFonts w:ascii="Times New Roman" w:hAnsi="Times New Roman"/>
          <w:lang w:val="pt-BR"/>
        </w:rPr>
        <w:t xml:space="preserve"> ao do TiO</w:t>
      </w:r>
      <w:r w:rsidR="00C458A6" w:rsidRPr="003D2EC2">
        <w:rPr>
          <w:rFonts w:ascii="Times New Roman" w:hAnsi="Times New Roman"/>
          <w:vertAlign w:val="subscript"/>
          <w:lang w:val="pt-BR"/>
        </w:rPr>
        <w:t>2</w:t>
      </w:r>
      <w:r w:rsidR="00C458A6" w:rsidRPr="00C458A6">
        <w:rPr>
          <w:rFonts w:ascii="Times New Roman" w:hAnsi="Times New Roman"/>
          <w:lang w:val="pt-BR"/>
        </w:rPr>
        <w:t xml:space="preserve"> puro</w:t>
      </w:r>
      <w:r w:rsidR="00C458A6">
        <w:rPr>
          <w:rFonts w:ascii="Times New Roman" w:hAnsi="Times New Roman"/>
          <w:lang w:val="pt-BR"/>
        </w:rPr>
        <w:t>. Observa-se também que o teor de NiTiO</w:t>
      </w:r>
      <w:r w:rsidR="00C458A6">
        <w:rPr>
          <w:rFonts w:ascii="Times New Roman" w:hAnsi="Times New Roman"/>
          <w:vertAlign w:val="subscript"/>
          <w:lang w:val="pt-BR"/>
        </w:rPr>
        <w:t>3</w:t>
      </w:r>
      <w:r w:rsidR="00C458A6">
        <w:rPr>
          <w:rFonts w:ascii="Times New Roman" w:hAnsi="Times New Roman"/>
          <w:lang w:val="pt-BR"/>
        </w:rPr>
        <w:t xml:space="preserve"> foi aumentado de 7,2</w:t>
      </w:r>
      <w:r w:rsidR="0029466D">
        <w:rPr>
          <w:rFonts w:ascii="Times New Roman" w:hAnsi="Times New Roman"/>
          <w:lang w:val="pt-BR"/>
        </w:rPr>
        <w:t>%</w:t>
      </w:r>
      <w:r w:rsidR="00C458A6">
        <w:rPr>
          <w:rFonts w:ascii="Times New Roman" w:hAnsi="Times New Roman"/>
          <w:lang w:val="pt-BR"/>
        </w:rPr>
        <w:t xml:space="preserve"> </w:t>
      </w:r>
      <w:r w:rsidR="0074137D">
        <w:rPr>
          <w:rFonts w:ascii="Times New Roman" w:hAnsi="Times New Roman"/>
          <w:lang w:val="pt-BR"/>
        </w:rPr>
        <w:t xml:space="preserve">para 17,5% quando o teor </w:t>
      </w:r>
      <w:r w:rsidR="005C5DC0">
        <w:rPr>
          <w:rFonts w:ascii="Times New Roman" w:hAnsi="Times New Roman"/>
          <w:noProof/>
          <w:sz w:val="24"/>
          <w:szCs w:val="24"/>
        </w:rPr>
        <mc:AlternateContent>
          <mc:Choice Requires="wps">
            <w:drawing>
              <wp:anchor distT="0" distB="0" distL="114300" distR="114300" simplePos="0" relativeHeight="251666431" behindDoc="0" locked="0" layoutInCell="1" allowOverlap="1" wp14:anchorId="682DEA82" wp14:editId="168F847A">
                <wp:simplePos x="0" y="0"/>
                <wp:positionH relativeFrom="column">
                  <wp:posOffset>-64135</wp:posOffset>
                </wp:positionH>
                <wp:positionV relativeFrom="paragraph">
                  <wp:posOffset>721043</wp:posOffset>
                </wp:positionV>
                <wp:extent cx="337185" cy="227965"/>
                <wp:effectExtent l="0" t="0" r="0" b="635"/>
                <wp:wrapNone/>
                <wp:docPr id="11" name="Caixa de Texto 11"/>
                <wp:cNvGraphicFramePr/>
                <a:graphic xmlns:a="http://schemas.openxmlformats.org/drawingml/2006/main">
                  <a:graphicData uri="http://schemas.microsoft.com/office/word/2010/wordprocessingShape">
                    <wps:wsp>
                      <wps:cNvSpPr txBox="1"/>
                      <wps:spPr>
                        <a:xfrm>
                          <a:off x="0" y="0"/>
                          <a:ext cx="337185"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A7496" w14:textId="77777777" w:rsidR="00D51168" w:rsidRDefault="00D51168" w:rsidP="00D51168">
                            <w:pPr>
                              <w:jc w:val="cente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DEA82" id="Caixa de Texto 11" o:spid="_x0000_s1030" type="#_x0000_t202" style="position:absolute;left:0;text-align:left;margin-left:-5.05pt;margin-top:56.8pt;width:26.55pt;height:17.95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" filled="f" stroked="f" strokeweight=".5pt">
                <v:textbox>
                  <w:txbxContent>
                    <w:p w14:paraId="448A7496" w14:textId="77777777" w:rsidR="00D51168" w:rsidRDefault="00D51168" w:rsidP="00D51168">
                      <w:pPr>
                        <w:jc w:val="cente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r w:rsidR="0074137D">
        <w:rPr>
          <w:rFonts w:ascii="Times New Roman" w:hAnsi="Times New Roman"/>
          <w:lang w:val="pt-BR"/>
        </w:rPr>
        <w:t>de níquel foi elevado de 5 para 10%.</w:t>
      </w:r>
    </w:p>
    <w:p w14:paraId="2A38A76E" w14:textId="77777777" w:rsidR="00972269" w:rsidRDefault="00972269" w:rsidP="005C5DC0">
      <w:pPr>
        <w:pStyle w:val="TAMainText"/>
        <w:ind w:firstLine="187"/>
        <w:rPr>
          <w:rFonts w:ascii="Times New Roman" w:hAnsi="Times New Roman"/>
          <w:b/>
          <w:sz w:val="18"/>
        </w:rPr>
      </w:pPr>
    </w:p>
    <w:p w14:paraId="43D638BA" w14:textId="22DFF357" w:rsidR="00D51168" w:rsidRDefault="005C5DC0" w:rsidP="00D51168">
      <w:pPr>
        <w:rPr>
          <w:lang w:eastAsia="pt-BR"/>
        </w:rPr>
      </w:pPr>
      <w:r>
        <w:rPr>
          <w:rFonts w:ascii="Times New Roman" w:hAnsi="Times New Roman"/>
          <w:noProof/>
          <w:sz w:val="24"/>
          <w:szCs w:val="24"/>
          <w:lang w:eastAsia="pt-BR"/>
        </w:rPr>
        <mc:AlternateContent>
          <mc:Choice Requires="wps">
            <w:drawing>
              <wp:anchor distT="0" distB="0" distL="114300" distR="114300" simplePos="0" relativeHeight="251668479" behindDoc="0" locked="0" layoutInCell="1" allowOverlap="1" wp14:anchorId="36E97184" wp14:editId="26FF9DA0">
                <wp:simplePos x="0" y="0"/>
                <wp:positionH relativeFrom="column">
                  <wp:posOffset>-105727</wp:posOffset>
                </wp:positionH>
                <wp:positionV relativeFrom="paragraph">
                  <wp:posOffset>2308225</wp:posOffset>
                </wp:positionV>
                <wp:extent cx="381000" cy="227965"/>
                <wp:effectExtent l="0" t="0" r="0" b="635"/>
                <wp:wrapNone/>
                <wp:docPr id="13" name="Caixa de Texto 13"/>
                <wp:cNvGraphicFramePr/>
                <a:graphic xmlns:a="http://schemas.openxmlformats.org/drawingml/2006/main">
                  <a:graphicData uri="http://schemas.microsoft.com/office/word/2010/wordprocessingShape">
                    <wps:wsp>
                      <wps:cNvSpPr txBox="1"/>
                      <wps:spPr>
                        <a:xfrm>
                          <a:off x="0" y="0"/>
                          <a:ext cx="381000"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4A068" w14:textId="77777777" w:rsidR="00D51168" w:rsidRDefault="00D51168" w:rsidP="00D51168">
                            <w:pPr>
                              <w:jc w:val="cente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97184" id="Caixa de Texto 13" o:spid="_x0000_s1031" type="#_x0000_t202" style="position:absolute;margin-left:-8.3pt;margin-top:181.75pt;width:30pt;height:17.9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" filled="f" stroked="f" strokeweight=".5pt">
                <v:textbox>
                  <w:txbxContent>
                    <w:p w14:paraId="34B4A068" w14:textId="77777777" w:rsidR="00D51168" w:rsidRDefault="00D51168" w:rsidP="00D51168">
                      <w:pPr>
                        <w:jc w:val="cente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sidR="00D51168">
        <w:rPr>
          <w:noProof/>
          <w:lang w:eastAsia="pt-BR"/>
        </w:rPr>
        <w:drawing>
          <wp:inline distT="0" distB="0" distL="0" distR="0" wp14:anchorId="31DFC9F6" wp14:editId="256FEB98">
            <wp:extent cx="2451100" cy="2200910"/>
            <wp:effectExtent l="0" t="0" r="6350" b="889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1100" cy="2200910"/>
                    </a:xfrm>
                    <a:prstGeom prst="rect">
                      <a:avLst/>
                    </a:prstGeom>
                    <a:noFill/>
                  </pic:spPr>
                </pic:pic>
              </a:graphicData>
            </a:graphic>
          </wp:inline>
        </w:drawing>
      </w:r>
    </w:p>
    <w:p w14:paraId="2553174D" w14:textId="5FFF70F6" w:rsidR="00D51168" w:rsidRDefault="00D51168" w:rsidP="00D51168">
      <w:pPr>
        <w:rPr>
          <w:lang w:eastAsia="pt-BR"/>
        </w:rPr>
      </w:pPr>
      <w:r>
        <w:rPr>
          <w:noProof/>
          <w:lang w:eastAsia="pt-BR"/>
        </w:rPr>
        <w:drawing>
          <wp:inline distT="0" distB="0" distL="0" distR="0" wp14:anchorId="58B5CE86" wp14:editId="126FD579">
            <wp:extent cx="2451100" cy="2115185"/>
            <wp:effectExtent l="0" t="0" r="635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1100" cy="2115185"/>
                    </a:xfrm>
                    <a:prstGeom prst="rect">
                      <a:avLst/>
                    </a:prstGeom>
                    <a:noFill/>
                  </pic:spPr>
                </pic:pic>
              </a:graphicData>
            </a:graphic>
          </wp:inline>
        </w:drawing>
      </w:r>
    </w:p>
    <w:p w14:paraId="0A961230" w14:textId="4A91A1C2" w:rsidR="00D51168" w:rsidRPr="00972D20" w:rsidRDefault="0029466D" w:rsidP="00972269">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6D10AB">
        <w:rPr>
          <w:lang w:val="pt-BR"/>
        </w:rPr>
        <w:t xml:space="preserve"> </w:t>
      </w:r>
      <w:r w:rsidRPr="00D51168">
        <w:rPr>
          <w:rFonts w:ascii="Times New Roman" w:hAnsi="Times New Roman"/>
          <w:bCs/>
          <w:lang w:val="pt-BR"/>
        </w:rPr>
        <w:t>(a) Difratogramas de raios X dos óxidos Ni-TiO</w:t>
      </w:r>
      <w:r w:rsidRPr="00972D20">
        <w:rPr>
          <w:rFonts w:ascii="Times New Roman" w:hAnsi="Times New Roman"/>
          <w:bCs/>
          <w:vertAlign w:val="subscript"/>
          <w:lang w:val="pt-BR"/>
        </w:rPr>
        <w:t>2</w:t>
      </w:r>
      <w:r w:rsidRPr="00D51168">
        <w:rPr>
          <w:rFonts w:ascii="Times New Roman" w:hAnsi="Times New Roman"/>
          <w:bCs/>
          <w:lang w:val="pt-BR"/>
        </w:rPr>
        <w:t>, (b) Refinamento dos difratogramas pelo método de Rietveld.</w:t>
      </w:r>
      <w:r w:rsidRPr="00E038AF">
        <w:rPr>
          <w:rFonts w:ascii="Times New Roman" w:hAnsi="Times New Roman"/>
          <w:lang w:val="pt-BR"/>
        </w:rPr>
        <w:t xml:space="preserve"> </w:t>
      </w:r>
    </w:p>
    <w:p w14:paraId="50AD3669" w14:textId="77777777" w:rsidR="000D130F" w:rsidRDefault="000D130F" w:rsidP="00B10021">
      <w:pPr>
        <w:pStyle w:val="VDTableTitle"/>
        <w:spacing w:after="120"/>
        <w:jc w:val="both"/>
        <w:rPr>
          <w:rFonts w:ascii="Times New Roman" w:hAnsi="Times New Roman"/>
          <w:b/>
          <w:lang w:val="pt-BR"/>
        </w:rPr>
      </w:pPr>
    </w:p>
    <w:p w14:paraId="514EE18C" w14:textId="34A07AC8" w:rsidR="00B10021" w:rsidRDefault="00B10021" w:rsidP="00B10021">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 xml:space="preserve">Parâmetros de qualidade dos refinamentos. </w:t>
      </w:r>
    </w:p>
    <w:tbl>
      <w:tblPr>
        <w:tblW w:w="48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00"/>
        <w:gridCol w:w="1200"/>
        <w:gridCol w:w="1200"/>
        <w:gridCol w:w="1200"/>
      </w:tblGrid>
      <w:tr w:rsidR="00972D20" w14:paraId="03B349D0" w14:textId="77777777" w:rsidTr="00972D20">
        <w:trPr>
          <w:jc w:val="center"/>
        </w:trPr>
        <w:tc>
          <w:tcPr>
            <w:tcW w:w="1201" w:type="dxa"/>
            <w:tcBorders>
              <w:top w:val="single" w:sz="4" w:space="0" w:color="auto"/>
              <w:left w:val="single" w:sz="4" w:space="0" w:color="auto"/>
              <w:bottom w:val="single" w:sz="6" w:space="0" w:color="auto"/>
              <w:right w:val="single" w:sz="6" w:space="0" w:color="auto"/>
            </w:tcBorders>
            <w:vAlign w:val="center"/>
            <w:hideMark/>
          </w:tcPr>
          <w:p w14:paraId="1361F2B4" w14:textId="77777777" w:rsidR="00972D20" w:rsidRDefault="00972D20">
            <w:pPr>
              <w:pStyle w:val="TCTableBody"/>
              <w:spacing w:after="0" w:line="240" w:lineRule="auto"/>
              <w:jc w:val="center"/>
              <w:rPr>
                <w:b/>
                <w:lang w:val="pt-BR" w:eastAsia="en-US"/>
              </w:rPr>
            </w:pPr>
            <w:r>
              <w:rPr>
                <w:b/>
                <w:lang w:val="pt-BR" w:eastAsia="en-US"/>
              </w:rPr>
              <w:t>Amostra</w:t>
            </w:r>
          </w:p>
        </w:tc>
        <w:tc>
          <w:tcPr>
            <w:tcW w:w="1201" w:type="dxa"/>
            <w:tcBorders>
              <w:top w:val="single" w:sz="4" w:space="0" w:color="auto"/>
              <w:left w:val="single" w:sz="6" w:space="0" w:color="auto"/>
              <w:bottom w:val="single" w:sz="6" w:space="0" w:color="auto"/>
              <w:right w:val="single" w:sz="6" w:space="0" w:color="auto"/>
            </w:tcBorders>
            <w:vAlign w:val="center"/>
            <w:hideMark/>
          </w:tcPr>
          <w:p w14:paraId="2FA8A70D" w14:textId="77777777" w:rsidR="00972D20" w:rsidRDefault="00972D20">
            <w:pPr>
              <w:pStyle w:val="TCTableBody"/>
              <w:spacing w:after="0" w:line="240" w:lineRule="auto"/>
              <w:jc w:val="center"/>
              <w:rPr>
                <w:b/>
                <w:lang w:val="pt-BR" w:eastAsia="en-US"/>
              </w:rPr>
            </w:pPr>
            <w:r>
              <w:rPr>
                <w:b/>
                <w:lang w:val="pt-BR" w:eastAsia="en-US"/>
              </w:rPr>
              <w:t>Anatase (%)</w:t>
            </w:r>
          </w:p>
        </w:tc>
        <w:tc>
          <w:tcPr>
            <w:tcW w:w="1201" w:type="dxa"/>
            <w:tcBorders>
              <w:top w:val="single" w:sz="4" w:space="0" w:color="auto"/>
              <w:left w:val="single" w:sz="6" w:space="0" w:color="auto"/>
              <w:bottom w:val="single" w:sz="6" w:space="0" w:color="auto"/>
              <w:right w:val="single" w:sz="6" w:space="0" w:color="auto"/>
            </w:tcBorders>
            <w:vAlign w:val="center"/>
            <w:hideMark/>
          </w:tcPr>
          <w:p w14:paraId="741D7862" w14:textId="77777777" w:rsidR="00972D20" w:rsidRDefault="00972D20">
            <w:pPr>
              <w:pStyle w:val="TCTableBody"/>
              <w:spacing w:after="0" w:line="240" w:lineRule="auto"/>
              <w:jc w:val="center"/>
              <w:rPr>
                <w:b/>
                <w:lang w:val="pt-BR" w:eastAsia="en-US"/>
              </w:rPr>
            </w:pPr>
            <w:r>
              <w:rPr>
                <w:b/>
                <w:lang w:val="pt-BR" w:eastAsia="en-US"/>
              </w:rPr>
              <w:t>Rutilo (%)</w:t>
            </w:r>
          </w:p>
        </w:tc>
        <w:tc>
          <w:tcPr>
            <w:tcW w:w="1201" w:type="dxa"/>
            <w:tcBorders>
              <w:top w:val="single" w:sz="4" w:space="0" w:color="auto"/>
              <w:left w:val="single" w:sz="6" w:space="0" w:color="auto"/>
              <w:bottom w:val="single" w:sz="6" w:space="0" w:color="auto"/>
              <w:right w:val="single" w:sz="4" w:space="0" w:color="auto"/>
            </w:tcBorders>
            <w:vAlign w:val="center"/>
            <w:hideMark/>
          </w:tcPr>
          <w:p w14:paraId="29A03F90" w14:textId="77777777" w:rsidR="00972D20" w:rsidRDefault="00972D20">
            <w:pPr>
              <w:pStyle w:val="TCTableBody"/>
              <w:spacing w:after="0" w:line="240" w:lineRule="auto"/>
              <w:jc w:val="center"/>
              <w:rPr>
                <w:b/>
                <w:lang w:val="pt-BR" w:eastAsia="en-US"/>
              </w:rPr>
            </w:pPr>
            <w:r>
              <w:rPr>
                <w:b/>
                <w:lang w:val="pt-BR" w:eastAsia="en-US"/>
              </w:rPr>
              <w:t>NiTiO</w:t>
            </w:r>
            <w:r>
              <w:rPr>
                <w:b/>
                <w:vertAlign w:val="subscript"/>
                <w:lang w:val="pt-BR" w:eastAsia="en-US"/>
              </w:rPr>
              <w:t>3</w:t>
            </w:r>
            <w:r>
              <w:rPr>
                <w:b/>
                <w:lang w:val="pt-BR" w:eastAsia="en-US"/>
              </w:rPr>
              <w:t xml:space="preserve"> (%)</w:t>
            </w:r>
          </w:p>
        </w:tc>
      </w:tr>
      <w:tr w:rsidR="00972D20" w14:paraId="52531D5A" w14:textId="77777777" w:rsidTr="001D273F">
        <w:trPr>
          <w:trHeight w:val="258"/>
          <w:jc w:val="center"/>
        </w:trPr>
        <w:tc>
          <w:tcPr>
            <w:tcW w:w="1201" w:type="dxa"/>
            <w:tcBorders>
              <w:top w:val="single" w:sz="6" w:space="0" w:color="auto"/>
              <w:left w:val="single" w:sz="4" w:space="0" w:color="auto"/>
              <w:bottom w:val="single" w:sz="6" w:space="0" w:color="auto"/>
              <w:right w:val="single" w:sz="6" w:space="0" w:color="auto"/>
            </w:tcBorders>
            <w:vAlign w:val="center"/>
            <w:hideMark/>
          </w:tcPr>
          <w:p w14:paraId="10236384" w14:textId="77777777" w:rsidR="00972D20" w:rsidRDefault="00972D20">
            <w:pPr>
              <w:pStyle w:val="TCTableBody"/>
              <w:spacing w:after="0" w:line="240" w:lineRule="auto"/>
              <w:jc w:val="center"/>
              <w:rPr>
                <w:lang w:val="pt-BR" w:eastAsia="en-US"/>
              </w:rPr>
            </w:pPr>
            <w:r>
              <w:rPr>
                <w:lang w:val="pt-BR" w:eastAsia="en-US"/>
              </w:rPr>
              <w:t>TN0</w:t>
            </w:r>
          </w:p>
        </w:tc>
        <w:tc>
          <w:tcPr>
            <w:tcW w:w="1201" w:type="dxa"/>
            <w:tcBorders>
              <w:top w:val="single" w:sz="6" w:space="0" w:color="auto"/>
              <w:left w:val="single" w:sz="6" w:space="0" w:color="auto"/>
              <w:bottom w:val="single" w:sz="6" w:space="0" w:color="auto"/>
              <w:right w:val="single" w:sz="6" w:space="0" w:color="auto"/>
            </w:tcBorders>
            <w:vAlign w:val="center"/>
            <w:hideMark/>
          </w:tcPr>
          <w:p w14:paraId="38AD8636" w14:textId="77777777" w:rsidR="00972D20" w:rsidRDefault="00972D20">
            <w:pPr>
              <w:pStyle w:val="TCTableBody"/>
              <w:spacing w:after="0" w:line="240" w:lineRule="auto"/>
              <w:jc w:val="center"/>
              <w:rPr>
                <w:lang w:val="pt-BR" w:eastAsia="en-US"/>
              </w:rPr>
            </w:pPr>
            <w:r>
              <w:rPr>
                <w:lang w:val="pt-BR" w:eastAsia="en-US"/>
              </w:rPr>
              <w:t>37,0</w:t>
            </w:r>
          </w:p>
        </w:tc>
        <w:tc>
          <w:tcPr>
            <w:tcW w:w="1201" w:type="dxa"/>
            <w:tcBorders>
              <w:top w:val="single" w:sz="6" w:space="0" w:color="auto"/>
              <w:left w:val="single" w:sz="6" w:space="0" w:color="auto"/>
              <w:bottom w:val="single" w:sz="6" w:space="0" w:color="auto"/>
              <w:right w:val="single" w:sz="6" w:space="0" w:color="auto"/>
            </w:tcBorders>
            <w:vAlign w:val="center"/>
            <w:hideMark/>
          </w:tcPr>
          <w:p w14:paraId="7402957D" w14:textId="77777777" w:rsidR="00972D20" w:rsidRDefault="00972D20">
            <w:pPr>
              <w:pStyle w:val="TCTableBody"/>
              <w:spacing w:after="0" w:line="240" w:lineRule="auto"/>
              <w:jc w:val="center"/>
              <w:rPr>
                <w:lang w:val="pt-BR" w:eastAsia="en-US"/>
              </w:rPr>
            </w:pPr>
            <w:r>
              <w:rPr>
                <w:lang w:val="pt-BR" w:eastAsia="en-US"/>
              </w:rPr>
              <w:t>63,0</w:t>
            </w:r>
          </w:p>
        </w:tc>
        <w:tc>
          <w:tcPr>
            <w:tcW w:w="1201" w:type="dxa"/>
            <w:tcBorders>
              <w:top w:val="single" w:sz="6" w:space="0" w:color="auto"/>
              <w:left w:val="single" w:sz="6" w:space="0" w:color="auto"/>
              <w:bottom w:val="single" w:sz="6" w:space="0" w:color="auto"/>
              <w:right w:val="single" w:sz="4" w:space="0" w:color="auto"/>
            </w:tcBorders>
            <w:vAlign w:val="center"/>
            <w:hideMark/>
          </w:tcPr>
          <w:p w14:paraId="222DCE61" w14:textId="77777777" w:rsidR="00972D20" w:rsidRDefault="00972D20">
            <w:pPr>
              <w:pStyle w:val="TCTableBody"/>
              <w:spacing w:after="0" w:line="240" w:lineRule="auto"/>
              <w:jc w:val="center"/>
              <w:rPr>
                <w:lang w:val="pt-BR" w:eastAsia="en-US"/>
              </w:rPr>
            </w:pPr>
            <w:r>
              <w:rPr>
                <w:lang w:val="pt-BR" w:eastAsia="en-US"/>
              </w:rPr>
              <w:t>-</w:t>
            </w:r>
          </w:p>
        </w:tc>
      </w:tr>
      <w:tr w:rsidR="00972D20" w14:paraId="6E1DE023" w14:textId="77777777" w:rsidTr="001D273F">
        <w:trPr>
          <w:trHeight w:val="248"/>
          <w:jc w:val="center"/>
        </w:trPr>
        <w:tc>
          <w:tcPr>
            <w:tcW w:w="1201" w:type="dxa"/>
            <w:tcBorders>
              <w:top w:val="single" w:sz="6" w:space="0" w:color="auto"/>
              <w:left w:val="single" w:sz="4" w:space="0" w:color="auto"/>
              <w:bottom w:val="single" w:sz="6" w:space="0" w:color="auto"/>
              <w:right w:val="single" w:sz="6" w:space="0" w:color="auto"/>
            </w:tcBorders>
            <w:vAlign w:val="center"/>
            <w:hideMark/>
          </w:tcPr>
          <w:p w14:paraId="5999F5C9" w14:textId="77777777" w:rsidR="00972D20" w:rsidRDefault="00972D20">
            <w:pPr>
              <w:pStyle w:val="TCTableBody"/>
              <w:spacing w:after="0" w:line="240" w:lineRule="auto"/>
              <w:jc w:val="center"/>
              <w:rPr>
                <w:lang w:val="pt-BR" w:eastAsia="en-US"/>
              </w:rPr>
            </w:pPr>
            <w:r>
              <w:rPr>
                <w:lang w:val="pt-BR" w:eastAsia="en-US"/>
              </w:rPr>
              <w:t>TN0,1</w:t>
            </w:r>
          </w:p>
        </w:tc>
        <w:tc>
          <w:tcPr>
            <w:tcW w:w="1201" w:type="dxa"/>
            <w:tcBorders>
              <w:top w:val="single" w:sz="6" w:space="0" w:color="auto"/>
              <w:left w:val="single" w:sz="6" w:space="0" w:color="auto"/>
              <w:bottom w:val="single" w:sz="6" w:space="0" w:color="auto"/>
              <w:right w:val="single" w:sz="6" w:space="0" w:color="auto"/>
            </w:tcBorders>
            <w:vAlign w:val="center"/>
            <w:hideMark/>
          </w:tcPr>
          <w:p w14:paraId="02771609" w14:textId="77777777" w:rsidR="00972D20" w:rsidRDefault="00972D20">
            <w:pPr>
              <w:pStyle w:val="TCTableBody"/>
              <w:spacing w:after="0" w:line="240" w:lineRule="auto"/>
              <w:jc w:val="center"/>
              <w:rPr>
                <w:lang w:val="pt-BR" w:eastAsia="en-US"/>
              </w:rPr>
            </w:pPr>
            <w:r>
              <w:rPr>
                <w:lang w:val="pt-BR" w:eastAsia="en-US"/>
              </w:rPr>
              <w:t>54,4</w:t>
            </w:r>
          </w:p>
        </w:tc>
        <w:tc>
          <w:tcPr>
            <w:tcW w:w="1201" w:type="dxa"/>
            <w:tcBorders>
              <w:top w:val="single" w:sz="6" w:space="0" w:color="auto"/>
              <w:left w:val="single" w:sz="6" w:space="0" w:color="auto"/>
              <w:bottom w:val="single" w:sz="6" w:space="0" w:color="auto"/>
              <w:right w:val="single" w:sz="6" w:space="0" w:color="auto"/>
            </w:tcBorders>
            <w:vAlign w:val="center"/>
            <w:hideMark/>
          </w:tcPr>
          <w:p w14:paraId="2D950DF8" w14:textId="77777777" w:rsidR="00972D20" w:rsidRDefault="00972D20">
            <w:pPr>
              <w:pStyle w:val="TCTableBody"/>
              <w:spacing w:after="0" w:line="240" w:lineRule="auto"/>
              <w:jc w:val="center"/>
              <w:rPr>
                <w:lang w:val="pt-BR" w:eastAsia="en-US"/>
              </w:rPr>
            </w:pPr>
            <w:r>
              <w:rPr>
                <w:lang w:val="pt-BR" w:eastAsia="en-US"/>
              </w:rPr>
              <w:t>45,6</w:t>
            </w:r>
          </w:p>
        </w:tc>
        <w:tc>
          <w:tcPr>
            <w:tcW w:w="1201" w:type="dxa"/>
            <w:tcBorders>
              <w:top w:val="single" w:sz="6" w:space="0" w:color="auto"/>
              <w:left w:val="single" w:sz="6" w:space="0" w:color="auto"/>
              <w:bottom w:val="single" w:sz="6" w:space="0" w:color="auto"/>
              <w:right w:val="single" w:sz="4" w:space="0" w:color="auto"/>
            </w:tcBorders>
            <w:vAlign w:val="center"/>
            <w:hideMark/>
          </w:tcPr>
          <w:p w14:paraId="4A45AD80" w14:textId="77777777" w:rsidR="00972D20" w:rsidRDefault="00972D20">
            <w:pPr>
              <w:pStyle w:val="TCTableBody"/>
              <w:spacing w:after="0" w:line="240" w:lineRule="auto"/>
              <w:jc w:val="center"/>
              <w:rPr>
                <w:lang w:val="pt-BR" w:eastAsia="en-US"/>
              </w:rPr>
            </w:pPr>
            <w:r>
              <w:rPr>
                <w:lang w:val="pt-BR" w:eastAsia="en-US"/>
              </w:rPr>
              <w:t>-</w:t>
            </w:r>
          </w:p>
        </w:tc>
      </w:tr>
      <w:tr w:rsidR="00972D20" w14:paraId="00D7E887" w14:textId="77777777" w:rsidTr="001D273F">
        <w:trPr>
          <w:trHeight w:val="280"/>
          <w:jc w:val="center"/>
        </w:trPr>
        <w:tc>
          <w:tcPr>
            <w:tcW w:w="1201" w:type="dxa"/>
            <w:tcBorders>
              <w:top w:val="single" w:sz="6" w:space="0" w:color="auto"/>
              <w:left w:val="single" w:sz="4" w:space="0" w:color="auto"/>
              <w:bottom w:val="single" w:sz="6" w:space="0" w:color="auto"/>
              <w:right w:val="single" w:sz="6" w:space="0" w:color="auto"/>
            </w:tcBorders>
            <w:vAlign w:val="center"/>
            <w:hideMark/>
          </w:tcPr>
          <w:p w14:paraId="0B2C9A5A" w14:textId="77777777" w:rsidR="00972D20" w:rsidRDefault="00972D20">
            <w:pPr>
              <w:pStyle w:val="TCTableBody"/>
              <w:spacing w:after="0" w:line="240" w:lineRule="auto"/>
              <w:jc w:val="center"/>
              <w:rPr>
                <w:lang w:val="pt-BR" w:eastAsia="en-US"/>
              </w:rPr>
            </w:pPr>
            <w:r>
              <w:rPr>
                <w:lang w:val="pt-BR" w:eastAsia="en-US"/>
              </w:rPr>
              <w:t>TN1</w:t>
            </w:r>
          </w:p>
        </w:tc>
        <w:tc>
          <w:tcPr>
            <w:tcW w:w="1201" w:type="dxa"/>
            <w:tcBorders>
              <w:top w:val="single" w:sz="6" w:space="0" w:color="auto"/>
              <w:left w:val="single" w:sz="6" w:space="0" w:color="auto"/>
              <w:bottom w:val="single" w:sz="6" w:space="0" w:color="auto"/>
              <w:right w:val="single" w:sz="6" w:space="0" w:color="auto"/>
            </w:tcBorders>
            <w:vAlign w:val="center"/>
            <w:hideMark/>
          </w:tcPr>
          <w:p w14:paraId="492A1715" w14:textId="77777777" w:rsidR="00972D20" w:rsidRDefault="00972D20">
            <w:pPr>
              <w:pStyle w:val="TCTableBody"/>
              <w:spacing w:after="0" w:line="240" w:lineRule="auto"/>
              <w:jc w:val="center"/>
              <w:rPr>
                <w:lang w:val="pt-BR" w:eastAsia="en-US"/>
              </w:rPr>
            </w:pPr>
            <w:r>
              <w:rPr>
                <w:lang w:val="pt-BR" w:eastAsia="en-US"/>
              </w:rPr>
              <w:t>82,0</w:t>
            </w:r>
          </w:p>
        </w:tc>
        <w:tc>
          <w:tcPr>
            <w:tcW w:w="1201" w:type="dxa"/>
            <w:tcBorders>
              <w:top w:val="single" w:sz="6" w:space="0" w:color="auto"/>
              <w:left w:val="single" w:sz="6" w:space="0" w:color="auto"/>
              <w:bottom w:val="single" w:sz="6" w:space="0" w:color="auto"/>
              <w:right w:val="single" w:sz="6" w:space="0" w:color="auto"/>
            </w:tcBorders>
            <w:vAlign w:val="center"/>
            <w:hideMark/>
          </w:tcPr>
          <w:p w14:paraId="6EC456CB" w14:textId="77777777" w:rsidR="00972D20" w:rsidRDefault="00972D20">
            <w:pPr>
              <w:pStyle w:val="TCTableBody"/>
              <w:spacing w:after="0" w:line="240" w:lineRule="auto"/>
              <w:jc w:val="center"/>
              <w:rPr>
                <w:lang w:val="pt-BR" w:eastAsia="en-US"/>
              </w:rPr>
            </w:pPr>
            <w:r>
              <w:rPr>
                <w:lang w:val="pt-BR" w:eastAsia="en-US"/>
              </w:rPr>
              <w:t>18,0</w:t>
            </w:r>
          </w:p>
        </w:tc>
        <w:tc>
          <w:tcPr>
            <w:tcW w:w="1201" w:type="dxa"/>
            <w:tcBorders>
              <w:top w:val="single" w:sz="6" w:space="0" w:color="auto"/>
              <w:left w:val="single" w:sz="6" w:space="0" w:color="auto"/>
              <w:bottom w:val="single" w:sz="6" w:space="0" w:color="auto"/>
              <w:right w:val="single" w:sz="4" w:space="0" w:color="auto"/>
            </w:tcBorders>
            <w:vAlign w:val="center"/>
            <w:hideMark/>
          </w:tcPr>
          <w:p w14:paraId="7D42A599" w14:textId="77777777" w:rsidR="00972D20" w:rsidRDefault="00972D20">
            <w:pPr>
              <w:pStyle w:val="TCTableBody"/>
              <w:spacing w:after="0" w:line="240" w:lineRule="auto"/>
              <w:jc w:val="center"/>
              <w:rPr>
                <w:lang w:val="pt-BR" w:eastAsia="en-US"/>
              </w:rPr>
            </w:pPr>
            <w:r>
              <w:rPr>
                <w:lang w:val="pt-BR" w:eastAsia="en-US"/>
              </w:rPr>
              <w:t>-</w:t>
            </w:r>
          </w:p>
        </w:tc>
      </w:tr>
      <w:tr w:rsidR="00972D20" w14:paraId="43595575" w14:textId="77777777" w:rsidTr="001D273F">
        <w:trPr>
          <w:trHeight w:val="270"/>
          <w:jc w:val="center"/>
        </w:trPr>
        <w:tc>
          <w:tcPr>
            <w:tcW w:w="1201" w:type="dxa"/>
            <w:tcBorders>
              <w:top w:val="single" w:sz="6" w:space="0" w:color="auto"/>
              <w:left w:val="single" w:sz="4" w:space="0" w:color="auto"/>
              <w:bottom w:val="single" w:sz="6" w:space="0" w:color="auto"/>
              <w:right w:val="single" w:sz="6" w:space="0" w:color="auto"/>
            </w:tcBorders>
            <w:vAlign w:val="center"/>
            <w:hideMark/>
          </w:tcPr>
          <w:p w14:paraId="760045F3" w14:textId="77777777" w:rsidR="00972D20" w:rsidRDefault="00972D20">
            <w:pPr>
              <w:pStyle w:val="TCTableBody"/>
              <w:spacing w:after="0" w:line="240" w:lineRule="auto"/>
              <w:jc w:val="center"/>
              <w:rPr>
                <w:lang w:val="pt-BR" w:eastAsia="en-US"/>
              </w:rPr>
            </w:pPr>
            <w:r>
              <w:rPr>
                <w:lang w:val="pt-BR" w:eastAsia="en-US"/>
              </w:rPr>
              <w:t>TN5</w:t>
            </w:r>
          </w:p>
        </w:tc>
        <w:tc>
          <w:tcPr>
            <w:tcW w:w="1201" w:type="dxa"/>
            <w:tcBorders>
              <w:top w:val="single" w:sz="6" w:space="0" w:color="auto"/>
              <w:left w:val="single" w:sz="6" w:space="0" w:color="auto"/>
              <w:bottom w:val="single" w:sz="6" w:space="0" w:color="auto"/>
              <w:right w:val="single" w:sz="6" w:space="0" w:color="auto"/>
            </w:tcBorders>
            <w:vAlign w:val="center"/>
            <w:hideMark/>
          </w:tcPr>
          <w:p w14:paraId="0388835A" w14:textId="77777777" w:rsidR="00972D20" w:rsidRDefault="00972D20">
            <w:pPr>
              <w:pStyle w:val="TCTableBody"/>
              <w:spacing w:after="0" w:line="240" w:lineRule="auto"/>
              <w:jc w:val="center"/>
              <w:rPr>
                <w:lang w:val="pt-BR" w:eastAsia="en-US"/>
              </w:rPr>
            </w:pPr>
            <w:r>
              <w:rPr>
                <w:lang w:val="pt-BR" w:eastAsia="en-US"/>
              </w:rPr>
              <w:t>50,9</w:t>
            </w:r>
          </w:p>
        </w:tc>
        <w:tc>
          <w:tcPr>
            <w:tcW w:w="1201" w:type="dxa"/>
            <w:tcBorders>
              <w:top w:val="single" w:sz="6" w:space="0" w:color="auto"/>
              <w:left w:val="single" w:sz="6" w:space="0" w:color="auto"/>
              <w:bottom w:val="single" w:sz="6" w:space="0" w:color="auto"/>
              <w:right w:val="single" w:sz="6" w:space="0" w:color="auto"/>
            </w:tcBorders>
            <w:vAlign w:val="center"/>
            <w:hideMark/>
          </w:tcPr>
          <w:p w14:paraId="2723CD51" w14:textId="77777777" w:rsidR="00972D20" w:rsidRDefault="00972D20">
            <w:pPr>
              <w:pStyle w:val="TCTableBody"/>
              <w:spacing w:after="0" w:line="240" w:lineRule="auto"/>
              <w:jc w:val="center"/>
              <w:rPr>
                <w:lang w:val="pt-BR" w:eastAsia="en-US"/>
              </w:rPr>
            </w:pPr>
            <w:r>
              <w:rPr>
                <w:lang w:val="pt-BR" w:eastAsia="en-US"/>
              </w:rPr>
              <w:t>41,9</w:t>
            </w:r>
          </w:p>
        </w:tc>
        <w:tc>
          <w:tcPr>
            <w:tcW w:w="1201" w:type="dxa"/>
            <w:tcBorders>
              <w:top w:val="single" w:sz="6" w:space="0" w:color="auto"/>
              <w:left w:val="single" w:sz="6" w:space="0" w:color="auto"/>
              <w:bottom w:val="single" w:sz="6" w:space="0" w:color="auto"/>
              <w:right w:val="single" w:sz="4" w:space="0" w:color="auto"/>
            </w:tcBorders>
            <w:vAlign w:val="center"/>
            <w:hideMark/>
          </w:tcPr>
          <w:p w14:paraId="23886A0E" w14:textId="77777777" w:rsidR="00972D20" w:rsidRDefault="00972D20">
            <w:pPr>
              <w:pStyle w:val="TCTableBody"/>
              <w:spacing w:after="0" w:line="240" w:lineRule="auto"/>
              <w:jc w:val="center"/>
              <w:rPr>
                <w:lang w:val="pt-BR" w:eastAsia="en-US"/>
              </w:rPr>
            </w:pPr>
            <w:r>
              <w:rPr>
                <w:lang w:val="pt-BR" w:eastAsia="en-US"/>
              </w:rPr>
              <w:t>7,2</w:t>
            </w:r>
          </w:p>
        </w:tc>
      </w:tr>
      <w:tr w:rsidR="00972D20" w14:paraId="475B7BB6" w14:textId="77777777" w:rsidTr="001D273F">
        <w:trPr>
          <w:trHeight w:val="260"/>
          <w:jc w:val="center"/>
        </w:trPr>
        <w:tc>
          <w:tcPr>
            <w:tcW w:w="1201" w:type="dxa"/>
            <w:tcBorders>
              <w:top w:val="single" w:sz="6" w:space="0" w:color="auto"/>
              <w:left w:val="single" w:sz="4" w:space="0" w:color="auto"/>
              <w:bottom w:val="single" w:sz="6" w:space="0" w:color="auto"/>
              <w:right w:val="single" w:sz="6" w:space="0" w:color="auto"/>
            </w:tcBorders>
            <w:vAlign w:val="center"/>
            <w:hideMark/>
          </w:tcPr>
          <w:p w14:paraId="55303016" w14:textId="77777777" w:rsidR="00972D20" w:rsidRDefault="00972D20">
            <w:pPr>
              <w:pStyle w:val="TCTableBody"/>
              <w:spacing w:after="0" w:line="240" w:lineRule="auto"/>
              <w:jc w:val="center"/>
              <w:rPr>
                <w:lang w:val="pt-BR" w:eastAsia="en-US"/>
              </w:rPr>
            </w:pPr>
            <w:r>
              <w:rPr>
                <w:lang w:val="pt-BR" w:eastAsia="en-US"/>
              </w:rPr>
              <w:t>TN10</w:t>
            </w:r>
          </w:p>
        </w:tc>
        <w:tc>
          <w:tcPr>
            <w:tcW w:w="1201" w:type="dxa"/>
            <w:tcBorders>
              <w:top w:val="single" w:sz="6" w:space="0" w:color="auto"/>
              <w:left w:val="single" w:sz="6" w:space="0" w:color="auto"/>
              <w:bottom w:val="single" w:sz="6" w:space="0" w:color="auto"/>
              <w:right w:val="single" w:sz="6" w:space="0" w:color="auto"/>
            </w:tcBorders>
            <w:vAlign w:val="center"/>
            <w:hideMark/>
          </w:tcPr>
          <w:p w14:paraId="34B199E1" w14:textId="77777777" w:rsidR="00972D20" w:rsidRDefault="00972D20">
            <w:pPr>
              <w:pStyle w:val="TCTableBody"/>
              <w:spacing w:after="0" w:line="240" w:lineRule="auto"/>
              <w:jc w:val="center"/>
              <w:rPr>
                <w:lang w:val="pt-BR" w:eastAsia="en-US"/>
              </w:rPr>
            </w:pPr>
            <w:r>
              <w:rPr>
                <w:lang w:val="pt-BR" w:eastAsia="en-US"/>
              </w:rPr>
              <w:t>42,0</w:t>
            </w:r>
          </w:p>
        </w:tc>
        <w:tc>
          <w:tcPr>
            <w:tcW w:w="1201" w:type="dxa"/>
            <w:tcBorders>
              <w:top w:val="single" w:sz="6" w:space="0" w:color="auto"/>
              <w:left w:val="single" w:sz="6" w:space="0" w:color="auto"/>
              <w:bottom w:val="single" w:sz="6" w:space="0" w:color="auto"/>
              <w:right w:val="single" w:sz="6" w:space="0" w:color="auto"/>
            </w:tcBorders>
            <w:vAlign w:val="center"/>
            <w:hideMark/>
          </w:tcPr>
          <w:p w14:paraId="1C691712" w14:textId="77777777" w:rsidR="00972D20" w:rsidRDefault="00972D20">
            <w:pPr>
              <w:pStyle w:val="TCTableBody"/>
              <w:spacing w:after="0" w:line="240" w:lineRule="auto"/>
              <w:jc w:val="center"/>
              <w:rPr>
                <w:lang w:val="pt-BR" w:eastAsia="en-US"/>
              </w:rPr>
            </w:pPr>
            <w:r>
              <w:rPr>
                <w:lang w:val="pt-BR" w:eastAsia="en-US"/>
              </w:rPr>
              <w:t>40,5</w:t>
            </w:r>
          </w:p>
        </w:tc>
        <w:tc>
          <w:tcPr>
            <w:tcW w:w="1201" w:type="dxa"/>
            <w:tcBorders>
              <w:top w:val="single" w:sz="6" w:space="0" w:color="auto"/>
              <w:left w:val="single" w:sz="6" w:space="0" w:color="auto"/>
              <w:bottom w:val="single" w:sz="6" w:space="0" w:color="auto"/>
              <w:right w:val="single" w:sz="4" w:space="0" w:color="auto"/>
            </w:tcBorders>
            <w:vAlign w:val="center"/>
            <w:hideMark/>
          </w:tcPr>
          <w:p w14:paraId="06A6C836" w14:textId="77777777" w:rsidR="00972D20" w:rsidRDefault="00972D20">
            <w:pPr>
              <w:pStyle w:val="TCTableBody"/>
              <w:spacing w:after="0" w:line="240" w:lineRule="auto"/>
              <w:jc w:val="center"/>
              <w:rPr>
                <w:lang w:val="pt-BR" w:eastAsia="en-US"/>
              </w:rPr>
            </w:pPr>
            <w:r>
              <w:rPr>
                <w:lang w:val="pt-BR" w:eastAsia="en-US"/>
              </w:rPr>
              <w:t>17,5</w:t>
            </w:r>
          </w:p>
        </w:tc>
      </w:tr>
    </w:tbl>
    <w:p w14:paraId="2BFE7E4E" w14:textId="4E2C8F8D" w:rsidR="0074137D" w:rsidRPr="00FB2DC5" w:rsidRDefault="0074137D" w:rsidP="0074137D">
      <w:pPr>
        <w:pStyle w:val="TAMainText"/>
        <w:ind w:firstLine="0"/>
        <w:rPr>
          <w:rFonts w:ascii="Times New Roman" w:hAnsi="Times New Roman"/>
          <w:i/>
          <w:lang w:val="pt-BR"/>
        </w:rPr>
      </w:pPr>
    </w:p>
    <w:p w14:paraId="1756BF93" w14:textId="7AD40A5A" w:rsidR="00324384" w:rsidRDefault="0074137D" w:rsidP="00EA4E1B">
      <w:pPr>
        <w:pStyle w:val="TAMainText"/>
        <w:ind w:firstLine="187"/>
        <w:rPr>
          <w:rFonts w:ascii="Times New Roman" w:hAnsi="Times New Roman"/>
          <w:lang w:val="pt-BR"/>
        </w:rPr>
      </w:pPr>
      <w:r>
        <w:rPr>
          <w:rFonts w:ascii="Times New Roman" w:hAnsi="Times New Roman"/>
          <w:lang w:val="pt-BR"/>
        </w:rPr>
        <w:t>Na tabela 2</w:t>
      </w:r>
      <w:r w:rsidR="00972D20">
        <w:rPr>
          <w:rFonts w:ascii="Times New Roman" w:hAnsi="Times New Roman"/>
          <w:lang w:val="pt-BR"/>
        </w:rPr>
        <w:t>,</w:t>
      </w:r>
      <w:r>
        <w:rPr>
          <w:rFonts w:ascii="Times New Roman" w:hAnsi="Times New Roman"/>
          <w:lang w:val="pt-BR"/>
        </w:rPr>
        <w:t xml:space="preserve"> são apresentados os parâmetros colorimétricos dos óxidos Ni-TiO</w:t>
      </w:r>
      <w:r>
        <w:rPr>
          <w:rFonts w:ascii="Times New Roman" w:hAnsi="Times New Roman"/>
          <w:vertAlign w:val="subscript"/>
          <w:lang w:val="pt-BR"/>
        </w:rPr>
        <w:t>2</w:t>
      </w:r>
      <w:r>
        <w:rPr>
          <w:rFonts w:ascii="Times New Roman" w:hAnsi="Times New Roman"/>
          <w:lang w:val="pt-BR"/>
        </w:rPr>
        <w:t>. Verifica-se que o aumento do teor de níquel acarret</w:t>
      </w:r>
      <w:r w:rsidR="000D130F">
        <w:rPr>
          <w:rFonts w:ascii="Times New Roman" w:hAnsi="Times New Roman"/>
          <w:lang w:val="pt-BR"/>
        </w:rPr>
        <w:t>ou</w:t>
      </w:r>
      <w:r>
        <w:rPr>
          <w:rFonts w:ascii="Times New Roman" w:hAnsi="Times New Roman"/>
          <w:lang w:val="pt-BR"/>
        </w:rPr>
        <w:t xml:space="preserve"> na diminuição do valor de L</w:t>
      </w:r>
      <w:r>
        <w:rPr>
          <w:rFonts w:ascii="Times New Roman" w:hAnsi="Times New Roman"/>
          <w:vertAlign w:val="superscript"/>
          <w:lang w:val="pt-BR"/>
        </w:rPr>
        <w:t>*</w:t>
      </w:r>
      <w:r w:rsidR="000D130F">
        <w:rPr>
          <w:rFonts w:ascii="Times New Roman" w:hAnsi="Times New Roman"/>
          <w:vertAlign w:val="superscript"/>
          <w:lang w:val="pt-BR"/>
        </w:rPr>
        <w:t xml:space="preserve"> </w:t>
      </w:r>
      <w:r w:rsidR="000D130F">
        <w:rPr>
          <w:rFonts w:ascii="Times New Roman" w:hAnsi="Times New Roman"/>
          <w:lang w:val="pt-BR"/>
        </w:rPr>
        <w:t>dos óxidos</w:t>
      </w:r>
      <w:r w:rsidR="00324384">
        <w:rPr>
          <w:rFonts w:ascii="Times New Roman" w:hAnsi="Times New Roman"/>
          <w:lang w:val="pt-BR"/>
        </w:rPr>
        <w:t xml:space="preserve">, </w:t>
      </w:r>
      <w:r w:rsidR="000D130F">
        <w:rPr>
          <w:rFonts w:ascii="Times New Roman" w:hAnsi="Times New Roman"/>
          <w:lang w:val="pt-BR"/>
        </w:rPr>
        <w:t xml:space="preserve">o </w:t>
      </w:r>
      <w:r w:rsidR="000D130F" w:rsidRPr="00972269">
        <w:rPr>
          <w:rFonts w:ascii="Times New Roman" w:hAnsi="Times New Roman"/>
          <w:lang w:val="pt-BR"/>
        </w:rPr>
        <w:t>que denota</w:t>
      </w:r>
      <w:r w:rsidR="00324384" w:rsidRPr="00972269">
        <w:rPr>
          <w:rFonts w:ascii="Times New Roman" w:hAnsi="Times New Roman"/>
          <w:lang w:val="pt-BR"/>
        </w:rPr>
        <w:t xml:space="preserve"> uma redução na luminosidade das amostra</w:t>
      </w:r>
      <w:r w:rsidR="00B10021" w:rsidRPr="00972269">
        <w:rPr>
          <w:rFonts w:ascii="Times New Roman" w:hAnsi="Times New Roman"/>
          <w:lang w:val="pt-BR"/>
        </w:rPr>
        <w:t>s</w:t>
      </w:r>
      <w:r w:rsidR="000D130F" w:rsidRPr="00972269">
        <w:rPr>
          <w:rFonts w:ascii="Times New Roman" w:hAnsi="Times New Roman"/>
          <w:lang w:val="pt-BR"/>
        </w:rPr>
        <w:t>. Observa-se também</w:t>
      </w:r>
      <w:r w:rsidR="00324384" w:rsidRPr="00972269">
        <w:rPr>
          <w:rFonts w:ascii="Times New Roman" w:hAnsi="Times New Roman"/>
          <w:lang w:val="pt-BR"/>
        </w:rPr>
        <w:t xml:space="preserve"> uma redução no valor de a</w:t>
      </w:r>
      <w:r w:rsidR="00324384" w:rsidRPr="00972269">
        <w:rPr>
          <w:rFonts w:ascii="Times New Roman" w:hAnsi="Times New Roman"/>
          <w:vertAlign w:val="superscript"/>
          <w:lang w:val="pt-BR"/>
        </w:rPr>
        <w:t>*</w:t>
      </w:r>
      <w:r w:rsidR="000D130F" w:rsidRPr="00972269">
        <w:rPr>
          <w:rFonts w:ascii="Times New Roman" w:hAnsi="Times New Roman"/>
          <w:lang w:val="pt-BR"/>
        </w:rPr>
        <w:t>, o que indica a mudança n</w:t>
      </w:r>
      <w:r w:rsidR="00324384" w:rsidRPr="00972269">
        <w:rPr>
          <w:rFonts w:ascii="Times New Roman" w:hAnsi="Times New Roman"/>
          <w:lang w:val="pt-BR"/>
        </w:rPr>
        <w:t>a coloração d</w:t>
      </w:r>
      <w:r w:rsidR="000D130F" w:rsidRPr="00972269">
        <w:rPr>
          <w:rFonts w:ascii="Times New Roman" w:hAnsi="Times New Roman"/>
          <w:lang w:val="pt-BR"/>
        </w:rPr>
        <w:t>e</w:t>
      </w:r>
      <w:r w:rsidR="00324384" w:rsidRPr="00972269">
        <w:rPr>
          <w:rFonts w:ascii="Times New Roman" w:hAnsi="Times New Roman"/>
          <w:lang w:val="pt-BR"/>
        </w:rPr>
        <w:t xml:space="preserve"> vermelho para</w:t>
      </w:r>
      <w:r w:rsidR="00324384">
        <w:rPr>
          <w:rFonts w:ascii="Times New Roman" w:hAnsi="Times New Roman"/>
          <w:lang w:val="pt-BR"/>
        </w:rPr>
        <w:t xml:space="preserve"> verde</w:t>
      </w:r>
      <w:r w:rsidR="000D130F">
        <w:rPr>
          <w:rFonts w:ascii="Times New Roman" w:hAnsi="Times New Roman"/>
          <w:lang w:val="pt-BR"/>
        </w:rPr>
        <w:t>,</w:t>
      </w:r>
      <w:r w:rsidR="00324384">
        <w:rPr>
          <w:rFonts w:ascii="Times New Roman" w:hAnsi="Times New Roman"/>
          <w:lang w:val="pt-BR"/>
        </w:rPr>
        <w:t xml:space="preserve"> e um aument</w:t>
      </w:r>
      <w:r w:rsidR="000D130F">
        <w:rPr>
          <w:rFonts w:ascii="Times New Roman" w:hAnsi="Times New Roman"/>
          <w:lang w:val="pt-BR"/>
        </w:rPr>
        <w:t>o</w:t>
      </w:r>
      <w:r w:rsidR="00324384">
        <w:rPr>
          <w:rFonts w:ascii="Times New Roman" w:hAnsi="Times New Roman"/>
          <w:lang w:val="pt-BR"/>
        </w:rPr>
        <w:t xml:space="preserve"> expressivo no valor de b</w:t>
      </w:r>
      <w:r w:rsidR="00324384">
        <w:rPr>
          <w:rFonts w:ascii="Times New Roman" w:hAnsi="Times New Roman"/>
          <w:vertAlign w:val="superscript"/>
          <w:lang w:val="pt-BR"/>
        </w:rPr>
        <w:t>*</w:t>
      </w:r>
      <w:r w:rsidR="00324384">
        <w:rPr>
          <w:rFonts w:ascii="Times New Roman" w:hAnsi="Times New Roman"/>
          <w:lang w:val="pt-BR"/>
        </w:rPr>
        <w:t xml:space="preserve"> </w:t>
      </w:r>
      <w:r w:rsidR="00324384">
        <w:rPr>
          <w:rFonts w:ascii="Times New Roman" w:hAnsi="Times New Roman"/>
          <w:lang w:val="pt-BR"/>
        </w:rPr>
        <w:lastRenderedPageBreak/>
        <w:t>representando a mudança da coloração</w:t>
      </w:r>
      <w:r w:rsidR="000D130F">
        <w:rPr>
          <w:rFonts w:ascii="Times New Roman" w:hAnsi="Times New Roman"/>
          <w:lang w:val="pt-BR"/>
        </w:rPr>
        <w:t xml:space="preserve"> de</w:t>
      </w:r>
      <w:r w:rsidR="00324384">
        <w:rPr>
          <w:rFonts w:ascii="Times New Roman" w:hAnsi="Times New Roman"/>
          <w:lang w:val="pt-BR"/>
        </w:rPr>
        <w:t xml:space="preserve"> azul para amarelo</w:t>
      </w:r>
      <w:r w:rsidR="000D130F">
        <w:rPr>
          <w:rFonts w:ascii="Times New Roman" w:hAnsi="Times New Roman"/>
          <w:lang w:val="pt-BR"/>
        </w:rPr>
        <w:t>. De fato, verifica-se, de acordo com a figura 3, que o aumento do teor de níquel na composição dos óxidos resulta em uma coloração mais amarelada.</w:t>
      </w:r>
      <w:r w:rsidR="00324384">
        <w:rPr>
          <w:rFonts w:ascii="Times New Roman" w:hAnsi="Times New Roman"/>
          <w:lang w:val="pt-BR"/>
        </w:rPr>
        <w:t xml:space="preserve"> </w:t>
      </w:r>
    </w:p>
    <w:p w14:paraId="5AFB45D0" w14:textId="1454EA97" w:rsidR="00324384" w:rsidRDefault="00324384" w:rsidP="00EA4E1B">
      <w:pPr>
        <w:pStyle w:val="TAMainText"/>
        <w:ind w:firstLine="187"/>
        <w:rPr>
          <w:rFonts w:ascii="Times New Roman" w:hAnsi="Times New Roman"/>
          <w:lang w:val="pt-BR"/>
        </w:rPr>
      </w:pPr>
    </w:p>
    <w:p w14:paraId="7FE0F3BD" w14:textId="7D6C684D" w:rsidR="002343A3" w:rsidRPr="00E038AF" w:rsidRDefault="002343A3" w:rsidP="002343A3">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Resultados da análise de colorimetria das </w:t>
      </w:r>
      <w:r w:rsidR="00972269">
        <w:rPr>
          <w:rFonts w:ascii="Times New Roman" w:hAnsi="Times New Roman"/>
          <w:lang w:val="pt-BR"/>
        </w:rPr>
        <w:t>amostras.</w:t>
      </w:r>
    </w:p>
    <w:tbl>
      <w:tblPr>
        <w:tblStyle w:val="Tabelacomgrade"/>
        <w:tblW w:w="0" w:type="auto"/>
        <w:tblLook w:val="04A0" w:firstRow="1" w:lastRow="0" w:firstColumn="1" w:lastColumn="0" w:noHBand="0" w:noVBand="1"/>
      </w:tblPr>
      <w:tblGrid>
        <w:gridCol w:w="1378"/>
        <w:gridCol w:w="1152"/>
        <w:gridCol w:w="1076"/>
        <w:gridCol w:w="1152"/>
      </w:tblGrid>
      <w:tr w:rsidR="002343A3" w:rsidRPr="000B35E7" w14:paraId="328E06E6" w14:textId="77777777" w:rsidTr="00EC631E">
        <w:tc>
          <w:tcPr>
            <w:tcW w:w="2407" w:type="dxa"/>
          </w:tcPr>
          <w:p w14:paraId="684312B7" w14:textId="77777777" w:rsidR="002343A3" w:rsidRPr="000B35E7" w:rsidRDefault="002343A3" w:rsidP="00EC631E">
            <w:pPr>
              <w:pStyle w:val="Corpotexto"/>
              <w:ind w:firstLine="0"/>
              <w:jc w:val="center"/>
              <w:rPr>
                <w:b/>
                <w:bCs/>
                <w:szCs w:val="22"/>
              </w:rPr>
            </w:pPr>
            <w:r w:rsidRPr="000B35E7">
              <w:rPr>
                <w:b/>
                <w:bCs/>
                <w:szCs w:val="22"/>
              </w:rPr>
              <w:t>Amostra</w:t>
            </w:r>
          </w:p>
        </w:tc>
        <w:tc>
          <w:tcPr>
            <w:tcW w:w="2407" w:type="dxa"/>
          </w:tcPr>
          <w:p w14:paraId="7031F183" w14:textId="77777777" w:rsidR="002343A3" w:rsidRPr="000B35E7" w:rsidRDefault="002343A3" w:rsidP="00EC631E">
            <w:pPr>
              <w:pStyle w:val="Corpotexto"/>
              <w:ind w:firstLine="0"/>
              <w:jc w:val="center"/>
              <w:rPr>
                <w:b/>
                <w:bCs/>
                <w:szCs w:val="22"/>
              </w:rPr>
            </w:pPr>
            <w:r w:rsidRPr="000B35E7">
              <w:rPr>
                <w:b/>
                <w:bCs/>
                <w:szCs w:val="22"/>
              </w:rPr>
              <w:t>L*</w:t>
            </w:r>
          </w:p>
        </w:tc>
        <w:tc>
          <w:tcPr>
            <w:tcW w:w="2407" w:type="dxa"/>
          </w:tcPr>
          <w:p w14:paraId="470B122B" w14:textId="77777777" w:rsidR="002343A3" w:rsidRPr="000B35E7" w:rsidRDefault="002343A3" w:rsidP="00EC631E">
            <w:pPr>
              <w:pStyle w:val="Corpotexto"/>
              <w:ind w:firstLine="0"/>
              <w:jc w:val="center"/>
              <w:rPr>
                <w:b/>
                <w:bCs/>
                <w:szCs w:val="22"/>
              </w:rPr>
            </w:pPr>
            <w:r w:rsidRPr="000B35E7">
              <w:rPr>
                <w:b/>
                <w:bCs/>
                <w:szCs w:val="22"/>
              </w:rPr>
              <w:t>a*</w:t>
            </w:r>
          </w:p>
        </w:tc>
        <w:tc>
          <w:tcPr>
            <w:tcW w:w="2407" w:type="dxa"/>
          </w:tcPr>
          <w:p w14:paraId="0EC4E4E6" w14:textId="77777777" w:rsidR="002343A3" w:rsidRPr="000B35E7" w:rsidRDefault="002343A3" w:rsidP="00EC631E">
            <w:pPr>
              <w:pStyle w:val="Corpotexto"/>
              <w:ind w:firstLine="0"/>
              <w:jc w:val="center"/>
              <w:rPr>
                <w:b/>
                <w:bCs/>
                <w:szCs w:val="22"/>
              </w:rPr>
            </w:pPr>
            <w:r w:rsidRPr="000B35E7">
              <w:rPr>
                <w:b/>
                <w:bCs/>
                <w:szCs w:val="22"/>
              </w:rPr>
              <w:t>b*</w:t>
            </w:r>
          </w:p>
        </w:tc>
      </w:tr>
      <w:tr w:rsidR="002343A3" w:rsidRPr="000B35E7" w14:paraId="037C6097" w14:textId="77777777" w:rsidTr="00EC631E">
        <w:tc>
          <w:tcPr>
            <w:tcW w:w="2407" w:type="dxa"/>
          </w:tcPr>
          <w:p w14:paraId="0DAB7A01" w14:textId="77777777" w:rsidR="002343A3" w:rsidRPr="000B35E7" w:rsidRDefault="002343A3" w:rsidP="00EC631E">
            <w:pPr>
              <w:pStyle w:val="Corpotexto"/>
              <w:ind w:firstLine="0"/>
              <w:jc w:val="center"/>
              <w:rPr>
                <w:szCs w:val="22"/>
              </w:rPr>
            </w:pPr>
            <w:r w:rsidRPr="000B35E7">
              <w:rPr>
                <w:szCs w:val="22"/>
              </w:rPr>
              <w:t>TN0</w:t>
            </w:r>
          </w:p>
        </w:tc>
        <w:tc>
          <w:tcPr>
            <w:tcW w:w="2407" w:type="dxa"/>
          </w:tcPr>
          <w:p w14:paraId="067420AE" w14:textId="77777777" w:rsidR="002343A3" w:rsidRPr="000B35E7" w:rsidRDefault="002343A3" w:rsidP="00EC631E">
            <w:pPr>
              <w:pStyle w:val="Corpotexto"/>
              <w:ind w:firstLine="0"/>
              <w:jc w:val="center"/>
              <w:rPr>
                <w:szCs w:val="22"/>
              </w:rPr>
            </w:pPr>
            <w:r w:rsidRPr="000B35E7">
              <w:rPr>
                <w:szCs w:val="22"/>
              </w:rPr>
              <w:t>89,65</w:t>
            </w:r>
          </w:p>
        </w:tc>
        <w:tc>
          <w:tcPr>
            <w:tcW w:w="2407" w:type="dxa"/>
          </w:tcPr>
          <w:p w14:paraId="30165C0C" w14:textId="77777777" w:rsidR="002343A3" w:rsidRPr="000B35E7" w:rsidRDefault="002343A3" w:rsidP="00EC631E">
            <w:pPr>
              <w:pStyle w:val="Corpotexto"/>
              <w:ind w:firstLine="0"/>
              <w:jc w:val="center"/>
              <w:rPr>
                <w:szCs w:val="22"/>
              </w:rPr>
            </w:pPr>
            <w:r w:rsidRPr="000B35E7">
              <w:rPr>
                <w:szCs w:val="22"/>
              </w:rPr>
              <w:t>0,08</w:t>
            </w:r>
          </w:p>
        </w:tc>
        <w:tc>
          <w:tcPr>
            <w:tcW w:w="2407" w:type="dxa"/>
          </w:tcPr>
          <w:p w14:paraId="64D611F9" w14:textId="77777777" w:rsidR="002343A3" w:rsidRPr="000B35E7" w:rsidRDefault="002343A3" w:rsidP="00EC631E">
            <w:pPr>
              <w:pStyle w:val="Corpotexto"/>
              <w:ind w:firstLine="0"/>
              <w:jc w:val="center"/>
              <w:rPr>
                <w:szCs w:val="22"/>
              </w:rPr>
            </w:pPr>
            <w:r w:rsidRPr="000B35E7">
              <w:rPr>
                <w:szCs w:val="22"/>
              </w:rPr>
              <w:t>8,74</w:t>
            </w:r>
          </w:p>
        </w:tc>
      </w:tr>
      <w:tr w:rsidR="002343A3" w:rsidRPr="000B35E7" w14:paraId="1AC4FEC4" w14:textId="77777777" w:rsidTr="00EC631E">
        <w:tc>
          <w:tcPr>
            <w:tcW w:w="2407" w:type="dxa"/>
          </w:tcPr>
          <w:p w14:paraId="5592403E" w14:textId="38FAF3B3" w:rsidR="002343A3" w:rsidRPr="000B35E7" w:rsidRDefault="002343A3" w:rsidP="00EC631E">
            <w:pPr>
              <w:pStyle w:val="Corpotexto"/>
              <w:ind w:firstLine="0"/>
              <w:jc w:val="center"/>
              <w:rPr>
                <w:szCs w:val="22"/>
              </w:rPr>
            </w:pPr>
            <w:r w:rsidRPr="000B35E7">
              <w:rPr>
                <w:szCs w:val="22"/>
              </w:rPr>
              <w:t>TN0,1</w:t>
            </w:r>
          </w:p>
        </w:tc>
        <w:tc>
          <w:tcPr>
            <w:tcW w:w="2407" w:type="dxa"/>
          </w:tcPr>
          <w:p w14:paraId="66B77DFC" w14:textId="77777777" w:rsidR="002343A3" w:rsidRPr="000B35E7" w:rsidRDefault="002343A3" w:rsidP="00EC631E">
            <w:pPr>
              <w:pStyle w:val="Corpotexto"/>
              <w:ind w:firstLine="0"/>
              <w:jc w:val="center"/>
              <w:rPr>
                <w:szCs w:val="22"/>
              </w:rPr>
            </w:pPr>
            <w:r w:rsidRPr="000B35E7">
              <w:rPr>
                <w:szCs w:val="22"/>
              </w:rPr>
              <w:t>88,84</w:t>
            </w:r>
          </w:p>
        </w:tc>
        <w:tc>
          <w:tcPr>
            <w:tcW w:w="2407" w:type="dxa"/>
          </w:tcPr>
          <w:p w14:paraId="2869293B" w14:textId="77777777" w:rsidR="002343A3" w:rsidRPr="000B35E7" w:rsidRDefault="002343A3" w:rsidP="00EC631E">
            <w:pPr>
              <w:pStyle w:val="Corpotexto"/>
              <w:ind w:firstLine="0"/>
              <w:jc w:val="center"/>
              <w:rPr>
                <w:szCs w:val="22"/>
              </w:rPr>
            </w:pPr>
            <w:r w:rsidRPr="000B35E7">
              <w:rPr>
                <w:szCs w:val="22"/>
              </w:rPr>
              <w:t>-0,63</w:t>
            </w:r>
          </w:p>
        </w:tc>
        <w:tc>
          <w:tcPr>
            <w:tcW w:w="2407" w:type="dxa"/>
          </w:tcPr>
          <w:p w14:paraId="655F7980" w14:textId="77777777" w:rsidR="002343A3" w:rsidRPr="000B35E7" w:rsidRDefault="002343A3" w:rsidP="00EC631E">
            <w:pPr>
              <w:pStyle w:val="Corpotexto"/>
              <w:ind w:firstLine="0"/>
              <w:jc w:val="center"/>
              <w:rPr>
                <w:szCs w:val="22"/>
              </w:rPr>
            </w:pPr>
            <w:r w:rsidRPr="000B35E7">
              <w:rPr>
                <w:szCs w:val="22"/>
              </w:rPr>
              <w:t>13,02</w:t>
            </w:r>
          </w:p>
        </w:tc>
      </w:tr>
      <w:tr w:rsidR="002343A3" w:rsidRPr="000B35E7" w14:paraId="777F59C4" w14:textId="77777777" w:rsidTr="00EC631E">
        <w:tc>
          <w:tcPr>
            <w:tcW w:w="2407" w:type="dxa"/>
          </w:tcPr>
          <w:p w14:paraId="126E61D3" w14:textId="114FD5DA" w:rsidR="002343A3" w:rsidRPr="000B35E7" w:rsidRDefault="002343A3" w:rsidP="00EC631E">
            <w:pPr>
              <w:pStyle w:val="Corpotexto"/>
              <w:ind w:firstLine="0"/>
              <w:jc w:val="center"/>
              <w:rPr>
                <w:szCs w:val="22"/>
              </w:rPr>
            </w:pPr>
            <w:r w:rsidRPr="000B35E7">
              <w:rPr>
                <w:szCs w:val="22"/>
              </w:rPr>
              <w:t>TN1</w:t>
            </w:r>
          </w:p>
        </w:tc>
        <w:tc>
          <w:tcPr>
            <w:tcW w:w="2407" w:type="dxa"/>
          </w:tcPr>
          <w:p w14:paraId="2FAB8D1B" w14:textId="77777777" w:rsidR="002343A3" w:rsidRPr="000B35E7" w:rsidRDefault="002343A3" w:rsidP="00EC631E">
            <w:pPr>
              <w:pStyle w:val="Corpotexto"/>
              <w:ind w:firstLine="0"/>
              <w:jc w:val="center"/>
              <w:rPr>
                <w:szCs w:val="22"/>
              </w:rPr>
            </w:pPr>
            <w:r w:rsidRPr="000B35E7">
              <w:rPr>
                <w:szCs w:val="22"/>
              </w:rPr>
              <w:t>85,26</w:t>
            </w:r>
          </w:p>
        </w:tc>
        <w:tc>
          <w:tcPr>
            <w:tcW w:w="2407" w:type="dxa"/>
          </w:tcPr>
          <w:p w14:paraId="63511A26" w14:textId="77777777" w:rsidR="002343A3" w:rsidRPr="000B35E7" w:rsidRDefault="002343A3" w:rsidP="00EC631E">
            <w:pPr>
              <w:pStyle w:val="Corpotexto"/>
              <w:ind w:firstLine="0"/>
              <w:jc w:val="center"/>
              <w:rPr>
                <w:szCs w:val="22"/>
              </w:rPr>
            </w:pPr>
            <w:r w:rsidRPr="000B35E7">
              <w:rPr>
                <w:szCs w:val="22"/>
              </w:rPr>
              <w:t>-0,33</w:t>
            </w:r>
          </w:p>
        </w:tc>
        <w:tc>
          <w:tcPr>
            <w:tcW w:w="2407" w:type="dxa"/>
          </w:tcPr>
          <w:p w14:paraId="39651FBD" w14:textId="77777777" w:rsidR="002343A3" w:rsidRPr="000B35E7" w:rsidRDefault="002343A3" w:rsidP="00EC631E">
            <w:pPr>
              <w:pStyle w:val="Corpotexto"/>
              <w:ind w:firstLine="0"/>
              <w:jc w:val="center"/>
              <w:rPr>
                <w:szCs w:val="22"/>
              </w:rPr>
            </w:pPr>
            <w:r w:rsidRPr="000B35E7">
              <w:rPr>
                <w:szCs w:val="22"/>
              </w:rPr>
              <w:t>16,17</w:t>
            </w:r>
          </w:p>
        </w:tc>
      </w:tr>
      <w:tr w:rsidR="002343A3" w:rsidRPr="000B35E7" w14:paraId="47A6E488" w14:textId="77777777" w:rsidTr="00EC631E">
        <w:tc>
          <w:tcPr>
            <w:tcW w:w="2407" w:type="dxa"/>
          </w:tcPr>
          <w:p w14:paraId="6BA3B8AD" w14:textId="7F5004ED" w:rsidR="002343A3" w:rsidRPr="000B35E7" w:rsidRDefault="002343A3" w:rsidP="00EC631E">
            <w:pPr>
              <w:pStyle w:val="Corpotexto"/>
              <w:ind w:firstLine="0"/>
              <w:jc w:val="center"/>
              <w:rPr>
                <w:szCs w:val="22"/>
              </w:rPr>
            </w:pPr>
            <w:r w:rsidRPr="000B35E7">
              <w:rPr>
                <w:szCs w:val="22"/>
              </w:rPr>
              <w:t>TN5</w:t>
            </w:r>
          </w:p>
        </w:tc>
        <w:tc>
          <w:tcPr>
            <w:tcW w:w="2407" w:type="dxa"/>
          </w:tcPr>
          <w:p w14:paraId="02F0A416" w14:textId="77777777" w:rsidR="002343A3" w:rsidRPr="000B35E7" w:rsidRDefault="002343A3" w:rsidP="00EC631E">
            <w:pPr>
              <w:pStyle w:val="Corpotexto"/>
              <w:ind w:firstLine="0"/>
              <w:jc w:val="center"/>
              <w:rPr>
                <w:szCs w:val="22"/>
              </w:rPr>
            </w:pPr>
            <w:r w:rsidRPr="000B35E7">
              <w:rPr>
                <w:szCs w:val="22"/>
              </w:rPr>
              <w:t>83,78</w:t>
            </w:r>
          </w:p>
        </w:tc>
        <w:tc>
          <w:tcPr>
            <w:tcW w:w="2407" w:type="dxa"/>
          </w:tcPr>
          <w:p w14:paraId="64D38E5F" w14:textId="77777777" w:rsidR="002343A3" w:rsidRPr="000B35E7" w:rsidRDefault="002343A3" w:rsidP="00EC631E">
            <w:pPr>
              <w:pStyle w:val="Corpotexto"/>
              <w:ind w:firstLine="0"/>
              <w:jc w:val="center"/>
              <w:rPr>
                <w:szCs w:val="22"/>
              </w:rPr>
            </w:pPr>
            <w:r w:rsidRPr="000B35E7">
              <w:rPr>
                <w:szCs w:val="22"/>
              </w:rPr>
              <w:t>-1,88</w:t>
            </w:r>
          </w:p>
        </w:tc>
        <w:tc>
          <w:tcPr>
            <w:tcW w:w="2407" w:type="dxa"/>
          </w:tcPr>
          <w:p w14:paraId="2309BD10" w14:textId="77777777" w:rsidR="002343A3" w:rsidRPr="000B35E7" w:rsidRDefault="002343A3" w:rsidP="00EC631E">
            <w:pPr>
              <w:pStyle w:val="Corpotexto"/>
              <w:ind w:firstLine="0"/>
              <w:jc w:val="center"/>
              <w:rPr>
                <w:szCs w:val="22"/>
              </w:rPr>
            </w:pPr>
            <w:r w:rsidRPr="000B35E7">
              <w:rPr>
                <w:szCs w:val="22"/>
              </w:rPr>
              <w:t>27,91</w:t>
            </w:r>
          </w:p>
        </w:tc>
      </w:tr>
      <w:tr w:rsidR="002343A3" w:rsidRPr="000B35E7" w14:paraId="40487BA1" w14:textId="77777777" w:rsidTr="00EC631E">
        <w:tc>
          <w:tcPr>
            <w:tcW w:w="2407" w:type="dxa"/>
          </w:tcPr>
          <w:p w14:paraId="689A0773" w14:textId="41F1D14A" w:rsidR="002343A3" w:rsidRPr="000B35E7" w:rsidRDefault="002343A3" w:rsidP="00EC631E">
            <w:pPr>
              <w:pStyle w:val="Corpotexto"/>
              <w:ind w:firstLine="0"/>
              <w:jc w:val="center"/>
              <w:rPr>
                <w:szCs w:val="22"/>
              </w:rPr>
            </w:pPr>
            <w:r w:rsidRPr="000B35E7">
              <w:rPr>
                <w:szCs w:val="22"/>
              </w:rPr>
              <w:t>TN1</w:t>
            </w:r>
            <w:r w:rsidR="000D130F">
              <w:rPr>
                <w:szCs w:val="22"/>
              </w:rPr>
              <w:t>0</w:t>
            </w:r>
          </w:p>
        </w:tc>
        <w:tc>
          <w:tcPr>
            <w:tcW w:w="2407" w:type="dxa"/>
          </w:tcPr>
          <w:p w14:paraId="781CC301" w14:textId="77777777" w:rsidR="002343A3" w:rsidRPr="000B35E7" w:rsidRDefault="002343A3" w:rsidP="00EC631E">
            <w:pPr>
              <w:pStyle w:val="Corpotexto"/>
              <w:ind w:firstLine="0"/>
              <w:jc w:val="center"/>
              <w:rPr>
                <w:szCs w:val="22"/>
              </w:rPr>
            </w:pPr>
            <w:r w:rsidRPr="000B35E7">
              <w:rPr>
                <w:szCs w:val="22"/>
              </w:rPr>
              <w:t>83,77</w:t>
            </w:r>
          </w:p>
        </w:tc>
        <w:tc>
          <w:tcPr>
            <w:tcW w:w="2407" w:type="dxa"/>
          </w:tcPr>
          <w:p w14:paraId="027203B7" w14:textId="77777777" w:rsidR="002343A3" w:rsidRPr="000B35E7" w:rsidRDefault="002343A3" w:rsidP="00EC631E">
            <w:pPr>
              <w:pStyle w:val="Corpotexto"/>
              <w:ind w:firstLine="0"/>
              <w:jc w:val="center"/>
              <w:rPr>
                <w:szCs w:val="22"/>
              </w:rPr>
            </w:pPr>
            <w:r w:rsidRPr="000B35E7">
              <w:rPr>
                <w:szCs w:val="22"/>
              </w:rPr>
              <w:t>-2,25</w:t>
            </w:r>
          </w:p>
        </w:tc>
        <w:tc>
          <w:tcPr>
            <w:tcW w:w="2407" w:type="dxa"/>
          </w:tcPr>
          <w:p w14:paraId="6B052AD1" w14:textId="77777777" w:rsidR="002343A3" w:rsidRPr="000B35E7" w:rsidRDefault="002343A3" w:rsidP="00EC631E">
            <w:pPr>
              <w:pStyle w:val="Corpotexto"/>
              <w:ind w:firstLine="0"/>
              <w:jc w:val="center"/>
              <w:rPr>
                <w:szCs w:val="22"/>
              </w:rPr>
            </w:pPr>
            <w:r w:rsidRPr="000B35E7">
              <w:rPr>
                <w:szCs w:val="22"/>
              </w:rPr>
              <w:t>32,39</w:t>
            </w:r>
          </w:p>
        </w:tc>
      </w:tr>
    </w:tbl>
    <w:p w14:paraId="18B8567C" w14:textId="77777777" w:rsidR="002343A3" w:rsidRDefault="002343A3" w:rsidP="00EA4E1B">
      <w:pPr>
        <w:pStyle w:val="TAMainText"/>
        <w:ind w:firstLine="187"/>
        <w:rPr>
          <w:rFonts w:ascii="Times New Roman" w:hAnsi="Times New Roman"/>
          <w:lang w:val="pt-BR"/>
        </w:rPr>
      </w:pPr>
    </w:p>
    <w:p w14:paraId="3126EF23" w14:textId="77777777" w:rsidR="00324384" w:rsidRDefault="00324384" w:rsidP="00EA4E1B">
      <w:pPr>
        <w:pStyle w:val="TAMainText"/>
        <w:ind w:firstLine="187"/>
        <w:rPr>
          <w:rFonts w:ascii="Times New Roman" w:hAnsi="Times New Roman"/>
          <w:lang w:val="pt-BR"/>
        </w:rPr>
      </w:pPr>
    </w:p>
    <w:p w14:paraId="42A64DAB" w14:textId="2198C9CC" w:rsidR="00324384" w:rsidRPr="002343A3" w:rsidRDefault="002343A3" w:rsidP="002343A3">
      <w:pPr>
        <w:rPr>
          <w:lang w:eastAsia="pt-BR"/>
        </w:rPr>
      </w:pPr>
      <w:r>
        <w:rPr>
          <w:noProof/>
          <w:lang w:eastAsia="pt-BR"/>
        </w:rPr>
        <w:drawing>
          <wp:inline distT="0" distB="0" distL="0" distR="0" wp14:anchorId="19E0C8E5" wp14:editId="3C55BF89">
            <wp:extent cx="3121660" cy="908685"/>
            <wp:effectExtent l="0" t="0" r="254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1660" cy="908685"/>
                    </a:xfrm>
                    <a:prstGeom prst="rect">
                      <a:avLst/>
                    </a:prstGeom>
                    <a:noFill/>
                  </pic:spPr>
                </pic:pic>
              </a:graphicData>
            </a:graphic>
          </wp:inline>
        </w:drawing>
      </w:r>
      <w:r w:rsidR="00324384">
        <w:rPr>
          <w:rFonts w:ascii="Times New Roman" w:hAnsi="Times New Roman"/>
        </w:rPr>
        <w:t xml:space="preserve"> </w:t>
      </w:r>
    </w:p>
    <w:p w14:paraId="30508A78" w14:textId="379146B4" w:rsidR="000D130F" w:rsidRPr="002343A3" w:rsidRDefault="000D130F" w:rsidP="000D130F">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Fotografias dos óxidos Ni-TiO</w:t>
      </w:r>
      <w:r>
        <w:rPr>
          <w:rFonts w:ascii="Times New Roman" w:hAnsi="Times New Roman"/>
          <w:vertAlign w:val="subscript"/>
          <w:lang w:val="pt-BR"/>
        </w:rPr>
        <w:t>2</w:t>
      </w:r>
      <w:r>
        <w:rPr>
          <w:rFonts w:ascii="Times New Roman" w:hAnsi="Times New Roman"/>
          <w:lang w:val="pt-BR"/>
        </w:rPr>
        <w:t>. O aumento do teor de níquel ocorre da esquerda para a direita</w:t>
      </w:r>
      <w:r w:rsidR="00972269">
        <w:rPr>
          <w:rFonts w:ascii="Times New Roman" w:hAnsi="Times New Roman"/>
          <w:lang w:val="pt-BR"/>
        </w:rPr>
        <w:t>.</w:t>
      </w:r>
      <w:r>
        <w:rPr>
          <w:rFonts w:ascii="Times New Roman" w:hAnsi="Times New Roman"/>
          <w:lang w:val="pt-BR"/>
        </w:rPr>
        <w:t xml:space="preserve"> </w:t>
      </w:r>
    </w:p>
    <w:p w14:paraId="2FCEB15B" w14:textId="77777777" w:rsidR="002343A3" w:rsidRDefault="002343A3" w:rsidP="00EA4E1B">
      <w:pPr>
        <w:pStyle w:val="TAMainText"/>
        <w:ind w:firstLine="187"/>
        <w:rPr>
          <w:rFonts w:ascii="Times New Roman" w:hAnsi="Times New Roman"/>
          <w:lang w:val="pt-BR"/>
        </w:rPr>
      </w:pPr>
    </w:p>
    <w:p w14:paraId="42AC6A92" w14:textId="1A7C1C89" w:rsidR="00324384" w:rsidRPr="00FB2DC5" w:rsidRDefault="00324384" w:rsidP="00324384">
      <w:pPr>
        <w:pStyle w:val="TAMainText"/>
        <w:ind w:firstLine="0"/>
        <w:rPr>
          <w:rFonts w:ascii="Times New Roman" w:hAnsi="Times New Roman"/>
          <w:i/>
          <w:lang w:val="pt-BR"/>
        </w:rPr>
      </w:pPr>
      <w:r>
        <w:rPr>
          <w:rFonts w:ascii="Times New Roman" w:hAnsi="Times New Roman"/>
          <w:lang w:val="pt-BR"/>
        </w:rPr>
        <w:t xml:space="preserve"> </w:t>
      </w:r>
      <w:r>
        <w:rPr>
          <w:rFonts w:ascii="Times New Roman" w:hAnsi="Times New Roman"/>
          <w:i/>
          <w:lang w:val="pt-BR"/>
        </w:rPr>
        <w:t xml:space="preserve">Testes fotocatalíticos e fotolíticos </w:t>
      </w:r>
    </w:p>
    <w:p w14:paraId="7ABAEA3B" w14:textId="06304C88" w:rsidR="00676B3A" w:rsidRDefault="00D41C25" w:rsidP="00EA4E1B">
      <w:pPr>
        <w:pStyle w:val="TAMainText"/>
        <w:ind w:firstLine="187"/>
        <w:rPr>
          <w:rFonts w:ascii="Times New Roman" w:hAnsi="Times New Roman"/>
          <w:lang w:val="pt-BR"/>
        </w:rPr>
      </w:pPr>
      <w:r>
        <w:rPr>
          <w:rFonts w:ascii="Times New Roman" w:hAnsi="Times New Roman"/>
          <w:lang w:val="pt-BR"/>
        </w:rPr>
        <w:t xml:space="preserve">A figura </w:t>
      </w:r>
      <w:r w:rsidR="005276E8">
        <w:rPr>
          <w:rFonts w:ascii="Times New Roman" w:hAnsi="Times New Roman"/>
          <w:lang w:val="pt-BR"/>
        </w:rPr>
        <w:t>4</w:t>
      </w:r>
      <w:r>
        <w:rPr>
          <w:rFonts w:ascii="Times New Roman" w:hAnsi="Times New Roman"/>
          <w:lang w:val="pt-BR"/>
        </w:rPr>
        <w:t xml:space="preserve"> </w:t>
      </w:r>
      <w:r w:rsidR="000D130F">
        <w:rPr>
          <w:rFonts w:ascii="Times New Roman" w:hAnsi="Times New Roman"/>
          <w:lang w:val="pt-BR"/>
        </w:rPr>
        <w:t>a</w:t>
      </w:r>
      <w:r w:rsidR="00DA31AF">
        <w:rPr>
          <w:rFonts w:ascii="Times New Roman" w:hAnsi="Times New Roman"/>
          <w:lang w:val="pt-BR"/>
        </w:rPr>
        <w:t>presenta os resultados dos testes de degradação do corante têxtil am</w:t>
      </w:r>
      <w:r w:rsidR="006A3307">
        <w:rPr>
          <w:rFonts w:ascii="Times New Roman" w:hAnsi="Times New Roman"/>
          <w:lang w:val="pt-BR"/>
        </w:rPr>
        <w:t>arelo reativo BF-4G, empregando</w:t>
      </w:r>
      <w:r w:rsidR="00DA31AF">
        <w:rPr>
          <w:rFonts w:ascii="Times New Roman" w:hAnsi="Times New Roman"/>
          <w:lang w:val="pt-BR"/>
        </w:rPr>
        <w:t xml:space="preserve"> os óxidos Ni-TiO</w:t>
      </w:r>
      <w:r w:rsidR="00DA31AF">
        <w:rPr>
          <w:rFonts w:ascii="Times New Roman" w:hAnsi="Times New Roman"/>
          <w:vertAlign w:val="subscript"/>
          <w:lang w:val="pt-BR"/>
        </w:rPr>
        <w:t>2</w:t>
      </w:r>
      <w:r w:rsidR="00DA31AF">
        <w:rPr>
          <w:rFonts w:ascii="Times New Roman" w:hAnsi="Times New Roman"/>
          <w:lang w:val="pt-BR"/>
        </w:rPr>
        <w:t xml:space="preserve"> como fotocatalisadores</w:t>
      </w:r>
      <w:r w:rsidR="000D130F">
        <w:rPr>
          <w:rFonts w:ascii="Times New Roman" w:hAnsi="Times New Roman"/>
          <w:lang w:val="pt-BR"/>
        </w:rPr>
        <w:t xml:space="preserve"> sob radiação UV</w:t>
      </w:r>
      <w:r w:rsidR="00DA31AF">
        <w:rPr>
          <w:rFonts w:ascii="Times New Roman" w:hAnsi="Times New Roman"/>
          <w:lang w:val="pt-BR"/>
        </w:rPr>
        <w:t xml:space="preserve">. </w:t>
      </w:r>
      <w:r w:rsidR="00676B3A" w:rsidRPr="00676B3A">
        <w:rPr>
          <w:rFonts w:ascii="Times New Roman" w:hAnsi="Times New Roman"/>
          <w:lang w:val="pt-BR"/>
        </w:rPr>
        <w:t xml:space="preserve">A </w:t>
      </w:r>
      <w:r w:rsidR="005009F4">
        <w:rPr>
          <w:rFonts w:ascii="Times New Roman" w:hAnsi="Times New Roman"/>
          <w:lang w:val="pt-BR"/>
        </w:rPr>
        <w:t>f</w:t>
      </w:r>
      <w:r w:rsidR="00676B3A" w:rsidRPr="00676B3A">
        <w:rPr>
          <w:rFonts w:ascii="Times New Roman" w:hAnsi="Times New Roman"/>
          <w:lang w:val="pt-BR"/>
        </w:rPr>
        <w:t xml:space="preserve">igura </w:t>
      </w:r>
      <w:r w:rsidR="005276E8">
        <w:rPr>
          <w:rFonts w:ascii="Times New Roman" w:hAnsi="Times New Roman"/>
          <w:lang w:val="pt-BR"/>
        </w:rPr>
        <w:t>4</w:t>
      </w:r>
      <w:r w:rsidR="00676B3A" w:rsidRPr="00676B3A">
        <w:rPr>
          <w:rFonts w:ascii="Times New Roman" w:hAnsi="Times New Roman"/>
          <w:lang w:val="pt-BR"/>
        </w:rPr>
        <w:t>(a) mostra a variação na intensidade das bandas de absorção do corante têxtil ao longo do tratamento fotocatalítico. Verifica-se a redução d</w:t>
      </w:r>
      <w:r w:rsidR="005009F4">
        <w:rPr>
          <w:rFonts w:ascii="Times New Roman" w:hAnsi="Times New Roman"/>
          <w:lang w:val="pt-BR"/>
        </w:rPr>
        <w:t>a intensidade de</w:t>
      </w:r>
      <w:r w:rsidR="00676B3A" w:rsidRPr="00676B3A">
        <w:rPr>
          <w:rFonts w:ascii="Times New Roman" w:hAnsi="Times New Roman"/>
          <w:lang w:val="pt-BR"/>
        </w:rPr>
        <w:t xml:space="preserve"> todas as bandas de absorção, o que indica que o processo é eficaz para a degradação do composto. A coloração das alíquotas retiradas do meio reacional varia de um amarelo intenso a transparente à medida que o processo de tratamento avança. </w:t>
      </w:r>
    </w:p>
    <w:p w14:paraId="5286FF5A" w14:textId="152D370E" w:rsidR="00221BDF" w:rsidRDefault="00676B3A" w:rsidP="00EA4E1B">
      <w:pPr>
        <w:pStyle w:val="TAMainText"/>
        <w:ind w:firstLine="187"/>
        <w:rPr>
          <w:rFonts w:ascii="Times New Roman" w:hAnsi="Times New Roman"/>
          <w:lang w:val="pt-BR"/>
        </w:rPr>
      </w:pPr>
      <w:r w:rsidRPr="00676B3A">
        <w:rPr>
          <w:rFonts w:ascii="Times New Roman" w:hAnsi="Times New Roman"/>
          <w:lang w:val="pt-BR"/>
        </w:rPr>
        <w:t xml:space="preserve">A </w:t>
      </w:r>
      <w:r w:rsidR="005009F4">
        <w:rPr>
          <w:rFonts w:ascii="Times New Roman" w:hAnsi="Times New Roman"/>
          <w:lang w:val="pt-BR"/>
        </w:rPr>
        <w:t>f</w:t>
      </w:r>
      <w:r w:rsidRPr="00676B3A">
        <w:rPr>
          <w:rFonts w:ascii="Times New Roman" w:hAnsi="Times New Roman"/>
          <w:lang w:val="pt-BR"/>
        </w:rPr>
        <w:t xml:space="preserve">igura </w:t>
      </w:r>
      <w:r w:rsidR="006A3307">
        <w:rPr>
          <w:rFonts w:ascii="Times New Roman" w:hAnsi="Times New Roman"/>
          <w:lang w:val="pt-BR"/>
        </w:rPr>
        <w:t>4</w:t>
      </w:r>
      <w:r w:rsidRPr="00676B3A">
        <w:rPr>
          <w:rFonts w:ascii="Times New Roman" w:hAnsi="Times New Roman"/>
          <w:lang w:val="pt-BR"/>
        </w:rPr>
        <w:t xml:space="preserve">(b) compara o desempenho dos óxidos na </w:t>
      </w:r>
      <w:r w:rsidR="005009F4">
        <w:rPr>
          <w:rFonts w:ascii="Times New Roman" w:hAnsi="Times New Roman"/>
          <w:lang w:val="pt-BR"/>
        </w:rPr>
        <w:t>degrada</w:t>
      </w:r>
      <w:r w:rsidRPr="00676B3A">
        <w:rPr>
          <w:rFonts w:ascii="Times New Roman" w:hAnsi="Times New Roman"/>
          <w:lang w:val="pt-BR"/>
        </w:rPr>
        <w:t>ção do corante. É possível verificar que o processo de adsorção foi capaz de remover uma parcela significativa do corante da solução, com destaque para a amostra TN10, capaz de a</w:t>
      </w:r>
      <w:r w:rsidR="005009F4">
        <w:rPr>
          <w:rFonts w:ascii="Times New Roman" w:hAnsi="Times New Roman"/>
          <w:lang w:val="pt-BR"/>
        </w:rPr>
        <w:t>d</w:t>
      </w:r>
      <w:r w:rsidRPr="00676B3A">
        <w:rPr>
          <w:rFonts w:ascii="Times New Roman" w:hAnsi="Times New Roman"/>
          <w:lang w:val="pt-BR"/>
        </w:rPr>
        <w:t>sorver 30% do corante após 60 min. A amostra que menos adsorveu o corante durante esse período de tempo foi o TiO</w:t>
      </w:r>
      <w:r w:rsidRPr="003D2EC2">
        <w:rPr>
          <w:rFonts w:ascii="Times New Roman" w:hAnsi="Times New Roman"/>
          <w:vertAlign w:val="subscript"/>
          <w:lang w:val="pt-BR"/>
        </w:rPr>
        <w:t>2</w:t>
      </w:r>
      <w:r w:rsidRPr="00676B3A">
        <w:rPr>
          <w:rFonts w:ascii="Times New Roman" w:hAnsi="Times New Roman"/>
          <w:lang w:val="pt-BR"/>
        </w:rPr>
        <w:t xml:space="preserve"> não dopado com níquel (TN0), com apenas 15% de remoção, o que revela que a incorporação de níquel é uma estratégia eficiente para aumentar a remoção de corante por meio da </w:t>
      </w:r>
      <w:r w:rsidRPr="006A02EC">
        <w:rPr>
          <w:rFonts w:ascii="Times New Roman" w:hAnsi="Times New Roman"/>
          <w:lang w:val="pt-BR"/>
        </w:rPr>
        <w:t xml:space="preserve">adsorção. Durante os 30 min iniciais de fotocatálise, obteve destaque a amostra TN1, com uma remoção de corante de 75,3%, ao passo que, nesse período de tempo, a remoção de corante por fotólise e pela amostra TN10 alcançaram valores de 70,4 e 68,8%, respectivamente. Essa melhor atuação da amostra TN1 pode indicar um teor adequado de dopante já que é </w:t>
      </w:r>
      <w:r w:rsidR="003D2EC2" w:rsidRPr="006A02EC">
        <w:rPr>
          <w:rFonts w:ascii="Times New Roman" w:hAnsi="Times New Roman"/>
          <w:lang w:val="pt-BR"/>
        </w:rPr>
        <w:t>de conhecimento</w:t>
      </w:r>
      <w:r w:rsidRPr="006A02EC">
        <w:rPr>
          <w:rFonts w:ascii="Times New Roman" w:hAnsi="Times New Roman"/>
          <w:lang w:val="pt-BR"/>
        </w:rPr>
        <w:t xml:space="preserve"> que baixos</w:t>
      </w:r>
      <w:r w:rsidRPr="00676B3A">
        <w:rPr>
          <w:rFonts w:ascii="Times New Roman" w:hAnsi="Times New Roman"/>
          <w:lang w:val="pt-BR"/>
        </w:rPr>
        <w:t xml:space="preserve"> teores de dopante, em geral, melhoram o desempenho </w:t>
      </w:r>
      <w:r w:rsidRPr="00676B3A">
        <w:rPr>
          <w:rFonts w:ascii="Times New Roman" w:hAnsi="Times New Roman"/>
          <w:lang w:val="pt-BR"/>
        </w:rPr>
        <w:lastRenderedPageBreak/>
        <w:t>fotocatalítico uma vez que criam novos níveis energéticos, o que retarda a recombinação dos pares e</w:t>
      </w:r>
      <w:r w:rsidRPr="005009F4">
        <w:rPr>
          <w:rFonts w:ascii="Times New Roman" w:hAnsi="Times New Roman"/>
          <w:vertAlign w:val="superscript"/>
          <w:lang w:val="pt-BR"/>
        </w:rPr>
        <w:t>-</w:t>
      </w:r>
      <w:r w:rsidRPr="00676B3A">
        <w:rPr>
          <w:rFonts w:ascii="Times New Roman" w:hAnsi="Times New Roman"/>
          <w:lang w:val="pt-BR"/>
        </w:rPr>
        <w:t>/h</w:t>
      </w:r>
      <w:r w:rsidRPr="005009F4">
        <w:rPr>
          <w:rFonts w:ascii="Times New Roman" w:hAnsi="Times New Roman"/>
          <w:vertAlign w:val="superscript"/>
          <w:lang w:val="pt-BR"/>
        </w:rPr>
        <w:t>+</w:t>
      </w:r>
      <w:r w:rsidRPr="00676B3A">
        <w:rPr>
          <w:rFonts w:ascii="Times New Roman" w:hAnsi="Times New Roman"/>
          <w:lang w:val="pt-BR"/>
        </w:rPr>
        <w:t xml:space="preserve">. Valores muito elevados de dopante, por outro lado, podem gerar centros de recombinação dessas cargas, diminuindo a atividade fotocatalítica. Após 90 min de degradação fotocatalítica, por outro lado, verifica-se que as menores eficiências de degradação do corante foram observadas para as amostras TN10 (90,8%) e TN5 (95,1%). A fotólise e a fotocatálise com a amostra TN1 resultaram no mesmo valor de </w:t>
      </w:r>
      <w:r w:rsidR="005009F4">
        <w:rPr>
          <w:rFonts w:ascii="Times New Roman" w:hAnsi="Times New Roman"/>
          <w:lang w:val="pt-BR"/>
        </w:rPr>
        <w:t>degradação</w:t>
      </w:r>
      <w:r w:rsidRPr="00676B3A">
        <w:rPr>
          <w:rFonts w:ascii="Times New Roman" w:hAnsi="Times New Roman"/>
          <w:lang w:val="pt-BR"/>
        </w:rPr>
        <w:t xml:space="preserve"> do corante (96,1%). Os maiores valores de degradação foram registrados para as amostras TN0 (97,9%) e TN0,1 (96,5%). </w:t>
      </w:r>
    </w:p>
    <w:p w14:paraId="0980E54F" w14:textId="3D549BA4" w:rsidR="005276E8" w:rsidRPr="005276E8" w:rsidRDefault="006A3307" w:rsidP="005276E8">
      <w:pPr>
        <w:rPr>
          <w:lang w:eastAsia="pt-BR"/>
        </w:rPr>
      </w:pPr>
      <w:r>
        <w:rPr>
          <w:rFonts w:ascii="Times New Roman" w:hAnsi="Times New Roman"/>
          <w:noProof/>
          <w:sz w:val="24"/>
          <w:szCs w:val="24"/>
          <w:lang w:eastAsia="pt-BR"/>
        </w:rPr>
        <mc:AlternateContent>
          <mc:Choice Requires="wps">
            <w:drawing>
              <wp:anchor distT="0" distB="0" distL="114300" distR="114300" simplePos="0" relativeHeight="251670527" behindDoc="0" locked="0" layoutInCell="1" allowOverlap="1" wp14:anchorId="50395817" wp14:editId="63D1469F">
                <wp:simplePos x="0" y="0"/>
                <wp:positionH relativeFrom="column">
                  <wp:posOffset>184785</wp:posOffset>
                </wp:positionH>
                <wp:positionV relativeFrom="paragraph">
                  <wp:posOffset>242570</wp:posOffset>
                </wp:positionV>
                <wp:extent cx="337185" cy="227965"/>
                <wp:effectExtent l="0" t="0" r="0" b="635"/>
                <wp:wrapNone/>
                <wp:docPr id="17" name="Caixa de Texto 17"/>
                <wp:cNvGraphicFramePr/>
                <a:graphic xmlns:a="http://schemas.openxmlformats.org/drawingml/2006/main">
                  <a:graphicData uri="http://schemas.microsoft.com/office/word/2010/wordprocessingShape">
                    <wps:wsp>
                      <wps:cNvSpPr txBox="1"/>
                      <wps:spPr>
                        <a:xfrm>
                          <a:off x="0" y="0"/>
                          <a:ext cx="337185"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5447F" w14:textId="77777777" w:rsidR="005276E8" w:rsidRDefault="005276E8" w:rsidP="005276E8">
                            <w:pPr>
                              <w:jc w:val="cente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95817" id="Caixa de Texto 17" o:spid="_x0000_s1032" type="#_x0000_t202" style="position:absolute;margin-left:14.55pt;margin-top:19.1pt;width:26.55pt;height:17.95pt;z-index:251670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" filled="f" stroked="f" strokeweight=".5pt">
                <v:textbox>
                  <w:txbxContent>
                    <w:p w14:paraId="42F5447F" w14:textId="77777777" w:rsidR="005276E8" w:rsidRDefault="005276E8" w:rsidP="005276E8">
                      <w:pPr>
                        <w:jc w:val="cente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p>
    <w:p w14:paraId="40F7510F" w14:textId="4129FC7D" w:rsidR="002343A3" w:rsidRDefault="006A3307" w:rsidP="002343A3">
      <w:pPr>
        <w:jc w:val="center"/>
        <w:rPr>
          <w:rFonts w:ascii="Times New Roman" w:hAnsi="Times New Roman" w:cs="Times New Roman"/>
        </w:rPr>
      </w:pPr>
      <w:r>
        <w:rPr>
          <w:rFonts w:ascii="Times New Roman" w:hAnsi="Times New Roman"/>
          <w:noProof/>
          <w:sz w:val="24"/>
          <w:szCs w:val="24"/>
          <w:lang w:eastAsia="pt-BR"/>
        </w:rPr>
        <mc:AlternateContent>
          <mc:Choice Requires="wps">
            <w:drawing>
              <wp:anchor distT="0" distB="0" distL="114300" distR="114300" simplePos="0" relativeHeight="251672575" behindDoc="0" locked="0" layoutInCell="1" allowOverlap="1" wp14:anchorId="18512CB8" wp14:editId="0E9AE090">
                <wp:simplePos x="0" y="0"/>
                <wp:positionH relativeFrom="column">
                  <wp:posOffset>140970</wp:posOffset>
                </wp:positionH>
                <wp:positionV relativeFrom="paragraph">
                  <wp:posOffset>1946275</wp:posOffset>
                </wp:positionV>
                <wp:extent cx="381000" cy="227965"/>
                <wp:effectExtent l="0" t="0" r="0" b="635"/>
                <wp:wrapNone/>
                <wp:docPr id="19" name="Caixa de Texto 19"/>
                <wp:cNvGraphicFramePr/>
                <a:graphic xmlns:a="http://schemas.openxmlformats.org/drawingml/2006/main">
                  <a:graphicData uri="http://schemas.microsoft.com/office/word/2010/wordprocessingShape">
                    <wps:wsp>
                      <wps:cNvSpPr txBox="1"/>
                      <wps:spPr>
                        <a:xfrm>
                          <a:off x="0" y="0"/>
                          <a:ext cx="381000"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2D4011" w14:textId="77777777" w:rsidR="005276E8" w:rsidRDefault="005276E8" w:rsidP="005276E8">
                            <w:pPr>
                              <w:jc w:val="cente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12CB8" id="Caixa de Texto 19" o:spid="_x0000_s1033" type="#_x0000_t202" style="position:absolute;left:0;text-align:left;margin-left:11.1pt;margin-top:153.25pt;width:30pt;height:17.9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" filled="f" stroked="f" strokeweight=".5pt">
                <v:textbox>
                  <w:txbxContent>
                    <w:p w14:paraId="7D2D4011" w14:textId="77777777" w:rsidR="005276E8" w:rsidRDefault="005276E8" w:rsidP="005276E8">
                      <w:pPr>
                        <w:jc w:val="cente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sidR="002343A3">
        <w:rPr>
          <w:rFonts w:ascii="Times New Roman" w:hAnsi="Times New Roman" w:cs="Times New Roman"/>
          <w:noProof/>
          <w:lang w:eastAsia="pt-BR"/>
        </w:rPr>
        <w:drawing>
          <wp:inline distT="0" distB="0" distL="0" distR="0" wp14:anchorId="76CEAB8A" wp14:editId="71306609">
            <wp:extent cx="2334895" cy="1987550"/>
            <wp:effectExtent l="0" t="0" r="825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4895" cy="1987550"/>
                    </a:xfrm>
                    <a:prstGeom prst="rect">
                      <a:avLst/>
                    </a:prstGeom>
                    <a:noFill/>
                  </pic:spPr>
                </pic:pic>
              </a:graphicData>
            </a:graphic>
          </wp:inline>
        </w:drawing>
      </w:r>
    </w:p>
    <w:p w14:paraId="42B3BC01" w14:textId="3B36D22E" w:rsidR="005276E8" w:rsidRDefault="005276E8" w:rsidP="002343A3">
      <w:pPr>
        <w:jc w:val="center"/>
        <w:rPr>
          <w:rFonts w:ascii="Times New Roman" w:hAnsi="Times New Roman" w:cs="Times New Roman"/>
        </w:rPr>
      </w:pPr>
      <w:r>
        <w:rPr>
          <w:rFonts w:ascii="Times New Roman" w:hAnsi="Times New Roman" w:cs="Times New Roman"/>
          <w:noProof/>
          <w:lang w:eastAsia="pt-BR"/>
        </w:rPr>
        <w:drawing>
          <wp:inline distT="0" distB="0" distL="0" distR="0" wp14:anchorId="35573FB4" wp14:editId="6077CF01">
            <wp:extent cx="2432685" cy="1975485"/>
            <wp:effectExtent l="0" t="0" r="5715" b="571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2685" cy="1975485"/>
                    </a:xfrm>
                    <a:prstGeom prst="rect">
                      <a:avLst/>
                    </a:prstGeom>
                    <a:noFill/>
                  </pic:spPr>
                </pic:pic>
              </a:graphicData>
            </a:graphic>
          </wp:inline>
        </w:drawing>
      </w:r>
    </w:p>
    <w:p w14:paraId="4BACAB9B" w14:textId="5E5203DF" w:rsidR="005009F4" w:rsidRDefault="005009F4" w:rsidP="006A3307">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Pr="002343A3">
        <w:rPr>
          <w:rFonts w:ascii="Times New Roman" w:hAnsi="Times New Roman"/>
          <w:lang w:val="pt-BR"/>
        </w:rPr>
        <w:t>(a) Variação dos espectros de absorção do corante têxtil amarelo reativo BF-4G ao longo do processo de tratamento, (b) Remoção do corante por meio dos processos fotolíticos e adsortivos-fotocatalíticos empregando os óxidos Ni-TiO</w:t>
      </w:r>
      <w:r w:rsidRPr="003D2EC2">
        <w:rPr>
          <w:rFonts w:ascii="Times New Roman" w:hAnsi="Times New Roman"/>
          <w:vertAlign w:val="subscript"/>
          <w:lang w:val="pt-BR"/>
        </w:rPr>
        <w:t>2</w:t>
      </w:r>
      <w:r w:rsidRPr="002343A3">
        <w:rPr>
          <w:rFonts w:ascii="Times New Roman" w:hAnsi="Times New Roman"/>
          <w:lang w:val="pt-BR"/>
        </w:rPr>
        <w:t>.</w:t>
      </w:r>
      <w:r>
        <w:rPr>
          <w:rFonts w:ascii="Times New Roman" w:hAnsi="Times New Roman"/>
          <w:lang w:val="pt-BR"/>
        </w:rPr>
        <w:t xml:space="preserve"> </w:t>
      </w:r>
    </w:p>
    <w:p w14:paraId="456D1109" w14:textId="3A40480E" w:rsidR="005276E8" w:rsidRPr="006D10AB" w:rsidRDefault="005276E8" w:rsidP="005276E8">
      <w:pPr>
        <w:pStyle w:val="TAMainText"/>
        <w:ind w:firstLine="187"/>
        <w:rPr>
          <w:rFonts w:ascii="Times New Roman" w:hAnsi="Times New Roman"/>
          <w:sz w:val="18"/>
          <w:szCs w:val="18"/>
          <w:lang w:val="pt-BR"/>
        </w:rPr>
      </w:pPr>
    </w:p>
    <w:p w14:paraId="602BB284" w14:textId="191A89E5" w:rsidR="007512D7" w:rsidRDefault="005009F4" w:rsidP="005276E8">
      <w:pPr>
        <w:pStyle w:val="TAMainText"/>
        <w:ind w:firstLine="187"/>
        <w:rPr>
          <w:rFonts w:ascii="Times New Roman" w:hAnsi="Times New Roman"/>
          <w:lang w:val="pt-BR"/>
        </w:rPr>
      </w:pPr>
      <w:r>
        <w:rPr>
          <w:rFonts w:ascii="Times New Roman" w:hAnsi="Times New Roman"/>
          <w:lang w:val="pt-BR"/>
        </w:rPr>
        <w:t>A figura 5 apresenta, por sua vez, os resultados dos testes de degradação do corante têxtil am</w:t>
      </w:r>
      <w:r w:rsidR="000B73A3">
        <w:rPr>
          <w:rFonts w:ascii="Times New Roman" w:hAnsi="Times New Roman"/>
          <w:lang w:val="pt-BR"/>
        </w:rPr>
        <w:t>arelo reativo BF-4G, empregando</w:t>
      </w:r>
      <w:r>
        <w:rPr>
          <w:rFonts w:ascii="Times New Roman" w:hAnsi="Times New Roman"/>
          <w:lang w:val="pt-BR"/>
        </w:rPr>
        <w:t xml:space="preserve"> os óxidos Ni-TiO</w:t>
      </w:r>
      <w:r>
        <w:rPr>
          <w:rFonts w:ascii="Times New Roman" w:hAnsi="Times New Roman"/>
          <w:vertAlign w:val="subscript"/>
          <w:lang w:val="pt-BR"/>
        </w:rPr>
        <w:t>2</w:t>
      </w:r>
      <w:r>
        <w:rPr>
          <w:rFonts w:ascii="Times New Roman" w:hAnsi="Times New Roman"/>
          <w:lang w:val="pt-BR"/>
        </w:rPr>
        <w:t xml:space="preserve"> como fotocatalisadores sob radiação visível. Observa-se que, nesse caso, a fotólise não foi capaz de degradar o contaminante. Mais uma vez, a amostra TN10 se destacou como adsorvente, sendo capaz de </w:t>
      </w:r>
      <w:r w:rsidR="000B73A3">
        <w:rPr>
          <w:rFonts w:ascii="Times New Roman" w:hAnsi="Times New Roman"/>
          <w:lang w:val="pt-BR"/>
        </w:rPr>
        <w:t>reduzir</w:t>
      </w:r>
      <w:r>
        <w:rPr>
          <w:rFonts w:ascii="Times New Roman" w:hAnsi="Times New Roman"/>
          <w:lang w:val="pt-BR"/>
        </w:rPr>
        <w:t xml:space="preserve">, por adsorção, cerca de 20% da concentração do corante. Também foi essa amostra que mais degradou o </w:t>
      </w:r>
      <w:r>
        <w:rPr>
          <w:rFonts w:ascii="Times New Roman" w:hAnsi="Times New Roman"/>
          <w:lang w:val="pt-BR"/>
        </w:rPr>
        <w:lastRenderedPageBreak/>
        <w:t>corante nas primeiras 2 h de fotoc</w:t>
      </w:r>
      <w:r w:rsidR="007512D7">
        <w:rPr>
          <w:rFonts w:ascii="Times New Roman" w:hAnsi="Times New Roman"/>
          <w:lang w:val="pt-BR"/>
        </w:rPr>
        <w:t>a</w:t>
      </w:r>
      <w:r>
        <w:rPr>
          <w:rFonts w:ascii="Times New Roman" w:hAnsi="Times New Roman"/>
          <w:lang w:val="pt-BR"/>
        </w:rPr>
        <w:t xml:space="preserve">tálise, eliminando </w:t>
      </w:r>
      <w:r w:rsidR="007512D7">
        <w:rPr>
          <w:rFonts w:ascii="Times New Roman" w:hAnsi="Times New Roman"/>
          <w:lang w:val="pt-BR"/>
        </w:rPr>
        <w:t>32% do composto. No entanto, a extensão do tempo de tratamento levou a um novo protagonista, a amostra TN0, que removeu do meio reacional 44% do corante.</w:t>
      </w:r>
    </w:p>
    <w:p w14:paraId="58E11262" w14:textId="77777777" w:rsidR="007512D7" w:rsidRDefault="007512D7" w:rsidP="005276E8">
      <w:pPr>
        <w:pStyle w:val="TAMainText"/>
        <w:ind w:firstLine="187"/>
        <w:rPr>
          <w:rFonts w:ascii="Times New Roman" w:hAnsi="Times New Roman"/>
          <w:lang w:val="pt-BR"/>
        </w:rPr>
      </w:pPr>
    </w:p>
    <w:p w14:paraId="6F80792A" w14:textId="429E7D96" w:rsidR="007512D7" w:rsidRDefault="007512D7" w:rsidP="007512D7">
      <w:pPr>
        <w:jc w:val="center"/>
        <w:rPr>
          <w:rFonts w:ascii="Times New Roman" w:hAnsi="Times New Roman" w:cs="Times New Roman"/>
        </w:rPr>
      </w:pPr>
      <w:r>
        <w:rPr>
          <w:noProof/>
          <w:lang w:eastAsia="pt-BR"/>
        </w:rPr>
        <w:drawing>
          <wp:inline distT="0" distB="0" distL="0" distR="0" wp14:anchorId="5544B550" wp14:editId="47ECA563">
            <wp:extent cx="2707640" cy="2184400"/>
            <wp:effectExtent l="0" t="0" r="0" b="0"/>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pic:cNvPicPr>
                  </pic:nvPicPr>
                  <pic:blipFill rotWithShape="1">
                    <a:blip r:embed="rId16">
                      <a:extLst>
                        <a:ext uri="{28A0092B-C50C-407E-A947-70E740481C1C}">
                          <a14:useLocalDpi xmlns:a14="http://schemas.microsoft.com/office/drawing/2010/main" val="0"/>
                        </a:ext>
                      </a:extLst>
                    </a:blip>
                    <a:srcRect l="7135" t="9294" r="11646" b="5345"/>
                    <a:stretch/>
                  </pic:blipFill>
                  <pic:spPr bwMode="auto">
                    <a:xfrm>
                      <a:off x="0" y="0"/>
                      <a:ext cx="2707640" cy="2184400"/>
                    </a:xfrm>
                    <a:prstGeom prst="rect">
                      <a:avLst/>
                    </a:prstGeom>
                    <a:noFill/>
                    <a:ln>
                      <a:noFill/>
                    </a:ln>
                    <a:extLst>
                      <a:ext uri="{53640926-AAD7-44D8-BBD7-CCE9431645EC}">
                        <a14:shadowObscured xmlns:a14="http://schemas.microsoft.com/office/drawing/2010/main"/>
                      </a:ext>
                    </a:extLst>
                  </pic:spPr>
                </pic:pic>
              </a:graphicData>
            </a:graphic>
          </wp:inline>
        </w:drawing>
      </w:r>
    </w:p>
    <w:p w14:paraId="499E93C3" w14:textId="77777777" w:rsidR="007512D7" w:rsidRDefault="007512D7" w:rsidP="007512D7">
      <w:pPr>
        <w:pStyle w:val="VAFigureCaption"/>
        <w:spacing w:before="0"/>
        <w:rPr>
          <w:rFonts w:ascii="Times New Roman" w:hAnsi="Times New Roman"/>
          <w:lang w:val="pt-BR"/>
        </w:rPr>
      </w:pPr>
      <w:r>
        <w:rPr>
          <w:rFonts w:ascii="Times New Roman" w:hAnsi="Times New Roman"/>
          <w:b/>
          <w:lang w:val="pt-BR"/>
        </w:rPr>
        <w:t>Figura 5.</w:t>
      </w:r>
      <w:r>
        <w:rPr>
          <w:rFonts w:ascii="Times New Roman" w:hAnsi="Times New Roman"/>
          <w:lang w:val="pt-BR"/>
        </w:rPr>
        <w:t xml:space="preserve"> Degradação fotocatalítica do corante amarelo reativo BF-4G empregando os óxidos Ni-TiO</w:t>
      </w:r>
      <w:r>
        <w:rPr>
          <w:rFonts w:ascii="Times New Roman" w:hAnsi="Times New Roman"/>
          <w:vertAlign w:val="subscript"/>
          <w:lang w:val="pt-BR"/>
        </w:rPr>
        <w:t>2</w:t>
      </w:r>
      <w:r>
        <w:rPr>
          <w:rFonts w:ascii="Times New Roman" w:hAnsi="Times New Roman"/>
          <w:lang w:val="pt-BR"/>
        </w:rPr>
        <w:t xml:space="preserve"> sob radiação visível. </w:t>
      </w:r>
    </w:p>
    <w:p w14:paraId="642B13CF" w14:textId="77777777" w:rsidR="007512D7" w:rsidRPr="007512D7" w:rsidRDefault="007512D7" w:rsidP="007512D7">
      <w:pPr>
        <w:jc w:val="both"/>
        <w:rPr>
          <w:rFonts w:ascii="Times New Roman" w:hAnsi="Times New Roman" w:cs="Times New Roman"/>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3884DBBC" w:rsidR="00EA4E1B" w:rsidRDefault="00C52665" w:rsidP="00EA4E1B">
      <w:pPr>
        <w:pStyle w:val="TAMainText"/>
        <w:ind w:firstLine="187"/>
        <w:rPr>
          <w:rFonts w:ascii="Times New Roman" w:hAnsi="Times New Roman"/>
          <w:lang w:val="pt-BR"/>
        </w:rPr>
      </w:pPr>
      <w:r w:rsidRPr="00C52665">
        <w:rPr>
          <w:rFonts w:ascii="Times New Roman" w:hAnsi="Times New Roman"/>
          <w:lang w:val="pt-BR"/>
        </w:rPr>
        <w:t>A inserção de níquel modificou as propriedades estruturais e consequentemente a atividade fotocatalítica do TiO</w:t>
      </w:r>
      <w:r w:rsidRPr="003D2EC2">
        <w:rPr>
          <w:rFonts w:ascii="Times New Roman" w:hAnsi="Times New Roman"/>
          <w:vertAlign w:val="subscript"/>
          <w:lang w:val="pt-BR"/>
        </w:rPr>
        <w:t>2</w:t>
      </w:r>
      <w:r w:rsidRPr="00C52665">
        <w:rPr>
          <w:rFonts w:ascii="Times New Roman" w:hAnsi="Times New Roman"/>
          <w:lang w:val="pt-BR"/>
        </w:rPr>
        <w:t>. A inserção de teores entre 0,1% e 1% de níquel levou à estabilização da fase anatase, dificultando a sua transição a rutilo, a fase termodinamicamente mais estável do TiO</w:t>
      </w:r>
      <w:r w:rsidRPr="003D2EC2">
        <w:rPr>
          <w:rFonts w:ascii="Times New Roman" w:hAnsi="Times New Roman"/>
          <w:vertAlign w:val="subscript"/>
          <w:lang w:val="pt-BR"/>
        </w:rPr>
        <w:t>2</w:t>
      </w:r>
      <w:r w:rsidRPr="00C52665">
        <w:rPr>
          <w:rFonts w:ascii="Times New Roman" w:hAnsi="Times New Roman"/>
          <w:lang w:val="pt-BR"/>
        </w:rPr>
        <w:t>, o que pode explicar, ao menos parcialmente</w:t>
      </w:r>
      <w:r w:rsidR="004A4B98">
        <w:rPr>
          <w:rFonts w:ascii="Times New Roman" w:hAnsi="Times New Roman"/>
          <w:lang w:val="pt-BR"/>
        </w:rPr>
        <w:t>,</w:t>
      </w:r>
      <w:r w:rsidRPr="00C52665">
        <w:rPr>
          <w:rFonts w:ascii="Times New Roman" w:hAnsi="Times New Roman"/>
          <w:lang w:val="pt-BR"/>
        </w:rPr>
        <w:t xml:space="preserve"> a excelente atividade fotocatalítica dos óxidos TN0,1 e TN1 principalmente nos primeiros 30 min de fotocatálise </w:t>
      </w:r>
      <w:r w:rsidR="007512D7">
        <w:rPr>
          <w:rFonts w:ascii="Times New Roman" w:hAnsi="Times New Roman"/>
          <w:lang w:val="pt-BR"/>
        </w:rPr>
        <w:t xml:space="preserve">sob radiação UV </w:t>
      </w:r>
      <w:r w:rsidRPr="00C52665">
        <w:rPr>
          <w:rFonts w:ascii="Times New Roman" w:hAnsi="Times New Roman"/>
          <w:lang w:val="pt-BR"/>
        </w:rPr>
        <w:t>visto que, de acordo com a literatura, a fase anatase é fotocataliticamente mais ativa. Ademais, teores reduzidos de dopante dificultam a recombinação dos pares e</w:t>
      </w:r>
      <w:r w:rsidRPr="007512D7">
        <w:rPr>
          <w:rFonts w:ascii="Times New Roman" w:hAnsi="Times New Roman"/>
          <w:vertAlign w:val="superscript"/>
          <w:lang w:val="pt-BR"/>
        </w:rPr>
        <w:t>-</w:t>
      </w:r>
      <w:r w:rsidRPr="00C52665">
        <w:rPr>
          <w:rFonts w:ascii="Times New Roman" w:hAnsi="Times New Roman"/>
          <w:lang w:val="pt-BR"/>
        </w:rPr>
        <w:t>/h</w:t>
      </w:r>
      <w:r w:rsidRPr="007512D7">
        <w:rPr>
          <w:rFonts w:ascii="Times New Roman" w:hAnsi="Times New Roman"/>
          <w:vertAlign w:val="superscript"/>
          <w:lang w:val="pt-BR"/>
        </w:rPr>
        <w:t>+</w:t>
      </w:r>
      <w:r w:rsidRPr="00C52665">
        <w:rPr>
          <w:rFonts w:ascii="Times New Roman" w:hAnsi="Times New Roman"/>
          <w:lang w:val="pt-BR"/>
        </w:rPr>
        <w:t>, o que também pode explicar o desempenho fotocatalítico desses materiais. Teores de dopagem de níquel de 5 e 10% levaram à formação de uma fase adicional, NiTiO</w:t>
      </w:r>
      <w:r w:rsidRPr="003D2EC2">
        <w:rPr>
          <w:rFonts w:ascii="Times New Roman" w:hAnsi="Times New Roman"/>
          <w:vertAlign w:val="subscript"/>
          <w:lang w:val="pt-BR"/>
        </w:rPr>
        <w:t>3</w:t>
      </w:r>
      <w:r w:rsidRPr="00C52665">
        <w:rPr>
          <w:rFonts w:ascii="Times New Roman" w:hAnsi="Times New Roman"/>
          <w:lang w:val="pt-BR"/>
        </w:rPr>
        <w:t>, que possui uma cor amarelada, o que pode explicar a variação de cor das amostras no sentido do amarelo conforme o teor de níquel foi aumentado. A amostra TN10 se destacou na adsorção do corante, o que pode ser devido ao aumento da área superficial induzido pela incorporação do níquel.</w:t>
      </w:r>
      <w:r w:rsidR="007512D7">
        <w:rPr>
          <w:rFonts w:ascii="Times New Roman" w:hAnsi="Times New Roman"/>
          <w:lang w:val="pt-BR"/>
        </w:rPr>
        <w:t xml:space="preserve"> Sob radiação visível, a fotocatálise com a amostra TN10 teve destaque nas primeiras 2 h de tratamento, porém</w:t>
      </w:r>
      <w:r w:rsidR="004A4B98">
        <w:rPr>
          <w:rFonts w:ascii="Times New Roman" w:hAnsi="Times New Roman"/>
          <w:lang w:val="pt-BR"/>
        </w:rPr>
        <w:t>,</w:t>
      </w:r>
      <w:r w:rsidR="007512D7">
        <w:rPr>
          <w:rFonts w:ascii="Times New Roman" w:hAnsi="Times New Roman"/>
          <w:lang w:val="pt-BR"/>
        </w:rPr>
        <w:t xml:space="preserve"> em tempos maiores do processo fotocatalítico, a amostra TN0 se mostrou a mais ativa. </w:t>
      </w:r>
    </w:p>
    <w:p w14:paraId="6DCC7451" w14:textId="77777777" w:rsidR="00C52665" w:rsidRPr="001F25B2" w:rsidRDefault="00C52665" w:rsidP="00EA4E1B">
      <w:pPr>
        <w:pStyle w:val="TAMainText"/>
        <w:ind w:firstLine="187"/>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6F73AA50" w:rsidR="00EA4E1B" w:rsidRDefault="00F86C7F" w:rsidP="00EA4E1B">
      <w:pPr>
        <w:pStyle w:val="TAMainText"/>
        <w:rPr>
          <w:rFonts w:ascii="Times New Roman" w:hAnsi="Times New Roman"/>
          <w:lang w:val="pt-BR"/>
        </w:rPr>
      </w:pPr>
      <w:r w:rsidRPr="00F86C7F">
        <w:rPr>
          <w:rFonts w:ascii="Times New Roman" w:hAnsi="Times New Roman"/>
          <w:lang w:val="pt-BR"/>
        </w:rPr>
        <w:t>Os autores agradecem à Central de Análises da UTFPR campus Pato Branco pela realização das análises de caracterização dos materiais</w:t>
      </w:r>
      <w:r w:rsidR="007512D7">
        <w:rPr>
          <w:rFonts w:ascii="Times New Roman" w:hAnsi="Times New Roman"/>
          <w:lang w:val="pt-BR"/>
        </w:rPr>
        <w:t xml:space="preserve"> e ao Conselho Nacional de </w:t>
      </w:r>
      <w:r w:rsidR="007512D7">
        <w:rPr>
          <w:rFonts w:ascii="Times New Roman" w:hAnsi="Times New Roman"/>
          <w:lang w:val="pt-BR"/>
        </w:rPr>
        <w:lastRenderedPageBreak/>
        <w:t xml:space="preserve">Desenvolvimento Científico e Tecnológico (CNPq) pelo apoio financeiro por meio da Chamada MCTIC/CNPq </w:t>
      </w:r>
      <w:r w:rsidR="007512D7" w:rsidRPr="006D10AB">
        <w:rPr>
          <w:color w:val="000000"/>
          <w:lang w:val="pt-BR"/>
        </w:rPr>
        <w:t>nº28/2018-Universal Faixa A (Processo 436313/2018-9)</w:t>
      </w:r>
      <w:r w:rsidR="007512D7" w:rsidRPr="006D10AB">
        <w:rPr>
          <w:rFonts w:ascii="Times New Roman" w:hAnsi="Times New Roman"/>
          <w:lang w:val="pt-BR"/>
        </w:rPr>
        <w:t>.</w:t>
      </w:r>
    </w:p>
    <w:p w14:paraId="61368DB0" w14:textId="77777777" w:rsidR="00C52665" w:rsidRPr="001F25B2" w:rsidRDefault="00C52665" w:rsidP="00EA4E1B">
      <w:pPr>
        <w:pStyle w:val="TAMainText"/>
        <w:rPr>
          <w:rFonts w:ascii="Times New Roman" w:hAnsi="Times New Roman"/>
          <w:lang w:val="pt-BR"/>
        </w:rPr>
      </w:pPr>
    </w:p>
    <w:p w14:paraId="158D911D" w14:textId="0D8C9F08" w:rsidR="00EA4E1B" w:rsidRPr="00F86C7F" w:rsidRDefault="00EA4E1B" w:rsidP="00F86C7F">
      <w:pPr>
        <w:pStyle w:val="Ttulo2"/>
        <w:rPr>
          <w:rFonts w:ascii="Helvetica" w:hAnsi="Helvetica" w:cs="Helvetica"/>
          <w:sz w:val="24"/>
          <w:szCs w:val="24"/>
        </w:rPr>
      </w:pPr>
      <w:r w:rsidRPr="001F25B2">
        <w:rPr>
          <w:rFonts w:ascii="Helvetica" w:hAnsi="Helvetica" w:cs="Helvetica"/>
          <w:sz w:val="24"/>
          <w:szCs w:val="24"/>
        </w:rPr>
        <w:t>Referências</w:t>
      </w:r>
    </w:p>
    <w:p w14:paraId="4B8C9796" w14:textId="3FCFA33E" w:rsidR="00F86C7F" w:rsidRDefault="00F86C7F" w:rsidP="00EA4E1B">
      <w:pPr>
        <w:pStyle w:val="TAMainText"/>
        <w:numPr>
          <w:ilvl w:val="0"/>
          <w:numId w:val="1"/>
        </w:numPr>
        <w:rPr>
          <w:rFonts w:ascii="Times New Roman" w:hAnsi="Times New Roman"/>
          <w:lang w:val="pt-BR"/>
        </w:rPr>
      </w:pPr>
      <w:r w:rsidRPr="00F86C7F">
        <w:rPr>
          <w:lang w:val="pt-BR"/>
        </w:rPr>
        <w:t xml:space="preserve">ABREU, Cátia Rubina Freitas. </w:t>
      </w:r>
      <w:r w:rsidRPr="00F86C7F">
        <w:rPr>
          <w:i/>
          <w:iCs/>
          <w:lang w:val="pt-BR"/>
        </w:rPr>
        <w:t>Estudo das probabilidades da aplicação de fotocatálise em processos de produção têxtil: Aplicação de TiO</w:t>
      </w:r>
      <w:r w:rsidRPr="004A4B98">
        <w:rPr>
          <w:i/>
          <w:iCs/>
          <w:vertAlign w:val="subscript"/>
          <w:lang w:val="pt-BR"/>
        </w:rPr>
        <w:t>2</w:t>
      </w:r>
      <w:r w:rsidRPr="00F86C7F">
        <w:rPr>
          <w:i/>
          <w:iCs/>
          <w:lang w:val="pt-BR"/>
        </w:rPr>
        <w:t xml:space="preserve"> nanoestruturado dopado com metais de transição.</w:t>
      </w:r>
      <w:r w:rsidRPr="00F86C7F">
        <w:rPr>
          <w:lang w:val="pt-BR"/>
        </w:rPr>
        <w:t xml:space="preserve"> </w:t>
      </w:r>
      <w:r w:rsidRPr="00F86C7F">
        <w:rPr>
          <w:b/>
          <w:bCs/>
          <w:lang w:val="pt-BR"/>
        </w:rPr>
        <w:t>2008.</w:t>
      </w:r>
      <w:r w:rsidRPr="00F86C7F">
        <w:rPr>
          <w:lang w:val="pt-BR"/>
        </w:rPr>
        <w:t xml:space="preserve"> Tese (Mestre em química industrial).</w:t>
      </w:r>
      <w:r w:rsidRPr="00E038AF">
        <w:rPr>
          <w:rFonts w:ascii="Times New Roman" w:hAnsi="Times New Roman"/>
          <w:lang w:val="pt-BR"/>
        </w:rPr>
        <w:t xml:space="preserve"> </w:t>
      </w:r>
    </w:p>
    <w:p w14:paraId="3E1CCC6A" w14:textId="2199C76A" w:rsidR="00D66E11" w:rsidRDefault="00D66E11" w:rsidP="00D66E11">
      <w:pPr>
        <w:pStyle w:val="TAMainText"/>
        <w:numPr>
          <w:ilvl w:val="0"/>
          <w:numId w:val="1"/>
        </w:numPr>
        <w:rPr>
          <w:rFonts w:ascii="Times New Roman" w:hAnsi="Times New Roman"/>
          <w:lang w:val="pt-BR"/>
        </w:rPr>
      </w:pPr>
      <w:r w:rsidRPr="00F86C7F">
        <w:rPr>
          <w:rFonts w:ascii="Times New Roman" w:hAnsi="Times New Roman"/>
          <w:lang w:val="pt-BR"/>
        </w:rPr>
        <w:t xml:space="preserve">NOGUEIRA, Raquel F. P.; JARDIM, Wilson F. </w:t>
      </w:r>
      <w:r w:rsidRPr="00F86C7F">
        <w:rPr>
          <w:rFonts w:ascii="Times New Roman" w:hAnsi="Times New Roman"/>
          <w:i/>
          <w:iCs/>
          <w:lang w:val="pt-BR"/>
        </w:rPr>
        <w:t>A fotocatálise heterogênea e sua aplicação Ambiental.</w:t>
      </w:r>
      <w:r w:rsidRPr="00F86C7F">
        <w:rPr>
          <w:rFonts w:ascii="Times New Roman" w:hAnsi="Times New Roman"/>
          <w:lang w:val="pt-BR"/>
        </w:rPr>
        <w:t xml:space="preserve"> QUÍMICA NOVA., [s. l.], 4 jul. </w:t>
      </w:r>
      <w:r w:rsidRPr="00F86C7F">
        <w:rPr>
          <w:rFonts w:ascii="Times New Roman" w:hAnsi="Times New Roman"/>
          <w:b/>
          <w:bCs/>
          <w:lang w:val="pt-BR"/>
        </w:rPr>
        <w:t>1997</w:t>
      </w:r>
      <w:r w:rsidRPr="00F86C7F">
        <w:rPr>
          <w:rFonts w:ascii="Times New Roman" w:hAnsi="Times New Roman"/>
          <w:lang w:val="pt-BR"/>
        </w:rPr>
        <w:t xml:space="preserve">. Disponível em: </w:t>
      </w:r>
      <w:hyperlink r:id="rId17" w:history="1">
        <w:r w:rsidRPr="00183A26">
          <w:rPr>
            <w:rStyle w:val="Hyperlink"/>
            <w:rFonts w:ascii="Times New Roman" w:hAnsi="Times New Roman"/>
            <w:lang w:val="pt-BR"/>
          </w:rPr>
          <w:t>http://repositorio.unicamp.br/bitstream/REPOSIP/100477/1/2-s2.0-0002646271.pdf</w:t>
        </w:r>
      </w:hyperlink>
      <w:r w:rsidRPr="00F86C7F">
        <w:rPr>
          <w:rFonts w:ascii="Times New Roman" w:hAnsi="Times New Roman"/>
          <w:lang w:val="pt-BR"/>
        </w:rPr>
        <w:t>.</w:t>
      </w:r>
    </w:p>
    <w:p w14:paraId="2383E448" w14:textId="77777777" w:rsidR="00D66E11" w:rsidRPr="00F86C7F" w:rsidRDefault="00D66E11" w:rsidP="00D66E11">
      <w:pPr>
        <w:pStyle w:val="TAMainText"/>
        <w:numPr>
          <w:ilvl w:val="0"/>
          <w:numId w:val="1"/>
        </w:numPr>
        <w:rPr>
          <w:rFonts w:ascii="Times New Roman" w:hAnsi="Times New Roman"/>
          <w:lang w:val="pt-BR"/>
        </w:rPr>
      </w:pPr>
      <w:r w:rsidRPr="00F86C7F">
        <w:rPr>
          <w:rFonts w:ascii="Times New Roman" w:hAnsi="Times New Roman"/>
          <w:lang w:val="pt-BR"/>
        </w:rPr>
        <w:t xml:space="preserve">M. Fioreze, E. P. dos Santos, e N. Schmachtenberg. </w:t>
      </w:r>
      <w:r w:rsidRPr="00F86C7F">
        <w:rPr>
          <w:rFonts w:ascii="Times New Roman" w:hAnsi="Times New Roman"/>
          <w:i/>
          <w:iCs/>
          <w:lang w:val="pt-BR"/>
        </w:rPr>
        <w:t>Processos Oxidativos Avançados: Fundamentos e aplicação ambiental</w:t>
      </w:r>
      <w:r w:rsidRPr="00F86C7F">
        <w:rPr>
          <w:rFonts w:ascii="Times New Roman" w:hAnsi="Times New Roman"/>
          <w:lang w:val="pt-BR"/>
        </w:rPr>
        <w:t xml:space="preserve">. Rev. Eletrônica em Gestão, Educ. e Tecnol. Ambient., vol. 18, no 1, p. 79–91, abr. </w:t>
      </w:r>
      <w:r w:rsidRPr="00F86C7F">
        <w:rPr>
          <w:rFonts w:ascii="Times New Roman" w:hAnsi="Times New Roman"/>
          <w:b/>
          <w:bCs/>
          <w:lang w:val="pt-BR"/>
        </w:rPr>
        <w:t>2014.</w:t>
      </w:r>
    </w:p>
    <w:p w14:paraId="1BB65E10" w14:textId="7B280DDB" w:rsidR="00F86C7F" w:rsidRPr="00F86C7F" w:rsidRDefault="00F86C7F" w:rsidP="00EA4E1B">
      <w:pPr>
        <w:pStyle w:val="TAMainText"/>
        <w:numPr>
          <w:ilvl w:val="0"/>
          <w:numId w:val="1"/>
        </w:numPr>
        <w:rPr>
          <w:rFonts w:ascii="Times New Roman" w:hAnsi="Times New Roman"/>
          <w:lang w:val="pt-BR"/>
        </w:rPr>
      </w:pPr>
      <w:r w:rsidRPr="006D10AB">
        <w:rPr>
          <w:rFonts w:ascii="Times New Roman" w:hAnsi="Times New Roman"/>
          <w:lang w:val="es-ES"/>
        </w:rPr>
        <w:t xml:space="preserve">GANESH, Ibram, A. K. Gupta, P.P. Kumar. et al. </w:t>
      </w:r>
      <w:r w:rsidRPr="006D10AB">
        <w:rPr>
          <w:rFonts w:ascii="Times New Roman" w:hAnsi="Times New Roman"/>
          <w:i/>
          <w:iCs/>
        </w:rPr>
        <w:t>Preparation and Characterization of Ni-Doped TiO</w:t>
      </w:r>
      <w:bookmarkStart w:id="2" w:name="_GoBack"/>
      <w:r w:rsidRPr="004A4B98">
        <w:rPr>
          <w:rFonts w:ascii="Times New Roman" w:hAnsi="Times New Roman"/>
          <w:i/>
          <w:iCs/>
          <w:vertAlign w:val="subscript"/>
        </w:rPr>
        <w:t>2</w:t>
      </w:r>
      <w:bookmarkEnd w:id="2"/>
      <w:r w:rsidRPr="006D10AB">
        <w:rPr>
          <w:rFonts w:ascii="Times New Roman" w:hAnsi="Times New Roman"/>
          <w:i/>
          <w:iCs/>
        </w:rPr>
        <w:t xml:space="preserve"> Materials for Photocurrent and Photocatalytic Applications.</w:t>
      </w:r>
      <w:r w:rsidRPr="006D10AB">
        <w:rPr>
          <w:rFonts w:ascii="Times New Roman" w:hAnsi="Times New Roman"/>
        </w:rPr>
        <w:t xml:space="preserve"> </w:t>
      </w:r>
      <w:r w:rsidRPr="00F86C7F">
        <w:rPr>
          <w:rFonts w:ascii="Times New Roman" w:hAnsi="Times New Roman"/>
          <w:lang w:val="pt-BR"/>
        </w:rPr>
        <w:t xml:space="preserve">The scientific World Journal, </w:t>
      </w:r>
      <w:r w:rsidRPr="00F86C7F">
        <w:rPr>
          <w:rFonts w:ascii="Times New Roman" w:hAnsi="Times New Roman"/>
          <w:b/>
          <w:bCs/>
          <w:lang w:val="pt-BR"/>
        </w:rPr>
        <w:t>2012.</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B1AC6" w16cex:dateUtc="2023-05-26T14:47:00Z"/>
  <w16cex:commentExtensible w16cex:durableId="281B1AEB" w16cex:dateUtc="2023-05-26T14:47:00Z"/>
  <w16cex:commentExtensible w16cex:durableId="281CA28D" w16cex:dateUtc="2023-05-27T18:38:00Z"/>
  <w16cex:commentExtensible w16cex:durableId="281CA41B" w16cex:dateUtc="2023-05-27T18:45:00Z"/>
  <w16cex:commentExtensible w16cex:durableId="281CA43C" w16cex:dateUtc="2023-05-27T18:46:00Z"/>
  <w16cex:commentExtensible w16cex:durableId="281CA447" w16cex:dateUtc="2023-05-27T18:46:00Z"/>
  <w16cex:commentExtensible w16cex:durableId="281CA549" w16cex:dateUtc="2023-05-27T18:50:00Z"/>
  <w16cex:commentExtensible w16cex:durableId="281CA5F1" w16cex:dateUtc="2023-05-27T18:53:00Z"/>
  <w16cex:commentExtensible w16cex:durableId="281CA604" w16cex:dateUtc="2023-05-27T18:53:00Z"/>
  <w16cex:commentExtensible w16cex:durableId="281CA73B" w16cex:dateUtc="2023-05-27T18:58:00Z"/>
  <w16cex:commentExtensible w16cex:durableId="281CA8C0" w16cex:dateUtc="2023-05-27T19:05:00Z"/>
  <w16cex:commentExtensible w16cex:durableId="281CA94A" w16cex:dateUtc="2023-05-27T19:07:00Z"/>
  <w16cex:commentExtensible w16cex:durableId="281CAA18" w16cex:dateUtc="2023-05-27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03EFE5" w16cid:durableId="281B1AC6"/>
  <w16cid:commentId w16cid:paraId="7B39ADC5" w16cid:durableId="281B1AEB"/>
  <w16cid:commentId w16cid:paraId="545132EE" w16cid:durableId="281CA28D"/>
  <w16cid:commentId w16cid:paraId="613F152B" w16cid:durableId="281CA41B"/>
  <w16cid:commentId w16cid:paraId="018959B7" w16cid:durableId="281CA43C"/>
  <w16cid:commentId w16cid:paraId="67C29C75" w16cid:durableId="281CA447"/>
  <w16cid:commentId w16cid:paraId="3F361343" w16cid:durableId="281CA549"/>
  <w16cid:commentId w16cid:paraId="66AD6185" w16cid:durableId="281CA5F1"/>
  <w16cid:commentId w16cid:paraId="29EC95B0" w16cid:durableId="281CA604"/>
  <w16cid:commentId w16cid:paraId="3E0159BD" w16cid:durableId="281CA73B"/>
  <w16cid:commentId w16cid:paraId="234B9310" w16cid:durableId="281CA8C0"/>
  <w16cid:commentId w16cid:paraId="2563BF2E" w16cid:durableId="281CA94A"/>
  <w16cid:commentId w16cid:paraId="2688AA61" w16cid:durableId="281CAA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EA85D" w14:textId="77777777" w:rsidR="00DF4F51" w:rsidRDefault="00DF4F51" w:rsidP="00EA4E1B">
      <w:pPr>
        <w:spacing w:after="0" w:line="240" w:lineRule="auto"/>
      </w:pPr>
      <w:r>
        <w:separator/>
      </w:r>
    </w:p>
  </w:endnote>
  <w:endnote w:type="continuationSeparator" w:id="0">
    <w:p w14:paraId="7D6820AB" w14:textId="77777777" w:rsidR="00DF4F51" w:rsidRDefault="00DF4F5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B8411" w14:textId="77777777" w:rsidR="00DF4F51" w:rsidRDefault="00DF4F51" w:rsidP="00EA4E1B">
      <w:pPr>
        <w:spacing w:after="0" w:line="240" w:lineRule="auto"/>
      </w:pPr>
      <w:r>
        <w:separator/>
      </w:r>
    </w:p>
  </w:footnote>
  <w:footnote w:type="continuationSeparator" w:id="0">
    <w:p w14:paraId="047DBDAA" w14:textId="77777777" w:rsidR="00DF4F51" w:rsidRDefault="00DF4F51"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5B63"/>
    <w:rsid w:val="00061A72"/>
    <w:rsid w:val="000639B7"/>
    <w:rsid w:val="000668E6"/>
    <w:rsid w:val="00075388"/>
    <w:rsid w:val="000B73A3"/>
    <w:rsid w:val="000C1C98"/>
    <w:rsid w:val="000D130F"/>
    <w:rsid w:val="000F1D24"/>
    <w:rsid w:val="000F3A32"/>
    <w:rsid w:val="001362B5"/>
    <w:rsid w:val="00193EE4"/>
    <w:rsid w:val="001C22D4"/>
    <w:rsid w:val="001D273F"/>
    <w:rsid w:val="001E04E0"/>
    <w:rsid w:val="001E58A9"/>
    <w:rsid w:val="001F25B2"/>
    <w:rsid w:val="001F2924"/>
    <w:rsid w:val="001F60C3"/>
    <w:rsid w:val="00205C30"/>
    <w:rsid w:val="00213094"/>
    <w:rsid w:val="00213B07"/>
    <w:rsid w:val="002148EB"/>
    <w:rsid w:val="00221BDF"/>
    <w:rsid w:val="00222230"/>
    <w:rsid w:val="002343A3"/>
    <w:rsid w:val="002567CB"/>
    <w:rsid w:val="00280F4C"/>
    <w:rsid w:val="002932B0"/>
    <w:rsid w:val="00293EFF"/>
    <w:rsid w:val="0029466D"/>
    <w:rsid w:val="002D7F10"/>
    <w:rsid w:val="002E33EA"/>
    <w:rsid w:val="00324384"/>
    <w:rsid w:val="00340B1E"/>
    <w:rsid w:val="003474F6"/>
    <w:rsid w:val="00374299"/>
    <w:rsid w:val="00387254"/>
    <w:rsid w:val="00394B8F"/>
    <w:rsid w:val="003C29F8"/>
    <w:rsid w:val="003D2EC2"/>
    <w:rsid w:val="00400A58"/>
    <w:rsid w:val="00402F3E"/>
    <w:rsid w:val="00445EB0"/>
    <w:rsid w:val="00460C6E"/>
    <w:rsid w:val="004772EB"/>
    <w:rsid w:val="00480FE3"/>
    <w:rsid w:val="00482C71"/>
    <w:rsid w:val="004933F3"/>
    <w:rsid w:val="004A4B98"/>
    <w:rsid w:val="004C734D"/>
    <w:rsid w:val="004D18E0"/>
    <w:rsid w:val="004F3F42"/>
    <w:rsid w:val="005009F4"/>
    <w:rsid w:val="0052112E"/>
    <w:rsid w:val="005276E8"/>
    <w:rsid w:val="00557FBA"/>
    <w:rsid w:val="00560151"/>
    <w:rsid w:val="00561D8E"/>
    <w:rsid w:val="00561F5E"/>
    <w:rsid w:val="005A1635"/>
    <w:rsid w:val="005C2775"/>
    <w:rsid w:val="005C5DC0"/>
    <w:rsid w:val="005D65EB"/>
    <w:rsid w:val="005E512E"/>
    <w:rsid w:val="00604251"/>
    <w:rsid w:val="00604718"/>
    <w:rsid w:val="0060553E"/>
    <w:rsid w:val="00606B9F"/>
    <w:rsid w:val="00624442"/>
    <w:rsid w:val="00640A10"/>
    <w:rsid w:val="006419CA"/>
    <w:rsid w:val="00652815"/>
    <w:rsid w:val="00663D3C"/>
    <w:rsid w:val="00676B3A"/>
    <w:rsid w:val="00683F65"/>
    <w:rsid w:val="006A02EC"/>
    <w:rsid w:val="006A3307"/>
    <w:rsid w:val="006D10AB"/>
    <w:rsid w:val="006F0619"/>
    <w:rsid w:val="006F3B60"/>
    <w:rsid w:val="006F599B"/>
    <w:rsid w:val="006F69A2"/>
    <w:rsid w:val="0074137D"/>
    <w:rsid w:val="007512D7"/>
    <w:rsid w:val="00763DAD"/>
    <w:rsid w:val="007670A0"/>
    <w:rsid w:val="00781685"/>
    <w:rsid w:val="00787150"/>
    <w:rsid w:val="007B4B2B"/>
    <w:rsid w:val="007C056A"/>
    <w:rsid w:val="007C0946"/>
    <w:rsid w:val="007C5287"/>
    <w:rsid w:val="007F2419"/>
    <w:rsid w:val="00802CE2"/>
    <w:rsid w:val="008219BA"/>
    <w:rsid w:val="00846658"/>
    <w:rsid w:val="0085287D"/>
    <w:rsid w:val="0086072F"/>
    <w:rsid w:val="00866822"/>
    <w:rsid w:val="008B1683"/>
    <w:rsid w:val="008C1B30"/>
    <w:rsid w:val="008D3E03"/>
    <w:rsid w:val="008D4679"/>
    <w:rsid w:val="00904527"/>
    <w:rsid w:val="009656D9"/>
    <w:rsid w:val="00972269"/>
    <w:rsid w:val="00972D20"/>
    <w:rsid w:val="00982139"/>
    <w:rsid w:val="0099398C"/>
    <w:rsid w:val="009B6489"/>
    <w:rsid w:val="009C4D2A"/>
    <w:rsid w:val="009C7CB0"/>
    <w:rsid w:val="00A17D85"/>
    <w:rsid w:val="00A54401"/>
    <w:rsid w:val="00A87CE8"/>
    <w:rsid w:val="00AA182E"/>
    <w:rsid w:val="00AA78E9"/>
    <w:rsid w:val="00AC66B9"/>
    <w:rsid w:val="00AF0400"/>
    <w:rsid w:val="00B0483D"/>
    <w:rsid w:val="00B10021"/>
    <w:rsid w:val="00B30AEB"/>
    <w:rsid w:val="00B54FC1"/>
    <w:rsid w:val="00B66113"/>
    <w:rsid w:val="00B841BE"/>
    <w:rsid w:val="00B90B7A"/>
    <w:rsid w:val="00BA20AB"/>
    <w:rsid w:val="00BA599B"/>
    <w:rsid w:val="00BA6A6E"/>
    <w:rsid w:val="00BC7AA4"/>
    <w:rsid w:val="00C12887"/>
    <w:rsid w:val="00C24ADE"/>
    <w:rsid w:val="00C456FE"/>
    <w:rsid w:val="00C458A6"/>
    <w:rsid w:val="00C52665"/>
    <w:rsid w:val="00C57ED5"/>
    <w:rsid w:val="00C76E54"/>
    <w:rsid w:val="00C83246"/>
    <w:rsid w:val="00C900D4"/>
    <w:rsid w:val="00CB69A2"/>
    <w:rsid w:val="00CC32E0"/>
    <w:rsid w:val="00CD6DEC"/>
    <w:rsid w:val="00D25BFA"/>
    <w:rsid w:val="00D27C86"/>
    <w:rsid w:val="00D41C25"/>
    <w:rsid w:val="00D51168"/>
    <w:rsid w:val="00D6042C"/>
    <w:rsid w:val="00D63E42"/>
    <w:rsid w:val="00D66E11"/>
    <w:rsid w:val="00D828AD"/>
    <w:rsid w:val="00D84641"/>
    <w:rsid w:val="00D96135"/>
    <w:rsid w:val="00DA31AF"/>
    <w:rsid w:val="00DC0CAB"/>
    <w:rsid w:val="00DF4F51"/>
    <w:rsid w:val="00E02A21"/>
    <w:rsid w:val="00E038AF"/>
    <w:rsid w:val="00E35168"/>
    <w:rsid w:val="00E435C0"/>
    <w:rsid w:val="00E7287B"/>
    <w:rsid w:val="00EA4E1B"/>
    <w:rsid w:val="00EB2EE4"/>
    <w:rsid w:val="00EC3858"/>
    <w:rsid w:val="00EC63F7"/>
    <w:rsid w:val="00ED3D4E"/>
    <w:rsid w:val="00EE7AC6"/>
    <w:rsid w:val="00F26F89"/>
    <w:rsid w:val="00F30661"/>
    <w:rsid w:val="00F32693"/>
    <w:rsid w:val="00F50A25"/>
    <w:rsid w:val="00F86C7F"/>
    <w:rsid w:val="00F87931"/>
    <w:rsid w:val="00F917DA"/>
    <w:rsid w:val="00F97C89"/>
    <w:rsid w:val="00FA14FE"/>
    <w:rsid w:val="00FA2A25"/>
    <w:rsid w:val="00FB1037"/>
    <w:rsid w:val="00FB2DC5"/>
    <w:rsid w:val="00FD2207"/>
    <w:rsid w:val="00FE04F9"/>
    <w:rsid w:val="00FE1575"/>
    <w:rsid w:val="00FF1E47"/>
    <w:rsid w:val="00FF55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C12887"/>
    <w:rPr>
      <w:color w:val="0563C1" w:themeColor="hyperlink"/>
      <w:u w:val="single"/>
    </w:rPr>
  </w:style>
  <w:style w:type="character" w:customStyle="1" w:styleId="UnresolvedMention">
    <w:name w:val="Unresolved Mention"/>
    <w:basedOn w:val="Fontepargpadro"/>
    <w:uiPriority w:val="99"/>
    <w:semiHidden/>
    <w:unhideWhenUsed/>
    <w:rsid w:val="00C12887"/>
    <w:rPr>
      <w:color w:val="605E5C"/>
      <w:shd w:val="clear" w:color="auto" w:fill="E1DFDD"/>
    </w:rPr>
  </w:style>
  <w:style w:type="paragraph" w:styleId="PargrafodaLista">
    <w:name w:val="List Paragraph"/>
    <w:basedOn w:val="Normal"/>
    <w:uiPriority w:val="34"/>
    <w:qFormat/>
    <w:rsid w:val="00F86C7F"/>
    <w:pPr>
      <w:ind w:left="720"/>
      <w:contextualSpacing/>
    </w:pPr>
  </w:style>
  <w:style w:type="table" w:styleId="Tabelacomgrade">
    <w:name w:val="Table Grid"/>
    <w:basedOn w:val="Tabelanormal"/>
    <w:uiPriority w:val="59"/>
    <w:rsid w:val="00B10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textoChar">
    <w:name w:val="Corpo texto Char"/>
    <w:basedOn w:val="Fontepargpadro"/>
    <w:link w:val="Corpotexto"/>
    <w:qFormat/>
    <w:locked/>
    <w:rsid w:val="002343A3"/>
    <w:rPr>
      <w:rFonts w:ascii="Times New Roman" w:eastAsia="Calibri" w:hAnsi="Times New Roman" w:cs="Times New Roman"/>
      <w:szCs w:val="24"/>
    </w:rPr>
  </w:style>
  <w:style w:type="paragraph" w:customStyle="1" w:styleId="Corpotexto">
    <w:name w:val="Corpo texto"/>
    <w:basedOn w:val="Normal"/>
    <w:link w:val="CorpotextoChar"/>
    <w:qFormat/>
    <w:rsid w:val="002343A3"/>
    <w:pPr>
      <w:spacing w:after="0" w:line="276" w:lineRule="auto"/>
      <w:ind w:firstLine="340"/>
      <w:jc w:val="both"/>
    </w:pPr>
    <w:rPr>
      <w:rFonts w:ascii="Times New Roman" w:eastAsia="Calibri" w:hAnsi="Times New Roman" w:cs="Times New Roman"/>
      <w:szCs w:val="24"/>
    </w:rPr>
  </w:style>
  <w:style w:type="character" w:styleId="Refdecomentrio">
    <w:name w:val="annotation reference"/>
    <w:basedOn w:val="Fontepargpadro"/>
    <w:uiPriority w:val="99"/>
    <w:semiHidden/>
    <w:unhideWhenUsed/>
    <w:rsid w:val="006D10AB"/>
    <w:rPr>
      <w:sz w:val="16"/>
      <w:szCs w:val="16"/>
    </w:rPr>
  </w:style>
  <w:style w:type="paragraph" w:styleId="Textodecomentrio">
    <w:name w:val="annotation text"/>
    <w:basedOn w:val="Normal"/>
    <w:link w:val="TextodecomentrioChar"/>
    <w:uiPriority w:val="99"/>
    <w:semiHidden/>
    <w:unhideWhenUsed/>
    <w:rsid w:val="006D10A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D10AB"/>
    <w:rPr>
      <w:sz w:val="20"/>
      <w:szCs w:val="20"/>
    </w:rPr>
  </w:style>
  <w:style w:type="paragraph" w:styleId="Assuntodocomentrio">
    <w:name w:val="annotation subject"/>
    <w:basedOn w:val="Textodecomentrio"/>
    <w:next w:val="Textodecomentrio"/>
    <w:link w:val="AssuntodocomentrioChar"/>
    <w:uiPriority w:val="99"/>
    <w:semiHidden/>
    <w:unhideWhenUsed/>
    <w:rsid w:val="006D10AB"/>
    <w:rPr>
      <w:b/>
      <w:bCs/>
    </w:rPr>
  </w:style>
  <w:style w:type="character" w:customStyle="1" w:styleId="AssuntodocomentrioChar">
    <w:name w:val="Assunto do comentário Char"/>
    <w:basedOn w:val="TextodecomentrioChar"/>
    <w:link w:val="Assuntodocomentrio"/>
    <w:uiPriority w:val="99"/>
    <w:semiHidden/>
    <w:rsid w:val="006D10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8231">
      <w:bodyDiv w:val="1"/>
      <w:marLeft w:val="0"/>
      <w:marRight w:val="0"/>
      <w:marTop w:val="0"/>
      <w:marBottom w:val="0"/>
      <w:divBdr>
        <w:top w:val="none" w:sz="0" w:space="0" w:color="auto"/>
        <w:left w:val="none" w:sz="0" w:space="0" w:color="auto"/>
        <w:bottom w:val="none" w:sz="0" w:space="0" w:color="auto"/>
        <w:right w:val="none" w:sz="0" w:space="0" w:color="auto"/>
      </w:divBdr>
    </w:div>
    <w:div w:id="651369827">
      <w:bodyDiv w:val="1"/>
      <w:marLeft w:val="0"/>
      <w:marRight w:val="0"/>
      <w:marTop w:val="0"/>
      <w:marBottom w:val="0"/>
      <w:divBdr>
        <w:top w:val="none" w:sz="0" w:space="0" w:color="auto"/>
        <w:left w:val="none" w:sz="0" w:space="0" w:color="auto"/>
        <w:bottom w:val="none" w:sz="0" w:space="0" w:color="auto"/>
        <w:right w:val="none" w:sz="0" w:space="0" w:color="auto"/>
      </w:divBdr>
    </w:div>
    <w:div w:id="1248075952">
      <w:bodyDiv w:val="1"/>
      <w:marLeft w:val="0"/>
      <w:marRight w:val="0"/>
      <w:marTop w:val="0"/>
      <w:marBottom w:val="0"/>
      <w:divBdr>
        <w:top w:val="none" w:sz="0" w:space="0" w:color="auto"/>
        <w:left w:val="none" w:sz="0" w:space="0" w:color="auto"/>
        <w:bottom w:val="none" w:sz="0" w:space="0" w:color="auto"/>
        <w:right w:val="none" w:sz="0" w:space="0" w:color="auto"/>
      </w:divBdr>
    </w:div>
    <w:div w:id="1665427781">
      <w:bodyDiv w:val="1"/>
      <w:marLeft w:val="0"/>
      <w:marRight w:val="0"/>
      <w:marTop w:val="0"/>
      <w:marBottom w:val="0"/>
      <w:divBdr>
        <w:top w:val="none" w:sz="0" w:space="0" w:color="auto"/>
        <w:left w:val="none" w:sz="0" w:space="0" w:color="auto"/>
        <w:bottom w:val="none" w:sz="0" w:space="0" w:color="auto"/>
        <w:right w:val="none" w:sz="0" w:space="0" w:color="auto"/>
      </w:divBdr>
    </w:div>
    <w:div w:id="171195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repositorio.unicamp.br/bitstream/REPOSIP/100477/1/2-s2.0-0002646271.pdf" TargetMode="External"/><Relationship Id="rId2" Type="http://schemas.openxmlformats.org/officeDocument/2006/relationships/numbering" Target="numbering.xml"/><Relationship Id="rId16" Type="http://schemas.openxmlformats.org/officeDocument/2006/relationships/image" Target="media/image10.emf"/><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A596A-4265-416E-A11B-3227D909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3988</TotalTime>
  <Pages>6</Pages>
  <Words>3293</Words>
  <Characters>17788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Rodrigo Brackmann</cp:lastModifiedBy>
  <cp:revision>49</cp:revision>
  <dcterms:created xsi:type="dcterms:W3CDTF">2022-12-12T17:08:00Z</dcterms:created>
  <dcterms:modified xsi:type="dcterms:W3CDTF">2023-06-02T18:13:00Z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