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3B100AA" w14:textId="70D4A74A" w:rsidR="00EA4E1B" w:rsidRPr="00EB32EB" w:rsidRDefault="007520C2" w:rsidP="00EB32EB">
      <w:pPr>
        <w:pStyle w:val="BATitle"/>
        <w:spacing w:before="0" w:after="0" w:line="240" w:lineRule="auto"/>
        <w:ind w:right="0"/>
        <w:jc w:val="both"/>
        <w:rPr>
          <w:sz w:val="32"/>
          <w:lang w:val="pt-BR"/>
        </w:rPr>
      </w:pPr>
      <w:r>
        <w:rPr>
          <w:sz w:val="32"/>
          <w:lang w:val="pt-BR"/>
        </w:rPr>
        <w:t>Ultra captura de compostos orgânicos v</w:t>
      </w:r>
      <w:r w:rsidR="00EB32EB">
        <w:rPr>
          <w:sz w:val="32"/>
          <w:lang w:val="pt-BR"/>
        </w:rPr>
        <w:t>oláteis (</w:t>
      </w:r>
      <w:proofErr w:type="spellStart"/>
      <w:r w:rsidR="00EB32EB">
        <w:rPr>
          <w:sz w:val="32"/>
          <w:lang w:val="pt-BR"/>
        </w:rPr>
        <w:t>COVs</w:t>
      </w:r>
      <w:proofErr w:type="spellEnd"/>
      <w:r w:rsidR="00EB32EB">
        <w:rPr>
          <w:sz w:val="32"/>
          <w:lang w:val="pt-BR"/>
        </w:rPr>
        <w:t>) sobre materiais carbonáceos sustentáveis derivados do pseudocaule da bananeira</w:t>
      </w:r>
    </w:p>
    <w:p w14:paraId="18735493" w14:textId="7A437177" w:rsidR="00EA4E1B" w:rsidRPr="001F25B2" w:rsidRDefault="00EB32EB" w:rsidP="00EA4E1B">
      <w:pPr>
        <w:pStyle w:val="BBAuthorName"/>
        <w:spacing w:after="120"/>
        <w:ind w:right="0"/>
        <w:jc w:val="both"/>
        <w:rPr>
          <w:rFonts w:ascii="Times New Roman" w:hAnsi="Times New Roman"/>
          <w:sz w:val="20"/>
          <w:lang w:val="pt-BR"/>
        </w:rPr>
      </w:pPr>
      <w:r>
        <w:rPr>
          <w:rFonts w:ascii="Times New Roman" w:hAnsi="Times New Roman"/>
          <w:sz w:val="20"/>
          <w:lang w:val="pt-BR"/>
        </w:rPr>
        <w:t>José L. C. Cordeiro</w:t>
      </w:r>
      <w:r w:rsidR="00B32798">
        <w:rPr>
          <w:rFonts w:ascii="Times New Roman" w:hAnsi="Times New Roman"/>
          <w:sz w:val="20"/>
          <w:lang w:val="pt-BR"/>
        </w:rPr>
        <w:t>¹ ²*</w:t>
      </w:r>
      <w:r>
        <w:rPr>
          <w:rFonts w:ascii="Times New Roman" w:hAnsi="Times New Roman"/>
          <w:sz w:val="20"/>
          <w:lang w:val="pt-BR"/>
        </w:rPr>
        <w:t xml:space="preserve">; </w:t>
      </w:r>
      <w:r w:rsidR="00B32798">
        <w:rPr>
          <w:rFonts w:ascii="Times New Roman" w:hAnsi="Times New Roman"/>
          <w:sz w:val="20"/>
          <w:lang w:val="pt-BR"/>
        </w:rPr>
        <w:t xml:space="preserve">Matheus C. M. Da Silva¹ ²; Rodrigo S. G. Menezes¹ ²; </w:t>
      </w:r>
      <w:proofErr w:type="spellStart"/>
      <w:r>
        <w:rPr>
          <w:rFonts w:ascii="Times New Roman" w:hAnsi="Times New Roman"/>
          <w:sz w:val="20"/>
          <w:lang w:val="pt-BR"/>
        </w:rPr>
        <w:t>Heloysa</w:t>
      </w:r>
      <w:proofErr w:type="spellEnd"/>
      <w:r>
        <w:rPr>
          <w:rFonts w:ascii="Times New Roman" w:hAnsi="Times New Roman"/>
          <w:sz w:val="20"/>
          <w:lang w:val="pt-BR"/>
        </w:rPr>
        <w:t xml:space="preserve"> M. C. Andrade</w:t>
      </w:r>
      <w:r w:rsidR="00B32798">
        <w:rPr>
          <w:rFonts w:ascii="Times New Roman" w:hAnsi="Times New Roman"/>
          <w:sz w:val="20"/>
          <w:lang w:val="pt-BR"/>
        </w:rPr>
        <w:t>¹ ²</w:t>
      </w:r>
      <w:r>
        <w:rPr>
          <w:rFonts w:ascii="Times New Roman" w:hAnsi="Times New Roman"/>
          <w:sz w:val="20"/>
          <w:lang w:val="pt-BR"/>
        </w:rPr>
        <w:t>; Artur J. S. Mascarenhas</w:t>
      </w:r>
      <w:r w:rsidR="00B32798">
        <w:rPr>
          <w:rFonts w:ascii="Times New Roman" w:hAnsi="Times New Roman"/>
          <w:sz w:val="20"/>
          <w:lang w:val="pt-BR"/>
        </w:rPr>
        <w:t>¹ ²</w:t>
      </w:r>
      <w:r w:rsidR="007520C2">
        <w:rPr>
          <w:rFonts w:ascii="Times New Roman" w:hAnsi="Times New Roman"/>
          <w:sz w:val="20"/>
          <w:lang w:val="pt-BR"/>
        </w:rPr>
        <w:t xml:space="preserve">; </w:t>
      </w:r>
      <w:proofErr w:type="spellStart"/>
      <w:r w:rsidR="007520C2">
        <w:rPr>
          <w:rFonts w:ascii="Times New Roman" w:hAnsi="Times New Roman"/>
          <w:sz w:val="20"/>
          <w:lang w:val="pt-BR"/>
        </w:rPr>
        <w:t>Raildo</w:t>
      </w:r>
      <w:proofErr w:type="spellEnd"/>
      <w:r w:rsidR="007520C2">
        <w:rPr>
          <w:rFonts w:ascii="Times New Roman" w:hAnsi="Times New Roman"/>
          <w:sz w:val="20"/>
          <w:lang w:val="pt-BR"/>
        </w:rPr>
        <w:t xml:space="preserve"> A. Fiuza-</w:t>
      </w:r>
      <w:r>
        <w:rPr>
          <w:rFonts w:ascii="Times New Roman" w:hAnsi="Times New Roman"/>
          <w:sz w:val="20"/>
          <w:lang w:val="pt-BR"/>
        </w:rPr>
        <w:t>Júnior</w:t>
      </w:r>
      <w:r w:rsidR="00B32798">
        <w:rPr>
          <w:rFonts w:ascii="Times New Roman" w:hAnsi="Times New Roman"/>
          <w:sz w:val="20"/>
          <w:lang w:val="pt-BR"/>
        </w:rPr>
        <w:t>¹ ²*</w:t>
      </w:r>
      <w:r>
        <w:rPr>
          <w:rFonts w:ascii="Times New Roman" w:hAnsi="Times New Roman"/>
          <w:sz w:val="20"/>
          <w:lang w:val="pt-BR"/>
        </w:rPr>
        <w:t xml:space="preserve"> </w:t>
      </w:r>
    </w:p>
    <w:p w14:paraId="22D38595" w14:textId="61F968B8" w:rsidR="00EA4E1B" w:rsidRDefault="00EA4E1B" w:rsidP="00EA4E1B">
      <w:pPr>
        <w:pStyle w:val="BCAuthorAddress"/>
        <w:spacing w:after="0"/>
        <w:ind w:right="0"/>
        <w:jc w:val="both"/>
        <w:rPr>
          <w:rFonts w:cs="Times"/>
          <w:color w:val="2E2E2E"/>
          <w:shd w:val="clear" w:color="auto" w:fill="FFFFFF"/>
        </w:rPr>
      </w:pPr>
      <w:r>
        <w:rPr>
          <w:vertAlign w:val="superscript"/>
          <w:lang w:val="pt-BR"/>
        </w:rPr>
        <w:t>1</w:t>
      </w:r>
      <w:r w:rsidR="00B32798">
        <w:rPr>
          <w:vertAlign w:val="superscript"/>
          <w:lang w:val="pt-BR"/>
        </w:rPr>
        <w:t xml:space="preserve"> </w:t>
      </w:r>
      <w:proofErr w:type="spellStart"/>
      <w:r w:rsidR="006273A3">
        <w:rPr>
          <w:rFonts w:cs="Times"/>
          <w:color w:val="2E2E2E"/>
          <w:shd w:val="clear" w:color="auto" w:fill="FFFFFF"/>
        </w:rPr>
        <w:t>Laboratório</w:t>
      </w:r>
      <w:proofErr w:type="spellEnd"/>
      <w:r w:rsidR="006273A3">
        <w:rPr>
          <w:rFonts w:cs="Times"/>
          <w:color w:val="2E2E2E"/>
          <w:shd w:val="clear" w:color="auto" w:fill="FFFFFF"/>
        </w:rPr>
        <w:t xml:space="preserve"> de </w:t>
      </w:r>
      <w:proofErr w:type="spellStart"/>
      <w:r w:rsidR="006273A3">
        <w:rPr>
          <w:rFonts w:cs="Times"/>
          <w:color w:val="2E2E2E"/>
          <w:shd w:val="clear" w:color="auto" w:fill="FFFFFF"/>
        </w:rPr>
        <w:t>Catálise</w:t>
      </w:r>
      <w:proofErr w:type="spellEnd"/>
      <w:r w:rsidR="006273A3">
        <w:rPr>
          <w:rFonts w:cs="Times"/>
          <w:color w:val="2E2E2E"/>
          <w:shd w:val="clear" w:color="auto" w:fill="FFFFFF"/>
        </w:rPr>
        <w:t xml:space="preserve"> e </w:t>
      </w:r>
      <w:proofErr w:type="spellStart"/>
      <w:r w:rsidR="006273A3">
        <w:rPr>
          <w:rFonts w:cs="Times"/>
          <w:color w:val="2E2E2E"/>
          <w:shd w:val="clear" w:color="auto" w:fill="FFFFFF"/>
        </w:rPr>
        <w:t>Materiais</w:t>
      </w:r>
      <w:proofErr w:type="spellEnd"/>
      <w:r w:rsidR="006273A3">
        <w:rPr>
          <w:rFonts w:cs="Times"/>
          <w:color w:val="2E2E2E"/>
          <w:shd w:val="clear" w:color="auto" w:fill="FFFFFF"/>
        </w:rPr>
        <w:t xml:space="preserve"> (</w:t>
      </w:r>
      <w:r w:rsidR="008508F6">
        <w:rPr>
          <w:rFonts w:cs="Times"/>
          <w:color w:val="2E2E2E"/>
          <w:shd w:val="clear" w:color="auto" w:fill="FFFFFF"/>
        </w:rPr>
        <w:t>LABCAT)(</w:t>
      </w:r>
      <w:r w:rsidR="006273A3">
        <w:rPr>
          <w:rFonts w:cs="Times"/>
          <w:color w:val="2E2E2E"/>
          <w:shd w:val="clear" w:color="auto" w:fill="FFFFFF"/>
        </w:rPr>
        <w:t>@</w:t>
      </w:r>
      <w:proofErr w:type="gramStart"/>
      <w:r w:rsidR="006273A3">
        <w:rPr>
          <w:rFonts w:cs="Times"/>
          <w:color w:val="2E2E2E"/>
          <w:shd w:val="clear" w:color="auto" w:fill="FFFFFF"/>
        </w:rPr>
        <w:t>labcat</w:t>
      </w:r>
      <w:r w:rsidR="008508F6">
        <w:rPr>
          <w:rFonts w:cs="Times"/>
          <w:color w:val="2E2E2E"/>
          <w:shd w:val="clear" w:color="auto" w:fill="FFFFFF"/>
        </w:rPr>
        <w:t>.ufba</w:t>
      </w:r>
      <w:proofErr w:type="gramEnd"/>
      <w:r w:rsidR="006273A3">
        <w:rPr>
          <w:rFonts w:cs="Times"/>
          <w:color w:val="2E2E2E"/>
          <w:shd w:val="clear" w:color="auto" w:fill="FFFFFF"/>
        </w:rPr>
        <w:t>)</w:t>
      </w:r>
      <w:r w:rsidR="008508F6">
        <w:rPr>
          <w:rFonts w:cs="Times"/>
          <w:color w:val="2E2E2E"/>
          <w:shd w:val="clear" w:color="auto" w:fill="FFFFFF"/>
        </w:rPr>
        <w:t xml:space="preserve">, </w:t>
      </w:r>
      <w:proofErr w:type="spellStart"/>
      <w:r w:rsidR="008508F6" w:rsidRPr="00B32798">
        <w:rPr>
          <w:rFonts w:cs="Times"/>
          <w:color w:val="2E2E2E"/>
          <w:shd w:val="clear" w:color="auto" w:fill="FFFFFF"/>
        </w:rPr>
        <w:t>Departamento</w:t>
      </w:r>
      <w:proofErr w:type="spellEnd"/>
      <w:r w:rsidR="008508F6" w:rsidRPr="00B32798">
        <w:rPr>
          <w:rFonts w:cs="Times"/>
          <w:color w:val="2E2E2E"/>
          <w:shd w:val="clear" w:color="auto" w:fill="FFFFFF"/>
        </w:rPr>
        <w:t xml:space="preserve"> de </w:t>
      </w:r>
      <w:proofErr w:type="spellStart"/>
      <w:r w:rsidR="008508F6" w:rsidRPr="00B32798">
        <w:rPr>
          <w:rFonts w:cs="Times"/>
          <w:color w:val="2E2E2E"/>
          <w:shd w:val="clear" w:color="auto" w:fill="FFFFFF"/>
        </w:rPr>
        <w:t>Química</w:t>
      </w:r>
      <w:proofErr w:type="spellEnd"/>
      <w:r w:rsidR="008508F6" w:rsidRPr="00B32798">
        <w:rPr>
          <w:rFonts w:cs="Times"/>
          <w:color w:val="2E2E2E"/>
          <w:shd w:val="clear" w:color="auto" w:fill="FFFFFF"/>
        </w:rPr>
        <w:t xml:space="preserve"> </w:t>
      </w:r>
      <w:proofErr w:type="spellStart"/>
      <w:r w:rsidR="008508F6" w:rsidRPr="00B32798">
        <w:rPr>
          <w:rFonts w:cs="Times"/>
          <w:color w:val="2E2E2E"/>
          <w:shd w:val="clear" w:color="auto" w:fill="FFFFFF"/>
        </w:rPr>
        <w:t>Geral</w:t>
      </w:r>
      <w:proofErr w:type="spellEnd"/>
      <w:r w:rsidR="008508F6" w:rsidRPr="00B32798">
        <w:rPr>
          <w:rFonts w:cs="Times"/>
          <w:color w:val="2E2E2E"/>
          <w:shd w:val="clear" w:color="auto" w:fill="FFFFFF"/>
        </w:rPr>
        <w:t xml:space="preserve"> e </w:t>
      </w:r>
      <w:proofErr w:type="spellStart"/>
      <w:r w:rsidR="008508F6" w:rsidRPr="00B32798">
        <w:rPr>
          <w:rFonts w:cs="Times"/>
          <w:color w:val="2E2E2E"/>
          <w:shd w:val="clear" w:color="auto" w:fill="FFFFFF"/>
        </w:rPr>
        <w:t>Inorgânica</w:t>
      </w:r>
      <w:proofErr w:type="spellEnd"/>
      <w:r w:rsidR="008508F6" w:rsidRPr="00B32798">
        <w:rPr>
          <w:rFonts w:cs="Times"/>
          <w:color w:val="2E2E2E"/>
          <w:shd w:val="clear" w:color="auto" w:fill="FFFFFF"/>
        </w:rPr>
        <w:t>,</w:t>
      </w:r>
      <w:r w:rsidR="008508F6">
        <w:rPr>
          <w:rFonts w:cs="Times"/>
          <w:color w:val="2E2E2E"/>
          <w:shd w:val="clear" w:color="auto" w:fill="FFFFFF"/>
        </w:rPr>
        <w:t xml:space="preserve"> I</w:t>
      </w:r>
      <w:r w:rsidR="008508F6" w:rsidRPr="00B32798">
        <w:rPr>
          <w:rFonts w:cs="Times"/>
          <w:color w:val="2E2E2E"/>
          <w:shd w:val="clear" w:color="auto" w:fill="FFFFFF"/>
        </w:rPr>
        <w:t xml:space="preserve">nstituto de </w:t>
      </w:r>
      <w:proofErr w:type="spellStart"/>
      <w:r w:rsidR="008508F6" w:rsidRPr="00B32798">
        <w:rPr>
          <w:rFonts w:cs="Times"/>
          <w:color w:val="2E2E2E"/>
          <w:shd w:val="clear" w:color="auto" w:fill="FFFFFF"/>
        </w:rPr>
        <w:t>Química</w:t>
      </w:r>
      <w:proofErr w:type="spellEnd"/>
      <w:r w:rsidR="008508F6" w:rsidRPr="00B32798">
        <w:rPr>
          <w:rFonts w:cs="Times"/>
          <w:color w:val="2E2E2E"/>
          <w:shd w:val="clear" w:color="auto" w:fill="FFFFFF"/>
        </w:rPr>
        <w:t xml:space="preserve">, </w:t>
      </w:r>
      <w:proofErr w:type="spellStart"/>
      <w:r w:rsidR="008508F6" w:rsidRPr="00B32798">
        <w:rPr>
          <w:rFonts w:cs="Times"/>
          <w:color w:val="2E2E2E"/>
          <w:shd w:val="clear" w:color="auto" w:fill="FFFFFF"/>
        </w:rPr>
        <w:t>Rua</w:t>
      </w:r>
      <w:proofErr w:type="spellEnd"/>
      <w:r w:rsidR="008508F6" w:rsidRPr="00B32798">
        <w:rPr>
          <w:rFonts w:cs="Times"/>
          <w:color w:val="2E2E2E"/>
          <w:shd w:val="clear" w:color="auto" w:fill="FFFFFF"/>
        </w:rPr>
        <w:t xml:space="preserve"> </w:t>
      </w:r>
      <w:proofErr w:type="spellStart"/>
      <w:r w:rsidR="008508F6" w:rsidRPr="00B32798">
        <w:rPr>
          <w:rFonts w:cs="Times"/>
          <w:color w:val="2E2E2E"/>
          <w:shd w:val="clear" w:color="auto" w:fill="FFFFFF"/>
        </w:rPr>
        <w:t>Barão</w:t>
      </w:r>
      <w:proofErr w:type="spellEnd"/>
      <w:r w:rsidR="008508F6" w:rsidRPr="00B32798">
        <w:rPr>
          <w:rFonts w:cs="Times"/>
          <w:color w:val="2E2E2E"/>
          <w:shd w:val="clear" w:color="auto" w:fill="FFFFFF"/>
        </w:rPr>
        <w:t xml:space="preserve"> de </w:t>
      </w:r>
      <w:proofErr w:type="spellStart"/>
      <w:r w:rsidR="008508F6" w:rsidRPr="00B32798">
        <w:rPr>
          <w:rFonts w:cs="Times"/>
          <w:color w:val="2E2E2E"/>
          <w:shd w:val="clear" w:color="auto" w:fill="FFFFFF"/>
        </w:rPr>
        <w:t>Jeremoabo</w:t>
      </w:r>
      <w:proofErr w:type="spellEnd"/>
      <w:r w:rsidR="008508F6" w:rsidRPr="00B32798">
        <w:rPr>
          <w:rFonts w:cs="Times"/>
          <w:color w:val="2E2E2E"/>
          <w:shd w:val="clear" w:color="auto" w:fill="FFFFFF"/>
        </w:rPr>
        <w:t>, s/n, Campus de Ondina</w:t>
      </w:r>
      <w:r w:rsidR="008508F6">
        <w:rPr>
          <w:rFonts w:cs="Times"/>
          <w:color w:val="2E2E2E"/>
          <w:shd w:val="clear" w:color="auto" w:fill="FFFFFF"/>
        </w:rPr>
        <w:t xml:space="preserve">, </w:t>
      </w:r>
      <w:proofErr w:type="spellStart"/>
      <w:r w:rsidR="00B32798" w:rsidRPr="00B32798">
        <w:rPr>
          <w:rFonts w:cs="Times"/>
          <w:color w:val="2E2E2E"/>
          <w:shd w:val="clear" w:color="auto" w:fill="FFFFFF"/>
        </w:rPr>
        <w:t>Universidade</w:t>
      </w:r>
      <w:proofErr w:type="spellEnd"/>
      <w:r w:rsidR="00B32798" w:rsidRPr="00B32798">
        <w:rPr>
          <w:rFonts w:cs="Times"/>
          <w:color w:val="2E2E2E"/>
          <w:shd w:val="clear" w:color="auto" w:fill="FFFFFF"/>
        </w:rPr>
        <w:t xml:space="preserve"> Federal da Bahia, 40170-280</w:t>
      </w:r>
      <w:r w:rsidR="008508F6">
        <w:rPr>
          <w:rFonts w:cs="Times"/>
          <w:color w:val="2E2E2E"/>
          <w:shd w:val="clear" w:color="auto" w:fill="FFFFFF"/>
        </w:rPr>
        <w:t>,</w:t>
      </w:r>
      <w:r w:rsidR="00B32798" w:rsidRPr="00B32798">
        <w:rPr>
          <w:rFonts w:cs="Times"/>
          <w:color w:val="2E2E2E"/>
          <w:shd w:val="clear" w:color="auto" w:fill="FFFFFF"/>
        </w:rPr>
        <w:t xml:space="preserve"> Salvador, Bahia, </w:t>
      </w:r>
      <w:proofErr w:type="spellStart"/>
      <w:r w:rsidR="00B32798" w:rsidRPr="00B32798">
        <w:rPr>
          <w:rFonts w:cs="Times"/>
          <w:color w:val="2E2E2E"/>
          <w:shd w:val="clear" w:color="auto" w:fill="FFFFFF"/>
        </w:rPr>
        <w:t>Bra</w:t>
      </w:r>
      <w:r w:rsidR="00B32798">
        <w:rPr>
          <w:rFonts w:cs="Times"/>
          <w:color w:val="2E2E2E"/>
          <w:shd w:val="clear" w:color="auto" w:fill="FFFFFF"/>
        </w:rPr>
        <w:t>s</w:t>
      </w:r>
      <w:r w:rsidR="00B32798" w:rsidRPr="00B32798">
        <w:rPr>
          <w:rFonts w:cs="Times"/>
          <w:color w:val="2E2E2E"/>
          <w:shd w:val="clear" w:color="auto" w:fill="FFFFFF"/>
        </w:rPr>
        <w:t>il</w:t>
      </w:r>
      <w:proofErr w:type="spellEnd"/>
      <w:r w:rsidR="00B32798">
        <w:rPr>
          <w:rFonts w:cs="Times"/>
          <w:color w:val="2E2E2E"/>
          <w:shd w:val="clear" w:color="auto" w:fill="FFFFFF"/>
        </w:rPr>
        <w:t xml:space="preserve">. </w:t>
      </w:r>
      <w:r w:rsidR="00B32798" w:rsidRPr="007520C2">
        <w:rPr>
          <w:rFonts w:cs="Times"/>
          <w:shd w:val="clear" w:color="auto" w:fill="FFFFFF"/>
        </w:rPr>
        <w:t>jose.cunha@ufba.br</w:t>
      </w:r>
      <w:r w:rsidR="00B32798">
        <w:rPr>
          <w:rFonts w:cs="Times"/>
          <w:color w:val="2E2E2E"/>
          <w:shd w:val="clear" w:color="auto" w:fill="FFFFFF"/>
        </w:rPr>
        <w:t xml:space="preserve"> / </w:t>
      </w:r>
      <w:r w:rsidR="007520C2" w:rsidRPr="007520C2">
        <w:rPr>
          <w:rFonts w:cs="Times"/>
          <w:shd w:val="clear" w:color="auto" w:fill="FFFFFF"/>
        </w:rPr>
        <w:t>raildofiuza@ufba</w:t>
      </w:r>
      <w:r w:rsidR="007520C2">
        <w:rPr>
          <w:rFonts w:cs="Times"/>
          <w:shd w:val="clear" w:color="auto" w:fill="FFFFFF"/>
        </w:rPr>
        <w:t>.br</w:t>
      </w:r>
    </w:p>
    <w:p w14:paraId="483F67D9" w14:textId="7923A879" w:rsidR="00B32798" w:rsidRPr="00B32798" w:rsidRDefault="00B32798" w:rsidP="00B32798">
      <w:pPr>
        <w:rPr>
          <w:rFonts w:ascii="Times" w:hAnsi="Times" w:cs="Times"/>
          <w:i/>
          <w:iCs/>
          <w:sz w:val="20"/>
          <w:szCs w:val="20"/>
          <w:lang w:val="en-US" w:eastAsia="pt-BR"/>
        </w:rPr>
      </w:pPr>
      <w:r w:rsidRPr="00B32798">
        <w:rPr>
          <w:rFonts w:ascii="Times" w:hAnsi="Times" w:cs="Times"/>
          <w:i/>
          <w:iCs/>
          <w:sz w:val="20"/>
          <w:szCs w:val="20"/>
          <w:lang w:val="en-US" w:eastAsia="pt-BR"/>
        </w:rPr>
        <w:t xml:space="preserve">² Centro </w:t>
      </w:r>
      <w:proofErr w:type="spellStart"/>
      <w:r w:rsidRPr="00B32798">
        <w:rPr>
          <w:rFonts w:ascii="Times" w:hAnsi="Times" w:cs="Times"/>
          <w:i/>
          <w:iCs/>
          <w:sz w:val="20"/>
          <w:szCs w:val="20"/>
          <w:lang w:val="en-US" w:eastAsia="pt-BR"/>
        </w:rPr>
        <w:t>Interdisciplinar</w:t>
      </w:r>
      <w:proofErr w:type="spellEnd"/>
      <w:r w:rsidRPr="00B32798">
        <w:rPr>
          <w:rFonts w:ascii="Times" w:hAnsi="Times" w:cs="Times"/>
          <w:i/>
          <w:iCs/>
          <w:sz w:val="20"/>
          <w:szCs w:val="20"/>
          <w:lang w:val="en-US" w:eastAsia="pt-BR"/>
        </w:rPr>
        <w:t xml:space="preserve"> de </w:t>
      </w:r>
      <w:proofErr w:type="spellStart"/>
      <w:r w:rsidRPr="00B32798">
        <w:rPr>
          <w:rFonts w:ascii="Times" w:hAnsi="Times" w:cs="Times"/>
          <w:i/>
          <w:iCs/>
          <w:sz w:val="20"/>
          <w:szCs w:val="20"/>
          <w:lang w:val="en-US" w:eastAsia="pt-BR"/>
        </w:rPr>
        <w:t>Energia</w:t>
      </w:r>
      <w:proofErr w:type="spellEnd"/>
      <w:r w:rsidRPr="00B32798">
        <w:rPr>
          <w:rFonts w:ascii="Times" w:hAnsi="Times" w:cs="Times"/>
          <w:i/>
          <w:iCs/>
          <w:sz w:val="20"/>
          <w:szCs w:val="20"/>
          <w:lang w:val="en-US" w:eastAsia="pt-BR"/>
        </w:rPr>
        <w:t xml:space="preserve"> e </w:t>
      </w:r>
      <w:proofErr w:type="spellStart"/>
      <w:r w:rsidRPr="00B32798">
        <w:rPr>
          <w:rFonts w:ascii="Times" w:hAnsi="Times" w:cs="Times"/>
          <w:i/>
          <w:iCs/>
          <w:sz w:val="20"/>
          <w:szCs w:val="20"/>
          <w:lang w:val="en-US" w:eastAsia="pt-BR"/>
        </w:rPr>
        <w:t>Ambiente</w:t>
      </w:r>
      <w:proofErr w:type="spellEnd"/>
      <w:r w:rsidRPr="00B32798">
        <w:rPr>
          <w:rFonts w:ascii="Times" w:hAnsi="Times" w:cs="Times"/>
          <w:i/>
          <w:iCs/>
          <w:sz w:val="20"/>
          <w:szCs w:val="20"/>
          <w:lang w:val="en-US" w:eastAsia="pt-BR"/>
        </w:rPr>
        <w:t xml:space="preserve"> (CIENAM/UFBA), S</w:t>
      </w:r>
      <w:r w:rsidR="007520C2">
        <w:rPr>
          <w:rFonts w:ascii="Times" w:hAnsi="Times" w:cs="Times"/>
          <w:i/>
          <w:iCs/>
          <w:sz w:val="20"/>
          <w:szCs w:val="20"/>
          <w:lang w:val="en-US" w:eastAsia="pt-BR"/>
        </w:rPr>
        <w:t xml:space="preserve">alvador, BA, CEP 40170-280, </w:t>
      </w:r>
      <w:proofErr w:type="spellStart"/>
      <w:r w:rsidR="007520C2">
        <w:rPr>
          <w:rFonts w:ascii="Times" w:hAnsi="Times" w:cs="Times"/>
          <w:i/>
          <w:iCs/>
          <w:sz w:val="20"/>
          <w:szCs w:val="20"/>
          <w:lang w:val="en-US" w:eastAsia="pt-BR"/>
        </w:rPr>
        <w:t>Bras</w:t>
      </w:r>
      <w:r w:rsidRPr="00B32798">
        <w:rPr>
          <w:rFonts w:ascii="Times" w:hAnsi="Times" w:cs="Times"/>
          <w:i/>
          <w:iCs/>
          <w:sz w:val="20"/>
          <w:szCs w:val="20"/>
          <w:lang w:val="en-US" w:eastAsia="pt-BR"/>
        </w:rPr>
        <w:t>il</w:t>
      </w:r>
      <w:proofErr w:type="spellEnd"/>
      <w:r w:rsidR="007520C2">
        <w:rPr>
          <w:rFonts w:ascii="Times" w:hAnsi="Times" w:cs="Times"/>
          <w:i/>
          <w:iCs/>
          <w:sz w:val="20"/>
          <w:szCs w:val="20"/>
          <w:lang w:val="en-US" w:eastAsia="pt-BR"/>
        </w:rPr>
        <w:t>.</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7DCB8857"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 (Helvética, tam. 12)</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6AE90D67" w14:textId="475BAFE7" w:rsidR="00EA4E1B" w:rsidRPr="007520C2" w:rsidRDefault="00EA4E1B" w:rsidP="00EA4E1B">
      <w:pPr>
        <w:pStyle w:val="BDAbstract"/>
        <w:spacing w:before="0" w:after="0" w:line="240" w:lineRule="auto"/>
        <w:rPr>
          <w:rFonts w:ascii="Helvética" w:hAnsi="Helvética"/>
          <w:b w:val="0"/>
          <w:sz w:val="24"/>
          <w:szCs w:val="24"/>
          <w:lang w:val="pt-BR"/>
        </w:rPr>
      </w:pPr>
      <w:r w:rsidRPr="007520C2">
        <w:rPr>
          <w:rFonts w:ascii="Helvética" w:hAnsi="Helvética"/>
          <w:b w:val="0"/>
          <w:sz w:val="24"/>
          <w:szCs w:val="24"/>
          <w:lang w:val="pt-BR"/>
        </w:rPr>
        <w:t xml:space="preserve">RESUMO - </w:t>
      </w:r>
      <w:r w:rsidR="00EB32EB" w:rsidRPr="007520C2">
        <w:rPr>
          <w:rFonts w:ascii="Helvética" w:hAnsi="Helvética"/>
          <w:b w:val="0"/>
          <w:sz w:val="24"/>
          <w:szCs w:val="24"/>
          <w:lang w:val="pt-BR"/>
        </w:rPr>
        <w:t>Carvões ativados foram preparados a partir do pseudocaule da bananeira e utilizado na captura de 5 diferentes compostos orgânicos voláteis (</w:t>
      </w:r>
      <w:proofErr w:type="spellStart"/>
      <w:r w:rsidR="00EB32EB" w:rsidRPr="007520C2">
        <w:rPr>
          <w:rFonts w:ascii="Helvética" w:hAnsi="Helvética"/>
          <w:b w:val="0"/>
          <w:sz w:val="24"/>
          <w:szCs w:val="24"/>
          <w:lang w:val="pt-BR"/>
        </w:rPr>
        <w:t>COVs</w:t>
      </w:r>
      <w:proofErr w:type="spellEnd"/>
      <w:r w:rsidR="00EB32EB" w:rsidRPr="007520C2">
        <w:rPr>
          <w:rFonts w:ascii="Helvética" w:hAnsi="Helvética"/>
          <w:b w:val="0"/>
          <w:sz w:val="24"/>
          <w:szCs w:val="24"/>
          <w:lang w:val="pt-BR"/>
        </w:rPr>
        <w:t xml:space="preserve">), que são o diclorometano, clorofórmio, acetato de etila, hexano e </w:t>
      </w:r>
      <w:proofErr w:type="spellStart"/>
      <w:r w:rsidR="00EB32EB" w:rsidRPr="007520C2">
        <w:rPr>
          <w:rFonts w:ascii="Helvética" w:hAnsi="Helvética"/>
          <w:b w:val="0"/>
          <w:sz w:val="24"/>
          <w:szCs w:val="24"/>
          <w:lang w:val="pt-BR"/>
        </w:rPr>
        <w:t>ciclohexano</w:t>
      </w:r>
      <w:proofErr w:type="spellEnd"/>
      <w:r w:rsidR="00EB32EB" w:rsidRPr="007520C2">
        <w:rPr>
          <w:rFonts w:ascii="Helvética" w:hAnsi="Helvética"/>
          <w:b w:val="0"/>
          <w:sz w:val="24"/>
          <w:szCs w:val="24"/>
          <w:lang w:val="pt-BR"/>
        </w:rPr>
        <w:t>. A biomassa foi primeiramente seca em estufa e passou por um processo de pirólise hidrotérmica, seguida por uma pirólise seca, sendo que os agentes ativantes utilizados foram o KOH ou o ZnCl</w:t>
      </w:r>
      <w:r w:rsidR="00EB32EB" w:rsidRPr="007520C2">
        <w:rPr>
          <w:rFonts w:ascii="Helvética" w:hAnsi="Helvética"/>
          <w:b w:val="0"/>
          <w:sz w:val="24"/>
          <w:szCs w:val="24"/>
          <w:vertAlign w:val="subscript"/>
          <w:lang w:val="pt-BR"/>
        </w:rPr>
        <w:t>2</w:t>
      </w:r>
      <w:r w:rsidR="00EB32EB" w:rsidRPr="007520C2">
        <w:rPr>
          <w:rFonts w:ascii="Helvética" w:hAnsi="Helvética"/>
          <w:b w:val="0"/>
          <w:sz w:val="24"/>
          <w:szCs w:val="24"/>
          <w:lang w:val="pt-BR"/>
        </w:rPr>
        <w:t xml:space="preserve">. Os carvões ativados apresentaram altas áreas superficiais (701-1312m²/g), e diferentes distribuições de tamanho de poros. Os estudos de captura de </w:t>
      </w:r>
      <w:proofErr w:type="spellStart"/>
      <w:r w:rsidR="00EB32EB" w:rsidRPr="007520C2">
        <w:rPr>
          <w:rFonts w:ascii="Helvética" w:hAnsi="Helvética"/>
          <w:b w:val="0"/>
          <w:sz w:val="24"/>
          <w:szCs w:val="24"/>
          <w:lang w:val="pt-BR"/>
        </w:rPr>
        <w:t>COVs</w:t>
      </w:r>
      <w:proofErr w:type="spellEnd"/>
      <w:r w:rsidR="00EB32EB" w:rsidRPr="007520C2">
        <w:rPr>
          <w:rFonts w:ascii="Helvética" w:hAnsi="Helvética"/>
          <w:b w:val="0"/>
          <w:sz w:val="24"/>
          <w:szCs w:val="24"/>
          <w:lang w:val="pt-BR"/>
        </w:rPr>
        <w:t xml:space="preserve"> foram realizados em um analisador térmico </w:t>
      </w:r>
      <w:proofErr w:type="gramStart"/>
      <w:r w:rsidR="00EB32EB" w:rsidRPr="007520C2">
        <w:rPr>
          <w:rFonts w:ascii="Helvética" w:hAnsi="Helvética"/>
          <w:b w:val="0"/>
          <w:sz w:val="24"/>
          <w:szCs w:val="24"/>
          <w:lang w:val="pt-BR"/>
        </w:rPr>
        <w:t>e  capacidades</w:t>
      </w:r>
      <w:proofErr w:type="gramEnd"/>
      <w:r w:rsidR="00EB32EB" w:rsidRPr="007520C2">
        <w:rPr>
          <w:rFonts w:ascii="Helvética" w:hAnsi="Helvética"/>
          <w:b w:val="0"/>
          <w:sz w:val="24"/>
          <w:szCs w:val="24"/>
          <w:lang w:val="pt-BR"/>
        </w:rPr>
        <w:t xml:space="preserve"> de captura de até 933mg/g para o diclorometano, 775mg/g para o clorofórmio, 480mg/g para o acetato de etila, 414mg/g para o hexano e 376mg/g para o </w:t>
      </w:r>
      <w:proofErr w:type="spellStart"/>
      <w:r w:rsidR="00EB32EB" w:rsidRPr="007520C2">
        <w:rPr>
          <w:rFonts w:ascii="Helvética" w:hAnsi="Helvética"/>
          <w:b w:val="0"/>
          <w:sz w:val="24"/>
          <w:szCs w:val="24"/>
          <w:lang w:val="pt-BR"/>
        </w:rPr>
        <w:t>ciclohexano</w:t>
      </w:r>
      <w:proofErr w:type="spellEnd"/>
      <w:r w:rsidR="00EB32EB" w:rsidRPr="007520C2">
        <w:rPr>
          <w:rFonts w:ascii="Helvética" w:hAnsi="Helvética"/>
          <w:b w:val="0"/>
          <w:sz w:val="24"/>
          <w:szCs w:val="24"/>
          <w:lang w:val="pt-BR"/>
        </w:rPr>
        <w:t xml:space="preserve"> foram alcançadas, sendo que esses valores são superiores aqueles apresentados por alguns estudos da literatura. </w:t>
      </w:r>
      <w:r w:rsidR="005D7D37" w:rsidRPr="007520C2">
        <w:rPr>
          <w:rFonts w:ascii="Helvética" w:hAnsi="Helvética"/>
          <w:b w:val="0"/>
          <w:sz w:val="24"/>
          <w:szCs w:val="24"/>
          <w:lang w:val="pt-BR"/>
        </w:rPr>
        <w:t xml:space="preserve">Maiores capacidades de adsorção foram relacionadas a quantidade de </w:t>
      </w:r>
      <w:proofErr w:type="spellStart"/>
      <w:r w:rsidR="005D7D37" w:rsidRPr="007520C2">
        <w:rPr>
          <w:rFonts w:ascii="Helvética" w:hAnsi="Helvética"/>
          <w:b w:val="0"/>
          <w:sz w:val="24"/>
          <w:szCs w:val="24"/>
          <w:lang w:val="pt-BR"/>
        </w:rPr>
        <w:t>microporos</w:t>
      </w:r>
      <w:proofErr w:type="spellEnd"/>
      <w:r w:rsidR="005D7D37" w:rsidRPr="007520C2">
        <w:rPr>
          <w:rFonts w:ascii="Helvética" w:hAnsi="Helvética"/>
          <w:b w:val="0"/>
          <w:sz w:val="24"/>
          <w:szCs w:val="24"/>
          <w:lang w:val="pt-BR"/>
        </w:rPr>
        <w:t xml:space="preserve"> disponíveis, sendo que essa capacidade de captura foi potencializada pelo valor da quantidade de pequenos </w:t>
      </w:r>
      <w:proofErr w:type="spellStart"/>
      <w:r w:rsidR="005D7D37" w:rsidRPr="007520C2">
        <w:rPr>
          <w:rFonts w:ascii="Helvética" w:hAnsi="Helvética"/>
          <w:b w:val="0"/>
          <w:sz w:val="24"/>
          <w:szCs w:val="24"/>
          <w:lang w:val="pt-BR"/>
        </w:rPr>
        <w:t>mesoporos</w:t>
      </w:r>
      <w:proofErr w:type="spellEnd"/>
      <w:r w:rsidR="005D7D37" w:rsidRPr="007520C2">
        <w:rPr>
          <w:rFonts w:ascii="Helvética" w:hAnsi="Helvética"/>
          <w:b w:val="0"/>
          <w:sz w:val="24"/>
          <w:szCs w:val="24"/>
          <w:lang w:val="pt-BR"/>
        </w:rPr>
        <w:t>.</w:t>
      </w:r>
    </w:p>
    <w:p w14:paraId="09B41B70" w14:textId="3B80B548" w:rsidR="00EA4E1B" w:rsidRPr="007520C2" w:rsidRDefault="00EA4E1B" w:rsidP="00EA4E1B">
      <w:pPr>
        <w:pStyle w:val="BDAbstract"/>
        <w:spacing w:before="0" w:after="0" w:line="240" w:lineRule="auto"/>
        <w:rPr>
          <w:rFonts w:ascii="Helvética" w:hAnsi="Helvética"/>
          <w:b w:val="0"/>
          <w:sz w:val="24"/>
          <w:szCs w:val="24"/>
          <w:lang w:val="pt-BR"/>
        </w:rPr>
      </w:pPr>
      <w:r w:rsidRPr="007520C2">
        <w:rPr>
          <w:rFonts w:ascii="Helvética" w:hAnsi="Helvética"/>
          <w:b w:val="0"/>
          <w:i/>
          <w:sz w:val="24"/>
          <w:szCs w:val="24"/>
          <w:lang w:val="pt-BR"/>
        </w:rPr>
        <w:t xml:space="preserve">Palavras-chave: </w:t>
      </w:r>
      <w:r w:rsidR="005D7D37" w:rsidRPr="007520C2">
        <w:rPr>
          <w:rFonts w:ascii="Helvética" w:hAnsi="Helvética"/>
          <w:b w:val="0"/>
          <w:i/>
          <w:sz w:val="24"/>
          <w:szCs w:val="24"/>
          <w:lang w:val="pt-BR"/>
        </w:rPr>
        <w:t>Carvões-ativados, Pseudocaule da bananeira, Adsorção, Compostos Orgânicos Voláteis.</w:t>
      </w:r>
    </w:p>
    <w:p w14:paraId="5D8D4445" w14:textId="11D77547" w:rsidR="00EA4E1B" w:rsidRPr="007520C2" w:rsidRDefault="00EA4E1B" w:rsidP="00EA4E1B">
      <w:pPr>
        <w:pStyle w:val="BDAbstract"/>
        <w:spacing w:before="0" w:after="0" w:line="240" w:lineRule="auto"/>
        <w:rPr>
          <w:rFonts w:ascii="Helvética" w:hAnsi="Helvética"/>
          <w:b w:val="0"/>
          <w:sz w:val="24"/>
          <w:szCs w:val="24"/>
          <w:lang w:val="pt-BR"/>
        </w:rPr>
      </w:pPr>
    </w:p>
    <w:p w14:paraId="0F80E7D5" w14:textId="01831C5C" w:rsidR="00EA4E1B" w:rsidRPr="007520C2" w:rsidRDefault="00EA4E1B" w:rsidP="00EA4E1B">
      <w:pPr>
        <w:pStyle w:val="BDAbstract"/>
        <w:spacing w:before="0" w:after="0" w:line="240" w:lineRule="auto"/>
        <w:rPr>
          <w:rFonts w:ascii="Helvética" w:hAnsi="Helvética"/>
          <w:b w:val="0"/>
          <w:sz w:val="24"/>
          <w:szCs w:val="24"/>
          <w:lang w:val="pt-BR"/>
        </w:rPr>
      </w:pPr>
      <w:r w:rsidRPr="007520C2">
        <w:rPr>
          <w:rFonts w:ascii="Helvética" w:hAnsi="Helvética"/>
          <w:b w:val="0"/>
          <w:sz w:val="24"/>
          <w:szCs w:val="24"/>
          <w:lang w:val="pt-BR"/>
        </w:rPr>
        <w:t xml:space="preserve">ABSTRACT - </w:t>
      </w:r>
      <w:proofErr w:type="spellStart"/>
      <w:r w:rsidR="00B32798" w:rsidRPr="007520C2">
        <w:rPr>
          <w:rFonts w:ascii="Helvética" w:hAnsi="Helvética"/>
          <w:b w:val="0"/>
          <w:iCs/>
          <w:sz w:val="24"/>
          <w:szCs w:val="24"/>
          <w:lang w:val="pt-BR"/>
        </w:rPr>
        <w:t>Activated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carbons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were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prepared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from</w:t>
      </w:r>
      <w:proofErr w:type="spellEnd"/>
      <w:r w:rsidR="00B32798" w:rsidRPr="007520C2">
        <w:rPr>
          <w:rFonts w:ascii="Helvética" w:hAnsi="Helvética"/>
          <w:b w:val="0"/>
          <w:iCs/>
          <w:sz w:val="24"/>
          <w:szCs w:val="24"/>
          <w:lang w:val="pt-BR"/>
        </w:rPr>
        <w:t xml:space="preserve"> banana </w:t>
      </w:r>
      <w:proofErr w:type="spellStart"/>
      <w:r w:rsidR="00B32798" w:rsidRPr="007520C2">
        <w:rPr>
          <w:rFonts w:ascii="Helvética" w:hAnsi="Helvética"/>
          <w:b w:val="0"/>
          <w:iCs/>
          <w:sz w:val="24"/>
          <w:szCs w:val="24"/>
          <w:lang w:val="pt-BR"/>
        </w:rPr>
        <w:t>pseudostem</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used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to</w:t>
      </w:r>
      <w:proofErr w:type="spellEnd"/>
      <w:r w:rsidR="00B32798" w:rsidRPr="007520C2">
        <w:rPr>
          <w:rFonts w:ascii="Helvética" w:hAnsi="Helvética"/>
          <w:b w:val="0"/>
          <w:iCs/>
          <w:sz w:val="24"/>
          <w:szCs w:val="24"/>
          <w:lang w:val="pt-BR"/>
        </w:rPr>
        <w:t xml:space="preserve"> capture 5 </w:t>
      </w:r>
      <w:proofErr w:type="spellStart"/>
      <w:r w:rsidR="00B32798" w:rsidRPr="007520C2">
        <w:rPr>
          <w:rFonts w:ascii="Helvética" w:hAnsi="Helvética"/>
          <w:b w:val="0"/>
          <w:iCs/>
          <w:sz w:val="24"/>
          <w:szCs w:val="24"/>
          <w:lang w:val="pt-BR"/>
        </w:rPr>
        <w:t>different</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volatile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organic</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compounds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VOCs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which</w:t>
      </w:r>
      <w:proofErr w:type="spellEnd"/>
      <w:r w:rsidR="00B32798" w:rsidRPr="007520C2">
        <w:rPr>
          <w:rFonts w:ascii="Helvética" w:hAnsi="Helvética"/>
          <w:b w:val="0"/>
          <w:iCs/>
          <w:sz w:val="24"/>
          <w:szCs w:val="24"/>
          <w:lang w:val="pt-BR"/>
        </w:rPr>
        <w:t xml:space="preserve"> are </w:t>
      </w:r>
      <w:proofErr w:type="spellStart"/>
      <w:r w:rsidR="00B32798" w:rsidRPr="007520C2">
        <w:rPr>
          <w:rFonts w:ascii="Helvética" w:hAnsi="Helvética"/>
          <w:b w:val="0"/>
          <w:iCs/>
          <w:sz w:val="24"/>
          <w:szCs w:val="24"/>
          <w:lang w:val="pt-BR"/>
        </w:rPr>
        <w:t>dichloromethane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chloroform</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ethyl</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acetate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hexane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cyclohexane</w:t>
      </w:r>
      <w:proofErr w:type="spellEnd"/>
      <w:r w:rsidR="00B32798" w:rsidRPr="007520C2">
        <w:rPr>
          <w:rFonts w:ascii="Helvética" w:hAnsi="Helvética"/>
          <w:b w:val="0"/>
          <w:iCs/>
          <w:sz w:val="24"/>
          <w:szCs w:val="24"/>
          <w:lang w:val="pt-BR"/>
        </w:rPr>
        <w:t xml:space="preserve">. The </w:t>
      </w:r>
      <w:proofErr w:type="spellStart"/>
      <w:r w:rsidR="00B32798" w:rsidRPr="007520C2">
        <w:rPr>
          <w:rFonts w:ascii="Helvética" w:hAnsi="Helvética"/>
          <w:b w:val="0"/>
          <w:iCs/>
          <w:sz w:val="24"/>
          <w:szCs w:val="24"/>
          <w:lang w:val="pt-BR"/>
        </w:rPr>
        <w:t>biomass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was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first</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dried</w:t>
      </w:r>
      <w:proofErr w:type="spellEnd"/>
      <w:r w:rsidR="00B32798" w:rsidRPr="007520C2">
        <w:rPr>
          <w:rFonts w:ascii="Helvética" w:hAnsi="Helvética"/>
          <w:b w:val="0"/>
          <w:iCs/>
          <w:sz w:val="24"/>
          <w:szCs w:val="24"/>
          <w:lang w:val="pt-BR"/>
        </w:rPr>
        <w:t xml:space="preserve"> in </w:t>
      </w:r>
      <w:proofErr w:type="spellStart"/>
      <w:r w:rsidR="00B32798" w:rsidRPr="007520C2">
        <w:rPr>
          <w:rFonts w:ascii="Helvética" w:hAnsi="Helvética"/>
          <w:b w:val="0"/>
          <w:iCs/>
          <w:sz w:val="24"/>
          <w:szCs w:val="24"/>
          <w:lang w:val="pt-BR"/>
        </w:rPr>
        <w:t>an</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oven</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passed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through</w:t>
      </w:r>
      <w:proofErr w:type="spellEnd"/>
      <w:r w:rsidR="00B32798" w:rsidRPr="007520C2">
        <w:rPr>
          <w:rFonts w:ascii="Helvética" w:hAnsi="Helvética"/>
          <w:b w:val="0"/>
          <w:iCs/>
          <w:sz w:val="24"/>
          <w:szCs w:val="24"/>
          <w:lang w:val="pt-BR"/>
        </w:rPr>
        <w:t xml:space="preserve"> a </w:t>
      </w:r>
      <w:proofErr w:type="spellStart"/>
      <w:r w:rsidR="00B32798" w:rsidRPr="007520C2">
        <w:rPr>
          <w:rFonts w:ascii="Helvética" w:hAnsi="Helvética"/>
          <w:b w:val="0"/>
          <w:iCs/>
          <w:sz w:val="24"/>
          <w:szCs w:val="24"/>
          <w:lang w:val="pt-BR"/>
        </w:rPr>
        <w:t>process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of</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hydrothermal</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pyrolysis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followed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by</w:t>
      </w:r>
      <w:proofErr w:type="spellEnd"/>
      <w:r w:rsidR="00B32798" w:rsidRPr="007520C2">
        <w:rPr>
          <w:rFonts w:ascii="Helvética" w:hAnsi="Helvética"/>
          <w:b w:val="0"/>
          <w:iCs/>
          <w:sz w:val="24"/>
          <w:szCs w:val="24"/>
          <w:lang w:val="pt-BR"/>
        </w:rPr>
        <w:t xml:space="preserve"> a </w:t>
      </w:r>
      <w:proofErr w:type="spellStart"/>
      <w:r w:rsidR="00B32798" w:rsidRPr="007520C2">
        <w:rPr>
          <w:rFonts w:ascii="Helvética" w:hAnsi="Helvética"/>
          <w:b w:val="0"/>
          <w:iCs/>
          <w:sz w:val="24"/>
          <w:szCs w:val="24"/>
          <w:lang w:val="pt-BR"/>
        </w:rPr>
        <w:t>dry</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pyrolysis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activating</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agents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used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were</w:t>
      </w:r>
      <w:proofErr w:type="spellEnd"/>
      <w:r w:rsidR="00B32798" w:rsidRPr="007520C2">
        <w:rPr>
          <w:rFonts w:ascii="Helvética" w:hAnsi="Helvética"/>
          <w:b w:val="0"/>
          <w:iCs/>
          <w:sz w:val="24"/>
          <w:szCs w:val="24"/>
          <w:lang w:val="pt-BR"/>
        </w:rPr>
        <w:t xml:space="preserve"> KOH </w:t>
      </w:r>
      <w:proofErr w:type="spellStart"/>
      <w:r w:rsidR="00B32798" w:rsidRPr="007520C2">
        <w:rPr>
          <w:rFonts w:ascii="Helvética" w:hAnsi="Helvética"/>
          <w:b w:val="0"/>
          <w:iCs/>
          <w:sz w:val="24"/>
          <w:szCs w:val="24"/>
          <w:lang w:val="pt-BR"/>
        </w:rPr>
        <w:t>or</w:t>
      </w:r>
      <w:proofErr w:type="spellEnd"/>
      <w:r w:rsidR="00B32798" w:rsidRPr="007520C2">
        <w:rPr>
          <w:rFonts w:ascii="Helvética" w:hAnsi="Helvética"/>
          <w:b w:val="0"/>
          <w:iCs/>
          <w:sz w:val="24"/>
          <w:szCs w:val="24"/>
          <w:lang w:val="pt-BR"/>
        </w:rPr>
        <w:t xml:space="preserve"> ZnCl</w:t>
      </w:r>
      <w:r w:rsidR="00B32798" w:rsidRPr="009B0714">
        <w:rPr>
          <w:rFonts w:ascii="Helvética" w:hAnsi="Helvética"/>
          <w:b w:val="0"/>
          <w:iCs/>
          <w:sz w:val="24"/>
          <w:szCs w:val="24"/>
          <w:vertAlign w:val="subscript"/>
          <w:lang w:val="pt-BR"/>
        </w:rPr>
        <w:t>2</w:t>
      </w:r>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Activated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carbons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showed</w:t>
      </w:r>
      <w:proofErr w:type="spellEnd"/>
      <w:r w:rsidR="00B32798" w:rsidRPr="007520C2">
        <w:rPr>
          <w:rFonts w:ascii="Helvética" w:hAnsi="Helvética"/>
          <w:b w:val="0"/>
          <w:iCs/>
          <w:sz w:val="24"/>
          <w:szCs w:val="24"/>
          <w:lang w:val="pt-BR"/>
        </w:rPr>
        <w:t xml:space="preserve"> high surface </w:t>
      </w:r>
      <w:proofErr w:type="spellStart"/>
      <w:r w:rsidR="00B32798" w:rsidRPr="007520C2">
        <w:rPr>
          <w:rFonts w:ascii="Helvética" w:hAnsi="Helvética"/>
          <w:b w:val="0"/>
          <w:iCs/>
          <w:sz w:val="24"/>
          <w:szCs w:val="24"/>
          <w:lang w:val="pt-BR"/>
        </w:rPr>
        <w:t>areas</w:t>
      </w:r>
      <w:proofErr w:type="spellEnd"/>
      <w:r w:rsidR="00B32798" w:rsidRPr="007520C2">
        <w:rPr>
          <w:rFonts w:ascii="Helvética" w:hAnsi="Helvética"/>
          <w:b w:val="0"/>
          <w:iCs/>
          <w:sz w:val="24"/>
          <w:szCs w:val="24"/>
          <w:lang w:val="pt-BR"/>
        </w:rPr>
        <w:t xml:space="preserve"> (701-1312m²/g),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different</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pore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size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distributions</w:t>
      </w:r>
      <w:proofErr w:type="spellEnd"/>
      <w:r w:rsidR="00B32798" w:rsidRPr="007520C2">
        <w:rPr>
          <w:rFonts w:ascii="Helvética" w:hAnsi="Helvética"/>
          <w:b w:val="0"/>
          <w:iCs/>
          <w:sz w:val="24"/>
          <w:szCs w:val="24"/>
          <w:lang w:val="pt-BR"/>
        </w:rPr>
        <w:t xml:space="preserve">. VOC capture </w:t>
      </w:r>
      <w:proofErr w:type="spellStart"/>
      <w:r w:rsidR="00B32798" w:rsidRPr="007520C2">
        <w:rPr>
          <w:rFonts w:ascii="Helvética" w:hAnsi="Helvética"/>
          <w:b w:val="0"/>
          <w:iCs/>
          <w:sz w:val="24"/>
          <w:szCs w:val="24"/>
          <w:lang w:val="pt-BR"/>
        </w:rPr>
        <w:t>studies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were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performed</w:t>
      </w:r>
      <w:proofErr w:type="spellEnd"/>
      <w:r w:rsidR="00B32798" w:rsidRPr="007520C2">
        <w:rPr>
          <w:rFonts w:ascii="Helvética" w:hAnsi="Helvética"/>
          <w:b w:val="0"/>
          <w:iCs/>
          <w:sz w:val="24"/>
          <w:szCs w:val="24"/>
          <w:lang w:val="pt-BR"/>
        </w:rPr>
        <w:t xml:space="preserve"> in </w:t>
      </w:r>
      <w:proofErr w:type="spellStart"/>
      <w:r w:rsidR="00B32798" w:rsidRPr="007520C2">
        <w:rPr>
          <w:rFonts w:ascii="Helvética" w:hAnsi="Helvética"/>
          <w:b w:val="0"/>
          <w:iCs/>
          <w:sz w:val="24"/>
          <w:szCs w:val="24"/>
          <w:lang w:val="pt-BR"/>
        </w:rPr>
        <w:t>thermal</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analyzer</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capacity</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up</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to</w:t>
      </w:r>
      <w:proofErr w:type="spellEnd"/>
      <w:r w:rsidR="00B32798" w:rsidRPr="007520C2">
        <w:rPr>
          <w:rFonts w:ascii="Helvética" w:hAnsi="Helvética"/>
          <w:b w:val="0"/>
          <w:iCs/>
          <w:sz w:val="24"/>
          <w:szCs w:val="24"/>
          <w:lang w:val="pt-BR"/>
        </w:rPr>
        <w:t xml:space="preserve"> 933mg/g for </w:t>
      </w:r>
      <w:proofErr w:type="spellStart"/>
      <w:r w:rsidR="00B32798" w:rsidRPr="007520C2">
        <w:rPr>
          <w:rFonts w:ascii="Helvética" w:hAnsi="Helvética"/>
          <w:b w:val="0"/>
          <w:iCs/>
          <w:sz w:val="24"/>
          <w:szCs w:val="24"/>
          <w:lang w:val="pt-BR"/>
        </w:rPr>
        <w:t>dichloromethane</w:t>
      </w:r>
      <w:proofErr w:type="spellEnd"/>
      <w:r w:rsidR="00B32798" w:rsidRPr="007520C2">
        <w:rPr>
          <w:rFonts w:ascii="Helvética" w:hAnsi="Helvética"/>
          <w:b w:val="0"/>
          <w:iCs/>
          <w:sz w:val="24"/>
          <w:szCs w:val="24"/>
          <w:lang w:val="pt-BR"/>
        </w:rPr>
        <w:t xml:space="preserve">, 775mg/g for </w:t>
      </w:r>
      <w:proofErr w:type="spellStart"/>
      <w:r w:rsidR="00B32798" w:rsidRPr="007520C2">
        <w:rPr>
          <w:rFonts w:ascii="Helvética" w:hAnsi="Helvética"/>
          <w:b w:val="0"/>
          <w:iCs/>
          <w:sz w:val="24"/>
          <w:szCs w:val="24"/>
          <w:lang w:val="pt-BR"/>
        </w:rPr>
        <w:t>chloroform</w:t>
      </w:r>
      <w:proofErr w:type="spellEnd"/>
      <w:r w:rsidR="00B32798" w:rsidRPr="007520C2">
        <w:rPr>
          <w:rFonts w:ascii="Helvética" w:hAnsi="Helvética"/>
          <w:b w:val="0"/>
          <w:iCs/>
          <w:sz w:val="24"/>
          <w:szCs w:val="24"/>
          <w:lang w:val="pt-BR"/>
        </w:rPr>
        <w:t xml:space="preserve">, 480mg/g for </w:t>
      </w:r>
      <w:proofErr w:type="spellStart"/>
      <w:r w:rsidR="00B32798" w:rsidRPr="007520C2">
        <w:rPr>
          <w:rFonts w:ascii="Helvética" w:hAnsi="Helvética"/>
          <w:b w:val="0"/>
          <w:iCs/>
          <w:sz w:val="24"/>
          <w:szCs w:val="24"/>
          <w:lang w:val="pt-BR"/>
        </w:rPr>
        <w:t>ethyl</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acetate</w:t>
      </w:r>
      <w:proofErr w:type="spellEnd"/>
      <w:r w:rsidR="00B32798" w:rsidRPr="007520C2">
        <w:rPr>
          <w:rFonts w:ascii="Helvética" w:hAnsi="Helvética"/>
          <w:b w:val="0"/>
          <w:iCs/>
          <w:sz w:val="24"/>
          <w:szCs w:val="24"/>
          <w:lang w:val="pt-BR"/>
        </w:rPr>
        <w:t xml:space="preserve">, 414mg/g for </w:t>
      </w:r>
      <w:proofErr w:type="spellStart"/>
      <w:r w:rsidR="00B32798" w:rsidRPr="007520C2">
        <w:rPr>
          <w:rFonts w:ascii="Helvética" w:hAnsi="Helvética"/>
          <w:b w:val="0"/>
          <w:iCs/>
          <w:sz w:val="24"/>
          <w:szCs w:val="24"/>
          <w:lang w:val="pt-BR"/>
        </w:rPr>
        <w:t>hexane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376mg/g for </w:t>
      </w:r>
      <w:proofErr w:type="spellStart"/>
      <w:r w:rsidR="00B32798" w:rsidRPr="007520C2">
        <w:rPr>
          <w:rFonts w:ascii="Helvética" w:hAnsi="Helvética"/>
          <w:b w:val="0"/>
          <w:iCs/>
          <w:sz w:val="24"/>
          <w:szCs w:val="24"/>
          <w:lang w:val="pt-BR"/>
        </w:rPr>
        <w:t>cyclohexane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were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reached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these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values</w:t>
      </w:r>
      <w:proofErr w:type="spellEnd"/>
      <w:r w:rsidR="00B32798" w:rsidRPr="007520C2">
        <w:rPr>
          <w:rFonts w:ascii="Helvética" w:hAnsi="Helvética"/>
          <w:b w:val="0"/>
          <w:iCs/>
          <w:sz w:val="24"/>
          <w:szCs w:val="24"/>
          <w:lang w:val="pt-BR"/>
        </w:rPr>
        <w:t xml:space="preserve"> ​​are </w:t>
      </w:r>
      <w:proofErr w:type="spellStart"/>
      <w:r w:rsidR="00B32798" w:rsidRPr="007520C2">
        <w:rPr>
          <w:rFonts w:ascii="Helvética" w:hAnsi="Helvética"/>
          <w:b w:val="0"/>
          <w:iCs/>
          <w:sz w:val="24"/>
          <w:szCs w:val="24"/>
          <w:lang w:val="pt-BR"/>
        </w:rPr>
        <w:t>higher</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than</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those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presented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by</w:t>
      </w:r>
      <w:proofErr w:type="spellEnd"/>
      <w:r w:rsidR="00B32798" w:rsidRPr="007520C2">
        <w:rPr>
          <w:rFonts w:ascii="Helvética" w:hAnsi="Helvética"/>
          <w:b w:val="0"/>
          <w:iCs/>
          <w:sz w:val="24"/>
          <w:szCs w:val="24"/>
          <w:lang w:val="pt-BR"/>
        </w:rPr>
        <w:t xml:space="preserve"> some </w:t>
      </w:r>
      <w:proofErr w:type="spellStart"/>
      <w:r w:rsidR="00B32798" w:rsidRPr="007520C2">
        <w:rPr>
          <w:rFonts w:ascii="Helvética" w:hAnsi="Helvética"/>
          <w:b w:val="0"/>
          <w:iCs/>
          <w:sz w:val="24"/>
          <w:szCs w:val="24"/>
          <w:lang w:val="pt-BR"/>
        </w:rPr>
        <w:t>studies</w:t>
      </w:r>
      <w:proofErr w:type="spellEnd"/>
      <w:r w:rsidR="00B32798" w:rsidRPr="007520C2">
        <w:rPr>
          <w:rFonts w:ascii="Helvética" w:hAnsi="Helvética"/>
          <w:b w:val="0"/>
          <w:iCs/>
          <w:sz w:val="24"/>
          <w:szCs w:val="24"/>
          <w:lang w:val="pt-BR"/>
        </w:rPr>
        <w:t xml:space="preserve"> in </w:t>
      </w:r>
      <w:proofErr w:type="spellStart"/>
      <w:r w:rsidR="00B32798" w:rsidRPr="007520C2">
        <w:rPr>
          <w:rFonts w:ascii="Helvética" w:hAnsi="Helvética"/>
          <w:b w:val="0"/>
          <w:iCs/>
          <w:sz w:val="24"/>
          <w:szCs w:val="24"/>
          <w:lang w:val="pt-BR"/>
        </w:rPr>
        <w:t>the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literature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Higher</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adsorption</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capacities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were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related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to</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amount</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of</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available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micropores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and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this</w:t>
      </w:r>
      <w:proofErr w:type="spellEnd"/>
      <w:r w:rsidR="00B32798" w:rsidRPr="007520C2">
        <w:rPr>
          <w:rFonts w:ascii="Helvética" w:hAnsi="Helvética"/>
          <w:b w:val="0"/>
          <w:iCs/>
          <w:sz w:val="24"/>
          <w:szCs w:val="24"/>
          <w:lang w:val="pt-BR"/>
        </w:rPr>
        <w:t xml:space="preserve"> capture </w:t>
      </w:r>
      <w:proofErr w:type="spellStart"/>
      <w:r w:rsidR="00B32798" w:rsidRPr="007520C2">
        <w:rPr>
          <w:rFonts w:ascii="Helvética" w:hAnsi="Helvética"/>
          <w:b w:val="0"/>
          <w:iCs/>
          <w:sz w:val="24"/>
          <w:szCs w:val="24"/>
          <w:lang w:val="pt-BR"/>
        </w:rPr>
        <w:t>capacity</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was</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enhanced</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by</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the</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amount</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of</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small</w:t>
      </w:r>
      <w:proofErr w:type="spellEnd"/>
      <w:r w:rsidR="00B32798" w:rsidRPr="007520C2">
        <w:rPr>
          <w:rFonts w:ascii="Helvética" w:hAnsi="Helvética"/>
          <w:b w:val="0"/>
          <w:iCs/>
          <w:sz w:val="24"/>
          <w:szCs w:val="24"/>
          <w:lang w:val="pt-BR"/>
        </w:rPr>
        <w:t xml:space="preserve"> </w:t>
      </w:r>
      <w:proofErr w:type="spellStart"/>
      <w:r w:rsidR="00B32798" w:rsidRPr="007520C2">
        <w:rPr>
          <w:rFonts w:ascii="Helvética" w:hAnsi="Helvética"/>
          <w:b w:val="0"/>
          <w:iCs/>
          <w:sz w:val="24"/>
          <w:szCs w:val="24"/>
          <w:lang w:val="pt-BR"/>
        </w:rPr>
        <w:t>mesopores</w:t>
      </w:r>
      <w:proofErr w:type="spellEnd"/>
      <w:r w:rsidR="00B32798" w:rsidRPr="007520C2">
        <w:rPr>
          <w:rFonts w:ascii="Helvética" w:hAnsi="Helvética"/>
          <w:b w:val="0"/>
          <w:iCs/>
          <w:sz w:val="24"/>
          <w:szCs w:val="24"/>
          <w:lang w:val="pt-BR"/>
        </w:rPr>
        <w:t>.</w:t>
      </w:r>
    </w:p>
    <w:p w14:paraId="5F4A84E8" w14:textId="78BE46AB" w:rsidR="00EA4E1B" w:rsidRPr="007520C2" w:rsidRDefault="00EA4E1B" w:rsidP="00EA4E1B">
      <w:pPr>
        <w:pStyle w:val="BDAbstract"/>
        <w:spacing w:before="0" w:after="120" w:line="240" w:lineRule="auto"/>
        <w:rPr>
          <w:rFonts w:ascii="Helvética" w:hAnsi="Helvética"/>
          <w:b w:val="0"/>
          <w:i/>
          <w:sz w:val="24"/>
          <w:szCs w:val="24"/>
          <w:lang w:val="pt-BR"/>
        </w:rPr>
      </w:pPr>
      <w:r w:rsidRPr="007520C2">
        <w:rPr>
          <w:rFonts w:ascii="Helvética" w:hAnsi="Helvética"/>
          <w:b w:val="0"/>
          <w:i/>
          <w:sz w:val="24"/>
          <w:szCs w:val="24"/>
          <w:lang w:val="pt-BR"/>
        </w:rPr>
        <w:t xml:space="preserve">Keywords: </w:t>
      </w:r>
      <w:proofErr w:type="spellStart"/>
      <w:r w:rsidR="005706D5" w:rsidRPr="007520C2">
        <w:rPr>
          <w:rFonts w:ascii="Helvética" w:hAnsi="Helvética"/>
          <w:b w:val="0"/>
          <w:i/>
          <w:sz w:val="24"/>
          <w:szCs w:val="24"/>
          <w:lang w:val="pt-BR"/>
        </w:rPr>
        <w:t>Activated</w:t>
      </w:r>
      <w:proofErr w:type="spellEnd"/>
      <w:r w:rsidR="005706D5" w:rsidRPr="007520C2">
        <w:rPr>
          <w:rFonts w:ascii="Helvética" w:hAnsi="Helvética"/>
          <w:b w:val="0"/>
          <w:i/>
          <w:sz w:val="24"/>
          <w:szCs w:val="24"/>
          <w:lang w:val="pt-BR"/>
        </w:rPr>
        <w:t xml:space="preserve"> Carbon; </w:t>
      </w:r>
      <w:proofErr w:type="spellStart"/>
      <w:r w:rsidR="005706D5" w:rsidRPr="007520C2">
        <w:rPr>
          <w:rFonts w:ascii="Helvética" w:hAnsi="Helvética"/>
          <w:b w:val="0"/>
          <w:i/>
          <w:sz w:val="24"/>
          <w:szCs w:val="24"/>
          <w:lang w:val="pt-BR"/>
        </w:rPr>
        <w:t>Pseudosteam</w:t>
      </w:r>
      <w:proofErr w:type="spellEnd"/>
      <w:r w:rsidR="005706D5" w:rsidRPr="007520C2">
        <w:rPr>
          <w:rFonts w:ascii="Helvética" w:hAnsi="Helvética"/>
          <w:b w:val="0"/>
          <w:i/>
          <w:sz w:val="24"/>
          <w:szCs w:val="24"/>
          <w:lang w:val="pt-BR"/>
        </w:rPr>
        <w:t xml:space="preserve"> </w:t>
      </w:r>
      <w:proofErr w:type="spellStart"/>
      <w:r w:rsidR="005706D5" w:rsidRPr="007520C2">
        <w:rPr>
          <w:rFonts w:ascii="Helvética" w:hAnsi="Helvética"/>
          <w:b w:val="0"/>
          <w:i/>
          <w:sz w:val="24"/>
          <w:szCs w:val="24"/>
          <w:lang w:val="pt-BR"/>
        </w:rPr>
        <w:t>of</w:t>
      </w:r>
      <w:proofErr w:type="spellEnd"/>
      <w:r w:rsidR="005706D5" w:rsidRPr="007520C2">
        <w:rPr>
          <w:rFonts w:ascii="Helvética" w:hAnsi="Helvética"/>
          <w:b w:val="0"/>
          <w:i/>
          <w:sz w:val="24"/>
          <w:szCs w:val="24"/>
          <w:lang w:val="pt-BR"/>
        </w:rPr>
        <w:t xml:space="preserve"> Banana; </w:t>
      </w:r>
      <w:proofErr w:type="spellStart"/>
      <w:r w:rsidR="005706D5" w:rsidRPr="007520C2">
        <w:rPr>
          <w:rFonts w:ascii="Helvética" w:hAnsi="Helvética"/>
          <w:b w:val="0"/>
          <w:i/>
          <w:sz w:val="24"/>
          <w:szCs w:val="24"/>
          <w:lang w:val="pt-BR"/>
        </w:rPr>
        <w:t>Adsorption</w:t>
      </w:r>
      <w:proofErr w:type="spellEnd"/>
      <w:r w:rsidR="005706D5" w:rsidRPr="007520C2">
        <w:rPr>
          <w:rFonts w:ascii="Helvética" w:hAnsi="Helvética"/>
          <w:b w:val="0"/>
          <w:i/>
          <w:sz w:val="24"/>
          <w:szCs w:val="24"/>
          <w:lang w:val="pt-BR"/>
        </w:rPr>
        <w:t xml:space="preserve">; </w:t>
      </w:r>
      <w:proofErr w:type="spellStart"/>
      <w:r w:rsidR="005706D5" w:rsidRPr="007520C2">
        <w:rPr>
          <w:rFonts w:ascii="Helvética" w:hAnsi="Helvética"/>
          <w:b w:val="0"/>
          <w:i/>
          <w:sz w:val="24"/>
          <w:szCs w:val="24"/>
          <w:lang w:val="pt-BR"/>
        </w:rPr>
        <w:t>Volatile</w:t>
      </w:r>
      <w:proofErr w:type="spellEnd"/>
      <w:r w:rsidR="005706D5" w:rsidRPr="007520C2">
        <w:rPr>
          <w:rFonts w:ascii="Helvética" w:hAnsi="Helvética"/>
          <w:b w:val="0"/>
          <w:i/>
          <w:sz w:val="24"/>
          <w:szCs w:val="24"/>
          <w:lang w:val="pt-BR"/>
        </w:rPr>
        <w:t xml:space="preserve"> Organic </w:t>
      </w:r>
      <w:proofErr w:type="spellStart"/>
      <w:r w:rsidR="005706D5" w:rsidRPr="007520C2">
        <w:rPr>
          <w:rFonts w:ascii="Helvética" w:hAnsi="Helvética"/>
          <w:b w:val="0"/>
          <w:i/>
          <w:sz w:val="24"/>
          <w:szCs w:val="24"/>
          <w:lang w:val="pt-BR"/>
        </w:rPr>
        <w:t>Compound</w:t>
      </w:r>
      <w:proofErr w:type="spellEnd"/>
    </w:p>
    <w:bookmarkEnd w:id="1"/>
    <w:p w14:paraId="48D9B0C4" w14:textId="77777777" w:rsidR="00EA4E1B" w:rsidRDefault="00EA4E1B" w:rsidP="00EA4E1B">
      <w:pPr>
        <w:sectPr w:rsidR="00EA4E1B" w:rsidSect="00EA4E1B">
          <w:headerReference w:type="default" r:id="rId8"/>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4053E656" w14:textId="1AA506B6" w:rsidR="00EA4E1B" w:rsidRDefault="004F638B" w:rsidP="004F638B">
      <w:pPr>
        <w:pStyle w:val="TAMainText"/>
        <w:rPr>
          <w:rFonts w:ascii="Times New Roman" w:hAnsi="Times New Roman"/>
          <w:lang w:val="pt-BR"/>
        </w:rPr>
      </w:pPr>
      <w:proofErr w:type="gramStart"/>
      <w:r>
        <w:rPr>
          <w:rFonts w:ascii="Times New Roman" w:hAnsi="Times New Roman"/>
          <w:lang w:val="pt-BR"/>
        </w:rPr>
        <w:t>Os impactos causados pela poluição atmosférica seja</w:t>
      </w:r>
      <w:proofErr w:type="gramEnd"/>
      <w:r>
        <w:rPr>
          <w:rFonts w:ascii="Times New Roman" w:hAnsi="Times New Roman"/>
          <w:lang w:val="pt-BR"/>
        </w:rPr>
        <w:t xml:space="preserve"> ao ambiente, assim como à saúde humana têm motivado o</w:t>
      </w:r>
      <w:r w:rsidR="005706D5" w:rsidRPr="005706D5">
        <w:rPr>
          <w:rFonts w:ascii="Times New Roman" w:hAnsi="Times New Roman"/>
          <w:lang w:val="pt-BR"/>
        </w:rPr>
        <w:t xml:space="preserve"> desenvolvimento científico e tecnológico para </w:t>
      </w:r>
      <w:r>
        <w:rPr>
          <w:rFonts w:ascii="Times New Roman" w:hAnsi="Times New Roman"/>
          <w:lang w:val="pt-BR"/>
        </w:rPr>
        <w:t>d</w:t>
      </w:r>
      <w:r w:rsidR="006E5F83">
        <w:rPr>
          <w:rFonts w:ascii="Times New Roman" w:hAnsi="Times New Roman"/>
          <w:lang w:val="pt-BR"/>
        </w:rPr>
        <w:t>ar</w:t>
      </w:r>
      <w:r>
        <w:rPr>
          <w:rFonts w:ascii="Times New Roman" w:hAnsi="Times New Roman"/>
          <w:lang w:val="pt-BR"/>
        </w:rPr>
        <w:t xml:space="preserve"> soluções que possam frear tais problemas</w:t>
      </w:r>
      <w:r w:rsidR="005706D5" w:rsidRPr="005706D5">
        <w:rPr>
          <w:rFonts w:ascii="Times New Roman" w:hAnsi="Times New Roman"/>
          <w:lang w:val="pt-BR"/>
        </w:rPr>
        <w:t xml:space="preserve">. Dentre os vários poluentes atmosféricos, encontram-se os compostos orgânicos voláteis – </w:t>
      </w:r>
      <w:proofErr w:type="spellStart"/>
      <w:r w:rsidR="005706D5" w:rsidRPr="005706D5">
        <w:rPr>
          <w:rFonts w:ascii="Times New Roman" w:hAnsi="Times New Roman"/>
          <w:lang w:val="pt-BR"/>
        </w:rPr>
        <w:t>COVs</w:t>
      </w:r>
      <w:proofErr w:type="spellEnd"/>
      <w:r w:rsidR="005706D5" w:rsidRPr="005706D5">
        <w:rPr>
          <w:rFonts w:ascii="Times New Roman" w:hAnsi="Times New Roman"/>
          <w:lang w:val="pt-BR"/>
        </w:rPr>
        <w:t xml:space="preserve"> (ou </w:t>
      </w:r>
      <w:proofErr w:type="spellStart"/>
      <w:r w:rsidR="005706D5" w:rsidRPr="005706D5">
        <w:rPr>
          <w:rFonts w:ascii="Times New Roman" w:hAnsi="Times New Roman"/>
          <w:lang w:val="pt-BR"/>
        </w:rPr>
        <w:t>volatile</w:t>
      </w:r>
      <w:proofErr w:type="spellEnd"/>
      <w:r w:rsidR="005706D5" w:rsidRPr="005706D5">
        <w:rPr>
          <w:rFonts w:ascii="Times New Roman" w:hAnsi="Times New Roman"/>
          <w:lang w:val="pt-BR"/>
        </w:rPr>
        <w:t xml:space="preserve"> </w:t>
      </w:r>
      <w:proofErr w:type="spellStart"/>
      <w:r w:rsidR="005706D5" w:rsidRPr="005706D5">
        <w:rPr>
          <w:rFonts w:ascii="Times New Roman" w:hAnsi="Times New Roman"/>
          <w:lang w:val="pt-BR"/>
        </w:rPr>
        <w:t>organic</w:t>
      </w:r>
      <w:proofErr w:type="spellEnd"/>
      <w:r w:rsidR="005706D5" w:rsidRPr="005706D5">
        <w:rPr>
          <w:rFonts w:ascii="Times New Roman" w:hAnsi="Times New Roman"/>
          <w:lang w:val="pt-BR"/>
        </w:rPr>
        <w:t xml:space="preserve"> </w:t>
      </w:r>
      <w:proofErr w:type="spellStart"/>
      <w:r w:rsidR="005706D5" w:rsidRPr="005706D5">
        <w:rPr>
          <w:rFonts w:ascii="Times New Roman" w:hAnsi="Times New Roman"/>
          <w:lang w:val="pt-BR"/>
        </w:rPr>
        <w:t>compounds</w:t>
      </w:r>
      <w:proofErr w:type="spellEnd"/>
      <w:r w:rsidR="005706D5" w:rsidRPr="005706D5">
        <w:rPr>
          <w:rFonts w:ascii="Times New Roman" w:hAnsi="Times New Roman"/>
          <w:lang w:val="pt-BR"/>
        </w:rPr>
        <w:t xml:space="preserve"> – </w:t>
      </w:r>
      <w:proofErr w:type="spellStart"/>
      <w:r w:rsidR="005706D5" w:rsidRPr="005706D5">
        <w:rPr>
          <w:rFonts w:ascii="Times New Roman" w:hAnsi="Times New Roman"/>
          <w:lang w:val="pt-BR"/>
        </w:rPr>
        <w:t>VOCs</w:t>
      </w:r>
      <w:proofErr w:type="spellEnd"/>
      <w:r w:rsidR="005706D5" w:rsidRPr="005706D5">
        <w:rPr>
          <w:rFonts w:ascii="Times New Roman" w:hAnsi="Times New Roman"/>
          <w:lang w:val="pt-BR"/>
        </w:rPr>
        <w:t xml:space="preserve">), que são causadores de sérios problemas à saúde </w:t>
      </w:r>
      <w:r w:rsidR="005706D5" w:rsidRPr="005706D5">
        <w:rPr>
          <w:rFonts w:ascii="Times New Roman" w:hAnsi="Times New Roman"/>
          <w:lang w:val="pt-BR"/>
        </w:rPr>
        <w:t>humana e ao ambiente</w:t>
      </w:r>
      <w:r w:rsidR="00CD051E">
        <w:rPr>
          <w:rFonts w:ascii="Times New Roman" w:hAnsi="Times New Roman"/>
          <w:lang w:val="pt-BR"/>
        </w:rPr>
        <w:t xml:space="preserve">, como exemplo do diclorometano, clorofórmio, acetato de etila, hexano e </w:t>
      </w:r>
      <w:proofErr w:type="spellStart"/>
      <w:r w:rsidR="00CD051E">
        <w:rPr>
          <w:rFonts w:ascii="Times New Roman" w:hAnsi="Times New Roman"/>
          <w:lang w:val="pt-BR"/>
        </w:rPr>
        <w:t>ciclohexano</w:t>
      </w:r>
      <w:proofErr w:type="spellEnd"/>
      <w:r w:rsidR="005706D5" w:rsidRPr="005706D5">
        <w:rPr>
          <w:rFonts w:ascii="Times New Roman" w:hAnsi="Times New Roman"/>
          <w:lang w:val="pt-BR"/>
        </w:rPr>
        <w:t xml:space="preserve"> </w:t>
      </w:r>
      <w:r w:rsidR="005706D5">
        <w:rPr>
          <w:rFonts w:ascii="Times New Roman" w:hAnsi="Times New Roman"/>
          <w:lang w:val="pt-BR"/>
        </w:rPr>
        <w:t>(1)</w:t>
      </w:r>
      <w:r w:rsidR="00C87CD0">
        <w:rPr>
          <w:rFonts w:ascii="Times New Roman" w:hAnsi="Times New Roman"/>
          <w:lang w:val="pt-BR"/>
        </w:rPr>
        <w:t>.</w:t>
      </w:r>
    </w:p>
    <w:p w14:paraId="197F2ECA" w14:textId="40C4182C" w:rsidR="005706D5" w:rsidRDefault="005706D5" w:rsidP="00B32798">
      <w:pPr>
        <w:pStyle w:val="TAMainText"/>
        <w:rPr>
          <w:rFonts w:ascii="Times New Roman" w:hAnsi="Times New Roman"/>
          <w:lang w:val="pt-BR"/>
        </w:rPr>
      </w:pPr>
      <w:r w:rsidRPr="005706D5">
        <w:rPr>
          <w:rFonts w:ascii="Times New Roman" w:hAnsi="Times New Roman"/>
          <w:lang w:val="pt-BR"/>
        </w:rPr>
        <w:t xml:space="preserve">Os </w:t>
      </w:r>
      <w:proofErr w:type="spellStart"/>
      <w:r w:rsidRPr="005706D5">
        <w:rPr>
          <w:rFonts w:ascii="Times New Roman" w:hAnsi="Times New Roman"/>
          <w:lang w:val="pt-BR"/>
        </w:rPr>
        <w:t>COVs</w:t>
      </w:r>
      <w:proofErr w:type="spellEnd"/>
      <w:r w:rsidRPr="005706D5">
        <w:rPr>
          <w:rFonts w:ascii="Times New Roman" w:hAnsi="Times New Roman"/>
          <w:lang w:val="pt-BR"/>
        </w:rPr>
        <w:t xml:space="preserve"> são emitidos na atmosfera por fontes antropogênicas e biogênica</w:t>
      </w:r>
      <w:r w:rsidR="008A7A98">
        <w:rPr>
          <w:rFonts w:ascii="Times New Roman" w:hAnsi="Times New Roman"/>
          <w:lang w:val="pt-BR"/>
        </w:rPr>
        <w:t>, m</w:t>
      </w:r>
      <w:r w:rsidRPr="005706D5">
        <w:rPr>
          <w:rFonts w:ascii="Times New Roman" w:hAnsi="Times New Roman"/>
          <w:lang w:val="pt-BR"/>
        </w:rPr>
        <w:t xml:space="preserve">uitos </w:t>
      </w:r>
      <w:r w:rsidR="008A7A98">
        <w:rPr>
          <w:rFonts w:ascii="Times New Roman" w:hAnsi="Times New Roman"/>
          <w:lang w:val="pt-BR"/>
        </w:rPr>
        <w:t>destes</w:t>
      </w:r>
      <w:r w:rsidR="004F638B">
        <w:rPr>
          <w:rFonts w:ascii="Times New Roman" w:hAnsi="Times New Roman"/>
          <w:lang w:val="pt-BR"/>
        </w:rPr>
        <w:t xml:space="preserve"> são altamente tóxicos, </w:t>
      </w:r>
      <w:r w:rsidRPr="005706D5">
        <w:rPr>
          <w:rFonts w:ascii="Times New Roman" w:hAnsi="Times New Roman"/>
          <w:lang w:val="pt-BR"/>
        </w:rPr>
        <w:t>possuem atividade cancerígena, podem intensificar o efeito estufa e a destruição da camada de ozônio</w:t>
      </w:r>
      <w:r w:rsidR="00C87CD0">
        <w:rPr>
          <w:rFonts w:ascii="Times New Roman" w:hAnsi="Times New Roman"/>
          <w:lang w:val="pt-BR"/>
        </w:rPr>
        <w:t xml:space="preserve"> (2).</w:t>
      </w:r>
      <w:r w:rsidR="008A7A98">
        <w:rPr>
          <w:rFonts w:ascii="Times New Roman" w:hAnsi="Times New Roman"/>
          <w:lang w:val="pt-BR"/>
        </w:rPr>
        <w:t xml:space="preserve"> Os </w:t>
      </w:r>
      <w:proofErr w:type="spellStart"/>
      <w:r w:rsidR="008A7A98">
        <w:rPr>
          <w:rFonts w:ascii="Times New Roman" w:hAnsi="Times New Roman"/>
          <w:lang w:val="pt-BR"/>
        </w:rPr>
        <w:t>COVs</w:t>
      </w:r>
      <w:proofErr w:type="spellEnd"/>
      <w:r w:rsidR="008A7A98">
        <w:rPr>
          <w:rFonts w:ascii="Times New Roman" w:hAnsi="Times New Roman"/>
          <w:lang w:val="pt-BR"/>
        </w:rPr>
        <w:t xml:space="preserve"> são encontrados </w:t>
      </w:r>
      <w:r w:rsidRPr="005706D5">
        <w:rPr>
          <w:rFonts w:ascii="Times New Roman" w:hAnsi="Times New Roman"/>
          <w:lang w:val="pt-BR"/>
        </w:rPr>
        <w:t xml:space="preserve">em solventes </w:t>
      </w:r>
      <w:r w:rsidR="004F638B">
        <w:rPr>
          <w:rFonts w:ascii="Times New Roman" w:hAnsi="Times New Roman"/>
          <w:lang w:val="pt-BR"/>
        </w:rPr>
        <w:t xml:space="preserve">no </w:t>
      </w:r>
      <w:r w:rsidRPr="005706D5">
        <w:rPr>
          <w:rFonts w:ascii="Times New Roman" w:hAnsi="Times New Roman"/>
          <w:lang w:val="pt-BR"/>
        </w:rPr>
        <w:t>geral, repelentes, pr</w:t>
      </w:r>
      <w:r w:rsidR="004F638B">
        <w:rPr>
          <w:rFonts w:ascii="Times New Roman" w:hAnsi="Times New Roman"/>
          <w:lang w:val="pt-BR"/>
        </w:rPr>
        <w:t xml:space="preserve">odutos de limpeza, maquiagens, </w:t>
      </w:r>
      <w:r w:rsidRPr="005706D5">
        <w:rPr>
          <w:rFonts w:ascii="Times New Roman" w:hAnsi="Times New Roman"/>
          <w:lang w:val="pt-BR"/>
        </w:rPr>
        <w:t xml:space="preserve">cosméticos, pesticidas, </w:t>
      </w:r>
      <w:r w:rsidRPr="005706D5">
        <w:rPr>
          <w:rFonts w:ascii="Times New Roman" w:hAnsi="Times New Roman"/>
          <w:lang w:val="pt-BR"/>
        </w:rPr>
        <w:lastRenderedPageBreak/>
        <w:t>roupas lavadas a seco, tintas, móveis, combustíveis, entre ou</w:t>
      </w:r>
      <w:r w:rsidR="00CF307D">
        <w:rPr>
          <w:rFonts w:ascii="Times New Roman" w:hAnsi="Times New Roman"/>
          <w:lang w:val="pt-BR"/>
        </w:rPr>
        <w:t>tros</w:t>
      </w:r>
      <w:r w:rsidR="00FB7384">
        <w:rPr>
          <w:rFonts w:ascii="Times New Roman" w:hAnsi="Times New Roman"/>
          <w:lang w:val="pt-BR"/>
        </w:rPr>
        <w:t xml:space="preserve"> </w:t>
      </w:r>
      <w:r w:rsidR="00CF307D">
        <w:rPr>
          <w:rFonts w:ascii="Times New Roman" w:hAnsi="Times New Roman"/>
          <w:lang w:val="pt-BR"/>
        </w:rPr>
        <w:t>(2)</w:t>
      </w:r>
      <w:r>
        <w:rPr>
          <w:rFonts w:ascii="Times New Roman" w:hAnsi="Times New Roman"/>
          <w:lang w:val="pt-BR"/>
        </w:rPr>
        <w:t>.</w:t>
      </w:r>
    </w:p>
    <w:p w14:paraId="29267218" w14:textId="3DE0222E" w:rsidR="005706D5" w:rsidRPr="001F25B2" w:rsidRDefault="005706D5" w:rsidP="00B32798">
      <w:pPr>
        <w:pStyle w:val="TAMainText"/>
        <w:rPr>
          <w:rFonts w:ascii="Times New Roman" w:hAnsi="Times New Roman"/>
          <w:lang w:val="pt-BR"/>
        </w:rPr>
      </w:pPr>
      <w:r w:rsidRPr="005706D5">
        <w:rPr>
          <w:rFonts w:ascii="Times New Roman" w:hAnsi="Times New Roman"/>
          <w:lang w:val="pt-BR"/>
        </w:rPr>
        <w:t xml:space="preserve">Com o aumento acentuado dos compostos orgânicos voláteis no ambiente houve a necessidade da criação do Protocolo de Gotemburgo, que estipula que as emissões de </w:t>
      </w:r>
      <w:proofErr w:type="spellStart"/>
      <w:r w:rsidRPr="005706D5">
        <w:rPr>
          <w:rFonts w:ascii="Times New Roman" w:hAnsi="Times New Roman"/>
          <w:lang w:val="pt-BR"/>
        </w:rPr>
        <w:t>COVs</w:t>
      </w:r>
      <w:proofErr w:type="spellEnd"/>
      <w:r w:rsidRPr="005706D5">
        <w:rPr>
          <w:rFonts w:ascii="Times New Roman" w:hAnsi="Times New Roman"/>
          <w:lang w:val="pt-BR"/>
        </w:rPr>
        <w:t xml:space="preserve"> deveriam ser reduzidas para metade até 2020</w:t>
      </w:r>
      <w:r>
        <w:rPr>
          <w:rFonts w:ascii="Times New Roman" w:hAnsi="Times New Roman"/>
          <w:lang w:val="pt-BR"/>
        </w:rPr>
        <w:t>(2)</w:t>
      </w:r>
      <w:r w:rsidRPr="005706D5">
        <w:rPr>
          <w:rFonts w:ascii="Times New Roman" w:hAnsi="Times New Roman"/>
          <w:lang w:val="pt-BR"/>
        </w:rPr>
        <w:t xml:space="preserve">. Apesar da criação do </w:t>
      </w:r>
      <w:r w:rsidR="00FB7384">
        <w:rPr>
          <w:rFonts w:ascii="Times New Roman" w:hAnsi="Times New Roman"/>
          <w:lang w:val="pt-BR"/>
        </w:rPr>
        <w:t>referido</w:t>
      </w:r>
      <w:r w:rsidRPr="005706D5">
        <w:rPr>
          <w:rFonts w:ascii="Times New Roman" w:hAnsi="Times New Roman"/>
          <w:lang w:val="pt-BR"/>
        </w:rPr>
        <w:t xml:space="preserve"> protocolo, não houve uma redução significativa da emissão de </w:t>
      </w:r>
      <w:proofErr w:type="spellStart"/>
      <w:r w:rsidRPr="005706D5">
        <w:rPr>
          <w:rFonts w:ascii="Times New Roman" w:hAnsi="Times New Roman"/>
          <w:lang w:val="pt-BR"/>
        </w:rPr>
        <w:t>COVs</w:t>
      </w:r>
      <w:proofErr w:type="spellEnd"/>
      <w:r w:rsidRPr="005706D5">
        <w:rPr>
          <w:rFonts w:ascii="Times New Roman" w:hAnsi="Times New Roman"/>
          <w:lang w:val="pt-BR"/>
        </w:rPr>
        <w:t xml:space="preserve"> na atmosfera, muito pelo contrário, estipula-se um aumento de 38,3% da emissão de </w:t>
      </w:r>
      <w:proofErr w:type="spellStart"/>
      <w:r w:rsidRPr="005706D5">
        <w:rPr>
          <w:rFonts w:ascii="Times New Roman" w:hAnsi="Times New Roman"/>
          <w:lang w:val="pt-BR"/>
        </w:rPr>
        <w:t>COVs</w:t>
      </w:r>
      <w:proofErr w:type="spellEnd"/>
      <w:r w:rsidRPr="005706D5">
        <w:rPr>
          <w:rFonts w:ascii="Times New Roman" w:hAnsi="Times New Roman"/>
          <w:lang w:val="pt-BR"/>
        </w:rPr>
        <w:t xml:space="preserve"> devido ao aumento das atividades industriais</w:t>
      </w:r>
      <w:r w:rsidR="00CF307D">
        <w:rPr>
          <w:rFonts w:ascii="Times New Roman" w:hAnsi="Times New Roman"/>
          <w:lang w:val="pt-BR"/>
        </w:rPr>
        <w:t xml:space="preserve"> </w:t>
      </w:r>
      <w:r>
        <w:rPr>
          <w:rFonts w:ascii="Times New Roman" w:hAnsi="Times New Roman"/>
          <w:lang w:val="pt-BR"/>
        </w:rPr>
        <w:t>(</w:t>
      </w:r>
      <w:r w:rsidR="00CF307D">
        <w:rPr>
          <w:rFonts w:ascii="Times New Roman" w:hAnsi="Times New Roman"/>
          <w:lang w:val="pt-BR"/>
        </w:rPr>
        <w:t>3</w:t>
      </w:r>
      <w:r>
        <w:rPr>
          <w:rFonts w:ascii="Times New Roman" w:hAnsi="Times New Roman"/>
          <w:lang w:val="pt-BR"/>
        </w:rPr>
        <w:t>)</w:t>
      </w:r>
      <w:r w:rsidRPr="005706D5">
        <w:rPr>
          <w:rFonts w:ascii="Times New Roman" w:hAnsi="Times New Roman"/>
          <w:lang w:val="pt-BR"/>
        </w:rPr>
        <w:t xml:space="preserve">. Segundo previsões, a emissão de </w:t>
      </w:r>
      <w:proofErr w:type="spellStart"/>
      <w:r w:rsidRPr="005706D5">
        <w:rPr>
          <w:rFonts w:ascii="Times New Roman" w:hAnsi="Times New Roman"/>
          <w:lang w:val="pt-BR"/>
        </w:rPr>
        <w:t>COVs</w:t>
      </w:r>
      <w:proofErr w:type="spellEnd"/>
      <w:r w:rsidRPr="005706D5">
        <w:rPr>
          <w:rFonts w:ascii="Times New Roman" w:hAnsi="Times New Roman"/>
          <w:lang w:val="pt-BR"/>
        </w:rPr>
        <w:t xml:space="preserve"> no ano de 2030 será, aproximadamente, o dobro do que foi até o ano de 2020; e, no ano de 2050, será aproximadamente 4 vezes mais do que foi até 2020 </w:t>
      </w:r>
      <w:r>
        <w:rPr>
          <w:rFonts w:ascii="Times New Roman" w:hAnsi="Times New Roman"/>
          <w:lang w:val="pt-BR"/>
        </w:rPr>
        <w:t>(</w:t>
      </w:r>
      <w:r w:rsidR="00CF307D">
        <w:rPr>
          <w:rFonts w:ascii="Times New Roman" w:hAnsi="Times New Roman"/>
          <w:lang w:val="pt-BR"/>
        </w:rPr>
        <w:t>4</w:t>
      </w:r>
      <w:r>
        <w:rPr>
          <w:rFonts w:ascii="Times New Roman" w:hAnsi="Times New Roman"/>
          <w:lang w:val="pt-BR"/>
        </w:rPr>
        <w:t>)</w:t>
      </w:r>
      <w:r w:rsidRPr="005706D5">
        <w:rPr>
          <w:rFonts w:ascii="Times New Roman" w:hAnsi="Times New Roman"/>
          <w:lang w:val="pt-BR"/>
        </w:rPr>
        <w:t xml:space="preserve">. Devido ao aumento significativo de </w:t>
      </w:r>
      <w:proofErr w:type="spellStart"/>
      <w:r w:rsidRPr="005706D5">
        <w:rPr>
          <w:rFonts w:ascii="Times New Roman" w:hAnsi="Times New Roman"/>
          <w:lang w:val="pt-BR"/>
        </w:rPr>
        <w:t>COVs</w:t>
      </w:r>
      <w:proofErr w:type="spellEnd"/>
      <w:r w:rsidRPr="005706D5">
        <w:rPr>
          <w:rFonts w:ascii="Times New Roman" w:hAnsi="Times New Roman"/>
          <w:lang w:val="pt-BR"/>
        </w:rPr>
        <w:t>, o desenvolvimento de métodos de captura e abatimento é de extrema importância.</w:t>
      </w:r>
    </w:p>
    <w:p w14:paraId="212614FD" w14:textId="4FBFA3F0" w:rsidR="005324BA" w:rsidRPr="005706D5" w:rsidRDefault="00173293" w:rsidP="00EA4E1B">
      <w:pPr>
        <w:pStyle w:val="TAMainText"/>
        <w:rPr>
          <w:rFonts w:ascii="Times New Roman" w:hAnsi="Times New Roman"/>
          <w:bCs/>
          <w:lang w:val="pt-BR"/>
        </w:rPr>
      </w:pPr>
      <w:r>
        <w:rPr>
          <w:rFonts w:ascii="Times New Roman" w:hAnsi="Times New Roman"/>
          <w:bCs/>
          <w:lang w:val="pt-BR"/>
        </w:rPr>
        <w:t xml:space="preserve">Entre os métodos desenvolvidos para a captura/abatimentos de </w:t>
      </w:r>
      <w:proofErr w:type="spellStart"/>
      <w:r>
        <w:rPr>
          <w:rFonts w:ascii="Times New Roman" w:hAnsi="Times New Roman"/>
          <w:bCs/>
          <w:lang w:val="pt-BR"/>
        </w:rPr>
        <w:t>COVs</w:t>
      </w:r>
      <w:proofErr w:type="spellEnd"/>
      <w:r w:rsidR="004F638B">
        <w:rPr>
          <w:rFonts w:ascii="Times New Roman" w:hAnsi="Times New Roman"/>
          <w:bCs/>
          <w:lang w:val="pt-BR"/>
        </w:rPr>
        <w:t>,</w:t>
      </w:r>
      <w:r>
        <w:rPr>
          <w:rFonts w:ascii="Times New Roman" w:hAnsi="Times New Roman"/>
          <w:bCs/>
          <w:lang w:val="pt-BR"/>
        </w:rPr>
        <w:t xml:space="preserve"> a adsorção se destaca, devido a sua elevada eficiência e </w:t>
      </w:r>
      <w:r w:rsidR="004F638B">
        <w:rPr>
          <w:rFonts w:ascii="Times New Roman" w:hAnsi="Times New Roman"/>
          <w:bCs/>
          <w:lang w:val="pt-BR"/>
        </w:rPr>
        <w:t>custo</w:t>
      </w:r>
      <w:r>
        <w:rPr>
          <w:rFonts w:ascii="Times New Roman" w:hAnsi="Times New Roman"/>
          <w:bCs/>
          <w:lang w:val="pt-BR"/>
        </w:rPr>
        <w:t xml:space="preserve"> relativamente barato para remoção desses composto</w:t>
      </w:r>
      <w:r w:rsidR="00CF307D">
        <w:rPr>
          <w:rFonts w:ascii="Times New Roman" w:hAnsi="Times New Roman"/>
          <w:bCs/>
          <w:lang w:val="pt-BR"/>
        </w:rPr>
        <w:t>s</w:t>
      </w:r>
      <w:r w:rsidR="004F638B">
        <w:rPr>
          <w:rFonts w:ascii="Times New Roman" w:hAnsi="Times New Roman"/>
          <w:bCs/>
          <w:lang w:val="pt-BR"/>
        </w:rPr>
        <w:t xml:space="preserve"> </w:t>
      </w:r>
      <w:r w:rsidR="00CF307D">
        <w:rPr>
          <w:rFonts w:ascii="Times New Roman" w:hAnsi="Times New Roman"/>
          <w:bCs/>
          <w:lang w:val="pt-BR"/>
        </w:rPr>
        <w:t>(2)(3)</w:t>
      </w:r>
      <w:r w:rsidR="005324BA">
        <w:rPr>
          <w:rFonts w:ascii="Times New Roman" w:hAnsi="Times New Roman"/>
          <w:bCs/>
          <w:lang w:val="pt-BR"/>
        </w:rPr>
        <w:t>.</w:t>
      </w:r>
      <w:r w:rsidR="004F638B">
        <w:rPr>
          <w:rFonts w:ascii="Times New Roman" w:hAnsi="Times New Roman"/>
          <w:bCs/>
          <w:lang w:val="pt-BR"/>
        </w:rPr>
        <w:t xml:space="preserve"> </w:t>
      </w:r>
      <w:r w:rsidR="005324BA" w:rsidRPr="005324BA">
        <w:rPr>
          <w:rFonts w:ascii="Times New Roman" w:hAnsi="Times New Roman"/>
          <w:bCs/>
          <w:lang w:val="pt-BR"/>
        </w:rPr>
        <w:t xml:space="preserve">Os carvões ativados são recomendados para a captura de poluentes atmosféricos, pois apresentam propriedades adequadas, tais como: grande área superficial; </w:t>
      </w:r>
      <w:r w:rsidR="004F638B">
        <w:rPr>
          <w:rFonts w:ascii="Times New Roman" w:hAnsi="Times New Roman"/>
          <w:bCs/>
          <w:lang w:val="pt-BR"/>
        </w:rPr>
        <w:t xml:space="preserve">química de superfície ajustável; </w:t>
      </w:r>
      <w:r w:rsidR="005324BA" w:rsidRPr="005324BA">
        <w:rPr>
          <w:rFonts w:ascii="Times New Roman" w:hAnsi="Times New Roman"/>
          <w:bCs/>
          <w:lang w:val="pt-BR"/>
        </w:rPr>
        <w:t>estrutura de poros ajustável pelo método de síntese; baixo custo; elevada disponibilidade, já que os mesmos podem ser produzidos a partir do resíduo de biomassa; resistência á umidade da corrente gasosa; e, resistência mecânica (</w:t>
      </w:r>
      <w:r w:rsidR="00CF307D">
        <w:rPr>
          <w:rFonts w:ascii="Times New Roman" w:hAnsi="Times New Roman"/>
          <w:bCs/>
          <w:lang w:val="pt-BR"/>
        </w:rPr>
        <w:t>2)(3).</w:t>
      </w:r>
      <w:r w:rsidR="004F638B">
        <w:rPr>
          <w:rFonts w:ascii="Times New Roman" w:hAnsi="Times New Roman"/>
          <w:bCs/>
          <w:lang w:val="pt-BR"/>
        </w:rPr>
        <w:t xml:space="preserve"> </w:t>
      </w:r>
      <w:r w:rsidR="005324BA" w:rsidRPr="005324BA">
        <w:rPr>
          <w:rFonts w:ascii="Times New Roman" w:hAnsi="Times New Roman"/>
          <w:bCs/>
          <w:lang w:val="pt-BR"/>
        </w:rPr>
        <w:t xml:space="preserve">O presente trabalho estudou a produção de estruturas carbonáceas sustentáveis e aplicou esses materiais na captura de diclorometano, clorofórmio, acetato de etila, hexano e </w:t>
      </w:r>
      <w:proofErr w:type="spellStart"/>
      <w:r w:rsidR="005324BA" w:rsidRPr="005324BA">
        <w:rPr>
          <w:rFonts w:ascii="Times New Roman" w:hAnsi="Times New Roman"/>
          <w:bCs/>
          <w:lang w:val="pt-BR"/>
        </w:rPr>
        <w:t>ciclohexano</w:t>
      </w:r>
      <w:proofErr w:type="spellEnd"/>
      <w:r w:rsidR="005324BA" w:rsidRPr="005324BA">
        <w:rPr>
          <w:rFonts w:ascii="Times New Roman" w:hAnsi="Times New Roman"/>
          <w:bCs/>
          <w:lang w:val="pt-BR"/>
        </w:rPr>
        <w:t>, sendo que os valores de adsorção obtidos foram maiores que aqueles relatados na literatura.</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35887134" w14:textId="73618E3F" w:rsidR="00EA4E1B" w:rsidRPr="001F25B2" w:rsidRDefault="005324BA" w:rsidP="00EA4E1B">
      <w:pPr>
        <w:pStyle w:val="TAMainText"/>
        <w:ind w:firstLine="0"/>
        <w:rPr>
          <w:rFonts w:ascii="Times New Roman" w:hAnsi="Times New Roman"/>
          <w:i/>
          <w:lang w:val="pt-BR"/>
        </w:rPr>
      </w:pPr>
      <w:r>
        <w:rPr>
          <w:rFonts w:ascii="Times New Roman" w:hAnsi="Times New Roman"/>
          <w:i/>
          <w:lang w:val="pt-BR"/>
        </w:rPr>
        <w:t>Preparo dos carvões ativados</w:t>
      </w:r>
      <w:r w:rsidR="00EA4E1B" w:rsidRPr="001F25B2">
        <w:rPr>
          <w:rFonts w:ascii="Times New Roman" w:hAnsi="Times New Roman"/>
          <w:i/>
          <w:lang w:val="pt-BR"/>
        </w:rPr>
        <w:t>.</w:t>
      </w:r>
    </w:p>
    <w:p w14:paraId="302E8F6F" w14:textId="47FF2CB0" w:rsidR="007C10D6" w:rsidRPr="006E5F83" w:rsidRDefault="005324BA" w:rsidP="006E5F83">
      <w:pPr>
        <w:pStyle w:val="TAMainText"/>
        <w:rPr>
          <w:rFonts w:ascii="Times New Roman" w:hAnsi="Times New Roman"/>
          <w:lang w:val="pt-BR"/>
        </w:rPr>
      </w:pPr>
      <w:r w:rsidRPr="005324BA">
        <w:rPr>
          <w:rFonts w:ascii="Times New Roman" w:hAnsi="Times New Roman"/>
          <w:lang w:val="pt-BR"/>
        </w:rPr>
        <w:t>A biomassa foi pirolisada numa primeira etapa por rota hidrotérmica por duas horas, utilizando autoclave em aço inox, com copo interno em teflon, 5g de biomassa e 80m</w:t>
      </w:r>
      <w:r w:rsidR="00807DAF">
        <w:rPr>
          <w:rFonts w:ascii="Times New Roman" w:hAnsi="Times New Roman"/>
          <w:lang w:val="pt-BR"/>
        </w:rPr>
        <w:t>L</w:t>
      </w:r>
      <w:r w:rsidRPr="005324BA">
        <w:rPr>
          <w:rFonts w:ascii="Times New Roman" w:hAnsi="Times New Roman"/>
          <w:lang w:val="pt-BR"/>
        </w:rPr>
        <w:t xml:space="preserve"> de solução aquosa do agente ativante. A solução ativante foi preparada na proporção biomassa/agente ativante (1:1 ou 1:3) utilizando como ativante hidróxido de potássio ou cloreto de zinco. Logo após, o material foi seco em estufa a 150°C até massa constante, pirolisado por 2h, a 750°C, em atmosfera de nitrogênio com vazão volumétrica de 150mL/min e razão de aquecimento de 5°C/min. Os carvões produzidos foram lavados com uma solução de ácido clorídrico 0,5mol/L para remoção dos carbonatos e resíduos de agente ativante seguida de uma nova lavagem com água deionizada. Como referência para os estudos de ativação, foi produzido um material sem qualquer ativação química utilizando os mesmos méto</w:t>
      </w:r>
      <w:r w:rsidR="007C10D6">
        <w:rPr>
          <w:rFonts w:ascii="Times New Roman" w:hAnsi="Times New Roman"/>
          <w:lang w:val="pt-BR"/>
        </w:rPr>
        <w:t xml:space="preserve">dos, sendo nomeado de </w:t>
      </w:r>
      <w:proofErr w:type="spellStart"/>
      <w:r w:rsidR="007C10D6">
        <w:rPr>
          <w:rFonts w:ascii="Times New Roman" w:hAnsi="Times New Roman"/>
          <w:lang w:val="pt-BR"/>
        </w:rPr>
        <w:t>b</w:t>
      </w:r>
      <w:r w:rsidRPr="005324BA">
        <w:rPr>
          <w:rFonts w:ascii="Times New Roman" w:hAnsi="Times New Roman"/>
          <w:lang w:val="pt-BR"/>
        </w:rPr>
        <w:t>iochar</w:t>
      </w:r>
      <w:proofErr w:type="spellEnd"/>
      <w:r w:rsidRPr="005324BA">
        <w:rPr>
          <w:rFonts w:ascii="Times New Roman" w:hAnsi="Times New Roman"/>
          <w:lang w:val="pt-BR"/>
        </w:rPr>
        <w:t xml:space="preserve">. Os materiais produzidos por ativação de KOH, foram chamados de BK11 e BK13 para as proporções 1:1 e </w:t>
      </w:r>
      <w:r w:rsidRPr="005324BA">
        <w:rPr>
          <w:rFonts w:ascii="Times New Roman" w:hAnsi="Times New Roman"/>
          <w:lang w:val="pt-BR"/>
        </w:rPr>
        <w:t>1:3 respectivamente e os materiais produzidos com ZnCl</w:t>
      </w:r>
      <w:r w:rsidRPr="002F4793">
        <w:rPr>
          <w:rFonts w:ascii="Times New Roman" w:hAnsi="Times New Roman"/>
          <w:vertAlign w:val="subscript"/>
          <w:lang w:val="pt-BR"/>
        </w:rPr>
        <w:t xml:space="preserve">2 </w:t>
      </w:r>
      <w:r w:rsidRPr="005324BA">
        <w:rPr>
          <w:rFonts w:ascii="Times New Roman" w:hAnsi="Times New Roman"/>
          <w:lang w:val="pt-BR"/>
        </w:rPr>
        <w:t>foram chamados de BZ11 e BZ13 também para as proporções 1:1 e 1:3.</w:t>
      </w:r>
    </w:p>
    <w:p w14:paraId="05ABD8F0" w14:textId="5BC54998" w:rsidR="005324BA" w:rsidRDefault="005324BA" w:rsidP="005324BA">
      <w:pPr>
        <w:pStyle w:val="TAMainText"/>
        <w:ind w:firstLine="0"/>
        <w:rPr>
          <w:rFonts w:ascii="Times New Roman" w:hAnsi="Times New Roman"/>
          <w:i/>
          <w:iCs/>
          <w:lang w:val="pt-BR"/>
        </w:rPr>
      </w:pPr>
      <w:r>
        <w:rPr>
          <w:rFonts w:ascii="Times New Roman" w:hAnsi="Times New Roman"/>
          <w:i/>
          <w:iCs/>
          <w:lang w:val="pt-BR"/>
        </w:rPr>
        <w:t>Caracterização dos carvões ativados</w:t>
      </w:r>
    </w:p>
    <w:p w14:paraId="7C9A3183" w14:textId="37A50F5C" w:rsidR="00DD1E3D" w:rsidRPr="006E5F83" w:rsidRDefault="00F11312" w:rsidP="006E5F83">
      <w:pPr>
        <w:pStyle w:val="TAMainText"/>
        <w:ind w:firstLine="204"/>
        <w:rPr>
          <w:rFonts w:ascii="Times New Roman" w:hAnsi="Times New Roman"/>
          <w:lang w:val="pt-BR"/>
        </w:rPr>
      </w:pPr>
      <w:r w:rsidRPr="00F11312">
        <w:rPr>
          <w:rFonts w:ascii="Times New Roman" w:hAnsi="Times New Roman"/>
          <w:lang w:val="pt-BR"/>
        </w:rPr>
        <w:t xml:space="preserve">As propriedades texturais das amostras foram investigadas utilizando o equipamento ASAP2020, </w:t>
      </w:r>
      <w:proofErr w:type="spellStart"/>
      <w:r w:rsidRPr="00F11312">
        <w:rPr>
          <w:rFonts w:ascii="Times New Roman" w:hAnsi="Times New Roman"/>
          <w:lang w:val="pt-BR"/>
        </w:rPr>
        <w:t>Micromeritics</w:t>
      </w:r>
      <w:proofErr w:type="spellEnd"/>
      <w:r w:rsidRPr="00F11312">
        <w:rPr>
          <w:rFonts w:ascii="Times New Roman" w:hAnsi="Times New Roman"/>
          <w:lang w:val="pt-BR"/>
        </w:rPr>
        <w:t>, na faixa pressão relativa de 10</w:t>
      </w:r>
      <w:r w:rsidRPr="00F11312">
        <w:rPr>
          <w:rFonts w:ascii="Times New Roman" w:hAnsi="Times New Roman"/>
          <w:vertAlign w:val="superscript"/>
          <w:lang w:val="pt-BR"/>
        </w:rPr>
        <w:t>-5</w:t>
      </w:r>
      <w:r w:rsidRPr="00F11312">
        <w:rPr>
          <w:rFonts w:ascii="Times New Roman" w:hAnsi="Times New Roman"/>
          <w:lang w:val="pt-BR"/>
        </w:rPr>
        <w:t xml:space="preserve"> &lt; P/</w:t>
      </w:r>
      <w:proofErr w:type="spellStart"/>
      <w:r w:rsidRPr="00F11312">
        <w:rPr>
          <w:rFonts w:ascii="Times New Roman" w:hAnsi="Times New Roman"/>
          <w:lang w:val="pt-BR"/>
        </w:rPr>
        <w:t>Po</w:t>
      </w:r>
      <w:proofErr w:type="spellEnd"/>
      <w:r w:rsidRPr="00F11312">
        <w:rPr>
          <w:rFonts w:ascii="Times New Roman" w:hAnsi="Times New Roman"/>
          <w:lang w:val="pt-BR"/>
        </w:rPr>
        <w:t xml:space="preserve"> &lt; 0,99.  Antes das análises, as amostras foram </w:t>
      </w:r>
      <w:proofErr w:type="spellStart"/>
      <w:r w:rsidRPr="00F11312">
        <w:rPr>
          <w:rFonts w:ascii="Times New Roman" w:hAnsi="Times New Roman"/>
          <w:lang w:val="pt-BR"/>
        </w:rPr>
        <w:t>desgaseificadas</w:t>
      </w:r>
      <w:proofErr w:type="spellEnd"/>
      <w:r w:rsidRPr="00F11312">
        <w:rPr>
          <w:rFonts w:ascii="Times New Roman" w:hAnsi="Times New Roman"/>
          <w:lang w:val="pt-BR"/>
        </w:rPr>
        <w:t xml:space="preserve"> por 10h a 300ºC em 4,0µmHg de vácuo. A área superficial BET foi obtida pelo </w:t>
      </w:r>
      <w:proofErr w:type="gramStart"/>
      <w:r w:rsidRPr="00F11312">
        <w:rPr>
          <w:rFonts w:ascii="Times New Roman" w:hAnsi="Times New Roman"/>
          <w:lang w:val="pt-BR"/>
        </w:rPr>
        <w:t>método  multiponto</w:t>
      </w:r>
      <w:proofErr w:type="gramEnd"/>
      <w:r w:rsidRPr="00F11312">
        <w:rPr>
          <w:rFonts w:ascii="Times New Roman" w:hAnsi="Times New Roman"/>
          <w:lang w:val="pt-BR"/>
        </w:rPr>
        <w:t>, na faixa de 0,05&lt; P/</w:t>
      </w:r>
      <w:proofErr w:type="spellStart"/>
      <w:r w:rsidRPr="00F11312">
        <w:rPr>
          <w:rFonts w:ascii="Times New Roman" w:hAnsi="Times New Roman"/>
          <w:lang w:val="pt-BR"/>
        </w:rPr>
        <w:t>Po</w:t>
      </w:r>
      <w:proofErr w:type="spellEnd"/>
      <w:r w:rsidRPr="00F11312">
        <w:rPr>
          <w:rFonts w:ascii="Times New Roman" w:hAnsi="Times New Roman"/>
          <w:lang w:val="pt-BR"/>
        </w:rPr>
        <w:t>&lt;0,2</w:t>
      </w:r>
      <w:r w:rsidRPr="00F11312">
        <w:rPr>
          <w:rFonts w:ascii="Times New Roman" w:hAnsi="Times New Roman"/>
          <w:i/>
          <w:iCs/>
          <w:lang w:val="pt-BR"/>
        </w:rPr>
        <w:t xml:space="preserve"> e a </w:t>
      </w:r>
      <w:r w:rsidRPr="00F11312">
        <w:rPr>
          <w:rFonts w:ascii="Times New Roman" w:hAnsi="Times New Roman"/>
          <w:lang w:val="pt-BR"/>
        </w:rPr>
        <w:t xml:space="preserve">área superficial de </w:t>
      </w:r>
      <w:proofErr w:type="spellStart"/>
      <w:r w:rsidRPr="00F11312">
        <w:rPr>
          <w:rFonts w:ascii="Times New Roman" w:hAnsi="Times New Roman"/>
          <w:lang w:val="pt-BR"/>
        </w:rPr>
        <w:t>microporos</w:t>
      </w:r>
      <w:proofErr w:type="spellEnd"/>
      <w:r w:rsidRPr="00F11312">
        <w:rPr>
          <w:rFonts w:ascii="Times New Roman" w:hAnsi="Times New Roman"/>
          <w:lang w:val="pt-BR"/>
        </w:rPr>
        <w:t xml:space="preserve"> foram calculadas utilizando a equação de </w:t>
      </w:r>
      <w:proofErr w:type="spellStart"/>
      <w:r w:rsidRPr="00F11312">
        <w:rPr>
          <w:rFonts w:ascii="Times New Roman" w:hAnsi="Times New Roman"/>
          <w:lang w:val="pt-BR"/>
        </w:rPr>
        <w:t>Dubinin-Astakhov</w:t>
      </w:r>
      <w:proofErr w:type="spellEnd"/>
      <w:r w:rsidRPr="00F11312">
        <w:rPr>
          <w:rFonts w:ascii="Times New Roman" w:hAnsi="Times New Roman"/>
          <w:lang w:val="pt-BR"/>
        </w:rPr>
        <w:t xml:space="preserve"> (DA). A distribuição dos tamanhos dos poros (PSD) foi calculada com base na teoria da densidade funcional não-local (NLDFT), utilizando o modelo de poros em forma de fenda.</w:t>
      </w:r>
    </w:p>
    <w:p w14:paraId="378E769E" w14:textId="2E548C61" w:rsidR="00F11312" w:rsidRDefault="00F11312" w:rsidP="00F11312">
      <w:pPr>
        <w:pStyle w:val="TAMainText"/>
        <w:ind w:firstLine="0"/>
        <w:rPr>
          <w:rFonts w:ascii="Times New Roman" w:hAnsi="Times New Roman"/>
          <w:i/>
          <w:iCs/>
          <w:lang w:val="pt-BR"/>
        </w:rPr>
      </w:pPr>
      <w:r w:rsidRPr="00E05868">
        <w:rPr>
          <w:rFonts w:ascii="Times New Roman" w:hAnsi="Times New Roman"/>
          <w:i/>
          <w:iCs/>
          <w:lang w:val="pt-BR"/>
        </w:rPr>
        <w:t xml:space="preserve">Testes de Captura de </w:t>
      </w:r>
      <w:proofErr w:type="spellStart"/>
      <w:r w:rsidRPr="00E05868">
        <w:rPr>
          <w:rFonts w:ascii="Times New Roman" w:hAnsi="Times New Roman"/>
          <w:i/>
          <w:iCs/>
          <w:lang w:val="pt-BR"/>
        </w:rPr>
        <w:t>COVs</w:t>
      </w:r>
      <w:proofErr w:type="spellEnd"/>
    </w:p>
    <w:p w14:paraId="73DA7D67" w14:textId="29CF9FEE" w:rsidR="00E05868" w:rsidRDefault="00E05868" w:rsidP="00E05868">
      <w:pPr>
        <w:pStyle w:val="TAMainText"/>
        <w:ind w:firstLine="204"/>
        <w:rPr>
          <w:rFonts w:ascii="Times New Roman" w:hAnsi="Times New Roman"/>
          <w:lang w:val="pt-BR"/>
        </w:rPr>
      </w:pPr>
      <w:r w:rsidRPr="00E05868">
        <w:rPr>
          <w:rFonts w:ascii="Times New Roman" w:hAnsi="Times New Roman"/>
          <w:lang w:val="pt-BR"/>
        </w:rPr>
        <w:t xml:space="preserve">Os compostos orgânicos voláteis utilizados nesse estudo foram: diclorometano (Carolina Chemical, 99,8%), clorofórmio (Carolina Chemical, 99,9%), acetato de etila (PA Sigma-Aldrich, ≥ 99.5%), hexano (PA Sigma-Aldrich, 98,5%) e </w:t>
      </w:r>
      <w:proofErr w:type="spellStart"/>
      <w:r w:rsidRPr="00E05868">
        <w:rPr>
          <w:rFonts w:ascii="Times New Roman" w:hAnsi="Times New Roman"/>
          <w:lang w:val="pt-BR"/>
        </w:rPr>
        <w:t>ciclohexano</w:t>
      </w:r>
      <w:proofErr w:type="spellEnd"/>
      <w:r w:rsidRPr="00E05868">
        <w:rPr>
          <w:rFonts w:ascii="Times New Roman" w:hAnsi="Times New Roman"/>
          <w:lang w:val="pt-BR"/>
        </w:rPr>
        <w:t xml:space="preserve"> (PA Sigma-Aldrich, ≥ 99%). Os experimentos de adsorção foram realizados por análise termogravimétrica, utilizando um sistema composto por analisador térmico (</w:t>
      </w:r>
      <w:proofErr w:type="spellStart"/>
      <w:r w:rsidRPr="00E05868">
        <w:rPr>
          <w:rFonts w:ascii="Times New Roman" w:hAnsi="Times New Roman"/>
          <w:lang w:val="pt-BR"/>
        </w:rPr>
        <w:t>Shimadzu</w:t>
      </w:r>
      <w:proofErr w:type="spellEnd"/>
      <w:r w:rsidRPr="00E05868">
        <w:rPr>
          <w:rFonts w:ascii="Times New Roman" w:hAnsi="Times New Roman"/>
          <w:lang w:val="pt-BR"/>
        </w:rPr>
        <w:t>® TG-50), à pressão atmosférica</w:t>
      </w:r>
      <w:r>
        <w:rPr>
          <w:rFonts w:ascii="Times New Roman" w:hAnsi="Times New Roman"/>
          <w:lang w:val="pt-BR"/>
        </w:rPr>
        <w:t>.</w:t>
      </w:r>
    </w:p>
    <w:p w14:paraId="1D373B3D" w14:textId="39BA16C9" w:rsidR="00E05868" w:rsidRDefault="00E05868" w:rsidP="00E05868">
      <w:pPr>
        <w:pStyle w:val="TAMainText"/>
        <w:ind w:firstLine="204"/>
        <w:rPr>
          <w:rFonts w:ascii="Times New Roman" w:hAnsi="Times New Roman"/>
          <w:lang w:val="pt-BR"/>
        </w:rPr>
      </w:pPr>
      <w:r w:rsidRPr="00E05868">
        <w:rPr>
          <w:rFonts w:ascii="Times New Roman" w:hAnsi="Times New Roman"/>
          <w:lang w:val="pt-BR"/>
        </w:rPr>
        <w:t>Para remover a umidade e os gases adsorvidos, as amostras (~ 5mg) foram aquecidas com uma razão de aquecimento de 10°C min</w:t>
      </w:r>
      <w:r w:rsidRPr="007C10D6">
        <w:rPr>
          <w:rFonts w:ascii="Times New Roman" w:hAnsi="Times New Roman"/>
          <w:vertAlign w:val="superscript"/>
          <w:lang w:val="pt-BR"/>
        </w:rPr>
        <w:t>-1</w:t>
      </w:r>
      <w:r w:rsidRPr="00E05868">
        <w:rPr>
          <w:rFonts w:ascii="Times New Roman" w:hAnsi="Times New Roman"/>
          <w:lang w:val="pt-BR"/>
        </w:rPr>
        <w:t xml:space="preserve"> até 150ºC e por </w:t>
      </w:r>
      <w:r w:rsidR="007C10D6">
        <w:rPr>
          <w:rFonts w:ascii="Times New Roman" w:hAnsi="Times New Roman"/>
          <w:lang w:val="pt-BR"/>
        </w:rPr>
        <w:t xml:space="preserve">30 min, sob fluxo de 100 </w:t>
      </w:r>
      <w:proofErr w:type="spellStart"/>
      <w:r w:rsidR="007C10D6">
        <w:rPr>
          <w:rFonts w:ascii="Times New Roman" w:hAnsi="Times New Roman"/>
          <w:lang w:val="pt-BR"/>
        </w:rPr>
        <w:t>mL</w:t>
      </w:r>
      <w:proofErr w:type="spellEnd"/>
      <w:r w:rsidR="007C10D6">
        <w:rPr>
          <w:rFonts w:ascii="Times New Roman" w:hAnsi="Times New Roman"/>
          <w:lang w:val="pt-BR"/>
        </w:rPr>
        <w:t xml:space="preserve"> min</w:t>
      </w:r>
      <w:r w:rsidRPr="00E05868">
        <w:rPr>
          <w:rFonts w:ascii="Times New Roman" w:hAnsi="Times New Roman"/>
          <w:vertAlign w:val="superscript"/>
          <w:lang w:val="pt-BR"/>
        </w:rPr>
        <w:t>-1</w:t>
      </w:r>
      <w:r w:rsidRPr="00E05868">
        <w:rPr>
          <w:rFonts w:ascii="Times New Roman" w:hAnsi="Times New Roman"/>
          <w:lang w:val="pt-BR"/>
        </w:rPr>
        <w:t xml:space="preserve"> de N</w:t>
      </w:r>
      <w:r w:rsidRPr="007C10D6">
        <w:rPr>
          <w:rFonts w:ascii="Times New Roman" w:hAnsi="Times New Roman"/>
          <w:vertAlign w:val="subscript"/>
          <w:lang w:val="pt-BR"/>
        </w:rPr>
        <w:t>2</w:t>
      </w:r>
      <w:r w:rsidRPr="00E05868">
        <w:rPr>
          <w:rFonts w:ascii="Times New Roman" w:hAnsi="Times New Roman"/>
          <w:lang w:val="pt-BR"/>
        </w:rPr>
        <w:t>. Após o resfriamento até a temperatura de (30-50ºC ± 2</w:t>
      </w:r>
      <w:proofErr w:type="gramStart"/>
      <w:r w:rsidRPr="00E05868">
        <w:rPr>
          <w:rFonts w:ascii="Times New Roman" w:hAnsi="Times New Roman"/>
          <w:lang w:val="pt-BR"/>
        </w:rPr>
        <w:t>ºC )</w:t>
      </w:r>
      <w:proofErr w:type="gramEnd"/>
      <w:r w:rsidRPr="00E05868">
        <w:rPr>
          <w:rFonts w:ascii="Times New Roman" w:hAnsi="Times New Roman"/>
          <w:lang w:val="pt-BR"/>
        </w:rPr>
        <w:t xml:space="preserve">, o fluxo de nitrogênio foi reduzido para 50 </w:t>
      </w:r>
      <w:proofErr w:type="spellStart"/>
      <w:r w:rsidRPr="00E05868">
        <w:rPr>
          <w:rFonts w:ascii="Times New Roman" w:hAnsi="Times New Roman"/>
          <w:lang w:val="pt-BR"/>
        </w:rPr>
        <w:t>mL</w:t>
      </w:r>
      <w:proofErr w:type="spellEnd"/>
      <w:r w:rsidRPr="00E05868">
        <w:rPr>
          <w:rFonts w:ascii="Times New Roman" w:hAnsi="Times New Roman"/>
          <w:lang w:val="pt-BR"/>
        </w:rPr>
        <w:t xml:space="preserve"> min</w:t>
      </w:r>
      <w:r w:rsidRPr="00E05868">
        <w:rPr>
          <w:rFonts w:ascii="Times New Roman" w:hAnsi="Times New Roman"/>
          <w:vertAlign w:val="superscript"/>
          <w:lang w:val="pt-BR"/>
        </w:rPr>
        <w:t>-1</w:t>
      </w:r>
      <w:r w:rsidRPr="00E05868">
        <w:rPr>
          <w:rFonts w:ascii="Times New Roman" w:hAnsi="Times New Roman"/>
          <w:lang w:val="pt-BR"/>
        </w:rPr>
        <w:t xml:space="preserve"> e 50 </w:t>
      </w:r>
      <w:proofErr w:type="spellStart"/>
      <w:r w:rsidRPr="00E05868">
        <w:rPr>
          <w:rFonts w:ascii="Times New Roman" w:hAnsi="Times New Roman"/>
          <w:lang w:val="pt-BR"/>
        </w:rPr>
        <w:t>mL</w:t>
      </w:r>
      <w:proofErr w:type="spellEnd"/>
      <w:r w:rsidRPr="00E05868">
        <w:rPr>
          <w:rFonts w:ascii="Times New Roman" w:hAnsi="Times New Roman"/>
          <w:lang w:val="pt-BR"/>
        </w:rPr>
        <w:t xml:space="preserve"> min</w:t>
      </w:r>
      <w:r w:rsidRPr="00E05868">
        <w:rPr>
          <w:rFonts w:ascii="Times New Roman" w:hAnsi="Times New Roman"/>
          <w:vertAlign w:val="superscript"/>
          <w:lang w:val="pt-BR"/>
        </w:rPr>
        <w:t>-1</w:t>
      </w:r>
      <w:r w:rsidRPr="00E05868">
        <w:rPr>
          <w:rFonts w:ascii="Times New Roman" w:hAnsi="Times New Roman"/>
          <w:lang w:val="pt-BR"/>
        </w:rPr>
        <w:t xml:space="preserve"> de uma mistura gasosa contendo vapor de COV em nitrogênio foi introduzido ao sistema totalizando um fluxo de 100 </w:t>
      </w:r>
      <w:proofErr w:type="spellStart"/>
      <w:r w:rsidRPr="00E05868">
        <w:rPr>
          <w:rFonts w:ascii="Times New Roman" w:hAnsi="Times New Roman"/>
          <w:lang w:val="pt-BR"/>
        </w:rPr>
        <w:t>mL</w:t>
      </w:r>
      <w:proofErr w:type="spellEnd"/>
      <w:r w:rsidRPr="00E05868">
        <w:rPr>
          <w:rFonts w:ascii="Times New Roman" w:hAnsi="Times New Roman"/>
          <w:lang w:val="pt-BR"/>
        </w:rPr>
        <w:t xml:space="preserve"> min</w:t>
      </w:r>
      <w:r w:rsidRPr="00E05868">
        <w:rPr>
          <w:rFonts w:ascii="Times New Roman" w:hAnsi="Times New Roman"/>
          <w:vertAlign w:val="superscript"/>
          <w:lang w:val="pt-BR"/>
        </w:rPr>
        <w:t>-1</w:t>
      </w:r>
      <w:r w:rsidRPr="00E05868">
        <w:rPr>
          <w:rFonts w:ascii="Times New Roman" w:hAnsi="Times New Roman"/>
          <w:lang w:val="pt-BR"/>
        </w:rPr>
        <w:t xml:space="preserve">. O vapor de COV foi gerado por um saturador a uma temperatura fixa (25ºC  ± 2ºC) e a quantidade de vapor no fluxo foi determinada usando a equação </w:t>
      </w:r>
      <w:r w:rsidR="00DD1E3D">
        <w:rPr>
          <w:rFonts w:ascii="Times New Roman" w:hAnsi="Times New Roman"/>
          <w:lang w:val="pt-BR"/>
        </w:rPr>
        <w:t>1 (1)</w:t>
      </w:r>
      <w:r w:rsidRPr="00E05868">
        <w:rPr>
          <w:rFonts w:ascii="Times New Roman" w:hAnsi="Times New Roman"/>
          <w:lang w:val="pt-BR"/>
        </w:rPr>
        <w:t xml:space="preserve"> de Antoine</w:t>
      </w:r>
    </w:p>
    <w:p w14:paraId="7E17F230" w14:textId="77777777" w:rsidR="002F4793" w:rsidRDefault="002F4793" w:rsidP="00E05868">
      <w:pPr>
        <w:pStyle w:val="TAMainText"/>
        <w:ind w:firstLine="204"/>
        <w:rPr>
          <w:rFonts w:ascii="Times New Roman" w:hAnsi="Times New Roman"/>
          <w:i/>
          <w:iCs/>
          <w:lang w:val="pt-BR"/>
        </w:rPr>
      </w:pPr>
    </w:p>
    <w:p w14:paraId="329A88D7" w14:textId="4EEF00D2" w:rsidR="00E05868" w:rsidRDefault="00E05868" w:rsidP="00E05868">
      <w:pPr>
        <w:pStyle w:val="TAMainText"/>
        <w:ind w:firstLine="204"/>
        <w:rPr>
          <w:rFonts w:ascii="Times New Roman" w:hAnsi="Times New Roman"/>
          <w:i/>
          <w:iCs/>
          <w:lang w:val="pt-BR"/>
        </w:rPr>
      </w:pPr>
      <w:proofErr w:type="spellStart"/>
      <w:r w:rsidRPr="00E05868">
        <w:rPr>
          <w:rFonts w:ascii="Times New Roman" w:hAnsi="Times New Roman"/>
          <w:i/>
          <w:iCs/>
          <w:lang w:val="pt-BR"/>
        </w:rPr>
        <w:t>logPo</w:t>
      </w:r>
      <w:proofErr w:type="spellEnd"/>
      <w:r w:rsidRPr="00E05868">
        <w:rPr>
          <w:rFonts w:ascii="Times New Roman" w:hAnsi="Times New Roman"/>
          <w:i/>
          <w:iCs/>
          <w:lang w:val="pt-BR"/>
        </w:rPr>
        <w:t>=A-B/(T+C)</w:t>
      </w:r>
      <w:r>
        <w:rPr>
          <w:rFonts w:ascii="Times New Roman" w:hAnsi="Times New Roman"/>
          <w:i/>
          <w:iCs/>
          <w:lang w:val="pt-BR"/>
        </w:rPr>
        <w:t xml:space="preserve">                                                     </w:t>
      </w:r>
      <w:proofErr w:type="gramStart"/>
      <w:r>
        <w:rPr>
          <w:rFonts w:ascii="Times New Roman" w:hAnsi="Times New Roman"/>
          <w:i/>
          <w:iCs/>
          <w:lang w:val="pt-BR"/>
        </w:rPr>
        <w:t xml:space="preserve">   </w:t>
      </w:r>
      <w:r w:rsidR="009B0714">
        <w:rPr>
          <w:rFonts w:ascii="Times New Roman" w:hAnsi="Times New Roman"/>
          <w:i/>
          <w:iCs/>
          <w:lang w:val="pt-BR"/>
        </w:rPr>
        <w:t>(</w:t>
      </w:r>
      <w:proofErr w:type="gramEnd"/>
      <w:r w:rsidR="009B0714">
        <w:rPr>
          <w:rFonts w:ascii="Times New Roman" w:hAnsi="Times New Roman"/>
          <w:i/>
          <w:iCs/>
          <w:lang w:val="pt-BR"/>
        </w:rPr>
        <w:t>1)</w:t>
      </w:r>
    </w:p>
    <w:p w14:paraId="0E7BC609" w14:textId="77777777" w:rsidR="002F4793" w:rsidRDefault="002F4793" w:rsidP="00E05868">
      <w:pPr>
        <w:pStyle w:val="TAMainText"/>
        <w:ind w:firstLine="204"/>
        <w:rPr>
          <w:rFonts w:ascii="Times New Roman" w:hAnsi="Times New Roman"/>
          <w:lang w:val="pt-BR"/>
        </w:rPr>
      </w:pPr>
    </w:p>
    <w:p w14:paraId="441B9DA7" w14:textId="6D9BB4C5" w:rsidR="00E05868" w:rsidRPr="00E05868" w:rsidRDefault="00E05868" w:rsidP="00E05868">
      <w:pPr>
        <w:pStyle w:val="TAMainText"/>
        <w:ind w:firstLine="204"/>
        <w:rPr>
          <w:rFonts w:ascii="Times New Roman" w:hAnsi="Times New Roman"/>
          <w:lang w:val="pt-BR"/>
        </w:rPr>
      </w:pPr>
      <w:r w:rsidRPr="00E05868">
        <w:rPr>
          <w:rFonts w:ascii="Times New Roman" w:hAnsi="Times New Roman"/>
          <w:lang w:val="pt-BR"/>
        </w:rPr>
        <w:t xml:space="preserve">Onde, </w:t>
      </w:r>
      <w:proofErr w:type="spellStart"/>
      <w:r w:rsidRPr="00E05868">
        <w:rPr>
          <w:rFonts w:ascii="Times New Roman" w:hAnsi="Times New Roman"/>
          <w:lang w:val="pt-BR"/>
        </w:rPr>
        <w:t>Po</w:t>
      </w:r>
      <w:proofErr w:type="spellEnd"/>
      <w:r w:rsidRPr="00E05868">
        <w:rPr>
          <w:rFonts w:ascii="Times New Roman" w:hAnsi="Times New Roman"/>
          <w:lang w:val="pt-BR"/>
        </w:rPr>
        <w:t>(torr) é a pressão de vapor do COV no saturador; T(K) é a temperatura do banho; e, A, B e C são constantes definidas para cada composto orgânico volátil (</w:t>
      </w:r>
      <w:r w:rsidR="00DD1E3D">
        <w:rPr>
          <w:rFonts w:ascii="Times New Roman" w:hAnsi="Times New Roman"/>
          <w:lang w:val="pt-BR"/>
        </w:rPr>
        <w:t>1)</w:t>
      </w:r>
      <w:r w:rsidRPr="00E05868">
        <w:rPr>
          <w:rFonts w:ascii="Times New Roman" w:hAnsi="Times New Roman"/>
          <w:lang w:val="pt-BR"/>
        </w:rPr>
        <w:t>.</w:t>
      </w:r>
    </w:p>
    <w:p w14:paraId="727BE588" w14:textId="496D5F6E" w:rsidR="00E05868" w:rsidRPr="00E05868" w:rsidRDefault="00E05868" w:rsidP="00E05868">
      <w:pPr>
        <w:pStyle w:val="TAMainText"/>
        <w:ind w:firstLine="204"/>
        <w:rPr>
          <w:rFonts w:ascii="Times New Roman" w:hAnsi="Times New Roman"/>
          <w:lang w:val="pt-BR"/>
        </w:rPr>
      </w:pPr>
      <w:r w:rsidRPr="00E05868">
        <w:rPr>
          <w:rFonts w:ascii="Times New Roman" w:hAnsi="Times New Roman"/>
          <w:lang w:val="pt-BR"/>
        </w:rPr>
        <w:t xml:space="preserve">A regeneração do carvão foi avaliada durante 10 ciclos consecutivos de sorção, utilizando o mesmo procedimento descrito acima e utilizando a umidade relativa de 70%, aproximando </w:t>
      </w:r>
      <w:r w:rsidR="007C10D6" w:rsidRPr="00E05868">
        <w:rPr>
          <w:rFonts w:ascii="Times New Roman" w:hAnsi="Times New Roman"/>
          <w:lang w:val="pt-BR"/>
        </w:rPr>
        <w:t>das condições</w:t>
      </w:r>
      <w:r w:rsidRPr="00E05868">
        <w:rPr>
          <w:rFonts w:ascii="Times New Roman" w:hAnsi="Times New Roman"/>
          <w:lang w:val="pt-BR"/>
        </w:rPr>
        <w:t xml:space="preserve"> ambientais de aplicação. Após </w:t>
      </w:r>
      <w:proofErr w:type="gramStart"/>
      <w:r w:rsidRPr="00E05868">
        <w:rPr>
          <w:rFonts w:ascii="Times New Roman" w:hAnsi="Times New Roman"/>
          <w:lang w:val="pt-BR"/>
        </w:rPr>
        <w:t>cada  etapa</w:t>
      </w:r>
      <w:proofErr w:type="gramEnd"/>
      <w:r w:rsidRPr="00E05868">
        <w:rPr>
          <w:rFonts w:ascii="Times New Roman" w:hAnsi="Times New Roman"/>
          <w:lang w:val="pt-BR"/>
        </w:rPr>
        <w:t xml:space="preserve"> de adsorção, a temperatura foi aumentada para 150ºC, com uma razão de aquecimento de 10ºC min</w:t>
      </w:r>
      <w:r w:rsidRPr="00DD1E3D">
        <w:rPr>
          <w:rFonts w:ascii="Times New Roman" w:hAnsi="Times New Roman"/>
          <w:vertAlign w:val="superscript"/>
          <w:lang w:val="pt-BR"/>
        </w:rPr>
        <w:t>-1</w:t>
      </w:r>
      <w:r w:rsidRPr="00E05868">
        <w:rPr>
          <w:rFonts w:ascii="Times New Roman" w:hAnsi="Times New Roman"/>
          <w:lang w:val="pt-BR"/>
        </w:rPr>
        <w:t xml:space="preserve"> e fluxo de N</w:t>
      </w:r>
      <w:r w:rsidRPr="00E05868">
        <w:rPr>
          <w:rFonts w:ascii="Times New Roman" w:hAnsi="Times New Roman"/>
          <w:vertAlign w:val="subscript"/>
          <w:lang w:val="pt-BR"/>
        </w:rPr>
        <w:t>2</w:t>
      </w:r>
      <w:r w:rsidRPr="00E05868">
        <w:rPr>
          <w:rFonts w:ascii="Times New Roman" w:hAnsi="Times New Roman"/>
          <w:lang w:val="pt-BR"/>
        </w:rPr>
        <w:t xml:space="preserve"> de 100 </w:t>
      </w:r>
      <w:proofErr w:type="spellStart"/>
      <w:r w:rsidRPr="00E05868">
        <w:rPr>
          <w:rFonts w:ascii="Times New Roman" w:hAnsi="Times New Roman"/>
          <w:lang w:val="pt-BR"/>
        </w:rPr>
        <w:t>mL</w:t>
      </w:r>
      <w:proofErr w:type="spellEnd"/>
      <w:r w:rsidRPr="00E05868">
        <w:rPr>
          <w:rFonts w:ascii="Times New Roman" w:hAnsi="Times New Roman"/>
          <w:lang w:val="pt-BR"/>
        </w:rPr>
        <w:t xml:space="preserve"> min</w:t>
      </w:r>
      <w:r w:rsidRPr="00E05868">
        <w:rPr>
          <w:rFonts w:ascii="Times New Roman" w:hAnsi="Times New Roman"/>
          <w:vertAlign w:val="superscript"/>
          <w:lang w:val="pt-BR"/>
        </w:rPr>
        <w:t>-1</w:t>
      </w:r>
      <w:r w:rsidRPr="00E05868">
        <w:rPr>
          <w:rFonts w:ascii="Times New Roman" w:hAnsi="Times New Roman"/>
          <w:lang w:val="pt-BR"/>
        </w:rPr>
        <w:t xml:space="preserve"> durante 15 minutos, para limpar a superfície antes do próximo ciclo de adsorção.</w:t>
      </w:r>
    </w:p>
    <w:p w14:paraId="162198C1" w14:textId="07DB281F" w:rsidR="00E05868" w:rsidRDefault="00E05868" w:rsidP="00E05868">
      <w:pPr>
        <w:pStyle w:val="TAMainText"/>
        <w:ind w:firstLine="204"/>
        <w:rPr>
          <w:rFonts w:ascii="Times New Roman" w:hAnsi="Times New Roman"/>
          <w:lang w:val="pt-BR"/>
        </w:rPr>
      </w:pPr>
      <w:r w:rsidRPr="00E05868">
        <w:rPr>
          <w:rFonts w:ascii="Times New Roman" w:hAnsi="Times New Roman"/>
          <w:lang w:val="pt-BR"/>
        </w:rPr>
        <w:t xml:space="preserve">  Para o diclorometano a faixa de temperatura utilizada foi de 20ºC a 40ºC. Testes em branco foram realizados </w:t>
      </w:r>
      <w:r w:rsidRPr="00E05868">
        <w:rPr>
          <w:rFonts w:ascii="Times New Roman" w:hAnsi="Times New Roman"/>
          <w:lang w:val="pt-BR"/>
        </w:rPr>
        <w:lastRenderedPageBreak/>
        <w:t xml:space="preserve">antes de cada experimento, a fim de evitar artefatos e obter dados consistentes. O cálculo da capacidade de adsorção é feito de acordo com a equação </w:t>
      </w:r>
      <w:r>
        <w:rPr>
          <w:rFonts w:ascii="Times New Roman" w:hAnsi="Times New Roman"/>
          <w:lang w:val="pt-BR"/>
        </w:rPr>
        <w:t>2</w:t>
      </w:r>
      <w:r w:rsidR="00DD1E3D">
        <w:rPr>
          <w:rFonts w:ascii="Times New Roman" w:hAnsi="Times New Roman"/>
          <w:lang w:val="pt-BR"/>
        </w:rPr>
        <w:t xml:space="preserve"> (5)</w:t>
      </w:r>
      <w:r w:rsidR="00001677">
        <w:rPr>
          <w:rFonts w:ascii="Times New Roman" w:hAnsi="Times New Roman"/>
          <w:lang w:val="pt-BR"/>
        </w:rPr>
        <w:t>:</w:t>
      </w:r>
    </w:p>
    <w:p w14:paraId="721857A9" w14:textId="77777777" w:rsidR="002F4793" w:rsidRDefault="002F4793" w:rsidP="00E05868">
      <w:pPr>
        <w:pStyle w:val="TAMainText"/>
        <w:ind w:firstLine="204"/>
        <w:rPr>
          <w:rFonts w:ascii="Times New Roman" w:hAnsi="Times New Roman"/>
          <w:lang w:val="pt-BR"/>
        </w:rPr>
      </w:pPr>
    </w:p>
    <w:p w14:paraId="015B3410" w14:textId="436EB269" w:rsidR="00001677" w:rsidRDefault="00001677" w:rsidP="00E05868">
      <w:pPr>
        <w:pStyle w:val="TAMainText"/>
        <w:ind w:firstLine="204"/>
        <w:rPr>
          <w:rFonts w:ascii="Times New Roman" w:hAnsi="Times New Roman"/>
          <w:i/>
          <w:iCs/>
          <w:noProof/>
          <w:lang w:val="pt-BR"/>
        </w:rPr>
      </w:pPr>
      <w:r w:rsidRPr="00001677">
        <w:rPr>
          <w:rFonts w:ascii="Times New Roman" w:hAnsi="Times New Roman"/>
          <w:i/>
          <w:iCs/>
          <w:noProof/>
          <w:lang w:val="pt-BR"/>
        </w:rPr>
        <w:t>CA=(mf-ma)/((ma/1000))                                             (2)</w:t>
      </w:r>
    </w:p>
    <w:p w14:paraId="7491E374" w14:textId="77777777" w:rsidR="002F4793" w:rsidRPr="00001677" w:rsidRDefault="002F4793" w:rsidP="00E05868">
      <w:pPr>
        <w:pStyle w:val="TAMainText"/>
        <w:ind w:firstLine="204"/>
        <w:rPr>
          <w:rFonts w:ascii="Times New Roman" w:hAnsi="Times New Roman"/>
          <w:i/>
          <w:iCs/>
          <w:noProof/>
          <w:lang w:val="pt-BR"/>
        </w:rPr>
      </w:pPr>
    </w:p>
    <w:p w14:paraId="21FEBBA7" w14:textId="0A49A7F5" w:rsidR="00E05868" w:rsidRDefault="002F4793" w:rsidP="002F4793">
      <w:pPr>
        <w:pStyle w:val="TAMainText"/>
        <w:ind w:firstLine="204"/>
        <w:rPr>
          <w:rFonts w:ascii="Times New Roman" w:hAnsi="Times New Roman"/>
          <w:noProof/>
          <w:lang w:val="pt-BR"/>
        </w:rPr>
      </w:pPr>
      <w:r w:rsidRPr="002F4793">
        <w:rPr>
          <w:rFonts w:ascii="Times New Roman" w:hAnsi="Times New Roman"/>
          <w:noProof/>
          <w:lang w:val="pt-BR"/>
        </w:rPr>
        <w:t>Onde CA é a capacidade de adsorção expressa em mg/g; mf é a massa final após a adsorção do COV (massa de COV adsorvida) e ma é a massa inicial do carvão</w:t>
      </w:r>
      <w:r w:rsidR="00DD1E3D">
        <w:rPr>
          <w:rFonts w:ascii="Times New Roman" w:hAnsi="Times New Roman"/>
          <w:noProof/>
          <w:lang w:val="pt-BR"/>
        </w:rPr>
        <w:t xml:space="preserve"> (5)</w:t>
      </w:r>
      <w:r w:rsidRPr="002F4793">
        <w:rPr>
          <w:rFonts w:ascii="Times New Roman" w:hAnsi="Times New Roman"/>
          <w:noProof/>
          <w:lang w:val="pt-BR"/>
        </w:rPr>
        <w:t>.</w:t>
      </w:r>
    </w:p>
    <w:p w14:paraId="17C96F89" w14:textId="77777777" w:rsidR="002F4793" w:rsidRPr="002F4793" w:rsidRDefault="002F4793" w:rsidP="002F4793">
      <w:pPr>
        <w:pStyle w:val="TAMainText"/>
        <w:ind w:firstLine="204"/>
        <w:rPr>
          <w:rFonts w:ascii="Times New Roman" w:hAnsi="Times New Roman"/>
          <w:noProof/>
          <w:lang w:val="pt-BR"/>
        </w:rPr>
      </w:pP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28F42AF6" w14:textId="77777777" w:rsidR="007C10D6" w:rsidRDefault="002F4793" w:rsidP="007C10D6">
      <w:pPr>
        <w:pStyle w:val="TAMainText"/>
        <w:ind w:firstLine="187"/>
        <w:rPr>
          <w:rFonts w:ascii="Times New Roman" w:hAnsi="Times New Roman"/>
          <w:lang w:val="pt-BR"/>
        </w:rPr>
      </w:pPr>
      <w:r w:rsidRPr="002F4793">
        <w:rPr>
          <w:rFonts w:ascii="Times New Roman" w:hAnsi="Times New Roman"/>
          <w:lang w:val="pt-BR"/>
        </w:rPr>
        <w:t xml:space="preserve">As isotermas de adsorção de nitrogênio e a distribuição de poros NLDFT das amostras são apresentadas na Figura </w:t>
      </w:r>
      <w:r>
        <w:rPr>
          <w:rFonts w:ascii="Times New Roman" w:hAnsi="Times New Roman"/>
          <w:lang w:val="pt-BR"/>
        </w:rPr>
        <w:t>1</w:t>
      </w:r>
      <w:r w:rsidRPr="002F4793">
        <w:rPr>
          <w:rFonts w:ascii="Times New Roman" w:hAnsi="Times New Roman"/>
          <w:lang w:val="pt-BR"/>
        </w:rPr>
        <w:t xml:space="preserve"> (a) e (b) e os dados obtidos são apresentados na Tabela </w:t>
      </w:r>
      <w:r>
        <w:rPr>
          <w:rFonts w:ascii="Times New Roman" w:hAnsi="Times New Roman"/>
          <w:lang w:val="pt-BR"/>
        </w:rPr>
        <w:t>1</w:t>
      </w:r>
      <w:r w:rsidRPr="002F4793">
        <w:rPr>
          <w:rFonts w:ascii="Times New Roman" w:hAnsi="Times New Roman"/>
          <w:lang w:val="pt-BR"/>
        </w:rPr>
        <w:t xml:space="preserve">. A distribuição de poros por NLDFT, Figura </w:t>
      </w:r>
      <w:r>
        <w:rPr>
          <w:rFonts w:ascii="Times New Roman" w:hAnsi="Times New Roman"/>
          <w:lang w:val="pt-BR"/>
        </w:rPr>
        <w:t>1</w:t>
      </w:r>
      <w:r w:rsidRPr="002F4793">
        <w:rPr>
          <w:rFonts w:ascii="Times New Roman" w:hAnsi="Times New Roman"/>
          <w:lang w:val="pt-BR"/>
        </w:rPr>
        <w:t xml:space="preserve"> mostra uma maior porcentagem de poros na faixa de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entre valores &lt; 0,7nm a 2nm, correspondendo a um total de 89,7%. Desse valor 38,9% corresponde a uma faixa &lt; 0,7nm, 16,1% corresponde a uma faixa entre 0,7nm a 1nm e 34,7% corresponde a faixa de 1nm a 2nm. De acordo com a IUPAC o material REF, apresentou isoterma de adsorção predominantemente tipo I(a), que pode ser atribuída a materiais essencialmente microporosos. O loop de histerese indica a presença de poros maiores que 4nm, e pode ser caracterizado como do tipo H4 que é indicativo de materiais carbonáceos </w:t>
      </w:r>
      <w:proofErr w:type="spellStart"/>
      <w:r w:rsidRPr="002F4793">
        <w:rPr>
          <w:rFonts w:ascii="Times New Roman" w:hAnsi="Times New Roman"/>
          <w:lang w:val="pt-BR"/>
        </w:rPr>
        <w:t>micro-mesoporosos</w:t>
      </w:r>
      <w:proofErr w:type="spellEnd"/>
      <w:r w:rsidRPr="002F4793">
        <w:rPr>
          <w:rFonts w:ascii="Times New Roman" w:hAnsi="Times New Roman"/>
          <w:lang w:val="pt-BR"/>
        </w:rPr>
        <w:t xml:space="preserve"> (</w:t>
      </w:r>
      <w:r w:rsidR="00812AB3">
        <w:rPr>
          <w:rFonts w:ascii="Times New Roman" w:hAnsi="Times New Roman"/>
          <w:lang w:val="pt-BR"/>
        </w:rPr>
        <w:t>6)</w:t>
      </w:r>
      <w:r w:rsidRPr="002F4793">
        <w:rPr>
          <w:rFonts w:ascii="Times New Roman" w:hAnsi="Times New Roman"/>
          <w:lang w:val="pt-BR"/>
        </w:rPr>
        <w:t xml:space="preserve">. Esse material apresenta aproximadamente 10% de volume de poros na região de </w:t>
      </w:r>
      <w:proofErr w:type="spellStart"/>
      <w:r w:rsidRPr="002F4793">
        <w:rPr>
          <w:rFonts w:ascii="Times New Roman" w:hAnsi="Times New Roman"/>
          <w:lang w:val="pt-BR"/>
        </w:rPr>
        <w:t>mesoporos</w:t>
      </w:r>
      <w:proofErr w:type="spellEnd"/>
      <w:r w:rsidRPr="002F4793">
        <w:rPr>
          <w:rFonts w:ascii="Times New Roman" w:hAnsi="Times New Roman"/>
          <w:lang w:val="pt-BR"/>
        </w:rPr>
        <w:t xml:space="preserve"> confirmando a formação do loop de histerese.</w:t>
      </w:r>
    </w:p>
    <w:p w14:paraId="79C22C20" w14:textId="3A20E5BA" w:rsidR="002F4793" w:rsidRPr="002F4793" w:rsidRDefault="002F4793" w:rsidP="007C10D6">
      <w:pPr>
        <w:pStyle w:val="TAMainText"/>
        <w:ind w:firstLine="187"/>
        <w:rPr>
          <w:rFonts w:ascii="Times New Roman" w:hAnsi="Times New Roman"/>
          <w:lang w:val="pt-BR"/>
        </w:rPr>
      </w:pPr>
      <w:r w:rsidRPr="002F4793">
        <w:rPr>
          <w:rFonts w:ascii="Times New Roman" w:hAnsi="Times New Roman"/>
          <w:lang w:val="pt-BR"/>
        </w:rPr>
        <w:t xml:space="preserve">Os materiais BK11 e BK13 são majoritariamente microporosos, correspondendo a um total de 90,9% para o BK11 e 80,4% para o BK13 no intervalor &lt; 0,7nm a 2nm, Tabela 1. Desse total o material BK11 possui 6,8% na faixa &lt; 0,7nm, 53,2% na entre 0,7nm e 1nm e 30,9% entre 1nm e 2nm, enquanto o material BK13 não apresentou poros para valores menores que 0,7nm, 43% entre 0,7nm e 1nm e 37,4% entre 1nm e 2nm. A ativação com potássio melhora as propriedades texturais quando comparados ao REF, a amostra REF possui uma área BET de 701m²/g e os materiais BK11 e BK13 apresentam 1.312m²/g e 1.107m²/g de área BET, respectivamente. O volume total de poros também aumentou significativamente, passando de 0,4351cm³/g na REF, 0,5971cm³/g e 0,7200cm³/g para BK11 e BK13, respectivamente. A área de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e a área de Langmuir também aumentaram para as ativações com potássio, sendo que para o material REF essas áreas eram de 866m²/g e 892m²/g e para o BK11 e BK13 essas áreas passaram a ser de 1.473m²/g a 1.672m²/g e de 1.269m²/g a 1.455m²/g, respectivamente. A isoterma de adsorção predominantemente é tipo I(b), que pode ser atribuída a materiais essencialmente microporosos, porém com poros mais largos. O loop de histerese confirma a presença de poros maiores que 4nm, que pode ser </w:t>
      </w:r>
      <w:r w:rsidRPr="002F4793">
        <w:rPr>
          <w:rFonts w:ascii="Times New Roman" w:hAnsi="Times New Roman"/>
          <w:lang w:val="pt-BR"/>
        </w:rPr>
        <w:t xml:space="preserve">caracterizado como do tipo H4 referente a materiais carbonáceos </w:t>
      </w:r>
      <w:proofErr w:type="spellStart"/>
      <w:r w:rsidRPr="002F4793">
        <w:rPr>
          <w:rFonts w:ascii="Times New Roman" w:hAnsi="Times New Roman"/>
          <w:lang w:val="pt-BR"/>
        </w:rPr>
        <w:t>micro-mesoporosos</w:t>
      </w:r>
      <w:proofErr w:type="spellEnd"/>
      <w:r w:rsidRPr="002F4793">
        <w:rPr>
          <w:rFonts w:ascii="Times New Roman" w:hAnsi="Times New Roman"/>
          <w:lang w:val="pt-BR"/>
        </w:rPr>
        <w:t xml:space="preserve"> (</w:t>
      </w:r>
      <w:r w:rsidR="00DD1E3D">
        <w:rPr>
          <w:rFonts w:ascii="Times New Roman" w:hAnsi="Times New Roman"/>
          <w:lang w:val="pt-BR"/>
        </w:rPr>
        <w:t>6)</w:t>
      </w:r>
      <w:r w:rsidRPr="002F4793">
        <w:rPr>
          <w:rFonts w:ascii="Times New Roman" w:hAnsi="Times New Roman"/>
          <w:lang w:val="pt-BR"/>
        </w:rPr>
        <w:t xml:space="preserve">. Esses materiais apresentam entre 9,1% e 19,6% de volume de poros na região de </w:t>
      </w:r>
      <w:proofErr w:type="spellStart"/>
      <w:r w:rsidRPr="002F4793">
        <w:rPr>
          <w:rFonts w:ascii="Times New Roman" w:hAnsi="Times New Roman"/>
          <w:lang w:val="pt-BR"/>
        </w:rPr>
        <w:t>mesoporos</w:t>
      </w:r>
      <w:proofErr w:type="spellEnd"/>
      <w:r w:rsidRPr="002F4793">
        <w:rPr>
          <w:rFonts w:ascii="Times New Roman" w:hAnsi="Times New Roman"/>
          <w:lang w:val="pt-BR"/>
        </w:rPr>
        <w:t xml:space="preserve"> confirmando a formação do loop de histerese.</w:t>
      </w:r>
    </w:p>
    <w:p w14:paraId="2923B7CB" w14:textId="721334C9" w:rsidR="002F4793" w:rsidRPr="002F4793" w:rsidRDefault="007C10D6" w:rsidP="007C10D6">
      <w:pPr>
        <w:pStyle w:val="TAMainText"/>
        <w:ind w:firstLine="0"/>
        <w:rPr>
          <w:rFonts w:ascii="Times New Roman" w:hAnsi="Times New Roman"/>
          <w:lang w:val="pt-BR"/>
        </w:rPr>
      </w:pPr>
      <w:r>
        <w:rPr>
          <w:rFonts w:ascii="Times New Roman" w:hAnsi="Times New Roman"/>
          <w:lang w:val="pt-BR"/>
        </w:rPr>
        <w:t xml:space="preserve">  </w:t>
      </w:r>
      <w:r w:rsidRPr="002F4793">
        <w:rPr>
          <w:rFonts w:ascii="Times New Roman" w:hAnsi="Times New Roman"/>
          <w:lang w:val="pt-BR"/>
        </w:rPr>
        <w:t>Ativação com grandes quantidades de potássio maximizou</w:t>
      </w:r>
      <w:r w:rsidR="002F4793" w:rsidRPr="002F4793">
        <w:rPr>
          <w:rFonts w:ascii="Times New Roman" w:hAnsi="Times New Roman"/>
          <w:lang w:val="pt-BR"/>
        </w:rPr>
        <w:t xml:space="preserve"> as propriedades texturais, reduzi</w:t>
      </w:r>
      <w:r w:rsidR="005A5E8C">
        <w:rPr>
          <w:rFonts w:ascii="Times New Roman" w:hAnsi="Times New Roman"/>
          <w:lang w:val="pt-BR"/>
        </w:rPr>
        <w:t>ndo</w:t>
      </w:r>
      <w:r w:rsidR="002F4793" w:rsidRPr="002F4793">
        <w:rPr>
          <w:rFonts w:ascii="Times New Roman" w:hAnsi="Times New Roman"/>
          <w:lang w:val="pt-BR"/>
        </w:rPr>
        <w:t xml:space="preserve"> a área superficial BET indicando um elevado ataque da estrutura carbonosa aumentando o tamanho dos poros e reduzindo a área superficial.</w:t>
      </w:r>
    </w:p>
    <w:p w14:paraId="5A4EBD70" w14:textId="77777777" w:rsidR="002F4793" w:rsidRPr="002F4793" w:rsidRDefault="002F4793" w:rsidP="002F4793">
      <w:pPr>
        <w:pStyle w:val="TAMainText"/>
        <w:ind w:firstLine="187"/>
        <w:rPr>
          <w:rFonts w:ascii="Times New Roman" w:hAnsi="Times New Roman"/>
          <w:lang w:val="pt-BR"/>
        </w:rPr>
      </w:pPr>
      <w:r w:rsidRPr="002F4793">
        <w:rPr>
          <w:rFonts w:ascii="Times New Roman" w:hAnsi="Times New Roman"/>
          <w:lang w:val="pt-BR"/>
        </w:rPr>
        <w:t xml:space="preserve">A ativação com cloreto de zinco provoca uma melhora nas propriedades texturais comparados com a referência. A área BET, de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de Langmuir e o volume total de poros para o material BZ11 foram de 1.062 m²/g, 1.261 m²/g, 1.377m²/g e 0,7202cm³/g; enquanto para o material BZ13 foram de 1.188 m²/g, 1.254m²/g, 1651m²/g e 1,1473cm³/g. O carvão BZ11 é um material majoritariamente microporoso, onde 71,3% é de volume de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está entre &lt; 0,7nm a 2nm. Dentro desse valor, 26,8% corresponde a valores &lt; 0,7nm; 7,8% entre 0,7nm e1nm; e, 36,7% entre 1nm e 2nm. </w:t>
      </w:r>
      <w:proofErr w:type="gramStart"/>
      <w:r w:rsidRPr="002F4793">
        <w:rPr>
          <w:rFonts w:ascii="Times New Roman" w:hAnsi="Times New Roman"/>
          <w:lang w:val="pt-BR"/>
        </w:rPr>
        <w:t>A  isoterma</w:t>
      </w:r>
      <w:proofErr w:type="gramEnd"/>
      <w:r w:rsidRPr="002F4793">
        <w:rPr>
          <w:rFonts w:ascii="Times New Roman" w:hAnsi="Times New Roman"/>
          <w:lang w:val="pt-BR"/>
        </w:rPr>
        <w:t xml:space="preserve"> é característica do tipo I(b) e loop de histerese do tipo H4, trata-se de um material </w:t>
      </w:r>
      <w:proofErr w:type="spellStart"/>
      <w:r w:rsidRPr="002F4793">
        <w:rPr>
          <w:rFonts w:ascii="Times New Roman" w:hAnsi="Times New Roman"/>
          <w:lang w:val="pt-BR"/>
        </w:rPr>
        <w:t>micro-mesoporoso</w:t>
      </w:r>
      <w:proofErr w:type="spellEnd"/>
      <w:r w:rsidRPr="002F4793">
        <w:rPr>
          <w:rFonts w:ascii="Times New Roman" w:hAnsi="Times New Roman"/>
          <w:lang w:val="pt-BR"/>
        </w:rPr>
        <w:t xml:space="preserve">, confirmado pela distribuição de poros e 28,7% na faixa de </w:t>
      </w:r>
      <w:proofErr w:type="spellStart"/>
      <w:r w:rsidRPr="002F4793">
        <w:rPr>
          <w:rFonts w:ascii="Times New Roman" w:hAnsi="Times New Roman"/>
          <w:lang w:val="pt-BR"/>
        </w:rPr>
        <w:t>mesoporos</w:t>
      </w:r>
      <w:proofErr w:type="spellEnd"/>
      <w:r w:rsidRPr="002F4793">
        <w:rPr>
          <w:rFonts w:ascii="Times New Roman" w:hAnsi="Times New Roman"/>
          <w:lang w:val="pt-BR"/>
        </w:rPr>
        <w:t>.</w:t>
      </w:r>
    </w:p>
    <w:p w14:paraId="19C65199" w14:textId="3548487C" w:rsidR="002F4793" w:rsidRPr="002F4793" w:rsidRDefault="002F4793" w:rsidP="002F4793">
      <w:pPr>
        <w:pStyle w:val="TAMainText"/>
        <w:ind w:firstLine="187"/>
        <w:rPr>
          <w:rFonts w:ascii="Times New Roman" w:hAnsi="Times New Roman"/>
          <w:lang w:val="pt-BR"/>
        </w:rPr>
      </w:pPr>
      <w:r w:rsidRPr="002F4793">
        <w:rPr>
          <w:rFonts w:ascii="Times New Roman" w:hAnsi="Times New Roman"/>
          <w:lang w:val="pt-BR"/>
        </w:rPr>
        <w:t xml:space="preserve">O material BZ13 apresenta uma forte adsorção em baixas pressões, característica de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com a abertura de um loop de histerese em P/P0 = 0,4 formado por uma forte inclinação tendendo ao infinito indicando uma distribuição larga de poros na faixa de </w:t>
      </w:r>
      <w:proofErr w:type="spellStart"/>
      <w:r w:rsidRPr="002F4793">
        <w:rPr>
          <w:rFonts w:ascii="Times New Roman" w:hAnsi="Times New Roman"/>
          <w:lang w:val="pt-BR"/>
        </w:rPr>
        <w:t>mesoporoso</w:t>
      </w:r>
      <w:proofErr w:type="spellEnd"/>
      <w:r w:rsidRPr="002F4793">
        <w:rPr>
          <w:rFonts w:ascii="Times New Roman" w:hAnsi="Times New Roman"/>
          <w:lang w:val="pt-BR"/>
        </w:rPr>
        <w:t xml:space="preserve">. O material é predominantemente </w:t>
      </w:r>
      <w:proofErr w:type="spellStart"/>
      <w:r w:rsidRPr="002F4793">
        <w:rPr>
          <w:rFonts w:ascii="Times New Roman" w:hAnsi="Times New Roman"/>
          <w:lang w:val="pt-BR"/>
        </w:rPr>
        <w:t>mesoporoso</w:t>
      </w:r>
      <w:proofErr w:type="spellEnd"/>
      <w:r w:rsidRPr="002F4793">
        <w:rPr>
          <w:rFonts w:ascii="Times New Roman" w:hAnsi="Times New Roman"/>
          <w:lang w:val="pt-BR"/>
        </w:rPr>
        <w:t xml:space="preserve">, com 73,3% do volume de poros na faixa dos </w:t>
      </w:r>
      <w:proofErr w:type="spellStart"/>
      <w:r w:rsidRPr="002F4793">
        <w:rPr>
          <w:rFonts w:ascii="Times New Roman" w:hAnsi="Times New Roman"/>
          <w:lang w:val="pt-BR"/>
        </w:rPr>
        <w:t>mesoporos</w:t>
      </w:r>
      <w:proofErr w:type="spellEnd"/>
      <w:r w:rsidRPr="002F4793">
        <w:rPr>
          <w:rFonts w:ascii="Times New Roman" w:hAnsi="Times New Roman"/>
          <w:lang w:val="pt-BR"/>
        </w:rPr>
        <w:t>. Desse total, 37,6% dos poros encontra-se na faixa dos pequenos mesos entre 2</w:t>
      </w:r>
      <w:proofErr w:type="gramStart"/>
      <w:r w:rsidRPr="002F4793">
        <w:rPr>
          <w:rFonts w:ascii="Times New Roman" w:hAnsi="Times New Roman"/>
          <w:lang w:val="pt-BR"/>
        </w:rPr>
        <w:t>nm  e</w:t>
      </w:r>
      <w:proofErr w:type="gramEnd"/>
      <w:r w:rsidRPr="002F4793">
        <w:rPr>
          <w:rFonts w:ascii="Times New Roman" w:hAnsi="Times New Roman"/>
          <w:lang w:val="pt-BR"/>
        </w:rPr>
        <w:t xml:space="preserve"> 5nm e 17,9% entre 5nm e 10nm. A isoterma de adsorção sofre uma grande mudança em relação a referência, passando ao tipo IV(a), que são característicos de adsorventes </w:t>
      </w:r>
      <w:proofErr w:type="spellStart"/>
      <w:r w:rsidRPr="002F4793">
        <w:rPr>
          <w:rFonts w:ascii="Times New Roman" w:hAnsi="Times New Roman"/>
          <w:lang w:val="pt-BR"/>
        </w:rPr>
        <w:t>micro-mesoporosos</w:t>
      </w:r>
      <w:proofErr w:type="spellEnd"/>
      <w:r w:rsidRPr="002F4793">
        <w:rPr>
          <w:rFonts w:ascii="Times New Roman" w:hAnsi="Times New Roman"/>
          <w:lang w:val="pt-BR"/>
        </w:rPr>
        <w:t xml:space="preserve">, porém com uma maior tendência a faixa de </w:t>
      </w:r>
      <w:proofErr w:type="spellStart"/>
      <w:r w:rsidRPr="002F4793">
        <w:rPr>
          <w:rFonts w:ascii="Times New Roman" w:hAnsi="Times New Roman"/>
          <w:lang w:val="pt-BR"/>
        </w:rPr>
        <w:t>mesoporos</w:t>
      </w:r>
      <w:proofErr w:type="spellEnd"/>
      <w:r w:rsidRPr="002F4793">
        <w:rPr>
          <w:rFonts w:ascii="Times New Roman" w:hAnsi="Times New Roman"/>
          <w:lang w:val="pt-BR"/>
        </w:rPr>
        <w:t>. (</w:t>
      </w:r>
      <w:r w:rsidR="00177FE4">
        <w:rPr>
          <w:rFonts w:ascii="Times New Roman" w:hAnsi="Times New Roman"/>
          <w:lang w:val="pt-BR"/>
        </w:rPr>
        <w:t>6)</w:t>
      </w:r>
      <w:r w:rsidRPr="002F4793">
        <w:rPr>
          <w:rFonts w:ascii="Times New Roman" w:hAnsi="Times New Roman"/>
          <w:lang w:val="pt-BR"/>
        </w:rPr>
        <w:t>. O loop de histerese é do tipo H3 que é característico de materiais que não tem os seus poros totalmente preenchidos (</w:t>
      </w:r>
      <w:r w:rsidR="00177FE4">
        <w:rPr>
          <w:rFonts w:ascii="Times New Roman" w:hAnsi="Times New Roman"/>
          <w:lang w:val="pt-BR"/>
        </w:rPr>
        <w:t>6)</w:t>
      </w:r>
      <w:r w:rsidRPr="002F4793">
        <w:rPr>
          <w:rFonts w:ascii="Times New Roman" w:hAnsi="Times New Roman"/>
          <w:lang w:val="pt-BR"/>
        </w:rPr>
        <w:t>. O aumento do teor de ZnCl</w:t>
      </w:r>
      <w:r w:rsidRPr="002F4793">
        <w:rPr>
          <w:rFonts w:ascii="Times New Roman" w:hAnsi="Times New Roman"/>
          <w:vertAlign w:val="subscript"/>
          <w:lang w:val="pt-BR"/>
        </w:rPr>
        <w:t>2</w:t>
      </w:r>
      <w:r w:rsidRPr="002F4793">
        <w:rPr>
          <w:rFonts w:ascii="Times New Roman" w:hAnsi="Times New Roman"/>
          <w:lang w:val="pt-BR"/>
        </w:rPr>
        <w:t xml:space="preserve"> provoca a formação de estruturas majoritariamente </w:t>
      </w:r>
      <w:proofErr w:type="spellStart"/>
      <w:r w:rsidRPr="002F4793">
        <w:rPr>
          <w:rFonts w:ascii="Times New Roman" w:hAnsi="Times New Roman"/>
          <w:lang w:val="pt-BR"/>
        </w:rPr>
        <w:t>mesoporosas</w:t>
      </w:r>
      <w:proofErr w:type="spellEnd"/>
      <w:r w:rsidRPr="002F4793">
        <w:rPr>
          <w:rFonts w:ascii="Times New Roman" w:hAnsi="Times New Roman"/>
          <w:lang w:val="pt-BR"/>
        </w:rPr>
        <w:t xml:space="preserve">, pelo alargamento dos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convertendo-os em </w:t>
      </w:r>
      <w:proofErr w:type="spellStart"/>
      <w:r w:rsidRPr="002F4793">
        <w:rPr>
          <w:rFonts w:ascii="Times New Roman" w:hAnsi="Times New Roman"/>
          <w:lang w:val="pt-BR"/>
        </w:rPr>
        <w:t>mesoporos</w:t>
      </w:r>
      <w:proofErr w:type="spellEnd"/>
      <w:r w:rsidRPr="002F4793">
        <w:rPr>
          <w:rFonts w:ascii="Times New Roman" w:hAnsi="Times New Roman"/>
          <w:lang w:val="pt-BR"/>
        </w:rPr>
        <w:t xml:space="preserve"> (</w:t>
      </w:r>
      <w:r w:rsidR="00177FE4">
        <w:rPr>
          <w:rFonts w:ascii="Times New Roman" w:hAnsi="Times New Roman"/>
          <w:lang w:val="pt-BR"/>
        </w:rPr>
        <w:t>7)</w:t>
      </w:r>
      <w:r w:rsidRPr="002F4793">
        <w:rPr>
          <w:rFonts w:ascii="Times New Roman" w:hAnsi="Times New Roman"/>
          <w:lang w:val="pt-BR"/>
        </w:rPr>
        <w:t xml:space="preserve">. Além disso, ativações com cloreto de zinco, na etapa hidrotérmica leva a uma maior quebra das moléculas de celulose, favorecendo formação de maiores quantidades de </w:t>
      </w:r>
      <w:proofErr w:type="spellStart"/>
      <w:r w:rsidRPr="002F4793">
        <w:rPr>
          <w:rFonts w:ascii="Times New Roman" w:hAnsi="Times New Roman"/>
          <w:lang w:val="pt-BR"/>
        </w:rPr>
        <w:t>mesoporos</w:t>
      </w:r>
      <w:proofErr w:type="spellEnd"/>
      <w:r w:rsidRPr="002F4793">
        <w:rPr>
          <w:rFonts w:ascii="Times New Roman" w:hAnsi="Times New Roman"/>
          <w:lang w:val="pt-BR"/>
        </w:rPr>
        <w:t xml:space="preserve"> e gerando melhores propriedades texturais (</w:t>
      </w:r>
      <w:r w:rsidR="00177FE4">
        <w:rPr>
          <w:rFonts w:ascii="Times New Roman" w:hAnsi="Times New Roman"/>
          <w:lang w:val="pt-BR"/>
        </w:rPr>
        <w:t>8)</w:t>
      </w:r>
      <w:r w:rsidRPr="002F4793">
        <w:rPr>
          <w:rFonts w:ascii="Times New Roman" w:hAnsi="Times New Roman"/>
          <w:lang w:val="pt-BR"/>
        </w:rPr>
        <w:t>.</w:t>
      </w:r>
    </w:p>
    <w:p w14:paraId="1DD44CB8" w14:textId="7FED97F2" w:rsidR="002F4793" w:rsidRDefault="002F4793" w:rsidP="002F4793">
      <w:pPr>
        <w:pStyle w:val="TAMainText"/>
        <w:ind w:firstLine="187"/>
        <w:rPr>
          <w:rFonts w:ascii="Times New Roman" w:hAnsi="Times New Roman"/>
          <w:lang w:val="pt-BR"/>
        </w:rPr>
      </w:pPr>
      <w:r w:rsidRPr="002F4793">
        <w:rPr>
          <w:rFonts w:ascii="Times New Roman" w:hAnsi="Times New Roman"/>
          <w:lang w:val="pt-BR"/>
        </w:rPr>
        <w:t xml:space="preserve">O expoente de </w:t>
      </w:r>
      <w:proofErr w:type="spellStart"/>
      <w:r w:rsidRPr="002F4793">
        <w:rPr>
          <w:rFonts w:ascii="Times New Roman" w:hAnsi="Times New Roman"/>
          <w:lang w:val="pt-BR"/>
        </w:rPr>
        <w:t>Dubinin</w:t>
      </w:r>
      <w:proofErr w:type="spellEnd"/>
      <w:r w:rsidRPr="002F4793">
        <w:rPr>
          <w:rFonts w:ascii="Times New Roman" w:hAnsi="Times New Roman"/>
          <w:lang w:val="pt-BR"/>
        </w:rPr>
        <w:t xml:space="preserve"> – </w:t>
      </w:r>
      <w:proofErr w:type="spellStart"/>
      <w:r w:rsidRPr="002F4793">
        <w:rPr>
          <w:rFonts w:ascii="Times New Roman" w:hAnsi="Times New Roman"/>
          <w:lang w:val="pt-BR"/>
        </w:rPr>
        <w:t>Astakhov</w:t>
      </w:r>
      <w:proofErr w:type="spellEnd"/>
      <w:r w:rsidRPr="002F4793">
        <w:rPr>
          <w:rFonts w:ascii="Times New Roman" w:hAnsi="Times New Roman"/>
          <w:lang w:val="pt-BR"/>
        </w:rPr>
        <w:t xml:space="preserve"> nos fornece informações sobre o grau de homogeneidade de um sistema microporoso, sendo que o valor de n encontra-se entre 1 e 4 para adsorventes carbonáceos. Para valores de n menores do que 2 é atribuído uma distribuição heterogênea de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e para valores de n maiores do que 2 é atribuído a sólidos carbonáceos com </w:t>
      </w:r>
      <w:proofErr w:type="spellStart"/>
      <w:r w:rsidRPr="002F4793">
        <w:rPr>
          <w:rFonts w:ascii="Times New Roman" w:hAnsi="Times New Roman"/>
          <w:lang w:val="pt-BR"/>
        </w:rPr>
        <w:t>microporos</w:t>
      </w:r>
      <w:proofErr w:type="spellEnd"/>
      <w:r w:rsidRPr="002F4793">
        <w:rPr>
          <w:rFonts w:ascii="Times New Roman" w:hAnsi="Times New Roman"/>
          <w:lang w:val="pt-BR"/>
        </w:rPr>
        <w:t xml:space="preserve"> homogêneos (</w:t>
      </w:r>
      <w:r w:rsidR="007151D3">
        <w:rPr>
          <w:rFonts w:ascii="Times New Roman" w:hAnsi="Times New Roman"/>
          <w:lang w:val="pt-BR"/>
        </w:rPr>
        <w:t>6</w:t>
      </w:r>
      <w:r w:rsidRPr="002F4793">
        <w:rPr>
          <w:rFonts w:ascii="Times New Roman" w:hAnsi="Times New Roman"/>
          <w:lang w:val="pt-BR"/>
        </w:rPr>
        <w:t xml:space="preserve">). Todos os materiais produzidos </w:t>
      </w:r>
      <w:r w:rsidRPr="002F4793">
        <w:rPr>
          <w:rFonts w:ascii="Times New Roman" w:hAnsi="Times New Roman"/>
          <w:lang w:val="pt-BR"/>
        </w:rPr>
        <w:lastRenderedPageBreak/>
        <w:t>apresentaram valores de n entre 1 e 1,40 mostrando o grau de heterogeneidade de sistemas microporosos, que são característicos de materiais carbonáceos (</w:t>
      </w:r>
      <w:r w:rsidR="007151D3">
        <w:rPr>
          <w:rFonts w:ascii="Times New Roman" w:hAnsi="Times New Roman"/>
          <w:lang w:val="pt-BR"/>
        </w:rPr>
        <w:t>6</w:t>
      </w:r>
      <w:r w:rsidRPr="002F4793">
        <w:rPr>
          <w:rFonts w:ascii="Times New Roman" w:hAnsi="Times New Roman"/>
          <w:lang w:val="pt-BR"/>
        </w:rPr>
        <w:t xml:space="preserve">). Observa-se que para os materiais REF e BK11 os materiais apresentaram valores de 1,13 e 1,40 respectivamente, mostrando que esses materiais são mais homogêneos que os demais, informação observada claramente na distribuição de poros por NLDFT, Figura </w:t>
      </w:r>
      <w:r>
        <w:rPr>
          <w:rFonts w:ascii="Times New Roman" w:hAnsi="Times New Roman"/>
          <w:lang w:val="pt-BR"/>
        </w:rPr>
        <w:t>1</w:t>
      </w:r>
      <w:r w:rsidRPr="002F4793">
        <w:rPr>
          <w:rFonts w:ascii="Times New Roman" w:hAnsi="Times New Roman"/>
          <w:lang w:val="pt-BR"/>
        </w:rPr>
        <w:t xml:space="preserve"> (b</w:t>
      </w:r>
      <w:proofErr w:type="gramStart"/>
      <w:r w:rsidRPr="002F4793">
        <w:rPr>
          <w:rFonts w:ascii="Times New Roman" w:hAnsi="Times New Roman"/>
          <w:lang w:val="pt-BR"/>
        </w:rPr>
        <w:t>) .</w:t>
      </w:r>
      <w:proofErr w:type="gramEnd"/>
      <w:r w:rsidRPr="002F4793">
        <w:rPr>
          <w:rFonts w:ascii="Times New Roman" w:hAnsi="Times New Roman"/>
          <w:lang w:val="pt-BR"/>
        </w:rPr>
        <w:t xml:space="preserve"> Os demais materiais BK13, BZ11 e BZ13 apresentaram n = 1, mostrando um uma distribuição de poros fortemente heterogênea. O aumento da proporção de KOH do BK11 o BK13, intensifica a ativação e consequentemente a heterogeneidade do sistema poroso, por outo lado o agente ativante ZnCl</w:t>
      </w:r>
      <w:r w:rsidRPr="002F4793">
        <w:rPr>
          <w:rFonts w:ascii="Times New Roman" w:hAnsi="Times New Roman"/>
          <w:vertAlign w:val="subscript"/>
          <w:lang w:val="pt-BR"/>
        </w:rPr>
        <w:t>2</w:t>
      </w:r>
      <w:r w:rsidRPr="002F4793">
        <w:rPr>
          <w:rFonts w:ascii="Times New Roman" w:hAnsi="Times New Roman"/>
          <w:lang w:val="pt-BR"/>
        </w:rPr>
        <w:t>, o valor de n = 1 já é atingido para o material BZ11, mostrando que o Zn provoca sistemas mais heterogêneos do que o K.</w:t>
      </w:r>
    </w:p>
    <w:p w14:paraId="7792389D" w14:textId="77777777" w:rsidR="00A11BF7" w:rsidRDefault="00A11BF7" w:rsidP="00A11BF7">
      <w:pPr>
        <w:pStyle w:val="TAMainText"/>
        <w:ind w:firstLine="0"/>
        <w:rPr>
          <w:rFonts w:ascii="Times New Roman" w:hAnsi="Times New Roman"/>
          <w:b/>
          <w:lang w:val="pt-BR"/>
        </w:rPr>
      </w:pPr>
    </w:p>
    <w:p w14:paraId="56803A04" w14:textId="01D12052" w:rsidR="00A11BF7" w:rsidRPr="00FC0749" w:rsidRDefault="00A11BF7" w:rsidP="00A11BF7">
      <w:pPr>
        <w:pStyle w:val="TAMainText"/>
        <w:ind w:firstLine="0"/>
        <w:rPr>
          <w:rFonts w:ascii="Times New Roman" w:hAnsi="Times New Roman"/>
          <w:sz w:val="18"/>
          <w:lang w:val="pt-BR"/>
        </w:rPr>
      </w:pPr>
      <w:r w:rsidRPr="00FC0749">
        <w:rPr>
          <w:rFonts w:ascii="Times New Roman" w:hAnsi="Times New Roman"/>
          <w:b/>
          <w:sz w:val="18"/>
          <w:lang w:val="pt-BR"/>
        </w:rPr>
        <w:t>Figura 1.</w:t>
      </w:r>
      <w:r w:rsidRPr="00FC0749">
        <w:rPr>
          <w:rFonts w:ascii="Times New Roman" w:hAnsi="Times New Roman"/>
          <w:sz w:val="18"/>
          <w:lang w:val="pt-BR"/>
        </w:rPr>
        <w:t xml:space="preserve"> (a) Isotermas de Adsorção/Dessorção de Nitrogênio; e, (b) Distribuição de Poros por NLDFT.</w:t>
      </w:r>
    </w:p>
    <w:p w14:paraId="7F644015" w14:textId="19D95018" w:rsidR="00EA4E1B" w:rsidRDefault="002F4793" w:rsidP="00EA4E1B">
      <w:pPr>
        <w:jc w:val="center"/>
      </w:pPr>
      <w:r>
        <w:rPr>
          <w:noProof/>
          <w:lang w:eastAsia="pt-BR"/>
        </w:rPr>
        <w:drawing>
          <wp:inline distT="0" distB="0" distL="0" distR="0" wp14:anchorId="59A161DC" wp14:editId="204CA4C8">
            <wp:extent cx="3149600" cy="2322251"/>
            <wp:effectExtent l="0" t="0" r="0" b="190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9">
                      <a:extLst>
                        <a:ext uri="{28A0092B-C50C-407E-A947-70E740481C1C}">
                          <a14:useLocalDpi xmlns:a14="http://schemas.microsoft.com/office/drawing/2010/main" val="0"/>
                        </a:ext>
                      </a:extLst>
                    </a:blip>
                    <a:srcRect l="2330" t="1219" b="-451"/>
                    <a:stretch/>
                  </pic:blipFill>
                  <pic:spPr bwMode="auto">
                    <a:xfrm>
                      <a:off x="0" y="0"/>
                      <a:ext cx="3166975" cy="2335062"/>
                    </a:xfrm>
                    <a:prstGeom prst="rect">
                      <a:avLst/>
                    </a:prstGeom>
                    <a:noFill/>
                    <a:ln>
                      <a:noFill/>
                    </a:ln>
                    <a:extLst>
                      <a:ext uri="{53640926-AAD7-44D8-BBD7-CCE9431645EC}">
                        <a14:shadowObscured xmlns:a14="http://schemas.microsoft.com/office/drawing/2010/main"/>
                      </a:ext>
                    </a:extLst>
                  </pic:spPr>
                </pic:pic>
              </a:graphicData>
            </a:graphic>
          </wp:inline>
        </w:drawing>
      </w:r>
    </w:p>
    <w:p w14:paraId="483DF959" w14:textId="399811A0" w:rsidR="00EA4E1B" w:rsidRDefault="00EA4E1B" w:rsidP="00EA4E1B">
      <w:pPr>
        <w:pStyle w:val="VDTableTitle"/>
        <w:spacing w:after="120"/>
        <w:jc w:val="both"/>
        <w:rPr>
          <w:rFonts w:ascii="Times New Roman" w:hAnsi="Times New Roman"/>
          <w:lang w:val="pt-BR"/>
        </w:rPr>
      </w:pPr>
      <w:r w:rsidRPr="00E038AF">
        <w:rPr>
          <w:rFonts w:ascii="Times New Roman" w:hAnsi="Times New Roman"/>
          <w:b/>
          <w:lang w:val="pt-BR"/>
        </w:rPr>
        <w:t>Tabela 1.</w:t>
      </w:r>
      <w:r w:rsidRPr="00E038AF">
        <w:rPr>
          <w:rFonts w:ascii="Times New Roman" w:hAnsi="Times New Roman"/>
          <w:lang w:val="pt-BR"/>
        </w:rPr>
        <w:t xml:space="preserve"> </w:t>
      </w:r>
      <w:r w:rsidR="00C93DE7">
        <w:rPr>
          <w:rFonts w:ascii="Times New Roman" w:hAnsi="Times New Roman"/>
          <w:lang w:val="pt-BR"/>
        </w:rPr>
        <w:t xml:space="preserve">Propriedade </w:t>
      </w:r>
      <w:proofErr w:type="spellStart"/>
      <w:r w:rsidR="00C93DE7">
        <w:rPr>
          <w:rFonts w:ascii="Times New Roman" w:hAnsi="Times New Roman"/>
          <w:lang w:val="pt-BR"/>
        </w:rPr>
        <w:t>Textural</w:t>
      </w:r>
      <w:proofErr w:type="spellEnd"/>
    </w:p>
    <w:tbl>
      <w:tblPr>
        <w:tblStyle w:val="Tabelacomgrade"/>
        <w:tblW w:w="4979" w:type="dxa"/>
        <w:tblInd w:w="108" w:type="dxa"/>
        <w:tblLook w:val="0620" w:firstRow="1" w:lastRow="0" w:firstColumn="0" w:lastColumn="0" w:noHBand="1" w:noVBand="1"/>
      </w:tblPr>
      <w:tblGrid>
        <w:gridCol w:w="1171"/>
        <w:gridCol w:w="896"/>
        <w:gridCol w:w="1052"/>
        <w:gridCol w:w="895"/>
        <w:gridCol w:w="965"/>
      </w:tblGrid>
      <w:tr w:rsidR="008D7C17" w:rsidRPr="005A5E8C" w14:paraId="2E181661" w14:textId="77777777" w:rsidTr="005A5E8C">
        <w:trPr>
          <w:trHeight w:val="246"/>
        </w:trPr>
        <w:tc>
          <w:tcPr>
            <w:tcW w:w="1171" w:type="dxa"/>
            <w:vMerge w:val="restart"/>
            <w:noWrap/>
            <w:vAlign w:val="center"/>
          </w:tcPr>
          <w:p w14:paraId="2A9F3AC4" w14:textId="77777777" w:rsidR="00A11BF7" w:rsidRPr="005A5E8C" w:rsidRDefault="00A11BF7" w:rsidP="005A5E8C">
            <w:pPr>
              <w:jc w:val="center"/>
              <w:rPr>
                <w:rFonts w:ascii="Times" w:hAnsi="Times" w:cs="Times"/>
                <w:i/>
                <w:iCs/>
                <w:sz w:val="18"/>
                <w:szCs w:val="20"/>
              </w:rPr>
            </w:pPr>
            <w:r w:rsidRPr="005A5E8C">
              <w:rPr>
                <w:rFonts w:ascii="Times" w:hAnsi="Times" w:cs="Times"/>
                <w:i/>
                <w:iCs/>
                <w:sz w:val="18"/>
                <w:szCs w:val="20"/>
              </w:rPr>
              <w:t>Amostra</w:t>
            </w:r>
          </w:p>
        </w:tc>
        <w:tc>
          <w:tcPr>
            <w:tcW w:w="896" w:type="dxa"/>
            <w:vMerge w:val="restart"/>
            <w:noWrap/>
            <w:vAlign w:val="center"/>
          </w:tcPr>
          <w:p w14:paraId="399E2AE6" w14:textId="77777777" w:rsidR="00A11BF7" w:rsidRPr="005A5E8C" w:rsidRDefault="00A11BF7" w:rsidP="005A5E8C">
            <w:pPr>
              <w:jc w:val="center"/>
              <w:rPr>
                <w:rFonts w:ascii="Times" w:hAnsi="Times" w:cs="Times"/>
                <w:i/>
                <w:iCs/>
                <w:sz w:val="18"/>
                <w:szCs w:val="20"/>
                <w:vertAlign w:val="superscript"/>
              </w:rPr>
            </w:pPr>
            <w:proofErr w:type="spellStart"/>
            <w:r w:rsidRPr="005A5E8C">
              <w:rPr>
                <w:rFonts w:ascii="Times" w:hAnsi="Times" w:cs="Times"/>
                <w:i/>
                <w:iCs/>
                <w:sz w:val="18"/>
                <w:szCs w:val="20"/>
                <w:vertAlign w:val="superscript"/>
              </w:rPr>
              <w:t>a</w:t>
            </w:r>
            <w:r w:rsidRPr="005A5E8C">
              <w:rPr>
                <w:rFonts w:ascii="Times" w:hAnsi="Times" w:cs="Times"/>
                <w:i/>
                <w:iCs/>
                <w:sz w:val="18"/>
                <w:szCs w:val="20"/>
              </w:rPr>
              <w:t>S</w:t>
            </w:r>
            <w:r w:rsidRPr="005A5E8C">
              <w:rPr>
                <w:rFonts w:ascii="Times" w:hAnsi="Times" w:cs="Times"/>
                <w:i/>
                <w:iCs/>
                <w:sz w:val="18"/>
                <w:szCs w:val="20"/>
                <w:vertAlign w:val="subscript"/>
              </w:rPr>
              <w:t>BET</w:t>
            </w:r>
            <w:proofErr w:type="spellEnd"/>
          </w:p>
        </w:tc>
        <w:tc>
          <w:tcPr>
            <w:tcW w:w="1052" w:type="dxa"/>
            <w:vMerge w:val="restart"/>
            <w:noWrap/>
            <w:vAlign w:val="center"/>
          </w:tcPr>
          <w:p w14:paraId="03E08E27" w14:textId="77777777" w:rsidR="00A11BF7" w:rsidRPr="005A5E8C" w:rsidRDefault="00A11BF7" w:rsidP="005A5E8C">
            <w:pPr>
              <w:jc w:val="center"/>
              <w:rPr>
                <w:rFonts w:ascii="Times" w:hAnsi="Times" w:cs="Times"/>
                <w:i/>
                <w:iCs/>
                <w:sz w:val="18"/>
                <w:szCs w:val="20"/>
                <w:vertAlign w:val="superscript"/>
              </w:rPr>
            </w:pPr>
            <w:proofErr w:type="spellStart"/>
            <w:r w:rsidRPr="005A5E8C">
              <w:rPr>
                <w:rFonts w:ascii="Times" w:hAnsi="Times" w:cs="Times"/>
                <w:i/>
                <w:iCs/>
                <w:sz w:val="18"/>
                <w:szCs w:val="20"/>
                <w:vertAlign w:val="superscript"/>
              </w:rPr>
              <w:t>b</w:t>
            </w:r>
            <w:r w:rsidRPr="005A5E8C">
              <w:rPr>
                <w:rFonts w:ascii="Times" w:hAnsi="Times" w:cs="Times"/>
                <w:i/>
                <w:iCs/>
                <w:sz w:val="18"/>
                <w:szCs w:val="20"/>
              </w:rPr>
              <w:t>S</w:t>
            </w:r>
            <w:r w:rsidRPr="005A5E8C">
              <w:rPr>
                <w:rFonts w:ascii="Times" w:hAnsi="Times" w:cs="Times"/>
                <w:i/>
                <w:iCs/>
                <w:sz w:val="18"/>
                <w:szCs w:val="20"/>
                <w:vertAlign w:val="subscript"/>
              </w:rPr>
              <w:t>mic</w:t>
            </w:r>
            <w:proofErr w:type="spellEnd"/>
          </w:p>
        </w:tc>
        <w:tc>
          <w:tcPr>
            <w:tcW w:w="895" w:type="dxa"/>
            <w:vMerge w:val="restart"/>
            <w:noWrap/>
            <w:vAlign w:val="center"/>
          </w:tcPr>
          <w:p w14:paraId="58BA246A" w14:textId="77777777" w:rsidR="00A11BF7" w:rsidRPr="005A5E8C" w:rsidRDefault="00A11BF7" w:rsidP="005A5E8C">
            <w:pPr>
              <w:jc w:val="center"/>
              <w:rPr>
                <w:rFonts w:ascii="Times" w:hAnsi="Times" w:cs="Times"/>
                <w:i/>
                <w:iCs/>
                <w:sz w:val="18"/>
                <w:szCs w:val="20"/>
                <w:vertAlign w:val="superscript"/>
              </w:rPr>
            </w:pPr>
            <w:proofErr w:type="spellStart"/>
            <w:r w:rsidRPr="005A5E8C">
              <w:rPr>
                <w:rFonts w:ascii="Times" w:hAnsi="Times" w:cs="Times"/>
                <w:i/>
                <w:iCs/>
                <w:sz w:val="18"/>
                <w:szCs w:val="20"/>
                <w:vertAlign w:val="superscript"/>
              </w:rPr>
              <w:t>c</w:t>
            </w:r>
            <w:r w:rsidRPr="005A5E8C">
              <w:rPr>
                <w:rFonts w:ascii="Times" w:hAnsi="Times" w:cs="Times"/>
                <w:i/>
                <w:iCs/>
                <w:sz w:val="18"/>
                <w:szCs w:val="20"/>
              </w:rPr>
              <w:t>S</w:t>
            </w:r>
            <w:r w:rsidRPr="005A5E8C">
              <w:rPr>
                <w:rFonts w:ascii="Times" w:hAnsi="Times" w:cs="Times"/>
                <w:i/>
                <w:iCs/>
                <w:sz w:val="18"/>
                <w:szCs w:val="20"/>
                <w:vertAlign w:val="subscript"/>
              </w:rPr>
              <w:t>Langmuir</w:t>
            </w:r>
            <w:proofErr w:type="spellEnd"/>
          </w:p>
        </w:tc>
        <w:tc>
          <w:tcPr>
            <w:tcW w:w="965" w:type="dxa"/>
            <w:vMerge w:val="restart"/>
            <w:noWrap/>
            <w:vAlign w:val="center"/>
          </w:tcPr>
          <w:p w14:paraId="7813E3D3" w14:textId="77777777" w:rsidR="00A11BF7" w:rsidRPr="005A5E8C" w:rsidRDefault="00A11BF7" w:rsidP="005A5E8C">
            <w:pPr>
              <w:jc w:val="center"/>
              <w:rPr>
                <w:rFonts w:ascii="Times" w:hAnsi="Times" w:cs="Times"/>
                <w:i/>
                <w:iCs/>
                <w:sz w:val="18"/>
                <w:szCs w:val="20"/>
                <w:vertAlign w:val="superscript"/>
              </w:rPr>
            </w:pPr>
            <w:proofErr w:type="spellStart"/>
            <w:r w:rsidRPr="005A5E8C">
              <w:rPr>
                <w:rFonts w:ascii="Times" w:hAnsi="Times" w:cs="Times"/>
                <w:i/>
                <w:iCs/>
                <w:sz w:val="18"/>
                <w:szCs w:val="20"/>
                <w:vertAlign w:val="superscript"/>
              </w:rPr>
              <w:t>d</w:t>
            </w:r>
            <w:r w:rsidRPr="005A5E8C">
              <w:rPr>
                <w:rFonts w:ascii="Times" w:hAnsi="Times" w:cs="Times"/>
                <w:i/>
                <w:iCs/>
                <w:sz w:val="18"/>
                <w:szCs w:val="20"/>
              </w:rPr>
              <w:t>V</w:t>
            </w:r>
            <w:r w:rsidRPr="005A5E8C">
              <w:rPr>
                <w:rFonts w:ascii="Times" w:hAnsi="Times" w:cs="Times"/>
                <w:i/>
                <w:iCs/>
                <w:sz w:val="18"/>
                <w:szCs w:val="20"/>
                <w:vertAlign w:val="subscript"/>
              </w:rPr>
              <w:t>t</w:t>
            </w:r>
            <w:proofErr w:type="spellEnd"/>
          </w:p>
        </w:tc>
      </w:tr>
      <w:tr w:rsidR="008D7C17" w:rsidRPr="005A5E8C" w14:paraId="11AC81EF" w14:textId="77777777" w:rsidTr="005A5E8C">
        <w:trPr>
          <w:trHeight w:val="480"/>
        </w:trPr>
        <w:tc>
          <w:tcPr>
            <w:tcW w:w="1171" w:type="dxa"/>
            <w:vMerge/>
            <w:noWrap/>
            <w:hideMark/>
          </w:tcPr>
          <w:p w14:paraId="6D1F6379" w14:textId="77777777" w:rsidR="00A11BF7" w:rsidRPr="005A5E8C" w:rsidRDefault="00A11BF7" w:rsidP="002970EB">
            <w:pPr>
              <w:rPr>
                <w:rFonts w:ascii="Times" w:hAnsi="Times" w:cs="Times"/>
                <w:sz w:val="18"/>
                <w:szCs w:val="20"/>
              </w:rPr>
            </w:pPr>
          </w:p>
        </w:tc>
        <w:tc>
          <w:tcPr>
            <w:tcW w:w="896" w:type="dxa"/>
            <w:vMerge/>
            <w:noWrap/>
            <w:hideMark/>
          </w:tcPr>
          <w:p w14:paraId="683809CC" w14:textId="77777777" w:rsidR="00A11BF7" w:rsidRPr="005A5E8C" w:rsidRDefault="00A11BF7" w:rsidP="002970EB">
            <w:pPr>
              <w:jc w:val="center"/>
              <w:rPr>
                <w:rFonts w:ascii="Times" w:hAnsi="Times" w:cs="Times"/>
                <w:sz w:val="18"/>
                <w:szCs w:val="20"/>
              </w:rPr>
            </w:pPr>
          </w:p>
        </w:tc>
        <w:tc>
          <w:tcPr>
            <w:tcW w:w="1052" w:type="dxa"/>
            <w:vMerge/>
            <w:noWrap/>
            <w:hideMark/>
          </w:tcPr>
          <w:p w14:paraId="48DCC63A" w14:textId="77777777" w:rsidR="00A11BF7" w:rsidRPr="005A5E8C" w:rsidRDefault="00A11BF7" w:rsidP="002970EB">
            <w:pPr>
              <w:jc w:val="center"/>
              <w:rPr>
                <w:rFonts w:ascii="Times" w:hAnsi="Times" w:cs="Times"/>
                <w:sz w:val="18"/>
                <w:szCs w:val="20"/>
              </w:rPr>
            </w:pPr>
          </w:p>
        </w:tc>
        <w:tc>
          <w:tcPr>
            <w:tcW w:w="895" w:type="dxa"/>
            <w:vMerge/>
            <w:noWrap/>
            <w:hideMark/>
          </w:tcPr>
          <w:p w14:paraId="58AD8738" w14:textId="77777777" w:rsidR="00A11BF7" w:rsidRPr="005A5E8C" w:rsidRDefault="00A11BF7" w:rsidP="002970EB">
            <w:pPr>
              <w:jc w:val="center"/>
              <w:rPr>
                <w:rFonts w:ascii="Times" w:hAnsi="Times" w:cs="Times"/>
                <w:sz w:val="18"/>
                <w:szCs w:val="20"/>
              </w:rPr>
            </w:pPr>
          </w:p>
        </w:tc>
        <w:tc>
          <w:tcPr>
            <w:tcW w:w="965" w:type="dxa"/>
            <w:vMerge/>
            <w:noWrap/>
            <w:hideMark/>
          </w:tcPr>
          <w:p w14:paraId="14295B9E" w14:textId="77777777" w:rsidR="00A11BF7" w:rsidRPr="005A5E8C" w:rsidRDefault="00A11BF7" w:rsidP="002970EB">
            <w:pPr>
              <w:jc w:val="center"/>
              <w:rPr>
                <w:rFonts w:ascii="Times" w:hAnsi="Times" w:cs="Times"/>
                <w:sz w:val="18"/>
                <w:szCs w:val="20"/>
              </w:rPr>
            </w:pPr>
          </w:p>
        </w:tc>
      </w:tr>
      <w:tr w:rsidR="008D7C17" w:rsidRPr="005A5E8C" w14:paraId="7E78DA57" w14:textId="77777777" w:rsidTr="005A5E8C">
        <w:trPr>
          <w:trHeight w:val="232"/>
        </w:trPr>
        <w:tc>
          <w:tcPr>
            <w:tcW w:w="1171" w:type="dxa"/>
            <w:noWrap/>
            <w:hideMark/>
          </w:tcPr>
          <w:p w14:paraId="220176E2" w14:textId="77777777" w:rsidR="00A11BF7" w:rsidRPr="005A5E8C" w:rsidRDefault="00A11BF7" w:rsidP="002970EB">
            <w:pPr>
              <w:rPr>
                <w:rFonts w:ascii="Times" w:hAnsi="Times" w:cs="Times"/>
                <w:i/>
                <w:iCs/>
                <w:sz w:val="18"/>
                <w:szCs w:val="20"/>
              </w:rPr>
            </w:pPr>
            <w:r w:rsidRPr="005A5E8C">
              <w:rPr>
                <w:rFonts w:ascii="Times" w:hAnsi="Times" w:cs="Times"/>
                <w:i/>
                <w:iCs/>
                <w:sz w:val="18"/>
                <w:szCs w:val="20"/>
              </w:rPr>
              <w:t>REF</w:t>
            </w:r>
          </w:p>
        </w:tc>
        <w:tc>
          <w:tcPr>
            <w:tcW w:w="896" w:type="dxa"/>
            <w:noWrap/>
            <w:hideMark/>
          </w:tcPr>
          <w:p w14:paraId="2D3A7366"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701</w:t>
            </w:r>
          </w:p>
        </w:tc>
        <w:tc>
          <w:tcPr>
            <w:tcW w:w="1052" w:type="dxa"/>
            <w:noWrap/>
            <w:hideMark/>
          </w:tcPr>
          <w:p w14:paraId="3669EBD8"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866</w:t>
            </w:r>
          </w:p>
        </w:tc>
        <w:tc>
          <w:tcPr>
            <w:tcW w:w="895" w:type="dxa"/>
            <w:noWrap/>
            <w:hideMark/>
          </w:tcPr>
          <w:p w14:paraId="18898481"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892</w:t>
            </w:r>
          </w:p>
        </w:tc>
        <w:tc>
          <w:tcPr>
            <w:tcW w:w="965" w:type="dxa"/>
            <w:noWrap/>
            <w:hideMark/>
          </w:tcPr>
          <w:p w14:paraId="6EAD03D4"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0,4351</w:t>
            </w:r>
          </w:p>
        </w:tc>
      </w:tr>
      <w:tr w:rsidR="008D7C17" w:rsidRPr="005A5E8C" w14:paraId="459F5D21" w14:textId="77777777" w:rsidTr="005A5E8C">
        <w:trPr>
          <w:trHeight w:val="232"/>
        </w:trPr>
        <w:tc>
          <w:tcPr>
            <w:tcW w:w="1171" w:type="dxa"/>
            <w:noWrap/>
            <w:hideMark/>
          </w:tcPr>
          <w:p w14:paraId="7D5D4565" w14:textId="77777777" w:rsidR="00A11BF7" w:rsidRPr="005A5E8C" w:rsidRDefault="00A11BF7" w:rsidP="002970EB">
            <w:pPr>
              <w:rPr>
                <w:rFonts w:ascii="Times" w:hAnsi="Times" w:cs="Times"/>
                <w:i/>
                <w:iCs/>
                <w:sz w:val="18"/>
                <w:szCs w:val="20"/>
              </w:rPr>
            </w:pPr>
            <w:r w:rsidRPr="005A5E8C">
              <w:rPr>
                <w:rFonts w:ascii="Times" w:hAnsi="Times" w:cs="Times"/>
                <w:i/>
                <w:iCs/>
                <w:sz w:val="18"/>
                <w:szCs w:val="20"/>
              </w:rPr>
              <w:t>BK11</w:t>
            </w:r>
          </w:p>
        </w:tc>
        <w:tc>
          <w:tcPr>
            <w:tcW w:w="896" w:type="dxa"/>
            <w:noWrap/>
            <w:hideMark/>
          </w:tcPr>
          <w:p w14:paraId="7E3C3564" w14:textId="197901E7"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312</w:t>
            </w:r>
          </w:p>
        </w:tc>
        <w:tc>
          <w:tcPr>
            <w:tcW w:w="1052" w:type="dxa"/>
            <w:noWrap/>
            <w:hideMark/>
          </w:tcPr>
          <w:p w14:paraId="66D9275A" w14:textId="5AC278E3"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473</w:t>
            </w:r>
          </w:p>
        </w:tc>
        <w:tc>
          <w:tcPr>
            <w:tcW w:w="895" w:type="dxa"/>
            <w:noWrap/>
            <w:hideMark/>
          </w:tcPr>
          <w:p w14:paraId="33C7826F" w14:textId="64AA2316"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672</w:t>
            </w:r>
          </w:p>
        </w:tc>
        <w:tc>
          <w:tcPr>
            <w:tcW w:w="965" w:type="dxa"/>
            <w:noWrap/>
            <w:hideMark/>
          </w:tcPr>
          <w:p w14:paraId="07E3B4E5"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0,5971</w:t>
            </w:r>
          </w:p>
        </w:tc>
      </w:tr>
      <w:tr w:rsidR="008D7C17" w:rsidRPr="005A5E8C" w14:paraId="17CA9929" w14:textId="77777777" w:rsidTr="005A5E8C">
        <w:trPr>
          <w:trHeight w:val="232"/>
        </w:trPr>
        <w:tc>
          <w:tcPr>
            <w:tcW w:w="1171" w:type="dxa"/>
            <w:noWrap/>
            <w:hideMark/>
          </w:tcPr>
          <w:p w14:paraId="0DC48DB6" w14:textId="77777777" w:rsidR="00A11BF7" w:rsidRPr="005A5E8C" w:rsidRDefault="00A11BF7" w:rsidP="002970EB">
            <w:pPr>
              <w:rPr>
                <w:rFonts w:ascii="Times" w:hAnsi="Times" w:cs="Times"/>
                <w:i/>
                <w:iCs/>
                <w:sz w:val="18"/>
                <w:szCs w:val="20"/>
              </w:rPr>
            </w:pPr>
            <w:r w:rsidRPr="005A5E8C">
              <w:rPr>
                <w:rFonts w:ascii="Times" w:hAnsi="Times" w:cs="Times"/>
                <w:i/>
                <w:iCs/>
                <w:sz w:val="18"/>
                <w:szCs w:val="20"/>
              </w:rPr>
              <w:t>BK13</w:t>
            </w:r>
          </w:p>
        </w:tc>
        <w:tc>
          <w:tcPr>
            <w:tcW w:w="896" w:type="dxa"/>
            <w:noWrap/>
            <w:hideMark/>
          </w:tcPr>
          <w:p w14:paraId="487D46F9" w14:textId="09A96BB4"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107</w:t>
            </w:r>
          </w:p>
        </w:tc>
        <w:tc>
          <w:tcPr>
            <w:tcW w:w="1052" w:type="dxa"/>
            <w:noWrap/>
            <w:hideMark/>
          </w:tcPr>
          <w:p w14:paraId="09189FB8" w14:textId="397A1C46"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269</w:t>
            </w:r>
          </w:p>
        </w:tc>
        <w:tc>
          <w:tcPr>
            <w:tcW w:w="895" w:type="dxa"/>
            <w:noWrap/>
            <w:hideMark/>
          </w:tcPr>
          <w:p w14:paraId="10B4007B" w14:textId="2988A595"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455</w:t>
            </w:r>
          </w:p>
        </w:tc>
        <w:tc>
          <w:tcPr>
            <w:tcW w:w="965" w:type="dxa"/>
            <w:noWrap/>
            <w:hideMark/>
          </w:tcPr>
          <w:p w14:paraId="64832FB8"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0,7200</w:t>
            </w:r>
          </w:p>
        </w:tc>
      </w:tr>
      <w:tr w:rsidR="008D7C17" w:rsidRPr="005A5E8C" w14:paraId="47D1E4DA" w14:textId="77777777" w:rsidTr="005A5E8C">
        <w:trPr>
          <w:trHeight w:val="232"/>
        </w:trPr>
        <w:tc>
          <w:tcPr>
            <w:tcW w:w="1171" w:type="dxa"/>
            <w:noWrap/>
            <w:hideMark/>
          </w:tcPr>
          <w:p w14:paraId="52628246" w14:textId="77777777" w:rsidR="00A11BF7" w:rsidRPr="005A5E8C" w:rsidRDefault="00A11BF7" w:rsidP="002970EB">
            <w:pPr>
              <w:rPr>
                <w:rFonts w:ascii="Times" w:hAnsi="Times" w:cs="Times"/>
                <w:i/>
                <w:iCs/>
                <w:sz w:val="18"/>
                <w:szCs w:val="20"/>
              </w:rPr>
            </w:pPr>
            <w:r w:rsidRPr="005A5E8C">
              <w:rPr>
                <w:rFonts w:ascii="Times" w:hAnsi="Times" w:cs="Times"/>
                <w:i/>
                <w:iCs/>
                <w:sz w:val="18"/>
                <w:szCs w:val="20"/>
              </w:rPr>
              <w:t>BZ11</w:t>
            </w:r>
          </w:p>
        </w:tc>
        <w:tc>
          <w:tcPr>
            <w:tcW w:w="896" w:type="dxa"/>
            <w:noWrap/>
            <w:hideMark/>
          </w:tcPr>
          <w:p w14:paraId="282CA31A" w14:textId="774A79B5"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062</w:t>
            </w:r>
          </w:p>
        </w:tc>
        <w:tc>
          <w:tcPr>
            <w:tcW w:w="1052" w:type="dxa"/>
            <w:noWrap/>
            <w:hideMark/>
          </w:tcPr>
          <w:p w14:paraId="5379F6F5" w14:textId="67599038"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261</w:t>
            </w:r>
          </w:p>
        </w:tc>
        <w:tc>
          <w:tcPr>
            <w:tcW w:w="895" w:type="dxa"/>
            <w:noWrap/>
            <w:hideMark/>
          </w:tcPr>
          <w:p w14:paraId="0903FF08" w14:textId="416A7DD6"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377</w:t>
            </w:r>
          </w:p>
        </w:tc>
        <w:tc>
          <w:tcPr>
            <w:tcW w:w="965" w:type="dxa"/>
            <w:noWrap/>
            <w:hideMark/>
          </w:tcPr>
          <w:p w14:paraId="795B8A34"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0,7202</w:t>
            </w:r>
          </w:p>
        </w:tc>
      </w:tr>
      <w:tr w:rsidR="008D7C17" w:rsidRPr="005A5E8C" w14:paraId="72EA6181" w14:textId="77777777" w:rsidTr="005A5E8C">
        <w:trPr>
          <w:trHeight w:val="232"/>
        </w:trPr>
        <w:tc>
          <w:tcPr>
            <w:tcW w:w="1171" w:type="dxa"/>
            <w:noWrap/>
            <w:hideMark/>
          </w:tcPr>
          <w:p w14:paraId="5A4551B1" w14:textId="77777777" w:rsidR="00A11BF7" w:rsidRPr="005A5E8C" w:rsidRDefault="00A11BF7" w:rsidP="002970EB">
            <w:pPr>
              <w:rPr>
                <w:rFonts w:ascii="Times" w:hAnsi="Times" w:cs="Times"/>
                <w:i/>
                <w:iCs/>
                <w:sz w:val="18"/>
                <w:szCs w:val="20"/>
              </w:rPr>
            </w:pPr>
            <w:r w:rsidRPr="005A5E8C">
              <w:rPr>
                <w:rFonts w:ascii="Times" w:hAnsi="Times" w:cs="Times"/>
                <w:i/>
                <w:iCs/>
                <w:sz w:val="18"/>
                <w:szCs w:val="20"/>
              </w:rPr>
              <w:t>BZ13</w:t>
            </w:r>
          </w:p>
        </w:tc>
        <w:tc>
          <w:tcPr>
            <w:tcW w:w="896" w:type="dxa"/>
            <w:noWrap/>
            <w:hideMark/>
          </w:tcPr>
          <w:p w14:paraId="305BCC9E" w14:textId="3AD790A8"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188</w:t>
            </w:r>
          </w:p>
        </w:tc>
        <w:tc>
          <w:tcPr>
            <w:tcW w:w="1052" w:type="dxa"/>
            <w:noWrap/>
            <w:hideMark/>
          </w:tcPr>
          <w:p w14:paraId="4CC590A8" w14:textId="180B93C0"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254</w:t>
            </w:r>
          </w:p>
        </w:tc>
        <w:tc>
          <w:tcPr>
            <w:tcW w:w="895" w:type="dxa"/>
            <w:noWrap/>
            <w:hideMark/>
          </w:tcPr>
          <w:p w14:paraId="524B4CE7" w14:textId="28E9A135" w:rsidR="00A11BF7" w:rsidRPr="005A5E8C" w:rsidRDefault="005A5E8C" w:rsidP="005A5E8C">
            <w:pPr>
              <w:jc w:val="center"/>
              <w:rPr>
                <w:rFonts w:ascii="Times" w:hAnsi="Times" w:cs="Times"/>
                <w:sz w:val="18"/>
                <w:szCs w:val="20"/>
              </w:rPr>
            </w:pPr>
            <w:r>
              <w:rPr>
                <w:rFonts w:ascii="Times" w:hAnsi="Times" w:cs="Times"/>
                <w:sz w:val="18"/>
                <w:szCs w:val="20"/>
              </w:rPr>
              <w:t>1,</w:t>
            </w:r>
            <w:r w:rsidR="00A11BF7" w:rsidRPr="005A5E8C">
              <w:rPr>
                <w:rFonts w:ascii="Times" w:hAnsi="Times" w:cs="Times"/>
                <w:sz w:val="18"/>
                <w:szCs w:val="20"/>
              </w:rPr>
              <w:t>651</w:t>
            </w:r>
          </w:p>
        </w:tc>
        <w:tc>
          <w:tcPr>
            <w:tcW w:w="965" w:type="dxa"/>
            <w:noWrap/>
            <w:hideMark/>
          </w:tcPr>
          <w:p w14:paraId="2DD22BE3" w14:textId="77777777" w:rsidR="00A11BF7" w:rsidRPr="005A5E8C" w:rsidRDefault="00A11BF7" w:rsidP="005A5E8C">
            <w:pPr>
              <w:jc w:val="center"/>
              <w:rPr>
                <w:rFonts w:ascii="Times" w:hAnsi="Times" w:cs="Times"/>
                <w:sz w:val="18"/>
                <w:szCs w:val="20"/>
              </w:rPr>
            </w:pPr>
            <w:r w:rsidRPr="005A5E8C">
              <w:rPr>
                <w:rFonts w:ascii="Times" w:hAnsi="Times" w:cs="Times"/>
                <w:sz w:val="18"/>
                <w:szCs w:val="20"/>
              </w:rPr>
              <w:t>1,1473</w:t>
            </w:r>
          </w:p>
        </w:tc>
      </w:tr>
    </w:tbl>
    <w:p w14:paraId="1D2E8ED5" w14:textId="77777777" w:rsidR="00C93DE7" w:rsidRPr="00EE5300" w:rsidRDefault="00C93DE7" w:rsidP="00C93DE7">
      <w:pPr>
        <w:spacing w:after="0" w:line="240" w:lineRule="auto"/>
        <w:jc w:val="both"/>
        <w:rPr>
          <w:rFonts w:ascii="Times" w:hAnsi="Times" w:cs="Times"/>
          <w:sz w:val="16"/>
          <w:szCs w:val="18"/>
        </w:rPr>
      </w:pPr>
      <w:proofErr w:type="gramStart"/>
      <w:r w:rsidRPr="00EE5300">
        <w:rPr>
          <w:rFonts w:ascii="Times" w:hAnsi="Times" w:cs="Times"/>
          <w:sz w:val="16"/>
          <w:szCs w:val="18"/>
        </w:rPr>
        <w:t>a  S</w:t>
      </w:r>
      <w:r w:rsidRPr="00EE5300">
        <w:rPr>
          <w:rFonts w:ascii="Times" w:hAnsi="Times" w:cs="Times"/>
          <w:sz w:val="16"/>
          <w:szCs w:val="18"/>
          <w:vertAlign w:val="subscript"/>
        </w:rPr>
        <w:t>BET</w:t>
      </w:r>
      <w:proofErr w:type="gramEnd"/>
      <w:r w:rsidRPr="00EE5300">
        <w:rPr>
          <w:rFonts w:ascii="Times" w:hAnsi="Times" w:cs="Times"/>
          <w:sz w:val="16"/>
          <w:szCs w:val="18"/>
        </w:rPr>
        <w:t xml:space="preserve">, área superficial calculada pela equação de B.E.T. na preção P/P0 = 0,05-0,2.  </w:t>
      </w:r>
    </w:p>
    <w:p w14:paraId="1E2A46C4" w14:textId="77777777" w:rsidR="00C93DE7" w:rsidRPr="00EE5300" w:rsidRDefault="00C93DE7" w:rsidP="00C93DE7">
      <w:pPr>
        <w:spacing w:after="0" w:line="240" w:lineRule="auto"/>
        <w:jc w:val="both"/>
        <w:rPr>
          <w:rFonts w:ascii="Times" w:hAnsi="Times" w:cs="Times"/>
          <w:sz w:val="16"/>
          <w:szCs w:val="18"/>
        </w:rPr>
      </w:pPr>
      <w:proofErr w:type="gramStart"/>
      <w:r w:rsidRPr="00EE5300">
        <w:rPr>
          <w:rFonts w:ascii="Times" w:hAnsi="Times" w:cs="Times"/>
          <w:sz w:val="16"/>
          <w:szCs w:val="18"/>
        </w:rPr>
        <w:t xml:space="preserve">b  </w:t>
      </w:r>
      <w:proofErr w:type="spellStart"/>
      <w:r w:rsidRPr="00EE5300">
        <w:rPr>
          <w:rFonts w:ascii="Times" w:hAnsi="Times" w:cs="Times"/>
          <w:sz w:val="16"/>
          <w:szCs w:val="18"/>
        </w:rPr>
        <w:t>S</w:t>
      </w:r>
      <w:r w:rsidRPr="00EE5300">
        <w:rPr>
          <w:rFonts w:ascii="Times" w:hAnsi="Times" w:cs="Times"/>
          <w:sz w:val="16"/>
          <w:szCs w:val="18"/>
          <w:vertAlign w:val="subscript"/>
        </w:rPr>
        <w:t>mic</w:t>
      </w:r>
      <w:proofErr w:type="spellEnd"/>
      <w:proofErr w:type="gramEnd"/>
      <w:r w:rsidRPr="00EE5300">
        <w:rPr>
          <w:rFonts w:ascii="Times" w:hAnsi="Times" w:cs="Times"/>
          <w:sz w:val="16"/>
          <w:szCs w:val="18"/>
        </w:rPr>
        <w:t xml:space="preserve">, área superficial de </w:t>
      </w:r>
      <w:proofErr w:type="spellStart"/>
      <w:r w:rsidRPr="00EE5300">
        <w:rPr>
          <w:rFonts w:ascii="Times" w:hAnsi="Times" w:cs="Times"/>
          <w:sz w:val="16"/>
          <w:szCs w:val="18"/>
        </w:rPr>
        <w:t>microporos</w:t>
      </w:r>
      <w:proofErr w:type="spellEnd"/>
      <w:r w:rsidRPr="00EE5300">
        <w:rPr>
          <w:rFonts w:ascii="Times" w:hAnsi="Times" w:cs="Times"/>
          <w:sz w:val="16"/>
          <w:szCs w:val="18"/>
        </w:rPr>
        <w:t xml:space="preserve"> calculada por pelo método DA. </w:t>
      </w:r>
    </w:p>
    <w:p w14:paraId="56E98852" w14:textId="71BAB0E1" w:rsidR="00C93DE7" w:rsidRPr="00EE5300" w:rsidRDefault="00EE5300" w:rsidP="00C93DE7">
      <w:pPr>
        <w:spacing w:after="0" w:line="240" w:lineRule="auto"/>
        <w:jc w:val="both"/>
        <w:rPr>
          <w:rFonts w:ascii="Times" w:hAnsi="Times" w:cs="Times"/>
          <w:sz w:val="16"/>
          <w:szCs w:val="18"/>
        </w:rPr>
      </w:pPr>
      <w:proofErr w:type="gramStart"/>
      <w:r>
        <w:rPr>
          <w:rFonts w:ascii="Times" w:hAnsi="Times" w:cs="Times"/>
          <w:sz w:val="16"/>
          <w:szCs w:val="18"/>
        </w:rPr>
        <w:t xml:space="preserve">c  </w:t>
      </w:r>
      <w:proofErr w:type="spellStart"/>
      <w:r w:rsidR="00C93DE7" w:rsidRPr="00EE5300">
        <w:rPr>
          <w:rFonts w:ascii="Times" w:hAnsi="Times" w:cs="Times"/>
          <w:sz w:val="16"/>
          <w:szCs w:val="18"/>
        </w:rPr>
        <w:t>S</w:t>
      </w:r>
      <w:r w:rsidR="00C93DE7" w:rsidRPr="00EE5300">
        <w:rPr>
          <w:rFonts w:ascii="Times" w:hAnsi="Times" w:cs="Times"/>
          <w:sz w:val="16"/>
          <w:szCs w:val="18"/>
          <w:vertAlign w:val="subscript"/>
        </w:rPr>
        <w:t>Langmuir</w:t>
      </w:r>
      <w:proofErr w:type="spellEnd"/>
      <w:proofErr w:type="gramEnd"/>
      <w:r w:rsidR="00C93DE7" w:rsidRPr="00EE5300">
        <w:rPr>
          <w:rFonts w:ascii="Times" w:hAnsi="Times" w:cs="Times"/>
          <w:sz w:val="16"/>
          <w:szCs w:val="18"/>
        </w:rPr>
        <w:t xml:space="preserve">, área superficial de Langmuir.  </w:t>
      </w:r>
    </w:p>
    <w:p w14:paraId="596C31ED" w14:textId="4C275DDC" w:rsidR="00A11BF7" w:rsidRPr="00EE5300" w:rsidRDefault="00EE5300" w:rsidP="00C93DE7">
      <w:pPr>
        <w:jc w:val="both"/>
        <w:rPr>
          <w:rFonts w:ascii="Times" w:hAnsi="Times" w:cs="Times"/>
          <w:sz w:val="16"/>
          <w:szCs w:val="18"/>
        </w:rPr>
      </w:pPr>
      <w:proofErr w:type="gramStart"/>
      <w:r>
        <w:rPr>
          <w:rFonts w:ascii="Times" w:hAnsi="Times" w:cs="Times"/>
          <w:sz w:val="16"/>
          <w:szCs w:val="18"/>
        </w:rPr>
        <w:t xml:space="preserve">d  </w:t>
      </w:r>
      <w:proofErr w:type="spellStart"/>
      <w:r w:rsidR="00C93DE7" w:rsidRPr="00EE5300">
        <w:rPr>
          <w:rFonts w:ascii="Times" w:hAnsi="Times" w:cs="Times"/>
          <w:sz w:val="16"/>
          <w:szCs w:val="18"/>
        </w:rPr>
        <w:t>V</w:t>
      </w:r>
      <w:r w:rsidR="00C93DE7" w:rsidRPr="00EE5300">
        <w:rPr>
          <w:rFonts w:ascii="Times" w:hAnsi="Times" w:cs="Times"/>
          <w:sz w:val="16"/>
          <w:szCs w:val="18"/>
          <w:vertAlign w:val="subscript"/>
        </w:rPr>
        <w:t>total</w:t>
      </w:r>
      <w:proofErr w:type="spellEnd"/>
      <w:proofErr w:type="gramEnd"/>
      <w:r w:rsidR="00C93DE7" w:rsidRPr="00EE5300">
        <w:rPr>
          <w:rFonts w:ascii="Times" w:hAnsi="Times" w:cs="Times"/>
          <w:sz w:val="16"/>
          <w:szCs w:val="18"/>
        </w:rPr>
        <w:t>, volume total poros estimado pela quantidade adsorvida na pressão P/P0 = 0,99.</w:t>
      </w:r>
    </w:p>
    <w:p w14:paraId="17616D38" w14:textId="1062E7B8" w:rsidR="00C93DE7" w:rsidRDefault="00C93DE7" w:rsidP="00C93DE7">
      <w:pPr>
        <w:jc w:val="both"/>
        <w:rPr>
          <w:rFonts w:ascii="Times" w:hAnsi="Times" w:cs="Times"/>
          <w:i/>
          <w:iCs/>
          <w:sz w:val="20"/>
          <w:szCs w:val="20"/>
          <w:lang w:eastAsia="pt-BR"/>
        </w:rPr>
      </w:pPr>
      <w:r>
        <w:rPr>
          <w:rFonts w:ascii="Times" w:hAnsi="Times" w:cs="Times"/>
          <w:i/>
          <w:iCs/>
          <w:sz w:val="20"/>
          <w:szCs w:val="20"/>
          <w:lang w:eastAsia="pt-BR"/>
        </w:rPr>
        <w:t xml:space="preserve">Estudo de adsorção dos diferentes </w:t>
      </w:r>
      <w:proofErr w:type="spellStart"/>
      <w:r>
        <w:rPr>
          <w:rFonts w:ascii="Times" w:hAnsi="Times" w:cs="Times"/>
          <w:i/>
          <w:iCs/>
          <w:sz w:val="20"/>
          <w:szCs w:val="20"/>
          <w:lang w:eastAsia="pt-BR"/>
        </w:rPr>
        <w:t>COVs</w:t>
      </w:r>
      <w:proofErr w:type="spellEnd"/>
      <w:r>
        <w:rPr>
          <w:rFonts w:ascii="Times" w:hAnsi="Times" w:cs="Times"/>
          <w:i/>
          <w:iCs/>
          <w:sz w:val="20"/>
          <w:szCs w:val="20"/>
          <w:lang w:eastAsia="pt-BR"/>
        </w:rPr>
        <w:t xml:space="preserve"> sobre os carvões</w:t>
      </w:r>
    </w:p>
    <w:p w14:paraId="3D6028C7" w14:textId="5D3FC16A" w:rsidR="00C93DE7" w:rsidRDefault="00C93DE7" w:rsidP="00C93DE7">
      <w:pPr>
        <w:ind w:firstLine="204"/>
        <w:jc w:val="both"/>
        <w:rPr>
          <w:rFonts w:ascii="Times" w:hAnsi="Times" w:cs="Times"/>
          <w:sz w:val="20"/>
          <w:szCs w:val="20"/>
          <w:lang w:eastAsia="pt-BR"/>
        </w:rPr>
      </w:pPr>
      <w:r w:rsidRPr="00C93DE7">
        <w:rPr>
          <w:rFonts w:ascii="Times" w:hAnsi="Times" w:cs="Times"/>
          <w:sz w:val="20"/>
          <w:szCs w:val="20"/>
          <w:lang w:eastAsia="pt-BR"/>
        </w:rPr>
        <w:t xml:space="preserve">A Figura </w:t>
      </w:r>
      <w:r>
        <w:rPr>
          <w:rFonts w:ascii="Times" w:hAnsi="Times" w:cs="Times"/>
          <w:sz w:val="20"/>
          <w:szCs w:val="20"/>
          <w:lang w:eastAsia="pt-BR"/>
        </w:rPr>
        <w:t>2</w:t>
      </w:r>
      <w:r w:rsidRPr="00C93DE7">
        <w:rPr>
          <w:rFonts w:ascii="Times" w:hAnsi="Times" w:cs="Times"/>
          <w:sz w:val="20"/>
          <w:szCs w:val="20"/>
          <w:lang w:eastAsia="pt-BR"/>
        </w:rPr>
        <w:t xml:space="preserve"> apresenta a avaliação da capacidade de captura dos diferentes carvões ativados em relação aos </w:t>
      </w:r>
      <w:proofErr w:type="spellStart"/>
      <w:r w:rsidRPr="00C93DE7">
        <w:rPr>
          <w:rFonts w:ascii="Times" w:hAnsi="Times" w:cs="Times"/>
          <w:sz w:val="20"/>
          <w:szCs w:val="20"/>
          <w:lang w:eastAsia="pt-BR"/>
        </w:rPr>
        <w:t>COVs</w:t>
      </w:r>
      <w:proofErr w:type="spellEnd"/>
      <w:r w:rsidRPr="00C93DE7">
        <w:rPr>
          <w:rFonts w:ascii="Times" w:hAnsi="Times" w:cs="Times"/>
          <w:sz w:val="20"/>
          <w:szCs w:val="20"/>
          <w:lang w:eastAsia="pt-BR"/>
        </w:rPr>
        <w:t xml:space="preserve">: acetato de etila; clorofórmio; diclorometano; hexano e </w:t>
      </w:r>
      <w:proofErr w:type="spellStart"/>
      <w:r w:rsidRPr="00C93DE7">
        <w:rPr>
          <w:rFonts w:ascii="Times" w:hAnsi="Times" w:cs="Times"/>
          <w:sz w:val="20"/>
          <w:szCs w:val="20"/>
          <w:lang w:eastAsia="pt-BR"/>
        </w:rPr>
        <w:t>ciclohexano</w:t>
      </w:r>
      <w:proofErr w:type="spellEnd"/>
      <w:r w:rsidRPr="00C93DE7">
        <w:rPr>
          <w:rFonts w:ascii="Times" w:hAnsi="Times" w:cs="Times"/>
          <w:sz w:val="20"/>
          <w:szCs w:val="20"/>
          <w:lang w:eastAsia="pt-BR"/>
        </w:rPr>
        <w:t>.</w:t>
      </w:r>
    </w:p>
    <w:p w14:paraId="5E9A3DD7" w14:textId="482BAF49" w:rsidR="00C93DE7" w:rsidRDefault="00C93DE7" w:rsidP="00C93DE7">
      <w:pPr>
        <w:pStyle w:val="TAMainText"/>
        <w:ind w:firstLine="0"/>
        <w:rPr>
          <w:rFonts w:ascii="Times New Roman" w:hAnsi="Times New Roman"/>
          <w:lang w:val="pt-BR"/>
        </w:rPr>
      </w:pPr>
      <w:r w:rsidRPr="00E038AF">
        <w:rPr>
          <w:rFonts w:ascii="Times New Roman" w:hAnsi="Times New Roman"/>
          <w:b/>
          <w:lang w:val="pt-BR"/>
        </w:rPr>
        <w:t xml:space="preserve">Figura </w:t>
      </w:r>
      <w:r>
        <w:rPr>
          <w:rFonts w:ascii="Times New Roman" w:hAnsi="Times New Roman"/>
          <w:b/>
          <w:lang w:val="pt-BR"/>
        </w:rPr>
        <w:t>2</w:t>
      </w:r>
      <w:r w:rsidRPr="00E038AF">
        <w:rPr>
          <w:rFonts w:ascii="Times New Roman" w:hAnsi="Times New Roman"/>
          <w:b/>
          <w:lang w:val="pt-BR"/>
        </w:rPr>
        <w:t>.</w:t>
      </w:r>
      <w:r w:rsidRPr="00E038AF">
        <w:rPr>
          <w:rFonts w:ascii="Times New Roman" w:hAnsi="Times New Roman"/>
          <w:lang w:val="pt-BR"/>
        </w:rPr>
        <w:t xml:space="preserve"> </w:t>
      </w:r>
      <w:r w:rsidRPr="00C93DE7">
        <w:rPr>
          <w:rFonts w:ascii="Times New Roman" w:hAnsi="Times New Roman"/>
          <w:lang w:val="pt-BR"/>
        </w:rPr>
        <w:t xml:space="preserve">Triagem da captura de diferentes </w:t>
      </w:r>
      <w:proofErr w:type="spellStart"/>
      <w:r w:rsidRPr="00C93DE7">
        <w:rPr>
          <w:rFonts w:ascii="Times New Roman" w:hAnsi="Times New Roman"/>
          <w:lang w:val="pt-BR"/>
        </w:rPr>
        <w:t>COVs</w:t>
      </w:r>
      <w:proofErr w:type="spellEnd"/>
      <w:r w:rsidRPr="00C93DE7">
        <w:rPr>
          <w:rFonts w:ascii="Times New Roman" w:hAnsi="Times New Roman"/>
          <w:lang w:val="pt-BR"/>
        </w:rPr>
        <w:t xml:space="preserve">: acetato de etila; clorofórmio; </w:t>
      </w:r>
      <w:proofErr w:type="spellStart"/>
      <w:r w:rsidRPr="00C93DE7">
        <w:rPr>
          <w:rFonts w:ascii="Times New Roman" w:hAnsi="Times New Roman"/>
          <w:lang w:val="pt-BR"/>
        </w:rPr>
        <w:t>diclorometado</w:t>
      </w:r>
      <w:proofErr w:type="spellEnd"/>
      <w:r w:rsidRPr="00C93DE7">
        <w:rPr>
          <w:rFonts w:ascii="Times New Roman" w:hAnsi="Times New Roman"/>
          <w:lang w:val="pt-BR"/>
        </w:rPr>
        <w:t xml:space="preserve">; hexano e </w:t>
      </w:r>
      <w:proofErr w:type="spellStart"/>
      <w:r w:rsidRPr="00C93DE7">
        <w:rPr>
          <w:rFonts w:ascii="Times New Roman" w:hAnsi="Times New Roman"/>
          <w:lang w:val="pt-BR"/>
        </w:rPr>
        <w:t>ciclohexano</w:t>
      </w:r>
      <w:proofErr w:type="spellEnd"/>
      <w:r w:rsidRPr="00C93DE7">
        <w:rPr>
          <w:rFonts w:ascii="Times New Roman" w:hAnsi="Times New Roman"/>
          <w:lang w:val="pt-BR"/>
        </w:rPr>
        <w:t xml:space="preserve">, sobre os carvões ativados. Isoterma de 30ºC, vazão volumétrica total de 100 </w:t>
      </w:r>
      <w:proofErr w:type="spellStart"/>
      <w:r w:rsidRPr="00C93DE7">
        <w:rPr>
          <w:rFonts w:ascii="Times New Roman" w:hAnsi="Times New Roman"/>
          <w:lang w:val="pt-BR"/>
        </w:rPr>
        <w:t>mL</w:t>
      </w:r>
      <w:proofErr w:type="spellEnd"/>
      <w:r w:rsidRPr="00C93DE7">
        <w:rPr>
          <w:rFonts w:ascii="Times New Roman" w:hAnsi="Times New Roman"/>
          <w:lang w:val="pt-BR"/>
        </w:rPr>
        <w:t>/min (N</w:t>
      </w:r>
      <w:r w:rsidRPr="00C93DE7">
        <w:rPr>
          <w:rFonts w:ascii="Times New Roman" w:hAnsi="Times New Roman"/>
          <w:vertAlign w:val="subscript"/>
          <w:lang w:val="pt-BR"/>
        </w:rPr>
        <w:t>2</w:t>
      </w:r>
      <w:r w:rsidRPr="00C93DE7">
        <w:rPr>
          <w:rFonts w:ascii="Times New Roman" w:hAnsi="Times New Roman"/>
          <w:lang w:val="pt-BR"/>
        </w:rPr>
        <w:t xml:space="preserve"> + </w:t>
      </w:r>
      <w:proofErr w:type="spellStart"/>
      <w:r w:rsidRPr="00C93DE7">
        <w:rPr>
          <w:rFonts w:ascii="Times New Roman" w:hAnsi="Times New Roman"/>
          <w:lang w:val="pt-BR"/>
        </w:rPr>
        <w:t>COVs</w:t>
      </w:r>
      <w:proofErr w:type="spellEnd"/>
      <w:r w:rsidRPr="00C93DE7">
        <w:rPr>
          <w:rFonts w:ascii="Times New Roman" w:hAnsi="Times New Roman"/>
          <w:lang w:val="pt-BR"/>
        </w:rPr>
        <w:t>).</w:t>
      </w:r>
    </w:p>
    <w:p w14:paraId="71EBE27C" w14:textId="77777777" w:rsidR="00C93DE7" w:rsidRDefault="00C93DE7" w:rsidP="00C93DE7">
      <w:pPr>
        <w:ind w:firstLine="204"/>
        <w:jc w:val="both"/>
        <w:rPr>
          <w:rFonts w:ascii="Times" w:hAnsi="Times" w:cs="Times"/>
          <w:sz w:val="20"/>
          <w:szCs w:val="20"/>
          <w:lang w:eastAsia="pt-BR"/>
        </w:rPr>
      </w:pPr>
    </w:p>
    <w:p w14:paraId="23DF8F89" w14:textId="1714FAE8" w:rsidR="00C93DE7" w:rsidRPr="00C93DE7" w:rsidRDefault="007C10D6" w:rsidP="007C10D6">
      <w:pPr>
        <w:jc w:val="both"/>
        <w:rPr>
          <w:rFonts w:ascii="Times" w:hAnsi="Times" w:cs="Times"/>
          <w:sz w:val="20"/>
          <w:szCs w:val="20"/>
          <w:lang w:eastAsia="pt-BR"/>
        </w:rPr>
      </w:pPr>
      <w:r w:rsidRPr="00452432">
        <w:rPr>
          <w:rFonts w:ascii="Arial" w:hAnsi="Arial" w:cs="Arial"/>
          <w:noProof/>
          <w:sz w:val="24"/>
          <w:szCs w:val="24"/>
        </w:rPr>
        <w:object w:dxaOrig="6693" w:dyaOrig="4838" w14:anchorId="6A509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5pt;height:174pt;mso-width-percent:0;mso-height-percent:0;mso-width-percent:0;mso-height-percent:0" o:ole="">
            <v:imagedata r:id="rId10" o:title="" croptop="6792f" cropbottom="3834f" cropleft="5551f" cropright="8175f"/>
          </v:shape>
          <o:OLEObject Type="Embed" ProgID="Origin50.Graph" ShapeID="_x0000_i1025" DrawAspect="Content" ObjectID="_1744361369" r:id="rId11"/>
        </w:object>
      </w:r>
    </w:p>
    <w:p w14:paraId="46FE30FF" w14:textId="49BD8FF0" w:rsidR="00EA4E1B" w:rsidRDefault="00C27542" w:rsidP="00C27542">
      <w:pPr>
        <w:ind w:firstLine="204"/>
        <w:jc w:val="both"/>
        <w:rPr>
          <w:rFonts w:ascii="Times" w:hAnsi="Times" w:cs="Times"/>
          <w:sz w:val="20"/>
          <w:szCs w:val="20"/>
        </w:rPr>
      </w:pPr>
      <w:r w:rsidRPr="00C27542">
        <w:rPr>
          <w:rFonts w:ascii="Times" w:hAnsi="Times" w:cs="Times"/>
          <w:sz w:val="20"/>
          <w:szCs w:val="20"/>
        </w:rPr>
        <w:t xml:space="preserve">Os carvões ativados apresentaram de forma geral um excelente desempenho de capacidade de captura dos </w:t>
      </w:r>
      <w:proofErr w:type="spellStart"/>
      <w:r w:rsidRPr="00C27542">
        <w:rPr>
          <w:rFonts w:ascii="Times" w:hAnsi="Times" w:cs="Times"/>
          <w:sz w:val="20"/>
          <w:szCs w:val="20"/>
        </w:rPr>
        <w:t>COVs</w:t>
      </w:r>
      <w:proofErr w:type="spellEnd"/>
      <w:r w:rsidRPr="00C27542">
        <w:rPr>
          <w:rFonts w:ascii="Times" w:hAnsi="Times" w:cs="Times"/>
          <w:sz w:val="20"/>
          <w:szCs w:val="20"/>
        </w:rPr>
        <w:t xml:space="preserve">. O </w:t>
      </w:r>
      <w:proofErr w:type="spellStart"/>
      <w:r w:rsidRPr="00C27542">
        <w:rPr>
          <w:rFonts w:ascii="Times" w:hAnsi="Times" w:cs="Times"/>
          <w:sz w:val="20"/>
          <w:szCs w:val="20"/>
        </w:rPr>
        <w:t>biochar</w:t>
      </w:r>
      <w:proofErr w:type="spellEnd"/>
      <w:r w:rsidRPr="00C27542">
        <w:rPr>
          <w:rFonts w:ascii="Times" w:hAnsi="Times" w:cs="Times"/>
          <w:sz w:val="20"/>
          <w:szCs w:val="20"/>
        </w:rPr>
        <w:t xml:space="preserve"> (REF), sem ativação, foi o material com menor desempenho de captura de todos os </w:t>
      </w:r>
      <w:proofErr w:type="spellStart"/>
      <w:r w:rsidRPr="00C27542">
        <w:rPr>
          <w:rFonts w:ascii="Times" w:hAnsi="Times" w:cs="Times"/>
          <w:sz w:val="20"/>
          <w:szCs w:val="20"/>
        </w:rPr>
        <w:t>COVs</w:t>
      </w:r>
      <w:proofErr w:type="spellEnd"/>
      <w:r w:rsidRPr="00C27542">
        <w:rPr>
          <w:rFonts w:ascii="Times" w:hAnsi="Times" w:cs="Times"/>
          <w:sz w:val="20"/>
          <w:szCs w:val="20"/>
        </w:rPr>
        <w:t xml:space="preserve">. O processo de ativação e o aumento da proporção de agente ativante de 1:1 para 1:3, aumentaram a capacidade de captura de </w:t>
      </w:r>
      <w:proofErr w:type="spellStart"/>
      <w:r w:rsidRPr="00C27542">
        <w:rPr>
          <w:rFonts w:ascii="Times" w:hAnsi="Times" w:cs="Times"/>
          <w:sz w:val="20"/>
          <w:szCs w:val="20"/>
        </w:rPr>
        <w:t>COVs</w:t>
      </w:r>
      <w:proofErr w:type="spellEnd"/>
      <w:r w:rsidRPr="00C27542">
        <w:rPr>
          <w:rFonts w:ascii="Times" w:hAnsi="Times" w:cs="Times"/>
          <w:sz w:val="20"/>
          <w:szCs w:val="20"/>
        </w:rPr>
        <w:t xml:space="preserve"> desses materiais, devido ao forte desenvolvimento da estrutura porosa dos carvões ativados quando comparado com o material de referência. O carvão ativado BZ13 se destacou, alcançando altas capacidade de captura para a maioria dos </w:t>
      </w:r>
      <w:proofErr w:type="spellStart"/>
      <w:r w:rsidRPr="00C27542">
        <w:rPr>
          <w:rFonts w:ascii="Times" w:hAnsi="Times" w:cs="Times"/>
          <w:sz w:val="20"/>
          <w:szCs w:val="20"/>
        </w:rPr>
        <w:t>COVs</w:t>
      </w:r>
      <w:proofErr w:type="spellEnd"/>
      <w:r w:rsidRPr="00C27542">
        <w:rPr>
          <w:rFonts w:ascii="Times" w:hAnsi="Times" w:cs="Times"/>
          <w:sz w:val="20"/>
          <w:szCs w:val="20"/>
        </w:rPr>
        <w:t xml:space="preserve">. Quando comparado os valores de captura encontrados neste trabalho para o acetato de etila (456mg/g), clorofórmio (775mg/g), diclorometano (848mg/g), hexano (414mg/g) e </w:t>
      </w:r>
      <w:proofErr w:type="spellStart"/>
      <w:r w:rsidRPr="00C27542">
        <w:rPr>
          <w:rFonts w:ascii="Times" w:hAnsi="Times" w:cs="Times"/>
          <w:sz w:val="20"/>
          <w:szCs w:val="20"/>
        </w:rPr>
        <w:t>ciclohexano</w:t>
      </w:r>
      <w:proofErr w:type="spellEnd"/>
      <w:r w:rsidRPr="00C27542">
        <w:rPr>
          <w:rFonts w:ascii="Times" w:hAnsi="Times" w:cs="Times"/>
          <w:sz w:val="20"/>
          <w:szCs w:val="20"/>
        </w:rPr>
        <w:t xml:space="preserve"> (376mg/g), obtidos principalmente para o carvão BZ13. Todos os materiais apresentaram valores de captura maiores que aqueles reportados na literatura, que foram de 252mg/g para o diclorometano (</w:t>
      </w:r>
      <w:r w:rsidR="007151D3">
        <w:rPr>
          <w:rFonts w:ascii="Times" w:hAnsi="Times" w:cs="Times"/>
          <w:sz w:val="20"/>
          <w:szCs w:val="20"/>
        </w:rPr>
        <w:t>1</w:t>
      </w:r>
      <w:r w:rsidRPr="00C27542">
        <w:rPr>
          <w:rFonts w:ascii="Times" w:hAnsi="Times" w:cs="Times"/>
          <w:sz w:val="20"/>
          <w:szCs w:val="20"/>
        </w:rPr>
        <w:t>); 220mg/g para o clorofórmio (</w:t>
      </w:r>
      <w:r w:rsidR="007151D3">
        <w:rPr>
          <w:rFonts w:ascii="Times" w:hAnsi="Times" w:cs="Times"/>
          <w:sz w:val="20"/>
          <w:szCs w:val="20"/>
        </w:rPr>
        <w:t>2</w:t>
      </w:r>
      <w:r w:rsidRPr="00C27542">
        <w:rPr>
          <w:rFonts w:ascii="Times" w:hAnsi="Times" w:cs="Times"/>
          <w:sz w:val="20"/>
          <w:szCs w:val="20"/>
        </w:rPr>
        <w:t xml:space="preserve">); 218mg/g para o acetato de </w:t>
      </w:r>
      <w:proofErr w:type="gramStart"/>
      <w:r w:rsidRPr="00C27542">
        <w:rPr>
          <w:rFonts w:ascii="Times" w:hAnsi="Times" w:cs="Times"/>
          <w:sz w:val="20"/>
          <w:szCs w:val="20"/>
        </w:rPr>
        <w:t>etila(</w:t>
      </w:r>
      <w:proofErr w:type="gramEnd"/>
      <w:r w:rsidR="007151D3">
        <w:rPr>
          <w:rFonts w:ascii="Times" w:hAnsi="Times" w:cs="Times"/>
          <w:sz w:val="20"/>
          <w:szCs w:val="20"/>
        </w:rPr>
        <w:t>2</w:t>
      </w:r>
      <w:r w:rsidRPr="00C27542">
        <w:rPr>
          <w:rFonts w:ascii="Times" w:hAnsi="Times" w:cs="Times"/>
          <w:sz w:val="20"/>
          <w:szCs w:val="20"/>
        </w:rPr>
        <w:t xml:space="preserve">); 150 mg/g para o hexano e </w:t>
      </w:r>
      <w:proofErr w:type="spellStart"/>
      <w:r w:rsidRPr="00C27542">
        <w:rPr>
          <w:rFonts w:ascii="Times" w:hAnsi="Times" w:cs="Times"/>
          <w:sz w:val="20"/>
          <w:szCs w:val="20"/>
        </w:rPr>
        <w:t>ciclohexano</w:t>
      </w:r>
      <w:proofErr w:type="spellEnd"/>
      <w:r w:rsidRPr="00C27542">
        <w:rPr>
          <w:rFonts w:ascii="Times" w:hAnsi="Times" w:cs="Times"/>
          <w:sz w:val="20"/>
          <w:szCs w:val="20"/>
        </w:rPr>
        <w:t xml:space="preserve"> respectivamente (</w:t>
      </w:r>
      <w:r w:rsidR="007151D3">
        <w:rPr>
          <w:rFonts w:ascii="Times" w:hAnsi="Times" w:cs="Times"/>
          <w:sz w:val="20"/>
          <w:szCs w:val="20"/>
        </w:rPr>
        <w:t>1</w:t>
      </w:r>
      <w:r w:rsidRPr="00C27542">
        <w:rPr>
          <w:rFonts w:ascii="Times" w:hAnsi="Times" w:cs="Times"/>
          <w:sz w:val="20"/>
          <w:szCs w:val="20"/>
        </w:rPr>
        <w:t>) (</w:t>
      </w:r>
      <w:r w:rsidR="007151D3">
        <w:rPr>
          <w:rFonts w:ascii="Times" w:hAnsi="Times" w:cs="Times"/>
          <w:sz w:val="20"/>
          <w:szCs w:val="20"/>
        </w:rPr>
        <w:t>4</w:t>
      </w:r>
      <w:r w:rsidRPr="00C27542">
        <w:rPr>
          <w:rFonts w:ascii="Times" w:hAnsi="Times" w:cs="Times"/>
          <w:sz w:val="20"/>
          <w:szCs w:val="20"/>
        </w:rPr>
        <w:t>).</w:t>
      </w:r>
      <w:r w:rsidR="00EB3C79">
        <w:rPr>
          <w:rFonts w:ascii="Times" w:hAnsi="Times" w:cs="Times"/>
          <w:sz w:val="20"/>
          <w:szCs w:val="20"/>
        </w:rPr>
        <w:t xml:space="preserve"> O material que apresentou maior eficiência (BZ13), foi selecionado para os próximos estudos</w:t>
      </w:r>
    </w:p>
    <w:p w14:paraId="13520702" w14:textId="6A378FD5" w:rsidR="00C27542" w:rsidRDefault="00C27542" w:rsidP="00C27542">
      <w:pPr>
        <w:jc w:val="both"/>
        <w:rPr>
          <w:rFonts w:ascii="Times" w:hAnsi="Times" w:cs="Times"/>
          <w:i/>
          <w:iCs/>
          <w:sz w:val="20"/>
          <w:szCs w:val="20"/>
        </w:rPr>
      </w:pPr>
      <w:r>
        <w:rPr>
          <w:rFonts w:ascii="Times" w:hAnsi="Times" w:cs="Times"/>
          <w:i/>
          <w:iCs/>
          <w:sz w:val="20"/>
          <w:szCs w:val="20"/>
        </w:rPr>
        <w:lastRenderedPageBreak/>
        <w:t>Avaliação da capacidade de captura do diclorometano sobre o carvão BZ13 em diferentes condições de temperatura</w:t>
      </w:r>
    </w:p>
    <w:p w14:paraId="7095CF85" w14:textId="39710C3B" w:rsidR="00C27542" w:rsidRDefault="00C27542" w:rsidP="00C27542">
      <w:pPr>
        <w:jc w:val="both"/>
        <w:rPr>
          <w:rFonts w:ascii="Times" w:hAnsi="Times" w:cs="Times"/>
          <w:sz w:val="20"/>
          <w:szCs w:val="20"/>
        </w:rPr>
      </w:pPr>
      <w:r w:rsidRPr="00C27542">
        <w:rPr>
          <w:rFonts w:ascii="Times" w:hAnsi="Times" w:cs="Times"/>
          <w:sz w:val="20"/>
          <w:szCs w:val="20"/>
        </w:rPr>
        <w:t xml:space="preserve">A Figura </w:t>
      </w:r>
      <w:r>
        <w:rPr>
          <w:rFonts w:ascii="Times" w:hAnsi="Times" w:cs="Times"/>
          <w:sz w:val="20"/>
          <w:szCs w:val="20"/>
        </w:rPr>
        <w:t>3</w:t>
      </w:r>
      <w:r w:rsidRPr="00C27542">
        <w:rPr>
          <w:rFonts w:ascii="Times" w:hAnsi="Times" w:cs="Times"/>
          <w:sz w:val="20"/>
          <w:szCs w:val="20"/>
        </w:rPr>
        <w:t xml:space="preserve"> apresenta a captura de diclorometano variando a isoterma de adsorção. A capacidade de adsorção decresce 933mg/g para 491mg/g com o aumento da temperatura de 25°C para 55°C, respectivamente, mostrando que o processo de captura é regido pela </w:t>
      </w:r>
      <w:proofErr w:type="spellStart"/>
      <w:r w:rsidRPr="00C27542">
        <w:rPr>
          <w:rFonts w:ascii="Times" w:hAnsi="Times" w:cs="Times"/>
          <w:sz w:val="20"/>
          <w:szCs w:val="20"/>
        </w:rPr>
        <w:t>fisissorção</w:t>
      </w:r>
      <w:proofErr w:type="spellEnd"/>
      <w:r w:rsidRPr="00C27542">
        <w:rPr>
          <w:rFonts w:ascii="Times" w:hAnsi="Times" w:cs="Times"/>
          <w:sz w:val="20"/>
          <w:szCs w:val="20"/>
        </w:rPr>
        <w:t xml:space="preserve"> que é um processo exotérmico, reduzindo sua eficiência com o aumento da temperatura (</w:t>
      </w:r>
      <w:r w:rsidR="007151D3">
        <w:rPr>
          <w:rFonts w:ascii="Times" w:hAnsi="Times" w:cs="Times"/>
          <w:sz w:val="20"/>
          <w:szCs w:val="20"/>
        </w:rPr>
        <w:t>9</w:t>
      </w:r>
      <w:r w:rsidRPr="00C27542">
        <w:rPr>
          <w:rFonts w:ascii="Times" w:hAnsi="Times" w:cs="Times"/>
          <w:sz w:val="20"/>
          <w:szCs w:val="20"/>
        </w:rPr>
        <w:t>).</w:t>
      </w:r>
    </w:p>
    <w:p w14:paraId="4FD85A22" w14:textId="1C04CCC0" w:rsidR="00C27542" w:rsidRPr="00FC0749" w:rsidRDefault="00C27542" w:rsidP="00C27542">
      <w:pPr>
        <w:pStyle w:val="TAMainText"/>
        <w:ind w:firstLine="0"/>
        <w:rPr>
          <w:rFonts w:ascii="Times New Roman" w:hAnsi="Times New Roman"/>
          <w:sz w:val="18"/>
          <w:lang w:val="pt-BR"/>
        </w:rPr>
      </w:pPr>
      <w:r w:rsidRPr="00E038AF">
        <w:rPr>
          <w:rFonts w:ascii="Times New Roman" w:hAnsi="Times New Roman"/>
          <w:b/>
          <w:lang w:val="pt-BR"/>
        </w:rPr>
        <w:t>F</w:t>
      </w:r>
      <w:r w:rsidRPr="00FC0749">
        <w:rPr>
          <w:rFonts w:ascii="Times New Roman" w:hAnsi="Times New Roman"/>
          <w:b/>
          <w:sz w:val="18"/>
          <w:lang w:val="pt-BR"/>
        </w:rPr>
        <w:t>igura 3.</w:t>
      </w:r>
      <w:r w:rsidRPr="00FC0749">
        <w:rPr>
          <w:rFonts w:ascii="Times New Roman" w:hAnsi="Times New Roman"/>
          <w:sz w:val="18"/>
          <w:lang w:val="pt-BR"/>
        </w:rPr>
        <w:t xml:space="preserve"> Variação da temperatura da isoterma de adsorção do diclorometano de 25 a 55°C, sob o carvão BZ13, concentração de 23,57 mmol/L.</w:t>
      </w:r>
    </w:p>
    <w:p w14:paraId="3B1ABDF9" w14:textId="7365E095" w:rsidR="00C27542" w:rsidRDefault="00FC0749" w:rsidP="00FC0749">
      <w:pPr>
        <w:spacing w:after="0"/>
        <w:jc w:val="both"/>
        <w:rPr>
          <w:rFonts w:ascii="Times" w:hAnsi="Times" w:cs="Times"/>
          <w:i/>
          <w:iCs/>
          <w:noProof/>
          <w:sz w:val="20"/>
          <w:szCs w:val="20"/>
        </w:rPr>
      </w:pPr>
      <w:r>
        <w:rPr>
          <w:noProof/>
        </w:rPr>
        <w:object w:dxaOrig="7076" w:dyaOrig="4988" w14:anchorId="4B6780F8">
          <v:shape id="_x0000_i1026" type="#_x0000_t75" alt="" style="width:234.75pt;height:164.25pt;mso-width-percent:0;mso-height-percent:0;mso-width-percent:0;mso-height-percent:0" o:ole="">
            <v:imagedata r:id="rId12" o:title="" croptop="4336f" cropright="7507f"/>
          </v:shape>
          <o:OLEObject Type="Embed" ProgID="Origin50.Graph" ShapeID="_x0000_i1026" DrawAspect="Content" ObjectID="_1744361370" r:id="rId13"/>
        </w:object>
      </w:r>
      <w:r w:rsidR="006B445E">
        <w:rPr>
          <w:rFonts w:ascii="Times" w:hAnsi="Times" w:cs="Times"/>
          <w:i/>
          <w:iCs/>
          <w:noProof/>
          <w:sz w:val="20"/>
          <w:szCs w:val="20"/>
        </w:rPr>
        <w:t>Avaliação da captura de diclorometano em diferentes atmosferas sobre o carvão BZ13</w:t>
      </w:r>
    </w:p>
    <w:p w14:paraId="2ADB3CB0" w14:textId="77777777" w:rsidR="00A64B4F" w:rsidRDefault="00A64B4F" w:rsidP="00FC0749">
      <w:pPr>
        <w:spacing w:after="0"/>
        <w:jc w:val="both"/>
        <w:rPr>
          <w:rFonts w:ascii="Times" w:hAnsi="Times" w:cs="Times"/>
          <w:i/>
          <w:iCs/>
          <w:noProof/>
          <w:sz w:val="20"/>
          <w:szCs w:val="20"/>
        </w:rPr>
      </w:pPr>
    </w:p>
    <w:p w14:paraId="37965660" w14:textId="24C3287B" w:rsidR="006B445E" w:rsidRDefault="006B445E" w:rsidP="00FC0749">
      <w:pPr>
        <w:spacing w:after="0"/>
        <w:ind w:firstLine="204"/>
        <w:jc w:val="both"/>
        <w:rPr>
          <w:rFonts w:ascii="Times" w:hAnsi="Times" w:cs="Times"/>
          <w:noProof/>
          <w:sz w:val="20"/>
          <w:szCs w:val="20"/>
        </w:rPr>
      </w:pPr>
      <w:r w:rsidRPr="006B445E">
        <w:rPr>
          <w:rFonts w:ascii="Times" w:hAnsi="Times" w:cs="Times"/>
          <w:noProof/>
          <w:sz w:val="20"/>
          <w:szCs w:val="20"/>
        </w:rPr>
        <w:t xml:space="preserve">A atmosfera de nitrogênio foi utilizada como padrão para os estudos até agora. Com o objetivo de avaliar a captura de diclorometano em diferentes ambientes, utilizou-se atmosferas de hélio e ar sintético, conforme apresenta a Figura </w:t>
      </w:r>
      <w:r>
        <w:rPr>
          <w:rFonts w:ascii="Times" w:hAnsi="Times" w:cs="Times"/>
          <w:noProof/>
          <w:sz w:val="20"/>
          <w:szCs w:val="20"/>
        </w:rPr>
        <w:t>4</w:t>
      </w:r>
      <w:r w:rsidRPr="006B445E">
        <w:rPr>
          <w:rFonts w:ascii="Times" w:hAnsi="Times" w:cs="Times"/>
          <w:noProof/>
          <w:sz w:val="20"/>
          <w:szCs w:val="20"/>
        </w:rPr>
        <w:t>. Com esses dados foi possível obter informações importantes sobre a captura em separado e em conjunto do gás de arraste e diclorometano sobre o BZ13.</w:t>
      </w:r>
    </w:p>
    <w:p w14:paraId="33A5D584" w14:textId="5804FBA0" w:rsidR="00FC0749" w:rsidRPr="006B445E" w:rsidRDefault="00FC0749" w:rsidP="00FC0749">
      <w:pPr>
        <w:ind w:firstLine="204"/>
        <w:jc w:val="both"/>
        <w:rPr>
          <w:rFonts w:ascii="Times" w:hAnsi="Times" w:cs="Times"/>
          <w:sz w:val="20"/>
          <w:szCs w:val="20"/>
        </w:rPr>
      </w:pPr>
      <w:r w:rsidRPr="006B445E">
        <w:rPr>
          <w:rFonts w:ascii="Times" w:hAnsi="Times" w:cs="Times"/>
          <w:sz w:val="20"/>
          <w:szCs w:val="20"/>
        </w:rPr>
        <w:t xml:space="preserve">A metodologia utilizada para os estudos permite observar que após a secagem e resfriamento do adsorvente até a isoterma de captura, que ocorre antes de inserir o COV no sistema, observasse um pequeno ganho de massa referente a adsorção de moléculas do gás de arraste. Essa adsorção inicial corresponde a 9,23mg/g de nitrogênio, 8,32mg/g de hélio e 11,98mg/g de ar sintético, conforme apresenta a Figura </w:t>
      </w:r>
      <w:r>
        <w:rPr>
          <w:rFonts w:ascii="Times" w:hAnsi="Times" w:cs="Times"/>
          <w:sz w:val="20"/>
          <w:szCs w:val="20"/>
        </w:rPr>
        <w:t>5</w:t>
      </w:r>
      <w:r w:rsidRPr="006B445E">
        <w:rPr>
          <w:rFonts w:ascii="Times" w:hAnsi="Times" w:cs="Times"/>
          <w:sz w:val="20"/>
          <w:szCs w:val="20"/>
        </w:rPr>
        <w:t xml:space="preserve">. A molécula de nitrogênio apresenta maior polarizabilidade (1,710Â³) interagindo mais fortemente com a superfície do carvão quando comprado </w:t>
      </w:r>
      <w:r w:rsidRPr="006B445E">
        <w:rPr>
          <w:rFonts w:ascii="Times" w:hAnsi="Times" w:cs="Times"/>
          <w:sz w:val="20"/>
          <w:szCs w:val="20"/>
        </w:rPr>
        <w:t>com o gás hélio que apresenta um valor muito menor de polarizabilidade (0,208Â³), que apresenta um tamanho muito pequeno (31pm), interagindo fortemente somente nos poros muito estreitos, justificando a menor adsorção do mesmo. Por outro lado, o ar-sintético é adsorvido em quantidade ≈ 20 % superior ao nitrogênio, coerente com o teor de oxigênio na mistura uma vez que a molécula de oxigênio apresenta valor de polarizabilidade próxima ao nitrogênio (1,562Â³) (</w:t>
      </w:r>
      <w:r>
        <w:rPr>
          <w:rFonts w:ascii="Times" w:hAnsi="Times" w:cs="Times"/>
          <w:sz w:val="20"/>
          <w:szCs w:val="20"/>
        </w:rPr>
        <w:t>10)</w:t>
      </w:r>
      <w:r w:rsidRPr="006B445E">
        <w:rPr>
          <w:rFonts w:ascii="Times" w:hAnsi="Times" w:cs="Times"/>
          <w:sz w:val="20"/>
          <w:szCs w:val="20"/>
        </w:rPr>
        <w:t xml:space="preserve">. </w:t>
      </w:r>
    </w:p>
    <w:p w14:paraId="74D13E92" w14:textId="77777777" w:rsidR="00FC0749" w:rsidRDefault="00FC0749" w:rsidP="00FC0749">
      <w:pPr>
        <w:ind w:firstLine="204"/>
        <w:jc w:val="both"/>
        <w:rPr>
          <w:rFonts w:ascii="Times" w:hAnsi="Times" w:cs="Times"/>
          <w:sz w:val="20"/>
          <w:szCs w:val="20"/>
        </w:rPr>
      </w:pPr>
      <w:r w:rsidRPr="00FC0749">
        <w:rPr>
          <w:rFonts w:ascii="Times New Roman" w:hAnsi="Times New Roman"/>
          <w:b/>
          <w:sz w:val="18"/>
        </w:rPr>
        <w:t>Figura 4.</w:t>
      </w:r>
      <w:r w:rsidRPr="00FC0749">
        <w:rPr>
          <w:rFonts w:ascii="Times New Roman" w:hAnsi="Times New Roman"/>
          <w:sz w:val="18"/>
        </w:rPr>
        <w:t xml:space="preserve"> Curvas de captura de diclorometano em diferentes atmosferas em isoterma de 30ºC.</w:t>
      </w:r>
      <w:r w:rsidRPr="00FC0749">
        <w:rPr>
          <w:rFonts w:ascii="Times" w:hAnsi="Times" w:cs="Times"/>
          <w:sz w:val="20"/>
          <w:szCs w:val="20"/>
        </w:rPr>
        <w:t xml:space="preserve"> </w:t>
      </w:r>
    </w:p>
    <w:p w14:paraId="49BEC8EC" w14:textId="230005BB" w:rsidR="008D7C17" w:rsidRPr="006B445E" w:rsidRDefault="008D7C17" w:rsidP="00FC0749">
      <w:pPr>
        <w:jc w:val="both"/>
        <w:rPr>
          <w:rFonts w:ascii="Times" w:hAnsi="Times" w:cs="Times"/>
          <w:noProof/>
          <w:sz w:val="20"/>
          <w:szCs w:val="20"/>
        </w:rPr>
      </w:pPr>
      <w:r w:rsidRPr="008D7C17">
        <w:rPr>
          <w:rFonts w:ascii="Times" w:hAnsi="Times" w:cs="Times"/>
          <w:noProof/>
          <w:sz w:val="20"/>
          <w:szCs w:val="20"/>
          <w:lang w:eastAsia="pt-BR"/>
        </w:rPr>
        <w:drawing>
          <wp:inline distT="0" distB="0" distL="0" distR="0" wp14:anchorId="52E88FF4" wp14:editId="385D2674">
            <wp:extent cx="2700895" cy="1976120"/>
            <wp:effectExtent l="0" t="0" r="4445" b="508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603" r="13486" b="3175"/>
                    <a:stretch/>
                  </pic:blipFill>
                  <pic:spPr bwMode="auto">
                    <a:xfrm>
                      <a:off x="0" y="0"/>
                      <a:ext cx="2705736" cy="1979662"/>
                    </a:xfrm>
                    <a:prstGeom prst="rect">
                      <a:avLst/>
                    </a:prstGeom>
                    <a:ln>
                      <a:noFill/>
                    </a:ln>
                    <a:extLst>
                      <a:ext uri="{53640926-AAD7-44D8-BBD7-CCE9431645EC}">
                        <a14:shadowObscured xmlns:a14="http://schemas.microsoft.com/office/drawing/2010/main"/>
                      </a:ext>
                    </a:extLst>
                  </pic:spPr>
                </pic:pic>
              </a:graphicData>
            </a:graphic>
          </wp:inline>
        </w:drawing>
      </w:r>
    </w:p>
    <w:p w14:paraId="60D9958D" w14:textId="1B702C4B" w:rsidR="006B445E" w:rsidRDefault="006B445E" w:rsidP="006B445E">
      <w:pPr>
        <w:ind w:firstLine="204"/>
        <w:jc w:val="both"/>
        <w:rPr>
          <w:rFonts w:ascii="Times" w:hAnsi="Times" w:cs="Times"/>
          <w:sz w:val="20"/>
          <w:szCs w:val="20"/>
        </w:rPr>
      </w:pPr>
      <w:r w:rsidRPr="006B445E">
        <w:rPr>
          <w:rFonts w:ascii="Times" w:hAnsi="Times" w:cs="Times"/>
          <w:sz w:val="20"/>
          <w:szCs w:val="20"/>
        </w:rPr>
        <w:t xml:space="preserve">Outra avaliação importante pode ser obtida ao subtrair os valores de gases de arraste dos valores de máximos de adsorção no equilíbrio, obtendo-se valores de captura de 842,77mg/g, para atmosfera de nitrogênio, 856,68mg/g para a atmosfera em hélio e 866,02mg/g para a atmosfera de ar sintético, com uma discrepância de 2,68%. Esse fato indica que o diclorometano é </w:t>
      </w:r>
      <w:proofErr w:type="spellStart"/>
      <w:r w:rsidRPr="006B445E">
        <w:rPr>
          <w:rFonts w:ascii="Times" w:hAnsi="Times" w:cs="Times"/>
          <w:sz w:val="20"/>
          <w:szCs w:val="20"/>
        </w:rPr>
        <w:t>co-adsorvido</w:t>
      </w:r>
      <w:proofErr w:type="spellEnd"/>
      <w:r w:rsidRPr="006B445E">
        <w:rPr>
          <w:rFonts w:ascii="Times" w:hAnsi="Times" w:cs="Times"/>
          <w:sz w:val="20"/>
          <w:szCs w:val="20"/>
        </w:rPr>
        <w:t xml:space="preserve"> juntamente com o gás de arraste, sendo que o ar sintético aumenta a capacidade de captura quando comparada as outras 2 atmosferas. Os resultados aqui apresentados são muito melhores que aqueles apresentados na literatura, Pi et al., estudou a adsorção de diclorometano em atmosfera de nitrogênio sobre </w:t>
      </w:r>
      <w:proofErr w:type="spellStart"/>
      <w:r w:rsidRPr="006B445E">
        <w:rPr>
          <w:rFonts w:ascii="Times" w:hAnsi="Times" w:cs="Times"/>
          <w:sz w:val="20"/>
          <w:szCs w:val="20"/>
        </w:rPr>
        <w:t>biochars</w:t>
      </w:r>
      <w:proofErr w:type="spellEnd"/>
      <w:r w:rsidRPr="006B445E">
        <w:rPr>
          <w:rFonts w:ascii="Times" w:hAnsi="Times" w:cs="Times"/>
          <w:sz w:val="20"/>
          <w:szCs w:val="20"/>
        </w:rPr>
        <w:t xml:space="preserve"> preparados a partir do resíduo de madeira, obtendo uma capacidade de captura de 54,9mg/g de diclorometano (</w:t>
      </w:r>
      <w:r w:rsidR="007151D3">
        <w:rPr>
          <w:rFonts w:ascii="Times" w:hAnsi="Times" w:cs="Times"/>
          <w:sz w:val="20"/>
          <w:szCs w:val="20"/>
        </w:rPr>
        <w:t>11)</w:t>
      </w:r>
      <w:r w:rsidRPr="006B445E">
        <w:rPr>
          <w:rFonts w:ascii="Times" w:hAnsi="Times" w:cs="Times"/>
          <w:sz w:val="20"/>
          <w:szCs w:val="20"/>
        </w:rPr>
        <w:t>. Liu et al., estudos a adsorção de diclorometano em atmosfera de nitrogênio, obtendo 171mg/g de quantidade adsorvida de diclorometano (</w:t>
      </w:r>
      <w:r w:rsidR="00E41E2E">
        <w:rPr>
          <w:rFonts w:ascii="Times" w:hAnsi="Times" w:cs="Times"/>
          <w:sz w:val="20"/>
          <w:szCs w:val="20"/>
        </w:rPr>
        <w:t>12)</w:t>
      </w:r>
      <w:r w:rsidRPr="006B445E">
        <w:rPr>
          <w:rFonts w:ascii="Times" w:hAnsi="Times" w:cs="Times"/>
          <w:sz w:val="20"/>
          <w:szCs w:val="20"/>
        </w:rPr>
        <w:t>.</w:t>
      </w:r>
    </w:p>
    <w:p w14:paraId="1A5A6A2B" w14:textId="77777777" w:rsidR="00FC0749" w:rsidRDefault="00FC0749" w:rsidP="006B445E">
      <w:pPr>
        <w:pStyle w:val="TAMainText"/>
        <w:ind w:firstLine="0"/>
        <w:rPr>
          <w:rFonts w:ascii="Times New Roman" w:hAnsi="Times New Roman"/>
          <w:b/>
          <w:lang w:val="pt-BR"/>
        </w:rPr>
      </w:pPr>
    </w:p>
    <w:p w14:paraId="19A7A24E" w14:textId="77777777" w:rsidR="00FC0749" w:rsidRDefault="00FC0749" w:rsidP="006B445E">
      <w:pPr>
        <w:pStyle w:val="TAMainText"/>
        <w:ind w:firstLine="0"/>
        <w:rPr>
          <w:rFonts w:ascii="Times New Roman" w:hAnsi="Times New Roman"/>
          <w:b/>
          <w:lang w:val="pt-BR"/>
        </w:rPr>
      </w:pPr>
    </w:p>
    <w:p w14:paraId="4F0A4408" w14:textId="77777777" w:rsidR="00FC0749" w:rsidRDefault="00FC0749" w:rsidP="006B445E">
      <w:pPr>
        <w:pStyle w:val="TAMainText"/>
        <w:ind w:firstLine="0"/>
        <w:rPr>
          <w:rFonts w:ascii="Times New Roman" w:hAnsi="Times New Roman"/>
          <w:b/>
          <w:lang w:val="pt-BR"/>
        </w:rPr>
      </w:pPr>
    </w:p>
    <w:p w14:paraId="57E0BB80" w14:textId="77777777" w:rsidR="00FC0749" w:rsidRDefault="00FC0749" w:rsidP="006B445E">
      <w:pPr>
        <w:pStyle w:val="TAMainText"/>
        <w:ind w:firstLine="0"/>
        <w:rPr>
          <w:rFonts w:ascii="Times New Roman" w:hAnsi="Times New Roman"/>
          <w:b/>
          <w:lang w:val="pt-BR"/>
        </w:rPr>
      </w:pPr>
    </w:p>
    <w:p w14:paraId="6385FA1C" w14:textId="77777777" w:rsidR="00FC0749" w:rsidRDefault="00FC0749" w:rsidP="006B445E">
      <w:pPr>
        <w:pStyle w:val="TAMainText"/>
        <w:ind w:firstLine="0"/>
        <w:rPr>
          <w:rFonts w:ascii="Times New Roman" w:hAnsi="Times New Roman"/>
          <w:b/>
          <w:lang w:val="pt-BR"/>
        </w:rPr>
      </w:pPr>
    </w:p>
    <w:p w14:paraId="1D6DF65B" w14:textId="12DB7D6E" w:rsidR="006B445E" w:rsidRPr="006B445E" w:rsidRDefault="006B445E" w:rsidP="006B445E">
      <w:pPr>
        <w:pStyle w:val="TAMainText"/>
        <w:ind w:firstLine="0"/>
        <w:rPr>
          <w:rFonts w:ascii="Times New Roman" w:hAnsi="Times New Roman"/>
          <w:lang w:val="pt-BR"/>
        </w:rPr>
      </w:pPr>
      <w:r w:rsidRPr="00E038AF">
        <w:rPr>
          <w:rFonts w:ascii="Times New Roman" w:hAnsi="Times New Roman"/>
          <w:b/>
          <w:lang w:val="pt-BR"/>
        </w:rPr>
        <w:lastRenderedPageBreak/>
        <w:t xml:space="preserve">Figura </w:t>
      </w:r>
      <w:r w:rsidR="008D7C17">
        <w:rPr>
          <w:rFonts w:ascii="Times New Roman" w:hAnsi="Times New Roman"/>
          <w:b/>
          <w:lang w:val="pt-BR"/>
        </w:rPr>
        <w:t>5</w:t>
      </w:r>
      <w:r w:rsidRPr="00E038AF">
        <w:rPr>
          <w:rFonts w:ascii="Times New Roman" w:hAnsi="Times New Roman"/>
          <w:b/>
          <w:lang w:val="pt-BR"/>
        </w:rPr>
        <w:t>.</w:t>
      </w:r>
      <w:r>
        <w:rPr>
          <w:rFonts w:ascii="Times New Roman" w:hAnsi="Times New Roman"/>
          <w:lang w:val="pt-BR"/>
        </w:rPr>
        <w:t xml:space="preserve"> </w:t>
      </w:r>
      <w:r w:rsidRPr="006B445E">
        <w:rPr>
          <w:rFonts w:ascii="Times New Roman" w:hAnsi="Times New Roman"/>
          <w:lang w:val="pt-BR"/>
        </w:rPr>
        <w:t>Influência dos gases de arraste sobre a captura de diclorometano pelo adsorvente BZ13.</w:t>
      </w:r>
    </w:p>
    <w:p w14:paraId="3AE27473" w14:textId="43D2F1A8" w:rsidR="006B445E" w:rsidRDefault="006B445E" w:rsidP="00A64B4F">
      <w:pPr>
        <w:jc w:val="both"/>
        <w:rPr>
          <w:rFonts w:ascii="Times" w:hAnsi="Times" w:cs="Times"/>
          <w:sz w:val="20"/>
          <w:szCs w:val="20"/>
        </w:rPr>
      </w:pPr>
      <w:r w:rsidRPr="006B445E">
        <w:rPr>
          <w:rFonts w:ascii="Times" w:hAnsi="Times" w:cs="Times"/>
          <w:noProof/>
          <w:sz w:val="20"/>
          <w:szCs w:val="20"/>
          <w:lang w:eastAsia="pt-BR"/>
        </w:rPr>
        <w:drawing>
          <wp:inline distT="0" distB="0" distL="0" distR="0" wp14:anchorId="0E8D9D2A" wp14:editId="295EA44A">
            <wp:extent cx="2987040" cy="1513840"/>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539" t="3331" r="-1" b="8401"/>
                    <a:stretch/>
                  </pic:blipFill>
                  <pic:spPr bwMode="auto">
                    <a:xfrm>
                      <a:off x="0" y="0"/>
                      <a:ext cx="2986373" cy="1513502"/>
                    </a:xfrm>
                    <a:prstGeom prst="rect">
                      <a:avLst/>
                    </a:prstGeom>
                    <a:ln>
                      <a:noFill/>
                    </a:ln>
                    <a:extLst>
                      <a:ext uri="{53640926-AAD7-44D8-BBD7-CCE9431645EC}">
                        <a14:shadowObscured xmlns:a14="http://schemas.microsoft.com/office/drawing/2010/main"/>
                      </a:ext>
                    </a:extLst>
                  </pic:spPr>
                </pic:pic>
              </a:graphicData>
            </a:graphic>
          </wp:inline>
        </w:drawing>
      </w:r>
    </w:p>
    <w:p w14:paraId="709CEE6D" w14:textId="2148BDE6" w:rsidR="006B445E" w:rsidRDefault="00AE6D36" w:rsidP="006B445E">
      <w:pPr>
        <w:jc w:val="both"/>
        <w:rPr>
          <w:rFonts w:ascii="Times" w:hAnsi="Times" w:cs="Times"/>
          <w:i/>
          <w:iCs/>
          <w:sz w:val="20"/>
          <w:szCs w:val="20"/>
        </w:rPr>
      </w:pPr>
      <w:r w:rsidRPr="00AE6D36">
        <w:rPr>
          <w:rFonts w:ascii="Times" w:hAnsi="Times" w:cs="Times"/>
          <w:i/>
          <w:iCs/>
          <w:sz w:val="20"/>
          <w:szCs w:val="20"/>
        </w:rPr>
        <w:t>Ciclos de adsorção sobre o material BZ13</w:t>
      </w:r>
    </w:p>
    <w:p w14:paraId="7EA9DEAB" w14:textId="2CE4C64A" w:rsidR="00AE6D36" w:rsidRDefault="00AE6D36" w:rsidP="006B445E">
      <w:pPr>
        <w:jc w:val="both"/>
        <w:rPr>
          <w:rFonts w:ascii="Times" w:hAnsi="Times" w:cs="Times"/>
          <w:sz w:val="20"/>
          <w:szCs w:val="20"/>
        </w:rPr>
      </w:pPr>
      <w:r w:rsidRPr="00AE6D36">
        <w:rPr>
          <w:rFonts w:ascii="Times" w:hAnsi="Times" w:cs="Times"/>
          <w:sz w:val="20"/>
          <w:szCs w:val="20"/>
        </w:rPr>
        <w:t>Para ter boa aplicação, um adsorvente deve apresentar a capacidade de ser regenerado facilmente e por vários ciclos (</w:t>
      </w:r>
      <w:r w:rsidR="008D7C17">
        <w:rPr>
          <w:rFonts w:ascii="Times" w:hAnsi="Times" w:cs="Times"/>
          <w:sz w:val="20"/>
          <w:szCs w:val="20"/>
        </w:rPr>
        <w:t>9)</w:t>
      </w:r>
      <w:r w:rsidRPr="00AE6D36">
        <w:rPr>
          <w:rFonts w:ascii="Times" w:hAnsi="Times" w:cs="Times"/>
          <w:sz w:val="20"/>
          <w:szCs w:val="20"/>
        </w:rPr>
        <w:t xml:space="preserve">.  A capacidade de regeneração do material produzido, foi avaliada em 10 ciclos de adsorção utilizando umidade relativa de 70%, na presença de ar-sintético que é uma condição mais próxima da </w:t>
      </w:r>
      <w:r w:rsidR="00FC0749">
        <w:rPr>
          <w:rFonts w:ascii="Times" w:hAnsi="Times" w:cs="Times"/>
          <w:sz w:val="20"/>
          <w:szCs w:val="20"/>
        </w:rPr>
        <w:t>aplicação</w:t>
      </w:r>
      <w:r w:rsidRPr="00AE6D36">
        <w:rPr>
          <w:rFonts w:ascii="Times" w:hAnsi="Times" w:cs="Times"/>
          <w:sz w:val="20"/>
          <w:szCs w:val="20"/>
        </w:rPr>
        <w:t xml:space="preserve">. </w:t>
      </w:r>
      <w:r w:rsidR="00A64B4F">
        <w:rPr>
          <w:rFonts w:ascii="Times" w:hAnsi="Times" w:cs="Times"/>
          <w:sz w:val="20"/>
          <w:szCs w:val="20"/>
        </w:rPr>
        <w:t xml:space="preserve">A umidade influenciou pouco na capacidade de captura do DCM, indicando um pequeno bloqueio dos sítios de adsorção pela água. </w:t>
      </w:r>
      <w:r w:rsidRPr="00AE6D36">
        <w:rPr>
          <w:rFonts w:ascii="Times" w:hAnsi="Times" w:cs="Times"/>
          <w:sz w:val="20"/>
          <w:szCs w:val="20"/>
        </w:rPr>
        <w:t xml:space="preserve">O material BZ13 tem sua capacidade de captura reduzida de 6,25% do primeiro para o décimo ciclo e o adsorvente atinge a sua estabilidade a partir do 4º ciclo de adsorção, conforme apresenta a Figura </w:t>
      </w:r>
      <w:r w:rsidR="008D7C17">
        <w:rPr>
          <w:rFonts w:ascii="Times" w:hAnsi="Times" w:cs="Times"/>
          <w:sz w:val="20"/>
          <w:szCs w:val="20"/>
        </w:rPr>
        <w:t>6</w:t>
      </w:r>
      <w:r w:rsidRPr="00AE6D36">
        <w:rPr>
          <w:rFonts w:ascii="Times" w:hAnsi="Times" w:cs="Times"/>
          <w:sz w:val="20"/>
          <w:szCs w:val="20"/>
        </w:rPr>
        <w:t>, indicando boa capacidade de regeneração do material por várias aplicações.</w:t>
      </w:r>
    </w:p>
    <w:p w14:paraId="3481BF5C" w14:textId="795CACFB" w:rsidR="00C81289" w:rsidRPr="00FC0749" w:rsidRDefault="00C81289" w:rsidP="00C81289">
      <w:pPr>
        <w:pStyle w:val="TAMainText"/>
        <w:ind w:firstLine="0"/>
        <w:rPr>
          <w:rFonts w:ascii="Times New Roman" w:hAnsi="Times New Roman"/>
          <w:sz w:val="18"/>
          <w:lang w:val="pt-BR"/>
        </w:rPr>
      </w:pPr>
      <w:r w:rsidRPr="00FC0749">
        <w:rPr>
          <w:rFonts w:ascii="Times New Roman" w:hAnsi="Times New Roman"/>
          <w:b/>
          <w:sz w:val="18"/>
          <w:lang w:val="pt-BR"/>
        </w:rPr>
        <w:t>Figura 5.</w:t>
      </w:r>
      <w:r w:rsidRPr="00FC0749">
        <w:rPr>
          <w:rFonts w:ascii="Times New Roman" w:hAnsi="Times New Roman"/>
          <w:sz w:val="18"/>
          <w:lang w:val="pt-BR"/>
        </w:rPr>
        <w:t xml:space="preserve"> Capacidade de adsorção do diclorometano por ciclo de adsorção dessorção. Condições 23,57mmol/L de diclorometano a uma isoterma de 30ºC em umidade relativa de 70%.</w:t>
      </w:r>
    </w:p>
    <w:p w14:paraId="55BA0FF9" w14:textId="0EB54924" w:rsidR="00C81289" w:rsidRPr="00AE6D36" w:rsidRDefault="00FC0749" w:rsidP="00FC0749">
      <w:pPr>
        <w:jc w:val="center"/>
        <w:rPr>
          <w:rFonts w:ascii="Times" w:hAnsi="Times" w:cs="Times"/>
          <w:sz w:val="20"/>
          <w:szCs w:val="20"/>
        </w:rPr>
      </w:pPr>
      <w:r>
        <w:rPr>
          <w:noProof/>
        </w:rPr>
        <w:object w:dxaOrig="7076" w:dyaOrig="4988" w14:anchorId="3A506E66">
          <v:shape id="_x0000_i1027" type="#_x0000_t75" alt="" style="width:231pt;height:178.5pt;mso-width-percent:0;mso-height-percent:0;mso-width-percent:0;mso-height-percent:0" o:ole="">
            <v:imagedata r:id="rId16" o:title="" croptop="5798f" cropbottom="2460f" cropleft="4627f" cropright="8348f"/>
          </v:shape>
          <o:OLEObject Type="Embed" ProgID="Origin50.Graph" ShapeID="_x0000_i1027" DrawAspect="Content" ObjectID="_1744361371" r:id="rId17"/>
        </w:object>
      </w:r>
    </w:p>
    <w:p w14:paraId="20AA905D" w14:textId="3ACFB934"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74671FBC" w14:textId="77777777" w:rsidR="00C81289" w:rsidRPr="00C81289" w:rsidRDefault="00C81289" w:rsidP="00C81289">
      <w:pPr>
        <w:pStyle w:val="TAMainText"/>
        <w:ind w:firstLine="187"/>
        <w:rPr>
          <w:rFonts w:ascii="Times New Roman" w:hAnsi="Times New Roman"/>
          <w:lang w:val="pt-BR"/>
        </w:rPr>
      </w:pPr>
      <w:r w:rsidRPr="00C81289">
        <w:rPr>
          <w:rFonts w:ascii="Times New Roman" w:hAnsi="Times New Roman"/>
          <w:lang w:val="pt-BR"/>
        </w:rPr>
        <w:t xml:space="preserve">Os materiais REF, BK11, BK13 e BZ11 são majoritariamente microporosos, com isotermas do tipo I(a) </w:t>
      </w:r>
      <w:r w:rsidRPr="00C81289">
        <w:rPr>
          <w:rFonts w:ascii="Times New Roman" w:hAnsi="Times New Roman"/>
          <w:lang w:val="pt-BR"/>
        </w:rPr>
        <w:t xml:space="preserve">e loop de histerese H4, enquanto o material BZ13 é majoritariamente </w:t>
      </w:r>
      <w:proofErr w:type="spellStart"/>
      <w:r w:rsidRPr="00C81289">
        <w:rPr>
          <w:rFonts w:ascii="Times New Roman" w:hAnsi="Times New Roman"/>
          <w:lang w:val="pt-BR"/>
        </w:rPr>
        <w:t>mesoporoso</w:t>
      </w:r>
      <w:proofErr w:type="spellEnd"/>
      <w:r w:rsidRPr="00C81289">
        <w:rPr>
          <w:rFonts w:ascii="Times New Roman" w:hAnsi="Times New Roman"/>
          <w:lang w:val="pt-BR"/>
        </w:rPr>
        <w:t xml:space="preserve"> com isoterma do tipo IV(a) e loop de histerese H3.</w:t>
      </w:r>
    </w:p>
    <w:p w14:paraId="333952CE" w14:textId="534497FA" w:rsidR="00C81289" w:rsidRPr="00C81289" w:rsidRDefault="00A64B4F" w:rsidP="00C81289">
      <w:pPr>
        <w:pStyle w:val="TAMainText"/>
        <w:ind w:firstLine="187"/>
        <w:rPr>
          <w:rFonts w:ascii="Times New Roman" w:hAnsi="Times New Roman"/>
          <w:lang w:val="pt-BR"/>
        </w:rPr>
      </w:pPr>
      <w:r>
        <w:rPr>
          <w:rFonts w:ascii="Times New Roman" w:hAnsi="Times New Roman"/>
          <w:lang w:val="pt-BR"/>
        </w:rPr>
        <w:t>Todos o</w:t>
      </w:r>
      <w:r w:rsidR="00C81289" w:rsidRPr="00C81289">
        <w:rPr>
          <w:rFonts w:ascii="Times New Roman" w:hAnsi="Times New Roman"/>
          <w:lang w:val="pt-BR"/>
        </w:rPr>
        <w:t xml:space="preserve">s materiais produzidos são eficientes na captura de diclorometano, clorofórmio, acetato de etila, hexano e </w:t>
      </w:r>
      <w:proofErr w:type="spellStart"/>
      <w:r w:rsidR="00C81289" w:rsidRPr="00C81289">
        <w:rPr>
          <w:rFonts w:ascii="Times New Roman" w:hAnsi="Times New Roman"/>
          <w:lang w:val="pt-BR"/>
        </w:rPr>
        <w:t>ciclohexano</w:t>
      </w:r>
      <w:proofErr w:type="spellEnd"/>
      <w:r w:rsidR="00C81289" w:rsidRPr="00C81289">
        <w:rPr>
          <w:rFonts w:ascii="Times New Roman" w:hAnsi="Times New Roman"/>
          <w:lang w:val="pt-BR"/>
        </w:rPr>
        <w:t>, sendo que os valores de adsorção foram maiores que os da literatura.</w:t>
      </w:r>
    </w:p>
    <w:p w14:paraId="392A64B4" w14:textId="77777777" w:rsidR="00C81289" w:rsidRPr="00C81289" w:rsidRDefault="00C81289" w:rsidP="00C81289">
      <w:pPr>
        <w:pStyle w:val="TAMainText"/>
        <w:ind w:firstLine="187"/>
        <w:rPr>
          <w:rFonts w:ascii="Times New Roman" w:hAnsi="Times New Roman"/>
          <w:lang w:val="pt-BR"/>
        </w:rPr>
      </w:pPr>
      <w:r w:rsidRPr="00C81289">
        <w:rPr>
          <w:rFonts w:ascii="Times New Roman" w:hAnsi="Times New Roman"/>
          <w:lang w:val="pt-BR"/>
        </w:rPr>
        <w:t xml:space="preserve">O material BZ13 se destacou na captura dos </w:t>
      </w:r>
      <w:proofErr w:type="spellStart"/>
      <w:r w:rsidRPr="00C81289">
        <w:rPr>
          <w:rFonts w:ascii="Times New Roman" w:hAnsi="Times New Roman"/>
          <w:lang w:val="pt-BR"/>
        </w:rPr>
        <w:t>COVs</w:t>
      </w:r>
      <w:proofErr w:type="spellEnd"/>
      <w:r w:rsidRPr="00C81289">
        <w:rPr>
          <w:rFonts w:ascii="Times New Roman" w:hAnsi="Times New Roman"/>
          <w:lang w:val="pt-BR"/>
        </w:rPr>
        <w:t xml:space="preserve"> estudados.</w:t>
      </w:r>
    </w:p>
    <w:p w14:paraId="2831F100" w14:textId="108CBE3A" w:rsidR="00C81289" w:rsidRPr="00C81289" w:rsidRDefault="00C81289" w:rsidP="00A64B4F">
      <w:pPr>
        <w:pStyle w:val="TAMainText"/>
        <w:ind w:firstLine="187"/>
        <w:rPr>
          <w:rFonts w:ascii="Times New Roman" w:hAnsi="Times New Roman"/>
          <w:lang w:val="pt-BR"/>
        </w:rPr>
      </w:pPr>
      <w:r w:rsidRPr="00C81289">
        <w:rPr>
          <w:rFonts w:ascii="Times New Roman" w:hAnsi="Times New Roman"/>
          <w:lang w:val="pt-BR"/>
        </w:rPr>
        <w:t xml:space="preserve">Existe um decréscimo das quantidades adsorvidas conforme </w:t>
      </w:r>
      <w:r w:rsidR="00640333" w:rsidRPr="00C81289">
        <w:rPr>
          <w:rFonts w:ascii="Times New Roman" w:hAnsi="Times New Roman"/>
          <w:lang w:val="pt-BR"/>
        </w:rPr>
        <w:t>se aumenta</w:t>
      </w:r>
      <w:r w:rsidRPr="00C81289">
        <w:rPr>
          <w:rFonts w:ascii="Times New Roman" w:hAnsi="Times New Roman"/>
          <w:lang w:val="pt-BR"/>
        </w:rPr>
        <w:t xml:space="preserve"> a temperatura da isoterma, mostrando que </w:t>
      </w:r>
      <w:proofErr w:type="gramStart"/>
      <w:r w:rsidRPr="00C81289">
        <w:rPr>
          <w:rFonts w:ascii="Times New Roman" w:hAnsi="Times New Roman"/>
          <w:lang w:val="pt-BR"/>
        </w:rPr>
        <w:t>trata-se</w:t>
      </w:r>
      <w:proofErr w:type="gramEnd"/>
      <w:r w:rsidRPr="00C81289">
        <w:rPr>
          <w:rFonts w:ascii="Times New Roman" w:hAnsi="Times New Roman"/>
          <w:lang w:val="pt-BR"/>
        </w:rPr>
        <w:t xml:space="preserve"> de uma </w:t>
      </w:r>
      <w:proofErr w:type="spellStart"/>
      <w:r w:rsidRPr="00C81289">
        <w:rPr>
          <w:rFonts w:ascii="Times New Roman" w:hAnsi="Times New Roman"/>
          <w:lang w:val="pt-BR"/>
        </w:rPr>
        <w:t>fisissorção</w:t>
      </w:r>
      <w:proofErr w:type="spellEnd"/>
      <w:r w:rsidRPr="00C81289">
        <w:rPr>
          <w:rFonts w:ascii="Times New Roman" w:hAnsi="Times New Roman"/>
          <w:lang w:val="pt-BR"/>
        </w:rPr>
        <w:t xml:space="preserve"> e de um processo exotérmico.</w:t>
      </w:r>
    </w:p>
    <w:p w14:paraId="207B7097" w14:textId="026A71E5" w:rsidR="00C81289" w:rsidRPr="001F25B2" w:rsidRDefault="00C81289" w:rsidP="00C81289">
      <w:pPr>
        <w:pStyle w:val="TAMainText"/>
        <w:ind w:firstLine="187"/>
        <w:rPr>
          <w:rFonts w:ascii="Times New Roman" w:hAnsi="Times New Roman"/>
          <w:lang w:val="pt-BR"/>
        </w:rPr>
      </w:pPr>
      <w:r w:rsidRPr="00C81289">
        <w:rPr>
          <w:rFonts w:ascii="Times New Roman" w:hAnsi="Times New Roman"/>
          <w:lang w:val="pt-BR"/>
        </w:rPr>
        <w:t xml:space="preserve">A capacidade de captura no equilíbrio diminui </w:t>
      </w:r>
      <w:r w:rsidR="00A64B4F">
        <w:rPr>
          <w:rFonts w:ascii="Times New Roman" w:hAnsi="Times New Roman"/>
          <w:lang w:val="pt-BR"/>
        </w:rPr>
        <w:t xml:space="preserve">levemente </w:t>
      </w:r>
      <w:r w:rsidRPr="00C81289">
        <w:rPr>
          <w:rFonts w:ascii="Times New Roman" w:hAnsi="Times New Roman"/>
          <w:lang w:val="pt-BR"/>
        </w:rPr>
        <w:t>com a pres</w:t>
      </w:r>
      <w:r w:rsidR="00A64B4F">
        <w:rPr>
          <w:rFonts w:ascii="Times New Roman" w:hAnsi="Times New Roman"/>
          <w:lang w:val="pt-BR"/>
        </w:rPr>
        <w:t>ença de umidade relativa de 70%. O material BZ13 apresenta boa eficiência nos estudos de regeneração com redução da capacidade de captura de 6,25% entre o primeiro e décimo ciclo.</w:t>
      </w:r>
    </w:p>
    <w:p w14:paraId="6BE32F7B" w14:textId="4F456A38"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Agradecimentos</w:t>
      </w:r>
    </w:p>
    <w:p w14:paraId="05A178F9" w14:textId="1E0AA61F" w:rsidR="00EA4E1B" w:rsidRPr="001F25B2" w:rsidRDefault="00C81289" w:rsidP="00263CE5">
      <w:pPr>
        <w:pStyle w:val="TAMainText"/>
        <w:rPr>
          <w:rFonts w:ascii="Times New Roman" w:hAnsi="Times New Roman"/>
          <w:lang w:val="pt-BR"/>
        </w:rPr>
      </w:pPr>
      <w:r>
        <w:rPr>
          <w:rFonts w:ascii="Times New Roman" w:hAnsi="Times New Roman"/>
          <w:lang w:val="pt-BR"/>
        </w:rPr>
        <w:t>Ao Conselho Nacional de Pesquisa e Desenvolvimento – CNPq pela bolsa de mestrado concedida e a prorrogação da mesma durante alguns meses da pandemia.</w:t>
      </w:r>
      <w:r w:rsidR="00272898">
        <w:rPr>
          <w:rFonts w:ascii="Times New Roman" w:hAnsi="Times New Roman"/>
          <w:lang w:val="pt-BR"/>
        </w:rPr>
        <w:t xml:space="preserve"> </w:t>
      </w:r>
      <w:r w:rsidR="00263CE5">
        <w:rPr>
          <w:rFonts w:ascii="Times New Roman" w:hAnsi="Times New Roman"/>
          <w:lang w:val="pt-BR"/>
        </w:rPr>
        <w:t xml:space="preserve">Ao </w:t>
      </w:r>
      <w:r w:rsidR="00263CE5" w:rsidRPr="00263CE5">
        <w:rPr>
          <w:rFonts w:ascii="Times New Roman" w:hAnsi="Times New Roman"/>
          <w:lang w:val="pt-BR"/>
        </w:rPr>
        <w:t>MCTI/FINEP</w:t>
      </w:r>
      <w:r w:rsidR="00263CE5">
        <w:rPr>
          <w:rFonts w:ascii="Times New Roman" w:hAnsi="Times New Roman"/>
          <w:lang w:val="pt-BR"/>
        </w:rPr>
        <w:t xml:space="preserve">, projeto </w:t>
      </w:r>
      <w:r w:rsidR="00263CE5" w:rsidRPr="00263CE5">
        <w:rPr>
          <w:rFonts w:ascii="Times New Roman" w:hAnsi="Times New Roman"/>
          <w:lang w:val="pt-BR"/>
        </w:rPr>
        <w:t>Materiais Avançados e Minerais Estratégicos 2020, aprovado sob o</w:t>
      </w:r>
      <w:r w:rsidR="00263CE5">
        <w:rPr>
          <w:rFonts w:ascii="Times New Roman" w:hAnsi="Times New Roman"/>
          <w:lang w:val="pt-BR"/>
        </w:rPr>
        <w:t xml:space="preserve"> </w:t>
      </w:r>
      <w:r w:rsidR="00263CE5" w:rsidRPr="00263CE5">
        <w:rPr>
          <w:rFonts w:ascii="Times New Roman" w:hAnsi="Times New Roman"/>
          <w:lang w:val="pt-BR"/>
        </w:rPr>
        <w:t>número de Ref. 0057/21</w:t>
      </w:r>
      <w:r w:rsidR="00263CE5">
        <w:rPr>
          <w:rFonts w:ascii="Times New Roman" w:hAnsi="Times New Roman"/>
          <w:lang w:val="pt-BR"/>
        </w:rPr>
        <w:t>.</w:t>
      </w:r>
    </w:p>
    <w:p w14:paraId="58716424" w14:textId="04FBF9A4" w:rsidR="007B4B2B" w:rsidRPr="00DD1E3D" w:rsidRDefault="00EA4E1B" w:rsidP="00DD1E3D">
      <w:pPr>
        <w:pStyle w:val="Ttulo2"/>
        <w:rPr>
          <w:rFonts w:ascii="Helvetica" w:hAnsi="Helvetica" w:cs="Helvetica"/>
          <w:sz w:val="24"/>
          <w:szCs w:val="24"/>
        </w:rPr>
      </w:pPr>
      <w:r w:rsidRPr="001F25B2">
        <w:rPr>
          <w:rFonts w:ascii="Helvetica" w:hAnsi="Helvetica" w:cs="Helvetica"/>
          <w:sz w:val="24"/>
          <w:szCs w:val="24"/>
        </w:rPr>
        <w:t>Referências</w:t>
      </w:r>
    </w:p>
    <w:p w14:paraId="2D4463D2" w14:textId="4F12AD95" w:rsidR="00C87CD0" w:rsidRDefault="00C87CD0" w:rsidP="00C81289">
      <w:pPr>
        <w:pStyle w:val="TAMainText"/>
        <w:numPr>
          <w:ilvl w:val="0"/>
          <w:numId w:val="1"/>
        </w:numPr>
        <w:rPr>
          <w:lang w:val="pt-BR"/>
        </w:rPr>
      </w:pPr>
      <w:r>
        <w:rPr>
          <w:lang w:val="pt-BR"/>
        </w:rPr>
        <w:t xml:space="preserve">G. Wang; B. Dou; Z. Zhang; J. Wang; H. Liu; Z. </w:t>
      </w:r>
      <w:proofErr w:type="spellStart"/>
      <w:r>
        <w:rPr>
          <w:lang w:val="pt-BR"/>
        </w:rPr>
        <w:t>Hao</w:t>
      </w:r>
      <w:proofErr w:type="spellEnd"/>
      <w:r>
        <w:rPr>
          <w:lang w:val="pt-BR"/>
        </w:rPr>
        <w:t xml:space="preserve">, </w:t>
      </w:r>
      <w:r w:rsidRPr="00C87CD0">
        <w:rPr>
          <w:i/>
          <w:iCs/>
          <w:lang w:val="pt-BR"/>
        </w:rPr>
        <w:t xml:space="preserve">J. Of. </w:t>
      </w:r>
      <w:proofErr w:type="spellStart"/>
      <w:r w:rsidRPr="00C87CD0">
        <w:rPr>
          <w:i/>
          <w:iCs/>
          <w:lang w:val="pt-BR"/>
        </w:rPr>
        <w:t>Env</w:t>
      </w:r>
      <w:proofErr w:type="spellEnd"/>
      <w:r w:rsidRPr="00C87CD0">
        <w:rPr>
          <w:i/>
          <w:iCs/>
          <w:lang w:val="pt-BR"/>
        </w:rPr>
        <w:t xml:space="preserve">. </w:t>
      </w:r>
      <w:proofErr w:type="spellStart"/>
      <w:r w:rsidRPr="00C87CD0">
        <w:rPr>
          <w:i/>
          <w:iCs/>
          <w:lang w:val="pt-BR"/>
        </w:rPr>
        <w:t>Sci</w:t>
      </w:r>
      <w:proofErr w:type="spellEnd"/>
      <w:r>
        <w:rPr>
          <w:lang w:val="pt-BR"/>
        </w:rPr>
        <w:t xml:space="preserve">, </w:t>
      </w:r>
      <w:r w:rsidRPr="00C87CD0">
        <w:rPr>
          <w:b/>
          <w:bCs/>
          <w:lang w:val="pt-BR"/>
        </w:rPr>
        <w:t>2015</w:t>
      </w:r>
      <w:r>
        <w:rPr>
          <w:lang w:val="pt-BR"/>
        </w:rPr>
        <w:t>, 30, 65-73.</w:t>
      </w:r>
    </w:p>
    <w:p w14:paraId="1A9A0732" w14:textId="77292ED6" w:rsidR="00C87CD0" w:rsidRPr="00C87CD0" w:rsidRDefault="00C87CD0" w:rsidP="00C81289">
      <w:pPr>
        <w:pStyle w:val="TAMainText"/>
        <w:numPr>
          <w:ilvl w:val="0"/>
          <w:numId w:val="1"/>
        </w:numPr>
        <w:rPr>
          <w:b/>
          <w:bCs/>
          <w:i/>
          <w:iCs/>
          <w:lang w:val="pt-BR"/>
        </w:rPr>
      </w:pPr>
      <w:r>
        <w:rPr>
          <w:lang w:val="pt-BR"/>
        </w:rPr>
        <w:t xml:space="preserve">X. Zhang; B. Gao; A.E. </w:t>
      </w:r>
      <w:proofErr w:type="spellStart"/>
      <w:r>
        <w:rPr>
          <w:lang w:val="pt-BR"/>
        </w:rPr>
        <w:t>Creamer</w:t>
      </w:r>
      <w:proofErr w:type="spellEnd"/>
      <w:r>
        <w:rPr>
          <w:lang w:val="pt-BR"/>
        </w:rPr>
        <w:t xml:space="preserve">; C. Cao; Y. Li, </w:t>
      </w:r>
      <w:r w:rsidRPr="00C87CD0">
        <w:rPr>
          <w:i/>
          <w:iCs/>
          <w:lang w:val="pt-BR"/>
        </w:rPr>
        <w:t xml:space="preserve">J </w:t>
      </w:r>
      <w:proofErr w:type="spellStart"/>
      <w:r w:rsidRPr="00C87CD0">
        <w:rPr>
          <w:i/>
          <w:iCs/>
          <w:lang w:val="pt-BR"/>
        </w:rPr>
        <w:t>of</w:t>
      </w:r>
      <w:proofErr w:type="spellEnd"/>
      <w:r w:rsidRPr="00C87CD0">
        <w:rPr>
          <w:i/>
          <w:iCs/>
          <w:lang w:val="pt-BR"/>
        </w:rPr>
        <w:t xml:space="preserve"> </w:t>
      </w:r>
      <w:proofErr w:type="spellStart"/>
      <w:r w:rsidRPr="00C87CD0">
        <w:rPr>
          <w:i/>
          <w:iCs/>
          <w:lang w:val="pt-BR"/>
        </w:rPr>
        <w:t>Haz</w:t>
      </w:r>
      <w:proofErr w:type="spellEnd"/>
      <w:r w:rsidRPr="00C87CD0">
        <w:rPr>
          <w:i/>
          <w:iCs/>
          <w:lang w:val="pt-BR"/>
        </w:rPr>
        <w:t xml:space="preserve"> </w:t>
      </w:r>
      <w:proofErr w:type="spellStart"/>
      <w:r w:rsidRPr="00C87CD0">
        <w:rPr>
          <w:i/>
          <w:iCs/>
          <w:lang w:val="pt-BR"/>
        </w:rPr>
        <w:t>Mat</w:t>
      </w:r>
      <w:proofErr w:type="spellEnd"/>
      <w:r>
        <w:rPr>
          <w:i/>
          <w:iCs/>
          <w:lang w:val="pt-BR"/>
        </w:rPr>
        <w:t>,</w:t>
      </w:r>
      <w:r>
        <w:rPr>
          <w:lang w:val="pt-BR"/>
        </w:rPr>
        <w:t xml:space="preserve"> </w:t>
      </w:r>
      <w:r w:rsidRPr="00C87CD0">
        <w:rPr>
          <w:b/>
          <w:bCs/>
          <w:lang w:val="pt-BR"/>
        </w:rPr>
        <w:t>2017</w:t>
      </w:r>
      <w:r>
        <w:rPr>
          <w:b/>
          <w:bCs/>
          <w:lang w:val="pt-BR"/>
        </w:rPr>
        <w:t>,</w:t>
      </w:r>
      <w:r>
        <w:rPr>
          <w:lang w:val="pt-BR"/>
        </w:rPr>
        <w:t xml:space="preserve"> 338, 102-123</w:t>
      </w:r>
    </w:p>
    <w:p w14:paraId="01F6B36B" w14:textId="3BEC7A64" w:rsidR="00C87CD0" w:rsidRPr="00CF307D" w:rsidRDefault="00CF307D" w:rsidP="00C81289">
      <w:pPr>
        <w:pStyle w:val="TAMainText"/>
        <w:numPr>
          <w:ilvl w:val="0"/>
          <w:numId w:val="1"/>
        </w:numPr>
        <w:rPr>
          <w:b/>
          <w:bCs/>
          <w:i/>
          <w:iCs/>
          <w:lang w:val="pt-BR"/>
        </w:rPr>
      </w:pPr>
      <w:r>
        <w:rPr>
          <w:lang w:val="pt-BR"/>
        </w:rPr>
        <w:t xml:space="preserve">X. Li; L. Zhang; Z. Yang; P. Wang; Y. Yan; J. </w:t>
      </w:r>
      <w:proofErr w:type="spellStart"/>
      <w:r>
        <w:rPr>
          <w:lang w:val="pt-BR"/>
        </w:rPr>
        <w:t>Ran</w:t>
      </w:r>
      <w:proofErr w:type="spellEnd"/>
      <w:r w:rsidRPr="00CF307D">
        <w:rPr>
          <w:i/>
          <w:iCs/>
          <w:lang w:val="pt-BR"/>
        </w:rPr>
        <w:t xml:space="preserve">, </w:t>
      </w:r>
      <w:proofErr w:type="spellStart"/>
      <w:r w:rsidRPr="00CF307D">
        <w:rPr>
          <w:i/>
          <w:iCs/>
          <w:lang w:val="pt-BR"/>
        </w:rPr>
        <w:t>Sep</w:t>
      </w:r>
      <w:proofErr w:type="spellEnd"/>
      <w:r w:rsidRPr="00CF307D">
        <w:rPr>
          <w:i/>
          <w:iCs/>
          <w:lang w:val="pt-BR"/>
        </w:rPr>
        <w:t xml:space="preserve"> </w:t>
      </w:r>
      <w:proofErr w:type="spellStart"/>
      <w:r w:rsidRPr="00CF307D">
        <w:rPr>
          <w:i/>
          <w:iCs/>
          <w:lang w:val="pt-BR"/>
        </w:rPr>
        <w:t>and</w:t>
      </w:r>
      <w:proofErr w:type="spellEnd"/>
      <w:r w:rsidRPr="00CF307D">
        <w:rPr>
          <w:i/>
          <w:iCs/>
          <w:lang w:val="pt-BR"/>
        </w:rPr>
        <w:t xml:space="preserve"> Pur Tec</w:t>
      </w:r>
      <w:r>
        <w:rPr>
          <w:lang w:val="pt-BR"/>
        </w:rPr>
        <w:t xml:space="preserve">, </w:t>
      </w:r>
      <w:r w:rsidRPr="00CF307D">
        <w:rPr>
          <w:b/>
          <w:bCs/>
          <w:lang w:val="pt-BR"/>
        </w:rPr>
        <w:t>2020</w:t>
      </w:r>
      <w:r>
        <w:rPr>
          <w:lang w:val="pt-BR"/>
        </w:rPr>
        <w:t>, 235, 116213</w:t>
      </w:r>
    </w:p>
    <w:p w14:paraId="7A202012" w14:textId="6ACB58BC" w:rsidR="00CF307D" w:rsidRPr="00CF307D" w:rsidRDefault="00CF307D" w:rsidP="00C81289">
      <w:pPr>
        <w:pStyle w:val="TAMainText"/>
        <w:numPr>
          <w:ilvl w:val="0"/>
          <w:numId w:val="1"/>
        </w:numPr>
        <w:rPr>
          <w:b/>
          <w:bCs/>
          <w:i/>
          <w:iCs/>
          <w:lang w:val="pt-BR"/>
        </w:rPr>
      </w:pPr>
      <w:r>
        <w:rPr>
          <w:lang w:val="pt-BR"/>
        </w:rPr>
        <w:t xml:space="preserve">C. Zheng; J. Shen; Y. Zhang; W. Huang; X. Zhu; X. Wu; L. Chen; X. Gao; K. </w:t>
      </w:r>
      <w:proofErr w:type="spellStart"/>
      <w:r>
        <w:rPr>
          <w:lang w:val="pt-BR"/>
        </w:rPr>
        <w:t>Cen</w:t>
      </w:r>
      <w:proofErr w:type="spellEnd"/>
      <w:r>
        <w:rPr>
          <w:lang w:val="pt-BR"/>
        </w:rPr>
        <w:t xml:space="preserve">, </w:t>
      </w:r>
      <w:proofErr w:type="spellStart"/>
      <w:r w:rsidRPr="00CF307D">
        <w:rPr>
          <w:i/>
          <w:iCs/>
          <w:lang w:val="pt-BR"/>
        </w:rPr>
        <w:t>Atm</w:t>
      </w:r>
      <w:proofErr w:type="spellEnd"/>
      <w:r w:rsidRPr="00CF307D">
        <w:rPr>
          <w:i/>
          <w:iCs/>
          <w:lang w:val="pt-BR"/>
        </w:rPr>
        <w:t xml:space="preserve"> </w:t>
      </w:r>
      <w:proofErr w:type="spellStart"/>
      <w:r w:rsidRPr="00CF307D">
        <w:rPr>
          <w:i/>
          <w:iCs/>
          <w:lang w:val="pt-BR"/>
        </w:rPr>
        <w:t>Env</w:t>
      </w:r>
      <w:proofErr w:type="spellEnd"/>
      <w:r w:rsidRPr="00CF307D">
        <w:rPr>
          <w:b/>
          <w:bCs/>
          <w:lang w:val="pt-BR"/>
        </w:rPr>
        <w:t>, 2017</w:t>
      </w:r>
      <w:r>
        <w:rPr>
          <w:b/>
          <w:bCs/>
          <w:lang w:val="pt-BR"/>
        </w:rPr>
        <w:t xml:space="preserve">, </w:t>
      </w:r>
      <w:r>
        <w:rPr>
          <w:lang w:val="pt-BR"/>
        </w:rPr>
        <w:t>150, 116-125.</w:t>
      </w:r>
    </w:p>
    <w:p w14:paraId="161820FB" w14:textId="79DB66AF" w:rsidR="00CF307D" w:rsidRDefault="00DD1E3D" w:rsidP="00C81289">
      <w:pPr>
        <w:pStyle w:val="TAMainText"/>
        <w:numPr>
          <w:ilvl w:val="0"/>
          <w:numId w:val="1"/>
        </w:numPr>
        <w:rPr>
          <w:lang w:val="pt-BR"/>
        </w:rPr>
      </w:pPr>
      <w:r w:rsidRPr="00DD1E3D">
        <w:rPr>
          <w:lang w:val="pt-BR"/>
        </w:rPr>
        <w:t>X. Zhang</w:t>
      </w:r>
      <w:r>
        <w:rPr>
          <w:lang w:val="pt-BR"/>
        </w:rPr>
        <w:t xml:space="preserve">; B. Gao; Y. Zheng; X. Hu; A. E. </w:t>
      </w:r>
      <w:proofErr w:type="spellStart"/>
      <w:r>
        <w:rPr>
          <w:lang w:val="pt-BR"/>
        </w:rPr>
        <w:t>Creamer</w:t>
      </w:r>
      <w:proofErr w:type="spellEnd"/>
      <w:r>
        <w:rPr>
          <w:lang w:val="pt-BR"/>
        </w:rPr>
        <w:t xml:space="preserve">; M.D. </w:t>
      </w:r>
      <w:proofErr w:type="spellStart"/>
      <w:r>
        <w:rPr>
          <w:lang w:val="pt-BR"/>
        </w:rPr>
        <w:t>Annable</w:t>
      </w:r>
      <w:proofErr w:type="spellEnd"/>
      <w:r>
        <w:rPr>
          <w:lang w:val="pt-BR"/>
        </w:rPr>
        <w:t xml:space="preserve">; Y. Li, </w:t>
      </w:r>
      <w:r w:rsidRPr="00E41E2E">
        <w:rPr>
          <w:b/>
          <w:bCs/>
          <w:lang w:val="pt-BR"/>
        </w:rPr>
        <w:t>2017</w:t>
      </w:r>
      <w:r>
        <w:rPr>
          <w:i/>
          <w:iCs/>
          <w:lang w:val="pt-BR"/>
        </w:rPr>
        <w:t>,</w:t>
      </w:r>
      <w:r>
        <w:rPr>
          <w:lang w:val="pt-BR"/>
        </w:rPr>
        <w:t xml:space="preserve"> 245, 606-614</w:t>
      </w:r>
    </w:p>
    <w:p w14:paraId="70FF48AC" w14:textId="2D3761AD" w:rsidR="00DD1E3D" w:rsidRDefault="00812AB3" w:rsidP="00C81289">
      <w:pPr>
        <w:pStyle w:val="TAMainText"/>
        <w:numPr>
          <w:ilvl w:val="0"/>
          <w:numId w:val="1"/>
        </w:numPr>
        <w:rPr>
          <w:lang w:val="pt-BR"/>
        </w:rPr>
      </w:pPr>
      <w:r>
        <w:rPr>
          <w:lang w:val="pt-BR"/>
        </w:rPr>
        <w:t xml:space="preserve">M. </w:t>
      </w:r>
      <w:proofErr w:type="spellStart"/>
      <w:r>
        <w:rPr>
          <w:lang w:val="pt-BR"/>
        </w:rPr>
        <w:t>Thommes</w:t>
      </w:r>
      <w:proofErr w:type="spellEnd"/>
      <w:r>
        <w:rPr>
          <w:lang w:val="pt-BR"/>
        </w:rPr>
        <w:t xml:space="preserve">; K. </w:t>
      </w:r>
      <w:proofErr w:type="spellStart"/>
      <w:r>
        <w:rPr>
          <w:lang w:val="pt-BR"/>
        </w:rPr>
        <w:t>Kaneko</w:t>
      </w:r>
      <w:proofErr w:type="spellEnd"/>
      <w:r>
        <w:rPr>
          <w:lang w:val="pt-BR"/>
        </w:rPr>
        <w:t xml:space="preserve">; A. V. </w:t>
      </w:r>
      <w:proofErr w:type="spellStart"/>
      <w:r>
        <w:rPr>
          <w:lang w:val="pt-BR"/>
        </w:rPr>
        <w:t>Neimark</w:t>
      </w:r>
      <w:proofErr w:type="spellEnd"/>
      <w:r>
        <w:rPr>
          <w:lang w:val="pt-BR"/>
        </w:rPr>
        <w:t xml:space="preserve">; J. P. Olivier; </w:t>
      </w:r>
      <w:proofErr w:type="gramStart"/>
      <w:r>
        <w:rPr>
          <w:lang w:val="pt-BR"/>
        </w:rPr>
        <w:t>F .</w:t>
      </w:r>
      <w:proofErr w:type="gramEnd"/>
      <w:r>
        <w:rPr>
          <w:lang w:val="pt-BR"/>
        </w:rPr>
        <w:t xml:space="preserve"> R. Reinoso; J. </w:t>
      </w:r>
      <w:proofErr w:type="spellStart"/>
      <w:r>
        <w:rPr>
          <w:lang w:val="pt-BR"/>
        </w:rPr>
        <w:t>Rouquerol</w:t>
      </w:r>
      <w:proofErr w:type="spellEnd"/>
      <w:r>
        <w:rPr>
          <w:lang w:val="pt-BR"/>
        </w:rPr>
        <w:t>; K. S.W. Sing</w:t>
      </w:r>
      <w:r w:rsidRPr="00812AB3">
        <w:rPr>
          <w:i/>
          <w:iCs/>
          <w:lang w:val="pt-BR"/>
        </w:rPr>
        <w:t>,</w:t>
      </w:r>
      <w:r>
        <w:rPr>
          <w:i/>
          <w:iCs/>
          <w:lang w:val="pt-BR"/>
        </w:rPr>
        <w:t xml:space="preserve"> Pur </w:t>
      </w:r>
      <w:proofErr w:type="spellStart"/>
      <w:r>
        <w:rPr>
          <w:i/>
          <w:iCs/>
          <w:lang w:val="pt-BR"/>
        </w:rPr>
        <w:t>Appl</w:t>
      </w:r>
      <w:proofErr w:type="spellEnd"/>
      <w:r>
        <w:rPr>
          <w:i/>
          <w:iCs/>
          <w:lang w:val="pt-BR"/>
        </w:rPr>
        <w:t xml:space="preserve"> </w:t>
      </w:r>
      <w:proofErr w:type="spellStart"/>
      <w:proofErr w:type="gramStart"/>
      <w:r>
        <w:rPr>
          <w:i/>
          <w:iCs/>
          <w:lang w:val="pt-BR"/>
        </w:rPr>
        <w:t>Chem</w:t>
      </w:r>
      <w:proofErr w:type="spellEnd"/>
      <w:r>
        <w:rPr>
          <w:i/>
          <w:iCs/>
          <w:lang w:val="pt-BR"/>
        </w:rPr>
        <w:t xml:space="preserve">, </w:t>
      </w:r>
      <w:r w:rsidRPr="00812AB3">
        <w:rPr>
          <w:i/>
          <w:iCs/>
          <w:lang w:val="pt-BR"/>
        </w:rPr>
        <w:t xml:space="preserve"> </w:t>
      </w:r>
      <w:r w:rsidRPr="00812AB3">
        <w:rPr>
          <w:b/>
          <w:bCs/>
          <w:lang w:val="pt-BR"/>
        </w:rPr>
        <w:t>2015</w:t>
      </w:r>
      <w:proofErr w:type="gramEnd"/>
      <w:r w:rsidRPr="00812AB3">
        <w:rPr>
          <w:b/>
          <w:bCs/>
          <w:lang w:val="pt-BR"/>
        </w:rPr>
        <w:t>,</w:t>
      </w:r>
      <w:r>
        <w:rPr>
          <w:lang w:val="pt-BR"/>
        </w:rPr>
        <w:t xml:space="preserve"> 87, 1051-1069</w:t>
      </w:r>
    </w:p>
    <w:p w14:paraId="40AAE68A" w14:textId="5DE6A2BD" w:rsidR="00812AB3" w:rsidRPr="00177FE4" w:rsidRDefault="00177FE4" w:rsidP="00C81289">
      <w:pPr>
        <w:pStyle w:val="TAMainText"/>
        <w:numPr>
          <w:ilvl w:val="0"/>
          <w:numId w:val="1"/>
        </w:numPr>
        <w:rPr>
          <w:b/>
          <w:bCs/>
          <w:lang w:val="pt-BR"/>
        </w:rPr>
      </w:pPr>
      <w:r>
        <w:rPr>
          <w:lang w:val="pt-BR"/>
        </w:rPr>
        <w:t xml:space="preserve">J. Yang; K. Qiu, </w:t>
      </w:r>
      <w:r w:rsidRPr="00177FE4">
        <w:rPr>
          <w:i/>
          <w:iCs/>
          <w:lang w:val="pt-BR"/>
        </w:rPr>
        <w:t xml:space="preserve">Che </w:t>
      </w:r>
      <w:proofErr w:type="spellStart"/>
      <w:r w:rsidRPr="00177FE4">
        <w:rPr>
          <w:i/>
          <w:iCs/>
          <w:lang w:val="pt-BR"/>
        </w:rPr>
        <w:t>Eng</w:t>
      </w:r>
      <w:proofErr w:type="spellEnd"/>
      <w:r w:rsidRPr="00177FE4">
        <w:rPr>
          <w:i/>
          <w:iCs/>
          <w:lang w:val="pt-BR"/>
        </w:rPr>
        <w:t xml:space="preserve"> J</w:t>
      </w:r>
      <w:r>
        <w:rPr>
          <w:i/>
          <w:iCs/>
          <w:lang w:val="pt-BR"/>
        </w:rPr>
        <w:t xml:space="preserve">, </w:t>
      </w:r>
      <w:r w:rsidRPr="00177FE4">
        <w:rPr>
          <w:b/>
          <w:bCs/>
          <w:lang w:val="pt-BR"/>
        </w:rPr>
        <w:t>2011</w:t>
      </w:r>
      <w:r>
        <w:rPr>
          <w:b/>
          <w:bCs/>
          <w:lang w:val="pt-BR"/>
        </w:rPr>
        <w:t xml:space="preserve">, </w:t>
      </w:r>
      <w:r>
        <w:rPr>
          <w:lang w:val="pt-BR"/>
        </w:rPr>
        <w:t>167, 148-154.</w:t>
      </w:r>
    </w:p>
    <w:p w14:paraId="73FE1A81" w14:textId="40EF0362" w:rsidR="00177FE4" w:rsidRPr="007151D3" w:rsidRDefault="00177FE4" w:rsidP="00C81289">
      <w:pPr>
        <w:pStyle w:val="TAMainText"/>
        <w:numPr>
          <w:ilvl w:val="0"/>
          <w:numId w:val="1"/>
        </w:numPr>
        <w:rPr>
          <w:b/>
          <w:bCs/>
          <w:lang w:val="pt-BR"/>
        </w:rPr>
      </w:pPr>
      <w:r>
        <w:rPr>
          <w:lang w:val="pt-BR"/>
        </w:rPr>
        <w:t xml:space="preserve">Z. </w:t>
      </w:r>
      <w:proofErr w:type="spellStart"/>
      <w:r>
        <w:rPr>
          <w:lang w:val="pt-BR"/>
        </w:rPr>
        <w:t>Heidarinejad</w:t>
      </w:r>
      <w:proofErr w:type="spellEnd"/>
      <w:r>
        <w:rPr>
          <w:lang w:val="pt-BR"/>
        </w:rPr>
        <w:t xml:space="preserve">; M. H. </w:t>
      </w:r>
      <w:proofErr w:type="spellStart"/>
      <w:r>
        <w:rPr>
          <w:lang w:val="pt-BR"/>
        </w:rPr>
        <w:t>Dehghani</w:t>
      </w:r>
      <w:proofErr w:type="spellEnd"/>
      <w:r>
        <w:rPr>
          <w:lang w:val="pt-BR"/>
        </w:rPr>
        <w:t xml:space="preserve">; M. </w:t>
      </w:r>
      <w:proofErr w:type="spellStart"/>
      <w:r>
        <w:rPr>
          <w:lang w:val="pt-BR"/>
        </w:rPr>
        <w:t>Heidari</w:t>
      </w:r>
      <w:proofErr w:type="spellEnd"/>
      <w:r>
        <w:rPr>
          <w:lang w:val="pt-BR"/>
        </w:rPr>
        <w:t xml:space="preserve">; G. </w:t>
      </w:r>
      <w:proofErr w:type="spellStart"/>
      <w:r>
        <w:rPr>
          <w:lang w:val="pt-BR"/>
        </w:rPr>
        <w:t>Javedan</w:t>
      </w:r>
      <w:proofErr w:type="spellEnd"/>
      <w:r>
        <w:rPr>
          <w:lang w:val="pt-BR"/>
        </w:rPr>
        <w:t xml:space="preserve">; I. Ali; M. </w:t>
      </w:r>
      <w:proofErr w:type="spellStart"/>
      <w:r>
        <w:rPr>
          <w:lang w:val="pt-BR"/>
        </w:rPr>
        <w:t>Sillanpaa</w:t>
      </w:r>
      <w:proofErr w:type="spellEnd"/>
      <w:r>
        <w:rPr>
          <w:lang w:val="pt-BR"/>
        </w:rPr>
        <w:t xml:space="preserve">, </w:t>
      </w:r>
      <w:proofErr w:type="spellStart"/>
      <w:r w:rsidRPr="00177FE4">
        <w:rPr>
          <w:i/>
          <w:iCs/>
          <w:lang w:val="pt-BR"/>
        </w:rPr>
        <w:t>Env</w:t>
      </w:r>
      <w:proofErr w:type="spellEnd"/>
      <w:r w:rsidRPr="00177FE4">
        <w:rPr>
          <w:i/>
          <w:iCs/>
          <w:lang w:val="pt-BR"/>
        </w:rPr>
        <w:t xml:space="preserve"> Che Let</w:t>
      </w:r>
      <w:r w:rsidRPr="00177FE4">
        <w:rPr>
          <w:b/>
          <w:bCs/>
          <w:lang w:val="pt-BR"/>
        </w:rPr>
        <w:t>, 2020</w:t>
      </w:r>
      <w:r>
        <w:rPr>
          <w:lang w:val="pt-BR"/>
        </w:rPr>
        <w:t xml:space="preserve">, </w:t>
      </w:r>
      <w:r w:rsidR="007151D3">
        <w:rPr>
          <w:lang w:val="pt-BR"/>
        </w:rPr>
        <w:t>18, 393-415.</w:t>
      </w:r>
    </w:p>
    <w:p w14:paraId="2C61992D" w14:textId="6A8D8657" w:rsidR="007151D3" w:rsidRPr="007151D3" w:rsidRDefault="007151D3" w:rsidP="00C81289">
      <w:pPr>
        <w:pStyle w:val="TAMainText"/>
        <w:numPr>
          <w:ilvl w:val="0"/>
          <w:numId w:val="1"/>
        </w:numPr>
        <w:rPr>
          <w:b/>
          <w:bCs/>
          <w:lang w:val="pt-BR"/>
        </w:rPr>
      </w:pPr>
      <w:r>
        <w:rPr>
          <w:lang w:val="pt-BR"/>
        </w:rPr>
        <w:t xml:space="preserve">R. C. De Andrade; R. S. G. Menezes; R. A. F. Júnior; H.M.C. Andrade, </w:t>
      </w:r>
      <w:proofErr w:type="spellStart"/>
      <w:r w:rsidRPr="007151D3">
        <w:rPr>
          <w:i/>
          <w:iCs/>
          <w:lang w:val="pt-BR"/>
        </w:rPr>
        <w:t>Car</w:t>
      </w:r>
      <w:proofErr w:type="spellEnd"/>
      <w:r w:rsidRPr="007151D3">
        <w:rPr>
          <w:i/>
          <w:iCs/>
          <w:lang w:val="pt-BR"/>
        </w:rPr>
        <w:t xml:space="preserve"> Let</w:t>
      </w:r>
      <w:r>
        <w:rPr>
          <w:i/>
          <w:iCs/>
          <w:lang w:val="pt-BR"/>
        </w:rPr>
        <w:t>,</w:t>
      </w:r>
      <w:r>
        <w:rPr>
          <w:lang w:val="pt-BR"/>
        </w:rPr>
        <w:t xml:space="preserve"> </w:t>
      </w:r>
      <w:r w:rsidRPr="007151D3">
        <w:rPr>
          <w:b/>
          <w:bCs/>
          <w:lang w:val="pt-BR"/>
        </w:rPr>
        <w:t>2020</w:t>
      </w:r>
      <w:r>
        <w:rPr>
          <w:b/>
          <w:bCs/>
          <w:lang w:val="pt-BR"/>
        </w:rPr>
        <w:t xml:space="preserve">, </w:t>
      </w:r>
      <w:r>
        <w:rPr>
          <w:lang w:val="pt-BR"/>
        </w:rPr>
        <w:t>31, 779-793.</w:t>
      </w:r>
    </w:p>
    <w:p w14:paraId="5267A7FF" w14:textId="50CFD959" w:rsidR="007151D3" w:rsidRPr="007151D3" w:rsidRDefault="007151D3" w:rsidP="00C81289">
      <w:pPr>
        <w:pStyle w:val="TAMainText"/>
        <w:numPr>
          <w:ilvl w:val="0"/>
          <w:numId w:val="1"/>
        </w:numPr>
        <w:rPr>
          <w:b/>
          <w:bCs/>
          <w:i/>
          <w:iCs/>
          <w:lang w:val="pt-BR"/>
        </w:rPr>
      </w:pPr>
      <w:r>
        <w:rPr>
          <w:lang w:val="pt-BR"/>
        </w:rPr>
        <w:t xml:space="preserve">Y. Yang; H. Li; S. Zhang; X. Yu; S. Liu; R. </w:t>
      </w:r>
      <w:proofErr w:type="spellStart"/>
      <w:r>
        <w:rPr>
          <w:lang w:val="pt-BR"/>
        </w:rPr>
        <w:t>Qu</w:t>
      </w:r>
      <w:proofErr w:type="spellEnd"/>
      <w:r>
        <w:rPr>
          <w:lang w:val="pt-BR"/>
        </w:rPr>
        <w:t xml:space="preserve">; C. Zheng; X. Gao, </w:t>
      </w:r>
      <w:proofErr w:type="spellStart"/>
      <w:r w:rsidRPr="007151D3">
        <w:rPr>
          <w:i/>
          <w:iCs/>
          <w:lang w:val="pt-BR"/>
        </w:rPr>
        <w:t>Cat</w:t>
      </w:r>
      <w:proofErr w:type="spellEnd"/>
      <w:r w:rsidRPr="007151D3">
        <w:rPr>
          <w:i/>
          <w:iCs/>
          <w:lang w:val="pt-BR"/>
        </w:rPr>
        <w:t xml:space="preserve"> </w:t>
      </w:r>
      <w:proofErr w:type="spellStart"/>
      <w:r w:rsidRPr="007151D3">
        <w:rPr>
          <w:i/>
          <w:iCs/>
          <w:lang w:val="pt-BR"/>
        </w:rPr>
        <w:t>Tod</w:t>
      </w:r>
      <w:proofErr w:type="spellEnd"/>
      <w:r>
        <w:rPr>
          <w:i/>
          <w:iCs/>
          <w:lang w:val="pt-BR"/>
        </w:rPr>
        <w:t>,</w:t>
      </w:r>
      <w:r>
        <w:rPr>
          <w:lang w:val="pt-BR"/>
        </w:rPr>
        <w:t xml:space="preserve"> </w:t>
      </w:r>
      <w:r w:rsidRPr="007151D3">
        <w:rPr>
          <w:b/>
          <w:bCs/>
          <w:lang w:val="pt-BR"/>
        </w:rPr>
        <w:t>2020</w:t>
      </w:r>
      <w:r>
        <w:rPr>
          <w:lang w:val="pt-BR"/>
        </w:rPr>
        <w:t>, 355, 349-357</w:t>
      </w:r>
    </w:p>
    <w:p w14:paraId="30F513B0" w14:textId="77777777" w:rsidR="00E41E2E" w:rsidRPr="00E41E2E" w:rsidRDefault="007151D3" w:rsidP="00C81289">
      <w:pPr>
        <w:pStyle w:val="TAMainText"/>
        <w:numPr>
          <w:ilvl w:val="0"/>
          <w:numId w:val="1"/>
        </w:numPr>
        <w:rPr>
          <w:b/>
          <w:bCs/>
          <w:i/>
          <w:iCs/>
          <w:lang w:val="pt-BR"/>
        </w:rPr>
      </w:pPr>
      <w:r>
        <w:rPr>
          <w:lang w:val="pt-BR"/>
        </w:rPr>
        <w:t xml:space="preserve">X. Pi; Z. </w:t>
      </w:r>
      <w:proofErr w:type="spellStart"/>
      <w:r>
        <w:rPr>
          <w:lang w:val="pt-BR"/>
        </w:rPr>
        <w:t>Qu</w:t>
      </w:r>
      <w:proofErr w:type="spellEnd"/>
      <w:r>
        <w:rPr>
          <w:lang w:val="pt-BR"/>
        </w:rPr>
        <w:t xml:space="preserve">; F. Sun; Z. Zhang; J. Gao, </w:t>
      </w:r>
      <w:r w:rsidRPr="007151D3">
        <w:rPr>
          <w:i/>
          <w:iCs/>
          <w:lang w:val="pt-BR"/>
        </w:rPr>
        <w:t xml:space="preserve">J </w:t>
      </w:r>
      <w:proofErr w:type="spellStart"/>
      <w:r w:rsidRPr="007151D3">
        <w:rPr>
          <w:i/>
          <w:iCs/>
          <w:lang w:val="pt-BR"/>
        </w:rPr>
        <w:t>of</w:t>
      </w:r>
      <w:proofErr w:type="spellEnd"/>
      <w:r w:rsidRPr="007151D3">
        <w:rPr>
          <w:i/>
          <w:iCs/>
          <w:lang w:val="pt-BR"/>
        </w:rPr>
        <w:t xml:space="preserve"> Ana </w:t>
      </w:r>
      <w:proofErr w:type="spellStart"/>
      <w:r w:rsidRPr="007151D3">
        <w:rPr>
          <w:i/>
          <w:iCs/>
          <w:lang w:val="pt-BR"/>
        </w:rPr>
        <w:t>and</w:t>
      </w:r>
      <w:proofErr w:type="spellEnd"/>
      <w:r w:rsidRPr="007151D3">
        <w:rPr>
          <w:i/>
          <w:iCs/>
          <w:lang w:val="pt-BR"/>
        </w:rPr>
        <w:t xml:space="preserve"> App </w:t>
      </w:r>
      <w:proofErr w:type="spellStart"/>
      <w:r w:rsidRPr="007151D3">
        <w:rPr>
          <w:i/>
          <w:iCs/>
          <w:lang w:val="pt-BR"/>
        </w:rPr>
        <w:t>Pyr</w:t>
      </w:r>
      <w:proofErr w:type="spellEnd"/>
      <w:r>
        <w:rPr>
          <w:i/>
          <w:iCs/>
          <w:lang w:val="pt-BR"/>
        </w:rPr>
        <w:t xml:space="preserve">, </w:t>
      </w:r>
      <w:r w:rsidRPr="00E41E2E">
        <w:rPr>
          <w:b/>
          <w:bCs/>
          <w:lang w:val="pt-BR"/>
        </w:rPr>
        <w:t>202</w:t>
      </w:r>
      <w:r w:rsidR="00E41E2E">
        <w:rPr>
          <w:b/>
          <w:bCs/>
          <w:lang w:val="pt-BR"/>
        </w:rPr>
        <w:t>1</w:t>
      </w:r>
      <w:r w:rsidR="00E41E2E">
        <w:rPr>
          <w:lang w:val="pt-BR"/>
        </w:rPr>
        <w:t>, 156, 105510.</w:t>
      </w:r>
    </w:p>
    <w:p w14:paraId="50D20818" w14:textId="4B775DC4" w:rsidR="007151D3" w:rsidRPr="00E41E2E" w:rsidRDefault="00E41E2E" w:rsidP="00C81289">
      <w:pPr>
        <w:pStyle w:val="TAMainText"/>
        <w:numPr>
          <w:ilvl w:val="0"/>
          <w:numId w:val="1"/>
        </w:numPr>
        <w:rPr>
          <w:b/>
          <w:bCs/>
          <w:i/>
          <w:iCs/>
          <w:lang w:val="pt-BR"/>
        </w:rPr>
      </w:pPr>
      <w:r>
        <w:rPr>
          <w:lang w:val="pt-BR"/>
        </w:rPr>
        <w:t xml:space="preserve"> S. Liu; W. Wei; S. Wu; </w:t>
      </w:r>
      <w:proofErr w:type="spellStart"/>
      <w:proofErr w:type="gramStart"/>
      <w:r>
        <w:rPr>
          <w:lang w:val="pt-BR"/>
        </w:rPr>
        <w:t>F.Zhang</w:t>
      </w:r>
      <w:proofErr w:type="spellEnd"/>
      <w:proofErr w:type="gramEnd"/>
      <w:r>
        <w:rPr>
          <w:lang w:val="pt-BR"/>
        </w:rPr>
        <w:t xml:space="preserve">; H. Cheng, </w:t>
      </w:r>
      <w:r w:rsidRPr="00E41E2E">
        <w:rPr>
          <w:i/>
          <w:iCs/>
          <w:lang w:val="pt-BR"/>
        </w:rPr>
        <w:t xml:space="preserve">Dia </w:t>
      </w:r>
      <w:proofErr w:type="spellStart"/>
      <w:r w:rsidRPr="00E41E2E">
        <w:rPr>
          <w:i/>
          <w:iCs/>
          <w:lang w:val="pt-BR"/>
        </w:rPr>
        <w:t>and</w:t>
      </w:r>
      <w:proofErr w:type="spellEnd"/>
      <w:r w:rsidRPr="00E41E2E">
        <w:rPr>
          <w:i/>
          <w:iCs/>
          <w:lang w:val="pt-BR"/>
        </w:rPr>
        <w:t xml:space="preserve"> </w:t>
      </w:r>
      <w:proofErr w:type="spellStart"/>
      <w:r w:rsidRPr="00E41E2E">
        <w:rPr>
          <w:i/>
          <w:iCs/>
          <w:lang w:val="pt-BR"/>
        </w:rPr>
        <w:t>Rel</w:t>
      </w:r>
      <w:proofErr w:type="spellEnd"/>
      <w:r w:rsidRPr="00E41E2E">
        <w:rPr>
          <w:i/>
          <w:iCs/>
          <w:lang w:val="pt-BR"/>
        </w:rPr>
        <w:t xml:space="preserve"> </w:t>
      </w:r>
      <w:proofErr w:type="spellStart"/>
      <w:r w:rsidRPr="00E41E2E">
        <w:rPr>
          <w:i/>
          <w:iCs/>
          <w:lang w:val="pt-BR"/>
        </w:rPr>
        <w:t>Mat</w:t>
      </w:r>
      <w:proofErr w:type="spellEnd"/>
      <w:r>
        <w:rPr>
          <w:i/>
          <w:iCs/>
          <w:lang w:val="pt-BR"/>
        </w:rPr>
        <w:t>,</w:t>
      </w:r>
      <w:r>
        <w:rPr>
          <w:lang w:val="pt-BR"/>
        </w:rPr>
        <w:t xml:space="preserve"> </w:t>
      </w:r>
      <w:r w:rsidRPr="00E41E2E">
        <w:rPr>
          <w:b/>
          <w:bCs/>
          <w:lang w:val="pt-BR"/>
        </w:rPr>
        <w:t>2022</w:t>
      </w:r>
      <w:r>
        <w:rPr>
          <w:b/>
          <w:bCs/>
          <w:lang w:val="pt-BR"/>
        </w:rPr>
        <w:t xml:space="preserve">, </w:t>
      </w:r>
      <w:r w:rsidRPr="00E41E2E">
        <w:rPr>
          <w:lang w:val="pt-BR"/>
        </w:rPr>
        <w:t>124, 108922</w:t>
      </w:r>
    </w:p>
    <w:sectPr w:rsidR="007151D3" w:rsidRPr="00E41E2E"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B3A1" w14:textId="77777777" w:rsidR="00CC6E71" w:rsidRDefault="00CC6E71" w:rsidP="00EA4E1B">
      <w:pPr>
        <w:spacing w:after="0" w:line="240" w:lineRule="auto"/>
      </w:pPr>
      <w:r>
        <w:separator/>
      </w:r>
    </w:p>
  </w:endnote>
  <w:endnote w:type="continuationSeparator" w:id="0">
    <w:p w14:paraId="75315539" w14:textId="77777777" w:rsidR="00CC6E71" w:rsidRDefault="00CC6E71"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é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84BA" w14:textId="77777777" w:rsidR="00CC6E71" w:rsidRDefault="00CC6E71" w:rsidP="00EA4E1B">
      <w:pPr>
        <w:spacing w:after="0" w:line="240" w:lineRule="auto"/>
      </w:pPr>
      <w:r>
        <w:separator/>
      </w:r>
    </w:p>
  </w:footnote>
  <w:footnote w:type="continuationSeparator" w:id="0">
    <w:p w14:paraId="271E5E8B" w14:textId="77777777" w:rsidR="00CC6E71" w:rsidRDefault="00CC6E71"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556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677"/>
    <w:rsid w:val="0001264A"/>
    <w:rsid w:val="00061A72"/>
    <w:rsid w:val="000F1D24"/>
    <w:rsid w:val="00173293"/>
    <w:rsid w:val="00177FE4"/>
    <w:rsid w:val="001E58A9"/>
    <w:rsid w:val="001F25B2"/>
    <w:rsid w:val="00222230"/>
    <w:rsid w:val="00263CE5"/>
    <w:rsid w:val="00272898"/>
    <w:rsid w:val="002F4793"/>
    <w:rsid w:val="00334892"/>
    <w:rsid w:val="00340B1E"/>
    <w:rsid w:val="003A0008"/>
    <w:rsid w:val="00402F3E"/>
    <w:rsid w:val="004F3F42"/>
    <w:rsid w:val="004F638B"/>
    <w:rsid w:val="0052112E"/>
    <w:rsid w:val="005324BA"/>
    <w:rsid w:val="005706D5"/>
    <w:rsid w:val="005A5E8C"/>
    <w:rsid w:val="005C2775"/>
    <w:rsid w:val="005D65EB"/>
    <w:rsid w:val="005D7D37"/>
    <w:rsid w:val="00604718"/>
    <w:rsid w:val="006273A3"/>
    <w:rsid w:val="00640333"/>
    <w:rsid w:val="00652815"/>
    <w:rsid w:val="006B445E"/>
    <w:rsid w:val="006E5F83"/>
    <w:rsid w:val="006F599B"/>
    <w:rsid w:val="007151D3"/>
    <w:rsid w:val="007520C2"/>
    <w:rsid w:val="007670A0"/>
    <w:rsid w:val="00781685"/>
    <w:rsid w:val="007B4B2B"/>
    <w:rsid w:val="007C10D6"/>
    <w:rsid w:val="00807DAF"/>
    <w:rsid w:val="00812AB3"/>
    <w:rsid w:val="008508F6"/>
    <w:rsid w:val="00866822"/>
    <w:rsid w:val="008A7A98"/>
    <w:rsid w:val="008B1683"/>
    <w:rsid w:val="008C1B30"/>
    <w:rsid w:val="008D7C17"/>
    <w:rsid w:val="009656D9"/>
    <w:rsid w:val="009B0714"/>
    <w:rsid w:val="009C7CB0"/>
    <w:rsid w:val="00A11BF7"/>
    <w:rsid w:val="00A17D85"/>
    <w:rsid w:val="00A64B4F"/>
    <w:rsid w:val="00A87CE8"/>
    <w:rsid w:val="00AA182E"/>
    <w:rsid w:val="00AE6D36"/>
    <w:rsid w:val="00AF0400"/>
    <w:rsid w:val="00B30AEB"/>
    <w:rsid w:val="00B32798"/>
    <w:rsid w:val="00B414C4"/>
    <w:rsid w:val="00BA6A6E"/>
    <w:rsid w:val="00BD1B5A"/>
    <w:rsid w:val="00C27542"/>
    <w:rsid w:val="00C3275C"/>
    <w:rsid w:val="00C3766C"/>
    <w:rsid w:val="00C57E69"/>
    <w:rsid w:val="00C76E54"/>
    <w:rsid w:val="00C81289"/>
    <w:rsid w:val="00C87CD0"/>
    <w:rsid w:val="00C93DE7"/>
    <w:rsid w:val="00CC6E71"/>
    <w:rsid w:val="00CD051E"/>
    <w:rsid w:val="00CF307D"/>
    <w:rsid w:val="00D26480"/>
    <w:rsid w:val="00D96135"/>
    <w:rsid w:val="00DD1E3D"/>
    <w:rsid w:val="00E02A21"/>
    <w:rsid w:val="00E038AF"/>
    <w:rsid w:val="00E05868"/>
    <w:rsid w:val="00E41E2E"/>
    <w:rsid w:val="00EA4E1B"/>
    <w:rsid w:val="00EB32EB"/>
    <w:rsid w:val="00EB3C79"/>
    <w:rsid w:val="00EE5300"/>
    <w:rsid w:val="00F11312"/>
    <w:rsid w:val="00F30661"/>
    <w:rsid w:val="00F46133"/>
    <w:rsid w:val="00F917DA"/>
    <w:rsid w:val="00FB7384"/>
    <w:rsid w:val="00FC0749"/>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BB477A38-CA75-4E3A-8DB1-6D257A98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B32798"/>
    <w:rPr>
      <w:color w:val="0563C1" w:themeColor="hyperlink"/>
      <w:u w:val="single"/>
    </w:rPr>
  </w:style>
  <w:style w:type="character" w:customStyle="1" w:styleId="MenoPendente1">
    <w:name w:val="Menção Pendente1"/>
    <w:basedOn w:val="Fontepargpadro"/>
    <w:uiPriority w:val="99"/>
    <w:semiHidden/>
    <w:unhideWhenUsed/>
    <w:rsid w:val="00B32798"/>
    <w:rPr>
      <w:color w:val="605E5C"/>
      <w:shd w:val="clear" w:color="auto" w:fill="E1DFDD"/>
    </w:rPr>
  </w:style>
  <w:style w:type="table" w:customStyle="1" w:styleId="SombreamentoClaro1">
    <w:name w:val="Sombreamento Claro1"/>
    <w:basedOn w:val="Tabelanormal"/>
    <w:uiPriority w:val="60"/>
    <w:rsid w:val="00A11BF7"/>
    <w:pPr>
      <w:spacing w:after="0" w:line="240" w:lineRule="auto"/>
    </w:pPr>
    <w:rPr>
      <w:rFonts w:eastAsia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acomgrade">
    <w:name w:val="Table Grid"/>
    <w:basedOn w:val="Tabelanormal"/>
    <w:uiPriority w:val="39"/>
    <w:rsid w:val="00C9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7C10D6"/>
    <w:rPr>
      <w:sz w:val="16"/>
      <w:szCs w:val="16"/>
    </w:rPr>
  </w:style>
  <w:style w:type="paragraph" w:styleId="Textodecomentrio">
    <w:name w:val="annotation text"/>
    <w:basedOn w:val="Normal"/>
    <w:link w:val="TextodecomentrioChar"/>
    <w:uiPriority w:val="99"/>
    <w:semiHidden/>
    <w:unhideWhenUsed/>
    <w:rsid w:val="007C10D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C10D6"/>
    <w:rPr>
      <w:sz w:val="20"/>
      <w:szCs w:val="20"/>
    </w:rPr>
  </w:style>
  <w:style w:type="paragraph" w:styleId="Assuntodocomentrio">
    <w:name w:val="annotation subject"/>
    <w:basedOn w:val="Textodecomentrio"/>
    <w:next w:val="Textodecomentrio"/>
    <w:link w:val="AssuntodocomentrioChar"/>
    <w:uiPriority w:val="99"/>
    <w:semiHidden/>
    <w:unhideWhenUsed/>
    <w:rsid w:val="007C10D6"/>
    <w:rPr>
      <w:b/>
      <w:bCs/>
    </w:rPr>
  </w:style>
  <w:style w:type="character" w:customStyle="1" w:styleId="AssuntodocomentrioChar">
    <w:name w:val="Assunto do comentário Char"/>
    <w:basedOn w:val="TextodecomentrioChar"/>
    <w:link w:val="Assuntodocomentrio"/>
    <w:uiPriority w:val="99"/>
    <w:semiHidden/>
    <w:rsid w:val="007C10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B2803-1283-456B-BC3F-AC7474893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3769</Words>
  <Characters>20355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José Luiz Cunha Cordeiro</cp:lastModifiedBy>
  <cp:revision>5</cp:revision>
  <dcterms:created xsi:type="dcterms:W3CDTF">2023-04-30T01:41:00Z</dcterms:created>
  <dcterms:modified xsi:type="dcterms:W3CDTF">2023-04-30T15:03:00Z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b19484d3e3c2ed3f364ce0553f2b543775339d78b29ef0fd5a382d95cab1321b</vt:lpwstr>
  </property>
</Properties>
</file>