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2E24C92E" w14:textId="774183BD" w:rsidR="001D7EB9" w:rsidRDefault="00BD19E9" w:rsidP="00BD19E9">
      <w:pPr>
        <w:pStyle w:val="BBAuthorName"/>
        <w:spacing w:after="120" w:line="240" w:lineRule="auto"/>
        <w:ind w:right="0"/>
        <w:jc w:val="both"/>
        <w:rPr>
          <w:sz w:val="32"/>
          <w:lang w:val="pt-BR"/>
        </w:rPr>
      </w:pPr>
      <w:r w:rsidRPr="00BD19E9">
        <w:rPr>
          <w:sz w:val="32"/>
          <w:lang w:val="pt-BR"/>
        </w:rPr>
        <w:t>S</w:t>
      </w:r>
      <w:r>
        <w:rPr>
          <w:sz w:val="32"/>
          <w:lang w:val="pt-BR"/>
        </w:rPr>
        <w:t xml:space="preserve">íntese e Aplicação de Catalisadores </w:t>
      </w:r>
      <w:r w:rsidR="00F12554">
        <w:rPr>
          <w:sz w:val="32"/>
          <w:lang w:val="pt-BR"/>
        </w:rPr>
        <w:t xml:space="preserve">Mistos </w:t>
      </w:r>
      <w:proofErr w:type="spellStart"/>
      <w:r w:rsidR="008F75C4">
        <w:rPr>
          <w:sz w:val="32"/>
          <w:lang w:val="pt-BR"/>
        </w:rPr>
        <w:t>Mg</w:t>
      </w:r>
      <w:r w:rsidR="008F75C4">
        <w:rPr>
          <w:sz w:val="32"/>
          <w:vertAlign w:val="subscript"/>
          <w:lang w:val="pt-BR"/>
        </w:rPr>
        <w:t>x</w:t>
      </w:r>
      <w:r w:rsidR="008F75C4">
        <w:rPr>
          <w:sz w:val="32"/>
          <w:lang w:val="pt-BR"/>
        </w:rPr>
        <w:t>AlO</w:t>
      </w:r>
      <w:r w:rsidR="008F75C4">
        <w:rPr>
          <w:sz w:val="32"/>
          <w:vertAlign w:val="subscript"/>
          <w:lang w:val="pt-BR"/>
        </w:rPr>
        <w:t>y</w:t>
      </w:r>
      <w:proofErr w:type="spellEnd"/>
      <w:r w:rsidR="00F12554">
        <w:rPr>
          <w:sz w:val="32"/>
          <w:lang w:val="pt-BR"/>
        </w:rPr>
        <w:t>–</w:t>
      </w:r>
      <w:r w:rsidR="008F75C4">
        <w:rPr>
          <w:sz w:val="32"/>
          <w:lang w:val="pt-BR"/>
        </w:rPr>
        <w:t>SiO</w:t>
      </w:r>
      <w:r w:rsidR="008F75C4">
        <w:rPr>
          <w:sz w:val="32"/>
          <w:vertAlign w:val="subscript"/>
          <w:lang w:val="pt-BR"/>
        </w:rPr>
        <w:t>2</w:t>
      </w:r>
      <w:r w:rsidRPr="00BD19E9">
        <w:rPr>
          <w:sz w:val="32"/>
          <w:lang w:val="pt-BR"/>
        </w:rPr>
        <w:t xml:space="preserve"> </w:t>
      </w:r>
      <w:r>
        <w:rPr>
          <w:sz w:val="32"/>
          <w:lang w:val="pt-BR"/>
        </w:rPr>
        <w:t>para o Beneficiamento de Etanol a 1,3-Butadieno</w:t>
      </w:r>
    </w:p>
    <w:p w14:paraId="15F0A766" w14:textId="4A6BDC36" w:rsidR="001D7EB9" w:rsidRPr="001D7EB9" w:rsidRDefault="001D7EB9" w:rsidP="001D7EB9">
      <w:pPr>
        <w:pStyle w:val="BBAuthorName"/>
        <w:spacing w:after="120"/>
        <w:ind w:right="0"/>
        <w:jc w:val="both"/>
        <w:rPr>
          <w:rFonts w:ascii="Times New Roman" w:hAnsi="Times New Roman"/>
          <w:sz w:val="20"/>
          <w:lang w:val="pt-BR"/>
        </w:rPr>
      </w:pPr>
      <w:r>
        <w:rPr>
          <w:rFonts w:ascii="Times New Roman" w:hAnsi="Times New Roman"/>
          <w:sz w:val="20"/>
          <w:lang w:val="pt-BR"/>
        </w:rPr>
        <w:t>Maynara Lurriele de Alcântara Santos</w:t>
      </w:r>
      <w:r w:rsidR="00EA4E1B" w:rsidRPr="001F25B2">
        <w:rPr>
          <w:rFonts w:ascii="Times New Roman" w:hAnsi="Times New Roman"/>
          <w:sz w:val="20"/>
          <w:vertAlign w:val="superscript"/>
          <w:lang w:val="pt-BR"/>
        </w:rPr>
        <w:t>1</w:t>
      </w:r>
      <w:r>
        <w:rPr>
          <w:rFonts w:ascii="Times New Roman" w:hAnsi="Times New Roman"/>
          <w:sz w:val="20"/>
          <w:lang w:val="pt-BR"/>
        </w:rPr>
        <w:t xml:space="preserve">; Henrique </w:t>
      </w:r>
      <w:proofErr w:type="spellStart"/>
      <w:r>
        <w:rPr>
          <w:rFonts w:ascii="Times New Roman" w:hAnsi="Times New Roman"/>
          <w:sz w:val="20"/>
          <w:lang w:val="pt-BR"/>
        </w:rPr>
        <w:t>Poltronieri</w:t>
      </w:r>
      <w:proofErr w:type="spellEnd"/>
      <w:r>
        <w:rPr>
          <w:rFonts w:ascii="Times New Roman" w:hAnsi="Times New Roman"/>
          <w:sz w:val="20"/>
          <w:lang w:val="pt-BR"/>
        </w:rPr>
        <w:t xml:space="preserve"> Pacheco</w:t>
      </w:r>
      <w:r w:rsidRPr="001D7EB9">
        <w:rPr>
          <w:rFonts w:ascii="Times New Roman" w:hAnsi="Times New Roman"/>
          <w:sz w:val="20"/>
          <w:vertAlign w:val="superscript"/>
          <w:lang w:val="pt-BR"/>
        </w:rPr>
        <w:t>1</w:t>
      </w:r>
      <w:r>
        <w:rPr>
          <w:rFonts w:ascii="Times New Roman" w:hAnsi="Times New Roman"/>
          <w:sz w:val="20"/>
          <w:lang w:val="pt-BR"/>
        </w:rPr>
        <w:t>; Fabio Souza Toniolo</w:t>
      </w:r>
      <w:r w:rsidRPr="001D7EB9">
        <w:rPr>
          <w:rFonts w:ascii="Times New Roman" w:hAnsi="Times New Roman"/>
          <w:sz w:val="20"/>
          <w:vertAlign w:val="superscript"/>
          <w:lang w:val="pt-BR"/>
        </w:rPr>
        <w:t>1</w:t>
      </w:r>
      <w:r>
        <w:rPr>
          <w:rFonts w:ascii="Times New Roman" w:hAnsi="Times New Roman"/>
          <w:sz w:val="20"/>
          <w:vertAlign w:val="superscript"/>
          <w:lang w:val="pt-BR"/>
        </w:rPr>
        <w:t>*</w:t>
      </w:r>
    </w:p>
    <w:p w14:paraId="22D38595" w14:textId="6BE66C8A" w:rsidR="00EA4E1B" w:rsidRDefault="00EA4E1B" w:rsidP="00EA4E1B">
      <w:pPr>
        <w:pStyle w:val="BCAuthorAddress"/>
        <w:spacing w:after="0"/>
        <w:ind w:right="0"/>
        <w:jc w:val="both"/>
        <w:rPr>
          <w:lang w:val="pt-BR"/>
        </w:rPr>
      </w:pPr>
      <w:r>
        <w:rPr>
          <w:vertAlign w:val="superscript"/>
          <w:lang w:val="pt-BR"/>
        </w:rPr>
        <w:t>1</w:t>
      </w:r>
      <w:r w:rsidR="001D7EB9">
        <w:rPr>
          <w:lang w:val="pt-BR"/>
        </w:rPr>
        <w:t>Programa de Engenharia Química COPPE/Universidade Federal do Rio de Janeiro – UFRJ, RJ, 21941-972, Brasil.</w:t>
      </w:r>
    </w:p>
    <w:p w14:paraId="01DED74F" w14:textId="29B3D5C8" w:rsidR="001D7EB9" w:rsidRPr="001D7EB9" w:rsidRDefault="001D7EB9" w:rsidP="001D7EB9">
      <w:pPr>
        <w:rPr>
          <w:rFonts w:ascii="Times" w:hAnsi="Times" w:cs="Times"/>
          <w:i/>
          <w:iCs/>
          <w:sz w:val="20"/>
          <w:szCs w:val="20"/>
          <w:lang w:eastAsia="pt-BR"/>
        </w:rPr>
      </w:pPr>
      <w:r w:rsidRPr="001D7EB9">
        <w:rPr>
          <w:rFonts w:ascii="Times" w:hAnsi="Times" w:cs="Times"/>
          <w:i/>
          <w:iCs/>
          <w:sz w:val="20"/>
          <w:szCs w:val="20"/>
          <w:vertAlign w:val="superscript"/>
          <w:lang w:eastAsia="pt-BR"/>
        </w:rPr>
        <w:t>*</w:t>
      </w:r>
      <w:r w:rsidRPr="001D7EB9">
        <w:rPr>
          <w:rFonts w:ascii="Times" w:hAnsi="Times" w:cs="Times"/>
          <w:i/>
          <w:iCs/>
          <w:sz w:val="20"/>
          <w:szCs w:val="20"/>
          <w:lang w:eastAsia="pt-BR"/>
        </w:rPr>
        <w:t>E-mail</w:t>
      </w:r>
      <w:r>
        <w:rPr>
          <w:rFonts w:ascii="Times" w:hAnsi="Times" w:cs="Times"/>
          <w:i/>
          <w:iCs/>
          <w:sz w:val="20"/>
          <w:szCs w:val="20"/>
          <w:lang w:eastAsia="pt-BR"/>
        </w:rPr>
        <w:t>: toniolo@peq.coppe.ufrj.br</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38102C" w14:textId="07B0A911" w:rsidR="00AF0400" w:rsidRPr="008C1B30" w:rsidRDefault="008C1B30" w:rsidP="008F75C4">
                            <w:pPr>
                              <w:pStyle w:val="BDAbstract"/>
                              <w:spacing w:before="0" w:after="0" w:line="240" w:lineRule="auto"/>
                              <w:jc w:val="center"/>
                            </w:pPr>
                            <w:r w:rsidRPr="008C1B30">
                              <w:rPr>
                                <w:rFonts w:cs="Helvetica"/>
                                <w:bCs/>
                                <w:sz w:val="20"/>
                                <w:lang w:val="pt-BR"/>
                              </w:rPr>
                              <w:t>Resumo/Abstract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7638102C" w14:textId="07B0A911" w:rsidR="00AF0400" w:rsidRPr="008C1B30" w:rsidRDefault="008C1B30" w:rsidP="008F75C4">
                      <w:pPr>
                        <w:pStyle w:val="BDAbstract"/>
                        <w:spacing w:before="0" w:after="0" w:line="240" w:lineRule="auto"/>
                        <w:jc w:val="center"/>
                      </w:pPr>
                      <w:r w:rsidRPr="008C1B30">
                        <w:rPr>
                          <w:rFonts w:cs="Helvetica"/>
                          <w:bCs/>
                          <w:sz w:val="20"/>
                          <w:lang w:val="pt-BR"/>
                        </w:rPr>
                        <w:t>Resumo/Abstract</w:t>
                      </w: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7D60FC31" w:rsidR="00EA4E1B" w:rsidRPr="000F34F9" w:rsidRDefault="00EA4E1B" w:rsidP="00EA4E1B">
      <w:pPr>
        <w:pStyle w:val="BDAbstract"/>
        <w:spacing w:before="0" w:after="0" w:line="240" w:lineRule="auto"/>
        <w:rPr>
          <w:rFonts w:ascii="Times New Roman" w:hAnsi="Times New Roman"/>
          <w:b w:val="0"/>
          <w:sz w:val="20"/>
          <w:lang w:val="pt-BR"/>
        </w:rPr>
      </w:pPr>
      <w:r w:rsidRPr="000F34F9">
        <w:rPr>
          <w:rFonts w:ascii="Times New Roman" w:hAnsi="Times New Roman"/>
          <w:b w:val="0"/>
          <w:sz w:val="20"/>
          <w:lang w:val="pt-BR"/>
        </w:rPr>
        <w:t xml:space="preserve">RESUMO </w:t>
      </w:r>
      <w:r w:rsidR="008F75C4" w:rsidRPr="000F34F9">
        <w:rPr>
          <w:rFonts w:ascii="Times New Roman" w:hAnsi="Times New Roman"/>
          <w:b w:val="0"/>
          <w:sz w:val="20"/>
          <w:lang w:val="pt-BR"/>
        </w:rPr>
        <w:t>–</w:t>
      </w:r>
      <w:r w:rsidRPr="000F34F9">
        <w:rPr>
          <w:rFonts w:ascii="Times New Roman" w:hAnsi="Times New Roman"/>
          <w:b w:val="0"/>
          <w:sz w:val="20"/>
          <w:lang w:val="pt-BR"/>
        </w:rPr>
        <w:t xml:space="preserve"> </w:t>
      </w:r>
      <w:r w:rsidR="000F34F9" w:rsidRPr="000F34F9">
        <w:rPr>
          <w:rFonts w:ascii="Times New Roman" w:hAnsi="Times New Roman"/>
          <w:b w:val="0"/>
          <w:sz w:val="20"/>
          <w:lang w:val="pt-BR"/>
        </w:rPr>
        <w:t xml:space="preserve">O etanol tem </w:t>
      </w:r>
      <w:r w:rsidR="00FE7B6F">
        <w:rPr>
          <w:rFonts w:ascii="Times New Roman" w:hAnsi="Times New Roman"/>
          <w:b w:val="0"/>
          <w:sz w:val="20"/>
          <w:lang w:val="pt-BR"/>
        </w:rPr>
        <w:t>atraído</w:t>
      </w:r>
      <w:r w:rsidR="000F34F9" w:rsidRPr="000F34F9">
        <w:rPr>
          <w:rFonts w:ascii="Times New Roman" w:hAnsi="Times New Roman"/>
          <w:b w:val="0"/>
          <w:sz w:val="20"/>
          <w:lang w:val="pt-BR"/>
        </w:rPr>
        <w:t xml:space="preserve"> bastante atenção da indústria nos últimos anos pelo seu apelo sustentável, podendo ser obtido da decomposição de biomassa. Não apenas </w:t>
      </w:r>
      <w:r w:rsidR="000F34F9">
        <w:rPr>
          <w:rFonts w:ascii="Times New Roman" w:hAnsi="Times New Roman"/>
          <w:b w:val="0"/>
          <w:sz w:val="20"/>
          <w:lang w:val="pt-BR"/>
        </w:rPr>
        <w:t>sua</w:t>
      </w:r>
      <w:r w:rsidR="000F34F9" w:rsidRPr="000F34F9">
        <w:rPr>
          <w:rFonts w:ascii="Times New Roman" w:hAnsi="Times New Roman"/>
          <w:b w:val="0"/>
          <w:sz w:val="20"/>
          <w:lang w:val="pt-BR"/>
        </w:rPr>
        <w:t xml:space="preserve"> aplicação</w:t>
      </w:r>
      <w:r w:rsidR="000F34F9">
        <w:rPr>
          <w:rFonts w:ascii="Times New Roman" w:hAnsi="Times New Roman"/>
          <w:b w:val="0"/>
          <w:sz w:val="20"/>
          <w:lang w:val="pt-BR"/>
        </w:rPr>
        <w:t xml:space="preserve"> no setor energético como potente combustível, mas sua conversão a produtos de maior valor agregado tem sido destaque comercial. Neste trabalho, buscou-se sintetizar um novo catalisador misto do tipo </w:t>
      </w:r>
      <w:proofErr w:type="spellStart"/>
      <w:r w:rsidR="000F34F9">
        <w:rPr>
          <w:rFonts w:ascii="Times New Roman" w:hAnsi="Times New Roman"/>
          <w:b w:val="0"/>
          <w:sz w:val="20"/>
          <w:lang w:val="pt-BR"/>
        </w:rPr>
        <w:t>Mg</w:t>
      </w:r>
      <w:r w:rsidR="000F34F9">
        <w:rPr>
          <w:rFonts w:ascii="Times New Roman" w:hAnsi="Times New Roman"/>
          <w:b w:val="0"/>
          <w:sz w:val="20"/>
          <w:vertAlign w:val="subscript"/>
          <w:lang w:val="pt-BR"/>
        </w:rPr>
        <w:t>x</w:t>
      </w:r>
      <w:r w:rsidR="000F34F9">
        <w:rPr>
          <w:rFonts w:ascii="Times New Roman" w:hAnsi="Times New Roman"/>
          <w:b w:val="0"/>
          <w:sz w:val="20"/>
          <w:lang w:val="pt-BR"/>
        </w:rPr>
        <w:t>AlO</w:t>
      </w:r>
      <w:r w:rsidR="000F34F9">
        <w:rPr>
          <w:rFonts w:ascii="Times New Roman" w:hAnsi="Times New Roman"/>
          <w:b w:val="0"/>
          <w:sz w:val="20"/>
          <w:vertAlign w:val="subscript"/>
          <w:lang w:val="pt-BR"/>
        </w:rPr>
        <w:t>y</w:t>
      </w:r>
      <w:proofErr w:type="spellEnd"/>
      <w:r w:rsidR="000F34F9">
        <w:rPr>
          <w:rFonts w:ascii="Times New Roman" w:hAnsi="Times New Roman"/>
          <w:b w:val="0"/>
          <w:sz w:val="20"/>
          <w:lang w:val="pt-BR"/>
        </w:rPr>
        <w:t>–SiO</w:t>
      </w:r>
      <w:r w:rsidR="000F34F9">
        <w:rPr>
          <w:rFonts w:ascii="Times New Roman" w:hAnsi="Times New Roman"/>
          <w:b w:val="0"/>
          <w:sz w:val="20"/>
          <w:vertAlign w:val="subscript"/>
          <w:lang w:val="pt-BR"/>
        </w:rPr>
        <w:t>2</w:t>
      </w:r>
      <w:r w:rsidR="000F34F9">
        <w:rPr>
          <w:rFonts w:ascii="Times New Roman" w:hAnsi="Times New Roman"/>
          <w:b w:val="0"/>
          <w:sz w:val="20"/>
          <w:lang w:val="pt-BR"/>
        </w:rPr>
        <w:t xml:space="preserve"> para estudar sua aplicação no beneficiamento de etanol a um produto de grande importância</w:t>
      </w:r>
      <w:r w:rsidR="00540DBF">
        <w:rPr>
          <w:rFonts w:ascii="Times New Roman" w:hAnsi="Times New Roman"/>
          <w:b w:val="0"/>
          <w:sz w:val="20"/>
          <w:lang w:val="pt-BR"/>
        </w:rPr>
        <w:t>,</w:t>
      </w:r>
      <w:r w:rsidR="000F34F9">
        <w:rPr>
          <w:rFonts w:ascii="Times New Roman" w:hAnsi="Times New Roman"/>
          <w:b w:val="0"/>
          <w:sz w:val="20"/>
          <w:lang w:val="pt-BR"/>
        </w:rPr>
        <w:t xml:space="preserve"> especialmente</w:t>
      </w:r>
      <w:r w:rsidR="00540DBF">
        <w:rPr>
          <w:rFonts w:ascii="Times New Roman" w:hAnsi="Times New Roman"/>
          <w:b w:val="0"/>
          <w:sz w:val="20"/>
          <w:lang w:val="pt-BR"/>
        </w:rPr>
        <w:t>,</w:t>
      </w:r>
      <w:r w:rsidR="000F34F9">
        <w:rPr>
          <w:rFonts w:ascii="Times New Roman" w:hAnsi="Times New Roman"/>
          <w:b w:val="0"/>
          <w:sz w:val="20"/>
          <w:lang w:val="pt-BR"/>
        </w:rPr>
        <w:t xml:space="preserve"> para a indústria de plásticos e polímeros,</w:t>
      </w:r>
      <w:r w:rsidR="00540DBF">
        <w:rPr>
          <w:rFonts w:ascii="Times New Roman" w:hAnsi="Times New Roman"/>
          <w:b w:val="0"/>
          <w:sz w:val="20"/>
          <w:lang w:val="pt-BR"/>
        </w:rPr>
        <w:t xml:space="preserve"> o</w:t>
      </w:r>
      <w:r w:rsidR="000F34F9">
        <w:rPr>
          <w:rFonts w:ascii="Times New Roman" w:hAnsi="Times New Roman"/>
          <w:b w:val="0"/>
          <w:sz w:val="20"/>
          <w:lang w:val="pt-BR"/>
        </w:rPr>
        <w:t xml:space="preserve"> 1,3-butadieno.</w:t>
      </w:r>
      <w:r w:rsidR="00540DBF">
        <w:rPr>
          <w:rFonts w:ascii="Times New Roman" w:hAnsi="Times New Roman"/>
          <w:b w:val="0"/>
          <w:sz w:val="20"/>
          <w:lang w:val="pt-BR"/>
        </w:rPr>
        <w:t xml:space="preserve"> Para tal, variou-se a razão molar </w:t>
      </w:r>
      <w:proofErr w:type="spellStart"/>
      <w:r w:rsidR="00540DBF">
        <w:rPr>
          <w:rFonts w:ascii="Times New Roman" w:hAnsi="Times New Roman"/>
          <w:b w:val="0"/>
          <w:sz w:val="20"/>
          <w:lang w:val="pt-BR"/>
        </w:rPr>
        <w:t>Mg:Al:Si</w:t>
      </w:r>
      <w:proofErr w:type="spellEnd"/>
      <w:r w:rsidR="00540DBF">
        <w:rPr>
          <w:rFonts w:ascii="Times New Roman" w:hAnsi="Times New Roman"/>
          <w:b w:val="0"/>
          <w:sz w:val="20"/>
          <w:lang w:val="pt-BR"/>
        </w:rPr>
        <w:t xml:space="preserve"> do catalisador e foi </w:t>
      </w:r>
      <w:r w:rsidR="0036480A">
        <w:rPr>
          <w:rFonts w:ascii="Times New Roman" w:hAnsi="Times New Roman"/>
          <w:b w:val="0"/>
          <w:sz w:val="20"/>
          <w:lang w:val="pt-BR"/>
        </w:rPr>
        <w:t>observado que</w:t>
      </w:r>
      <w:r w:rsidR="00540DBF">
        <w:rPr>
          <w:rFonts w:ascii="Times New Roman" w:hAnsi="Times New Roman"/>
          <w:b w:val="0"/>
          <w:sz w:val="20"/>
          <w:lang w:val="pt-BR"/>
        </w:rPr>
        <w:t xml:space="preserve"> essa variação de teor molar influencia</w:t>
      </w:r>
      <w:r w:rsidR="0036480A">
        <w:rPr>
          <w:rFonts w:ascii="Times New Roman" w:hAnsi="Times New Roman"/>
          <w:b w:val="0"/>
          <w:sz w:val="20"/>
          <w:lang w:val="pt-BR"/>
        </w:rPr>
        <w:t xml:space="preserve"> </w:t>
      </w:r>
      <w:r w:rsidR="00540DBF">
        <w:rPr>
          <w:rFonts w:ascii="Times New Roman" w:hAnsi="Times New Roman"/>
          <w:b w:val="0"/>
          <w:sz w:val="20"/>
          <w:lang w:val="pt-BR"/>
        </w:rPr>
        <w:t>fortemente a seletividade dos produtos da reação. Para a produção do 1,3-butadieno, o melhor catalisador foi o 3:1:1, com seletividade de 23 % a 723 K, que propiciou um adequado balanço de sítios ácidos e básicos ativos para as reações de desidrogenação, condensação e desidratação.</w:t>
      </w:r>
    </w:p>
    <w:p w14:paraId="09B41B70" w14:textId="309BBA58" w:rsidR="00EA4E1B" w:rsidRPr="00E03592" w:rsidRDefault="00EA4E1B" w:rsidP="00EA4E1B">
      <w:pPr>
        <w:pStyle w:val="BDAbstract"/>
        <w:spacing w:before="0" w:after="0" w:line="240" w:lineRule="auto"/>
        <w:rPr>
          <w:rFonts w:ascii="Times New Roman" w:hAnsi="Times New Roman"/>
          <w:b w:val="0"/>
          <w:sz w:val="20"/>
          <w:lang w:val="pt-BR"/>
        </w:rPr>
      </w:pPr>
      <w:r w:rsidRPr="00E03592">
        <w:rPr>
          <w:rFonts w:ascii="Times New Roman" w:hAnsi="Times New Roman"/>
          <w:b w:val="0"/>
          <w:i/>
          <w:sz w:val="20"/>
          <w:lang w:val="pt-BR"/>
        </w:rPr>
        <w:t>Palavras-chave:</w:t>
      </w:r>
      <w:r w:rsidR="00E03592">
        <w:rPr>
          <w:rFonts w:ascii="Times New Roman" w:hAnsi="Times New Roman"/>
          <w:b w:val="0"/>
          <w:i/>
          <w:sz w:val="20"/>
          <w:lang w:val="pt-BR"/>
        </w:rPr>
        <w:t xml:space="preserve"> </w:t>
      </w:r>
      <w:r w:rsidR="00E03592" w:rsidRPr="00E03592">
        <w:rPr>
          <w:rFonts w:ascii="Times New Roman" w:hAnsi="Times New Roman"/>
          <w:b w:val="0"/>
          <w:i/>
          <w:sz w:val="20"/>
          <w:lang w:val="pt-BR"/>
        </w:rPr>
        <w:t>1,3-butadiene,</w:t>
      </w:r>
      <w:r w:rsidR="00E03592">
        <w:rPr>
          <w:rFonts w:ascii="Times New Roman" w:hAnsi="Times New Roman"/>
          <w:b w:val="0"/>
          <w:i/>
          <w:sz w:val="20"/>
          <w:lang w:val="pt-BR"/>
        </w:rPr>
        <w:t xml:space="preserve"> beneficiamento de etanol,</w:t>
      </w:r>
      <w:r w:rsidR="00E03592" w:rsidRPr="00E03592">
        <w:rPr>
          <w:rFonts w:ascii="Times New Roman" w:hAnsi="Times New Roman"/>
          <w:b w:val="0"/>
          <w:i/>
          <w:sz w:val="20"/>
          <w:lang w:val="pt-BR"/>
        </w:rPr>
        <w:t xml:space="preserve"> </w:t>
      </w:r>
      <w:r w:rsidR="00E03592">
        <w:rPr>
          <w:rFonts w:ascii="Times New Roman" w:hAnsi="Times New Roman"/>
          <w:b w:val="0"/>
          <w:i/>
          <w:sz w:val="20"/>
          <w:lang w:val="pt-BR"/>
        </w:rPr>
        <w:t>catálise heterogênea</w:t>
      </w:r>
    </w:p>
    <w:p w14:paraId="5D8D4445" w14:textId="11D77547" w:rsidR="00EA4E1B" w:rsidRPr="00BD5D42" w:rsidRDefault="00EA4E1B" w:rsidP="00EA4E1B">
      <w:pPr>
        <w:pStyle w:val="BDAbstract"/>
        <w:spacing w:before="0" w:after="0" w:line="240" w:lineRule="auto"/>
        <w:rPr>
          <w:rFonts w:ascii="Times New Roman" w:hAnsi="Times New Roman"/>
          <w:b w:val="0"/>
          <w:sz w:val="20"/>
          <w:lang w:val="pt-BR"/>
        </w:rPr>
      </w:pPr>
    </w:p>
    <w:p w14:paraId="03A7C7D3" w14:textId="008CDCF0" w:rsidR="006C5F35" w:rsidRDefault="00EA4E1B" w:rsidP="00146CAC">
      <w:pPr>
        <w:pStyle w:val="BDAbstract"/>
        <w:spacing w:before="0" w:after="0" w:line="240" w:lineRule="auto"/>
        <w:rPr>
          <w:rFonts w:ascii="Times New Roman" w:hAnsi="Times New Roman"/>
          <w:b w:val="0"/>
          <w:color w:val="FF0000"/>
          <w:sz w:val="20"/>
        </w:rPr>
      </w:pPr>
      <w:r w:rsidRPr="00BD5D42">
        <w:rPr>
          <w:rFonts w:ascii="Times New Roman" w:hAnsi="Times New Roman"/>
          <w:b w:val="0"/>
          <w:sz w:val="20"/>
        </w:rPr>
        <w:t xml:space="preserve">ABSTRACT </w:t>
      </w:r>
      <w:r w:rsidR="00146CAC" w:rsidRPr="00BD5D42">
        <w:rPr>
          <w:rFonts w:ascii="Times New Roman" w:hAnsi="Times New Roman"/>
          <w:b w:val="0"/>
          <w:sz w:val="20"/>
        </w:rPr>
        <w:t xml:space="preserve">– Ethanol has drawn a lot of attention from the industry in recent years due to its sustainable appeal, being able to be obtained from the decomposition of biomass. Not only its application in the energy sector as a potent fuel, but its conversion to higher added value products has been a commercial highlight. In this work, we sought to synthesize a new mixed catalyst </w:t>
      </w:r>
      <w:proofErr w:type="spellStart"/>
      <w:r w:rsidR="00146CAC" w:rsidRPr="00BD5D42">
        <w:rPr>
          <w:rFonts w:ascii="Times New Roman" w:hAnsi="Times New Roman"/>
          <w:b w:val="0"/>
          <w:sz w:val="20"/>
        </w:rPr>
        <w:t>Mg</w:t>
      </w:r>
      <w:r w:rsidR="00146CAC" w:rsidRPr="00BD5D42">
        <w:rPr>
          <w:rFonts w:ascii="Times New Roman" w:hAnsi="Times New Roman"/>
          <w:b w:val="0"/>
          <w:sz w:val="20"/>
          <w:vertAlign w:val="subscript"/>
        </w:rPr>
        <w:t>x</w:t>
      </w:r>
      <w:r w:rsidR="00146CAC" w:rsidRPr="00BD5D42">
        <w:rPr>
          <w:rFonts w:ascii="Times New Roman" w:hAnsi="Times New Roman"/>
          <w:b w:val="0"/>
          <w:sz w:val="20"/>
        </w:rPr>
        <w:t>AlO</w:t>
      </w:r>
      <w:r w:rsidR="00146CAC" w:rsidRPr="00BD5D42">
        <w:rPr>
          <w:rFonts w:ascii="Times New Roman" w:hAnsi="Times New Roman"/>
          <w:b w:val="0"/>
          <w:sz w:val="20"/>
          <w:vertAlign w:val="subscript"/>
        </w:rPr>
        <w:t>y</w:t>
      </w:r>
      <w:proofErr w:type="spellEnd"/>
      <w:r w:rsidR="00146CAC" w:rsidRPr="00BD5D42">
        <w:rPr>
          <w:rFonts w:ascii="Times New Roman" w:hAnsi="Times New Roman"/>
          <w:b w:val="0"/>
          <w:sz w:val="20"/>
        </w:rPr>
        <w:t>–SiO</w:t>
      </w:r>
      <w:r w:rsidR="00146CAC" w:rsidRPr="00BD5D42">
        <w:rPr>
          <w:rFonts w:ascii="Times New Roman" w:hAnsi="Times New Roman"/>
          <w:b w:val="0"/>
          <w:sz w:val="20"/>
          <w:vertAlign w:val="subscript"/>
        </w:rPr>
        <w:t>2</w:t>
      </w:r>
      <w:r w:rsidR="00146CAC" w:rsidRPr="00BD5D42">
        <w:rPr>
          <w:rFonts w:ascii="Times New Roman" w:hAnsi="Times New Roman"/>
          <w:b w:val="0"/>
          <w:sz w:val="20"/>
        </w:rPr>
        <w:t xml:space="preserve"> to study its application in the </w:t>
      </w:r>
      <w:r w:rsidR="00BD5D42" w:rsidRPr="00BD5D42">
        <w:rPr>
          <w:rFonts w:ascii="Times New Roman" w:hAnsi="Times New Roman"/>
          <w:b w:val="0"/>
          <w:sz w:val="20"/>
        </w:rPr>
        <w:t>upgrading</w:t>
      </w:r>
      <w:r w:rsidR="00146CAC" w:rsidRPr="00BD5D42">
        <w:rPr>
          <w:rFonts w:ascii="Times New Roman" w:hAnsi="Times New Roman"/>
          <w:b w:val="0"/>
          <w:sz w:val="20"/>
        </w:rPr>
        <w:t xml:space="preserve"> of ethanol to a product of great importance, especially for the plastics and polymers industry, 1,3-butadiene. To this end, the </w:t>
      </w:r>
      <w:proofErr w:type="spellStart"/>
      <w:proofErr w:type="gramStart"/>
      <w:r w:rsidR="00146CAC" w:rsidRPr="00BD5D42">
        <w:rPr>
          <w:rFonts w:ascii="Times New Roman" w:hAnsi="Times New Roman"/>
          <w:b w:val="0"/>
          <w:sz w:val="20"/>
        </w:rPr>
        <w:t>Mg:Al</w:t>
      </w:r>
      <w:proofErr w:type="gramEnd"/>
      <w:r w:rsidR="00146CAC" w:rsidRPr="00BD5D42">
        <w:rPr>
          <w:rFonts w:ascii="Times New Roman" w:hAnsi="Times New Roman"/>
          <w:b w:val="0"/>
          <w:sz w:val="20"/>
        </w:rPr>
        <w:t>:Si</w:t>
      </w:r>
      <w:proofErr w:type="spellEnd"/>
      <w:r w:rsidR="00146CAC" w:rsidRPr="00BD5D42">
        <w:rPr>
          <w:rFonts w:ascii="Times New Roman" w:hAnsi="Times New Roman"/>
          <w:b w:val="0"/>
          <w:sz w:val="20"/>
        </w:rPr>
        <w:t xml:space="preserve"> molar ratio of the catalyst was varied and it was </w:t>
      </w:r>
      <w:r w:rsidR="0036480A">
        <w:rPr>
          <w:rFonts w:ascii="Times New Roman" w:hAnsi="Times New Roman"/>
          <w:b w:val="0"/>
          <w:sz w:val="20"/>
        </w:rPr>
        <w:t>observed that</w:t>
      </w:r>
      <w:r w:rsidR="00146CAC" w:rsidRPr="00BD5D42">
        <w:rPr>
          <w:rFonts w:ascii="Times New Roman" w:hAnsi="Times New Roman"/>
          <w:b w:val="0"/>
          <w:sz w:val="20"/>
        </w:rPr>
        <w:t xml:space="preserve"> this variation in molar content strongly influence the selectivity of the reaction products. For the production of 1,3-butadiene, the best catalyst was 3:1:1, with a selectivity of 23</w:t>
      </w:r>
      <w:r w:rsidR="00BD5D42" w:rsidRPr="00BD5D42">
        <w:rPr>
          <w:rFonts w:ascii="Times New Roman" w:hAnsi="Times New Roman"/>
          <w:b w:val="0"/>
          <w:sz w:val="20"/>
        </w:rPr>
        <w:t xml:space="preserve"> </w:t>
      </w:r>
      <w:r w:rsidR="00146CAC" w:rsidRPr="00BD5D42">
        <w:rPr>
          <w:rFonts w:ascii="Times New Roman" w:hAnsi="Times New Roman"/>
          <w:b w:val="0"/>
          <w:sz w:val="20"/>
        </w:rPr>
        <w:t>% at 723 K, which provided an adequate balance of acidic and basic active sites for dehydrogenation, condensation and dehydration reactions</w:t>
      </w:r>
      <w:r w:rsidR="00146CAC" w:rsidRPr="00146CAC">
        <w:rPr>
          <w:rFonts w:ascii="Times New Roman" w:hAnsi="Times New Roman"/>
          <w:b w:val="0"/>
          <w:color w:val="FF0000"/>
          <w:sz w:val="20"/>
        </w:rPr>
        <w:t>.</w:t>
      </w:r>
    </w:p>
    <w:p w14:paraId="48D9B0C4" w14:textId="3AA9156D" w:rsidR="00EA4E1B" w:rsidRPr="00E03592" w:rsidRDefault="00EA4E1B" w:rsidP="00146CAC">
      <w:pPr>
        <w:pStyle w:val="BDAbstract"/>
        <w:spacing w:before="0" w:after="0" w:line="240" w:lineRule="auto"/>
        <w:sectPr w:rsidR="00EA4E1B" w:rsidRPr="00E03592" w:rsidSect="00EA4E1B">
          <w:headerReference w:type="default" r:id="rId8"/>
          <w:endnotePr>
            <w:numFmt w:val="decimal"/>
          </w:endnotePr>
          <w:pgSz w:w="11906" w:h="16838"/>
          <w:pgMar w:top="1418" w:right="1094" w:bottom="1418" w:left="567" w:header="709" w:footer="709" w:gutter="0"/>
          <w:cols w:space="708"/>
          <w:docGrid w:linePitch="360"/>
        </w:sectPr>
      </w:pPr>
      <w:r w:rsidRPr="00E03592">
        <w:rPr>
          <w:rFonts w:ascii="Times New Roman" w:hAnsi="Times New Roman"/>
          <w:b w:val="0"/>
          <w:i/>
          <w:sz w:val="20"/>
        </w:rPr>
        <w:t xml:space="preserve">Keywords: </w:t>
      </w:r>
      <w:bookmarkEnd w:id="1"/>
      <w:r w:rsidR="00E03592" w:rsidRPr="00E03592">
        <w:rPr>
          <w:rFonts w:ascii="Times New Roman" w:hAnsi="Times New Roman"/>
          <w:b w:val="0"/>
          <w:i/>
          <w:sz w:val="20"/>
        </w:rPr>
        <w:t>1,3-butadiene, ethanol upgrading, heterogen</w:t>
      </w:r>
      <w:r w:rsidR="00E03592">
        <w:rPr>
          <w:rFonts w:ascii="Times New Roman" w:hAnsi="Times New Roman"/>
          <w:b w:val="0"/>
          <w:i/>
          <w:sz w:val="20"/>
        </w:rPr>
        <w:t>e</w:t>
      </w:r>
      <w:r w:rsidR="00E03592" w:rsidRPr="00E03592">
        <w:rPr>
          <w:rFonts w:ascii="Times New Roman" w:hAnsi="Times New Roman"/>
          <w:b w:val="0"/>
          <w:i/>
          <w:sz w:val="20"/>
        </w:rPr>
        <w:t>ous catalysis</w:t>
      </w:r>
    </w:p>
    <w:p w14:paraId="625F2C0A" w14:textId="77777777" w:rsidR="00EA4E1B" w:rsidRPr="007E031F" w:rsidRDefault="00EA4E1B" w:rsidP="00EA4E1B">
      <w:pPr>
        <w:pStyle w:val="Ttulo2"/>
        <w:spacing w:before="0"/>
        <w:rPr>
          <w:rFonts w:ascii="Helvetica" w:hAnsi="Helvetica" w:cs="Helvetica"/>
          <w:sz w:val="24"/>
          <w:szCs w:val="24"/>
        </w:rPr>
      </w:pPr>
      <w:r w:rsidRPr="007E031F">
        <w:rPr>
          <w:rFonts w:ascii="Helvetica" w:hAnsi="Helvetica" w:cs="Helvetica"/>
          <w:sz w:val="24"/>
          <w:szCs w:val="24"/>
        </w:rPr>
        <w:t>Introdução</w:t>
      </w:r>
    </w:p>
    <w:p w14:paraId="67CDEAF9" w14:textId="4A3FC688" w:rsidR="00AC7C88" w:rsidRDefault="0069663C" w:rsidP="00EA4E1B">
      <w:pPr>
        <w:pStyle w:val="TAMainText"/>
        <w:rPr>
          <w:rFonts w:ascii="Times New Roman" w:hAnsi="Times New Roman"/>
          <w:lang w:val="pt-BR"/>
        </w:rPr>
      </w:pPr>
      <w:r>
        <w:rPr>
          <w:rFonts w:ascii="Times New Roman" w:hAnsi="Times New Roman"/>
          <w:lang w:val="pt-BR"/>
        </w:rPr>
        <w:t xml:space="preserve">A tendência a práticas e processos sustentáveis </w:t>
      </w:r>
      <w:r w:rsidR="00E60DC9">
        <w:rPr>
          <w:rFonts w:ascii="Times New Roman" w:hAnsi="Times New Roman"/>
          <w:lang w:val="pt-BR"/>
        </w:rPr>
        <w:t>vista</w:t>
      </w:r>
      <w:r>
        <w:rPr>
          <w:rFonts w:ascii="Times New Roman" w:hAnsi="Times New Roman"/>
          <w:lang w:val="pt-BR"/>
        </w:rPr>
        <w:t xml:space="preserve"> na indústria hoje tem aberto caminho</w:t>
      </w:r>
      <w:r w:rsidR="001D22AF">
        <w:rPr>
          <w:rFonts w:ascii="Times New Roman" w:hAnsi="Times New Roman"/>
          <w:lang w:val="pt-BR"/>
        </w:rPr>
        <w:t xml:space="preserve"> </w:t>
      </w:r>
      <w:r>
        <w:rPr>
          <w:rFonts w:ascii="Times New Roman" w:hAnsi="Times New Roman"/>
          <w:lang w:val="pt-BR"/>
        </w:rPr>
        <w:t>para a aplicação de fontes renováveis de energia</w:t>
      </w:r>
      <w:r w:rsidR="00D87826">
        <w:rPr>
          <w:rFonts w:ascii="Times New Roman" w:hAnsi="Times New Roman"/>
          <w:lang w:val="pt-BR"/>
        </w:rPr>
        <w:t xml:space="preserve"> e uso de matéria-prima não-fóssil</w:t>
      </w:r>
      <w:r>
        <w:rPr>
          <w:rFonts w:ascii="Times New Roman" w:hAnsi="Times New Roman"/>
          <w:lang w:val="pt-BR"/>
        </w:rPr>
        <w:t>.</w:t>
      </w:r>
      <w:r w:rsidR="00E60DC9">
        <w:rPr>
          <w:rFonts w:ascii="Times New Roman" w:hAnsi="Times New Roman"/>
          <w:lang w:val="pt-BR"/>
        </w:rPr>
        <w:t xml:space="preserve"> Nesse sentido, o etanol</w:t>
      </w:r>
      <w:r w:rsidR="007E3945">
        <w:rPr>
          <w:rFonts w:ascii="Times New Roman" w:hAnsi="Times New Roman"/>
          <w:lang w:val="pt-BR"/>
        </w:rPr>
        <w:t xml:space="preserve"> (</w:t>
      </w:r>
      <w:proofErr w:type="spellStart"/>
      <w:r w:rsidR="007E3945">
        <w:rPr>
          <w:rFonts w:ascii="Times New Roman" w:hAnsi="Times New Roman"/>
          <w:lang w:val="pt-BR"/>
        </w:rPr>
        <w:t>EtOH</w:t>
      </w:r>
      <w:proofErr w:type="spellEnd"/>
      <w:r w:rsidR="007E3945">
        <w:rPr>
          <w:rFonts w:ascii="Times New Roman" w:hAnsi="Times New Roman"/>
          <w:lang w:val="pt-BR"/>
        </w:rPr>
        <w:t>)</w:t>
      </w:r>
      <w:r w:rsidR="002C1D1A">
        <w:rPr>
          <w:rFonts w:ascii="Times New Roman" w:hAnsi="Times New Roman"/>
          <w:lang w:val="pt-BR"/>
        </w:rPr>
        <w:t xml:space="preserve">, que pode ser obtido da decomposição e fermentação de </w:t>
      </w:r>
      <w:r w:rsidR="00E60DC9">
        <w:rPr>
          <w:rFonts w:ascii="Times New Roman" w:hAnsi="Times New Roman"/>
          <w:lang w:val="pt-BR"/>
        </w:rPr>
        <w:t>biomassa</w:t>
      </w:r>
      <w:r w:rsidR="002C1D1A">
        <w:rPr>
          <w:rFonts w:ascii="Times New Roman" w:hAnsi="Times New Roman"/>
          <w:lang w:val="pt-BR"/>
        </w:rPr>
        <w:t>,</w:t>
      </w:r>
      <w:r w:rsidR="00E60DC9">
        <w:rPr>
          <w:rFonts w:ascii="Times New Roman" w:hAnsi="Times New Roman"/>
          <w:lang w:val="pt-BR"/>
        </w:rPr>
        <w:t xml:space="preserve"> </w:t>
      </w:r>
      <w:r w:rsidR="002C1D1A">
        <w:rPr>
          <w:rFonts w:ascii="Times New Roman" w:hAnsi="Times New Roman"/>
          <w:lang w:val="pt-BR"/>
        </w:rPr>
        <w:t xml:space="preserve">tem recebido grande atenção de pesquisadores </w:t>
      </w:r>
      <w:r w:rsidR="001D22AF">
        <w:rPr>
          <w:rFonts w:ascii="Times New Roman" w:hAnsi="Times New Roman"/>
          <w:lang w:val="pt-BR"/>
        </w:rPr>
        <w:t>(1–3)</w:t>
      </w:r>
      <w:r w:rsidR="00E60DC9">
        <w:rPr>
          <w:rFonts w:ascii="Times New Roman" w:hAnsi="Times New Roman"/>
          <w:lang w:val="pt-BR"/>
        </w:rPr>
        <w:t>.</w:t>
      </w:r>
      <w:r w:rsidR="00DF6B6B">
        <w:rPr>
          <w:rFonts w:ascii="Times New Roman" w:hAnsi="Times New Roman"/>
          <w:lang w:val="pt-BR"/>
        </w:rPr>
        <w:t xml:space="preserve"> </w:t>
      </w:r>
      <w:r w:rsidR="00C24831">
        <w:rPr>
          <w:rFonts w:ascii="Times New Roman" w:hAnsi="Times New Roman"/>
          <w:lang w:val="pt-BR"/>
        </w:rPr>
        <w:t>Novas tecnologias são desenvolvidas para a conversão d</w:t>
      </w:r>
      <w:r w:rsidR="00BE555D">
        <w:rPr>
          <w:rFonts w:ascii="Times New Roman" w:hAnsi="Times New Roman"/>
          <w:lang w:val="pt-BR"/>
        </w:rPr>
        <w:t>e</w:t>
      </w:r>
      <w:r w:rsidR="00C24831">
        <w:rPr>
          <w:rFonts w:ascii="Times New Roman" w:hAnsi="Times New Roman"/>
          <w:lang w:val="pt-BR"/>
        </w:rPr>
        <w:t xml:space="preserve"> bioetanol em biocombustíveis </w:t>
      </w:r>
      <w:r w:rsidR="00C80660">
        <w:rPr>
          <w:rFonts w:ascii="Times New Roman" w:hAnsi="Times New Roman"/>
          <w:lang w:val="pt-BR"/>
        </w:rPr>
        <w:t>no</w:t>
      </w:r>
      <w:r w:rsidR="00C24831" w:rsidRPr="00C24831">
        <w:rPr>
          <w:rFonts w:ascii="Times New Roman" w:hAnsi="Times New Roman"/>
          <w:lang w:val="pt-BR"/>
        </w:rPr>
        <w:t xml:space="preserve"> setor automobilístico </w:t>
      </w:r>
      <w:r w:rsidR="00C24831">
        <w:rPr>
          <w:rFonts w:ascii="Times New Roman" w:hAnsi="Times New Roman"/>
          <w:lang w:val="pt-BR"/>
        </w:rPr>
        <w:t>(4)</w:t>
      </w:r>
      <w:r w:rsidR="00C80660">
        <w:rPr>
          <w:rFonts w:ascii="Times New Roman" w:hAnsi="Times New Roman"/>
          <w:lang w:val="pt-BR"/>
        </w:rPr>
        <w:t xml:space="preserve"> e</w:t>
      </w:r>
      <w:r w:rsidR="00C24831">
        <w:rPr>
          <w:rFonts w:ascii="Times New Roman" w:hAnsi="Times New Roman"/>
          <w:lang w:val="pt-BR"/>
        </w:rPr>
        <w:t xml:space="preserve"> </w:t>
      </w:r>
      <w:r w:rsidR="00C80660">
        <w:rPr>
          <w:rFonts w:ascii="Times New Roman" w:hAnsi="Times New Roman"/>
          <w:lang w:val="pt-BR"/>
        </w:rPr>
        <w:t xml:space="preserve">no de </w:t>
      </w:r>
      <w:r w:rsidR="00364F52">
        <w:rPr>
          <w:rFonts w:ascii="Times New Roman" w:hAnsi="Times New Roman"/>
          <w:lang w:val="pt-BR"/>
        </w:rPr>
        <w:t>aviação</w:t>
      </w:r>
      <w:r w:rsidR="00C80660">
        <w:rPr>
          <w:rFonts w:ascii="Times New Roman" w:hAnsi="Times New Roman"/>
          <w:lang w:val="pt-BR"/>
        </w:rPr>
        <w:t xml:space="preserve"> </w:t>
      </w:r>
      <w:r w:rsidR="00BB2B7F">
        <w:rPr>
          <w:rFonts w:ascii="Times New Roman" w:hAnsi="Times New Roman"/>
          <w:lang w:val="pt-BR"/>
        </w:rPr>
        <w:t>(5</w:t>
      </w:r>
      <w:r w:rsidR="00C80660">
        <w:rPr>
          <w:rFonts w:ascii="Times New Roman" w:hAnsi="Times New Roman"/>
          <w:lang w:val="pt-BR"/>
        </w:rPr>
        <w:t>,</w:t>
      </w:r>
      <w:r w:rsidR="00746580">
        <w:rPr>
          <w:rFonts w:ascii="Times New Roman" w:hAnsi="Times New Roman"/>
          <w:lang w:val="pt-BR"/>
        </w:rPr>
        <w:t>6).</w:t>
      </w:r>
      <w:r w:rsidR="004C0A78">
        <w:rPr>
          <w:rFonts w:ascii="Times New Roman" w:hAnsi="Times New Roman"/>
          <w:lang w:val="pt-BR"/>
        </w:rPr>
        <w:t xml:space="preserve"> </w:t>
      </w:r>
      <w:r w:rsidR="00495B7A">
        <w:rPr>
          <w:rFonts w:ascii="Times New Roman" w:hAnsi="Times New Roman"/>
          <w:lang w:val="pt-BR"/>
        </w:rPr>
        <w:t>Ademais,</w:t>
      </w:r>
      <w:r w:rsidR="007077A0">
        <w:rPr>
          <w:rFonts w:ascii="Times New Roman" w:hAnsi="Times New Roman"/>
          <w:lang w:val="pt-BR"/>
        </w:rPr>
        <w:t xml:space="preserve"> </w:t>
      </w:r>
      <w:proofErr w:type="spellStart"/>
      <w:r w:rsidR="007E3945">
        <w:rPr>
          <w:rFonts w:ascii="Times New Roman" w:hAnsi="Times New Roman"/>
          <w:lang w:val="pt-BR"/>
        </w:rPr>
        <w:t>EtOH</w:t>
      </w:r>
      <w:proofErr w:type="spellEnd"/>
      <w:r w:rsidR="007077A0">
        <w:rPr>
          <w:rFonts w:ascii="Times New Roman" w:hAnsi="Times New Roman"/>
          <w:lang w:val="pt-BR"/>
        </w:rPr>
        <w:t xml:space="preserve"> é aplicado em </w:t>
      </w:r>
      <w:r w:rsidR="002C1D1A">
        <w:rPr>
          <w:rFonts w:ascii="Times New Roman" w:hAnsi="Times New Roman"/>
          <w:lang w:val="pt-BR"/>
        </w:rPr>
        <w:t>variados</w:t>
      </w:r>
      <w:r w:rsidR="007077A0">
        <w:rPr>
          <w:rFonts w:ascii="Times New Roman" w:hAnsi="Times New Roman"/>
          <w:lang w:val="pt-BR"/>
        </w:rPr>
        <w:t xml:space="preserve"> processos </w:t>
      </w:r>
      <w:r w:rsidR="00495B7A">
        <w:rPr>
          <w:rFonts w:ascii="Times New Roman" w:hAnsi="Times New Roman"/>
          <w:lang w:val="pt-BR"/>
        </w:rPr>
        <w:t xml:space="preserve">de conversão a produtos de maior valor agregado </w:t>
      </w:r>
      <w:r w:rsidR="007077A0">
        <w:rPr>
          <w:rFonts w:ascii="Times New Roman" w:hAnsi="Times New Roman"/>
          <w:lang w:val="pt-BR"/>
        </w:rPr>
        <w:t>por se tratar de uma molécula plataforma</w:t>
      </w:r>
      <w:r w:rsidR="007B46A5">
        <w:rPr>
          <w:rFonts w:ascii="Times New Roman" w:hAnsi="Times New Roman"/>
          <w:lang w:val="pt-BR"/>
        </w:rPr>
        <w:t>. Entre esses produtos de grande importância para a indústria química</w:t>
      </w:r>
      <w:r w:rsidR="007077A0">
        <w:rPr>
          <w:rFonts w:ascii="Times New Roman" w:hAnsi="Times New Roman"/>
          <w:lang w:val="pt-BR"/>
        </w:rPr>
        <w:t xml:space="preserve"> </w:t>
      </w:r>
      <w:r w:rsidR="007B46A5">
        <w:rPr>
          <w:rFonts w:ascii="Times New Roman" w:hAnsi="Times New Roman"/>
          <w:lang w:val="pt-BR"/>
        </w:rPr>
        <w:t>estão etileno, hidrogênio, 1-butanol (</w:t>
      </w:r>
      <w:proofErr w:type="spellStart"/>
      <w:r w:rsidR="007B46A5">
        <w:rPr>
          <w:rFonts w:ascii="Times New Roman" w:hAnsi="Times New Roman"/>
          <w:lang w:val="pt-BR"/>
        </w:rPr>
        <w:t>BuOH</w:t>
      </w:r>
      <w:proofErr w:type="spellEnd"/>
      <w:r w:rsidR="007B46A5">
        <w:rPr>
          <w:rFonts w:ascii="Times New Roman" w:hAnsi="Times New Roman"/>
          <w:lang w:val="pt-BR"/>
        </w:rPr>
        <w:t xml:space="preserve">), </w:t>
      </w:r>
      <w:proofErr w:type="spellStart"/>
      <w:r w:rsidR="007B46A5">
        <w:rPr>
          <w:rFonts w:ascii="Times New Roman" w:hAnsi="Times New Roman"/>
          <w:lang w:val="pt-BR"/>
        </w:rPr>
        <w:t>dietil</w:t>
      </w:r>
      <w:proofErr w:type="spellEnd"/>
      <w:r w:rsidR="007B46A5">
        <w:rPr>
          <w:rFonts w:ascii="Times New Roman" w:hAnsi="Times New Roman"/>
          <w:lang w:val="pt-BR"/>
        </w:rPr>
        <w:t xml:space="preserve"> éter </w:t>
      </w:r>
      <w:r w:rsidR="00BE555D">
        <w:rPr>
          <w:rFonts w:ascii="Times New Roman" w:hAnsi="Times New Roman"/>
          <w:lang w:val="pt-BR"/>
        </w:rPr>
        <w:t xml:space="preserve">(DEE) </w:t>
      </w:r>
      <w:r w:rsidR="007B46A5">
        <w:rPr>
          <w:rFonts w:ascii="Times New Roman" w:hAnsi="Times New Roman"/>
          <w:lang w:val="pt-BR"/>
        </w:rPr>
        <w:t>e 1,3-butadieno (BD) (</w:t>
      </w:r>
      <w:r w:rsidR="00780CAD">
        <w:rPr>
          <w:rFonts w:ascii="Times New Roman" w:hAnsi="Times New Roman"/>
          <w:lang w:val="pt-BR"/>
        </w:rPr>
        <w:t>7–9</w:t>
      </w:r>
      <w:r w:rsidR="007B46A5">
        <w:rPr>
          <w:rFonts w:ascii="Times New Roman" w:hAnsi="Times New Roman"/>
          <w:lang w:val="pt-BR"/>
        </w:rPr>
        <w:t>).</w:t>
      </w:r>
    </w:p>
    <w:p w14:paraId="1B846DBE" w14:textId="4F09531A" w:rsidR="00DE065F" w:rsidRDefault="008B36CE" w:rsidP="008B36CE">
      <w:pPr>
        <w:pStyle w:val="TAMainText"/>
        <w:rPr>
          <w:rFonts w:ascii="Times New Roman" w:hAnsi="Times New Roman"/>
          <w:lang w:val="pt-BR"/>
        </w:rPr>
      </w:pPr>
      <w:r>
        <w:rPr>
          <w:rFonts w:ascii="Times New Roman" w:hAnsi="Times New Roman"/>
          <w:lang w:val="pt-BR"/>
        </w:rPr>
        <w:t xml:space="preserve">Dentre esses, o BD é um dos destaques na indústria. Estudos apontam que a </w:t>
      </w:r>
      <w:r w:rsidRPr="008B36CE">
        <w:rPr>
          <w:rFonts w:ascii="Times New Roman" w:hAnsi="Times New Roman"/>
          <w:lang w:val="pt-BR"/>
        </w:rPr>
        <w:t>demanda por unidades fabris automotivas,</w:t>
      </w:r>
      <w:r>
        <w:rPr>
          <w:rFonts w:ascii="Times New Roman" w:hAnsi="Times New Roman"/>
          <w:lang w:val="pt-BR"/>
        </w:rPr>
        <w:t xml:space="preserve"> de</w:t>
      </w:r>
      <w:r w:rsidRPr="008B36CE">
        <w:rPr>
          <w:rFonts w:ascii="Times New Roman" w:hAnsi="Times New Roman"/>
          <w:lang w:val="pt-BR"/>
        </w:rPr>
        <w:t xml:space="preserve"> plásticos e</w:t>
      </w:r>
      <w:r>
        <w:rPr>
          <w:rFonts w:ascii="Times New Roman" w:hAnsi="Times New Roman"/>
          <w:lang w:val="pt-BR"/>
        </w:rPr>
        <w:t xml:space="preserve"> de</w:t>
      </w:r>
      <w:r w:rsidRPr="008B36CE">
        <w:rPr>
          <w:rFonts w:ascii="Times New Roman" w:hAnsi="Times New Roman"/>
          <w:lang w:val="pt-BR"/>
        </w:rPr>
        <w:t xml:space="preserve"> polímeros </w:t>
      </w:r>
      <w:r>
        <w:rPr>
          <w:rFonts w:ascii="Times New Roman" w:hAnsi="Times New Roman"/>
          <w:lang w:val="pt-BR"/>
        </w:rPr>
        <w:t xml:space="preserve">tem </w:t>
      </w:r>
      <w:r w:rsidRPr="008B36CE">
        <w:rPr>
          <w:rFonts w:ascii="Times New Roman" w:hAnsi="Times New Roman"/>
          <w:lang w:val="pt-BR"/>
        </w:rPr>
        <w:t>aument</w:t>
      </w:r>
      <w:r>
        <w:rPr>
          <w:rFonts w:ascii="Times New Roman" w:hAnsi="Times New Roman"/>
          <w:lang w:val="pt-BR"/>
        </w:rPr>
        <w:t>ado e isso tem</w:t>
      </w:r>
      <w:r w:rsidRPr="008B36CE">
        <w:rPr>
          <w:rFonts w:ascii="Times New Roman" w:hAnsi="Times New Roman"/>
          <w:lang w:val="pt-BR"/>
        </w:rPr>
        <w:t xml:space="preserve"> impact</w:t>
      </w:r>
      <w:r>
        <w:rPr>
          <w:rFonts w:ascii="Times New Roman" w:hAnsi="Times New Roman"/>
          <w:lang w:val="pt-BR"/>
        </w:rPr>
        <w:t xml:space="preserve">ado </w:t>
      </w:r>
      <w:r w:rsidRPr="008B36CE">
        <w:rPr>
          <w:rFonts w:ascii="Times New Roman" w:hAnsi="Times New Roman"/>
          <w:lang w:val="pt-BR"/>
        </w:rPr>
        <w:t xml:space="preserve">positivamente a demanda </w:t>
      </w:r>
      <w:r w:rsidR="003B66E4">
        <w:rPr>
          <w:rFonts w:ascii="Times New Roman" w:hAnsi="Times New Roman"/>
          <w:lang w:val="pt-BR"/>
        </w:rPr>
        <w:t xml:space="preserve">de </w:t>
      </w:r>
      <w:r w:rsidR="0026007A">
        <w:rPr>
          <w:rFonts w:ascii="Times New Roman" w:hAnsi="Times New Roman"/>
          <w:lang w:val="pt-BR"/>
        </w:rPr>
        <w:t>produtos derivados desse químico</w:t>
      </w:r>
      <w:r w:rsidRPr="008B36CE">
        <w:rPr>
          <w:rFonts w:ascii="Times New Roman" w:hAnsi="Times New Roman"/>
          <w:lang w:val="pt-BR"/>
        </w:rPr>
        <w:t xml:space="preserve">. </w:t>
      </w:r>
      <w:r>
        <w:rPr>
          <w:rFonts w:ascii="Times New Roman" w:hAnsi="Times New Roman"/>
          <w:lang w:val="pt-BR"/>
        </w:rPr>
        <w:t>Além disso, a</w:t>
      </w:r>
      <w:r w:rsidRPr="008B36CE">
        <w:rPr>
          <w:rFonts w:ascii="Times New Roman" w:hAnsi="Times New Roman"/>
          <w:lang w:val="pt-BR"/>
        </w:rPr>
        <w:t xml:space="preserve"> inovação do </w:t>
      </w:r>
      <w:proofErr w:type="spellStart"/>
      <w:r w:rsidRPr="008B36CE">
        <w:rPr>
          <w:rFonts w:ascii="Times New Roman" w:hAnsi="Times New Roman"/>
          <w:lang w:val="pt-BR"/>
        </w:rPr>
        <w:t>biobutadieno</w:t>
      </w:r>
      <w:proofErr w:type="spellEnd"/>
      <w:r w:rsidRPr="008B36CE">
        <w:rPr>
          <w:rFonts w:ascii="Times New Roman" w:hAnsi="Times New Roman"/>
          <w:lang w:val="pt-BR"/>
        </w:rPr>
        <w:t xml:space="preserve"> deve criar</w:t>
      </w:r>
      <w:r w:rsidR="003B66E4">
        <w:rPr>
          <w:rFonts w:ascii="Times New Roman" w:hAnsi="Times New Roman"/>
          <w:lang w:val="pt-BR"/>
        </w:rPr>
        <w:t xml:space="preserve"> novas</w:t>
      </w:r>
      <w:r w:rsidRPr="008B36CE">
        <w:rPr>
          <w:rFonts w:ascii="Times New Roman" w:hAnsi="Times New Roman"/>
          <w:lang w:val="pt-BR"/>
        </w:rPr>
        <w:t xml:space="preserve"> oportunidades para o mercado nos próximos anos</w:t>
      </w:r>
      <w:r>
        <w:rPr>
          <w:rFonts w:ascii="Times New Roman" w:hAnsi="Times New Roman"/>
          <w:lang w:val="pt-BR"/>
        </w:rPr>
        <w:t xml:space="preserve"> (10)</w:t>
      </w:r>
      <w:r w:rsidRPr="008B36CE">
        <w:rPr>
          <w:rFonts w:ascii="Times New Roman" w:hAnsi="Times New Roman"/>
          <w:lang w:val="pt-BR"/>
        </w:rPr>
        <w:t>.</w:t>
      </w:r>
      <w:r w:rsidR="00F37374">
        <w:rPr>
          <w:rFonts w:ascii="Times New Roman" w:hAnsi="Times New Roman"/>
          <w:lang w:val="pt-BR"/>
        </w:rPr>
        <w:t xml:space="preserve"> </w:t>
      </w:r>
      <w:r w:rsidR="00F37374" w:rsidRPr="00F37374">
        <w:rPr>
          <w:rFonts w:ascii="Times New Roman" w:hAnsi="Times New Roman"/>
          <w:lang w:val="pt-BR"/>
        </w:rPr>
        <w:t xml:space="preserve">Atualmente, sua produção industrial acontece por dois principais métodos: isolamento </w:t>
      </w:r>
      <w:r w:rsidR="00F37374" w:rsidRPr="00F37374">
        <w:rPr>
          <w:rFonts w:ascii="Times New Roman" w:hAnsi="Times New Roman"/>
          <w:lang w:val="pt-BR"/>
        </w:rPr>
        <w:t>de frações do craqueamento a vapor de nafta de hidrocarbonetos parafínicos para a fabricação de etileno e seus homólogos superiores, responsável por mais de 95% da produção mundial de</w:t>
      </w:r>
      <w:r w:rsidR="00F37374">
        <w:rPr>
          <w:rFonts w:ascii="Times New Roman" w:hAnsi="Times New Roman"/>
          <w:lang w:val="pt-BR"/>
        </w:rPr>
        <w:t xml:space="preserve"> BD (11) </w:t>
      </w:r>
      <w:r w:rsidR="00F37374" w:rsidRPr="00F37374">
        <w:rPr>
          <w:rFonts w:ascii="Times New Roman" w:hAnsi="Times New Roman"/>
          <w:lang w:val="pt-BR"/>
        </w:rPr>
        <w:t>ou a desidrogenação catalítica e oxidativa de n-butano e n-buteno (tecnologias que dependem de matéria-prima derivada do petróleo)</w:t>
      </w:r>
      <w:r w:rsidR="00F37374">
        <w:rPr>
          <w:rFonts w:ascii="Times New Roman" w:hAnsi="Times New Roman"/>
          <w:lang w:val="pt-BR"/>
        </w:rPr>
        <w:t xml:space="preserve"> (12).</w:t>
      </w:r>
      <w:r w:rsidR="00DE065F">
        <w:rPr>
          <w:rFonts w:ascii="Times New Roman" w:hAnsi="Times New Roman"/>
          <w:lang w:val="pt-BR"/>
        </w:rPr>
        <w:t xml:space="preserve"> N</w:t>
      </w:r>
      <w:r w:rsidR="00DE065F" w:rsidRPr="00DE065F">
        <w:rPr>
          <w:rFonts w:ascii="Times New Roman" w:hAnsi="Times New Roman"/>
          <w:lang w:val="pt-BR"/>
        </w:rPr>
        <w:t>os últimos anos</w:t>
      </w:r>
      <w:r w:rsidR="00DE065F">
        <w:rPr>
          <w:rFonts w:ascii="Times New Roman" w:hAnsi="Times New Roman"/>
          <w:lang w:val="pt-BR"/>
        </w:rPr>
        <w:t>, no entanto,</w:t>
      </w:r>
      <w:r w:rsidR="00DE065F" w:rsidRPr="00DE065F">
        <w:rPr>
          <w:rFonts w:ascii="Times New Roman" w:hAnsi="Times New Roman"/>
          <w:lang w:val="pt-BR"/>
        </w:rPr>
        <w:t xml:space="preserve"> tem-se observado um renovado interesse da indústria e, consequentemente, da academia na </w:t>
      </w:r>
      <w:r w:rsidR="00DE065F">
        <w:rPr>
          <w:rFonts w:ascii="Times New Roman" w:hAnsi="Times New Roman"/>
          <w:lang w:val="pt-BR"/>
        </w:rPr>
        <w:t xml:space="preserve">produção do BD </w:t>
      </w:r>
      <w:r w:rsidR="00DE065F">
        <w:rPr>
          <w:rFonts w:ascii="Times New Roman" w:hAnsi="Times New Roman"/>
          <w:i/>
          <w:iCs/>
          <w:lang w:val="pt-BR"/>
        </w:rPr>
        <w:t>via</w:t>
      </w:r>
      <w:r w:rsidR="00DE065F">
        <w:rPr>
          <w:rFonts w:ascii="Times New Roman" w:hAnsi="Times New Roman"/>
          <w:lang w:val="pt-BR"/>
        </w:rPr>
        <w:t xml:space="preserve"> etanol</w:t>
      </w:r>
      <w:r w:rsidR="00DE065F" w:rsidRPr="00DE065F">
        <w:rPr>
          <w:rFonts w:ascii="Times New Roman" w:hAnsi="Times New Roman"/>
          <w:lang w:val="pt-BR"/>
        </w:rPr>
        <w:t xml:space="preserve"> devido à sua relevância ambiental, política e econômica.</w:t>
      </w:r>
      <w:r w:rsidR="00DE065F">
        <w:rPr>
          <w:rFonts w:ascii="Times New Roman" w:hAnsi="Times New Roman"/>
          <w:lang w:val="pt-BR"/>
        </w:rPr>
        <w:t xml:space="preserve"> </w:t>
      </w:r>
      <w:r w:rsidR="00DE065F" w:rsidRPr="00DE065F">
        <w:rPr>
          <w:rFonts w:ascii="Times New Roman" w:hAnsi="Times New Roman"/>
          <w:lang w:val="pt-BR"/>
        </w:rPr>
        <w:t xml:space="preserve">As inúmeras vantagens do </w:t>
      </w:r>
      <w:proofErr w:type="spellStart"/>
      <w:r w:rsidR="007E3945">
        <w:rPr>
          <w:rFonts w:ascii="Times New Roman" w:hAnsi="Times New Roman"/>
          <w:lang w:val="pt-BR"/>
        </w:rPr>
        <w:t>EtOH</w:t>
      </w:r>
      <w:proofErr w:type="spellEnd"/>
      <w:r w:rsidR="00DE065F" w:rsidRPr="00DE065F">
        <w:rPr>
          <w:rFonts w:ascii="Times New Roman" w:hAnsi="Times New Roman"/>
          <w:lang w:val="pt-BR"/>
        </w:rPr>
        <w:t xml:space="preserve"> o tornam uma matéria-prima promissora para a produção de </w:t>
      </w:r>
      <w:r w:rsidR="00DE065F">
        <w:rPr>
          <w:rFonts w:ascii="Times New Roman" w:hAnsi="Times New Roman"/>
          <w:lang w:val="pt-BR"/>
        </w:rPr>
        <w:t>BD</w:t>
      </w:r>
      <w:r w:rsidR="00DE065F" w:rsidRPr="00DE065F">
        <w:rPr>
          <w:rFonts w:ascii="Times New Roman" w:hAnsi="Times New Roman"/>
          <w:lang w:val="pt-BR"/>
        </w:rPr>
        <w:t xml:space="preserve"> sustentável. </w:t>
      </w:r>
      <w:r w:rsidR="009427F0">
        <w:rPr>
          <w:rFonts w:ascii="Times New Roman" w:hAnsi="Times New Roman"/>
          <w:lang w:val="pt-BR"/>
        </w:rPr>
        <w:t>Além disso</w:t>
      </w:r>
      <w:r w:rsidR="001A3DD8">
        <w:rPr>
          <w:rFonts w:ascii="Times New Roman" w:hAnsi="Times New Roman"/>
          <w:lang w:val="pt-BR"/>
        </w:rPr>
        <w:t>, a</w:t>
      </w:r>
      <w:r w:rsidR="00DE065F" w:rsidRPr="00DE065F">
        <w:rPr>
          <w:rFonts w:ascii="Times New Roman" w:hAnsi="Times New Roman"/>
          <w:lang w:val="pt-BR"/>
        </w:rPr>
        <w:t xml:space="preserve">o contrário de outras matérias-primas renováveis incipientes, o </w:t>
      </w:r>
      <w:proofErr w:type="spellStart"/>
      <w:r w:rsidR="007E3945">
        <w:rPr>
          <w:rFonts w:ascii="Times New Roman" w:hAnsi="Times New Roman"/>
          <w:lang w:val="pt-BR"/>
        </w:rPr>
        <w:t>EtOH</w:t>
      </w:r>
      <w:proofErr w:type="spellEnd"/>
      <w:r w:rsidR="00DE065F" w:rsidRPr="00DE065F">
        <w:rPr>
          <w:rFonts w:ascii="Times New Roman" w:hAnsi="Times New Roman"/>
          <w:lang w:val="pt-BR"/>
        </w:rPr>
        <w:t xml:space="preserve"> já é uma importante </w:t>
      </w:r>
      <w:r w:rsidR="00DE065F" w:rsidRPr="00DE065F">
        <w:rPr>
          <w:rFonts w:ascii="Times New Roman" w:hAnsi="Times New Roman"/>
          <w:i/>
          <w:iCs/>
          <w:lang w:val="pt-BR"/>
        </w:rPr>
        <w:t>commodity</w:t>
      </w:r>
      <w:r w:rsidR="00DE065F" w:rsidRPr="00DE065F">
        <w:rPr>
          <w:rFonts w:ascii="Times New Roman" w:hAnsi="Times New Roman"/>
          <w:lang w:val="pt-BR"/>
        </w:rPr>
        <w:t xml:space="preserve"> global</w:t>
      </w:r>
      <w:r w:rsidR="00DE065F">
        <w:rPr>
          <w:rFonts w:ascii="Times New Roman" w:hAnsi="Times New Roman"/>
          <w:lang w:val="pt-BR"/>
        </w:rPr>
        <w:t xml:space="preserve"> d</w:t>
      </w:r>
      <w:r w:rsidR="00DE065F" w:rsidRPr="00DE065F">
        <w:rPr>
          <w:rFonts w:ascii="Times New Roman" w:hAnsi="Times New Roman"/>
          <w:lang w:val="pt-BR"/>
        </w:rPr>
        <w:t>e escala industrial</w:t>
      </w:r>
      <w:r w:rsidR="00DE065F">
        <w:rPr>
          <w:rFonts w:ascii="Times New Roman" w:hAnsi="Times New Roman"/>
          <w:lang w:val="pt-BR"/>
        </w:rPr>
        <w:t xml:space="preserve"> (13).</w:t>
      </w:r>
    </w:p>
    <w:p w14:paraId="0B968722" w14:textId="4CDAD0C4" w:rsidR="00123C37" w:rsidRPr="00123C37" w:rsidRDefault="007E3945" w:rsidP="00123C37">
      <w:pPr>
        <w:pStyle w:val="TAMainText"/>
        <w:rPr>
          <w:rFonts w:ascii="Times New Roman" w:hAnsi="Times New Roman"/>
          <w:lang w:val="pt-BR"/>
        </w:rPr>
      </w:pPr>
      <w:r>
        <w:rPr>
          <w:rFonts w:ascii="Times New Roman" w:hAnsi="Times New Roman"/>
          <w:lang w:val="pt-BR"/>
        </w:rPr>
        <w:t xml:space="preserve">Quando analisamos </w:t>
      </w:r>
      <w:r w:rsidRPr="007E3945">
        <w:rPr>
          <w:rFonts w:ascii="Times New Roman" w:hAnsi="Times New Roman"/>
          <w:lang w:val="pt-BR"/>
        </w:rPr>
        <w:t>a natureza dos catalisadores envolvidos n</w:t>
      </w:r>
      <w:r w:rsidR="00BE555D">
        <w:rPr>
          <w:rFonts w:ascii="Times New Roman" w:hAnsi="Times New Roman"/>
          <w:lang w:val="pt-BR"/>
        </w:rPr>
        <w:t>a otimização da</w:t>
      </w:r>
      <w:r w:rsidRPr="007E3945">
        <w:rPr>
          <w:rFonts w:ascii="Times New Roman" w:hAnsi="Times New Roman"/>
          <w:lang w:val="pt-BR"/>
        </w:rPr>
        <w:t xml:space="preserve"> conversão do </w:t>
      </w:r>
      <w:proofErr w:type="spellStart"/>
      <w:r>
        <w:rPr>
          <w:rFonts w:ascii="Times New Roman" w:hAnsi="Times New Roman"/>
          <w:lang w:val="pt-BR"/>
        </w:rPr>
        <w:t>EtOH</w:t>
      </w:r>
      <w:proofErr w:type="spellEnd"/>
      <w:r w:rsidRPr="007E3945">
        <w:rPr>
          <w:rFonts w:ascii="Times New Roman" w:hAnsi="Times New Roman"/>
          <w:lang w:val="pt-BR"/>
        </w:rPr>
        <w:t xml:space="preserve"> a </w:t>
      </w:r>
      <w:r>
        <w:rPr>
          <w:rFonts w:ascii="Times New Roman" w:hAnsi="Times New Roman"/>
          <w:lang w:val="pt-BR"/>
        </w:rPr>
        <w:t>BD</w:t>
      </w:r>
      <w:r w:rsidRPr="007E3945">
        <w:rPr>
          <w:rFonts w:ascii="Times New Roman" w:hAnsi="Times New Roman"/>
          <w:lang w:val="pt-BR"/>
        </w:rPr>
        <w:t xml:space="preserve">, a literatura </w:t>
      </w:r>
      <w:r w:rsidR="00840484">
        <w:rPr>
          <w:rFonts w:ascii="Times New Roman" w:hAnsi="Times New Roman"/>
          <w:lang w:val="pt-BR"/>
        </w:rPr>
        <w:t xml:space="preserve">sugere </w:t>
      </w:r>
      <w:r w:rsidRPr="007E3945">
        <w:rPr>
          <w:rFonts w:ascii="Times New Roman" w:hAnsi="Times New Roman"/>
          <w:lang w:val="pt-BR"/>
        </w:rPr>
        <w:t xml:space="preserve">que componentes básicos e </w:t>
      </w:r>
      <w:proofErr w:type="spellStart"/>
      <w:r w:rsidRPr="007E3945">
        <w:rPr>
          <w:rFonts w:ascii="Times New Roman" w:hAnsi="Times New Roman"/>
          <w:lang w:val="pt-BR"/>
        </w:rPr>
        <w:t>desidrogenantes</w:t>
      </w:r>
      <w:proofErr w:type="spellEnd"/>
      <w:r w:rsidRPr="007E3945">
        <w:rPr>
          <w:rFonts w:ascii="Times New Roman" w:hAnsi="Times New Roman"/>
          <w:lang w:val="pt-BR"/>
        </w:rPr>
        <w:t xml:space="preserve"> desempenham um papel fundamental na formação do produto. Um exemplo clássico é o do </w:t>
      </w:r>
      <w:proofErr w:type="spellStart"/>
      <w:r w:rsidRPr="007E3945">
        <w:rPr>
          <w:rFonts w:ascii="Times New Roman" w:hAnsi="Times New Roman"/>
          <w:lang w:val="pt-BR"/>
        </w:rPr>
        <w:t>MgO</w:t>
      </w:r>
      <w:proofErr w:type="spellEnd"/>
      <w:r w:rsidRPr="007E3945">
        <w:rPr>
          <w:rFonts w:ascii="Times New Roman" w:hAnsi="Times New Roman"/>
          <w:lang w:val="pt-BR"/>
        </w:rPr>
        <w:t xml:space="preserve">, que é um típico catalisador para a reação de </w:t>
      </w:r>
      <w:proofErr w:type="spellStart"/>
      <w:r w:rsidRPr="007E3945">
        <w:rPr>
          <w:rFonts w:ascii="Times New Roman" w:hAnsi="Times New Roman"/>
          <w:lang w:val="pt-BR"/>
        </w:rPr>
        <w:t>Guerbet</w:t>
      </w:r>
      <w:proofErr w:type="spellEnd"/>
      <w:r w:rsidRPr="007E3945">
        <w:rPr>
          <w:rFonts w:ascii="Times New Roman" w:hAnsi="Times New Roman"/>
          <w:lang w:val="pt-BR"/>
        </w:rPr>
        <w:t xml:space="preserve"> e também está frequentemente presente no processo de Lebedev para a formação do </w:t>
      </w:r>
      <w:r w:rsidR="00840484">
        <w:rPr>
          <w:rFonts w:ascii="Times New Roman" w:hAnsi="Times New Roman"/>
          <w:lang w:val="pt-BR"/>
        </w:rPr>
        <w:t>BD (14).</w:t>
      </w:r>
      <w:r w:rsidR="00ED3AD1">
        <w:rPr>
          <w:rFonts w:ascii="Times New Roman" w:hAnsi="Times New Roman"/>
          <w:lang w:val="pt-BR"/>
        </w:rPr>
        <w:t xml:space="preserve"> </w:t>
      </w:r>
      <w:r w:rsidR="00ED3AD1" w:rsidRPr="00ED3AD1">
        <w:rPr>
          <w:rFonts w:ascii="Times New Roman" w:hAnsi="Times New Roman"/>
          <w:lang w:val="pt-BR"/>
        </w:rPr>
        <w:t xml:space="preserve">Em sistemas puramente básicos, o rendimento e a seletividade a </w:t>
      </w:r>
      <w:r w:rsidR="00ED3AD1">
        <w:rPr>
          <w:rFonts w:ascii="Times New Roman" w:hAnsi="Times New Roman"/>
          <w:lang w:val="pt-BR"/>
        </w:rPr>
        <w:t xml:space="preserve">BD </w:t>
      </w:r>
      <w:r w:rsidR="00ED3AD1" w:rsidRPr="00ED3AD1">
        <w:rPr>
          <w:rFonts w:ascii="Times New Roman" w:hAnsi="Times New Roman"/>
          <w:lang w:val="pt-BR"/>
        </w:rPr>
        <w:t xml:space="preserve">são </w:t>
      </w:r>
      <w:r w:rsidR="00ED3AD1" w:rsidRPr="00ED3AD1">
        <w:rPr>
          <w:rFonts w:ascii="Times New Roman" w:hAnsi="Times New Roman"/>
          <w:lang w:val="pt-BR"/>
        </w:rPr>
        <w:lastRenderedPageBreak/>
        <w:t xml:space="preserve">geralmente muito mais baixos do que aqueles observados com sistemas </w:t>
      </w:r>
      <w:r w:rsidR="009427F0">
        <w:rPr>
          <w:rFonts w:ascii="Times New Roman" w:hAnsi="Times New Roman"/>
          <w:lang w:val="pt-BR"/>
        </w:rPr>
        <w:t>anfóteros</w:t>
      </w:r>
      <w:r w:rsidR="00ED3AD1" w:rsidRPr="00ED3AD1">
        <w:rPr>
          <w:rFonts w:ascii="Times New Roman" w:hAnsi="Times New Roman"/>
          <w:lang w:val="pt-BR"/>
        </w:rPr>
        <w:t>. No entanto, vale ressaltar que a presença de sítios ácidos pode potencializar as rotas de desidratação concorrentes</w:t>
      </w:r>
      <w:r w:rsidR="00ED3AD1">
        <w:rPr>
          <w:rFonts w:ascii="Times New Roman" w:hAnsi="Times New Roman"/>
          <w:lang w:val="pt-BR"/>
        </w:rPr>
        <w:t xml:space="preserve"> (14,15).</w:t>
      </w:r>
      <w:r w:rsidR="00123C37">
        <w:rPr>
          <w:rFonts w:ascii="Times New Roman" w:hAnsi="Times New Roman"/>
          <w:lang w:val="pt-BR"/>
        </w:rPr>
        <w:t xml:space="preserve"> A</w:t>
      </w:r>
      <w:r w:rsidR="00123C37" w:rsidRPr="00123C37">
        <w:rPr>
          <w:rFonts w:ascii="Times New Roman" w:hAnsi="Times New Roman"/>
          <w:lang w:val="pt-BR"/>
        </w:rPr>
        <w:t>credita</w:t>
      </w:r>
      <w:r w:rsidR="00123C37">
        <w:rPr>
          <w:rFonts w:ascii="Times New Roman" w:hAnsi="Times New Roman"/>
          <w:lang w:val="pt-BR"/>
        </w:rPr>
        <w:t xml:space="preserve">-se </w:t>
      </w:r>
      <w:r w:rsidR="00123C37" w:rsidRPr="00123C37">
        <w:rPr>
          <w:rFonts w:ascii="Times New Roman" w:hAnsi="Times New Roman"/>
          <w:lang w:val="pt-BR"/>
        </w:rPr>
        <w:t xml:space="preserve">que o equilíbrio entre as propriedades ácidas e básicas do catalisador, ou seja, </w:t>
      </w:r>
      <w:r w:rsidR="009427F0">
        <w:rPr>
          <w:rFonts w:ascii="Times New Roman" w:hAnsi="Times New Roman"/>
          <w:lang w:val="pt-BR"/>
        </w:rPr>
        <w:t>o</w:t>
      </w:r>
      <w:r w:rsidR="00123C37" w:rsidRPr="00123C37">
        <w:rPr>
          <w:rFonts w:ascii="Times New Roman" w:hAnsi="Times New Roman"/>
          <w:lang w:val="pt-BR"/>
        </w:rPr>
        <w:t xml:space="preserve"> adequad</w:t>
      </w:r>
      <w:r w:rsidR="009427F0">
        <w:rPr>
          <w:rFonts w:ascii="Times New Roman" w:hAnsi="Times New Roman"/>
          <w:lang w:val="pt-BR"/>
        </w:rPr>
        <w:t xml:space="preserve">o ajuste </w:t>
      </w:r>
      <w:r w:rsidR="00123C37" w:rsidRPr="00123C37">
        <w:rPr>
          <w:rFonts w:ascii="Times New Roman" w:hAnsi="Times New Roman"/>
          <w:lang w:val="pt-BR"/>
        </w:rPr>
        <w:t xml:space="preserve">desses sítios seja crucial para otimizar a produção de </w:t>
      </w:r>
      <w:r w:rsidR="00123C37">
        <w:rPr>
          <w:rFonts w:ascii="Times New Roman" w:hAnsi="Times New Roman"/>
          <w:lang w:val="pt-BR"/>
        </w:rPr>
        <w:t>BD (16,17).</w:t>
      </w:r>
    </w:p>
    <w:p w14:paraId="531331AC" w14:textId="12D1E416" w:rsidR="003A3546" w:rsidRDefault="00C71331" w:rsidP="00FD1EFB">
      <w:pPr>
        <w:pStyle w:val="TAMainText"/>
        <w:rPr>
          <w:rFonts w:ascii="Times New Roman" w:hAnsi="Times New Roman"/>
          <w:lang w:val="pt-BR"/>
        </w:rPr>
      </w:pPr>
      <w:proofErr w:type="spellStart"/>
      <w:r w:rsidRPr="00C71331">
        <w:rPr>
          <w:rFonts w:ascii="Times New Roman" w:hAnsi="Times New Roman"/>
          <w:lang w:val="pt-BR"/>
        </w:rPr>
        <w:t>Niiyama</w:t>
      </w:r>
      <w:proofErr w:type="spellEnd"/>
      <w:r w:rsidRPr="00C71331">
        <w:rPr>
          <w:rFonts w:ascii="Times New Roman" w:hAnsi="Times New Roman"/>
          <w:lang w:val="pt-BR"/>
        </w:rPr>
        <w:t xml:space="preserve"> e colaboradores utilizaram um catalisador MgO-SiO</w:t>
      </w:r>
      <w:r w:rsidRPr="00C71331">
        <w:rPr>
          <w:rFonts w:ascii="Times New Roman" w:hAnsi="Times New Roman"/>
          <w:vertAlign w:val="subscript"/>
          <w:lang w:val="pt-BR"/>
        </w:rPr>
        <w:t>2</w:t>
      </w:r>
      <w:r w:rsidRPr="00C71331">
        <w:rPr>
          <w:rFonts w:ascii="Times New Roman" w:hAnsi="Times New Roman"/>
          <w:lang w:val="pt-BR"/>
        </w:rPr>
        <w:t xml:space="preserve"> (75 % molar </w:t>
      </w:r>
      <w:proofErr w:type="spellStart"/>
      <w:r w:rsidRPr="00C71331">
        <w:rPr>
          <w:rFonts w:ascii="Times New Roman" w:hAnsi="Times New Roman"/>
          <w:lang w:val="pt-BR"/>
        </w:rPr>
        <w:t>MgO</w:t>
      </w:r>
      <w:proofErr w:type="spellEnd"/>
      <w:r w:rsidRPr="00C71331">
        <w:rPr>
          <w:rFonts w:ascii="Times New Roman" w:hAnsi="Times New Roman"/>
          <w:lang w:val="pt-BR"/>
        </w:rPr>
        <w:t xml:space="preserve">) para investigar o mecanismo dessa reação, estudando a correlação entre as propriedades </w:t>
      </w:r>
      <w:proofErr w:type="spellStart"/>
      <w:r w:rsidR="008A0CCA">
        <w:rPr>
          <w:rFonts w:ascii="Times New Roman" w:hAnsi="Times New Roman"/>
          <w:lang w:val="pt-BR"/>
        </w:rPr>
        <w:t>á</w:t>
      </w:r>
      <w:r w:rsidRPr="00C71331">
        <w:rPr>
          <w:rFonts w:ascii="Times New Roman" w:hAnsi="Times New Roman"/>
          <w:lang w:val="pt-BR"/>
        </w:rPr>
        <w:t>cido</w:t>
      </w:r>
      <w:r w:rsidR="008A0CCA">
        <w:rPr>
          <w:rFonts w:ascii="Times New Roman" w:hAnsi="Times New Roman"/>
          <w:lang w:val="pt-BR"/>
        </w:rPr>
        <w:t>-</w:t>
      </w:r>
      <w:r w:rsidRPr="00C71331">
        <w:rPr>
          <w:rFonts w:ascii="Times New Roman" w:hAnsi="Times New Roman"/>
          <w:lang w:val="pt-BR"/>
        </w:rPr>
        <w:t>b</w:t>
      </w:r>
      <w:r>
        <w:rPr>
          <w:rFonts w:ascii="Times New Roman" w:hAnsi="Times New Roman"/>
          <w:lang w:val="pt-BR"/>
        </w:rPr>
        <w:t>á</w:t>
      </w:r>
      <w:r w:rsidRPr="00C71331">
        <w:rPr>
          <w:rFonts w:ascii="Times New Roman" w:hAnsi="Times New Roman"/>
          <w:lang w:val="pt-BR"/>
        </w:rPr>
        <w:t>s</w:t>
      </w:r>
      <w:r>
        <w:rPr>
          <w:rFonts w:ascii="Times New Roman" w:hAnsi="Times New Roman"/>
          <w:lang w:val="pt-BR"/>
        </w:rPr>
        <w:t>icas</w:t>
      </w:r>
      <w:proofErr w:type="spellEnd"/>
      <w:r w:rsidRPr="00C71331">
        <w:rPr>
          <w:rFonts w:ascii="Times New Roman" w:hAnsi="Times New Roman"/>
          <w:lang w:val="pt-BR"/>
        </w:rPr>
        <w:t xml:space="preserve"> e a atividade desses catalisadores. Como a etapa controladora dessa reação é a desidrogenação do </w:t>
      </w:r>
      <w:proofErr w:type="spellStart"/>
      <w:r>
        <w:rPr>
          <w:rFonts w:ascii="Times New Roman" w:hAnsi="Times New Roman"/>
          <w:lang w:val="pt-BR"/>
        </w:rPr>
        <w:t>EtOH</w:t>
      </w:r>
      <w:proofErr w:type="spellEnd"/>
      <w:r w:rsidRPr="00C71331">
        <w:rPr>
          <w:rFonts w:ascii="Times New Roman" w:hAnsi="Times New Roman"/>
          <w:lang w:val="pt-BR"/>
        </w:rPr>
        <w:t xml:space="preserve"> catalisada por sítios básicos, os autores esperavam que a taxa de formação do </w:t>
      </w:r>
      <w:r>
        <w:rPr>
          <w:rFonts w:ascii="Times New Roman" w:hAnsi="Times New Roman"/>
          <w:lang w:val="pt-BR"/>
        </w:rPr>
        <w:t>BD</w:t>
      </w:r>
      <w:r w:rsidRPr="00C71331">
        <w:rPr>
          <w:rFonts w:ascii="Times New Roman" w:hAnsi="Times New Roman"/>
          <w:lang w:val="pt-BR"/>
        </w:rPr>
        <w:t xml:space="preserve"> fosse aumentar com o teor de </w:t>
      </w:r>
      <w:proofErr w:type="spellStart"/>
      <w:r w:rsidRPr="00C71331">
        <w:rPr>
          <w:rFonts w:ascii="Times New Roman" w:hAnsi="Times New Roman"/>
          <w:lang w:val="pt-BR"/>
        </w:rPr>
        <w:t>MgO</w:t>
      </w:r>
      <w:proofErr w:type="spellEnd"/>
      <w:r w:rsidRPr="00C71331">
        <w:rPr>
          <w:rFonts w:ascii="Times New Roman" w:hAnsi="Times New Roman"/>
          <w:lang w:val="pt-BR"/>
        </w:rPr>
        <w:t xml:space="preserve">, o que não foi o caso. Quando o catalisador </w:t>
      </w:r>
      <w:proofErr w:type="spellStart"/>
      <w:r w:rsidRPr="00C71331">
        <w:rPr>
          <w:rFonts w:ascii="Times New Roman" w:hAnsi="Times New Roman"/>
          <w:lang w:val="pt-BR"/>
        </w:rPr>
        <w:t>MgO</w:t>
      </w:r>
      <w:proofErr w:type="spellEnd"/>
      <w:r w:rsidRPr="00C71331">
        <w:rPr>
          <w:rFonts w:ascii="Times New Roman" w:hAnsi="Times New Roman"/>
          <w:lang w:val="pt-BR"/>
        </w:rPr>
        <w:t xml:space="preserve"> foi usado, </w:t>
      </w:r>
      <w:proofErr w:type="spellStart"/>
      <w:r w:rsidRPr="00C71331">
        <w:rPr>
          <w:rFonts w:ascii="Times New Roman" w:hAnsi="Times New Roman"/>
          <w:lang w:val="pt-BR"/>
        </w:rPr>
        <w:t>crotonaldeído</w:t>
      </w:r>
      <w:proofErr w:type="spellEnd"/>
      <w:r w:rsidRPr="00C71331">
        <w:rPr>
          <w:rFonts w:ascii="Times New Roman" w:hAnsi="Times New Roman"/>
          <w:lang w:val="pt-BR"/>
        </w:rPr>
        <w:t xml:space="preserve"> foi encontrado nos produtos, indicando que o </w:t>
      </w:r>
      <w:proofErr w:type="spellStart"/>
      <w:r w:rsidRPr="00C71331">
        <w:rPr>
          <w:rFonts w:ascii="Times New Roman" w:hAnsi="Times New Roman"/>
          <w:lang w:val="pt-BR"/>
        </w:rPr>
        <w:t>MgO</w:t>
      </w:r>
      <w:proofErr w:type="spellEnd"/>
      <w:r w:rsidRPr="00C71331">
        <w:rPr>
          <w:rFonts w:ascii="Times New Roman" w:hAnsi="Times New Roman"/>
          <w:lang w:val="pt-BR"/>
        </w:rPr>
        <w:t xml:space="preserve"> tem uma atividade catalítica na reação de condensação </w:t>
      </w:r>
      <w:proofErr w:type="spellStart"/>
      <w:r w:rsidRPr="00C71331">
        <w:rPr>
          <w:rFonts w:ascii="Times New Roman" w:hAnsi="Times New Roman"/>
          <w:lang w:val="pt-BR"/>
        </w:rPr>
        <w:t>aldólica</w:t>
      </w:r>
      <w:proofErr w:type="spellEnd"/>
      <w:r w:rsidRPr="00C71331">
        <w:rPr>
          <w:rFonts w:ascii="Times New Roman" w:hAnsi="Times New Roman"/>
          <w:lang w:val="pt-BR"/>
        </w:rPr>
        <w:t xml:space="preserve">. A baixa atividade do catalisador </w:t>
      </w:r>
      <w:proofErr w:type="spellStart"/>
      <w:r w:rsidRPr="00C71331">
        <w:rPr>
          <w:rFonts w:ascii="Times New Roman" w:hAnsi="Times New Roman"/>
          <w:lang w:val="pt-BR"/>
        </w:rPr>
        <w:t>MgO</w:t>
      </w:r>
      <w:proofErr w:type="spellEnd"/>
      <w:r w:rsidRPr="00C71331">
        <w:rPr>
          <w:rFonts w:ascii="Times New Roman" w:hAnsi="Times New Roman"/>
          <w:lang w:val="pt-BR"/>
        </w:rPr>
        <w:t xml:space="preserve"> na reação foi atribuída à baixa atividade de desidratação para a etapa final catalisada por sítios ácidos. Com isso, os autores concluíram que ambos sítios ácidos e básicos são necessários para aumentar a produtividade de </w:t>
      </w:r>
      <w:r>
        <w:rPr>
          <w:rFonts w:ascii="Times New Roman" w:hAnsi="Times New Roman"/>
          <w:lang w:val="pt-BR"/>
        </w:rPr>
        <w:t xml:space="preserve">BD (18). </w:t>
      </w:r>
      <w:r w:rsidR="003A3546">
        <w:rPr>
          <w:rFonts w:ascii="Times New Roman" w:hAnsi="Times New Roman"/>
          <w:lang w:val="pt-BR"/>
        </w:rPr>
        <w:t>Outro importante sistema que vem sendo</w:t>
      </w:r>
      <w:r w:rsidR="00FD1EFB">
        <w:rPr>
          <w:rFonts w:ascii="Times New Roman" w:hAnsi="Times New Roman"/>
          <w:lang w:val="pt-BR"/>
        </w:rPr>
        <w:t xml:space="preserve"> estudado é</w:t>
      </w:r>
      <w:r w:rsidR="003A3546" w:rsidRPr="003A3546">
        <w:rPr>
          <w:rFonts w:ascii="Times New Roman" w:hAnsi="Times New Roman"/>
          <w:lang w:val="pt-BR"/>
        </w:rPr>
        <w:t xml:space="preserve"> catalisador de óxido duplo </w:t>
      </w:r>
      <w:proofErr w:type="spellStart"/>
      <w:r w:rsidR="003A3546" w:rsidRPr="003A3546">
        <w:rPr>
          <w:rFonts w:ascii="Times New Roman" w:hAnsi="Times New Roman"/>
          <w:lang w:val="pt-BR"/>
        </w:rPr>
        <w:t>Mg</w:t>
      </w:r>
      <w:r w:rsidR="003A3546" w:rsidRPr="003A3546">
        <w:rPr>
          <w:rFonts w:ascii="Times New Roman" w:hAnsi="Times New Roman"/>
          <w:vertAlign w:val="subscript"/>
          <w:lang w:val="pt-BR"/>
        </w:rPr>
        <w:t>x</w:t>
      </w:r>
      <w:r w:rsidR="003A3546" w:rsidRPr="003A3546">
        <w:rPr>
          <w:rFonts w:ascii="Times New Roman" w:hAnsi="Times New Roman"/>
          <w:lang w:val="pt-BR"/>
        </w:rPr>
        <w:t>AlO</w:t>
      </w:r>
      <w:r w:rsidR="003A3546" w:rsidRPr="003A3546">
        <w:rPr>
          <w:rFonts w:ascii="Times New Roman" w:hAnsi="Times New Roman"/>
          <w:vertAlign w:val="subscript"/>
          <w:lang w:val="pt-BR"/>
        </w:rPr>
        <w:t>y</w:t>
      </w:r>
      <w:proofErr w:type="spellEnd"/>
      <w:r w:rsidR="003A3546" w:rsidRPr="003A3546">
        <w:rPr>
          <w:rFonts w:ascii="Times New Roman" w:hAnsi="Times New Roman"/>
          <w:lang w:val="pt-BR"/>
        </w:rPr>
        <w:t xml:space="preserve"> na reação de conversão do </w:t>
      </w:r>
      <w:proofErr w:type="spellStart"/>
      <w:r w:rsidR="00FD1EFB">
        <w:rPr>
          <w:rFonts w:ascii="Times New Roman" w:hAnsi="Times New Roman"/>
          <w:lang w:val="pt-BR"/>
        </w:rPr>
        <w:t>EtOH</w:t>
      </w:r>
      <w:proofErr w:type="spellEnd"/>
      <w:r w:rsidR="003A3546" w:rsidRPr="003A3546">
        <w:rPr>
          <w:rFonts w:ascii="Times New Roman" w:hAnsi="Times New Roman"/>
          <w:lang w:val="pt-BR"/>
        </w:rPr>
        <w:t xml:space="preserve"> a produtos superiores</w:t>
      </w:r>
      <w:r w:rsidR="00FD1EFB">
        <w:rPr>
          <w:rFonts w:ascii="Times New Roman" w:hAnsi="Times New Roman"/>
          <w:lang w:val="pt-BR"/>
        </w:rPr>
        <w:t xml:space="preserve"> (</w:t>
      </w:r>
      <w:r w:rsidR="003B66E4">
        <w:rPr>
          <w:rFonts w:ascii="Times New Roman" w:hAnsi="Times New Roman"/>
          <w:lang w:val="pt-BR"/>
        </w:rPr>
        <w:t>19</w:t>
      </w:r>
      <w:r w:rsidR="0069368A">
        <w:rPr>
          <w:rFonts w:ascii="Times New Roman" w:hAnsi="Times New Roman"/>
          <w:lang w:val="pt-BR"/>
        </w:rPr>
        <w:t>–2</w:t>
      </w:r>
      <w:r w:rsidR="003B66E4">
        <w:rPr>
          <w:rFonts w:ascii="Times New Roman" w:hAnsi="Times New Roman"/>
          <w:lang w:val="pt-BR"/>
        </w:rPr>
        <w:t>1</w:t>
      </w:r>
      <w:r w:rsidR="00FD1EFB">
        <w:rPr>
          <w:rFonts w:ascii="Times New Roman" w:hAnsi="Times New Roman"/>
          <w:lang w:val="pt-BR"/>
        </w:rPr>
        <w:t>)</w:t>
      </w:r>
      <w:r w:rsidR="003A3546" w:rsidRPr="003A3546">
        <w:rPr>
          <w:rFonts w:ascii="Times New Roman" w:hAnsi="Times New Roman"/>
          <w:lang w:val="pt-BR"/>
        </w:rPr>
        <w:t xml:space="preserve">. </w:t>
      </w:r>
      <w:r w:rsidR="001D2B1B">
        <w:rPr>
          <w:rFonts w:ascii="Times New Roman" w:hAnsi="Times New Roman"/>
          <w:lang w:val="pt-BR"/>
        </w:rPr>
        <w:t>Em um estudo</w:t>
      </w:r>
      <w:r w:rsidR="003A3546" w:rsidRPr="003A3546">
        <w:rPr>
          <w:rFonts w:ascii="Times New Roman" w:hAnsi="Times New Roman"/>
          <w:lang w:val="pt-BR"/>
        </w:rPr>
        <w:t>,</w:t>
      </w:r>
      <w:r w:rsidR="00925AD7">
        <w:rPr>
          <w:rFonts w:ascii="Times New Roman" w:hAnsi="Times New Roman"/>
          <w:lang w:val="pt-BR"/>
        </w:rPr>
        <w:t xml:space="preserve"> os</w:t>
      </w:r>
      <w:r w:rsidR="003A3546" w:rsidRPr="003A3546">
        <w:rPr>
          <w:rFonts w:ascii="Times New Roman" w:hAnsi="Times New Roman"/>
          <w:lang w:val="pt-BR"/>
        </w:rPr>
        <w:t xml:space="preserve"> óxidos foram sintetizados por diferentes métodos de preparo e aplicado na condensação catalítica do </w:t>
      </w:r>
      <w:proofErr w:type="spellStart"/>
      <w:r w:rsidR="00925AD7">
        <w:rPr>
          <w:rFonts w:ascii="Times New Roman" w:hAnsi="Times New Roman"/>
          <w:lang w:val="pt-BR"/>
        </w:rPr>
        <w:t>EtOH</w:t>
      </w:r>
      <w:proofErr w:type="spellEnd"/>
      <w:r w:rsidR="003A3546" w:rsidRPr="003A3546">
        <w:rPr>
          <w:rFonts w:ascii="Times New Roman" w:hAnsi="Times New Roman"/>
          <w:lang w:val="pt-BR"/>
        </w:rPr>
        <w:t>. O catalisador mostrou-se ativo tanto para a reação de desidratação (pela presença de sítios ácidos) quanto para as reações de hidrogenação/desidrogenação (por sítios básicos de força média)</w:t>
      </w:r>
      <w:r w:rsidR="00925AD7">
        <w:rPr>
          <w:rFonts w:ascii="Times New Roman" w:hAnsi="Times New Roman"/>
          <w:lang w:val="pt-BR"/>
        </w:rPr>
        <w:t xml:space="preserve"> (</w:t>
      </w:r>
      <w:r w:rsidR="003B66E4">
        <w:rPr>
          <w:rFonts w:ascii="Times New Roman" w:hAnsi="Times New Roman"/>
          <w:lang w:val="pt-BR"/>
        </w:rPr>
        <w:t>19</w:t>
      </w:r>
      <w:r w:rsidR="00925AD7">
        <w:rPr>
          <w:rFonts w:ascii="Times New Roman" w:hAnsi="Times New Roman"/>
          <w:lang w:val="pt-BR"/>
        </w:rPr>
        <w:t xml:space="preserve">). </w:t>
      </w:r>
      <w:r w:rsidR="001D2B1B">
        <w:rPr>
          <w:rFonts w:ascii="Times New Roman" w:hAnsi="Times New Roman"/>
          <w:lang w:val="pt-BR"/>
        </w:rPr>
        <w:t>Em um estudo posterior</w:t>
      </w:r>
      <w:r w:rsidR="00925AD7" w:rsidRPr="00925AD7">
        <w:rPr>
          <w:rFonts w:ascii="Times New Roman" w:hAnsi="Times New Roman"/>
          <w:lang w:val="pt-BR"/>
        </w:rPr>
        <w:t xml:space="preserve">, catalisadores de óxidos mistos derivados de </w:t>
      </w:r>
      <w:proofErr w:type="spellStart"/>
      <w:r w:rsidR="00925AD7" w:rsidRPr="00925AD7">
        <w:rPr>
          <w:rFonts w:ascii="Times New Roman" w:hAnsi="Times New Roman"/>
          <w:lang w:val="pt-BR"/>
        </w:rPr>
        <w:t>hidrotalcita</w:t>
      </w:r>
      <w:proofErr w:type="spellEnd"/>
      <w:r w:rsidR="00925AD7" w:rsidRPr="00925AD7">
        <w:rPr>
          <w:rFonts w:ascii="Times New Roman" w:hAnsi="Times New Roman"/>
          <w:lang w:val="pt-BR"/>
        </w:rPr>
        <w:t xml:space="preserve"> Mg</w:t>
      </w:r>
      <w:r w:rsidR="00925AD7" w:rsidRPr="00925AD7">
        <w:rPr>
          <w:rFonts w:ascii="Times New Roman" w:hAnsi="Times New Roman"/>
          <w:vertAlign w:val="subscript"/>
          <w:lang w:val="pt-BR"/>
        </w:rPr>
        <w:t>3</w:t>
      </w:r>
      <w:r w:rsidR="00925AD7" w:rsidRPr="00925AD7">
        <w:rPr>
          <w:rFonts w:ascii="Times New Roman" w:hAnsi="Times New Roman"/>
          <w:lang w:val="pt-BR"/>
        </w:rPr>
        <w:t>AlO</w:t>
      </w:r>
      <w:r w:rsidR="00925AD7" w:rsidRPr="00925AD7">
        <w:rPr>
          <w:rFonts w:ascii="Times New Roman" w:hAnsi="Times New Roman"/>
          <w:vertAlign w:val="subscript"/>
          <w:lang w:val="pt-BR"/>
        </w:rPr>
        <w:t>x</w:t>
      </w:r>
      <w:r w:rsidR="00925AD7" w:rsidRPr="00925AD7">
        <w:rPr>
          <w:rFonts w:ascii="Times New Roman" w:hAnsi="Times New Roman"/>
          <w:lang w:val="pt-BR"/>
        </w:rPr>
        <w:t xml:space="preserve"> foram analisados e observou-se que o </w:t>
      </w:r>
      <w:proofErr w:type="spellStart"/>
      <w:r w:rsidR="00925AD7">
        <w:rPr>
          <w:rFonts w:ascii="Times New Roman" w:hAnsi="Times New Roman"/>
          <w:lang w:val="pt-BR"/>
        </w:rPr>
        <w:t>EtOH</w:t>
      </w:r>
      <w:proofErr w:type="spellEnd"/>
      <w:r w:rsidR="00925AD7" w:rsidRPr="00925AD7">
        <w:rPr>
          <w:rFonts w:ascii="Times New Roman" w:hAnsi="Times New Roman"/>
          <w:lang w:val="pt-BR"/>
        </w:rPr>
        <w:t xml:space="preserve"> produziu principalmente </w:t>
      </w:r>
      <w:proofErr w:type="spellStart"/>
      <w:r w:rsidR="00925AD7">
        <w:rPr>
          <w:rFonts w:ascii="Times New Roman" w:hAnsi="Times New Roman"/>
          <w:lang w:val="pt-BR"/>
        </w:rPr>
        <w:t>BuOH</w:t>
      </w:r>
      <w:proofErr w:type="spellEnd"/>
      <w:r w:rsidR="00925AD7" w:rsidRPr="00925AD7">
        <w:rPr>
          <w:rFonts w:ascii="Times New Roman" w:hAnsi="Times New Roman"/>
          <w:lang w:val="pt-BR"/>
        </w:rPr>
        <w:t xml:space="preserve"> e</w:t>
      </w:r>
      <w:r w:rsidR="00925AD7">
        <w:rPr>
          <w:rFonts w:ascii="Times New Roman" w:hAnsi="Times New Roman"/>
          <w:lang w:val="pt-BR"/>
        </w:rPr>
        <w:t xml:space="preserve"> BD</w:t>
      </w:r>
      <w:r w:rsidR="00925AD7" w:rsidRPr="00925AD7">
        <w:rPr>
          <w:rFonts w:ascii="Times New Roman" w:hAnsi="Times New Roman"/>
          <w:lang w:val="pt-BR"/>
        </w:rPr>
        <w:t>, apesar de quantidades consideráveis de etileno ter</w:t>
      </w:r>
      <w:r w:rsidR="00AE460E">
        <w:rPr>
          <w:rFonts w:ascii="Times New Roman" w:hAnsi="Times New Roman"/>
          <w:lang w:val="pt-BR"/>
        </w:rPr>
        <w:t>em</w:t>
      </w:r>
      <w:r w:rsidR="00925AD7" w:rsidRPr="00925AD7">
        <w:rPr>
          <w:rFonts w:ascii="Times New Roman" w:hAnsi="Times New Roman"/>
          <w:lang w:val="pt-BR"/>
        </w:rPr>
        <w:t xml:space="preserve"> sido detectada</w:t>
      </w:r>
      <w:r w:rsidR="008A0CCA">
        <w:rPr>
          <w:rFonts w:ascii="Times New Roman" w:hAnsi="Times New Roman"/>
          <w:lang w:val="pt-BR"/>
        </w:rPr>
        <w:t>s</w:t>
      </w:r>
      <w:r w:rsidR="00925AD7" w:rsidRPr="00925AD7">
        <w:rPr>
          <w:rFonts w:ascii="Times New Roman" w:hAnsi="Times New Roman"/>
          <w:lang w:val="pt-BR"/>
        </w:rPr>
        <w:t xml:space="preserve"> a altas temperaturas, sugerindo a existência de um intervalo de temperatura </w:t>
      </w:r>
      <w:r w:rsidR="00AE460E">
        <w:rPr>
          <w:rFonts w:ascii="Times New Roman" w:hAnsi="Times New Roman"/>
          <w:lang w:val="pt-BR"/>
        </w:rPr>
        <w:t>em que</w:t>
      </w:r>
      <w:r w:rsidR="00925AD7" w:rsidRPr="00925AD7">
        <w:rPr>
          <w:rFonts w:ascii="Times New Roman" w:hAnsi="Times New Roman"/>
          <w:lang w:val="pt-BR"/>
        </w:rPr>
        <w:t xml:space="preserve"> os sítios básicos são ativos, mas os sítios ácidos não</w:t>
      </w:r>
      <w:r w:rsidR="00925AD7">
        <w:rPr>
          <w:rFonts w:ascii="Times New Roman" w:hAnsi="Times New Roman"/>
          <w:lang w:val="pt-BR"/>
        </w:rPr>
        <w:t xml:space="preserve"> (2</w:t>
      </w:r>
      <w:r w:rsidR="003B66E4">
        <w:rPr>
          <w:rFonts w:ascii="Times New Roman" w:hAnsi="Times New Roman"/>
          <w:lang w:val="pt-BR"/>
        </w:rPr>
        <w:t>0</w:t>
      </w:r>
      <w:r w:rsidR="00925AD7">
        <w:rPr>
          <w:rFonts w:ascii="Times New Roman" w:hAnsi="Times New Roman"/>
          <w:lang w:val="pt-BR"/>
        </w:rPr>
        <w:t>).</w:t>
      </w:r>
      <w:r w:rsidR="000F374F">
        <w:rPr>
          <w:rFonts w:ascii="Times New Roman" w:hAnsi="Times New Roman"/>
          <w:lang w:val="pt-BR"/>
        </w:rPr>
        <w:t xml:space="preserve"> </w:t>
      </w:r>
      <w:r w:rsidR="000F374F" w:rsidRPr="000F374F">
        <w:rPr>
          <w:rFonts w:ascii="Times New Roman" w:hAnsi="Times New Roman"/>
          <w:lang w:val="pt-BR"/>
        </w:rPr>
        <w:t>No entanto, apesar dos extensos estudos, a complexidade desse sistema permite que haja ainda tópicos a serem explorados, seja na melhor compreensão dos mecanismos de reação, seja no desenvolvimento de novos materiais catalíticos.</w:t>
      </w:r>
    </w:p>
    <w:p w14:paraId="196D38C2" w14:textId="6D754FB0" w:rsidR="0030265A" w:rsidRDefault="00D127C4" w:rsidP="0030265A">
      <w:pPr>
        <w:pStyle w:val="TAMainText"/>
        <w:rPr>
          <w:rFonts w:ascii="Times New Roman" w:hAnsi="Times New Roman"/>
          <w:lang w:val="pt-BR"/>
        </w:rPr>
      </w:pPr>
      <w:r>
        <w:rPr>
          <w:rFonts w:ascii="Times New Roman" w:hAnsi="Times New Roman"/>
          <w:lang w:val="pt-BR"/>
        </w:rPr>
        <w:t xml:space="preserve">Nesse cenário, este trabalho </w:t>
      </w:r>
      <w:r w:rsidR="00DF55DD">
        <w:rPr>
          <w:rFonts w:ascii="Times New Roman" w:hAnsi="Times New Roman"/>
          <w:lang w:val="pt-BR"/>
        </w:rPr>
        <w:t xml:space="preserve">procura contribuir no desenvolvimento de novos materiais que têm potencial de atuar como catalisadores para a produção de BD a partir da conversão do </w:t>
      </w:r>
      <w:proofErr w:type="spellStart"/>
      <w:r w:rsidR="00DF55DD">
        <w:rPr>
          <w:rFonts w:ascii="Times New Roman" w:hAnsi="Times New Roman"/>
          <w:lang w:val="pt-BR"/>
        </w:rPr>
        <w:t>EtOH</w:t>
      </w:r>
      <w:proofErr w:type="spellEnd"/>
      <w:r w:rsidR="00DF55DD">
        <w:rPr>
          <w:rFonts w:ascii="Times New Roman" w:hAnsi="Times New Roman"/>
          <w:lang w:val="pt-BR"/>
        </w:rPr>
        <w:t xml:space="preserve">. Sabendo-se da importância das propriedades </w:t>
      </w:r>
      <w:proofErr w:type="spellStart"/>
      <w:r w:rsidR="0091305A">
        <w:rPr>
          <w:rFonts w:ascii="Times New Roman" w:hAnsi="Times New Roman"/>
          <w:lang w:val="pt-BR"/>
        </w:rPr>
        <w:t>á</w:t>
      </w:r>
      <w:r w:rsidR="00DF55DD">
        <w:rPr>
          <w:rFonts w:ascii="Times New Roman" w:hAnsi="Times New Roman"/>
          <w:lang w:val="pt-BR"/>
        </w:rPr>
        <w:t>cido</w:t>
      </w:r>
      <w:r w:rsidR="0091305A">
        <w:rPr>
          <w:rFonts w:ascii="Times New Roman" w:hAnsi="Times New Roman"/>
          <w:lang w:val="pt-BR"/>
        </w:rPr>
        <w:t>-</w:t>
      </w:r>
      <w:r w:rsidR="00DF55DD">
        <w:rPr>
          <w:rFonts w:ascii="Times New Roman" w:hAnsi="Times New Roman"/>
          <w:lang w:val="pt-BR"/>
        </w:rPr>
        <w:t>básicas</w:t>
      </w:r>
      <w:proofErr w:type="spellEnd"/>
      <w:r w:rsidR="00DF55DD">
        <w:rPr>
          <w:rFonts w:ascii="Times New Roman" w:hAnsi="Times New Roman"/>
          <w:lang w:val="pt-BR"/>
        </w:rPr>
        <w:t xml:space="preserve">, </w:t>
      </w:r>
      <w:r w:rsidR="00341F80">
        <w:rPr>
          <w:rFonts w:ascii="Times New Roman" w:hAnsi="Times New Roman"/>
          <w:lang w:val="pt-BR"/>
        </w:rPr>
        <w:t>buscou-se explorar a combinação</w:t>
      </w:r>
      <w:r w:rsidR="000D3DC2">
        <w:rPr>
          <w:rFonts w:ascii="Times New Roman" w:hAnsi="Times New Roman"/>
          <w:lang w:val="pt-BR"/>
        </w:rPr>
        <w:t xml:space="preserve"> de óxidos de </w:t>
      </w:r>
      <w:proofErr w:type="spellStart"/>
      <w:r w:rsidR="000D3DC2" w:rsidRPr="000D3DC2">
        <w:rPr>
          <w:rFonts w:ascii="Times New Roman" w:hAnsi="Times New Roman"/>
          <w:lang w:val="pt-BR"/>
        </w:rPr>
        <w:t>Mg</w:t>
      </w:r>
      <w:r w:rsidR="000D3DC2" w:rsidRPr="000D3DC2">
        <w:rPr>
          <w:rFonts w:ascii="Times New Roman" w:hAnsi="Times New Roman"/>
          <w:vertAlign w:val="subscript"/>
          <w:lang w:val="pt-BR"/>
        </w:rPr>
        <w:t>x</w:t>
      </w:r>
      <w:r w:rsidR="000D3DC2" w:rsidRPr="000D3DC2">
        <w:rPr>
          <w:rFonts w:ascii="Times New Roman" w:hAnsi="Times New Roman"/>
          <w:lang w:val="pt-BR"/>
        </w:rPr>
        <w:t>AlO</w:t>
      </w:r>
      <w:r w:rsidR="000D3DC2" w:rsidRPr="000D3DC2">
        <w:rPr>
          <w:rFonts w:ascii="Times New Roman" w:hAnsi="Times New Roman"/>
          <w:vertAlign w:val="subscript"/>
          <w:lang w:val="pt-BR"/>
        </w:rPr>
        <w:t>y</w:t>
      </w:r>
      <w:proofErr w:type="spellEnd"/>
      <w:r w:rsidR="000D3DC2">
        <w:rPr>
          <w:rFonts w:ascii="Times New Roman" w:hAnsi="Times New Roman"/>
          <w:lang w:val="pt-BR"/>
        </w:rPr>
        <w:t xml:space="preserve"> e </w:t>
      </w:r>
      <w:r w:rsidR="000D3DC2" w:rsidRPr="000D3DC2">
        <w:rPr>
          <w:rFonts w:ascii="Times New Roman" w:hAnsi="Times New Roman"/>
          <w:lang w:val="pt-BR"/>
        </w:rPr>
        <w:t>SiO</w:t>
      </w:r>
      <w:r w:rsidR="000D3DC2" w:rsidRPr="000D3DC2">
        <w:rPr>
          <w:rFonts w:ascii="Times New Roman" w:hAnsi="Times New Roman"/>
          <w:vertAlign w:val="subscript"/>
          <w:lang w:val="pt-BR"/>
        </w:rPr>
        <w:t>2</w:t>
      </w:r>
      <w:r w:rsidR="000D3DC2">
        <w:rPr>
          <w:rFonts w:ascii="Times New Roman" w:hAnsi="Times New Roman"/>
          <w:lang w:val="pt-BR"/>
        </w:rPr>
        <w:t xml:space="preserve"> e como a variabilidade </w:t>
      </w:r>
      <w:r w:rsidR="00DA7BFE">
        <w:rPr>
          <w:rFonts w:ascii="Times New Roman" w:hAnsi="Times New Roman"/>
          <w:lang w:val="pt-BR"/>
        </w:rPr>
        <w:t>composicional</w:t>
      </w:r>
      <w:r w:rsidR="000D3DC2">
        <w:rPr>
          <w:rFonts w:ascii="Times New Roman" w:hAnsi="Times New Roman"/>
          <w:lang w:val="pt-BR"/>
        </w:rPr>
        <w:t xml:space="preserve"> entre Mg, Al e Si pode alterar as características do material e, consequente</w:t>
      </w:r>
      <w:r w:rsidR="00DA7BFE">
        <w:rPr>
          <w:rFonts w:ascii="Times New Roman" w:hAnsi="Times New Roman"/>
          <w:lang w:val="pt-BR"/>
        </w:rPr>
        <w:t>mente</w:t>
      </w:r>
      <w:r w:rsidR="000D3DC2">
        <w:rPr>
          <w:rFonts w:ascii="Times New Roman" w:hAnsi="Times New Roman"/>
          <w:lang w:val="pt-BR"/>
        </w:rPr>
        <w:t xml:space="preserve">, a atividade catalítica desse material na reação desejada. </w:t>
      </w:r>
      <w:r w:rsidR="00971D81">
        <w:rPr>
          <w:rFonts w:ascii="Times New Roman" w:hAnsi="Times New Roman"/>
          <w:lang w:val="pt-BR"/>
        </w:rPr>
        <w:t xml:space="preserve">Assim, os catalisadores sintetizados foram empregados na reação de conversão de </w:t>
      </w:r>
      <w:proofErr w:type="spellStart"/>
      <w:r w:rsidR="00971D81">
        <w:rPr>
          <w:rFonts w:ascii="Times New Roman" w:hAnsi="Times New Roman"/>
          <w:lang w:val="pt-BR"/>
        </w:rPr>
        <w:t>EtOH</w:t>
      </w:r>
      <w:proofErr w:type="spellEnd"/>
      <w:r w:rsidR="00971D81">
        <w:rPr>
          <w:rFonts w:ascii="Times New Roman" w:hAnsi="Times New Roman"/>
          <w:lang w:val="pt-BR"/>
        </w:rPr>
        <w:t xml:space="preserve"> para avaliação do desempenho catalítico.</w:t>
      </w:r>
    </w:p>
    <w:p w14:paraId="52FFAC79" w14:textId="7E763F74" w:rsidR="00EA4E1B" w:rsidRPr="00971D81" w:rsidRDefault="00EA4E1B" w:rsidP="0030265A">
      <w:pPr>
        <w:pStyle w:val="TAMainText"/>
        <w:rPr>
          <w:rFonts w:ascii="Helvetica" w:hAnsi="Helvetica" w:cs="Helvetica"/>
          <w:sz w:val="24"/>
          <w:szCs w:val="24"/>
          <w:lang w:val="pt-BR"/>
        </w:rPr>
      </w:pPr>
      <w:r w:rsidRPr="00971D81">
        <w:rPr>
          <w:rFonts w:ascii="Helvetica" w:hAnsi="Helvetica" w:cs="Helvetica"/>
          <w:sz w:val="24"/>
          <w:szCs w:val="24"/>
          <w:lang w:val="pt-BR"/>
        </w:rPr>
        <w:t>Experimental</w:t>
      </w:r>
    </w:p>
    <w:p w14:paraId="35887134" w14:textId="4AD0C7B0" w:rsidR="00EA4E1B" w:rsidRPr="001F25B2" w:rsidRDefault="00D81CF2" w:rsidP="00EA4E1B">
      <w:pPr>
        <w:pStyle w:val="TAMainText"/>
        <w:ind w:firstLine="0"/>
        <w:rPr>
          <w:rFonts w:ascii="Times New Roman" w:hAnsi="Times New Roman"/>
          <w:i/>
          <w:lang w:val="pt-BR"/>
        </w:rPr>
      </w:pPr>
      <w:r>
        <w:rPr>
          <w:rFonts w:ascii="Times New Roman" w:hAnsi="Times New Roman"/>
          <w:i/>
          <w:lang w:val="pt-BR"/>
        </w:rPr>
        <w:t>Preparo</w:t>
      </w:r>
      <w:r w:rsidR="005C6B96">
        <w:rPr>
          <w:rFonts w:ascii="Times New Roman" w:hAnsi="Times New Roman"/>
          <w:i/>
          <w:lang w:val="pt-BR"/>
        </w:rPr>
        <w:t xml:space="preserve"> dos catalisadores</w:t>
      </w:r>
    </w:p>
    <w:p w14:paraId="78FE602D" w14:textId="6351A565" w:rsidR="00656CD2" w:rsidRDefault="00EA4E1B" w:rsidP="00656CD2">
      <w:pPr>
        <w:pStyle w:val="TAMainText"/>
        <w:rPr>
          <w:rFonts w:ascii="Times New Roman" w:hAnsi="Times New Roman"/>
          <w:lang w:val="pt-BR"/>
        </w:rPr>
      </w:pPr>
      <w:r w:rsidRPr="001F25B2">
        <w:rPr>
          <w:rFonts w:ascii="Times New Roman" w:hAnsi="Times New Roman"/>
          <w:lang w:val="pt-BR"/>
        </w:rPr>
        <w:t>O</w:t>
      </w:r>
      <w:r w:rsidR="00481BD2">
        <w:rPr>
          <w:rFonts w:ascii="Times New Roman" w:hAnsi="Times New Roman"/>
          <w:lang w:val="pt-BR"/>
        </w:rPr>
        <w:t xml:space="preserve">s catalisadores foram sintetizados por </w:t>
      </w:r>
      <w:proofErr w:type="spellStart"/>
      <w:r w:rsidR="00481BD2">
        <w:rPr>
          <w:rFonts w:ascii="Times New Roman" w:hAnsi="Times New Roman"/>
          <w:lang w:val="pt-BR"/>
        </w:rPr>
        <w:t>coprecipitação</w:t>
      </w:r>
      <w:proofErr w:type="spellEnd"/>
      <w:r w:rsidR="00481BD2">
        <w:rPr>
          <w:rFonts w:ascii="Times New Roman" w:hAnsi="Times New Roman"/>
          <w:lang w:val="pt-BR"/>
        </w:rPr>
        <w:t xml:space="preserve">, </w:t>
      </w:r>
      <w:r w:rsidR="004241D0">
        <w:rPr>
          <w:rFonts w:ascii="Times New Roman" w:hAnsi="Times New Roman"/>
          <w:lang w:val="pt-BR"/>
        </w:rPr>
        <w:t>baseando-</w:t>
      </w:r>
      <w:r w:rsidR="00123B9B">
        <w:rPr>
          <w:rFonts w:ascii="Times New Roman" w:hAnsi="Times New Roman"/>
          <w:lang w:val="pt-BR"/>
        </w:rPr>
        <w:t>se na</w:t>
      </w:r>
      <w:r w:rsidR="00481BD2">
        <w:rPr>
          <w:rFonts w:ascii="Times New Roman" w:hAnsi="Times New Roman"/>
          <w:lang w:val="pt-BR"/>
        </w:rPr>
        <w:t xml:space="preserve"> metodologia</w:t>
      </w:r>
      <w:r w:rsidR="008C12CB">
        <w:rPr>
          <w:rFonts w:ascii="Times New Roman" w:hAnsi="Times New Roman"/>
          <w:lang w:val="pt-BR"/>
        </w:rPr>
        <w:t xml:space="preserve"> </w:t>
      </w:r>
      <w:r w:rsidR="00481BD2">
        <w:rPr>
          <w:rFonts w:ascii="Times New Roman" w:hAnsi="Times New Roman"/>
          <w:lang w:val="pt-BR"/>
        </w:rPr>
        <w:t xml:space="preserve">de </w:t>
      </w:r>
      <w:r w:rsidR="00074250">
        <w:rPr>
          <w:rFonts w:ascii="Times New Roman" w:hAnsi="Times New Roman"/>
          <w:lang w:val="pt-BR"/>
        </w:rPr>
        <w:t>Di Cosimo</w:t>
      </w:r>
      <w:r w:rsidR="00D31517">
        <w:rPr>
          <w:rFonts w:ascii="Times New Roman" w:hAnsi="Times New Roman"/>
          <w:lang w:val="pt-BR"/>
        </w:rPr>
        <w:t xml:space="preserve"> </w:t>
      </w:r>
      <w:r w:rsidR="00074250">
        <w:rPr>
          <w:rFonts w:ascii="Times New Roman" w:hAnsi="Times New Roman"/>
          <w:lang w:val="pt-BR"/>
        </w:rPr>
        <w:t>(</w:t>
      </w:r>
      <w:r w:rsidR="00D31517">
        <w:rPr>
          <w:rFonts w:ascii="Times New Roman" w:hAnsi="Times New Roman"/>
          <w:lang w:val="pt-BR"/>
        </w:rPr>
        <w:t>2</w:t>
      </w:r>
      <w:r w:rsidR="003665C9">
        <w:rPr>
          <w:rFonts w:ascii="Times New Roman" w:hAnsi="Times New Roman"/>
          <w:lang w:val="pt-BR"/>
        </w:rPr>
        <w:t>2</w:t>
      </w:r>
      <w:r w:rsidR="00074250">
        <w:rPr>
          <w:rFonts w:ascii="Times New Roman" w:hAnsi="Times New Roman"/>
          <w:lang w:val="pt-BR"/>
        </w:rPr>
        <w:t>)</w:t>
      </w:r>
      <w:r w:rsidR="004241D0">
        <w:rPr>
          <w:rFonts w:ascii="Times New Roman" w:hAnsi="Times New Roman"/>
          <w:lang w:val="pt-BR"/>
        </w:rPr>
        <w:t xml:space="preserve">. A princípio, foram preparadas três soluções: uma delas contendo quantidades </w:t>
      </w:r>
      <w:proofErr w:type="spellStart"/>
      <w:r w:rsidR="004241D0">
        <w:rPr>
          <w:rFonts w:ascii="Times New Roman" w:hAnsi="Times New Roman"/>
          <w:lang w:val="pt-BR"/>
        </w:rPr>
        <w:t>estequiometricamente</w:t>
      </w:r>
      <w:proofErr w:type="spellEnd"/>
      <w:r w:rsidR="004241D0">
        <w:rPr>
          <w:rFonts w:ascii="Times New Roman" w:hAnsi="Times New Roman"/>
          <w:lang w:val="pt-BR"/>
        </w:rPr>
        <w:t xml:space="preserve"> calculadas, variando de acordo com a razão molar desejada, de nitratos de Mg e Al dissolvidas </w:t>
      </w:r>
      <w:r w:rsidR="008C12CB">
        <w:rPr>
          <w:rFonts w:ascii="Times New Roman" w:hAnsi="Times New Roman"/>
          <w:lang w:val="pt-BR"/>
        </w:rPr>
        <w:t xml:space="preserve">em </w:t>
      </w:r>
      <w:r w:rsidR="004241D0">
        <w:rPr>
          <w:rFonts w:ascii="Times New Roman" w:hAnsi="Times New Roman"/>
          <w:lang w:val="pt-BR"/>
        </w:rPr>
        <w:t xml:space="preserve">água destilada; </w:t>
      </w:r>
      <w:r w:rsidR="008C12CB">
        <w:rPr>
          <w:rFonts w:ascii="Times New Roman" w:hAnsi="Times New Roman"/>
          <w:lang w:val="pt-BR"/>
        </w:rPr>
        <w:t xml:space="preserve">uma </w:t>
      </w:r>
      <w:r w:rsidR="004241D0">
        <w:rPr>
          <w:rFonts w:ascii="Times New Roman" w:hAnsi="Times New Roman"/>
          <w:lang w:val="pt-BR"/>
        </w:rPr>
        <w:t xml:space="preserve">outra </w:t>
      </w:r>
      <w:r w:rsidR="008C12CB">
        <w:rPr>
          <w:rFonts w:ascii="Times New Roman" w:hAnsi="Times New Roman"/>
          <w:lang w:val="pt-BR"/>
        </w:rPr>
        <w:t>contendo TEOS (</w:t>
      </w:r>
      <w:proofErr w:type="spellStart"/>
      <w:r w:rsidR="008C12CB" w:rsidRPr="008C12CB">
        <w:rPr>
          <w:rFonts w:ascii="Times New Roman" w:hAnsi="Times New Roman"/>
          <w:lang w:val="pt-BR"/>
        </w:rPr>
        <w:t>tetraetilortosilicato</w:t>
      </w:r>
      <w:proofErr w:type="spellEnd"/>
      <w:r w:rsidR="008C12CB">
        <w:rPr>
          <w:rFonts w:ascii="Times New Roman" w:hAnsi="Times New Roman"/>
          <w:lang w:val="pt-BR"/>
        </w:rPr>
        <w:t xml:space="preserve">) diluído em </w:t>
      </w:r>
      <w:proofErr w:type="spellStart"/>
      <w:r w:rsidR="007E3945">
        <w:rPr>
          <w:rFonts w:ascii="Times New Roman" w:hAnsi="Times New Roman"/>
          <w:lang w:val="pt-BR"/>
        </w:rPr>
        <w:t>EtOH</w:t>
      </w:r>
      <w:proofErr w:type="spellEnd"/>
      <w:r w:rsidR="008C12CB">
        <w:rPr>
          <w:rFonts w:ascii="Times New Roman" w:hAnsi="Times New Roman"/>
          <w:lang w:val="pt-BR"/>
        </w:rPr>
        <w:t xml:space="preserve"> na proporção volumétrica 1:5; e uma terceira com </w:t>
      </w:r>
      <w:r w:rsidR="008C12CB" w:rsidRPr="008C12CB">
        <w:rPr>
          <w:rFonts w:ascii="Times New Roman" w:hAnsi="Times New Roman"/>
          <w:lang w:val="pt-BR"/>
        </w:rPr>
        <w:t>K</w:t>
      </w:r>
      <w:r w:rsidR="008C12CB" w:rsidRPr="008C12CB">
        <w:rPr>
          <w:rFonts w:ascii="Times New Roman" w:hAnsi="Times New Roman"/>
          <w:vertAlign w:val="subscript"/>
          <w:lang w:val="pt-BR"/>
        </w:rPr>
        <w:t>2</w:t>
      </w:r>
      <w:r w:rsidR="008C12CB" w:rsidRPr="008C12CB">
        <w:rPr>
          <w:rFonts w:ascii="Times New Roman" w:hAnsi="Times New Roman"/>
          <w:lang w:val="pt-BR"/>
        </w:rPr>
        <w:t>CO</w:t>
      </w:r>
      <w:r w:rsidR="008C12CB" w:rsidRPr="008C12CB">
        <w:rPr>
          <w:rFonts w:ascii="Times New Roman" w:hAnsi="Times New Roman"/>
          <w:vertAlign w:val="subscript"/>
          <w:lang w:val="pt-BR"/>
        </w:rPr>
        <w:t>3</w:t>
      </w:r>
      <w:r w:rsidR="008C12CB" w:rsidRPr="008C12CB">
        <w:rPr>
          <w:rFonts w:ascii="Times New Roman" w:hAnsi="Times New Roman"/>
          <w:lang w:val="pt-BR"/>
        </w:rPr>
        <w:t xml:space="preserve"> </w:t>
      </w:r>
      <w:r w:rsidR="008C12CB">
        <w:rPr>
          <w:rFonts w:ascii="Times New Roman" w:hAnsi="Times New Roman"/>
          <w:lang w:val="pt-BR"/>
        </w:rPr>
        <w:t xml:space="preserve">e </w:t>
      </w:r>
      <w:r w:rsidR="008C12CB" w:rsidRPr="008C12CB">
        <w:rPr>
          <w:rFonts w:ascii="Times New Roman" w:hAnsi="Times New Roman"/>
          <w:lang w:val="pt-BR"/>
        </w:rPr>
        <w:t>KO</w:t>
      </w:r>
      <w:r w:rsidR="008C12CB">
        <w:rPr>
          <w:rFonts w:ascii="Times New Roman" w:hAnsi="Times New Roman"/>
          <w:lang w:val="pt-BR"/>
        </w:rPr>
        <w:t>H em água destilada</w:t>
      </w:r>
      <w:r w:rsidR="004D5AED">
        <w:rPr>
          <w:rFonts w:ascii="Times New Roman" w:hAnsi="Times New Roman"/>
          <w:lang w:val="pt-BR"/>
        </w:rPr>
        <w:t xml:space="preserve"> como agente precipitante e para controle do pH</w:t>
      </w:r>
      <w:r w:rsidR="008C12CB">
        <w:rPr>
          <w:rFonts w:ascii="Times New Roman" w:hAnsi="Times New Roman"/>
          <w:lang w:val="pt-BR"/>
        </w:rPr>
        <w:t xml:space="preserve">. As três soluções foram sendo adicionadas concomitantemente </w:t>
      </w:r>
      <w:r w:rsidR="004D5AED">
        <w:rPr>
          <w:rFonts w:ascii="Times New Roman" w:hAnsi="Times New Roman"/>
          <w:lang w:val="pt-BR"/>
        </w:rPr>
        <w:t xml:space="preserve">gota a gota </w:t>
      </w:r>
      <w:r w:rsidR="008C12CB">
        <w:rPr>
          <w:rFonts w:ascii="Times New Roman" w:hAnsi="Times New Roman"/>
          <w:lang w:val="pt-BR"/>
        </w:rPr>
        <w:t xml:space="preserve">em um béquer contendo 300 </w:t>
      </w:r>
      <w:proofErr w:type="spellStart"/>
      <w:r w:rsidR="008C12CB">
        <w:rPr>
          <w:rFonts w:ascii="Times New Roman" w:hAnsi="Times New Roman"/>
          <w:lang w:val="pt-BR"/>
        </w:rPr>
        <w:t>mL</w:t>
      </w:r>
      <w:proofErr w:type="spellEnd"/>
      <w:r w:rsidR="008C12CB">
        <w:rPr>
          <w:rFonts w:ascii="Times New Roman" w:hAnsi="Times New Roman"/>
          <w:lang w:val="pt-BR"/>
        </w:rPr>
        <w:t xml:space="preserve"> de água destilada buscando manter o pH em torno de 10</w:t>
      </w:r>
      <w:r w:rsidR="00647EF6">
        <w:rPr>
          <w:rFonts w:ascii="Times New Roman" w:hAnsi="Times New Roman"/>
          <w:lang w:val="pt-BR"/>
        </w:rPr>
        <w:t>.</w:t>
      </w:r>
      <w:r w:rsidR="004D5AED">
        <w:rPr>
          <w:rFonts w:ascii="Times New Roman" w:hAnsi="Times New Roman"/>
          <w:lang w:val="pt-BR"/>
        </w:rPr>
        <w:t xml:space="preserve"> Quando as soluções dos nitratos e do TEOS haviam sido totalmente adicionadas, o sistema foi deixado sob agitação magnética por 40 min a 333 K.</w:t>
      </w:r>
    </w:p>
    <w:p w14:paraId="4583BA9F" w14:textId="12FB72E1" w:rsidR="001E5BEB" w:rsidRDefault="00656CD2" w:rsidP="00660442">
      <w:pPr>
        <w:pStyle w:val="TAMainText"/>
        <w:rPr>
          <w:rFonts w:ascii="Times New Roman" w:hAnsi="Times New Roman"/>
          <w:lang w:val="pt-BR"/>
        </w:rPr>
      </w:pPr>
      <w:r w:rsidRPr="00656CD2">
        <w:rPr>
          <w:rFonts w:ascii="Times New Roman" w:hAnsi="Times New Roman"/>
          <w:lang w:val="pt-BR"/>
        </w:rPr>
        <w:t>Finalizado esse tempo, o s</w:t>
      </w:r>
      <w:r>
        <w:rPr>
          <w:rFonts w:ascii="Times New Roman" w:hAnsi="Times New Roman"/>
          <w:lang w:val="pt-BR"/>
        </w:rPr>
        <w:t xml:space="preserve">ólido foi filtrado a vácuo e lavado com água destilada. Em seguida, o filtrado foi </w:t>
      </w:r>
      <w:r w:rsidR="006F453E">
        <w:rPr>
          <w:rFonts w:ascii="Times New Roman" w:hAnsi="Times New Roman"/>
          <w:lang w:val="pt-BR"/>
        </w:rPr>
        <w:t>colocado</w:t>
      </w:r>
      <w:r>
        <w:rPr>
          <w:rFonts w:ascii="Times New Roman" w:hAnsi="Times New Roman"/>
          <w:lang w:val="pt-BR"/>
        </w:rPr>
        <w:t xml:space="preserve"> </w:t>
      </w:r>
      <w:r w:rsidR="006F453E">
        <w:rPr>
          <w:rFonts w:ascii="Times New Roman" w:hAnsi="Times New Roman"/>
          <w:lang w:val="pt-BR"/>
        </w:rPr>
        <w:t>em</w:t>
      </w:r>
      <w:r>
        <w:rPr>
          <w:rFonts w:ascii="Times New Roman" w:hAnsi="Times New Roman"/>
          <w:lang w:val="pt-BR"/>
        </w:rPr>
        <w:t xml:space="preserve"> estufa a 393 K</w:t>
      </w:r>
      <w:r w:rsidR="006F453E">
        <w:rPr>
          <w:rFonts w:ascii="Times New Roman" w:hAnsi="Times New Roman"/>
          <w:lang w:val="pt-BR"/>
        </w:rPr>
        <w:t xml:space="preserve"> em ar estático durante a noite para remoção de água superficial. Depois da secagem, o sólido passou por tratamento térmico baseado </w:t>
      </w:r>
      <w:r w:rsidR="002D7FE7">
        <w:rPr>
          <w:rFonts w:ascii="Times New Roman" w:hAnsi="Times New Roman"/>
          <w:lang w:val="pt-BR"/>
        </w:rPr>
        <w:t>nos estudos</w:t>
      </w:r>
      <w:r w:rsidR="006F453E">
        <w:rPr>
          <w:rFonts w:ascii="Times New Roman" w:hAnsi="Times New Roman"/>
          <w:lang w:val="pt-BR"/>
        </w:rPr>
        <w:t xml:space="preserve"> de</w:t>
      </w:r>
      <w:r w:rsidR="002D7FE7">
        <w:rPr>
          <w:rFonts w:ascii="Times New Roman" w:hAnsi="Times New Roman"/>
          <w:lang w:val="pt-BR"/>
        </w:rPr>
        <w:t xml:space="preserve"> </w:t>
      </w:r>
      <w:proofErr w:type="spellStart"/>
      <w:r w:rsidR="002D7FE7">
        <w:rPr>
          <w:rFonts w:ascii="Times New Roman" w:hAnsi="Times New Roman"/>
          <w:lang w:val="pt-BR"/>
        </w:rPr>
        <w:t>Ramasamy</w:t>
      </w:r>
      <w:proofErr w:type="spellEnd"/>
      <w:r w:rsidR="002D7FE7">
        <w:rPr>
          <w:rFonts w:ascii="Times New Roman" w:hAnsi="Times New Roman"/>
          <w:lang w:val="pt-BR"/>
        </w:rPr>
        <w:t xml:space="preserve"> </w:t>
      </w:r>
      <w:r w:rsidR="002D7FE7">
        <w:rPr>
          <w:rFonts w:ascii="Times New Roman" w:hAnsi="Times New Roman"/>
          <w:i/>
          <w:iCs/>
          <w:lang w:val="pt-BR"/>
        </w:rPr>
        <w:t>et al.</w:t>
      </w:r>
      <w:r w:rsidR="00D31517">
        <w:rPr>
          <w:rFonts w:ascii="Times New Roman" w:hAnsi="Times New Roman"/>
          <w:i/>
          <w:iCs/>
          <w:lang w:val="pt-BR"/>
        </w:rPr>
        <w:t xml:space="preserve"> </w:t>
      </w:r>
      <w:r w:rsidR="002D7FE7">
        <w:rPr>
          <w:rFonts w:ascii="Times New Roman" w:hAnsi="Times New Roman"/>
          <w:lang w:val="pt-BR"/>
        </w:rPr>
        <w:t>(2</w:t>
      </w:r>
      <w:r w:rsidR="003665C9">
        <w:rPr>
          <w:rFonts w:ascii="Times New Roman" w:hAnsi="Times New Roman"/>
          <w:lang w:val="pt-BR"/>
        </w:rPr>
        <w:t>3</w:t>
      </w:r>
      <w:r w:rsidR="002D7FE7">
        <w:rPr>
          <w:rFonts w:ascii="Times New Roman" w:hAnsi="Times New Roman"/>
          <w:lang w:val="pt-BR"/>
        </w:rPr>
        <w:t>) e</w:t>
      </w:r>
      <w:r w:rsidR="006F453E">
        <w:rPr>
          <w:rFonts w:ascii="Times New Roman" w:hAnsi="Times New Roman"/>
          <w:lang w:val="pt-BR"/>
        </w:rPr>
        <w:t xml:space="preserve"> Pacheco</w:t>
      </w:r>
      <w:r w:rsidR="00D31517">
        <w:rPr>
          <w:rFonts w:ascii="Times New Roman" w:hAnsi="Times New Roman"/>
          <w:lang w:val="pt-BR"/>
        </w:rPr>
        <w:t xml:space="preserve"> </w:t>
      </w:r>
      <w:r w:rsidR="006F453E">
        <w:rPr>
          <w:rFonts w:ascii="Times New Roman" w:hAnsi="Times New Roman"/>
          <w:lang w:val="pt-BR"/>
        </w:rPr>
        <w:t>(</w:t>
      </w:r>
      <w:r w:rsidR="00D31517">
        <w:rPr>
          <w:rFonts w:ascii="Times New Roman" w:hAnsi="Times New Roman"/>
          <w:lang w:val="pt-BR"/>
        </w:rPr>
        <w:t>2</w:t>
      </w:r>
      <w:r w:rsidR="003665C9">
        <w:rPr>
          <w:rFonts w:ascii="Times New Roman" w:hAnsi="Times New Roman"/>
          <w:lang w:val="pt-BR"/>
        </w:rPr>
        <w:t>4</w:t>
      </w:r>
      <w:r w:rsidR="006F453E">
        <w:rPr>
          <w:rFonts w:ascii="Times New Roman" w:hAnsi="Times New Roman"/>
          <w:lang w:val="pt-BR"/>
        </w:rPr>
        <w:t>)</w:t>
      </w:r>
      <w:r w:rsidR="009825AD">
        <w:rPr>
          <w:rFonts w:ascii="Times New Roman" w:hAnsi="Times New Roman"/>
          <w:lang w:val="pt-BR"/>
        </w:rPr>
        <w:t xml:space="preserve"> para obtenção dos óxidos desejados</w:t>
      </w:r>
      <w:r w:rsidR="006F453E">
        <w:rPr>
          <w:rFonts w:ascii="Times New Roman" w:hAnsi="Times New Roman"/>
          <w:lang w:val="pt-BR"/>
        </w:rPr>
        <w:t xml:space="preserve">. A amostra foi aquecida </w:t>
      </w:r>
      <w:r w:rsidR="007E2677">
        <w:rPr>
          <w:rFonts w:ascii="Times New Roman" w:hAnsi="Times New Roman"/>
          <w:lang w:val="pt-BR"/>
        </w:rPr>
        <w:t>à</w:t>
      </w:r>
      <w:r w:rsidR="006F453E">
        <w:rPr>
          <w:rFonts w:ascii="Times New Roman" w:hAnsi="Times New Roman"/>
          <w:lang w:val="pt-BR"/>
        </w:rPr>
        <w:t xml:space="preserve"> taxa de 1 </w:t>
      </w:r>
      <w:r w:rsidR="000329CA">
        <w:rPr>
          <w:rFonts w:ascii="Times New Roman" w:hAnsi="Times New Roman"/>
          <w:lang w:val="pt-BR"/>
        </w:rPr>
        <w:t>K</w:t>
      </w:r>
      <w:r w:rsidR="000329CA" w:rsidRPr="000329CA">
        <w:rPr>
          <w:rFonts w:ascii="Times New Roman" w:hAnsi="Times New Roman"/>
          <w:lang w:val="pt-BR"/>
        </w:rPr>
        <w:t>·</w:t>
      </w:r>
      <w:r w:rsidR="000329CA">
        <w:rPr>
          <w:rFonts w:ascii="Times New Roman" w:hAnsi="Times New Roman"/>
          <w:lang w:val="pt-BR"/>
        </w:rPr>
        <w:t>min</w:t>
      </w:r>
      <w:r w:rsidR="006F453E" w:rsidRPr="006F453E">
        <w:rPr>
          <w:rFonts w:ascii="Times New Roman" w:hAnsi="Times New Roman"/>
          <w:vertAlign w:val="superscript"/>
          <w:lang w:val="pt-BR"/>
        </w:rPr>
        <w:t>-1</w:t>
      </w:r>
      <w:r w:rsidR="006F453E">
        <w:rPr>
          <w:rFonts w:ascii="Times New Roman" w:hAnsi="Times New Roman"/>
          <w:lang w:val="pt-BR"/>
        </w:rPr>
        <w:t xml:space="preserve"> até a temperatura de 873 K</w:t>
      </w:r>
      <w:r w:rsidR="009825AD">
        <w:rPr>
          <w:rFonts w:ascii="Times New Roman" w:hAnsi="Times New Roman"/>
          <w:lang w:val="pt-BR"/>
        </w:rPr>
        <w:t xml:space="preserve"> e mantida</w:t>
      </w:r>
      <w:r w:rsidR="006F453E">
        <w:rPr>
          <w:rFonts w:ascii="Times New Roman" w:hAnsi="Times New Roman"/>
          <w:lang w:val="pt-BR"/>
        </w:rPr>
        <w:t xml:space="preserve"> por 12 h</w:t>
      </w:r>
      <w:r w:rsidR="009825AD">
        <w:rPr>
          <w:rFonts w:ascii="Times New Roman" w:hAnsi="Times New Roman"/>
          <w:lang w:val="pt-BR"/>
        </w:rPr>
        <w:t>. Por fim, o</w:t>
      </w:r>
      <w:r w:rsidR="00660442">
        <w:rPr>
          <w:rFonts w:ascii="Times New Roman" w:hAnsi="Times New Roman"/>
          <w:lang w:val="pt-BR"/>
        </w:rPr>
        <w:t xml:space="preserve"> óxido resultante </w:t>
      </w:r>
      <w:r w:rsidR="006F453E" w:rsidRPr="00660442">
        <w:rPr>
          <w:rFonts w:ascii="Times New Roman" w:hAnsi="Times New Roman"/>
          <w:lang w:val="pt-BR"/>
        </w:rPr>
        <w:t xml:space="preserve">teve sua granulometria ajustada </w:t>
      </w:r>
      <w:r w:rsidR="00660442">
        <w:rPr>
          <w:rFonts w:ascii="Times New Roman" w:hAnsi="Times New Roman"/>
          <w:lang w:val="pt-BR"/>
        </w:rPr>
        <w:t xml:space="preserve">para o intervalo de </w:t>
      </w:r>
      <w:r w:rsidR="00660442" w:rsidRPr="00660442">
        <w:rPr>
          <w:rFonts w:ascii="Times New Roman" w:hAnsi="Times New Roman"/>
          <w:lang w:val="pt-BR"/>
        </w:rPr>
        <w:t>106</w:t>
      </w:r>
      <w:r w:rsidR="000329CA">
        <w:rPr>
          <w:rFonts w:ascii="Times New Roman" w:hAnsi="Times New Roman"/>
          <w:lang w:val="pt-BR"/>
        </w:rPr>
        <w:t>–</w:t>
      </w:r>
      <w:r w:rsidR="00660442" w:rsidRPr="00660442">
        <w:rPr>
          <w:rFonts w:ascii="Times New Roman" w:hAnsi="Times New Roman"/>
          <w:lang w:val="pt-BR"/>
        </w:rPr>
        <w:t xml:space="preserve">180 </w:t>
      </w:r>
      <w:proofErr w:type="spellStart"/>
      <w:r w:rsidR="00660442">
        <w:rPr>
          <w:rFonts w:ascii="Times New Roman" w:hAnsi="Times New Roman"/>
          <w:i/>
          <w:iCs/>
          <w:lang w:val="pt-BR"/>
        </w:rPr>
        <w:t>μ</w:t>
      </w:r>
      <w:r w:rsidR="00660442" w:rsidRPr="00660442">
        <w:rPr>
          <w:rFonts w:ascii="Times New Roman" w:hAnsi="Times New Roman"/>
          <w:lang w:val="pt-BR"/>
        </w:rPr>
        <w:t>m</w:t>
      </w:r>
      <w:proofErr w:type="spellEnd"/>
      <w:r w:rsidR="00660442">
        <w:rPr>
          <w:rFonts w:ascii="Times New Roman" w:hAnsi="Times New Roman"/>
          <w:lang w:val="pt-BR"/>
        </w:rPr>
        <w:t>.</w:t>
      </w:r>
    </w:p>
    <w:p w14:paraId="4D85D127" w14:textId="25BA4C54" w:rsidR="00660442" w:rsidRDefault="00660442" w:rsidP="00660442">
      <w:pPr>
        <w:pStyle w:val="TAMainText"/>
        <w:ind w:firstLine="0"/>
        <w:rPr>
          <w:rFonts w:ascii="Times New Roman" w:hAnsi="Times New Roman"/>
          <w:i/>
          <w:iCs/>
          <w:lang w:val="pt-BR"/>
        </w:rPr>
      </w:pPr>
      <w:r>
        <w:rPr>
          <w:rFonts w:ascii="Times New Roman" w:hAnsi="Times New Roman"/>
          <w:i/>
          <w:iCs/>
          <w:lang w:val="pt-BR"/>
        </w:rPr>
        <w:t>Caracterização</w:t>
      </w:r>
    </w:p>
    <w:p w14:paraId="049EA037" w14:textId="208F2B02" w:rsidR="001E5BEB" w:rsidRPr="00BF0B73" w:rsidRDefault="00C44D85" w:rsidP="00C44D85">
      <w:pPr>
        <w:pStyle w:val="TAMainText"/>
        <w:rPr>
          <w:rFonts w:ascii="Times New Roman" w:hAnsi="Times New Roman"/>
          <w:lang w:val="pt-BR"/>
        </w:rPr>
      </w:pPr>
      <w:r>
        <w:rPr>
          <w:rFonts w:ascii="Times New Roman" w:hAnsi="Times New Roman"/>
          <w:lang w:val="pt-BR"/>
        </w:rPr>
        <w:t>Entre as caracterizações</w:t>
      </w:r>
      <w:r w:rsidR="00971D81">
        <w:rPr>
          <w:rFonts w:ascii="Times New Roman" w:hAnsi="Times New Roman"/>
          <w:lang w:val="pt-BR"/>
        </w:rPr>
        <w:t xml:space="preserve"> que serão</w:t>
      </w:r>
      <w:r>
        <w:rPr>
          <w:rFonts w:ascii="Times New Roman" w:hAnsi="Times New Roman"/>
          <w:lang w:val="pt-BR"/>
        </w:rPr>
        <w:t xml:space="preserve"> utilizadas para identificação das propriedades do catalisador estão: </w:t>
      </w:r>
      <w:r w:rsidR="006D6298">
        <w:rPr>
          <w:rFonts w:ascii="Times New Roman" w:hAnsi="Times New Roman"/>
          <w:lang w:val="pt-BR"/>
        </w:rPr>
        <w:t>difração de raios</w:t>
      </w:r>
      <w:r w:rsidR="00F1065A">
        <w:rPr>
          <w:rFonts w:ascii="Times New Roman" w:hAnsi="Times New Roman"/>
          <w:lang w:val="pt-BR"/>
        </w:rPr>
        <w:t>-</w:t>
      </w:r>
      <w:r w:rsidR="006D6298">
        <w:rPr>
          <w:rFonts w:ascii="Times New Roman" w:hAnsi="Times New Roman"/>
          <w:lang w:val="pt-BR"/>
        </w:rPr>
        <w:t xml:space="preserve">X (DRX), </w:t>
      </w:r>
      <w:r>
        <w:rPr>
          <w:rFonts w:ascii="Times New Roman" w:hAnsi="Times New Roman"/>
          <w:lang w:val="pt-BR"/>
        </w:rPr>
        <w:t>p</w:t>
      </w:r>
      <w:r w:rsidRPr="00C44D85">
        <w:rPr>
          <w:rFonts w:ascii="Times New Roman" w:hAnsi="Times New Roman"/>
          <w:lang w:val="pt-BR"/>
        </w:rPr>
        <w:t xml:space="preserve">ara </w:t>
      </w:r>
      <w:r w:rsidR="004F479E">
        <w:rPr>
          <w:rFonts w:ascii="Times New Roman" w:hAnsi="Times New Roman"/>
          <w:lang w:val="pt-BR"/>
        </w:rPr>
        <w:t>detectar</w:t>
      </w:r>
      <w:r w:rsidRPr="00C44D85">
        <w:rPr>
          <w:rFonts w:ascii="Times New Roman" w:hAnsi="Times New Roman"/>
          <w:lang w:val="pt-BR"/>
        </w:rPr>
        <w:t xml:space="preserve"> as fases presentes</w:t>
      </w:r>
      <w:r>
        <w:rPr>
          <w:rFonts w:ascii="Times New Roman" w:hAnsi="Times New Roman"/>
          <w:lang w:val="pt-BR"/>
        </w:rPr>
        <w:t xml:space="preserve">, </w:t>
      </w:r>
      <w:r w:rsidR="006D6298">
        <w:rPr>
          <w:rFonts w:ascii="Times New Roman" w:hAnsi="Times New Roman"/>
          <w:lang w:val="pt-BR"/>
        </w:rPr>
        <w:t xml:space="preserve">com </w:t>
      </w:r>
      <w:proofErr w:type="spellStart"/>
      <w:r w:rsidR="006D6298">
        <w:rPr>
          <w:rFonts w:ascii="Times New Roman" w:hAnsi="Times New Roman"/>
          <w:lang w:val="pt-BR"/>
        </w:rPr>
        <w:t>difratogramas</w:t>
      </w:r>
      <w:proofErr w:type="spellEnd"/>
      <w:r w:rsidR="006D6298">
        <w:rPr>
          <w:rFonts w:ascii="Times New Roman" w:hAnsi="Times New Roman"/>
          <w:lang w:val="pt-BR"/>
        </w:rPr>
        <w:t xml:space="preserve"> no intervalo </w:t>
      </w:r>
      <w:r w:rsidR="006D6298" w:rsidRPr="006D6298">
        <w:rPr>
          <w:rFonts w:ascii="Times New Roman" w:hAnsi="Times New Roman"/>
          <w:lang w:val="pt-BR"/>
        </w:rPr>
        <w:t>2º&lt;2</w:t>
      </w:r>
      <w:r w:rsidR="006D6298" w:rsidRPr="00F1065A">
        <w:rPr>
          <w:rFonts w:ascii="Times New Roman" w:hAnsi="Times New Roman"/>
          <w:i/>
          <w:iCs/>
          <w:lang w:val="pt-BR"/>
        </w:rPr>
        <w:t>θ</w:t>
      </w:r>
      <w:r w:rsidR="006D6298" w:rsidRPr="006D6298">
        <w:rPr>
          <w:rFonts w:ascii="Times New Roman" w:hAnsi="Times New Roman"/>
          <w:lang w:val="pt-BR"/>
        </w:rPr>
        <w:t xml:space="preserve">&lt;90º </w:t>
      </w:r>
      <w:r>
        <w:rPr>
          <w:rFonts w:ascii="Times New Roman" w:hAnsi="Times New Roman"/>
          <w:lang w:val="pt-BR"/>
        </w:rPr>
        <w:t xml:space="preserve">e </w:t>
      </w:r>
      <w:r w:rsidR="006D6298">
        <w:rPr>
          <w:rFonts w:ascii="Times New Roman" w:hAnsi="Times New Roman"/>
          <w:lang w:val="pt-BR"/>
        </w:rPr>
        <w:t xml:space="preserve">passo de </w:t>
      </w:r>
      <w:r w:rsidR="006D6298" w:rsidRPr="006D6298">
        <w:rPr>
          <w:rFonts w:ascii="Times New Roman" w:hAnsi="Times New Roman"/>
          <w:lang w:val="pt-BR"/>
        </w:rPr>
        <w:t>0</w:t>
      </w:r>
      <w:r w:rsidR="006D6298">
        <w:rPr>
          <w:rFonts w:ascii="Times New Roman" w:hAnsi="Times New Roman"/>
          <w:lang w:val="pt-BR"/>
        </w:rPr>
        <w:t>,</w:t>
      </w:r>
      <w:r w:rsidR="006D6298" w:rsidRPr="006D6298">
        <w:rPr>
          <w:rFonts w:ascii="Times New Roman" w:hAnsi="Times New Roman"/>
          <w:lang w:val="pt-BR"/>
        </w:rPr>
        <w:t>05</w:t>
      </w:r>
      <w:r w:rsidR="006D6298">
        <w:rPr>
          <w:rFonts w:ascii="Times New Roman" w:hAnsi="Times New Roman"/>
          <w:lang w:val="pt-BR"/>
        </w:rPr>
        <w:t>º</w:t>
      </w:r>
      <w:r>
        <w:rPr>
          <w:rFonts w:ascii="Times New Roman" w:hAnsi="Times New Roman"/>
          <w:lang w:val="pt-BR"/>
        </w:rPr>
        <w:t xml:space="preserve">; </w:t>
      </w:r>
      <w:proofErr w:type="spellStart"/>
      <w:r>
        <w:rPr>
          <w:rFonts w:ascii="Times New Roman" w:hAnsi="Times New Roman"/>
          <w:lang w:val="pt-BR"/>
        </w:rPr>
        <w:t>fisissorção</w:t>
      </w:r>
      <w:proofErr w:type="spellEnd"/>
      <w:r>
        <w:rPr>
          <w:rFonts w:ascii="Times New Roman" w:hAnsi="Times New Roman"/>
          <w:lang w:val="pt-BR"/>
        </w:rPr>
        <w:t xml:space="preserve"> de N</w:t>
      </w:r>
      <w:r w:rsidRPr="00C44D85">
        <w:rPr>
          <w:rFonts w:ascii="Times New Roman" w:hAnsi="Times New Roman"/>
          <w:vertAlign w:val="subscript"/>
          <w:lang w:val="pt-BR"/>
        </w:rPr>
        <w:t>2</w:t>
      </w:r>
      <w:r>
        <w:rPr>
          <w:rFonts w:ascii="Times New Roman" w:hAnsi="Times New Roman"/>
          <w:lang w:val="pt-BR"/>
        </w:rPr>
        <w:t xml:space="preserve"> </w:t>
      </w:r>
      <w:r w:rsidR="001E5BEB">
        <w:rPr>
          <w:rFonts w:ascii="Times New Roman" w:hAnsi="Times New Roman"/>
          <w:lang w:val="pt-BR"/>
        </w:rPr>
        <w:t xml:space="preserve">a 77 K </w:t>
      </w:r>
      <w:r>
        <w:rPr>
          <w:rFonts w:ascii="Times New Roman" w:hAnsi="Times New Roman"/>
          <w:lang w:val="pt-BR"/>
        </w:rPr>
        <w:t xml:space="preserve">para determinar </w:t>
      </w:r>
      <w:r w:rsidR="004F479E">
        <w:rPr>
          <w:rFonts w:ascii="Times New Roman" w:hAnsi="Times New Roman"/>
          <w:lang w:val="pt-BR"/>
        </w:rPr>
        <w:t xml:space="preserve">propriedades </w:t>
      </w:r>
      <w:r w:rsidR="002A0FA9">
        <w:rPr>
          <w:rFonts w:ascii="Times New Roman" w:hAnsi="Times New Roman"/>
          <w:lang w:val="pt-BR"/>
        </w:rPr>
        <w:t xml:space="preserve">texturais </w:t>
      </w:r>
      <w:r w:rsidR="004F479E">
        <w:rPr>
          <w:rFonts w:ascii="Times New Roman" w:hAnsi="Times New Roman"/>
          <w:lang w:val="pt-BR"/>
        </w:rPr>
        <w:t>como área específica, diâmetro médio e volume de poros;</w:t>
      </w:r>
      <w:r w:rsidR="001E5BEB">
        <w:rPr>
          <w:rFonts w:ascii="Times New Roman" w:hAnsi="Times New Roman"/>
          <w:lang w:val="pt-BR"/>
        </w:rPr>
        <w:t xml:space="preserve"> dessorção à temperatura programada (</w:t>
      </w:r>
      <w:r w:rsidR="00971D81">
        <w:rPr>
          <w:rFonts w:ascii="Times New Roman" w:hAnsi="Times New Roman"/>
          <w:lang w:val="pt-BR"/>
        </w:rPr>
        <w:t>TPD</w:t>
      </w:r>
      <w:r w:rsidR="001E5BEB">
        <w:rPr>
          <w:rFonts w:ascii="Times New Roman" w:hAnsi="Times New Roman"/>
          <w:lang w:val="pt-BR"/>
        </w:rPr>
        <w:t>) de moléculas de CO</w:t>
      </w:r>
      <w:r w:rsidR="001E5BEB">
        <w:rPr>
          <w:rFonts w:ascii="Times New Roman" w:hAnsi="Times New Roman"/>
          <w:vertAlign w:val="subscript"/>
          <w:lang w:val="pt-BR"/>
        </w:rPr>
        <w:t>2</w:t>
      </w:r>
      <w:r w:rsidR="001E5BEB">
        <w:rPr>
          <w:rFonts w:ascii="Times New Roman" w:hAnsi="Times New Roman"/>
          <w:lang w:val="pt-BR"/>
        </w:rPr>
        <w:t xml:space="preserve"> e NH</w:t>
      </w:r>
      <w:r w:rsidR="001E5BEB">
        <w:rPr>
          <w:rFonts w:ascii="Times New Roman" w:hAnsi="Times New Roman"/>
          <w:vertAlign w:val="subscript"/>
          <w:lang w:val="pt-BR"/>
        </w:rPr>
        <w:t>3</w:t>
      </w:r>
      <w:r w:rsidR="001E5BEB">
        <w:rPr>
          <w:rFonts w:ascii="Times New Roman" w:hAnsi="Times New Roman"/>
          <w:lang w:val="pt-BR"/>
        </w:rPr>
        <w:t xml:space="preserve"> </w:t>
      </w:r>
      <w:r w:rsidR="00BF0B73">
        <w:rPr>
          <w:rFonts w:ascii="Times New Roman" w:hAnsi="Times New Roman"/>
          <w:lang w:val="pt-BR"/>
        </w:rPr>
        <w:t xml:space="preserve">que </w:t>
      </w:r>
      <w:r w:rsidR="001E5BEB">
        <w:rPr>
          <w:rFonts w:ascii="Times New Roman" w:hAnsi="Times New Roman"/>
          <w:lang w:val="pt-BR"/>
        </w:rPr>
        <w:t xml:space="preserve">foi conduzida </w:t>
      </w:r>
      <w:r w:rsidR="00E4526D">
        <w:rPr>
          <w:rFonts w:ascii="Times New Roman" w:hAnsi="Times New Roman"/>
          <w:lang w:val="pt-BR"/>
        </w:rPr>
        <w:t>com uma corrente de 60 mL</w:t>
      </w:r>
      <w:r w:rsidR="00E4526D" w:rsidRPr="00E4526D">
        <w:rPr>
          <w:rFonts w:ascii="Times New Roman" w:hAnsi="Times New Roman"/>
          <w:lang w:val="pt-BR"/>
        </w:rPr>
        <w:t>·min</w:t>
      </w:r>
      <w:r w:rsidR="00E4526D" w:rsidRPr="00E4526D">
        <w:rPr>
          <w:rFonts w:ascii="Times New Roman" w:hAnsi="Times New Roman"/>
          <w:vertAlign w:val="superscript"/>
          <w:lang w:val="pt-BR"/>
        </w:rPr>
        <w:t>-1</w:t>
      </w:r>
      <w:r w:rsidR="00E4526D">
        <w:rPr>
          <w:rFonts w:ascii="Times New Roman" w:hAnsi="Times New Roman"/>
          <w:lang w:val="pt-BR"/>
        </w:rPr>
        <w:t xml:space="preserve"> de He a 20 K</w:t>
      </w:r>
      <w:r w:rsidR="00E4526D" w:rsidRPr="00E4526D">
        <w:rPr>
          <w:rFonts w:ascii="Times New Roman" w:hAnsi="Times New Roman"/>
          <w:lang w:val="pt-BR"/>
        </w:rPr>
        <w:t>·min</w:t>
      </w:r>
      <w:r w:rsidR="00E4526D" w:rsidRPr="00E4526D">
        <w:rPr>
          <w:rFonts w:ascii="Times New Roman" w:hAnsi="Times New Roman"/>
          <w:vertAlign w:val="superscript"/>
          <w:lang w:val="pt-BR"/>
        </w:rPr>
        <w:t>-1</w:t>
      </w:r>
      <w:r w:rsidR="00E4526D">
        <w:rPr>
          <w:rFonts w:ascii="Times New Roman" w:hAnsi="Times New Roman"/>
          <w:lang w:val="pt-BR"/>
        </w:rPr>
        <w:t xml:space="preserve">, da temperatura ambiente a 1073 K, </w:t>
      </w:r>
      <w:r w:rsidR="00BF0B73">
        <w:rPr>
          <w:rFonts w:ascii="Times New Roman" w:hAnsi="Times New Roman"/>
          <w:lang w:val="pt-BR"/>
        </w:rPr>
        <w:t>para</w:t>
      </w:r>
      <w:r w:rsidR="00E4526D">
        <w:rPr>
          <w:rFonts w:ascii="Times New Roman" w:hAnsi="Times New Roman"/>
          <w:lang w:val="pt-BR"/>
        </w:rPr>
        <w:t xml:space="preserve"> quantificar os sítios ácidos e básicos do catalisador; </w:t>
      </w:r>
      <w:r w:rsidR="00BF0B73">
        <w:rPr>
          <w:rFonts w:ascii="Times New Roman" w:hAnsi="Times New Roman"/>
          <w:lang w:val="pt-BR"/>
        </w:rPr>
        <w:t>e, para obtenção de imagens que elucidassem a morfologia do material, microscopia eletrônica de varredura (MEV)</w:t>
      </w:r>
      <w:r w:rsidR="006D6298">
        <w:rPr>
          <w:rFonts w:ascii="Times New Roman" w:hAnsi="Times New Roman"/>
          <w:lang w:val="pt-BR"/>
        </w:rPr>
        <w:t>.</w:t>
      </w:r>
    </w:p>
    <w:p w14:paraId="42C94525" w14:textId="277585F9" w:rsidR="00660442" w:rsidRPr="00660442" w:rsidRDefault="00660442" w:rsidP="00660442">
      <w:pPr>
        <w:pStyle w:val="TAMainText"/>
        <w:ind w:firstLine="0"/>
        <w:rPr>
          <w:rFonts w:ascii="Times New Roman" w:hAnsi="Times New Roman"/>
          <w:i/>
          <w:iCs/>
          <w:lang w:val="pt-BR"/>
        </w:rPr>
      </w:pPr>
      <w:r>
        <w:rPr>
          <w:rFonts w:ascii="Times New Roman" w:hAnsi="Times New Roman"/>
          <w:i/>
          <w:iCs/>
          <w:lang w:val="pt-BR"/>
        </w:rPr>
        <w:t>Avaliação catalítica</w:t>
      </w:r>
    </w:p>
    <w:p w14:paraId="0817962E" w14:textId="77777777" w:rsidR="00021925" w:rsidRDefault="00CD5F85" w:rsidP="00A85F6D">
      <w:pPr>
        <w:pStyle w:val="TAMainText"/>
        <w:rPr>
          <w:rFonts w:ascii="Times New Roman" w:hAnsi="Times New Roman"/>
          <w:lang w:val="pt-BR"/>
        </w:rPr>
      </w:pPr>
      <w:r>
        <w:rPr>
          <w:rFonts w:ascii="Times New Roman" w:hAnsi="Times New Roman"/>
          <w:lang w:val="pt-BR"/>
        </w:rPr>
        <w:t xml:space="preserve">Para a avaliação do desempenho dos catalisadores na reação de conversão do </w:t>
      </w:r>
      <w:proofErr w:type="spellStart"/>
      <w:r w:rsidR="007E3945">
        <w:rPr>
          <w:rFonts w:ascii="Times New Roman" w:hAnsi="Times New Roman"/>
          <w:lang w:val="pt-BR"/>
        </w:rPr>
        <w:t>EtOH</w:t>
      </w:r>
      <w:proofErr w:type="spellEnd"/>
      <w:r>
        <w:rPr>
          <w:rFonts w:ascii="Times New Roman" w:hAnsi="Times New Roman"/>
          <w:lang w:val="pt-BR"/>
        </w:rPr>
        <w:t>, a princípio, estudou-se a influência da temperatura na performance do catalisador equimolar</w:t>
      </w:r>
      <w:r w:rsidR="00910378">
        <w:rPr>
          <w:rFonts w:ascii="Times New Roman" w:hAnsi="Times New Roman"/>
          <w:lang w:val="pt-BR"/>
        </w:rPr>
        <w:t xml:space="preserve"> (</w:t>
      </w:r>
      <w:proofErr w:type="spellStart"/>
      <w:r w:rsidR="00910378">
        <w:rPr>
          <w:rFonts w:ascii="Times New Roman" w:hAnsi="Times New Roman"/>
          <w:lang w:val="pt-BR"/>
        </w:rPr>
        <w:t>Mg:Al:</w:t>
      </w:r>
      <w:proofErr w:type="gramStart"/>
      <w:r w:rsidR="00910378">
        <w:rPr>
          <w:rFonts w:ascii="Times New Roman" w:hAnsi="Times New Roman"/>
          <w:lang w:val="pt-BR"/>
        </w:rPr>
        <w:t>Si</w:t>
      </w:r>
      <w:proofErr w:type="spellEnd"/>
      <w:r w:rsidR="00910378">
        <w:rPr>
          <w:rFonts w:ascii="Times New Roman" w:hAnsi="Times New Roman"/>
          <w:lang w:val="pt-BR"/>
        </w:rPr>
        <w:t>::</w:t>
      </w:r>
      <w:proofErr w:type="gramEnd"/>
      <w:r w:rsidR="00910378">
        <w:rPr>
          <w:rFonts w:ascii="Times New Roman" w:hAnsi="Times New Roman"/>
          <w:lang w:val="pt-BR"/>
        </w:rPr>
        <w:t xml:space="preserve"> 1:1:1)</w:t>
      </w:r>
      <w:r w:rsidR="006E28D9">
        <w:rPr>
          <w:rFonts w:ascii="Times New Roman" w:hAnsi="Times New Roman"/>
          <w:lang w:val="pt-BR"/>
        </w:rPr>
        <w:t xml:space="preserve">, no intervalo de 523 a </w:t>
      </w:r>
      <w:r w:rsidR="00910378">
        <w:rPr>
          <w:rFonts w:ascii="Times New Roman" w:hAnsi="Times New Roman"/>
          <w:lang w:val="pt-BR"/>
        </w:rPr>
        <w:t>7</w:t>
      </w:r>
      <w:r w:rsidR="006E28D9">
        <w:rPr>
          <w:rFonts w:ascii="Times New Roman" w:hAnsi="Times New Roman"/>
          <w:lang w:val="pt-BR"/>
        </w:rPr>
        <w:t>23 K</w:t>
      </w:r>
      <w:r>
        <w:rPr>
          <w:rFonts w:ascii="Times New Roman" w:hAnsi="Times New Roman"/>
          <w:lang w:val="pt-BR"/>
        </w:rPr>
        <w:t xml:space="preserve"> e, depois de </w:t>
      </w:r>
      <w:r w:rsidR="00C03D3B">
        <w:rPr>
          <w:rFonts w:ascii="Times New Roman" w:hAnsi="Times New Roman"/>
          <w:lang w:val="pt-BR"/>
        </w:rPr>
        <w:t xml:space="preserve">escolhida a temperatura </w:t>
      </w:r>
      <w:r>
        <w:rPr>
          <w:rFonts w:ascii="Times New Roman" w:hAnsi="Times New Roman"/>
          <w:lang w:val="pt-BR"/>
        </w:rPr>
        <w:t>de trabalho, avaliou-se o comportamento dos demais catalisadores para o mesmo sistema.</w:t>
      </w:r>
    </w:p>
    <w:p w14:paraId="53D38721" w14:textId="443B4E19" w:rsidR="00481BD2" w:rsidRDefault="00CA5385" w:rsidP="00A85F6D">
      <w:pPr>
        <w:pStyle w:val="TAMainText"/>
        <w:rPr>
          <w:rFonts w:ascii="Times New Roman" w:hAnsi="Times New Roman"/>
          <w:lang w:val="pt-BR"/>
        </w:rPr>
      </w:pPr>
      <w:r>
        <w:rPr>
          <w:noProof/>
        </w:rPr>
        <w:lastRenderedPageBreak/>
        <w:drawing>
          <wp:anchor distT="0" distB="0" distL="114300" distR="114300" simplePos="0" relativeHeight="251661311" behindDoc="0" locked="0" layoutInCell="1" allowOverlap="1" wp14:anchorId="6B36681C" wp14:editId="1FFDF9A8">
            <wp:simplePos x="0" y="0"/>
            <wp:positionH relativeFrom="column">
              <wp:posOffset>3468370</wp:posOffset>
            </wp:positionH>
            <wp:positionV relativeFrom="paragraph">
              <wp:posOffset>1061900</wp:posOffset>
            </wp:positionV>
            <wp:extent cx="3027680" cy="1485900"/>
            <wp:effectExtent l="0" t="0" r="1270" b="0"/>
            <wp:wrapTopAndBottom/>
            <wp:docPr id="114742596" name="Gráfico 1">
              <a:extLst xmlns:a="http://schemas.openxmlformats.org/drawingml/2006/main">
                <a:ext uri="{FF2B5EF4-FFF2-40B4-BE49-F238E27FC236}">
                  <a16:creationId xmlns:a16="http://schemas.microsoft.com/office/drawing/2014/main" id="{25EB8B47-EB92-4E81-880D-EE23121F9E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00D81CF2">
        <w:rPr>
          <w:rFonts w:ascii="Times New Roman" w:hAnsi="Times New Roman"/>
          <w:lang w:val="pt-BR"/>
        </w:rPr>
        <w:t xml:space="preserve">A reação ocorreu em um reator de quartzo em U, com leito catalítico contendo 100 mg de catalisador. A temperatura da reação foi controlada por um termopar localizado na altura do leito. A </w:t>
      </w:r>
      <w:r w:rsidR="00A85F6D">
        <w:rPr>
          <w:rFonts w:ascii="Times New Roman" w:hAnsi="Times New Roman"/>
          <w:lang w:val="pt-BR"/>
        </w:rPr>
        <w:t xml:space="preserve">corrente de alimentação continha o argônio (Ar) como gás de arraste e </w:t>
      </w:r>
      <w:proofErr w:type="spellStart"/>
      <w:r w:rsidR="007E3945">
        <w:rPr>
          <w:rFonts w:ascii="Times New Roman" w:hAnsi="Times New Roman"/>
          <w:lang w:val="pt-BR"/>
        </w:rPr>
        <w:t>EtOH</w:t>
      </w:r>
      <w:proofErr w:type="spellEnd"/>
      <w:r w:rsidR="00A85F6D">
        <w:rPr>
          <w:rFonts w:ascii="Times New Roman" w:hAnsi="Times New Roman"/>
          <w:lang w:val="pt-BR"/>
        </w:rPr>
        <w:t xml:space="preserve"> </w:t>
      </w:r>
      <w:r w:rsidR="00A85F6D" w:rsidRPr="00A85F6D">
        <w:rPr>
          <w:rFonts w:ascii="Times New Roman" w:hAnsi="Times New Roman"/>
          <w:lang w:val="pt-BR"/>
        </w:rPr>
        <w:t>(reagente ACS ISO, Merck)</w:t>
      </w:r>
      <w:r w:rsidR="00F12554">
        <w:rPr>
          <w:rFonts w:ascii="Times New Roman" w:hAnsi="Times New Roman"/>
          <w:lang w:val="pt-BR"/>
        </w:rPr>
        <w:t xml:space="preserve"> à vazão de 25 mL</w:t>
      </w:r>
      <w:r w:rsidR="00F12554" w:rsidRPr="00F12554">
        <w:rPr>
          <w:rFonts w:ascii="Times New Roman" w:hAnsi="Times New Roman"/>
          <w:lang w:val="pt-BR"/>
        </w:rPr>
        <w:t>·min</w:t>
      </w:r>
      <w:r w:rsidR="00F12554" w:rsidRPr="00F12554">
        <w:rPr>
          <w:rFonts w:ascii="Times New Roman" w:hAnsi="Times New Roman"/>
          <w:vertAlign w:val="superscript"/>
          <w:lang w:val="pt-BR"/>
        </w:rPr>
        <w:t>-1</w:t>
      </w:r>
      <w:r w:rsidR="00D81CF2">
        <w:rPr>
          <w:rFonts w:ascii="Times New Roman" w:hAnsi="Times New Roman"/>
          <w:lang w:val="pt-BR"/>
        </w:rPr>
        <w:t xml:space="preserve">. A quantidade de </w:t>
      </w:r>
      <w:proofErr w:type="spellStart"/>
      <w:r w:rsidR="007E3945">
        <w:rPr>
          <w:rFonts w:ascii="Times New Roman" w:hAnsi="Times New Roman"/>
          <w:lang w:val="pt-BR"/>
        </w:rPr>
        <w:t>EtOH</w:t>
      </w:r>
      <w:proofErr w:type="spellEnd"/>
      <w:r w:rsidR="00D81CF2">
        <w:rPr>
          <w:rFonts w:ascii="Times New Roman" w:hAnsi="Times New Roman"/>
          <w:lang w:val="pt-BR"/>
        </w:rPr>
        <w:t xml:space="preserve"> alimentada </w:t>
      </w:r>
      <w:r w:rsidR="007A248E">
        <w:rPr>
          <w:rFonts w:ascii="Times New Roman" w:hAnsi="Times New Roman"/>
          <w:lang w:val="pt-BR"/>
        </w:rPr>
        <w:t>foi</w:t>
      </w:r>
      <w:r w:rsidR="00D81CF2">
        <w:rPr>
          <w:rFonts w:ascii="Times New Roman" w:hAnsi="Times New Roman"/>
          <w:lang w:val="pt-BR"/>
        </w:rPr>
        <w:t xml:space="preserve"> </w:t>
      </w:r>
      <w:r w:rsidR="00A85F6D">
        <w:rPr>
          <w:rFonts w:ascii="Times New Roman" w:hAnsi="Times New Roman"/>
          <w:lang w:val="pt-BR"/>
        </w:rPr>
        <w:t>estimada</w:t>
      </w:r>
      <w:r w:rsidR="00092E74">
        <w:rPr>
          <w:rFonts w:ascii="Times New Roman" w:hAnsi="Times New Roman"/>
          <w:lang w:val="pt-BR"/>
        </w:rPr>
        <w:t xml:space="preserve"> em 5 %</w:t>
      </w:r>
      <w:r w:rsidR="00A85F6D">
        <w:rPr>
          <w:rFonts w:ascii="Times New Roman" w:hAnsi="Times New Roman"/>
          <w:lang w:val="pt-BR"/>
        </w:rPr>
        <w:t xml:space="preserve"> </w:t>
      </w:r>
      <w:r w:rsidR="00A85F6D" w:rsidRPr="00A85F6D">
        <w:rPr>
          <w:rFonts w:ascii="Times New Roman" w:hAnsi="Times New Roman"/>
          <w:lang w:val="pt-BR"/>
        </w:rPr>
        <w:t>pela</w:t>
      </w:r>
      <w:r w:rsidR="00A85F6D">
        <w:rPr>
          <w:rFonts w:ascii="Times New Roman" w:hAnsi="Times New Roman"/>
          <w:lang w:val="pt-BR"/>
        </w:rPr>
        <w:t xml:space="preserve"> equação de Antoine e</w:t>
      </w:r>
      <w:r w:rsidR="00092E74">
        <w:rPr>
          <w:rFonts w:ascii="Times New Roman" w:hAnsi="Times New Roman"/>
          <w:lang w:val="pt-BR"/>
        </w:rPr>
        <w:t xml:space="preserve"> era</w:t>
      </w:r>
      <w:r w:rsidR="00A85F6D">
        <w:rPr>
          <w:rFonts w:ascii="Times New Roman" w:hAnsi="Times New Roman"/>
          <w:lang w:val="pt-BR"/>
        </w:rPr>
        <w:t xml:space="preserve"> dependente da </w:t>
      </w:r>
      <w:r w:rsidR="00D81CF2">
        <w:rPr>
          <w:rFonts w:ascii="Times New Roman" w:hAnsi="Times New Roman"/>
          <w:lang w:val="pt-BR"/>
        </w:rPr>
        <w:t>temperatura do saturador</w:t>
      </w:r>
      <w:r w:rsidR="00A85F6D">
        <w:rPr>
          <w:rFonts w:ascii="Times New Roman" w:hAnsi="Times New Roman"/>
          <w:lang w:val="pt-BR"/>
        </w:rPr>
        <w:t xml:space="preserve"> </w:t>
      </w:r>
      <w:r w:rsidR="00F12554">
        <w:rPr>
          <w:rFonts w:ascii="Times New Roman" w:hAnsi="Times New Roman"/>
          <w:lang w:val="pt-BR"/>
        </w:rPr>
        <w:t>no qual</w:t>
      </w:r>
      <w:r w:rsidR="00A85F6D">
        <w:rPr>
          <w:rFonts w:ascii="Times New Roman" w:hAnsi="Times New Roman"/>
          <w:lang w:val="pt-BR"/>
        </w:rPr>
        <w:t xml:space="preserve"> estava contido inicialmente. A corrente de saída era </w:t>
      </w:r>
      <w:r w:rsidR="00F12554">
        <w:rPr>
          <w:rFonts w:ascii="Times New Roman" w:hAnsi="Times New Roman"/>
          <w:lang w:val="pt-BR"/>
        </w:rPr>
        <w:t>encaminhada</w:t>
      </w:r>
      <w:r w:rsidR="00A85F6D">
        <w:rPr>
          <w:rFonts w:ascii="Times New Roman" w:hAnsi="Times New Roman"/>
          <w:lang w:val="pt-BR"/>
        </w:rPr>
        <w:t xml:space="preserve"> ao cromatógrafo (</w:t>
      </w:r>
      <w:proofErr w:type="spellStart"/>
      <w:r w:rsidR="00406BA4" w:rsidRPr="00406BA4">
        <w:rPr>
          <w:rFonts w:ascii="Times New Roman" w:hAnsi="Times New Roman"/>
          <w:lang w:val="pt-BR"/>
        </w:rPr>
        <w:t>Shimadzu</w:t>
      </w:r>
      <w:proofErr w:type="spellEnd"/>
      <w:r w:rsidR="00406BA4" w:rsidRPr="00406BA4">
        <w:rPr>
          <w:rFonts w:ascii="Times New Roman" w:hAnsi="Times New Roman"/>
          <w:lang w:val="pt-BR"/>
        </w:rPr>
        <w:t xml:space="preserve"> GC-2014</w:t>
      </w:r>
      <w:r w:rsidR="00A85F6D">
        <w:rPr>
          <w:rFonts w:ascii="Times New Roman" w:hAnsi="Times New Roman"/>
          <w:lang w:val="pt-BR"/>
        </w:rPr>
        <w:t>) de duas colunas</w:t>
      </w:r>
      <w:r w:rsidR="00E71423">
        <w:rPr>
          <w:rFonts w:ascii="Times New Roman" w:hAnsi="Times New Roman"/>
          <w:lang w:val="pt-BR"/>
        </w:rPr>
        <w:t xml:space="preserve"> (</w:t>
      </w:r>
      <w:proofErr w:type="spellStart"/>
      <w:r w:rsidR="00531445" w:rsidRPr="00531445">
        <w:rPr>
          <w:rFonts w:ascii="Times New Roman" w:hAnsi="Times New Roman"/>
          <w:lang w:val="pt-BR"/>
        </w:rPr>
        <w:t>PoraBOND</w:t>
      </w:r>
      <w:proofErr w:type="spellEnd"/>
      <w:r w:rsidR="00531445" w:rsidRPr="00531445">
        <w:rPr>
          <w:rFonts w:ascii="Times New Roman" w:hAnsi="Times New Roman"/>
          <w:lang w:val="pt-BR"/>
        </w:rPr>
        <w:t xml:space="preserve"> Q</w:t>
      </w:r>
      <w:r w:rsidR="00E71423" w:rsidRPr="00531445">
        <w:rPr>
          <w:rFonts w:ascii="Times New Roman" w:hAnsi="Times New Roman"/>
          <w:lang w:val="pt-BR"/>
        </w:rPr>
        <w:t xml:space="preserve">, 50 m 0,32 mm I.D.; </w:t>
      </w:r>
      <w:r w:rsidR="00E71423">
        <w:rPr>
          <w:rFonts w:ascii="Times New Roman" w:hAnsi="Times New Roman"/>
          <w:lang w:val="pt-BR"/>
        </w:rPr>
        <w:t xml:space="preserve">e </w:t>
      </w:r>
      <w:proofErr w:type="spellStart"/>
      <w:r w:rsidR="00E71423">
        <w:rPr>
          <w:rFonts w:ascii="Times New Roman" w:hAnsi="Times New Roman"/>
          <w:lang w:val="pt-BR"/>
        </w:rPr>
        <w:t>Carboxen</w:t>
      </w:r>
      <w:proofErr w:type="spellEnd"/>
      <w:r w:rsidR="00E71423">
        <w:rPr>
          <w:rFonts w:ascii="Times New Roman" w:hAnsi="Times New Roman"/>
          <w:lang w:val="pt-BR"/>
        </w:rPr>
        <w:t xml:space="preserve"> 1010,</w:t>
      </w:r>
      <w:r w:rsidR="00E71423" w:rsidRPr="00E71423">
        <w:rPr>
          <w:rFonts w:ascii="Times New Roman" w:hAnsi="Times New Roman"/>
          <w:lang w:val="pt-BR"/>
        </w:rPr>
        <w:t xml:space="preserve"> 30 m 0</w:t>
      </w:r>
      <w:r w:rsidR="00E71423">
        <w:rPr>
          <w:rFonts w:ascii="Times New Roman" w:hAnsi="Times New Roman"/>
          <w:lang w:val="pt-BR"/>
        </w:rPr>
        <w:t>,</w:t>
      </w:r>
      <w:r w:rsidR="00E71423" w:rsidRPr="00E71423">
        <w:rPr>
          <w:rFonts w:ascii="Times New Roman" w:hAnsi="Times New Roman"/>
          <w:lang w:val="pt-BR"/>
        </w:rPr>
        <w:t>53 mm</w:t>
      </w:r>
      <w:r w:rsidR="00E71423">
        <w:rPr>
          <w:rFonts w:ascii="Times New Roman" w:hAnsi="Times New Roman"/>
          <w:lang w:val="pt-BR"/>
        </w:rPr>
        <w:t xml:space="preserve"> I.D.)</w:t>
      </w:r>
      <w:r w:rsidR="00F12554">
        <w:rPr>
          <w:rFonts w:ascii="Times New Roman" w:hAnsi="Times New Roman"/>
          <w:lang w:val="pt-BR"/>
        </w:rPr>
        <w:t>,</w:t>
      </w:r>
      <w:r w:rsidR="00A85F6D">
        <w:rPr>
          <w:rFonts w:ascii="Times New Roman" w:hAnsi="Times New Roman"/>
          <w:lang w:val="pt-BR"/>
        </w:rPr>
        <w:t xml:space="preserve"> </w:t>
      </w:r>
      <w:r w:rsidR="00406BA4">
        <w:rPr>
          <w:rFonts w:ascii="Times New Roman" w:hAnsi="Times New Roman"/>
          <w:lang w:val="pt-BR"/>
        </w:rPr>
        <w:t xml:space="preserve">uma com detector FID e outra, para produtos mais leves, com detector TCD. O processamento dos dados foi realizado pelo </w:t>
      </w:r>
      <w:r w:rsidR="00406BA4">
        <w:rPr>
          <w:rFonts w:ascii="Times New Roman" w:hAnsi="Times New Roman"/>
          <w:i/>
          <w:iCs/>
          <w:lang w:val="pt-BR"/>
        </w:rPr>
        <w:t>software</w:t>
      </w:r>
      <w:r w:rsidR="00406BA4">
        <w:rPr>
          <w:rFonts w:ascii="Times New Roman" w:hAnsi="Times New Roman"/>
          <w:lang w:val="pt-BR"/>
        </w:rPr>
        <w:t xml:space="preserve"> </w:t>
      </w:r>
      <w:proofErr w:type="spellStart"/>
      <w:r w:rsidR="00406BA4" w:rsidRPr="00406BA4">
        <w:rPr>
          <w:rFonts w:ascii="Times New Roman" w:hAnsi="Times New Roman"/>
          <w:lang w:val="pt-BR"/>
        </w:rPr>
        <w:t>GCSolution</w:t>
      </w:r>
      <w:proofErr w:type="spellEnd"/>
      <w:r w:rsidR="00406BA4" w:rsidRPr="00406BA4">
        <w:rPr>
          <w:rFonts w:ascii="Times New Roman" w:hAnsi="Times New Roman"/>
          <w:lang w:val="pt-BR"/>
        </w:rPr>
        <w:t xml:space="preserve"> v. 2.32</w:t>
      </w:r>
      <w:r w:rsidR="00F12554">
        <w:rPr>
          <w:rFonts w:ascii="Times New Roman" w:hAnsi="Times New Roman"/>
          <w:lang w:val="pt-BR"/>
        </w:rPr>
        <w:t>,</w:t>
      </w:r>
      <w:r w:rsidR="00406BA4">
        <w:rPr>
          <w:rFonts w:ascii="Times New Roman" w:hAnsi="Times New Roman"/>
          <w:lang w:val="pt-BR"/>
        </w:rPr>
        <w:t xml:space="preserve"> que fornecia informações sobre o desempenho catalítico. Antecedendo cada reação, o catalisador era submetido a um tratamento térmico </w:t>
      </w:r>
      <w:r w:rsidR="00F12554">
        <w:rPr>
          <w:rFonts w:ascii="Times New Roman" w:hAnsi="Times New Roman"/>
          <w:lang w:val="pt-BR"/>
        </w:rPr>
        <w:t>com</w:t>
      </w:r>
      <w:r w:rsidR="00406BA4">
        <w:rPr>
          <w:rFonts w:ascii="Times New Roman" w:hAnsi="Times New Roman"/>
          <w:lang w:val="pt-BR"/>
        </w:rPr>
        <w:t xml:space="preserve"> vazão de Ar em uma taxa de 10 K</w:t>
      </w:r>
      <w:r w:rsidR="00406BA4" w:rsidRPr="00406BA4">
        <w:rPr>
          <w:rFonts w:ascii="Times New Roman" w:hAnsi="Times New Roman"/>
          <w:lang w:val="pt-BR"/>
        </w:rPr>
        <w:t>·min</w:t>
      </w:r>
      <w:r w:rsidR="00406BA4" w:rsidRPr="00406BA4">
        <w:rPr>
          <w:rFonts w:ascii="Times New Roman" w:hAnsi="Times New Roman"/>
          <w:vertAlign w:val="superscript"/>
          <w:lang w:val="pt-BR"/>
        </w:rPr>
        <w:t>-1</w:t>
      </w:r>
      <w:r w:rsidR="00406BA4">
        <w:rPr>
          <w:rFonts w:ascii="Times New Roman" w:hAnsi="Times New Roman"/>
          <w:lang w:val="pt-BR"/>
        </w:rPr>
        <w:t xml:space="preserve"> até 773 K por 60 min.</w:t>
      </w:r>
    </w:p>
    <w:p w14:paraId="0B6A0EED" w14:textId="68832899" w:rsidR="00BD78D6" w:rsidRDefault="00BD78D6" w:rsidP="00A85F6D">
      <w:pPr>
        <w:pStyle w:val="TAMainText"/>
        <w:rPr>
          <w:rFonts w:ascii="Times New Roman" w:hAnsi="Times New Roman"/>
          <w:lang w:val="pt-BR"/>
        </w:rPr>
      </w:pPr>
      <w:r>
        <w:rPr>
          <w:rFonts w:ascii="Times New Roman" w:hAnsi="Times New Roman"/>
          <w:lang w:val="pt-BR"/>
        </w:rPr>
        <w:t xml:space="preserve">A conversão de </w:t>
      </w:r>
      <w:proofErr w:type="spellStart"/>
      <w:r w:rsidR="007E3945">
        <w:rPr>
          <w:rFonts w:ascii="Times New Roman" w:hAnsi="Times New Roman"/>
          <w:lang w:val="pt-BR"/>
        </w:rPr>
        <w:t>EtOH</w:t>
      </w:r>
      <w:proofErr w:type="spellEnd"/>
      <w:r>
        <w:rPr>
          <w:rFonts w:ascii="Times New Roman" w:hAnsi="Times New Roman"/>
          <w:lang w:val="pt-BR"/>
        </w:rPr>
        <w:t xml:space="preserve"> e a seletividade dos produtos foram calculadas pelas seguintes reações:</w:t>
      </w:r>
    </w:p>
    <w:p w14:paraId="6457901F" w14:textId="77777777" w:rsidR="00F204D7" w:rsidRDefault="00F204D7" w:rsidP="00A85F6D">
      <w:pPr>
        <w:pStyle w:val="TAMainText"/>
        <w:rPr>
          <w:rFonts w:ascii="Times New Roman" w:hAnsi="Times New Roman"/>
          <w:lang w:val="pt-BR"/>
        </w:rPr>
      </w:pPr>
    </w:p>
    <w:p w14:paraId="7C8B198D" w14:textId="56F5BBA8" w:rsidR="00BD78D6" w:rsidRPr="007A44AB" w:rsidRDefault="00F12554" w:rsidP="00A85F6D">
      <w:pPr>
        <w:pStyle w:val="TAMainText"/>
        <w:rPr>
          <w:rFonts w:ascii="Times New Roman" w:hAnsi="Times New Roman"/>
          <w:iCs/>
          <w:lang w:val="pt-BR"/>
        </w:rPr>
      </w:pPr>
      <m:oMathPara>
        <m:oMath>
          <m:r>
            <m:rPr>
              <m:sty m:val="p"/>
            </m:rPr>
            <w:rPr>
              <w:rFonts w:ascii="Cambria Math" w:hAnsi="Cambria Math"/>
              <w:lang w:val="pt-BR"/>
            </w:rPr>
            <m:t xml:space="preserve">Conversão </m:t>
          </m:r>
          <m:d>
            <m:dPr>
              <m:ctrlPr>
                <w:rPr>
                  <w:rFonts w:ascii="Cambria Math" w:hAnsi="Cambria Math"/>
                  <w:iCs/>
                  <w:lang w:val="pt-BR"/>
                </w:rPr>
              </m:ctrlPr>
            </m:dPr>
            <m:e>
              <m:r>
                <m:rPr>
                  <m:sty m:val="p"/>
                </m:rPr>
                <w:rPr>
                  <w:rFonts w:ascii="Cambria Math" w:hAnsi="Cambria Math"/>
                  <w:lang w:val="pt-BR"/>
                </w:rPr>
                <m:t>%</m:t>
              </m:r>
            </m:e>
          </m:d>
          <m:r>
            <m:rPr>
              <m:sty m:val="p"/>
            </m:rPr>
            <w:rPr>
              <w:rFonts w:ascii="Cambria Math" w:hAnsi="Cambria Math"/>
              <w:lang w:val="pt-BR"/>
            </w:rPr>
            <m:t>=</m:t>
          </m:r>
          <m:d>
            <m:dPr>
              <m:ctrlPr>
                <w:rPr>
                  <w:rFonts w:ascii="Cambria Math" w:hAnsi="Cambria Math"/>
                  <w:iCs/>
                  <w:lang w:val="pt-BR"/>
                </w:rPr>
              </m:ctrlPr>
            </m:dPr>
            <m:e>
              <m:f>
                <m:fPr>
                  <m:type m:val="lin"/>
                  <m:ctrlPr>
                    <w:rPr>
                      <w:rFonts w:ascii="Cambria Math" w:hAnsi="Cambria Math"/>
                      <w:i/>
                      <w:iCs/>
                      <w:lang w:val="pt-BR"/>
                    </w:rPr>
                  </m:ctrlPr>
                </m:fPr>
                <m:num>
                  <m:d>
                    <m:dPr>
                      <m:ctrlPr>
                        <w:rPr>
                          <w:rFonts w:ascii="Cambria Math" w:hAnsi="Cambria Math"/>
                          <w:i/>
                          <w:iCs/>
                          <w:lang w:val="pt-BR"/>
                        </w:rPr>
                      </m:ctrlPr>
                    </m:dPr>
                    <m:e>
                      <m:sSub>
                        <m:sSubPr>
                          <m:ctrlPr>
                            <w:rPr>
                              <w:rFonts w:ascii="Cambria Math" w:hAnsi="Cambria Math"/>
                              <w:i/>
                              <w:iCs/>
                              <w:lang w:val="pt-BR"/>
                            </w:rPr>
                          </m:ctrlPr>
                        </m:sSubPr>
                        <m:e>
                          <m:r>
                            <w:rPr>
                              <w:rFonts w:ascii="Cambria Math" w:hAnsi="Cambria Math"/>
                              <w:lang w:val="pt-BR"/>
                            </w:rPr>
                            <m:t>F</m:t>
                          </m:r>
                        </m:e>
                        <m:sub>
                          <m:r>
                            <w:rPr>
                              <w:rFonts w:ascii="Cambria Math" w:hAnsi="Cambria Math"/>
                              <w:lang w:val="pt-BR"/>
                            </w:rPr>
                            <m:t>i</m:t>
                          </m:r>
                        </m:sub>
                      </m:sSub>
                      <m:r>
                        <w:rPr>
                          <w:rFonts w:ascii="Cambria Math" w:hAnsi="Cambria Math"/>
                          <w:lang w:val="pt-BR"/>
                        </w:rPr>
                        <m:t>-</m:t>
                      </m:r>
                      <m:sSub>
                        <m:sSubPr>
                          <m:ctrlPr>
                            <w:rPr>
                              <w:rFonts w:ascii="Cambria Math" w:hAnsi="Cambria Math"/>
                              <w:i/>
                              <w:iCs/>
                              <w:lang w:val="pt-BR"/>
                            </w:rPr>
                          </m:ctrlPr>
                        </m:sSubPr>
                        <m:e>
                          <m:r>
                            <w:rPr>
                              <w:rFonts w:ascii="Cambria Math" w:hAnsi="Cambria Math"/>
                              <w:lang w:val="pt-BR"/>
                            </w:rPr>
                            <m:t>F</m:t>
                          </m:r>
                        </m:e>
                        <m:sub>
                          <m:r>
                            <w:rPr>
                              <w:rFonts w:ascii="Cambria Math" w:hAnsi="Cambria Math"/>
                              <w:lang w:val="pt-BR"/>
                            </w:rPr>
                            <m:t>f</m:t>
                          </m:r>
                        </m:sub>
                      </m:sSub>
                    </m:e>
                  </m:d>
                </m:num>
                <m:den>
                  <m:sSub>
                    <m:sSubPr>
                      <m:ctrlPr>
                        <w:rPr>
                          <w:rFonts w:ascii="Cambria Math" w:hAnsi="Cambria Math"/>
                          <w:i/>
                          <w:iCs/>
                          <w:lang w:val="pt-BR"/>
                        </w:rPr>
                      </m:ctrlPr>
                    </m:sSubPr>
                    <m:e>
                      <m:r>
                        <w:rPr>
                          <w:rFonts w:ascii="Cambria Math" w:hAnsi="Cambria Math"/>
                          <w:lang w:val="pt-BR"/>
                        </w:rPr>
                        <m:t>F</m:t>
                      </m:r>
                    </m:e>
                    <m:sub>
                      <m:r>
                        <w:rPr>
                          <w:rFonts w:ascii="Cambria Math" w:hAnsi="Cambria Math"/>
                          <w:lang w:val="pt-BR"/>
                        </w:rPr>
                        <m:t>i</m:t>
                      </m:r>
                    </m:sub>
                  </m:sSub>
                </m:den>
              </m:f>
              <m:ctrlPr>
                <w:rPr>
                  <w:rFonts w:ascii="Cambria Math" w:hAnsi="Cambria Math"/>
                  <w:i/>
                  <w:iCs/>
                  <w:lang w:val="pt-BR"/>
                </w:rPr>
              </m:ctrlPr>
            </m:e>
          </m:d>
          <m:r>
            <w:rPr>
              <w:rFonts w:ascii="Cambria Math" w:hAnsi="Cambria Math"/>
              <w:lang w:val="pt-BR"/>
            </w:rPr>
            <m:t>×100</m:t>
          </m:r>
        </m:oMath>
      </m:oMathPara>
    </w:p>
    <w:p w14:paraId="4359D075" w14:textId="2C2CFF2A" w:rsidR="00F12554" w:rsidRPr="00F204D7" w:rsidRDefault="00F204D7" w:rsidP="00A85F6D">
      <w:pPr>
        <w:pStyle w:val="TAMainText"/>
        <w:rPr>
          <w:rFonts w:ascii="Times New Roman" w:hAnsi="Times New Roman"/>
          <w:lang w:val="pt-BR"/>
        </w:rPr>
      </w:pPr>
      <m:oMathPara>
        <m:oMath>
          <m:r>
            <w:rPr>
              <w:rFonts w:ascii="Cambria Math" w:hAnsi="Cambria Math"/>
              <w:lang w:val="pt-BR"/>
            </w:rPr>
            <m:t xml:space="preserve">Seletividade </m:t>
          </m:r>
          <m:d>
            <m:dPr>
              <m:ctrlPr>
                <w:rPr>
                  <w:rFonts w:ascii="Cambria Math" w:hAnsi="Cambria Math"/>
                  <w:i/>
                  <w:iCs/>
                  <w:lang w:val="pt-BR"/>
                </w:rPr>
              </m:ctrlPr>
            </m:dPr>
            <m:e>
              <m:r>
                <w:rPr>
                  <w:rFonts w:ascii="Cambria Math" w:hAnsi="Cambria Math"/>
                  <w:lang w:val="pt-BR"/>
                </w:rPr>
                <m:t>%</m:t>
              </m:r>
            </m:e>
          </m:d>
          <m:r>
            <w:rPr>
              <w:rFonts w:ascii="Cambria Math" w:hAnsi="Cambria Math"/>
              <w:lang w:val="pt-BR"/>
            </w:rPr>
            <m:t>=</m:t>
          </m:r>
          <m:d>
            <m:dPr>
              <m:ctrlPr>
                <w:rPr>
                  <w:rFonts w:ascii="Cambria Math" w:hAnsi="Cambria Math"/>
                  <w:i/>
                  <w:lang w:val="pt-BR"/>
                </w:rPr>
              </m:ctrlPr>
            </m:dPr>
            <m:e>
              <m:f>
                <m:fPr>
                  <m:type m:val="lin"/>
                  <m:ctrlPr>
                    <w:rPr>
                      <w:rFonts w:ascii="Cambria Math" w:hAnsi="Cambria Math"/>
                      <w:i/>
                      <w:iCs/>
                      <w:lang w:val="pt-BR"/>
                    </w:rPr>
                  </m:ctrlPr>
                </m:fPr>
                <m:num>
                  <m:sSub>
                    <m:sSubPr>
                      <m:ctrlPr>
                        <w:rPr>
                          <w:rFonts w:ascii="Cambria Math" w:hAnsi="Cambria Math"/>
                          <w:i/>
                          <w:iCs/>
                          <w:lang w:val="pt-BR"/>
                        </w:rPr>
                      </m:ctrlPr>
                    </m:sSubPr>
                    <m:e>
                      <m:r>
                        <w:rPr>
                          <w:rFonts w:ascii="Cambria Math" w:hAnsi="Cambria Math"/>
                          <w:lang w:val="pt-BR"/>
                        </w:rPr>
                        <m:t>C</m:t>
                      </m:r>
                    </m:e>
                    <m:sub>
                      <m:r>
                        <w:rPr>
                          <w:rFonts w:ascii="Cambria Math" w:hAnsi="Cambria Math"/>
                          <w:lang w:val="pt-BR"/>
                        </w:rPr>
                        <m:t>k</m:t>
                      </m:r>
                    </m:sub>
                  </m:sSub>
                </m:num>
                <m:den>
                  <m:sSub>
                    <m:sSubPr>
                      <m:ctrlPr>
                        <w:rPr>
                          <w:rFonts w:ascii="Cambria Math" w:hAnsi="Cambria Math"/>
                          <w:i/>
                          <w:iCs/>
                          <w:lang w:val="pt-BR"/>
                        </w:rPr>
                      </m:ctrlPr>
                    </m:sSubPr>
                    <m:e>
                      <m:r>
                        <w:rPr>
                          <w:rFonts w:ascii="Cambria Math" w:hAnsi="Cambria Math"/>
                          <w:lang w:val="pt-BR"/>
                        </w:rPr>
                        <m:t>C</m:t>
                      </m:r>
                    </m:e>
                    <m:sub>
                      <m:r>
                        <w:rPr>
                          <w:rFonts w:ascii="Cambria Math" w:hAnsi="Cambria Math"/>
                          <w:lang w:val="pt-BR"/>
                        </w:rPr>
                        <m:t>T</m:t>
                      </m:r>
                    </m:sub>
                  </m:sSub>
                </m:den>
              </m:f>
            </m:e>
          </m:d>
          <m:r>
            <w:rPr>
              <w:rFonts w:ascii="Cambria Math" w:hAnsi="Cambria Math"/>
              <w:lang w:val="pt-BR"/>
            </w:rPr>
            <m:t>×100</m:t>
          </m:r>
        </m:oMath>
      </m:oMathPara>
    </w:p>
    <w:p w14:paraId="25F10DB4" w14:textId="77777777" w:rsidR="00F204D7" w:rsidRPr="00F204D7" w:rsidRDefault="00F204D7" w:rsidP="00A85F6D">
      <w:pPr>
        <w:pStyle w:val="TAMainText"/>
        <w:rPr>
          <w:rFonts w:ascii="Times New Roman" w:hAnsi="Times New Roman"/>
          <w:iCs/>
          <w:lang w:val="pt-BR"/>
        </w:rPr>
      </w:pPr>
    </w:p>
    <w:p w14:paraId="4E6BAA29" w14:textId="108C5960" w:rsidR="00EA4E1B" w:rsidRPr="00F12554" w:rsidRDefault="00F12554" w:rsidP="00470DA1">
      <w:pPr>
        <w:pStyle w:val="TAMainText"/>
        <w:ind w:firstLine="0"/>
        <w:rPr>
          <w:rFonts w:ascii="Times New Roman" w:hAnsi="Times New Roman"/>
          <w:color w:val="FF0000"/>
          <w:lang w:val="pt-BR"/>
        </w:rPr>
      </w:pPr>
      <w:r>
        <w:rPr>
          <w:rFonts w:ascii="Times New Roman" w:hAnsi="Times New Roman"/>
          <w:lang w:val="pt-BR"/>
        </w:rPr>
        <w:t xml:space="preserve">onde </w:t>
      </w:r>
      <w:proofErr w:type="spellStart"/>
      <w:r w:rsidR="007A44AB" w:rsidRPr="007A44AB">
        <w:rPr>
          <w:rFonts w:ascii="Times New Roman" w:hAnsi="Times New Roman"/>
          <w:i/>
          <w:iCs/>
          <w:lang w:val="pt-BR"/>
        </w:rPr>
        <w:t>F</w:t>
      </w:r>
      <w:r w:rsidR="007A44AB" w:rsidRPr="007A44AB">
        <w:rPr>
          <w:rFonts w:ascii="Times New Roman" w:hAnsi="Times New Roman"/>
          <w:i/>
          <w:iCs/>
          <w:vertAlign w:val="subscript"/>
          <w:lang w:val="pt-BR"/>
        </w:rPr>
        <w:t>i</w:t>
      </w:r>
      <w:proofErr w:type="spellEnd"/>
      <w:r w:rsidR="007A44AB">
        <w:rPr>
          <w:rFonts w:ascii="Times New Roman" w:hAnsi="Times New Roman"/>
          <w:lang w:val="pt-BR"/>
        </w:rPr>
        <w:t xml:space="preserve"> e </w:t>
      </w:r>
      <w:r w:rsidR="007A44AB" w:rsidRPr="007A44AB">
        <w:rPr>
          <w:rFonts w:ascii="Times New Roman" w:hAnsi="Times New Roman"/>
          <w:i/>
          <w:iCs/>
          <w:lang w:val="pt-BR"/>
        </w:rPr>
        <w:t>F</w:t>
      </w:r>
      <w:r w:rsidR="007A44AB" w:rsidRPr="007A44AB">
        <w:rPr>
          <w:rFonts w:ascii="Times New Roman" w:hAnsi="Times New Roman"/>
          <w:i/>
          <w:iCs/>
          <w:vertAlign w:val="subscript"/>
          <w:lang w:val="pt-BR"/>
        </w:rPr>
        <w:t>f</w:t>
      </w:r>
      <w:r w:rsidR="007A44AB" w:rsidRPr="007A44AB">
        <w:rPr>
          <w:rFonts w:ascii="Times New Roman" w:hAnsi="Times New Roman"/>
          <w:lang w:val="pt-BR"/>
        </w:rPr>
        <w:t xml:space="preserve"> </w:t>
      </w:r>
      <w:r w:rsidR="007A44AB">
        <w:rPr>
          <w:rFonts w:ascii="Times New Roman" w:hAnsi="Times New Roman"/>
          <w:lang w:val="pt-BR"/>
        </w:rPr>
        <w:t xml:space="preserve">representam as quantidades de </w:t>
      </w:r>
      <w:proofErr w:type="spellStart"/>
      <w:r w:rsidR="007E3945">
        <w:rPr>
          <w:rFonts w:ascii="Times New Roman" w:hAnsi="Times New Roman"/>
          <w:lang w:val="pt-BR"/>
        </w:rPr>
        <w:t>EtOH</w:t>
      </w:r>
      <w:proofErr w:type="spellEnd"/>
      <w:r w:rsidR="007A44AB">
        <w:rPr>
          <w:rFonts w:ascii="Times New Roman" w:hAnsi="Times New Roman"/>
          <w:lang w:val="pt-BR"/>
        </w:rPr>
        <w:t xml:space="preserve"> na entrada e saída do reator, respectivamente, determinadas pela análise cromatográfica; </w:t>
      </w:r>
      <w:proofErr w:type="spellStart"/>
      <w:r w:rsidR="007A44AB">
        <w:rPr>
          <w:rFonts w:ascii="Times New Roman" w:hAnsi="Times New Roman"/>
          <w:i/>
          <w:iCs/>
          <w:lang w:val="pt-BR"/>
        </w:rPr>
        <w:t>C</w:t>
      </w:r>
      <w:r w:rsidR="007A44AB">
        <w:rPr>
          <w:rFonts w:ascii="Times New Roman" w:hAnsi="Times New Roman"/>
          <w:i/>
          <w:iCs/>
          <w:vertAlign w:val="subscript"/>
          <w:lang w:val="pt-BR"/>
        </w:rPr>
        <w:t>i</w:t>
      </w:r>
      <w:proofErr w:type="spellEnd"/>
      <w:r w:rsidR="007A44AB">
        <w:rPr>
          <w:rFonts w:ascii="Times New Roman" w:hAnsi="Times New Roman"/>
          <w:i/>
          <w:iCs/>
          <w:vertAlign w:val="subscript"/>
          <w:lang w:val="pt-BR"/>
        </w:rPr>
        <w:softHyphen/>
      </w:r>
      <w:r w:rsidR="00DE1FDC">
        <w:rPr>
          <w:rFonts w:ascii="Times New Roman" w:hAnsi="Times New Roman"/>
          <w:lang w:val="pt-BR"/>
        </w:rPr>
        <w:t>,</w:t>
      </w:r>
      <w:r w:rsidR="007A44AB">
        <w:rPr>
          <w:rFonts w:ascii="Times New Roman" w:hAnsi="Times New Roman"/>
          <w:lang w:val="pt-BR"/>
        </w:rPr>
        <w:t xml:space="preserve"> a concentração de um determinado </w:t>
      </w:r>
      <w:r w:rsidR="00DE1FDC" w:rsidRPr="00DE1FDC">
        <w:rPr>
          <w:rFonts w:ascii="Times New Roman" w:hAnsi="Times New Roman"/>
          <w:lang w:val="pt-BR"/>
        </w:rPr>
        <w:t xml:space="preserve">produto </w:t>
      </w:r>
      <w:r w:rsidR="00DE1FDC" w:rsidRPr="00DE1FDC">
        <w:rPr>
          <w:rFonts w:ascii="Times New Roman" w:hAnsi="Times New Roman"/>
          <w:i/>
          <w:iCs/>
          <w:lang w:val="pt-BR"/>
        </w:rPr>
        <w:t>i</w:t>
      </w:r>
      <w:r w:rsidR="00DE1FDC" w:rsidRPr="00DE1FDC">
        <w:rPr>
          <w:rFonts w:ascii="Times New Roman" w:hAnsi="Times New Roman"/>
          <w:lang w:val="pt-BR"/>
        </w:rPr>
        <w:t xml:space="preserve">; e </w:t>
      </w:r>
      <w:r w:rsidR="00DE1FDC" w:rsidRPr="00DE1FDC">
        <w:rPr>
          <w:rFonts w:ascii="Times New Roman" w:hAnsi="Times New Roman"/>
          <w:i/>
          <w:iCs/>
          <w:lang w:val="pt-BR"/>
        </w:rPr>
        <w:t>C</w:t>
      </w:r>
      <w:r w:rsidR="00DE1FDC" w:rsidRPr="00DE1FDC">
        <w:rPr>
          <w:rFonts w:ascii="Times New Roman" w:hAnsi="Times New Roman"/>
          <w:i/>
          <w:iCs/>
          <w:vertAlign w:val="subscript"/>
          <w:lang w:val="pt-BR"/>
        </w:rPr>
        <w:t>T</w:t>
      </w:r>
      <w:r w:rsidR="00DE1FDC" w:rsidRPr="00DE1FDC">
        <w:rPr>
          <w:rFonts w:ascii="Times New Roman" w:hAnsi="Times New Roman"/>
          <w:lang w:val="pt-BR"/>
        </w:rPr>
        <w:t xml:space="preserve">, a </w:t>
      </w:r>
      <w:r w:rsidR="007A44AB">
        <w:rPr>
          <w:rFonts w:ascii="Times New Roman" w:hAnsi="Times New Roman"/>
          <w:lang w:val="pt-BR"/>
        </w:rPr>
        <w:t>soma da concentração de todos os produtos</w:t>
      </w:r>
      <w:r w:rsidR="00877C13">
        <w:rPr>
          <w:rFonts w:ascii="Times New Roman" w:hAnsi="Times New Roman"/>
          <w:lang w:val="pt-BR"/>
        </w:rPr>
        <w:t>.</w:t>
      </w:r>
    </w:p>
    <w:p w14:paraId="136BD1AC" w14:textId="21314D5F" w:rsidR="00EA4E1B" w:rsidRPr="00A96861" w:rsidRDefault="00EA4E1B" w:rsidP="00EA4E1B">
      <w:pPr>
        <w:pStyle w:val="Ttulo2"/>
        <w:rPr>
          <w:rFonts w:ascii="Helvetica" w:hAnsi="Helvetica" w:cs="Helvetica"/>
          <w:sz w:val="24"/>
          <w:szCs w:val="24"/>
        </w:rPr>
      </w:pPr>
      <w:r w:rsidRPr="00A96861">
        <w:rPr>
          <w:rFonts w:ascii="Helvetica" w:hAnsi="Helvetica" w:cs="Helvetica"/>
          <w:sz w:val="24"/>
          <w:szCs w:val="24"/>
        </w:rPr>
        <w:t>Resultados e Discussão</w:t>
      </w:r>
    </w:p>
    <w:p w14:paraId="4F1541F7" w14:textId="295F15CA" w:rsidR="00A96861" w:rsidRPr="00A96861" w:rsidRDefault="00A96861" w:rsidP="00E24306">
      <w:pPr>
        <w:pStyle w:val="TAMainText"/>
        <w:ind w:firstLine="0"/>
        <w:rPr>
          <w:rFonts w:ascii="Times New Roman" w:hAnsi="Times New Roman"/>
          <w:i/>
          <w:lang w:val="pt-BR"/>
        </w:rPr>
      </w:pPr>
      <w:r>
        <w:rPr>
          <w:rFonts w:ascii="Times New Roman" w:hAnsi="Times New Roman"/>
          <w:i/>
          <w:lang w:val="pt-BR"/>
        </w:rPr>
        <w:t>Ensaios catalíticos</w:t>
      </w:r>
    </w:p>
    <w:p w14:paraId="47E01BE5" w14:textId="03CB2AE7" w:rsidR="00A96861" w:rsidRDefault="00A8294C" w:rsidP="00A96861">
      <w:pPr>
        <w:pStyle w:val="TAMainText"/>
        <w:ind w:firstLine="187"/>
        <w:rPr>
          <w:rFonts w:ascii="Times New Roman" w:hAnsi="Times New Roman"/>
          <w:lang w:val="pt-BR"/>
        </w:rPr>
      </w:pPr>
      <w:r>
        <w:rPr>
          <w:rFonts w:ascii="Times New Roman" w:hAnsi="Times New Roman"/>
          <w:lang w:val="pt-BR"/>
        </w:rPr>
        <w:t xml:space="preserve">Para as primeiras etapas dos testes catalíticos, </w:t>
      </w:r>
      <w:r w:rsidR="002F076E">
        <w:rPr>
          <w:rFonts w:ascii="Times New Roman" w:hAnsi="Times New Roman"/>
          <w:lang w:val="pt-BR"/>
        </w:rPr>
        <w:t>analis</w:t>
      </w:r>
      <w:r w:rsidR="009A44C2">
        <w:rPr>
          <w:rFonts w:ascii="Times New Roman" w:hAnsi="Times New Roman"/>
          <w:lang w:val="pt-BR"/>
        </w:rPr>
        <w:t xml:space="preserve">ou-se </w:t>
      </w:r>
      <w:r w:rsidR="002F076E">
        <w:rPr>
          <w:rFonts w:ascii="Times New Roman" w:hAnsi="Times New Roman"/>
          <w:lang w:val="pt-BR"/>
        </w:rPr>
        <w:t>a influência da temperatura sobre a conversão e seletividade d</w:t>
      </w:r>
      <w:r>
        <w:rPr>
          <w:rFonts w:ascii="Times New Roman" w:hAnsi="Times New Roman"/>
          <w:lang w:val="pt-BR"/>
        </w:rPr>
        <w:t>o catalisador equimolar (</w:t>
      </w:r>
      <w:proofErr w:type="spellStart"/>
      <w:r>
        <w:rPr>
          <w:rFonts w:ascii="Times New Roman" w:hAnsi="Times New Roman"/>
          <w:lang w:val="pt-BR"/>
        </w:rPr>
        <w:t>Mg:Al:</w:t>
      </w:r>
      <w:proofErr w:type="gramStart"/>
      <w:r>
        <w:rPr>
          <w:rFonts w:ascii="Times New Roman" w:hAnsi="Times New Roman"/>
          <w:lang w:val="pt-BR"/>
        </w:rPr>
        <w:t>Si</w:t>
      </w:r>
      <w:proofErr w:type="spellEnd"/>
      <w:r>
        <w:rPr>
          <w:rFonts w:ascii="Times New Roman" w:hAnsi="Times New Roman"/>
          <w:lang w:val="pt-BR"/>
        </w:rPr>
        <w:t>::</w:t>
      </w:r>
      <w:proofErr w:type="gramEnd"/>
      <w:r>
        <w:rPr>
          <w:rFonts w:ascii="Times New Roman" w:hAnsi="Times New Roman"/>
          <w:lang w:val="pt-BR"/>
        </w:rPr>
        <w:t xml:space="preserve"> 1:1:1) </w:t>
      </w:r>
      <w:r w:rsidR="002F076E">
        <w:rPr>
          <w:rFonts w:ascii="Times New Roman" w:hAnsi="Times New Roman"/>
          <w:lang w:val="pt-BR"/>
        </w:rPr>
        <w:t>na</w:t>
      </w:r>
      <w:r>
        <w:rPr>
          <w:rFonts w:ascii="Times New Roman" w:hAnsi="Times New Roman"/>
          <w:lang w:val="pt-BR"/>
        </w:rPr>
        <w:t xml:space="preserve"> reação de conversão de </w:t>
      </w:r>
      <w:proofErr w:type="spellStart"/>
      <w:r>
        <w:rPr>
          <w:rFonts w:ascii="Times New Roman" w:hAnsi="Times New Roman"/>
          <w:lang w:val="pt-BR"/>
        </w:rPr>
        <w:t>EtOH</w:t>
      </w:r>
      <w:proofErr w:type="spellEnd"/>
      <w:r>
        <w:rPr>
          <w:rFonts w:ascii="Times New Roman" w:hAnsi="Times New Roman"/>
          <w:lang w:val="pt-BR"/>
        </w:rPr>
        <w:t>, mantendo tod</w:t>
      </w:r>
      <w:r w:rsidR="009A44C2">
        <w:rPr>
          <w:rFonts w:ascii="Times New Roman" w:hAnsi="Times New Roman"/>
          <w:lang w:val="pt-BR"/>
        </w:rPr>
        <w:t>a</w:t>
      </w:r>
      <w:r>
        <w:rPr>
          <w:rFonts w:ascii="Times New Roman" w:hAnsi="Times New Roman"/>
          <w:lang w:val="pt-BR"/>
        </w:rPr>
        <w:t>s as outras condições experimentais</w:t>
      </w:r>
      <w:r w:rsidR="002F076E">
        <w:rPr>
          <w:rFonts w:ascii="Times New Roman" w:hAnsi="Times New Roman"/>
          <w:lang w:val="pt-BR"/>
        </w:rPr>
        <w:t xml:space="preserve"> constantes</w:t>
      </w:r>
      <w:r w:rsidR="003862BF">
        <w:rPr>
          <w:rFonts w:ascii="Times New Roman" w:hAnsi="Times New Roman"/>
          <w:lang w:val="pt-BR"/>
        </w:rPr>
        <w:t>, ou seja</w:t>
      </w:r>
      <w:r>
        <w:rPr>
          <w:rFonts w:ascii="Times New Roman" w:hAnsi="Times New Roman"/>
          <w:lang w:val="pt-BR"/>
        </w:rPr>
        <w:t>, o leito catalítico continha 100 mg do catalisador, a vazão de Ar foi constante de 25 mL</w:t>
      </w:r>
      <w:r w:rsidRPr="00A8294C">
        <w:rPr>
          <w:rFonts w:ascii="Times New Roman" w:hAnsi="Times New Roman"/>
          <w:lang w:val="pt-BR"/>
        </w:rPr>
        <w:t>·min</w:t>
      </w:r>
      <w:r w:rsidRPr="00A8294C">
        <w:rPr>
          <w:rFonts w:ascii="Times New Roman" w:hAnsi="Times New Roman"/>
          <w:vertAlign w:val="superscript"/>
          <w:lang w:val="pt-BR"/>
        </w:rPr>
        <w:t>-1</w:t>
      </w:r>
      <w:r>
        <w:rPr>
          <w:rFonts w:ascii="Times New Roman" w:hAnsi="Times New Roman"/>
          <w:lang w:val="pt-BR"/>
        </w:rPr>
        <w:t xml:space="preserve">, a pressão </w:t>
      </w:r>
      <w:r w:rsidR="002F076E">
        <w:rPr>
          <w:rFonts w:ascii="Times New Roman" w:hAnsi="Times New Roman"/>
          <w:lang w:val="pt-BR"/>
        </w:rPr>
        <w:t xml:space="preserve">do sistema foi mantida a 1,1 bar e as temperaturas </w:t>
      </w:r>
      <w:r w:rsidR="00A3667F">
        <w:rPr>
          <w:rFonts w:ascii="Times New Roman" w:hAnsi="Times New Roman"/>
          <w:lang w:val="pt-BR"/>
        </w:rPr>
        <w:t>estudadas</w:t>
      </w:r>
      <w:r w:rsidR="002F076E">
        <w:rPr>
          <w:rFonts w:ascii="Times New Roman" w:hAnsi="Times New Roman"/>
          <w:lang w:val="pt-BR"/>
        </w:rPr>
        <w:t xml:space="preserve"> foram: 523 K, 573 K, 623 K, 673 K e 723 K.</w:t>
      </w:r>
    </w:p>
    <w:p w14:paraId="2BC3558C" w14:textId="4BB33E13" w:rsidR="00B9644A" w:rsidRDefault="00A3667F" w:rsidP="00A77A9A">
      <w:pPr>
        <w:pStyle w:val="TAMainText"/>
        <w:ind w:firstLine="187"/>
        <w:rPr>
          <w:rFonts w:ascii="Times New Roman" w:hAnsi="Times New Roman"/>
          <w:lang w:val="pt-BR"/>
        </w:rPr>
      </w:pPr>
      <w:r>
        <w:rPr>
          <w:rFonts w:ascii="Times New Roman" w:hAnsi="Times New Roman"/>
          <w:lang w:val="pt-BR"/>
        </w:rPr>
        <w:t xml:space="preserve">Os resultados </w:t>
      </w:r>
      <w:r w:rsidR="00021925">
        <w:rPr>
          <w:rFonts w:ascii="Times New Roman" w:hAnsi="Times New Roman"/>
          <w:lang w:val="pt-BR"/>
        </w:rPr>
        <w:t>da avaliação catalítica mostrando</w:t>
      </w:r>
      <w:r>
        <w:rPr>
          <w:rFonts w:ascii="Times New Roman" w:hAnsi="Times New Roman"/>
          <w:lang w:val="pt-BR"/>
        </w:rPr>
        <w:t xml:space="preserve"> a conversão do </w:t>
      </w:r>
      <w:proofErr w:type="spellStart"/>
      <w:r>
        <w:rPr>
          <w:rFonts w:ascii="Times New Roman" w:hAnsi="Times New Roman"/>
          <w:lang w:val="pt-BR"/>
        </w:rPr>
        <w:t>EtOH</w:t>
      </w:r>
      <w:proofErr w:type="spellEnd"/>
      <w:r>
        <w:rPr>
          <w:rFonts w:ascii="Times New Roman" w:hAnsi="Times New Roman"/>
          <w:lang w:val="pt-BR"/>
        </w:rPr>
        <w:t xml:space="preserve"> e a seletividade </w:t>
      </w:r>
      <w:r w:rsidR="00021925">
        <w:rPr>
          <w:rFonts w:ascii="Times New Roman" w:hAnsi="Times New Roman"/>
          <w:lang w:val="pt-BR"/>
        </w:rPr>
        <w:t>a</w:t>
      </w:r>
      <w:r>
        <w:rPr>
          <w:rFonts w:ascii="Times New Roman" w:hAnsi="Times New Roman"/>
          <w:lang w:val="pt-BR"/>
        </w:rPr>
        <w:t>os produtos</w:t>
      </w:r>
      <w:r w:rsidR="00BD1395">
        <w:rPr>
          <w:rFonts w:ascii="Times New Roman" w:hAnsi="Times New Roman"/>
          <w:lang w:val="pt-BR"/>
        </w:rPr>
        <w:t xml:space="preserve"> </w:t>
      </w:r>
      <w:r w:rsidR="00021925">
        <w:rPr>
          <w:rFonts w:ascii="Times New Roman" w:hAnsi="Times New Roman"/>
          <w:lang w:val="pt-BR"/>
        </w:rPr>
        <w:t xml:space="preserve">para </w:t>
      </w:r>
      <w:r w:rsidR="00BD1395" w:rsidRPr="00BD1395">
        <w:rPr>
          <w:rFonts w:ascii="Times New Roman" w:hAnsi="Times New Roman"/>
          <w:lang w:val="pt-BR"/>
        </w:rPr>
        <w:t>o catalisador equimolar</w:t>
      </w:r>
      <w:r w:rsidR="00BD1395">
        <w:rPr>
          <w:rFonts w:ascii="Times New Roman" w:hAnsi="Times New Roman"/>
          <w:lang w:val="pt-BR"/>
        </w:rPr>
        <w:t xml:space="preserve"> </w:t>
      </w:r>
      <w:r w:rsidR="00021925">
        <w:rPr>
          <w:rFonts w:ascii="Times New Roman" w:hAnsi="Times New Roman"/>
          <w:lang w:val="pt-BR"/>
        </w:rPr>
        <w:t>(</w:t>
      </w:r>
      <w:proofErr w:type="spellStart"/>
      <w:r w:rsidR="00021925">
        <w:rPr>
          <w:rFonts w:ascii="Times New Roman" w:hAnsi="Times New Roman"/>
          <w:lang w:val="pt-BR"/>
        </w:rPr>
        <w:t>Mg:Al:</w:t>
      </w:r>
      <w:proofErr w:type="gramStart"/>
      <w:r w:rsidR="00021925">
        <w:rPr>
          <w:rFonts w:ascii="Times New Roman" w:hAnsi="Times New Roman"/>
          <w:lang w:val="pt-BR"/>
        </w:rPr>
        <w:t>Si</w:t>
      </w:r>
      <w:proofErr w:type="spellEnd"/>
      <w:r w:rsidR="00021925">
        <w:rPr>
          <w:rFonts w:ascii="Times New Roman" w:hAnsi="Times New Roman"/>
          <w:lang w:val="pt-BR"/>
        </w:rPr>
        <w:t>::</w:t>
      </w:r>
      <w:proofErr w:type="gramEnd"/>
      <w:r w:rsidR="00021925">
        <w:rPr>
          <w:rFonts w:ascii="Times New Roman" w:hAnsi="Times New Roman"/>
          <w:lang w:val="pt-BR"/>
        </w:rPr>
        <w:t xml:space="preserve"> 1:1:1) </w:t>
      </w:r>
      <w:r w:rsidR="00BD1395">
        <w:rPr>
          <w:rFonts w:ascii="Times New Roman" w:hAnsi="Times New Roman"/>
          <w:lang w:val="pt-BR"/>
        </w:rPr>
        <w:t>em diferentes temperaturas</w:t>
      </w:r>
      <w:r>
        <w:rPr>
          <w:rFonts w:ascii="Times New Roman" w:hAnsi="Times New Roman"/>
          <w:lang w:val="pt-BR"/>
        </w:rPr>
        <w:t xml:space="preserve"> está </w:t>
      </w:r>
      <w:r w:rsidR="003862BF">
        <w:rPr>
          <w:rFonts w:ascii="Times New Roman" w:hAnsi="Times New Roman"/>
          <w:lang w:val="pt-BR"/>
        </w:rPr>
        <w:t>sumarizado</w:t>
      </w:r>
      <w:r>
        <w:rPr>
          <w:rFonts w:ascii="Times New Roman" w:hAnsi="Times New Roman"/>
          <w:lang w:val="pt-BR"/>
        </w:rPr>
        <w:t xml:space="preserve"> na </w:t>
      </w:r>
      <w:r w:rsidRPr="00E02955">
        <w:rPr>
          <w:rFonts w:ascii="Times New Roman" w:hAnsi="Times New Roman"/>
          <w:lang w:val="pt-BR"/>
        </w:rPr>
        <w:t xml:space="preserve">Figura </w:t>
      </w:r>
      <w:r w:rsidR="00BD1395" w:rsidRPr="00E02955">
        <w:rPr>
          <w:rFonts w:ascii="Times New Roman" w:hAnsi="Times New Roman"/>
          <w:lang w:val="pt-BR"/>
        </w:rPr>
        <w:t>1</w:t>
      </w:r>
      <w:r>
        <w:rPr>
          <w:rFonts w:ascii="Times New Roman" w:hAnsi="Times New Roman"/>
          <w:lang w:val="pt-BR"/>
        </w:rPr>
        <w:t xml:space="preserve">. </w:t>
      </w:r>
      <w:r w:rsidR="00697EE0">
        <w:rPr>
          <w:rFonts w:ascii="Times New Roman" w:hAnsi="Times New Roman"/>
          <w:lang w:val="pt-BR"/>
        </w:rPr>
        <w:t xml:space="preserve">Resultados na temperatura de 523 K não são discutidos, pois não foi </w:t>
      </w:r>
      <w:r w:rsidR="008C4EF4">
        <w:rPr>
          <w:rFonts w:ascii="Times New Roman" w:hAnsi="Times New Roman"/>
          <w:lang w:val="pt-BR"/>
        </w:rPr>
        <w:t>detectada</w:t>
      </w:r>
      <w:r w:rsidR="00697EE0">
        <w:rPr>
          <w:rFonts w:ascii="Times New Roman" w:hAnsi="Times New Roman"/>
          <w:lang w:val="pt-BR"/>
        </w:rPr>
        <w:t xml:space="preserve"> conversão relevante </w:t>
      </w:r>
      <w:r w:rsidR="008C4EF4">
        <w:rPr>
          <w:rFonts w:ascii="Times New Roman" w:hAnsi="Times New Roman"/>
          <w:lang w:val="pt-BR"/>
        </w:rPr>
        <w:t xml:space="preserve">de </w:t>
      </w:r>
      <w:proofErr w:type="spellStart"/>
      <w:r w:rsidR="008C4EF4">
        <w:rPr>
          <w:rFonts w:ascii="Times New Roman" w:hAnsi="Times New Roman"/>
          <w:lang w:val="pt-BR"/>
        </w:rPr>
        <w:t>EtOH</w:t>
      </w:r>
      <w:proofErr w:type="spellEnd"/>
      <w:r w:rsidR="008C4EF4">
        <w:rPr>
          <w:rFonts w:ascii="Times New Roman" w:hAnsi="Times New Roman"/>
          <w:lang w:val="pt-BR"/>
        </w:rPr>
        <w:t xml:space="preserve"> </w:t>
      </w:r>
      <w:r w:rsidR="00697EE0">
        <w:rPr>
          <w:rFonts w:ascii="Times New Roman" w:hAnsi="Times New Roman"/>
          <w:lang w:val="pt-BR"/>
        </w:rPr>
        <w:t xml:space="preserve">para essa temperatura. </w:t>
      </w:r>
      <w:r w:rsidR="00603157">
        <w:rPr>
          <w:rFonts w:ascii="Times New Roman" w:hAnsi="Times New Roman"/>
          <w:lang w:val="pt-BR"/>
        </w:rPr>
        <w:t>Os produtos mais abundantes identificados pelo detector FID foram etileno, acetaldeído (</w:t>
      </w:r>
      <w:proofErr w:type="spellStart"/>
      <w:r w:rsidR="00603157">
        <w:rPr>
          <w:rFonts w:ascii="Times New Roman" w:hAnsi="Times New Roman"/>
          <w:lang w:val="pt-BR"/>
        </w:rPr>
        <w:t>AcH</w:t>
      </w:r>
      <w:proofErr w:type="spellEnd"/>
      <w:r w:rsidR="00603157">
        <w:rPr>
          <w:rFonts w:ascii="Times New Roman" w:hAnsi="Times New Roman"/>
          <w:lang w:val="pt-BR"/>
        </w:rPr>
        <w:t xml:space="preserve">), butenos, BD, DEE e </w:t>
      </w:r>
      <w:proofErr w:type="spellStart"/>
      <w:r w:rsidR="00603157">
        <w:rPr>
          <w:rFonts w:ascii="Times New Roman" w:hAnsi="Times New Roman"/>
          <w:lang w:val="pt-BR"/>
        </w:rPr>
        <w:t>BuOH</w:t>
      </w:r>
      <w:proofErr w:type="spellEnd"/>
      <w:r w:rsidR="00603157">
        <w:rPr>
          <w:rFonts w:ascii="Times New Roman" w:hAnsi="Times New Roman"/>
          <w:lang w:val="pt-BR"/>
        </w:rPr>
        <w:t xml:space="preserve">, além de outros hidrocarbonetos como metano, etano, </w:t>
      </w:r>
      <w:r w:rsidR="004C6F1A">
        <w:rPr>
          <w:rFonts w:ascii="Times New Roman" w:hAnsi="Times New Roman"/>
          <w:lang w:val="pt-BR"/>
        </w:rPr>
        <w:t>propano, propeno, referenciados como C</w:t>
      </w:r>
      <w:r w:rsidR="004C6F1A" w:rsidRPr="004C6F1A">
        <w:rPr>
          <w:rFonts w:ascii="Times New Roman" w:hAnsi="Times New Roman"/>
          <w:vertAlign w:val="subscript"/>
          <w:lang w:val="pt-BR"/>
        </w:rPr>
        <w:t>1</w:t>
      </w:r>
      <w:r w:rsidR="004C6F1A">
        <w:rPr>
          <w:rFonts w:ascii="Times New Roman" w:hAnsi="Times New Roman"/>
          <w:lang w:val="pt-BR"/>
        </w:rPr>
        <w:t>–C</w:t>
      </w:r>
      <w:r w:rsidR="004C6F1A" w:rsidRPr="004C6F1A">
        <w:rPr>
          <w:rFonts w:ascii="Times New Roman" w:hAnsi="Times New Roman"/>
          <w:vertAlign w:val="subscript"/>
          <w:lang w:val="pt-BR"/>
        </w:rPr>
        <w:t>3</w:t>
      </w:r>
      <w:r w:rsidR="004C6F1A">
        <w:rPr>
          <w:rFonts w:ascii="Times New Roman" w:hAnsi="Times New Roman"/>
          <w:lang w:val="pt-BR"/>
        </w:rPr>
        <w:t>.</w:t>
      </w:r>
      <w:r w:rsidR="00F649BC">
        <w:rPr>
          <w:rFonts w:ascii="Times New Roman" w:hAnsi="Times New Roman"/>
          <w:lang w:val="pt-BR"/>
        </w:rPr>
        <w:t xml:space="preserve"> Essa pluralidade de produtos era prevista justamente pela, já citada, característica do etanol de molécula </w:t>
      </w:r>
      <w:r w:rsidR="00F649BC">
        <w:rPr>
          <w:rFonts w:ascii="Times New Roman" w:hAnsi="Times New Roman"/>
          <w:lang w:val="pt-BR"/>
        </w:rPr>
        <w:t>plataforma</w:t>
      </w:r>
      <w:r w:rsidR="00A77A9A">
        <w:rPr>
          <w:rFonts w:ascii="Times New Roman" w:hAnsi="Times New Roman"/>
          <w:lang w:val="pt-BR"/>
        </w:rPr>
        <w:t xml:space="preserve">. Devido </w:t>
      </w:r>
      <w:r w:rsidR="00FB2E57">
        <w:rPr>
          <w:rFonts w:ascii="Times New Roman" w:hAnsi="Times New Roman"/>
          <w:lang w:val="pt-BR"/>
        </w:rPr>
        <w:t>à</w:t>
      </w:r>
      <w:r w:rsidR="00A77A9A">
        <w:rPr>
          <w:rFonts w:ascii="Times New Roman" w:hAnsi="Times New Roman"/>
          <w:lang w:val="pt-BR"/>
        </w:rPr>
        <w:t xml:space="preserve"> natureza endergônica da reação, espera-se que o aumento da temperatura favoreça a conversão do </w:t>
      </w:r>
      <w:proofErr w:type="spellStart"/>
      <w:r w:rsidR="00A77A9A">
        <w:rPr>
          <w:rFonts w:ascii="Times New Roman" w:hAnsi="Times New Roman"/>
          <w:lang w:val="pt-BR"/>
        </w:rPr>
        <w:t>EtOH</w:t>
      </w:r>
      <w:proofErr w:type="spellEnd"/>
      <w:r w:rsidR="00A77A9A">
        <w:rPr>
          <w:rFonts w:ascii="Times New Roman" w:hAnsi="Times New Roman"/>
          <w:lang w:val="pt-BR"/>
        </w:rPr>
        <w:t xml:space="preserve">, </w:t>
      </w:r>
      <w:r w:rsidR="00670409">
        <w:rPr>
          <w:rFonts w:ascii="Times New Roman" w:hAnsi="Times New Roman"/>
          <w:lang w:val="pt-BR"/>
        </w:rPr>
        <w:t>o que</w:t>
      </w:r>
      <w:r w:rsidR="00A77A9A">
        <w:rPr>
          <w:rFonts w:ascii="Times New Roman" w:hAnsi="Times New Roman"/>
          <w:lang w:val="pt-BR"/>
        </w:rPr>
        <w:t xml:space="preserve"> é observado nesse estudo</w:t>
      </w:r>
      <w:r w:rsidR="00670409">
        <w:rPr>
          <w:rFonts w:ascii="Times New Roman" w:hAnsi="Times New Roman"/>
          <w:lang w:val="pt-BR"/>
        </w:rPr>
        <w:t xml:space="preserve">, já que </w:t>
      </w:r>
      <w:r w:rsidR="009D12B5">
        <w:rPr>
          <w:rFonts w:ascii="Times New Roman" w:hAnsi="Times New Roman"/>
          <w:lang w:val="pt-BR"/>
        </w:rPr>
        <w:t>a</w:t>
      </w:r>
      <w:r w:rsidR="00670409">
        <w:rPr>
          <w:rFonts w:ascii="Times New Roman" w:hAnsi="Times New Roman"/>
          <w:lang w:val="pt-BR"/>
        </w:rPr>
        <w:t xml:space="preserve"> conversão </w:t>
      </w:r>
      <w:r w:rsidR="009D12B5">
        <w:rPr>
          <w:rFonts w:ascii="Times New Roman" w:hAnsi="Times New Roman"/>
          <w:lang w:val="pt-BR"/>
        </w:rPr>
        <w:t>foi de cerca de 1 %</w:t>
      </w:r>
      <w:r w:rsidR="008C4EF4">
        <w:rPr>
          <w:rFonts w:ascii="Times New Roman" w:hAnsi="Times New Roman"/>
          <w:lang w:val="pt-BR"/>
        </w:rPr>
        <w:t>,</w:t>
      </w:r>
      <w:r w:rsidR="009D12B5">
        <w:rPr>
          <w:rFonts w:ascii="Times New Roman" w:hAnsi="Times New Roman"/>
          <w:lang w:val="pt-BR"/>
        </w:rPr>
        <w:t xml:space="preserve"> quando a temperatura era de 573 K</w:t>
      </w:r>
      <w:r w:rsidR="008C4EF4">
        <w:rPr>
          <w:rFonts w:ascii="Times New Roman" w:hAnsi="Times New Roman"/>
          <w:lang w:val="pt-BR"/>
        </w:rPr>
        <w:t>,</w:t>
      </w:r>
      <w:r w:rsidR="009D12B5">
        <w:rPr>
          <w:rFonts w:ascii="Times New Roman" w:hAnsi="Times New Roman"/>
          <w:lang w:val="pt-BR"/>
        </w:rPr>
        <w:t xml:space="preserve"> para</w:t>
      </w:r>
      <w:r w:rsidR="00670409">
        <w:rPr>
          <w:rFonts w:ascii="Times New Roman" w:hAnsi="Times New Roman"/>
          <w:lang w:val="pt-BR"/>
        </w:rPr>
        <w:t xml:space="preserve"> 37,21 % </w:t>
      </w:r>
      <w:r w:rsidR="009D12B5">
        <w:rPr>
          <w:rFonts w:ascii="Times New Roman" w:hAnsi="Times New Roman"/>
          <w:lang w:val="pt-BR"/>
        </w:rPr>
        <w:t>na</w:t>
      </w:r>
      <w:r w:rsidR="00670409">
        <w:rPr>
          <w:rFonts w:ascii="Times New Roman" w:hAnsi="Times New Roman"/>
          <w:lang w:val="pt-BR"/>
        </w:rPr>
        <w:t xml:space="preserve"> maior temperatura estudada</w:t>
      </w:r>
      <w:r w:rsidR="009D12B5">
        <w:rPr>
          <w:rFonts w:ascii="Times New Roman" w:hAnsi="Times New Roman"/>
          <w:lang w:val="pt-BR"/>
        </w:rPr>
        <w:t>, 723 K</w:t>
      </w:r>
      <w:r w:rsidR="00A77A9A">
        <w:rPr>
          <w:rFonts w:ascii="Times New Roman" w:hAnsi="Times New Roman"/>
          <w:lang w:val="pt-BR"/>
        </w:rPr>
        <w:t>.</w:t>
      </w:r>
    </w:p>
    <w:p w14:paraId="7F56F98D" w14:textId="123988A1" w:rsidR="00044473" w:rsidRDefault="00044473" w:rsidP="00935259">
      <w:pPr>
        <w:pStyle w:val="TAMainText"/>
        <w:ind w:firstLine="0"/>
        <w:rPr>
          <w:rFonts w:ascii="Times New Roman" w:hAnsi="Times New Roman"/>
          <w:b/>
          <w:lang w:val="pt-BR"/>
        </w:rPr>
      </w:pPr>
    </w:p>
    <w:p w14:paraId="6BF6E042" w14:textId="1ED1EEE9" w:rsidR="00BD1395" w:rsidRDefault="00BD1395" w:rsidP="00935259">
      <w:pPr>
        <w:pStyle w:val="TAMainText"/>
        <w:ind w:firstLine="0"/>
        <w:rPr>
          <w:rFonts w:ascii="Times New Roman" w:hAnsi="Times New Roman"/>
          <w:lang w:val="pt-BR"/>
        </w:rPr>
      </w:pPr>
      <w:r w:rsidRPr="00BD1395">
        <w:rPr>
          <w:rFonts w:ascii="Times New Roman" w:hAnsi="Times New Roman"/>
          <w:b/>
          <w:lang w:val="pt-BR"/>
        </w:rPr>
        <w:t>Figura 1.</w:t>
      </w:r>
      <w:r w:rsidRPr="00BD1395">
        <w:rPr>
          <w:rFonts w:ascii="Times New Roman" w:hAnsi="Times New Roman"/>
          <w:lang w:val="pt-BR"/>
        </w:rPr>
        <w:t xml:space="preserve"> </w:t>
      </w:r>
      <w:r w:rsidR="00E77F5B">
        <w:rPr>
          <w:rFonts w:ascii="Times New Roman" w:hAnsi="Times New Roman"/>
          <w:lang w:val="pt-BR"/>
        </w:rPr>
        <w:t xml:space="preserve">Conversão de </w:t>
      </w:r>
      <w:proofErr w:type="spellStart"/>
      <w:r w:rsidR="00E77F5B">
        <w:rPr>
          <w:rFonts w:ascii="Times New Roman" w:hAnsi="Times New Roman"/>
          <w:lang w:val="pt-BR"/>
        </w:rPr>
        <w:t>EtOH</w:t>
      </w:r>
      <w:proofErr w:type="spellEnd"/>
      <w:r w:rsidR="00E77F5B">
        <w:rPr>
          <w:rFonts w:ascii="Times New Roman" w:hAnsi="Times New Roman"/>
          <w:lang w:val="pt-BR"/>
        </w:rPr>
        <w:t xml:space="preserve"> e seletividade de produtos do catalisador </w:t>
      </w:r>
      <w:r w:rsidR="00092E74">
        <w:rPr>
          <w:rFonts w:ascii="Times New Roman" w:hAnsi="Times New Roman"/>
          <w:lang w:val="pt-BR"/>
        </w:rPr>
        <w:t>equimolar</w:t>
      </w:r>
      <w:r w:rsidR="00E77F5B">
        <w:rPr>
          <w:rFonts w:ascii="Times New Roman" w:hAnsi="Times New Roman"/>
          <w:lang w:val="pt-BR"/>
        </w:rPr>
        <w:t xml:space="preserve">. </w:t>
      </w:r>
      <w:r w:rsidR="00092E74">
        <w:rPr>
          <w:rFonts w:ascii="Times New Roman" w:hAnsi="Times New Roman"/>
          <w:lang w:val="pt-BR"/>
        </w:rPr>
        <w:t>Massa de catalisador: 100 mg, vazão volumétrica de Ar 25 mL</w:t>
      </w:r>
      <w:r w:rsidR="00092E74" w:rsidRPr="00092E74">
        <w:rPr>
          <w:rFonts w:ascii="Times New Roman" w:hAnsi="Times New Roman"/>
          <w:lang w:val="pt-BR"/>
        </w:rPr>
        <w:t>·min</w:t>
      </w:r>
      <w:r w:rsidR="00092E74" w:rsidRPr="00092E74">
        <w:rPr>
          <w:rFonts w:ascii="Times New Roman" w:hAnsi="Times New Roman"/>
          <w:vertAlign w:val="superscript"/>
          <w:lang w:val="pt-BR"/>
        </w:rPr>
        <w:t>-1</w:t>
      </w:r>
      <w:r w:rsidR="00092E74">
        <w:rPr>
          <w:rFonts w:ascii="Times New Roman" w:hAnsi="Times New Roman"/>
          <w:lang w:val="pt-BR"/>
        </w:rPr>
        <w:t xml:space="preserve"> com 5 % de </w:t>
      </w:r>
      <w:proofErr w:type="spellStart"/>
      <w:r w:rsidR="00092E74">
        <w:rPr>
          <w:rFonts w:ascii="Times New Roman" w:hAnsi="Times New Roman"/>
          <w:lang w:val="pt-BR"/>
        </w:rPr>
        <w:t>EtOH</w:t>
      </w:r>
      <w:proofErr w:type="spellEnd"/>
      <w:r w:rsidR="00092E74">
        <w:rPr>
          <w:rFonts w:ascii="Times New Roman" w:hAnsi="Times New Roman"/>
          <w:lang w:val="pt-BR"/>
        </w:rPr>
        <w:t xml:space="preserve"> na corrente, pressão mantida a </w:t>
      </w:r>
      <w:r w:rsidR="00CE1BC5">
        <w:rPr>
          <w:rFonts w:ascii="Times New Roman" w:hAnsi="Times New Roman"/>
          <w:lang w:val="pt-BR"/>
        </w:rPr>
        <w:t>1,1 bar.</w:t>
      </w:r>
    </w:p>
    <w:p w14:paraId="6916DF6D" w14:textId="70E79EA0" w:rsidR="00CE1BC5" w:rsidRDefault="00CE1BC5" w:rsidP="00A77A9A">
      <w:pPr>
        <w:pStyle w:val="TAMainText"/>
        <w:ind w:firstLine="187"/>
        <w:rPr>
          <w:rFonts w:ascii="Times New Roman" w:hAnsi="Times New Roman"/>
          <w:lang w:val="pt-BR"/>
        </w:rPr>
      </w:pPr>
    </w:p>
    <w:p w14:paraId="2AD00CD0" w14:textId="475DC0D6" w:rsidR="00A77A9A" w:rsidRDefault="009D12B5" w:rsidP="00A77A9A">
      <w:pPr>
        <w:pStyle w:val="TAMainText"/>
        <w:ind w:firstLine="187"/>
        <w:rPr>
          <w:rFonts w:ascii="Times New Roman" w:hAnsi="Times New Roman"/>
          <w:lang w:val="pt-BR"/>
        </w:rPr>
      </w:pPr>
      <w:r>
        <w:rPr>
          <w:rFonts w:ascii="Times New Roman" w:hAnsi="Times New Roman"/>
          <w:lang w:val="pt-BR"/>
        </w:rPr>
        <w:t xml:space="preserve">Com relação aos compostos formados, </w:t>
      </w:r>
      <w:r w:rsidR="00A14763">
        <w:rPr>
          <w:rFonts w:ascii="Times New Roman" w:hAnsi="Times New Roman"/>
          <w:lang w:val="pt-BR"/>
        </w:rPr>
        <w:t>destaca</w:t>
      </w:r>
      <w:r>
        <w:rPr>
          <w:rFonts w:ascii="Times New Roman" w:hAnsi="Times New Roman"/>
          <w:lang w:val="pt-BR"/>
        </w:rPr>
        <w:t xml:space="preserve">-se a tendência contrária </w:t>
      </w:r>
      <w:r w:rsidR="0046784F">
        <w:rPr>
          <w:rFonts w:ascii="Times New Roman" w:hAnsi="Times New Roman"/>
          <w:lang w:val="pt-BR"/>
        </w:rPr>
        <w:t>n</w:t>
      </w:r>
      <w:r>
        <w:rPr>
          <w:rFonts w:ascii="Times New Roman" w:hAnsi="Times New Roman"/>
          <w:lang w:val="pt-BR"/>
        </w:rPr>
        <w:t xml:space="preserve">os produtos da desidratação: </w:t>
      </w:r>
      <w:r w:rsidR="0046784F">
        <w:rPr>
          <w:rFonts w:ascii="Times New Roman" w:hAnsi="Times New Roman"/>
          <w:lang w:val="pt-BR"/>
        </w:rPr>
        <w:t>com o aumento da temperatura ocorre o aumento da seletividade a etileno</w:t>
      </w:r>
      <w:r w:rsidR="00801EB6">
        <w:rPr>
          <w:rFonts w:ascii="Times New Roman" w:hAnsi="Times New Roman"/>
          <w:lang w:val="pt-BR"/>
        </w:rPr>
        <w:t>,</w:t>
      </w:r>
      <w:r w:rsidR="0046784F">
        <w:rPr>
          <w:rFonts w:ascii="Times New Roman" w:hAnsi="Times New Roman"/>
          <w:lang w:val="pt-BR"/>
        </w:rPr>
        <w:t xml:space="preserve"> enquanto a seletividade a DEE diminui</w:t>
      </w:r>
      <w:r w:rsidR="00B9644A">
        <w:rPr>
          <w:rFonts w:ascii="Times New Roman" w:hAnsi="Times New Roman"/>
          <w:lang w:val="pt-BR"/>
        </w:rPr>
        <w:t>. Esse comportamento está coerente</w:t>
      </w:r>
      <w:r w:rsidR="007E7C82">
        <w:rPr>
          <w:rFonts w:ascii="Times New Roman" w:hAnsi="Times New Roman"/>
          <w:lang w:val="pt-BR"/>
        </w:rPr>
        <w:t xml:space="preserve"> com outros previamente estudados (25</w:t>
      </w:r>
      <w:r w:rsidR="00135DD4">
        <w:rPr>
          <w:rFonts w:ascii="Times New Roman" w:hAnsi="Times New Roman"/>
          <w:lang w:val="pt-BR"/>
        </w:rPr>
        <w:t>–27</w:t>
      </w:r>
      <w:r w:rsidR="007E7C82">
        <w:rPr>
          <w:rFonts w:ascii="Times New Roman" w:hAnsi="Times New Roman"/>
          <w:lang w:val="pt-BR"/>
        </w:rPr>
        <w:t>)</w:t>
      </w:r>
      <w:r w:rsidR="00B9644A">
        <w:rPr>
          <w:rFonts w:ascii="Times New Roman" w:hAnsi="Times New Roman"/>
          <w:lang w:val="pt-BR"/>
        </w:rPr>
        <w:t xml:space="preserve"> e pode ocorrer </w:t>
      </w:r>
      <w:r w:rsidR="00AD38BA">
        <w:rPr>
          <w:rFonts w:ascii="Times New Roman" w:hAnsi="Times New Roman"/>
          <w:lang w:val="pt-BR"/>
        </w:rPr>
        <w:t xml:space="preserve">pelo fato </w:t>
      </w:r>
      <w:r w:rsidR="00DF38FE">
        <w:rPr>
          <w:rFonts w:ascii="Times New Roman" w:hAnsi="Times New Roman"/>
          <w:lang w:val="pt-BR"/>
        </w:rPr>
        <w:t xml:space="preserve">de </w:t>
      </w:r>
      <w:r w:rsidR="00DF38FE" w:rsidRPr="00DF38FE">
        <w:rPr>
          <w:rFonts w:ascii="Times New Roman" w:hAnsi="Times New Roman"/>
          <w:lang w:val="pt-BR"/>
        </w:rPr>
        <w:t>a reação de formação de etileno ocorre</w:t>
      </w:r>
      <w:r w:rsidR="00DF38FE">
        <w:rPr>
          <w:rFonts w:ascii="Times New Roman" w:hAnsi="Times New Roman"/>
          <w:lang w:val="pt-BR"/>
        </w:rPr>
        <w:t>r</w:t>
      </w:r>
      <w:r w:rsidR="00DF38FE" w:rsidRPr="00DF38FE">
        <w:rPr>
          <w:rFonts w:ascii="Times New Roman" w:hAnsi="Times New Roman"/>
          <w:lang w:val="pt-BR"/>
        </w:rPr>
        <w:t xml:space="preserve"> </w:t>
      </w:r>
      <w:proofErr w:type="spellStart"/>
      <w:r w:rsidR="00DF38FE" w:rsidRPr="00DF38FE">
        <w:rPr>
          <w:rFonts w:ascii="Times New Roman" w:hAnsi="Times New Roman"/>
          <w:lang w:val="pt-BR"/>
        </w:rPr>
        <w:t>endotermicamente</w:t>
      </w:r>
      <w:proofErr w:type="spellEnd"/>
      <w:r w:rsidR="00DF38FE" w:rsidRPr="00DF38FE">
        <w:rPr>
          <w:rFonts w:ascii="Times New Roman" w:hAnsi="Times New Roman"/>
          <w:lang w:val="pt-BR"/>
        </w:rPr>
        <w:t xml:space="preserve"> via intramolecular, e</w:t>
      </w:r>
      <w:r w:rsidR="00DF38FE">
        <w:rPr>
          <w:rFonts w:ascii="Times New Roman" w:hAnsi="Times New Roman"/>
          <w:lang w:val="pt-BR"/>
        </w:rPr>
        <w:t>nquanto</w:t>
      </w:r>
      <w:r w:rsidR="00DF38FE" w:rsidRPr="00DF38FE">
        <w:rPr>
          <w:rFonts w:ascii="Times New Roman" w:hAnsi="Times New Roman"/>
          <w:lang w:val="pt-BR"/>
        </w:rPr>
        <w:t xml:space="preserve"> a desidratação intermolecular </w:t>
      </w:r>
      <w:r w:rsidR="007265A0">
        <w:rPr>
          <w:rFonts w:ascii="Times New Roman" w:hAnsi="Times New Roman"/>
          <w:lang w:val="pt-BR"/>
        </w:rPr>
        <w:t>a</w:t>
      </w:r>
      <w:r w:rsidR="00DF38FE" w:rsidRPr="00DF38FE">
        <w:rPr>
          <w:rFonts w:ascii="Times New Roman" w:hAnsi="Times New Roman"/>
          <w:lang w:val="pt-BR"/>
        </w:rPr>
        <w:t xml:space="preserve"> </w:t>
      </w:r>
      <w:r w:rsidR="00DF38FE">
        <w:rPr>
          <w:rFonts w:ascii="Times New Roman" w:hAnsi="Times New Roman"/>
          <w:lang w:val="pt-BR"/>
        </w:rPr>
        <w:t>DEE</w:t>
      </w:r>
      <w:r w:rsidR="00DF38FE" w:rsidRPr="00DF38FE">
        <w:rPr>
          <w:rFonts w:ascii="Times New Roman" w:hAnsi="Times New Roman"/>
          <w:lang w:val="pt-BR"/>
        </w:rPr>
        <w:t xml:space="preserve"> é uma reação exotérmica</w:t>
      </w:r>
      <w:r w:rsidR="00DF38FE">
        <w:rPr>
          <w:rFonts w:ascii="Times New Roman" w:hAnsi="Times New Roman"/>
          <w:lang w:val="pt-BR"/>
        </w:rPr>
        <w:t xml:space="preserve"> (27)</w:t>
      </w:r>
      <w:r w:rsidR="00AD38BA">
        <w:rPr>
          <w:rFonts w:ascii="Times New Roman" w:hAnsi="Times New Roman"/>
          <w:lang w:val="pt-BR"/>
        </w:rPr>
        <w:t>. Além disso, o DEE pode ser um intermediário do etileno, levando a esse produto depois d</w:t>
      </w:r>
      <w:r w:rsidR="00E81C7C">
        <w:rPr>
          <w:rFonts w:ascii="Times New Roman" w:hAnsi="Times New Roman"/>
          <w:lang w:val="pt-BR"/>
        </w:rPr>
        <w:t>e</w:t>
      </w:r>
      <w:r w:rsidR="00AD38BA">
        <w:rPr>
          <w:rFonts w:ascii="Times New Roman" w:hAnsi="Times New Roman"/>
          <w:lang w:val="pt-BR"/>
        </w:rPr>
        <w:t xml:space="preserve"> </w:t>
      </w:r>
      <w:r w:rsidR="00E81C7C">
        <w:rPr>
          <w:rFonts w:ascii="Times New Roman" w:hAnsi="Times New Roman"/>
          <w:lang w:val="pt-BR"/>
        </w:rPr>
        <w:t xml:space="preserve">sua decomposição </w:t>
      </w:r>
      <w:r w:rsidR="00AD38BA">
        <w:rPr>
          <w:rFonts w:ascii="Times New Roman" w:hAnsi="Times New Roman"/>
          <w:lang w:val="pt-BR"/>
        </w:rPr>
        <w:t>(28)</w:t>
      </w:r>
      <w:r w:rsidR="00E81C7C">
        <w:rPr>
          <w:rFonts w:ascii="Times New Roman" w:hAnsi="Times New Roman"/>
          <w:lang w:val="pt-BR"/>
        </w:rPr>
        <w:t>.</w:t>
      </w:r>
    </w:p>
    <w:p w14:paraId="2EFA1169" w14:textId="617367EB" w:rsidR="00832DAF" w:rsidRDefault="007265A0" w:rsidP="00F965D5">
      <w:pPr>
        <w:pStyle w:val="TAMainText"/>
        <w:ind w:firstLine="187"/>
        <w:rPr>
          <w:rFonts w:ascii="Times New Roman" w:hAnsi="Times New Roman"/>
          <w:lang w:val="pt-BR"/>
        </w:rPr>
      </w:pPr>
      <w:r>
        <w:rPr>
          <w:rFonts w:ascii="Times New Roman" w:hAnsi="Times New Roman"/>
          <w:lang w:val="pt-BR"/>
        </w:rPr>
        <w:t xml:space="preserve">A seletividade a </w:t>
      </w:r>
      <w:proofErr w:type="spellStart"/>
      <w:r>
        <w:rPr>
          <w:rFonts w:ascii="Times New Roman" w:hAnsi="Times New Roman"/>
          <w:lang w:val="pt-BR"/>
        </w:rPr>
        <w:t>AcH</w:t>
      </w:r>
      <w:proofErr w:type="spellEnd"/>
      <w:r w:rsidR="00832DAF">
        <w:rPr>
          <w:rFonts w:ascii="Times New Roman" w:hAnsi="Times New Roman"/>
          <w:lang w:val="pt-BR"/>
        </w:rPr>
        <w:t xml:space="preserve"> decai com o aumento da temperatura no intervalo analisado</w:t>
      </w:r>
      <w:r w:rsidR="00543792">
        <w:rPr>
          <w:rFonts w:ascii="Times New Roman" w:hAnsi="Times New Roman"/>
          <w:lang w:val="pt-BR"/>
        </w:rPr>
        <w:t>, indo de 67,3 % a 34,6 %</w:t>
      </w:r>
      <w:r w:rsidR="00832DAF">
        <w:rPr>
          <w:rFonts w:ascii="Times New Roman" w:hAnsi="Times New Roman"/>
          <w:lang w:val="pt-BR"/>
        </w:rPr>
        <w:t xml:space="preserve">. Estudos anteriores sobre a desidrogenação de </w:t>
      </w:r>
      <w:proofErr w:type="spellStart"/>
      <w:r w:rsidR="00832DAF">
        <w:rPr>
          <w:rFonts w:ascii="Times New Roman" w:hAnsi="Times New Roman"/>
          <w:lang w:val="pt-BR"/>
        </w:rPr>
        <w:t>EtOH</w:t>
      </w:r>
      <w:proofErr w:type="spellEnd"/>
      <w:r w:rsidR="00832DAF">
        <w:rPr>
          <w:rFonts w:ascii="Times New Roman" w:hAnsi="Times New Roman"/>
          <w:lang w:val="pt-BR"/>
        </w:rPr>
        <w:t xml:space="preserve"> a </w:t>
      </w:r>
      <w:proofErr w:type="spellStart"/>
      <w:r w:rsidR="00832DAF">
        <w:rPr>
          <w:rFonts w:ascii="Times New Roman" w:hAnsi="Times New Roman"/>
          <w:lang w:val="pt-BR"/>
        </w:rPr>
        <w:t>AcH</w:t>
      </w:r>
      <w:proofErr w:type="spellEnd"/>
      <w:r w:rsidR="00832DAF">
        <w:rPr>
          <w:rFonts w:ascii="Times New Roman" w:hAnsi="Times New Roman"/>
          <w:lang w:val="pt-BR"/>
        </w:rPr>
        <w:t xml:space="preserve"> observaram que a seletividade </w:t>
      </w:r>
      <w:r w:rsidR="00543792">
        <w:rPr>
          <w:rFonts w:ascii="Times New Roman" w:hAnsi="Times New Roman"/>
          <w:lang w:val="pt-BR"/>
        </w:rPr>
        <w:t>d</w:t>
      </w:r>
      <w:r w:rsidR="00832DAF">
        <w:rPr>
          <w:rFonts w:ascii="Times New Roman" w:hAnsi="Times New Roman"/>
          <w:lang w:val="pt-BR"/>
        </w:rPr>
        <w:t xml:space="preserve">esse produto se manteve estável </w:t>
      </w:r>
      <w:r w:rsidR="00B67CAE">
        <w:rPr>
          <w:rFonts w:ascii="Times New Roman" w:hAnsi="Times New Roman"/>
          <w:lang w:val="pt-BR"/>
        </w:rPr>
        <w:t xml:space="preserve">ou apresentou aumento </w:t>
      </w:r>
      <w:r w:rsidR="00832DAF">
        <w:rPr>
          <w:rFonts w:ascii="Times New Roman" w:hAnsi="Times New Roman"/>
          <w:lang w:val="pt-BR"/>
        </w:rPr>
        <w:t>no intervalo de 473 K a 573 K, porém começou a decair a partir disso, devido ao favorecimento da formação de produtos provenientes de sua condensação</w:t>
      </w:r>
      <w:r w:rsidR="004C1A12">
        <w:rPr>
          <w:rFonts w:ascii="Times New Roman" w:hAnsi="Times New Roman"/>
          <w:lang w:val="pt-BR"/>
        </w:rPr>
        <w:t xml:space="preserve">, além da desidratação do </w:t>
      </w:r>
      <w:proofErr w:type="spellStart"/>
      <w:r w:rsidR="004C1A12">
        <w:rPr>
          <w:rFonts w:ascii="Times New Roman" w:hAnsi="Times New Roman"/>
          <w:lang w:val="pt-BR"/>
        </w:rPr>
        <w:t>EtOH</w:t>
      </w:r>
      <w:proofErr w:type="spellEnd"/>
      <w:r w:rsidR="004C1A12">
        <w:rPr>
          <w:rFonts w:ascii="Times New Roman" w:hAnsi="Times New Roman"/>
          <w:lang w:val="pt-BR"/>
        </w:rPr>
        <w:t xml:space="preserve"> a etileno</w:t>
      </w:r>
      <w:r w:rsidR="00B67CAE">
        <w:rPr>
          <w:rFonts w:ascii="Times New Roman" w:hAnsi="Times New Roman"/>
          <w:lang w:val="pt-BR"/>
        </w:rPr>
        <w:t xml:space="preserve"> (29, 30)</w:t>
      </w:r>
      <w:r w:rsidR="00832DAF">
        <w:rPr>
          <w:rFonts w:ascii="Times New Roman" w:hAnsi="Times New Roman"/>
          <w:lang w:val="pt-BR"/>
        </w:rPr>
        <w:t>.</w:t>
      </w:r>
      <w:r w:rsidR="00543792">
        <w:rPr>
          <w:rFonts w:ascii="Times New Roman" w:hAnsi="Times New Roman"/>
          <w:lang w:val="pt-BR"/>
        </w:rPr>
        <w:t xml:space="preserve"> Entre os produtos provenientes da condensação do </w:t>
      </w:r>
      <w:proofErr w:type="spellStart"/>
      <w:r w:rsidR="00543792">
        <w:rPr>
          <w:rFonts w:ascii="Times New Roman" w:hAnsi="Times New Roman"/>
          <w:lang w:val="pt-BR"/>
        </w:rPr>
        <w:t>AcH</w:t>
      </w:r>
      <w:proofErr w:type="spellEnd"/>
      <w:r w:rsidR="00543792">
        <w:rPr>
          <w:rFonts w:ascii="Times New Roman" w:hAnsi="Times New Roman"/>
          <w:lang w:val="pt-BR"/>
        </w:rPr>
        <w:t xml:space="preserve"> está o </w:t>
      </w:r>
      <w:proofErr w:type="spellStart"/>
      <w:r w:rsidR="00543792">
        <w:rPr>
          <w:rFonts w:ascii="Times New Roman" w:hAnsi="Times New Roman"/>
          <w:lang w:val="pt-BR"/>
        </w:rPr>
        <w:t>BuOH</w:t>
      </w:r>
      <w:proofErr w:type="spellEnd"/>
      <w:r w:rsidR="00543792">
        <w:rPr>
          <w:rFonts w:ascii="Times New Roman" w:hAnsi="Times New Roman"/>
          <w:lang w:val="pt-BR"/>
        </w:rPr>
        <w:t xml:space="preserve">, que apresentou maior seletividade em 673 K, 6,6 %. </w:t>
      </w:r>
      <w:r w:rsidR="00C868FB">
        <w:rPr>
          <w:rFonts w:ascii="Times New Roman" w:hAnsi="Times New Roman"/>
          <w:lang w:val="pt-BR"/>
        </w:rPr>
        <w:t xml:space="preserve">A alta seletividade de </w:t>
      </w:r>
      <w:proofErr w:type="spellStart"/>
      <w:r w:rsidR="00C868FB">
        <w:rPr>
          <w:rFonts w:ascii="Times New Roman" w:hAnsi="Times New Roman"/>
          <w:lang w:val="pt-BR"/>
        </w:rPr>
        <w:t>AcH</w:t>
      </w:r>
      <w:proofErr w:type="spellEnd"/>
      <w:r w:rsidR="00C868FB">
        <w:rPr>
          <w:rFonts w:ascii="Times New Roman" w:hAnsi="Times New Roman"/>
          <w:lang w:val="pt-BR"/>
        </w:rPr>
        <w:t xml:space="preserve"> e, simultaneamente, a nula seletividade de </w:t>
      </w:r>
      <w:proofErr w:type="spellStart"/>
      <w:r w:rsidR="00C868FB">
        <w:rPr>
          <w:rFonts w:ascii="Times New Roman" w:hAnsi="Times New Roman"/>
          <w:lang w:val="pt-BR"/>
        </w:rPr>
        <w:t>BuOH</w:t>
      </w:r>
      <w:proofErr w:type="spellEnd"/>
      <w:r w:rsidR="00C868FB">
        <w:rPr>
          <w:rFonts w:ascii="Times New Roman" w:hAnsi="Times New Roman"/>
          <w:lang w:val="pt-BR"/>
        </w:rPr>
        <w:t xml:space="preserve"> na temperatura de 573 K pode ser explicada pela inibição da reação de condensação a baixas temperaturas. Após o aumento da temperatura, nota-se um aumento na seletividade desse álcool. No entanto, ao elevar ainda mais a temperatura para 723 K, a seletividade observada para o </w:t>
      </w:r>
      <w:proofErr w:type="spellStart"/>
      <w:r w:rsidR="00C868FB">
        <w:rPr>
          <w:rFonts w:ascii="Times New Roman" w:hAnsi="Times New Roman"/>
          <w:lang w:val="pt-BR"/>
        </w:rPr>
        <w:t>BuOH</w:t>
      </w:r>
      <w:proofErr w:type="spellEnd"/>
      <w:r w:rsidR="00C868FB">
        <w:rPr>
          <w:rFonts w:ascii="Times New Roman" w:hAnsi="Times New Roman"/>
          <w:lang w:val="pt-BR"/>
        </w:rPr>
        <w:t xml:space="preserve"> é 6,3 %. Essa tendência de comportamento pode estar coerente com o comportamento do tipo </w:t>
      </w:r>
      <w:proofErr w:type="spellStart"/>
      <w:r w:rsidR="00A9169B">
        <w:rPr>
          <w:rFonts w:ascii="Times New Roman" w:hAnsi="Times New Roman"/>
          <w:lang w:val="pt-BR"/>
        </w:rPr>
        <w:t>volcano</w:t>
      </w:r>
      <w:proofErr w:type="spellEnd"/>
      <w:r w:rsidR="00C868FB">
        <w:rPr>
          <w:rFonts w:ascii="Times New Roman" w:hAnsi="Times New Roman"/>
          <w:lang w:val="pt-BR"/>
        </w:rPr>
        <w:t xml:space="preserve"> observado </w:t>
      </w:r>
      <w:r w:rsidR="00DB3111">
        <w:rPr>
          <w:rFonts w:ascii="Times New Roman" w:hAnsi="Times New Roman"/>
          <w:lang w:val="pt-BR"/>
        </w:rPr>
        <w:t xml:space="preserve">previamente, que atribui a estabilidade e, em seguida, </w:t>
      </w:r>
      <w:r w:rsidR="00DB3111">
        <w:rPr>
          <w:rFonts w:ascii="Times New Roman" w:hAnsi="Times New Roman"/>
          <w:lang w:val="pt-BR"/>
        </w:rPr>
        <w:lastRenderedPageBreak/>
        <w:t xml:space="preserve">diminuição de seletividade do </w:t>
      </w:r>
      <w:proofErr w:type="spellStart"/>
      <w:r w:rsidR="00DB3111">
        <w:rPr>
          <w:rFonts w:ascii="Times New Roman" w:hAnsi="Times New Roman"/>
          <w:lang w:val="pt-BR"/>
        </w:rPr>
        <w:t>BuOH</w:t>
      </w:r>
      <w:proofErr w:type="spellEnd"/>
      <w:r w:rsidR="00DB3111">
        <w:rPr>
          <w:rFonts w:ascii="Times New Roman" w:hAnsi="Times New Roman"/>
          <w:lang w:val="pt-BR"/>
        </w:rPr>
        <w:t xml:space="preserve"> </w:t>
      </w:r>
      <w:r w:rsidR="00A9169B">
        <w:rPr>
          <w:rFonts w:ascii="Times New Roman" w:hAnsi="Times New Roman"/>
          <w:lang w:val="pt-BR"/>
        </w:rPr>
        <w:t>à</w:t>
      </w:r>
      <w:r w:rsidR="00DB3111">
        <w:rPr>
          <w:rFonts w:ascii="Times New Roman" w:hAnsi="Times New Roman"/>
          <w:lang w:val="pt-BR"/>
        </w:rPr>
        <w:t xml:space="preserve"> sua decomposição em butenos</w:t>
      </w:r>
      <w:r w:rsidR="00C868FB">
        <w:rPr>
          <w:rFonts w:ascii="Times New Roman" w:hAnsi="Times New Roman"/>
          <w:lang w:val="pt-BR"/>
        </w:rPr>
        <w:t xml:space="preserve"> (31).</w:t>
      </w:r>
      <w:r w:rsidR="00DB3111">
        <w:rPr>
          <w:rFonts w:ascii="Times New Roman" w:hAnsi="Times New Roman"/>
          <w:lang w:val="pt-BR"/>
        </w:rPr>
        <w:t xml:space="preserve"> </w:t>
      </w:r>
    </w:p>
    <w:p w14:paraId="30F20F77" w14:textId="525798BF" w:rsidR="006B281F" w:rsidRDefault="006B281F" w:rsidP="006B281F">
      <w:pPr>
        <w:pStyle w:val="TAMainText"/>
        <w:ind w:firstLine="187"/>
        <w:rPr>
          <w:rFonts w:ascii="Times New Roman" w:hAnsi="Times New Roman"/>
          <w:lang w:val="pt-BR"/>
        </w:rPr>
      </w:pPr>
      <w:r w:rsidRPr="00E24306">
        <w:rPr>
          <w:rFonts w:ascii="Times New Roman" w:hAnsi="Times New Roman"/>
          <w:noProof/>
          <w:color w:val="FF0000"/>
          <w:lang w:val="pt-BR"/>
        </w:rPr>
        <mc:AlternateContent>
          <mc:Choice Requires="wps">
            <w:drawing>
              <wp:anchor distT="0" distB="0" distL="114300" distR="114300" simplePos="0" relativeHeight="251662335" behindDoc="0" locked="0" layoutInCell="1" allowOverlap="1" wp14:anchorId="69629ED1" wp14:editId="4E833A42">
                <wp:simplePos x="0" y="0"/>
                <wp:positionH relativeFrom="column">
                  <wp:posOffset>-2584631</wp:posOffset>
                </wp:positionH>
                <wp:positionV relativeFrom="paragraph">
                  <wp:posOffset>1289685</wp:posOffset>
                </wp:positionV>
                <wp:extent cx="180975" cy="0"/>
                <wp:effectExtent l="0" t="76200" r="9525" b="95250"/>
                <wp:wrapNone/>
                <wp:docPr id="1617143847" name="Conector de Seta Reta 4"/>
                <wp:cNvGraphicFramePr/>
                <a:graphic xmlns:a="http://schemas.openxmlformats.org/drawingml/2006/main">
                  <a:graphicData uri="http://schemas.microsoft.com/office/word/2010/wordprocessingShape">
                    <wps:wsp>
                      <wps:cNvCnPr/>
                      <wps:spPr>
                        <a:xfrm>
                          <a:off x="0" y="0"/>
                          <a:ext cx="18097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AE150B" id="_x0000_t32" coordsize="21600,21600" o:spt="32" o:oned="t" path="m,l21600,21600e" filled="f">
                <v:path arrowok="t" fillok="f" o:connecttype="none"/>
                <o:lock v:ext="edit" shapetype="t"/>
              </v:shapetype>
              <v:shape id="Conector de Seta Reta 4" o:spid="_x0000_s1026" type="#_x0000_t32" style="position:absolute;margin-left:-203.5pt;margin-top:101.55pt;width:14.25pt;height:0;z-index:25166233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dQt0gEAAAcEAAAOAAAAZHJzL2Uyb0RvYy54bWysU01v1DAQvSPxHyzf2SSVCm202R62lAuC&#10;CsoPcJ1xYsmxLXvYJP+esbOb8CUkEBcn9sx7b+Z5vL+bBsNOEKJ2tuHVruQMrHSttl3Dvzw9vLrh&#10;LKKwrTDOQsNniPzu8PLFfvQ1XLnemRYCIxIb69E3vEf0dVFE2cMg4s55sBRULgwCaRu6og1iJPbB&#10;FFdl+boYXWh9cBJipNP7JcgPmV8pkPhRqQjITMOpNsxryOtzWovDXtRdEL7X8lyG+IcqBqEtia5U&#10;9wIF+xr0L1SDlsFFp3An3VA4pbSE3AN1U5U/dfO5Fx5yL2RO9KtN8f/Ryg+no30MZMPoYx39Y0hd&#10;TCoM6Uv1sSmbNa9mwYRM0mF1U96+ueZMXkLFhvMh4jtwA0s/DY8YhO56PDpr6UZcqLJX4vQ+IikT&#10;8AJIosaykehvy+syp0VndPugjUnBPBhwNIGdBF0pTlW6QmL4IQuFNm9ty3D2NHMYtLCdgXOmsQTY&#10;us1/OBtYtD+BYrpN/S3iaRA3PSElWLxoGkvZCaaouhV4rvpPwHN+gkIe0r8Br4is7Cyu4EFbF35X&#10;9maTWvIvDix9JwueXTvnOcjW0LRlV88vI43z9/sM397v4RsAAAD//wMAUEsDBBQABgAIAAAAIQBU&#10;2yh14wAAAA0BAAAPAAAAZHJzL2Rvd25yZXYueG1sTI9RS8MwFIXfBf9DuIJvXbJOt642HSIIcw+D&#10;TUX2ljbXtrO5KU3W1X+/CII+nnsO534nW42mZQP2rrEkYToRwJBKqxuqJLy9PkcJMOcVadVaQgnf&#10;6GCVX19lKtX2TDsc9r5ioYRcqiTU3ncp566s0Sg3sR1S8D5tb5QPsq+47tU5lJuWx0LMuVENhQ+1&#10;6vCpxvJrfzIS+GH7vj7GH/HQDMly81Jsdm49l/L2Znx8AOZx9H9h+MEP6JAHpsKeSDvWSojuxCKM&#10;8RJiMZsCC5FotkjugRW/J55n/P+K/AIAAP//AwBQSwECLQAUAAYACAAAACEAtoM4kv4AAADhAQAA&#10;EwAAAAAAAAAAAAAAAAAAAAAAW0NvbnRlbnRfVHlwZXNdLnhtbFBLAQItABQABgAIAAAAIQA4/SH/&#10;1gAAAJQBAAALAAAAAAAAAAAAAAAAAC8BAABfcmVscy8ucmVsc1BLAQItABQABgAIAAAAIQAO8dQt&#10;0gEAAAcEAAAOAAAAAAAAAAAAAAAAAC4CAABkcnMvZTJvRG9jLnhtbFBLAQItABQABgAIAAAAIQBU&#10;2yh14wAAAA0BAAAPAAAAAAAAAAAAAAAAACwEAABkcnMvZG93bnJldi54bWxQSwUGAAAAAAQABADz&#10;AAAAPAUAAAAA&#10;" strokecolor="black [3213]" strokeweight="1.5pt">
                <v:stroke endarrow="block" joinstyle="miter"/>
              </v:shape>
            </w:pict>
          </mc:Fallback>
        </mc:AlternateContent>
      </w:r>
      <w:r w:rsidR="0042114A">
        <w:rPr>
          <w:rFonts w:ascii="Times New Roman" w:hAnsi="Times New Roman"/>
          <w:lang w:val="pt-BR"/>
        </w:rPr>
        <w:t>A literatura indica a e</w:t>
      </w:r>
      <w:r w:rsidR="0042114A" w:rsidRPr="0042114A">
        <w:rPr>
          <w:rFonts w:ascii="Times New Roman" w:hAnsi="Times New Roman"/>
          <w:lang w:val="pt-BR"/>
        </w:rPr>
        <w:t xml:space="preserve">xistência de uma forte relação entre as seletividades de </w:t>
      </w:r>
      <w:proofErr w:type="spellStart"/>
      <w:r w:rsidR="0042114A">
        <w:rPr>
          <w:rFonts w:ascii="Times New Roman" w:hAnsi="Times New Roman"/>
          <w:lang w:val="pt-BR"/>
        </w:rPr>
        <w:t>AcH</w:t>
      </w:r>
      <w:proofErr w:type="spellEnd"/>
      <w:r w:rsidR="0042114A" w:rsidRPr="0042114A">
        <w:rPr>
          <w:rFonts w:ascii="Times New Roman" w:hAnsi="Times New Roman"/>
          <w:lang w:val="pt-BR"/>
        </w:rPr>
        <w:t xml:space="preserve"> e BD, sugerindo que a </w:t>
      </w:r>
      <w:r w:rsidR="00707DC1">
        <w:rPr>
          <w:rFonts w:ascii="Times New Roman" w:hAnsi="Times New Roman"/>
          <w:lang w:val="pt-BR"/>
        </w:rPr>
        <w:t>condensação</w:t>
      </w:r>
      <w:r w:rsidR="0042114A" w:rsidRPr="0042114A">
        <w:rPr>
          <w:rFonts w:ascii="Times New Roman" w:hAnsi="Times New Roman"/>
          <w:lang w:val="pt-BR"/>
        </w:rPr>
        <w:t xml:space="preserve"> d</w:t>
      </w:r>
      <w:r w:rsidR="00707DC1">
        <w:rPr>
          <w:rFonts w:ascii="Times New Roman" w:hAnsi="Times New Roman"/>
          <w:lang w:val="pt-BR"/>
        </w:rPr>
        <w:t>o</w:t>
      </w:r>
      <w:r w:rsidR="0042114A" w:rsidRPr="0042114A">
        <w:rPr>
          <w:rFonts w:ascii="Times New Roman" w:hAnsi="Times New Roman"/>
          <w:lang w:val="pt-BR"/>
        </w:rPr>
        <w:t xml:space="preserve"> </w:t>
      </w:r>
      <w:proofErr w:type="spellStart"/>
      <w:r w:rsidR="0042114A">
        <w:rPr>
          <w:rFonts w:ascii="Times New Roman" w:hAnsi="Times New Roman"/>
          <w:lang w:val="pt-BR"/>
        </w:rPr>
        <w:t>AcH</w:t>
      </w:r>
      <w:proofErr w:type="spellEnd"/>
      <w:r w:rsidR="0042114A" w:rsidRPr="0042114A">
        <w:rPr>
          <w:rFonts w:ascii="Times New Roman" w:hAnsi="Times New Roman"/>
          <w:lang w:val="pt-BR"/>
        </w:rPr>
        <w:t xml:space="preserve"> constitui a etapa determinante da velocidade do mecanismo de reação</w:t>
      </w:r>
      <w:r w:rsidR="006D2E29">
        <w:rPr>
          <w:rFonts w:ascii="Times New Roman" w:hAnsi="Times New Roman"/>
          <w:lang w:val="pt-BR"/>
        </w:rPr>
        <w:t xml:space="preserve"> </w:t>
      </w:r>
      <w:r w:rsidR="00B274A6">
        <w:rPr>
          <w:rFonts w:ascii="Times New Roman" w:hAnsi="Times New Roman"/>
          <w:lang w:val="pt-BR"/>
        </w:rPr>
        <w:t>para a</w:t>
      </w:r>
      <w:r w:rsidR="008372A5">
        <w:rPr>
          <w:rFonts w:ascii="Times New Roman" w:hAnsi="Times New Roman"/>
          <w:lang w:val="pt-BR"/>
        </w:rPr>
        <w:t xml:space="preserve"> formação do BD </w:t>
      </w:r>
      <w:r w:rsidR="006D2E29">
        <w:rPr>
          <w:rFonts w:ascii="Times New Roman" w:hAnsi="Times New Roman"/>
          <w:lang w:val="pt-BR"/>
        </w:rPr>
        <w:t>(32)</w:t>
      </w:r>
      <w:r w:rsidR="0042114A" w:rsidRPr="0042114A">
        <w:rPr>
          <w:rFonts w:ascii="Times New Roman" w:hAnsi="Times New Roman"/>
          <w:lang w:val="pt-BR"/>
        </w:rPr>
        <w:t>.</w:t>
      </w:r>
      <w:r w:rsidR="00B274A6">
        <w:rPr>
          <w:rFonts w:ascii="Times New Roman" w:hAnsi="Times New Roman"/>
          <w:lang w:val="pt-BR"/>
        </w:rPr>
        <w:t xml:space="preserve"> Essa</w:t>
      </w:r>
      <w:r w:rsidR="00B274A6" w:rsidRPr="00B274A6">
        <w:rPr>
          <w:rFonts w:ascii="Times New Roman" w:hAnsi="Times New Roman"/>
          <w:lang w:val="pt-BR"/>
        </w:rPr>
        <w:t xml:space="preserve"> suposição</w:t>
      </w:r>
      <w:r w:rsidR="00B274A6">
        <w:rPr>
          <w:rFonts w:ascii="Times New Roman" w:hAnsi="Times New Roman"/>
          <w:lang w:val="pt-BR"/>
        </w:rPr>
        <w:t xml:space="preserve"> </w:t>
      </w:r>
      <w:r w:rsidR="00B274A6" w:rsidRPr="00B274A6">
        <w:rPr>
          <w:rFonts w:ascii="Times New Roman" w:hAnsi="Times New Roman"/>
          <w:lang w:val="pt-BR"/>
        </w:rPr>
        <w:t xml:space="preserve">pode </w:t>
      </w:r>
      <w:r w:rsidR="00B274A6">
        <w:rPr>
          <w:rFonts w:ascii="Times New Roman" w:hAnsi="Times New Roman"/>
          <w:lang w:val="pt-BR"/>
        </w:rPr>
        <w:t xml:space="preserve">ser </w:t>
      </w:r>
      <w:r w:rsidR="00B274A6" w:rsidRPr="00B274A6">
        <w:rPr>
          <w:rFonts w:ascii="Times New Roman" w:hAnsi="Times New Roman"/>
          <w:lang w:val="pt-BR"/>
        </w:rPr>
        <w:t>reforça</w:t>
      </w:r>
      <w:r w:rsidR="00B274A6">
        <w:rPr>
          <w:rFonts w:ascii="Times New Roman" w:hAnsi="Times New Roman"/>
          <w:lang w:val="pt-BR"/>
        </w:rPr>
        <w:t xml:space="preserve">da pela </w:t>
      </w:r>
      <w:r w:rsidR="00707DC1">
        <w:rPr>
          <w:rFonts w:ascii="Times New Roman" w:hAnsi="Times New Roman"/>
          <w:lang w:val="pt-BR"/>
        </w:rPr>
        <w:t xml:space="preserve">tendência oposta das seletividades desses dois produtos </w:t>
      </w:r>
      <w:r w:rsidR="00B274A6">
        <w:rPr>
          <w:rFonts w:ascii="Times New Roman" w:hAnsi="Times New Roman"/>
          <w:lang w:val="pt-BR"/>
        </w:rPr>
        <w:t xml:space="preserve">observada </w:t>
      </w:r>
      <w:r w:rsidR="00707DC1">
        <w:rPr>
          <w:rFonts w:ascii="Times New Roman" w:hAnsi="Times New Roman"/>
          <w:lang w:val="pt-BR"/>
        </w:rPr>
        <w:t>nesse trabalho</w:t>
      </w:r>
      <w:r w:rsidR="00B274A6">
        <w:rPr>
          <w:rFonts w:ascii="Times New Roman" w:hAnsi="Times New Roman"/>
          <w:lang w:val="pt-BR"/>
        </w:rPr>
        <w:t xml:space="preserve">, no qual a seletividade máxima de BD (12,3 %) foi obtida quando a de </w:t>
      </w:r>
      <w:proofErr w:type="spellStart"/>
      <w:r w:rsidR="00B274A6">
        <w:rPr>
          <w:rFonts w:ascii="Times New Roman" w:hAnsi="Times New Roman"/>
          <w:lang w:val="pt-BR"/>
        </w:rPr>
        <w:t>AcH</w:t>
      </w:r>
      <w:proofErr w:type="spellEnd"/>
      <w:r w:rsidR="00B274A6">
        <w:rPr>
          <w:rFonts w:ascii="Times New Roman" w:hAnsi="Times New Roman"/>
          <w:lang w:val="pt-BR"/>
        </w:rPr>
        <w:t xml:space="preserve"> foi a menor observada (34,6 %).</w:t>
      </w:r>
      <w:r w:rsidR="000E0533">
        <w:rPr>
          <w:rFonts w:ascii="Times New Roman" w:hAnsi="Times New Roman"/>
          <w:lang w:val="pt-BR"/>
        </w:rPr>
        <w:t xml:space="preserve"> </w:t>
      </w:r>
      <w:r w:rsidR="00470DA1">
        <w:rPr>
          <w:rFonts w:ascii="Times New Roman" w:hAnsi="Times New Roman"/>
          <w:lang w:val="pt-BR"/>
        </w:rPr>
        <w:t>Ainda é</w:t>
      </w:r>
      <w:r w:rsidR="00470DA1" w:rsidRPr="00470DA1">
        <w:rPr>
          <w:rFonts w:ascii="Times New Roman" w:hAnsi="Times New Roman"/>
          <w:lang w:val="pt-BR"/>
        </w:rPr>
        <w:t xml:space="preserve"> pouco </w:t>
      </w:r>
      <w:r w:rsidR="00470DA1">
        <w:rPr>
          <w:rFonts w:ascii="Times New Roman" w:hAnsi="Times New Roman"/>
          <w:lang w:val="pt-BR"/>
        </w:rPr>
        <w:t xml:space="preserve">evidente a relação </w:t>
      </w:r>
      <w:r w:rsidR="00470DA1" w:rsidRPr="00470DA1">
        <w:rPr>
          <w:rFonts w:ascii="Times New Roman" w:hAnsi="Times New Roman"/>
          <w:lang w:val="pt-BR"/>
        </w:rPr>
        <w:t xml:space="preserve">entre a seletividade do </w:t>
      </w:r>
      <w:r w:rsidR="00470DA1">
        <w:rPr>
          <w:rFonts w:ascii="Times New Roman" w:hAnsi="Times New Roman"/>
          <w:lang w:val="pt-BR"/>
        </w:rPr>
        <w:t>BD</w:t>
      </w:r>
      <w:r w:rsidR="00470DA1" w:rsidRPr="00470DA1">
        <w:rPr>
          <w:rFonts w:ascii="Times New Roman" w:hAnsi="Times New Roman"/>
          <w:lang w:val="pt-BR"/>
        </w:rPr>
        <w:t>, a temperatura e o sistema catalítico usado</w:t>
      </w:r>
      <w:r w:rsidR="00470DA1">
        <w:rPr>
          <w:rFonts w:ascii="Times New Roman" w:hAnsi="Times New Roman"/>
          <w:lang w:val="pt-BR"/>
        </w:rPr>
        <w:t xml:space="preserve">, de modo que </w:t>
      </w:r>
      <w:r w:rsidR="00470DA1" w:rsidRPr="00470DA1">
        <w:rPr>
          <w:rFonts w:ascii="Times New Roman" w:hAnsi="Times New Roman"/>
          <w:lang w:val="pt-BR"/>
        </w:rPr>
        <w:t xml:space="preserve">temperaturas ideais </w:t>
      </w:r>
      <w:r w:rsidR="00470DA1">
        <w:rPr>
          <w:rFonts w:ascii="Times New Roman" w:hAnsi="Times New Roman"/>
          <w:lang w:val="pt-BR"/>
        </w:rPr>
        <w:t xml:space="preserve">devem ser </w:t>
      </w:r>
      <w:r w:rsidR="00470DA1" w:rsidRPr="00470DA1">
        <w:rPr>
          <w:rFonts w:ascii="Times New Roman" w:hAnsi="Times New Roman"/>
          <w:lang w:val="pt-BR"/>
        </w:rPr>
        <w:t>encontradas caso a caso</w:t>
      </w:r>
      <w:r w:rsidR="00470DA1">
        <w:rPr>
          <w:rFonts w:ascii="Times New Roman" w:hAnsi="Times New Roman"/>
          <w:lang w:val="pt-BR"/>
        </w:rPr>
        <w:t xml:space="preserve"> (</w:t>
      </w:r>
      <w:r w:rsidR="005954F5">
        <w:rPr>
          <w:rFonts w:ascii="Times New Roman" w:hAnsi="Times New Roman"/>
          <w:lang w:val="pt-BR"/>
        </w:rPr>
        <w:t>33</w:t>
      </w:r>
      <w:r w:rsidR="00470DA1">
        <w:rPr>
          <w:rFonts w:ascii="Times New Roman" w:hAnsi="Times New Roman"/>
          <w:lang w:val="pt-BR"/>
        </w:rPr>
        <w:t>). Assim, para o sistema</w:t>
      </w:r>
      <w:r w:rsidR="00A9169B">
        <w:rPr>
          <w:rFonts w:ascii="Times New Roman" w:hAnsi="Times New Roman"/>
          <w:lang w:val="pt-BR"/>
        </w:rPr>
        <w:t xml:space="preserve"> aqui estudado</w:t>
      </w:r>
      <w:r w:rsidR="00470DA1">
        <w:rPr>
          <w:rFonts w:ascii="Times New Roman" w:hAnsi="Times New Roman"/>
          <w:lang w:val="pt-BR"/>
        </w:rPr>
        <w:t xml:space="preserve">, </w:t>
      </w:r>
      <w:r w:rsidR="00F44761">
        <w:rPr>
          <w:rFonts w:ascii="Times New Roman" w:hAnsi="Times New Roman"/>
          <w:lang w:val="pt-BR"/>
        </w:rPr>
        <w:t>escolheu-se a temperatura de</w:t>
      </w:r>
      <w:r w:rsidR="00470DA1">
        <w:rPr>
          <w:rFonts w:ascii="Times New Roman" w:hAnsi="Times New Roman"/>
          <w:lang w:val="pt-BR"/>
        </w:rPr>
        <w:t xml:space="preserve"> 723 K para </w:t>
      </w:r>
      <w:r w:rsidR="00F44761">
        <w:rPr>
          <w:rFonts w:ascii="Times New Roman" w:hAnsi="Times New Roman"/>
          <w:lang w:val="pt-BR"/>
        </w:rPr>
        <w:t>avaliação</w:t>
      </w:r>
      <w:r w:rsidR="00470DA1">
        <w:rPr>
          <w:rFonts w:ascii="Times New Roman" w:hAnsi="Times New Roman"/>
          <w:lang w:val="pt-BR"/>
        </w:rPr>
        <w:t xml:space="preserve"> </w:t>
      </w:r>
      <w:r w:rsidR="00F44761">
        <w:rPr>
          <w:rFonts w:ascii="Times New Roman" w:hAnsi="Times New Roman"/>
          <w:lang w:val="pt-BR"/>
        </w:rPr>
        <w:t>d</w:t>
      </w:r>
      <w:r w:rsidR="00470DA1">
        <w:rPr>
          <w:rFonts w:ascii="Times New Roman" w:hAnsi="Times New Roman"/>
          <w:lang w:val="pt-BR"/>
        </w:rPr>
        <w:t>o desempenho dos catalisadores não equimolares.</w:t>
      </w:r>
    </w:p>
    <w:p w14:paraId="1F71615A" w14:textId="0223C417" w:rsidR="00CA65D6" w:rsidRDefault="002F0040" w:rsidP="006B281F">
      <w:pPr>
        <w:pStyle w:val="TAMainText"/>
        <w:ind w:firstLine="187"/>
        <w:rPr>
          <w:rFonts w:ascii="Times New Roman" w:hAnsi="Times New Roman"/>
          <w:lang w:val="pt-BR"/>
        </w:rPr>
      </w:pPr>
      <w:r>
        <w:rPr>
          <w:noProof/>
        </w:rPr>
        <w:drawing>
          <wp:anchor distT="0" distB="0" distL="114300" distR="114300" simplePos="0" relativeHeight="251663359" behindDoc="0" locked="0" layoutInCell="1" allowOverlap="1" wp14:anchorId="765795D9" wp14:editId="546D9984">
            <wp:simplePos x="0" y="0"/>
            <wp:positionH relativeFrom="column">
              <wp:posOffset>-3175</wp:posOffset>
            </wp:positionH>
            <wp:positionV relativeFrom="paragraph">
              <wp:posOffset>2390368</wp:posOffset>
            </wp:positionV>
            <wp:extent cx="3027680" cy="1592580"/>
            <wp:effectExtent l="0" t="0" r="0" b="7620"/>
            <wp:wrapTopAndBottom/>
            <wp:docPr id="1718182389" name="Gráfico 1">
              <a:extLst xmlns:a="http://schemas.openxmlformats.org/drawingml/2006/main">
                <a:ext uri="{FF2B5EF4-FFF2-40B4-BE49-F238E27FC236}">
                  <a16:creationId xmlns:a16="http://schemas.microsoft.com/office/drawing/2014/main" id="{25EB8B47-EB92-4E81-880D-EE23121F9E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sidR="008B18FB">
        <w:rPr>
          <w:rFonts w:ascii="Times New Roman" w:hAnsi="Times New Roman"/>
          <w:lang w:val="pt-BR"/>
        </w:rPr>
        <w:t>Definida a temperatura de trabalho,</w:t>
      </w:r>
      <w:r w:rsidR="004F06EC">
        <w:rPr>
          <w:rFonts w:ascii="Times New Roman" w:hAnsi="Times New Roman"/>
          <w:lang w:val="pt-BR"/>
        </w:rPr>
        <w:t xml:space="preserve"> buscou-se</w:t>
      </w:r>
      <w:r w:rsidR="008B18FB">
        <w:rPr>
          <w:rFonts w:ascii="Times New Roman" w:hAnsi="Times New Roman"/>
          <w:lang w:val="pt-BR"/>
        </w:rPr>
        <w:t>,</w:t>
      </w:r>
      <w:r w:rsidR="004F06EC">
        <w:rPr>
          <w:rFonts w:ascii="Times New Roman" w:hAnsi="Times New Roman"/>
          <w:lang w:val="pt-BR"/>
        </w:rPr>
        <w:t xml:space="preserve"> </w:t>
      </w:r>
      <w:r w:rsidR="008B18FB">
        <w:rPr>
          <w:rFonts w:ascii="Times New Roman" w:hAnsi="Times New Roman"/>
          <w:lang w:val="pt-BR"/>
        </w:rPr>
        <w:t>então,</w:t>
      </w:r>
      <w:r w:rsidR="004F06EC">
        <w:rPr>
          <w:rFonts w:ascii="Times New Roman" w:hAnsi="Times New Roman"/>
          <w:lang w:val="pt-BR"/>
        </w:rPr>
        <w:t xml:space="preserve"> compreender o comportamento dos diferentes catalisadores</w:t>
      </w:r>
      <w:r w:rsidR="008C4EF4">
        <w:rPr>
          <w:rFonts w:ascii="Times New Roman" w:hAnsi="Times New Roman"/>
          <w:lang w:val="pt-BR"/>
        </w:rPr>
        <w:t xml:space="preserve"> nas mesmas condições de reação</w:t>
      </w:r>
      <w:r w:rsidR="00DB099B">
        <w:rPr>
          <w:rFonts w:ascii="Times New Roman" w:hAnsi="Times New Roman"/>
          <w:lang w:val="pt-BR"/>
        </w:rPr>
        <w:t xml:space="preserve"> (Figura 2)</w:t>
      </w:r>
      <w:r w:rsidR="008C4EF4">
        <w:rPr>
          <w:rFonts w:ascii="Times New Roman" w:hAnsi="Times New Roman"/>
          <w:lang w:val="pt-BR"/>
        </w:rPr>
        <w:t>.</w:t>
      </w:r>
      <w:r w:rsidR="00E02955">
        <w:rPr>
          <w:rFonts w:ascii="Times New Roman" w:hAnsi="Times New Roman"/>
          <w:lang w:val="pt-BR"/>
        </w:rPr>
        <w:t xml:space="preserve"> Novamente, o</w:t>
      </w:r>
      <w:r w:rsidR="00E02955" w:rsidRPr="00E02955">
        <w:rPr>
          <w:rFonts w:ascii="Times New Roman" w:hAnsi="Times New Roman"/>
          <w:lang w:val="pt-BR"/>
        </w:rPr>
        <w:t xml:space="preserve">s produtos mais abundantes </w:t>
      </w:r>
      <w:r w:rsidR="00E02955">
        <w:rPr>
          <w:rFonts w:ascii="Times New Roman" w:hAnsi="Times New Roman"/>
          <w:lang w:val="pt-BR"/>
        </w:rPr>
        <w:t>detectados</w:t>
      </w:r>
      <w:r w:rsidR="00E02955" w:rsidRPr="00E02955">
        <w:rPr>
          <w:rFonts w:ascii="Times New Roman" w:hAnsi="Times New Roman"/>
          <w:lang w:val="pt-BR"/>
        </w:rPr>
        <w:t xml:space="preserve"> foram etileno, </w:t>
      </w:r>
      <w:proofErr w:type="spellStart"/>
      <w:r w:rsidR="00E02955" w:rsidRPr="00E02955">
        <w:rPr>
          <w:rFonts w:ascii="Times New Roman" w:hAnsi="Times New Roman"/>
          <w:lang w:val="pt-BR"/>
        </w:rPr>
        <w:t>AcH</w:t>
      </w:r>
      <w:proofErr w:type="spellEnd"/>
      <w:r w:rsidR="00E02955" w:rsidRPr="00E02955">
        <w:rPr>
          <w:rFonts w:ascii="Times New Roman" w:hAnsi="Times New Roman"/>
          <w:lang w:val="pt-BR"/>
        </w:rPr>
        <w:t xml:space="preserve">, butenos, BD, DEE e </w:t>
      </w:r>
      <w:proofErr w:type="spellStart"/>
      <w:r w:rsidR="00E02955" w:rsidRPr="00E02955">
        <w:rPr>
          <w:rFonts w:ascii="Times New Roman" w:hAnsi="Times New Roman"/>
          <w:lang w:val="pt-BR"/>
        </w:rPr>
        <w:t>BuO</w:t>
      </w:r>
      <w:r w:rsidR="000A78A0">
        <w:rPr>
          <w:rFonts w:ascii="Times New Roman" w:hAnsi="Times New Roman"/>
          <w:lang w:val="pt-BR"/>
        </w:rPr>
        <w:t>H</w:t>
      </w:r>
      <w:proofErr w:type="spellEnd"/>
      <w:r w:rsidR="000A78A0">
        <w:rPr>
          <w:rFonts w:ascii="Times New Roman" w:hAnsi="Times New Roman"/>
          <w:lang w:val="pt-BR"/>
        </w:rPr>
        <w:t xml:space="preserve">. O valor da conversão do </w:t>
      </w:r>
      <w:proofErr w:type="spellStart"/>
      <w:r w:rsidR="000A78A0">
        <w:rPr>
          <w:rFonts w:ascii="Times New Roman" w:hAnsi="Times New Roman"/>
          <w:lang w:val="pt-BR"/>
        </w:rPr>
        <w:t>EtOH</w:t>
      </w:r>
      <w:proofErr w:type="spellEnd"/>
      <w:r w:rsidR="000A78A0">
        <w:rPr>
          <w:rFonts w:ascii="Times New Roman" w:hAnsi="Times New Roman"/>
          <w:lang w:val="pt-BR"/>
        </w:rPr>
        <w:t xml:space="preserve"> sofreu uma diminuição para o catalisador com maior quantidade de Si </w:t>
      </w:r>
      <w:r w:rsidR="0012105C">
        <w:rPr>
          <w:rFonts w:ascii="Times New Roman" w:hAnsi="Times New Roman"/>
          <w:lang w:val="pt-BR"/>
        </w:rPr>
        <w:t>(</w:t>
      </w:r>
      <w:proofErr w:type="spellStart"/>
      <w:r>
        <w:rPr>
          <w:rFonts w:ascii="Times New Roman" w:hAnsi="Times New Roman"/>
          <w:lang w:val="pt-BR"/>
        </w:rPr>
        <w:t>Mg:Al:</w:t>
      </w:r>
      <w:proofErr w:type="gramStart"/>
      <w:r>
        <w:rPr>
          <w:rFonts w:ascii="Times New Roman" w:hAnsi="Times New Roman"/>
          <w:lang w:val="pt-BR"/>
        </w:rPr>
        <w:t>Si</w:t>
      </w:r>
      <w:proofErr w:type="spellEnd"/>
      <w:r>
        <w:rPr>
          <w:rFonts w:ascii="Times New Roman" w:hAnsi="Times New Roman"/>
          <w:lang w:val="pt-BR"/>
        </w:rPr>
        <w:t>::</w:t>
      </w:r>
      <w:proofErr w:type="gramEnd"/>
      <w:r>
        <w:rPr>
          <w:rFonts w:ascii="Times New Roman" w:hAnsi="Times New Roman"/>
          <w:lang w:val="pt-BR"/>
        </w:rPr>
        <w:t xml:space="preserve"> </w:t>
      </w:r>
      <w:r w:rsidR="0012105C">
        <w:rPr>
          <w:rFonts w:ascii="Times New Roman" w:hAnsi="Times New Roman"/>
          <w:lang w:val="pt-BR"/>
        </w:rPr>
        <w:t xml:space="preserve">1:1:3) </w:t>
      </w:r>
      <w:r w:rsidR="000A78A0">
        <w:rPr>
          <w:rFonts w:ascii="Times New Roman" w:hAnsi="Times New Roman"/>
          <w:lang w:val="pt-BR"/>
        </w:rPr>
        <w:t xml:space="preserve">e aumento para os catalisadores com maiores quantidades de Mg </w:t>
      </w:r>
      <w:r w:rsidR="0012105C">
        <w:rPr>
          <w:rFonts w:ascii="Times New Roman" w:hAnsi="Times New Roman"/>
          <w:lang w:val="pt-BR"/>
        </w:rPr>
        <w:t>(</w:t>
      </w:r>
      <w:proofErr w:type="spellStart"/>
      <w:r w:rsidRPr="002F0040">
        <w:rPr>
          <w:rFonts w:ascii="Times New Roman" w:hAnsi="Times New Roman"/>
          <w:lang w:val="pt-BR"/>
        </w:rPr>
        <w:t>Mg:Al:Si</w:t>
      </w:r>
      <w:proofErr w:type="spellEnd"/>
      <w:r w:rsidRPr="002F0040">
        <w:rPr>
          <w:rFonts w:ascii="Times New Roman" w:hAnsi="Times New Roman"/>
          <w:lang w:val="pt-BR"/>
        </w:rPr>
        <w:t xml:space="preserve">:: </w:t>
      </w:r>
      <w:r w:rsidR="0012105C">
        <w:rPr>
          <w:rFonts w:ascii="Times New Roman" w:hAnsi="Times New Roman"/>
          <w:lang w:val="pt-BR"/>
        </w:rPr>
        <w:t xml:space="preserve">3:1:1) </w:t>
      </w:r>
      <w:r w:rsidR="000A78A0">
        <w:rPr>
          <w:rFonts w:ascii="Times New Roman" w:hAnsi="Times New Roman"/>
          <w:lang w:val="pt-BR"/>
        </w:rPr>
        <w:t>e Al</w:t>
      </w:r>
      <w:r w:rsidR="0012105C">
        <w:rPr>
          <w:rFonts w:ascii="Times New Roman" w:hAnsi="Times New Roman"/>
          <w:lang w:val="pt-BR"/>
        </w:rPr>
        <w:t xml:space="preserve"> (</w:t>
      </w:r>
      <w:proofErr w:type="spellStart"/>
      <w:r w:rsidRPr="002F0040">
        <w:rPr>
          <w:rFonts w:ascii="Times New Roman" w:hAnsi="Times New Roman"/>
          <w:lang w:val="pt-BR"/>
        </w:rPr>
        <w:t>Mg:Al:Si</w:t>
      </w:r>
      <w:proofErr w:type="spellEnd"/>
      <w:r w:rsidRPr="002F0040">
        <w:rPr>
          <w:rFonts w:ascii="Times New Roman" w:hAnsi="Times New Roman"/>
          <w:lang w:val="pt-BR"/>
        </w:rPr>
        <w:t xml:space="preserve">:: </w:t>
      </w:r>
      <w:r w:rsidR="0012105C">
        <w:rPr>
          <w:rFonts w:ascii="Times New Roman" w:hAnsi="Times New Roman"/>
          <w:lang w:val="pt-BR"/>
        </w:rPr>
        <w:t>1:3:1)</w:t>
      </w:r>
      <w:r w:rsidR="000A78A0">
        <w:rPr>
          <w:rFonts w:ascii="Times New Roman" w:hAnsi="Times New Roman"/>
          <w:lang w:val="pt-BR"/>
        </w:rPr>
        <w:t xml:space="preserve">, quando comparados ao equimolar. Isso pode ter acontecido, porque </w:t>
      </w:r>
      <w:r w:rsidR="009A6E59">
        <w:rPr>
          <w:rFonts w:ascii="Times New Roman" w:hAnsi="Times New Roman"/>
          <w:lang w:val="pt-BR"/>
        </w:rPr>
        <w:t>maiores quantidades</w:t>
      </w:r>
      <w:r w:rsidR="000A78A0">
        <w:rPr>
          <w:rFonts w:ascii="Times New Roman" w:hAnsi="Times New Roman"/>
          <w:lang w:val="pt-BR"/>
        </w:rPr>
        <w:t xml:space="preserve"> de Mg e Al pode ter gerado </w:t>
      </w:r>
      <w:r w:rsidR="009A6E59">
        <w:rPr>
          <w:rFonts w:ascii="Times New Roman" w:hAnsi="Times New Roman"/>
          <w:lang w:val="pt-BR"/>
        </w:rPr>
        <w:t>novos</w:t>
      </w:r>
      <w:r w:rsidR="000A78A0">
        <w:rPr>
          <w:rFonts w:ascii="Times New Roman" w:hAnsi="Times New Roman"/>
          <w:lang w:val="pt-BR"/>
        </w:rPr>
        <w:t xml:space="preserve"> sítios ativos nos catalisadores</w:t>
      </w:r>
      <w:r w:rsidR="00BD2C84">
        <w:rPr>
          <w:rFonts w:ascii="Times New Roman" w:hAnsi="Times New Roman"/>
          <w:lang w:val="pt-BR"/>
        </w:rPr>
        <w:t xml:space="preserve"> e favorecido a etapa limitante da reação</w:t>
      </w:r>
      <w:r w:rsidR="000A78A0">
        <w:rPr>
          <w:rFonts w:ascii="Times New Roman" w:hAnsi="Times New Roman"/>
          <w:lang w:val="pt-BR"/>
        </w:rPr>
        <w:t>, enquanto a adição de Si</w:t>
      </w:r>
      <w:r w:rsidR="007B3726">
        <w:rPr>
          <w:rFonts w:ascii="Times New Roman" w:hAnsi="Times New Roman"/>
          <w:lang w:val="pt-BR"/>
        </w:rPr>
        <w:t>, além da natureza pouco reativa da sílica,</w:t>
      </w:r>
      <w:r w:rsidR="000A78A0">
        <w:rPr>
          <w:rFonts w:ascii="Times New Roman" w:hAnsi="Times New Roman"/>
          <w:lang w:val="pt-BR"/>
        </w:rPr>
        <w:t xml:space="preserve"> pode ter ocasionado a obstrução dos sítios que já estavam presentes no catalisador equimolar.</w:t>
      </w:r>
    </w:p>
    <w:p w14:paraId="3DAA2DF9" w14:textId="1AE945B4" w:rsidR="000A78A0" w:rsidRDefault="000A78A0" w:rsidP="00044473">
      <w:pPr>
        <w:pStyle w:val="TAMainText"/>
        <w:ind w:firstLine="0"/>
        <w:rPr>
          <w:rFonts w:ascii="Times New Roman" w:hAnsi="Times New Roman"/>
          <w:b/>
          <w:lang w:val="pt-BR"/>
        </w:rPr>
      </w:pPr>
    </w:p>
    <w:p w14:paraId="55FBD1CF" w14:textId="4B32757A" w:rsidR="00044473" w:rsidRDefault="00044473" w:rsidP="00044473">
      <w:pPr>
        <w:pStyle w:val="TAMainText"/>
        <w:ind w:firstLine="0"/>
        <w:rPr>
          <w:rFonts w:ascii="Times New Roman" w:hAnsi="Times New Roman"/>
          <w:lang w:val="pt-BR"/>
        </w:rPr>
      </w:pPr>
      <w:r w:rsidRPr="00044473">
        <w:rPr>
          <w:rFonts w:ascii="Times New Roman" w:hAnsi="Times New Roman"/>
          <w:b/>
          <w:lang w:val="pt-BR"/>
        </w:rPr>
        <w:t xml:space="preserve">Figura </w:t>
      </w:r>
      <w:r>
        <w:rPr>
          <w:rFonts w:ascii="Times New Roman" w:hAnsi="Times New Roman"/>
          <w:b/>
          <w:lang w:val="pt-BR"/>
        </w:rPr>
        <w:t>2</w:t>
      </w:r>
      <w:r w:rsidRPr="00044473">
        <w:rPr>
          <w:rFonts w:ascii="Times New Roman" w:hAnsi="Times New Roman"/>
          <w:b/>
          <w:lang w:val="pt-BR"/>
        </w:rPr>
        <w:t>.</w:t>
      </w:r>
      <w:r w:rsidRPr="00044473">
        <w:rPr>
          <w:rFonts w:ascii="Times New Roman" w:hAnsi="Times New Roman"/>
          <w:lang w:val="pt-BR"/>
        </w:rPr>
        <w:t xml:space="preserve"> Conversão de </w:t>
      </w:r>
      <w:proofErr w:type="spellStart"/>
      <w:r w:rsidRPr="00044473">
        <w:rPr>
          <w:rFonts w:ascii="Times New Roman" w:hAnsi="Times New Roman"/>
          <w:lang w:val="pt-BR"/>
        </w:rPr>
        <w:t>EtOH</w:t>
      </w:r>
      <w:proofErr w:type="spellEnd"/>
      <w:r w:rsidRPr="00044473">
        <w:rPr>
          <w:rFonts w:ascii="Times New Roman" w:hAnsi="Times New Roman"/>
          <w:lang w:val="pt-BR"/>
        </w:rPr>
        <w:t xml:space="preserve"> e seletividade de produtos do</w:t>
      </w:r>
      <w:r>
        <w:rPr>
          <w:rFonts w:ascii="Times New Roman" w:hAnsi="Times New Roman"/>
          <w:lang w:val="pt-BR"/>
        </w:rPr>
        <w:t>s</w:t>
      </w:r>
      <w:r w:rsidRPr="00044473">
        <w:rPr>
          <w:rFonts w:ascii="Times New Roman" w:hAnsi="Times New Roman"/>
          <w:lang w:val="pt-BR"/>
        </w:rPr>
        <w:t xml:space="preserve"> catalisador</w:t>
      </w:r>
      <w:r>
        <w:rPr>
          <w:rFonts w:ascii="Times New Roman" w:hAnsi="Times New Roman"/>
          <w:lang w:val="pt-BR"/>
        </w:rPr>
        <w:t>es</w:t>
      </w:r>
      <w:r w:rsidRPr="00044473">
        <w:rPr>
          <w:rFonts w:ascii="Times New Roman" w:hAnsi="Times New Roman"/>
          <w:lang w:val="pt-BR"/>
        </w:rPr>
        <w:t xml:space="preserve"> equimolar</w:t>
      </w:r>
      <w:r>
        <w:rPr>
          <w:rFonts w:ascii="Times New Roman" w:hAnsi="Times New Roman"/>
          <w:lang w:val="pt-BR"/>
        </w:rPr>
        <w:t xml:space="preserve"> (</w:t>
      </w:r>
      <w:proofErr w:type="spellStart"/>
      <w:r>
        <w:rPr>
          <w:rFonts w:ascii="Times New Roman" w:hAnsi="Times New Roman"/>
          <w:lang w:val="pt-BR"/>
        </w:rPr>
        <w:t>Mg:Al:</w:t>
      </w:r>
      <w:proofErr w:type="gramStart"/>
      <w:r>
        <w:rPr>
          <w:rFonts w:ascii="Times New Roman" w:hAnsi="Times New Roman"/>
          <w:lang w:val="pt-BR"/>
        </w:rPr>
        <w:t>Si</w:t>
      </w:r>
      <w:proofErr w:type="spellEnd"/>
      <w:r>
        <w:rPr>
          <w:rFonts w:ascii="Times New Roman" w:hAnsi="Times New Roman"/>
          <w:lang w:val="pt-BR"/>
        </w:rPr>
        <w:t>::</w:t>
      </w:r>
      <w:proofErr w:type="gramEnd"/>
      <w:r>
        <w:rPr>
          <w:rFonts w:ascii="Times New Roman" w:hAnsi="Times New Roman"/>
          <w:lang w:val="pt-BR"/>
        </w:rPr>
        <w:t xml:space="preserve"> 1:1:1), 1:1:3, 1:3:1, 3:1:1</w:t>
      </w:r>
      <w:r w:rsidRPr="00044473">
        <w:rPr>
          <w:rFonts w:ascii="Times New Roman" w:hAnsi="Times New Roman"/>
          <w:lang w:val="pt-BR"/>
        </w:rPr>
        <w:t>. Massa de catalisador: 100 mg, vazão volumétrica de Ar 25 mL·min</w:t>
      </w:r>
      <w:r w:rsidRPr="00044473">
        <w:rPr>
          <w:rFonts w:ascii="Times New Roman" w:hAnsi="Times New Roman"/>
          <w:vertAlign w:val="superscript"/>
          <w:lang w:val="pt-BR"/>
        </w:rPr>
        <w:t>-1</w:t>
      </w:r>
      <w:r w:rsidRPr="00044473">
        <w:rPr>
          <w:rFonts w:ascii="Times New Roman" w:hAnsi="Times New Roman"/>
          <w:lang w:val="pt-BR"/>
        </w:rPr>
        <w:t xml:space="preserve"> com 5 % de </w:t>
      </w:r>
      <w:proofErr w:type="spellStart"/>
      <w:r w:rsidRPr="00044473">
        <w:rPr>
          <w:rFonts w:ascii="Times New Roman" w:hAnsi="Times New Roman"/>
          <w:lang w:val="pt-BR"/>
        </w:rPr>
        <w:t>EtOH</w:t>
      </w:r>
      <w:proofErr w:type="spellEnd"/>
      <w:r w:rsidRPr="00044473">
        <w:rPr>
          <w:rFonts w:ascii="Times New Roman" w:hAnsi="Times New Roman"/>
          <w:lang w:val="pt-BR"/>
        </w:rPr>
        <w:t xml:space="preserve"> na corrente, </w:t>
      </w:r>
      <w:r w:rsidR="00A840C1">
        <w:rPr>
          <w:rFonts w:ascii="Times New Roman" w:hAnsi="Times New Roman"/>
          <w:lang w:val="pt-BR"/>
        </w:rPr>
        <w:t>temperatura 723</w:t>
      </w:r>
      <w:r w:rsidR="00DD737B">
        <w:rPr>
          <w:rFonts w:ascii="Times New Roman" w:hAnsi="Times New Roman"/>
          <w:lang w:val="pt-BR"/>
        </w:rPr>
        <w:t xml:space="preserve"> </w:t>
      </w:r>
      <w:r w:rsidR="00A840C1">
        <w:rPr>
          <w:rFonts w:ascii="Times New Roman" w:hAnsi="Times New Roman"/>
          <w:lang w:val="pt-BR"/>
        </w:rPr>
        <w:t xml:space="preserve">K, </w:t>
      </w:r>
      <w:r w:rsidRPr="00044473">
        <w:rPr>
          <w:rFonts w:ascii="Times New Roman" w:hAnsi="Times New Roman"/>
          <w:lang w:val="pt-BR"/>
        </w:rPr>
        <w:t>pressão mantida a 1,1 bar.</w:t>
      </w:r>
    </w:p>
    <w:p w14:paraId="184F7729" w14:textId="0CD1C7E1" w:rsidR="00935259" w:rsidRDefault="00935259" w:rsidP="004F06EC">
      <w:pPr>
        <w:pStyle w:val="TAMainText"/>
        <w:ind w:firstLine="187"/>
        <w:rPr>
          <w:rFonts w:ascii="Times New Roman" w:hAnsi="Times New Roman"/>
          <w:lang w:val="pt-BR"/>
        </w:rPr>
      </w:pPr>
    </w:p>
    <w:p w14:paraId="513F699E" w14:textId="5206DD80" w:rsidR="00707507" w:rsidRDefault="00707507" w:rsidP="004F06EC">
      <w:pPr>
        <w:pStyle w:val="TAMainText"/>
        <w:ind w:firstLine="187"/>
        <w:rPr>
          <w:rFonts w:ascii="Times New Roman" w:hAnsi="Times New Roman"/>
          <w:lang w:val="pt-BR"/>
        </w:rPr>
      </w:pPr>
      <w:r>
        <w:rPr>
          <w:rFonts w:ascii="Times New Roman" w:hAnsi="Times New Roman"/>
          <w:lang w:val="pt-BR"/>
        </w:rPr>
        <w:t xml:space="preserve">A </w:t>
      </w:r>
      <w:r w:rsidR="00F435FC">
        <w:rPr>
          <w:rFonts w:ascii="Times New Roman" w:hAnsi="Times New Roman"/>
          <w:lang w:val="pt-BR"/>
        </w:rPr>
        <w:t>função</w:t>
      </w:r>
      <w:r w:rsidR="00F435FC" w:rsidRPr="00F435FC">
        <w:rPr>
          <w:rFonts w:ascii="Times New Roman" w:hAnsi="Times New Roman"/>
          <w:lang w:val="pt-BR"/>
        </w:rPr>
        <w:t xml:space="preserve"> dos sítios ácidos fortes nas reações de desidratação do álcool permanece em debate</w:t>
      </w:r>
      <w:r w:rsidR="00F435FC">
        <w:rPr>
          <w:rFonts w:ascii="Times New Roman" w:hAnsi="Times New Roman"/>
          <w:lang w:val="pt-BR"/>
        </w:rPr>
        <w:t xml:space="preserve">, por outro lado, parece haver um consenso maior com relação a </w:t>
      </w:r>
      <w:r w:rsidR="00F435FC" w:rsidRPr="00F435FC">
        <w:rPr>
          <w:rFonts w:ascii="Times New Roman" w:hAnsi="Times New Roman"/>
          <w:lang w:val="pt-BR"/>
        </w:rPr>
        <w:t>contribuição dos sítios básicos</w:t>
      </w:r>
      <w:r w:rsidR="001C7A32">
        <w:rPr>
          <w:rFonts w:ascii="Times New Roman" w:hAnsi="Times New Roman"/>
          <w:lang w:val="pt-BR"/>
        </w:rPr>
        <w:t>. Tanto para s</w:t>
      </w:r>
      <w:r w:rsidR="001C7A32" w:rsidRPr="001C7A32">
        <w:rPr>
          <w:rFonts w:ascii="Times New Roman" w:hAnsi="Times New Roman"/>
          <w:lang w:val="pt-BR"/>
        </w:rPr>
        <w:t xml:space="preserve">istemas </w:t>
      </w:r>
      <w:proofErr w:type="spellStart"/>
      <w:r w:rsidR="001C7A32" w:rsidRPr="001C7A32">
        <w:rPr>
          <w:rFonts w:ascii="Times New Roman" w:hAnsi="Times New Roman"/>
          <w:lang w:val="pt-BR"/>
        </w:rPr>
        <w:t>MgO</w:t>
      </w:r>
      <w:proofErr w:type="spellEnd"/>
      <w:r w:rsidR="001C7A32" w:rsidRPr="001C7A32">
        <w:rPr>
          <w:rFonts w:ascii="Times New Roman" w:hAnsi="Times New Roman"/>
          <w:lang w:val="pt-BR"/>
        </w:rPr>
        <w:t>–SiO</w:t>
      </w:r>
      <w:r w:rsidR="001C7A32" w:rsidRPr="001C7A32">
        <w:rPr>
          <w:rFonts w:ascii="Times New Roman" w:hAnsi="Times New Roman"/>
          <w:vertAlign w:val="subscript"/>
          <w:lang w:val="pt-BR"/>
        </w:rPr>
        <w:t>2</w:t>
      </w:r>
      <w:r w:rsidR="001C7A32">
        <w:rPr>
          <w:rFonts w:ascii="Times New Roman" w:hAnsi="Times New Roman"/>
          <w:lang w:val="pt-BR"/>
        </w:rPr>
        <w:t xml:space="preserve"> como para </w:t>
      </w:r>
      <w:r w:rsidR="001C7A32" w:rsidRPr="001C7A32">
        <w:rPr>
          <w:rFonts w:ascii="Times New Roman" w:hAnsi="Times New Roman"/>
          <w:lang w:val="pt-BR"/>
        </w:rPr>
        <w:t>óxidos duplos Mg–Al</w:t>
      </w:r>
      <w:r w:rsidR="001C7A32">
        <w:rPr>
          <w:rFonts w:ascii="Times New Roman" w:hAnsi="Times New Roman"/>
          <w:lang w:val="pt-BR"/>
        </w:rPr>
        <w:t xml:space="preserve"> é esperado a presença de</w:t>
      </w:r>
      <w:r w:rsidR="00F435FC" w:rsidRPr="00F435FC">
        <w:rPr>
          <w:rFonts w:ascii="Times New Roman" w:hAnsi="Times New Roman"/>
          <w:lang w:val="pt-BR"/>
        </w:rPr>
        <w:t xml:space="preserve"> sítios </w:t>
      </w:r>
      <w:r w:rsidR="00F435FC" w:rsidRPr="00F435FC">
        <w:rPr>
          <w:rFonts w:ascii="Times New Roman" w:hAnsi="Times New Roman"/>
          <w:lang w:val="pt-BR"/>
        </w:rPr>
        <w:t>básicos fracos</w:t>
      </w:r>
      <w:r w:rsidR="001C7A32">
        <w:rPr>
          <w:rFonts w:ascii="Times New Roman" w:hAnsi="Times New Roman"/>
          <w:lang w:val="pt-BR"/>
        </w:rPr>
        <w:t xml:space="preserve"> superficiais</w:t>
      </w:r>
      <w:r w:rsidR="00F435FC" w:rsidRPr="00F435FC">
        <w:rPr>
          <w:rFonts w:ascii="Times New Roman" w:hAnsi="Times New Roman"/>
          <w:lang w:val="pt-BR"/>
        </w:rPr>
        <w:t xml:space="preserve">, </w:t>
      </w:r>
      <w:r>
        <w:rPr>
          <w:rFonts w:ascii="Times New Roman" w:hAnsi="Times New Roman"/>
          <w:lang w:val="pt-BR"/>
        </w:rPr>
        <w:t>possivelmente</w:t>
      </w:r>
      <w:r w:rsidR="00F435FC">
        <w:rPr>
          <w:rFonts w:ascii="Times New Roman" w:hAnsi="Times New Roman"/>
          <w:lang w:val="pt-BR"/>
        </w:rPr>
        <w:t xml:space="preserve"> proveniente de</w:t>
      </w:r>
      <w:r w:rsidR="00F435FC" w:rsidRPr="00F435FC">
        <w:rPr>
          <w:rFonts w:ascii="Times New Roman" w:hAnsi="Times New Roman"/>
          <w:lang w:val="pt-BR"/>
        </w:rPr>
        <w:t xml:space="preserve"> grupos hidroxila,</w:t>
      </w:r>
      <w:r w:rsidR="001C7A32">
        <w:rPr>
          <w:rFonts w:ascii="Times New Roman" w:hAnsi="Times New Roman"/>
          <w:lang w:val="pt-BR"/>
        </w:rPr>
        <w:t xml:space="preserve"> que</w:t>
      </w:r>
      <w:r w:rsidR="00F435FC" w:rsidRPr="00F435FC">
        <w:rPr>
          <w:rFonts w:ascii="Times New Roman" w:hAnsi="Times New Roman"/>
          <w:lang w:val="pt-BR"/>
        </w:rPr>
        <w:t xml:space="preserve"> </w:t>
      </w:r>
      <w:r>
        <w:rPr>
          <w:rFonts w:ascii="Times New Roman" w:hAnsi="Times New Roman"/>
          <w:lang w:val="pt-BR"/>
        </w:rPr>
        <w:t>desidrogen</w:t>
      </w:r>
      <w:r w:rsidR="001C7A32">
        <w:rPr>
          <w:rFonts w:ascii="Times New Roman" w:hAnsi="Times New Roman"/>
          <w:lang w:val="pt-BR"/>
        </w:rPr>
        <w:t xml:space="preserve">em </w:t>
      </w:r>
      <w:r>
        <w:rPr>
          <w:rFonts w:ascii="Times New Roman" w:hAnsi="Times New Roman"/>
          <w:lang w:val="pt-BR"/>
        </w:rPr>
        <w:t xml:space="preserve">o </w:t>
      </w:r>
      <w:proofErr w:type="spellStart"/>
      <w:r>
        <w:rPr>
          <w:rFonts w:ascii="Times New Roman" w:hAnsi="Times New Roman"/>
          <w:lang w:val="pt-BR"/>
        </w:rPr>
        <w:t>EtOH</w:t>
      </w:r>
      <w:proofErr w:type="spellEnd"/>
      <w:r w:rsidR="00F435FC" w:rsidRPr="00F435FC">
        <w:rPr>
          <w:rFonts w:ascii="Times New Roman" w:hAnsi="Times New Roman"/>
          <w:lang w:val="pt-BR"/>
        </w:rPr>
        <w:t>; pares Mg</w:t>
      </w:r>
      <w:r w:rsidR="00400852">
        <w:rPr>
          <w:rFonts w:ascii="Times New Roman" w:hAnsi="Times New Roman"/>
          <w:lang w:val="pt-BR"/>
        </w:rPr>
        <w:t xml:space="preserve">–O </w:t>
      </w:r>
      <w:r w:rsidR="00F435FC" w:rsidRPr="00F435FC">
        <w:rPr>
          <w:rFonts w:ascii="Times New Roman" w:hAnsi="Times New Roman"/>
          <w:lang w:val="pt-BR"/>
        </w:rPr>
        <w:t>de força média</w:t>
      </w:r>
      <w:r w:rsidR="001C7A32">
        <w:rPr>
          <w:rFonts w:ascii="Times New Roman" w:hAnsi="Times New Roman"/>
          <w:lang w:val="pt-BR"/>
        </w:rPr>
        <w:t xml:space="preserve">, que </w:t>
      </w:r>
      <w:r w:rsidR="00F435FC" w:rsidRPr="00F435FC">
        <w:rPr>
          <w:rFonts w:ascii="Times New Roman" w:hAnsi="Times New Roman"/>
          <w:lang w:val="pt-BR"/>
        </w:rPr>
        <w:t xml:space="preserve">permitem a condensação </w:t>
      </w:r>
      <w:proofErr w:type="spellStart"/>
      <w:r w:rsidR="00F435FC" w:rsidRPr="00F435FC">
        <w:rPr>
          <w:rFonts w:ascii="Times New Roman" w:hAnsi="Times New Roman"/>
          <w:lang w:val="pt-BR"/>
        </w:rPr>
        <w:t>aldólica</w:t>
      </w:r>
      <w:proofErr w:type="spellEnd"/>
      <w:r w:rsidR="00F435FC" w:rsidRPr="00F435FC">
        <w:rPr>
          <w:rFonts w:ascii="Times New Roman" w:hAnsi="Times New Roman"/>
          <w:lang w:val="pt-BR"/>
        </w:rPr>
        <w:t xml:space="preserve">; </w:t>
      </w:r>
      <w:r>
        <w:rPr>
          <w:rFonts w:ascii="Times New Roman" w:hAnsi="Times New Roman"/>
          <w:lang w:val="pt-BR"/>
        </w:rPr>
        <w:t>o</w:t>
      </w:r>
      <w:r w:rsidR="00F435FC" w:rsidRPr="00F435FC">
        <w:rPr>
          <w:rFonts w:ascii="Times New Roman" w:hAnsi="Times New Roman"/>
          <w:lang w:val="pt-BR"/>
        </w:rPr>
        <w:t xml:space="preserve">s ânions de oxigênio </w:t>
      </w:r>
      <w:proofErr w:type="spellStart"/>
      <w:r w:rsidR="00F435FC" w:rsidRPr="00F435FC">
        <w:rPr>
          <w:rFonts w:ascii="Times New Roman" w:hAnsi="Times New Roman"/>
          <w:lang w:val="pt-BR"/>
        </w:rPr>
        <w:t>tricoordenados</w:t>
      </w:r>
      <w:proofErr w:type="spellEnd"/>
      <w:r w:rsidR="001C7A32">
        <w:rPr>
          <w:rFonts w:ascii="Times New Roman" w:hAnsi="Times New Roman"/>
          <w:lang w:val="pt-BR"/>
        </w:rPr>
        <w:t xml:space="preserve"> </w:t>
      </w:r>
      <w:r w:rsidR="001C7A32" w:rsidRPr="001C7A32">
        <w:rPr>
          <w:rFonts w:ascii="Times New Roman" w:hAnsi="Times New Roman"/>
          <w:lang w:val="pt-BR"/>
        </w:rPr>
        <w:t>(O</w:t>
      </w:r>
      <w:r w:rsidR="001C7A32" w:rsidRPr="001C7A32">
        <w:rPr>
          <w:rFonts w:ascii="Times New Roman" w:hAnsi="Times New Roman"/>
          <w:vertAlign w:val="superscript"/>
          <w:lang w:val="pt-BR"/>
        </w:rPr>
        <w:t>2-</w:t>
      </w:r>
      <w:r w:rsidR="001C7A32" w:rsidRPr="001C7A32">
        <w:rPr>
          <w:rFonts w:ascii="Times New Roman" w:hAnsi="Times New Roman"/>
          <w:lang w:val="pt-BR"/>
        </w:rPr>
        <w:t>)</w:t>
      </w:r>
      <w:r w:rsidR="00F435FC" w:rsidRPr="00F435FC">
        <w:rPr>
          <w:rFonts w:ascii="Times New Roman" w:hAnsi="Times New Roman"/>
          <w:lang w:val="pt-BR"/>
        </w:rPr>
        <w:t xml:space="preserve"> fortemente básicos</w:t>
      </w:r>
      <w:r w:rsidR="002562C5">
        <w:rPr>
          <w:rFonts w:ascii="Times New Roman" w:hAnsi="Times New Roman"/>
          <w:lang w:val="pt-BR"/>
        </w:rPr>
        <w:t>, que podem ser</w:t>
      </w:r>
      <w:r w:rsidR="00F435FC" w:rsidRPr="00F435FC">
        <w:rPr>
          <w:rFonts w:ascii="Times New Roman" w:hAnsi="Times New Roman"/>
          <w:lang w:val="pt-BR"/>
        </w:rPr>
        <w:t xml:space="preserve"> rapidamente </w:t>
      </w:r>
      <w:r w:rsidR="002562C5">
        <w:rPr>
          <w:rFonts w:ascii="Times New Roman" w:hAnsi="Times New Roman"/>
          <w:lang w:val="pt-BR"/>
        </w:rPr>
        <w:t xml:space="preserve">desativados </w:t>
      </w:r>
      <w:r w:rsidR="00F435FC" w:rsidRPr="00F435FC">
        <w:rPr>
          <w:rFonts w:ascii="Times New Roman" w:hAnsi="Times New Roman"/>
          <w:lang w:val="pt-BR"/>
        </w:rPr>
        <w:t>devido ao seu envenenamento por produtos de condensação</w:t>
      </w:r>
      <w:r w:rsidR="00975A58">
        <w:rPr>
          <w:rFonts w:ascii="Times New Roman" w:hAnsi="Times New Roman"/>
          <w:lang w:val="pt-BR"/>
        </w:rPr>
        <w:t>. É importante ressaltar</w:t>
      </w:r>
      <w:r w:rsidR="00975A58" w:rsidRPr="00975A58">
        <w:rPr>
          <w:rFonts w:ascii="Times New Roman" w:hAnsi="Times New Roman"/>
          <w:lang w:val="pt-BR"/>
        </w:rPr>
        <w:t xml:space="preserve"> que os mecanismos </w:t>
      </w:r>
      <w:r w:rsidR="00975A58">
        <w:rPr>
          <w:rFonts w:ascii="Times New Roman" w:hAnsi="Times New Roman"/>
          <w:lang w:val="pt-BR"/>
        </w:rPr>
        <w:t xml:space="preserve">envolvidos </w:t>
      </w:r>
      <w:r w:rsidR="001C7A32">
        <w:rPr>
          <w:rFonts w:ascii="Times New Roman" w:hAnsi="Times New Roman"/>
          <w:lang w:val="pt-BR"/>
        </w:rPr>
        <w:t xml:space="preserve">nessa reação </w:t>
      </w:r>
      <w:r w:rsidR="00975A58" w:rsidRPr="00975A58">
        <w:rPr>
          <w:rFonts w:ascii="Times New Roman" w:hAnsi="Times New Roman"/>
          <w:lang w:val="pt-BR"/>
        </w:rPr>
        <w:t xml:space="preserve">requerem ação </w:t>
      </w:r>
      <w:r w:rsidR="0001443D">
        <w:rPr>
          <w:rFonts w:ascii="Times New Roman" w:hAnsi="Times New Roman"/>
          <w:lang w:val="pt-BR"/>
        </w:rPr>
        <w:t>coparticipante</w:t>
      </w:r>
      <w:r w:rsidR="00975A58" w:rsidRPr="00975A58">
        <w:rPr>
          <w:rFonts w:ascii="Times New Roman" w:hAnsi="Times New Roman"/>
          <w:lang w:val="pt-BR"/>
        </w:rPr>
        <w:t xml:space="preserve"> entre sítios ácidos e básicos, o que significa que não apenas o número e a força do sítio ativo, mas também a proximidade são fundamentais para a conversão seletiva de </w:t>
      </w:r>
      <w:proofErr w:type="spellStart"/>
      <w:r w:rsidR="0001443D">
        <w:rPr>
          <w:rFonts w:ascii="Times New Roman" w:hAnsi="Times New Roman"/>
          <w:lang w:val="pt-BR"/>
        </w:rPr>
        <w:t>EtOH</w:t>
      </w:r>
      <w:proofErr w:type="spellEnd"/>
      <w:r>
        <w:rPr>
          <w:rFonts w:ascii="Times New Roman" w:hAnsi="Times New Roman"/>
          <w:lang w:val="pt-BR"/>
        </w:rPr>
        <w:t xml:space="preserve"> (34</w:t>
      </w:r>
      <w:r w:rsidR="0001443D">
        <w:rPr>
          <w:rFonts w:ascii="Times New Roman" w:hAnsi="Times New Roman"/>
          <w:lang w:val="pt-BR"/>
        </w:rPr>
        <w:t>,35</w:t>
      </w:r>
      <w:r>
        <w:rPr>
          <w:rFonts w:ascii="Times New Roman" w:hAnsi="Times New Roman"/>
          <w:lang w:val="pt-BR"/>
        </w:rPr>
        <w:t>).</w:t>
      </w:r>
      <w:r w:rsidR="003F2E9B">
        <w:rPr>
          <w:rFonts w:ascii="Times New Roman" w:hAnsi="Times New Roman"/>
          <w:lang w:val="pt-BR"/>
        </w:rPr>
        <w:t xml:space="preserve"> A</w:t>
      </w:r>
      <w:r w:rsidR="003F2E9B" w:rsidRPr="003F2E9B">
        <w:rPr>
          <w:rFonts w:ascii="Times New Roman" w:hAnsi="Times New Roman"/>
          <w:lang w:val="pt-BR"/>
        </w:rPr>
        <w:t xml:space="preserve"> concentração superficial de sítios básicos </w:t>
      </w:r>
      <w:r w:rsidR="003F2E9B">
        <w:rPr>
          <w:rFonts w:ascii="Times New Roman" w:hAnsi="Times New Roman"/>
          <w:lang w:val="pt-BR"/>
        </w:rPr>
        <w:t>fracos e de força média</w:t>
      </w:r>
      <w:r w:rsidR="003F2E9B" w:rsidRPr="003F2E9B">
        <w:rPr>
          <w:rFonts w:ascii="Times New Roman" w:hAnsi="Times New Roman"/>
          <w:lang w:val="pt-BR"/>
        </w:rPr>
        <w:t xml:space="preserve"> aumenta com o aumento do teor de Al na amostra. As reações que requerem sítios básicos fortes, como desidrogenação</w:t>
      </w:r>
      <w:r w:rsidR="003F2E9B">
        <w:rPr>
          <w:rFonts w:ascii="Times New Roman" w:hAnsi="Times New Roman"/>
          <w:lang w:val="pt-BR"/>
        </w:rPr>
        <w:t xml:space="preserve"> e</w:t>
      </w:r>
      <w:r w:rsidR="003F2E9B" w:rsidRPr="003F2E9B">
        <w:rPr>
          <w:rFonts w:ascii="Times New Roman" w:hAnsi="Times New Roman"/>
          <w:lang w:val="pt-BR"/>
        </w:rPr>
        <w:t xml:space="preserve"> condensação, envolvem a formação inicial de </w:t>
      </w:r>
      <w:proofErr w:type="spellStart"/>
      <w:r w:rsidR="003F2E9B" w:rsidRPr="003F2E9B">
        <w:rPr>
          <w:rFonts w:ascii="Times New Roman" w:hAnsi="Times New Roman"/>
          <w:lang w:val="pt-BR"/>
        </w:rPr>
        <w:t>etóxido</w:t>
      </w:r>
      <w:proofErr w:type="spellEnd"/>
      <w:r w:rsidR="003F2E9B" w:rsidRPr="003F2E9B">
        <w:rPr>
          <w:rFonts w:ascii="Times New Roman" w:hAnsi="Times New Roman"/>
          <w:lang w:val="pt-BR"/>
        </w:rPr>
        <w:t xml:space="preserve"> de superfície em um par</w:t>
      </w:r>
      <w:r w:rsidR="0092489B">
        <w:rPr>
          <w:rFonts w:ascii="Times New Roman" w:hAnsi="Times New Roman"/>
          <w:lang w:val="pt-BR"/>
        </w:rPr>
        <w:t xml:space="preserve"> ácido de Lewis–base forte (</w:t>
      </w:r>
      <w:r w:rsidR="00662E2B">
        <w:rPr>
          <w:rFonts w:ascii="Times New Roman" w:hAnsi="Times New Roman"/>
          <w:lang w:val="pt-BR"/>
        </w:rPr>
        <w:t>22</w:t>
      </w:r>
      <w:r w:rsidR="0092489B">
        <w:rPr>
          <w:rFonts w:ascii="Times New Roman" w:hAnsi="Times New Roman"/>
          <w:lang w:val="pt-BR"/>
        </w:rPr>
        <w:t>).</w:t>
      </w:r>
    </w:p>
    <w:p w14:paraId="7AC3848A" w14:textId="5617F399" w:rsidR="00060DA2" w:rsidRDefault="00707507" w:rsidP="004F06EC">
      <w:pPr>
        <w:pStyle w:val="TAMainText"/>
        <w:ind w:firstLine="187"/>
        <w:rPr>
          <w:rFonts w:ascii="Times New Roman" w:hAnsi="Times New Roman"/>
          <w:lang w:val="pt-BR"/>
        </w:rPr>
      </w:pPr>
      <w:r>
        <w:rPr>
          <w:rFonts w:ascii="Times New Roman" w:hAnsi="Times New Roman"/>
          <w:lang w:val="pt-BR"/>
        </w:rPr>
        <w:t>P</w:t>
      </w:r>
      <w:r w:rsidR="00060DA2">
        <w:rPr>
          <w:rFonts w:ascii="Times New Roman" w:hAnsi="Times New Roman"/>
          <w:lang w:val="pt-BR"/>
        </w:rPr>
        <w:t>ara o catalisador</w:t>
      </w:r>
      <w:r w:rsidR="00BD2C84">
        <w:rPr>
          <w:rFonts w:ascii="Times New Roman" w:hAnsi="Times New Roman"/>
          <w:lang w:val="pt-BR"/>
        </w:rPr>
        <w:t xml:space="preserve"> </w:t>
      </w:r>
      <w:proofErr w:type="spellStart"/>
      <w:r w:rsidR="00A15AB7" w:rsidRPr="00A15AB7">
        <w:rPr>
          <w:rFonts w:ascii="Times New Roman" w:hAnsi="Times New Roman"/>
          <w:lang w:val="pt-BR"/>
        </w:rPr>
        <w:t>Mg:Al:</w:t>
      </w:r>
      <w:proofErr w:type="gramStart"/>
      <w:r w:rsidR="00A15AB7" w:rsidRPr="00A15AB7">
        <w:rPr>
          <w:rFonts w:ascii="Times New Roman" w:hAnsi="Times New Roman"/>
          <w:lang w:val="pt-BR"/>
        </w:rPr>
        <w:t>Si</w:t>
      </w:r>
      <w:proofErr w:type="spellEnd"/>
      <w:r w:rsidR="00A15AB7" w:rsidRPr="00A15AB7">
        <w:rPr>
          <w:rFonts w:ascii="Times New Roman" w:hAnsi="Times New Roman"/>
          <w:lang w:val="pt-BR"/>
        </w:rPr>
        <w:t>::</w:t>
      </w:r>
      <w:proofErr w:type="gramEnd"/>
      <w:r w:rsidR="00A15AB7">
        <w:rPr>
          <w:rFonts w:ascii="Times New Roman" w:hAnsi="Times New Roman"/>
          <w:lang w:val="pt-BR"/>
        </w:rPr>
        <w:t xml:space="preserve"> </w:t>
      </w:r>
      <w:r w:rsidR="00BD2C84">
        <w:rPr>
          <w:rFonts w:ascii="Times New Roman" w:hAnsi="Times New Roman"/>
          <w:lang w:val="pt-BR"/>
        </w:rPr>
        <w:t>1:1:3</w:t>
      </w:r>
      <w:r w:rsidR="00060DA2">
        <w:rPr>
          <w:rFonts w:ascii="Times New Roman" w:hAnsi="Times New Roman"/>
          <w:lang w:val="pt-BR"/>
        </w:rPr>
        <w:t xml:space="preserve"> é majoritária a formação do DEE e, seguidamente, etileno, produtos da desidratação do </w:t>
      </w:r>
      <w:proofErr w:type="spellStart"/>
      <w:r w:rsidR="009A5BF6">
        <w:rPr>
          <w:rFonts w:ascii="Times New Roman" w:hAnsi="Times New Roman"/>
          <w:lang w:val="pt-BR"/>
        </w:rPr>
        <w:t>EtOH</w:t>
      </w:r>
      <w:proofErr w:type="spellEnd"/>
      <w:r w:rsidR="00060DA2">
        <w:rPr>
          <w:rFonts w:ascii="Times New Roman" w:hAnsi="Times New Roman"/>
          <w:lang w:val="pt-BR"/>
        </w:rPr>
        <w:t xml:space="preserve">. </w:t>
      </w:r>
      <w:r w:rsidR="00527CF9">
        <w:rPr>
          <w:rFonts w:ascii="Times New Roman" w:hAnsi="Times New Roman"/>
          <w:lang w:val="pt-BR"/>
        </w:rPr>
        <w:t xml:space="preserve">Como já foi discutido em outros trabalhos, sistemas semelhantes ao utilizado </w:t>
      </w:r>
      <w:r w:rsidR="007B3726">
        <w:rPr>
          <w:rFonts w:ascii="Times New Roman" w:hAnsi="Times New Roman"/>
          <w:lang w:val="pt-BR"/>
        </w:rPr>
        <w:t>aqui,</w:t>
      </w:r>
      <w:r w:rsidR="00527CF9">
        <w:rPr>
          <w:rFonts w:ascii="Times New Roman" w:hAnsi="Times New Roman"/>
          <w:lang w:val="pt-BR"/>
        </w:rPr>
        <w:t xml:space="preserve"> com baixos teores de Mg</w:t>
      </w:r>
      <w:r w:rsidR="007B3726">
        <w:rPr>
          <w:rFonts w:ascii="Times New Roman" w:hAnsi="Times New Roman"/>
          <w:lang w:val="pt-BR"/>
        </w:rPr>
        <w:t>,</w:t>
      </w:r>
      <w:r w:rsidR="00527CF9">
        <w:rPr>
          <w:rFonts w:ascii="Times New Roman" w:hAnsi="Times New Roman"/>
          <w:lang w:val="pt-BR"/>
        </w:rPr>
        <w:t xml:space="preserve"> apresentam sítios básicos fracos e sítios ácidos fortes o suficiente para catalisar a desidratação do </w:t>
      </w:r>
      <w:proofErr w:type="spellStart"/>
      <w:r w:rsidR="0093650D">
        <w:rPr>
          <w:rFonts w:ascii="Times New Roman" w:hAnsi="Times New Roman"/>
          <w:lang w:val="pt-BR"/>
        </w:rPr>
        <w:t>EtOH</w:t>
      </w:r>
      <w:proofErr w:type="spellEnd"/>
      <w:r w:rsidR="001B7771">
        <w:rPr>
          <w:rFonts w:ascii="Times New Roman" w:hAnsi="Times New Roman"/>
          <w:lang w:val="pt-BR"/>
        </w:rPr>
        <w:t xml:space="preserve">; </w:t>
      </w:r>
      <w:r w:rsidR="007B3726">
        <w:rPr>
          <w:rFonts w:ascii="Times New Roman" w:hAnsi="Times New Roman"/>
          <w:lang w:val="pt-BR"/>
        </w:rPr>
        <w:t xml:space="preserve">também, </w:t>
      </w:r>
      <w:r w:rsidR="001B7771">
        <w:rPr>
          <w:rFonts w:ascii="Times New Roman" w:hAnsi="Times New Roman"/>
          <w:lang w:val="pt-BR"/>
        </w:rPr>
        <w:t xml:space="preserve">a </w:t>
      </w:r>
      <w:r w:rsidR="009577D2">
        <w:rPr>
          <w:rFonts w:ascii="Times New Roman" w:hAnsi="Times New Roman"/>
          <w:lang w:val="pt-BR"/>
        </w:rPr>
        <w:t>característica</w:t>
      </w:r>
      <w:r w:rsidR="001B7771">
        <w:rPr>
          <w:rFonts w:ascii="Times New Roman" w:hAnsi="Times New Roman"/>
          <w:lang w:val="pt-BR"/>
        </w:rPr>
        <w:t xml:space="preserve"> ácida de </w:t>
      </w:r>
      <w:proofErr w:type="spellStart"/>
      <w:r w:rsidR="001B7771" w:rsidRPr="001B7771">
        <w:rPr>
          <w:rFonts w:ascii="Times New Roman" w:hAnsi="Times New Roman"/>
          <w:lang w:val="pt-BR"/>
        </w:rPr>
        <w:t>Brønsted</w:t>
      </w:r>
      <w:proofErr w:type="spellEnd"/>
      <w:r w:rsidR="00527CF9">
        <w:rPr>
          <w:rFonts w:ascii="Times New Roman" w:hAnsi="Times New Roman"/>
          <w:lang w:val="pt-BR"/>
        </w:rPr>
        <w:t xml:space="preserve"> </w:t>
      </w:r>
      <w:r w:rsidR="001B7771">
        <w:rPr>
          <w:rFonts w:ascii="Times New Roman" w:hAnsi="Times New Roman"/>
          <w:lang w:val="pt-BR"/>
        </w:rPr>
        <w:t xml:space="preserve">da </w:t>
      </w:r>
      <w:r w:rsidR="007B3726">
        <w:rPr>
          <w:rFonts w:ascii="Times New Roman" w:hAnsi="Times New Roman"/>
          <w:lang w:val="pt-BR"/>
        </w:rPr>
        <w:t>sílica</w:t>
      </w:r>
      <w:r w:rsidR="001B7771">
        <w:rPr>
          <w:rFonts w:ascii="Times New Roman" w:hAnsi="Times New Roman"/>
          <w:lang w:val="pt-BR"/>
        </w:rPr>
        <w:t xml:space="preserve"> </w:t>
      </w:r>
      <w:r w:rsidR="007B3726">
        <w:rPr>
          <w:rFonts w:ascii="Times New Roman" w:hAnsi="Times New Roman"/>
          <w:lang w:val="pt-BR"/>
        </w:rPr>
        <w:t>favorece</w:t>
      </w:r>
      <w:r w:rsidR="001B7771">
        <w:rPr>
          <w:rFonts w:ascii="Times New Roman" w:hAnsi="Times New Roman"/>
          <w:lang w:val="pt-BR"/>
        </w:rPr>
        <w:t xml:space="preserve"> esse resultado </w:t>
      </w:r>
      <w:r w:rsidR="00527CF9">
        <w:rPr>
          <w:rFonts w:ascii="Times New Roman" w:hAnsi="Times New Roman"/>
          <w:lang w:val="pt-BR"/>
        </w:rPr>
        <w:t>(</w:t>
      </w:r>
      <w:r w:rsidR="0093650D">
        <w:rPr>
          <w:rFonts w:ascii="Times New Roman" w:hAnsi="Times New Roman"/>
          <w:lang w:val="pt-BR"/>
        </w:rPr>
        <w:t>3</w:t>
      </w:r>
      <w:r w:rsidR="0001443D">
        <w:rPr>
          <w:rFonts w:ascii="Times New Roman" w:hAnsi="Times New Roman"/>
          <w:lang w:val="pt-BR"/>
        </w:rPr>
        <w:t>6</w:t>
      </w:r>
      <w:r w:rsidR="0093650D">
        <w:rPr>
          <w:rFonts w:ascii="Times New Roman" w:hAnsi="Times New Roman"/>
          <w:lang w:val="pt-BR"/>
        </w:rPr>
        <w:t>).</w:t>
      </w:r>
      <w:r w:rsidR="0053538E">
        <w:rPr>
          <w:rFonts w:ascii="Times New Roman" w:hAnsi="Times New Roman"/>
          <w:lang w:val="pt-BR"/>
        </w:rPr>
        <w:t xml:space="preserve"> Não há formação de produtos de condensação</w:t>
      </w:r>
      <w:r w:rsidR="009E510D">
        <w:rPr>
          <w:rFonts w:ascii="Times New Roman" w:hAnsi="Times New Roman"/>
          <w:lang w:val="pt-BR"/>
        </w:rPr>
        <w:t xml:space="preserve"> possivelmente pela ausência de pares de sítios ácido–base forte</w:t>
      </w:r>
      <w:r w:rsidR="00DF1A59">
        <w:rPr>
          <w:rFonts w:ascii="Times New Roman" w:hAnsi="Times New Roman"/>
          <w:lang w:val="pt-BR"/>
        </w:rPr>
        <w:t>.</w:t>
      </w:r>
    </w:p>
    <w:p w14:paraId="080E787D" w14:textId="363F6AEB" w:rsidR="00227A9D" w:rsidRDefault="00F47628" w:rsidP="004F06EC">
      <w:pPr>
        <w:pStyle w:val="TAMainText"/>
        <w:ind w:firstLine="187"/>
        <w:rPr>
          <w:rFonts w:ascii="Times New Roman" w:hAnsi="Times New Roman"/>
          <w:lang w:val="pt-BR"/>
        </w:rPr>
      </w:pPr>
      <w:r w:rsidRPr="00F47628">
        <w:rPr>
          <w:rFonts w:ascii="Times New Roman" w:hAnsi="Times New Roman"/>
          <w:lang w:val="pt-BR"/>
        </w:rPr>
        <w:t xml:space="preserve">A combinação das propriedades ácido-base desempenha um papel fundamental no complexo mecanismo de reação envolvido na conversão do </w:t>
      </w:r>
      <w:proofErr w:type="spellStart"/>
      <w:r>
        <w:rPr>
          <w:rFonts w:ascii="Times New Roman" w:hAnsi="Times New Roman"/>
          <w:lang w:val="pt-BR"/>
        </w:rPr>
        <w:t>EtOH</w:t>
      </w:r>
      <w:proofErr w:type="spellEnd"/>
      <w:r w:rsidRPr="00F47628">
        <w:rPr>
          <w:rFonts w:ascii="Times New Roman" w:hAnsi="Times New Roman"/>
          <w:lang w:val="pt-BR"/>
        </w:rPr>
        <w:t xml:space="preserve"> </w:t>
      </w:r>
      <w:r>
        <w:rPr>
          <w:rFonts w:ascii="Times New Roman" w:hAnsi="Times New Roman"/>
          <w:lang w:val="pt-BR"/>
        </w:rPr>
        <w:t>a produtos</w:t>
      </w:r>
      <w:r w:rsidRPr="00F47628">
        <w:rPr>
          <w:rFonts w:ascii="Times New Roman" w:hAnsi="Times New Roman"/>
          <w:lang w:val="pt-BR"/>
        </w:rPr>
        <w:t xml:space="preserve"> superior</w:t>
      </w:r>
      <w:r>
        <w:rPr>
          <w:rFonts w:ascii="Times New Roman" w:hAnsi="Times New Roman"/>
          <w:lang w:val="pt-BR"/>
        </w:rPr>
        <w:t>es</w:t>
      </w:r>
      <w:r w:rsidRPr="00F47628">
        <w:rPr>
          <w:rFonts w:ascii="Times New Roman" w:hAnsi="Times New Roman"/>
          <w:lang w:val="pt-BR"/>
        </w:rPr>
        <w:t xml:space="preserve">. Modificações de Mg e Al permitem alterar as propriedades ácido-base dos catalisadores </w:t>
      </w:r>
      <w:r>
        <w:rPr>
          <w:rFonts w:ascii="Times New Roman" w:hAnsi="Times New Roman"/>
          <w:lang w:val="pt-BR"/>
        </w:rPr>
        <w:t>de óxidos duplos</w:t>
      </w:r>
      <w:r w:rsidRPr="00F47628">
        <w:rPr>
          <w:rFonts w:ascii="Times New Roman" w:hAnsi="Times New Roman"/>
          <w:lang w:val="pt-BR"/>
        </w:rPr>
        <w:t>.</w:t>
      </w:r>
      <w:r>
        <w:rPr>
          <w:rFonts w:ascii="Times New Roman" w:hAnsi="Times New Roman"/>
          <w:lang w:val="pt-BR"/>
        </w:rPr>
        <w:t xml:space="preserve"> N</w:t>
      </w:r>
      <w:r w:rsidRPr="00F47628">
        <w:rPr>
          <w:rFonts w:ascii="Times New Roman" w:hAnsi="Times New Roman"/>
          <w:lang w:val="pt-BR"/>
        </w:rPr>
        <w:t xml:space="preserve">o catalisador </w:t>
      </w:r>
      <w:proofErr w:type="spellStart"/>
      <w:r w:rsidR="00CE007F" w:rsidRPr="00CE007F">
        <w:rPr>
          <w:rFonts w:ascii="Times New Roman" w:hAnsi="Times New Roman"/>
          <w:lang w:val="pt-BR"/>
        </w:rPr>
        <w:t>Mg:Al:</w:t>
      </w:r>
      <w:proofErr w:type="gramStart"/>
      <w:r w:rsidR="00CE007F" w:rsidRPr="00CE007F">
        <w:rPr>
          <w:rFonts w:ascii="Times New Roman" w:hAnsi="Times New Roman"/>
          <w:lang w:val="pt-BR"/>
        </w:rPr>
        <w:t>Si</w:t>
      </w:r>
      <w:proofErr w:type="spellEnd"/>
      <w:r w:rsidR="00CE007F" w:rsidRPr="00CE007F">
        <w:rPr>
          <w:rFonts w:ascii="Times New Roman" w:hAnsi="Times New Roman"/>
          <w:lang w:val="pt-BR"/>
        </w:rPr>
        <w:t>::</w:t>
      </w:r>
      <w:proofErr w:type="gramEnd"/>
      <w:r w:rsidR="00CE007F" w:rsidRPr="00CE007F">
        <w:rPr>
          <w:rFonts w:ascii="Times New Roman" w:hAnsi="Times New Roman"/>
          <w:lang w:val="pt-BR"/>
        </w:rPr>
        <w:t xml:space="preserve"> </w:t>
      </w:r>
      <w:r w:rsidRPr="00F47628">
        <w:rPr>
          <w:rFonts w:ascii="Times New Roman" w:hAnsi="Times New Roman"/>
          <w:lang w:val="pt-BR"/>
        </w:rPr>
        <w:t>1:3:1</w:t>
      </w:r>
      <w:r>
        <w:rPr>
          <w:rFonts w:ascii="Times New Roman" w:hAnsi="Times New Roman"/>
          <w:lang w:val="pt-BR"/>
        </w:rPr>
        <w:t>,</w:t>
      </w:r>
      <w:r w:rsidRPr="00F47628">
        <w:rPr>
          <w:rFonts w:ascii="Times New Roman" w:hAnsi="Times New Roman"/>
          <w:lang w:val="pt-BR"/>
        </w:rPr>
        <w:t xml:space="preserve"> </w:t>
      </w:r>
      <w:r>
        <w:rPr>
          <w:rFonts w:ascii="Times New Roman" w:hAnsi="Times New Roman"/>
          <w:lang w:val="pt-BR"/>
        </w:rPr>
        <w:t>é</w:t>
      </w:r>
      <w:r w:rsidR="00227A9D">
        <w:rPr>
          <w:rFonts w:ascii="Times New Roman" w:hAnsi="Times New Roman"/>
          <w:lang w:val="pt-BR"/>
        </w:rPr>
        <w:t xml:space="preserve"> esperado que a </w:t>
      </w:r>
      <w:r w:rsidR="00890C90">
        <w:rPr>
          <w:rFonts w:ascii="Times New Roman" w:hAnsi="Times New Roman"/>
          <w:lang w:val="pt-BR"/>
        </w:rPr>
        <w:t>predominância</w:t>
      </w:r>
      <w:r w:rsidR="00227A9D">
        <w:rPr>
          <w:rFonts w:ascii="Times New Roman" w:hAnsi="Times New Roman"/>
          <w:lang w:val="pt-BR"/>
        </w:rPr>
        <w:t xml:space="preserve"> de </w:t>
      </w:r>
      <w:r w:rsidR="00890C90">
        <w:rPr>
          <w:rFonts w:ascii="Times New Roman" w:hAnsi="Times New Roman"/>
          <w:lang w:val="pt-BR"/>
        </w:rPr>
        <w:t>Al tenha como produto primário o etileno, fruto da desidratação do etanol em sítios ácidos, favorecido por altas temperaturas.</w:t>
      </w:r>
      <w:r w:rsidR="00ED57A9">
        <w:rPr>
          <w:rFonts w:ascii="Times New Roman" w:hAnsi="Times New Roman"/>
          <w:lang w:val="pt-BR"/>
        </w:rPr>
        <w:t xml:space="preserve"> </w:t>
      </w:r>
      <w:r w:rsidR="00ED57A9" w:rsidRPr="00ED57A9">
        <w:rPr>
          <w:rFonts w:ascii="Times New Roman" w:hAnsi="Times New Roman"/>
          <w:lang w:val="pt-BR"/>
        </w:rPr>
        <w:t xml:space="preserve">De fato, entre os catalisadores analisados, o </w:t>
      </w:r>
      <w:proofErr w:type="spellStart"/>
      <w:r w:rsidR="00CE007F" w:rsidRPr="00CE007F">
        <w:rPr>
          <w:rFonts w:ascii="Times New Roman" w:hAnsi="Times New Roman"/>
          <w:lang w:val="pt-BR"/>
        </w:rPr>
        <w:t>Mg:Al:</w:t>
      </w:r>
      <w:proofErr w:type="gramStart"/>
      <w:r w:rsidR="00CE007F" w:rsidRPr="00CE007F">
        <w:rPr>
          <w:rFonts w:ascii="Times New Roman" w:hAnsi="Times New Roman"/>
          <w:lang w:val="pt-BR"/>
        </w:rPr>
        <w:t>Si</w:t>
      </w:r>
      <w:proofErr w:type="spellEnd"/>
      <w:r w:rsidR="00CE007F" w:rsidRPr="00CE007F">
        <w:rPr>
          <w:rFonts w:ascii="Times New Roman" w:hAnsi="Times New Roman"/>
          <w:lang w:val="pt-BR"/>
        </w:rPr>
        <w:t>::</w:t>
      </w:r>
      <w:proofErr w:type="gramEnd"/>
      <w:r w:rsidR="00CE007F" w:rsidRPr="00CE007F">
        <w:rPr>
          <w:rFonts w:ascii="Times New Roman" w:hAnsi="Times New Roman"/>
          <w:lang w:val="pt-BR"/>
        </w:rPr>
        <w:t xml:space="preserve"> </w:t>
      </w:r>
      <w:r w:rsidR="00ED57A9" w:rsidRPr="00ED57A9">
        <w:rPr>
          <w:rFonts w:ascii="Times New Roman" w:hAnsi="Times New Roman"/>
          <w:lang w:val="pt-BR"/>
        </w:rPr>
        <w:t>1:3:1 possuiu a maior seletividade a etileno com 43,5 %.</w:t>
      </w:r>
      <w:r w:rsidR="00ED57A9">
        <w:rPr>
          <w:rFonts w:ascii="Times New Roman" w:hAnsi="Times New Roman"/>
          <w:lang w:val="pt-BR"/>
        </w:rPr>
        <w:t xml:space="preserve"> A formação de BD e </w:t>
      </w:r>
      <w:proofErr w:type="spellStart"/>
      <w:r w:rsidR="00ED57A9">
        <w:rPr>
          <w:rFonts w:ascii="Times New Roman" w:hAnsi="Times New Roman"/>
          <w:lang w:val="pt-BR"/>
        </w:rPr>
        <w:t>BuOH</w:t>
      </w:r>
      <w:proofErr w:type="spellEnd"/>
      <w:r w:rsidR="00ED57A9">
        <w:rPr>
          <w:rFonts w:ascii="Times New Roman" w:hAnsi="Times New Roman"/>
          <w:lang w:val="pt-BR"/>
        </w:rPr>
        <w:t>, que depende da interação com sítios básicos, é pouco expressiva.</w:t>
      </w:r>
    </w:p>
    <w:p w14:paraId="46FE30FF" w14:textId="02C45E74" w:rsidR="00EA4E1B" w:rsidRDefault="009A5BF6" w:rsidP="00D901AB">
      <w:pPr>
        <w:pStyle w:val="TAMainText"/>
        <w:ind w:firstLine="187"/>
        <w:rPr>
          <w:rFonts w:ascii="Times New Roman" w:hAnsi="Times New Roman"/>
          <w:color w:val="FF0000"/>
          <w:sz w:val="18"/>
          <w:lang w:val="pt-BR"/>
        </w:rPr>
      </w:pPr>
      <w:r>
        <w:rPr>
          <w:rFonts w:ascii="Times New Roman" w:hAnsi="Times New Roman"/>
          <w:lang w:val="pt-BR"/>
        </w:rPr>
        <w:t xml:space="preserve">A maior seletividade para BD foi encontrada no catalisador com maior teor de Mg </w:t>
      </w:r>
      <w:r w:rsidR="00CE007F">
        <w:rPr>
          <w:rFonts w:ascii="Times New Roman" w:hAnsi="Times New Roman"/>
          <w:lang w:val="pt-BR"/>
        </w:rPr>
        <w:t>(</w:t>
      </w:r>
      <w:proofErr w:type="spellStart"/>
      <w:r w:rsidR="00CE007F" w:rsidRPr="00CE007F">
        <w:rPr>
          <w:rFonts w:ascii="Times New Roman" w:hAnsi="Times New Roman"/>
          <w:lang w:val="pt-BR"/>
        </w:rPr>
        <w:t>Mg:Al:</w:t>
      </w:r>
      <w:proofErr w:type="gramStart"/>
      <w:r w:rsidR="00CE007F" w:rsidRPr="00CE007F">
        <w:rPr>
          <w:rFonts w:ascii="Times New Roman" w:hAnsi="Times New Roman"/>
          <w:lang w:val="pt-BR"/>
        </w:rPr>
        <w:t>Si</w:t>
      </w:r>
      <w:proofErr w:type="spellEnd"/>
      <w:r w:rsidR="00CE007F" w:rsidRPr="00CE007F">
        <w:rPr>
          <w:rFonts w:ascii="Times New Roman" w:hAnsi="Times New Roman"/>
          <w:lang w:val="pt-BR"/>
        </w:rPr>
        <w:t>::</w:t>
      </w:r>
      <w:proofErr w:type="gramEnd"/>
      <w:r w:rsidR="00CE007F" w:rsidRPr="00CE007F">
        <w:rPr>
          <w:rFonts w:ascii="Times New Roman" w:hAnsi="Times New Roman"/>
          <w:lang w:val="pt-BR"/>
        </w:rPr>
        <w:t xml:space="preserve"> </w:t>
      </w:r>
      <w:r>
        <w:rPr>
          <w:rFonts w:ascii="Times New Roman" w:hAnsi="Times New Roman"/>
          <w:lang w:val="pt-BR"/>
        </w:rPr>
        <w:t>3:1:1</w:t>
      </w:r>
      <w:r w:rsidR="00CE007F">
        <w:rPr>
          <w:rFonts w:ascii="Times New Roman" w:hAnsi="Times New Roman"/>
          <w:lang w:val="pt-BR"/>
        </w:rPr>
        <w:t>)</w:t>
      </w:r>
      <w:r>
        <w:rPr>
          <w:rFonts w:ascii="Times New Roman" w:hAnsi="Times New Roman"/>
          <w:lang w:val="pt-BR"/>
        </w:rPr>
        <w:t>.</w:t>
      </w:r>
      <w:r w:rsidR="001004B7">
        <w:rPr>
          <w:rFonts w:ascii="Times New Roman" w:hAnsi="Times New Roman"/>
          <w:lang w:val="pt-BR"/>
        </w:rPr>
        <w:t xml:space="preserve"> Além desse, outro produto com notável aumento de seletividade quando comparado aos demais catalisadores é o </w:t>
      </w:r>
      <w:proofErr w:type="spellStart"/>
      <w:r w:rsidR="001004B7">
        <w:rPr>
          <w:rFonts w:ascii="Times New Roman" w:hAnsi="Times New Roman"/>
          <w:lang w:val="pt-BR"/>
        </w:rPr>
        <w:t>BuOH</w:t>
      </w:r>
      <w:proofErr w:type="spellEnd"/>
      <w:r w:rsidR="004B46E3">
        <w:rPr>
          <w:rFonts w:ascii="Times New Roman" w:hAnsi="Times New Roman"/>
          <w:lang w:val="pt-BR"/>
        </w:rPr>
        <w:t>, que alcançou 9,7 % de seletividade</w:t>
      </w:r>
      <w:r w:rsidR="0053538E">
        <w:rPr>
          <w:rFonts w:ascii="Times New Roman" w:hAnsi="Times New Roman"/>
          <w:lang w:val="pt-BR"/>
        </w:rPr>
        <w:t xml:space="preserve"> nesse material</w:t>
      </w:r>
      <w:r w:rsidR="001004B7">
        <w:rPr>
          <w:rFonts w:ascii="Times New Roman" w:hAnsi="Times New Roman"/>
          <w:lang w:val="pt-BR"/>
        </w:rPr>
        <w:t xml:space="preserve">. Apesar </w:t>
      </w:r>
      <w:r w:rsidR="004B46E3">
        <w:rPr>
          <w:rFonts w:ascii="Times New Roman" w:hAnsi="Times New Roman"/>
          <w:lang w:val="pt-BR"/>
        </w:rPr>
        <w:t xml:space="preserve">da significativa seletividade de etileno, 35,1 %, uma redução apreciável é vista na seletividade do outro produto da desidratação do </w:t>
      </w:r>
      <w:proofErr w:type="spellStart"/>
      <w:r w:rsidR="004B46E3">
        <w:rPr>
          <w:rFonts w:ascii="Times New Roman" w:hAnsi="Times New Roman"/>
          <w:lang w:val="pt-BR"/>
        </w:rPr>
        <w:t>EtOH</w:t>
      </w:r>
      <w:proofErr w:type="spellEnd"/>
      <w:r w:rsidR="004B46E3">
        <w:rPr>
          <w:rFonts w:ascii="Times New Roman" w:hAnsi="Times New Roman"/>
          <w:lang w:val="pt-BR"/>
        </w:rPr>
        <w:t>, DEE</w:t>
      </w:r>
      <w:r w:rsidR="00E24306">
        <w:rPr>
          <w:rFonts w:ascii="Times New Roman" w:hAnsi="Times New Roman"/>
          <w:lang w:val="pt-BR"/>
        </w:rPr>
        <w:t>, atingindo seu valor mínimo de 9,8 %</w:t>
      </w:r>
      <w:r w:rsidR="004B46E3">
        <w:rPr>
          <w:rFonts w:ascii="Times New Roman" w:hAnsi="Times New Roman"/>
          <w:lang w:val="pt-BR"/>
        </w:rPr>
        <w:t>.</w:t>
      </w:r>
      <w:r w:rsidR="00E24306">
        <w:rPr>
          <w:rFonts w:ascii="Times New Roman" w:hAnsi="Times New Roman"/>
          <w:lang w:val="pt-BR"/>
        </w:rPr>
        <w:t xml:space="preserve"> </w:t>
      </w:r>
      <w:r w:rsidR="003011F6">
        <w:rPr>
          <w:rFonts w:ascii="Times New Roman" w:hAnsi="Times New Roman"/>
          <w:lang w:val="pt-BR"/>
        </w:rPr>
        <w:t xml:space="preserve">Ao comparar com o catalisador equimolar, é possível notar um aumento na seletividade de BD e, simultaneamente, uma redução na de </w:t>
      </w:r>
      <w:proofErr w:type="spellStart"/>
      <w:r w:rsidR="003011F6">
        <w:rPr>
          <w:rFonts w:ascii="Times New Roman" w:hAnsi="Times New Roman"/>
          <w:lang w:val="pt-BR"/>
        </w:rPr>
        <w:t>AcH</w:t>
      </w:r>
      <w:proofErr w:type="spellEnd"/>
      <w:r w:rsidR="003011F6">
        <w:rPr>
          <w:rFonts w:ascii="Times New Roman" w:hAnsi="Times New Roman"/>
          <w:lang w:val="pt-BR"/>
        </w:rPr>
        <w:t xml:space="preserve">. No mecanismo de reação, após a formação de </w:t>
      </w:r>
      <w:proofErr w:type="spellStart"/>
      <w:r w:rsidR="003011F6">
        <w:rPr>
          <w:rFonts w:ascii="Times New Roman" w:hAnsi="Times New Roman"/>
          <w:lang w:val="pt-BR"/>
        </w:rPr>
        <w:t>AcH</w:t>
      </w:r>
      <w:proofErr w:type="spellEnd"/>
      <w:r w:rsidR="003011F6">
        <w:rPr>
          <w:rFonts w:ascii="Times New Roman" w:hAnsi="Times New Roman"/>
          <w:lang w:val="pt-BR"/>
        </w:rPr>
        <w:t xml:space="preserve"> pela desidrogenação do </w:t>
      </w:r>
      <w:proofErr w:type="spellStart"/>
      <w:r w:rsidR="003011F6">
        <w:rPr>
          <w:rFonts w:ascii="Times New Roman" w:hAnsi="Times New Roman"/>
          <w:lang w:val="pt-BR"/>
        </w:rPr>
        <w:t>EtOH</w:t>
      </w:r>
      <w:proofErr w:type="spellEnd"/>
      <w:r w:rsidR="003011F6">
        <w:rPr>
          <w:rFonts w:ascii="Times New Roman" w:hAnsi="Times New Roman"/>
          <w:lang w:val="pt-BR"/>
        </w:rPr>
        <w:t xml:space="preserve">, ocorre </w:t>
      </w:r>
      <w:r w:rsidR="003011F6" w:rsidRPr="003011F6">
        <w:rPr>
          <w:rFonts w:ascii="Times New Roman" w:hAnsi="Times New Roman"/>
          <w:lang w:val="pt-BR"/>
        </w:rPr>
        <w:t xml:space="preserve">a geração de espécies de </w:t>
      </w:r>
      <w:proofErr w:type="spellStart"/>
      <w:r w:rsidR="003011F6" w:rsidRPr="003011F6">
        <w:rPr>
          <w:rFonts w:ascii="Times New Roman" w:hAnsi="Times New Roman"/>
          <w:lang w:val="pt-BR"/>
        </w:rPr>
        <w:t>carbânions</w:t>
      </w:r>
      <w:proofErr w:type="spellEnd"/>
      <w:r w:rsidR="003011F6">
        <w:rPr>
          <w:rFonts w:ascii="Times New Roman" w:hAnsi="Times New Roman"/>
          <w:lang w:val="pt-BR"/>
        </w:rPr>
        <w:t xml:space="preserve"> </w:t>
      </w:r>
      <w:r w:rsidR="003011F6" w:rsidRPr="003011F6">
        <w:rPr>
          <w:rFonts w:ascii="Times New Roman" w:hAnsi="Times New Roman"/>
          <w:lang w:val="pt-BR"/>
        </w:rPr>
        <w:t xml:space="preserve">em sítios ácidos e básicos adjacentes. Os sítios ácidos adsorvem as moléculas de </w:t>
      </w:r>
      <w:proofErr w:type="spellStart"/>
      <w:r w:rsidR="003011F6">
        <w:rPr>
          <w:rFonts w:ascii="Times New Roman" w:hAnsi="Times New Roman"/>
          <w:lang w:val="pt-BR"/>
        </w:rPr>
        <w:t>AcH</w:t>
      </w:r>
      <w:proofErr w:type="spellEnd"/>
      <w:r w:rsidR="003011F6" w:rsidRPr="003011F6">
        <w:rPr>
          <w:rFonts w:ascii="Times New Roman" w:hAnsi="Times New Roman"/>
          <w:lang w:val="pt-BR"/>
        </w:rPr>
        <w:t xml:space="preserve"> e os sítios básicos abstraem o próton desse aldeído, gerando espécies de </w:t>
      </w:r>
      <w:proofErr w:type="spellStart"/>
      <w:r w:rsidR="003011F6" w:rsidRPr="003011F6">
        <w:rPr>
          <w:rFonts w:ascii="Times New Roman" w:hAnsi="Times New Roman"/>
          <w:lang w:val="pt-BR"/>
        </w:rPr>
        <w:t>carbânion</w:t>
      </w:r>
      <w:proofErr w:type="spellEnd"/>
      <w:r w:rsidR="003011F6" w:rsidRPr="003011F6">
        <w:rPr>
          <w:rFonts w:ascii="Times New Roman" w:hAnsi="Times New Roman"/>
          <w:lang w:val="pt-BR"/>
        </w:rPr>
        <w:t xml:space="preserve">. </w:t>
      </w:r>
      <w:r w:rsidR="003011F6">
        <w:rPr>
          <w:rFonts w:ascii="Times New Roman" w:hAnsi="Times New Roman"/>
          <w:lang w:val="pt-BR"/>
        </w:rPr>
        <w:t xml:space="preserve">Em seguida, </w:t>
      </w:r>
      <w:r w:rsidR="003011F6">
        <w:rPr>
          <w:rFonts w:ascii="Times New Roman" w:hAnsi="Times New Roman"/>
          <w:lang w:val="pt-BR"/>
        </w:rPr>
        <w:lastRenderedPageBreak/>
        <w:t>ocorre</w:t>
      </w:r>
      <w:r w:rsidR="003011F6" w:rsidRPr="003011F6">
        <w:rPr>
          <w:rFonts w:ascii="Times New Roman" w:hAnsi="Times New Roman"/>
          <w:lang w:val="pt-BR"/>
        </w:rPr>
        <w:t xml:space="preserve"> o ataque </w:t>
      </w:r>
      <w:proofErr w:type="spellStart"/>
      <w:r w:rsidR="003011F6" w:rsidRPr="003011F6">
        <w:rPr>
          <w:rFonts w:ascii="Times New Roman" w:hAnsi="Times New Roman"/>
          <w:lang w:val="pt-BR"/>
        </w:rPr>
        <w:t>nucleofílico</w:t>
      </w:r>
      <w:proofErr w:type="spellEnd"/>
      <w:r w:rsidR="003011F6" w:rsidRPr="003011F6">
        <w:rPr>
          <w:rFonts w:ascii="Times New Roman" w:hAnsi="Times New Roman"/>
          <w:lang w:val="pt-BR"/>
        </w:rPr>
        <w:t xml:space="preserve"> da espécie </w:t>
      </w:r>
      <w:proofErr w:type="spellStart"/>
      <w:r w:rsidR="003011F6" w:rsidRPr="003011F6">
        <w:rPr>
          <w:rFonts w:ascii="Times New Roman" w:hAnsi="Times New Roman"/>
          <w:lang w:val="pt-BR"/>
        </w:rPr>
        <w:t>carbânion</w:t>
      </w:r>
      <w:proofErr w:type="spellEnd"/>
      <w:r w:rsidR="003011F6" w:rsidRPr="003011F6">
        <w:rPr>
          <w:rFonts w:ascii="Times New Roman" w:hAnsi="Times New Roman"/>
          <w:lang w:val="pt-BR"/>
        </w:rPr>
        <w:t xml:space="preserve"> em direção ao </w:t>
      </w:r>
      <w:proofErr w:type="spellStart"/>
      <w:r w:rsidR="003011F6">
        <w:rPr>
          <w:rFonts w:ascii="Times New Roman" w:hAnsi="Times New Roman"/>
          <w:lang w:val="pt-BR"/>
        </w:rPr>
        <w:t>AcH</w:t>
      </w:r>
      <w:proofErr w:type="spellEnd"/>
      <w:r w:rsidR="003011F6" w:rsidRPr="003011F6">
        <w:rPr>
          <w:rFonts w:ascii="Times New Roman" w:hAnsi="Times New Roman"/>
          <w:lang w:val="pt-BR"/>
        </w:rPr>
        <w:t xml:space="preserve"> adsorvido, gerando assim o </w:t>
      </w:r>
      <w:proofErr w:type="spellStart"/>
      <w:r w:rsidR="003011F6" w:rsidRPr="003011F6">
        <w:rPr>
          <w:rFonts w:ascii="Times New Roman" w:hAnsi="Times New Roman"/>
          <w:lang w:val="pt-BR"/>
        </w:rPr>
        <w:t>acetaldol</w:t>
      </w:r>
      <w:proofErr w:type="spellEnd"/>
      <w:r w:rsidR="003011F6" w:rsidRPr="003011F6">
        <w:rPr>
          <w:rFonts w:ascii="Times New Roman" w:hAnsi="Times New Roman"/>
          <w:lang w:val="pt-BR"/>
        </w:rPr>
        <w:t xml:space="preserve">. </w:t>
      </w:r>
      <w:r w:rsidR="003011F6">
        <w:rPr>
          <w:rFonts w:ascii="Times New Roman" w:hAnsi="Times New Roman"/>
          <w:lang w:val="pt-BR"/>
        </w:rPr>
        <w:t>Essas etapas</w:t>
      </w:r>
      <w:r w:rsidR="003011F6" w:rsidRPr="003011F6">
        <w:rPr>
          <w:rFonts w:ascii="Times New Roman" w:hAnsi="Times New Roman"/>
          <w:lang w:val="pt-BR"/>
        </w:rPr>
        <w:t xml:space="preserve"> são </w:t>
      </w:r>
      <w:r w:rsidR="003011F6">
        <w:rPr>
          <w:rFonts w:ascii="Times New Roman" w:hAnsi="Times New Roman"/>
          <w:lang w:val="pt-BR"/>
        </w:rPr>
        <w:t xml:space="preserve">consideradas por muitos autores como </w:t>
      </w:r>
      <w:r w:rsidR="003011F6" w:rsidRPr="003011F6">
        <w:rPr>
          <w:rFonts w:ascii="Times New Roman" w:hAnsi="Times New Roman"/>
          <w:lang w:val="pt-BR"/>
        </w:rPr>
        <w:t>as mais lentas</w:t>
      </w:r>
      <w:r w:rsidR="003011F6">
        <w:rPr>
          <w:rFonts w:ascii="Times New Roman" w:hAnsi="Times New Roman"/>
          <w:lang w:val="pt-BR"/>
        </w:rPr>
        <w:t xml:space="preserve"> da reação (37)</w:t>
      </w:r>
      <w:r w:rsidR="003011F6" w:rsidRPr="003011F6">
        <w:rPr>
          <w:rFonts w:ascii="Times New Roman" w:hAnsi="Times New Roman"/>
          <w:lang w:val="pt-BR"/>
        </w:rPr>
        <w:t>.</w:t>
      </w:r>
      <w:r w:rsidR="00D901AB">
        <w:rPr>
          <w:rFonts w:ascii="Times New Roman" w:hAnsi="Times New Roman"/>
          <w:lang w:val="pt-BR"/>
        </w:rPr>
        <w:t xml:space="preserve"> Assim, supõe-se que o teor majoritário de Mg pode ter proporcionado a geração desses tipos de sítios.</w:t>
      </w:r>
    </w:p>
    <w:p w14:paraId="20AA905D" w14:textId="09EB3D13" w:rsidR="00EA4E1B" w:rsidRPr="009F0AD9" w:rsidRDefault="00EA4E1B" w:rsidP="00EA4E1B">
      <w:pPr>
        <w:pStyle w:val="Ttulo2"/>
        <w:rPr>
          <w:rFonts w:ascii="Helvetica" w:hAnsi="Helvetica" w:cs="Helvetica"/>
          <w:sz w:val="24"/>
          <w:szCs w:val="24"/>
        </w:rPr>
      </w:pPr>
      <w:r w:rsidRPr="009F0AD9">
        <w:rPr>
          <w:rFonts w:ascii="Helvetica" w:hAnsi="Helvetica" w:cs="Helvetica"/>
          <w:sz w:val="24"/>
          <w:szCs w:val="24"/>
        </w:rPr>
        <w:t>Conclusões</w:t>
      </w:r>
    </w:p>
    <w:p w14:paraId="4A70FE93" w14:textId="7C13D68F" w:rsidR="00EA4E1B" w:rsidRPr="00D901AB" w:rsidRDefault="00D901AB" w:rsidP="00EA4E1B">
      <w:pPr>
        <w:pStyle w:val="TAMainText"/>
        <w:ind w:firstLine="187"/>
        <w:rPr>
          <w:rFonts w:ascii="Times New Roman" w:hAnsi="Times New Roman"/>
          <w:lang w:val="pt-BR"/>
        </w:rPr>
      </w:pPr>
      <w:r>
        <w:rPr>
          <w:rFonts w:ascii="Times New Roman" w:hAnsi="Times New Roman"/>
          <w:lang w:val="pt-BR"/>
        </w:rPr>
        <w:t xml:space="preserve">O </w:t>
      </w:r>
      <w:r w:rsidR="00F133F3">
        <w:rPr>
          <w:rFonts w:ascii="Times New Roman" w:hAnsi="Times New Roman"/>
          <w:lang w:val="pt-BR"/>
        </w:rPr>
        <w:t>catalisador à base</w:t>
      </w:r>
      <w:r>
        <w:rPr>
          <w:rFonts w:ascii="Times New Roman" w:hAnsi="Times New Roman"/>
          <w:lang w:val="pt-BR"/>
        </w:rPr>
        <w:t xml:space="preserve"> de óxidos duplos Mg–Al e SiO</w:t>
      </w:r>
      <w:r>
        <w:rPr>
          <w:rFonts w:ascii="Times New Roman" w:hAnsi="Times New Roman"/>
          <w:vertAlign w:val="subscript"/>
          <w:lang w:val="pt-BR"/>
        </w:rPr>
        <w:t>2</w:t>
      </w:r>
      <w:r>
        <w:rPr>
          <w:rFonts w:ascii="Times New Roman" w:hAnsi="Times New Roman"/>
          <w:lang w:val="pt-BR"/>
        </w:rPr>
        <w:t xml:space="preserve"> produzido por </w:t>
      </w:r>
      <w:proofErr w:type="spellStart"/>
      <w:r>
        <w:rPr>
          <w:rFonts w:ascii="Times New Roman" w:hAnsi="Times New Roman"/>
          <w:lang w:val="pt-BR"/>
        </w:rPr>
        <w:t>coprecipitação</w:t>
      </w:r>
      <w:proofErr w:type="spellEnd"/>
      <w:r>
        <w:rPr>
          <w:rFonts w:ascii="Times New Roman" w:hAnsi="Times New Roman"/>
          <w:lang w:val="pt-BR"/>
        </w:rPr>
        <w:t xml:space="preserve"> </w:t>
      </w:r>
      <w:r w:rsidR="00CE5FE9">
        <w:rPr>
          <w:rFonts w:ascii="Times New Roman" w:hAnsi="Times New Roman"/>
          <w:lang w:val="pt-BR"/>
        </w:rPr>
        <w:t>mostrou-se ativo para</w:t>
      </w:r>
      <w:r w:rsidR="000C09A3">
        <w:rPr>
          <w:rFonts w:ascii="Times New Roman" w:hAnsi="Times New Roman"/>
          <w:lang w:val="pt-BR"/>
        </w:rPr>
        <w:t xml:space="preserve"> a conversão de </w:t>
      </w:r>
      <w:proofErr w:type="spellStart"/>
      <w:r w:rsidR="000C09A3">
        <w:rPr>
          <w:rFonts w:ascii="Times New Roman" w:hAnsi="Times New Roman"/>
          <w:lang w:val="pt-BR"/>
        </w:rPr>
        <w:t>EtOH</w:t>
      </w:r>
      <w:proofErr w:type="spellEnd"/>
      <w:r w:rsidR="000C09A3">
        <w:rPr>
          <w:rFonts w:ascii="Times New Roman" w:hAnsi="Times New Roman"/>
          <w:lang w:val="pt-BR"/>
        </w:rPr>
        <w:t xml:space="preserve"> a produtos de maior valor agregado.</w:t>
      </w:r>
      <w:r w:rsidR="009F0AD9">
        <w:rPr>
          <w:rFonts w:ascii="Times New Roman" w:hAnsi="Times New Roman"/>
          <w:lang w:val="pt-BR"/>
        </w:rPr>
        <w:t xml:space="preserve"> Verificou-se que alterações na razão molar </w:t>
      </w:r>
      <w:proofErr w:type="spellStart"/>
      <w:r w:rsidR="009F0AD9">
        <w:rPr>
          <w:rFonts w:ascii="Times New Roman" w:hAnsi="Times New Roman"/>
          <w:lang w:val="pt-BR"/>
        </w:rPr>
        <w:t>Mg:Al:Si</w:t>
      </w:r>
      <w:proofErr w:type="spellEnd"/>
      <w:r w:rsidR="009F0AD9">
        <w:rPr>
          <w:rFonts w:ascii="Times New Roman" w:hAnsi="Times New Roman"/>
          <w:lang w:val="pt-BR"/>
        </w:rPr>
        <w:t xml:space="preserve"> levam</w:t>
      </w:r>
      <w:r w:rsidR="00F133F3">
        <w:rPr>
          <w:rFonts w:ascii="Times New Roman" w:hAnsi="Times New Roman"/>
          <w:lang w:val="pt-BR"/>
        </w:rPr>
        <w:t xml:space="preserve"> a</w:t>
      </w:r>
      <w:r w:rsidR="000C09A3">
        <w:rPr>
          <w:rFonts w:ascii="Times New Roman" w:hAnsi="Times New Roman"/>
          <w:lang w:val="pt-BR"/>
        </w:rPr>
        <w:t xml:space="preserve"> </w:t>
      </w:r>
      <w:r w:rsidR="009F0AD9">
        <w:rPr>
          <w:rFonts w:ascii="Times New Roman" w:hAnsi="Times New Roman"/>
          <w:lang w:val="pt-BR"/>
        </w:rPr>
        <w:t xml:space="preserve">diferentes comportamentos quanto </w:t>
      </w:r>
      <w:r w:rsidR="00F133F3">
        <w:rPr>
          <w:rFonts w:ascii="Times New Roman" w:hAnsi="Times New Roman"/>
          <w:lang w:val="pt-BR"/>
        </w:rPr>
        <w:t>à</w:t>
      </w:r>
      <w:r w:rsidR="009F0AD9">
        <w:rPr>
          <w:rFonts w:ascii="Times New Roman" w:hAnsi="Times New Roman"/>
          <w:lang w:val="pt-BR"/>
        </w:rPr>
        <w:t xml:space="preserve"> conversão de </w:t>
      </w:r>
      <w:proofErr w:type="spellStart"/>
      <w:r w:rsidR="009F0AD9">
        <w:rPr>
          <w:rFonts w:ascii="Times New Roman" w:hAnsi="Times New Roman"/>
          <w:lang w:val="pt-BR"/>
        </w:rPr>
        <w:t>EtOH</w:t>
      </w:r>
      <w:proofErr w:type="spellEnd"/>
      <w:r w:rsidR="009F0AD9">
        <w:rPr>
          <w:rFonts w:ascii="Times New Roman" w:hAnsi="Times New Roman"/>
          <w:lang w:val="pt-BR"/>
        </w:rPr>
        <w:t xml:space="preserve"> e seletividade </w:t>
      </w:r>
      <w:r w:rsidR="00F133F3">
        <w:rPr>
          <w:rFonts w:ascii="Times New Roman" w:hAnsi="Times New Roman"/>
          <w:lang w:val="pt-BR"/>
        </w:rPr>
        <w:t>a</w:t>
      </w:r>
      <w:r w:rsidR="009F0AD9">
        <w:rPr>
          <w:rFonts w:ascii="Times New Roman" w:hAnsi="Times New Roman"/>
          <w:lang w:val="pt-BR"/>
        </w:rPr>
        <w:t xml:space="preserve"> produtos. </w:t>
      </w:r>
      <w:r w:rsidR="000C09A3">
        <w:rPr>
          <w:rFonts w:ascii="Times New Roman" w:hAnsi="Times New Roman"/>
          <w:lang w:val="pt-BR"/>
        </w:rPr>
        <w:t>O melhor desempenho com relação a seletividade a BD foi apresentado por aquele</w:t>
      </w:r>
      <w:r w:rsidR="00CE5FE9">
        <w:rPr>
          <w:rFonts w:ascii="Times New Roman" w:hAnsi="Times New Roman"/>
          <w:lang w:val="pt-BR"/>
        </w:rPr>
        <w:t xml:space="preserve"> catalisador</w:t>
      </w:r>
      <w:r w:rsidR="000C09A3">
        <w:rPr>
          <w:rFonts w:ascii="Times New Roman" w:hAnsi="Times New Roman"/>
          <w:lang w:val="pt-BR"/>
        </w:rPr>
        <w:t xml:space="preserve"> com maior teor de Mg (</w:t>
      </w:r>
      <w:proofErr w:type="spellStart"/>
      <w:r w:rsidR="00C42AEA" w:rsidRPr="00C42AEA">
        <w:rPr>
          <w:rFonts w:ascii="Times New Roman" w:hAnsi="Times New Roman"/>
          <w:lang w:val="pt-BR"/>
        </w:rPr>
        <w:t>Mg:Al:</w:t>
      </w:r>
      <w:proofErr w:type="gramStart"/>
      <w:r w:rsidR="00C42AEA" w:rsidRPr="00C42AEA">
        <w:rPr>
          <w:rFonts w:ascii="Times New Roman" w:hAnsi="Times New Roman"/>
          <w:lang w:val="pt-BR"/>
        </w:rPr>
        <w:t>Si</w:t>
      </w:r>
      <w:proofErr w:type="spellEnd"/>
      <w:r w:rsidR="00C42AEA" w:rsidRPr="00C42AEA">
        <w:rPr>
          <w:rFonts w:ascii="Times New Roman" w:hAnsi="Times New Roman"/>
          <w:lang w:val="pt-BR"/>
        </w:rPr>
        <w:t>::</w:t>
      </w:r>
      <w:proofErr w:type="gramEnd"/>
      <w:r w:rsidR="00C42AEA" w:rsidRPr="00C42AEA">
        <w:rPr>
          <w:rFonts w:ascii="Times New Roman" w:hAnsi="Times New Roman"/>
          <w:lang w:val="pt-BR"/>
        </w:rPr>
        <w:t xml:space="preserve"> </w:t>
      </w:r>
      <w:r w:rsidR="000C09A3">
        <w:rPr>
          <w:rFonts w:ascii="Times New Roman" w:hAnsi="Times New Roman"/>
          <w:lang w:val="pt-BR"/>
        </w:rPr>
        <w:t>3:1:1)</w:t>
      </w:r>
      <w:r w:rsidR="009F0AD9">
        <w:rPr>
          <w:rFonts w:ascii="Times New Roman" w:hAnsi="Times New Roman"/>
          <w:lang w:val="pt-BR"/>
        </w:rPr>
        <w:t>. Supõe-se que essa configuração tenha propiciado</w:t>
      </w:r>
      <w:r w:rsidR="00CE5FE9">
        <w:rPr>
          <w:rFonts w:ascii="Times New Roman" w:hAnsi="Times New Roman"/>
          <w:lang w:val="pt-BR"/>
        </w:rPr>
        <w:t xml:space="preserve"> a formação de arranjo de sítios ativos adequado para condensação </w:t>
      </w:r>
      <w:proofErr w:type="spellStart"/>
      <w:r w:rsidR="00CE5FE9">
        <w:rPr>
          <w:rFonts w:ascii="Times New Roman" w:hAnsi="Times New Roman"/>
          <w:lang w:val="pt-BR"/>
        </w:rPr>
        <w:t>aldólica</w:t>
      </w:r>
      <w:proofErr w:type="spellEnd"/>
      <w:r w:rsidR="00CE5FE9">
        <w:rPr>
          <w:rFonts w:ascii="Times New Roman" w:hAnsi="Times New Roman"/>
          <w:lang w:val="pt-BR"/>
        </w:rPr>
        <w:t xml:space="preserve"> do </w:t>
      </w:r>
      <w:proofErr w:type="spellStart"/>
      <w:r w:rsidR="00CE5FE9">
        <w:rPr>
          <w:rFonts w:ascii="Times New Roman" w:hAnsi="Times New Roman"/>
          <w:lang w:val="pt-BR"/>
        </w:rPr>
        <w:t>AcH</w:t>
      </w:r>
      <w:proofErr w:type="spellEnd"/>
      <w:r w:rsidR="00CE5FE9">
        <w:rPr>
          <w:rFonts w:ascii="Times New Roman" w:hAnsi="Times New Roman"/>
          <w:lang w:val="pt-BR"/>
        </w:rPr>
        <w:t xml:space="preserve"> produzido da desidrogenação inicial do </w:t>
      </w:r>
      <w:proofErr w:type="spellStart"/>
      <w:r w:rsidR="00CE5FE9">
        <w:rPr>
          <w:rFonts w:ascii="Times New Roman" w:hAnsi="Times New Roman"/>
          <w:lang w:val="pt-BR"/>
        </w:rPr>
        <w:t>EtOH</w:t>
      </w:r>
      <w:proofErr w:type="spellEnd"/>
      <w:r w:rsidR="00CE5FE9">
        <w:rPr>
          <w:rFonts w:ascii="Times New Roman" w:hAnsi="Times New Roman"/>
          <w:lang w:val="pt-BR"/>
        </w:rPr>
        <w:t>.</w:t>
      </w:r>
    </w:p>
    <w:p w14:paraId="6BE32F7B" w14:textId="4F456A38" w:rsidR="00EA4E1B" w:rsidRPr="009A18EB" w:rsidRDefault="00EA4E1B" w:rsidP="00EA4E1B">
      <w:pPr>
        <w:pStyle w:val="Ttulo2"/>
        <w:rPr>
          <w:rFonts w:ascii="Helvetica" w:hAnsi="Helvetica" w:cs="Helvetica"/>
          <w:sz w:val="24"/>
          <w:szCs w:val="24"/>
        </w:rPr>
      </w:pPr>
      <w:r w:rsidRPr="009A18EB">
        <w:rPr>
          <w:rFonts w:ascii="Helvetica" w:hAnsi="Helvetica" w:cs="Helvetica"/>
          <w:sz w:val="24"/>
          <w:szCs w:val="24"/>
        </w:rPr>
        <w:t>Agradecimentos</w:t>
      </w:r>
    </w:p>
    <w:p w14:paraId="05A178F9" w14:textId="1D9E8ECF" w:rsidR="00EA4E1B" w:rsidRPr="009A18EB" w:rsidRDefault="009A18EB" w:rsidP="00EA4E1B">
      <w:pPr>
        <w:pStyle w:val="TAMainText"/>
        <w:rPr>
          <w:rFonts w:ascii="Times New Roman" w:hAnsi="Times New Roman"/>
          <w:lang w:val="pt-BR"/>
        </w:rPr>
      </w:pPr>
      <w:r w:rsidRPr="009A18EB">
        <w:rPr>
          <w:rFonts w:ascii="Times New Roman" w:hAnsi="Times New Roman"/>
          <w:lang w:val="pt-BR"/>
        </w:rPr>
        <w:t>Esse trabalho foi apoiado e financiado pela CAPES (Coordenação de Aperfeiçoamento de Pessoal de Nível Superior).</w:t>
      </w:r>
    </w:p>
    <w:p w14:paraId="1EAAA287" w14:textId="77777777" w:rsidR="00EA4E1B" w:rsidRPr="004F06EC" w:rsidRDefault="00EA4E1B" w:rsidP="00EA4E1B">
      <w:pPr>
        <w:pStyle w:val="Ttulo2"/>
        <w:rPr>
          <w:rFonts w:ascii="Helvetica" w:hAnsi="Helvetica" w:cs="Helvetica"/>
          <w:sz w:val="24"/>
          <w:szCs w:val="24"/>
        </w:rPr>
      </w:pPr>
      <w:r w:rsidRPr="004F06EC">
        <w:rPr>
          <w:rFonts w:ascii="Helvetica" w:hAnsi="Helvetica" w:cs="Helvetica"/>
          <w:sz w:val="24"/>
          <w:szCs w:val="24"/>
        </w:rPr>
        <w:t>Referências</w:t>
      </w:r>
    </w:p>
    <w:p w14:paraId="10E21A38" w14:textId="5769582C" w:rsidR="001D22AF" w:rsidRDefault="001D22AF" w:rsidP="00481BD2">
      <w:pPr>
        <w:pStyle w:val="TAMainText"/>
        <w:numPr>
          <w:ilvl w:val="0"/>
          <w:numId w:val="1"/>
        </w:numPr>
      </w:pPr>
      <w:r w:rsidRPr="001D22AF">
        <w:t xml:space="preserve">S.M.A.H. </w:t>
      </w:r>
      <w:proofErr w:type="spellStart"/>
      <w:r w:rsidRPr="001D22AF">
        <w:t>Siddiki</w:t>
      </w:r>
      <w:proofErr w:type="spellEnd"/>
      <w:r>
        <w:t xml:space="preserve">; </w:t>
      </w:r>
      <w:r w:rsidRPr="001D22AF">
        <w:t>A.S. Touch</w:t>
      </w:r>
      <w:r>
        <w:t xml:space="preserve">, </w:t>
      </w:r>
      <w:r w:rsidRPr="001D22AF">
        <w:rPr>
          <w:i/>
          <w:iCs/>
        </w:rPr>
        <w:t>Advanced Functional Solid Catalysts for Biomass Valorization</w:t>
      </w:r>
      <w:r w:rsidRPr="001D22AF">
        <w:t>, Elsevier</w:t>
      </w:r>
      <w:r>
        <w:t xml:space="preserve">, </w:t>
      </w:r>
      <w:r w:rsidRPr="001D22AF">
        <w:rPr>
          <w:b/>
          <w:bCs/>
        </w:rPr>
        <w:t>2020</w:t>
      </w:r>
      <w:r w:rsidRPr="001D22AF">
        <w:t>, pp. 225-250</w:t>
      </w:r>
      <w:r>
        <w:t>.</w:t>
      </w:r>
    </w:p>
    <w:p w14:paraId="6F97101C" w14:textId="369AEDC0" w:rsidR="001D22AF" w:rsidRDefault="001D22AF" w:rsidP="00481BD2">
      <w:pPr>
        <w:pStyle w:val="TAMainText"/>
        <w:numPr>
          <w:ilvl w:val="0"/>
          <w:numId w:val="1"/>
        </w:numPr>
      </w:pPr>
      <w:r w:rsidRPr="001D22AF">
        <w:t xml:space="preserve">Xiu, S.; </w:t>
      </w:r>
      <w:proofErr w:type="spellStart"/>
      <w:r w:rsidRPr="001D22AF">
        <w:t>Shahbazi</w:t>
      </w:r>
      <w:proofErr w:type="spellEnd"/>
      <w:r w:rsidRPr="001D22AF">
        <w:t xml:space="preserve">, A. </w:t>
      </w:r>
      <w:r w:rsidRPr="001D22AF">
        <w:rPr>
          <w:i/>
          <w:iCs/>
        </w:rPr>
        <w:t>Renewable Sustainable Energy Rev.</w:t>
      </w:r>
      <w:r w:rsidRPr="001D22AF">
        <w:t xml:space="preserve"> </w:t>
      </w:r>
      <w:r w:rsidRPr="001D22AF">
        <w:rPr>
          <w:b/>
          <w:bCs/>
        </w:rPr>
        <w:t>2012</w:t>
      </w:r>
      <w:r w:rsidRPr="001D22AF">
        <w:t>, 16, 4406−4414</w:t>
      </w:r>
      <w:r>
        <w:t>.</w:t>
      </w:r>
    </w:p>
    <w:p w14:paraId="2740173D" w14:textId="2C06611D" w:rsidR="001D22AF" w:rsidRPr="00C24831" w:rsidRDefault="009F2245" w:rsidP="00481BD2">
      <w:pPr>
        <w:pStyle w:val="TAMainText"/>
        <w:numPr>
          <w:ilvl w:val="0"/>
          <w:numId w:val="1"/>
        </w:numPr>
      </w:pPr>
      <w:r>
        <w:t>Q</w:t>
      </w:r>
      <w:r w:rsidRPr="009F2245">
        <w:t>. Zhang, W. Liu, B. Chen, S. </w:t>
      </w:r>
      <w:proofErr w:type="spellStart"/>
      <w:r w:rsidRPr="009F2245">
        <w:t>Qiu</w:t>
      </w:r>
      <w:proofErr w:type="spellEnd"/>
      <w:r>
        <w:t>,</w:t>
      </w:r>
      <w:r w:rsidRPr="009F2245">
        <w:t> T. Wang</w:t>
      </w:r>
      <w:r>
        <w:t xml:space="preserve">. </w:t>
      </w:r>
      <w:r w:rsidRPr="009F2245">
        <w:rPr>
          <w:i/>
          <w:iCs/>
          <w:lang w:val="pt-BR"/>
        </w:rPr>
        <w:t xml:space="preserve">Energy </w:t>
      </w:r>
      <w:proofErr w:type="spellStart"/>
      <w:r w:rsidRPr="009F2245">
        <w:rPr>
          <w:i/>
          <w:iCs/>
          <w:lang w:val="pt-BR"/>
        </w:rPr>
        <w:t>Convers</w:t>
      </w:r>
      <w:proofErr w:type="spellEnd"/>
      <w:r w:rsidRPr="009F2245">
        <w:rPr>
          <w:i/>
          <w:iCs/>
          <w:lang w:val="pt-BR"/>
        </w:rPr>
        <w:t xml:space="preserve">. </w:t>
      </w:r>
      <w:proofErr w:type="spellStart"/>
      <w:r w:rsidRPr="009F2245">
        <w:rPr>
          <w:i/>
          <w:iCs/>
          <w:lang w:val="pt-BR"/>
        </w:rPr>
        <w:t>Manag</w:t>
      </w:r>
      <w:proofErr w:type="spellEnd"/>
      <w:r w:rsidRPr="009F2245">
        <w:rPr>
          <w:i/>
          <w:iCs/>
          <w:lang w:val="pt-BR"/>
        </w:rPr>
        <w:t>.</w:t>
      </w:r>
      <w:r w:rsidRPr="009F2245">
        <w:rPr>
          <w:lang w:val="pt-BR"/>
        </w:rPr>
        <w:t>, </w:t>
      </w:r>
      <w:r w:rsidRPr="009F2245">
        <w:rPr>
          <w:b/>
          <w:bCs/>
          <w:lang w:val="pt-BR"/>
        </w:rPr>
        <w:t>2020</w:t>
      </w:r>
      <w:r w:rsidRPr="009F2245">
        <w:rPr>
          <w:lang w:val="pt-BR"/>
        </w:rPr>
        <w:t>,</w:t>
      </w:r>
      <w:r>
        <w:rPr>
          <w:lang w:val="pt-BR"/>
        </w:rPr>
        <w:t xml:space="preserve"> 216, </w:t>
      </w:r>
      <w:r w:rsidRPr="009F2245">
        <w:rPr>
          <w:lang w:val="pt-BR"/>
        </w:rPr>
        <w:t>112914</w:t>
      </w:r>
      <w:r>
        <w:rPr>
          <w:lang w:val="pt-BR"/>
        </w:rPr>
        <w:t>.</w:t>
      </w:r>
    </w:p>
    <w:p w14:paraId="6594A0F6" w14:textId="42D20A4D" w:rsidR="00C24831" w:rsidRDefault="00C24831" w:rsidP="00481BD2">
      <w:pPr>
        <w:pStyle w:val="TAMainText"/>
        <w:numPr>
          <w:ilvl w:val="0"/>
          <w:numId w:val="1"/>
        </w:numPr>
      </w:pPr>
      <w:r w:rsidRPr="00C24831">
        <w:rPr>
          <w:lang w:val="pt-BR"/>
        </w:rPr>
        <w:t>B. </w:t>
      </w:r>
      <w:r>
        <w:rPr>
          <w:lang w:val="pt-BR"/>
        </w:rPr>
        <w:t>R.</w:t>
      </w:r>
      <w:r w:rsidRPr="00C24831">
        <w:rPr>
          <w:lang w:val="pt-BR"/>
        </w:rPr>
        <w:t xml:space="preserve"> Kumar</w:t>
      </w:r>
      <w:r>
        <w:rPr>
          <w:lang w:val="pt-BR"/>
        </w:rPr>
        <w:t>,</w:t>
      </w:r>
      <w:r w:rsidRPr="00C24831">
        <w:rPr>
          <w:lang w:val="pt-BR"/>
        </w:rPr>
        <w:t xml:space="preserve"> S. </w:t>
      </w:r>
      <w:proofErr w:type="spellStart"/>
      <w:r w:rsidRPr="00C24831">
        <w:rPr>
          <w:lang w:val="pt-BR"/>
        </w:rPr>
        <w:t>Saravanan</w:t>
      </w:r>
      <w:proofErr w:type="spellEnd"/>
      <w:r>
        <w:rPr>
          <w:lang w:val="pt-BR"/>
        </w:rPr>
        <w:t>.</w:t>
      </w:r>
      <w:r w:rsidRPr="00C24831">
        <w:rPr>
          <w:rFonts w:ascii="Arial" w:eastAsiaTheme="minorEastAsia" w:hAnsi="Arial" w:cs="Arial"/>
          <w:color w:val="505050"/>
          <w:sz w:val="21"/>
          <w:szCs w:val="21"/>
          <w:shd w:val="clear" w:color="auto" w:fill="FFFFFF"/>
          <w:lang w:val="pt-BR" w:eastAsia="en-US"/>
        </w:rPr>
        <w:t xml:space="preserve"> </w:t>
      </w:r>
      <w:r w:rsidRPr="00C24831">
        <w:rPr>
          <w:i/>
          <w:iCs/>
        </w:rPr>
        <w:t>Renew. Sustain. Energy Rev.</w:t>
      </w:r>
      <w:r w:rsidRPr="00C24831">
        <w:t>, </w:t>
      </w:r>
      <w:r w:rsidRPr="00C24831">
        <w:rPr>
          <w:b/>
          <w:bCs/>
          <w:lang w:val="pt-BR"/>
        </w:rPr>
        <w:t>2016</w:t>
      </w:r>
      <w:r>
        <w:rPr>
          <w:lang w:val="pt-BR"/>
        </w:rPr>
        <w:t xml:space="preserve">, </w:t>
      </w:r>
      <w:r w:rsidRPr="00C24831">
        <w:t>60</w:t>
      </w:r>
      <w:r>
        <w:t>,</w:t>
      </w:r>
      <w:r w:rsidRPr="00C24831">
        <w:t xml:space="preserve"> 84-115</w:t>
      </w:r>
      <w:r>
        <w:t>.</w:t>
      </w:r>
    </w:p>
    <w:p w14:paraId="1902DC3E" w14:textId="1640D6D9" w:rsidR="00364F52" w:rsidRPr="00746580" w:rsidRDefault="00BB2B7F" w:rsidP="00481BD2">
      <w:pPr>
        <w:pStyle w:val="TAMainText"/>
        <w:numPr>
          <w:ilvl w:val="0"/>
          <w:numId w:val="1"/>
        </w:numPr>
      </w:pPr>
      <w:r w:rsidRPr="00BB2B7F">
        <w:t>H. Wei, W. Liu, X. Chen, Q. Yang, J. Li, H. Chen</w:t>
      </w:r>
      <w:r>
        <w:t xml:space="preserve">. </w:t>
      </w:r>
      <w:proofErr w:type="spellStart"/>
      <w:r w:rsidRPr="00BB2B7F">
        <w:rPr>
          <w:i/>
          <w:iCs/>
          <w:lang w:val="pt-BR"/>
        </w:rPr>
        <w:t>Fuel</w:t>
      </w:r>
      <w:proofErr w:type="spellEnd"/>
      <w:r>
        <w:rPr>
          <w:lang w:val="pt-BR"/>
        </w:rPr>
        <w:t xml:space="preserve">, </w:t>
      </w:r>
      <w:r>
        <w:rPr>
          <w:b/>
          <w:bCs/>
          <w:lang w:val="pt-BR"/>
        </w:rPr>
        <w:t>2019</w:t>
      </w:r>
      <w:r>
        <w:rPr>
          <w:lang w:val="pt-BR"/>
        </w:rPr>
        <w:t>, 254.</w:t>
      </w:r>
    </w:p>
    <w:p w14:paraId="5C88F2E4" w14:textId="6CAD579E" w:rsidR="00746580" w:rsidRPr="00746580" w:rsidRDefault="00746580" w:rsidP="00481BD2">
      <w:pPr>
        <w:pStyle w:val="TAMainText"/>
        <w:numPr>
          <w:ilvl w:val="0"/>
          <w:numId w:val="1"/>
        </w:numPr>
      </w:pPr>
      <w:r>
        <w:t>A.</w:t>
      </w:r>
      <w:r w:rsidRPr="00746580">
        <w:t>M. Petersen, </w:t>
      </w:r>
      <w:r>
        <w:t>F.</w:t>
      </w:r>
      <w:r w:rsidRPr="00746580">
        <w:t> </w:t>
      </w:r>
      <w:proofErr w:type="spellStart"/>
      <w:r w:rsidRPr="00746580">
        <w:t>Chireshe</w:t>
      </w:r>
      <w:proofErr w:type="spellEnd"/>
      <w:r w:rsidRPr="00746580">
        <w:t>, </w:t>
      </w:r>
      <w:r>
        <w:t>O.</w:t>
      </w:r>
      <w:r w:rsidRPr="00746580">
        <w:t> Okoro, </w:t>
      </w:r>
      <w:r>
        <w:t>J.</w:t>
      </w:r>
      <w:r w:rsidRPr="00746580">
        <w:t> </w:t>
      </w:r>
      <w:proofErr w:type="spellStart"/>
      <w:r w:rsidRPr="00746580">
        <w:t>Gorgens</w:t>
      </w:r>
      <w:proofErr w:type="spellEnd"/>
      <w:r w:rsidRPr="00746580">
        <w:t>, </w:t>
      </w:r>
      <w:r>
        <w:t>J.</w:t>
      </w:r>
      <w:r w:rsidRPr="00746580">
        <w:t> Van Dyk</w:t>
      </w:r>
      <w:r>
        <w:t xml:space="preserve">. </w:t>
      </w:r>
      <w:r w:rsidRPr="00746580">
        <w:rPr>
          <w:i/>
          <w:iCs/>
        </w:rPr>
        <w:t>Fuel Processing Technology</w:t>
      </w:r>
      <w:r>
        <w:t xml:space="preserve">, </w:t>
      </w:r>
      <w:r>
        <w:rPr>
          <w:b/>
          <w:bCs/>
        </w:rPr>
        <w:t>2021</w:t>
      </w:r>
      <w:r>
        <w:t xml:space="preserve">, 219, </w:t>
      </w:r>
      <w:r w:rsidRPr="00746580">
        <w:rPr>
          <w:lang w:val="pt-BR"/>
        </w:rPr>
        <w:t>106879</w:t>
      </w:r>
      <w:r>
        <w:rPr>
          <w:lang w:val="pt-BR"/>
        </w:rPr>
        <w:t>.</w:t>
      </w:r>
    </w:p>
    <w:p w14:paraId="2008C73A" w14:textId="070E54C7" w:rsidR="00746580" w:rsidRDefault="00930BEC" w:rsidP="00481BD2">
      <w:pPr>
        <w:pStyle w:val="TAMainText"/>
        <w:numPr>
          <w:ilvl w:val="0"/>
          <w:numId w:val="1"/>
        </w:numPr>
      </w:pPr>
      <w:r>
        <w:t>Y.</w:t>
      </w:r>
      <w:r w:rsidRPr="00930BEC">
        <w:t> Ma, X.R. Wang, </w:t>
      </w:r>
      <w:r>
        <w:t>T.</w:t>
      </w:r>
      <w:r w:rsidRPr="00930BEC">
        <w:t> Li, </w:t>
      </w:r>
      <w:r>
        <w:t>J.</w:t>
      </w:r>
      <w:r w:rsidRPr="00930BEC">
        <w:t> Zhang, J</w:t>
      </w:r>
      <w:r>
        <w:t>.</w:t>
      </w:r>
      <w:r w:rsidRPr="00930BEC">
        <w:t> Gao, Z.Y. Sun</w:t>
      </w:r>
      <w:r w:rsidR="006A2281">
        <w:t>.</w:t>
      </w:r>
      <w:r>
        <w:t xml:space="preserve"> </w:t>
      </w:r>
      <w:r w:rsidRPr="00930BEC">
        <w:rPr>
          <w:i/>
          <w:iCs/>
        </w:rPr>
        <w:t>International Journal of Hydrogen Energy</w:t>
      </w:r>
      <w:r>
        <w:t xml:space="preserve">, </w:t>
      </w:r>
      <w:r>
        <w:rPr>
          <w:b/>
          <w:bCs/>
        </w:rPr>
        <w:t>2021</w:t>
      </w:r>
      <w:r>
        <w:t>, 46,54,</w:t>
      </w:r>
      <w:r w:rsidRPr="00930BEC">
        <w:rPr>
          <w:rFonts w:ascii="Arial" w:eastAsiaTheme="minorEastAsia" w:hAnsi="Arial" w:cs="Arial"/>
          <w:color w:val="2E2E2E"/>
          <w:sz w:val="21"/>
          <w:szCs w:val="21"/>
          <w:lang w:eastAsia="en-US"/>
        </w:rPr>
        <w:t xml:space="preserve"> </w:t>
      </w:r>
      <w:r w:rsidRPr="00930BEC">
        <w:t>27330-27348</w:t>
      </w:r>
      <w:r>
        <w:t>.</w:t>
      </w:r>
    </w:p>
    <w:p w14:paraId="2800C78F" w14:textId="751FCB99" w:rsidR="00BB2B7F" w:rsidRDefault="006A2281" w:rsidP="00481BD2">
      <w:pPr>
        <w:pStyle w:val="TAMainText"/>
        <w:numPr>
          <w:ilvl w:val="0"/>
          <w:numId w:val="1"/>
        </w:numPr>
      </w:pPr>
      <w:r w:rsidRPr="006A2281">
        <w:t>D. Sun, Y. Li, </w:t>
      </w:r>
      <w:r>
        <w:t>C.</w:t>
      </w:r>
      <w:r w:rsidRPr="006A2281">
        <w:t> Yang, </w:t>
      </w:r>
      <w:r>
        <w:t>Y.</w:t>
      </w:r>
      <w:r w:rsidRPr="006A2281">
        <w:t> </w:t>
      </w:r>
      <w:proofErr w:type="spellStart"/>
      <w:r w:rsidRPr="006A2281">
        <w:t>Su</w:t>
      </w:r>
      <w:proofErr w:type="spellEnd"/>
      <w:r w:rsidRPr="006A2281">
        <w:t>, </w:t>
      </w:r>
      <w:r>
        <w:t>Y.</w:t>
      </w:r>
      <w:r w:rsidRPr="006A2281">
        <w:t> Yamada, </w:t>
      </w:r>
      <w:r>
        <w:t>S.</w:t>
      </w:r>
      <w:r w:rsidRPr="006A2281">
        <w:t> Sato</w:t>
      </w:r>
      <w:r>
        <w:t xml:space="preserve">. </w:t>
      </w:r>
      <w:r w:rsidRPr="006A2281">
        <w:rPr>
          <w:i/>
          <w:iCs/>
        </w:rPr>
        <w:t>Fuel Processing Technology</w:t>
      </w:r>
      <w:r>
        <w:t xml:space="preserve">, </w:t>
      </w:r>
      <w:r>
        <w:rPr>
          <w:b/>
          <w:bCs/>
        </w:rPr>
        <w:t>2020</w:t>
      </w:r>
      <w:r>
        <w:t xml:space="preserve">, 197, </w:t>
      </w:r>
      <w:r w:rsidRPr="00930BEC">
        <w:t>106193.</w:t>
      </w:r>
    </w:p>
    <w:p w14:paraId="0041EFBB" w14:textId="7CB5151B" w:rsidR="001D22AF" w:rsidRDefault="007414BE" w:rsidP="00C71820">
      <w:pPr>
        <w:pStyle w:val="TAMainText"/>
        <w:numPr>
          <w:ilvl w:val="0"/>
          <w:numId w:val="1"/>
        </w:numPr>
      </w:pPr>
      <w:r>
        <w:t>X.</w:t>
      </w:r>
      <w:r w:rsidRPr="007414BE">
        <w:t> Dong, </w:t>
      </w:r>
      <w:r>
        <w:t>D.</w:t>
      </w:r>
      <w:r w:rsidRPr="007414BE">
        <w:t> Lu, </w:t>
      </w:r>
      <w:r>
        <w:t>Q.</w:t>
      </w:r>
      <w:r w:rsidRPr="007414BE">
        <w:t> Fan, </w:t>
      </w:r>
      <w:r>
        <w:t>H.</w:t>
      </w:r>
      <w:r w:rsidRPr="007414BE">
        <w:t> Gong</w:t>
      </w:r>
      <w:r>
        <w:t xml:space="preserve">. </w:t>
      </w:r>
      <w:r w:rsidRPr="007414BE">
        <w:rPr>
          <w:i/>
          <w:iCs/>
        </w:rPr>
        <w:t>Computational Materials Science</w:t>
      </w:r>
      <w:r>
        <w:t xml:space="preserve">, </w:t>
      </w:r>
      <w:r w:rsidRPr="007414BE">
        <w:rPr>
          <w:b/>
          <w:bCs/>
        </w:rPr>
        <w:t>2023</w:t>
      </w:r>
      <w:r>
        <w:t>, 219, 111979</w:t>
      </w:r>
      <w:r w:rsidR="00D04C9B">
        <w:t>.</w:t>
      </w:r>
    </w:p>
    <w:p w14:paraId="3F5A0F22" w14:textId="4CD454D8" w:rsidR="00D04C9B" w:rsidRPr="00EF2C31" w:rsidRDefault="00EF2C31" w:rsidP="00481BD2">
      <w:pPr>
        <w:pStyle w:val="TAMainText"/>
        <w:numPr>
          <w:ilvl w:val="0"/>
          <w:numId w:val="1"/>
        </w:numPr>
        <w:rPr>
          <w:i/>
          <w:iCs/>
        </w:rPr>
      </w:pPr>
      <w:r w:rsidRPr="00EF2C31">
        <w:t>Butadiene Market - Growth, Trends, Covid-19 Impact, And Forecasts (2023-2028)</w:t>
      </w:r>
      <w:r>
        <w:t xml:space="preserve">. </w:t>
      </w:r>
      <w:r w:rsidR="008B36CE" w:rsidRPr="00EF2C31">
        <w:rPr>
          <w:i/>
          <w:iCs/>
        </w:rPr>
        <w:t>Mordor Intelligence</w:t>
      </w:r>
      <w:r>
        <w:t xml:space="preserve">, </w:t>
      </w:r>
      <w:r w:rsidRPr="00482E3B">
        <w:t>2023</w:t>
      </w:r>
      <w:r>
        <w:t xml:space="preserve">, </w:t>
      </w:r>
      <w:r w:rsidRPr="00EF2C31">
        <w:t>Hyderabad, India.</w:t>
      </w:r>
    </w:p>
    <w:p w14:paraId="211066BF" w14:textId="01CD799A" w:rsidR="0098527E" w:rsidRDefault="00F37374" w:rsidP="00481BD2">
      <w:pPr>
        <w:pStyle w:val="TAMainText"/>
        <w:numPr>
          <w:ilvl w:val="0"/>
          <w:numId w:val="1"/>
        </w:numPr>
      </w:pPr>
      <w:r>
        <w:t xml:space="preserve">W. C. White. </w:t>
      </w:r>
      <w:proofErr w:type="spellStart"/>
      <w:r w:rsidRPr="00F37374">
        <w:rPr>
          <w:i/>
          <w:iCs/>
        </w:rPr>
        <w:t>Chemico</w:t>
      </w:r>
      <w:proofErr w:type="spellEnd"/>
      <w:r w:rsidRPr="00F37374">
        <w:rPr>
          <w:i/>
          <w:iCs/>
        </w:rPr>
        <w:t>-Biological Interactions</w:t>
      </w:r>
      <w:r>
        <w:t xml:space="preserve">, </w:t>
      </w:r>
      <w:r>
        <w:rPr>
          <w:b/>
          <w:bCs/>
        </w:rPr>
        <w:t>2007</w:t>
      </w:r>
      <w:r>
        <w:t xml:space="preserve">, 166, </w:t>
      </w:r>
      <w:r w:rsidRPr="00F37374">
        <w:t>10-14</w:t>
      </w:r>
      <w:r>
        <w:t>.</w:t>
      </w:r>
    </w:p>
    <w:p w14:paraId="2E82F3DF" w14:textId="0E66C893" w:rsidR="00EF2C31" w:rsidRDefault="00F37374" w:rsidP="00481BD2">
      <w:pPr>
        <w:pStyle w:val="TAMainText"/>
        <w:numPr>
          <w:ilvl w:val="0"/>
          <w:numId w:val="1"/>
        </w:numPr>
      </w:pPr>
      <w:r>
        <w:t xml:space="preserve">J. Grub, E. Loser. </w:t>
      </w:r>
      <w:r w:rsidRPr="00F37374">
        <w:rPr>
          <w:i/>
          <w:iCs/>
        </w:rPr>
        <w:t>Butadiene in Ullmann's Encyclopedia of Industrial Chemistry</w:t>
      </w:r>
      <w:r>
        <w:t xml:space="preserve">. </w:t>
      </w:r>
      <w:r w:rsidRPr="00F37374">
        <w:rPr>
          <w:b/>
          <w:bCs/>
          <w:lang w:val="pt-BR"/>
        </w:rPr>
        <w:t>2012</w:t>
      </w:r>
      <w:r>
        <w:rPr>
          <w:lang w:val="pt-BR"/>
        </w:rPr>
        <w:t xml:space="preserve">, </w:t>
      </w:r>
      <w:r w:rsidRPr="00F37374">
        <w:t>Wiley-VHC, Weinheim</w:t>
      </w:r>
      <w:r>
        <w:t xml:space="preserve">. </w:t>
      </w:r>
    </w:p>
    <w:p w14:paraId="57D9010A" w14:textId="52F9024D" w:rsidR="00EF2C31" w:rsidRPr="00D74512" w:rsidRDefault="00D74512" w:rsidP="00481BD2">
      <w:pPr>
        <w:pStyle w:val="TAMainText"/>
        <w:numPr>
          <w:ilvl w:val="0"/>
          <w:numId w:val="1"/>
        </w:numPr>
        <w:rPr>
          <w:lang w:val="pt-BR"/>
        </w:rPr>
      </w:pPr>
      <w:r>
        <w:rPr>
          <w:lang w:val="pt-BR"/>
        </w:rPr>
        <w:t xml:space="preserve">G. </w:t>
      </w:r>
      <w:proofErr w:type="spellStart"/>
      <w:r w:rsidRPr="00D74512">
        <w:rPr>
          <w:lang w:val="pt-BR"/>
        </w:rPr>
        <w:t>Polamaza</w:t>
      </w:r>
      <w:proofErr w:type="spellEnd"/>
      <w:r w:rsidRPr="00D74512">
        <w:rPr>
          <w:lang w:val="pt-BR"/>
        </w:rPr>
        <w:t>;</w:t>
      </w:r>
      <w:r>
        <w:rPr>
          <w:lang w:val="pt-BR"/>
        </w:rPr>
        <w:t xml:space="preserve"> P.</w:t>
      </w:r>
      <w:r w:rsidRPr="00D74512">
        <w:rPr>
          <w:lang w:val="pt-BR"/>
        </w:rPr>
        <w:t xml:space="preserve"> Arango;</w:t>
      </w:r>
      <w:r>
        <w:rPr>
          <w:lang w:val="pt-BR"/>
        </w:rPr>
        <w:t xml:space="preserve"> M.</w:t>
      </w:r>
      <w:r w:rsidRPr="00D74512">
        <w:rPr>
          <w:lang w:val="pt-BR"/>
        </w:rPr>
        <w:t xml:space="preserve"> </w:t>
      </w:r>
      <w:proofErr w:type="spellStart"/>
      <w:r w:rsidRPr="00D74512">
        <w:rPr>
          <w:lang w:val="pt-BR"/>
        </w:rPr>
        <w:t>Capron</w:t>
      </w:r>
      <w:proofErr w:type="spellEnd"/>
      <w:r w:rsidRPr="00D74512">
        <w:rPr>
          <w:lang w:val="pt-BR"/>
        </w:rPr>
        <w:t>;</w:t>
      </w:r>
      <w:r>
        <w:rPr>
          <w:lang w:val="pt-BR"/>
        </w:rPr>
        <w:t xml:space="preserve"> F.</w:t>
      </w:r>
      <w:r w:rsidRPr="00D74512">
        <w:rPr>
          <w:lang w:val="pt-BR"/>
        </w:rPr>
        <w:t xml:space="preserve"> </w:t>
      </w:r>
      <w:proofErr w:type="spellStart"/>
      <w:r w:rsidRPr="00D74512">
        <w:rPr>
          <w:lang w:val="pt-BR"/>
        </w:rPr>
        <w:t>Dumeignil</w:t>
      </w:r>
      <w:proofErr w:type="spellEnd"/>
      <w:r w:rsidRPr="00D74512">
        <w:rPr>
          <w:lang w:val="pt-BR"/>
        </w:rPr>
        <w:t>,</w:t>
      </w:r>
      <w:r>
        <w:rPr>
          <w:lang w:val="pt-BR"/>
        </w:rPr>
        <w:t xml:space="preserve"> </w:t>
      </w:r>
      <w:proofErr w:type="spellStart"/>
      <w:r w:rsidRPr="00D74512">
        <w:rPr>
          <w:i/>
          <w:iCs/>
          <w:lang w:val="pt-BR"/>
        </w:rPr>
        <w:t>Cat</w:t>
      </w:r>
      <w:proofErr w:type="spellEnd"/>
      <w:r w:rsidRPr="00D74512">
        <w:rPr>
          <w:i/>
          <w:iCs/>
          <w:lang w:val="pt-BR"/>
        </w:rPr>
        <w:t xml:space="preserve"> al. </w:t>
      </w:r>
      <w:proofErr w:type="spellStart"/>
      <w:r w:rsidRPr="00D74512">
        <w:rPr>
          <w:i/>
          <w:iCs/>
          <w:lang w:val="pt-BR"/>
        </w:rPr>
        <w:t>Sci</w:t>
      </w:r>
      <w:proofErr w:type="spellEnd"/>
      <w:r w:rsidRPr="00D74512">
        <w:rPr>
          <w:i/>
          <w:iCs/>
          <w:lang w:val="pt-BR"/>
        </w:rPr>
        <w:t xml:space="preserve">. </w:t>
      </w:r>
      <w:proofErr w:type="spellStart"/>
      <w:r w:rsidRPr="00D74512">
        <w:rPr>
          <w:i/>
          <w:iCs/>
          <w:lang w:val="pt-BR"/>
        </w:rPr>
        <w:t>Techn</w:t>
      </w:r>
      <w:proofErr w:type="spellEnd"/>
      <w:r w:rsidRPr="00D74512">
        <w:rPr>
          <w:i/>
          <w:iCs/>
          <w:lang w:val="pt-BR"/>
        </w:rPr>
        <w:t xml:space="preserve"> </w:t>
      </w:r>
      <w:proofErr w:type="spellStart"/>
      <w:r w:rsidRPr="00D74512">
        <w:rPr>
          <w:i/>
          <w:iCs/>
          <w:lang w:val="pt-BR"/>
        </w:rPr>
        <w:t>ol</w:t>
      </w:r>
      <w:proofErr w:type="spellEnd"/>
      <w:r w:rsidRPr="00D74512">
        <w:rPr>
          <w:i/>
          <w:iCs/>
          <w:lang w:val="pt-BR"/>
        </w:rPr>
        <w:t>.</w:t>
      </w:r>
      <w:r>
        <w:rPr>
          <w:lang w:val="pt-BR"/>
        </w:rPr>
        <w:t xml:space="preserve">, </w:t>
      </w:r>
      <w:r>
        <w:rPr>
          <w:b/>
          <w:bCs/>
          <w:lang w:val="pt-BR"/>
        </w:rPr>
        <w:t>2020</w:t>
      </w:r>
      <w:r>
        <w:rPr>
          <w:lang w:val="pt-BR"/>
        </w:rPr>
        <w:t>, 10,</w:t>
      </w:r>
      <w:r w:rsidRPr="00D74512">
        <w:rPr>
          <w:lang w:val="pt-BR"/>
        </w:rPr>
        <w:t xml:space="preserve"> 4860-4911</w:t>
      </w:r>
      <w:r>
        <w:rPr>
          <w:lang w:val="pt-BR"/>
        </w:rPr>
        <w:t>.</w:t>
      </w:r>
    </w:p>
    <w:p w14:paraId="1D8100E3" w14:textId="4892DA57" w:rsidR="00F37374" w:rsidRPr="00840484" w:rsidRDefault="00840484" w:rsidP="00481BD2">
      <w:pPr>
        <w:pStyle w:val="TAMainText"/>
        <w:numPr>
          <w:ilvl w:val="0"/>
          <w:numId w:val="1"/>
        </w:numPr>
      </w:pPr>
      <w:r>
        <w:t xml:space="preserve">B. B. </w:t>
      </w:r>
      <w:r w:rsidRPr="00840484">
        <w:t>Corson;</w:t>
      </w:r>
      <w:r>
        <w:t xml:space="preserve"> H. E.</w:t>
      </w:r>
      <w:r w:rsidRPr="00840484">
        <w:t xml:space="preserve"> Jones;</w:t>
      </w:r>
      <w:r>
        <w:t xml:space="preserve"> C. E.</w:t>
      </w:r>
      <w:r w:rsidRPr="00840484">
        <w:t xml:space="preserve"> Welling; et</w:t>
      </w:r>
      <w:r w:rsidR="006834D0">
        <w:t xml:space="preserve"> al</w:t>
      </w:r>
      <w:r w:rsidRPr="00840484">
        <w:t xml:space="preserve">. </w:t>
      </w:r>
      <w:r w:rsidRPr="006834D0">
        <w:rPr>
          <w:i/>
          <w:iCs/>
        </w:rPr>
        <w:t>Ind. Eng. Chem.</w:t>
      </w:r>
      <w:r w:rsidRPr="00840484">
        <w:t xml:space="preserve"> </w:t>
      </w:r>
      <w:r w:rsidRPr="006834D0">
        <w:rPr>
          <w:b/>
          <w:bCs/>
        </w:rPr>
        <w:t>1950</w:t>
      </w:r>
      <w:r w:rsidRPr="00840484">
        <w:t>, 42, 359-373.</w:t>
      </w:r>
    </w:p>
    <w:p w14:paraId="5303BA0E" w14:textId="6BE688FC" w:rsidR="00F37374" w:rsidRPr="00840484" w:rsidRDefault="001948C6" w:rsidP="00481BD2">
      <w:pPr>
        <w:pStyle w:val="TAMainText"/>
        <w:numPr>
          <w:ilvl w:val="0"/>
          <w:numId w:val="1"/>
        </w:numPr>
      </w:pPr>
      <w:r>
        <w:t xml:space="preserve">V. </w:t>
      </w:r>
      <w:proofErr w:type="spellStart"/>
      <w:r w:rsidRPr="001948C6">
        <w:t>Sushkevich</w:t>
      </w:r>
      <w:proofErr w:type="spellEnd"/>
      <w:r w:rsidRPr="001948C6">
        <w:t>; I</w:t>
      </w:r>
      <w:r>
        <w:t xml:space="preserve">. </w:t>
      </w:r>
      <w:r w:rsidRPr="001948C6">
        <w:t>Ivanova;</w:t>
      </w:r>
      <w:r>
        <w:t xml:space="preserve"> V.</w:t>
      </w:r>
      <w:r w:rsidRPr="001948C6">
        <w:t xml:space="preserve"> </w:t>
      </w:r>
      <w:proofErr w:type="spellStart"/>
      <w:r w:rsidRPr="001948C6">
        <w:t>Ordomsky</w:t>
      </w:r>
      <w:proofErr w:type="spellEnd"/>
      <w:r w:rsidRPr="001948C6">
        <w:t>;</w:t>
      </w:r>
      <w:r>
        <w:t xml:space="preserve"> E.</w:t>
      </w:r>
      <w:r w:rsidRPr="001948C6">
        <w:t xml:space="preserve"> </w:t>
      </w:r>
      <w:proofErr w:type="spellStart"/>
      <w:r w:rsidRPr="001948C6">
        <w:t>Taarning</w:t>
      </w:r>
      <w:proofErr w:type="spellEnd"/>
      <w:r>
        <w:t>.</w:t>
      </w:r>
      <w:r w:rsidRPr="001948C6">
        <w:t xml:space="preserve"> </w:t>
      </w:r>
      <w:proofErr w:type="spellStart"/>
      <w:r w:rsidRPr="001948C6">
        <w:rPr>
          <w:i/>
          <w:iCs/>
        </w:rPr>
        <w:t>ChemSusChem</w:t>
      </w:r>
      <w:proofErr w:type="spellEnd"/>
      <w:r>
        <w:t>,</w:t>
      </w:r>
      <w:r w:rsidRPr="001948C6">
        <w:t xml:space="preserve"> </w:t>
      </w:r>
      <w:r w:rsidRPr="001948C6">
        <w:rPr>
          <w:b/>
          <w:bCs/>
        </w:rPr>
        <w:t>2014</w:t>
      </w:r>
      <w:r w:rsidRPr="001948C6">
        <w:t>, 7, 2527-2536</w:t>
      </w:r>
      <w:r>
        <w:t>.</w:t>
      </w:r>
    </w:p>
    <w:p w14:paraId="4E5FDBD1" w14:textId="311A6A99" w:rsidR="0098527E" w:rsidRDefault="00123C37" w:rsidP="00481BD2">
      <w:pPr>
        <w:pStyle w:val="TAMainText"/>
        <w:numPr>
          <w:ilvl w:val="0"/>
          <w:numId w:val="1"/>
        </w:numPr>
      </w:pPr>
      <w:r w:rsidRPr="00123C37">
        <w:t xml:space="preserve">C. </w:t>
      </w:r>
      <w:proofErr w:type="spellStart"/>
      <w:r w:rsidRPr="00123C37">
        <w:t>Angelici</w:t>
      </w:r>
      <w:proofErr w:type="spellEnd"/>
      <w:r w:rsidRPr="00123C37">
        <w:t xml:space="preserve">; M. E. Z. </w:t>
      </w:r>
      <w:proofErr w:type="spellStart"/>
      <w:r w:rsidRPr="00123C37">
        <w:t>Velthoen</w:t>
      </w:r>
      <w:proofErr w:type="spellEnd"/>
      <w:r w:rsidRPr="00123C37">
        <w:t xml:space="preserve">; B. M. </w:t>
      </w:r>
      <w:proofErr w:type="spellStart"/>
      <w:r w:rsidRPr="00123C37">
        <w:t>Weckhuysen</w:t>
      </w:r>
      <w:proofErr w:type="spellEnd"/>
      <w:r w:rsidRPr="00123C37">
        <w:t>;</w:t>
      </w:r>
      <w:r>
        <w:t xml:space="preserve"> P. C. A</w:t>
      </w:r>
      <w:r w:rsidRPr="00123C37">
        <w:t xml:space="preserve"> </w:t>
      </w:r>
      <w:proofErr w:type="spellStart"/>
      <w:r w:rsidRPr="00123C37">
        <w:t>Bruijninc</w:t>
      </w:r>
      <w:proofErr w:type="spellEnd"/>
      <w:r w:rsidRPr="00123C37">
        <w:t xml:space="preserve">. </w:t>
      </w:r>
      <w:proofErr w:type="spellStart"/>
      <w:r w:rsidRPr="00123C37">
        <w:rPr>
          <w:i/>
          <w:iCs/>
        </w:rPr>
        <w:t>Chemsuschem</w:t>
      </w:r>
      <w:proofErr w:type="spellEnd"/>
      <w:r w:rsidRPr="00123C37">
        <w:t xml:space="preserve">, </w:t>
      </w:r>
      <w:r w:rsidRPr="00123C37">
        <w:rPr>
          <w:b/>
          <w:bCs/>
        </w:rPr>
        <w:t>2014</w:t>
      </w:r>
      <w:r w:rsidRPr="00123C37">
        <w:t>, 7, 2505-2515</w:t>
      </w:r>
      <w:r>
        <w:t>.</w:t>
      </w:r>
    </w:p>
    <w:p w14:paraId="3CA935F1" w14:textId="0DF58ED7" w:rsidR="0098527E" w:rsidRDefault="007906F0" w:rsidP="00481BD2">
      <w:pPr>
        <w:pStyle w:val="TAMainText"/>
        <w:numPr>
          <w:ilvl w:val="0"/>
          <w:numId w:val="1"/>
        </w:numPr>
      </w:pPr>
      <w:r>
        <w:t xml:space="preserve">W. </w:t>
      </w:r>
      <w:r w:rsidRPr="001B75D3">
        <w:t>Zhang;</w:t>
      </w:r>
      <w:r>
        <w:t xml:space="preserve"> D.</w:t>
      </w:r>
      <w:r w:rsidRPr="001B75D3">
        <w:t xml:space="preserve"> Fan;</w:t>
      </w:r>
      <w:r>
        <w:t xml:space="preserve"> Y.</w:t>
      </w:r>
      <w:r w:rsidRPr="001B75D3">
        <w:t xml:space="preserve"> Yu</w:t>
      </w:r>
      <w:r w:rsidR="001B75D3" w:rsidRPr="001B75D3">
        <w:t xml:space="preserve">. </w:t>
      </w:r>
      <w:r w:rsidR="001B75D3" w:rsidRPr="001B75D3">
        <w:rPr>
          <w:i/>
          <w:iCs/>
        </w:rPr>
        <w:t>New Journal of Chemistry</w:t>
      </w:r>
      <w:r w:rsidR="001B75D3" w:rsidRPr="001B75D3">
        <w:t xml:space="preserve">, </w:t>
      </w:r>
      <w:r w:rsidR="001B75D3" w:rsidRPr="001B75D3">
        <w:rPr>
          <w:b/>
          <w:bCs/>
        </w:rPr>
        <w:t>2022</w:t>
      </w:r>
      <w:r w:rsidR="001B75D3" w:rsidRPr="001B75D3">
        <w:t>, 46, 559-571</w:t>
      </w:r>
      <w:r>
        <w:t>.</w:t>
      </w:r>
    </w:p>
    <w:p w14:paraId="59F555B4" w14:textId="16AF22FB" w:rsidR="0098527E" w:rsidRDefault="00C71331" w:rsidP="00481BD2">
      <w:pPr>
        <w:pStyle w:val="TAMainText"/>
        <w:numPr>
          <w:ilvl w:val="0"/>
          <w:numId w:val="1"/>
        </w:numPr>
      </w:pPr>
      <w:r w:rsidRPr="00C71331">
        <w:rPr>
          <w:lang w:val="pt-BR"/>
        </w:rPr>
        <w:t xml:space="preserve">H. </w:t>
      </w:r>
      <w:proofErr w:type="spellStart"/>
      <w:r w:rsidRPr="00C71331">
        <w:rPr>
          <w:lang w:val="pt-BR"/>
        </w:rPr>
        <w:t>Niiyama</w:t>
      </w:r>
      <w:proofErr w:type="spellEnd"/>
      <w:r w:rsidRPr="00C71331">
        <w:rPr>
          <w:lang w:val="pt-BR"/>
        </w:rPr>
        <w:t xml:space="preserve">; S. </w:t>
      </w:r>
      <w:proofErr w:type="spellStart"/>
      <w:r w:rsidRPr="00C71331">
        <w:rPr>
          <w:lang w:val="pt-BR"/>
        </w:rPr>
        <w:t>Morii</w:t>
      </w:r>
      <w:proofErr w:type="spellEnd"/>
      <w:r w:rsidRPr="00C71331">
        <w:rPr>
          <w:lang w:val="pt-BR"/>
        </w:rPr>
        <w:t xml:space="preserve">; E. </w:t>
      </w:r>
      <w:proofErr w:type="spellStart"/>
      <w:r w:rsidRPr="00C71331">
        <w:rPr>
          <w:lang w:val="pt-BR"/>
        </w:rPr>
        <w:t>Echigoya</w:t>
      </w:r>
      <w:proofErr w:type="spellEnd"/>
      <w:r w:rsidRPr="00C71331">
        <w:rPr>
          <w:lang w:val="pt-BR"/>
        </w:rPr>
        <w:t xml:space="preserve">. </w:t>
      </w:r>
      <w:r w:rsidRPr="00C71331">
        <w:rPr>
          <w:i/>
          <w:iCs/>
        </w:rPr>
        <w:t>Bulletin of Chemical Society of Japan</w:t>
      </w:r>
      <w:r w:rsidRPr="00C71331">
        <w:t xml:space="preserve">, </w:t>
      </w:r>
      <w:r w:rsidRPr="00C71331">
        <w:rPr>
          <w:b/>
          <w:bCs/>
        </w:rPr>
        <w:t>1972</w:t>
      </w:r>
      <w:r w:rsidRPr="00C71331">
        <w:t>, 45, 655-659</w:t>
      </w:r>
      <w:r>
        <w:t>.</w:t>
      </w:r>
    </w:p>
    <w:p w14:paraId="4D773E0F" w14:textId="736C96DB" w:rsidR="00047C53" w:rsidRPr="00FD1EFB" w:rsidRDefault="00FD1EFB" w:rsidP="00481BD2">
      <w:pPr>
        <w:pStyle w:val="TAMainText"/>
        <w:numPr>
          <w:ilvl w:val="0"/>
          <w:numId w:val="1"/>
        </w:numPr>
      </w:pPr>
      <w:r w:rsidRPr="006D393C">
        <w:rPr>
          <w:lang w:val="pt-BR"/>
        </w:rPr>
        <w:t xml:space="preserve">M. León; E. Díaz; S. </w:t>
      </w:r>
      <w:proofErr w:type="spellStart"/>
      <w:r w:rsidRPr="006D393C">
        <w:rPr>
          <w:lang w:val="pt-BR"/>
        </w:rPr>
        <w:t>Ordóñez</w:t>
      </w:r>
      <w:proofErr w:type="spellEnd"/>
      <w:r w:rsidRPr="006D393C">
        <w:rPr>
          <w:lang w:val="pt-BR"/>
        </w:rPr>
        <w:t xml:space="preserve">. </w:t>
      </w:r>
      <w:r w:rsidRPr="00FD1EFB">
        <w:rPr>
          <w:i/>
          <w:iCs/>
        </w:rPr>
        <w:t>Catalysis Today</w:t>
      </w:r>
      <w:r w:rsidRPr="00FD1EFB">
        <w:t xml:space="preserve">, </w:t>
      </w:r>
      <w:r w:rsidRPr="00FD1EFB">
        <w:rPr>
          <w:b/>
          <w:bCs/>
        </w:rPr>
        <w:t>2011</w:t>
      </w:r>
      <w:r w:rsidRPr="00FD1EFB">
        <w:t>, 164, 436-442.</w:t>
      </w:r>
    </w:p>
    <w:p w14:paraId="4E3EE28F" w14:textId="4ABBE47B" w:rsidR="00047C53" w:rsidRPr="00D55DA5" w:rsidRDefault="00D55DA5" w:rsidP="00481BD2">
      <w:pPr>
        <w:pStyle w:val="TAMainText"/>
        <w:numPr>
          <w:ilvl w:val="0"/>
          <w:numId w:val="1"/>
        </w:numPr>
        <w:rPr>
          <w:lang w:val="pt-BR"/>
        </w:rPr>
      </w:pPr>
      <w:r>
        <w:rPr>
          <w:lang w:val="pt-BR"/>
        </w:rPr>
        <w:t xml:space="preserve">S. </w:t>
      </w:r>
      <w:proofErr w:type="spellStart"/>
      <w:r w:rsidRPr="00D55DA5">
        <w:rPr>
          <w:lang w:val="pt-BR"/>
        </w:rPr>
        <w:t>Ordóñez</w:t>
      </w:r>
      <w:proofErr w:type="spellEnd"/>
      <w:r w:rsidRPr="00D55DA5">
        <w:rPr>
          <w:lang w:val="pt-BR"/>
        </w:rPr>
        <w:t>;</w:t>
      </w:r>
      <w:r>
        <w:rPr>
          <w:lang w:val="pt-BR"/>
        </w:rPr>
        <w:t xml:space="preserve"> E.</w:t>
      </w:r>
      <w:r w:rsidRPr="00D55DA5">
        <w:rPr>
          <w:lang w:val="pt-BR"/>
        </w:rPr>
        <w:t xml:space="preserve"> Díaz;</w:t>
      </w:r>
      <w:r>
        <w:rPr>
          <w:lang w:val="pt-BR"/>
        </w:rPr>
        <w:t xml:space="preserve"> M.</w:t>
      </w:r>
      <w:r w:rsidRPr="00D55DA5">
        <w:rPr>
          <w:lang w:val="pt-BR"/>
        </w:rPr>
        <w:t xml:space="preserve"> León;</w:t>
      </w:r>
      <w:r>
        <w:rPr>
          <w:lang w:val="pt-BR"/>
        </w:rPr>
        <w:t xml:space="preserve"> L.</w:t>
      </w:r>
      <w:r w:rsidRPr="00D55DA5">
        <w:rPr>
          <w:lang w:val="pt-BR"/>
        </w:rPr>
        <w:t xml:space="preserve"> </w:t>
      </w:r>
      <w:proofErr w:type="spellStart"/>
      <w:r w:rsidRPr="00D55DA5">
        <w:rPr>
          <w:lang w:val="pt-BR"/>
        </w:rPr>
        <w:t>Faba</w:t>
      </w:r>
      <w:proofErr w:type="spellEnd"/>
      <w:r w:rsidRPr="00D55DA5">
        <w:rPr>
          <w:lang w:val="pt-BR"/>
        </w:rPr>
        <w:t xml:space="preserve">. </w:t>
      </w:r>
      <w:proofErr w:type="spellStart"/>
      <w:r w:rsidRPr="00D55DA5">
        <w:rPr>
          <w:i/>
          <w:iCs/>
          <w:lang w:val="pt-BR"/>
        </w:rPr>
        <w:t>Catalysis</w:t>
      </w:r>
      <w:proofErr w:type="spellEnd"/>
      <w:r w:rsidRPr="00D55DA5">
        <w:rPr>
          <w:i/>
          <w:iCs/>
          <w:lang w:val="pt-BR"/>
        </w:rPr>
        <w:t xml:space="preserve"> Today</w:t>
      </w:r>
      <w:r w:rsidRPr="00D55DA5">
        <w:rPr>
          <w:lang w:val="pt-BR"/>
        </w:rPr>
        <w:t xml:space="preserve">, </w:t>
      </w:r>
      <w:r w:rsidRPr="00D55DA5">
        <w:rPr>
          <w:b/>
          <w:bCs/>
          <w:lang w:val="pt-BR"/>
        </w:rPr>
        <w:t>2011</w:t>
      </w:r>
      <w:r w:rsidRPr="00D55DA5">
        <w:rPr>
          <w:lang w:val="pt-BR"/>
        </w:rPr>
        <w:t>, 167, 71-76</w:t>
      </w:r>
      <w:r>
        <w:rPr>
          <w:lang w:val="pt-BR"/>
        </w:rPr>
        <w:t>.</w:t>
      </w:r>
    </w:p>
    <w:p w14:paraId="71C483DB" w14:textId="5ABE7969" w:rsidR="00D55DA5" w:rsidRPr="00D55DA5" w:rsidRDefault="00300521" w:rsidP="00481BD2">
      <w:pPr>
        <w:pStyle w:val="TAMainText"/>
        <w:numPr>
          <w:ilvl w:val="0"/>
          <w:numId w:val="1"/>
        </w:numPr>
        <w:rPr>
          <w:lang w:val="pt-BR"/>
        </w:rPr>
      </w:pPr>
      <w:r>
        <w:rPr>
          <w:lang w:val="pt-BR"/>
        </w:rPr>
        <w:t xml:space="preserve">J. </w:t>
      </w:r>
      <w:r w:rsidRPr="00300521">
        <w:rPr>
          <w:lang w:val="pt-BR"/>
        </w:rPr>
        <w:t>Quesada;</w:t>
      </w:r>
      <w:r>
        <w:rPr>
          <w:lang w:val="pt-BR"/>
        </w:rPr>
        <w:t xml:space="preserve"> L.</w:t>
      </w:r>
      <w:r w:rsidRPr="00300521">
        <w:rPr>
          <w:lang w:val="pt-BR"/>
        </w:rPr>
        <w:t xml:space="preserve"> </w:t>
      </w:r>
      <w:proofErr w:type="spellStart"/>
      <w:r w:rsidRPr="00300521">
        <w:rPr>
          <w:lang w:val="pt-BR"/>
        </w:rPr>
        <w:t>Faba</w:t>
      </w:r>
      <w:proofErr w:type="spellEnd"/>
      <w:r w:rsidRPr="00300521">
        <w:rPr>
          <w:lang w:val="pt-BR"/>
        </w:rPr>
        <w:t>;</w:t>
      </w:r>
      <w:r>
        <w:rPr>
          <w:lang w:val="pt-BR"/>
        </w:rPr>
        <w:t xml:space="preserve"> E.</w:t>
      </w:r>
      <w:r w:rsidRPr="00300521">
        <w:rPr>
          <w:lang w:val="pt-BR"/>
        </w:rPr>
        <w:t xml:space="preserve"> Díaz;</w:t>
      </w:r>
      <w:r>
        <w:rPr>
          <w:lang w:val="pt-BR"/>
        </w:rPr>
        <w:t xml:space="preserve"> S.</w:t>
      </w:r>
      <w:r w:rsidRPr="00300521">
        <w:rPr>
          <w:lang w:val="pt-BR"/>
        </w:rPr>
        <w:t xml:space="preserve"> </w:t>
      </w:r>
      <w:proofErr w:type="spellStart"/>
      <w:r w:rsidRPr="00300521">
        <w:rPr>
          <w:lang w:val="pt-BR"/>
        </w:rPr>
        <w:t>Ordóñez</w:t>
      </w:r>
      <w:proofErr w:type="spellEnd"/>
      <w:r w:rsidRPr="00300521">
        <w:rPr>
          <w:lang w:val="pt-BR"/>
        </w:rPr>
        <w:t xml:space="preserve">. </w:t>
      </w:r>
      <w:proofErr w:type="spellStart"/>
      <w:r w:rsidRPr="00300521">
        <w:rPr>
          <w:i/>
          <w:iCs/>
          <w:lang w:val="pt-BR"/>
        </w:rPr>
        <w:t>ChemCatChem</w:t>
      </w:r>
      <w:proofErr w:type="spellEnd"/>
      <w:r w:rsidRPr="00300521">
        <w:rPr>
          <w:lang w:val="pt-BR"/>
        </w:rPr>
        <w:t xml:space="preserve">, </w:t>
      </w:r>
      <w:r w:rsidRPr="00300521">
        <w:rPr>
          <w:b/>
          <w:bCs/>
          <w:lang w:val="pt-BR"/>
        </w:rPr>
        <w:t>2018</w:t>
      </w:r>
      <w:r w:rsidRPr="00300521">
        <w:rPr>
          <w:lang w:val="pt-BR"/>
        </w:rPr>
        <w:t>, 10, 3583-3592</w:t>
      </w:r>
      <w:r>
        <w:rPr>
          <w:lang w:val="pt-BR"/>
        </w:rPr>
        <w:t>.</w:t>
      </w:r>
    </w:p>
    <w:p w14:paraId="401F037C" w14:textId="60C853C1" w:rsidR="00481BD2" w:rsidRDefault="00481BD2" w:rsidP="00481BD2">
      <w:pPr>
        <w:pStyle w:val="TAMainText"/>
        <w:numPr>
          <w:ilvl w:val="0"/>
          <w:numId w:val="1"/>
        </w:numPr>
      </w:pPr>
      <w:r w:rsidRPr="00481BD2">
        <w:t xml:space="preserve">Di </w:t>
      </w:r>
      <w:proofErr w:type="spellStart"/>
      <w:r w:rsidRPr="00481BD2">
        <w:t>Cosimo</w:t>
      </w:r>
      <w:proofErr w:type="spellEnd"/>
      <w:r w:rsidRPr="00481BD2">
        <w:t xml:space="preserve">, J. I., </w:t>
      </w:r>
      <w:proofErr w:type="spellStart"/>
      <w:r w:rsidRPr="00481BD2">
        <w:t>Díez</w:t>
      </w:r>
      <w:proofErr w:type="spellEnd"/>
      <w:r w:rsidRPr="00481BD2">
        <w:t xml:space="preserve">, V. K., Xu, M., </w:t>
      </w:r>
      <w:r>
        <w:t>e</w:t>
      </w:r>
      <w:r w:rsidRPr="00481BD2">
        <w:t xml:space="preserve">t </w:t>
      </w:r>
      <w:r>
        <w:t>a</w:t>
      </w:r>
      <w:r w:rsidRPr="00481BD2">
        <w:t xml:space="preserve">l., </w:t>
      </w:r>
      <w:r w:rsidRPr="0049185E">
        <w:rPr>
          <w:i/>
          <w:iCs/>
        </w:rPr>
        <w:t>Journal of Catalysis</w:t>
      </w:r>
      <w:r w:rsidRPr="00481BD2">
        <w:t xml:space="preserve">, </w:t>
      </w:r>
      <w:r w:rsidRPr="0049185E">
        <w:rPr>
          <w:b/>
          <w:bCs/>
        </w:rPr>
        <w:t>1998</w:t>
      </w:r>
      <w:r w:rsidRPr="00481BD2">
        <w:t>, 178,</w:t>
      </w:r>
      <w:r w:rsidRPr="0049185E">
        <w:t xml:space="preserve"> </w:t>
      </w:r>
      <w:r w:rsidRPr="00074250">
        <w:t>499–510.</w:t>
      </w:r>
    </w:p>
    <w:p w14:paraId="1F7EDF71" w14:textId="31814D18" w:rsidR="00EE7AA0" w:rsidRPr="00074250" w:rsidRDefault="00EE7AA0" w:rsidP="00481BD2">
      <w:pPr>
        <w:pStyle w:val="TAMainText"/>
        <w:numPr>
          <w:ilvl w:val="0"/>
          <w:numId w:val="1"/>
        </w:numPr>
      </w:pPr>
      <w:r>
        <w:t xml:space="preserve">Ramasamy, K. K., Gray, M., Job, H., et al., </w:t>
      </w:r>
      <w:r>
        <w:rPr>
          <w:i/>
          <w:iCs/>
        </w:rPr>
        <w:t>Topics in Catalysis</w:t>
      </w:r>
      <w:r>
        <w:t xml:space="preserve">, </w:t>
      </w:r>
      <w:r>
        <w:rPr>
          <w:b/>
          <w:bCs/>
        </w:rPr>
        <w:t>2016</w:t>
      </w:r>
      <w:r>
        <w:t>, 59, 46–54.</w:t>
      </w:r>
    </w:p>
    <w:p w14:paraId="19E8ADDD" w14:textId="1312DCB3" w:rsidR="00481BD2" w:rsidRPr="006F453E" w:rsidRDefault="006F453E" w:rsidP="00EA4E1B">
      <w:pPr>
        <w:pStyle w:val="TAMainText"/>
        <w:numPr>
          <w:ilvl w:val="0"/>
          <w:numId w:val="1"/>
        </w:numPr>
        <w:rPr>
          <w:lang w:val="pt-BR"/>
        </w:rPr>
      </w:pPr>
      <w:r w:rsidRPr="006F453E">
        <w:rPr>
          <w:lang w:val="pt-BR"/>
        </w:rPr>
        <w:t>H. P. Pacheco, Tese d</w:t>
      </w:r>
      <w:r>
        <w:rPr>
          <w:lang w:val="pt-BR"/>
        </w:rPr>
        <w:t>e Doutorado, Universidade Federal do Rio de Janeiro, 2019.</w:t>
      </w:r>
    </w:p>
    <w:p w14:paraId="34CB7786" w14:textId="48A266A0" w:rsidR="00B217B5" w:rsidRPr="007E7C82" w:rsidRDefault="007E7C82" w:rsidP="00EA4E1B">
      <w:pPr>
        <w:pStyle w:val="TAMainText"/>
        <w:numPr>
          <w:ilvl w:val="0"/>
          <w:numId w:val="1"/>
        </w:numPr>
      </w:pPr>
      <w:r w:rsidRPr="007E7C82">
        <w:t>R. Inoue, A. Ichikawa, K. Furukawa</w:t>
      </w:r>
      <w:r>
        <w:t xml:space="preserve">. </w:t>
      </w:r>
      <w:r w:rsidRPr="007E7C82">
        <w:rPr>
          <w:i/>
          <w:iCs/>
        </w:rPr>
        <w:t xml:space="preserve">J. Chem. Soc. </w:t>
      </w:r>
      <w:proofErr w:type="spellStart"/>
      <w:r w:rsidRPr="007E7C82">
        <w:rPr>
          <w:i/>
          <w:iCs/>
        </w:rPr>
        <w:t>Jpn</w:t>
      </w:r>
      <w:proofErr w:type="spellEnd"/>
      <w:r w:rsidRPr="007E7C82">
        <w:rPr>
          <w:i/>
          <w:iCs/>
        </w:rPr>
        <w:t>.</w:t>
      </w:r>
      <w:r w:rsidRPr="007E7C82">
        <w:t>, </w:t>
      </w:r>
      <w:r w:rsidRPr="007E7C82">
        <w:rPr>
          <w:b/>
          <w:bCs/>
        </w:rPr>
        <w:t>1957</w:t>
      </w:r>
      <w:r w:rsidRPr="007E7C82">
        <w:t xml:space="preserve">, </w:t>
      </w:r>
      <w:r>
        <w:t>60,</w:t>
      </w:r>
      <w:r w:rsidRPr="007E7C82">
        <w:t> 37-40</w:t>
      </w:r>
      <w:r>
        <w:t>.</w:t>
      </w:r>
    </w:p>
    <w:p w14:paraId="4BC79358" w14:textId="0FBFE5A7" w:rsidR="00B217B5" w:rsidRPr="00135DD4" w:rsidRDefault="00135DD4" w:rsidP="00EA4E1B">
      <w:pPr>
        <w:pStyle w:val="TAMainText"/>
        <w:numPr>
          <w:ilvl w:val="0"/>
          <w:numId w:val="1"/>
        </w:numPr>
        <w:rPr>
          <w:lang w:val="pt-BR"/>
        </w:rPr>
      </w:pPr>
      <w:r w:rsidRPr="00135DD4">
        <w:rPr>
          <w:lang w:val="pt-BR"/>
        </w:rPr>
        <w:t xml:space="preserve">T. K. </w:t>
      </w:r>
      <w:proofErr w:type="spellStart"/>
      <w:r w:rsidRPr="00135DD4">
        <w:rPr>
          <w:lang w:val="pt-BR"/>
        </w:rPr>
        <w:t>Phung</w:t>
      </w:r>
      <w:proofErr w:type="spellEnd"/>
      <w:r w:rsidRPr="00135DD4">
        <w:rPr>
          <w:lang w:val="pt-BR"/>
        </w:rPr>
        <w:t xml:space="preserve">, A. </w:t>
      </w:r>
      <w:proofErr w:type="spellStart"/>
      <w:r w:rsidRPr="00135DD4">
        <w:rPr>
          <w:lang w:val="pt-BR"/>
        </w:rPr>
        <w:t>Lagazzo</w:t>
      </w:r>
      <w:proofErr w:type="spellEnd"/>
      <w:r w:rsidRPr="00135DD4">
        <w:rPr>
          <w:lang w:val="pt-BR"/>
        </w:rPr>
        <w:t xml:space="preserve">, M. A. R. Crespo, V. S. </w:t>
      </w:r>
      <w:proofErr w:type="spellStart"/>
      <w:r w:rsidRPr="00135DD4">
        <w:rPr>
          <w:lang w:val="pt-BR"/>
        </w:rPr>
        <w:t>E</w:t>
      </w:r>
      <w:r>
        <w:rPr>
          <w:lang w:val="pt-BR"/>
        </w:rPr>
        <w:t>scribano</w:t>
      </w:r>
      <w:proofErr w:type="spellEnd"/>
      <w:r>
        <w:rPr>
          <w:lang w:val="pt-BR"/>
        </w:rPr>
        <w:t xml:space="preserve">, G. Busca. </w:t>
      </w:r>
      <w:proofErr w:type="spellStart"/>
      <w:r w:rsidRPr="00135DD4">
        <w:rPr>
          <w:i/>
          <w:iCs/>
          <w:lang w:val="pt-BR"/>
        </w:rPr>
        <w:t>Journal</w:t>
      </w:r>
      <w:proofErr w:type="spellEnd"/>
      <w:r w:rsidRPr="00135DD4">
        <w:rPr>
          <w:i/>
          <w:iCs/>
          <w:lang w:val="pt-BR"/>
        </w:rPr>
        <w:t xml:space="preserve"> </w:t>
      </w:r>
      <w:proofErr w:type="spellStart"/>
      <w:r w:rsidRPr="00135DD4">
        <w:rPr>
          <w:i/>
          <w:iCs/>
          <w:lang w:val="pt-BR"/>
        </w:rPr>
        <w:t>of</w:t>
      </w:r>
      <w:proofErr w:type="spellEnd"/>
      <w:r w:rsidRPr="00135DD4">
        <w:rPr>
          <w:i/>
          <w:iCs/>
          <w:lang w:val="pt-BR"/>
        </w:rPr>
        <w:t xml:space="preserve"> </w:t>
      </w:r>
      <w:proofErr w:type="spellStart"/>
      <w:r w:rsidRPr="00135DD4">
        <w:rPr>
          <w:i/>
          <w:iCs/>
          <w:lang w:val="pt-BR"/>
        </w:rPr>
        <w:t>Catalysis</w:t>
      </w:r>
      <w:proofErr w:type="spellEnd"/>
      <w:r>
        <w:rPr>
          <w:lang w:val="pt-BR"/>
        </w:rPr>
        <w:t xml:space="preserve">, </w:t>
      </w:r>
      <w:r>
        <w:rPr>
          <w:b/>
          <w:bCs/>
          <w:lang w:val="pt-BR"/>
        </w:rPr>
        <w:t>2014</w:t>
      </w:r>
      <w:r>
        <w:rPr>
          <w:lang w:val="pt-BR"/>
        </w:rPr>
        <w:t>, 311, 102-113.</w:t>
      </w:r>
    </w:p>
    <w:p w14:paraId="54B20C8F" w14:textId="06048CAA" w:rsidR="00B217B5" w:rsidRDefault="00DF38FE" w:rsidP="00EA4E1B">
      <w:pPr>
        <w:pStyle w:val="TAMainText"/>
        <w:numPr>
          <w:ilvl w:val="0"/>
          <w:numId w:val="1"/>
        </w:numPr>
      </w:pPr>
      <w:r>
        <w:t>G.</w:t>
      </w:r>
      <w:r w:rsidRPr="00DF38FE">
        <w:t xml:space="preserve"> Chen</w:t>
      </w:r>
      <w:r>
        <w:t xml:space="preserve">, S. </w:t>
      </w:r>
      <w:r w:rsidRPr="00DF38FE">
        <w:t>Li</w:t>
      </w:r>
      <w:r>
        <w:t xml:space="preserve">, F. </w:t>
      </w:r>
      <w:r w:rsidRPr="00DF38FE">
        <w:t>Jiao</w:t>
      </w:r>
      <w:r>
        <w:t xml:space="preserve">, Q. </w:t>
      </w:r>
      <w:r w:rsidRPr="00DF38FE">
        <w:t xml:space="preserve">Yuan. </w:t>
      </w:r>
      <w:r w:rsidRPr="00DF38FE">
        <w:rPr>
          <w:i/>
          <w:iCs/>
        </w:rPr>
        <w:t>Catalysis Today</w:t>
      </w:r>
      <w:r>
        <w:t xml:space="preserve">, </w:t>
      </w:r>
      <w:r w:rsidRPr="00DF38FE">
        <w:rPr>
          <w:b/>
          <w:bCs/>
        </w:rPr>
        <w:t>2007</w:t>
      </w:r>
      <w:r>
        <w:t>, 125,</w:t>
      </w:r>
      <w:r w:rsidRPr="00DF38FE">
        <w:t xml:space="preserve"> 111–11</w:t>
      </w:r>
      <w:r>
        <w:t>9</w:t>
      </w:r>
      <w:r w:rsidR="00805F6D">
        <w:t>.</w:t>
      </w:r>
    </w:p>
    <w:p w14:paraId="4D93CE8C" w14:textId="726EEE14" w:rsidR="00B9644A" w:rsidRDefault="00AD38BA" w:rsidP="00EA4E1B">
      <w:pPr>
        <w:pStyle w:val="TAMainText"/>
        <w:numPr>
          <w:ilvl w:val="0"/>
          <w:numId w:val="1"/>
        </w:numPr>
      </w:pPr>
      <w:r w:rsidRPr="00AD38BA">
        <w:t>T. K. Phung,</w:t>
      </w:r>
      <w:r>
        <w:t xml:space="preserve"> </w:t>
      </w:r>
      <w:r w:rsidRPr="00AD38BA">
        <w:t xml:space="preserve">G. </w:t>
      </w:r>
      <w:proofErr w:type="spellStart"/>
      <w:r w:rsidRPr="00AD38BA">
        <w:t>Busca</w:t>
      </w:r>
      <w:proofErr w:type="spellEnd"/>
      <w:r w:rsidRPr="00AD38BA">
        <w:t xml:space="preserve">. </w:t>
      </w:r>
      <w:r w:rsidRPr="00AD38BA">
        <w:rPr>
          <w:i/>
          <w:iCs/>
        </w:rPr>
        <w:t>Chemical Engineering Journal lied</w:t>
      </w:r>
      <w:r>
        <w:t xml:space="preserve">. </w:t>
      </w:r>
      <w:r>
        <w:rPr>
          <w:b/>
          <w:bCs/>
        </w:rPr>
        <w:t>2015</w:t>
      </w:r>
      <w:r>
        <w:t>, 272, 92-101.</w:t>
      </w:r>
    </w:p>
    <w:p w14:paraId="1EB743DE" w14:textId="6FD253FC" w:rsidR="00AD38BA" w:rsidRDefault="00832DAF" w:rsidP="00EA4E1B">
      <w:pPr>
        <w:pStyle w:val="TAMainText"/>
        <w:numPr>
          <w:ilvl w:val="0"/>
          <w:numId w:val="1"/>
        </w:numPr>
      </w:pPr>
      <w:r>
        <w:t>D.</w:t>
      </w:r>
      <w:r w:rsidRPr="00832DAF">
        <w:t xml:space="preserve"> Yu</w:t>
      </w:r>
      <w:r>
        <w:t xml:space="preserve">, W. </w:t>
      </w:r>
      <w:r w:rsidRPr="00832DAF">
        <w:t>Dai</w:t>
      </w:r>
      <w:r>
        <w:t xml:space="preserve">, G. </w:t>
      </w:r>
      <w:r w:rsidRPr="00832DAF">
        <w:t>Wu</w:t>
      </w:r>
      <w:r>
        <w:t xml:space="preserve">, N. </w:t>
      </w:r>
      <w:r w:rsidRPr="00832DAF">
        <w:t>Guan</w:t>
      </w:r>
      <w:r>
        <w:t xml:space="preserve">, L. </w:t>
      </w:r>
      <w:r w:rsidRPr="00832DAF">
        <w:t>Li</w:t>
      </w:r>
      <w:r>
        <w:t xml:space="preserve">. </w:t>
      </w:r>
      <w:r w:rsidRPr="00832DAF">
        <w:rPr>
          <w:i/>
          <w:iCs/>
        </w:rPr>
        <w:t>Chinese Journal of Catalysis</w:t>
      </w:r>
      <w:r>
        <w:t xml:space="preserve">, </w:t>
      </w:r>
      <w:r>
        <w:rPr>
          <w:b/>
          <w:bCs/>
        </w:rPr>
        <w:t>2019</w:t>
      </w:r>
      <w:r>
        <w:t>,</w:t>
      </w:r>
      <w:r w:rsidRPr="00832DAF">
        <w:t xml:space="preserve"> 40</w:t>
      </w:r>
      <w:r>
        <w:t>,</w:t>
      </w:r>
      <w:r w:rsidRPr="00832DAF">
        <w:t xml:space="preserve"> 1375–1384</w:t>
      </w:r>
      <w:r>
        <w:t>.</w:t>
      </w:r>
    </w:p>
    <w:p w14:paraId="1126FBD9" w14:textId="2A7DAE52" w:rsidR="00B67CAE" w:rsidRPr="00B67CAE" w:rsidRDefault="00B67CAE" w:rsidP="00EA4E1B">
      <w:pPr>
        <w:pStyle w:val="TAMainText"/>
        <w:numPr>
          <w:ilvl w:val="0"/>
          <w:numId w:val="1"/>
        </w:numPr>
        <w:rPr>
          <w:lang w:val="pt-BR"/>
        </w:rPr>
      </w:pPr>
      <w:r>
        <w:rPr>
          <w:lang w:val="pt-BR"/>
        </w:rPr>
        <w:t>G.</w:t>
      </w:r>
      <w:r w:rsidRPr="00B67CAE">
        <w:rPr>
          <w:lang w:val="pt-BR"/>
        </w:rPr>
        <w:t xml:space="preserve"> </w:t>
      </w:r>
      <w:proofErr w:type="spellStart"/>
      <w:r w:rsidRPr="00B67CAE">
        <w:rPr>
          <w:lang w:val="pt-BR"/>
        </w:rPr>
        <w:t>Pampararo</w:t>
      </w:r>
      <w:proofErr w:type="spellEnd"/>
      <w:r>
        <w:rPr>
          <w:lang w:val="pt-BR"/>
        </w:rPr>
        <w:t xml:space="preserve">, G. </w:t>
      </w:r>
      <w:proofErr w:type="spellStart"/>
      <w:r w:rsidRPr="00B67CAE">
        <w:rPr>
          <w:lang w:val="pt-BR"/>
        </w:rPr>
        <w:t>Garbarino</w:t>
      </w:r>
      <w:proofErr w:type="spellEnd"/>
      <w:r>
        <w:rPr>
          <w:lang w:val="pt-BR"/>
        </w:rPr>
        <w:t xml:space="preserve">, P. </w:t>
      </w:r>
      <w:proofErr w:type="spellStart"/>
      <w:r w:rsidRPr="00B67CAE">
        <w:rPr>
          <w:lang w:val="pt-BR"/>
        </w:rPr>
        <w:t>Riani</w:t>
      </w:r>
      <w:proofErr w:type="spellEnd"/>
      <w:r>
        <w:rPr>
          <w:lang w:val="pt-BR"/>
        </w:rPr>
        <w:t>, M.</w:t>
      </w:r>
      <w:r w:rsidRPr="00B67CAE">
        <w:rPr>
          <w:lang w:val="pt-BR"/>
        </w:rPr>
        <w:t xml:space="preserve"> V</w:t>
      </w:r>
      <w:r>
        <w:rPr>
          <w:lang w:val="pt-BR"/>
        </w:rPr>
        <w:t>.</w:t>
      </w:r>
      <w:r w:rsidRPr="00B67CAE">
        <w:rPr>
          <w:lang w:val="pt-BR"/>
        </w:rPr>
        <w:t xml:space="preserve"> </w:t>
      </w:r>
      <w:proofErr w:type="spellStart"/>
      <w:proofErr w:type="gramStart"/>
      <w:r w:rsidRPr="00B67CAE">
        <w:rPr>
          <w:lang w:val="pt-BR"/>
        </w:rPr>
        <w:t>García</w:t>
      </w:r>
      <w:r>
        <w:rPr>
          <w:lang w:val="pt-BR"/>
        </w:rPr>
        <w:t>,V</w:t>
      </w:r>
      <w:proofErr w:type="spellEnd"/>
      <w:r>
        <w:rPr>
          <w:lang w:val="pt-BR"/>
        </w:rPr>
        <w:t>.</w:t>
      </w:r>
      <w:proofErr w:type="gramEnd"/>
      <w:r>
        <w:rPr>
          <w:lang w:val="pt-BR"/>
        </w:rPr>
        <w:t xml:space="preserve"> S. </w:t>
      </w:r>
      <w:proofErr w:type="spellStart"/>
      <w:r w:rsidRPr="00B67CAE">
        <w:rPr>
          <w:lang w:val="pt-BR"/>
        </w:rPr>
        <w:t>Escribano</w:t>
      </w:r>
      <w:proofErr w:type="spellEnd"/>
      <w:r>
        <w:rPr>
          <w:lang w:val="pt-BR"/>
        </w:rPr>
        <w:t xml:space="preserve">, G. </w:t>
      </w:r>
      <w:r w:rsidRPr="00B67CAE">
        <w:rPr>
          <w:lang w:val="pt-BR"/>
        </w:rPr>
        <w:t>Busc</w:t>
      </w:r>
      <w:r>
        <w:rPr>
          <w:lang w:val="pt-BR"/>
        </w:rPr>
        <w:t xml:space="preserve">a. </w:t>
      </w:r>
      <w:r w:rsidRPr="00B67CAE">
        <w:rPr>
          <w:i/>
          <w:iCs/>
          <w:lang w:val="pt-BR"/>
        </w:rPr>
        <w:t xml:space="preserve">Applied </w:t>
      </w:r>
      <w:proofErr w:type="spellStart"/>
      <w:r w:rsidRPr="00B67CAE">
        <w:rPr>
          <w:i/>
          <w:iCs/>
          <w:lang w:val="pt-BR"/>
        </w:rPr>
        <w:t>Catalysis</w:t>
      </w:r>
      <w:proofErr w:type="spellEnd"/>
      <w:r w:rsidRPr="00B67CAE">
        <w:rPr>
          <w:i/>
          <w:iCs/>
          <w:lang w:val="pt-BR"/>
        </w:rPr>
        <w:t xml:space="preserve"> A, General</w:t>
      </w:r>
      <w:r>
        <w:rPr>
          <w:lang w:val="pt-BR"/>
        </w:rPr>
        <w:t xml:space="preserve">, </w:t>
      </w:r>
      <w:r w:rsidRPr="00B67CAE">
        <w:rPr>
          <w:b/>
          <w:bCs/>
          <w:lang w:val="pt-BR"/>
        </w:rPr>
        <w:t>2020</w:t>
      </w:r>
      <w:r>
        <w:rPr>
          <w:lang w:val="pt-BR"/>
        </w:rPr>
        <w:t>, 602, 117710.</w:t>
      </w:r>
    </w:p>
    <w:p w14:paraId="19BFC04F" w14:textId="4272BADE" w:rsidR="00F965D5" w:rsidRDefault="00F965D5" w:rsidP="00EA4E1B">
      <w:pPr>
        <w:pStyle w:val="TAMainText"/>
        <w:numPr>
          <w:ilvl w:val="0"/>
          <w:numId w:val="1"/>
        </w:numPr>
        <w:rPr>
          <w:lang w:val="pt-BR"/>
        </w:rPr>
      </w:pPr>
      <w:r>
        <w:rPr>
          <w:lang w:val="pt-BR"/>
        </w:rPr>
        <w:t>Z,</w:t>
      </w:r>
      <w:r w:rsidRPr="00F965D5">
        <w:rPr>
          <w:lang w:val="pt-BR"/>
        </w:rPr>
        <w:t xml:space="preserve"> Wang</w:t>
      </w:r>
      <w:r>
        <w:rPr>
          <w:lang w:val="pt-BR"/>
        </w:rPr>
        <w:t xml:space="preserve">, M. </w:t>
      </w:r>
      <w:r w:rsidRPr="00F965D5">
        <w:rPr>
          <w:lang w:val="pt-BR"/>
        </w:rPr>
        <w:t>Yin</w:t>
      </w:r>
      <w:r>
        <w:rPr>
          <w:lang w:val="pt-BR"/>
        </w:rPr>
        <w:t xml:space="preserve">, J. </w:t>
      </w:r>
      <w:proofErr w:type="spellStart"/>
      <w:r w:rsidRPr="00F965D5">
        <w:rPr>
          <w:lang w:val="pt-BR"/>
        </w:rPr>
        <w:t>Pang</w:t>
      </w:r>
      <w:proofErr w:type="spellEnd"/>
      <w:r>
        <w:rPr>
          <w:lang w:val="pt-BR"/>
        </w:rPr>
        <w:t xml:space="preserve">, X. </w:t>
      </w:r>
      <w:r w:rsidRPr="00F965D5">
        <w:rPr>
          <w:lang w:val="pt-BR"/>
        </w:rPr>
        <w:t>Li</w:t>
      </w:r>
      <w:r>
        <w:rPr>
          <w:lang w:val="pt-BR"/>
        </w:rPr>
        <w:t xml:space="preserve">, Y. </w:t>
      </w:r>
      <w:r w:rsidRPr="00F965D5">
        <w:rPr>
          <w:lang w:val="pt-BR"/>
        </w:rPr>
        <w:t>Xing</w:t>
      </w:r>
      <w:r>
        <w:rPr>
          <w:lang w:val="pt-BR"/>
        </w:rPr>
        <w:t xml:space="preserve">, Y. </w:t>
      </w:r>
      <w:proofErr w:type="spellStart"/>
      <w:r w:rsidRPr="00F965D5">
        <w:rPr>
          <w:lang w:val="pt-BR"/>
        </w:rPr>
        <w:t>Su</w:t>
      </w:r>
      <w:proofErr w:type="spellEnd"/>
      <w:r>
        <w:rPr>
          <w:lang w:val="pt-BR"/>
        </w:rPr>
        <w:t xml:space="preserve">, S. </w:t>
      </w:r>
      <w:r w:rsidRPr="00F965D5">
        <w:rPr>
          <w:lang w:val="pt-BR"/>
        </w:rPr>
        <w:t>Liu</w:t>
      </w:r>
      <w:r>
        <w:rPr>
          <w:lang w:val="pt-BR"/>
        </w:rPr>
        <w:t xml:space="preserve">, X. </w:t>
      </w:r>
      <w:r w:rsidRPr="00F965D5">
        <w:rPr>
          <w:lang w:val="pt-BR"/>
        </w:rPr>
        <w:t>Liu</w:t>
      </w:r>
      <w:r>
        <w:rPr>
          <w:lang w:val="pt-BR"/>
        </w:rPr>
        <w:t xml:space="preserve">, P. </w:t>
      </w:r>
      <w:r w:rsidRPr="00F965D5">
        <w:rPr>
          <w:lang w:val="pt-BR"/>
        </w:rPr>
        <w:t>Wu</w:t>
      </w:r>
      <w:r>
        <w:rPr>
          <w:lang w:val="pt-BR"/>
        </w:rPr>
        <w:t xml:space="preserve">, M. </w:t>
      </w:r>
      <w:r w:rsidRPr="00F965D5">
        <w:rPr>
          <w:lang w:val="pt-BR"/>
        </w:rPr>
        <w:t>Zheng</w:t>
      </w:r>
      <w:r>
        <w:rPr>
          <w:lang w:val="pt-BR"/>
        </w:rPr>
        <w:t xml:space="preserve">, T. </w:t>
      </w:r>
      <w:r w:rsidRPr="00F965D5">
        <w:rPr>
          <w:lang w:val="pt-BR"/>
        </w:rPr>
        <w:t>Zhang</w:t>
      </w:r>
      <w:r>
        <w:rPr>
          <w:lang w:val="pt-BR"/>
        </w:rPr>
        <w:t>.</w:t>
      </w:r>
      <w:r w:rsidR="004145FF">
        <w:rPr>
          <w:lang w:val="pt-BR"/>
        </w:rPr>
        <w:t xml:space="preserve"> </w:t>
      </w:r>
      <w:proofErr w:type="spellStart"/>
      <w:r w:rsidR="004145FF" w:rsidRPr="004145FF">
        <w:rPr>
          <w:i/>
          <w:iCs/>
          <w:lang w:val="pt-BR"/>
        </w:rPr>
        <w:t>Journal</w:t>
      </w:r>
      <w:proofErr w:type="spellEnd"/>
      <w:r w:rsidR="004145FF" w:rsidRPr="004145FF">
        <w:rPr>
          <w:i/>
          <w:iCs/>
          <w:lang w:val="pt-BR"/>
        </w:rPr>
        <w:t xml:space="preserve"> </w:t>
      </w:r>
      <w:proofErr w:type="spellStart"/>
      <w:r w:rsidR="004145FF" w:rsidRPr="004145FF">
        <w:rPr>
          <w:i/>
          <w:iCs/>
          <w:lang w:val="pt-BR"/>
        </w:rPr>
        <w:t>of</w:t>
      </w:r>
      <w:proofErr w:type="spellEnd"/>
      <w:r w:rsidR="004145FF" w:rsidRPr="004145FF">
        <w:rPr>
          <w:i/>
          <w:iCs/>
          <w:lang w:val="pt-BR"/>
        </w:rPr>
        <w:t xml:space="preserve"> Energy </w:t>
      </w:r>
      <w:proofErr w:type="spellStart"/>
      <w:r w:rsidR="004145FF" w:rsidRPr="004145FF">
        <w:rPr>
          <w:i/>
          <w:iCs/>
          <w:lang w:val="pt-BR"/>
        </w:rPr>
        <w:t>Chemistry</w:t>
      </w:r>
      <w:proofErr w:type="spellEnd"/>
      <w:r w:rsidR="004145FF">
        <w:rPr>
          <w:lang w:val="pt-BR"/>
        </w:rPr>
        <w:t xml:space="preserve">, </w:t>
      </w:r>
      <w:r w:rsidR="004145FF">
        <w:rPr>
          <w:b/>
          <w:bCs/>
          <w:lang w:val="pt-BR"/>
        </w:rPr>
        <w:t>2022</w:t>
      </w:r>
      <w:r w:rsidR="004145FF">
        <w:rPr>
          <w:lang w:val="pt-BR"/>
        </w:rPr>
        <w:t>, 72 306-317</w:t>
      </w:r>
    </w:p>
    <w:p w14:paraId="236AC81F" w14:textId="497C1BF8" w:rsidR="00F965D5" w:rsidRPr="00FE17A9" w:rsidRDefault="00707DC1" w:rsidP="00863514">
      <w:pPr>
        <w:pStyle w:val="TAMainText"/>
        <w:numPr>
          <w:ilvl w:val="0"/>
          <w:numId w:val="1"/>
        </w:numPr>
        <w:rPr>
          <w:lang w:val="pt-BR"/>
        </w:rPr>
      </w:pPr>
      <w:r w:rsidRPr="00FE17A9">
        <w:rPr>
          <w:lang w:val="pt-BR"/>
        </w:rPr>
        <w:t xml:space="preserve">S. Da Ros, M. D. Jones, D. </w:t>
      </w:r>
      <w:proofErr w:type="spellStart"/>
      <w:r w:rsidRPr="00FE17A9">
        <w:rPr>
          <w:lang w:val="pt-BR"/>
        </w:rPr>
        <w:t>Mattia</w:t>
      </w:r>
      <w:proofErr w:type="spellEnd"/>
      <w:r w:rsidRPr="00FE17A9">
        <w:rPr>
          <w:lang w:val="pt-BR"/>
        </w:rPr>
        <w:t xml:space="preserve">, M. </w:t>
      </w:r>
      <w:proofErr w:type="spellStart"/>
      <w:r w:rsidRPr="00FE17A9">
        <w:rPr>
          <w:lang w:val="pt-BR"/>
        </w:rPr>
        <w:t>Schwaab</w:t>
      </w:r>
      <w:proofErr w:type="spellEnd"/>
      <w:r w:rsidRPr="00FE17A9">
        <w:rPr>
          <w:lang w:val="pt-BR"/>
        </w:rPr>
        <w:t xml:space="preserve">, F. B. Noronha, J. C. Pinto. </w:t>
      </w:r>
      <w:r w:rsidR="00FE17A9" w:rsidRPr="00FE17A9">
        <w:rPr>
          <w:i/>
          <w:iCs/>
          <w:lang w:val="pt-BR"/>
        </w:rPr>
        <w:t xml:space="preserve">Applied </w:t>
      </w:r>
      <w:proofErr w:type="spellStart"/>
      <w:r w:rsidR="00FE17A9" w:rsidRPr="00FE17A9">
        <w:rPr>
          <w:i/>
          <w:iCs/>
          <w:lang w:val="pt-BR"/>
        </w:rPr>
        <w:t>Catalysis</w:t>
      </w:r>
      <w:proofErr w:type="spellEnd"/>
      <w:r w:rsidR="00FE17A9" w:rsidRPr="00FE17A9">
        <w:rPr>
          <w:i/>
          <w:iCs/>
          <w:lang w:val="pt-BR"/>
        </w:rPr>
        <w:t xml:space="preserve"> A: General</w:t>
      </w:r>
      <w:r w:rsidR="00FE17A9" w:rsidRPr="00FE17A9">
        <w:rPr>
          <w:lang w:val="pt-BR"/>
        </w:rPr>
        <w:t xml:space="preserve">, </w:t>
      </w:r>
      <w:r w:rsidR="00FE17A9" w:rsidRPr="00FE17A9">
        <w:rPr>
          <w:b/>
          <w:bCs/>
          <w:lang w:val="pt-BR"/>
        </w:rPr>
        <w:t>2017</w:t>
      </w:r>
      <w:r w:rsidR="00FE17A9" w:rsidRPr="00FE17A9">
        <w:rPr>
          <w:lang w:val="pt-BR"/>
        </w:rPr>
        <w:t>, 530, 37-47</w:t>
      </w:r>
      <w:r w:rsidR="00FE17A9">
        <w:rPr>
          <w:lang w:val="pt-BR"/>
        </w:rPr>
        <w:t>.</w:t>
      </w:r>
    </w:p>
    <w:p w14:paraId="611917EA" w14:textId="213F039B" w:rsidR="00F965D5" w:rsidRPr="00707507" w:rsidRDefault="005954F5" w:rsidP="00EA4E1B">
      <w:pPr>
        <w:pStyle w:val="TAMainText"/>
        <w:numPr>
          <w:ilvl w:val="0"/>
          <w:numId w:val="1"/>
        </w:numPr>
      </w:pPr>
      <w:r>
        <w:t>E.</w:t>
      </w:r>
      <w:r w:rsidRPr="005954F5">
        <w:t xml:space="preserve"> V. </w:t>
      </w:r>
      <w:proofErr w:type="spellStart"/>
      <w:r w:rsidRPr="005954F5">
        <w:t>Makshina</w:t>
      </w:r>
      <w:proofErr w:type="spellEnd"/>
      <w:r w:rsidRPr="005954F5">
        <w:t>,</w:t>
      </w:r>
      <w:r>
        <w:t xml:space="preserve"> M. </w:t>
      </w:r>
      <w:proofErr w:type="spellStart"/>
      <w:r w:rsidRPr="005954F5">
        <w:t>Dusselier</w:t>
      </w:r>
      <w:proofErr w:type="spellEnd"/>
      <w:r w:rsidRPr="005954F5">
        <w:t>,</w:t>
      </w:r>
      <w:r>
        <w:t xml:space="preserve"> W. </w:t>
      </w:r>
      <w:r w:rsidRPr="005954F5">
        <w:t>Janssens,</w:t>
      </w:r>
      <w:r>
        <w:t xml:space="preserve"> J. </w:t>
      </w:r>
      <w:proofErr w:type="spellStart"/>
      <w:r w:rsidRPr="005954F5">
        <w:t>Degr</w:t>
      </w:r>
      <w:r>
        <w:t>è</w:t>
      </w:r>
      <w:r w:rsidRPr="005954F5">
        <w:t>ve</w:t>
      </w:r>
      <w:proofErr w:type="spellEnd"/>
      <w:r w:rsidRPr="005954F5">
        <w:t>,</w:t>
      </w:r>
      <w:r>
        <w:t xml:space="preserve"> P. </w:t>
      </w:r>
      <w:r w:rsidRPr="005954F5">
        <w:t>A. Jacobs</w:t>
      </w:r>
      <w:r>
        <w:t xml:space="preserve">, B. </w:t>
      </w:r>
      <w:r w:rsidRPr="005954F5">
        <w:t>F. Sels</w:t>
      </w:r>
      <w:r>
        <w:t xml:space="preserve">. </w:t>
      </w:r>
      <w:proofErr w:type="spellStart"/>
      <w:r w:rsidR="005A519B" w:rsidRPr="00B9437B">
        <w:rPr>
          <w:i/>
          <w:iCs/>
          <w:lang w:val="pt-BR"/>
        </w:rPr>
        <w:t>Chem</w:t>
      </w:r>
      <w:proofErr w:type="spellEnd"/>
      <w:r w:rsidR="005A519B" w:rsidRPr="00B9437B">
        <w:rPr>
          <w:i/>
          <w:iCs/>
          <w:lang w:val="pt-BR"/>
        </w:rPr>
        <w:t xml:space="preserve">. Soc. </w:t>
      </w:r>
      <w:proofErr w:type="spellStart"/>
      <w:r w:rsidR="005A519B" w:rsidRPr="00B9437B">
        <w:rPr>
          <w:i/>
          <w:iCs/>
          <w:lang w:val="pt-BR"/>
        </w:rPr>
        <w:t>Rev</w:t>
      </w:r>
      <w:proofErr w:type="spellEnd"/>
      <w:r w:rsidR="005A519B">
        <w:rPr>
          <w:lang w:val="pt-BR"/>
        </w:rPr>
        <w:t xml:space="preserve">, </w:t>
      </w:r>
      <w:r w:rsidR="005A519B">
        <w:rPr>
          <w:b/>
          <w:bCs/>
          <w:lang w:val="pt-BR"/>
        </w:rPr>
        <w:t>2014</w:t>
      </w:r>
      <w:r w:rsidR="005A519B">
        <w:rPr>
          <w:lang w:val="pt-BR"/>
        </w:rPr>
        <w:t>, 43, 7917-7953.</w:t>
      </w:r>
    </w:p>
    <w:p w14:paraId="6ABEDEA2" w14:textId="4DD250D0" w:rsidR="00707507" w:rsidRDefault="00707507" w:rsidP="00EA4E1B">
      <w:pPr>
        <w:pStyle w:val="TAMainText"/>
        <w:numPr>
          <w:ilvl w:val="0"/>
          <w:numId w:val="1"/>
        </w:numPr>
        <w:rPr>
          <w:lang w:val="pt-BR"/>
        </w:rPr>
      </w:pPr>
      <w:r>
        <w:rPr>
          <w:lang w:val="pt-BR"/>
        </w:rPr>
        <w:t xml:space="preserve">G. </w:t>
      </w:r>
      <w:proofErr w:type="spellStart"/>
      <w:r w:rsidRPr="00707507">
        <w:rPr>
          <w:lang w:val="pt-BR"/>
        </w:rPr>
        <w:t>Pomalaza</w:t>
      </w:r>
      <w:proofErr w:type="spellEnd"/>
      <w:r w:rsidRPr="00707507">
        <w:rPr>
          <w:lang w:val="pt-BR"/>
        </w:rPr>
        <w:t>,</w:t>
      </w:r>
      <w:r>
        <w:rPr>
          <w:lang w:val="pt-BR"/>
        </w:rPr>
        <w:t xml:space="preserve"> P. A. </w:t>
      </w:r>
      <w:proofErr w:type="spellStart"/>
      <w:r w:rsidRPr="00707507">
        <w:rPr>
          <w:lang w:val="pt-BR"/>
        </w:rPr>
        <w:t>Ponton</w:t>
      </w:r>
      <w:proofErr w:type="spellEnd"/>
      <w:r w:rsidRPr="00707507">
        <w:rPr>
          <w:lang w:val="pt-BR"/>
        </w:rPr>
        <w:t>,</w:t>
      </w:r>
      <w:r>
        <w:rPr>
          <w:lang w:val="pt-BR"/>
        </w:rPr>
        <w:t xml:space="preserve"> M. </w:t>
      </w:r>
      <w:proofErr w:type="spellStart"/>
      <w:r w:rsidRPr="00707507">
        <w:rPr>
          <w:lang w:val="pt-BR"/>
        </w:rPr>
        <w:t>Caprona</w:t>
      </w:r>
      <w:proofErr w:type="spellEnd"/>
      <w:r>
        <w:rPr>
          <w:lang w:val="pt-BR"/>
        </w:rPr>
        <w:t xml:space="preserve">, F. </w:t>
      </w:r>
      <w:proofErr w:type="spellStart"/>
      <w:r w:rsidRPr="00707507">
        <w:rPr>
          <w:lang w:val="pt-BR"/>
        </w:rPr>
        <w:t>Dumeignil</w:t>
      </w:r>
      <w:proofErr w:type="spellEnd"/>
      <w:r>
        <w:rPr>
          <w:lang w:val="pt-BR"/>
        </w:rPr>
        <w:t xml:space="preserve">. </w:t>
      </w:r>
      <w:r w:rsidRPr="00707507">
        <w:rPr>
          <w:i/>
          <w:iCs/>
          <w:lang w:val="pt-BR"/>
        </w:rPr>
        <w:t xml:space="preserve">Catal. </w:t>
      </w:r>
      <w:proofErr w:type="spellStart"/>
      <w:r w:rsidRPr="00707507">
        <w:rPr>
          <w:i/>
          <w:iCs/>
          <w:lang w:val="pt-BR"/>
        </w:rPr>
        <w:t>Sci</w:t>
      </w:r>
      <w:proofErr w:type="spellEnd"/>
      <w:r w:rsidRPr="00707507">
        <w:rPr>
          <w:i/>
          <w:iCs/>
          <w:lang w:val="pt-BR"/>
        </w:rPr>
        <w:t xml:space="preserve">. </w:t>
      </w:r>
      <w:proofErr w:type="spellStart"/>
      <w:r w:rsidRPr="00707507">
        <w:rPr>
          <w:i/>
          <w:iCs/>
          <w:lang w:val="pt-BR"/>
        </w:rPr>
        <w:t>Technol</w:t>
      </w:r>
      <w:proofErr w:type="spellEnd"/>
      <w:r w:rsidRPr="00707507">
        <w:rPr>
          <w:i/>
          <w:iCs/>
          <w:lang w:val="pt-BR"/>
        </w:rPr>
        <w:t>.</w:t>
      </w:r>
      <w:r w:rsidRPr="00707507">
        <w:rPr>
          <w:lang w:val="pt-BR"/>
        </w:rPr>
        <w:t xml:space="preserve">, </w:t>
      </w:r>
      <w:r w:rsidRPr="00707507">
        <w:rPr>
          <w:b/>
          <w:bCs/>
          <w:lang w:val="pt-BR"/>
        </w:rPr>
        <w:t>2020</w:t>
      </w:r>
      <w:r w:rsidRPr="00707507">
        <w:rPr>
          <w:lang w:val="pt-BR"/>
        </w:rPr>
        <w:t>,</w:t>
      </w:r>
      <w:r>
        <w:rPr>
          <w:lang w:val="pt-BR"/>
        </w:rPr>
        <w:t xml:space="preserve"> </w:t>
      </w:r>
      <w:r w:rsidRPr="00707507">
        <w:rPr>
          <w:lang w:val="pt-BR"/>
        </w:rPr>
        <w:t>10, 4860-4911</w:t>
      </w:r>
      <w:r w:rsidR="00396F97">
        <w:rPr>
          <w:lang w:val="pt-BR"/>
        </w:rPr>
        <w:t>.</w:t>
      </w:r>
    </w:p>
    <w:p w14:paraId="1C2315D2" w14:textId="0BEFA299" w:rsidR="0001443D" w:rsidRDefault="0001443D" w:rsidP="00EA4E1B">
      <w:pPr>
        <w:pStyle w:val="TAMainText"/>
        <w:numPr>
          <w:ilvl w:val="0"/>
          <w:numId w:val="1"/>
        </w:numPr>
      </w:pPr>
      <w:r>
        <w:t>C.</w:t>
      </w:r>
      <w:r w:rsidRPr="0001443D">
        <w:t xml:space="preserve"> </w:t>
      </w:r>
      <w:proofErr w:type="spellStart"/>
      <w:r w:rsidRPr="0001443D">
        <w:t>Angelici</w:t>
      </w:r>
      <w:proofErr w:type="spellEnd"/>
      <w:r w:rsidRPr="0001443D">
        <w:t>,</w:t>
      </w:r>
      <w:r>
        <w:t xml:space="preserve"> M. </w:t>
      </w:r>
      <w:r w:rsidRPr="0001443D">
        <w:t xml:space="preserve">E. Z. </w:t>
      </w:r>
      <w:proofErr w:type="spellStart"/>
      <w:r w:rsidRPr="0001443D">
        <w:t>Velthoen</w:t>
      </w:r>
      <w:proofErr w:type="spellEnd"/>
      <w:r w:rsidRPr="0001443D">
        <w:t>,</w:t>
      </w:r>
      <w:r>
        <w:t xml:space="preserve"> B. </w:t>
      </w:r>
      <w:r w:rsidRPr="0001443D">
        <w:t xml:space="preserve">M. </w:t>
      </w:r>
      <w:proofErr w:type="spellStart"/>
      <w:r w:rsidRPr="0001443D">
        <w:t>Weckhuysen</w:t>
      </w:r>
      <w:proofErr w:type="spellEnd"/>
      <w:r>
        <w:t xml:space="preserve">, P. </w:t>
      </w:r>
      <w:r w:rsidRPr="0001443D">
        <w:t xml:space="preserve">C. A. </w:t>
      </w:r>
      <w:proofErr w:type="spellStart"/>
      <w:r w:rsidRPr="0001443D">
        <w:t>Bruijnincx</w:t>
      </w:r>
      <w:proofErr w:type="spellEnd"/>
      <w:r>
        <w:t xml:space="preserve">. </w:t>
      </w:r>
      <w:proofErr w:type="spellStart"/>
      <w:r w:rsidRPr="0001443D">
        <w:rPr>
          <w:i/>
          <w:iCs/>
        </w:rPr>
        <w:t>Catal</w:t>
      </w:r>
      <w:proofErr w:type="spellEnd"/>
      <w:r w:rsidRPr="0001443D">
        <w:rPr>
          <w:i/>
          <w:iCs/>
        </w:rPr>
        <w:t>. Sci. Technol.</w:t>
      </w:r>
      <w:r w:rsidRPr="0001443D">
        <w:t xml:space="preserve">, </w:t>
      </w:r>
      <w:r w:rsidRPr="0001443D">
        <w:rPr>
          <w:b/>
          <w:bCs/>
        </w:rPr>
        <w:t>2015</w:t>
      </w:r>
      <w:r w:rsidRPr="0001443D">
        <w:t>,</w:t>
      </w:r>
      <w:r>
        <w:t xml:space="preserve"> </w:t>
      </w:r>
      <w:r w:rsidRPr="0001443D">
        <w:t>5, 2869-2879</w:t>
      </w:r>
      <w:r>
        <w:t>.</w:t>
      </w:r>
    </w:p>
    <w:p w14:paraId="3A36969A" w14:textId="7EB18966" w:rsidR="00F965D5" w:rsidRDefault="004A7D0F" w:rsidP="00F75020">
      <w:pPr>
        <w:pStyle w:val="TAMainText"/>
        <w:numPr>
          <w:ilvl w:val="0"/>
          <w:numId w:val="1"/>
        </w:numPr>
        <w:rPr>
          <w:lang w:val="pt-BR"/>
        </w:rPr>
      </w:pPr>
      <w:r>
        <w:rPr>
          <w:lang w:val="pt-BR"/>
        </w:rPr>
        <w:lastRenderedPageBreak/>
        <w:t xml:space="preserve">J. L. </w:t>
      </w:r>
      <w:r w:rsidRPr="004A7D0F">
        <w:rPr>
          <w:lang w:val="pt-BR"/>
        </w:rPr>
        <w:t>Vieira</w:t>
      </w:r>
      <w:r>
        <w:rPr>
          <w:lang w:val="pt-BR"/>
        </w:rPr>
        <w:t xml:space="preserve">, P. </w:t>
      </w:r>
      <w:r w:rsidRPr="004A7D0F">
        <w:rPr>
          <w:lang w:val="pt-BR"/>
        </w:rPr>
        <w:t>Destro</w:t>
      </w:r>
      <w:r>
        <w:rPr>
          <w:lang w:val="pt-BR"/>
        </w:rPr>
        <w:t xml:space="preserve">, L. </w:t>
      </w:r>
      <w:r w:rsidRPr="004A7D0F">
        <w:rPr>
          <w:lang w:val="pt-BR"/>
        </w:rPr>
        <w:t xml:space="preserve">O. </w:t>
      </w:r>
      <w:proofErr w:type="spellStart"/>
      <w:r w:rsidRPr="004A7D0F">
        <w:rPr>
          <w:lang w:val="pt-BR"/>
        </w:rPr>
        <w:t>Laier</w:t>
      </w:r>
      <w:proofErr w:type="spellEnd"/>
      <w:r>
        <w:rPr>
          <w:lang w:val="pt-BR"/>
        </w:rPr>
        <w:t xml:space="preserve">, C. </w:t>
      </w:r>
      <w:r w:rsidRPr="004A7D0F">
        <w:rPr>
          <w:lang w:val="pt-BR"/>
        </w:rPr>
        <w:t>M.</w:t>
      </w:r>
      <w:r>
        <w:rPr>
          <w:lang w:val="pt-BR"/>
        </w:rPr>
        <w:t xml:space="preserve"> </w:t>
      </w:r>
      <w:r w:rsidRPr="004A7D0F">
        <w:rPr>
          <w:lang w:val="pt-BR"/>
        </w:rPr>
        <w:t>P. Marques</w:t>
      </w:r>
      <w:r>
        <w:rPr>
          <w:lang w:val="pt-BR"/>
        </w:rPr>
        <w:t xml:space="preserve">, J. M. </w:t>
      </w:r>
      <w:r w:rsidRPr="004A7D0F">
        <w:rPr>
          <w:lang w:val="pt-BR"/>
        </w:rPr>
        <w:t xml:space="preserve">R. </w:t>
      </w:r>
      <w:proofErr w:type="spellStart"/>
      <w:r w:rsidRPr="004A7D0F">
        <w:rPr>
          <w:lang w:val="pt-BR"/>
        </w:rPr>
        <w:t>Gallo</w:t>
      </w:r>
      <w:proofErr w:type="spellEnd"/>
      <w:r>
        <w:rPr>
          <w:lang w:val="pt-BR"/>
        </w:rPr>
        <w:t xml:space="preserve">, J. M. </w:t>
      </w:r>
      <w:r w:rsidRPr="004A7D0F">
        <w:rPr>
          <w:lang w:val="pt-BR"/>
        </w:rPr>
        <w:t>C. Bueno</w:t>
      </w:r>
      <w:r>
        <w:rPr>
          <w:lang w:val="pt-BR"/>
        </w:rPr>
        <w:t xml:space="preserve">. </w:t>
      </w:r>
      <w:r>
        <w:rPr>
          <w:i/>
          <w:iCs/>
          <w:lang w:val="pt-BR"/>
        </w:rPr>
        <w:t xml:space="preserve">Molecular </w:t>
      </w:r>
      <w:proofErr w:type="spellStart"/>
      <w:r>
        <w:rPr>
          <w:i/>
          <w:iCs/>
          <w:lang w:val="pt-BR"/>
        </w:rPr>
        <w:t>Catalysis</w:t>
      </w:r>
      <w:proofErr w:type="spellEnd"/>
      <w:r>
        <w:rPr>
          <w:lang w:val="pt-BR"/>
        </w:rPr>
        <w:t xml:space="preserve">, </w:t>
      </w:r>
      <w:r>
        <w:rPr>
          <w:b/>
          <w:bCs/>
          <w:lang w:val="pt-BR"/>
        </w:rPr>
        <w:t>2022</w:t>
      </w:r>
      <w:r>
        <w:rPr>
          <w:lang w:val="pt-BR"/>
        </w:rPr>
        <w:t>, 532, 112718.</w:t>
      </w:r>
    </w:p>
    <w:p w14:paraId="2272805B" w14:textId="63CF851F" w:rsidR="003011F6" w:rsidRPr="003D21F5" w:rsidRDefault="003D21F5" w:rsidP="00F05B79">
      <w:pPr>
        <w:pStyle w:val="TAMainText"/>
        <w:numPr>
          <w:ilvl w:val="0"/>
          <w:numId w:val="1"/>
        </w:numPr>
        <w:rPr>
          <w:lang w:val="pt-BR"/>
        </w:rPr>
      </w:pPr>
      <w:r w:rsidRPr="003D21F5">
        <w:rPr>
          <w:lang w:val="pt-BR"/>
        </w:rPr>
        <w:t xml:space="preserve">J. I. Di Cosimo, C. R. </w:t>
      </w:r>
      <w:proofErr w:type="spellStart"/>
      <w:r w:rsidRPr="003D21F5">
        <w:rPr>
          <w:lang w:val="pt-BR"/>
        </w:rPr>
        <w:t>Apesteguía</w:t>
      </w:r>
      <w:proofErr w:type="spellEnd"/>
      <w:r w:rsidRPr="003D21F5">
        <w:rPr>
          <w:lang w:val="pt-BR"/>
        </w:rPr>
        <w:t xml:space="preserve">, M. J. L. Ginés, E. </w:t>
      </w:r>
      <w:proofErr w:type="spellStart"/>
      <w:r w:rsidRPr="003D21F5">
        <w:rPr>
          <w:lang w:val="pt-BR"/>
        </w:rPr>
        <w:t>Iglesia</w:t>
      </w:r>
      <w:proofErr w:type="spellEnd"/>
      <w:r>
        <w:rPr>
          <w:lang w:val="pt-BR"/>
        </w:rPr>
        <w:t xml:space="preserve">. </w:t>
      </w:r>
      <w:proofErr w:type="spellStart"/>
      <w:r>
        <w:rPr>
          <w:i/>
          <w:iCs/>
          <w:lang w:val="pt-BR"/>
        </w:rPr>
        <w:t>J</w:t>
      </w:r>
      <w:r w:rsidRPr="003D21F5">
        <w:rPr>
          <w:i/>
          <w:iCs/>
          <w:lang w:val="pt-BR"/>
        </w:rPr>
        <w:t>ournal</w:t>
      </w:r>
      <w:proofErr w:type="spellEnd"/>
      <w:r w:rsidRPr="003D21F5">
        <w:rPr>
          <w:i/>
          <w:iCs/>
          <w:lang w:val="pt-BR"/>
        </w:rPr>
        <w:t xml:space="preserve"> </w:t>
      </w:r>
      <w:proofErr w:type="spellStart"/>
      <w:r w:rsidRPr="003D21F5">
        <w:rPr>
          <w:i/>
          <w:iCs/>
          <w:lang w:val="pt-BR"/>
        </w:rPr>
        <w:t>of</w:t>
      </w:r>
      <w:proofErr w:type="spellEnd"/>
      <w:r w:rsidRPr="003D21F5">
        <w:rPr>
          <w:i/>
          <w:iCs/>
          <w:lang w:val="pt-BR"/>
        </w:rPr>
        <w:t xml:space="preserve"> </w:t>
      </w:r>
      <w:proofErr w:type="spellStart"/>
      <w:r w:rsidRPr="003D21F5">
        <w:rPr>
          <w:i/>
          <w:iCs/>
          <w:lang w:val="pt-BR"/>
        </w:rPr>
        <w:t>Catalysis</w:t>
      </w:r>
      <w:proofErr w:type="spellEnd"/>
      <w:r w:rsidRPr="003D21F5">
        <w:rPr>
          <w:lang w:val="pt-BR"/>
        </w:rPr>
        <w:t xml:space="preserve"> </w:t>
      </w:r>
      <w:r w:rsidRPr="003D21F5">
        <w:rPr>
          <w:b/>
          <w:bCs/>
          <w:lang w:val="pt-BR"/>
        </w:rPr>
        <w:t>2000</w:t>
      </w:r>
      <w:r>
        <w:rPr>
          <w:lang w:val="pt-BR"/>
        </w:rPr>
        <w:t xml:space="preserve">, </w:t>
      </w:r>
      <w:r w:rsidRPr="003D21F5">
        <w:rPr>
          <w:lang w:val="pt-BR"/>
        </w:rPr>
        <w:t>190, 261–275</w:t>
      </w:r>
      <w:r>
        <w:rPr>
          <w:lang w:val="pt-BR"/>
        </w:rPr>
        <w:t>.</w:t>
      </w:r>
    </w:p>
    <w:p w14:paraId="58716424" w14:textId="5B3EE1B7" w:rsidR="007B4B2B" w:rsidRPr="003D21F5" w:rsidRDefault="007B4B2B" w:rsidP="00FC6A34">
      <w:pPr>
        <w:pStyle w:val="TAMainText"/>
        <w:ind w:left="360" w:firstLine="0"/>
        <w:rPr>
          <w:color w:val="FF0000"/>
          <w:lang w:val="pt-BR"/>
        </w:rPr>
      </w:pPr>
    </w:p>
    <w:sectPr w:rsidR="007B4B2B" w:rsidRPr="003D21F5"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19853" w14:textId="77777777" w:rsidR="00AE1158" w:rsidRDefault="00AE1158" w:rsidP="00EA4E1B">
      <w:pPr>
        <w:spacing w:after="0" w:line="240" w:lineRule="auto"/>
      </w:pPr>
      <w:r>
        <w:separator/>
      </w:r>
    </w:p>
  </w:endnote>
  <w:endnote w:type="continuationSeparator" w:id="0">
    <w:p w14:paraId="329109AA" w14:textId="77777777" w:rsidR="00AE1158" w:rsidRDefault="00AE1158"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AA333" w14:textId="77777777" w:rsidR="00AE1158" w:rsidRDefault="00AE1158" w:rsidP="00EA4E1B">
      <w:pPr>
        <w:spacing w:after="0" w:line="240" w:lineRule="auto"/>
      </w:pPr>
      <w:r>
        <w:separator/>
      </w:r>
    </w:p>
  </w:footnote>
  <w:footnote w:type="continuationSeparator" w:id="0">
    <w:p w14:paraId="2FE130C5" w14:textId="77777777" w:rsidR="00AE1158" w:rsidRDefault="00AE1158"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1571542708" name="Imagem 157154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150095630" name="Imagem 150095630"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D36459BA"/>
    <w:lvl w:ilvl="0">
      <w:start w:val="1"/>
      <w:numFmt w:val="decimal"/>
      <w:lvlText w:val="%1."/>
      <w:lvlJc w:val="left"/>
      <w:pPr>
        <w:tabs>
          <w:tab w:val="num" w:pos="360"/>
        </w:tabs>
        <w:ind w:left="360" w:hanging="360"/>
      </w:pPr>
      <w:rPr>
        <w:i w:val="0"/>
        <w:iCs w:val="0"/>
      </w:r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6887"/>
    <w:rsid w:val="0001264A"/>
    <w:rsid w:val="0001443D"/>
    <w:rsid w:val="000151D0"/>
    <w:rsid w:val="00021925"/>
    <w:rsid w:val="0003252E"/>
    <w:rsid w:val="000329CA"/>
    <w:rsid w:val="00034C93"/>
    <w:rsid w:val="00044473"/>
    <w:rsid w:val="00045AA0"/>
    <w:rsid w:val="00047C53"/>
    <w:rsid w:val="00060DA2"/>
    <w:rsid w:val="00061A72"/>
    <w:rsid w:val="00062E34"/>
    <w:rsid w:val="00074250"/>
    <w:rsid w:val="00091117"/>
    <w:rsid w:val="00092E74"/>
    <w:rsid w:val="000A78A0"/>
    <w:rsid w:val="000C09A3"/>
    <w:rsid w:val="000D3DC2"/>
    <w:rsid w:val="000E0533"/>
    <w:rsid w:val="000F1D24"/>
    <w:rsid w:val="000F34F9"/>
    <w:rsid w:val="000F374F"/>
    <w:rsid w:val="001004B7"/>
    <w:rsid w:val="00104F26"/>
    <w:rsid w:val="0012105C"/>
    <w:rsid w:val="00123B9B"/>
    <w:rsid w:val="00123C37"/>
    <w:rsid w:val="0012465F"/>
    <w:rsid w:val="0012636D"/>
    <w:rsid w:val="00135DD4"/>
    <w:rsid w:val="00146CAC"/>
    <w:rsid w:val="00154D7A"/>
    <w:rsid w:val="001948C6"/>
    <w:rsid w:val="001A3DD8"/>
    <w:rsid w:val="001B75D3"/>
    <w:rsid w:val="001B7771"/>
    <w:rsid w:val="001C725E"/>
    <w:rsid w:val="001C7A32"/>
    <w:rsid w:val="001D22AF"/>
    <w:rsid w:val="001D2B1B"/>
    <w:rsid w:val="001D7EB9"/>
    <w:rsid w:val="001E58A9"/>
    <w:rsid w:val="001E5BEB"/>
    <w:rsid w:val="001F25B2"/>
    <w:rsid w:val="00222230"/>
    <w:rsid w:val="00227A9D"/>
    <w:rsid w:val="002562C5"/>
    <w:rsid w:val="0026007A"/>
    <w:rsid w:val="00281C0A"/>
    <w:rsid w:val="002A0FA9"/>
    <w:rsid w:val="002A76C0"/>
    <w:rsid w:val="002C1D1A"/>
    <w:rsid w:val="002D7FE7"/>
    <w:rsid w:val="002F0040"/>
    <w:rsid w:val="002F076E"/>
    <w:rsid w:val="00300521"/>
    <w:rsid w:val="003011F6"/>
    <w:rsid w:val="0030265A"/>
    <w:rsid w:val="003266BC"/>
    <w:rsid w:val="00340B1E"/>
    <w:rsid w:val="00341F80"/>
    <w:rsid w:val="0036480A"/>
    <w:rsid w:val="00364F52"/>
    <w:rsid w:val="003665C9"/>
    <w:rsid w:val="00384647"/>
    <w:rsid w:val="003862BF"/>
    <w:rsid w:val="003938F7"/>
    <w:rsid w:val="00396F97"/>
    <w:rsid w:val="003A3546"/>
    <w:rsid w:val="003B66E4"/>
    <w:rsid w:val="003D21F5"/>
    <w:rsid w:val="003F2E9B"/>
    <w:rsid w:val="00400852"/>
    <w:rsid w:val="00402F3E"/>
    <w:rsid w:val="00406BA4"/>
    <w:rsid w:val="004145FF"/>
    <w:rsid w:val="0042114A"/>
    <w:rsid w:val="004241D0"/>
    <w:rsid w:val="00436998"/>
    <w:rsid w:val="004558FB"/>
    <w:rsid w:val="004565FA"/>
    <w:rsid w:val="0046604C"/>
    <w:rsid w:val="0046784F"/>
    <w:rsid w:val="00470DA1"/>
    <w:rsid w:val="00481BD2"/>
    <w:rsid w:val="00482E3B"/>
    <w:rsid w:val="00485A4D"/>
    <w:rsid w:val="0049185E"/>
    <w:rsid w:val="00495B7A"/>
    <w:rsid w:val="004A28B0"/>
    <w:rsid w:val="004A7D0F"/>
    <w:rsid w:val="004B46E3"/>
    <w:rsid w:val="004C0A78"/>
    <w:rsid w:val="004C1A12"/>
    <w:rsid w:val="004C67FE"/>
    <w:rsid w:val="004C6F1A"/>
    <w:rsid w:val="004D5AED"/>
    <w:rsid w:val="004F06EC"/>
    <w:rsid w:val="004F3F42"/>
    <w:rsid w:val="004F479E"/>
    <w:rsid w:val="004F5BE8"/>
    <w:rsid w:val="0052112E"/>
    <w:rsid w:val="00527CF9"/>
    <w:rsid w:val="00531445"/>
    <w:rsid w:val="00531C9D"/>
    <w:rsid w:val="0053538E"/>
    <w:rsid w:val="00540DBF"/>
    <w:rsid w:val="0054226A"/>
    <w:rsid w:val="00543792"/>
    <w:rsid w:val="00554456"/>
    <w:rsid w:val="005954F5"/>
    <w:rsid w:val="005A519B"/>
    <w:rsid w:val="005B57CF"/>
    <w:rsid w:val="005C2775"/>
    <w:rsid w:val="005C6B96"/>
    <w:rsid w:val="005D65EB"/>
    <w:rsid w:val="00603157"/>
    <w:rsid w:val="00604718"/>
    <w:rsid w:val="006421E4"/>
    <w:rsid w:val="00647EF6"/>
    <w:rsid w:val="00652815"/>
    <w:rsid w:val="00656545"/>
    <w:rsid w:val="00656CD2"/>
    <w:rsid w:val="00660442"/>
    <w:rsid w:val="00662E2B"/>
    <w:rsid w:val="0066563C"/>
    <w:rsid w:val="00670409"/>
    <w:rsid w:val="006834D0"/>
    <w:rsid w:val="0069368A"/>
    <w:rsid w:val="0069663C"/>
    <w:rsid w:val="00697EE0"/>
    <w:rsid w:val="006A2281"/>
    <w:rsid w:val="006B1E60"/>
    <w:rsid w:val="006B281F"/>
    <w:rsid w:val="006C5F35"/>
    <w:rsid w:val="006D2E29"/>
    <w:rsid w:val="006D393C"/>
    <w:rsid w:val="006D6298"/>
    <w:rsid w:val="006E28D9"/>
    <w:rsid w:val="006F453E"/>
    <w:rsid w:val="006F599B"/>
    <w:rsid w:val="00707507"/>
    <w:rsid w:val="007077A0"/>
    <w:rsid w:val="00707DC1"/>
    <w:rsid w:val="007265A0"/>
    <w:rsid w:val="007414BE"/>
    <w:rsid w:val="0074186B"/>
    <w:rsid w:val="00746580"/>
    <w:rsid w:val="007670A0"/>
    <w:rsid w:val="00780CAD"/>
    <w:rsid w:val="00781685"/>
    <w:rsid w:val="007906F0"/>
    <w:rsid w:val="007A248E"/>
    <w:rsid w:val="007A44AB"/>
    <w:rsid w:val="007B3726"/>
    <w:rsid w:val="007B46A5"/>
    <w:rsid w:val="007B4B2B"/>
    <w:rsid w:val="007B756A"/>
    <w:rsid w:val="007E031F"/>
    <w:rsid w:val="007E2677"/>
    <w:rsid w:val="007E3945"/>
    <w:rsid w:val="007E7C82"/>
    <w:rsid w:val="00801EB6"/>
    <w:rsid w:val="00805F6D"/>
    <w:rsid w:val="00820415"/>
    <w:rsid w:val="00832DAF"/>
    <w:rsid w:val="008372A5"/>
    <w:rsid w:val="00840484"/>
    <w:rsid w:val="00866822"/>
    <w:rsid w:val="00877C13"/>
    <w:rsid w:val="00890C90"/>
    <w:rsid w:val="00893655"/>
    <w:rsid w:val="008A0CCA"/>
    <w:rsid w:val="008A3E0A"/>
    <w:rsid w:val="008B1683"/>
    <w:rsid w:val="008B18FB"/>
    <w:rsid w:val="008B36CE"/>
    <w:rsid w:val="008C12CB"/>
    <w:rsid w:val="008C1B30"/>
    <w:rsid w:val="008C4EF4"/>
    <w:rsid w:val="008F75C4"/>
    <w:rsid w:val="009058D7"/>
    <w:rsid w:val="00910378"/>
    <w:rsid w:val="0091305A"/>
    <w:rsid w:val="0092489B"/>
    <w:rsid w:val="00925AD7"/>
    <w:rsid w:val="00930BEC"/>
    <w:rsid w:val="00935259"/>
    <w:rsid w:val="0093650D"/>
    <w:rsid w:val="0093702C"/>
    <w:rsid w:val="009427F0"/>
    <w:rsid w:val="00946AA3"/>
    <w:rsid w:val="009577D2"/>
    <w:rsid w:val="009656D9"/>
    <w:rsid w:val="00971D81"/>
    <w:rsid w:val="00975A58"/>
    <w:rsid w:val="00976E4B"/>
    <w:rsid w:val="009825AD"/>
    <w:rsid w:val="0098527E"/>
    <w:rsid w:val="009A18EB"/>
    <w:rsid w:val="009A44C2"/>
    <w:rsid w:val="009A5BF6"/>
    <w:rsid w:val="009A6E59"/>
    <w:rsid w:val="009C7CB0"/>
    <w:rsid w:val="009D12B5"/>
    <w:rsid w:val="009E510D"/>
    <w:rsid w:val="009F0AD9"/>
    <w:rsid w:val="009F2245"/>
    <w:rsid w:val="00A14763"/>
    <w:rsid w:val="00A15AB7"/>
    <w:rsid w:val="00A17D85"/>
    <w:rsid w:val="00A30330"/>
    <w:rsid w:val="00A3667F"/>
    <w:rsid w:val="00A63429"/>
    <w:rsid w:val="00A77A9A"/>
    <w:rsid w:val="00A82356"/>
    <w:rsid w:val="00A8294C"/>
    <w:rsid w:val="00A840C1"/>
    <w:rsid w:val="00A85F6D"/>
    <w:rsid w:val="00A87CE8"/>
    <w:rsid w:val="00A9169B"/>
    <w:rsid w:val="00A96861"/>
    <w:rsid w:val="00AA182E"/>
    <w:rsid w:val="00AA5543"/>
    <w:rsid w:val="00AC3010"/>
    <w:rsid w:val="00AC4D66"/>
    <w:rsid w:val="00AC7C88"/>
    <w:rsid w:val="00AD38BA"/>
    <w:rsid w:val="00AE1158"/>
    <w:rsid w:val="00AE460E"/>
    <w:rsid w:val="00AF0400"/>
    <w:rsid w:val="00B217B5"/>
    <w:rsid w:val="00B274A6"/>
    <w:rsid w:val="00B30AEB"/>
    <w:rsid w:val="00B671B4"/>
    <w:rsid w:val="00B67CAE"/>
    <w:rsid w:val="00B9437B"/>
    <w:rsid w:val="00B9644A"/>
    <w:rsid w:val="00BA19E8"/>
    <w:rsid w:val="00BA6A6E"/>
    <w:rsid w:val="00BA77CB"/>
    <w:rsid w:val="00BB2B7F"/>
    <w:rsid w:val="00BD1395"/>
    <w:rsid w:val="00BD19E9"/>
    <w:rsid w:val="00BD2C84"/>
    <w:rsid w:val="00BD5D42"/>
    <w:rsid w:val="00BD78D6"/>
    <w:rsid w:val="00BE555D"/>
    <w:rsid w:val="00BF0B73"/>
    <w:rsid w:val="00C03D3B"/>
    <w:rsid w:val="00C05880"/>
    <w:rsid w:val="00C14D23"/>
    <w:rsid w:val="00C24831"/>
    <w:rsid w:val="00C3201B"/>
    <w:rsid w:val="00C42AEA"/>
    <w:rsid w:val="00C44D85"/>
    <w:rsid w:val="00C71331"/>
    <w:rsid w:val="00C76E54"/>
    <w:rsid w:val="00C80660"/>
    <w:rsid w:val="00C868FB"/>
    <w:rsid w:val="00C93832"/>
    <w:rsid w:val="00CA5385"/>
    <w:rsid w:val="00CA65D6"/>
    <w:rsid w:val="00CD1AB4"/>
    <w:rsid w:val="00CD5F85"/>
    <w:rsid w:val="00CE007F"/>
    <w:rsid w:val="00CE1BC5"/>
    <w:rsid w:val="00CE5FE9"/>
    <w:rsid w:val="00D04C9B"/>
    <w:rsid w:val="00D127C4"/>
    <w:rsid w:val="00D31517"/>
    <w:rsid w:val="00D55DA5"/>
    <w:rsid w:val="00D62A3F"/>
    <w:rsid w:val="00D64CB8"/>
    <w:rsid w:val="00D74512"/>
    <w:rsid w:val="00D81CF2"/>
    <w:rsid w:val="00D87826"/>
    <w:rsid w:val="00D901AB"/>
    <w:rsid w:val="00D96135"/>
    <w:rsid w:val="00DA0B6E"/>
    <w:rsid w:val="00DA7BFE"/>
    <w:rsid w:val="00DB099B"/>
    <w:rsid w:val="00DB3111"/>
    <w:rsid w:val="00DD737B"/>
    <w:rsid w:val="00DE065F"/>
    <w:rsid w:val="00DE1FDC"/>
    <w:rsid w:val="00DE328A"/>
    <w:rsid w:val="00DF1A59"/>
    <w:rsid w:val="00DF38FE"/>
    <w:rsid w:val="00DF55DD"/>
    <w:rsid w:val="00DF6B6B"/>
    <w:rsid w:val="00E02955"/>
    <w:rsid w:val="00E02A21"/>
    <w:rsid w:val="00E03592"/>
    <w:rsid w:val="00E038AF"/>
    <w:rsid w:val="00E24306"/>
    <w:rsid w:val="00E35FDC"/>
    <w:rsid w:val="00E4526D"/>
    <w:rsid w:val="00E57041"/>
    <w:rsid w:val="00E57FDA"/>
    <w:rsid w:val="00E60DC9"/>
    <w:rsid w:val="00E71423"/>
    <w:rsid w:val="00E76E28"/>
    <w:rsid w:val="00E77F5B"/>
    <w:rsid w:val="00E81C7C"/>
    <w:rsid w:val="00E91A97"/>
    <w:rsid w:val="00EA4E1B"/>
    <w:rsid w:val="00EC2ED0"/>
    <w:rsid w:val="00ED3AD1"/>
    <w:rsid w:val="00ED57A9"/>
    <w:rsid w:val="00EE7AA0"/>
    <w:rsid w:val="00EF2C31"/>
    <w:rsid w:val="00F1065A"/>
    <w:rsid w:val="00F12554"/>
    <w:rsid w:val="00F133F3"/>
    <w:rsid w:val="00F204D7"/>
    <w:rsid w:val="00F30661"/>
    <w:rsid w:val="00F309AA"/>
    <w:rsid w:val="00F31435"/>
    <w:rsid w:val="00F37374"/>
    <w:rsid w:val="00F435FC"/>
    <w:rsid w:val="00F44761"/>
    <w:rsid w:val="00F47628"/>
    <w:rsid w:val="00F649BC"/>
    <w:rsid w:val="00F75020"/>
    <w:rsid w:val="00F917DA"/>
    <w:rsid w:val="00F9602C"/>
    <w:rsid w:val="00F965D5"/>
    <w:rsid w:val="00FB2E57"/>
    <w:rsid w:val="00FC6A34"/>
    <w:rsid w:val="00FD1EFB"/>
    <w:rsid w:val="00FE17A9"/>
    <w:rsid w:val="00FE7B6F"/>
    <w:rsid w:val="00FF1E47"/>
    <w:rsid w:val="00FF44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TextodoEspaoReservado">
    <w:name w:val="Placeholder Text"/>
    <w:basedOn w:val="Fontepargpadro"/>
    <w:uiPriority w:val="99"/>
    <w:semiHidden/>
    <w:rsid w:val="001E5BEB"/>
    <w:rPr>
      <w:color w:val="808080"/>
    </w:rPr>
  </w:style>
  <w:style w:type="paragraph" w:styleId="Corpodetexto">
    <w:name w:val="Body Text"/>
    <w:basedOn w:val="Normal"/>
    <w:link w:val="CorpodetextoChar"/>
    <w:uiPriority w:val="99"/>
    <w:unhideWhenUsed/>
    <w:rsid w:val="001E5BEB"/>
    <w:pPr>
      <w:spacing w:after="120"/>
    </w:pPr>
  </w:style>
  <w:style w:type="character" w:customStyle="1" w:styleId="CorpodetextoChar">
    <w:name w:val="Corpo de texto Char"/>
    <w:basedOn w:val="Fontepargpadro"/>
    <w:link w:val="Corpodetexto"/>
    <w:uiPriority w:val="99"/>
    <w:rsid w:val="001E5BEB"/>
  </w:style>
  <w:style w:type="character" w:styleId="Hyperlink">
    <w:name w:val="Hyperlink"/>
    <w:basedOn w:val="Fontepargpadro"/>
    <w:uiPriority w:val="99"/>
    <w:unhideWhenUsed/>
    <w:rsid w:val="001E5BEB"/>
    <w:rPr>
      <w:color w:val="0563C1" w:themeColor="hyperlink"/>
      <w:u w:val="single"/>
    </w:rPr>
  </w:style>
  <w:style w:type="character" w:styleId="MenoPendente">
    <w:name w:val="Unresolved Mention"/>
    <w:basedOn w:val="Fontepargpadro"/>
    <w:uiPriority w:val="99"/>
    <w:semiHidden/>
    <w:unhideWhenUsed/>
    <w:rsid w:val="001E5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715305">
      <w:bodyDiv w:val="1"/>
      <w:marLeft w:val="0"/>
      <w:marRight w:val="0"/>
      <w:marTop w:val="0"/>
      <w:marBottom w:val="0"/>
      <w:divBdr>
        <w:top w:val="none" w:sz="0" w:space="0" w:color="auto"/>
        <w:left w:val="none" w:sz="0" w:space="0" w:color="auto"/>
        <w:bottom w:val="none" w:sz="0" w:space="0" w:color="auto"/>
        <w:right w:val="none" w:sz="0" w:space="0" w:color="auto"/>
      </w:divBdr>
    </w:div>
    <w:div w:id="446628474">
      <w:bodyDiv w:val="1"/>
      <w:marLeft w:val="0"/>
      <w:marRight w:val="0"/>
      <w:marTop w:val="0"/>
      <w:marBottom w:val="0"/>
      <w:divBdr>
        <w:top w:val="none" w:sz="0" w:space="0" w:color="auto"/>
        <w:left w:val="none" w:sz="0" w:space="0" w:color="auto"/>
        <w:bottom w:val="none" w:sz="0" w:space="0" w:color="auto"/>
        <w:right w:val="none" w:sz="0" w:space="0" w:color="auto"/>
      </w:divBdr>
      <w:divsChild>
        <w:div w:id="1877619980">
          <w:marLeft w:val="0"/>
          <w:marRight w:val="0"/>
          <w:marTop w:val="600"/>
          <w:marBottom w:val="45"/>
          <w:divBdr>
            <w:top w:val="none" w:sz="0" w:space="0" w:color="auto"/>
            <w:left w:val="none" w:sz="0" w:space="0" w:color="auto"/>
            <w:bottom w:val="none" w:sz="0" w:space="0" w:color="auto"/>
            <w:right w:val="none" w:sz="0" w:space="0" w:color="auto"/>
          </w:divBdr>
        </w:div>
      </w:divsChild>
    </w:div>
    <w:div w:id="535199594">
      <w:bodyDiv w:val="1"/>
      <w:marLeft w:val="0"/>
      <w:marRight w:val="0"/>
      <w:marTop w:val="0"/>
      <w:marBottom w:val="0"/>
      <w:divBdr>
        <w:top w:val="none" w:sz="0" w:space="0" w:color="auto"/>
        <w:left w:val="none" w:sz="0" w:space="0" w:color="auto"/>
        <w:bottom w:val="none" w:sz="0" w:space="0" w:color="auto"/>
        <w:right w:val="none" w:sz="0" w:space="0" w:color="auto"/>
      </w:divBdr>
    </w:div>
    <w:div w:id="780613634">
      <w:bodyDiv w:val="1"/>
      <w:marLeft w:val="0"/>
      <w:marRight w:val="0"/>
      <w:marTop w:val="0"/>
      <w:marBottom w:val="0"/>
      <w:divBdr>
        <w:top w:val="none" w:sz="0" w:space="0" w:color="auto"/>
        <w:left w:val="none" w:sz="0" w:space="0" w:color="auto"/>
        <w:bottom w:val="none" w:sz="0" w:space="0" w:color="auto"/>
        <w:right w:val="none" w:sz="0" w:space="0" w:color="auto"/>
      </w:divBdr>
    </w:div>
    <w:div w:id="790441904">
      <w:bodyDiv w:val="1"/>
      <w:marLeft w:val="0"/>
      <w:marRight w:val="0"/>
      <w:marTop w:val="0"/>
      <w:marBottom w:val="0"/>
      <w:divBdr>
        <w:top w:val="none" w:sz="0" w:space="0" w:color="auto"/>
        <w:left w:val="none" w:sz="0" w:space="0" w:color="auto"/>
        <w:bottom w:val="none" w:sz="0" w:space="0" w:color="auto"/>
        <w:right w:val="none" w:sz="0" w:space="0" w:color="auto"/>
      </w:divBdr>
    </w:div>
    <w:div w:id="847213973">
      <w:bodyDiv w:val="1"/>
      <w:marLeft w:val="0"/>
      <w:marRight w:val="0"/>
      <w:marTop w:val="0"/>
      <w:marBottom w:val="0"/>
      <w:divBdr>
        <w:top w:val="none" w:sz="0" w:space="0" w:color="auto"/>
        <w:left w:val="none" w:sz="0" w:space="0" w:color="auto"/>
        <w:bottom w:val="none" w:sz="0" w:space="0" w:color="auto"/>
        <w:right w:val="none" w:sz="0" w:space="0" w:color="auto"/>
      </w:divBdr>
    </w:div>
    <w:div w:id="898983305">
      <w:bodyDiv w:val="1"/>
      <w:marLeft w:val="0"/>
      <w:marRight w:val="0"/>
      <w:marTop w:val="0"/>
      <w:marBottom w:val="0"/>
      <w:divBdr>
        <w:top w:val="none" w:sz="0" w:space="0" w:color="auto"/>
        <w:left w:val="none" w:sz="0" w:space="0" w:color="auto"/>
        <w:bottom w:val="none" w:sz="0" w:space="0" w:color="auto"/>
        <w:right w:val="none" w:sz="0" w:space="0" w:color="auto"/>
      </w:divBdr>
    </w:div>
    <w:div w:id="1101946683">
      <w:bodyDiv w:val="1"/>
      <w:marLeft w:val="0"/>
      <w:marRight w:val="0"/>
      <w:marTop w:val="0"/>
      <w:marBottom w:val="0"/>
      <w:divBdr>
        <w:top w:val="none" w:sz="0" w:space="0" w:color="auto"/>
        <w:left w:val="none" w:sz="0" w:space="0" w:color="auto"/>
        <w:bottom w:val="none" w:sz="0" w:space="0" w:color="auto"/>
        <w:right w:val="none" w:sz="0" w:space="0" w:color="auto"/>
      </w:divBdr>
    </w:div>
    <w:div w:id="1224175818">
      <w:bodyDiv w:val="1"/>
      <w:marLeft w:val="0"/>
      <w:marRight w:val="0"/>
      <w:marTop w:val="0"/>
      <w:marBottom w:val="0"/>
      <w:divBdr>
        <w:top w:val="none" w:sz="0" w:space="0" w:color="auto"/>
        <w:left w:val="none" w:sz="0" w:space="0" w:color="auto"/>
        <w:bottom w:val="none" w:sz="0" w:space="0" w:color="auto"/>
        <w:right w:val="none" w:sz="0" w:space="0" w:color="auto"/>
      </w:divBdr>
    </w:div>
    <w:div w:id="1229339477">
      <w:bodyDiv w:val="1"/>
      <w:marLeft w:val="0"/>
      <w:marRight w:val="0"/>
      <w:marTop w:val="0"/>
      <w:marBottom w:val="0"/>
      <w:divBdr>
        <w:top w:val="none" w:sz="0" w:space="0" w:color="auto"/>
        <w:left w:val="none" w:sz="0" w:space="0" w:color="auto"/>
        <w:bottom w:val="none" w:sz="0" w:space="0" w:color="auto"/>
        <w:right w:val="none" w:sz="0" w:space="0" w:color="auto"/>
      </w:divBdr>
    </w:div>
    <w:div w:id="1273904969">
      <w:bodyDiv w:val="1"/>
      <w:marLeft w:val="0"/>
      <w:marRight w:val="0"/>
      <w:marTop w:val="0"/>
      <w:marBottom w:val="0"/>
      <w:divBdr>
        <w:top w:val="none" w:sz="0" w:space="0" w:color="auto"/>
        <w:left w:val="none" w:sz="0" w:space="0" w:color="auto"/>
        <w:bottom w:val="none" w:sz="0" w:space="0" w:color="auto"/>
        <w:right w:val="none" w:sz="0" w:space="0" w:color="auto"/>
      </w:divBdr>
    </w:div>
    <w:div w:id="1424495210">
      <w:bodyDiv w:val="1"/>
      <w:marLeft w:val="0"/>
      <w:marRight w:val="0"/>
      <w:marTop w:val="0"/>
      <w:marBottom w:val="0"/>
      <w:divBdr>
        <w:top w:val="none" w:sz="0" w:space="0" w:color="auto"/>
        <w:left w:val="none" w:sz="0" w:space="0" w:color="auto"/>
        <w:bottom w:val="none" w:sz="0" w:space="0" w:color="auto"/>
        <w:right w:val="none" w:sz="0" w:space="0" w:color="auto"/>
      </w:divBdr>
      <w:divsChild>
        <w:div w:id="1198929145">
          <w:marLeft w:val="0"/>
          <w:marRight w:val="0"/>
          <w:marTop w:val="600"/>
          <w:marBottom w:val="45"/>
          <w:divBdr>
            <w:top w:val="none" w:sz="0" w:space="0" w:color="auto"/>
            <w:left w:val="none" w:sz="0" w:space="0" w:color="auto"/>
            <w:bottom w:val="none" w:sz="0" w:space="0" w:color="auto"/>
            <w:right w:val="none" w:sz="0" w:space="0" w:color="auto"/>
          </w:divBdr>
        </w:div>
      </w:divsChild>
    </w:div>
    <w:div w:id="1435981893">
      <w:bodyDiv w:val="1"/>
      <w:marLeft w:val="0"/>
      <w:marRight w:val="0"/>
      <w:marTop w:val="0"/>
      <w:marBottom w:val="0"/>
      <w:divBdr>
        <w:top w:val="none" w:sz="0" w:space="0" w:color="auto"/>
        <w:left w:val="none" w:sz="0" w:space="0" w:color="auto"/>
        <w:bottom w:val="none" w:sz="0" w:space="0" w:color="auto"/>
        <w:right w:val="none" w:sz="0" w:space="0" w:color="auto"/>
      </w:divBdr>
    </w:div>
    <w:div w:id="1475638323">
      <w:bodyDiv w:val="1"/>
      <w:marLeft w:val="0"/>
      <w:marRight w:val="0"/>
      <w:marTop w:val="0"/>
      <w:marBottom w:val="0"/>
      <w:divBdr>
        <w:top w:val="none" w:sz="0" w:space="0" w:color="auto"/>
        <w:left w:val="none" w:sz="0" w:space="0" w:color="auto"/>
        <w:bottom w:val="none" w:sz="0" w:space="0" w:color="auto"/>
        <w:right w:val="none" w:sz="0" w:space="0" w:color="auto"/>
      </w:divBdr>
    </w:div>
    <w:div w:id="1525167926">
      <w:bodyDiv w:val="1"/>
      <w:marLeft w:val="0"/>
      <w:marRight w:val="0"/>
      <w:marTop w:val="0"/>
      <w:marBottom w:val="0"/>
      <w:divBdr>
        <w:top w:val="none" w:sz="0" w:space="0" w:color="auto"/>
        <w:left w:val="none" w:sz="0" w:space="0" w:color="auto"/>
        <w:bottom w:val="none" w:sz="0" w:space="0" w:color="auto"/>
        <w:right w:val="none" w:sz="0" w:space="0" w:color="auto"/>
      </w:divBdr>
    </w:div>
    <w:div w:id="1664433710">
      <w:bodyDiv w:val="1"/>
      <w:marLeft w:val="0"/>
      <w:marRight w:val="0"/>
      <w:marTop w:val="0"/>
      <w:marBottom w:val="0"/>
      <w:divBdr>
        <w:top w:val="none" w:sz="0" w:space="0" w:color="auto"/>
        <w:left w:val="none" w:sz="0" w:space="0" w:color="auto"/>
        <w:bottom w:val="none" w:sz="0" w:space="0" w:color="auto"/>
        <w:right w:val="none" w:sz="0" w:space="0" w:color="auto"/>
      </w:divBdr>
    </w:div>
    <w:div w:id="1824882194">
      <w:bodyDiv w:val="1"/>
      <w:marLeft w:val="0"/>
      <w:marRight w:val="0"/>
      <w:marTop w:val="0"/>
      <w:marBottom w:val="0"/>
      <w:divBdr>
        <w:top w:val="none" w:sz="0" w:space="0" w:color="auto"/>
        <w:left w:val="none" w:sz="0" w:space="0" w:color="auto"/>
        <w:bottom w:val="none" w:sz="0" w:space="0" w:color="auto"/>
        <w:right w:val="none" w:sz="0" w:space="0" w:color="auto"/>
      </w:divBdr>
    </w:div>
    <w:div w:id="1861971212">
      <w:bodyDiv w:val="1"/>
      <w:marLeft w:val="0"/>
      <w:marRight w:val="0"/>
      <w:marTop w:val="0"/>
      <w:marBottom w:val="0"/>
      <w:divBdr>
        <w:top w:val="none" w:sz="0" w:space="0" w:color="auto"/>
        <w:left w:val="none" w:sz="0" w:space="0" w:color="auto"/>
        <w:bottom w:val="none" w:sz="0" w:space="0" w:color="auto"/>
        <w:right w:val="none" w:sz="0" w:space="0" w:color="auto"/>
      </w:divBdr>
    </w:div>
    <w:div w:id="190637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mayna\Desktop\UFRJ\Tese\Experimental\CG\_Nova%20Coluna_\Testes%20catal&#237;ticos\01%20Influ&#234;ncia%20da%20Temperatura\Influ&#234;ncia%20da%20Temperatur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yna\Desktop\UFRJ\Tese\Experimental\CG\_Nova%20Coluna_\Testes%20catal&#237;ticos\02%20Desempenho%20dos%20catalisadores%20450%20&#186;C\Desempenho%20dos%20catalisadores%20450%20&#186;C.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330827564339693"/>
          <c:y val="3.5270700636942674E-2"/>
          <c:w val="0.44666609417111452"/>
          <c:h val="0.73893625557951748"/>
        </c:manualLayout>
      </c:layout>
      <c:barChart>
        <c:barDir val="col"/>
        <c:grouping val="stacked"/>
        <c:varyColors val="0"/>
        <c:ser>
          <c:idx val="7"/>
          <c:order val="0"/>
          <c:tx>
            <c:strRef>
              <c:f>'Conv, Selet'!$D$35</c:f>
              <c:strCache>
                <c:ptCount val="1"/>
                <c:pt idx="0">
                  <c:v>C1-C3</c:v>
                </c:pt>
              </c:strCache>
            </c:strRef>
          </c:tx>
          <c:spPr>
            <a:solidFill>
              <a:srgbClr val="FF89C4"/>
            </a:solidFill>
            <a:ln>
              <a:noFill/>
            </a:ln>
            <a:effectLst/>
          </c:spPr>
          <c:invertIfNegative val="0"/>
          <c:cat>
            <c:numLit>
              <c:formatCode>General</c:formatCode>
              <c:ptCount val="4"/>
              <c:pt idx="0">
                <c:v>723</c:v>
              </c:pt>
              <c:pt idx="1">
                <c:v>673</c:v>
              </c:pt>
              <c:pt idx="2">
                <c:v>623</c:v>
              </c:pt>
              <c:pt idx="3">
                <c:v>573</c:v>
              </c:pt>
            </c:numLit>
          </c:cat>
          <c:val>
            <c:numRef>
              <c:f>('Conv, Selet'!$G$35,'Conv, Selet'!$J$35,'Conv, Selet'!$M$35,'Conv, Selet'!$P$35)</c:f>
              <c:numCache>
                <c:formatCode>General</c:formatCode>
                <c:ptCount val="4"/>
                <c:pt idx="0">
                  <c:v>0.70540032169086764</c:v>
                </c:pt>
                <c:pt idx="1">
                  <c:v>0.41429427893361775</c:v>
                </c:pt>
                <c:pt idx="2">
                  <c:v>0.35217466565726169</c:v>
                </c:pt>
                <c:pt idx="3">
                  <c:v>0.51687508382432501</c:v>
                </c:pt>
              </c:numCache>
              <c:extLst/>
            </c:numRef>
          </c:val>
          <c:extLst>
            <c:ext xmlns:c16="http://schemas.microsoft.com/office/drawing/2014/chart" uri="{C3380CC4-5D6E-409C-BE32-E72D297353CC}">
              <c16:uniqueId val="{00000000-81DB-4FA7-B3B2-7C772B506597}"/>
            </c:ext>
          </c:extLst>
        </c:ser>
        <c:ser>
          <c:idx val="1"/>
          <c:order val="1"/>
          <c:tx>
            <c:strRef>
              <c:f>'Conv, Selet'!$D$15</c:f>
              <c:strCache>
                <c:ptCount val="1"/>
                <c:pt idx="0">
                  <c:v>Etileno</c:v>
                </c:pt>
              </c:strCache>
            </c:strRef>
          </c:tx>
          <c:spPr>
            <a:solidFill>
              <a:srgbClr val="0070C0"/>
            </a:solidFill>
            <a:ln>
              <a:noFill/>
            </a:ln>
            <a:effectLst/>
          </c:spPr>
          <c:invertIfNegative val="0"/>
          <c:cat>
            <c:numLit>
              <c:formatCode>General</c:formatCode>
              <c:ptCount val="4"/>
              <c:pt idx="0">
                <c:v>723</c:v>
              </c:pt>
              <c:pt idx="1">
                <c:v>673</c:v>
              </c:pt>
              <c:pt idx="2">
                <c:v>623</c:v>
              </c:pt>
              <c:pt idx="3">
                <c:v>573</c:v>
              </c:pt>
            </c:numLit>
          </c:cat>
          <c:val>
            <c:numRef>
              <c:f>('Conv, Selet'!$G$15,'Conv, Selet'!$J$15,'Conv, Selet'!$M$15,'Conv, Selet'!$P$15)</c:f>
              <c:numCache>
                <c:formatCode>General</c:formatCode>
                <c:ptCount val="4"/>
                <c:pt idx="0">
                  <c:v>32.081469556779581</c:v>
                </c:pt>
                <c:pt idx="1">
                  <c:v>26.651544094098213</c:v>
                </c:pt>
                <c:pt idx="2">
                  <c:v>15.294264384201609</c:v>
                </c:pt>
                <c:pt idx="3">
                  <c:v>6.2568715412775102</c:v>
                </c:pt>
              </c:numCache>
              <c:extLst/>
            </c:numRef>
          </c:val>
          <c:extLst>
            <c:ext xmlns:c16="http://schemas.microsoft.com/office/drawing/2014/chart" uri="{C3380CC4-5D6E-409C-BE32-E72D297353CC}">
              <c16:uniqueId val="{00000001-81DB-4FA7-B3B2-7C772B506597}"/>
            </c:ext>
          </c:extLst>
        </c:ser>
        <c:ser>
          <c:idx val="2"/>
          <c:order val="2"/>
          <c:tx>
            <c:v>AcH</c:v>
          </c:tx>
          <c:spPr>
            <a:solidFill>
              <a:srgbClr val="FFC000"/>
            </a:solidFill>
            <a:ln>
              <a:noFill/>
            </a:ln>
            <a:effectLst/>
          </c:spPr>
          <c:invertIfNegative val="0"/>
          <c:cat>
            <c:numLit>
              <c:formatCode>General</c:formatCode>
              <c:ptCount val="4"/>
              <c:pt idx="0">
                <c:v>723</c:v>
              </c:pt>
              <c:pt idx="1">
                <c:v>673</c:v>
              </c:pt>
              <c:pt idx="2">
                <c:v>623</c:v>
              </c:pt>
              <c:pt idx="3">
                <c:v>573</c:v>
              </c:pt>
            </c:numLit>
          </c:cat>
          <c:val>
            <c:numRef>
              <c:f>('Conv, Selet'!$G$19,'Conv, Selet'!$J$19,'Conv, Selet'!$M$19,'Conv, Selet'!$P$19)</c:f>
              <c:numCache>
                <c:formatCode>General</c:formatCode>
                <c:ptCount val="4"/>
                <c:pt idx="0">
                  <c:v>34.602761302840818</c:v>
                </c:pt>
                <c:pt idx="1">
                  <c:v>38.176948252405289</c:v>
                </c:pt>
                <c:pt idx="2">
                  <c:v>54.499661683227252</c:v>
                </c:pt>
                <c:pt idx="3">
                  <c:v>67.299804136772522</c:v>
                </c:pt>
              </c:numCache>
              <c:extLst/>
            </c:numRef>
          </c:val>
          <c:extLst>
            <c:ext xmlns:c16="http://schemas.microsoft.com/office/drawing/2014/chart" uri="{C3380CC4-5D6E-409C-BE32-E72D297353CC}">
              <c16:uniqueId val="{00000002-81DB-4FA7-B3B2-7C772B506597}"/>
            </c:ext>
          </c:extLst>
        </c:ser>
        <c:ser>
          <c:idx val="3"/>
          <c:order val="3"/>
          <c:tx>
            <c:v>BD e butenos</c:v>
          </c:tx>
          <c:spPr>
            <a:solidFill>
              <a:srgbClr val="F33131"/>
            </a:solidFill>
            <a:ln>
              <a:noFill/>
            </a:ln>
            <a:effectLst/>
          </c:spPr>
          <c:invertIfNegative val="0"/>
          <c:cat>
            <c:numLit>
              <c:formatCode>General</c:formatCode>
              <c:ptCount val="4"/>
              <c:pt idx="0">
                <c:v>723</c:v>
              </c:pt>
              <c:pt idx="1">
                <c:v>673</c:v>
              </c:pt>
              <c:pt idx="2">
                <c:v>623</c:v>
              </c:pt>
              <c:pt idx="3">
                <c:v>573</c:v>
              </c:pt>
            </c:numLit>
          </c:cat>
          <c:val>
            <c:numRef>
              <c:f>('Conv, Selet'!$G$21,'Conv, Selet'!$J$21,'Conv, Selet'!$M$21,'Conv, Selet'!$P$21)</c:f>
              <c:numCache>
                <c:formatCode>General</c:formatCode>
                <c:ptCount val="4"/>
                <c:pt idx="0">
                  <c:v>12.254582984377581</c:v>
                </c:pt>
                <c:pt idx="1">
                  <c:v>5.2099763427654384</c:v>
                </c:pt>
                <c:pt idx="2">
                  <c:v>1.7444931029966433</c:v>
                </c:pt>
                <c:pt idx="3">
                  <c:v>0.15528919839517685</c:v>
                </c:pt>
              </c:numCache>
              <c:extLst/>
            </c:numRef>
          </c:val>
          <c:extLst>
            <c:ext xmlns:c16="http://schemas.microsoft.com/office/drawing/2014/chart" uri="{C3380CC4-5D6E-409C-BE32-E72D297353CC}">
              <c16:uniqueId val="{00000003-81DB-4FA7-B3B2-7C772B506597}"/>
            </c:ext>
          </c:extLst>
        </c:ser>
        <c:ser>
          <c:idx val="5"/>
          <c:order val="4"/>
          <c:tx>
            <c:v>DEE</c:v>
          </c:tx>
          <c:spPr>
            <a:solidFill>
              <a:srgbClr val="00B0F0"/>
            </a:solidFill>
            <a:ln>
              <a:noFill/>
            </a:ln>
            <a:effectLst/>
          </c:spPr>
          <c:invertIfNegative val="0"/>
          <c:cat>
            <c:numLit>
              <c:formatCode>General</c:formatCode>
              <c:ptCount val="4"/>
              <c:pt idx="0">
                <c:v>723</c:v>
              </c:pt>
              <c:pt idx="1">
                <c:v>673</c:v>
              </c:pt>
              <c:pt idx="2">
                <c:v>623</c:v>
              </c:pt>
              <c:pt idx="3">
                <c:v>573</c:v>
              </c:pt>
            </c:numLit>
          </c:cat>
          <c:val>
            <c:numRef>
              <c:f>('Conv, Selet'!$G$24,'Conv, Selet'!$J$24,'Conv, Selet'!$M$24,'Conv, Selet'!$P$24)</c:f>
              <c:numCache>
                <c:formatCode>General</c:formatCode>
                <c:ptCount val="4"/>
                <c:pt idx="0">
                  <c:v>10.773625309513896</c:v>
                </c:pt>
                <c:pt idx="1">
                  <c:v>21.846489516500807</c:v>
                </c:pt>
                <c:pt idx="2">
                  <c:v>24.241437306008333</c:v>
                </c:pt>
                <c:pt idx="3">
                  <c:v>25.771160039730457</c:v>
                </c:pt>
              </c:numCache>
              <c:extLst/>
            </c:numRef>
          </c:val>
          <c:extLst>
            <c:ext xmlns:c16="http://schemas.microsoft.com/office/drawing/2014/chart" uri="{C3380CC4-5D6E-409C-BE32-E72D297353CC}">
              <c16:uniqueId val="{00000004-81DB-4FA7-B3B2-7C772B506597}"/>
            </c:ext>
          </c:extLst>
        </c:ser>
        <c:ser>
          <c:idx val="6"/>
          <c:order val="5"/>
          <c:tx>
            <c:v>BuOH</c:v>
          </c:tx>
          <c:spPr>
            <a:solidFill>
              <a:srgbClr val="92D050"/>
            </a:solidFill>
            <a:ln>
              <a:noFill/>
            </a:ln>
            <a:effectLst/>
          </c:spPr>
          <c:invertIfNegative val="0"/>
          <c:cat>
            <c:numLit>
              <c:formatCode>General</c:formatCode>
              <c:ptCount val="4"/>
              <c:pt idx="0">
                <c:v>723</c:v>
              </c:pt>
              <c:pt idx="1">
                <c:v>673</c:v>
              </c:pt>
              <c:pt idx="2">
                <c:v>623</c:v>
              </c:pt>
              <c:pt idx="3">
                <c:v>573</c:v>
              </c:pt>
            </c:numLit>
          </c:cat>
          <c:val>
            <c:numRef>
              <c:f>('Conv, Selet'!$G$25,'Conv, Selet'!$J$25,'Conv, Selet'!$M$25,'Conv, Selet'!$P$25)</c:f>
              <c:numCache>
                <c:formatCode>General</c:formatCode>
                <c:ptCount val="4"/>
                <c:pt idx="0">
                  <c:v>6.3310481166067589</c:v>
                </c:pt>
                <c:pt idx="1">
                  <c:v>6.6018236977887446</c:v>
                </c:pt>
                <c:pt idx="2">
                  <c:v>3.2190976889997982</c:v>
                </c:pt>
                <c:pt idx="3">
                  <c:v>0</c:v>
                </c:pt>
              </c:numCache>
              <c:extLst/>
            </c:numRef>
          </c:val>
          <c:extLst>
            <c:ext xmlns:c16="http://schemas.microsoft.com/office/drawing/2014/chart" uri="{C3380CC4-5D6E-409C-BE32-E72D297353CC}">
              <c16:uniqueId val="{00000005-81DB-4FA7-B3B2-7C772B506597}"/>
            </c:ext>
          </c:extLst>
        </c:ser>
        <c:ser>
          <c:idx val="8"/>
          <c:order val="7"/>
          <c:tx>
            <c:strRef>
              <c:f>'Conv, Selet'!$D$36</c:f>
              <c:strCache>
                <c:ptCount val="1"/>
                <c:pt idx="0">
                  <c:v>Outros</c:v>
                </c:pt>
              </c:strCache>
            </c:strRef>
          </c:tx>
          <c:spPr>
            <a:solidFill>
              <a:srgbClr val="636363"/>
            </a:solidFill>
            <a:ln>
              <a:noFill/>
            </a:ln>
            <a:effectLst/>
          </c:spPr>
          <c:invertIfNegative val="0"/>
          <c:dPt>
            <c:idx val="0"/>
            <c:invertIfNegative val="0"/>
            <c:bubble3D val="0"/>
            <c:spPr>
              <a:solidFill>
                <a:srgbClr val="636363"/>
              </a:solidFill>
              <a:ln>
                <a:noFill/>
              </a:ln>
              <a:effectLst/>
            </c:spPr>
            <c:extLst>
              <c:ext xmlns:c16="http://schemas.microsoft.com/office/drawing/2014/chart" uri="{C3380CC4-5D6E-409C-BE32-E72D297353CC}">
                <c16:uniqueId val="{00000007-81DB-4FA7-B3B2-7C772B506597}"/>
              </c:ext>
            </c:extLst>
          </c:dPt>
          <c:cat>
            <c:numLit>
              <c:formatCode>General</c:formatCode>
              <c:ptCount val="4"/>
              <c:pt idx="0">
                <c:v>723</c:v>
              </c:pt>
              <c:pt idx="1">
                <c:v>673</c:v>
              </c:pt>
              <c:pt idx="2">
                <c:v>623</c:v>
              </c:pt>
              <c:pt idx="3">
                <c:v>573</c:v>
              </c:pt>
            </c:numLit>
          </c:cat>
          <c:val>
            <c:numRef>
              <c:f>('Conv, Selet'!$G$36,'Conv, Selet'!$J$36,'Conv, Selet'!$M$36,'Conv, Selet'!$P$36)</c:f>
              <c:numCache>
                <c:formatCode>General</c:formatCode>
                <c:ptCount val="4"/>
                <c:pt idx="0">
                  <c:v>3.251112408190461</c:v>
                </c:pt>
                <c:pt idx="1">
                  <c:v>1.098923817507881</c:v>
                </c:pt>
                <c:pt idx="2">
                  <c:v>0.64887116890910534</c:v>
                </c:pt>
                <c:pt idx="3">
                  <c:v>0</c:v>
                </c:pt>
              </c:numCache>
              <c:extLst/>
            </c:numRef>
          </c:val>
          <c:extLst>
            <c:ext xmlns:c16="http://schemas.microsoft.com/office/drawing/2014/chart" uri="{C3380CC4-5D6E-409C-BE32-E72D297353CC}">
              <c16:uniqueId val="{00000008-81DB-4FA7-B3B2-7C772B506597}"/>
            </c:ext>
          </c:extLst>
        </c:ser>
        <c:dLbls>
          <c:showLegendKey val="0"/>
          <c:showVal val="0"/>
          <c:showCatName val="0"/>
          <c:showSerName val="0"/>
          <c:showPercent val="0"/>
          <c:showBubbleSize val="0"/>
        </c:dLbls>
        <c:gapWidth val="150"/>
        <c:overlap val="100"/>
        <c:axId val="2001162608"/>
        <c:axId val="2001163440"/>
      </c:barChart>
      <c:lineChart>
        <c:grouping val="stacked"/>
        <c:varyColors val="0"/>
        <c:ser>
          <c:idx val="4"/>
          <c:order val="6"/>
          <c:tx>
            <c:v>Conversão</c:v>
          </c:tx>
          <c:spPr>
            <a:ln w="28575" cap="rnd">
              <a:solidFill>
                <a:schemeClr val="tx1"/>
              </a:solidFill>
              <a:round/>
            </a:ln>
            <a:effectLst/>
          </c:spPr>
          <c:marker>
            <c:symbol val="diamond"/>
            <c:size val="6"/>
            <c:spPr>
              <a:solidFill>
                <a:schemeClr val="bg1"/>
              </a:solidFill>
              <a:ln w="12700">
                <a:solidFill>
                  <a:schemeClr val="tx1"/>
                </a:solidFill>
              </a:ln>
              <a:effectLst/>
            </c:spPr>
          </c:marker>
          <c:cat>
            <c:numLit>
              <c:formatCode>General</c:formatCode>
              <c:ptCount val="4"/>
              <c:pt idx="0">
                <c:v>111</c:v>
              </c:pt>
              <c:pt idx="1">
                <c:v>311</c:v>
              </c:pt>
              <c:pt idx="2">
                <c:v>131</c:v>
              </c:pt>
              <c:pt idx="3">
                <c:v>113</c:v>
              </c:pt>
            </c:numLit>
          </c:cat>
          <c:val>
            <c:numRef>
              <c:f>('Conv, Selet'!$G$6,'Conv, Selet'!$J$6,'Conv, Selet'!$M$6,'Conv, Selet'!$P$6)</c:f>
              <c:numCache>
                <c:formatCode>0.00</c:formatCode>
                <c:ptCount val="4"/>
                <c:pt idx="0">
                  <c:v>37.209371947452574</c:v>
                </c:pt>
                <c:pt idx="1">
                  <c:v>13.217753165007373</c:v>
                </c:pt>
                <c:pt idx="2">
                  <c:v>7.2797117701796612</c:v>
                </c:pt>
                <c:pt idx="3">
                  <c:v>1.0045368595686563</c:v>
                </c:pt>
              </c:numCache>
              <c:extLst/>
            </c:numRef>
          </c:val>
          <c:smooth val="0"/>
          <c:extLst>
            <c:ext xmlns:c16="http://schemas.microsoft.com/office/drawing/2014/chart" uri="{C3380CC4-5D6E-409C-BE32-E72D297353CC}">
              <c16:uniqueId val="{00000009-81DB-4FA7-B3B2-7C772B506597}"/>
            </c:ext>
          </c:extLst>
        </c:ser>
        <c:dLbls>
          <c:showLegendKey val="0"/>
          <c:showVal val="0"/>
          <c:showCatName val="0"/>
          <c:showSerName val="0"/>
          <c:showPercent val="0"/>
          <c:showBubbleSize val="0"/>
        </c:dLbls>
        <c:marker val="1"/>
        <c:smooth val="0"/>
        <c:axId val="1110983232"/>
        <c:axId val="1110986112"/>
      </c:lineChart>
      <c:catAx>
        <c:axId val="200116260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sz="800">
                    <a:solidFill>
                      <a:sysClr val="windowText" lastClr="000000"/>
                    </a:solidFill>
                    <a:latin typeface="Times New Roman" panose="02020603050405020304" pitchFamily="18" charset="0"/>
                    <a:cs typeface="Times New Roman" panose="02020603050405020304" pitchFamily="18" charset="0"/>
                  </a:rPr>
                  <a:t>Temperatura</a:t>
                </a:r>
                <a:r>
                  <a:rPr lang="pt-BR" sz="800" baseline="0">
                    <a:solidFill>
                      <a:sysClr val="windowText" lastClr="000000"/>
                    </a:solidFill>
                    <a:latin typeface="Times New Roman" panose="02020603050405020304" pitchFamily="18" charset="0"/>
                    <a:cs typeface="Times New Roman" panose="02020603050405020304" pitchFamily="18" charset="0"/>
                  </a:rPr>
                  <a:t> (K)</a:t>
                </a:r>
                <a:endParaRPr lang="pt-BR" sz="8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 sourceLinked="0"/>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2001163440"/>
        <c:crosses val="autoZero"/>
        <c:auto val="1"/>
        <c:lblAlgn val="ctr"/>
        <c:lblOffset val="50"/>
        <c:tickLblSkip val="1"/>
        <c:tickMarkSkip val="1"/>
        <c:noMultiLvlLbl val="0"/>
      </c:catAx>
      <c:valAx>
        <c:axId val="2001163440"/>
        <c:scaling>
          <c:orientation val="minMax"/>
          <c:max val="100"/>
        </c:scaling>
        <c:delete val="0"/>
        <c:axPos val="l"/>
        <c:majorGridlines>
          <c:spPr>
            <a:ln w="9525" cap="flat" cmpd="sng" algn="ctr">
              <a:noFill/>
              <a:round/>
            </a:ln>
            <a:effectLst/>
          </c:spPr>
        </c:majorGridlines>
        <c:title>
          <c:tx>
            <c:rich>
              <a:bodyPr rot="-5400000" spcFirstLastPara="1" vertOverflow="ellipsis" vert="horz" wrap="square" anchor="t" anchorCtr="1"/>
              <a:lstStyle/>
              <a:p>
                <a:pPr algn="ct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sz="800">
                    <a:solidFill>
                      <a:sysClr val="windowText" lastClr="000000"/>
                    </a:solidFill>
                    <a:latin typeface="Times New Roman" panose="02020603050405020304" pitchFamily="18" charset="0"/>
                    <a:cs typeface="Times New Roman" panose="02020603050405020304" pitchFamily="18" charset="0"/>
                  </a:rPr>
                  <a:t>Distribuição dos</a:t>
                </a:r>
                <a:r>
                  <a:rPr lang="pt-BR" sz="800" baseline="0">
                    <a:solidFill>
                      <a:sysClr val="windowText" lastClr="000000"/>
                    </a:solidFill>
                    <a:latin typeface="Times New Roman" panose="02020603050405020304" pitchFamily="18" charset="0"/>
                    <a:cs typeface="Times New Roman" panose="02020603050405020304" pitchFamily="18" charset="0"/>
                  </a:rPr>
                  <a:t> </a:t>
                </a:r>
                <a:r>
                  <a:rPr lang="pt-BR" sz="800">
                    <a:solidFill>
                      <a:sysClr val="windowText" lastClr="000000"/>
                    </a:solidFill>
                    <a:latin typeface="Times New Roman" panose="02020603050405020304" pitchFamily="18" charset="0"/>
                    <a:cs typeface="Times New Roman" panose="02020603050405020304" pitchFamily="18" charset="0"/>
                  </a:rPr>
                  <a:t>Produtos (%)</a:t>
                </a:r>
              </a:p>
            </c:rich>
          </c:tx>
          <c:layout>
            <c:manualLayout>
              <c:xMode val="edge"/>
              <c:yMode val="edge"/>
              <c:x val="5.3608703693917457E-3"/>
              <c:y val="4.0168921192543235E-2"/>
            </c:manualLayout>
          </c:layout>
          <c:overlay val="0"/>
          <c:spPr>
            <a:noFill/>
            <a:ln>
              <a:noFill/>
            </a:ln>
            <a:effectLst/>
          </c:spPr>
          <c:txPr>
            <a:bodyPr rot="-5400000" spcFirstLastPara="1" vertOverflow="ellipsis" vert="horz" wrap="square" anchor="t" anchorCtr="1"/>
            <a:lstStyle/>
            <a:p>
              <a:pPr algn="ct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2001162608"/>
        <c:crossesAt val="1"/>
        <c:crossBetween val="between"/>
        <c:majorUnit val="20"/>
      </c:valAx>
      <c:valAx>
        <c:axId val="1110986112"/>
        <c:scaling>
          <c:orientation val="minMax"/>
        </c:scaling>
        <c:delete val="0"/>
        <c:axPos val="r"/>
        <c:title>
          <c:tx>
            <c:rich>
              <a:bodyPr rot="-5400000" spcFirstLastPara="1" vertOverflow="ellipsis" vert="horz" wrap="square" anchor="ctr" anchorCtr="1"/>
              <a:lstStyle/>
              <a:p>
                <a:pPr algn="l">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sz="800">
                    <a:solidFill>
                      <a:sysClr val="windowText" lastClr="000000"/>
                    </a:solidFill>
                    <a:latin typeface="Times New Roman" panose="02020603050405020304" pitchFamily="18" charset="0"/>
                    <a:cs typeface="Times New Roman" panose="02020603050405020304" pitchFamily="18" charset="0"/>
                  </a:rPr>
                  <a:t>Conversão</a:t>
                </a:r>
                <a:r>
                  <a:rPr lang="pt-BR" sz="800" baseline="0">
                    <a:solidFill>
                      <a:sysClr val="windowText" lastClr="000000"/>
                    </a:solidFill>
                    <a:latin typeface="Times New Roman" panose="02020603050405020304" pitchFamily="18" charset="0"/>
                    <a:cs typeface="Times New Roman" panose="02020603050405020304" pitchFamily="18" charset="0"/>
                  </a:rPr>
                  <a:t> </a:t>
                </a:r>
                <a:r>
                  <a:rPr lang="pt-BR" sz="800">
                    <a:solidFill>
                      <a:sysClr val="windowText" lastClr="000000"/>
                    </a:solidFill>
                    <a:latin typeface="Times New Roman" panose="02020603050405020304" pitchFamily="18" charset="0"/>
                    <a:cs typeface="Times New Roman" panose="02020603050405020304" pitchFamily="18" charset="0"/>
                  </a:rPr>
                  <a:t>de</a:t>
                </a:r>
                <a:r>
                  <a:rPr lang="pt-BR" sz="800" baseline="0">
                    <a:solidFill>
                      <a:sysClr val="windowText" lastClr="000000"/>
                    </a:solidFill>
                    <a:latin typeface="Times New Roman" panose="02020603050405020304" pitchFamily="18" charset="0"/>
                    <a:cs typeface="Times New Roman" panose="02020603050405020304" pitchFamily="18" charset="0"/>
                  </a:rPr>
                  <a:t> EtOH (%)</a:t>
                </a:r>
                <a:endParaRPr lang="pt-BR" sz="8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69063705543518472"/>
              <c:y val="4.8942055320008074E-2"/>
            </c:manualLayout>
          </c:layout>
          <c:overlay val="0"/>
          <c:spPr>
            <a:noFill/>
            <a:ln>
              <a:noFill/>
            </a:ln>
            <a:effectLst/>
          </c:spPr>
          <c:txPr>
            <a:bodyPr rot="-5400000" spcFirstLastPara="1" vertOverflow="ellipsis" vert="horz" wrap="square" anchor="ctr" anchorCtr="1"/>
            <a:lstStyle/>
            <a:p>
              <a:pPr algn="l">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110983232"/>
        <c:crosses val="max"/>
        <c:crossBetween val="between"/>
        <c:majorUnit val="10"/>
      </c:valAx>
      <c:catAx>
        <c:axId val="1110983232"/>
        <c:scaling>
          <c:orientation val="minMax"/>
        </c:scaling>
        <c:delete val="1"/>
        <c:axPos val="b"/>
        <c:numFmt formatCode="General" sourceLinked="1"/>
        <c:majorTickMark val="out"/>
        <c:minorTickMark val="none"/>
        <c:tickLblPos val="nextTo"/>
        <c:crossAx val="1110986112"/>
        <c:crosses val="autoZero"/>
        <c:auto val="1"/>
        <c:lblAlgn val="ctr"/>
        <c:lblOffset val="100"/>
        <c:noMultiLvlLbl val="0"/>
      </c:catAx>
      <c:spPr>
        <a:noFill/>
        <a:ln>
          <a:solidFill>
            <a:schemeClr val="tx1"/>
          </a:solidFill>
        </a:ln>
        <a:effectLst/>
      </c:spPr>
    </c:plotArea>
    <c:legend>
      <c:legendPos val="r"/>
      <c:legendEntry>
        <c:idx val="7"/>
        <c:delete val="1"/>
      </c:legendEntry>
      <c:layout>
        <c:manualLayout>
          <c:xMode val="edge"/>
          <c:yMode val="edge"/>
          <c:x val="0.76289138878613327"/>
          <c:y val="6.1165623527828256E-2"/>
          <c:w val="0.23265206362627491"/>
          <c:h val="0.7017070815988766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29804999207311"/>
          <c:y val="9.3602779850538484E-2"/>
          <c:w val="0.46763926509186354"/>
          <c:h val="0.68320395594115091"/>
        </c:manualLayout>
      </c:layout>
      <c:barChart>
        <c:barDir val="col"/>
        <c:grouping val="stacked"/>
        <c:varyColors val="0"/>
        <c:ser>
          <c:idx val="7"/>
          <c:order val="0"/>
          <c:tx>
            <c:strRef>
              <c:f>'Conv, Selet'!$D$35</c:f>
              <c:strCache>
                <c:ptCount val="1"/>
                <c:pt idx="0">
                  <c:v>C1-C3</c:v>
                </c:pt>
              </c:strCache>
            </c:strRef>
          </c:tx>
          <c:spPr>
            <a:solidFill>
              <a:srgbClr val="FF89C4"/>
            </a:solidFill>
            <a:ln>
              <a:noFill/>
            </a:ln>
            <a:effectLst/>
          </c:spPr>
          <c:invertIfNegative val="0"/>
          <c:cat>
            <c:numLit>
              <c:formatCode>General</c:formatCode>
              <c:ptCount val="4"/>
              <c:pt idx="0">
                <c:v>311</c:v>
              </c:pt>
              <c:pt idx="1">
                <c:v>131</c:v>
              </c:pt>
              <c:pt idx="2">
                <c:v>113</c:v>
              </c:pt>
              <c:pt idx="3">
                <c:v>111</c:v>
              </c:pt>
            </c:numLit>
          </c:cat>
          <c:val>
            <c:numRef>
              <c:f>('Conv, Selet'!$G$35,'Conv, Selet'!$J$35,'Conv, Selet'!$M$35,'Conv, Selet'!$P$35)</c:f>
              <c:numCache>
                <c:formatCode>General</c:formatCode>
                <c:ptCount val="4"/>
                <c:pt idx="0">
                  <c:v>0.95461976218071698</c:v>
                </c:pt>
                <c:pt idx="1">
                  <c:v>0.78871635030118425</c:v>
                </c:pt>
                <c:pt idx="2">
                  <c:v>0.25457609712623852</c:v>
                </c:pt>
                <c:pt idx="3">
                  <c:v>0.70540032169086764</c:v>
                </c:pt>
              </c:numCache>
            </c:numRef>
          </c:val>
          <c:extLst>
            <c:ext xmlns:c16="http://schemas.microsoft.com/office/drawing/2014/chart" uri="{C3380CC4-5D6E-409C-BE32-E72D297353CC}">
              <c16:uniqueId val="{00000000-1C0F-49C9-829D-6E4CE512E667}"/>
            </c:ext>
          </c:extLst>
        </c:ser>
        <c:ser>
          <c:idx val="1"/>
          <c:order val="1"/>
          <c:tx>
            <c:strRef>
              <c:f>'Conv, Selet'!$D$15</c:f>
              <c:strCache>
                <c:ptCount val="1"/>
                <c:pt idx="0">
                  <c:v>Etileno</c:v>
                </c:pt>
              </c:strCache>
            </c:strRef>
          </c:tx>
          <c:spPr>
            <a:solidFill>
              <a:srgbClr val="0070C0"/>
            </a:solidFill>
            <a:ln>
              <a:noFill/>
            </a:ln>
            <a:effectLst/>
          </c:spPr>
          <c:invertIfNegative val="0"/>
          <c:cat>
            <c:numLit>
              <c:formatCode>General</c:formatCode>
              <c:ptCount val="4"/>
              <c:pt idx="0">
                <c:v>311</c:v>
              </c:pt>
              <c:pt idx="1">
                <c:v>131</c:v>
              </c:pt>
              <c:pt idx="2">
                <c:v>113</c:v>
              </c:pt>
              <c:pt idx="3">
                <c:v>111</c:v>
              </c:pt>
            </c:numLit>
          </c:cat>
          <c:val>
            <c:numRef>
              <c:f>('Conv, Selet'!$G$15,'Conv, Selet'!$J$15,'Conv, Selet'!$M$15,'Conv, Selet'!$P$15)</c:f>
              <c:numCache>
                <c:formatCode>General</c:formatCode>
                <c:ptCount val="4"/>
                <c:pt idx="0">
                  <c:v>35.107139633711256</c:v>
                </c:pt>
                <c:pt idx="1">
                  <c:v>43.539640748738925</c:v>
                </c:pt>
                <c:pt idx="2">
                  <c:v>19.712260175795311</c:v>
                </c:pt>
                <c:pt idx="3">
                  <c:v>32.081469556779581</c:v>
                </c:pt>
              </c:numCache>
            </c:numRef>
          </c:val>
          <c:extLst>
            <c:ext xmlns:c16="http://schemas.microsoft.com/office/drawing/2014/chart" uri="{C3380CC4-5D6E-409C-BE32-E72D297353CC}">
              <c16:uniqueId val="{00000001-1C0F-49C9-829D-6E4CE512E667}"/>
            </c:ext>
          </c:extLst>
        </c:ser>
        <c:ser>
          <c:idx val="2"/>
          <c:order val="2"/>
          <c:tx>
            <c:v>AcH</c:v>
          </c:tx>
          <c:spPr>
            <a:solidFill>
              <a:srgbClr val="FFC000"/>
            </a:solidFill>
            <a:ln>
              <a:noFill/>
            </a:ln>
            <a:effectLst/>
          </c:spPr>
          <c:invertIfNegative val="0"/>
          <c:cat>
            <c:numLit>
              <c:formatCode>General</c:formatCode>
              <c:ptCount val="4"/>
              <c:pt idx="0">
                <c:v>311</c:v>
              </c:pt>
              <c:pt idx="1">
                <c:v>131</c:v>
              </c:pt>
              <c:pt idx="2">
                <c:v>113</c:v>
              </c:pt>
              <c:pt idx="3">
                <c:v>111</c:v>
              </c:pt>
            </c:numLit>
          </c:cat>
          <c:val>
            <c:numRef>
              <c:f>('Conv, Selet'!$G$19,'Conv, Selet'!$J$19,'Conv, Selet'!$M$19,'Conv, Selet'!$P$19)</c:f>
              <c:numCache>
                <c:formatCode>General</c:formatCode>
                <c:ptCount val="4"/>
                <c:pt idx="0">
                  <c:v>21.149658777491247</c:v>
                </c:pt>
                <c:pt idx="1">
                  <c:v>21.531053325296678</c:v>
                </c:pt>
                <c:pt idx="2">
                  <c:v>10.00489786669894</c:v>
                </c:pt>
                <c:pt idx="3">
                  <c:v>34.602761302840818</c:v>
                </c:pt>
              </c:numCache>
            </c:numRef>
          </c:val>
          <c:extLst>
            <c:ext xmlns:c16="http://schemas.microsoft.com/office/drawing/2014/chart" uri="{C3380CC4-5D6E-409C-BE32-E72D297353CC}">
              <c16:uniqueId val="{00000002-1C0F-49C9-829D-6E4CE512E667}"/>
            </c:ext>
          </c:extLst>
        </c:ser>
        <c:ser>
          <c:idx val="3"/>
          <c:order val="3"/>
          <c:tx>
            <c:v>BD e butenos</c:v>
          </c:tx>
          <c:spPr>
            <a:solidFill>
              <a:srgbClr val="F33131"/>
            </a:solidFill>
            <a:ln>
              <a:noFill/>
            </a:ln>
            <a:effectLst/>
          </c:spPr>
          <c:invertIfNegative val="0"/>
          <c:cat>
            <c:numLit>
              <c:formatCode>General</c:formatCode>
              <c:ptCount val="4"/>
              <c:pt idx="0">
                <c:v>311</c:v>
              </c:pt>
              <c:pt idx="1">
                <c:v>131</c:v>
              </c:pt>
              <c:pt idx="2">
                <c:v>113</c:v>
              </c:pt>
              <c:pt idx="3">
                <c:v>111</c:v>
              </c:pt>
            </c:numLit>
          </c:cat>
          <c:val>
            <c:numRef>
              <c:f>('Conv, Selet'!$G$21,'Conv, Selet'!$J$21,'Conv, Selet'!$M$21,'Conv, Selet'!$P$21)</c:f>
              <c:numCache>
                <c:formatCode>General</c:formatCode>
                <c:ptCount val="4"/>
                <c:pt idx="0">
                  <c:v>23.039825020660302</c:v>
                </c:pt>
                <c:pt idx="1">
                  <c:v>10.273268039897685</c:v>
                </c:pt>
                <c:pt idx="2">
                  <c:v>0</c:v>
                </c:pt>
                <c:pt idx="3">
                  <c:v>12.254582984377581</c:v>
                </c:pt>
              </c:numCache>
            </c:numRef>
          </c:val>
          <c:extLst>
            <c:ext xmlns:c16="http://schemas.microsoft.com/office/drawing/2014/chart" uri="{C3380CC4-5D6E-409C-BE32-E72D297353CC}">
              <c16:uniqueId val="{00000003-1C0F-49C9-829D-6E4CE512E667}"/>
            </c:ext>
          </c:extLst>
        </c:ser>
        <c:ser>
          <c:idx val="5"/>
          <c:order val="4"/>
          <c:tx>
            <c:v>DEE</c:v>
          </c:tx>
          <c:spPr>
            <a:solidFill>
              <a:srgbClr val="00B0F0"/>
            </a:solidFill>
            <a:ln>
              <a:noFill/>
            </a:ln>
            <a:effectLst/>
          </c:spPr>
          <c:invertIfNegative val="0"/>
          <c:cat>
            <c:numLit>
              <c:formatCode>General</c:formatCode>
              <c:ptCount val="4"/>
              <c:pt idx="0">
                <c:v>311</c:v>
              </c:pt>
              <c:pt idx="1">
                <c:v>131</c:v>
              </c:pt>
              <c:pt idx="2">
                <c:v>113</c:v>
              </c:pt>
              <c:pt idx="3">
                <c:v>111</c:v>
              </c:pt>
            </c:numLit>
          </c:cat>
          <c:val>
            <c:numRef>
              <c:f>('Conv, Selet'!$G$24,'Conv, Selet'!$J$24,'Conv, Selet'!$M$24,'Conv, Selet'!$P$24)</c:f>
              <c:numCache>
                <c:formatCode>General</c:formatCode>
                <c:ptCount val="4"/>
                <c:pt idx="0">
                  <c:v>4.5886856850910362</c:v>
                </c:pt>
                <c:pt idx="1">
                  <c:v>20.778759923576516</c:v>
                </c:pt>
                <c:pt idx="2">
                  <c:v>69.978519646724052</c:v>
                </c:pt>
                <c:pt idx="3">
                  <c:v>10.773625309513896</c:v>
                </c:pt>
              </c:numCache>
            </c:numRef>
          </c:val>
          <c:extLst>
            <c:ext xmlns:c16="http://schemas.microsoft.com/office/drawing/2014/chart" uri="{C3380CC4-5D6E-409C-BE32-E72D297353CC}">
              <c16:uniqueId val="{00000004-1C0F-49C9-829D-6E4CE512E667}"/>
            </c:ext>
          </c:extLst>
        </c:ser>
        <c:ser>
          <c:idx val="6"/>
          <c:order val="5"/>
          <c:tx>
            <c:v>BuOH</c:v>
          </c:tx>
          <c:spPr>
            <a:solidFill>
              <a:srgbClr val="92D050"/>
            </a:solidFill>
            <a:ln>
              <a:noFill/>
            </a:ln>
            <a:effectLst/>
          </c:spPr>
          <c:invertIfNegative val="0"/>
          <c:cat>
            <c:numLit>
              <c:formatCode>General</c:formatCode>
              <c:ptCount val="4"/>
              <c:pt idx="0">
                <c:v>311</c:v>
              </c:pt>
              <c:pt idx="1">
                <c:v>131</c:v>
              </c:pt>
              <c:pt idx="2">
                <c:v>113</c:v>
              </c:pt>
              <c:pt idx="3">
                <c:v>111</c:v>
              </c:pt>
            </c:numLit>
          </c:cat>
          <c:val>
            <c:numRef>
              <c:f>('Conv, Selet'!$G$25,'Conv, Selet'!$J$25,'Conv, Selet'!$M$25,'Conv, Selet'!$P$25)</c:f>
              <c:numCache>
                <c:formatCode>General</c:formatCode>
                <c:ptCount val="4"/>
                <c:pt idx="0">
                  <c:v>9.7541200845698164</c:v>
                </c:pt>
                <c:pt idx="1">
                  <c:v>1.3871745040172676</c:v>
                </c:pt>
                <c:pt idx="2">
                  <c:v>0</c:v>
                </c:pt>
                <c:pt idx="3">
                  <c:v>6.3310481166067589</c:v>
                </c:pt>
              </c:numCache>
            </c:numRef>
          </c:val>
          <c:extLst>
            <c:ext xmlns:c16="http://schemas.microsoft.com/office/drawing/2014/chart" uri="{C3380CC4-5D6E-409C-BE32-E72D297353CC}">
              <c16:uniqueId val="{00000005-1C0F-49C9-829D-6E4CE512E667}"/>
            </c:ext>
          </c:extLst>
        </c:ser>
        <c:ser>
          <c:idx val="8"/>
          <c:order val="7"/>
          <c:tx>
            <c:strRef>
              <c:f>'Conv, Selet'!$D$36</c:f>
              <c:strCache>
                <c:ptCount val="1"/>
                <c:pt idx="0">
                  <c:v>Outros</c:v>
                </c:pt>
              </c:strCache>
            </c:strRef>
          </c:tx>
          <c:spPr>
            <a:solidFill>
              <a:srgbClr val="636363"/>
            </a:solidFill>
            <a:ln>
              <a:noFill/>
            </a:ln>
            <a:effectLst/>
          </c:spPr>
          <c:invertIfNegative val="0"/>
          <c:dPt>
            <c:idx val="0"/>
            <c:invertIfNegative val="0"/>
            <c:bubble3D val="0"/>
            <c:spPr>
              <a:solidFill>
                <a:srgbClr val="636363"/>
              </a:solidFill>
              <a:ln>
                <a:noFill/>
              </a:ln>
              <a:effectLst/>
            </c:spPr>
            <c:extLst>
              <c:ext xmlns:c16="http://schemas.microsoft.com/office/drawing/2014/chart" uri="{C3380CC4-5D6E-409C-BE32-E72D297353CC}">
                <c16:uniqueId val="{00000007-1C0F-49C9-829D-6E4CE512E667}"/>
              </c:ext>
            </c:extLst>
          </c:dPt>
          <c:cat>
            <c:numLit>
              <c:formatCode>General</c:formatCode>
              <c:ptCount val="4"/>
              <c:pt idx="0">
                <c:v>311</c:v>
              </c:pt>
              <c:pt idx="1">
                <c:v>131</c:v>
              </c:pt>
              <c:pt idx="2">
                <c:v>113</c:v>
              </c:pt>
              <c:pt idx="3">
                <c:v>111</c:v>
              </c:pt>
            </c:numLit>
          </c:cat>
          <c:val>
            <c:numRef>
              <c:f>('Conv, Selet'!$G$36,'Conv, Selet'!$J$36,'Conv, Selet'!$M$36,'Conv, Selet'!$P$36)</c:f>
              <c:numCache>
                <c:formatCode>General</c:formatCode>
                <c:ptCount val="4"/>
                <c:pt idx="0">
                  <c:v>5.4059510362956278</c:v>
                </c:pt>
                <c:pt idx="1">
                  <c:v>1.701387108171756</c:v>
                </c:pt>
                <c:pt idx="2">
                  <c:v>4.9746213655447978E-2</c:v>
                </c:pt>
                <c:pt idx="3">
                  <c:v>3.251112408190461</c:v>
                </c:pt>
              </c:numCache>
            </c:numRef>
          </c:val>
          <c:extLst>
            <c:ext xmlns:c16="http://schemas.microsoft.com/office/drawing/2014/chart" uri="{C3380CC4-5D6E-409C-BE32-E72D297353CC}">
              <c16:uniqueId val="{00000008-1C0F-49C9-829D-6E4CE512E667}"/>
            </c:ext>
          </c:extLst>
        </c:ser>
        <c:dLbls>
          <c:showLegendKey val="0"/>
          <c:showVal val="0"/>
          <c:showCatName val="0"/>
          <c:showSerName val="0"/>
          <c:showPercent val="0"/>
          <c:showBubbleSize val="0"/>
        </c:dLbls>
        <c:gapWidth val="150"/>
        <c:overlap val="100"/>
        <c:axId val="2001162608"/>
        <c:axId val="2001163440"/>
      </c:barChart>
      <c:lineChart>
        <c:grouping val="stacked"/>
        <c:varyColors val="0"/>
        <c:ser>
          <c:idx val="4"/>
          <c:order val="6"/>
          <c:tx>
            <c:v>Conversão</c:v>
          </c:tx>
          <c:spPr>
            <a:ln w="28575" cap="rnd">
              <a:solidFill>
                <a:schemeClr val="tx1"/>
              </a:solidFill>
              <a:round/>
            </a:ln>
            <a:effectLst/>
          </c:spPr>
          <c:marker>
            <c:symbol val="diamond"/>
            <c:size val="6"/>
            <c:spPr>
              <a:solidFill>
                <a:schemeClr val="bg1"/>
              </a:solidFill>
              <a:ln w="12700">
                <a:solidFill>
                  <a:schemeClr val="tx1"/>
                </a:solidFill>
              </a:ln>
              <a:effectLst/>
            </c:spPr>
          </c:marker>
          <c:cat>
            <c:numLit>
              <c:formatCode>General</c:formatCode>
              <c:ptCount val="4"/>
              <c:pt idx="0">
                <c:v>111</c:v>
              </c:pt>
              <c:pt idx="1">
                <c:v>311</c:v>
              </c:pt>
              <c:pt idx="2">
                <c:v>131</c:v>
              </c:pt>
              <c:pt idx="3">
                <c:v>113</c:v>
              </c:pt>
            </c:numLit>
          </c:cat>
          <c:val>
            <c:numRef>
              <c:f>('Conv, Selet'!$G$6,'Conv, Selet'!$J$6,'Conv, Selet'!$M$6,'Conv, Selet'!$P$6)</c:f>
              <c:numCache>
                <c:formatCode>0.00</c:formatCode>
                <c:ptCount val="4"/>
                <c:pt idx="0">
                  <c:v>51.213492912800831</c:v>
                </c:pt>
                <c:pt idx="1">
                  <c:v>53.472033641242412</c:v>
                </c:pt>
                <c:pt idx="2">
                  <c:v>23.356486359993902</c:v>
                </c:pt>
                <c:pt idx="3">
                  <c:v>37.209371947452574</c:v>
                </c:pt>
              </c:numCache>
            </c:numRef>
          </c:val>
          <c:smooth val="0"/>
          <c:extLst>
            <c:ext xmlns:c16="http://schemas.microsoft.com/office/drawing/2014/chart" uri="{C3380CC4-5D6E-409C-BE32-E72D297353CC}">
              <c16:uniqueId val="{00000009-1C0F-49C9-829D-6E4CE512E667}"/>
            </c:ext>
          </c:extLst>
        </c:ser>
        <c:dLbls>
          <c:showLegendKey val="0"/>
          <c:showVal val="0"/>
          <c:showCatName val="0"/>
          <c:showSerName val="0"/>
          <c:showPercent val="0"/>
          <c:showBubbleSize val="0"/>
        </c:dLbls>
        <c:marker val="1"/>
        <c:smooth val="0"/>
        <c:axId val="2001162608"/>
        <c:axId val="2001163440"/>
      </c:lineChart>
      <c:catAx>
        <c:axId val="200116260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sz="800">
                    <a:solidFill>
                      <a:sysClr val="windowText" lastClr="000000"/>
                    </a:solidFill>
                    <a:latin typeface="Times New Roman" panose="02020603050405020304" pitchFamily="18" charset="0"/>
                    <a:cs typeface="Times New Roman" panose="02020603050405020304" pitchFamily="18" charset="0"/>
                  </a:rPr>
                  <a:t>Razão Molar (Mg:Al:Si)</a:t>
                </a:r>
              </a:p>
            </c:rich>
          </c:tx>
          <c:layout>
            <c:manualLayout>
              <c:xMode val="edge"/>
              <c:yMode val="edge"/>
              <c:x val="0.27561499233736725"/>
              <c:y val="0.8925035360678923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 sourceLinked="0"/>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2001163440"/>
        <c:crosses val="autoZero"/>
        <c:auto val="1"/>
        <c:lblAlgn val="ctr"/>
        <c:lblOffset val="50"/>
        <c:tickLblSkip val="1"/>
        <c:tickMarkSkip val="1"/>
        <c:noMultiLvlLbl val="0"/>
      </c:catAx>
      <c:valAx>
        <c:axId val="2001163440"/>
        <c:scaling>
          <c:orientation val="minMax"/>
          <c:max val="100"/>
        </c:scaling>
        <c:delete val="0"/>
        <c:axPos val="l"/>
        <c:majorGridlines>
          <c:spPr>
            <a:ln w="9525" cap="flat" cmpd="sng" algn="ctr">
              <a:noFill/>
              <a:round/>
            </a:ln>
            <a:effectLst/>
          </c:spPr>
        </c:majorGridlines>
        <c:title>
          <c:tx>
            <c:rich>
              <a:bodyPr rot="-5400000" spcFirstLastPara="1" vertOverflow="ellipsis" vert="horz" wrap="square" anchor="t" anchorCtr="1"/>
              <a:lstStyle/>
              <a:p>
                <a:pPr algn="ct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sz="800">
                    <a:solidFill>
                      <a:sysClr val="windowText" lastClr="000000"/>
                    </a:solidFill>
                    <a:latin typeface="Times New Roman" panose="02020603050405020304" pitchFamily="18" charset="0"/>
                    <a:cs typeface="Times New Roman" panose="02020603050405020304" pitchFamily="18" charset="0"/>
                  </a:rPr>
                  <a:t>Conversão de EtOH e Distribuição dos Produtos (%)</a:t>
                </a:r>
              </a:p>
            </c:rich>
          </c:tx>
          <c:layout>
            <c:manualLayout>
              <c:xMode val="edge"/>
              <c:yMode val="edge"/>
              <c:x val="2.8713404322781799E-2"/>
              <c:y val="7.0669012908039966E-2"/>
            </c:manualLayout>
          </c:layout>
          <c:overlay val="0"/>
          <c:spPr>
            <a:noFill/>
            <a:ln>
              <a:noFill/>
            </a:ln>
            <a:effectLst/>
          </c:spPr>
          <c:txPr>
            <a:bodyPr rot="-5400000" spcFirstLastPara="1" vertOverflow="ellipsis" vert="horz" wrap="square" anchor="t" anchorCtr="1"/>
            <a:lstStyle/>
            <a:p>
              <a:pPr algn="ct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2001162608"/>
        <c:crossesAt val="1"/>
        <c:crossBetween val="between"/>
        <c:majorUnit val="20"/>
      </c:valAx>
      <c:spPr>
        <a:noFill/>
        <a:ln>
          <a:solidFill>
            <a:schemeClr val="tx1"/>
          </a:solidFill>
        </a:ln>
        <a:effectLst/>
      </c:spPr>
    </c:plotArea>
    <c:legend>
      <c:legendPos val="r"/>
      <c:legendEntry>
        <c:idx val="7"/>
        <c:delete val="1"/>
      </c:legendEntry>
      <c:layout>
        <c:manualLayout>
          <c:xMode val="edge"/>
          <c:yMode val="edge"/>
          <c:x val="0.70215049146541242"/>
          <c:y val="0.10816246979028611"/>
          <c:w val="0.26620911060614066"/>
          <c:h val="0.6431255499003218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WHI07</b:Tag>
    <b:SourceType>ArticleInAPeriodical</b:SourceType>
    <b:Guid>{C2972DE5-542C-4840-8443-78D159D1A22B}</b:Guid>
    <b:Author>
      <b:Author>
        <b:NameList>
          <b:Person>
            <b:Last>WHITE</b:Last>
            <b:First>W.</b:First>
            <b:Middle>C.</b:Middle>
          </b:Person>
        </b:NameList>
      </b:Author>
    </b:Author>
    <b:Title>Butadiene production process overview</b:Title>
    <b:PeriodicalTitle>Chemico-Biological Interactions</b:PeriodicalTitle>
    <b:Year>2007</b:Year>
    <b:Edition>1-3</b:Edition>
    <b:Volume>166</b:Volume>
    <b:Issue>pp. 10-14</b:Issue>
    <b:RefOrder>24</b:RefOrder>
  </b:Source>
  <b:Source>
    <b:Tag>MOR06</b:Tag>
    <b:SourceType>ArticleInAPeriodical</b:SourceType>
    <b:Guid>{F434C0F5-DABC-480B-BF67-573B986120B4}</b:Guid>
    <b:Author>
      <b:Author>
        <b:NameList>
          <b:Person>
            <b:Last>MORTON</b:Last>
            <b:First>M.</b:First>
          </b:Person>
        </b:NameList>
      </b:Author>
    </b:Author>
    <b:Title>History of Synthetic Rubber</b:Title>
    <b:PeriodicalTitle>Journal of Macromolecular Science: Part A - Chemistry</b:PeriodicalTitle>
    <b:Year>2006</b:Year>
    <b:Edition>7</b:Edition>
    <b:Volume>15</b:Volume>
    <b:Issue>1289-1302</b:Issue>
    <b:RefOrder>26</b:RefOrder>
  </b:Source>
</b:Sources>
</file>

<file path=customXml/itemProps1.xml><?xml version="1.0" encoding="utf-8"?>
<ds:datastoreItem xmlns:ds="http://schemas.openxmlformats.org/officeDocument/2006/customXml" ds:itemID="{E9F1122B-AB98-42EA-B858-72071356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4141</TotalTime>
  <Pages>6</Pages>
  <Words>3851</Words>
  <Characters>20801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Maynara Lurriele</cp:lastModifiedBy>
  <cp:revision>211</cp:revision>
  <dcterms:created xsi:type="dcterms:W3CDTF">2022-12-12T17:08:00Z</dcterms:created>
  <dcterms:modified xsi:type="dcterms:W3CDTF">2023-04-30T15:16:00Z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