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FA2D" w14:textId="77777777" w:rsidR="00AB72CC" w:rsidRDefault="00650B1E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2E89C" wp14:editId="06A264F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E1329" w14:textId="77777777" w:rsidR="00AB72CC" w:rsidRDefault="00AB72CC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6031FC83" w14:textId="77777777" w:rsidR="00AB72CC" w:rsidRDefault="00AB72CC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2E89C" id="Retângulo 3" o:spid="_x0000_s1026" style="position:absolute;left:0;text-align:left;margin-left:0;margin-top:0;width:512.4pt;height:13.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" fillcolor="#9a0000" stroked="f" strokeweight="1pt">
                <v:textbox inset=",0,,0">
                  <w:txbxContent>
                    <w:p w14:paraId="5AFE1329" w14:textId="77777777" w:rsidR="00AB72CC" w:rsidRDefault="00AB72CC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6031FC83" w14:textId="77777777" w:rsidR="00AB72CC" w:rsidRDefault="00AB72CC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F07F17" w14:textId="77777777" w:rsidR="00AB72CC" w:rsidRDefault="00650B1E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Hierarquização de zeólita *BEA em estado sólido e em solução para aplicação na desidratação de etanol</w:t>
      </w:r>
    </w:p>
    <w:p w14:paraId="78488106" w14:textId="77777777" w:rsidR="00AB72CC" w:rsidRDefault="00AB72CC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</w:p>
    <w:p w14:paraId="108AC422" w14:textId="77777777" w:rsidR="00AB72CC" w:rsidRDefault="00650B1E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Deborah da Silva Valadares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Roberto Chaves Fernandes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Willian Henrique Ribeiro de Carvalho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Tadeu Cunha Miranda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José Alves Dias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, </w:t>
      </w:r>
      <w:r>
        <w:rPr>
          <w:rFonts w:ascii="Times New Roman" w:hAnsi="Times New Roman"/>
          <w:sz w:val="20"/>
          <w:lang w:val="pt-BR"/>
        </w:rPr>
        <w:t>Sílvia Cláudia Loureiro Dias</w:t>
      </w:r>
      <w:r>
        <w:rPr>
          <w:rFonts w:ascii="Times New Roman" w:hAnsi="Times New Roman"/>
          <w:sz w:val="20"/>
          <w:vertAlign w:val="superscript"/>
          <w:lang w:val="pt-BR"/>
        </w:rPr>
        <w:t>*1</w:t>
      </w:r>
      <w:r>
        <w:rPr>
          <w:rFonts w:ascii="Times New Roman" w:hAnsi="Times New Roman"/>
          <w:sz w:val="20"/>
          <w:lang w:val="pt-BR"/>
        </w:rPr>
        <w:t>.</w:t>
      </w:r>
    </w:p>
    <w:p w14:paraId="3693170E" w14:textId="77777777" w:rsidR="00AB72CC" w:rsidRDefault="00650B1E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>
        <w:rPr>
          <w:lang w:val="pt-BR"/>
        </w:rPr>
        <w:t>Universidade de Brasília, Instituto de Química, Laboratório de Catálise, Campus Darcy Ribeiro, Brasília-DF, CEP 70.910-900, Brasil. E-mail: deborahsvaladares@gmail.com; scdias@unb.br.</w:t>
      </w:r>
    </w:p>
    <w:bookmarkEnd w:id="0"/>
    <w:p w14:paraId="43E85199" w14:textId="77777777" w:rsidR="00AB72CC" w:rsidRDefault="00650B1E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92038" wp14:editId="3C25C3CF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F783F" w14:textId="77777777" w:rsidR="00AB72CC" w:rsidRDefault="00650B1E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 (Helvética, tam. 12)</w:t>
                            </w:r>
                          </w:p>
                          <w:p w14:paraId="4734D5FD" w14:textId="77777777" w:rsidR="00AB72CC" w:rsidRDefault="00AB72CC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92038" id="Retângulo 4" o:spid="_x0000_s1027" style="position:absolute;left:0;text-align:left;margin-left:461.2pt;margin-top:2.75pt;width:512.4pt;height:13.2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" fillcolor="#9a0000" stroked="f" strokeweight="1pt">
                <v:textbox inset=",0,,0">
                  <w:txbxContent>
                    <w:p w14:paraId="3A7F783F" w14:textId="77777777" w:rsidR="00AB72CC" w:rsidRDefault="00650B1E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 (Helvética, tam. 12)</w:t>
                      </w:r>
                    </w:p>
                    <w:p w14:paraId="4734D5FD" w14:textId="77777777" w:rsidR="00AB72CC" w:rsidRDefault="00AB72CC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8F286F" w14:textId="77777777" w:rsidR="00AB72CC" w:rsidRDefault="00AB72CC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90EF99A" w14:textId="77777777" w:rsidR="00AB72CC" w:rsidRDefault="00650B1E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>RESUMO - Foram avaliados dois métodos pós-síntese de hierarquização da zeólita *BEA: o uso de hexafluorsilicato de amônio (HFSA) em estado sólido e o tratamento em solução com base (NaOH) e com ácido (HCl). O material modificado com os tratamentos aquo</w:t>
      </w:r>
      <w:r>
        <w:rPr>
          <w:rFonts w:ascii="Times New Roman" w:hAnsi="Times New Roman"/>
          <w:b w:val="0"/>
          <w:sz w:val="20"/>
          <w:lang w:val="pt-BR"/>
        </w:rPr>
        <w:t xml:space="preserve">sos também foi impregnado com tungstato de amônio e caracterizado. Ambos os métodos preservaram a estrutura zeolítica e um excedente de HFSA influenciou mais a queda da cristalinidade do que sucessivas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desaluminizações</w:t>
      </w:r>
      <w:proofErr w:type="spellEnd"/>
      <w:r>
        <w:rPr>
          <w:rFonts w:ascii="Times New Roman" w:hAnsi="Times New Roman"/>
          <w:b w:val="0"/>
          <w:sz w:val="20"/>
          <w:lang w:val="pt-BR"/>
        </w:rPr>
        <w:t xml:space="preserve"> em estado sólido. O uso do HFSA remov</w:t>
      </w:r>
      <w:r>
        <w:rPr>
          <w:rFonts w:ascii="Times New Roman" w:hAnsi="Times New Roman"/>
          <w:b w:val="0"/>
          <w:sz w:val="20"/>
          <w:lang w:val="pt-BR"/>
        </w:rPr>
        <w:t xml:space="preserve">eu preferencialmente átomos de Al da rede e o método em solução removeu preferencialmente átomos de Si, transformando alguns átomos de Al da rede em átomos de Al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extra-rede</w:t>
      </w:r>
      <w:proofErr w:type="spellEnd"/>
      <w:r>
        <w:rPr>
          <w:rFonts w:ascii="Times New Roman" w:hAnsi="Times New Roman"/>
          <w:b w:val="0"/>
          <w:sz w:val="20"/>
          <w:lang w:val="pt-BR"/>
        </w:rPr>
        <w:t xml:space="preserve"> (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EFAl</w:t>
      </w:r>
      <w:proofErr w:type="spellEnd"/>
      <w:r>
        <w:rPr>
          <w:rFonts w:ascii="Times New Roman" w:hAnsi="Times New Roman"/>
          <w:b w:val="0"/>
          <w:sz w:val="20"/>
          <w:lang w:val="pt-BR"/>
        </w:rPr>
        <w:t xml:space="preserve">). Ambos os tratamentos elevaram a área superficial mesoporosa e diminuíram a </w:t>
      </w:r>
      <w:r>
        <w:rPr>
          <w:rFonts w:ascii="Times New Roman" w:hAnsi="Times New Roman"/>
          <w:b w:val="0"/>
          <w:sz w:val="20"/>
          <w:lang w:val="pt-BR"/>
        </w:rPr>
        <w:t xml:space="preserve">área superficial e o volume dos microporos. As análises de RMN de </w:t>
      </w:r>
      <w:r>
        <w:rPr>
          <w:rFonts w:ascii="Times New Roman" w:hAnsi="Times New Roman"/>
          <w:b w:val="0"/>
          <w:sz w:val="20"/>
          <w:vertAlign w:val="superscript"/>
          <w:lang w:val="pt-BR"/>
        </w:rPr>
        <w:t>27</w:t>
      </w:r>
      <w:r>
        <w:rPr>
          <w:rFonts w:ascii="Times New Roman" w:hAnsi="Times New Roman"/>
          <w:b w:val="0"/>
          <w:sz w:val="20"/>
          <w:lang w:val="pt-BR"/>
        </w:rPr>
        <w:t xml:space="preserve">Al e de </w:t>
      </w:r>
      <w:r>
        <w:rPr>
          <w:rFonts w:ascii="Times New Roman" w:hAnsi="Times New Roman"/>
          <w:b w:val="0"/>
          <w:sz w:val="20"/>
          <w:vertAlign w:val="superscript"/>
          <w:lang w:val="pt-BR"/>
        </w:rPr>
        <w:t>29</w:t>
      </w:r>
      <w:r>
        <w:rPr>
          <w:rFonts w:ascii="Times New Roman" w:hAnsi="Times New Roman"/>
          <w:b w:val="0"/>
          <w:sz w:val="20"/>
          <w:lang w:val="pt-BR"/>
        </w:rPr>
        <w:t xml:space="preserve">Si revelaram que o tratamento com HFSA retém menos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EFAl</w:t>
      </w:r>
      <w:proofErr w:type="spellEnd"/>
      <w:r>
        <w:rPr>
          <w:rFonts w:ascii="Times New Roman" w:hAnsi="Times New Roman"/>
          <w:b w:val="0"/>
          <w:sz w:val="20"/>
          <w:lang w:val="pt-BR"/>
        </w:rPr>
        <w:t xml:space="preserve"> e mais água adsorvida, enquanto o tratamento em solução induz a coordenação das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EFAl</w:t>
      </w:r>
      <w:proofErr w:type="spellEnd"/>
      <w:r>
        <w:rPr>
          <w:rFonts w:ascii="Times New Roman" w:hAnsi="Times New Roman"/>
          <w:b w:val="0"/>
          <w:sz w:val="20"/>
          <w:lang w:val="pt-BR"/>
        </w:rPr>
        <w:t xml:space="preserve"> e inibe a adsorção de água. A zeólita</w:t>
      </w:r>
      <w:r>
        <w:rPr>
          <w:rFonts w:ascii="Times New Roman" w:hAnsi="Times New Roman"/>
          <w:b w:val="0"/>
          <w:sz w:val="20"/>
          <w:lang w:val="pt-BR"/>
        </w:rPr>
        <w:t xml:space="preserve"> *BEA tratada com NaOH/HCl e impregnada com 10%WO</w:t>
      </w:r>
      <w:r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>
        <w:rPr>
          <w:rFonts w:ascii="Times New Roman" w:hAnsi="Times New Roman"/>
          <w:b w:val="0"/>
          <w:sz w:val="20"/>
          <w:lang w:val="pt-BR"/>
        </w:rPr>
        <w:t xml:space="preserve"> apresentou a melhor conversão para etileno após 50 pulsos de etanol.</w:t>
      </w:r>
    </w:p>
    <w:p w14:paraId="1E8A432B" w14:textId="77777777" w:rsidR="00AB72CC" w:rsidRDefault="00650B1E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i/>
          <w:sz w:val="20"/>
          <w:lang w:val="pt-BR"/>
        </w:rPr>
        <w:t>Palavras-chave: Zeólita *BEA, hierarquização, impregnação com WO</w:t>
      </w:r>
      <w:r>
        <w:rPr>
          <w:rFonts w:ascii="Times New Roman" w:hAnsi="Times New Roman"/>
          <w:b w:val="0"/>
          <w:i/>
          <w:sz w:val="20"/>
          <w:vertAlign w:val="subscript"/>
          <w:lang w:val="pt-BR"/>
        </w:rPr>
        <w:t>3</w:t>
      </w:r>
      <w:r>
        <w:rPr>
          <w:rFonts w:ascii="Times New Roman" w:hAnsi="Times New Roman"/>
          <w:b w:val="0"/>
          <w:i/>
          <w:sz w:val="20"/>
          <w:lang w:val="pt-BR"/>
        </w:rPr>
        <w:t>, caracterização, desidratação de etanol.</w:t>
      </w:r>
    </w:p>
    <w:p w14:paraId="393F8145" w14:textId="77777777" w:rsidR="00AB72CC" w:rsidRDefault="00AB72CC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544EF3D4" w14:textId="77777777" w:rsidR="00AB72CC" w:rsidRDefault="00650B1E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ABSTRACT - Two post-synthesis methods of hierarchization of the *BEA zeolite were evaluated: the use of ammonium </w:t>
      </w:r>
      <w:proofErr w:type="spellStart"/>
      <w:r>
        <w:rPr>
          <w:rFonts w:ascii="Times New Roman" w:hAnsi="Times New Roman"/>
          <w:b w:val="0"/>
          <w:sz w:val="20"/>
        </w:rPr>
        <w:t>hexafluorosilicate</w:t>
      </w:r>
      <w:proofErr w:type="spellEnd"/>
      <w:r>
        <w:rPr>
          <w:rFonts w:ascii="Times New Roman" w:hAnsi="Times New Roman"/>
          <w:b w:val="0"/>
          <w:sz w:val="20"/>
        </w:rPr>
        <w:t xml:space="preserve"> (AHFS) in solid state and the treatment in solution with base (NaOH) and with acid (HCl). The material modified with the aqu</w:t>
      </w:r>
      <w:r>
        <w:rPr>
          <w:rFonts w:ascii="Times New Roman" w:hAnsi="Times New Roman"/>
          <w:b w:val="0"/>
          <w:sz w:val="20"/>
        </w:rPr>
        <w:t>eous treatment was also impregnated with ammonium tungstate and characterized. Both methods preserved the zeolite structure and that a surplus of AHFS influenced the drop in crystallinity more than successive solid-state dealuminations. The use of AHFS pre</w:t>
      </w:r>
      <w:r>
        <w:rPr>
          <w:rFonts w:ascii="Times New Roman" w:hAnsi="Times New Roman"/>
          <w:b w:val="0"/>
          <w:sz w:val="20"/>
        </w:rPr>
        <w:t>ferentially removed Al atoms from the lattice and the solution method preferentially removed Si atoms, transforming some Al atoms from the lattice into extra-framework Al atoms (</w:t>
      </w:r>
      <w:proofErr w:type="spellStart"/>
      <w:r>
        <w:rPr>
          <w:rFonts w:ascii="Times New Roman" w:hAnsi="Times New Roman"/>
          <w:b w:val="0"/>
          <w:sz w:val="20"/>
        </w:rPr>
        <w:t>EFAl</w:t>
      </w:r>
      <w:proofErr w:type="spellEnd"/>
      <w:r>
        <w:rPr>
          <w:rFonts w:ascii="Times New Roman" w:hAnsi="Times New Roman"/>
          <w:b w:val="0"/>
          <w:sz w:val="20"/>
        </w:rPr>
        <w:t>). Both treatments increased the mesoporous surface area and decreased the</w:t>
      </w:r>
      <w:r>
        <w:rPr>
          <w:rFonts w:ascii="Times New Roman" w:hAnsi="Times New Roman"/>
          <w:b w:val="0"/>
          <w:sz w:val="20"/>
        </w:rPr>
        <w:t xml:space="preserve"> surface area and micropore volume. </w:t>
      </w:r>
      <w:r>
        <w:rPr>
          <w:rFonts w:ascii="Times New Roman" w:hAnsi="Times New Roman"/>
          <w:b w:val="0"/>
          <w:sz w:val="20"/>
          <w:vertAlign w:val="superscript"/>
        </w:rPr>
        <w:t>27</w:t>
      </w:r>
      <w:r>
        <w:rPr>
          <w:rFonts w:ascii="Times New Roman" w:hAnsi="Times New Roman"/>
          <w:b w:val="0"/>
          <w:sz w:val="20"/>
        </w:rPr>
        <w:t xml:space="preserve">Al and </w:t>
      </w:r>
      <w:r>
        <w:rPr>
          <w:rFonts w:ascii="Times New Roman" w:hAnsi="Times New Roman"/>
          <w:b w:val="0"/>
          <w:sz w:val="20"/>
          <w:vertAlign w:val="superscript"/>
        </w:rPr>
        <w:t>29</w:t>
      </w:r>
      <w:r>
        <w:rPr>
          <w:rFonts w:ascii="Times New Roman" w:hAnsi="Times New Roman"/>
          <w:b w:val="0"/>
          <w:sz w:val="20"/>
        </w:rPr>
        <w:t xml:space="preserve">Si NMR analysis revealed that AHFS treatment retains less </w:t>
      </w:r>
      <w:proofErr w:type="spellStart"/>
      <w:r>
        <w:rPr>
          <w:rFonts w:ascii="Times New Roman" w:hAnsi="Times New Roman"/>
          <w:b w:val="0"/>
          <w:sz w:val="20"/>
        </w:rPr>
        <w:t>EFAl</w:t>
      </w:r>
      <w:proofErr w:type="spellEnd"/>
      <w:r>
        <w:rPr>
          <w:rFonts w:ascii="Times New Roman" w:hAnsi="Times New Roman"/>
          <w:b w:val="0"/>
          <w:sz w:val="20"/>
        </w:rPr>
        <w:t xml:space="preserve"> and more adsorbed water, while treatment in solution induces coordination of </w:t>
      </w:r>
      <w:proofErr w:type="spellStart"/>
      <w:r>
        <w:rPr>
          <w:rFonts w:ascii="Times New Roman" w:hAnsi="Times New Roman"/>
          <w:b w:val="0"/>
          <w:sz w:val="20"/>
        </w:rPr>
        <w:t>EFAl</w:t>
      </w:r>
      <w:proofErr w:type="spellEnd"/>
      <w:r>
        <w:rPr>
          <w:rFonts w:ascii="Times New Roman" w:hAnsi="Times New Roman"/>
          <w:b w:val="0"/>
          <w:sz w:val="20"/>
        </w:rPr>
        <w:t xml:space="preserve"> and inhibits water adsorption. *BEA zeolite treated with NaOH/HC</w:t>
      </w:r>
      <w:r>
        <w:rPr>
          <w:rFonts w:ascii="Times New Roman" w:hAnsi="Times New Roman"/>
          <w:b w:val="0"/>
          <w:sz w:val="20"/>
        </w:rPr>
        <w:t>l and impregnated with 10%WO</w:t>
      </w:r>
      <w:r>
        <w:rPr>
          <w:rFonts w:ascii="Times New Roman" w:hAnsi="Times New Roman"/>
          <w:b w:val="0"/>
          <w:sz w:val="20"/>
          <w:vertAlign w:val="subscript"/>
        </w:rPr>
        <w:t>3</w:t>
      </w:r>
      <w:r>
        <w:rPr>
          <w:rFonts w:ascii="Times New Roman" w:hAnsi="Times New Roman"/>
          <w:b w:val="0"/>
          <w:sz w:val="20"/>
        </w:rPr>
        <w:t xml:space="preserve"> showed the best conversion to ethylene after 50 ethanol pulses.</w:t>
      </w:r>
    </w:p>
    <w:p w14:paraId="73ECFBF5" w14:textId="77777777" w:rsidR="00AB72CC" w:rsidRDefault="00650B1E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>
        <w:rPr>
          <w:rFonts w:ascii="Times New Roman" w:hAnsi="Times New Roman"/>
          <w:b w:val="0"/>
          <w:i/>
          <w:sz w:val="20"/>
        </w:rPr>
        <w:t>Keywords: *BEA zeolite, hierarchization, WO</w:t>
      </w:r>
      <w:r>
        <w:rPr>
          <w:rFonts w:ascii="Times New Roman" w:hAnsi="Times New Roman"/>
          <w:b w:val="0"/>
          <w:i/>
          <w:sz w:val="20"/>
          <w:vertAlign w:val="subscript"/>
        </w:rPr>
        <w:t>3</w:t>
      </w:r>
      <w:r>
        <w:rPr>
          <w:rFonts w:ascii="Times New Roman" w:hAnsi="Times New Roman"/>
          <w:b w:val="0"/>
          <w:i/>
          <w:sz w:val="20"/>
        </w:rPr>
        <w:t xml:space="preserve"> impregnation, characterization, ethanol dehydration.</w:t>
      </w:r>
    </w:p>
    <w:bookmarkEnd w:id="1"/>
    <w:p w14:paraId="658ACE14" w14:textId="77777777" w:rsidR="00AB72CC" w:rsidRDefault="00AB72CC">
      <w:pPr>
        <w:rPr>
          <w:lang w:val="en-US"/>
        </w:rPr>
        <w:sectPr w:rsidR="00AB72CC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1910BAA5" w14:textId="77777777" w:rsidR="00AB72CC" w:rsidRDefault="00650B1E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Introdução</w:t>
      </w:r>
    </w:p>
    <w:p w14:paraId="31D51C91" w14:textId="7FC9DA6B" w:rsidR="00AB72CC" w:rsidRDefault="00650B1E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Zeólitas são materiais cristalinos com poros e cavidades que apresentam alta estabilidade térmica, acidez de Brønsted/Lewis e atividade catalítica. Dentre as cinco zeólitas com maior aplicabilidade (FER, MOR, MFI, FAU e *BEA), destaca-se a zeólita *BEA, qu</w:t>
      </w:r>
      <w:r>
        <w:rPr>
          <w:rFonts w:ascii="Times New Roman" w:hAnsi="Times New Roman"/>
          <w:lang w:val="pt-BR"/>
        </w:rPr>
        <w:t xml:space="preserve">e possui microporos largos, canais intersectados e anéis de 12 membros. </w:t>
      </w:r>
      <w:r w:rsidR="008229F3" w:rsidRPr="003F4E9B">
        <w:rPr>
          <w:rFonts w:ascii="Times New Roman" w:hAnsi="Times New Roman"/>
          <w:lang w:val="pt-BR"/>
        </w:rPr>
        <w:t xml:space="preserve">Apesar de possuir poros largos, alguns reagentes </w:t>
      </w:r>
      <w:r w:rsidR="008229F3">
        <w:rPr>
          <w:rFonts w:ascii="Times New Roman" w:hAnsi="Times New Roman"/>
          <w:lang w:val="pt-BR"/>
        </w:rPr>
        <w:t>têm</w:t>
      </w:r>
      <w:r w:rsidR="008229F3" w:rsidRPr="003F4E9B">
        <w:rPr>
          <w:rFonts w:ascii="Times New Roman" w:hAnsi="Times New Roman"/>
          <w:lang w:val="pt-BR"/>
        </w:rPr>
        <w:t xml:space="preserve"> dificuldade em acessar os sítios catalíticos ativos</w:t>
      </w:r>
      <w:r w:rsidR="008229F3">
        <w:rPr>
          <w:rFonts w:ascii="Times New Roman" w:hAnsi="Times New Roman"/>
          <w:lang w:val="pt-BR"/>
        </w:rPr>
        <w:t xml:space="preserve"> por questões de</w:t>
      </w:r>
      <w:r w:rsidR="008229F3" w:rsidRPr="003F4E9B">
        <w:rPr>
          <w:rFonts w:ascii="Times New Roman" w:hAnsi="Times New Roman"/>
          <w:lang w:val="pt-BR"/>
        </w:rPr>
        <w:t xml:space="preserve"> difusão.</w:t>
      </w:r>
      <w:r>
        <w:rPr>
          <w:rFonts w:ascii="Times New Roman" w:hAnsi="Times New Roman"/>
          <w:lang w:val="pt-BR"/>
        </w:rPr>
        <w:t xml:space="preserve"> </w:t>
      </w:r>
      <w:r w:rsidR="008229F3">
        <w:rPr>
          <w:rFonts w:ascii="Times New Roman" w:hAnsi="Times New Roman"/>
          <w:lang w:val="pt-BR"/>
        </w:rPr>
        <w:t>Para</w:t>
      </w:r>
      <w:r w:rsidR="008229F3" w:rsidRPr="003F4E9B">
        <w:rPr>
          <w:rFonts w:ascii="Times New Roman" w:hAnsi="Times New Roman"/>
          <w:lang w:val="pt-BR"/>
        </w:rPr>
        <w:t xml:space="preserve"> contornar esse problema</w:t>
      </w:r>
      <w:r w:rsidR="008229F3">
        <w:rPr>
          <w:rFonts w:ascii="Times New Roman" w:hAnsi="Times New Roman"/>
          <w:lang w:val="pt-BR"/>
        </w:rPr>
        <w:t>, o procedimento de</w:t>
      </w:r>
      <w:r w:rsidR="008229F3" w:rsidRPr="003F4E9B">
        <w:rPr>
          <w:rFonts w:ascii="Times New Roman" w:hAnsi="Times New Roman"/>
          <w:lang w:val="pt-BR"/>
        </w:rPr>
        <w:t xml:space="preserve"> hierarquização da zeólita</w:t>
      </w:r>
      <w:r w:rsidR="008229F3">
        <w:rPr>
          <w:rFonts w:ascii="Times New Roman" w:hAnsi="Times New Roman"/>
          <w:lang w:val="pt-BR"/>
        </w:rPr>
        <w:t xml:space="preserve"> permite a criação de</w:t>
      </w:r>
      <w:r w:rsidR="008229F3" w:rsidRPr="003F4E9B">
        <w:rPr>
          <w:rFonts w:ascii="Times New Roman" w:hAnsi="Times New Roman"/>
          <w:lang w:val="pt-BR"/>
        </w:rPr>
        <w:t xml:space="preserve"> diferentes tipos de poro, </w:t>
      </w:r>
      <w:r w:rsidR="008229F3">
        <w:rPr>
          <w:rFonts w:ascii="Times New Roman" w:hAnsi="Times New Roman"/>
          <w:lang w:val="pt-BR"/>
        </w:rPr>
        <w:t xml:space="preserve">o qual </w:t>
      </w:r>
      <w:r w:rsidR="008229F3" w:rsidRPr="003F4E9B">
        <w:rPr>
          <w:rFonts w:ascii="Times New Roman" w:hAnsi="Times New Roman"/>
          <w:lang w:val="pt-BR"/>
        </w:rPr>
        <w:t>pode acontecer antes ou depois da síntese zeolítica.</w:t>
      </w:r>
      <w:r>
        <w:rPr>
          <w:rFonts w:ascii="Times New Roman" w:hAnsi="Times New Roman"/>
          <w:lang w:val="pt-BR"/>
        </w:rPr>
        <w:t xml:space="preserve"> Vários trabalhos na literatur</w:t>
      </w:r>
      <w:r>
        <w:rPr>
          <w:rFonts w:ascii="Times New Roman" w:hAnsi="Times New Roman"/>
          <w:lang w:val="pt-BR"/>
        </w:rPr>
        <w:t xml:space="preserve">a mostram que reações catalíticas tiveram maior conversão e seletividade para os produtos de interesse após a hierarquização da zeólita utilizada, inclusive a *BEA </w:t>
      </w:r>
      <w:r w:rsidRPr="00670C0A">
        <w:rPr>
          <w:rFonts w:ascii="Times New Roman" w:hAnsi="Times New Roman"/>
          <w:lang w:val="pt-BR"/>
        </w:rPr>
        <w:t>(1</w:t>
      </w:r>
      <w:r w:rsidRPr="00670C0A">
        <w:rPr>
          <w:rFonts w:ascii="Times New Roman" w:hAnsi="Times New Roman"/>
          <w:lang w:val="pt-BR"/>
        </w:rPr>
        <w:t>)</w:t>
      </w:r>
      <w:r w:rsidRPr="00670C0A">
        <w:rPr>
          <w:rFonts w:ascii="Times New Roman" w:hAnsi="Times New Roman"/>
          <w:lang w:val="pt-BR"/>
        </w:rPr>
        <w:t>.</w:t>
      </w:r>
    </w:p>
    <w:p w14:paraId="2A5DC10A" w14:textId="77777777" w:rsidR="008229F3" w:rsidRPr="003F4E9B" w:rsidRDefault="008229F3" w:rsidP="008229F3">
      <w:pPr>
        <w:pStyle w:val="TAMainText"/>
        <w:rPr>
          <w:rFonts w:ascii="Times New Roman" w:hAnsi="Times New Roman"/>
          <w:lang w:val="pt-BR"/>
        </w:rPr>
      </w:pPr>
      <w:r w:rsidRPr="003F4E9B">
        <w:rPr>
          <w:rFonts w:ascii="Times New Roman" w:hAnsi="Times New Roman"/>
          <w:lang w:val="pt-BR"/>
        </w:rPr>
        <w:t>Dentre os tratamentos pós-</w:t>
      </w:r>
      <w:proofErr w:type="spellStart"/>
      <w:r w:rsidRPr="003F4E9B">
        <w:rPr>
          <w:rFonts w:ascii="Times New Roman" w:hAnsi="Times New Roman"/>
          <w:lang w:val="pt-BR"/>
        </w:rPr>
        <w:t>sintese</w:t>
      </w:r>
      <w:proofErr w:type="spellEnd"/>
      <w:r w:rsidRPr="003F4E9B">
        <w:rPr>
          <w:rFonts w:ascii="Times New Roman" w:hAnsi="Times New Roman"/>
          <w:lang w:val="pt-BR"/>
        </w:rPr>
        <w:t xml:space="preserve"> das zeólitas, a desaluminização em estado sólido têm se mostrado promissor, já que Al é removido da estrutura com a reinserção de Si na vacância deixada pelo Al. Quando isso acontece, a relação Si/Al aumenta e, consequentemente, a resistência da estrutura zeolítica a tratamentos térmicos e hidrotérmicos extremos também se </w:t>
      </w:r>
      <w:r w:rsidRPr="00670C0A">
        <w:rPr>
          <w:rFonts w:ascii="Times New Roman" w:hAnsi="Times New Roman"/>
          <w:lang w:val="pt-BR"/>
        </w:rPr>
        <w:t>eleva (2).</w:t>
      </w:r>
    </w:p>
    <w:p w14:paraId="69C36E3A" w14:textId="77777777" w:rsidR="008229F3" w:rsidRDefault="008229F3" w:rsidP="008229F3">
      <w:pPr>
        <w:pStyle w:val="TAMainText"/>
        <w:rPr>
          <w:rFonts w:ascii="Times New Roman" w:hAnsi="Times New Roman"/>
          <w:lang w:val="pt-BR"/>
        </w:rPr>
      </w:pPr>
      <w:r w:rsidRPr="003F4E9B">
        <w:rPr>
          <w:rFonts w:ascii="Times New Roman" w:hAnsi="Times New Roman"/>
          <w:lang w:val="pt-BR"/>
        </w:rPr>
        <w:t>Por outro lado, a lixiviação básica trata-se de uma técnica que visa a remoção de Si da rede (</w:t>
      </w:r>
      <w:proofErr w:type="spellStart"/>
      <w:r w:rsidRPr="003F4E9B">
        <w:rPr>
          <w:rFonts w:ascii="Times New Roman" w:hAnsi="Times New Roman"/>
          <w:lang w:val="pt-BR"/>
        </w:rPr>
        <w:t>dessilicação</w:t>
      </w:r>
      <w:proofErr w:type="spellEnd"/>
      <w:r w:rsidRPr="003F4E9B">
        <w:rPr>
          <w:rFonts w:ascii="Times New Roman" w:hAnsi="Times New Roman"/>
          <w:lang w:val="pt-BR"/>
        </w:rPr>
        <w:t xml:space="preserve">) por meio de um tratamento alcalino aquoso (NaOH). Além de promissora, é adequada para uso em zeólitas com alta razão Si/Al. Com a hidrólise das ligações Si-O-Si e Si-O-Al, os mesoporos criados têm alta acessibilidade à superfície externa zeolítica, uma vez que são gerados primeiro na superfície externa ou em áreas defeituosas dentro da </w:t>
      </w:r>
      <w:r w:rsidRPr="00670C0A">
        <w:rPr>
          <w:rFonts w:ascii="Times New Roman" w:hAnsi="Times New Roman"/>
          <w:lang w:val="pt-BR"/>
        </w:rPr>
        <w:t>estrutura (3).</w:t>
      </w:r>
    </w:p>
    <w:p w14:paraId="7782FF2D" w14:textId="77777777" w:rsidR="008229F3" w:rsidRPr="003F4E9B" w:rsidRDefault="008229F3" w:rsidP="008229F3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Dentre as transformações catalíticas podemos citar a produção de olefinas a partir do etanol</w:t>
      </w:r>
      <w:r w:rsidRPr="00484802">
        <w:rPr>
          <w:lang w:val="pt-BR"/>
        </w:rPr>
        <w:t xml:space="preserve"> </w:t>
      </w:r>
      <w:r>
        <w:rPr>
          <w:lang w:val="pt-BR"/>
        </w:rPr>
        <w:t xml:space="preserve">já que o </w:t>
      </w:r>
      <w:r w:rsidRPr="00484802">
        <w:rPr>
          <w:rFonts w:ascii="Times New Roman" w:hAnsi="Times New Roman"/>
          <w:lang w:val="pt-BR"/>
        </w:rPr>
        <w:t>Bra</w:t>
      </w:r>
      <w:r>
        <w:rPr>
          <w:rFonts w:ascii="Times New Roman" w:hAnsi="Times New Roman"/>
          <w:lang w:val="pt-BR"/>
        </w:rPr>
        <w:t>s</w:t>
      </w:r>
      <w:r w:rsidRPr="00484802">
        <w:rPr>
          <w:rFonts w:ascii="Times New Roman" w:hAnsi="Times New Roman"/>
          <w:lang w:val="pt-BR"/>
        </w:rPr>
        <w:t xml:space="preserve">il </w:t>
      </w:r>
      <w:r>
        <w:rPr>
          <w:rFonts w:ascii="Times New Roman" w:hAnsi="Times New Roman"/>
          <w:lang w:val="pt-BR"/>
        </w:rPr>
        <w:t xml:space="preserve">é um </w:t>
      </w:r>
      <w:r>
        <w:rPr>
          <w:rFonts w:ascii="Times New Roman" w:hAnsi="Times New Roman"/>
          <w:lang w:val="pt-BR"/>
        </w:rPr>
        <w:lastRenderedPageBreak/>
        <w:t>dos</w:t>
      </w:r>
      <w:r w:rsidRPr="00484802">
        <w:rPr>
          <w:rFonts w:ascii="Times New Roman" w:hAnsi="Times New Roman"/>
          <w:lang w:val="pt-BR"/>
        </w:rPr>
        <w:t xml:space="preserve"> maiores produtores mundiais de bioetanol</w:t>
      </w:r>
      <w:r>
        <w:rPr>
          <w:rFonts w:ascii="Times New Roman" w:hAnsi="Times New Roman"/>
          <w:lang w:val="pt-BR"/>
        </w:rPr>
        <w:t xml:space="preserve"> e pode ser utilizado como </w:t>
      </w:r>
      <w:r w:rsidRPr="005A218A">
        <w:rPr>
          <w:rFonts w:ascii="Times New Roman" w:hAnsi="Times New Roman"/>
          <w:lang w:val="pt-BR"/>
        </w:rPr>
        <w:t xml:space="preserve">precursor nas </w:t>
      </w:r>
      <w:proofErr w:type="spellStart"/>
      <w:r w:rsidRPr="005A218A">
        <w:rPr>
          <w:rFonts w:ascii="Times New Roman" w:hAnsi="Times New Roman"/>
          <w:lang w:val="pt-BR"/>
        </w:rPr>
        <w:t>biorefinarias</w:t>
      </w:r>
      <w:proofErr w:type="spellEnd"/>
      <w:r w:rsidRPr="005A218A">
        <w:rPr>
          <w:rFonts w:ascii="Times New Roman" w:hAnsi="Times New Roman"/>
          <w:lang w:val="pt-BR"/>
        </w:rPr>
        <w:t xml:space="preserve"> para síntese de moléculas </w:t>
      </w:r>
      <w:r w:rsidRPr="00E76E3A">
        <w:rPr>
          <w:rFonts w:ascii="Times New Roman" w:hAnsi="Times New Roman"/>
          <w:lang w:val="pt-BR"/>
        </w:rPr>
        <w:t>maiores (4).</w:t>
      </w:r>
    </w:p>
    <w:p w14:paraId="77846644" w14:textId="77777777" w:rsidR="008229F3" w:rsidRDefault="008229F3" w:rsidP="008229F3">
      <w:pPr>
        <w:pStyle w:val="TAMainText"/>
        <w:rPr>
          <w:rFonts w:ascii="Times New Roman" w:hAnsi="Times New Roman"/>
          <w:lang w:val="pt-BR"/>
        </w:rPr>
      </w:pPr>
      <w:r w:rsidRPr="003F4E9B">
        <w:rPr>
          <w:rFonts w:ascii="Times New Roman" w:hAnsi="Times New Roman"/>
          <w:lang w:val="pt-BR"/>
        </w:rPr>
        <w:t xml:space="preserve">Diante do exposto, o objetivo do presente trabalho foi produzir zeólita *BEA hierárquica por meio de duas metodologias distintas: desaluminização com hexafluorsilicato de amônio (HFSA) em estado sólido e tratamento em solução com hidróxido de sódio seguido de um tratamento com ácido clorídrico. Para avaliar a formação dos novos poros, foi necessário caracterizar os materiais modificados por DRX, FT-IR, análise de poros e superfície, RMN-MAS de </w:t>
      </w:r>
      <w:r w:rsidRPr="002C6029">
        <w:rPr>
          <w:rFonts w:ascii="Times New Roman" w:hAnsi="Times New Roman"/>
          <w:vertAlign w:val="superscript"/>
          <w:lang w:val="pt-BR"/>
        </w:rPr>
        <w:t>27</w:t>
      </w:r>
      <w:r w:rsidRPr="003F4E9B">
        <w:rPr>
          <w:rFonts w:ascii="Times New Roman" w:hAnsi="Times New Roman"/>
          <w:lang w:val="pt-BR"/>
        </w:rPr>
        <w:t xml:space="preserve">Al e de </w:t>
      </w:r>
      <w:r w:rsidRPr="002C6029">
        <w:rPr>
          <w:rFonts w:ascii="Times New Roman" w:hAnsi="Times New Roman"/>
          <w:vertAlign w:val="superscript"/>
          <w:lang w:val="pt-BR"/>
        </w:rPr>
        <w:t>29</w:t>
      </w:r>
      <w:r w:rsidRPr="003F4E9B">
        <w:rPr>
          <w:rFonts w:ascii="Times New Roman" w:hAnsi="Times New Roman"/>
          <w:lang w:val="pt-BR"/>
        </w:rPr>
        <w:t xml:space="preserve">Si e adsorção gasosa de piridina seguida de análise FT-IR. Alguns materiais modificados também foram impregnados com tungstato de amônio e caracterizados. Todos os catalisadores modificados foram testados na reação de desidratação de etanol para obtenção de etileno e, competitivamente a ele, o </w:t>
      </w:r>
      <w:proofErr w:type="spellStart"/>
      <w:r w:rsidRPr="003F4E9B">
        <w:rPr>
          <w:rFonts w:ascii="Times New Roman" w:hAnsi="Times New Roman"/>
          <w:lang w:val="pt-BR"/>
        </w:rPr>
        <w:t>dietil</w:t>
      </w:r>
      <w:proofErr w:type="spellEnd"/>
      <w:r w:rsidRPr="003F4E9B">
        <w:rPr>
          <w:rFonts w:ascii="Times New Roman" w:hAnsi="Times New Roman"/>
          <w:lang w:val="pt-BR"/>
        </w:rPr>
        <w:t xml:space="preserve"> éter (DEE).</w:t>
      </w:r>
      <w:r>
        <w:rPr>
          <w:rFonts w:ascii="Times New Roman" w:hAnsi="Times New Roman"/>
          <w:lang w:val="pt-BR"/>
        </w:rPr>
        <w:t xml:space="preserve"> </w:t>
      </w:r>
    </w:p>
    <w:p w14:paraId="3F4424AB" w14:textId="21F2B7D4" w:rsidR="00AB72CC" w:rsidRDefault="00650B1E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</w:t>
      </w:r>
    </w:p>
    <w:p w14:paraId="343F898A" w14:textId="77777777" w:rsidR="00AB72CC" w:rsidRDefault="00650B1E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Experimental</w:t>
      </w:r>
    </w:p>
    <w:p w14:paraId="048C4FAC" w14:textId="77777777" w:rsidR="00AB72CC" w:rsidRDefault="00650B1E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Hierarq</w:t>
      </w:r>
      <w:r>
        <w:rPr>
          <w:rFonts w:ascii="Times New Roman" w:hAnsi="Times New Roman"/>
          <w:i/>
          <w:lang w:val="pt-BR"/>
        </w:rPr>
        <w:t>uização em estado sólido.</w:t>
      </w:r>
    </w:p>
    <w:p w14:paraId="15D9397A" w14:textId="77777777" w:rsidR="00AB72CC" w:rsidRDefault="00650B1E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zeólita NH</w:t>
      </w:r>
      <w:r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*BEA (Zeolyst </w:t>
      </w:r>
      <w:proofErr w:type="spellStart"/>
      <w:r>
        <w:rPr>
          <w:rFonts w:ascii="Times New Roman" w:hAnsi="Times New Roman"/>
          <w:lang w:val="pt-BR"/>
        </w:rPr>
        <w:t>International</w:t>
      </w:r>
      <w:proofErr w:type="spellEnd"/>
      <w:r>
        <w:rPr>
          <w:rFonts w:ascii="Times New Roman" w:hAnsi="Times New Roman"/>
          <w:lang w:val="pt-BR"/>
        </w:rPr>
        <w:t>, CP814E, de razão molar SiO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/Al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 xml:space="preserve"> = 25) foi calcinada (8 horas, 550 °C) e, com isso, obteve-se a fonte de zeólita *BEA protônica (HB) para as demais modificações. Este material foi submeti</w:t>
      </w:r>
      <w:r>
        <w:rPr>
          <w:rFonts w:ascii="Times New Roman" w:hAnsi="Times New Roman"/>
          <w:lang w:val="pt-BR"/>
        </w:rPr>
        <w:t>do a desaluminização em estado sólido usando HFSA com vistas a remoção de diferentes percentuais teóricos de alumínio da rede zeolítica. Essas misturas foram acomodadas em um dessecador com solução saturada de cloreto de amônio e sob pressão atmosférica. A</w:t>
      </w:r>
      <w:r>
        <w:rPr>
          <w:rFonts w:ascii="Times New Roman" w:hAnsi="Times New Roman"/>
          <w:lang w:val="pt-BR"/>
        </w:rPr>
        <w:t>pós 24 horas, os materiais foram aquecidos em forno mufla (3 horas, 190 °C), lavados com solução de acetato de amônio e com água destilada. Depois disso, as misturas zeolíticas foram secas (12 horas, 120 °C) e calcinadas (8 horas, 550 °C). Para fins compar</w:t>
      </w:r>
      <w:r>
        <w:rPr>
          <w:rFonts w:ascii="Times New Roman" w:hAnsi="Times New Roman"/>
          <w:lang w:val="pt-BR"/>
        </w:rPr>
        <w:t>ativos, um dos materiais foi submetido ao mesmo procedimento duas vezes.</w:t>
      </w:r>
    </w:p>
    <w:p w14:paraId="497EB571" w14:textId="77777777" w:rsidR="00AB72CC" w:rsidRDefault="00AB72CC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1D038BC4" w14:textId="77777777" w:rsidR="00AB72CC" w:rsidRDefault="00650B1E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Hierarquização em solução de base e de ácido.</w:t>
      </w:r>
    </w:p>
    <w:p w14:paraId="2C159E45" w14:textId="77777777" w:rsidR="00AB72CC" w:rsidRDefault="00650B1E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zeólita HB foi tratada com uma solução 0,2 M de NaOH, sob agitação magnética a 75 °C, por 4 horas. Depois disso, essa mistura foi lava</w:t>
      </w:r>
      <w:r>
        <w:rPr>
          <w:rFonts w:ascii="Times New Roman" w:hAnsi="Times New Roman"/>
          <w:lang w:val="pt-BR"/>
        </w:rPr>
        <w:t xml:space="preserve">da com água deionizada (Milli-Q) durante 1 hora, também a 75 °C. Depois dessa etapa, o material resultante foi tratado com uma solução 0,5 M de ácido clorídrico nas mesmas condições do tratamento com a base. Ao final, foi realizado o mesmo procedimento de </w:t>
      </w:r>
      <w:r>
        <w:rPr>
          <w:rFonts w:ascii="Times New Roman" w:hAnsi="Times New Roman"/>
          <w:lang w:val="pt-BR"/>
        </w:rPr>
        <w:t>lavagem e a zeólita resultante foi depositada em cadinho, seca em estufa (12 horas, 120 °C) e calcinada (8 horas, 550 °C).</w:t>
      </w:r>
    </w:p>
    <w:p w14:paraId="54657C28" w14:textId="77777777" w:rsidR="00AB72CC" w:rsidRDefault="00AB72CC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5458E21F" w14:textId="77777777" w:rsidR="00AB72CC" w:rsidRDefault="00650B1E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Impregnação aquosa com WO</w:t>
      </w:r>
      <w:r>
        <w:rPr>
          <w:rFonts w:ascii="Times New Roman" w:hAnsi="Times New Roman"/>
          <w:i/>
          <w:vertAlign w:val="subscript"/>
          <w:lang w:val="pt-BR"/>
        </w:rPr>
        <w:t>3</w:t>
      </w:r>
      <w:r>
        <w:rPr>
          <w:rFonts w:ascii="Times New Roman" w:hAnsi="Times New Roman"/>
          <w:i/>
          <w:lang w:val="pt-BR"/>
        </w:rPr>
        <w:t>.</w:t>
      </w:r>
    </w:p>
    <w:p w14:paraId="70E7A610" w14:textId="49F92DEE" w:rsidR="00AB72CC" w:rsidRDefault="00650B1E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Para impregnação aquosa do tungstênio sob a zeólita tratada, esta foi previamente seca a 200 °C, por 4 </w:t>
      </w:r>
      <w:r>
        <w:rPr>
          <w:rFonts w:ascii="Times New Roman" w:hAnsi="Times New Roman"/>
          <w:lang w:val="pt-BR"/>
        </w:rPr>
        <w:t xml:space="preserve">hora e sob baixas pressões. Depois disso, sua massa foi medida e, a partir dela, determinado quanto de precursor metálico </w:t>
      </w:r>
      <w:r>
        <w:rPr>
          <w:rFonts w:ascii="Times New Roman" w:hAnsi="Times New Roman"/>
          <w:lang w:val="pt-BR"/>
        </w:rPr>
        <w:t>(</w:t>
      </w:r>
      <w:r w:rsidR="00670C0A">
        <w:rPr>
          <w:rFonts w:ascii="Times New Roman" w:hAnsi="Times New Roman"/>
          <w:lang w:val="pt-BR"/>
        </w:rPr>
        <w:t>tungstato</w:t>
      </w:r>
      <w:r>
        <w:rPr>
          <w:rFonts w:ascii="Times New Roman" w:hAnsi="Times New Roman"/>
          <w:lang w:val="pt-BR"/>
        </w:rPr>
        <w:t xml:space="preserve"> de amônio) seria necessário para a impregnação mássica de interesse. Esta quantidade foi completamente diluída em água des</w:t>
      </w:r>
      <w:r>
        <w:rPr>
          <w:rFonts w:ascii="Times New Roman" w:hAnsi="Times New Roman"/>
          <w:lang w:val="pt-BR"/>
        </w:rPr>
        <w:t xml:space="preserve">tilada, misturada com o material de suporte e posta sob agitação magnética a 90 °C até a completa evaporação do solvente. O material resultante foi seco em estufa (12 horas, 120 °C) e posteriormente calcinado (8 horas, 550 °C). Os catalisadores preparados </w:t>
      </w:r>
      <w:r>
        <w:rPr>
          <w:rFonts w:ascii="Times New Roman" w:hAnsi="Times New Roman"/>
          <w:lang w:val="pt-BR"/>
        </w:rPr>
        <w:t>estão descritos na Tabela 1.</w:t>
      </w:r>
    </w:p>
    <w:p w14:paraId="01DA95BF" w14:textId="77777777" w:rsidR="00AB72CC" w:rsidRDefault="00AB72CC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39AF8373" w14:textId="77777777" w:rsidR="00AB72CC" w:rsidRDefault="00650B1E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Reações de desidratação.</w:t>
      </w:r>
    </w:p>
    <w:p w14:paraId="1D529C10" w14:textId="71763CEA" w:rsidR="00AB72CC" w:rsidRDefault="00650B1E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As reações de desidratação foram avaliadas por 50 injeções de 0,5 μL de etanol sob 10 mg do catalisador em um </w:t>
      </w:r>
      <w:proofErr w:type="spellStart"/>
      <w:r>
        <w:rPr>
          <w:rFonts w:ascii="Times New Roman" w:hAnsi="Times New Roman"/>
          <w:lang w:val="pt-BR"/>
        </w:rPr>
        <w:t>microrreator</w:t>
      </w:r>
      <w:proofErr w:type="spellEnd"/>
      <w:r>
        <w:rPr>
          <w:rFonts w:ascii="Times New Roman" w:hAnsi="Times New Roman"/>
          <w:lang w:val="pt-BR"/>
        </w:rPr>
        <w:t xml:space="preserve"> de pulso acoplado a um cromatógrafo gasoso com detector de ionização por chama</w:t>
      </w:r>
      <w:r>
        <w:rPr>
          <w:rFonts w:ascii="Times New Roman" w:hAnsi="Times New Roman"/>
          <w:lang w:val="pt-BR"/>
        </w:rPr>
        <w:t xml:space="preserve"> (</w:t>
      </w:r>
      <w:proofErr w:type="spellStart"/>
      <w:r>
        <w:rPr>
          <w:rFonts w:ascii="Times New Roman" w:hAnsi="Times New Roman"/>
          <w:lang w:val="pt-BR"/>
        </w:rPr>
        <w:t>Shimadzu</w:t>
      </w:r>
      <w:proofErr w:type="spellEnd"/>
      <w:r>
        <w:rPr>
          <w:rFonts w:ascii="Times New Roman" w:hAnsi="Times New Roman"/>
          <w:lang w:val="pt-BR"/>
        </w:rPr>
        <w:t xml:space="preserve"> CD-FID, modelo 2010, coluna </w:t>
      </w:r>
      <w:proofErr w:type="spellStart"/>
      <w:r>
        <w:rPr>
          <w:rFonts w:ascii="Times New Roman" w:hAnsi="Times New Roman"/>
          <w:lang w:val="pt-BR"/>
        </w:rPr>
        <w:t>Shimadzu</w:t>
      </w:r>
      <w:proofErr w:type="spellEnd"/>
      <w:r>
        <w:rPr>
          <w:rFonts w:ascii="Times New Roman" w:hAnsi="Times New Roman"/>
          <w:lang w:val="pt-BR"/>
        </w:rPr>
        <w:t xml:space="preserve"> CBP1 PONA-M50-042, 50 m x 0,15 m x 0,33 μm). As reações foram feitas em 250 °C com condições semelhantes a trabalhos anteriores </w:t>
      </w:r>
      <w:r w:rsidRPr="00E76E3A">
        <w:rPr>
          <w:rFonts w:ascii="Times New Roman" w:hAnsi="Times New Roman"/>
          <w:lang w:val="pt-BR"/>
        </w:rPr>
        <w:t>(</w:t>
      </w:r>
      <w:r w:rsidR="00861A46" w:rsidRPr="00E76E3A">
        <w:rPr>
          <w:rFonts w:ascii="Times New Roman" w:hAnsi="Times New Roman"/>
          <w:lang w:val="pt-BR"/>
        </w:rPr>
        <w:t>2,5</w:t>
      </w:r>
      <w:r w:rsidRPr="00E76E3A">
        <w:rPr>
          <w:rFonts w:ascii="Times New Roman" w:hAnsi="Times New Roman"/>
          <w:lang w:val="pt-BR"/>
        </w:rPr>
        <w:t>)</w:t>
      </w:r>
      <w:r w:rsidRPr="00E76E3A">
        <w:rPr>
          <w:rFonts w:ascii="Times New Roman" w:hAnsi="Times New Roman"/>
          <w:lang w:val="pt-BR"/>
        </w:rPr>
        <w:t>.</w:t>
      </w:r>
    </w:p>
    <w:p w14:paraId="0539CEA8" w14:textId="77777777" w:rsidR="00AB72CC" w:rsidRDefault="00AB72CC">
      <w:pPr>
        <w:pStyle w:val="TAMainText"/>
        <w:rPr>
          <w:rFonts w:ascii="Times New Roman" w:hAnsi="Times New Roman"/>
          <w:lang w:val="pt-BR"/>
        </w:rPr>
      </w:pPr>
    </w:p>
    <w:p w14:paraId="15B9C964" w14:textId="77777777" w:rsidR="00AB72CC" w:rsidRDefault="00650B1E">
      <w:pPr>
        <w:pStyle w:val="VDTableTitle"/>
        <w:spacing w:after="12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Tabela 1.</w:t>
      </w:r>
      <w:r>
        <w:rPr>
          <w:rFonts w:ascii="Times New Roman" w:hAnsi="Times New Roman"/>
          <w:lang w:val="pt-BR"/>
        </w:rPr>
        <w:t xml:space="preserve"> Nomenclatura e descrição dos materiais preparados.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3603"/>
      </w:tblGrid>
      <w:tr w:rsidR="00AB72CC" w14:paraId="1DA84F3D" w14:textId="77777777">
        <w:tc>
          <w:tcPr>
            <w:tcW w:w="1201" w:type="dxa"/>
            <w:vAlign w:val="center"/>
          </w:tcPr>
          <w:p w14:paraId="136FCA50" w14:textId="77777777" w:rsidR="00AB72CC" w:rsidRDefault="00650B1E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Material</w:t>
            </w:r>
          </w:p>
        </w:tc>
        <w:tc>
          <w:tcPr>
            <w:tcW w:w="3603" w:type="dxa"/>
            <w:vAlign w:val="center"/>
          </w:tcPr>
          <w:p w14:paraId="42B10F64" w14:textId="77777777" w:rsidR="00AB72CC" w:rsidRDefault="00650B1E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Descrição</w:t>
            </w:r>
          </w:p>
        </w:tc>
      </w:tr>
      <w:tr w:rsidR="00AB72CC" w14:paraId="4136A1DD" w14:textId="77777777">
        <w:trPr>
          <w:trHeight w:val="454"/>
        </w:trPr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5CF49DD1" w14:textId="77777777" w:rsidR="00AB72CC" w:rsidRDefault="00650B1E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HB</w:t>
            </w:r>
          </w:p>
        </w:tc>
        <w:tc>
          <w:tcPr>
            <w:tcW w:w="3603" w:type="dxa"/>
            <w:tcBorders>
              <w:bottom w:val="single" w:sz="6" w:space="0" w:color="auto"/>
            </w:tcBorders>
            <w:vAlign w:val="center"/>
          </w:tcPr>
          <w:p w14:paraId="2F573FC8" w14:textId="77777777" w:rsidR="00AB72CC" w:rsidRDefault="00650B1E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Zeólita *BEA protônica.</w:t>
            </w:r>
          </w:p>
        </w:tc>
      </w:tr>
      <w:tr w:rsidR="00AB72CC" w14:paraId="059CE9F6" w14:textId="77777777">
        <w:trPr>
          <w:trHeight w:val="454"/>
        </w:trPr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67EC7CB1" w14:textId="77777777" w:rsidR="00AB72CC" w:rsidRDefault="00650B1E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BD-1x-70</w:t>
            </w:r>
          </w:p>
        </w:tc>
        <w:tc>
          <w:tcPr>
            <w:tcW w:w="3603" w:type="dxa"/>
            <w:tcBorders>
              <w:bottom w:val="single" w:sz="6" w:space="0" w:color="auto"/>
            </w:tcBorders>
            <w:vAlign w:val="center"/>
          </w:tcPr>
          <w:p w14:paraId="7678713B" w14:textId="77777777" w:rsidR="00AB72CC" w:rsidRDefault="00650B1E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HB desaluminizada 70% (percentual teórico).</w:t>
            </w:r>
          </w:p>
        </w:tc>
      </w:tr>
      <w:tr w:rsidR="00AB72CC" w14:paraId="61ED1D1C" w14:textId="77777777">
        <w:trPr>
          <w:trHeight w:val="454"/>
        </w:trPr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6FC829DA" w14:textId="77777777" w:rsidR="00AB72CC" w:rsidRDefault="00650B1E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BD-1x-100</w:t>
            </w:r>
          </w:p>
        </w:tc>
        <w:tc>
          <w:tcPr>
            <w:tcW w:w="3603" w:type="dxa"/>
            <w:tcBorders>
              <w:bottom w:val="single" w:sz="6" w:space="0" w:color="auto"/>
            </w:tcBorders>
            <w:vAlign w:val="center"/>
          </w:tcPr>
          <w:p w14:paraId="6CFA85D5" w14:textId="77777777" w:rsidR="00AB72CC" w:rsidRDefault="00650B1E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HB desaluminizada 100% (percentual teórico).</w:t>
            </w:r>
          </w:p>
        </w:tc>
      </w:tr>
      <w:tr w:rsidR="00AB72CC" w14:paraId="0705A73E" w14:textId="77777777">
        <w:trPr>
          <w:trHeight w:val="454"/>
        </w:trPr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6082A831" w14:textId="77777777" w:rsidR="00AB72CC" w:rsidRDefault="00650B1E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BD-1x-200</w:t>
            </w:r>
          </w:p>
        </w:tc>
        <w:tc>
          <w:tcPr>
            <w:tcW w:w="3603" w:type="dxa"/>
            <w:tcBorders>
              <w:bottom w:val="single" w:sz="6" w:space="0" w:color="auto"/>
            </w:tcBorders>
            <w:vAlign w:val="center"/>
          </w:tcPr>
          <w:p w14:paraId="0F7B44A8" w14:textId="77777777" w:rsidR="00AB72CC" w:rsidRDefault="00650B1E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HB desaluminizada 200% (percentual teórico).</w:t>
            </w:r>
          </w:p>
        </w:tc>
      </w:tr>
      <w:tr w:rsidR="00AB72CC" w14:paraId="0CFB04E9" w14:textId="77777777">
        <w:trPr>
          <w:trHeight w:val="454"/>
        </w:trPr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7EEDB090" w14:textId="77777777" w:rsidR="00AB72CC" w:rsidRDefault="00650B1E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BD-2x-70</w:t>
            </w:r>
          </w:p>
        </w:tc>
        <w:tc>
          <w:tcPr>
            <w:tcW w:w="3603" w:type="dxa"/>
            <w:tcBorders>
              <w:bottom w:val="single" w:sz="6" w:space="0" w:color="auto"/>
            </w:tcBorders>
            <w:vAlign w:val="center"/>
          </w:tcPr>
          <w:p w14:paraId="7F9B899B" w14:textId="77777777" w:rsidR="00AB72CC" w:rsidRDefault="00650B1E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 xml:space="preserve">HB desaluminizada 2 vezes 70% </w:t>
            </w:r>
            <w:r>
              <w:rPr>
                <w:lang w:val="pt-BR"/>
              </w:rPr>
              <w:t>(percentual teórico).</w:t>
            </w:r>
          </w:p>
        </w:tc>
      </w:tr>
      <w:tr w:rsidR="00AB72CC" w14:paraId="476889A6" w14:textId="77777777">
        <w:trPr>
          <w:trHeight w:val="454"/>
        </w:trPr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14F80D07" w14:textId="77777777" w:rsidR="00AB72CC" w:rsidRDefault="00650B1E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BT-NaOH-HCl</w:t>
            </w:r>
          </w:p>
        </w:tc>
        <w:tc>
          <w:tcPr>
            <w:tcW w:w="3603" w:type="dxa"/>
            <w:tcBorders>
              <w:bottom w:val="single" w:sz="6" w:space="0" w:color="auto"/>
            </w:tcBorders>
            <w:vAlign w:val="center"/>
          </w:tcPr>
          <w:p w14:paraId="0B1889BB" w14:textId="77777777" w:rsidR="00AB72CC" w:rsidRDefault="00650B1E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 xml:space="preserve"> HB tratada com NaOH 0,2 M e HCl 0,5M.</w:t>
            </w:r>
          </w:p>
        </w:tc>
      </w:tr>
      <w:tr w:rsidR="00AB72CC" w14:paraId="693BBA10" w14:textId="77777777">
        <w:trPr>
          <w:trHeight w:val="454"/>
        </w:trPr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1075806C" w14:textId="77777777" w:rsidR="00AB72CC" w:rsidRDefault="00650B1E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10W-BT</w:t>
            </w:r>
          </w:p>
        </w:tc>
        <w:tc>
          <w:tcPr>
            <w:tcW w:w="3603" w:type="dxa"/>
            <w:tcBorders>
              <w:bottom w:val="single" w:sz="6" w:space="0" w:color="auto"/>
            </w:tcBorders>
            <w:vAlign w:val="center"/>
          </w:tcPr>
          <w:p w14:paraId="06CC5DEB" w14:textId="77777777" w:rsidR="00AB72CC" w:rsidRDefault="00650B1E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BT impregnada com 10% de tungstato (percentual teórico).</w:t>
            </w:r>
          </w:p>
        </w:tc>
      </w:tr>
      <w:tr w:rsidR="00AB72CC" w14:paraId="36374C2E" w14:textId="77777777">
        <w:tc>
          <w:tcPr>
            <w:tcW w:w="480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35DF2C5" w14:textId="77777777" w:rsidR="00AB72CC" w:rsidRDefault="00AB72CC">
            <w:pPr>
              <w:pStyle w:val="TCTableBody"/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</w:tc>
      </w:tr>
    </w:tbl>
    <w:p w14:paraId="027247AC" w14:textId="77777777" w:rsidR="00AB72CC" w:rsidRDefault="00AB72CC">
      <w:pPr>
        <w:pStyle w:val="TAMainText"/>
        <w:ind w:firstLine="0"/>
        <w:rPr>
          <w:rFonts w:ascii="Times New Roman" w:hAnsi="Times New Roman"/>
          <w:lang w:val="pt-BR"/>
        </w:rPr>
      </w:pPr>
    </w:p>
    <w:p w14:paraId="7534457B" w14:textId="77777777" w:rsidR="00AB72CC" w:rsidRDefault="00650B1E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Resultados e Discussão</w:t>
      </w:r>
    </w:p>
    <w:p w14:paraId="715A8222" w14:textId="77777777" w:rsidR="00AB72CC" w:rsidRDefault="00650B1E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Difração de raios-X.</w:t>
      </w:r>
    </w:p>
    <w:p w14:paraId="383F4C43" w14:textId="13088654" w:rsidR="00AB72CC" w:rsidRDefault="00650B1E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Em todas as amostras foram identificados os picos de difração em 2θ = 7,80° e 22,50°, que correspondem às reflexões (101) e (302) da zeólita *BEA, respectivamente </w:t>
      </w:r>
      <w:r w:rsidRPr="00E76E3A">
        <w:rPr>
          <w:rFonts w:ascii="Times New Roman" w:hAnsi="Times New Roman"/>
          <w:lang w:val="pt-BR"/>
        </w:rPr>
        <w:t>(6</w:t>
      </w:r>
      <w:r w:rsidRPr="00E76E3A">
        <w:rPr>
          <w:rFonts w:ascii="Times New Roman" w:hAnsi="Times New Roman"/>
          <w:lang w:val="pt-BR"/>
        </w:rPr>
        <w:t xml:space="preserve">, </w:t>
      </w:r>
      <w:r w:rsidR="008B552D" w:rsidRPr="00E76E3A">
        <w:rPr>
          <w:rFonts w:ascii="Times New Roman" w:hAnsi="Times New Roman"/>
          <w:lang w:val="pt-BR"/>
        </w:rPr>
        <w:t>7</w:t>
      </w:r>
      <w:r w:rsidRPr="00E76E3A">
        <w:rPr>
          <w:rFonts w:ascii="Times New Roman" w:hAnsi="Times New Roman"/>
          <w:lang w:val="pt-BR"/>
        </w:rPr>
        <w:t>)</w:t>
      </w:r>
      <w:r w:rsidRPr="00E76E3A">
        <w:rPr>
          <w:rFonts w:ascii="Times New Roman" w:hAnsi="Times New Roman"/>
          <w:lang w:val="pt-BR"/>
        </w:rPr>
        <w:t xml:space="preserve">. </w:t>
      </w:r>
      <w:r>
        <w:rPr>
          <w:rFonts w:ascii="Times New Roman" w:hAnsi="Times New Roman"/>
          <w:lang w:val="pt-BR"/>
        </w:rPr>
        <w:t>Os materiais modificados não apresentaram desvio significativo nos ângulos em compa</w:t>
      </w:r>
      <w:r>
        <w:rPr>
          <w:rFonts w:ascii="Times New Roman" w:hAnsi="Times New Roman"/>
          <w:lang w:val="pt-BR"/>
        </w:rPr>
        <w:t xml:space="preserve">ração com a zeólita de partida (HB), indicando </w:t>
      </w:r>
      <w:r>
        <w:rPr>
          <w:rFonts w:ascii="Times New Roman" w:hAnsi="Times New Roman"/>
          <w:lang w:val="pt-BR"/>
        </w:rPr>
        <w:t>a preservação estrutural zeolítica. Em todas as amostras foi identificado um ligeiro decaimento na intensidade, o que pode indicar a amorfização dos materiais. Até mesmo uma maior quantidade de HFSA (usada</w:t>
      </w:r>
      <w:r>
        <w:rPr>
          <w:rFonts w:ascii="Times New Roman" w:hAnsi="Times New Roman"/>
          <w:lang w:val="pt-BR"/>
        </w:rPr>
        <w:t xml:space="preserve"> na amostra BD-1x-200) não comprometeu a rede zeolítica. Os cálculos de cristalinidade foram realizados </w:t>
      </w:r>
      <w:r>
        <w:rPr>
          <w:rFonts w:ascii="Times New Roman" w:hAnsi="Times New Roman"/>
          <w:lang w:val="pt-BR"/>
        </w:rPr>
        <w:lastRenderedPageBreak/>
        <w:t>considerando-se a área abaixo dos picos no intervalo de 2θ = 19,33-23,87°</w:t>
      </w:r>
      <w:r>
        <w:rPr>
          <w:rFonts w:ascii="Times New Roman" w:hAnsi="Times New Roman"/>
          <w:lang w:val="pt-BR"/>
        </w:rPr>
        <w:t xml:space="preserve">, onde os materiais BD-1x-70 e BD-1x-100 </w:t>
      </w:r>
      <w:proofErr w:type="gramStart"/>
      <w:r>
        <w:rPr>
          <w:rFonts w:ascii="Times New Roman" w:hAnsi="Times New Roman"/>
          <w:lang w:val="pt-BR"/>
        </w:rPr>
        <w:t>mantiveram praticamente a mesma</w:t>
      </w:r>
      <w:proofErr w:type="gramEnd"/>
      <w:r>
        <w:rPr>
          <w:rFonts w:ascii="Times New Roman" w:hAnsi="Times New Roman"/>
          <w:lang w:val="pt-BR"/>
        </w:rPr>
        <w:t xml:space="preserve"> c</w:t>
      </w:r>
      <w:r>
        <w:rPr>
          <w:rFonts w:ascii="Times New Roman" w:hAnsi="Times New Roman"/>
          <w:lang w:val="pt-BR"/>
        </w:rPr>
        <w:t xml:space="preserve">ristalinidade da zeólita de partida, mas o material BD-1x-200, reduziu em torno de 15%. A hierarquização em solução não influenciou significativamente na queda da cristalinidade, mesmo após a impregnação do metal, uma vez que todos os materiais mantiveram </w:t>
      </w:r>
      <w:r>
        <w:rPr>
          <w:rFonts w:ascii="Times New Roman" w:hAnsi="Times New Roman"/>
          <w:lang w:val="pt-BR"/>
        </w:rPr>
        <w:t xml:space="preserve">suas cristalinidades acima de 90%. </w:t>
      </w:r>
      <w:r w:rsidR="00EB40F6">
        <w:rPr>
          <w:rFonts w:ascii="Times New Roman" w:hAnsi="Times New Roman"/>
          <w:lang w:val="pt-BR"/>
        </w:rPr>
        <w:t>Assim</w:t>
      </w:r>
      <w:r>
        <w:rPr>
          <w:rFonts w:ascii="Times New Roman" w:hAnsi="Times New Roman"/>
          <w:lang w:val="pt-BR"/>
        </w:rPr>
        <w:t xml:space="preserve">, </w:t>
      </w:r>
      <w:r w:rsidR="00EB40F6">
        <w:rPr>
          <w:rFonts w:ascii="Times New Roman" w:hAnsi="Times New Roman"/>
          <w:lang w:val="pt-BR"/>
        </w:rPr>
        <w:t>foi possível realizar</w:t>
      </w:r>
      <w:r>
        <w:rPr>
          <w:rFonts w:ascii="Times New Roman" w:hAnsi="Times New Roman"/>
          <w:lang w:val="pt-BR"/>
        </w:rPr>
        <w:t xml:space="preserve"> a união d</w:t>
      </w:r>
      <w:r w:rsidR="00EB40F6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 xml:space="preserve"> técnica</w:t>
      </w:r>
      <w:r>
        <w:rPr>
          <w:rFonts w:ascii="Times New Roman" w:hAnsi="Times New Roman"/>
          <w:lang w:val="pt-BR"/>
        </w:rPr>
        <w:t xml:space="preserve"> de hierarquização em solução com impregnação, quando se desejar, visto que o comprometimento do material foi menor.</w:t>
      </w:r>
    </w:p>
    <w:p w14:paraId="6F5D6E32" w14:textId="77777777" w:rsidR="00AB72CC" w:rsidRDefault="00AB72CC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E59556B" w14:textId="77777777" w:rsidR="00AB72CC" w:rsidRDefault="00650B1E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Espectroscopia no infravermelho com transfor</w:t>
      </w:r>
      <w:r>
        <w:rPr>
          <w:rFonts w:ascii="Times New Roman" w:hAnsi="Times New Roman"/>
          <w:i/>
          <w:lang w:val="pt-BR"/>
        </w:rPr>
        <w:t>mada de Fourier.</w:t>
      </w:r>
    </w:p>
    <w:p w14:paraId="742EE161" w14:textId="780F346A" w:rsidR="00AB72CC" w:rsidRDefault="00650B1E">
      <w:pPr>
        <w:pStyle w:val="TAMainText"/>
        <w:rPr>
          <w:lang w:val="pt-BR"/>
        </w:rPr>
      </w:pPr>
      <w:r>
        <w:rPr>
          <w:rFonts w:ascii="Times New Roman" w:hAnsi="Times New Roman"/>
          <w:lang w:val="pt-BR"/>
        </w:rPr>
        <w:t>Em todos os materiais foram identificados os sinais em aproximadamente 1220 cm</w:t>
      </w:r>
      <w:r>
        <w:rPr>
          <w:rFonts w:ascii="Times New Roman" w:hAnsi="Times New Roman"/>
          <w:vertAlign w:val="superscript"/>
          <w:lang w:val="pt-BR"/>
        </w:rPr>
        <w:t>−1</w:t>
      </w:r>
      <w:r>
        <w:rPr>
          <w:rFonts w:ascii="Times New Roman" w:hAnsi="Times New Roman"/>
          <w:lang w:val="pt-BR"/>
        </w:rPr>
        <w:t>, que correspondem à vibração assimétrica do tetraedro SiO</w:t>
      </w:r>
      <w:r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>, e em aproximadamente 1089 cm</w:t>
      </w:r>
      <w:r>
        <w:rPr>
          <w:rFonts w:ascii="Times New Roman" w:hAnsi="Times New Roman"/>
          <w:vertAlign w:val="superscript"/>
          <w:lang w:val="pt-BR"/>
        </w:rPr>
        <w:t>−1</w:t>
      </w:r>
      <w:r>
        <w:rPr>
          <w:rFonts w:ascii="Times New Roman" w:hAnsi="Times New Roman"/>
          <w:lang w:val="pt-BR"/>
        </w:rPr>
        <w:t xml:space="preserve"> (Figura 1), que dizem respeito à vibração simétrica entre o áto</w:t>
      </w:r>
      <w:r w:rsidRPr="00E76E3A">
        <w:rPr>
          <w:rFonts w:ascii="Times New Roman" w:hAnsi="Times New Roman"/>
          <w:lang w:val="pt-BR"/>
        </w:rPr>
        <w:t xml:space="preserve">mo T </w:t>
      </w:r>
      <w:proofErr w:type="spellStart"/>
      <w:r w:rsidRPr="00E76E3A">
        <w:rPr>
          <w:rFonts w:ascii="Times New Roman" w:hAnsi="Times New Roman"/>
          <w:lang w:val="pt-BR"/>
        </w:rPr>
        <w:t>tetraedral</w:t>
      </w:r>
      <w:proofErr w:type="spellEnd"/>
      <w:r w:rsidRPr="00E76E3A">
        <w:rPr>
          <w:rFonts w:ascii="Times New Roman" w:hAnsi="Times New Roman"/>
          <w:lang w:val="pt-BR"/>
        </w:rPr>
        <w:t xml:space="preserve"> e os átomos de oxigênio </w:t>
      </w:r>
      <w:r w:rsidRPr="00E76E3A">
        <w:rPr>
          <w:rFonts w:ascii="Times New Roman" w:hAnsi="Times New Roman"/>
          <w:lang w:val="pt-BR"/>
        </w:rPr>
        <w:t>(</w:t>
      </w:r>
      <w:r w:rsidR="00EB40F6" w:rsidRPr="00E76E3A">
        <w:rPr>
          <w:rFonts w:ascii="Times New Roman" w:hAnsi="Times New Roman"/>
          <w:lang w:val="pt-BR"/>
        </w:rPr>
        <w:t>2</w:t>
      </w:r>
      <w:r w:rsidRPr="00E76E3A">
        <w:rPr>
          <w:rFonts w:ascii="Times New Roman" w:hAnsi="Times New Roman"/>
          <w:lang w:val="pt-BR"/>
        </w:rPr>
        <w:t>)</w:t>
      </w:r>
      <w:r w:rsidRPr="00E76E3A">
        <w:rPr>
          <w:rFonts w:ascii="Times New Roman" w:hAnsi="Times New Roman"/>
          <w:lang w:val="pt-BR"/>
        </w:rPr>
        <w:t xml:space="preserve">. Após as modificações, houve deslocamento destes sinais para maiores números de onda, tratando-se de um acontecimento esperado em </w:t>
      </w:r>
      <w:proofErr w:type="spellStart"/>
      <w:r w:rsidRPr="00E76E3A">
        <w:rPr>
          <w:rFonts w:ascii="Times New Roman" w:hAnsi="Times New Roman"/>
          <w:lang w:val="pt-BR"/>
        </w:rPr>
        <w:t>desaluminizações</w:t>
      </w:r>
      <w:proofErr w:type="spellEnd"/>
      <w:r w:rsidRPr="00E76E3A">
        <w:rPr>
          <w:rFonts w:ascii="Times New Roman" w:hAnsi="Times New Roman"/>
          <w:lang w:val="pt-BR"/>
        </w:rPr>
        <w:t xml:space="preserve"> d</w:t>
      </w:r>
      <w:r w:rsidRPr="00E76E3A">
        <w:rPr>
          <w:rFonts w:ascii="Times New Roman" w:hAnsi="Times New Roman"/>
          <w:lang w:val="pt-BR"/>
        </w:rPr>
        <w:t>evido ao aumento da razão Si/Al. Também foram identificados os sinais em torno de 946 cm</w:t>
      </w:r>
      <w:r w:rsidRPr="00E76E3A">
        <w:rPr>
          <w:rFonts w:ascii="Times New Roman" w:hAnsi="Times New Roman"/>
          <w:vertAlign w:val="superscript"/>
          <w:lang w:val="pt-BR"/>
        </w:rPr>
        <w:t>−1</w:t>
      </w:r>
      <w:r w:rsidRPr="00E76E3A">
        <w:rPr>
          <w:rFonts w:ascii="Times New Roman" w:hAnsi="Times New Roman"/>
          <w:lang w:val="pt-BR"/>
        </w:rPr>
        <w:t xml:space="preserve">, que correspondem à vibração da ligação </w:t>
      </w:r>
      <w:proofErr w:type="spellStart"/>
      <w:r w:rsidRPr="00E76E3A">
        <w:rPr>
          <w:rFonts w:ascii="Times New Roman" w:hAnsi="Times New Roman"/>
          <w:lang w:val="pt-BR"/>
        </w:rPr>
        <w:t>Si-O</w:t>
      </w:r>
      <w:proofErr w:type="spellEnd"/>
      <w:r w:rsidRPr="00E76E3A">
        <w:rPr>
          <w:rFonts w:ascii="Times New Roman" w:hAnsi="Times New Roman"/>
          <w:lang w:val="pt-BR"/>
        </w:rPr>
        <w:t xml:space="preserve"> </w:t>
      </w:r>
      <w:r w:rsidRPr="00E76E3A">
        <w:rPr>
          <w:rFonts w:ascii="Times New Roman" w:hAnsi="Times New Roman"/>
          <w:lang w:val="pt-BR"/>
        </w:rPr>
        <w:t>(</w:t>
      </w:r>
      <w:r w:rsidR="00EB40F6" w:rsidRPr="00E76E3A">
        <w:rPr>
          <w:rFonts w:ascii="Times New Roman" w:hAnsi="Times New Roman"/>
          <w:lang w:val="pt-BR"/>
        </w:rPr>
        <w:t>2</w:t>
      </w:r>
      <w:r w:rsidRPr="00E76E3A">
        <w:rPr>
          <w:rFonts w:ascii="Times New Roman" w:hAnsi="Times New Roman"/>
          <w:lang w:val="pt-BR"/>
        </w:rPr>
        <w:t xml:space="preserve">, </w:t>
      </w:r>
      <w:r w:rsidR="00EB40F6" w:rsidRPr="00E76E3A">
        <w:rPr>
          <w:rFonts w:ascii="Times New Roman" w:hAnsi="Times New Roman"/>
          <w:lang w:val="pt-BR"/>
        </w:rPr>
        <w:t>8</w:t>
      </w:r>
      <w:r w:rsidRPr="00E76E3A">
        <w:rPr>
          <w:rFonts w:ascii="Times New Roman" w:hAnsi="Times New Roman"/>
          <w:lang w:val="pt-BR"/>
        </w:rPr>
        <w:t>)</w:t>
      </w:r>
      <w:r w:rsidRPr="00E76E3A">
        <w:rPr>
          <w:rFonts w:ascii="Times New Roman" w:hAnsi="Times New Roman"/>
          <w:lang w:val="pt-BR"/>
        </w:rPr>
        <w:t xml:space="preserve">. </w:t>
      </w:r>
      <w:r>
        <w:rPr>
          <w:rFonts w:ascii="Times New Roman" w:hAnsi="Times New Roman"/>
          <w:lang w:val="pt-BR"/>
        </w:rPr>
        <w:t>É visível que este sinal nos materiais modificados com HFSA são mais discretos que dos materiais modificados co</w:t>
      </w:r>
      <w:r>
        <w:rPr>
          <w:rFonts w:ascii="Times New Roman" w:hAnsi="Times New Roman"/>
          <w:lang w:val="pt-BR"/>
        </w:rPr>
        <w:t xml:space="preserve">m as soluções, além de terem sido deslocados para números de onda maiores. Possivelmente isso aconteceu porque houve rompimento das ligações </w:t>
      </w:r>
      <w:proofErr w:type="spellStart"/>
      <w:r>
        <w:rPr>
          <w:rFonts w:ascii="Times New Roman" w:hAnsi="Times New Roman"/>
          <w:lang w:val="pt-BR"/>
        </w:rPr>
        <w:t>Si-O</w:t>
      </w:r>
      <w:proofErr w:type="spellEnd"/>
      <w:r>
        <w:rPr>
          <w:rFonts w:ascii="Times New Roman" w:hAnsi="Times New Roman"/>
          <w:lang w:val="pt-BR"/>
        </w:rPr>
        <w:t xml:space="preserve"> promovida pelo NaOH e pela mudança na razão Si/Al, o que reforça a ideia de que a base retira Si da rede e pro</w:t>
      </w:r>
      <w:r>
        <w:rPr>
          <w:rFonts w:ascii="Times New Roman" w:hAnsi="Times New Roman"/>
          <w:lang w:val="pt-BR"/>
        </w:rPr>
        <w:t>move a formação de mesoporos. O número de onda identificado em torno de 800 cm</w:t>
      </w:r>
      <w:r>
        <w:rPr>
          <w:rFonts w:ascii="Times New Roman" w:hAnsi="Times New Roman"/>
          <w:vertAlign w:val="superscript"/>
          <w:lang w:val="pt-BR"/>
        </w:rPr>
        <w:t>−1</w:t>
      </w:r>
      <w:r>
        <w:rPr>
          <w:rFonts w:ascii="Times New Roman" w:hAnsi="Times New Roman"/>
          <w:lang w:val="pt-BR"/>
        </w:rPr>
        <w:t xml:space="preserve"> representa a vibração de alongamento simétrico O-T-O, este que aumenta linearmente com o decréscimo de Al na estrutura zeolítica </w:t>
      </w:r>
      <w:r w:rsidRPr="00E76E3A">
        <w:rPr>
          <w:rFonts w:ascii="Times New Roman" w:hAnsi="Times New Roman"/>
          <w:lang w:val="pt-BR"/>
        </w:rPr>
        <w:t>(</w:t>
      </w:r>
      <w:r w:rsidRPr="00E76E3A">
        <w:rPr>
          <w:rFonts w:ascii="Times New Roman" w:hAnsi="Times New Roman"/>
          <w:lang w:val="pt-BR"/>
        </w:rPr>
        <w:t>8)</w:t>
      </w:r>
      <w:r w:rsidRPr="00E76E3A">
        <w:rPr>
          <w:rFonts w:ascii="Times New Roman" w:hAnsi="Times New Roman"/>
          <w:lang w:val="pt-BR"/>
        </w:rPr>
        <w:t xml:space="preserve">. </w:t>
      </w:r>
      <w:r>
        <w:rPr>
          <w:rFonts w:ascii="Times New Roman" w:hAnsi="Times New Roman"/>
          <w:lang w:val="pt-BR"/>
        </w:rPr>
        <w:t>Na medida em que foram feitas as modific</w:t>
      </w:r>
      <w:r>
        <w:rPr>
          <w:rFonts w:ascii="Times New Roman" w:hAnsi="Times New Roman"/>
          <w:lang w:val="pt-BR"/>
        </w:rPr>
        <w:t xml:space="preserve">ações nos materiais, nota-se um ligeiro aumento no número de onda dessa região e, por causa disso, infere-se que houve uma pequena remoção de Al da rede e maior remoção de </w:t>
      </w:r>
      <w:proofErr w:type="spellStart"/>
      <w:r>
        <w:rPr>
          <w:rFonts w:ascii="Times New Roman" w:hAnsi="Times New Roman"/>
          <w:lang w:val="pt-BR"/>
        </w:rPr>
        <w:t>EFAl</w:t>
      </w:r>
      <w:proofErr w:type="spellEnd"/>
      <w:r>
        <w:rPr>
          <w:rFonts w:ascii="Times New Roman" w:hAnsi="Times New Roman"/>
          <w:lang w:val="pt-BR"/>
        </w:rPr>
        <w:t>, já que os materiais não perderam significativamente a cristalinidade. Por fim,</w:t>
      </w:r>
      <w:r>
        <w:rPr>
          <w:rFonts w:ascii="Times New Roman" w:hAnsi="Times New Roman"/>
          <w:lang w:val="pt-BR"/>
        </w:rPr>
        <w:t xml:space="preserve"> as bandas de absorção visualizadas em torno de 628 cm</w:t>
      </w:r>
      <w:r>
        <w:rPr>
          <w:rFonts w:ascii="Times New Roman" w:hAnsi="Times New Roman"/>
          <w:vertAlign w:val="superscript"/>
          <w:lang w:val="pt-BR"/>
        </w:rPr>
        <w:t>−1</w:t>
      </w:r>
      <w:r>
        <w:rPr>
          <w:rFonts w:ascii="Times New Roman" w:hAnsi="Times New Roman"/>
          <w:lang w:val="pt-BR"/>
        </w:rPr>
        <w:t>, 572 cm</w:t>
      </w:r>
      <w:r>
        <w:rPr>
          <w:rFonts w:ascii="Times New Roman" w:hAnsi="Times New Roman"/>
          <w:vertAlign w:val="superscript"/>
          <w:lang w:val="pt-BR"/>
        </w:rPr>
        <w:t>−1</w:t>
      </w:r>
      <w:r>
        <w:rPr>
          <w:rFonts w:ascii="Times New Roman" w:hAnsi="Times New Roman"/>
          <w:lang w:val="pt-BR"/>
        </w:rPr>
        <w:t xml:space="preserve"> e 526 cm</w:t>
      </w:r>
      <w:r>
        <w:rPr>
          <w:rFonts w:ascii="Times New Roman" w:hAnsi="Times New Roman"/>
          <w:vertAlign w:val="superscript"/>
          <w:lang w:val="pt-BR"/>
        </w:rPr>
        <w:t>−1</w:t>
      </w:r>
      <w:r>
        <w:rPr>
          <w:rFonts w:ascii="Times New Roman" w:hAnsi="Times New Roman"/>
          <w:lang w:val="pt-BR"/>
        </w:rPr>
        <w:t xml:space="preserve"> correspondem às vibrações dos anéis de 6 membros da zeólita *BEA, indicando que as modificações não comprometeram significativamente a rede </w:t>
      </w:r>
      <w:r w:rsidRPr="00E76E3A">
        <w:rPr>
          <w:rFonts w:ascii="Times New Roman" w:hAnsi="Times New Roman"/>
          <w:lang w:val="pt-BR"/>
        </w:rPr>
        <w:t xml:space="preserve">zeolítica </w:t>
      </w:r>
      <w:r w:rsidRPr="00E76E3A">
        <w:rPr>
          <w:rFonts w:ascii="Times New Roman" w:hAnsi="Times New Roman"/>
          <w:lang w:val="pt-BR"/>
        </w:rPr>
        <w:t>(</w:t>
      </w:r>
      <w:r w:rsidR="003D5B5C" w:rsidRPr="00E76E3A">
        <w:rPr>
          <w:rFonts w:ascii="Times New Roman" w:hAnsi="Times New Roman"/>
          <w:lang w:val="pt-BR"/>
        </w:rPr>
        <w:t>2</w:t>
      </w:r>
      <w:r w:rsidRPr="00E76E3A">
        <w:rPr>
          <w:rFonts w:ascii="Times New Roman" w:hAnsi="Times New Roman"/>
          <w:lang w:val="pt-BR"/>
        </w:rPr>
        <w:t>,</w:t>
      </w:r>
      <w:r w:rsidR="003D5B5C" w:rsidRPr="00E76E3A">
        <w:rPr>
          <w:rFonts w:ascii="Times New Roman" w:hAnsi="Times New Roman"/>
          <w:lang w:val="pt-BR"/>
        </w:rPr>
        <w:t xml:space="preserve"> </w:t>
      </w:r>
      <w:r w:rsidRPr="00E76E3A">
        <w:rPr>
          <w:rFonts w:ascii="Times New Roman" w:hAnsi="Times New Roman"/>
          <w:lang w:val="pt-BR"/>
        </w:rPr>
        <w:t>8)</w:t>
      </w:r>
      <w:r w:rsidRPr="00E76E3A">
        <w:rPr>
          <w:rFonts w:ascii="Times New Roman" w:hAnsi="Times New Roman"/>
          <w:lang w:val="pt-BR"/>
        </w:rPr>
        <w:t>.</w:t>
      </w:r>
    </w:p>
    <w:p w14:paraId="45893BA7" w14:textId="77777777" w:rsidR="00AB72CC" w:rsidRDefault="00AB72CC">
      <w:pPr>
        <w:pStyle w:val="TAMainText"/>
        <w:ind w:firstLine="187"/>
        <w:rPr>
          <w:lang w:val="pt-BR"/>
        </w:rPr>
      </w:pPr>
    </w:p>
    <w:p w14:paraId="3CC2416C" w14:textId="77777777" w:rsidR="00AB72CC" w:rsidRDefault="00650B1E">
      <w:pPr>
        <w:jc w:val="center"/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0FD5B046" wp14:editId="13D81944">
            <wp:extent cx="3020695" cy="2534285"/>
            <wp:effectExtent l="0" t="0" r="12065" b="10795"/>
            <wp:docPr id="2" name="Imagem 2" descr="IR_4000_430_CB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R_4000_430_CBCAT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0695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49837" w14:textId="77777777" w:rsidR="00AB72CC" w:rsidRDefault="00650B1E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Figura 1.</w:t>
      </w:r>
      <w:r>
        <w:rPr>
          <w:rFonts w:ascii="Times New Roman" w:hAnsi="Times New Roman"/>
          <w:lang w:val="pt-BR"/>
        </w:rPr>
        <w:t xml:space="preserve"> Espect</w:t>
      </w:r>
      <w:r>
        <w:rPr>
          <w:rFonts w:ascii="Times New Roman" w:hAnsi="Times New Roman"/>
          <w:lang w:val="pt-BR"/>
        </w:rPr>
        <w:t>ros no infravermelho dos materiais hierarquizados.</w:t>
      </w:r>
    </w:p>
    <w:p w14:paraId="5F60307F" w14:textId="77777777" w:rsidR="00AB72CC" w:rsidRDefault="00AB72CC">
      <w:pPr>
        <w:pStyle w:val="TAMainText"/>
        <w:ind w:firstLine="0"/>
        <w:rPr>
          <w:rFonts w:ascii="Times New Roman" w:hAnsi="Times New Roman"/>
          <w:lang w:val="pt-BR"/>
        </w:rPr>
      </w:pPr>
    </w:p>
    <w:p w14:paraId="08317306" w14:textId="77777777" w:rsidR="00AB72CC" w:rsidRDefault="00650B1E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Análises de porosidade e área superficial.</w:t>
      </w:r>
    </w:p>
    <w:p w14:paraId="6C167376" w14:textId="4282F359" w:rsidR="00AB72CC" w:rsidRDefault="00650B1E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Todas as amostras apresentaram aumento no diâmetro médio dos poros e no volume total de poros</w:t>
      </w:r>
      <w:r w:rsidR="003D5B5C">
        <w:rPr>
          <w:rFonts w:ascii="Times New Roman" w:hAnsi="Times New Roman"/>
          <w:lang w:val="pt-BR"/>
        </w:rPr>
        <w:t>.</w:t>
      </w:r>
      <w:r w:rsidR="00620CD2">
        <w:rPr>
          <w:rFonts w:ascii="Times New Roman" w:hAnsi="Times New Roman"/>
          <w:lang w:val="pt-BR"/>
        </w:rPr>
        <w:t xml:space="preserve"> Com a </w:t>
      </w:r>
      <w:r>
        <w:rPr>
          <w:rFonts w:ascii="Times New Roman" w:hAnsi="Times New Roman"/>
          <w:lang w:val="pt-BR"/>
        </w:rPr>
        <w:t>impregnação</w:t>
      </w:r>
      <w:r w:rsidR="00620CD2">
        <w:rPr>
          <w:rFonts w:ascii="Times New Roman" w:hAnsi="Times New Roman"/>
          <w:lang w:val="pt-BR"/>
        </w:rPr>
        <w:t xml:space="preserve"> observou-se uma diminuição no volume de poros</w:t>
      </w:r>
      <w:r w:rsidR="003D5B5C">
        <w:rPr>
          <w:rFonts w:ascii="Times New Roman" w:hAnsi="Times New Roman"/>
          <w:lang w:val="pt-BR"/>
        </w:rPr>
        <w:t xml:space="preserve"> (Tabela 2)</w:t>
      </w:r>
      <w:r>
        <w:rPr>
          <w:rFonts w:ascii="Times New Roman" w:hAnsi="Times New Roman"/>
          <w:lang w:val="pt-BR"/>
        </w:rPr>
        <w:t xml:space="preserve">. Este resultado também indica que a combinação da hierarquização em solução </w:t>
      </w:r>
      <w:r w:rsidR="00620CD2">
        <w:rPr>
          <w:rFonts w:ascii="Times New Roman" w:hAnsi="Times New Roman"/>
          <w:lang w:val="pt-BR"/>
        </w:rPr>
        <w:t>com</w:t>
      </w:r>
      <w:r>
        <w:rPr>
          <w:rFonts w:ascii="Times New Roman" w:hAnsi="Times New Roman"/>
          <w:lang w:val="pt-BR"/>
        </w:rPr>
        <w:t xml:space="preserve"> </w:t>
      </w:r>
      <w:r w:rsidR="00620CD2">
        <w:rPr>
          <w:rFonts w:ascii="Times New Roman" w:hAnsi="Times New Roman"/>
          <w:lang w:val="pt-BR"/>
        </w:rPr>
        <w:t xml:space="preserve">posterior </w:t>
      </w:r>
      <w:r>
        <w:rPr>
          <w:rFonts w:ascii="Times New Roman" w:hAnsi="Times New Roman"/>
          <w:lang w:val="pt-BR"/>
        </w:rPr>
        <w:t xml:space="preserve">impregnação </w:t>
      </w:r>
      <w:r w:rsidR="00620CD2">
        <w:rPr>
          <w:rFonts w:ascii="Times New Roman" w:hAnsi="Times New Roman"/>
          <w:lang w:val="pt-BR"/>
        </w:rPr>
        <w:t>de uma fase ativa modificou bastante as propriedades texturais dos catalisadores</w:t>
      </w:r>
      <w:r>
        <w:rPr>
          <w:rFonts w:ascii="Times New Roman" w:hAnsi="Times New Roman"/>
          <w:lang w:val="pt-BR"/>
        </w:rPr>
        <w:t xml:space="preserve">. </w:t>
      </w:r>
    </w:p>
    <w:p w14:paraId="34585E3E" w14:textId="77777777" w:rsidR="00AB72CC" w:rsidRDefault="00AB72CC">
      <w:pPr>
        <w:pStyle w:val="TAMainText"/>
        <w:rPr>
          <w:lang w:val="pt-BR"/>
        </w:rPr>
      </w:pPr>
    </w:p>
    <w:p w14:paraId="3D244B69" w14:textId="77777777" w:rsidR="00AB72CC" w:rsidRDefault="00650B1E">
      <w:pPr>
        <w:pStyle w:val="TAMainText"/>
        <w:ind w:firstLine="0"/>
        <w:rPr>
          <w:rFonts w:ascii="Times New Roman" w:hAnsi="Times New Roman"/>
          <w:sz w:val="18"/>
          <w:szCs w:val="18"/>
          <w:lang w:val="pt-BR"/>
        </w:rPr>
      </w:pPr>
      <w:r>
        <w:rPr>
          <w:rFonts w:ascii="Times New Roman" w:hAnsi="Times New Roman"/>
          <w:b/>
          <w:sz w:val="18"/>
          <w:szCs w:val="18"/>
          <w:lang w:val="pt-BR"/>
        </w:rPr>
        <w:t>Tabela 2.</w:t>
      </w:r>
      <w:r>
        <w:rPr>
          <w:rFonts w:ascii="Times New Roman" w:hAnsi="Times New Roman"/>
          <w:sz w:val="18"/>
          <w:szCs w:val="18"/>
          <w:lang w:val="pt-BR"/>
        </w:rPr>
        <w:t xml:space="preserve"> Propriedades texturais dos catalisadores.</w:t>
      </w:r>
    </w:p>
    <w:p w14:paraId="346DE1A6" w14:textId="77777777" w:rsidR="00AB72CC" w:rsidRDefault="008229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44E0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9pt;height:62.8pt">
            <v:imagedata r:id="rId11" o:title="Tabela_ASAP_CBCAT"/>
          </v:shape>
        </w:pict>
      </w:r>
    </w:p>
    <w:p w14:paraId="7676635C" w14:textId="77777777" w:rsidR="00AB72CC" w:rsidRDefault="00650B1E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 xml:space="preserve">Ressonância magnética nuclear em estado sólido com rotação no ângulo mágico de </w:t>
      </w:r>
      <w:r>
        <w:rPr>
          <w:rFonts w:ascii="Times New Roman" w:hAnsi="Times New Roman"/>
          <w:i/>
          <w:vertAlign w:val="superscript"/>
          <w:lang w:val="pt-BR"/>
        </w:rPr>
        <w:t>27</w:t>
      </w:r>
      <w:r>
        <w:rPr>
          <w:rFonts w:ascii="Times New Roman" w:hAnsi="Times New Roman"/>
          <w:i/>
          <w:lang w:val="pt-BR"/>
        </w:rPr>
        <w:t xml:space="preserve">Al e </w:t>
      </w:r>
      <w:r>
        <w:rPr>
          <w:rFonts w:ascii="Times New Roman" w:hAnsi="Times New Roman"/>
          <w:i/>
          <w:vertAlign w:val="superscript"/>
          <w:lang w:val="pt-BR"/>
        </w:rPr>
        <w:t>29</w:t>
      </w:r>
      <w:r>
        <w:rPr>
          <w:rFonts w:ascii="Times New Roman" w:hAnsi="Times New Roman"/>
          <w:i/>
          <w:lang w:val="pt-BR"/>
        </w:rPr>
        <w:t>Si.</w:t>
      </w:r>
    </w:p>
    <w:p w14:paraId="36CEBA42" w14:textId="6A798889" w:rsidR="00AB72CC" w:rsidRDefault="00650B1E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Na ressonância magnética para o núcleo </w:t>
      </w:r>
      <w:r>
        <w:rPr>
          <w:rFonts w:ascii="Times New Roman" w:hAnsi="Times New Roman"/>
          <w:vertAlign w:val="superscript"/>
          <w:lang w:val="pt-BR"/>
        </w:rPr>
        <w:t>27</w:t>
      </w:r>
      <w:r>
        <w:rPr>
          <w:rFonts w:ascii="Times New Roman" w:hAnsi="Times New Roman"/>
          <w:lang w:val="pt-BR"/>
        </w:rPr>
        <w:t xml:space="preserve">Al (Figura 2), todos os catalisadores apresentaram os sinais em torno de -22 a 22 </w:t>
      </w:r>
      <w:proofErr w:type="spellStart"/>
      <w:r>
        <w:rPr>
          <w:rFonts w:ascii="Times New Roman" w:hAnsi="Times New Roman"/>
          <w:lang w:val="pt-BR"/>
        </w:rPr>
        <w:t>ppm</w:t>
      </w:r>
      <w:proofErr w:type="spellEnd"/>
      <w:r>
        <w:rPr>
          <w:rFonts w:ascii="Times New Roman" w:hAnsi="Times New Roman"/>
          <w:lang w:val="pt-BR"/>
        </w:rPr>
        <w:t xml:space="preserve">, que correspondem ao Al </w:t>
      </w:r>
      <w:r w:rsidR="009375F4">
        <w:rPr>
          <w:rFonts w:ascii="Times New Roman" w:hAnsi="Times New Roman"/>
          <w:lang w:val="pt-BR"/>
        </w:rPr>
        <w:t>octaédrico</w:t>
      </w:r>
      <w:r w:rsidR="00BB33EA">
        <w:rPr>
          <w:rFonts w:ascii="Times New Roman" w:hAnsi="Times New Roman"/>
          <w:lang w:val="pt-BR"/>
        </w:rPr>
        <w:t xml:space="preserve"> e</w:t>
      </w:r>
      <w:r>
        <w:rPr>
          <w:rFonts w:ascii="Times New Roman" w:hAnsi="Times New Roman"/>
          <w:lang w:val="pt-BR"/>
        </w:rPr>
        <w:t xml:space="preserve"> em torno de 40 a 80 </w:t>
      </w:r>
      <w:proofErr w:type="spellStart"/>
      <w:r>
        <w:rPr>
          <w:rFonts w:ascii="Times New Roman" w:hAnsi="Times New Roman"/>
          <w:lang w:val="pt-BR"/>
        </w:rPr>
        <w:t>ppm</w:t>
      </w:r>
      <w:proofErr w:type="spellEnd"/>
      <w:r>
        <w:rPr>
          <w:rFonts w:ascii="Times New Roman" w:hAnsi="Times New Roman"/>
          <w:lang w:val="pt-BR"/>
        </w:rPr>
        <w:t xml:space="preserve">, que correspondem ao Al </w:t>
      </w:r>
      <w:proofErr w:type="spellStart"/>
      <w:r w:rsidR="007E3413">
        <w:rPr>
          <w:rFonts w:ascii="Times New Roman" w:hAnsi="Times New Roman"/>
          <w:lang w:val="pt-BR"/>
        </w:rPr>
        <w:t>tetraedricamente</w:t>
      </w:r>
      <w:proofErr w:type="spellEnd"/>
      <w:r>
        <w:rPr>
          <w:rFonts w:ascii="Times New Roman" w:hAnsi="Times New Roman"/>
          <w:lang w:val="pt-BR"/>
        </w:rPr>
        <w:t xml:space="preserve"> coordenado à re</w:t>
      </w:r>
      <w:r>
        <w:rPr>
          <w:rFonts w:ascii="Times New Roman" w:hAnsi="Times New Roman"/>
          <w:lang w:val="pt-BR"/>
        </w:rPr>
        <w:t xml:space="preserve">de. O sinal intenso em 1,35 </w:t>
      </w:r>
      <w:proofErr w:type="spellStart"/>
      <w:r>
        <w:rPr>
          <w:rFonts w:ascii="Times New Roman" w:hAnsi="Times New Roman"/>
          <w:lang w:val="pt-BR"/>
        </w:rPr>
        <w:t>ppm</w:t>
      </w:r>
      <w:proofErr w:type="spellEnd"/>
      <w:r>
        <w:rPr>
          <w:rFonts w:ascii="Times New Roman" w:hAnsi="Times New Roman"/>
          <w:lang w:val="pt-BR"/>
        </w:rPr>
        <w:t xml:space="preserve"> presente na amostra BT-NaOH-HCl diz respeito às espécies </w:t>
      </w:r>
      <w:proofErr w:type="spellStart"/>
      <w:r>
        <w:rPr>
          <w:rFonts w:ascii="Times New Roman" w:hAnsi="Times New Roman"/>
          <w:lang w:val="pt-BR"/>
        </w:rPr>
        <w:t>octaedricamente</w:t>
      </w:r>
      <w:proofErr w:type="spellEnd"/>
      <w:r>
        <w:rPr>
          <w:rFonts w:ascii="Times New Roman" w:hAnsi="Times New Roman"/>
          <w:lang w:val="pt-BR"/>
        </w:rPr>
        <w:t xml:space="preserve"> adsorvida que possuem menos moléculas de água adsorvida, ao passo que o alargamento dos sinais nessa região indica</w:t>
      </w:r>
      <w:r>
        <w:rPr>
          <w:rFonts w:ascii="Times New Roman" w:hAnsi="Times New Roman"/>
          <w:lang w:val="pt-BR"/>
        </w:rPr>
        <w:t xml:space="preserve"> a presença de maior grau de hidrata</w:t>
      </w:r>
      <w:r>
        <w:rPr>
          <w:rFonts w:ascii="Times New Roman" w:hAnsi="Times New Roman"/>
          <w:lang w:val="pt-BR"/>
        </w:rPr>
        <w:t xml:space="preserve">ção dos catalisadores </w:t>
      </w:r>
      <w:r w:rsidRPr="00E76E3A">
        <w:rPr>
          <w:rFonts w:ascii="Times New Roman" w:hAnsi="Times New Roman"/>
          <w:lang w:val="pt-BR"/>
        </w:rPr>
        <w:t>(</w:t>
      </w:r>
      <w:r w:rsidR="003F7EA7" w:rsidRPr="00E76E3A">
        <w:rPr>
          <w:rFonts w:ascii="Times New Roman" w:hAnsi="Times New Roman"/>
          <w:lang w:val="pt-BR"/>
        </w:rPr>
        <w:t>9</w:t>
      </w:r>
      <w:r w:rsidRPr="00E76E3A">
        <w:rPr>
          <w:rFonts w:ascii="Times New Roman" w:hAnsi="Times New Roman"/>
          <w:lang w:val="pt-BR"/>
        </w:rPr>
        <w:t>)</w:t>
      </w:r>
      <w:r w:rsidRPr="00E76E3A">
        <w:rPr>
          <w:rFonts w:ascii="Times New Roman" w:hAnsi="Times New Roman"/>
          <w:lang w:val="pt-BR"/>
        </w:rPr>
        <w:t>.</w:t>
      </w:r>
    </w:p>
    <w:p w14:paraId="33CC36F1" w14:textId="224F0718" w:rsidR="00AB72CC" w:rsidRDefault="00650B1E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Na ressonância magnética para o núcleo de </w:t>
      </w:r>
      <w:r>
        <w:rPr>
          <w:rFonts w:ascii="Times New Roman" w:hAnsi="Times New Roman"/>
          <w:vertAlign w:val="superscript"/>
          <w:lang w:val="pt-BR"/>
        </w:rPr>
        <w:t>29</w:t>
      </w:r>
      <w:r>
        <w:rPr>
          <w:rFonts w:ascii="Times New Roman" w:hAnsi="Times New Roman"/>
          <w:lang w:val="pt-BR"/>
        </w:rPr>
        <w:t xml:space="preserve">Si (Figura 3), todas os catalisadores apresentaram o sinal em -102 </w:t>
      </w:r>
      <w:proofErr w:type="spellStart"/>
      <w:r>
        <w:rPr>
          <w:rFonts w:ascii="Times New Roman" w:hAnsi="Times New Roman"/>
          <w:lang w:val="pt-BR"/>
        </w:rPr>
        <w:t>ppm</w:t>
      </w:r>
      <w:proofErr w:type="spellEnd"/>
      <w:r>
        <w:rPr>
          <w:rFonts w:ascii="Times New Roman" w:hAnsi="Times New Roman"/>
          <w:lang w:val="pt-BR"/>
        </w:rPr>
        <w:t>, que diz respeito ao ambiente químico Q</w:t>
      </w:r>
      <w:r>
        <w:rPr>
          <w:rFonts w:ascii="Times New Roman" w:hAnsi="Times New Roman"/>
          <w:vertAlign w:val="superscript"/>
          <w:lang w:val="pt-BR"/>
        </w:rPr>
        <w:t>3</w:t>
      </w:r>
      <w:r>
        <w:rPr>
          <w:rFonts w:ascii="Times New Roman" w:hAnsi="Times New Roman"/>
          <w:lang w:val="pt-BR"/>
        </w:rPr>
        <w:t xml:space="preserve">, e os sinais em -111 e -115 </w:t>
      </w:r>
      <w:proofErr w:type="spellStart"/>
      <w:r>
        <w:rPr>
          <w:rFonts w:ascii="Times New Roman" w:hAnsi="Times New Roman"/>
          <w:lang w:val="pt-BR"/>
        </w:rPr>
        <w:t>ppm</w:t>
      </w:r>
      <w:proofErr w:type="spellEnd"/>
      <w:r>
        <w:rPr>
          <w:rFonts w:ascii="Times New Roman" w:hAnsi="Times New Roman"/>
          <w:lang w:val="pt-BR"/>
        </w:rPr>
        <w:t>, que correspondem aos ambientes químicos</w:t>
      </w:r>
      <w:r>
        <w:rPr>
          <w:rFonts w:ascii="Times New Roman" w:hAnsi="Times New Roman"/>
          <w:lang w:val="pt-BR"/>
        </w:rPr>
        <w:t xml:space="preserve"> Q</w:t>
      </w:r>
      <w:r>
        <w:rPr>
          <w:rFonts w:ascii="Times New Roman" w:hAnsi="Times New Roman"/>
          <w:vertAlign w:val="super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. Percebe-se que os catalisadores modificados com a </w:t>
      </w:r>
      <w:r>
        <w:rPr>
          <w:rFonts w:ascii="Times New Roman" w:hAnsi="Times New Roman"/>
          <w:lang w:val="pt-BR"/>
        </w:rPr>
        <w:lastRenderedPageBreak/>
        <w:t xml:space="preserve">desaluminização em estado sólido têm o sinal em -115 </w:t>
      </w:r>
      <w:proofErr w:type="spellStart"/>
      <w:r>
        <w:rPr>
          <w:rFonts w:ascii="Times New Roman" w:hAnsi="Times New Roman"/>
          <w:lang w:val="pt-BR"/>
        </w:rPr>
        <w:t>ppm</w:t>
      </w:r>
      <w:proofErr w:type="spellEnd"/>
      <w:r>
        <w:rPr>
          <w:rFonts w:ascii="Times New Roman" w:hAnsi="Times New Roman"/>
          <w:lang w:val="pt-BR"/>
        </w:rPr>
        <w:t xml:space="preserve"> mais pronunciado que os demais materiais, indicando que a remoção de Al se deu de forma mais pronunciada, promovendo a formação de mais ambiente</w:t>
      </w:r>
      <w:r>
        <w:rPr>
          <w:rFonts w:ascii="Times New Roman" w:hAnsi="Times New Roman"/>
          <w:lang w:val="pt-BR"/>
        </w:rPr>
        <w:t>s do tipo Q</w:t>
      </w:r>
      <w:r>
        <w:rPr>
          <w:rFonts w:ascii="Times New Roman" w:hAnsi="Times New Roman"/>
          <w:vertAlign w:val="super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, ao passo que nos demais tratamentos não houve remoção de Al de maneira tão seletiva </w:t>
      </w:r>
      <w:r w:rsidRPr="00FC46AA">
        <w:rPr>
          <w:rFonts w:ascii="Times New Roman" w:hAnsi="Times New Roman"/>
          <w:lang w:val="pt-BR"/>
        </w:rPr>
        <w:t>(</w:t>
      </w:r>
      <w:r w:rsidR="00673293" w:rsidRPr="00FC46AA">
        <w:rPr>
          <w:rFonts w:ascii="Times New Roman" w:hAnsi="Times New Roman"/>
          <w:lang w:val="pt-BR"/>
        </w:rPr>
        <w:t>2</w:t>
      </w:r>
      <w:r w:rsidRPr="00FC46AA">
        <w:rPr>
          <w:rFonts w:ascii="Times New Roman" w:hAnsi="Times New Roman"/>
          <w:lang w:val="pt-BR"/>
        </w:rPr>
        <w:t xml:space="preserve">, </w:t>
      </w:r>
      <w:r w:rsidR="00673293" w:rsidRPr="00FC46AA">
        <w:rPr>
          <w:rFonts w:ascii="Times New Roman" w:hAnsi="Times New Roman"/>
          <w:lang w:val="pt-BR"/>
        </w:rPr>
        <w:t>9</w:t>
      </w:r>
      <w:r w:rsidRPr="00FC46AA">
        <w:rPr>
          <w:rFonts w:ascii="Times New Roman" w:hAnsi="Times New Roman"/>
          <w:lang w:val="pt-BR"/>
        </w:rPr>
        <w:t>)</w:t>
      </w:r>
      <w:r w:rsidRPr="00FC46AA">
        <w:rPr>
          <w:rFonts w:ascii="Times New Roman" w:hAnsi="Times New Roman"/>
          <w:lang w:val="pt-BR"/>
        </w:rPr>
        <w:t>.</w:t>
      </w:r>
    </w:p>
    <w:p w14:paraId="3C648189" w14:textId="77777777" w:rsidR="00AB72CC" w:rsidRDefault="00650B1E">
      <w:pPr>
        <w:jc w:val="center"/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1FDB7A2F" wp14:editId="41EB2B73">
            <wp:extent cx="3026410" cy="2421255"/>
            <wp:effectExtent l="0" t="0" r="6350" b="1905"/>
            <wp:docPr id="5" name="Imagem 5" descr="27Al_RMN_CB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27Al_RMN_CBCAT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2641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A3145" w14:textId="77777777" w:rsidR="00AB72CC" w:rsidRDefault="00650B1E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Figura 2.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vertAlign w:val="superscript"/>
          <w:lang w:val="pt-BR"/>
        </w:rPr>
        <w:t>27</w:t>
      </w:r>
      <w:r>
        <w:rPr>
          <w:rFonts w:ascii="Times New Roman" w:hAnsi="Times New Roman"/>
          <w:lang w:val="pt-BR"/>
        </w:rPr>
        <w:t>Al RMN-MAS dos materiais hierarquizados.</w:t>
      </w:r>
    </w:p>
    <w:p w14:paraId="45D10F5D" w14:textId="77777777" w:rsidR="00AB72CC" w:rsidRDefault="00AB72CC">
      <w:pPr>
        <w:pStyle w:val="TAMainText"/>
        <w:ind w:firstLine="0"/>
        <w:rPr>
          <w:lang w:val="pt-BR"/>
        </w:rPr>
      </w:pPr>
    </w:p>
    <w:p w14:paraId="004740D3" w14:textId="77777777" w:rsidR="00AB72CC" w:rsidRDefault="00650B1E">
      <w:pPr>
        <w:jc w:val="center"/>
      </w:pPr>
      <w:r>
        <w:rPr>
          <w:noProof/>
        </w:rPr>
        <w:drawing>
          <wp:inline distT="0" distB="0" distL="114300" distR="114300" wp14:anchorId="75EEB477" wp14:editId="618E2354">
            <wp:extent cx="3026410" cy="2421255"/>
            <wp:effectExtent l="0" t="0" r="6350" b="1905"/>
            <wp:docPr id="10" name="Imagem 10" descr="29Si_RMN_CB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29Si_RMN_CBCAT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641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E908E" w14:textId="77777777" w:rsidR="00AB72CC" w:rsidRDefault="00650B1E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Figura 3.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vertAlign w:val="superscript"/>
          <w:lang w:val="pt-BR"/>
        </w:rPr>
        <w:t>29</w:t>
      </w:r>
      <w:r>
        <w:rPr>
          <w:rFonts w:ascii="Times New Roman" w:hAnsi="Times New Roman"/>
          <w:lang w:val="pt-BR"/>
        </w:rPr>
        <w:t>Si RMN-MAS dos materiais hierarquizados.</w:t>
      </w:r>
    </w:p>
    <w:p w14:paraId="204C7061" w14:textId="77777777" w:rsidR="00AB72CC" w:rsidRDefault="00AB72CC">
      <w:pPr>
        <w:pStyle w:val="TAMainText"/>
        <w:ind w:firstLine="0"/>
        <w:rPr>
          <w:lang w:val="pt-BR"/>
        </w:rPr>
      </w:pPr>
    </w:p>
    <w:p w14:paraId="2F800478" w14:textId="77777777" w:rsidR="00AB72CC" w:rsidRDefault="00650B1E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Desidratação do etanol a 250 °C.</w:t>
      </w:r>
    </w:p>
    <w:p w14:paraId="5D383128" w14:textId="781253CC" w:rsidR="00AB72CC" w:rsidRDefault="00650B1E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As r</w:t>
      </w:r>
      <w:r>
        <w:rPr>
          <w:rFonts w:ascii="Times New Roman" w:hAnsi="Times New Roman"/>
          <w:lang w:val="pt-BR"/>
        </w:rPr>
        <w:t>eações de desidratação mostraram que o</w:t>
      </w:r>
      <w:r>
        <w:rPr>
          <w:rFonts w:ascii="Times New Roman" w:hAnsi="Times New Roman"/>
          <w:lang w:val="pt-BR"/>
        </w:rPr>
        <w:t xml:space="preserve"> catalisador 10W</w:t>
      </w:r>
      <w:r w:rsidR="00242B8D">
        <w:rPr>
          <w:rFonts w:ascii="Times New Roman" w:hAnsi="Times New Roman"/>
          <w:lang w:val="pt-BR"/>
        </w:rPr>
        <w:t>-</w:t>
      </w:r>
      <w:r>
        <w:rPr>
          <w:rFonts w:ascii="Times New Roman" w:hAnsi="Times New Roman"/>
          <w:lang w:val="pt-BR"/>
        </w:rPr>
        <w:t xml:space="preserve">BT apresentou alta conversão do etanol em produtos e que os materiais BD-1x-70 e BD-2x-70 </w:t>
      </w:r>
      <w:r>
        <w:rPr>
          <w:rFonts w:ascii="Times New Roman" w:hAnsi="Times New Roman"/>
          <w:lang w:val="pt-BR"/>
        </w:rPr>
        <w:t>aumentaram a conversão do etanol</w:t>
      </w:r>
      <w:r>
        <w:rPr>
          <w:rFonts w:ascii="Times New Roman" w:hAnsi="Times New Roman"/>
          <w:lang w:val="pt-BR"/>
        </w:rPr>
        <w:t xml:space="preserve"> ao longo das injeções do álcool</w:t>
      </w:r>
      <w:r w:rsidR="00A46C30">
        <w:rPr>
          <w:rFonts w:ascii="Times New Roman" w:hAnsi="Times New Roman"/>
          <w:lang w:val="pt-BR"/>
        </w:rPr>
        <w:t xml:space="preserve"> (Figura 4)</w:t>
      </w:r>
      <w:r>
        <w:rPr>
          <w:rFonts w:ascii="Times New Roman" w:hAnsi="Times New Roman"/>
          <w:lang w:val="pt-BR"/>
        </w:rPr>
        <w:t>. O aumento do diâmetro dos poros pode ter favo</w:t>
      </w:r>
      <w:r>
        <w:rPr>
          <w:rFonts w:ascii="Times New Roman" w:hAnsi="Times New Roman"/>
          <w:lang w:val="pt-BR"/>
        </w:rPr>
        <w:t>recido o acesso dos reagentes aos sítios ácidos mais fracos, que antes estavam inacessíveis, mas também pode ter diminuído a quantidade de sítios ácidos mais fortes.</w:t>
      </w:r>
    </w:p>
    <w:p w14:paraId="4FC2A2E6" w14:textId="77777777" w:rsidR="00AB72CC" w:rsidRDefault="00650B1E">
      <w:pPr>
        <w:jc w:val="center"/>
      </w:pPr>
      <w:r>
        <w:rPr>
          <w:noProof/>
        </w:rPr>
        <w:drawing>
          <wp:inline distT="0" distB="0" distL="114300" distR="114300" wp14:anchorId="24EE2F26" wp14:editId="60939247">
            <wp:extent cx="3024505" cy="1704340"/>
            <wp:effectExtent l="0" t="0" r="8255" b="2540"/>
            <wp:docPr id="7" name="Imagem 7" descr="Conversão do etanol - CB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Conversão do etanol - CBCAT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02373" w14:textId="05DCAC65" w:rsidR="00AB72CC" w:rsidRDefault="00650B1E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Figura </w:t>
      </w:r>
      <w:r w:rsidR="00355E4A">
        <w:rPr>
          <w:rFonts w:ascii="Times New Roman" w:hAnsi="Times New Roman"/>
          <w:b/>
          <w:lang w:val="pt-BR"/>
        </w:rPr>
        <w:t>4</w:t>
      </w:r>
      <w:r>
        <w:rPr>
          <w:rFonts w:ascii="Times New Roman" w:hAnsi="Times New Roman"/>
          <w:b/>
          <w:lang w:val="pt-BR"/>
        </w:rPr>
        <w:t>.</w:t>
      </w:r>
      <w:r>
        <w:rPr>
          <w:rFonts w:ascii="Times New Roman" w:hAnsi="Times New Roman"/>
          <w:lang w:val="pt-BR"/>
        </w:rPr>
        <w:t xml:space="preserve"> Conversão percentual do etanol entre o pulso 1 e o pulso 50.</w:t>
      </w:r>
    </w:p>
    <w:p w14:paraId="2F8CE113" w14:textId="77777777" w:rsidR="00AB72CC" w:rsidRDefault="00AB72CC">
      <w:pPr>
        <w:pStyle w:val="TAMainText"/>
        <w:ind w:firstLine="0"/>
        <w:rPr>
          <w:rFonts w:ascii="Times New Roman" w:hAnsi="Times New Roman"/>
          <w:lang w:val="pt-BR"/>
        </w:rPr>
      </w:pPr>
    </w:p>
    <w:p w14:paraId="4AA357C4" w14:textId="40EF2AFA" w:rsidR="00AB72CC" w:rsidRDefault="00650B1E">
      <w:pPr>
        <w:pStyle w:val="TAMainText"/>
        <w:ind w:firstLine="187"/>
        <w:rPr>
          <w:lang w:val="pt-BR"/>
        </w:rPr>
      </w:pPr>
      <w:r>
        <w:rPr>
          <w:rFonts w:ascii="Times New Roman" w:hAnsi="Times New Roman"/>
          <w:lang w:val="pt-BR"/>
        </w:rPr>
        <w:t xml:space="preserve">O </w:t>
      </w:r>
      <w:r>
        <w:rPr>
          <w:rFonts w:ascii="Times New Roman" w:hAnsi="Times New Roman"/>
          <w:lang w:val="pt-BR"/>
        </w:rPr>
        <w:t xml:space="preserve">catalisador 10W-BT apresentou alta seletividade na formação de etileno (Figura </w:t>
      </w:r>
      <w:r w:rsidR="00355E4A">
        <w:rPr>
          <w:rFonts w:ascii="Times New Roman" w:hAnsi="Times New Roman"/>
          <w:lang w:val="pt-BR"/>
        </w:rPr>
        <w:t>5</w:t>
      </w:r>
      <w:r>
        <w:rPr>
          <w:rFonts w:ascii="Times New Roman" w:hAnsi="Times New Roman"/>
          <w:lang w:val="pt-BR"/>
        </w:rPr>
        <w:t>) no primeiro e no último pulso de etanol. Os catalisadores BD-1x-70 e BD-2x-70 apresentaram seletividade acima de 55% para o DEE no primeiro pulso, que se elevou em 10% no últ</w:t>
      </w:r>
      <w:r>
        <w:rPr>
          <w:rFonts w:ascii="Times New Roman" w:hAnsi="Times New Roman"/>
          <w:lang w:val="pt-BR"/>
        </w:rPr>
        <w:t>imo pulso. Com este resultado, é possível presumir que os sítios ácidos mais fracos, que antes estavam inacessíveis, favoreceram a formação do DEE e que, tanto os sítios ácidos mais fortes quanto a presença de WO</w:t>
      </w:r>
      <w:r w:rsidRPr="00146316"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, favoreceram a formação de etileno, que po</w:t>
      </w:r>
      <w:r>
        <w:rPr>
          <w:rFonts w:ascii="Times New Roman" w:hAnsi="Times New Roman"/>
          <w:lang w:val="pt-BR"/>
        </w:rPr>
        <w:t>de ser inibida pelo envenenamento do catalisador (formação de coque).</w:t>
      </w:r>
      <w:r w:rsidR="00684544">
        <w:rPr>
          <w:rFonts w:ascii="Times New Roman" w:hAnsi="Times New Roman"/>
          <w:lang w:val="pt-BR"/>
        </w:rPr>
        <w:t xml:space="preserve"> Dentre os outros produtos formados </w:t>
      </w:r>
      <w:r w:rsidR="005E7F65">
        <w:rPr>
          <w:rFonts w:ascii="Times New Roman" w:hAnsi="Times New Roman"/>
          <w:lang w:val="pt-BR"/>
        </w:rPr>
        <w:t xml:space="preserve">na desidratação do etanol podemos citar hidrocarbonetos, acetaldeído e ácido acético. </w:t>
      </w:r>
      <w:r w:rsidR="00B70F44">
        <w:rPr>
          <w:rFonts w:ascii="Times New Roman" w:hAnsi="Times New Roman"/>
          <w:lang w:val="pt-BR"/>
        </w:rPr>
        <w:t>Uma caracterização mais detalhada dos produtos encontra-se em andamento.</w:t>
      </w:r>
    </w:p>
    <w:p w14:paraId="776AC714" w14:textId="77777777" w:rsidR="00AB72CC" w:rsidRDefault="00650B1E">
      <w:pPr>
        <w:jc w:val="center"/>
      </w:pPr>
      <w:r>
        <w:rPr>
          <w:noProof/>
        </w:rPr>
        <w:drawing>
          <wp:inline distT="0" distB="0" distL="114300" distR="114300" wp14:anchorId="185FA6F4" wp14:editId="2894AD78">
            <wp:extent cx="3024505" cy="1704340"/>
            <wp:effectExtent l="0" t="0" r="8255" b="2540"/>
            <wp:docPr id="6" name="Imagem 6" descr="Seletividade dos produtos - CB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Seletividade dos produtos - CBCAT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4320A" w14:textId="663B40A7" w:rsidR="00AB72CC" w:rsidRDefault="00650B1E">
      <w:pPr>
        <w:pStyle w:val="VAFigureCaption"/>
        <w:spacing w:before="0"/>
        <w:rPr>
          <w:lang w:val="pt-BR"/>
        </w:rPr>
      </w:pPr>
      <w:r>
        <w:rPr>
          <w:rFonts w:ascii="Times New Roman" w:hAnsi="Times New Roman"/>
          <w:b/>
          <w:lang w:val="pt-BR"/>
        </w:rPr>
        <w:t xml:space="preserve">Figura </w:t>
      </w:r>
      <w:r w:rsidR="00355E4A">
        <w:rPr>
          <w:rFonts w:ascii="Times New Roman" w:hAnsi="Times New Roman"/>
          <w:b/>
          <w:lang w:val="pt-BR"/>
        </w:rPr>
        <w:t>5</w:t>
      </w:r>
      <w:r>
        <w:rPr>
          <w:rFonts w:ascii="Times New Roman" w:hAnsi="Times New Roman"/>
          <w:b/>
          <w:lang w:val="pt-BR"/>
        </w:rPr>
        <w:t>.</w:t>
      </w:r>
      <w:r>
        <w:rPr>
          <w:rFonts w:ascii="Times New Roman" w:hAnsi="Times New Roman"/>
          <w:lang w:val="pt-BR"/>
        </w:rPr>
        <w:t xml:space="preserve"> Seletividade percentual dos principais produtos formados entre o pulso 1 e o pulso 50.</w:t>
      </w:r>
    </w:p>
    <w:p w14:paraId="5CE09980" w14:textId="77777777" w:rsidR="00AB72CC" w:rsidRDefault="00650B1E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Conclusões</w:t>
      </w:r>
    </w:p>
    <w:p w14:paraId="2F6DA49C" w14:textId="27CC4A6A" w:rsidR="00AB72CC" w:rsidRDefault="00650B1E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hierarquização da zeólita *BEA, por meio da desaluminização em estado sóli</w:t>
      </w:r>
      <w:r>
        <w:rPr>
          <w:rFonts w:ascii="Times New Roman" w:hAnsi="Times New Roman"/>
          <w:lang w:val="pt-BR"/>
        </w:rPr>
        <w:t xml:space="preserve">do e do uso de uma solução de NaOH e de HCl, promoveu o aumento no diâmetro de poros, o que favoreceu o acesso de reagentes aos sítios ácidos anteriormente inacessíveis. Por causa disso, houve a formação de produtos como o DEE na reação de desidratação do </w:t>
      </w:r>
      <w:r>
        <w:rPr>
          <w:rFonts w:ascii="Times New Roman" w:hAnsi="Times New Roman"/>
          <w:lang w:val="pt-BR"/>
        </w:rPr>
        <w:t>etanol a 250 °C</w:t>
      </w:r>
      <w:r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O tratamento em solução favoreceu a remoção mais pronunciada de Si da rede, </w:t>
      </w:r>
      <w:proofErr w:type="gramStart"/>
      <w:r>
        <w:rPr>
          <w:rFonts w:ascii="Times New Roman" w:hAnsi="Times New Roman"/>
          <w:lang w:val="pt-BR"/>
        </w:rPr>
        <w:lastRenderedPageBreak/>
        <w:t>enquanto que</w:t>
      </w:r>
      <w:proofErr w:type="gramEnd"/>
      <w:r>
        <w:rPr>
          <w:rFonts w:ascii="Times New Roman" w:hAnsi="Times New Roman"/>
          <w:lang w:val="pt-BR"/>
        </w:rPr>
        <w:t xml:space="preserve"> o HFSA removeu, preferencialmente, Al da rede. A cristalinidade dos catalisadores foi altamente preservada da mesma forma que os sinais característico</w:t>
      </w:r>
      <w:r>
        <w:rPr>
          <w:rFonts w:ascii="Times New Roman" w:hAnsi="Times New Roman"/>
          <w:lang w:val="pt-BR"/>
        </w:rPr>
        <w:t>s das vibrações entre as ligações foram também preservadas. A impregnação aquosa do</w:t>
      </w:r>
      <w:r>
        <w:rPr>
          <w:rFonts w:ascii="Times New Roman" w:hAnsi="Times New Roman"/>
          <w:lang w:val="pt-BR"/>
        </w:rPr>
        <w:t xml:space="preserve"> WO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 xml:space="preserve"> à zeólita *BEA hierarquizada formou um catalisador com características muito promissoras, apresentando alta reatividade com o etanol e favorecendo a formação altame</w:t>
      </w:r>
      <w:r>
        <w:rPr>
          <w:rFonts w:ascii="Times New Roman" w:hAnsi="Times New Roman"/>
          <w:lang w:val="pt-BR"/>
        </w:rPr>
        <w:t>nte seletiva de etileno na reação de desidratação.</w:t>
      </w:r>
    </w:p>
    <w:p w14:paraId="1C50B7BC" w14:textId="77777777" w:rsidR="00AB72CC" w:rsidRDefault="00650B1E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Agradecimentos</w:t>
      </w:r>
    </w:p>
    <w:p w14:paraId="5FA57093" w14:textId="63E035FD" w:rsidR="00AB72CC" w:rsidRDefault="00650B1E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Ao Conselho Nacional de Desenvolvimento Científico e Tecnológico, CNPq (Processo nº 308693/2022-1, 307413/2021-7 e 141018/2020-8) e à Coordenação de Aperfeiçoamento de Pessoal de Nível Super</w:t>
      </w:r>
      <w:r>
        <w:rPr>
          <w:rFonts w:ascii="Times New Roman" w:hAnsi="Times New Roman"/>
          <w:lang w:val="pt-BR"/>
        </w:rPr>
        <w:t>ior, CAPES (Processo nº 001) pelas bolsas de pesquisa e pós-graduação. Ao apoio financeiro do Decanato de Pesquisa e Inovação, Instituto de Química/Universidade de Brasília, DPI/IQ/UnB, Ministério da Ciência, Tecnologia e Inovações/Conselho Nacional de Des</w:t>
      </w:r>
      <w:r>
        <w:rPr>
          <w:rFonts w:ascii="Times New Roman" w:hAnsi="Times New Roman"/>
          <w:lang w:val="pt-BR"/>
        </w:rPr>
        <w:t xml:space="preserve">envolvimento Científico e Tecnológico, Fundação de Apoio à Pesquisa do Distrito Federal (FAPDF) (Processo nº 0193.00000229/2021-21, Projetos 237/2021 e 302/2021), Fundação de Empreendimentos Científicos e Tecnológicos (FINATEC), </w:t>
      </w:r>
      <w:r w:rsidR="00B10033">
        <w:rPr>
          <w:rFonts w:ascii="Times New Roman" w:hAnsi="Times New Roman"/>
          <w:lang w:val="pt-BR"/>
        </w:rPr>
        <w:t>financiadora</w:t>
      </w:r>
      <w:r>
        <w:rPr>
          <w:rFonts w:ascii="Times New Roman" w:hAnsi="Times New Roman"/>
          <w:lang w:val="pt-BR"/>
        </w:rPr>
        <w:t xml:space="preserve"> de </w:t>
      </w:r>
      <w:r w:rsidR="00B10033">
        <w:rPr>
          <w:rFonts w:ascii="Times New Roman" w:hAnsi="Times New Roman"/>
          <w:lang w:val="pt-BR"/>
        </w:rPr>
        <w:t>e</w:t>
      </w:r>
      <w:r>
        <w:rPr>
          <w:rFonts w:ascii="Times New Roman" w:hAnsi="Times New Roman"/>
          <w:lang w:val="pt-BR"/>
        </w:rPr>
        <w:t xml:space="preserve">studos e </w:t>
      </w:r>
      <w:r w:rsidR="00B10033">
        <w:rPr>
          <w:rFonts w:ascii="Times New Roman" w:hAnsi="Times New Roman"/>
          <w:lang w:val="pt-BR"/>
        </w:rPr>
        <w:t>p</w:t>
      </w:r>
      <w:r>
        <w:rPr>
          <w:rFonts w:ascii="Times New Roman" w:hAnsi="Times New Roman"/>
          <w:lang w:val="pt-BR"/>
        </w:rPr>
        <w:t>rojetos, FINEP/CTPetro/</w:t>
      </w:r>
      <w:proofErr w:type="spellStart"/>
      <w:r>
        <w:rPr>
          <w:rFonts w:ascii="Times New Roman" w:hAnsi="Times New Roman"/>
          <w:lang w:val="pt-BR"/>
        </w:rPr>
        <w:t>CTInfra</w:t>
      </w:r>
      <w:proofErr w:type="spellEnd"/>
      <w:r>
        <w:rPr>
          <w:rFonts w:ascii="Times New Roman" w:hAnsi="Times New Roman"/>
          <w:lang w:val="pt-BR"/>
        </w:rPr>
        <w:t xml:space="preserve"> e Petrobras.</w:t>
      </w:r>
    </w:p>
    <w:p w14:paraId="68DCA9F7" w14:textId="77777777" w:rsidR="00AB72CC" w:rsidRDefault="00650B1E">
      <w:pPr>
        <w:pStyle w:val="Ttulo2"/>
      </w:pPr>
      <w:r>
        <w:rPr>
          <w:rFonts w:ascii="Helvetica" w:hAnsi="Helvetica" w:cs="Helvetica"/>
          <w:sz w:val="24"/>
          <w:szCs w:val="24"/>
        </w:rPr>
        <w:t>Referências</w:t>
      </w:r>
    </w:p>
    <w:p w14:paraId="5D11756C" w14:textId="0FE56C1C" w:rsidR="008B552D" w:rsidRDefault="008B552D" w:rsidP="008B552D">
      <w:pPr>
        <w:pStyle w:val="TAMainText"/>
        <w:numPr>
          <w:ilvl w:val="0"/>
          <w:numId w:val="1"/>
        </w:numPr>
        <w:rPr>
          <w:bCs/>
        </w:rPr>
      </w:pPr>
      <w:r w:rsidRPr="007A6729">
        <w:rPr>
          <w:bCs/>
          <w:lang w:val="pt-BR"/>
        </w:rPr>
        <w:t xml:space="preserve">S. Fernandez; M.L. </w:t>
      </w:r>
      <w:proofErr w:type="spellStart"/>
      <w:r w:rsidRPr="007A6729">
        <w:rPr>
          <w:bCs/>
          <w:lang w:val="pt-BR"/>
        </w:rPr>
        <w:t>Ostraat</w:t>
      </w:r>
      <w:proofErr w:type="spellEnd"/>
      <w:r w:rsidRPr="007A6729">
        <w:rPr>
          <w:bCs/>
          <w:lang w:val="pt-BR"/>
        </w:rPr>
        <w:t>; K. Zhang</w:t>
      </w:r>
      <w:r>
        <w:rPr>
          <w:bCs/>
          <w:lang w:val="pt-BR"/>
        </w:rPr>
        <w:t>,</w:t>
      </w:r>
      <w:r w:rsidRPr="007A6729">
        <w:rPr>
          <w:bCs/>
          <w:lang w:val="pt-BR"/>
        </w:rPr>
        <w:t xml:space="preserve"> </w:t>
      </w:r>
      <w:r w:rsidRPr="00D11279">
        <w:rPr>
          <w:bCs/>
          <w:i/>
          <w:iCs/>
        </w:rPr>
        <w:t>AIChE Journal</w:t>
      </w:r>
      <w:r w:rsidRPr="007A6729">
        <w:rPr>
          <w:bCs/>
        </w:rPr>
        <w:t xml:space="preserve"> </w:t>
      </w:r>
      <w:r w:rsidRPr="00490C9F">
        <w:rPr>
          <w:b/>
        </w:rPr>
        <w:t>2020</w:t>
      </w:r>
      <w:r>
        <w:rPr>
          <w:bCs/>
        </w:rPr>
        <w:t xml:space="preserve">, </w:t>
      </w:r>
      <w:r w:rsidRPr="000B1684">
        <w:rPr>
          <w:bCs/>
          <w:i/>
          <w:iCs/>
        </w:rPr>
        <w:t>66</w:t>
      </w:r>
      <w:r>
        <w:rPr>
          <w:bCs/>
        </w:rPr>
        <w:t xml:space="preserve">, </w:t>
      </w:r>
      <w:r w:rsidRPr="007A6729">
        <w:rPr>
          <w:bCs/>
        </w:rPr>
        <w:t>16943</w:t>
      </w:r>
      <w:r>
        <w:rPr>
          <w:bCs/>
        </w:rPr>
        <w:t>-16960.</w:t>
      </w:r>
    </w:p>
    <w:p w14:paraId="01D2A9FF" w14:textId="242866C2" w:rsidR="008B552D" w:rsidRPr="004B7C9D" w:rsidRDefault="008B552D" w:rsidP="008B552D">
      <w:pPr>
        <w:pStyle w:val="TAMainText"/>
        <w:numPr>
          <w:ilvl w:val="0"/>
          <w:numId w:val="1"/>
        </w:numPr>
        <w:rPr>
          <w:bCs/>
          <w:lang w:val="pt-BR"/>
        </w:rPr>
      </w:pPr>
      <w:r w:rsidRPr="00CB4DBB">
        <w:rPr>
          <w:bCs/>
          <w:lang w:val="pt-BR"/>
        </w:rPr>
        <w:t>D.S. Valadares; M.C.H. Clemente; E.F. Freitas, G.A.V. Martins; J.A. Dias; S.C.L. Dias</w:t>
      </w:r>
      <w:r w:rsidR="004B7C9D">
        <w:rPr>
          <w:bCs/>
          <w:lang w:val="pt-BR"/>
        </w:rPr>
        <w:t>,</w:t>
      </w:r>
      <w:r w:rsidRPr="00CB4DBB">
        <w:rPr>
          <w:bCs/>
          <w:lang w:val="pt-BR"/>
        </w:rPr>
        <w:t xml:space="preserve"> </w:t>
      </w:r>
      <w:proofErr w:type="spellStart"/>
      <w:r w:rsidRPr="004B7C9D">
        <w:rPr>
          <w:bCs/>
          <w:i/>
          <w:iCs/>
          <w:lang w:val="pt-BR"/>
        </w:rPr>
        <w:t>Nanomaterials</w:t>
      </w:r>
      <w:proofErr w:type="spellEnd"/>
      <w:r w:rsidRPr="004B7C9D">
        <w:rPr>
          <w:bCs/>
          <w:lang w:val="pt-BR"/>
        </w:rPr>
        <w:t xml:space="preserve"> </w:t>
      </w:r>
      <w:r w:rsidRPr="004B7C9D">
        <w:rPr>
          <w:b/>
          <w:lang w:val="pt-BR"/>
        </w:rPr>
        <w:t>2020</w:t>
      </w:r>
      <w:r w:rsidRPr="004B7C9D">
        <w:rPr>
          <w:bCs/>
          <w:lang w:val="pt-BR"/>
        </w:rPr>
        <w:t xml:space="preserve">, </w:t>
      </w:r>
      <w:r w:rsidRPr="004B7C9D">
        <w:rPr>
          <w:bCs/>
          <w:i/>
          <w:iCs/>
          <w:lang w:val="pt-BR"/>
        </w:rPr>
        <w:t>10</w:t>
      </w:r>
      <w:r w:rsidRPr="004B7C9D">
        <w:rPr>
          <w:bCs/>
          <w:lang w:val="pt-BR"/>
        </w:rPr>
        <w:t>, 1269-1289.</w:t>
      </w:r>
    </w:p>
    <w:p w14:paraId="09D0557C" w14:textId="6F7121DF" w:rsidR="008B552D" w:rsidRPr="0079184B" w:rsidRDefault="008B552D" w:rsidP="008B552D">
      <w:pPr>
        <w:pStyle w:val="TAMainText"/>
        <w:numPr>
          <w:ilvl w:val="0"/>
          <w:numId w:val="1"/>
        </w:numPr>
        <w:rPr>
          <w:bCs/>
        </w:rPr>
      </w:pPr>
      <w:r w:rsidRPr="0079184B">
        <w:rPr>
          <w:bCs/>
        </w:rPr>
        <w:t xml:space="preserve">L-H. Chen; M-H. Sun; Z. Wang; W. Yang; Z. </w:t>
      </w:r>
      <w:proofErr w:type="spellStart"/>
      <w:r w:rsidRPr="0079184B">
        <w:rPr>
          <w:bCs/>
        </w:rPr>
        <w:t>Xie</w:t>
      </w:r>
      <w:proofErr w:type="spellEnd"/>
      <w:r w:rsidRPr="0079184B">
        <w:rPr>
          <w:bCs/>
        </w:rPr>
        <w:t xml:space="preserve">; B-L. </w:t>
      </w:r>
      <w:proofErr w:type="spellStart"/>
      <w:r w:rsidRPr="0079184B">
        <w:rPr>
          <w:bCs/>
        </w:rPr>
        <w:t>Su</w:t>
      </w:r>
      <w:proofErr w:type="spellEnd"/>
      <w:r w:rsidRPr="0079184B">
        <w:rPr>
          <w:bCs/>
        </w:rPr>
        <w:t xml:space="preserve">, </w:t>
      </w:r>
      <w:r w:rsidRPr="0079184B">
        <w:rPr>
          <w:bCs/>
          <w:i/>
          <w:iCs/>
        </w:rPr>
        <w:t>Chemical Reviews</w:t>
      </w:r>
      <w:r w:rsidRPr="0079184B">
        <w:rPr>
          <w:bCs/>
        </w:rPr>
        <w:t xml:space="preserve"> </w:t>
      </w:r>
      <w:r w:rsidRPr="0079184B">
        <w:rPr>
          <w:b/>
        </w:rPr>
        <w:t xml:space="preserve">2020, </w:t>
      </w:r>
      <w:r w:rsidRPr="000B1684">
        <w:rPr>
          <w:bCs/>
          <w:i/>
          <w:iCs/>
        </w:rPr>
        <w:t>120</w:t>
      </w:r>
      <w:r>
        <w:rPr>
          <w:bCs/>
        </w:rPr>
        <w:t xml:space="preserve">, </w:t>
      </w:r>
      <w:r w:rsidRPr="0079184B">
        <w:rPr>
          <w:bCs/>
        </w:rPr>
        <w:t>11194–11294</w:t>
      </w:r>
      <w:r>
        <w:rPr>
          <w:bCs/>
        </w:rPr>
        <w:t>.</w:t>
      </w:r>
    </w:p>
    <w:p w14:paraId="186C3238" w14:textId="77777777" w:rsidR="008B552D" w:rsidRDefault="008B552D" w:rsidP="008B552D">
      <w:pPr>
        <w:pStyle w:val="TAMainText"/>
        <w:numPr>
          <w:ilvl w:val="0"/>
          <w:numId w:val="1"/>
        </w:numPr>
        <w:rPr>
          <w:bCs/>
        </w:rPr>
      </w:pPr>
      <w:r w:rsidRPr="00AD519D">
        <w:rPr>
          <w:bCs/>
        </w:rPr>
        <w:t xml:space="preserve">J.M.R. Gallo; J.M.C. Bueno; U. </w:t>
      </w:r>
      <w:proofErr w:type="spellStart"/>
      <w:r w:rsidRPr="00AD519D">
        <w:rPr>
          <w:bCs/>
        </w:rPr>
        <w:t>Schuchardt</w:t>
      </w:r>
      <w:proofErr w:type="spellEnd"/>
      <w:r w:rsidRPr="00AD519D">
        <w:rPr>
          <w:bCs/>
        </w:rPr>
        <w:t xml:space="preserve">, </w:t>
      </w:r>
      <w:r w:rsidRPr="00AD519D">
        <w:rPr>
          <w:bCs/>
          <w:i/>
          <w:iCs/>
        </w:rPr>
        <w:t xml:space="preserve">J. Braz. </w:t>
      </w:r>
      <w:r w:rsidRPr="00446F96">
        <w:rPr>
          <w:bCs/>
          <w:i/>
          <w:iCs/>
        </w:rPr>
        <w:t>Chem. Soc.</w:t>
      </w:r>
      <w:r w:rsidRPr="00446F96">
        <w:rPr>
          <w:bCs/>
        </w:rPr>
        <w:t xml:space="preserve"> </w:t>
      </w:r>
      <w:r w:rsidRPr="00915D93">
        <w:rPr>
          <w:b/>
        </w:rPr>
        <w:t>2014</w:t>
      </w:r>
      <w:r>
        <w:rPr>
          <w:bCs/>
        </w:rPr>
        <w:t xml:space="preserve">, </w:t>
      </w:r>
      <w:r w:rsidRPr="0080048D">
        <w:rPr>
          <w:bCs/>
          <w:i/>
          <w:iCs/>
        </w:rPr>
        <w:t>25</w:t>
      </w:r>
      <w:r w:rsidRPr="00446F96">
        <w:rPr>
          <w:bCs/>
        </w:rPr>
        <w:t>, 2229-2243</w:t>
      </w:r>
      <w:r>
        <w:rPr>
          <w:bCs/>
        </w:rPr>
        <w:t>.</w:t>
      </w:r>
    </w:p>
    <w:p w14:paraId="09CF5359" w14:textId="622D4E96" w:rsidR="008B552D" w:rsidRDefault="008B552D" w:rsidP="008B552D">
      <w:pPr>
        <w:pStyle w:val="TAMainText"/>
        <w:numPr>
          <w:ilvl w:val="0"/>
          <w:numId w:val="1"/>
        </w:numPr>
        <w:rPr>
          <w:bCs/>
          <w:lang w:val="pt-BR"/>
        </w:rPr>
      </w:pPr>
      <w:r w:rsidRPr="009369C2">
        <w:rPr>
          <w:bCs/>
          <w:lang w:val="pt-BR"/>
        </w:rPr>
        <w:t>M.C.H. Clemente; D.S. Valadares; A.B. Lacava; L.S. Barbosa;</w:t>
      </w:r>
      <w:r>
        <w:rPr>
          <w:bCs/>
          <w:lang w:val="pt-BR"/>
        </w:rPr>
        <w:t xml:space="preserve"> </w:t>
      </w:r>
      <w:r w:rsidRPr="009369C2">
        <w:rPr>
          <w:bCs/>
          <w:lang w:val="pt-BR"/>
        </w:rPr>
        <w:t>G</w:t>
      </w:r>
      <w:r>
        <w:rPr>
          <w:bCs/>
          <w:lang w:val="pt-BR"/>
        </w:rPr>
        <w:t>.</w:t>
      </w:r>
      <w:r w:rsidRPr="009369C2">
        <w:rPr>
          <w:bCs/>
          <w:lang w:val="pt-BR"/>
        </w:rPr>
        <w:t>A.V. Martins</w:t>
      </w:r>
      <w:r>
        <w:rPr>
          <w:bCs/>
          <w:lang w:val="pt-BR"/>
        </w:rPr>
        <w:t>;</w:t>
      </w:r>
      <w:r w:rsidRPr="009369C2">
        <w:rPr>
          <w:bCs/>
          <w:lang w:val="pt-BR"/>
        </w:rPr>
        <w:t xml:space="preserve"> J</w:t>
      </w:r>
      <w:r>
        <w:rPr>
          <w:bCs/>
          <w:lang w:val="pt-BR"/>
        </w:rPr>
        <w:t>.</w:t>
      </w:r>
      <w:r w:rsidRPr="009369C2">
        <w:rPr>
          <w:bCs/>
          <w:lang w:val="pt-BR"/>
        </w:rPr>
        <w:t>A. Dias</w:t>
      </w:r>
      <w:r>
        <w:rPr>
          <w:bCs/>
          <w:lang w:val="pt-BR"/>
        </w:rPr>
        <w:t>;</w:t>
      </w:r>
      <w:r w:rsidRPr="009369C2">
        <w:rPr>
          <w:bCs/>
          <w:lang w:val="pt-BR"/>
        </w:rPr>
        <w:t xml:space="preserve"> S</w:t>
      </w:r>
      <w:r>
        <w:rPr>
          <w:bCs/>
          <w:lang w:val="pt-BR"/>
        </w:rPr>
        <w:t>.</w:t>
      </w:r>
      <w:r w:rsidRPr="009369C2">
        <w:rPr>
          <w:bCs/>
          <w:lang w:val="pt-BR"/>
        </w:rPr>
        <w:t>C.L. Dias</w:t>
      </w:r>
      <w:r>
        <w:rPr>
          <w:bCs/>
          <w:lang w:val="pt-BR"/>
        </w:rPr>
        <w:t xml:space="preserve">, </w:t>
      </w:r>
      <w:r w:rsidRPr="000B1684">
        <w:rPr>
          <w:bCs/>
          <w:i/>
          <w:iCs/>
          <w:lang w:val="pt-BR"/>
        </w:rPr>
        <w:t xml:space="preserve">J. Braz. </w:t>
      </w:r>
      <w:proofErr w:type="spellStart"/>
      <w:r w:rsidRPr="000B1684">
        <w:rPr>
          <w:bCs/>
          <w:i/>
          <w:iCs/>
          <w:lang w:val="pt-BR"/>
        </w:rPr>
        <w:t>Chem</w:t>
      </w:r>
      <w:proofErr w:type="spellEnd"/>
      <w:r w:rsidRPr="000B1684">
        <w:rPr>
          <w:bCs/>
          <w:i/>
          <w:iCs/>
          <w:lang w:val="pt-BR"/>
        </w:rPr>
        <w:t>. Soc.</w:t>
      </w:r>
      <w:r w:rsidRPr="009369C2">
        <w:rPr>
          <w:bCs/>
          <w:lang w:val="pt-BR"/>
        </w:rPr>
        <w:t xml:space="preserve"> </w:t>
      </w:r>
      <w:r w:rsidRPr="000B1684">
        <w:rPr>
          <w:b/>
          <w:lang w:val="pt-BR"/>
        </w:rPr>
        <w:t>2019,</w:t>
      </w:r>
      <w:r>
        <w:rPr>
          <w:bCs/>
          <w:lang w:val="pt-BR"/>
        </w:rPr>
        <w:t xml:space="preserve"> </w:t>
      </w:r>
      <w:r w:rsidRPr="000B1684">
        <w:rPr>
          <w:bCs/>
          <w:i/>
          <w:iCs/>
          <w:lang w:val="pt-BR"/>
        </w:rPr>
        <w:t>30</w:t>
      </w:r>
      <w:r w:rsidRPr="009369C2">
        <w:rPr>
          <w:bCs/>
          <w:lang w:val="pt-BR"/>
        </w:rPr>
        <w:t>, 2182-2190</w:t>
      </w:r>
      <w:r>
        <w:rPr>
          <w:bCs/>
          <w:lang w:val="pt-BR"/>
        </w:rPr>
        <w:t>.</w:t>
      </w:r>
    </w:p>
    <w:p w14:paraId="6FF29A8F" w14:textId="7F48964C" w:rsidR="008B552D" w:rsidRDefault="008B552D" w:rsidP="00EB40F6">
      <w:pPr>
        <w:pStyle w:val="TAMainText"/>
        <w:numPr>
          <w:ilvl w:val="0"/>
          <w:numId w:val="1"/>
        </w:numPr>
        <w:rPr>
          <w:bCs/>
          <w:lang w:val="pt-BR"/>
        </w:rPr>
      </w:pPr>
      <w:r w:rsidRPr="008B552D">
        <w:rPr>
          <w:bCs/>
          <w:lang w:val="pt-BR"/>
        </w:rPr>
        <w:t>Y</w:t>
      </w:r>
      <w:r w:rsidRPr="008B552D">
        <w:rPr>
          <w:bCs/>
          <w:lang w:val="pt-BR"/>
        </w:rPr>
        <w:t>.</w:t>
      </w:r>
      <w:r w:rsidRPr="008B552D">
        <w:rPr>
          <w:bCs/>
          <w:lang w:val="pt-BR"/>
        </w:rPr>
        <w:t xml:space="preserve"> </w:t>
      </w:r>
      <w:proofErr w:type="spellStart"/>
      <w:r w:rsidRPr="008B552D">
        <w:rPr>
          <w:bCs/>
          <w:lang w:val="pt-BR"/>
        </w:rPr>
        <w:t>Yue</w:t>
      </w:r>
      <w:proofErr w:type="spellEnd"/>
      <w:r w:rsidRPr="008B552D">
        <w:rPr>
          <w:bCs/>
          <w:lang w:val="pt-BR"/>
        </w:rPr>
        <w:t>;</w:t>
      </w:r>
      <w:r w:rsidRPr="008B552D">
        <w:rPr>
          <w:bCs/>
          <w:lang w:val="pt-BR"/>
        </w:rPr>
        <w:t xml:space="preserve"> X</w:t>
      </w:r>
      <w:r w:rsidRPr="008B552D">
        <w:rPr>
          <w:bCs/>
          <w:lang w:val="pt-BR"/>
        </w:rPr>
        <w:t>.</w:t>
      </w:r>
      <w:r w:rsidRPr="008B552D">
        <w:rPr>
          <w:bCs/>
          <w:lang w:val="pt-BR"/>
        </w:rPr>
        <w:t xml:space="preserve"> </w:t>
      </w:r>
      <w:proofErr w:type="spellStart"/>
      <w:r w:rsidRPr="008B552D">
        <w:rPr>
          <w:bCs/>
          <w:lang w:val="pt-BR"/>
        </w:rPr>
        <w:t>Guo</w:t>
      </w:r>
      <w:proofErr w:type="spellEnd"/>
      <w:r w:rsidRPr="008B552D">
        <w:rPr>
          <w:bCs/>
          <w:lang w:val="pt-BR"/>
        </w:rPr>
        <w:t>;</w:t>
      </w:r>
      <w:r w:rsidRPr="008B552D">
        <w:rPr>
          <w:bCs/>
          <w:lang w:val="pt-BR"/>
        </w:rPr>
        <w:t xml:space="preserve"> T</w:t>
      </w:r>
      <w:r w:rsidRPr="008B552D">
        <w:rPr>
          <w:bCs/>
          <w:lang w:val="pt-BR"/>
        </w:rPr>
        <w:t>.</w:t>
      </w:r>
      <w:r w:rsidRPr="008B552D">
        <w:rPr>
          <w:bCs/>
          <w:lang w:val="pt-BR"/>
        </w:rPr>
        <w:t xml:space="preserve"> Liu</w:t>
      </w:r>
      <w:r w:rsidRPr="008B552D">
        <w:rPr>
          <w:bCs/>
          <w:lang w:val="pt-BR"/>
        </w:rPr>
        <w:t>;</w:t>
      </w:r>
      <w:r w:rsidRPr="008B552D">
        <w:rPr>
          <w:bCs/>
          <w:lang w:val="pt-BR"/>
        </w:rPr>
        <w:t xml:space="preserve"> H</w:t>
      </w:r>
      <w:r w:rsidRPr="008B552D">
        <w:rPr>
          <w:bCs/>
          <w:lang w:val="pt-BR"/>
        </w:rPr>
        <w:t>.</w:t>
      </w:r>
      <w:r w:rsidRPr="008B552D">
        <w:rPr>
          <w:bCs/>
          <w:lang w:val="pt-BR"/>
        </w:rPr>
        <w:t xml:space="preserve"> Liu</w:t>
      </w:r>
      <w:r w:rsidRPr="008B552D">
        <w:rPr>
          <w:bCs/>
          <w:lang w:val="pt-BR"/>
        </w:rPr>
        <w:t>;</w:t>
      </w:r>
      <w:r w:rsidRPr="008B552D">
        <w:rPr>
          <w:bCs/>
          <w:lang w:val="pt-BR"/>
        </w:rPr>
        <w:t xml:space="preserve"> T</w:t>
      </w:r>
      <w:r w:rsidRPr="008B552D">
        <w:rPr>
          <w:bCs/>
          <w:lang w:val="pt-BR"/>
        </w:rPr>
        <w:t>.</w:t>
      </w:r>
      <w:r w:rsidRPr="008B552D">
        <w:rPr>
          <w:bCs/>
          <w:lang w:val="pt-BR"/>
        </w:rPr>
        <w:t xml:space="preserve"> Wang</w:t>
      </w:r>
      <w:r w:rsidRPr="008B552D">
        <w:rPr>
          <w:bCs/>
          <w:lang w:val="pt-BR"/>
        </w:rPr>
        <w:t>;</w:t>
      </w:r>
      <w:r w:rsidRPr="008B552D">
        <w:rPr>
          <w:bCs/>
          <w:lang w:val="pt-BR"/>
        </w:rPr>
        <w:t xml:space="preserve"> P</w:t>
      </w:r>
      <w:r w:rsidRPr="008B552D">
        <w:rPr>
          <w:bCs/>
          <w:lang w:val="pt-BR"/>
        </w:rPr>
        <w:t>.</w:t>
      </w:r>
      <w:r w:rsidRPr="008B552D">
        <w:rPr>
          <w:bCs/>
          <w:lang w:val="pt-BR"/>
        </w:rPr>
        <w:t xml:space="preserve"> Yuan</w:t>
      </w:r>
      <w:r w:rsidRPr="008B552D">
        <w:rPr>
          <w:bCs/>
          <w:lang w:val="pt-BR"/>
        </w:rPr>
        <w:t>;</w:t>
      </w:r>
      <w:r w:rsidRPr="008B552D">
        <w:rPr>
          <w:bCs/>
          <w:lang w:val="pt-BR"/>
        </w:rPr>
        <w:t xml:space="preserve"> H</w:t>
      </w:r>
      <w:r w:rsidRPr="008B552D">
        <w:rPr>
          <w:bCs/>
          <w:lang w:val="pt-BR"/>
        </w:rPr>
        <w:t xml:space="preserve">. </w:t>
      </w:r>
      <w:r w:rsidRPr="008B552D">
        <w:rPr>
          <w:bCs/>
          <w:lang w:val="pt-BR"/>
        </w:rPr>
        <w:t>Zhu</w:t>
      </w:r>
      <w:r w:rsidRPr="008B552D">
        <w:rPr>
          <w:bCs/>
          <w:lang w:val="pt-BR"/>
        </w:rPr>
        <w:t>;</w:t>
      </w:r>
      <w:r w:rsidRPr="008B552D">
        <w:rPr>
          <w:bCs/>
          <w:lang w:val="pt-BR"/>
        </w:rPr>
        <w:t xml:space="preserve"> Z</w:t>
      </w:r>
      <w:r w:rsidRPr="008B552D">
        <w:rPr>
          <w:bCs/>
          <w:lang w:val="pt-BR"/>
        </w:rPr>
        <w:t>.</w:t>
      </w:r>
      <w:r w:rsidRPr="008B552D">
        <w:rPr>
          <w:bCs/>
          <w:lang w:val="pt-BR"/>
        </w:rPr>
        <w:t xml:space="preserve"> </w:t>
      </w:r>
      <w:proofErr w:type="spellStart"/>
      <w:r w:rsidRPr="008B552D">
        <w:rPr>
          <w:bCs/>
          <w:lang w:val="pt-BR"/>
        </w:rPr>
        <w:t>Bai</w:t>
      </w:r>
      <w:proofErr w:type="spellEnd"/>
      <w:r w:rsidRPr="008B552D">
        <w:rPr>
          <w:bCs/>
          <w:lang w:val="pt-BR"/>
        </w:rPr>
        <w:t>;</w:t>
      </w:r>
      <w:r w:rsidRPr="008B552D">
        <w:rPr>
          <w:bCs/>
          <w:lang w:val="pt-BR"/>
        </w:rPr>
        <w:t xml:space="preserve"> X</w:t>
      </w:r>
      <w:r w:rsidRPr="008B552D">
        <w:rPr>
          <w:bCs/>
          <w:lang w:val="pt-BR"/>
        </w:rPr>
        <w:t>.</w:t>
      </w:r>
      <w:r w:rsidRPr="008B552D">
        <w:rPr>
          <w:bCs/>
          <w:lang w:val="pt-BR"/>
        </w:rPr>
        <w:t xml:space="preserve"> </w:t>
      </w:r>
      <w:proofErr w:type="spellStart"/>
      <w:r w:rsidRPr="008B552D">
        <w:rPr>
          <w:bCs/>
          <w:lang w:val="pt-BR"/>
        </w:rPr>
        <w:t>Bao</w:t>
      </w:r>
      <w:proofErr w:type="spellEnd"/>
      <w:r w:rsidR="004B7C9D">
        <w:rPr>
          <w:bCs/>
          <w:lang w:val="pt-BR"/>
        </w:rPr>
        <w:t>,</w:t>
      </w:r>
      <w:r w:rsidRPr="008B552D">
        <w:rPr>
          <w:bCs/>
          <w:lang w:val="pt-BR"/>
        </w:rPr>
        <w:t xml:space="preserve"> </w:t>
      </w:r>
      <w:proofErr w:type="spellStart"/>
      <w:r w:rsidRPr="008B552D">
        <w:rPr>
          <w:bCs/>
          <w:i/>
          <w:iCs/>
          <w:lang w:val="pt-BR"/>
        </w:rPr>
        <w:t>Microporous</w:t>
      </w:r>
      <w:proofErr w:type="spellEnd"/>
      <w:r w:rsidRPr="008B552D">
        <w:rPr>
          <w:bCs/>
          <w:i/>
          <w:iCs/>
          <w:lang w:val="pt-BR"/>
        </w:rPr>
        <w:t xml:space="preserve"> </w:t>
      </w:r>
      <w:proofErr w:type="spellStart"/>
      <w:r w:rsidRPr="008B552D">
        <w:rPr>
          <w:bCs/>
          <w:i/>
          <w:iCs/>
          <w:lang w:val="pt-BR"/>
        </w:rPr>
        <w:t>and</w:t>
      </w:r>
      <w:proofErr w:type="spellEnd"/>
      <w:r w:rsidRPr="008B552D">
        <w:rPr>
          <w:bCs/>
          <w:i/>
          <w:iCs/>
          <w:lang w:val="pt-BR"/>
        </w:rPr>
        <w:t xml:space="preserve"> </w:t>
      </w:r>
      <w:proofErr w:type="spellStart"/>
      <w:r w:rsidRPr="008B552D">
        <w:rPr>
          <w:bCs/>
          <w:i/>
          <w:iCs/>
          <w:lang w:val="pt-BR"/>
        </w:rPr>
        <w:t>Mesoporous</w:t>
      </w:r>
      <w:proofErr w:type="spellEnd"/>
      <w:r w:rsidR="00EB40F6">
        <w:rPr>
          <w:bCs/>
          <w:lang w:val="pt-BR"/>
        </w:rPr>
        <w:t xml:space="preserve"> </w:t>
      </w:r>
      <w:proofErr w:type="spellStart"/>
      <w:r w:rsidRPr="00EB40F6">
        <w:rPr>
          <w:bCs/>
          <w:lang w:val="pt-BR"/>
        </w:rPr>
        <w:t>Materials</w:t>
      </w:r>
      <w:proofErr w:type="spellEnd"/>
      <w:r w:rsidRPr="00EB40F6">
        <w:rPr>
          <w:bCs/>
          <w:lang w:val="pt-BR"/>
        </w:rPr>
        <w:t xml:space="preserve"> </w:t>
      </w:r>
      <w:r w:rsidRPr="00EB40F6">
        <w:rPr>
          <w:b/>
          <w:lang w:val="pt-BR"/>
        </w:rPr>
        <w:t>2020,</w:t>
      </w:r>
      <w:r w:rsidRPr="00EB40F6">
        <w:rPr>
          <w:bCs/>
          <w:lang w:val="pt-BR"/>
        </w:rPr>
        <w:t xml:space="preserve"> 293</w:t>
      </w:r>
      <w:r w:rsidRPr="00EB40F6">
        <w:rPr>
          <w:bCs/>
          <w:lang w:val="pt-BR"/>
        </w:rPr>
        <w:t>,</w:t>
      </w:r>
      <w:r w:rsidR="00EB40F6">
        <w:rPr>
          <w:bCs/>
          <w:lang w:val="pt-BR"/>
        </w:rPr>
        <w:t xml:space="preserve"> </w:t>
      </w:r>
      <w:r w:rsidRPr="00EB40F6">
        <w:rPr>
          <w:bCs/>
          <w:lang w:val="pt-BR"/>
        </w:rPr>
        <w:t>109772</w:t>
      </w:r>
      <w:r w:rsidR="00EB40F6" w:rsidRPr="00EB40F6">
        <w:rPr>
          <w:bCs/>
          <w:lang w:val="pt-BR"/>
        </w:rPr>
        <w:t>-109780</w:t>
      </w:r>
      <w:r w:rsidRPr="00EB40F6">
        <w:rPr>
          <w:bCs/>
          <w:lang w:val="pt-BR"/>
        </w:rPr>
        <w:t>.</w:t>
      </w:r>
    </w:p>
    <w:p w14:paraId="0EDF2176" w14:textId="03980D2D" w:rsidR="00EB40F6" w:rsidRPr="00901937" w:rsidRDefault="00EB40F6" w:rsidP="00EB40F6">
      <w:pPr>
        <w:pStyle w:val="TAMainText"/>
        <w:numPr>
          <w:ilvl w:val="0"/>
          <w:numId w:val="1"/>
        </w:numPr>
        <w:rPr>
          <w:bCs/>
        </w:rPr>
      </w:pPr>
      <w:r w:rsidRPr="00EB40F6">
        <w:rPr>
          <w:bCs/>
        </w:rPr>
        <w:t>G</w:t>
      </w:r>
      <w:r>
        <w:rPr>
          <w:bCs/>
        </w:rPr>
        <w:t xml:space="preserve">. </w:t>
      </w:r>
      <w:r w:rsidRPr="00EB40F6">
        <w:rPr>
          <w:bCs/>
        </w:rPr>
        <w:t>Xiong</w:t>
      </w:r>
      <w:r>
        <w:rPr>
          <w:bCs/>
        </w:rPr>
        <w:t>;</w:t>
      </w:r>
      <w:r w:rsidRPr="00EB40F6">
        <w:rPr>
          <w:bCs/>
        </w:rPr>
        <w:t xml:space="preserve"> H</w:t>
      </w:r>
      <w:r>
        <w:rPr>
          <w:bCs/>
        </w:rPr>
        <w:t>.</w:t>
      </w:r>
      <w:r w:rsidRPr="00EB40F6">
        <w:rPr>
          <w:bCs/>
        </w:rPr>
        <w:t xml:space="preserve"> Yang</w:t>
      </w:r>
      <w:r>
        <w:rPr>
          <w:bCs/>
        </w:rPr>
        <w:t>;</w:t>
      </w:r>
      <w:r w:rsidRPr="00EB40F6">
        <w:rPr>
          <w:bCs/>
        </w:rPr>
        <w:t xml:space="preserve"> L</w:t>
      </w:r>
      <w:r>
        <w:rPr>
          <w:bCs/>
        </w:rPr>
        <w:t>.</w:t>
      </w:r>
      <w:r w:rsidRPr="00EB40F6">
        <w:rPr>
          <w:bCs/>
        </w:rPr>
        <w:t xml:space="preserve"> Liu</w:t>
      </w:r>
      <w:r>
        <w:rPr>
          <w:bCs/>
        </w:rPr>
        <w:t>;</w:t>
      </w:r>
      <w:r w:rsidRPr="00EB40F6">
        <w:rPr>
          <w:bCs/>
        </w:rPr>
        <w:t xml:space="preserve"> J</w:t>
      </w:r>
      <w:r>
        <w:rPr>
          <w:bCs/>
        </w:rPr>
        <w:t>.</w:t>
      </w:r>
      <w:r w:rsidRPr="00EB40F6">
        <w:rPr>
          <w:bCs/>
        </w:rPr>
        <w:t xml:space="preserve"> Liu</w:t>
      </w:r>
      <w:r w:rsidR="004B7C9D">
        <w:rPr>
          <w:bCs/>
        </w:rPr>
        <w:t>,</w:t>
      </w:r>
      <w:r w:rsidRPr="00EB40F6">
        <w:rPr>
          <w:bCs/>
        </w:rPr>
        <w:t xml:space="preserve"> </w:t>
      </w:r>
      <w:r w:rsidRPr="00EB40F6">
        <w:rPr>
          <w:bCs/>
          <w:i/>
          <w:iCs/>
        </w:rPr>
        <w:t xml:space="preserve">RSC </w:t>
      </w:r>
      <w:r w:rsidRPr="00EB40F6">
        <w:rPr>
          <w:bCs/>
          <w:i/>
          <w:iCs/>
        </w:rPr>
        <w:t>A</w:t>
      </w:r>
      <w:r w:rsidRPr="00EB40F6">
        <w:rPr>
          <w:bCs/>
          <w:i/>
          <w:iCs/>
        </w:rPr>
        <w:t>dvances</w:t>
      </w:r>
      <w:r w:rsidRPr="00EB40F6">
        <w:rPr>
          <w:bCs/>
        </w:rPr>
        <w:t xml:space="preserve"> </w:t>
      </w:r>
      <w:r w:rsidRPr="00EB40F6">
        <w:rPr>
          <w:b/>
        </w:rPr>
        <w:t>2023</w:t>
      </w:r>
      <w:r>
        <w:rPr>
          <w:bCs/>
        </w:rPr>
        <w:t xml:space="preserve">, </w:t>
      </w:r>
      <w:r w:rsidRPr="00EB40F6">
        <w:rPr>
          <w:bCs/>
        </w:rPr>
        <w:t>13</w:t>
      </w:r>
      <w:r>
        <w:rPr>
          <w:bCs/>
        </w:rPr>
        <w:t xml:space="preserve">, </w:t>
      </w:r>
      <w:r w:rsidRPr="00EB40F6">
        <w:rPr>
          <w:bCs/>
        </w:rPr>
        <w:t>4835–4842.</w:t>
      </w:r>
    </w:p>
    <w:p w14:paraId="31D12C62" w14:textId="21DED646" w:rsidR="00EB40F6" w:rsidRDefault="00EB40F6" w:rsidP="00EB40F6">
      <w:pPr>
        <w:pStyle w:val="TAMainText"/>
        <w:numPr>
          <w:ilvl w:val="0"/>
          <w:numId w:val="1"/>
        </w:numPr>
        <w:rPr>
          <w:bCs/>
          <w:lang w:val="pt-BR"/>
        </w:rPr>
      </w:pPr>
      <w:r w:rsidRPr="003D5B5C">
        <w:rPr>
          <w:bCs/>
          <w:lang w:val="pt-BR"/>
        </w:rPr>
        <w:t>K</w:t>
      </w:r>
      <w:r w:rsidRPr="003D5B5C">
        <w:rPr>
          <w:bCs/>
          <w:lang w:val="pt-BR"/>
        </w:rPr>
        <w:t>.</w:t>
      </w:r>
      <w:r w:rsidRPr="003D5B5C">
        <w:rPr>
          <w:bCs/>
          <w:lang w:val="pt-BR"/>
        </w:rPr>
        <w:t xml:space="preserve"> </w:t>
      </w:r>
      <w:proofErr w:type="spellStart"/>
      <w:r w:rsidRPr="003D5B5C">
        <w:rPr>
          <w:bCs/>
          <w:lang w:val="pt-BR"/>
        </w:rPr>
        <w:t>Hadjiivanov</w:t>
      </w:r>
      <w:proofErr w:type="spellEnd"/>
      <w:r w:rsidRPr="003D5B5C">
        <w:rPr>
          <w:bCs/>
          <w:lang w:val="pt-BR"/>
        </w:rPr>
        <w:t>;</w:t>
      </w:r>
      <w:r w:rsidRPr="003D5B5C">
        <w:rPr>
          <w:bCs/>
          <w:lang w:val="pt-BR"/>
        </w:rPr>
        <w:t xml:space="preserve"> E</w:t>
      </w:r>
      <w:r w:rsidRPr="003D5B5C">
        <w:rPr>
          <w:bCs/>
          <w:lang w:val="pt-BR"/>
        </w:rPr>
        <w:t>.</w:t>
      </w:r>
      <w:r w:rsidRPr="003D5B5C">
        <w:rPr>
          <w:bCs/>
          <w:lang w:val="pt-BR"/>
        </w:rPr>
        <w:t xml:space="preserve"> Ivanova</w:t>
      </w:r>
      <w:r w:rsidRPr="003D5B5C">
        <w:rPr>
          <w:bCs/>
          <w:lang w:val="pt-BR"/>
        </w:rPr>
        <w:t>;</w:t>
      </w:r>
      <w:r w:rsidRPr="003D5B5C">
        <w:rPr>
          <w:bCs/>
          <w:lang w:val="pt-BR"/>
        </w:rPr>
        <w:t xml:space="preserve"> R</w:t>
      </w:r>
      <w:r w:rsidRPr="003D5B5C">
        <w:rPr>
          <w:bCs/>
          <w:lang w:val="pt-BR"/>
        </w:rPr>
        <w:t>.</w:t>
      </w:r>
      <w:r w:rsidRPr="003D5B5C">
        <w:rPr>
          <w:bCs/>
          <w:lang w:val="pt-BR"/>
        </w:rPr>
        <w:t xml:space="preserve"> </w:t>
      </w:r>
      <w:proofErr w:type="spellStart"/>
      <w:r w:rsidRPr="003D5B5C">
        <w:rPr>
          <w:bCs/>
          <w:lang w:val="pt-BR"/>
        </w:rPr>
        <w:t>Kefirov</w:t>
      </w:r>
      <w:proofErr w:type="spellEnd"/>
      <w:r w:rsidRPr="003D5B5C">
        <w:rPr>
          <w:bCs/>
          <w:lang w:val="pt-BR"/>
        </w:rPr>
        <w:t>;</w:t>
      </w:r>
      <w:r w:rsidRPr="003D5B5C">
        <w:rPr>
          <w:bCs/>
          <w:lang w:val="pt-BR"/>
        </w:rPr>
        <w:t xml:space="preserve"> J</w:t>
      </w:r>
      <w:r w:rsidRPr="003D5B5C">
        <w:rPr>
          <w:bCs/>
          <w:lang w:val="pt-BR"/>
        </w:rPr>
        <w:t>.</w:t>
      </w:r>
      <w:r w:rsidRPr="003D5B5C">
        <w:rPr>
          <w:bCs/>
          <w:lang w:val="pt-BR"/>
        </w:rPr>
        <w:t xml:space="preserve"> </w:t>
      </w:r>
      <w:proofErr w:type="spellStart"/>
      <w:r w:rsidRPr="003D5B5C">
        <w:rPr>
          <w:bCs/>
          <w:lang w:val="pt-BR"/>
        </w:rPr>
        <w:t>Janas</w:t>
      </w:r>
      <w:proofErr w:type="spellEnd"/>
      <w:r w:rsidRPr="003D5B5C">
        <w:rPr>
          <w:bCs/>
          <w:lang w:val="pt-BR"/>
        </w:rPr>
        <w:t>;</w:t>
      </w:r>
      <w:r w:rsidRPr="003D5B5C">
        <w:rPr>
          <w:bCs/>
          <w:lang w:val="pt-BR"/>
        </w:rPr>
        <w:t xml:space="preserve"> A</w:t>
      </w:r>
      <w:r w:rsidRPr="003D5B5C">
        <w:rPr>
          <w:bCs/>
          <w:lang w:val="pt-BR"/>
        </w:rPr>
        <w:t>.</w:t>
      </w:r>
      <w:r w:rsidRPr="003D5B5C">
        <w:rPr>
          <w:bCs/>
          <w:lang w:val="pt-BR"/>
        </w:rPr>
        <w:t xml:space="preserve"> </w:t>
      </w:r>
      <w:proofErr w:type="spellStart"/>
      <w:r w:rsidRPr="003D5B5C">
        <w:rPr>
          <w:bCs/>
          <w:lang w:val="pt-BR"/>
        </w:rPr>
        <w:t>Plesniar</w:t>
      </w:r>
      <w:proofErr w:type="spellEnd"/>
      <w:r w:rsidR="003D5B5C" w:rsidRPr="003D5B5C">
        <w:rPr>
          <w:bCs/>
          <w:lang w:val="pt-BR"/>
        </w:rPr>
        <w:t xml:space="preserve">; </w:t>
      </w:r>
      <w:r w:rsidRPr="003D5B5C">
        <w:rPr>
          <w:bCs/>
          <w:lang w:val="pt-BR"/>
        </w:rPr>
        <w:t>S</w:t>
      </w:r>
      <w:r w:rsidR="003D5B5C" w:rsidRPr="003D5B5C">
        <w:rPr>
          <w:bCs/>
          <w:lang w:val="pt-BR"/>
        </w:rPr>
        <w:t>.</w:t>
      </w:r>
      <w:r w:rsidRPr="003D5B5C">
        <w:rPr>
          <w:bCs/>
          <w:lang w:val="pt-BR"/>
        </w:rPr>
        <w:t xml:space="preserve"> </w:t>
      </w:r>
      <w:proofErr w:type="spellStart"/>
      <w:r w:rsidRPr="003D5B5C">
        <w:rPr>
          <w:bCs/>
          <w:lang w:val="pt-BR"/>
        </w:rPr>
        <w:t>Dzwigaj</w:t>
      </w:r>
      <w:proofErr w:type="spellEnd"/>
      <w:r w:rsidR="003D5B5C" w:rsidRPr="003D5B5C">
        <w:rPr>
          <w:bCs/>
          <w:lang w:val="pt-BR"/>
        </w:rPr>
        <w:t>;</w:t>
      </w:r>
      <w:r w:rsidRPr="003D5B5C">
        <w:rPr>
          <w:bCs/>
          <w:lang w:val="pt-BR"/>
        </w:rPr>
        <w:t xml:space="preserve"> M</w:t>
      </w:r>
      <w:r w:rsidR="003D5B5C" w:rsidRPr="003D5B5C">
        <w:rPr>
          <w:bCs/>
          <w:lang w:val="pt-BR"/>
        </w:rPr>
        <w:t>.</w:t>
      </w:r>
      <w:r w:rsidRPr="003D5B5C">
        <w:rPr>
          <w:bCs/>
          <w:lang w:val="pt-BR"/>
        </w:rPr>
        <w:t xml:space="preserve"> Che</w:t>
      </w:r>
      <w:r w:rsidR="00901937">
        <w:rPr>
          <w:bCs/>
          <w:lang w:val="pt-BR"/>
        </w:rPr>
        <w:t>,</w:t>
      </w:r>
      <w:r w:rsidRPr="003D5B5C">
        <w:rPr>
          <w:bCs/>
          <w:lang w:val="pt-BR"/>
        </w:rPr>
        <w:t xml:space="preserve"> </w:t>
      </w:r>
      <w:proofErr w:type="spellStart"/>
      <w:r w:rsidRPr="003D5B5C">
        <w:rPr>
          <w:bCs/>
          <w:i/>
          <w:iCs/>
          <w:lang w:val="pt-BR"/>
        </w:rPr>
        <w:t>Microporous</w:t>
      </w:r>
      <w:proofErr w:type="spellEnd"/>
      <w:r w:rsidRPr="003D5B5C">
        <w:rPr>
          <w:bCs/>
          <w:i/>
          <w:iCs/>
          <w:lang w:val="pt-BR"/>
        </w:rPr>
        <w:t xml:space="preserve"> </w:t>
      </w:r>
      <w:proofErr w:type="spellStart"/>
      <w:r w:rsidRPr="003D5B5C">
        <w:rPr>
          <w:bCs/>
          <w:i/>
          <w:iCs/>
          <w:lang w:val="pt-BR"/>
        </w:rPr>
        <w:t>and</w:t>
      </w:r>
      <w:proofErr w:type="spellEnd"/>
      <w:r w:rsidRPr="003D5B5C">
        <w:rPr>
          <w:bCs/>
          <w:i/>
          <w:iCs/>
          <w:lang w:val="pt-BR"/>
        </w:rPr>
        <w:t xml:space="preserve"> </w:t>
      </w:r>
      <w:proofErr w:type="spellStart"/>
      <w:r w:rsidR="003D5B5C">
        <w:rPr>
          <w:bCs/>
          <w:i/>
          <w:iCs/>
          <w:lang w:val="pt-BR"/>
        </w:rPr>
        <w:t>M</w:t>
      </w:r>
      <w:r w:rsidRPr="003D5B5C">
        <w:rPr>
          <w:bCs/>
          <w:i/>
          <w:iCs/>
          <w:lang w:val="pt-BR"/>
        </w:rPr>
        <w:t>esoporous</w:t>
      </w:r>
      <w:proofErr w:type="spellEnd"/>
      <w:r w:rsidR="003D5B5C">
        <w:rPr>
          <w:bCs/>
          <w:i/>
          <w:iCs/>
          <w:lang w:val="pt-BR"/>
        </w:rPr>
        <w:t xml:space="preserve"> </w:t>
      </w:r>
      <w:proofErr w:type="spellStart"/>
      <w:r w:rsidR="003D5B5C">
        <w:rPr>
          <w:bCs/>
          <w:i/>
          <w:iCs/>
          <w:lang w:val="pt-BR"/>
        </w:rPr>
        <w:t>M</w:t>
      </w:r>
      <w:r w:rsidRPr="003D5B5C">
        <w:rPr>
          <w:bCs/>
          <w:i/>
          <w:iCs/>
          <w:lang w:val="pt-BR"/>
        </w:rPr>
        <w:t>aterials</w:t>
      </w:r>
      <w:proofErr w:type="spellEnd"/>
      <w:r w:rsidR="003D5B5C">
        <w:rPr>
          <w:bCs/>
          <w:lang w:val="pt-BR"/>
        </w:rPr>
        <w:t xml:space="preserve"> </w:t>
      </w:r>
      <w:r w:rsidR="003D5B5C" w:rsidRPr="003D5B5C">
        <w:rPr>
          <w:b/>
          <w:lang w:val="pt-BR"/>
        </w:rPr>
        <w:t>2010,</w:t>
      </w:r>
      <w:r w:rsidRPr="003D5B5C">
        <w:rPr>
          <w:bCs/>
          <w:lang w:val="pt-BR"/>
        </w:rPr>
        <w:t xml:space="preserve"> 131</w:t>
      </w:r>
      <w:r w:rsidR="003D5B5C">
        <w:rPr>
          <w:bCs/>
          <w:lang w:val="pt-BR"/>
        </w:rPr>
        <w:t xml:space="preserve">, </w:t>
      </w:r>
      <w:r w:rsidRPr="003D5B5C">
        <w:rPr>
          <w:bCs/>
          <w:lang w:val="pt-BR"/>
        </w:rPr>
        <w:t>1–12.</w:t>
      </w:r>
    </w:p>
    <w:p w14:paraId="3A46C040" w14:textId="741A8643" w:rsidR="003F7EA7" w:rsidRPr="00901937" w:rsidRDefault="003F7EA7" w:rsidP="003F7EA7">
      <w:pPr>
        <w:pStyle w:val="TAMainText"/>
        <w:numPr>
          <w:ilvl w:val="0"/>
          <w:numId w:val="1"/>
        </w:numPr>
        <w:rPr>
          <w:bCs/>
        </w:rPr>
      </w:pPr>
      <w:r w:rsidRPr="00901937">
        <w:rPr>
          <w:bCs/>
        </w:rPr>
        <w:t>Z</w:t>
      </w:r>
      <w:r w:rsidR="00587D6C" w:rsidRPr="00901937">
        <w:rPr>
          <w:bCs/>
        </w:rPr>
        <w:t>.</w:t>
      </w:r>
      <w:r w:rsidRPr="00901937">
        <w:rPr>
          <w:bCs/>
        </w:rPr>
        <w:t xml:space="preserve"> Zhao</w:t>
      </w:r>
      <w:r w:rsidR="00587D6C" w:rsidRPr="00901937">
        <w:rPr>
          <w:bCs/>
        </w:rPr>
        <w:t>;</w:t>
      </w:r>
      <w:r w:rsidRPr="00901937">
        <w:rPr>
          <w:bCs/>
        </w:rPr>
        <w:t xml:space="preserve"> S</w:t>
      </w:r>
      <w:r w:rsidR="00587D6C" w:rsidRPr="00901937">
        <w:rPr>
          <w:bCs/>
        </w:rPr>
        <w:t>.</w:t>
      </w:r>
      <w:r w:rsidRPr="00901937">
        <w:rPr>
          <w:bCs/>
        </w:rPr>
        <w:t xml:space="preserve"> Xu</w:t>
      </w:r>
      <w:r w:rsidR="00587D6C" w:rsidRPr="00901937">
        <w:rPr>
          <w:bCs/>
        </w:rPr>
        <w:t>;</w:t>
      </w:r>
      <w:r w:rsidRPr="00901937">
        <w:rPr>
          <w:bCs/>
        </w:rPr>
        <w:t xml:space="preserve"> M</w:t>
      </w:r>
      <w:r w:rsidR="00587D6C" w:rsidRPr="00901937">
        <w:rPr>
          <w:bCs/>
        </w:rPr>
        <w:t>.</w:t>
      </w:r>
      <w:r w:rsidRPr="00901937">
        <w:rPr>
          <w:bCs/>
        </w:rPr>
        <w:t>Y</w:t>
      </w:r>
      <w:r w:rsidR="00587D6C" w:rsidRPr="00901937">
        <w:rPr>
          <w:bCs/>
        </w:rPr>
        <w:t>.</w:t>
      </w:r>
      <w:r w:rsidRPr="00901937">
        <w:rPr>
          <w:bCs/>
        </w:rPr>
        <w:t xml:space="preserve"> Hu</w:t>
      </w:r>
      <w:r w:rsidR="00587D6C" w:rsidRPr="00901937">
        <w:rPr>
          <w:bCs/>
        </w:rPr>
        <w:t>;</w:t>
      </w:r>
      <w:r w:rsidRPr="00901937">
        <w:rPr>
          <w:bCs/>
        </w:rPr>
        <w:t xml:space="preserve"> X</w:t>
      </w:r>
      <w:r w:rsidR="00587D6C" w:rsidRPr="00901937">
        <w:rPr>
          <w:bCs/>
        </w:rPr>
        <w:t>.</w:t>
      </w:r>
      <w:r w:rsidRPr="00901937">
        <w:rPr>
          <w:bCs/>
        </w:rPr>
        <w:t xml:space="preserve"> Bao</w:t>
      </w:r>
      <w:r w:rsidR="00564398" w:rsidRPr="00901937">
        <w:rPr>
          <w:bCs/>
        </w:rPr>
        <w:t>;</w:t>
      </w:r>
      <w:r w:rsidRPr="00901937">
        <w:rPr>
          <w:bCs/>
        </w:rPr>
        <w:t xml:space="preserve"> C</w:t>
      </w:r>
      <w:r w:rsidR="00564398" w:rsidRPr="00901937">
        <w:rPr>
          <w:bCs/>
        </w:rPr>
        <w:t>.</w:t>
      </w:r>
      <w:r w:rsidRPr="00901937">
        <w:rPr>
          <w:bCs/>
        </w:rPr>
        <w:t>H</w:t>
      </w:r>
      <w:r w:rsidR="00564398" w:rsidRPr="00901937">
        <w:rPr>
          <w:bCs/>
        </w:rPr>
        <w:t>.</w:t>
      </w:r>
      <w:r w:rsidRPr="00901937">
        <w:rPr>
          <w:bCs/>
        </w:rPr>
        <w:t>F</w:t>
      </w:r>
      <w:r w:rsidR="00564398" w:rsidRPr="00901937">
        <w:rPr>
          <w:bCs/>
        </w:rPr>
        <w:t>.</w:t>
      </w:r>
      <w:r w:rsidRPr="00901937">
        <w:rPr>
          <w:bCs/>
        </w:rPr>
        <w:t xml:space="preserve"> </w:t>
      </w:r>
      <w:proofErr w:type="spellStart"/>
      <w:r w:rsidRPr="00901937">
        <w:rPr>
          <w:bCs/>
        </w:rPr>
        <w:t>Peden</w:t>
      </w:r>
      <w:proofErr w:type="spellEnd"/>
      <w:r w:rsidR="00564398" w:rsidRPr="00901937">
        <w:rPr>
          <w:bCs/>
        </w:rPr>
        <w:t xml:space="preserve">; </w:t>
      </w:r>
      <w:r w:rsidRPr="00901937">
        <w:rPr>
          <w:bCs/>
        </w:rPr>
        <w:t>J</w:t>
      </w:r>
      <w:r w:rsidR="00564398" w:rsidRPr="00901937">
        <w:rPr>
          <w:bCs/>
        </w:rPr>
        <w:t>.</w:t>
      </w:r>
      <w:r w:rsidRPr="00901937">
        <w:rPr>
          <w:bCs/>
        </w:rPr>
        <w:t xml:space="preserve"> Hu</w:t>
      </w:r>
      <w:r w:rsidR="00901937" w:rsidRPr="00901937">
        <w:rPr>
          <w:bCs/>
        </w:rPr>
        <w:t>,</w:t>
      </w:r>
      <w:r w:rsidRPr="00901937">
        <w:rPr>
          <w:bCs/>
        </w:rPr>
        <w:t xml:space="preserve"> </w:t>
      </w:r>
      <w:r w:rsidRPr="00901937">
        <w:rPr>
          <w:bCs/>
          <w:i/>
          <w:iCs/>
        </w:rPr>
        <w:t>The Journal of Physical</w:t>
      </w:r>
      <w:r w:rsidR="00901937" w:rsidRPr="00901937">
        <w:rPr>
          <w:bCs/>
          <w:i/>
          <w:iCs/>
        </w:rPr>
        <w:t xml:space="preserve"> </w:t>
      </w:r>
      <w:r w:rsidRPr="00901937">
        <w:rPr>
          <w:bCs/>
          <w:i/>
          <w:iCs/>
        </w:rPr>
        <w:t>Chemistry C</w:t>
      </w:r>
      <w:r w:rsidR="00901937">
        <w:rPr>
          <w:bCs/>
        </w:rPr>
        <w:t xml:space="preserve"> </w:t>
      </w:r>
      <w:r w:rsidR="00901937" w:rsidRPr="00901937">
        <w:rPr>
          <w:b/>
        </w:rPr>
        <w:t>2015</w:t>
      </w:r>
      <w:r w:rsidR="00901937">
        <w:rPr>
          <w:bCs/>
        </w:rPr>
        <w:t xml:space="preserve">, </w:t>
      </w:r>
      <w:r w:rsidRPr="00901937">
        <w:rPr>
          <w:bCs/>
        </w:rPr>
        <w:t>119</w:t>
      </w:r>
      <w:r w:rsidR="00736E33">
        <w:rPr>
          <w:bCs/>
        </w:rPr>
        <w:t xml:space="preserve">, </w:t>
      </w:r>
      <w:r w:rsidRPr="00901937">
        <w:rPr>
          <w:bCs/>
        </w:rPr>
        <w:t>1410–1417.</w:t>
      </w:r>
    </w:p>
    <w:sectPr w:rsidR="003F7EA7" w:rsidRPr="00901937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37B6A" w14:textId="77777777" w:rsidR="00AB72CC" w:rsidRDefault="00650B1E">
      <w:pPr>
        <w:spacing w:line="240" w:lineRule="auto"/>
      </w:pPr>
      <w:r>
        <w:separator/>
      </w:r>
    </w:p>
  </w:endnote>
  <w:endnote w:type="continuationSeparator" w:id="0">
    <w:p w14:paraId="76D2A789" w14:textId="77777777" w:rsidR="00AB72CC" w:rsidRDefault="00650B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00"/>
    <w:family w:val="auto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F8B5D" w14:textId="77777777" w:rsidR="00AB72CC" w:rsidRDefault="00650B1E">
      <w:pPr>
        <w:spacing w:after="0"/>
      </w:pPr>
      <w:r>
        <w:separator/>
      </w:r>
    </w:p>
  </w:footnote>
  <w:footnote w:type="continuationSeparator" w:id="0">
    <w:p w14:paraId="3DC3E059" w14:textId="77777777" w:rsidR="00AB72CC" w:rsidRDefault="00650B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874F" w14:textId="77777777" w:rsidR="00AB72CC" w:rsidRDefault="00650B1E">
    <w:pPr>
      <w:pStyle w:val="Cabealho"/>
      <w:jc w:val="center"/>
    </w:pPr>
    <w:r>
      <w:rPr>
        <w:noProof/>
      </w:rPr>
      <w:drawing>
        <wp:inline distT="0" distB="0" distL="0" distR="0" wp14:anchorId="6AFAE744" wp14:editId="368710D1">
          <wp:extent cx="1524000" cy="104902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>
                    <a:fillRect/>
                  </a:stretch>
                </pic:blipFill>
                <pic:spPr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  <w:r>
      <w:rPr>
        <w:noProof/>
        <w:lang w:eastAsia="pt-BR"/>
      </w:rPr>
      <w:drawing>
        <wp:inline distT="0" distB="0" distL="0" distR="0" wp14:anchorId="769CF82A" wp14:editId="7EE96614">
          <wp:extent cx="1963420" cy="695960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258F119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num w:numId="1" w16cid:durableId="57431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31098"/>
    <w:rsid w:val="00061A72"/>
    <w:rsid w:val="0007736A"/>
    <w:rsid w:val="000F1D24"/>
    <w:rsid w:val="00146316"/>
    <w:rsid w:val="001B5944"/>
    <w:rsid w:val="001E58A9"/>
    <w:rsid w:val="001F25B2"/>
    <w:rsid w:val="00222230"/>
    <w:rsid w:val="00242B8D"/>
    <w:rsid w:val="002C6029"/>
    <w:rsid w:val="00330ABD"/>
    <w:rsid w:val="00340B1E"/>
    <w:rsid w:val="00355E4A"/>
    <w:rsid w:val="00365818"/>
    <w:rsid w:val="00393BB2"/>
    <w:rsid w:val="003A1F67"/>
    <w:rsid w:val="003C7737"/>
    <w:rsid w:val="003D013D"/>
    <w:rsid w:val="003D5B5C"/>
    <w:rsid w:val="003F4E9B"/>
    <w:rsid w:val="003F7EA7"/>
    <w:rsid w:val="00402F3E"/>
    <w:rsid w:val="004055EA"/>
    <w:rsid w:val="0042496B"/>
    <w:rsid w:val="00427574"/>
    <w:rsid w:val="004B7C9D"/>
    <w:rsid w:val="004F077F"/>
    <w:rsid w:val="004F3F42"/>
    <w:rsid w:val="0052112E"/>
    <w:rsid w:val="005276FB"/>
    <w:rsid w:val="00564398"/>
    <w:rsid w:val="005660E9"/>
    <w:rsid w:val="00587D6C"/>
    <w:rsid w:val="005C2775"/>
    <w:rsid w:val="005D65EB"/>
    <w:rsid w:val="005E781E"/>
    <w:rsid w:val="005E7F65"/>
    <w:rsid w:val="00604718"/>
    <w:rsid w:val="00605F5F"/>
    <w:rsid w:val="00612257"/>
    <w:rsid w:val="00620CD2"/>
    <w:rsid w:val="00640203"/>
    <w:rsid w:val="00644C0B"/>
    <w:rsid w:val="00650B1E"/>
    <w:rsid w:val="00652815"/>
    <w:rsid w:val="00670C0A"/>
    <w:rsid w:val="00673293"/>
    <w:rsid w:val="00684544"/>
    <w:rsid w:val="00686874"/>
    <w:rsid w:val="006E4F3C"/>
    <w:rsid w:val="006F599B"/>
    <w:rsid w:val="00702362"/>
    <w:rsid w:val="00736E33"/>
    <w:rsid w:val="007670A0"/>
    <w:rsid w:val="00781685"/>
    <w:rsid w:val="00785FE1"/>
    <w:rsid w:val="007B0350"/>
    <w:rsid w:val="007B4B2B"/>
    <w:rsid w:val="007E3413"/>
    <w:rsid w:val="008229F3"/>
    <w:rsid w:val="008377B7"/>
    <w:rsid w:val="00861A46"/>
    <w:rsid w:val="00866822"/>
    <w:rsid w:val="00887CEA"/>
    <w:rsid w:val="008A042C"/>
    <w:rsid w:val="008B1683"/>
    <w:rsid w:val="008B552D"/>
    <w:rsid w:val="008C1B30"/>
    <w:rsid w:val="00901937"/>
    <w:rsid w:val="00903827"/>
    <w:rsid w:val="00930047"/>
    <w:rsid w:val="00935A85"/>
    <w:rsid w:val="009375F4"/>
    <w:rsid w:val="00946498"/>
    <w:rsid w:val="0095392E"/>
    <w:rsid w:val="009656D9"/>
    <w:rsid w:val="009721DB"/>
    <w:rsid w:val="009C7CB0"/>
    <w:rsid w:val="009D29AE"/>
    <w:rsid w:val="009D737B"/>
    <w:rsid w:val="009F38F0"/>
    <w:rsid w:val="00A17D85"/>
    <w:rsid w:val="00A46C30"/>
    <w:rsid w:val="00A87CE8"/>
    <w:rsid w:val="00AA182E"/>
    <w:rsid w:val="00AB10D0"/>
    <w:rsid w:val="00AB72CC"/>
    <w:rsid w:val="00AE5280"/>
    <w:rsid w:val="00AF0400"/>
    <w:rsid w:val="00B10033"/>
    <w:rsid w:val="00B108F1"/>
    <w:rsid w:val="00B13170"/>
    <w:rsid w:val="00B238A5"/>
    <w:rsid w:val="00B30AEB"/>
    <w:rsid w:val="00B70F44"/>
    <w:rsid w:val="00B81C2A"/>
    <w:rsid w:val="00BA597D"/>
    <w:rsid w:val="00BA6A6E"/>
    <w:rsid w:val="00BB33EA"/>
    <w:rsid w:val="00BB59EE"/>
    <w:rsid w:val="00BB7585"/>
    <w:rsid w:val="00C243E6"/>
    <w:rsid w:val="00C3383B"/>
    <w:rsid w:val="00C57CB7"/>
    <w:rsid w:val="00C67DFB"/>
    <w:rsid w:val="00C76E54"/>
    <w:rsid w:val="00C9298A"/>
    <w:rsid w:val="00CA642A"/>
    <w:rsid w:val="00D96135"/>
    <w:rsid w:val="00E02A21"/>
    <w:rsid w:val="00E038AF"/>
    <w:rsid w:val="00E76E3A"/>
    <w:rsid w:val="00EA4E1B"/>
    <w:rsid w:val="00EB40F6"/>
    <w:rsid w:val="00EE690E"/>
    <w:rsid w:val="00EF12DF"/>
    <w:rsid w:val="00F119BC"/>
    <w:rsid w:val="00F12B9E"/>
    <w:rsid w:val="00F30661"/>
    <w:rsid w:val="00F562E9"/>
    <w:rsid w:val="00F71FF0"/>
    <w:rsid w:val="00F74053"/>
    <w:rsid w:val="00F917DA"/>
    <w:rsid w:val="00FC46AA"/>
    <w:rsid w:val="00FE310E"/>
    <w:rsid w:val="00FE3758"/>
    <w:rsid w:val="00FF1E47"/>
    <w:rsid w:val="0A345CE3"/>
    <w:rsid w:val="0F9D6602"/>
    <w:rsid w:val="14B12444"/>
    <w:rsid w:val="15BD5698"/>
    <w:rsid w:val="15EC5CBF"/>
    <w:rsid w:val="23E245E0"/>
    <w:rsid w:val="2A525EA4"/>
    <w:rsid w:val="2DDC2038"/>
    <w:rsid w:val="367222BB"/>
    <w:rsid w:val="391736F7"/>
    <w:rsid w:val="410F78CB"/>
    <w:rsid w:val="46613168"/>
    <w:rsid w:val="469D7701"/>
    <w:rsid w:val="51EB764C"/>
    <w:rsid w:val="53C651AD"/>
    <w:rsid w:val="54776AD5"/>
    <w:rsid w:val="65D96F25"/>
    <w:rsid w:val="6AB934FF"/>
    <w:rsid w:val="6C294834"/>
    <w:rsid w:val="6CA73E91"/>
    <w:rsid w:val="6ED64969"/>
    <w:rsid w:val="6F5C6256"/>
    <w:rsid w:val="71D216A0"/>
    <w:rsid w:val="7BE6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472B39D2"/>
  <w15:docId w15:val="{7352DF61-B595-4856-96FB-7DAC0D20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300" w:lineRule="auto"/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  <w:color w:val="000000" w:themeColor="text1"/>
    </w:rPr>
  </w:style>
  <w:style w:type="character" w:styleId="Refdenotaderodap">
    <w:name w:val="footnote reference"/>
    <w:semiHidden/>
    <w:qFormat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jc w:val="center"/>
    </w:pPr>
    <w:rPr>
      <w:color w:val="44546A" w:themeColor="text2"/>
      <w:sz w:val="28"/>
      <w:szCs w:val="28"/>
    </w:rPr>
  </w:style>
  <w:style w:type="paragraph" w:styleId="Textodenotaderodap">
    <w:name w:val="footnote text"/>
    <w:basedOn w:val="Normal"/>
    <w:next w:val="Normal"/>
    <w:link w:val="TextodenotaderodapChar"/>
    <w:semiHidden/>
    <w:qFormat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qFormat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qFormat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/>
      <w:b/>
      <w:sz w:val="18"/>
      <w:lang w:val="en-US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qFormat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qFormat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qFormat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qFormat/>
    <w:pPr>
      <w:jc w:val="both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b/>
      <w:bCs/>
      <w:i/>
      <w:iCs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SubttuloChar">
    <w:name w:val="Subtítulo Char"/>
    <w:basedOn w:val="Fontepargpadro"/>
    <w:link w:val="Subttulo"/>
    <w:uiPriority w:val="11"/>
    <w:rPr>
      <w:color w:val="44546A" w:themeColor="text2"/>
      <w:sz w:val="28"/>
      <w:szCs w:val="28"/>
    </w:rPr>
  </w:style>
  <w:style w:type="paragraph" w:styleId="SemEspaamento">
    <w:name w:val="No Spacing"/>
    <w:uiPriority w:val="1"/>
    <w:qFormat/>
    <w:rPr>
      <w:rFonts w:asciiTheme="minorHAnsi" w:eastAsiaTheme="minorEastAsia" w:hAnsiTheme="minorHAnsi" w:cstheme="minorBidi"/>
      <w:sz w:val="21"/>
      <w:szCs w:val="21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595959" w:themeColor="text1" w:themeTint="A6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  <w:color w:val="auto"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auto"/>
      <w:spacing w:val="0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  <w:spacing w:val="0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D0C4864-6DA6-4DBF-87D2-C1D41352C02E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2736</Words>
  <Characters>14776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Jose e Silvia Dias</cp:lastModifiedBy>
  <cp:revision>2</cp:revision>
  <dcterms:created xsi:type="dcterms:W3CDTF">2023-04-30T15:32:00Z</dcterms:created>
  <dcterms:modified xsi:type="dcterms:W3CDTF">2023-04-30T15:32:00Z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KSOProductBuildVer">
    <vt:lpwstr>1046-11.2.0.11537</vt:lpwstr>
  </property>
  <property fmtid="{D5CDD505-2E9C-101B-9397-08002B2CF9AE}" pid="23" name="ICV">
    <vt:lpwstr>8A62EA51818C4D05880C177B38BA4B6C</vt:lpwstr>
  </property>
</Properties>
</file>