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1324517"/>
    <w:bookmarkStart w:id="1" w:name="_Hlk1324670"/>
    <w:p w14:paraId="00A26CEE" w14:textId="4B25CA65" w:rsidR="00AF0400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D250BF" id="Retângulo 3" o:spid="_x0000_s1026" style="position:absolute;left:0;text-align:left;margin-left:0;margin-top:0;width:512.4pt;height:13.2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0D20D3" w14:textId="1B0D9BE5" w:rsidR="00EA4E1B" w:rsidRDefault="00593371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>
        <w:rPr>
          <w:sz w:val="32"/>
          <w:lang w:val="pt-BR"/>
        </w:rPr>
        <w:t xml:space="preserve">Síntese e </w:t>
      </w:r>
      <w:r w:rsidR="000C4F89">
        <w:rPr>
          <w:sz w:val="32"/>
          <w:lang w:val="pt-BR"/>
        </w:rPr>
        <w:t>caracterização</w:t>
      </w:r>
      <w:r>
        <w:rPr>
          <w:sz w:val="32"/>
          <w:lang w:val="pt-BR"/>
        </w:rPr>
        <w:t xml:space="preserve"> de catalisadores Pt-WO</w:t>
      </w:r>
      <w:r w:rsidRPr="00593371">
        <w:rPr>
          <w:sz w:val="32"/>
          <w:vertAlign w:val="subscript"/>
          <w:lang w:val="pt-BR"/>
        </w:rPr>
        <w:t>3</w:t>
      </w:r>
      <w:r>
        <w:rPr>
          <w:sz w:val="32"/>
          <w:lang w:val="pt-BR"/>
        </w:rPr>
        <w:t xml:space="preserve"> suportados em montmorilonita para </w:t>
      </w:r>
      <w:r w:rsidR="00994385">
        <w:rPr>
          <w:sz w:val="32"/>
          <w:lang w:val="pt-BR"/>
        </w:rPr>
        <w:t xml:space="preserve">a </w:t>
      </w:r>
      <w:r>
        <w:rPr>
          <w:sz w:val="32"/>
          <w:lang w:val="pt-BR"/>
        </w:rPr>
        <w:t>reação de hidrogenólise do glicerol</w:t>
      </w:r>
    </w:p>
    <w:p w14:paraId="14A4A55F" w14:textId="77777777" w:rsidR="00593371" w:rsidRDefault="00593371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</w:p>
    <w:p w14:paraId="18735493" w14:textId="40B049BF" w:rsidR="00EA4E1B" w:rsidRPr="009F50DE" w:rsidRDefault="00593371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>
        <w:rPr>
          <w:rFonts w:ascii="Times New Roman" w:hAnsi="Times New Roman"/>
          <w:sz w:val="20"/>
          <w:lang w:val="pt-BR"/>
        </w:rPr>
        <w:t>Kimberly Paim Abeyta</w:t>
      </w:r>
      <w:r w:rsidR="00EA4E1B" w:rsidRPr="001F25B2">
        <w:rPr>
          <w:rFonts w:ascii="Times New Roman" w:hAnsi="Times New Roman"/>
          <w:sz w:val="20"/>
          <w:vertAlign w:val="superscript"/>
          <w:lang w:val="pt-BR"/>
        </w:rPr>
        <w:t>1</w:t>
      </w:r>
      <w:r>
        <w:rPr>
          <w:rFonts w:ascii="Times New Roman" w:hAnsi="Times New Roman"/>
          <w:sz w:val="20"/>
          <w:vertAlign w:val="superscript"/>
          <w:lang w:val="pt-BR"/>
        </w:rPr>
        <w:t>*</w:t>
      </w:r>
      <w:r w:rsidRPr="00593371">
        <w:rPr>
          <w:rFonts w:ascii="Times New Roman" w:hAnsi="Times New Roman"/>
          <w:sz w:val="20"/>
          <w:lang w:val="pt-BR"/>
        </w:rPr>
        <w:t>, Maria Luiza Andrade d</w:t>
      </w:r>
      <w:r w:rsidR="00E04531">
        <w:rPr>
          <w:rFonts w:ascii="Times New Roman" w:hAnsi="Times New Roman"/>
          <w:sz w:val="20"/>
          <w:lang w:val="pt-BR"/>
        </w:rPr>
        <w:t>a</w:t>
      </w:r>
      <w:r w:rsidRPr="00593371">
        <w:rPr>
          <w:rFonts w:ascii="Times New Roman" w:hAnsi="Times New Roman"/>
          <w:sz w:val="20"/>
          <w:lang w:val="pt-BR"/>
        </w:rPr>
        <w:t xml:space="preserve"> Silva</w:t>
      </w:r>
      <w:r w:rsidR="004C3F4A">
        <w:rPr>
          <w:rFonts w:ascii="Times New Roman" w:hAnsi="Times New Roman"/>
          <w:sz w:val="20"/>
          <w:vertAlign w:val="superscript"/>
          <w:lang w:val="pt-BR"/>
        </w:rPr>
        <w:t>2</w:t>
      </w:r>
      <w:r w:rsidRPr="00593371">
        <w:rPr>
          <w:rFonts w:ascii="Times New Roman" w:hAnsi="Times New Roman"/>
          <w:sz w:val="20"/>
          <w:lang w:val="pt-BR"/>
        </w:rPr>
        <w:t>, Caio Luis Santos Silva</w:t>
      </w:r>
      <w:r w:rsidR="004C3F4A">
        <w:rPr>
          <w:rFonts w:ascii="Times New Roman" w:hAnsi="Times New Roman"/>
          <w:sz w:val="20"/>
          <w:vertAlign w:val="superscript"/>
          <w:lang w:val="pt-BR"/>
        </w:rPr>
        <w:t>2</w:t>
      </w:r>
      <w:r w:rsidRPr="00593371">
        <w:rPr>
          <w:rFonts w:ascii="Times New Roman" w:hAnsi="Times New Roman"/>
          <w:sz w:val="20"/>
          <w:lang w:val="pt-BR"/>
        </w:rPr>
        <w:t>, Luiz Antônio Magalhães Pontes</w:t>
      </w:r>
      <w:r w:rsidRPr="00593371">
        <w:rPr>
          <w:rFonts w:ascii="Times New Roman" w:hAnsi="Times New Roman"/>
          <w:sz w:val="20"/>
          <w:vertAlign w:val="superscript"/>
          <w:lang w:val="pt-BR"/>
        </w:rPr>
        <w:t>1</w:t>
      </w:r>
      <w:r w:rsidR="009F50DE" w:rsidRPr="00770D68">
        <w:rPr>
          <w:rFonts w:ascii="Times New Roman" w:hAnsi="Times New Roman"/>
          <w:sz w:val="20"/>
          <w:lang w:val="pt-BR"/>
        </w:rPr>
        <w:t>,</w:t>
      </w:r>
      <w:r w:rsidR="009F50DE" w:rsidRPr="00994385">
        <w:rPr>
          <w:lang w:val="pt-BR"/>
        </w:rPr>
        <w:t xml:space="preserve"> </w:t>
      </w:r>
      <w:r w:rsidR="009F50DE" w:rsidRPr="00770D68">
        <w:rPr>
          <w:rFonts w:ascii="Times New Roman" w:hAnsi="Times New Roman"/>
          <w:sz w:val="20"/>
          <w:lang w:val="pt-BR"/>
        </w:rPr>
        <w:t>Leonardo Sena Gomes Teixeir</w:t>
      </w:r>
      <w:r w:rsidR="009F50DE">
        <w:rPr>
          <w:rFonts w:ascii="Times New Roman" w:hAnsi="Times New Roman"/>
          <w:sz w:val="20"/>
          <w:lang w:val="pt-BR"/>
        </w:rPr>
        <w:t>a</w:t>
      </w:r>
      <w:r w:rsidR="009F50DE" w:rsidRPr="00770D68">
        <w:rPr>
          <w:rFonts w:ascii="Times New Roman" w:hAnsi="Times New Roman"/>
          <w:sz w:val="20"/>
          <w:vertAlign w:val="superscript"/>
          <w:lang w:val="pt-BR"/>
        </w:rPr>
        <w:t>1</w:t>
      </w:r>
      <w:r w:rsidR="008E3A41">
        <w:rPr>
          <w:rFonts w:ascii="Times New Roman" w:hAnsi="Times New Roman"/>
          <w:sz w:val="20"/>
          <w:vertAlign w:val="superscript"/>
          <w:lang w:val="pt-BR"/>
        </w:rPr>
        <w:t>,2</w:t>
      </w:r>
    </w:p>
    <w:p w14:paraId="4E1A9B49" w14:textId="77777777" w:rsidR="00994385" w:rsidRDefault="00994385" w:rsidP="00994385">
      <w:pPr>
        <w:pStyle w:val="BCAuthorAddress"/>
        <w:spacing w:after="0"/>
        <w:ind w:right="0"/>
        <w:jc w:val="both"/>
        <w:rPr>
          <w:lang w:val="pt-BR"/>
        </w:rPr>
      </w:pPr>
      <w:r>
        <w:rPr>
          <w:vertAlign w:val="superscript"/>
          <w:lang w:val="pt-BR"/>
        </w:rPr>
        <w:t xml:space="preserve">1 </w:t>
      </w:r>
      <w:r w:rsidRPr="00593371">
        <w:rPr>
          <w:lang w:val="pt-BR"/>
        </w:rPr>
        <w:t xml:space="preserve">Universidade Federal da Bahia </w:t>
      </w:r>
      <w:r>
        <w:rPr>
          <w:lang w:val="pt-BR"/>
        </w:rPr>
        <w:t>–</w:t>
      </w:r>
      <w:r w:rsidRPr="00593371">
        <w:rPr>
          <w:lang w:val="pt-BR"/>
        </w:rPr>
        <w:t xml:space="preserve"> UFBA</w:t>
      </w:r>
      <w:r>
        <w:rPr>
          <w:lang w:val="pt-BR"/>
        </w:rPr>
        <w:t xml:space="preserve"> – Escola Politécnica, </w:t>
      </w:r>
      <w:r w:rsidRPr="00DA1FE4">
        <w:rPr>
          <w:lang w:val="pt-BR"/>
        </w:rPr>
        <w:t>Rua Prof. Aristides Novis</w:t>
      </w:r>
      <w:r>
        <w:rPr>
          <w:lang w:val="pt-BR"/>
        </w:rPr>
        <w:t>, n</w:t>
      </w:r>
      <w:r w:rsidRPr="00DA1FE4">
        <w:rPr>
          <w:lang w:val="pt-BR"/>
        </w:rPr>
        <w:t>º 02</w:t>
      </w:r>
      <w:r>
        <w:rPr>
          <w:lang w:val="pt-BR"/>
        </w:rPr>
        <w:t>,</w:t>
      </w:r>
      <w:r w:rsidRPr="00DA1FE4">
        <w:rPr>
          <w:lang w:val="pt-BR"/>
        </w:rPr>
        <w:t xml:space="preserve"> Federação, CEP: 40210-630</w:t>
      </w:r>
      <w:r>
        <w:rPr>
          <w:lang w:val="pt-BR"/>
        </w:rPr>
        <w:t xml:space="preserve"> </w:t>
      </w:r>
      <w:r w:rsidRPr="00DA1FE4">
        <w:rPr>
          <w:lang w:val="pt-BR"/>
        </w:rPr>
        <w:t xml:space="preserve">Salvador - </w:t>
      </w:r>
      <w:r>
        <w:rPr>
          <w:lang w:val="pt-BR"/>
        </w:rPr>
        <w:t>BA</w:t>
      </w:r>
      <w:r w:rsidRPr="00DA1FE4">
        <w:rPr>
          <w:lang w:val="pt-BR"/>
        </w:rPr>
        <w:t xml:space="preserve"> </w:t>
      </w:r>
      <w:r>
        <w:rPr>
          <w:lang w:val="pt-BR"/>
        </w:rPr>
        <w:t>-</w:t>
      </w:r>
      <w:r w:rsidRPr="00DA1FE4">
        <w:rPr>
          <w:lang w:val="pt-BR"/>
        </w:rPr>
        <w:t xml:space="preserve"> Brasil</w:t>
      </w:r>
    </w:p>
    <w:p w14:paraId="6DC422A6" w14:textId="77777777" w:rsidR="00994385" w:rsidRPr="004C3F4A" w:rsidRDefault="00994385" w:rsidP="00994385">
      <w:pPr>
        <w:pStyle w:val="BCAuthorAddress"/>
        <w:spacing w:after="0"/>
        <w:ind w:right="0"/>
        <w:jc w:val="both"/>
        <w:rPr>
          <w:lang w:val="pt-BR"/>
        </w:rPr>
      </w:pPr>
      <w:r>
        <w:rPr>
          <w:lang w:val="pt-BR"/>
        </w:rPr>
        <w:t xml:space="preserve"> </w:t>
      </w:r>
      <w:r>
        <w:rPr>
          <w:vertAlign w:val="superscript"/>
          <w:lang w:val="pt-BR"/>
        </w:rPr>
        <w:t xml:space="preserve">2 </w:t>
      </w:r>
      <w:r w:rsidRPr="00593371">
        <w:rPr>
          <w:lang w:val="pt-BR"/>
        </w:rPr>
        <w:t xml:space="preserve">Universidade Federal da Bahia </w:t>
      </w:r>
      <w:r>
        <w:rPr>
          <w:lang w:val="pt-BR"/>
        </w:rPr>
        <w:t>–</w:t>
      </w:r>
      <w:r w:rsidRPr="00593371">
        <w:rPr>
          <w:lang w:val="pt-BR"/>
        </w:rPr>
        <w:t xml:space="preserve"> UFBA</w:t>
      </w:r>
      <w:r>
        <w:rPr>
          <w:lang w:val="pt-BR"/>
        </w:rPr>
        <w:t xml:space="preserve"> – Instituto de Química, </w:t>
      </w:r>
      <w:r w:rsidRPr="00155AA2">
        <w:rPr>
          <w:lang w:val="pt-BR"/>
        </w:rPr>
        <w:t xml:space="preserve">Rua Barão de Jeremoabo, </w:t>
      </w:r>
      <w:r>
        <w:rPr>
          <w:lang w:val="pt-BR"/>
        </w:rPr>
        <w:t>n</w:t>
      </w:r>
      <w:r w:rsidRPr="00DA1FE4">
        <w:rPr>
          <w:lang w:val="pt-BR"/>
        </w:rPr>
        <w:t>º</w:t>
      </w:r>
      <w:r w:rsidRPr="00155AA2">
        <w:rPr>
          <w:lang w:val="pt-BR"/>
        </w:rPr>
        <w:t xml:space="preserve"> 147</w:t>
      </w:r>
      <w:r>
        <w:rPr>
          <w:lang w:val="pt-BR"/>
        </w:rPr>
        <w:t>, Ondina,</w:t>
      </w:r>
      <w:r w:rsidRPr="00155AA2">
        <w:rPr>
          <w:lang w:val="pt-BR"/>
        </w:rPr>
        <w:t xml:space="preserve"> CEP: 40.170-115, Salvador - BA - Brasil</w:t>
      </w:r>
    </w:p>
    <w:p w14:paraId="2213F2C5" w14:textId="73663BDF" w:rsidR="00593371" w:rsidRPr="00593371" w:rsidRDefault="00593371" w:rsidP="00593371">
      <w:pPr>
        <w:rPr>
          <w:rFonts w:ascii="Times" w:eastAsia="Times New Roman" w:hAnsi="Times" w:cs="Times New Roman"/>
          <w:i/>
          <w:sz w:val="20"/>
          <w:szCs w:val="20"/>
          <w:lang w:eastAsia="pt-BR"/>
        </w:rPr>
      </w:pPr>
      <w:r w:rsidRPr="00593371">
        <w:rPr>
          <w:rFonts w:ascii="Times" w:eastAsia="Times New Roman" w:hAnsi="Times" w:cs="Times New Roman"/>
          <w:i/>
          <w:sz w:val="20"/>
          <w:szCs w:val="20"/>
          <w:lang w:eastAsia="pt-BR"/>
        </w:rPr>
        <w:t>*kimberlypaim@hotmail.com</w:t>
      </w:r>
    </w:p>
    <w:bookmarkEnd w:id="0"/>
    <w:p w14:paraId="238E7EC1" w14:textId="5D4AB3B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596F111" wp14:editId="08A165F8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0F07B3" w14:textId="0B074C69" w:rsidR="008C1B30" w:rsidRPr="008C1B30" w:rsidRDefault="008C1B30" w:rsidP="008C1B30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  <w:r w:rsidRPr="008C1B30"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  <w:t xml:space="preserve">Resumo/Abstract </w:t>
                            </w:r>
                          </w:p>
                          <w:p w14:paraId="7638102C" w14:textId="04A73240" w:rsidR="00AF0400" w:rsidRPr="008C1B30" w:rsidRDefault="00AF0400" w:rsidP="008C1B3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6F111" id="Retângulo 4" o:spid="_x0000_s1027" style="position:absolute;left:0;text-align:left;margin-left:461.2pt;margin-top:2.75pt;width:512.4pt;height:13.2pt;z-index:25165823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3D0F07B3" w14:textId="0B074C69" w:rsidR="008C1B30" w:rsidRPr="008C1B30" w:rsidRDefault="008C1B30" w:rsidP="008C1B30">
                      <w:pPr>
                        <w:pStyle w:val="BDAbstract"/>
                        <w:spacing w:before="0" w:after="0" w:line="240" w:lineRule="auto"/>
                        <w:jc w:val="center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  <w:r w:rsidRPr="008C1B30">
                        <w:rPr>
                          <w:rFonts w:cs="Helvetica"/>
                          <w:bCs/>
                          <w:sz w:val="20"/>
                          <w:lang w:val="pt-BR"/>
                        </w:rPr>
                        <w:t xml:space="preserve">Resumo/Abstract </w:t>
                      </w:r>
                    </w:p>
                    <w:p w14:paraId="7638102C" w14:textId="04A73240" w:rsidR="00AF0400" w:rsidRPr="008C1B30" w:rsidRDefault="00AF0400" w:rsidP="008C1B30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738EF898" w:rsidR="00AF0400" w:rsidRDefault="00AF0400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4E0927C" w14:textId="54DE5DE8" w:rsidR="00793294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>
        <w:rPr>
          <w:rFonts w:ascii="Times New Roman" w:hAnsi="Times New Roman"/>
          <w:b w:val="0"/>
          <w:sz w:val="20"/>
          <w:lang w:val="pt-BR"/>
        </w:rPr>
        <w:t>RESUMO -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O aumento da produção de </w:t>
      </w:r>
      <w:r w:rsidR="00994385">
        <w:rPr>
          <w:rFonts w:ascii="Times New Roman" w:hAnsi="Times New Roman"/>
          <w:b w:val="0"/>
          <w:sz w:val="20"/>
          <w:lang w:val="pt-BR"/>
        </w:rPr>
        <w:t>biodiesel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ao longo dos últimos anos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provocou 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a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desvalorização </w:t>
      </w:r>
      <w:r w:rsidR="00793294">
        <w:rPr>
          <w:rFonts w:ascii="Times New Roman" w:hAnsi="Times New Roman"/>
          <w:b w:val="0"/>
          <w:sz w:val="20"/>
          <w:lang w:val="pt-BR"/>
        </w:rPr>
        <w:t>d</w:t>
      </w:r>
      <w:r w:rsidR="00994385">
        <w:rPr>
          <w:rFonts w:ascii="Times New Roman" w:hAnsi="Times New Roman"/>
          <w:b w:val="0"/>
          <w:sz w:val="20"/>
          <w:lang w:val="pt-BR"/>
        </w:rPr>
        <w:t xml:space="preserve">o glicerol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devido à sua oferta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elevada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 no mercado mundial. </w:t>
      </w:r>
      <w:r w:rsidR="00793294">
        <w:rPr>
          <w:rFonts w:ascii="Times New Roman" w:hAnsi="Times New Roman"/>
          <w:b w:val="0"/>
          <w:sz w:val="20"/>
          <w:lang w:val="pt-BR"/>
        </w:rPr>
        <w:t>A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 utilização do glicerol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como matéria prima na geração de produtos de maior valor agregado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pode aumentar a economicidade da indústria de biocombustíveis</w:t>
      </w:r>
      <w:r w:rsidR="00793294">
        <w:rPr>
          <w:rFonts w:ascii="Times New Roman" w:hAnsi="Times New Roman"/>
          <w:b w:val="0"/>
          <w:sz w:val="20"/>
          <w:lang w:val="pt-BR"/>
        </w:rPr>
        <w:t>, da qual ele é gerado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. Diversas soluções estão sendo estudadas com esse propósito, dentre elas a hidrogenólise catalítica mostrou-se uma alternativa promissora para síntese do 1,3-propanodiol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(1,3-PDO)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, um álcool com duas hidroxilas terminais muito utilizado em reações de polimerização, particularmente na produção do tereftalato de </w:t>
      </w:r>
      <w:proofErr w:type="spellStart"/>
      <w:r w:rsidR="00793294" w:rsidRPr="00793294">
        <w:rPr>
          <w:rFonts w:ascii="Times New Roman" w:hAnsi="Times New Roman"/>
          <w:b w:val="0"/>
          <w:sz w:val="20"/>
          <w:lang w:val="pt-BR"/>
        </w:rPr>
        <w:t>politrimetileno</w:t>
      </w:r>
      <w:proofErr w:type="spellEnd"/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 e do poliuretano. Sendo assim, esse trabalho tem por objetivo </w:t>
      </w:r>
      <w:r w:rsidR="0079562B">
        <w:rPr>
          <w:rFonts w:ascii="Times New Roman" w:hAnsi="Times New Roman"/>
          <w:b w:val="0"/>
          <w:sz w:val="20"/>
          <w:lang w:val="pt-BR"/>
        </w:rPr>
        <w:t>desenvolver catalisador</w:t>
      </w:r>
      <w:r w:rsidR="00994385">
        <w:rPr>
          <w:rFonts w:ascii="Times New Roman" w:hAnsi="Times New Roman"/>
          <w:b w:val="0"/>
          <w:sz w:val="20"/>
          <w:lang w:val="pt-BR"/>
        </w:rPr>
        <w:t>es</w:t>
      </w:r>
      <w:r w:rsidR="0079562B">
        <w:rPr>
          <w:rFonts w:ascii="Times New Roman" w:hAnsi="Times New Roman"/>
          <w:b w:val="0"/>
          <w:sz w:val="20"/>
          <w:lang w:val="pt-BR"/>
        </w:rPr>
        <w:t xml:space="preserve"> com propriedades favoráveis </w:t>
      </w:r>
      <w:r w:rsidR="00994385">
        <w:rPr>
          <w:rFonts w:ascii="Times New Roman" w:hAnsi="Times New Roman"/>
          <w:b w:val="0"/>
          <w:sz w:val="20"/>
          <w:lang w:val="pt-BR"/>
        </w:rPr>
        <w:t>destinados à</w:t>
      </w:r>
      <w:r w:rsidR="0079562B">
        <w:rPr>
          <w:rFonts w:ascii="Times New Roman" w:hAnsi="Times New Roman"/>
          <w:b w:val="0"/>
          <w:sz w:val="20"/>
          <w:lang w:val="pt-BR"/>
        </w:rPr>
        <w:t xml:space="preserve"> hidrogenólise seletiva do glicerol para a formação do 1,3-PDO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.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Nesse trabalho,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u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ma argila do tipo montmorilonita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foi impregnada com </w:t>
      </w:r>
      <w:proofErr w:type="spellStart"/>
      <w:r w:rsidR="00793294" w:rsidRPr="00793294">
        <w:rPr>
          <w:rFonts w:ascii="Times New Roman" w:hAnsi="Times New Roman"/>
          <w:b w:val="0"/>
          <w:sz w:val="20"/>
          <w:lang w:val="pt-BR"/>
        </w:rPr>
        <w:t>Pt</w:t>
      </w:r>
      <w:proofErr w:type="spellEnd"/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, no teor mássico de 2 </w:t>
      </w:r>
      <w:proofErr w:type="spellStart"/>
      <w:r w:rsidR="00793294" w:rsidRPr="00793294">
        <w:rPr>
          <w:rFonts w:ascii="Times New Roman" w:hAnsi="Times New Roman"/>
          <w:b w:val="0"/>
          <w:sz w:val="20"/>
          <w:lang w:val="pt-BR"/>
        </w:rPr>
        <w:t>wt</w:t>
      </w:r>
      <w:proofErr w:type="spellEnd"/>
      <w:r w:rsidR="00793294" w:rsidRPr="00793294">
        <w:rPr>
          <w:rFonts w:ascii="Times New Roman" w:hAnsi="Times New Roman"/>
          <w:b w:val="0"/>
          <w:sz w:val="20"/>
          <w:lang w:val="pt-BR"/>
        </w:rPr>
        <w:t>% e WO</w:t>
      </w:r>
      <w:r w:rsidR="00793294" w:rsidRPr="00793294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 com 0, 5, 10 e 15 </w:t>
      </w:r>
      <w:proofErr w:type="spellStart"/>
      <w:r w:rsidR="00793294" w:rsidRPr="00793294">
        <w:rPr>
          <w:rFonts w:ascii="Times New Roman" w:hAnsi="Times New Roman"/>
          <w:b w:val="0"/>
          <w:sz w:val="20"/>
          <w:lang w:val="pt-BR"/>
        </w:rPr>
        <w:t>wt</w:t>
      </w:r>
      <w:proofErr w:type="spellEnd"/>
      <w:r w:rsidR="00793294">
        <w:rPr>
          <w:rFonts w:ascii="Times New Roman" w:hAnsi="Times New Roman"/>
          <w:b w:val="0"/>
          <w:sz w:val="20"/>
          <w:lang w:val="pt-BR"/>
        </w:rPr>
        <w:t>%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. Os materiais sintetizados apresentaram estrutura micro e </w:t>
      </w:r>
      <w:proofErr w:type="spellStart"/>
      <w:r w:rsidR="00793294" w:rsidRPr="00793294">
        <w:rPr>
          <w:rFonts w:ascii="Times New Roman" w:hAnsi="Times New Roman"/>
          <w:b w:val="0"/>
          <w:sz w:val="20"/>
          <w:lang w:val="pt-BR"/>
        </w:rPr>
        <w:t>mesoporosa</w:t>
      </w:r>
      <w:proofErr w:type="spellEnd"/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 de agregado de placas e poros tipo fenda, característico de argilas com camadas desagregadas. A adição de platina e tungstênio não alteraram essa estrutura, formando apenas sítios </w:t>
      </w:r>
      <w:r w:rsidR="00793294">
        <w:rPr>
          <w:rFonts w:ascii="Times New Roman" w:hAnsi="Times New Roman"/>
          <w:b w:val="0"/>
          <w:sz w:val="20"/>
          <w:lang w:val="pt-BR"/>
        </w:rPr>
        <w:t xml:space="preserve">ativos 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>de platina e uma mistura de WO</w:t>
      </w:r>
      <w:r w:rsidR="00793294" w:rsidRPr="00793294">
        <w:rPr>
          <w:rFonts w:ascii="Times New Roman" w:hAnsi="Times New Roman"/>
          <w:b w:val="0"/>
          <w:sz w:val="20"/>
          <w:vertAlign w:val="subscript"/>
          <w:lang w:val="pt-BR"/>
        </w:rPr>
        <w:t>3</w:t>
      </w:r>
      <w:r w:rsidR="00793294" w:rsidRPr="00793294">
        <w:rPr>
          <w:rFonts w:ascii="Times New Roman" w:hAnsi="Times New Roman"/>
          <w:b w:val="0"/>
          <w:sz w:val="20"/>
          <w:lang w:val="pt-BR"/>
        </w:rPr>
        <w:t xml:space="preserve"> cristalino e espécies amorfas de mono e </w:t>
      </w:r>
      <w:proofErr w:type="spellStart"/>
      <w:r w:rsidR="00793294" w:rsidRPr="00793294">
        <w:rPr>
          <w:rFonts w:ascii="Times New Roman" w:hAnsi="Times New Roman"/>
          <w:b w:val="0"/>
          <w:sz w:val="20"/>
          <w:lang w:val="pt-BR"/>
        </w:rPr>
        <w:t>politungstato</w:t>
      </w:r>
      <w:proofErr w:type="spellEnd"/>
      <w:r w:rsidR="00793294">
        <w:rPr>
          <w:rFonts w:ascii="Times New Roman" w:hAnsi="Times New Roman"/>
          <w:b w:val="0"/>
          <w:sz w:val="20"/>
          <w:lang w:val="pt-BR"/>
        </w:rPr>
        <w:t xml:space="preserve"> promissoras na hidrogenólise do glicerol e seletividade a 1,3-PDO.</w:t>
      </w:r>
    </w:p>
    <w:p w14:paraId="09B41B70" w14:textId="69C74733" w:rsidR="00EA4E1B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870522">
        <w:rPr>
          <w:rFonts w:ascii="Times New Roman" w:hAnsi="Times New Roman"/>
          <w:b w:val="0"/>
          <w:i/>
          <w:sz w:val="20"/>
          <w:lang w:val="pt-BR"/>
        </w:rPr>
        <w:t>Palavras-chave</w:t>
      </w:r>
      <w:r w:rsidR="00793294">
        <w:rPr>
          <w:rFonts w:ascii="Times New Roman" w:hAnsi="Times New Roman"/>
          <w:b w:val="0"/>
          <w:i/>
          <w:sz w:val="20"/>
          <w:lang w:val="pt-BR"/>
        </w:rPr>
        <w:t>: glicerol, hidrogenólise, 1,3-propanodiol, montmorilonita</w:t>
      </w:r>
    </w:p>
    <w:p w14:paraId="5D8D4445" w14:textId="11D77547" w:rsidR="00EA4E1B" w:rsidRPr="00DA4DFC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</w:p>
    <w:p w14:paraId="0F80E7D5" w14:textId="5945195D" w:rsidR="00EA4E1B" w:rsidRPr="00994385" w:rsidRDefault="00EA4E1B" w:rsidP="00EA4E1B">
      <w:pPr>
        <w:pStyle w:val="BDAbstract"/>
        <w:spacing w:before="0" w:after="0" w:line="240" w:lineRule="auto"/>
        <w:rPr>
          <w:rFonts w:ascii="Times New Roman" w:hAnsi="Times New Roman"/>
          <w:b w:val="0"/>
          <w:sz w:val="20"/>
        </w:rPr>
      </w:pPr>
      <w:r w:rsidRPr="00994385">
        <w:rPr>
          <w:rFonts w:ascii="Times New Roman" w:hAnsi="Times New Roman"/>
          <w:b w:val="0"/>
          <w:sz w:val="20"/>
        </w:rPr>
        <w:t xml:space="preserve">ABSTRACT - </w:t>
      </w:r>
      <w:r w:rsidR="00793294" w:rsidRPr="00994385">
        <w:rPr>
          <w:rFonts w:ascii="Times New Roman" w:hAnsi="Times New Roman"/>
          <w:b w:val="0"/>
          <w:sz w:val="20"/>
        </w:rPr>
        <w:t xml:space="preserve">The increase in </w:t>
      </w:r>
      <w:r w:rsidR="00994385">
        <w:rPr>
          <w:rFonts w:ascii="Times New Roman" w:hAnsi="Times New Roman"/>
          <w:b w:val="0"/>
          <w:sz w:val="20"/>
        </w:rPr>
        <w:t>biodiesel</w:t>
      </w:r>
      <w:r w:rsidR="00793294" w:rsidRPr="00994385">
        <w:rPr>
          <w:rFonts w:ascii="Times New Roman" w:hAnsi="Times New Roman"/>
          <w:b w:val="0"/>
          <w:sz w:val="20"/>
        </w:rPr>
        <w:t xml:space="preserve"> production over the last few years led to a </w:t>
      </w:r>
      <w:r w:rsidR="00994385">
        <w:rPr>
          <w:rFonts w:ascii="Times New Roman" w:hAnsi="Times New Roman"/>
          <w:b w:val="0"/>
          <w:sz w:val="20"/>
        </w:rPr>
        <w:t xml:space="preserve">glycerol </w:t>
      </w:r>
      <w:r w:rsidR="00793294" w:rsidRPr="00994385">
        <w:rPr>
          <w:rFonts w:ascii="Times New Roman" w:hAnsi="Times New Roman"/>
          <w:b w:val="0"/>
          <w:sz w:val="20"/>
        </w:rPr>
        <w:t xml:space="preserve">devaluation due to its high supply in the world market. The use of glycerol as raw material in the </w:t>
      </w:r>
      <w:r w:rsidR="005C2878" w:rsidRPr="00994385">
        <w:rPr>
          <w:rFonts w:ascii="Times New Roman" w:hAnsi="Times New Roman"/>
          <w:b w:val="0"/>
          <w:sz w:val="20"/>
        </w:rPr>
        <w:t>production</w:t>
      </w:r>
      <w:r w:rsidR="00793294" w:rsidRPr="00994385">
        <w:rPr>
          <w:rFonts w:ascii="Times New Roman" w:hAnsi="Times New Roman"/>
          <w:b w:val="0"/>
          <w:sz w:val="20"/>
        </w:rPr>
        <w:t xml:space="preserve"> of higher </w:t>
      </w:r>
      <w:r w:rsidR="00994385">
        <w:rPr>
          <w:rFonts w:ascii="Times New Roman" w:hAnsi="Times New Roman"/>
          <w:b w:val="0"/>
          <w:sz w:val="20"/>
        </w:rPr>
        <w:t>added-value</w:t>
      </w:r>
      <w:r w:rsidR="00793294" w:rsidRPr="00994385">
        <w:rPr>
          <w:rFonts w:ascii="Times New Roman" w:hAnsi="Times New Roman"/>
          <w:b w:val="0"/>
          <w:sz w:val="20"/>
        </w:rPr>
        <w:t xml:space="preserve"> products can increase the economy of the biofuel industry, from which </w:t>
      </w:r>
      <w:r w:rsidR="005C2878" w:rsidRPr="00994385">
        <w:rPr>
          <w:rFonts w:ascii="Times New Roman" w:hAnsi="Times New Roman"/>
          <w:b w:val="0"/>
          <w:sz w:val="20"/>
        </w:rPr>
        <w:t>glycerol</w:t>
      </w:r>
      <w:r w:rsidR="00793294" w:rsidRPr="00994385">
        <w:rPr>
          <w:rFonts w:ascii="Times New Roman" w:hAnsi="Times New Roman"/>
          <w:b w:val="0"/>
          <w:sz w:val="20"/>
        </w:rPr>
        <w:t xml:space="preserve"> is generated. Several solutions are being considered for this purpose, among them catalytic hydrogenolysis has shown to be a promising alternative for the synthesis of 1,3-propanediol (1,3-PDO), an alcohol with two terminal hydroxyls widely used in polymerization compounds, in the production of </w:t>
      </w:r>
      <w:proofErr w:type="spellStart"/>
      <w:r w:rsidR="00793294" w:rsidRPr="00994385">
        <w:rPr>
          <w:rFonts w:ascii="Times New Roman" w:hAnsi="Times New Roman"/>
          <w:b w:val="0"/>
          <w:sz w:val="20"/>
        </w:rPr>
        <w:t>polytrimethylene</w:t>
      </w:r>
      <w:proofErr w:type="spellEnd"/>
      <w:r w:rsidR="00793294" w:rsidRPr="00994385">
        <w:rPr>
          <w:rFonts w:ascii="Times New Roman" w:hAnsi="Times New Roman"/>
          <w:b w:val="0"/>
          <w:sz w:val="20"/>
        </w:rPr>
        <w:t xml:space="preserve"> terephthalate and polyurethane. </w:t>
      </w:r>
      <w:r w:rsidR="00994385" w:rsidRPr="00994385">
        <w:rPr>
          <w:rFonts w:ascii="Times New Roman" w:hAnsi="Times New Roman"/>
          <w:b w:val="0"/>
          <w:sz w:val="20"/>
        </w:rPr>
        <w:t xml:space="preserve">Therefore, this work </w:t>
      </w:r>
      <w:r w:rsidR="00994385">
        <w:rPr>
          <w:rFonts w:ascii="Times New Roman" w:hAnsi="Times New Roman"/>
          <w:b w:val="0"/>
          <w:sz w:val="20"/>
        </w:rPr>
        <w:t xml:space="preserve">aims </w:t>
      </w:r>
      <w:r w:rsidR="00994385" w:rsidRPr="00994385">
        <w:rPr>
          <w:rFonts w:ascii="Times New Roman" w:hAnsi="Times New Roman"/>
          <w:b w:val="0"/>
          <w:sz w:val="20"/>
        </w:rPr>
        <w:t xml:space="preserve">to develop catalysts with favorable properties for the selective hydrogenolysis of glycerol to </w:t>
      </w:r>
      <w:r w:rsidR="00994385">
        <w:rPr>
          <w:rFonts w:ascii="Times New Roman" w:hAnsi="Times New Roman"/>
          <w:b w:val="0"/>
          <w:sz w:val="20"/>
        </w:rPr>
        <w:t>produce</w:t>
      </w:r>
      <w:r w:rsidR="00994385" w:rsidRPr="00994385">
        <w:rPr>
          <w:rFonts w:ascii="Times New Roman" w:hAnsi="Times New Roman"/>
          <w:b w:val="0"/>
          <w:sz w:val="20"/>
        </w:rPr>
        <w:t xml:space="preserve"> 1,3-propanediol (1,3-PDO).</w:t>
      </w:r>
      <w:r w:rsidR="00793294" w:rsidRPr="00994385">
        <w:rPr>
          <w:rFonts w:ascii="Times New Roman" w:hAnsi="Times New Roman"/>
          <w:b w:val="0"/>
          <w:sz w:val="20"/>
        </w:rPr>
        <w:t xml:space="preserve"> In this work, a clay </w:t>
      </w:r>
      <w:r w:rsidR="005C2878" w:rsidRPr="00994385">
        <w:rPr>
          <w:rFonts w:ascii="Times New Roman" w:hAnsi="Times New Roman"/>
          <w:b w:val="0"/>
          <w:sz w:val="20"/>
        </w:rPr>
        <w:t>(</w:t>
      </w:r>
      <w:r w:rsidR="00793294" w:rsidRPr="00994385">
        <w:rPr>
          <w:rFonts w:ascii="Times New Roman" w:hAnsi="Times New Roman"/>
          <w:b w:val="0"/>
          <w:sz w:val="20"/>
        </w:rPr>
        <w:t>montmorillonite</w:t>
      </w:r>
      <w:r w:rsidR="005C2878" w:rsidRPr="00994385">
        <w:rPr>
          <w:rFonts w:ascii="Times New Roman" w:hAnsi="Times New Roman"/>
          <w:b w:val="0"/>
          <w:sz w:val="20"/>
        </w:rPr>
        <w:t>)</w:t>
      </w:r>
      <w:r w:rsidR="00793294" w:rsidRPr="00994385">
        <w:rPr>
          <w:rFonts w:ascii="Times New Roman" w:hAnsi="Times New Roman"/>
          <w:b w:val="0"/>
          <w:sz w:val="20"/>
        </w:rPr>
        <w:t xml:space="preserve"> was impregnated with Pt, in the mass content of 2</w:t>
      </w:r>
      <w:r w:rsidR="005C2878" w:rsidRPr="00994385">
        <w:rPr>
          <w:rFonts w:ascii="Times New Roman" w:hAnsi="Times New Roman"/>
          <w:b w:val="0"/>
          <w:sz w:val="20"/>
        </w:rPr>
        <w:t xml:space="preserve"> </w:t>
      </w:r>
      <w:proofErr w:type="spellStart"/>
      <w:r w:rsidR="005C2878" w:rsidRPr="00994385">
        <w:rPr>
          <w:rFonts w:ascii="Times New Roman" w:hAnsi="Times New Roman"/>
          <w:b w:val="0"/>
          <w:sz w:val="20"/>
        </w:rPr>
        <w:t>wt</w:t>
      </w:r>
      <w:proofErr w:type="spellEnd"/>
      <w:r w:rsidR="00793294" w:rsidRPr="00994385">
        <w:rPr>
          <w:rFonts w:ascii="Times New Roman" w:hAnsi="Times New Roman"/>
          <w:b w:val="0"/>
          <w:sz w:val="20"/>
        </w:rPr>
        <w:t>% and WO</w:t>
      </w:r>
      <w:r w:rsidR="00793294" w:rsidRPr="00994385">
        <w:rPr>
          <w:rFonts w:ascii="Times New Roman" w:hAnsi="Times New Roman"/>
          <w:b w:val="0"/>
          <w:sz w:val="20"/>
          <w:vertAlign w:val="subscript"/>
        </w:rPr>
        <w:t>3</w:t>
      </w:r>
      <w:r w:rsidR="00793294" w:rsidRPr="00994385">
        <w:rPr>
          <w:rFonts w:ascii="Times New Roman" w:hAnsi="Times New Roman"/>
          <w:b w:val="0"/>
          <w:sz w:val="20"/>
        </w:rPr>
        <w:t xml:space="preserve"> 0, 5, 10 an</w:t>
      </w:r>
      <w:r w:rsidR="005C2878" w:rsidRPr="00994385">
        <w:rPr>
          <w:rFonts w:ascii="Times New Roman" w:hAnsi="Times New Roman"/>
          <w:b w:val="0"/>
          <w:sz w:val="20"/>
        </w:rPr>
        <w:t>d</w:t>
      </w:r>
      <w:r w:rsidR="00793294" w:rsidRPr="00994385">
        <w:rPr>
          <w:rFonts w:ascii="Times New Roman" w:hAnsi="Times New Roman"/>
          <w:b w:val="0"/>
          <w:sz w:val="20"/>
        </w:rPr>
        <w:t xml:space="preserve"> 15 </w:t>
      </w:r>
      <w:proofErr w:type="spellStart"/>
      <w:r w:rsidR="00793294" w:rsidRPr="00994385">
        <w:rPr>
          <w:rFonts w:ascii="Times New Roman" w:hAnsi="Times New Roman"/>
          <w:b w:val="0"/>
          <w:sz w:val="20"/>
        </w:rPr>
        <w:t>wt</w:t>
      </w:r>
      <w:proofErr w:type="spellEnd"/>
      <w:r w:rsidR="00793294" w:rsidRPr="00994385">
        <w:rPr>
          <w:rFonts w:ascii="Times New Roman" w:hAnsi="Times New Roman"/>
          <w:b w:val="0"/>
          <w:sz w:val="20"/>
        </w:rPr>
        <w:t xml:space="preserve">%. The synthesized materials showed a micro and mesoporous structure of plate aggregates and slit-like pores, characteristic of clays with disaggregated layers. The addition of platinum and tungsten did not change this structure, </w:t>
      </w:r>
      <w:r w:rsidR="005C2878" w:rsidRPr="00994385">
        <w:rPr>
          <w:rFonts w:ascii="Times New Roman" w:hAnsi="Times New Roman"/>
          <w:b w:val="0"/>
          <w:sz w:val="20"/>
        </w:rPr>
        <w:t>creating</w:t>
      </w:r>
      <w:r w:rsidR="00793294" w:rsidRPr="00994385">
        <w:rPr>
          <w:rFonts w:ascii="Times New Roman" w:hAnsi="Times New Roman"/>
          <w:b w:val="0"/>
          <w:sz w:val="20"/>
        </w:rPr>
        <w:t xml:space="preserve"> only platinum active sites and a mixture of crystalline WO</w:t>
      </w:r>
      <w:r w:rsidR="00793294" w:rsidRPr="00994385">
        <w:rPr>
          <w:rFonts w:ascii="Times New Roman" w:hAnsi="Times New Roman"/>
          <w:b w:val="0"/>
          <w:sz w:val="20"/>
          <w:vertAlign w:val="subscript"/>
        </w:rPr>
        <w:t>3</w:t>
      </w:r>
      <w:r w:rsidR="00793294" w:rsidRPr="00994385">
        <w:rPr>
          <w:rFonts w:ascii="Times New Roman" w:hAnsi="Times New Roman"/>
          <w:b w:val="0"/>
          <w:sz w:val="20"/>
        </w:rPr>
        <w:t xml:space="preserve"> and amorphous mono and </w:t>
      </w:r>
      <w:proofErr w:type="spellStart"/>
      <w:r w:rsidR="00793294" w:rsidRPr="00994385">
        <w:rPr>
          <w:rFonts w:ascii="Times New Roman" w:hAnsi="Times New Roman"/>
          <w:b w:val="0"/>
          <w:sz w:val="20"/>
        </w:rPr>
        <w:t>polytungstate</w:t>
      </w:r>
      <w:proofErr w:type="spellEnd"/>
      <w:r w:rsidR="005C2878" w:rsidRPr="00994385">
        <w:rPr>
          <w:rFonts w:ascii="Times New Roman" w:hAnsi="Times New Roman"/>
          <w:b w:val="0"/>
          <w:sz w:val="20"/>
        </w:rPr>
        <w:t xml:space="preserve"> species, very active </w:t>
      </w:r>
      <w:r w:rsidR="00793294" w:rsidRPr="00994385">
        <w:rPr>
          <w:rFonts w:ascii="Times New Roman" w:hAnsi="Times New Roman"/>
          <w:b w:val="0"/>
          <w:sz w:val="20"/>
        </w:rPr>
        <w:t>in the hydrogenolysis of glycerol and selectiv</w:t>
      </w:r>
      <w:r w:rsidR="005C2878" w:rsidRPr="00994385">
        <w:rPr>
          <w:rFonts w:ascii="Times New Roman" w:hAnsi="Times New Roman"/>
          <w:b w:val="0"/>
          <w:sz w:val="20"/>
        </w:rPr>
        <w:t>e</w:t>
      </w:r>
      <w:r w:rsidR="00793294" w:rsidRPr="00994385">
        <w:rPr>
          <w:rFonts w:ascii="Times New Roman" w:hAnsi="Times New Roman"/>
          <w:b w:val="0"/>
          <w:sz w:val="20"/>
        </w:rPr>
        <w:t xml:space="preserve"> to 1,3-PDO.</w:t>
      </w:r>
    </w:p>
    <w:p w14:paraId="5F4A84E8" w14:textId="320C574A" w:rsidR="00EA4E1B" w:rsidRPr="00994385" w:rsidRDefault="00EA4E1B" w:rsidP="00EA4E1B">
      <w:pPr>
        <w:pStyle w:val="BDAbstract"/>
        <w:spacing w:before="0" w:after="120" w:line="240" w:lineRule="auto"/>
        <w:rPr>
          <w:rFonts w:ascii="Times New Roman" w:hAnsi="Times New Roman"/>
          <w:b w:val="0"/>
          <w:i/>
          <w:sz w:val="20"/>
        </w:rPr>
      </w:pPr>
      <w:r w:rsidRPr="00994385">
        <w:rPr>
          <w:rFonts w:ascii="Times New Roman" w:hAnsi="Times New Roman"/>
          <w:b w:val="0"/>
          <w:i/>
          <w:sz w:val="20"/>
        </w:rPr>
        <w:t xml:space="preserve">Keywords: </w:t>
      </w:r>
      <w:r w:rsidR="00793294" w:rsidRPr="00994385">
        <w:rPr>
          <w:rFonts w:ascii="Times New Roman" w:hAnsi="Times New Roman"/>
          <w:b w:val="0"/>
          <w:i/>
          <w:sz w:val="20"/>
        </w:rPr>
        <w:t>glycerol, hydrogenolysis, 1,3-propanediol, montmorillonite</w:t>
      </w:r>
    </w:p>
    <w:bookmarkEnd w:id="1"/>
    <w:p w14:paraId="48D9B0C4" w14:textId="77777777" w:rsidR="00EA4E1B" w:rsidRPr="00994385" w:rsidRDefault="00EA4E1B" w:rsidP="00EA4E1B">
      <w:pPr>
        <w:rPr>
          <w:lang w:val="en-US"/>
        </w:rPr>
        <w:sectPr w:rsidR="00EA4E1B" w:rsidRPr="00994385" w:rsidSect="00EA4E1B">
          <w:headerReference w:type="default" r:id="rId8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625F2C0A" w14:textId="77777777" w:rsidR="00EA4E1B" w:rsidRPr="00994385" w:rsidRDefault="00EA4E1B" w:rsidP="00EA4E1B">
      <w:pPr>
        <w:pStyle w:val="Ttulo2"/>
        <w:spacing w:before="0"/>
        <w:rPr>
          <w:rFonts w:ascii="Helvetica" w:hAnsi="Helvetica" w:cs="Helvetica"/>
          <w:sz w:val="24"/>
          <w:szCs w:val="24"/>
          <w:lang w:val="en-US"/>
        </w:rPr>
      </w:pPr>
      <w:proofErr w:type="spellStart"/>
      <w:r w:rsidRPr="00994385">
        <w:rPr>
          <w:rFonts w:ascii="Helvetica" w:hAnsi="Helvetica" w:cs="Helvetica"/>
          <w:sz w:val="24"/>
          <w:szCs w:val="24"/>
          <w:lang w:val="en-US"/>
        </w:rPr>
        <w:t>Introdução</w:t>
      </w:r>
      <w:proofErr w:type="spellEnd"/>
    </w:p>
    <w:p w14:paraId="591524D0" w14:textId="139C35EE" w:rsidR="00606EE3" w:rsidRDefault="00606EE3" w:rsidP="00EA4E1B">
      <w:pPr>
        <w:pStyle w:val="TAMainText"/>
        <w:rPr>
          <w:rFonts w:ascii="Times New Roman" w:hAnsi="Times New Roman"/>
          <w:lang w:val="pt-BR"/>
        </w:rPr>
      </w:pPr>
      <w:r w:rsidRPr="00606EE3">
        <w:rPr>
          <w:rFonts w:ascii="Times New Roman" w:hAnsi="Times New Roman"/>
          <w:lang w:val="pt-BR"/>
        </w:rPr>
        <w:t>O glicerol é o principal subproduto da transesterificação de óleos e gorduras. Estima-se que para cada 10 toneladas de biodiesel, 1 tonelada de glicerol é produzido no processo de transesterificação (</w:t>
      </w:r>
      <w:r w:rsidR="001A6E81">
        <w:rPr>
          <w:rFonts w:ascii="Times New Roman" w:hAnsi="Times New Roman"/>
          <w:lang w:val="pt-BR"/>
        </w:rPr>
        <w:t>1</w:t>
      </w:r>
      <w:r w:rsidRPr="00606EE3">
        <w:rPr>
          <w:rFonts w:ascii="Times New Roman" w:hAnsi="Times New Roman"/>
          <w:lang w:val="pt-BR"/>
        </w:rPr>
        <w:t>). Sua elevada oferta no mercado e consequente valor agregado reduzido dificultam o estoque e descarte do produto bruto, ocasionando contaminação e danos ambientais (</w:t>
      </w:r>
      <w:r w:rsidR="001A6E81">
        <w:rPr>
          <w:rFonts w:ascii="Times New Roman" w:hAnsi="Times New Roman"/>
          <w:lang w:val="pt-BR"/>
        </w:rPr>
        <w:t>2</w:t>
      </w:r>
      <w:r w:rsidRPr="00606EE3">
        <w:rPr>
          <w:rFonts w:ascii="Times New Roman" w:hAnsi="Times New Roman"/>
          <w:lang w:val="pt-BR"/>
        </w:rPr>
        <w:t xml:space="preserve">). Além disso, o baixo valor de mercado influencia negativamente na competitividade do biodiesel frente ao seu principal concorrente oriundo de combustível fóssil. Portanto, encontrar novos seguimentos para o glicerol </w:t>
      </w:r>
      <w:r w:rsidRPr="00606EE3">
        <w:rPr>
          <w:rFonts w:ascii="Times New Roman" w:hAnsi="Times New Roman"/>
          <w:lang w:val="pt-BR"/>
        </w:rPr>
        <w:t>é essencial para contornar seu problema de excedente e continuar a expansão no setor de recursos renováveis de maneira cada vez mais atrativa economicamente.</w:t>
      </w:r>
    </w:p>
    <w:p w14:paraId="0D16B81E" w14:textId="42A4F07D" w:rsidR="00606EE3" w:rsidRDefault="004647FC" w:rsidP="004647FC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Utilizar o glicerol como molécula plataforma é uma alternativa frente ao problema apresentado, possibilitando a geração de novos compostos de elevado valor agregado, como por exemplo o</w:t>
      </w:r>
      <w:r w:rsidR="00606EE3" w:rsidRPr="00606EE3">
        <w:rPr>
          <w:rFonts w:ascii="Times New Roman" w:hAnsi="Times New Roman"/>
          <w:lang w:val="pt-BR"/>
        </w:rPr>
        <w:t xml:space="preserve"> 1,3-propanodiol (1,3-PDO)</w:t>
      </w:r>
      <w:r>
        <w:rPr>
          <w:rFonts w:ascii="Times New Roman" w:hAnsi="Times New Roman"/>
          <w:lang w:val="pt-BR"/>
        </w:rPr>
        <w:t xml:space="preserve">. Essa molécula é </w:t>
      </w:r>
      <w:r w:rsidR="00606EE3" w:rsidRPr="00606EE3">
        <w:rPr>
          <w:rFonts w:ascii="Times New Roman" w:hAnsi="Times New Roman"/>
          <w:lang w:val="pt-BR"/>
        </w:rPr>
        <w:t>largamente utilizad</w:t>
      </w:r>
      <w:r>
        <w:rPr>
          <w:rFonts w:ascii="Times New Roman" w:hAnsi="Times New Roman"/>
          <w:lang w:val="pt-BR"/>
        </w:rPr>
        <w:t>a</w:t>
      </w:r>
      <w:r w:rsidR="00606EE3" w:rsidRPr="00606EE3">
        <w:rPr>
          <w:rFonts w:ascii="Times New Roman" w:hAnsi="Times New Roman"/>
          <w:lang w:val="pt-BR"/>
        </w:rPr>
        <w:t xml:space="preserve"> na produção de polímeros biodegradáveis como forma de substituir os de origem petroquímica, como por exemplo o </w:t>
      </w:r>
      <w:proofErr w:type="spellStart"/>
      <w:r w:rsidR="00606EE3" w:rsidRPr="00606EE3">
        <w:rPr>
          <w:rFonts w:ascii="Times New Roman" w:hAnsi="Times New Roman"/>
          <w:lang w:val="pt-BR"/>
        </w:rPr>
        <w:t>politrimetileno</w:t>
      </w:r>
      <w:proofErr w:type="spellEnd"/>
      <w:r w:rsidR="00606EE3" w:rsidRPr="00606EE3">
        <w:rPr>
          <w:rFonts w:ascii="Times New Roman" w:hAnsi="Times New Roman"/>
          <w:lang w:val="pt-BR"/>
        </w:rPr>
        <w:t xml:space="preserve"> tereftalato (PTT) e o polipropileno tereftalato (PPT), que são </w:t>
      </w:r>
      <w:r w:rsidR="00606EE3" w:rsidRPr="00606EE3">
        <w:rPr>
          <w:rFonts w:ascii="Times New Roman" w:hAnsi="Times New Roman"/>
          <w:lang w:val="pt-BR"/>
        </w:rPr>
        <w:lastRenderedPageBreak/>
        <w:t>matérias primas para obtenção de fibras biodegradáveis de poliéster, filmes e plásticos (</w:t>
      </w:r>
      <w:r w:rsidR="001A6E81">
        <w:rPr>
          <w:rFonts w:ascii="Times New Roman" w:hAnsi="Times New Roman"/>
          <w:lang w:val="pt-BR"/>
        </w:rPr>
        <w:t>2</w:t>
      </w:r>
      <w:r w:rsidR="00606EE3" w:rsidRPr="00606EE3">
        <w:rPr>
          <w:rFonts w:ascii="Times New Roman" w:hAnsi="Times New Roman"/>
          <w:lang w:val="pt-BR"/>
        </w:rPr>
        <w:t>). O 1,3-PDO ainda pode ser utilizado como solvente ou intermediário na indústria farmacêutica, alimentícia e têxtil e sua produção a partir de biomassa emite menos gases de efeito estufa e consome menos energia para a produção do que o oriundo do petróleo (</w:t>
      </w:r>
      <w:r w:rsidR="001A6E81">
        <w:rPr>
          <w:rFonts w:ascii="Times New Roman" w:hAnsi="Times New Roman"/>
          <w:lang w:val="pt-BR"/>
        </w:rPr>
        <w:t>3</w:t>
      </w:r>
      <w:r w:rsidR="00606EE3" w:rsidRPr="00606EE3">
        <w:rPr>
          <w:rFonts w:ascii="Times New Roman" w:hAnsi="Times New Roman"/>
          <w:lang w:val="pt-BR"/>
        </w:rPr>
        <w:t>). Atualmente esse monômero é obtido industrialmente por fermentação da glucose, no entanto essa transformação não apresenta alta eficiência e ainda têm um custo elevado de separação das enzimas utilizadas no processo (</w:t>
      </w:r>
      <w:r w:rsidR="001A7EB2">
        <w:rPr>
          <w:rFonts w:ascii="Times New Roman" w:hAnsi="Times New Roman"/>
          <w:lang w:val="pt-BR"/>
        </w:rPr>
        <w:t>1</w:t>
      </w:r>
      <w:r w:rsidR="00606EE3" w:rsidRPr="00606EE3">
        <w:rPr>
          <w:rFonts w:ascii="Times New Roman" w:hAnsi="Times New Roman"/>
          <w:lang w:val="pt-BR"/>
        </w:rPr>
        <w:t>).</w:t>
      </w:r>
    </w:p>
    <w:p w14:paraId="79225510" w14:textId="675F3445" w:rsidR="003B5757" w:rsidRDefault="00606EE3" w:rsidP="00EA4E1B">
      <w:pPr>
        <w:pStyle w:val="TAMainText"/>
        <w:rPr>
          <w:rFonts w:ascii="Times New Roman" w:hAnsi="Times New Roman"/>
          <w:lang w:val="pt-BR"/>
        </w:rPr>
      </w:pPr>
      <w:r w:rsidRPr="00606EE3">
        <w:rPr>
          <w:rFonts w:ascii="Times New Roman" w:hAnsi="Times New Roman"/>
          <w:lang w:val="pt-BR"/>
        </w:rPr>
        <w:t xml:space="preserve">Devido à complexidade no mecanismo de formação do 1,3-PDO, os catalisadores utilizados </w:t>
      </w:r>
      <w:r w:rsidR="0032567E">
        <w:rPr>
          <w:rFonts w:ascii="Times New Roman" w:hAnsi="Times New Roman"/>
          <w:lang w:val="pt-BR"/>
        </w:rPr>
        <w:t xml:space="preserve">na reação de hidrogenólise do glicerol </w:t>
      </w:r>
      <w:r w:rsidRPr="00606EE3">
        <w:rPr>
          <w:rFonts w:ascii="Times New Roman" w:hAnsi="Times New Roman"/>
          <w:lang w:val="pt-BR"/>
        </w:rPr>
        <w:t xml:space="preserve">são bifuncionais e apresentam normalmente um metal nobre como sítio promotor do hidrogênio e um óxido </w:t>
      </w:r>
      <w:proofErr w:type="spellStart"/>
      <w:r w:rsidRPr="00606EE3">
        <w:rPr>
          <w:rFonts w:ascii="Times New Roman" w:hAnsi="Times New Roman"/>
          <w:lang w:val="pt-BR"/>
        </w:rPr>
        <w:t>oxofílico</w:t>
      </w:r>
      <w:proofErr w:type="spellEnd"/>
      <w:r w:rsidRPr="00606EE3">
        <w:rPr>
          <w:rFonts w:ascii="Times New Roman" w:hAnsi="Times New Roman"/>
          <w:lang w:val="pt-BR"/>
        </w:rPr>
        <w:t xml:space="preserve"> como sítio ácido.</w:t>
      </w:r>
      <w:r w:rsidR="0032567E">
        <w:rPr>
          <w:rFonts w:ascii="Times New Roman" w:hAnsi="Times New Roman"/>
          <w:lang w:val="pt-BR"/>
        </w:rPr>
        <w:t xml:space="preserve"> Nessa reação, a interação do glicerol com os sítios ativos promove</w:t>
      </w:r>
      <w:r w:rsidR="00310694">
        <w:rPr>
          <w:rFonts w:ascii="Times New Roman" w:hAnsi="Times New Roman"/>
          <w:lang w:val="pt-BR"/>
        </w:rPr>
        <w:t xml:space="preserve"> a retirada da hidroxila central da molécula, formando o intermediário 3-hidroxipropaldeído (3HPA) que é hidrogenado para formação do propanodiol.</w:t>
      </w:r>
      <w:r w:rsidRPr="00606EE3">
        <w:rPr>
          <w:rFonts w:ascii="Times New Roman" w:hAnsi="Times New Roman"/>
          <w:lang w:val="pt-BR"/>
        </w:rPr>
        <w:t xml:space="preserve"> Na literatura, os catalisadores mais relevantes para essa finalidade são as combinações de Ir-</w:t>
      </w:r>
      <w:proofErr w:type="spellStart"/>
      <w:r w:rsidRPr="00606EE3">
        <w:rPr>
          <w:rFonts w:ascii="Times New Roman" w:hAnsi="Times New Roman"/>
          <w:lang w:val="pt-BR"/>
        </w:rPr>
        <w:t>ReO</w:t>
      </w:r>
      <w:r w:rsidRPr="00300489">
        <w:rPr>
          <w:rFonts w:ascii="Times New Roman" w:hAnsi="Times New Roman"/>
          <w:vertAlign w:val="subscript"/>
          <w:lang w:val="pt-BR"/>
        </w:rPr>
        <w:t>x</w:t>
      </w:r>
      <w:proofErr w:type="spellEnd"/>
      <w:r w:rsidRPr="00606EE3">
        <w:rPr>
          <w:rFonts w:ascii="Times New Roman" w:hAnsi="Times New Roman"/>
          <w:lang w:val="pt-BR"/>
        </w:rPr>
        <w:t xml:space="preserve"> (</w:t>
      </w:r>
      <w:r w:rsidR="00043BA9">
        <w:rPr>
          <w:rFonts w:ascii="Times New Roman" w:hAnsi="Times New Roman"/>
          <w:lang w:val="pt-BR"/>
        </w:rPr>
        <w:t>4</w:t>
      </w:r>
      <w:r w:rsidR="00F631AD">
        <w:rPr>
          <w:rFonts w:ascii="Times New Roman" w:hAnsi="Times New Roman"/>
          <w:lang w:val="pt-BR"/>
        </w:rPr>
        <w:t>-6</w:t>
      </w:r>
      <w:r w:rsidRPr="00606EE3">
        <w:rPr>
          <w:rFonts w:ascii="Times New Roman" w:hAnsi="Times New Roman"/>
          <w:lang w:val="pt-BR"/>
        </w:rPr>
        <w:t xml:space="preserve">) e </w:t>
      </w:r>
      <w:proofErr w:type="spellStart"/>
      <w:r w:rsidRPr="00606EE3">
        <w:rPr>
          <w:rFonts w:ascii="Times New Roman" w:hAnsi="Times New Roman"/>
          <w:lang w:val="pt-BR"/>
        </w:rPr>
        <w:t>Pt-WO</w:t>
      </w:r>
      <w:r w:rsidRPr="00300489">
        <w:rPr>
          <w:rFonts w:ascii="Times New Roman" w:hAnsi="Times New Roman"/>
          <w:vertAlign w:val="subscript"/>
          <w:lang w:val="pt-BR"/>
        </w:rPr>
        <w:t>x</w:t>
      </w:r>
      <w:proofErr w:type="spellEnd"/>
      <w:r w:rsidRPr="00606EE3">
        <w:rPr>
          <w:rFonts w:ascii="Times New Roman" w:hAnsi="Times New Roman"/>
          <w:lang w:val="pt-BR"/>
        </w:rPr>
        <w:t xml:space="preserve"> (</w:t>
      </w:r>
      <w:r w:rsidR="004E7B09">
        <w:rPr>
          <w:rFonts w:ascii="Times New Roman" w:hAnsi="Times New Roman"/>
          <w:lang w:val="pt-BR"/>
        </w:rPr>
        <w:t>7-9</w:t>
      </w:r>
      <w:r w:rsidRPr="00606EE3">
        <w:rPr>
          <w:rFonts w:ascii="Times New Roman" w:hAnsi="Times New Roman"/>
          <w:lang w:val="pt-BR"/>
        </w:rPr>
        <w:t xml:space="preserve">) devido à interação cooperativa favorável entre os dois centros ativos. Enquanto os metais Ir e </w:t>
      </w:r>
      <w:proofErr w:type="spellStart"/>
      <w:r w:rsidRPr="00606EE3">
        <w:rPr>
          <w:rFonts w:ascii="Times New Roman" w:hAnsi="Times New Roman"/>
          <w:lang w:val="pt-BR"/>
        </w:rPr>
        <w:t>Pt</w:t>
      </w:r>
      <w:proofErr w:type="spellEnd"/>
      <w:r w:rsidRPr="00606EE3">
        <w:rPr>
          <w:rFonts w:ascii="Times New Roman" w:hAnsi="Times New Roman"/>
          <w:lang w:val="pt-BR"/>
        </w:rPr>
        <w:t xml:space="preserve"> decompõem o hidrogênio, os sítios de ácidos de </w:t>
      </w:r>
      <w:proofErr w:type="spellStart"/>
      <w:r w:rsidRPr="00606EE3">
        <w:rPr>
          <w:rFonts w:ascii="Times New Roman" w:hAnsi="Times New Roman"/>
          <w:lang w:val="pt-BR"/>
        </w:rPr>
        <w:t>ReO</w:t>
      </w:r>
      <w:r w:rsidRPr="00300489">
        <w:rPr>
          <w:rFonts w:ascii="Times New Roman" w:hAnsi="Times New Roman"/>
          <w:vertAlign w:val="subscript"/>
          <w:lang w:val="pt-BR"/>
        </w:rPr>
        <w:t>x</w:t>
      </w:r>
      <w:proofErr w:type="spellEnd"/>
      <w:r w:rsidRPr="00606EE3">
        <w:rPr>
          <w:rFonts w:ascii="Times New Roman" w:hAnsi="Times New Roman"/>
          <w:lang w:val="pt-BR"/>
        </w:rPr>
        <w:t xml:space="preserve"> e </w:t>
      </w:r>
      <w:proofErr w:type="spellStart"/>
      <w:r w:rsidRPr="00606EE3">
        <w:rPr>
          <w:rFonts w:ascii="Times New Roman" w:hAnsi="Times New Roman"/>
          <w:lang w:val="pt-BR"/>
        </w:rPr>
        <w:t>WO</w:t>
      </w:r>
      <w:r w:rsidRPr="00300489">
        <w:rPr>
          <w:rFonts w:ascii="Times New Roman" w:hAnsi="Times New Roman"/>
          <w:vertAlign w:val="subscript"/>
          <w:lang w:val="pt-BR"/>
        </w:rPr>
        <w:t>x</w:t>
      </w:r>
      <w:proofErr w:type="spellEnd"/>
      <w:r w:rsidRPr="00606EE3">
        <w:rPr>
          <w:rFonts w:ascii="Times New Roman" w:hAnsi="Times New Roman"/>
          <w:lang w:val="pt-BR"/>
        </w:rPr>
        <w:t xml:space="preserve"> ligam-se fortemente à hidroxila terminal da molécula enquanto </w:t>
      </w:r>
      <w:proofErr w:type="spellStart"/>
      <w:r w:rsidRPr="00606EE3">
        <w:rPr>
          <w:rFonts w:ascii="Times New Roman" w:hAnsi="Times New Roman"/>
          <w:lang w:val="pt-BR"/>
        </w:rPr>
        <w:t>protonam</w:t>
      </w:r>
      <w:proofErr w:type="spellEnd"/>
      <w:r w:rsidRPr="00606EE3">
        <w:rPr>
          <w:rFonts w:ascii="Times New Roman" w:hAnsi="Times New Roman"/>
          <w:lang w:val="pt-BR"/>
        </w:rPr>
        <w:t xml:space="preserve"> a hidroxila secundária (</w:t>
      </w:r>
      <w:r w:rsidR="009B4ACB">
        <w:rPr>
          <w:rFonts w:ascii="Times New Roman" w:hAnsi="Times New Roman"/>
          <w:lang w:val="pt-BR"/>
        </w:rPr>
        <w:t>5).</w:t>
      </w:r>
      <w:r w:rsidRPr="00606EE3">
        <w:rPr>
          <w:rFonts w:ascii="Times New Roman" w:hAnsi="Times New Roman"/>
          <w:lang w:val="pt-BR"/>
        </w:rPr>
        <w:t xml:space="preserve">  </w:t>
      </w:r>
    </w:p>
    <w:p w14:paraId="21B8A78B" w14:textId="04F77B72" w:rsidR="003B5757" w:rsidRDefault="003B5757" w:rsidP="00EA4E1B">
      <w:pPr>
        <w:pStyle w:val="TAMainText"/>
        <w:rPr>
          <w:rFonts w:ascii="Times New Roman" w:hAnsi="Times New Roman"/>
          <w:lang w:val="pt-BR"/>
        </w:rPr>
      </w:pPr>
      <w:r w:rsidRPr="003B5757">
        <w:rPr>
          <w:rFonts w:ascii="Times New Roman" w:hAnsi="Times New Roman"/>
          <w:lang w:val="pt-BR"/>
        </w:rPr>
        <w:t>Um fator importante na conversão</w:t>
      </w:r>
      <w:r w:rsidR="00E2510B">
        <w:rPr>
          <w:rFonts w:ascii="Times New Roman" w:hAnsi="Times New Roman"/>
          <w:lang w:val="pt-BR"/>
        </w:rPr>
        <w:t xml:space="preserve"> do glicerol</w:t>
      </w:r>
      <w:r w:rsidR="00310694">
        <w:rPr>
          <w:rFonts w:ascii="Times New Roman" w:hAnsi="Times New Roman"/>
          <w:lang w:val="pt-BR"/>
        </w:rPr>
        <w:t xml:space="preserve"> </w:t>
      </w:r>
      <w:r w:rsidR="00E2510B">
        <w:rPr>
          <w:rFonts w:ascii="Times New Roman" w:hAnsi="Times New Roman"/>
          <w:lang w:val="pt-BR"/>
        </w:rPr>
        <w:t>e na seletiv</w:t>
      </w:r>
      <w:r w:rsidR="008E3A41">
        <w:rPr>
          <w:rFonts w:ascii="Times New Roman" w:hAnsi="Times New Roman"/>
          <w:lang w:val="pt-BR"/>
        </w:rPr>
        <w:t>ida</w:t>
      </w:r>
      <w:r w:rsidR="00E2510B">
        <w:rPr>
          <w:rFonts w:ascii="Times New Roman" w:hAnsi="Times New Roman"/>
          <w:lang w:val="pt-BR"/>
        </w:rPr>
        <w:t>de dos catalisadores utilizados n</w:t>
      </w:r>
      <w:r w:rsidRPr="003B5757">
        <w:rPr>
          <w:rFonts w:ascii="Times New Roman" w:hAnsi="Times New Roman"/>
          <w:lang w:val="pt-BR"/>
        </w:rPr>
        <w:t>a reação</w:t>
      </w:r>
      <w:r w:rsidR="008E3A41">
        <w:rPr>
          <w:rFonts w:ascii="Times New Roman" w:hAnsi="Times New Roman"/>
          <w:lang w:val="pt-BR"/>
        </w:rPr>
        <w:t xml:space="preserve"> de hidrogenólise</w:t>
      </w:r>
      <w:r w:rsidRPr="003B5757">
        <w:rPr>
          <w:rFonts w:ascii="Times New Roman" w:hAnsi="Times New Roman"/>
          <w:lang w:val="pt-BR"/>
        </w:rPr>
        <w:t xml:space="preserve"> é o tamanho dos poros do catalisador. Um estudo realizado por </w:t>
      </w:r>
      <w:proofErr w:type="spellStart"/>
      <w:r w:rsidRPr="003B5757">
        <w:rPr>
          <w:rFonts w:ascii="Times New Roman" w:hAnsi="Times New Roman"/>
          <w:lang w:val="pt-BR"/>
        </w:rPr>
        <w:t>Numpilai</w:t>
      </w:r>
      <w:proofErr w:type="spellEnd"/>
      <w:r w:rsidRPr="003B5757">
        <w:rPr>
          <w:rFonts w:ascii="Times New Roman" w:hAnsi="Times New Roman"/>
          <w:lang w:val="pt-BR"/>
        </w:rPr>
        <w:t xml:space="preserve"> </w:t>
      </w:r>
      <w:r w:rsidRPr="00D84F16">
        <w:rPr>
          <w:rFonts w:ascii="Times New Roman" w:hAnsi="Times New Roman"/>
          <w:i/>
          <w:iCs/>
          <w:lang w:val="pt-BR"/>
        </w:rPr>
        <w:t>et al.</w:t>
      </w:r>
      <w:r w:rsidRPr="003B5757">
        <w:rPr>
          <w:rFonts w:ascii="Times New Roman" w:hAnsi="Times New Roman"/>
          <w:lang w:val="pt-BR"/>
        </w:rPr>
        <w:t xml:space="preserve"> (2021) avaliou o efeito do tamanho de poros da alumina na reação de hidrogenólise e os resultados apontaram que poros muito pequenos podem apresentar limites de difusão, de forma que o transporte se torna lento e o contato dos reagentes com os sítios ativos é prolongado, promovendo a hidrogenólise excessiva e degradação dos </w:t>
      </w:r>
      <w:proofErr w:type="spellStart"/>
      <w:r w:rsidRPr="003B5757">
        <w:rPr>
          <w:rFonts w:ascii="Times New Roman" w:hAnsi="Times New Roman"/>
          <w:lang w:val="pt-BR"/>
        </w:rPr>
        <w:t>propanodióis</w:t>
      </w:r>
      <w:proofErr w:type="spellEnd"/>
      <w:r w:rsidRPr="003B5757">
        <w:rPr>
          <w:rFonts w:ascii="Times New Roman" w:hAnsi="Times New Roman"/>
          <w:lang w:val="pt-BR"/>
        </w:rPr>
        <w:t xml:space="preserve"> em propanol. Diversos suportes porosos com bons resultados já são utilizados nessa reação, dentre eles a alumina (</w:t>
      </w:r>
      <w:r w:rsidR="0061635E">
        <w:rPr>
          <w:rFonts w:ascii="Times New Roman" w:hAnsi="Times New Roman"/>
          <w:lang w:val="pt-BR"/>
        </w:rPr>
        <w:t>10</w:t>
      </w:r>
      <w:r w:rsidRPr="003B5757">
        <w:rPr>
          <w:rFonts w:ascii="Times New Roman" w:hAnsi="Times New Roman"/>
          <w:lang w:val="pt-BR"/>
        </w:rPr>
        <w:t>) e a zircônia (</w:t>
      </w:r>
      <w:r w:rsidR="0061635E">
        <w:rPr>
          <w:rFonts w:ascii="Times New Roman" w:hAnsi="Times New Roman"/>
          <w:lang w:val="pt-BR"/>
        </w:rPr>
        <w:t>11-12</w:t>
      </w:r>
      <w:r w:rsidRPr="003B5757">
        <w:rPr>
          <w:rFonts w:ascii="Times New Roman" w:hAnsi="Times New Roman"/>
          <w:lang w:val="pt-BR"/>
        </w:rPr>
        <w:t xml:space="preserve">) são os mais utilizados para este fim, mas um estudo conduzido por </w:t>
      </w:r>
      <w:proofErr w:type="spellStart"/>
      <w:r w:rsidRPr="003B5757">
        <w:rPr>
          <w:rFonts w:ascii="Times New Roman" w:hAnsi="Times New Roman"/>
          <w:lang w:val="pt-BR"/>
        </w:rPr>
        <w:t>Samudrala</w:t>
      </w:r>
      <w:proofErr w:type="spellEnd"/>
      <w:r w:rsidRPr="003B5757">
        <w:rPr>
          <w:rFonts w:ascii="Times New Roman" w:hAnsi="Times New Roman"/>
          <w:lang w:val="pt-BR"/>
        </w:rPr>
        <w:t xml:space="preserve"> </w:t>
      </w:r>
      <w:r w:rsidRPr="009A07DE">
        <w:rPr>
          <w:rFonts w:ascii="Times New Roman" w:hAnsi="Times New Roman"/>
          <w:i/>
          <w:iCs/>
          <w:lang w:val="pt-BR"/>
        </w:rPr>
        <w:t xml:space="preserve">et. al </w:t>
      </w:r>
      <w:r w:rsidRPr="003B5757">
        <w:rPr>
          <w:rFonts w:ascii="Times New Roman" w:hAnsi="Times New Roman"/>
          <w:lang w:val="pt-BR"/>
        </w:rPr>
        <w:t xml:space="preserve">(2018) utiliza a argila como suporte das fases ativas </w:t>
      </w:r>
      <w:r w:rsidR="0061635E" w:rsidRPr="003B5757">
        <w:rPr>
          <w:rFonts w:ascii="Times New Roman" w:hAnsi="Times New Roman"/>
          <w:lang w:val="pt-BR"/>
        </w:rPr>
        <w:t>e</w:t>
      </w:r>
      <w:r w:rsidRPr="003B5757">
        <w:rPr>
          <w:rFonts w:ascii="Times New Roman" w:hAnsi="Times New Roman"/>
          <w:lang w:val="pt-BR"/>
        </w:rPr>
        <w:t xml:space="preserve"> apresentou um excelente desempenho na formação do 1,3-PDO apesar de não ser um material tão recorrente na literatura. </w:t>
      </w:r>
    </w:p>
    <w:p w14:paraId="081633C1" w14:textId="0B7A120C" w:rsidR="003B5757" w:rsidRDefault="003B5757" w:rsidP="00EA4E1B">
      <w:pPr>
        <w:pStyle w:val="TAMainText"/>
        <w:rPr>
          <w:rFonts w:ascii="Times New Roman" w:hAnsi="Times New Roman"/>
          <w:lang w:val="pt-BR"/>
        </w:rPr>
      </w:pPr>
      <w:r w:rsidRPr="003B5757">
        <w:rPr>
          <w:rFonts w:ascii="Times New Roman" w:hAnsi="Times New Roman"/>
          <w:lang w:val="pt-BR"/>
        </w:rPr>
        <w:t xml:space="preserve">A aplicação de argilas na hidrogenólise do glicerol com objetivo de formação dos </w:t>
      </w:r>
      <w:proofErr w:type="spellStart"/>
      <w:r w:rsidRPr="003B5757">
        <w:rPr>
          <w:rFonts w:ascii="Times New Roman" w:hAnsi="Times New Roman"/>
          <w:lang w:val="pt-BR"/>
        </w:rPr>
        <w:t>propanodióis</w:t>
      </w:r>
      <w:proofErr w:type="spellEnd"/>
      <w:r w:rsidRPr="003B5757">
        <w:rPr>
          <w:rFonts w:ascii="Times New Roman" w:hAnsi="Times New Roman"/>
          <w:lang w:val="pt-BR"/>
        </w:rPr>
        <w:t xml:space="preserve"> ainda não está muito bem descrita na literatura e o maior desafio nessa reação é avaliar a influência do beneficiamento desse material e sua interação com o catalisador Pt-WO</w:t>
      </w:r>
      <w:r w:rsidRPr="009A07DE">
        <w:rPr>
          <w:rFonts w:ascii="Times New Roman" w:hAnsi="Times New Roman"/>
          <w:vertAlign w:val="subscript"/>
          <w:lang w:val="pt-BR"/>
        </w:rPr>
        <w:t>3</w:t>
      </w:r>
      <w:r w:rsidRPr="003B5757">
        <w:rPr>
          <w:rFonts w:ascii="Times New Roman" w:hAnsi="Times New Roman"/>
          <w:lang w:val="pt-BR"/>
        </w:rPr>
        <w:t xml:space="preserve"> na seletividade do produto de interesse</w:t>
      </w:r>
      <w:r>
        <w:rPr>
          <w:rFonts w:ascii="Times New Roman" w:hAnsi="Times New Roman"/>
          <w:lang w:val="pt-BR"/>
        </w:rPr>
        <w:t>.</w:t>
      </w:r>
      <w:r w:rsidR="00C84057">
        <w:rPr>
          <w:rFonts w:ascii="Times New Roman" w:hAnsi="Times New Roman"/>
          <w:lang w:val="pt-BR"/>
        </w:rPr>
        <w:t xml:space="preserve"> Nesse contexto, </w:t>
      </w:r>
      <w:r w:rsidR="00C84057" w:rsidRPr="00D96C03">
        <w:rPr>
          <w:rFonts w:ascii="Times New Roman" w:hAnsi="Times New Roman"/>
          <w:lang w:val="pt-BR"/>
        </w:rPr>
        <w:t>o objetivo do trabalho é</w:t>
      </w:r>
      <w:r w:rsidR="004647FC" w:rsidRPr="00D96C03">
        <w:rPr>
          <w:rFonts w:ascii="Times New Roman" w:hAnsi="Times New Roman"/>
          <w:lang w:val="pt-BR"/>
        </w:rPr>
        <w:t xml:space="preserve"> </w:t>
      </w:r>
      <w:r w:rsidR="00D96C03" w:rsidRPr="00E72C8E">
        <w:rPr>
          <w:rFonts w:ascii="Times New Roman" w:hAnsi="Times New Roman"/>
          <w:lang w:val="pt-BR"/>
        </w:rPr>
        <w:t xml:space="preserve">sintetizar e caracterizar catalisadores baseados em </w:t>
      </w:r>
      <w:r w:rsidR="004647FC" w:rsidRPr="00D96C03">
        <w:rPr>
          <w:rFonts w:ascii="Times New Roman" w:hAnsi="Times New Roman"/>
          <w:lang w:val="pt-BR"/>
        </w:rPr>
        <w:t xml:space="preserve">  argila</w:t>
      </w:r>
      <w:r w:rsidR="00D96C03" w:rsidRPr="00E72C8E">
        <w:rPr>
          <w:rFonts w:ascii="Times New Roman" w:hAnsi="Times New Roman"/>
          <w:lang w:val="pt-BR"/>
        </w:rPr>
        <w:t>, que possam ser usados</w:t>
      </w:r>
      <w:r w:rsidR="00300489">
        <w:rPr>
          <w:rFonts w:ascii="Times New Roman" w:hAnsi="Times New Roman"/>
          <w:lang w:val="pt-BR"/>
        </w:rPr>
        <w:t xml:space="preserve"> </w:t>
      </w:r>
      <w:r w:rsidR="00D96C03" w:rsidRPr="00E72C8E">
        <w:rPr>
          <w:rFonts w:ascii="Times New Roman" w:hAnsi="Times New Roman"/>
          <w:lang w:val="pt-BR"/>
        </w:rPr>
        <w:t>na</w:t>
      </w:r>
      <w:r w:rsidR="004647FC" w:rsidRPr="00D96C03">
        <w:rPr>
          <w:rFonts w:ascii="Times New Roman" w:hAnsi="Times New Roman"/>
          <w:lang w:val="pt-BR"/>
        </w:rPr>
        <w:t xml:space="preserve"> hidrogenólise seletiva da molécula de glicerol</w:t>
      </w:r>
      <w:r w:rsidR="00D96C03" w:rsidRPr="00E72C8E">
        <w:rPr>
          <w:rFonts w:ascii="Times New Roman" w:hAnsi="Times New Roman"/>
          <w:lang w:val="pt-BR"/>
        </w:rPr>
        <w:t xml:space="preserve"> para </w:t>
      </w:r>
      <w:proofErr w:type="gramStart"/>
      <w:r w:rsidR="00300489">
        <w:rPr>
          <w:rFonts w:ascii="Times New Roman" w:hAnsi="Times New Roman"/>
          <w:lang w:val="pt-BR"/>
        </w:rPr>
        <w:t xml:space="preserve">a  </w:t>
      </w:r>
      <w:r w:rsidR="00D96C03" w:rsidRPr="00E72C8E">
        <w:rPr>
          <w:rFonts w:ascii="Times New Roman" w:hAnsi="Times New Roman"/>
          <w:lang w:val="pt-BR"/>
        </w:rPr>
        <w:t>produção</w:t>
      </w:r>
      <w:proofErr w:type="gramEnd"/>
      <w:r w:rsidR="00D96C03" w:rsidRPr="00E72C8E">
        <w:rPr>
          <w:rFonts w:ascii="Times New Roman" w:hAnsi="Times New Roman"/>
          <w:lang w:val="pt-BR"/>
        </w:rPr>
        <w:t xml:space="preserve"> do 1,3-PDO.</w:t>
      </w:r>
    </w:p>
    <w:p w14:paraId="52FFAC79" w14:textId="7C3568B2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Experimental</w:t>
      </w:r>
    </w:p>
    <w:p w14:paraId="35887134" w14:textId="65C47F73" w:rsidR="00EA4E1B" w:rsidRPr="001F25B2" w:rsidRDefault="00E25C47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Síntese dos catalisadores</w:t>
      </w:r>
    </w:p>
    <w:p w14:paraId="4E6BAA29" w14:textId="51584419" w:rsidR="00EA4E1B" w:rsidRDefault="006435D8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A </w:t>
      </w:r>
      <w:r w:rsidRPr="006435D8">
        <w:rPr>
          <w:rFonts w:ascii="Times New Roman" w:hAnsi="Times New Roman"/>
          <w:lang w:val="pt-BR"/>
        </w:rPr>
        <w:t xml:space="preserve">argila K-10 </w:t>
      </w:r>
      <w:r w:rsidR="00C80042">
        <w:rPr>
          <w:rFonts w:ascii="Times New Roman" w:hAnsi="Times New Roman"/>
          <w:lang w:val="pt-BR"/>
        </w:rPr>
        <w:t xml:space="preserve">(MMT) </w:t>
      </w:r>
      <w:r w:rsidRPr="006435D8">
        <w:rPr>
          <w:rFonts w:ascii="Times New Roman" w:hAnsi="Times New Roman"/>
          <w:lang w:val="pt-BR"/>
        </w:rPr>
        <w:t xml:space="preserve">da </w:t>
      </w:r>
      <w:r w:rsidRPr="00C80042">
        <w:rPr>
          <w:rFonts w:ascii="Times New Roman" w:hAnsi="Times New Roman"/>
          <w:i/>
          <w:iCs/>
          <w:lang w:val="pt-BR"/>
        </w:rPr>
        <w:t>Sigma-Aldrich</w:t>
      </w:r>
      <w:r w:rsidR="000C487D">
        <w:rPr>
          <w:rFonts w:ascii="Times New Roman" w:hAnsi="Times New Roman"/>
          <w:i/>
          <w:iCs/>
          <w:lang w:val="pt-BR"/>
        </w:rPr>
        <w:t xml:space="preserve">, </w:t>
      </w:r>
      <w:r w:rsidR="000C487D" w:rsidRPr="00E2510B">
        <w:rPr>
          <w:rFonts w:ascii="Times New Roman" w:hAnsi="Times New Roman"/>
          <w:lang w:val="pt-BR"/>
        </w:rPr>
        <w:t>utilizada como suporte</w:t>
      </w:r>
      <w:r w:rsidR="000C487D">
        <w:rPr>
          <w:rFonts w:ascii="Times New Roman" w:hAnsi="Times New Roman"/>
          <w:lang w:val="pt-BR"/>
        </w:rPr>
        <w:t>,</w:t>
      </w:r>
      <w:r w:rsidRPr="000C487D">
        <w:rPr>
          <w:rFonts w:ascii="Times New Roman" w:hAnsi="Times New Roman"/>
          <w:lang w:val="pt-BR"/>
        </w:rPr>
        <w:t xml:space="preserve"> </w:t>
      </w:r>
      <w:r w:rsidRPr="006435D8">
        <w:rPr>
          <w:rFonts w:ascii="Times New Roman" w:hAnsi="Times New Roman"/>
          <w:lang w:val="pt-BR"/>
        </w:rPr>
        <w:t>foi sec</w:t>
      </w:r>
      <w:r>
        <w:rPr>
          <w:rFonts w:ascii="Times New Roman" w:hAnsi="Times New Roman"/>
          <w:lang w:val="pt-BR"/>
        </w:rPr>
        <w:t>a</w:t>
      </w:r>
      <w:r w:rsidRPr="006435D8">
        <w:rPr>
          <w:rFonts w:ascii="Times New Roman" w:hAnsi="Times New Roman"/>
          <w:lang w:val="pt-BR"/>
        </w:rPr>
        <w:t xml:space="preserve"> em estufa a 100°C por 2h para retirar umidade residual.</w:t>
      </w:r>
      <w:r>
        <w:rPr>
          <w:rFonts w:ascii="Times New Roman" w:hAnsi="Times New Roman"/>
          <w:lang w:val="pt-BR"/>
        </w:rPr>
        <w:t xml:space="preserve"> </w:t>
      </w:r>
      <w:r w:rsidRPr="006435D8">
        <w:rPr>
          <w:rFonts w:ascii="Times New Roman" w:hAnsi="Times New Roman"/>
          <w:lang w:val="pt-BR"/>
        </w:rPr>
        <w:t>O tungstênio foi impregnado</w:t>
      </w:r>
      <w:r w:rsidR="000C487D">
        <w:rPr>
          <w:rFonts w:ascii="Times New Roman" w:hAnsi="Times New Roman"/>
          <w:lang w:val="pt-BR"/>
        </w:rPr>
        <w:t xml:space="preserve"> a volume de poros</w:t>
      </w:r>
      <w:r>
        <w:rPr>
          <w:rFonts w:ascii="Times New Roman" w:hAnsi="Times New Roman"/>
          <w:lang w:val="pt-BR"/>
        </w:rPr>
        <w:t xml:space="preserve"> </w:t>
      </w:r>
      <w:r w:rsidRPr="006435D8">
        <w:rPr>
          <w:rFonts w:ascii="Times New Roman" w:hAnsi="Times New Roman"/>
          <w:lang w:val="pt-BR"/>
        </w:rPr>
        <w:t xml:space="preserve">a partir de uma solução </w:t>
      </w:r>
      <w:r w:rsidR="00300489">
        <w:rPr>
          <w:rFonts w:ascii="Times New Roman" w:hAnsi="Times New Roman"/>
          <w:lang w:val="pt-BR"/>
        </w:rPr>
        <w:t xml:space="preserve">aquosa </w:t>
      </w:r>
      <w:r w:rsidRPr="006435D8">
        <w:rPr>
          <w:rFonts w:ascii="Times New Roman" w:hAnsi="Times New Roman"/>
          <w:lang w:val="pt-BR"/>
        </w:rPr>
        <w:t xml:space="preserve">de </w:t>
      </w:r>
      <w:proofErr w:type="spellStart"/>
      <w:r w:rsidRPr="006435D8">
        <w:rPr>
          <w:rFonts w:ascii="Times New Roman" w:hAnsi="Times New Roman"/>
          <w:lang w:val="pt-BR"/>
        </w:rPr>
        <w:t>metatungstato</w:t>
      </w:r>
      <w:proofErr w:type="spellEnd"/>
      <w:r w:rsidRPr="006435D8">
        <w:rPr>
          <w:rFonts w:ascii="Times New Roman" w:hAnsi="Times New Roman"/>
          <w:lang w:val="pt-BR"/>
        </w:rPr>
        <w:t xml:space="preserve"> de amônio [(NH</w:t>
      </w:r>
      <w:r w:rsidRPr="006435D8">
        <w:rPr>
          <w:rFonts w:ascii="Times New Roman" w:hAnsi="Times New Roman"/>
          <w:vertAlign w:val="subscript"/>
          <w:lang w:val="pt-BR"/>
        </w:rPr>
        <w:t>4</w:t>
      </w:r>
      <w:r w:rsidRPr="006435D8">
        <w:rPr>
          <w:rFonts w:ascii="Times New Roman" w:hAnsi="Times New Roman"/>
          <w:lang w:val="pt-BR"/>
        </w:rPr>
        <w:t>)6H</w:t>
      </w:r>
      <w:r w:rsidRPr="006435D8">
        <w:rPr>
          <w:rFonts w:ascii="Times New Roman" w:hAnsi="Times New Roman"/>
          <w:vertAlign w:val="subscript"/>
          <w:lang w:val="pt-BR"/>
        </w:rPr>
        <w:t>2</w:t>
      </w:r>
      <w:r w:rsidRPr="006435D8">
        <w:rPr>
          <w:rFonts w:ascii="Times New Roman" w:hAnsi="Times New Roman"/>
          <w:lang w:val="pt-BR"/>
        </w:rPr>
        <w:t>W</w:t>
      </w:r>
      <w:r w:rsidRPr="006435D8">
        <w:rPr>
          <w:rFonts w:ascii="Times New Roman" w:hAnsi="Times New Roman"/>
          <w:vertAlign w:val="subscript"/>
          <w:lang w:val="pt-BR"/>
        </w:rPr>
        <w:t>12</w:t>
      </w:r>
      <w:r w:rsidRPr="006435D8">
        <w:rPr>
          <w:rFonts w:ascii="Times New Roman" w:hAnsi="Times New Roman"/>
          <w:lang w:val="pt-BR"/>
        </w:rPr>
        <w:t>O</w:t>
      </w:r>
      <w:r w:rsidRPr="006435D8">
        <w:rPr>
          <w:rFonts w:ascii="Times New Roman" w:hAnsi="Times New Roman"/>
          <w:vertAlign w:val="subscript"/>
          <w:lang w:val="pt-BR"/>
        </w:rPr>
        <w:t>40</w:t>
      </w:r>
      <w:r w:rsidRPr="006435D8">
        <w:rPr>
          <w:rFonts w:ascii="Times New Roman" w:hAnsi="Times New Roman"/>
          <w:lang w:val="pt-BR"/>
        </w:rPr>
        <w:t>]</w:t>
      </w:r>
      <w:r>
        <w:rPr>
          <w:rFonts w:ascii="Times New Roman" w:hAnsi="Times New Roman"/>
          <w:lang w:val="pt-BR"/>
        </w:rPr>
        <w:t xml:space="preserve"> da </w:t>
      </w:r>
      <w:r w:rsidRPr="00C80042">
        <w:rPr>
          <w:rFonts w:ascii="Times New Roman" w:hAnsi="Times New Roman"/>
          <w:i/>
          <w:iCs/>
          <w:lang w:val="pt-BR"/>
        </w:rPr>
        <w:t>Sigma-Aldrich</w:t>
      </w:r>
      <w:r>
        <w:rPr>
          <w:rFonts w:ascii="Times New Roman" w:hAnsi="Times New Roman"/>
          <w:lang w:val="pt-BR"/>
        </w:rPr>
        <w:t xml:space="preserve"> </w:t>
      </w:r>
      <w:r w:rsidRPr="006435D8">
        <w:rPr>
          <w:rFonts w:ascii="Times New Roman" w:hAnsi="Times New Roman"/>
          <w:lang w:val="pt-BR"/>
        </w:rPr>
        <w:t xml:space="preserve">nos teores de 5, 10 e 15 </w:t>
      </w:r>
      <w:proofErr w:type="spellStart"/>
      <w:r w:rsidRPr="006435D8">
        <w:rPr>
          <w:rFonts w:ascii="Times New Roman" w:hAnsi="Times New Roman"/>
          <w:lang w:val="pt-BR"/>
        </w:rPr>
        <w:t>wt</w:t>
      </w:r>
      <w:proofErr w:type="spellEnd"/>
      <w:r w:rsidRPr="006435D8">
        <w:rPr>
          <w:rFonts w:ascii="Times New Roman" w:hAnsi="Times New Roman"/>
          <w:lang w:val="pt-BR"/>
        </w:rPr>
        <w:t xml:space="preserve">% em relação ao suporte. O material foi seco na estufa a 100°C por aproximadamente 16h e calcinado a 600°C por 3h em rampa de aquecimento de 2°C/min. De forma sequencial, a platina foi impregnada no material utilizando uma solução </w:t>
      </w:r>
      <w:r w:rsidR="00300489">
        <w:rPr>
          <w:rFonts w:ascii="Times New Roman" w:hAnsi="Times New Roman"/>
          <w:lang w:val="pt-BR"/>
        </w:rPr>
        <w:t xml:space="preserve">aquosa </w:t>
      </w:r>
      <w:r w:rsidRPr="006435D8">
        <w:rPr>
          <w:rFonts w:ascii="Times New Roman" w:hAnsi="Times New Roman"/>
          <w:lang w:val="pt-BR"/>
        </w:rPr>
        <w:t xml:space="preserve">de ácido </w:t>
      </w:r>
      <w:proofErr w:type="spellStart"/>
      <w:r w:rsidRPr="006435D8">
        <w:rPr>
          <w:rFonts w:ascii="Times New Roman" w:hAnsi="Times New Roman"/>
          <w:lang w:val="pt-BR"/>
        </w:rPr>
        <w:t>hexacloroplatínico</w:t>
      </w:r>
      <w:proofErr w:type="spellEnd"/>
      <w:r w:rsidRPr="006435D8">
        <w:rPr>
          <w:rFonts w:ascii="Times New Roman" w:hAnsi="Times New Roman"/>
          <w:lang w:val="pt-BR"/>
        </w:rPr>
        <w:t xml:space="preserve"> H</w:t>
      </w:r>
      <w:r w:rsidRPr="00C80042">
        <w:rPr>
          <w:rFonts w:ascii="Times New Roman" w:hAnsi="Times New Roman"/>
          <w:vertAlign w:val="subscript"/>
          <w:lang w:val="pt-BR"/>
        </w:rPr>
        <w:t>2</w:t>
      </w:r>
      <w:r w:rsidRPr="006435D8">
        <w:rPr>
          <w:rFonts w:ascii="Times New Roman" w:hAnsi="Times New Roman"/>
          <w:lang w:val="pt-BR"/>
        </w:rPr>
        <w:t>PtCl</w:t>
      </w:r>
      <w:r w:rsidRPr="00C80042">
        <w:rPr>
          <w:rFonts w:ascii="Times New Roman" w:hAnsi="Times New Roman"/>
          <w:vertAlign w:val="subscript"/>
          <w:lang w:val="pt-BR"/>
        </w:rPr>
        <w:t>6</w:t>
      </w:r>
      <w:r w:rsidRPr="006435D8">
        <w:rPr>
          <w:rFonts w:ascii="Times New Roman" w:hAnsi="Times New Roman"/>
          <w:lang w:val="pt-BR"/>
        </w:rPr>
        <w:t xml:space="preserve"> </w:t>
      </w:r>
      <w:r w:rsidR="00C80042">
        <w:rPr>
          <w:rFonts w:ascii="Times New Roman" w:hAnsi="Times New Roman"/>
          <w:lang w:val="pt-BR"/>
        </w:rPr>
        <w:t xml:space="preserve">da </w:t>
      </w:r>
      <w:r w:rsidR="00C80042" w:rsidRPr="00C80042">
        <w:rPr>
          <w:rFonts w:ascii="Times New Roman" w:hAnsi="Times New Roman"/>
          <w:i/>
          <w:iCs/>
          <w:lang w:val="pt-BR"/>
        </w:rPr>
        <w:t>Sigma-</w:t>
      </w:r>
      <w:proofErr w:type="spellStart"/>
      <w:r w:rsidR="00C80042" w:rsidRPr="00C80042">
        <w:rPr>
          <w:rFonts w:ascii="Times New Roman" w:hAnsi="Times New Roman"/>
          <w:i/>
          <w:iCs/>
          <w:lang w:val="pt-BR"/>
        </w:rPr>
        <w:t>Aldrich</w:t>
      </w:r>
      <w:proofErr w:type="spellEnd"/>
      <w:r w:rsidR="00C80042">
        <w:rPr>
          <w:rFonts w:ascii="Times New Roman" w:hAnsi="Times New Roman"/>
          <w:lang w:val="pt-BR"/>
        </w:rPr>
        <w:t xml:space="preserve"> </w:t>
      </w:r>
      <w:r w:rsidRPr="006435D8">
        <w:rPr>
          <w:rFonts w:ascii="Times New Roman" w:hAnsi="Times New Roman"/>
          <w:lang w:val="pt-BR"/>
        </w:rPr>
        <w:t xml:space="preserve">no teor de 2 </w:t>
      </w:r>
      <w:proofErr w:type="spellStart"/>
      <w:r w:rsidRPr="006435D8">
        <w:rPr>
          <w:rFonts w:ascii="Times New Roman" w:hAnsi="Times New Roman"/>
          <w:lang w:val="pt-BR"/>
        </w:rPr>
        <w:t>wt</w:t>
      </w:r>
      <w:proofErr w:type="spellEnd"/>
      <w:r w:rsidRPr="006435D8">
        <w:rPr>
          <w:rFonts w:ascii="Times New Roman" w:hAnsi="Times New Roman"/>
          <w:lang w:val="pt-BR"/>
        </w:rPr>
        <w:t>% em relação ao suporte. O material foi seco na estufa a 100°C por 16h e calcinado a 400°C por 3h em rampa de aquecimento de 2°C/min, originando as amostras Pt-5WO</w:t>
      </w:r>
      <w:r w:rsidRPr="00C80042">
        <w:rPr>
          <w:rFonts w:ascii="Times New Roman" w:hAnsi="Times New Roman"/>
          <w:vertAlign w:val="subscript"/>
          <w:lang w:val="pt-BR"/>
        </w:rPr>
        <w:t>3</w:t>
      </w:r>
      <w:r w:rsidRPr="006435D8">
        <w:rPr>
          <w:rFonts w:ascii="Times New Roman" w:hAnsi="Times New Roman"/>
          <w:lang w:val="pt-BR"/>
        </w:rPr>
        <w:t>/</w:t>
      </w:r>
      <w:proofErr w:type="gramStart"/>
      <w:r w:rsidRPr="006435D8">
        <w:rPr>
          <w:rFonts w:ascii="Times New Roman" w:hAnsi="Times New Roman"/>
          <w:lang w:val="pt-BR"/>
        </w:rPr>
        <w:t xml:space="preserve">MMT, </w:t>
      </w:r>
      <w:r w:rsidR="00300489">
        <w:rPr>
          <w:rFonts w:ascii="Times New Roman" w:hAnsi="Times New Roman"/>
          <w:lang w:val="pt-BR"/>
        </w:rPr>
        <w:t xml:space="preserve">  </w:t>
      </w:r>
      <w:proofErr w:type="gramEnd"/>
      <w:r w:rsidR="00300489">
        <w:rPr>
          <w:rFonts w:ascii="Times New Roman" w:hAnsi="Times New Roman"/>
          <w:lang w:val="pt-BR"/>
        </w:rPr>
        <w:t xml:space="preserve">             </w:t>
      </w:r>
      <w:r w:rsidRPr="006435D8">
        <w:rPr>
          <w:rFonts w:ascii="Times New Roman" w:hAnsi="Times New Roman"/>
          <w:lang w:val="pt-BR"/>
        </w:rPr>
        <w:t>Pt-10WO</w:t>
      </w:r>
      <w:r w:rsidRPr="00C80042">
        <w:rPr>
          <w:rFonts w:ascii="Times New Roman" w:hAnsi="Times New Roman"/>
          <w:vertAlign w:val="subscript"/>
          <w:lang w:val="pt-BR"/>
        </w:rPr>
        <w:t>3</w:t>
      </w:r>
      <w:r w:rsidRPr="006435D8">
        <w:rPr>
          <w:rFonts w:ascii="Times New Roman" w:hAnsi="Times New Roman"/>
          <w:lang w:val="pt-BR"/>
        </w:rPr>
        <w:t>/MMT e Pt-15WO</w:t>
      </w:r>
      <w:r w:rsidRPr="00C80042">
        <w:rPr>
          <w:rFonts w:ascii="Times New Roman" w:hAnsi="Times New Roman"/>
          <w:vertAlign w:val="subscript"/>
          <w:lang w:val="pt-BR"/>
        </w:rPr>
        <w:t>3</w:t>
      </w:r>
      <w:r w:rsidRPr="006435D8">
        <w:rPr>
          <w:rFonts w:ascii="Times New Roman" w:hAnsi="Times New Roman"/>
          <w:lang w:val="pt-BR"/>
        </w:rPr>
        <w:t>/MMT</w:t>
      </w:r>
      <w:r w:rsidR="00C80042">
        <w:rPr>
          <w:rFonts w:ascii="Times New Roman" w:hAnsi="Times New Roman"/>
          <w:lang w:val="pt-BR"/>
        </w:rPr>
        <w:t>.</w:t>
      </w:r>
    </w:p>
    <w:p w14:paraId="2B6EFCF0" w14:textId="77777777" w:rsidR="00E25C47" w:rsidRDefault="00E25C47" w:rsidP="00EA4E1B">
      <w:pPr>
        <w:pStyle w:val="TAMainText"/>
        <w:rPr>
          <w:rFonts w:ascii="Times New Roman" w:hAnsi="Times New Roman"/>
          <w:lang w:val="pt-BR"/>
        </w:rPr>
      </w:pPr>
    </w:p>
    <w:p w14:paraId="1528CDB7" w14:textId="7606EADA" w:rsidR="00E25C47" w:rsidRDefault="00E25C47" w:rsidP="00E25C47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Caracterização dos catalisadores</w:t>
      </w:r>
    </w:p>
    <w:p w14:paraId="6B50C880" w14:textId="6A57379B" w:rsidR="00E25C47" w:rsidRPr="00C41DBA" w:rsidRDefault="00C41DBA" w:rsidP="00D0305A">
      <w:pPr>
        <w:pStyle w:val="TAMainText"/>
        <w:ind w:firstLine="204"/>
        <w:rPr>
          <w:rFonts w:ascii="Times New Roman" w:hAnsi="Times New Roman"/>
          <w:lang w:val="pt-BR"/>
        </w:rPr>
      </w:pPr>
      <w:r w:rsidRPr="00C41DBA">
        <w:rPr>
          <w:rFonts w:ascii="Times New Roman" w:hAnsi="Times New Roman"/>
          <w:lang w:val="pt-BR"/>
        </w:rPr>
        <w:t>Os materiais obtidos foram caracterizados por</w:t>
      </w:r>
      <w:r w:rsidR="00C84057">
        <w:rPr>
          <w:rFonts w:ascii="Times New Roman" w:hAnsi="Times New Roman"/>
          <w:lang w:val="pt-BR"/>
        </w:rPr>
        <w:t>: (i)</w:t>
      </w:r>
      <w:r w:rsidRPr="00C41DBA">
        <w:rPr>
          <w:rFonts w:ascii="Times New Roman" w:hAnsi="Times New Roman"/>
          <w:lang w:val="pt-BR"/>
        </w:rPr>
        <w:t xml:space="preserve"> análise termogravimétrica (TG)</w:t>
      </w:r>
      <w:r w:rsidR="00C84057">
        <w:rPr>
          <w:rFonts w:ascii="Times New Roman" w:hAnsi="Times New Roman"/>
          <w:lang w:val="pt-BR"/>
        </w:rPr>
        <w:t>,</w:t>
      </w:r>
      <w:r w:rsidRPr="00C41DBA">
        <w:rPr>
          <w:rFonts w:ascii="Times New Roman" w:hAnsi="Times New Roman"/>
          <w:lang w:val="pt-BR"/>
        </w:rPr>
        <w:t xml:space="preserve"> em um equipamento DTG-60 </w:t>
      </w:r>
      <w:proofErr w:type="spellStart"/>
      <w:r w:rsidRPr="00C41DBA">
        <w:rPr>
          <w:rFonts w:ascii="Times New Roman" w:hAnsi="Times New Roman"/>
          <w:lang w:val="pt-BR"/>
        </w:rPr>
        <w:t>Shimadzu</w:t>
      </w:r>
      <w:proofErr w:type="spellEnd"/>
      <w:r w:rsidRPr="00C41DBA">
        <w:rPr>
          <w:rFonts w:ascii="Times New Roman" w:hAnsi="Times New Roman"/>
          <w:lang w:val="pt-BR"/>
        </w:rPr>
        <w:t xml:space="preserve"> na taxa de aquecimento de 10°C/min, sob atmosfera inerte de nitrogênio (100 </w:t>
      </w:r>
      <w:proofErr w:type="spellStart"/>
      <w:r w:rsidRPr="00C41DBA">
        <w:rPr>
          <w:rFonts w:ascii="Times New Roman" w:hAnsi="Times New Roman"/>
          <w:lang w:val="pt-BR"/>
        </w:rPr>
        <w:t>mL</w:t>
      </w:r>
      <w:proofErr w:type="spellEnd"/>
      <w:r w:rsidRPr="00C41DBA">
        <w:rPr>
          <w:rFonts w:ascii="Times New Roman" w:hAnsi="Times New Roman"/>
          <w:lang w:val="pt-BR"/>
        </w:rPr>
        <w:t>/min)</w:t>
      </w:r>
      <w:r w:rsidR="00C84057">
        <w:rPr>
          <w:rFonts w:ascii="Times New Roman" w:hAnsi="Times New Roman"/>
          <w:lang w:val="pt-BR"/>
        </w:rPr>
        <w:t>; (</w:t>
      </w:r>
      <w:proofErr w:type="spellStart"/>
      <w:r w:rsidR="00C84057">
        <w:rPr>
          <w:rFonts w:ascii="Times New Roman" w:hAnsi="Times New Roman"/>
          <w:lang w:val="pt-BR"/>
        </w:rPr>
        <w:t>ii</w:t>
      </w:r>
      <w:proofErr w:type="spellEnd"/>
      <w:r w:rsidR="00C84057">
        <w:rPr>
          <w:rFonts w:ascii="Times New Roman" w:hAnsi="Times New Roman"/>
          <w:lang w:val="pt-BR"/>
        </w:rPr>
        <w:t>)</w:t>
      </w:r>
      <w:r w:rsidRPr="00C41DBA">
        <w:rPr>
          <w:rFonts w:ascii="Times New Roman" w:hAnsi="Times New Roman"/>
          <w:lang w:val="pt-BR"/>
        </w:rPr>
        <w:t xml:space="preserve"> fluorescência de raios X (FRX)</w:t>
      </w:r>
      <w:r w:rsidR="00C84057">
        <w:rPr>
          <w:rFonts w:ascii="Times New Roman" w:hAnsi="Times New Roman"/>
          <w:lang w:val="pt-BR"/>
        </w:rPr>
        <w:t>,</w:t>
      </w:r>
      <w:r w:rsidRPr="00C41DBA">
        <w:rPr>
          <w:rFonts w:ascii="Times New Roman" w:hAnsi="Times New Roman"/>
          <w:lang w:val="pt-BR"/>
        </w:rPr>
        <w:t xml:space="preserve"> em um equipamento </w:t>
      </w:r>
      <w:proofErr w:type="spellStart"/>
      <w:r w:rsidRPr="00C41DBA">
        <w:rPr>
          <w:rFonts w:ascii="Times New Roman" w:hAnsi="Times New Roman"/>
          <w:lang w:val="pt-BR"/>
        </w:rPr>
        <w:t>Bruker</w:t>
      </w:r>
      <w:proofErr w:type="spellEnd"/>
      <w:r w:rsidRPr="00C41DBA">
        <w:rPr>
          <w:rFonts w:ascii="Times New Roman" w:hAnsi="Times New Roman"/>
          <w:lang w:val="pt-BR"/>
        </w:rPr>
        <w:t xml:space="preserve"> S2 Ranger com potência máxima 50 W, tensão 50 </w:t>
      </w:r>
      <w:proofErr w:type="spellStart"/>
      <w:r w:rsidRPr="00C41DBA">
        <w:rPr>
          <w:rFonts w:ascii="Times New Roman" w:hAnsi="Times New Roman"/>
          <w:lang w:val="pt-BR"/>
        </w:rPr>
        <w:t>kVe</w:t>
      </w:r>
      <w:proofErr w:type="spellEnd"/>
      <w:r w:rsidRPr="00C41DBA">
        <w:rPr>
          <w:rFonts w:ascii="Times New Roman" w:hAnsi="Times New Roman"/>
          <w:lang w:val="pt-BR"/>
        </w:rPr>
        <w:t xml:space="preserve"> corrente 2 </w:t>
      </w:r>
      <w:proofErr w:type="spellStart"/>
      <w:r w:rsidRPr="00C41DBA">
        <w:rPr>
          <w:rFonts w:ascii="Times New Roman" w:hAnsi="Times New Roman"/>
          <w:lang w:val="pt-BR"/>
        </w:rPr>
        <w:t>mA</w:t>
      </w:r>
      <w:proofErr w:type="spellEnd"/>
      <w:r w:rsidRPr="00C41DBA">
        <w:rPr>
          <w:rFonts w:ascii="Times New Roman" w:hAnsi="Times New Roman"/>
          <w:lang w:val="pt-BR"/>
        </w:rPr>
        <w:t xml:space="preserve"> sob atmosfera de He</w:t>
      </w:r>
      <w:r w:rsidR="00C84057">
        <w:rPr>
          <w:rFonts w:ascii="Times New Roman" w:hAnsi="Times New Roman"/>
          <w:lang w:val="pt-BR"/>
        </w:rPr>
        <w:t>;</w:t>
      </w:r>
      <w:r w:rsidRPr="00C41DBA">
        <w:rPr>
          <w:rFonts w:ascii="Times New Roman" w:hAnsi="Times New Roman"/>
          <w:lang w:val="pt-BR"/>
        </w:rPr>
        <w:t xml:space="preserve"> </w:t>
      </w:r>
      <w:r w:rsidR="00C84057">
        <w:rPr>
          <w:rFonts w:ascii="Times New Roman" w:hAnsi="Times New Roman"/>
          <w:lang w:val="pt-BR"/>
        </w:rPr>
        <w:t>(</w:t>
      </w:r>
      <w:proofErr w:type="spellStart"/>
      <w:r w:rsidR="00C84057">
        <w:rPr>
          <w:rFonts w:ascii="Times New Roman" w:hAnsi="Times New Roman"/>
          <w:lang w:val="pt-BR"/>
        </w:rPr>
        <w:t>iii</w:t>
      </w:r>
      <w:proofErr w:type="spellEnd"/>
      <w:r w:rsidR="00C84057">
        <w:rPr>
          <w:rFonts w:ascii="Times New Roman" w:hAnsi="Times New Roman"/>
          <w:lang w:val="pt-BR"/>
        </w:rPr>
        <w:t xml:space="preserve">) </w:t>
      </w:r>
      <w:r w:rsidRPr="00C41DBA">
        <w:rPr>
          <w:rFonts w:ascii="Times New Roman" w:hAnsi="Times New Roman"/>
          <w:lang w:val="pt-BR"/>
        </w:rPr>
        <w:t>difração de raios X (DRX)</w:t>
      </w:r>
      <w:r w:rsidR="00C84057">
        <w:rPr>
          <w:rFonts w:ascii="Times New Roman" w:hAnsi="Times New Roman"/>
          <w:lang w:val="pt-BR"/>
        </w:rPr>
        <w:t>,</w:t>
      </w:r>
      <w:r w:rsidRPr="00C41DBA">
        <w:rPr>
          <w:rFonts w:ascii="Times New Roman" w:hAnsi="Times New Roman"/>
          <w:lang w:val="pt-BR"/>
        </w:rPr>
        <w:t xml:space="preserve"> no equipamento XRD-6100 </w:t>
      </w:r>
      <w:proofErr w:type="spellStart"/>
      <w:r w:rsidRPr="00C41DBA">
        <w:rPr>
          <w:rFonts w:ascii="Times New Roman" w:hAnsi="Times New Roman"/>
          <w:lang w:val="pt-BR"/>
        </w:rPr>
        <w:t>Shimadzu</w:t>
      </w:r>
      <w:proofErr w:type="spellEnd"/>
      <w:r w:rsidRPr="00C41DBA">
        <w:rPr>
          <w:rFonts w:ascii="Times New Roman" w:hAnsi="Times New Roman"/>
          <w:lang w:val="pt-BR"/>
        </w:rPr>
        <w:t xml:space="preserve"> n</w:t>
      </w:r>
      <w:r w:rsidR="00300489">
        <w:rPr>
          <w:rFonts w:ascii="Times New Roman" w:hAnsi="Times New Roman"/>
          <w:lang w:val="pt-BR"/>
        </w:rPr>
        <w:t>a faixa de</w:t>
      </w:r>
      <w:r w:rsidRPr="00C41DBA">
        <w:rPr>
          <w:rFonts w:ascii="Times New Roman" w:hAnsi="Times New Roman"/>
          <w:lang w:val="pt-BR"/>
        </w:rPr>
        <w:t xml:space="preserve"> </w:t>
      </w:r>
      <w:proofErr w:type="spellStart"/>
      <w:r w:rsidRPr="00C41DBA">
        <w:rPr>
          <w:rFonts w:ascii="Times New Roman" w:hAnsi="Times New Roman"/>
          <w:lang w:val="pt-BR"/>
        </w:rPr>
        <w:t>de</w:t>
      </w:r>
      <w:proofErr w:type="spellEnd"/>
      <w:r w:rsidRPr="00C41DBA">
        <w:rPr>
          <w:rFonts w:ascii="Times New Roman" w:hAnsi="Times New Roman"/>
          <w:lang w:val="pt-BR"/>
        </w:rPr>
        <w:t xml:space="preserve"> varredura de 5° a 70°, com velocidade de 2°/min, usando a radiação de </w:t>
      </w:r>
      <w:proofErr w:type="spellStart"/>
      <w:r w:rsidRPr="00C41DBA">
        <w:rPr>
          <w:rFonts w:ascii="Times New Roman" w:hAnsi="Times New Roman"/>
          <w:lang w:val="pt-BR"/>
        </w:rPr>
        <w:t>CuK</w:t>
      </w:r>
      <w:proofErr w:type="spellEnd"/>
      <w:r w:rsidRPr="00C41DBA">
        <w:rPr>
          <w:rFonts w:ascii="Times New Roman" w:hAnsi="Times New Roman"/>
          <w:lang w:val="pt-BR"/>
        </w:rPr>
        <w:t xml:space="preserve">α de 40 </w:t>
      </w:r>
      <w:proofErr w:type="spellStart"/>
      <w:r w:rsidRPr="00C41DBA">
        <w:rPr>
          <w:rFonts w:ascii="Times New Roman" w:hAnsi="Times New Roman"/>
          <w:lang w:val="pt-BR"/>
        </w:rPr>
        <w:t>kv</w:t>
      </w:r>
      <w:proofErr w:type="spellEnd"/>
      <w:r w:rsidRPr="00C41DBA">
        <w:rPr>
          <w:rFonts w:ascii="Times New Roman" w:hAnsi="Times New Roman"/>
          <w:lang w:val="pt-BR"/>
        </w:rPr>
        <w:t xml:space="preserve"> e 30 </w:t>
      </w:r>
      <w:proofErr w:type="spellStart"/>
      <w:r w:rsidRPr="00C41DBA">
        <w:rPr>
          <w:rFonts w:ascii="Times New Roman" w:hAnsi="Times New Roman"/>
          <w:lang w:val="pt-BR"/>
        </w:rPr>
        <w:t>mA</w:t>
      </w:r>
      <w:proofErr w:type="spellEnd"/>
      <w:r w:rsidR="00C84057">
        <w:rPr>
          <w:rFonts w:ascii="Times New Roman" w:hAnsi="Times New Roman"/>
          <w:lang w:val="pt-BR"/>
        </w:rPr>
        <w:t>; (</w:t>
      </w:r>
      <w:proofErr w:type="spellStart"/>
      <w:r w:rsidR="00C84057">
        <w:rPr>
          <w:rFonts w:ascii="Times New Roman" w:hAnsi="Times New Roman"/>
          <w:lang w:val="pt-BR"/>
        </w:rPr>
        <w:t>iv</w:t>
      </w:r>
      <w:proofErr w:type="spellEnd"/>
      <w:r w:rsidR="00C84057">
        <w:rPr>
          <w:rFonts w:ascii="Times New Roman" w:hAnsi="Times New Roman"/>
          <w:lang w:val="pt-BR"/>
        </w:rPr>
        <w:t>)</w:t>
      </w:r>
      <w:r w:rsidRPr="00C41DBA">
        <w:rPr>
          <w:rFonts w:ascii="Times New Roman" w:hAnsi="Times New Roman"/>
          <w:lang w:val="pt-BR"/>
        </w:rPr>
        <w:t xml:space="preserve"> análise </w:t>
      </w:r>
      <w:proofErr w:type="spellStart"/>
      <w:r w:rsidRPr="00C41DBA">
        <w:rPr>
          <w:rFonts w:ascii="Times New Roman" w:hAnsi="Times New Roman"/>
          <w:lang w:val="pt-BR"/>
        </w:rPr>
        <w:t>textural</w:t>
      </w:r>
      <w:proofErr w:type="spellEnd"/>
      <w:r w:rsidRPr="00C41DBA">
        <w:rPr>
          <w:rFonts w:ascii="Times New Roman" w:hAnsi="Times New Roman"/>
          <w:lang w:val="pt-BR"/>
        </w:rPr>
        <w:t xml:space="preserve"> de </w:t>
      </w:r>
      <w:proofErr w:type="spellStart"/>
      <w:r w:rsidRPr="00C41DBA">
        <w:rPr>
          <w:rFonts w:ascii="Times New Roman" w:hAnsi="Times New Roman"/>
          <w:lang w:val="pt-BR"/>
        </w:rPr>
        <w:t>fisissorção</w:t>
      </w:r>
      <w:proofErr w:type="spellEnd"/>
      <w:r w:rsidRPr="00C41DBA">
        <w:rPr>
          <w:rFonts w:ascii="Times New Roman" w:hAnsi="Times New Roman"/>
          <w:lang w:val="pt-BR"/>
        </w:rPr>
        <w:t xml:space="preserve"> de N</w:t>
      </w:r>
      <w:r w:rsidRPr="00300489">
        <w:rPr>
          <w:rFonts w:ascii="Times New Roman" w:hAnsi="Times New Roman"/>
          <w:vertAlign w:val="subscript"/>
          <w:lang w:val="pt-BR"/>
        </w:rPr>
        <w:t>2</w:t>
      </w:r>
      <w:r w:rsidRPr="00C41DBA">
        <w:rPr>
          <w:rFonts w:ascii="Times New Roman" w:hAnsi="Times New Roman"/>
          <w:lang w:val="pt-BR"/>
        </w:rPr>
        <w:t xml:space="preserve"> em um equipamento Nova </w:t>
      </w:r>
      <w:proofErr w:type="spellStart"/>
      <w:r w:rsidRPr="00C41DBA">
        <w:rPr>
          <w:rFonts w:ascii="Times New Roman" w:hAnsi="Times New Roman"/>
          <w:lang w:val="pt-BR"/>
        </w:rPr>
        <w:t>Quantachrome</w:t>
      </w:r>
      <w:proofErr w:type="spellEnd"/>
      <w:r w:rsidRPr="00C41DBA">
        <w:rPr>
          <w:rFonts w:ascii="Times New Roman" w:hAnsi="Times New Roman"/>
          <w:lang w:val="pt-BR"/>
        </w:rPr>
        <w:t xml:space="preserve"> 2200</w:t>
      </w:r>
      <w:r w:rsidR="00C84057">
        <w:rPr>
          <w:rFonts w:ascii="Times New Roman" w:hAnsi="Times New Roman"/>
          <w:lang w:val="pt-BR"/>
        </w:rPr>
        <w:t>; (v)</w:t>
      </w:r>
      <w:r w:rsidRPr="00C41DBA">
        <w:rPr>
          <w:rFonts w:ascii="Times New Roman" w:hAnsi="Times New Roman"/>
          <w:lang w:val="pt-BR"/>
        </w:rPr>
        <w:t xml:space="preserve"> espectroscopia </w:t>
      </w:r>
      <w:r w:rsidR="00300489">
        <w:rPr>
          <w:rFonts w:ascii="Times New Roman" w:hAnsi="Times New Roman"/>
          <w:lang w:val="pt-BR"/>
        </w:rPr>
        <w:t>no</w:t>
      </w:r>
      <w:r w:rsidRPr="00C41DBA">
        <w:rPr>
          <w:rFonts w:ascii="Times New Roman" w:hAnsi="Times New Roman"/>
          <w:lang w:val="pt-BR"/>
        </w:rPr>
        <w:t xml:space="preserve"> infravermelho com transformada de Fourier (FTIR) no equipamento IRPrestige-21 </w:t>
      </w:r>
      <w:proofErr w:type="spellStart"/>
      <w:r w:rsidRPr="00C41DBA">
        <w:rPr>
          <w:rFonts w:ascii="Times New Roman" w:hAnsi="Times New Roman"/>
          <w:lang w:val="pt-BR"/>
        </w:rPr>
        <w:t>Shimadzu</w:t>
      </w:r>
      <w:proofErr w:type="spellEnd"/>
      <w:r w:rsidRPr="00C41DBA">
        <w:rPr>
          <w:rFonts w:ascii="Times New Roman" w:hAnsi="Times New Roman"/>
          <w:lang w:val="pt-BR"/>
        </w:rPr>
        <w:t xml:space="preserve"> na faixa de varredura 400 a 4000 cm</w:t>
      </w:r>
      <w:r w:rsidRPr="00C41DBA">
        <w:rPr>
          <w:rFonts w:ascii="Times New Roman" w:hAnsi="Times New Roman"/>
          <w:vertAlign w:val="superscript"/>
          <w:lang w:val="pt-BR"/>
        </w:rPr>
        <w:t>-1</w:t>
      </w:r>
      <w:r w:rsidR="00763945">
        <w:rPr>
          <w:rFonts w:ascii="Times New Roman" w:hAnsi="Times New Roman"/>
          <w:lang w:val="pt-BR"/>
        </w:rPr>
        <w:t xml:space="preserve"> </w:t>
      </w:r>
      <w:r w:rsidR="0027356F">
        <w:rPr>
          <w:rFonts w:ascii="Times New Roman" w:hAnsi="Times New Roman"/>
          <w:lang w:val="pt-BR"/>
        </w:rPr>
        <w:t>e</w:t>
      </w:r>
      <w:r w:rsidR="00C84057">
        <w:rPr>
          <w:rFonts w:ascii="Times New Roman" w:hAnsi="Times New Roman"/>
          <w:lang w:val="pt-BR"/>
        </w:rPr>
        <w:t xml:space="preserve"> (vi)</w:t>
      </w:r>
      <w:r w:rsidR="0027356F">
        <w:rPr>
          <w:rFonts w:ascii="Times New Roman" w:hAnsi="Times New Roman"/>
          <w:lang w:val="pt-BR"/>
        </w:rPr>
        <w:t xml:space="preserve"> espectroscopia Raman no equipamento </w:t>
      </w:r>
      <w:proofErr w:type="spellStart"/>
      <w:r w:rsidR="005C4C27" w:rsidRPr="005C4C27">
        <w:rPr>
          <w:rFonts w:ascii="Times New Roman" w:hAnsi="Times New Roman"/>
          <w:lang w:val="pt-BR"/>
        </w:rPr>
        <w:t>LabRam</w:t>
      </w:r>
      <w:proofErr w:type="spellEnd"/>
      <w:r w:rsidR="005C4C27" w:rsidRPr="005C4C27">
        <w:rPr>
          <w:rFonts w:ascii="Times New Roman" w:hAnsi="Times New Roman"/>
          <w:lang w:val="pt-BR"/>
        </w:rPr>
        <w:t xml:space="preserve"> </w:t>
      </w:r>
      <w:proofErr w:type="spellStart"/>
      <w:r w:rsidR="005C4C27" w:rsidRPr="005C4C27">
        <w:rPr>
          <w:rFonts w:ascii="Times New Roman" w:hAnsi="Times New Roman"/>
          <w:lang w:val="pt-BR"/>
        </w:rPr>
        <w:t>Evolution</w:t>
      </w:r>
      <w:proofErr w:type="spellEnd"/>
      <w:r w:rsidR="005C4C27" w:rsidRPr="005C4C27">
        <w:rPr>
          <w:rFonts w:ascii="Times New Roman" w:hAnsi="Times New Roman"/>
          <w:lang w:val="pt-BR"/>
        </w:rPr>
        <w:t xml:space="preserve"> com detector CCD, utilizando </w:t>
      </w:r>
      <w:r w:rsidR="00300489">
        <w:rPr>
          <w:rFonts w:ascii="Times New Roman" w:hAnsi="Times New Roman"/>
          <w:lang w:val="pt-BR"/>
        </w:rPr>
        <w:t>linha de laser de</w:t>
      </w:r>
      <w:r w:rsidR="005C4C27" w:rsidRPr="005C4C27">
        <w:rPr>
          <w:rFonts w:ascii="Times New Roman" w:hAnsi="Times New Roman"/>
          <w:lang w:val="pt-BR"/>
        </w:rPr>
        <w:t xml:space="preserve"> 532 </w:t>
      </w:r>
      <w:proofErr w:type="spellStart"/>
      <w:r w:rsidR="005C4C27" w:rsidRPr="005C4C27">
        <w:rPr>
          <w:rFonts w:ascii="Times New Roman" w:hAnsi="Times New Roman"/>
          <w:lang w:val="pt-BR"/>
        </w:rPr>
        <w:t>nm</w:t>
      </w:r>
      <w:proofErr w:type="spellEnd"/>
      <w:r w:rsidR="005C4C27" w:rsidRPr="005C4C27">
        <w:rPr>
          <w:rFonts w:ascii="Times New Roman" w:hAnsi="Times New Roman"/>
          <w:lang w:val="pt-BR"/>
        </w:rPr>
        <w:t xml:space="preserve"> como fonte de energia, com potência de 6,2 mW</w:t>
      </w:r>
      <w:r w:rsidR="005C4C27">
        <w:rPr>
          <w:rFonts w:ascii="Times New Roman" w:hAnsi="Times New Roman"/>
          <w:lang w:val="pt-BR"/>
        </w:rPr>
        <w:t>.</w:t>
      </w:r>
    </w:p>
    <w:p w14:paraId="136BD1AC" w14:textId="731A63B1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Resultados e Discussão</w:t>
      </w:r>
    </w:p>
    <w:p w14:paraId="4F57E16D" w14:textId="67324F70" w:rsidR="00D0305A" w:rsidRDefault="00D0305A" w:rsidP="00D0305A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Análise Termogravimétrica</w:t>
      </w:r>
    </w:p>
    <w:p w14:paraId="3FCB6F73" w14:textId="6B239C0A" w:rsidR="00300489" w:rsidRDefault="00D0305A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D0305A">
        <w:rPr>
          <w:rFonts w:ascii="Times New Roman" w:hAnsi="Times New Roman"/>
          <w:lang w:val="pt-BR"/>
        </w:rPr>
        <w:t xml:space="preserve">Das curvas obtidas por </w:t>
      </w:r>
      <w:proofErr w:type="spellStart"/>
      <w:r w:rsidRPr="00D0305A">
        <w:rPr>
          <w:rFonts w:ascii="Times New Roman" w:hAnsi="Times New Roman"/>
          <w:lang w:val="pt-BR"/>
        </w:rPr>
        <w:t>termogravimetria</w:t>
      </w:r>
      <w:proofErr w:type="spellEnd"/>
      <w:r w:rsidRPr="00D0305A">
        <w:rPr>
          <w:rFonts w:ascii="Times New Roman" w:hAnsi="Times New Roman"/>
          <w:lang w:val="pt-BR"/>
        </w:rPr>
        <w:t xml:space="preserve"> é possível observar perda de massa a baixas temperaturas (até 150°C) referente à perda de água do material, evidenciado pelo pico endotérmico do DTG em torno de 70°C</w:t>
      </w:r>
      <w:r w:rsidR="003B4A73">
        <w:rPr>
          <w:rFonts w:ascii="Times New Roman" w:hAnsi="Times New Roman"/>
          <w:lang w:val="pt-BR"/>
        </w:rPr>
        <w:t xml:space="preserve">, conforme </w:t>
      </w:r>
      <w:r w:rsidR="00300489">
        <w:rPr>
          <w:rFonts w:ascii="Times New Roman" w:hAnsi="Times New Roman"/>
          <w:lang w:val="pt-BR"/>
        </w:rPr>
        <w:t xml:space="preserve">ilustrado na </w:t>
      </w:r>
      <w:r w:rsidR="003B4A73">
        <w:rPr>
          <w:rFonts w:ascii="Times New Roman" w:hAnsi="Times New Roman"/>
          <w:lang w:val="pt-BR"/>
        </w:rPr>
        <w:t>Figura 1</w:t>
      </w:r>
      <w:r w:rsidRPr="00D0305A">
        <w:rPr>
          <w:rFonts w:ascii="Times New Roman" w:hAnsi="Times New Roman"/>
          <w:lang w:val="pt-BR"/>
        </w:rPr>
        <w:t xml:space="preserve">. Nesse primeiro evento, a perda de massa fica em torno de 16%. O segundo evento a temperaturas mais elevadas (a partir de 150°C) pode estar associada à dessorção de água da rede cristalina do suporte e a </w:t>
      </w:r>
      <w:proofErr w:type="spellStart"/>
      <w:r w:rsidRPr="00D0305A">
        <w:rPr>
          <w:rFonts w:ascii="Times New Roman" w:hAnsi="Times New Roman"/>
          <w:lang w:val="pt-BR"/>
        </w:rPr>
        <w:t>dehidroxilação</w:t>
      </w:r>
      <w:proofErr w:type="spellEnd"/>
      <w:r w:rsidRPr="00D0305A">
        <w:rPr>
          <w:rFonts w:ascii="Times New Roman" w:hAnsi="Times New Roman"/>
          <w:lang w:val="pt-BR"/>
        </w:rPr>
        <w:t xml:space="preserve"> dos grupos hidroxila da superfície da argila (</w:t>
      </w:r>
      <w:r w:rsidR="009E0B13">
        <w:rPr>
          <w:rFonts w:ascii="Times New Roman" w:hAnsi="Times New Roman"/>
          <w:lang w:val="pt-BR"/>
        </w:rPr>
        <w:t>14</w:t>
      </w:r>
      <w:r w:rsidRPr="00D0305A">
        <w:rPr>
          <w:rFonts w:ascii="Times New Roman" w:hAnsi="Times New Roman"/>
          <w:lang w:val="pt-BR"/>
        </w:rPr>
        <w:t>).</w:t>
      </w:r>
      <w:r w:rsidR="00300489">
        <w:rPr>
          <w:rFonts w:ascii="Times New Roman" w:hAnsi="Times New Roman"/>
          <w:lang w:val="pt-BR"/>
        </w:rPr>
        <w:t xml:space="preserve"> C</w:t>
      </w:r>
      <w:r w:rsidR="00300489" w:rsidRPr="00D0305A">
        <w:rPr>
          <w:rFonts w:ascii="Times New Roman" w:hAnsi="Times New Roman"/>
          <w:lang w:val="pt-BR"/>
        </w:rPr>
        <w:t>omo a amostra contém o precursor do óxido de tungstênio, a perda de massa em temperaturas mais elevadas também pode ser atribuída à decomposição desse precursor com liberação de NH</w:t>
      </w:r>
      <w:r w:rsidR="00300489" w:rsidRPr="00300489">
        <w:rPr>
          <w:rFonts w:ascii="Times New Roman" w:hAnsi="Times New Roman"/>
          <w:vertAlign w:val="subscript"/>
          <w:lang w:val="pt-BR"/>
        </w:rPr>
        <w:t>4</w:t>
      </w:r>
      <w:r w:rsidR="00300489" w:rsidRPr="00547C06">
        <w:rPr>
          <w:rFonts w:ascii="Times New Roman" w:hAnsi="Times New Roman"/>
          <w:vertAlign w:val="superscript"/>
          <w:lang w:val="pt-BR"/>
        </w:rPr>
        <w:t>+</w:t>
      </w:r>
      <w:r w:rsidR="00300489" w:rsidRPr="00D0305A">
        <w:rPr>
          <w:rFonts w:ascii="Times New Roman" w:hAnsi="Times New Roman"/>
          <w:lang w:val="pt-BR"/>
        </w:rPr>
        <w:t xml:space="preserve"> entre 250 e 500°C (</w:t>
      </w:r>
      <w:r w:rsidR="00300489">
        <w:rPr>
          <w:rFonts w:ascii="Times New Roman" w:hAnsi="Times New Roman"/>
          <w:lang w:val="pt-BR"/>
        </w:rPr>
        <w:t>15).</w:t>
      </w:r>
      <w:r w:rsidR="00300489" w:rsidRPr="00D0305A">
        <w:rPr>
          <w:rFonts w:ascii="Times New Roman" w:hAnsi="Times New Roman"/>
          <w:lang w:val="pt-BR"/>
        </w:rPr>
        <w:t xml:space="preserve"> A curva de DTG indica o início da estabilização do patamar a partir dos </w:t>
      </w:r>
      <w:r w:rsidR="00300489" w:rsidRPr="00D0305A">
        <w:rPr>
          <w:rFonts w:ascii="Times New Roman" w:hAnsi="Times New Roman"/>
          <w:lang w:val="pt-BR"/>
        </w:rPr>
        <w:lastRenderedPageBreak/>
        <w:t>600°C com perda de massa total de 26%</w:t>
      </w:r>
      <w:r w:rsidR="00300489">
        <w:rPr>
          <w:rFonts w:ascii="Times New Roman" w:hAnsi="Times New Roman"/>
          <w:lang w:val="pt-BR"/>
        </w:rPr>
        <w:t>, sendo essa a temperatura escolhida para calcinar as amostras.</w:t>
      </w:r>
    </w:p>
    <w:p w14:paraId="18E0B87C" w14:textId="0437655D" w:rsidR="009E0B13" w:rsidRDefault="0009102F" w:rsidP="00EA4E1B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9503" behindDoc="0" locked="0" layoutInCell="1" allowOverlap="1" wp14:anchorId="542D6883" wp14:editId="3D10B209">
            <wp:simplePos x="0" y="0"/>
            <wp:positionH relativeFrom="column">
              <wp:posOffset>3456305</wp:posOffset>
            </wp:positionH>
            <wp:positionV relativeFrom="paragraph">
              <wp:posOffset>2244544</wp:posOffset>
            </wp:positionV>
            <wp:extent cx="3104515" cy="2592705"/>
            <wp:effectExtent l="0" t="0" r="63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382" t="9044" r="10968" b="5125"/>
                    <a:stretch/>
                  </pic:blipFill>
                  <pic:spPr bwMode="auto">
                    <a:xfrm>
                      <a:off x="0" y="0"/>
                      <a:ext cx="3104515" cy="259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09D"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1311" behindDoc="0" locked="0" layoutInCell="1" allowOverlap="1" wp14:anchorId="6EFEE96E" wp14:editId="169B279D">
            <wp:simplePos x="0" y="0"/>
            <wp:positionH relativeFrom="margin">
              <wp:align>left</wp:align>
            </wp:positionH>
            <wp:positionV relativeFrom="paragraph">
              <wp:posOffset>148590</wp:posOffset>
            </wp:positionV>
            <wp:extent cx="3019425" cy="1980565"/>
            <wp:effectExtent l="0" t="0" r="2540" b="571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6"/>
                    <a:stretch/>
                  </pic:blipFill>
                  <pic:spPr bwMode="auto">
                    <a:xfrm>
                      <a:off x="0" y="0"/>
                      <a:ext cx="3019425" cy="198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99CD3" w14:textId="1FBD82C4" w:rsidR="00130FB1" w:rsidRDefault="003B4A73" w:rsidP="003B4A73">
      <w:pPr>
        <w:pStyle w:val="VAFigureCaption"/>
        <w:spacing w:befor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>Figura 1.</w:t>
      </w:r>
      <w:r w:rsidRPr="00E038AF">
        <w:rPr>
          <w:rFonts w:ascii="Times New Roman" w:hAnsi="Times New Roman"/>
          <w:lang w:val="pt-BR"/>
        </w:rPr>
        <w:t xml:space="preserve"> </w:t>
      </w:r>
      <w:r w:rsidRPr="003B4A73">
        <w:rPr>
          <w:rFonts w:ascii="Times New Roman" w:hAnsi="Times New Roman"/>
          <w:lang w:val="pt-BR"/>
        </w:rPr>
        <w:t>Curvas TGA/DTG em atmosfera inerte da amostra 5WO</w:t>
      </w:r>
      <w:r w:rsidRPr="00C959DC">
        <w:rPr>
          <w:rFonts w:ascii="Times New Roman" w:hAnsi="Times New Roman"/>
          <w:vertAlign w:val="subscript"/>
          <w:lang w:val="pt-BR"/>
        </w:rPr>
        <w:t>3</w:t>
      </w:r>
      <w:r w:rsidRPr="003B4A73">
        <w:rPr>
          <w:rFonts w:ascii="Times New Roman" w:hAnsi="Times New Roman"/>
          <w:lang w:val="pt-BR"/>
        </w:rPr>
        <w:t>/MMT</w:t>
      </w:r>
      <w:r>
        <w:rPr>
          <w:rFonts w:ascii="Times New Roman" w:hAnsi="Times New Roman"/>
          <w:lang w:val="pt-BR"/>
        </w:rPr>
        <w:t>.</w:t>
      </w:r>
    </w:p>
    <w:p w14:paraId="6BD65945" w14:textId="06FECE9C" w:rsidR="003B4A73" w:rsidRDefault="003B4A73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DB04C25" w14:textId="6F6D647B" w:rsidR="003B4A73" w:rsidRDefault="003B4A73" w:rsidP="00300489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Fluorescência de Raios X</w:t>
      </w:r>
    </w:p>
    <w:p w14:paraId="2527621B" w14:textId="6714DB4A" w:rsidR="00417C2D" w:rsidRDefault="003B4A73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3B4A73">
        <w:rPr>
          <w:rFonts w:ascii="Times New Roman" w:hAnsi="Times New Roman"/>
          <w:lang w:val="pt-BR"/>
        </w:rPr>
        <w:t xml:space="preserve">Os resultados </w:t>
      </w:r>
      <w:r w:rsidR="00C959DC">
        <w:rPr>
          <w:rFonts w:ascii="Times New Roman" w:hAnsi="Times New Roman"/>
          <w:lang w:val="pt-BR"/>
        </w:rPr>
        <w:t>mostrados na Tabela 1</w:t>
      </w:r>
      <w:r w:rsidRPr="003B4A73">
        <w:rPr>
          <w:rFonts w:ascii="Times New Roman" w:hAnsi="Times New Roman"/>
          <w:lang w:val="pt-BR"/>
        </w:rPr>
        <w:t xml:space="preserve"> indicam que a argila K-10 tem razão Si/Al de 5,42 e apresentou diversos minerais como Fe, K, Na e Mg, possivelmente de impurezas, substituições isomórficas na estrutura da montmorilonita e cátions </w:t>
      </w:r>
      <w:proofErr w:type="spellStart"/>
      <w:r w:rsidRPr="003B4A73">
        <w:rPr>
          <w:rFonts w:ascii="Times New Roman" w:hAnsi="Times New Roman"/>
          <w:lang w:val="pt-BR"/>
        </w:rPr>
        <w:t>interlamelares</w:t>
      </w:r>
      <w:proofErr w:type="spellEnd"/>
      <w:r w:rsidRPr="003B4A73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  <w:r w:rsidR="00C959DC" w:rsidRPr="003B4A73">
        <w:rPr>
          <w:rFonts w:ascii="Times New Roman" w:hAnsi="Times New Roman"/>
          <w:lang w:val="pt-BR"/>
        </w:rPr>
        <w:t xml:space="preserve">A porcentagem de Si e Al encontrada por </w:t>
      </w:r>
      <w:proofErr w:type="spellStart"/>
      <w:r w:rsidR="00C959DC" w:rsidRPr="003B4A73">
        <w:rPr>
          <w:rFonts w:ascii="Times New Roman" w:hAnsi="Times New Roman"/>
          <w:lang w:val="pt-BR"/>
        </w:rPr>
        <w:t>Cseri</w:t>
      </w:r>
      <w:proofErr w:type="spellEnd"/>
      <w:r w:rsidR="00C959DC" w:rsidRPr="003B4A73">
        <w:rPr>
          <w:rFonts w:ascii="Times New Roman" w:hAnsi="Times New Roman"/>
          <w:lang w:val="pt-BR"/>
        </w:rPr>
        <w:t xml:space="preserve"> et al. (1995) foi de 31,54% e 7,71% e por Hart e Brown (2004) foi </w:t>
      </w:r>
      <w:r w:rsidR="00C959DC">
        <w:rPr>
          <w:rFonts w:ascii="Times New Roman" w:hAnsi="Times New Roman"/>
          <w:lang w:val="pt-BR"/>
        </w:rPr>
        <w:t xml:space="preserve">de </w:t>
      </w:r>
      <w:r w:rsidR="00C959DC" w:rsidRPr="003B4A73">
        <w:rPr>
          <w:rFonts w:ascii="Times New Roman" w:hAnsi="Times New Roman"/>
          <w:lang w:val="pt-BR"/>
        </w:rPr>
        <w:t xml:space="preserve">34,1% e 7,4%, respectivamente, valores coerentes com o resultado </w:t>
      </w:r>
      <w:r w:rsidR="00C959DC">
        <w:rPr>
          <w:rFonts w:ascii="Times New Roman" w:hAnsi="Times New Roman"/>
          <w:lang w:val="pt-BR"/>
        </w:rPr>
        <w:t>exibido na</w:t>
      </w:r>
      <w:r w:rsidR="00C959DC" w:rsidRPr="003B4A73">
        <w:rPr>
          <w:rFonts w:ascii="Times New Roman" w:hAnsi="Times New Roman"/>
          <w:lang w:val="pt-BR"/>
        </w:rPr>
        <w:t xml:space="preserve"> Tabela 1 para a K-10.</w:t>
      </w:r>
      <w:r w:rsidR="00C959DC">
        <w:rPr>
          <w:rFonts w:ascii="Times New Roman" w:hAnsi="Times New Roman"/>
          <w:lang w:val="pt-BR"/>
        </w:rPr>
        <w:t xml:space="preserve"> </w:t>
      </w:r>
      <w:r w:rsidR="00C959DC" w:rsidRPr="00C959DC">
        <w:rPr>
          <w:rFonts w:ascii="Times New Roman" w:hAnsi="Times New Roman"/>
          <w:lang w:val="pt-BR"/>
        </w:rPr>
        <w:t xml:space="preserve">Em todas as amostras, as proporções mássicas experimentais </w:t>
      </w:r>
      <w:r w:rsidR="00C959DC">
        <w:rPr>
          <w:rFonts w:ascii="Times New Roman" w:hAnsi="Times New Roman"/>
          <w:lang w:val="pt-BR"/>
        </w:rPr>
        <w:t>de tungstênio e d</w:t>
      </w:r>
      <w:r w:rsidR="00C959DC" w:rsidRPr="00C959DC">
        <w:rPr>
          <w:rFonts w:ascii="Times New Roman" w:hAnsi="Times New Roman"/>
          <w:lang w:val="pt-BR"/>
        </w:rPr>
        <w:t>a platina foram bem próximas do valor nominal, indicando que as condições utilizadas no método de impregnação foram apropriadas para a incorporação d</w:t>
      </w:r>
      <w:r w:rsidR="00C959DC">
        <w:rPr>
          <w:rFonts w:ascii="Times New Roman" w:hAnsi="Times New Roman"/>
          <w:lang w:val="pt-BR"/>
        </w:rPr>
        <w:t>os metais.</w:t>
      </w:r>
    </w:p>
    <w:p w14:paraId="4CC9B4CA" w14:textId="21FDF9ED" w:rsidR="00417C2D" w:rsidRDefault="00417C2D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tbl>
      <w:tblPr>
        <w:tblStyle w:val="Tabelacomgrade"/>
        <w:tblW w:w="4952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479"/>
        <w:gridCol w:w="542"/>
        <w:gridCol w:w="542"/>
        <w:gridCol w:w="542"/>
        <w:gridCol w:w="542"/>
        <w:gridCol w:w="609"/>
      </w:tblGrid>
      <w:tr w:rsidR="00121092" w14:paraId="78938FB7" w14:textId="77777777" w:rsidTr="00121092">
        <w:trPr>
          <w:trHeight w:val="3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185C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>Amostras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55B8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 xml:space="preserve">Si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3496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 xml:space="preserve">Al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867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 xml:space="preserve">K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CD49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 xml:space="preserve">Na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3D4A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 xml:space="preserve">Mg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0BF9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proofErr w:type="spellStart"/>
            <w:r w:rsidRPr="00121092">
              <w:rPr>
                <w:lang w:val="pt-BR"/>
              </w:rPr>
              <w:t>Pt</w:t>
            </w:r>
            <w:proofErr w:type="spellEnd"/>
            <w:r w:rsidRPr="00121092">
              <w:rPr>
                <w:lang w:val="pt-BR"/>
              </w:rPr>
              <w:t xml:space="preserve">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2BEB" w14:textId="77777777" w:rsidR="00121092" w:rsidRPr="00121092" w:rsidRDefault="00121092" w:rsidP="00121092">
            <w:pPr>
              <w:pStyle w:val="TCTableBody"/>
              <w:jc w:val="center"/>
              <w:rPr>
                <w:lang w:val="pt-BR"/>
              </w:rPr>
            </w:pPr>
            <w:r w:rsidRPr="00121092">
              <w:rPr>
                <w:lang w:val="pt-BR"/>
              </w:rPr>
              <w:t xml:space="preserve">W </w:t>
            </w:r>
            <w:r w:rsidRPr="00121092">
              <w:rPr>
                <w:sz w:val="16"/>
                <w:szCs w:val="18"/>
                <w:lang w:val="pt-BR"/>
              </w:rPr>
              <w:t>(%)</w:t>
            </w:r>
          </w:p>
        </w:tc>
      </w:tr>
      <w:tr w:rsidR="00121092" w14:paraId="057738E7" w14:textId="77777777" w:rsidTr="00121092">
        <w:trPr>
          <w:trHeight w:val="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12E" w14:textId="77777777" w:rsidR="00121092" w:rsidRPr="00C959DC" w:rsidRDefault="00121092" w:rsidP="00121092">
            <w:pPr>
              <w:pStyle w:val="TCTableBody"/>
              <w:jc w:val="center"/>
              <w:rPr>
                <w:sz w:val="16"/>
                <w:szCs w:val="16"/>
                <w:lang w:val="pt-BR"/>
              </w:rPr>
            </w:pPr>
            <w:r w:rsidRPr="00C959DC">
              <w:rPr>
                <w:sz w:val="16"/>
                <w:szCs w:val="16"/>
                <w:lang w:val="pt-BR"/>
              </w:rPr>
              <w:t>MMT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0BBC" w14:textId="42BEA044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37</w:t>
            </w:r>
            <w:r w:rsidR="00C959DC">
              <w:rPr>
                <w:lang w:val="pt-BR"/>
              </w:rPr>
              <w:t>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05F6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6,8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F927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2,0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654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A61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736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0,0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67FF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0,0</w:t>
            </w:r>
          </w:p>
        </w:tc>
      </w:tr>
      <w:tr w:rsidR="00121092" w14:paraId="64C2580E" w14:textId="77777777" w:rsidTr="00121092">
        <w:trPr>
          <w:trHeight w:val="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B11C" w14:textId="77777777" w:rsidR="00121092" w:rsidRPr="00C959DC" w:rsidRDefault="00121092" w:rsidP="00121092">
            <w:pPr>
              <w:pStyle w:val="TCTableBody"/>
              <w:jc w:val="center"/>
              <w:rPr>
                <w:sz w:val="16"/>
                <w:szCs w:val="16"/>
                <w:lang w:val="pt-BR"/>
              </w:rPr>
            </w:pPr>
            <w:proofErr w:type="spellStart"/>
            <w:r w:rsidRPr="00C959DC">
              <w:rPr>
                <w:sz w:val="16"/>
                <w:szCs w:val="16"/>
                <w:lang w:val="pt-BR"/>
              </w:rPr>
              <w:t>Pt</w:t>
            </w:r>
            <w:proofErr w:type="spellEnd"/>
            <w:r w:rsidRPr="00C959DC">
              <w:rPr>
                <w:sz w:val="16"/>
                <w:szCs w:val="16"/>
                <w:lang w:val="pt-BR"/>
              </w:rPr>
              <w:t>/MMT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6C0C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33,3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B8EA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6,2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42A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2,0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F304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D0C5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73E5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5A0" w14:textId="6379F4A3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0</w:t>
            </w:r>
            <w:r w:rsidR="00C959DC">
              <w:rPr>
                <w:lang w:val="pt-BR"/>
              </w:rPr>
              <w:t>,0</w:t>
            </w:r>
          </w:p>
        </w:tc>
      </w:tr>
      <w:tr w:rsidR="00121092" w14:paraId="09AF7820" w14:textId="77777777" w:rsidTr="00121092">
        <w:trPr>
          <w:trHeight w:val="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F3C" w14:textId="77777777" w:rsidR="00121092" w:rsidRPr="00C959DC" w:rsidRDefault="00121092" w:rsidP="00121092">
            <w:pPr>
              <w:pStyle w:val="TCTableBody"/>
              <w:jc w:val="center"/>
              <w:rPr>
                <w:sz w:val="16"/>
                <w:szCs w:val="16"/>
                <w:lang w:val="pt-BR"/>
              </w:rPr>
            </w:pPr>
            <w:r w:rsidRPr="00C959DC">
              <w:rPr>
                <w:sz w:val="16"/>
                <w:szCs w:val="16"/>
                <w:lang w:val="pt-BR"/>
              </w:rPr>
              <w:t>Pt-5WO</w:t>
            </w:r>
            <w:r w:rsidRPr="00C959DC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C959DC">
              <w:rPr>
                <w:sz w:val="16"/>
                <w:szCs w:val="16"/>
                <w:lang w:val="pt-BR"/>
              </w:rPr>
              <w:t>/MMT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54B8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30,1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1254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5,8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230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340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A403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0,9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E12C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2FCC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3,4</w:t>
            </w:r>
          </w:p>
        </w:tc>
      </w:tr>
      <w:tr w:rsidR="00121092" w14:paraId="2ABC991C" w14:textId="77777777" w:rsidTr="00121092">
        <w:trPr>
          <w:trHeight w:val="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105C" w14:textId="77777777" w:rsidR="00121092" w:rsidRPr="00C959DC" w:rsidRDefault="00121092" w:rsidP="00121092">
            <w:pPr>
              <w:pStyle w:val="TCTableBody"/>
              <w:jc w:val="center"/>
              <w:rPr>
                <w:sz w:val="16"/>
                <w:szCs w:val="16"/>
                <w:lang w:val="pt-BR"/>
              </w:rPr>
            </w:pPr>
            <w:r w:rsidRPr="00C959DC">
              <w:rPr>
                <w:sz w:val="16"/>
                <w:szCs w:val="16"/>
                <w:lang w:val="pt-BR"/>
              </w:rPr>
              <w:t>Pt-10WO</w:t>
            </w:r>
            <w:r w:rsidRPr="00C959DC">
              <w:rPr>
                <w:sz w:val="16"/>
                <w:szCs w:val="16"/>
                <w:vertAlign w:val="subscript"/>
                <w:lang w:val="pt-BR"/>
              </w:rPr>
              <w:t>3</w:t>
            </w:r>
            <w:r w:rsidRPr="00C959DC">
              <w:rPr>
                <w:sz w:val="16"/>
                <w:szCs w:val="16"/>
                <w:lang w:val="pt-BR"/>
              </w:rPr>
              <w:t>/MMT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5DC2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23,6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A821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4,9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E9B7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BE1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4D76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0,6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FBBB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2,4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01F5" w14:textId="77777777" w:rsidR="00121092" w:rsidRPr="00417C2D" w:rsidRDefault="00121092" w:rsidP="0009102F">
            <w:pPr>
              <w:pStyle w:val="TCTableBody"/>
              <w:jc w:val="center"/>
              <w:rPr>
                <w:lang w:val="pt-BR"/>
              </w:rPr>
            </w:pPr>
            <w:r w:rsidRPr="00417C2D">
              <w:rPr>
                <w:lang w:val="pt-BR"/>
              </w:rPr>
              <w:t>9,1</w:t>
            </w:r>
          </w:p>
        </w:tc>
      </w:tr>
      <w:tr w:rsidR="00121092" w14:paraId="5EC02A78" w14:textId="77777777" w:rsidTr="00121092">
        <w:trPr>
          <w:trHeight w:val="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2AB" w14:textId="77777777" w:rsidR="00121092" w:rsidRPr="00C959DC" w:rsidRDefault="00121092" w:rsidP="00121092">
            <w:pPr>
              <w:pStyle w:val="TAMainText"/>
              <w:ind w:firstLine="187"/>
              <w:jc w:val="center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C959DC">
              <w:rPr>
                <w:rFonts w:ascii="Times New Roman" w:hAnsi="Times New Roman"/>
                <w:sz w:val="16"/>
                <w:szCs w:val="16"/>
                <w:lang w:val="pt-BR"/>
              </w:rPr>
              <w:t>Pt-15WO</w:t>
            </w:r>
            <w:r w:rsidRPr="00C959DC">
              <w:rPr>
                <w:rFonts w:ascii="Times New Roman" w:hAnsi="Times New Roman"/>
                <w:sz w:val="16"/>
                <w:szCs w:val="16"/>
                <w:vertAlign w:val="subscript"/>
                <w:lang w:val="pt-BR"/>
              </w:rPr>
              <w:t>3</w:t>
            </w:r>
            <w:r w:rsidRPr="00C959DC">
              <w:rPr>
                <w:rFonts w:ascii="Times New Roman" w:hAnsi="Times New Roman"/>
                <w:sz w:val="16"/>
                <w:szCs w:val="16"/>
                <w:lang w:val="pt-BR"/>
              </w:rPr>
              <w:t>/MMT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9623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18,8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A984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4,3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3EB3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1,8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330F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1,6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9DAA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0,1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3619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2,1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EF1" w14:textId="77777777" w:rsidR="00121092" w:rsidRPr="00274BEE" w:rsidRDefault="00121092" w:rsidP="0009102F">
            <w:pPr>
              <w:pStyle w:val="TAMainText"/>
              <w:ind w:firstLine="0"/>
              <w:jc w:val="center"/>
              <w:rPr>
                <w:rFonts w:ascii="Times New Roman" w:hAnsi="Times New Roman"/>
                <w:lang w:val="pt-BR"/>
              </w:rPr>
            </w:pPr>
            <w:r w:rsidRPr="00274BEE">
              <w:rPr>
                <w:rFonts w:ascii="Times New Roman" w:hAnsi="Times New Roman"/>
                <w:lang w:val="pt-BR"/>
              </w:rPr>
              <w:t>14,6</w:t>
            </w:r>
          </w:p>
        </w:tc>
      </w:tr>
    </w:tbl>
    <w:p w14:paraId="788361D7" w14:textId="77777777" w:rsidR="00274BEE" w:rsidRDefault="00274BEE" w:rsidP="00274BEE">
      <w:pPr>
        <w:pStyle w:val="TAMainText"/>
        <w:ind w:firstLine="0"/>
        <w:rPr>
          <w:rFonts w:ascii="Times New Roman" w:hAnsi="Times New Roman"/>
          <w:b/>
          <w:lang w:val="pt-BR"/>
        </w:rPr>
      </w:pPr>
    </w:p>
    <w:p w14:paraId="67EDF961" w14:textId="07AB43EE" w:rsidR="00274BEE" w:rsidRDefault="00274BEE" w:rsidP="00C959DC">
      <w:pPr>
        <w:pStyle w:val="TAMainText"/>
        <w:spacing w:line="240" w:lineRule="auto"/>
        <w:ind w:firstLin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Tabela </w:t>
      </w:r>
      <w:r w:rsidR="00904C0A">
        <w:rPr>
          <w:rFonts w:ascii="Times New Roman" w:hAnsi="Times New Roman"/>
          <w:b/>
          <w:lang w:val="pt-BR"/>
        </w:rPr>
        <w:t>1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Pr="00274BEE">
        <w:rPr>
          <w:rFonts w:ascii="Times New Roman" w:hAnsi="Times New Roman"/>
          <w:lang w:val="pt-BR"/>
        </w:rPr>
        <w:t>Composição química das amostras em porcentagem mássica.</w:t>
      </w:r>
    </w:p>
    <w:p w14:paraId="1B95E972" w14:textId="77777777" w:rsidR="00641F2B" w:rsidRDefault="00641F2B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5566FD3" w14:textId="0FDF4B93" w:rsidR="003B4A73" w:rsidRDefault="003B4A73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987AB81" w14:textId="2B41C3C3" w:rsidR="003B4A73" w:rsidRDefault="00417C2D" w:rsidP="00417C2D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t>Difração de Raios X</w:t>
      </w:r>
    </w:p>
    <w:p w14:paraId="63479F21" w14:textId="5872750E" w:rsidR="004F646D" w:rsidRDefault="00417C2D" w:rsidP="004F646D">
      <w:pPr>
        <w:pStyle w:val="TAMainText"/>
        <w:ind w:firstLine="187"/>
        <w:rPr>
          <w:rFonts w:ascii="Times New Roman" w:hAnsi="Times New Roman"/>
          <w:lang w:val="pt-BR"/>
        </w:rPr>
      </w:pPr>
      <w:r w:rsidRPr="00417C2D">
        <w:rPr>
          <w:rFonts w:ascii="Times New Roman" w:hAnsi="Times New Roman"/>
          <w:lang w:val="pt-BR"/>
        </w:rPr>
        <w:t xml:space="preserve">Os </w:t>
      </w:r>
      <w:proofErr w:type="spellStart"/>
      <w:r w:rsidRPr="00417C2D">
        <w:rPr>
          <w:rFonts w:ascii="Times New Roman" w:hAnsi="Times New Roman"/>
          <w:lang w:val="pt-BR"/>
        </w:rPr>
        <w:t>difratogramas</w:t>
      </w:r>
      <w:proofErr w:type="spellEnd"/>
      <w:r w:rsidRPr="00417C2D">
        <w:rPr>
          <w:rFonts w:ascii="Times New Roman" w:hAnsi="Times New Roman"/>
          <w:lang w:val="pt-BR"/>
        </w:rPr>
        <w:t xml:space="preserve"> de raios X a alto ângulo</w:t>
      </w:r>
      <w:r w:rsidR="000108CD">
        <w:rPr>
          <w:rFonts w:ascii="Times New Roman" w:hAnsi="Times New Roman"/>
          <w:lang w:val="pt-BR"/>
        </w:rPr>
        <w:t xml:space="preserve"> da amostra MMT</w:t>
      </w:r>
      <w:r w:rsidRPr="00417C2D">
        <w:rPr>
          <w:rFonts w:ascii="Times New Roman" w:hAnsi="Times New Roman"/>
          <w:lang w:val="pt-BR"/>
        </w:rPr>
        <w:t xml:space="preserve"> mostrou picos correspondentes à montmorilonita em 19,8°, 34,9° e 61,8°, associados aos planos (101), (107) e (060), respectivamente, bem como um ombro próximo de 5° que pode estar associado ao plano basal (001) da montmorilonita (JCPDS 29-1499). Como a argila é uma mistura de minerais, algumas impurezas aparecem no </w:t>
      </w:r>
      <w:proofErr w:type="spellStart"/>
      <w:r w:rsidRPr="00417C2D">
        <w:rPr>
          <w:rFonts w:ascii="Times New Roman" w:hAnsi="Times New Roman"/>
          <w:lang w:val="pt-BR"/>
        </w:rPr>
        <w:t>difratograma</w:t>
      </w:r>
      <w:proofErr w:type="spellEnd"/>
      <w:r w:rsidRPr="00417C2D">
        <w:rPr>
          <w:rFonts w:ascii="Times New Roman" w:hAnsi="Times New Roman"/>
          <w:lang w:val="pt-BR"/>
        </w:rPr>
        <w:t xml:space="preserve">, com picos do quartzo em 20,8°, 26,6°, 36,5° e 50,2° correspondentes aos planos (100), (101), (110) e (112), respectivamente (JCPDS 46-1045). Também foi possível identificar picos em 8,8° e 17,7° referente aos planos (002) e (004) da </w:t>
      </w:r>
      <w:proofErr w:type="spellStart"/>
      <w:r w:rsidRPr="00417C2D">
        <w:rPr>
          <w:rFonts w:ascii="Times New Roman" w:hAnsi="Times New Roman"/>
          <w:lang w:val="pt-BR"/>
        </w:rPr>
        <w:t>ilita</w:t>
      </w:r>
      <w:proofErr w:type="spellEnd"/>
      <w:r w:rsidRPr="00417C2D">
        <w:rPr>
          <w:rFonts w:ascii="Times New Roman" w:hAnsi="Times New Roman"/>
          <w:lang w:val="pt-BR"/>
        </w:rPr>
        <w:t xml:space="preserve"> (JCPDS 26-0911) e pico em 27,8° associado ao feldspato (JCPDS 84-0710)</w:t>
      </w:r>
      <w:r>
        <w:rPr>
          <w:rFonts w:ascii="Times New Roman" w:hAnsi="Times New Roman"/>
          <w:lang w:val="pt-BR"/>
        </w:rPr>
        <w:t xml:space="preserve">, conforme </w:t>
      </w:r>
      <w:r w:rsidR="0009102F">
        <w:rPr>
          <w:rFonts w:ascii="Times New Roman" w:hAnsi="Times New Roman"/>
          <w:lang w:val="pt-BR"/>
        </w:rPr>
        <w:t xml:space="preserve">mostrado na </w:t>
      </w:r>
      <w:r>
        <w:rPr>
          <w:rFonts w:ascii="Times New Roman" w:hAnsi="Times New Roman"/>
          <w:lang w:val="pt-BR"/>
        </w:rPr>
        <w:t>Figura 2.</w:t>
      </w:r>
      <w:r w:rsidR="000108CD">
        <w:rPr>
          <w:rFonts w:ascii="Times New Roman" w:hAnsi="Times New Roman"/>
          <w:lang w:val="pt-BR"/>
        </w:rPr>
        <w:t xml:space="preserve"> As demais amostras apresentaram o mesmo padrão de picos da MMT.</w:t>
      </w:r>
      <w:r w:rsidR="0009102F">
        <w:rPr>
          <w:rFonts w:ascii="Times New Roman" w:hAnsi="Times New Roman"/>
          <w:lang w:val="pt-BR"/>
        </w:rPr>
        <w:t xml:space="preserve"> </w:t>
      </w:r>
    </w:p>
    <w:p w14:paraId="2F389BD9" w14:textId="77777777" w:rsidR="0009102F" w:rsidRDefault="0009102F" w:rsidP="0009102F">
      <w:pPr>
        <w:pStyle w:val="VAFigureCaption"/>
        <w:spacing w:before="0"/>
        <w:rPr>
          <w:rFonts w:ascii="Times New Roman" w:hAnsi="Times New Roman"/>
          <w:b/>
          <w:lang w:val="pt-BR"/>
        </w:rPr>
      </w:pPr>
    </w:p>
    <w:p w14:paraId="42C580B7" w14:textId="69B065A7" w:rsidR="0009102F" w:rsidRDefault="0009102F" w:rsidP="0009102F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</w:t>
      </w:r>
      <w:r w:rsidRPr="00E038AF">
        <w:rPr>
          <w:rFonts w:ascii="Times New Roman" w:hAnsi="Times New Roman"/>
          <w:b/>
          <w:lang w:val="pt-BR"/>
        </w:rPr>
        <w:t xml:space="preserve">igura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proofErr w:type="spellStart"/>
      <w:r w:rsidRPr="00417C2D">
        <w:rPr>
          <w:rFonts w:ascii="Times New Roman" w:hAnsi="Times New Roman"/>
          <w:lang w:val="pt-BR"/>
        </w:rPr>
        <w:t>Difratograma</w:t>
      </w:r>
      <w:proofErr w:type="spellEnd"/>
      <w:r w:rsidRPr="00417C2D">
        <w:rPr>
          <w:rFonts w:ascii="Times New Roman" w:hAnsi="Times New Roman"/>
          <w:lang w:val="pt-BR"/>
        </w:rPr>
        <w:t xml:space="preserve"> de raios x a alto ângulo das amostras de montmorilonita </w:t>
      </w:r>
    </w:p>
    <w:p w14:paraId="317ED4A4" w14:textId="77777777" w:rsidR="0009102F" w:rsidRDefault="0009102F" w:rsidP="0009102F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76F7E3F" w14:textId="3548DDA2" w:rsidR="0009102F" w:rsidRDefault="0009102F" w:rsidP="0009102F">
      <w:pPr>
        <w:pStyle w:val="TAMainText"/>
        <w:ind w:firstLine="187"/>
        <w:rPr>
          <w:rFonts w:ascii="Times New Roman" w:hAnsi="Times New Roman"/>
          <w:lang w:val="pt-BR"/>
        </w:rPr>
      </w:pPr>
      <w:r w:rsidRPr="00417C2D">
        <w:rPr>
          <w:rFonts w:ascii="Times New Roman" w:hAnsi="Times New Roman"/>
          <w:lang w:val="pt-BR"/>
        </w:rPr>
        <w:t>Após a impregnação</w:t>
      </w:r>
      <w:r>
        <w:rPr>
          <w:rFonts w:ascii="Times New Roman" w:hAnsi="Times New Roman"/>
          <w:lang w:val="pt-BR"/>
        </w:rPr>
        <w:t xml:space="preserve"> com o tungstênio e a platina</w:t>
      </w:r>
      <w:r w:rsidRPr="00417C2D">
        <w:rPr>
          <w:rFonts w:ascii="Times New Roman" w:hAnsi="Times New Roman"/>
          <w:lang w:val="pt-BR"/>
        </w:rPr>
        <w:t xml:space="preserve">, os </w:t>
      </w:r>
      <w:proofErr w:type="spellStart"/>
      <w:r w:rsidRPr="00417C2D">
        <w:rPr>
          <w:rFonts w:ascii="Times New Roman" w:hAnsi="Times New Roman"/>
          <w:lang w:val="pt-BR"/>
        </w:rPr>
        <w:t>difratogramas</w:t>
      </w:r>
      <w:proofErr w:type="spellEnd"/>
      <w:r w:rsidRPr="00417C2D">
        <w:rPr>
          <w:rFonts w:ascii="Times New Roman" w:hAnsi="Times New Roman"/>
          <w:lang w:val="pt-BR"/>
        </w:rPr>
        <w:t xml:space="preserve"> não apresentaram deslocamento em relação aos picos do suporte (MMT), sendo observado apenas a redução da intensidade desses picos, devido à perda de cristalinidade, e a presença sutil de espécie</w:t>
      </w:r>
      <w:r>
        <w:rPr>
          <w:rFonts w:ascii="Times New Roman" w:hAnsi="Times New Roman"/>
          <w:lang w:val="pt-BR"/>
        </w:rPr>
        <w:t>s</w:t>
      </w:r>
      <w:r w:rsidRPr="00417C2D">
        <w:rPr>
          <w:rFonts w:ascii="Times New Roman" w:hAnsi="Times New Roman"/>
          <w:lang w:val="pt-BR"/>
        </w:rPr>
        <w:t xml:space="preserve"> oxida</w:t>
      </w:r>
      <w:r>
        <w:rPr>
          <w:rFonts w:ascii="Times New Roman" w:hAnsi="Times New Roman"/>
          <w:lang w:val="pt-BR"/>
        </w:rPr>
        <w:t>da</w:t>
      </w:r>
      <w:r w:rsidRPr="00417C2D">
        <w:rPr>
          <w:rFonts w:ascii="Times New Roman" w:hAnsi="Times New Roman"/>
          <w:lang w:val="pt-BR"/>
        </w:rPr>
        <w:t>s e metálicas das fases ativas. Os picos em 39,7° e 46,2° estão associados aos planos (111) e (200) da platina metálica de estrutura cúbica de face centrada (JCPDS 04-0802) e os picos em 23,1°, 23,5° e 24,3° correspondem aos planos (002), (020) e (200), respectivamente</w:t>
      </w:r>
      <w:r>
        <w:rPr>
          <w:rFonts w:ascii="Times New Roman" w:hAnsi="Times New Roman"/>
          <w:lang w:val="pt-BR"/>
        </w:rPr>
        <w:t>, da fase</w:t>
      </w:r>
      <w:r w:rsidRPr="00417C2D">
        <w:rPr>
          <w:rFonts w:ascii="Times New Roman" w:hAnsi="Times New Roman"/>
          <w:lang w:val="pt-BR"/>
        </w:rPr>
        <w:t xml:space="preserve"> </w:t>
      </w:r>
      <w:proofErr w:type="gramStart"/>
      <w:r w:rsidRPr="00417C2D">
        <w:rPr>
          <w:rFonts w:ascii="Times New Roman" w:hAnsi="Times New Roman"/>
          <w:lang w:val="pt-BR"/>
        </w:rPr>
        <w:t>monoclínic</w:t>
      </w:r>
      <w:r>
        <w:rPr>
          <w:rFonts w:ascii="Times New Roman" w:hAnsi="Times New Roman"/>
          <w:lang w:val="pt-BR"/>
        </w:rPr>
        <w:t xml:space="preserve">a  </w:t>
      </w:r>
      <w:r w:rsidRPr="00417C2D">
        <w:rPr>
          <w:rFonts w:ascii="Times New Roman" w:hAnsi="Times New Roman"/>
          <w:lang w:val="pt-BR"/>
        </w:rPr>
        <w:t>do</w:t>
      </w:r>
      <w:proofErr w:type="gramEnd"/>
      <w:r w:rsidRPr="00417C2D">
        <w:rPr>
          <w:rFonts w:ascii="Times New Roman" w:hAnsi="Times New Roman"/>
          <w:lang w:val="pt-BR"/>
        </w:rPr>
        <w:t xml:space="preserve"> WO</w:t>
      </w:r>
      <w:r w:rsidRPr="001672EC">
        <w:rPr>
          <w:rFonts w:ascii="Times New Roman" w:hAnsi="Times New Roman"/>
          <w:vertAlign w:val="subscript"/>
          <w:lang w:val="pt-BR"/>
        </w:rPr>
        <w:t>3</w:t>
      </w:r>
      <w:r w:rsidRPr="00417C2D">
        <w:rPr>
          <w:rFonts w:ascii="Times New Roman" w:hAnsi="Times New Roman"/>
          <w:lang w:val="pt-BR"/>
        </w:rPr>
        <w:t xml:space="preserve"> monoclínico (JCPDS 72-1465), em concordância com os trabalhos de </w:t>
      </w:r>
      <w:proofErr w:type="spellStart"/>
      <w:r w:rsidRPr="00417C2D">
        <w:rPr>
          <w:rFonts w:ascii="Times New Roman" w:hAnsi="Times New Roman"/>
          <w:lang w:val="pt-BR"/>
        </w:rPr>
        <w:t>Sungpanich</w:t>
      </w:r>
      <w:proofErr w:type="spellEnd"/>
      <w:r w:rsidRPr="00417C2D">
        <w:rPr>
          <w:rFonts w:ascii="Times New Roman" w:hAnsi="Times New Roman"/>
          <w:lang w:val="pt-BR"/>
        </w:rPr>
        <w:t xml:space="preserve"> et al. (2014) e Zhu et al. (2021).</w:t>
      </w:r>
    </w:p>
    <w:p w14:paraId="3A01859C" w14:textId="448AD637" w:rsidR="0009102F" w:rsidRDefault="0009102F" w:rsidP="004F646D">
      <w:pPr>
        <w:pStyle w:val="TAMainText"/>
        <w:ind w:firstLine="187"/>
        <w:rPr>
          <w:rFonts w:ascii="Times New Roman" w:hAnsi="Times New Roman"/>
          <w:lang w:val="pt-BR"/>
        </w:rPr>
      </w:pPr>
    </w:p>
    <w:p w14:paraId="1D48D8BE" w14:textId="0EAFC5EC" w:rsidR="0009102F" w:rsidRDefault="0009102F" w:rsidP="004F646D">
      <w:pPr>
        <w:pStyle w:val="TAMainText"/>
        <w:ind w:firstLine="187"/>
        <w:rPr>
          <w:rFonts w:ascii="Times New Roman" w:hAnsi="Times New Roman"/>
          <w:lang w:val="pt-BR"/>
        </w:rPr>
      </w:pPr>
    </w:p>
    <w:p w14:paraId="08489A7F" w14:textId="645BB09C" w:rsidR="0009102F" w:rsidRDefault="0009102F" w:rsidP="004F646D">
      <w:pPr>
        <w:pStyle w:val="TAMainText"/>
        <w:ind w:firstLine="187"/>
        <w:rPr>
          <w:rFonts w:ascii="Times New Roman" w:hAnsi="Times New Roman"/>
          <w:lang w:val="pt-BR"/>
        </w:rPr>
      </w:pPr>
    </w:p>
    <w:p w14:paraId="2C932C89" w14:textId="77777777" w:rsidR="0009102F" w:rsidRDefault="0009102F" w:rsidP="004F646D">
      <w:pPr>
        <w:pStyle w:val="TAMainText"/>
        <w:ind w:firstLine="187"/>
        <w:rPr>
          <w:rFonts w:ascii="Times New Roman" w:hAnsi="Times New Roman"/>
          <w:lang w:val="pt-BR"/>
        </w:rPr>
      </w:pPr>
    </w:p>
    <w:p w14:paraId="7678153E" w14:textId="2E138390" w:rsidR="00D53549" w:rsidRDefault="00D53549" w:rsidP="00D53549">
      <w:pPr>
        <w:pStyle w:val="TAMainText"/>
        <w:ind w:firstLine="0"/>
        <w:rPr>
          <w:rFonts w:ascii="Times New Roman" w:hAnsi="Times New Roman"/>
          <w:lang w:val="pt-BR"/>
        </w:rPr>
      </w:pPr>
      <w:r>
        <w:rPr>
          <w:rFonts w:ascii="Times New Roman" w:hAnsi="Times New Roman"/>
          <w:i/>
          <w:lang w:val="pt-BR"/>
        </w:rPr>
        <w:lastRenderedPageBreak/>
        <w:t xml:space="preserve">Análise </w:t>
      </w:r>
      <w:proofErr w:type="spellStart"/>
      <w:r>
        <w:rPr>
          <w:rFonts w:ascii="Times New Roman" w:hAnsi="Times New Roman"/>
          <w:i/>
          <w:lang w:val="pt-BR"/>
        </w:rPr>
        <w:t>Textural</w:t>
      </w:r>
      <w:proofErr w:type="spellEnd"/>
    </w:p>
    <w:p w14:paraId="3E59A069" w14:textId="3269D35C" w:rsidR="002D54DF" w:rsidRDefault="009C509D" w:rsidP="00E72C8E">
      <w:pPr>
        <w:pStyle w:val="TAMainText"/>
        <w:ind w:firstLine="204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pt-BR"/>
        </w:rPr>
        <w:drawing>
          <wp:anchor distT="0" distB="0" distL="114300" distR="114300" simplePos="0" relativeHeight="251667455" behindDoc="0" locked="0" layoutInCell="1" allowOverlap="1" wp14:anchorId="3B7B8D08" wp14:editId="49825A58">
            <wp:simplePos x="0" y="0"/>
            <wp:positionH relativeFrom="margin">
              <wp:posOffset>98573</wp:posOffset>
            </wp:positionH>
            <wp:positionV relativeFrom="paragraph">
              <wp:posOffset>2215899</wp:posOffset>
            </wp:positionV>
            <wp:extent cx="2847975" cy="2393950"/>
            <wp:effectExtent l="0" t="0" r="0" b="6350"/>
            <wp:wrapSquare wrapText="bothSides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2" t="8152" r="10053" b="3488"/>
                    <a:stretch/>
                  </pic:blipFill>
                  <pic:spPr bwMode="auto">
                    <a:xfrm>
                      <a:off x="0" y="0"/>
                      <a:ext cx="2847975" cy="239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549" w:rsidRPr="00D53549">
        <w:rPr>
          <w:rFonts w:ascii="Times New Roman" w:hAnsi="Times New Roman"/>
          <w:lang w:val="pt-BR"/>
        </w:rPr>
        <w:t>As isotermas de adsorção/dessorção de nitrogênio dos catalisadores</w:t>
      </w:r>
      <w:r w:rsidR="00B22781">
        <w:rPr>
          <w:rFonts w:ascii="Times New Roman" w:hAnsi="Times New Roman"/>
          <w:lang w:val="pt-BR"/>
        </w:rPr>
        <w:t xml:space="preserve"> (Figura 3)</w:t>
      </w:r>
      <w:r w:rsidR="00D53549" w:rsidRPr="00D53549">
        <w:rPr>
          <w:rFonts w:ascii="Times New Roman" w:hAnsi="Times New Roman"/>
          <w:lang w:val="pt-BR"/>
        </w:rPr>
        <w:t xml:space="preserve"> apresentaram perfil Tipo II e histerese H3, relacionado</w:t>
      </w:r>
      <w:r w:rsidR="0009102F">
        <w:rPr>
          <w:rFonts w:ascii="Times New Roman" w:hAnsi="Times New Roman"/>
          <w:lang w:val="pt-BR"/>
        </w:rPr>
        <w:t xml:space="preserve"> a</w:t>
      </w:r>
      <w:r w:rsidR="00D53549" w:rsidRPr="00D53549">
        <w:rPr>
          <w:rFonts w:ascii="Times New Roman" w:hAnsi="Times New Roman"/>
          <w:lang w:val="pt-BR"/>
        </w:rPr>
        <w:t xml:space="preserve"> materiais não porosos ou </w:t>
      </w:r>
      <w:proofErr w:type="spellStart"/>
      <w:r w:rsidR="00D53549" w:rsidRPr="00D53549">
        <w:rPr>
          <w:rFonts w:ascii="Times New Roman" w:hAnsi="Times New Roman"/>
          <w:lang w:val="pt-BR"/>
        </w:rPr>
        <w:t>macroporosos</w:t>
      </w:r>
      <w:proofErr w:type="spellEnd"/>
      <w:r w:rsidR="00D53549" w:rsidRPr="00D53549">
        <w:rPr>
          <w:rFonts w:ascii="Times New Roman" w:hAnsi="Times New Roman"/>
          <w:lang w:val="pt-BR"/>
        </w:rPr>
        <w:t xml:space="preserve"> com agregados de partículas tipo placas e poros em forma de fendas</w:t>
      </w:r>
      <w:r w:rsidR="0009102F">
        <w:rPr>
          <w:rFonts w:ascii="Times New Roman" w:hAnsi="Times New Roman"/>
          <w:lang w:val="pt-BR"/>
        </w:rPr>
        <w:t>,</w:t>
      </w:r>
      <w:r w:rsidR="00D53549" w:rsidRPr="00D53549">
        <w:rPr>
          <w:rFonts w:ascii="Times New Roman" w:hAnsi="Times New Roman"/>
          <w:lang w:val="pt-BR"/>
        </w:rPr>
        <w:t xml:space="preserve"> </w:t>
      </w:r>
      <w:r w:rsidR="0009102F">
        <w:rPr>
          <w:rFonts w:ascii="Times New Roman" w:hAnsi="Times New Roman"/>
          <w:lang w:val="pt-BR"/>
        </w:rPr>
        <w:t>conforme</w:t>
      </w:r>
      <w:r w:rsidR="00D53549" w:rsidRPr="00D53549">
        <w:rPr>
          <w:rFonts w:ascii="Times New Roman" w:hAnsi="Times New Roman"/>
          <w:lang w:val="pt-BR"/>
        </w:rPr>
        <w:t xml:space="preserve"> a classificação da IUPAC. De acordo com os resultados, a presença de </w:t>
      </w:r>
      <w:proofErr w:type="spellStart"/>
      <w:r w:rsidR="00D53549" w:rsidRPr="00D53549">
        <w:rPr>
          <w:rFonts w:ascii="Times New Roman" w:hAnsi="Times New Roman"/>
          <w:lang w:val="pt-BR"/>
        </w:rPr>
        <w:t>microporos</w:t>
      </w:r>
      <w:proofErr w:type="spellEnd"/>
      <w:r w:rsidR="00D53549" w:rsidRPr="00D53549">
        <w:rPr>
          <w:rFonts w:ascii="Times New Roman" w:hAnsi="Times New Roman"/>
          <w:lang w:val="pt-BR"/>
        </w:rPr>
        <w:t xml:space="preserve"> pode ser associada à adsorção de N</w:t>
      </w:r>
      <w:r w:rsidR="00D53549" w:rsidRPr="00904C0A">
        <w:rPr>
          <w:rFonts w:ascii="Times New Roman" w:hAnsi="Times New Roman"/>
          <w:vertAlign w:val="subscript"/>
          <w:lang w:val="pt-BR"/>
        </w:rPr>
        <w:t>2</w:t>
      </w:r>
      <w:r w:rsidR="00D53549" w:rsidRPr="00D53549">
        <w:rPr>
          <w:rFonts w:ascii="Times New Roman" w:hAnsi="Times New Roman"/>
          <w:lang w:val="pt-BR"/>
        </w:rPr>
        <w:t xml:space="preserve"> em monocamada em pressões relativas mais baixas, </w:t>
      </w:r>
      <w:r w:rsidR="001A3187">
        <w:rPr>
          <w:rFonts w:ascii="Times New Roman" w:hAnsi="Times New Roman"/>
          <w:lang w:val="pt-BR"/>
        </w:rPr>
        <w:t>já</w:t>
      </w:r>
      <w:r w:rsidR="00D53549" w:rsidRPr="00D53549">
        <w:rPr>
          <w:rFonts w:ascii="Times New Roman" w:hAnsi="Times New Roman"/>
          <w:lang w:val="pt-BR"/>
        </w:rPr>
        <w:t xml:space="preserve"> o preenchimento de </w:t>
      </w:r>
      <w:proofErr w:type="spellStart"/>
      <w:r w:rsidR="00D53549" w:rsidRPr="00D53549">
        <w:rPr>
          <w:rFonts w:ascii="Times New Roman" w:hAnsi="Times New Roman"/>
          <w:lang w:val="pt-BR"/>
        </w:rPr>
        <w:t>mesoporos</w:t>
      </w:r>
      <w:proofErr w:type="spellEnd"/>
      <w:r w:rsidR="00D53549" w:rsidRPr="00D53549">
        <w:rPr>
          <w:rFonts w:ascii="Times New Roman" w:hAnsi="Times New Roman"/>
          <w:lang w:val="pt-BR"/>
        </w:rPr>
        <w:t xml:space="preserve"> multicamada pode ser observado em pressões relativas mais elevadas (</w:t>
      </w:r>
      <w:r w:rsidR="00E318F7">
        <w:rPr>
          <w:rFonts w:ascii="Times New Roman" w:hAnsi="Times New Roman"/>
          <w:lang w:val="pt-BR"/>
        </w:rPr>
        <w:t>20</w:t>
      </w:r>
      <w:r w:rsidR="00D53549" w:rsidRPr="00D53549">
        <w:rPr>
          <w:rFonts w:ascii="Times New Roman" w:hAnsi="Times New Roman"/>
          <w:lang w:val="pt-BR"/>
        </w:rPr>
        <w:t xml:space="preserve">). </w:t>
      </w:r>
      <w:r w:rsidR="00012048">
        <w:rPr>
          <w:rFonts w:ascii="Times New Roman" w:hAnsi="Times New Roman"/>
          <w:lang w:val="pt-BR"/>
        </w:rPr>
        <w:t>A</w:t>
      </w:r>
      <w:r w:rsidR="00D53549" w:rsidRPr="00D53549">
        <w:rPr>
          <w:rFonts w:ascii="Times New Roman" w:hAnsi="Times New Roman"/>
          <w:lang w:val="pt-BR"/>
        </w:rPr>
        <w:t xml:space="preserve"> adição das fases ativas não alterou a estrutura superficial dos catalisadores, porém diminuiu a </w:t>
      </w:r>
      <w:r w:rsidR="0009102F">
        <w:rPr>
          <w:rFonts w:ascii="Times New Roman" w:hAnsi="Times New Roman"/>
          <w:lang w:val="pt-BR"/>
        </w:rPr>
        <w:t xml:space="preserve">área da </w:t>
      </w:r>
      <w:r w:rsidR="00D53549" w:rsidRPr="00D53549">
        <w:rPr>
          <w:rFonts w:ascii="Times New Roman" w:hAnsi="Times New Roman"/>
          <w:lang w:val="pt-BR"/>
        </w:rPr>
        <w:t xml:space="preserve">curva de histerese, o que pode indicar maior </w:t>
      </w:r>
      <w:proofErr w:type="spellStart"/>
      <w:r w:rsidR="00D53549" w:rsidRPr="00D53549">
        <w:rPr>
          <w:rFonts w:ascii="Times New Roman" w:hAnsi="Times New Roman"/>
          <w:lang w:val="pt-BR"/>
        </w:rPr>
        <w:t>delaminação</w:t>
      </w:r>
      <w:proofErr w:type="spellEnd"/>
      <w:r w:rsidR="00D53549" w:rsidRPr="00D53549">
        <w:rPr>
          <w:rFonts w:ascii="Times New Roman" w:hAnsi="Times New Roman"/>
          <w:lang w:val="pt-BR"/>
        </w:rPr>
        <w:t xml:space="preserve"> das camadas do material, ou até mesmo a redução da área superficial (</w:t>
      </w:r>
      <w:r w:rsidR="00E318F7">
        <w:rPr>
          <w:rFonts w:ascii="Times New Roman" w:hAnsi="Times New Roman"/>
          <w:lang w:val="pt-BR"/>
        </w:rPr>
        <w:t>21</w:t>
      </w:r>
      <w:r w:rsidR="00D53549" w:rsidRPr="00D53549">
        <w:rPr>
          <w:rFonts w:ascii="Times New Roman" w:hAnsi="Times New Roman"/>
          <w:lang w:val="pt-BR"/>
        </w:rPr>
        <w:t>)</w:t>
      </w:r>
      <w:r w:rsidR="00E318F7">
        <w:rPr>
          <w:rFonts w:ascii="Times New Roman" w:hAnsi="Times New Roman"/>
          <w:lang w:val="pt-BR"/>
        </w:rPr>
        <w:t>.</w:t>
      </w:r>
    </w:p>
    <w:p w14:paraId="35E61EBC" w14:textId="649B3D64" w:rsidR="001A3187" w:rsidRPr="001672EC" w:rsidRDefault="00641F2B" w:rsidP="0009102F">
      <w:pPr>
        <w:jc w:val="both"/>
        <w:rPr>
          <w:rFonts w:ascii="Times New Roman" w:eastAsia="Times New Roman" w:hAnsi="Times New Roman" w:cs="Times New Roman"/>
          <w:bCs/>
          <w:sz w:val="18"/>
          <w:szCs w:val="20"/>
          <w:lang w:eastAsia="pt-BR"/>
        </w:rPr>
      </w:pPr>
      <w:r w:rsidRPr="001672EC">
        <w:rPr>
          <w:rFonts w:ascii="Times New Roman" w:eastAsia="Times New Roman" w:hAnsi="Times New Roman" w:cs="Times New Roman"/>
          <w:b/>
          <w:sz w:val="18"/>
          <w:szCs w:val="20"/>
          <w:lang w:eastAsia="pt-BR"/>
        </w:rPr>
        <w:t>Figura 3.</w:t>
      </w:r>
      <w:r w:rsidRPr="001672EC">
        <w:rPr>
          <w:rFonts w:ascii="Times New Roman" w:eastAsia="Times New Roman" w:hAnsi="Times New Roman" w:cs="Times New Roman"/>
          <w:bCs/>
          <w:sz w:val="18"/>
          <w:szCs w:val="20"/>
          <w:lang w:eastAsia="pt-BR"/>
        </w:rPr>
        <w:t xml:space="preserve"> Isotermas de adsorção e dessorção de N</w:t>
      </w:r>
      <w:r w:rsidRPr="001672EC">
        <w:rPr>
          <w:rFonts w:ascii="Times New Roman" w:eastAsia="Times New Roman" w:hAnsi="Times New Roman" w:cs="Times New Roman"/>
          <w:bCs/>
          <w:sz w:val="18"/>
          <w:szCs w:val="20"/>
          <w:vertAlign w:val="subscript"/>
          <w:lang w:eastAsia="pt-BR"/>
        </w:rPr>
        <w:t>2</w:t>
      </w:r>
      <w:r w:rsidRPr="001672EC">
        <w:rPr>
          <w:rFonts w:ascii="Times New Roman" w:eastAsia="Times New Roman" w:hAnsi="Times New Roman" w:cs="Times New Roman"/>
          <w:bCs/>
          <w:sz w:val="18"/>
          <w:szCs w:val="20"/>
          <w:lang w:eastAsia="pt-BR"/>
        </w:rPr>
        <w:t xml:space="preserve"> dos</w:t>
      </w:r>
      <w:r w:rsidR="0009102F">
        <w:rPr>
          <w:rFonts w:ascii="Times New Roman" w:eastAsia="Times New Roman" w:hAnsi="Times New Roman" w:cs="Times New Roman"/>
          <w:bCs/>
          <w:sz w:val="18"/>
          <w:szCs w:val="20"/>
          <w:lang w:eastAsia="pt-BR"/>
        </w:rPr>
        <w:t xml:space="preserve"> </w:t>
      </w:r>
      <w:r w:rsidRPr="001672EC">
        <w:rPr>
          <w:rFonts w:ascii="Times New Roman" w:eastAsia="Times New Roman" w:hAnsi="Times New Roman" w:cs="Times New Roman"/>
          <w:bCs/>
          <w:sz w:val="18"/>
          <w:szCs w:val="20"/>
          <w:lang w:eastAsia="pt-BR"/>
        </w:rPr>
        <w:t>catalisadores.</w:t>
      </w:r>
    </w:p>
    <w:p w14:paraId="4CA68473" w14:textId="7F3AEEC4" w:rsidR="0075066B" w:rsidRDefault="00C666C2" w:rsidP="0009102F">
      <w:pPr>
        <w:pStyle w:val="TAMainText"/>
        <w:ind w:firstLine="204"/>
        <w:rPr>
          <w:rFonts w:ascii="Times New Roman" w:hAnsi="Times New Roman"/>
          <w:lang w:val="pt-BR"/>
        </w:rPr>
      </w:pPr>
      <w:r w:rsidRPr="00641F2B">
        <w:rPr>
          <w:rFonts w:ascii="Times New Roman" w:hAnsi="Times New Roman"/>
          <w:lang w:val="pt-BR"/>
        </w:rPr>
        <w:t>De acordo com a Tabela</w:t>
      </w:r>
      <w:r>
        <w:rPr>
          <w:rFonts w:ascii="Times New Roman" w:hAnsi="Times New Roman"/>
          <w:lang w:val="pt-BR"/>
        </w:rPr>
        <w:t xml:space="preserve"> 2</w:t>
      </w:r>
      <w:r w:rsidRPr="00641F2B">
        <w:rPr>
          <w:rFonts w:ascii="Times New Roman" w:hAnsi="Times New Roman"/>
          <w:lang w:val="pt-BR"/>
        </w:rPr>
        <w:t>, é possível verificar que a impregnação dos catalisad</w:t>
      </w:r>
      <w:r w:rsidR="00307DB9">
        <w:rPr>
          <w:rFonts w:ascii="Times New Roman" w:hAnsi="Times New Roman"/>
          <w:lang w:val="pt-BR"/>
        </w:rPr>
        <w:t>ores diminuiu a área</w:t>
      </w:r>
      <w:r w:rsidRPr="00641F2B">
        <w:rPr>
          <w:rFonts w:ascii="Times New Roman" w:hAnsi="Times New Roman"/>
          <w:lang w:val="pt-BR"/>
        </w:rPr>
        <w:t xml:space="preserve"> específica</w:t>
      </w:r>
      <w:r w:rsidR="0009102F">
        <w:rPr>
          <w:rFonts w:ascii="Times New Roman" w:hAnsi="Times New Roman"/>
          <w:lang w:val="pt-BR"/>
        </w:rPr>
        <w:t xml:space="preserve"> (</w:t>
      </w:r>
      <w:proofErr w:type="spellStart"/>
      <w:r w:rsidR="0009102F">
        <w:rPr>
          <w:rFonts w:ascii="Times New Roman" w:hAnsi="Times New Roman"/>
          <w:lang w:val="pt-BR"/>
        </w:rPr>
        <w:t>Sg</w:t>
      </w:r>
      <w:proofErr w:type="spellEnd"/>
      <w:r w:rsidR="0009102F">
        <w:rPr>
          <w:rFonts w:ascii="Times New Roman" w:hAnsi="Times New Roman"/>
          <w:lang w:val="pt-BR"/>
        </w:rPr>
        <w:t>)</w:t>
      </w:r>
      <w:r w:rsidRPr="00641F2B">
        <w:rPr>
          <w:rFonts w:ascii="Times New Roman" w:hAnsi="Times New Roman"/>
          <w:lang w:val="pt-BR"/>
        </w:rPr>
        <w:t>, principalmente as amostras com tungstênio, as quais passaram por um tratamento térmico a altas temperaturas (600°C). Essa redução pode estar atribuída tanto ao bloqueio de poros com a adição do óxido de tungstênio, quanto pelo colapso da estrutura lamelar da argila em elevadas temperaturas</w:t>
      </w:r>
      <w:r>
        <w:rPr>
          <w:rFonts w:ascii="Times New Roman" w:hAnsi="Times New Roman"/>
          <w:lang w:val="pt-BR"/>
        </w:rPr>
        <w:t>.</w:t>
      </w:r>
    </w:p>
    <w:p w14:paraId="174C0D69" w14:textId="77777777" w:rsidR="00C97D4D" w:rsidRDefault="00C97D4D" w:rsidP="0009102F">
      <w:pPr>
        <w:pStyle w:val="TAMainText"/>
        <w:ind w:firstLine="204"/>
        <w:rPr>
          <w:rFonts w:ascii="Times New Roman" w:hAnsi="Times New Roman"/>
          <w:lang w:val="pt-BR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53"/>
        <w:gridCol w:w="1785"/>
      </w:tblGrid>
      <w:tr w:rsidR="00641F2B" w:rsidRPr="00C87AF8" w14:paraId="2D566414" w14:textId="77777777" w:rsidTr="0009102F">
        <w:trPr>
          <w:trHeight w:val="69"/>
          <w:jc w:val="center"/>
        </w:trPr>
        <w:tc>
          <w:tcPr>
            <w:tcW w:w="1653" w:type="dxa"/>
            <w:vAlign w:val="center"/>
          </w:tcPr>
          <w:p w14:paraId="0DDF9F64" w14:textId="7B6C844B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Amostras</w:t>
            </w:r>
          </w:p>
        </w:tc>
        <w:tc>
          <w:tcPr>
            <w:tcW w:w="1785" w:type="dxa"/>
            <w:vAlign w:val="center"/>
          </w:tcPr>
          <w:p w14:paraId="56F26D42" w14:textId="2524B5B7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proofErr w:type="spellStart"/>
            <w:r w:rsidRPr="00641F2B">
              <w:rPr>
                <w:lang w:val="pt-BR"/>
              </w:rPr>
              <w:t>S</w:t>
            </w:r>
            <w:r w:rsidR="0009102F">
              <w:rPr>
                <w:lang w:val="pt-BR"/>
              </w:rPr>
              <w:t>g</w:t>
            </w:r>
            <w:proofErr w:type="spellEnd"/>
            <w:r w:rsidRPr="00641F2B">
              <w:rPr>
                <w:lang w:val="pt-BR"/>
              </w:rPr>
              <w:t xml:space="preserve"> (m²</w:t>
            </w:r>
            <w:r w:rsidR="0009102F">
              <w:rPr>
                <w:lang w:val="pt-BR"/>
              </w:rPr>
              <w:t>.</w:t>
            </w:r>
            <w:r w:rsidRPr="00641F2B">
              <w:rPr>
                <w:lang w:val="pt-BR"/>
              </w:rPr>
              <w:t>g</w:t>
            </w:r>
            <w:r w:rsidRPr="0037411D">
              <w:rPr>
                <w:vertAlign w:val="superscript"/>
                <w:lang w:val="pt-BR"/>
              </w:rPr>
              <w:t>-1</w:t>
            </w:r>
            <w:r w:rsidRPr="00641F2B">
              <w:rPr>
                <w:lang w:val="pt-BR"/>
              </w:rPr>
              <w:t>)</w:t>
            </w:r>
          </w:p>
        </w:tc>
      </w:tr>
      <w:tr w:rsidR="00641F2B" w:rsidRPr="00C87AF8" w14:paraId="4EB6A992" w14:textId="77777777" w:rsidTr="0009102F">
        <w:trPr>
          <w:trHeight w:val="41"/>
          <w:jc w:val="center"/>
        </w:trPr>
        <w:tc>
          <w:tcPr>
            <w:tcW w:w="1653" w:type="dxa"/>
            <w:vAlign w:val="center"/>
          </w:tcPr>
          <w:p w14:paraId="664A2AB4" w14:textId="57B8A214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MMT</w:t>
            </w:r>
          </w:p>
        </w:tc>
        <w:tc>
          <w:tcPr>
            <w:tcW w:w="1785" w:type="dxa"/>
            <w:vAlign w:val="center"/>
          </w:tcPr>
          <w:p w14:paraId="46553A9E" w14:textId="71ABB03D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230</w:t>
            </w:r>
          </w:p>
        </w:tc>
      </w:tr>
      <w:tr w:rsidR="00641F2B" w:rsidRPr="00C87AF8" w14:paraId="7FB92DFE" w14:textId="77777777" w:rsidTr="0009102F">
        <w:trPr>
          <w:trHeight w:val="42"/>
          <w:jc w:val="center"/>
        </w:trPr>
        <w:tc>
          <w:tcPr>
            <w:tcW w:w="1653" w:type="dxa"/>
            <w:vAlign w:val="center"/>
          </w:tcPr>
          <w:p w14:paraId="50942EA3" w14:textId="1AC80382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proofErr w:type="spellStart"/>
            <w:r w:rsidRPr="00641F2B">
              <w:rPr>
                <w:lang w:val="pt-BR"/>
              </w:rPr>
              <w:t>Pt</w:t>
            </w:r>
            <w:proofErr w:type="spellEnd"/>
            <w:r w:rsidRPr="00641F2B">
              <w:rPr>
                <w:lang w:val="pt-BR"/>
              </w:rPr>
              <w:t>/MMT</w:t>
            </w:r>
          </w:p>
        </w:tc>
        <w:tc>
          <w:tcPr>
            <w:tcW w:w="1785" w:type="dxa"/>
            <w:vAlign w:val="center"/>
          </w:tcPr>
          <w:p w14:paraId="5FCE12EE" w14:textId="75269779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221</w:t>
            </w:r>
          </w:p>
        </w:tc>
      </w:tr>
      <w:tr w:rsidR="00641F2B" w:rsidRPr="00C87AF8" w14:paraId="408910D2" w14:textId="77777777" w:rsidTr="0009102F">
        <w:trPr>
          <w:trHeight w:val="41"/>
          <w:jc w:val="center"/>
        </w:trPr>
        <w:tc>
          <w:tcPr>
            <w:tcW w:w="1653" w:type="dxa"/>
            <w:vAlign w:val="center"/>
          </w:tcPr>
          <w:p w14:paraId="7E265AF0" w14:textId="77777777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Pt-5WO</w:t>
            </w:r>
            <w:r w:rsidRPr="002E3C18">
              <w:rPr>
                <w:vertAlign w:val="subscript"/>
                <w:lang w:val="pt-BR"/>
              </w:rPr>
              <w:t>3</w:t>
            </w:r>
            <w:r w:rsidRPr="00641F2B">
              <w:rPr>
                <w:lang w:val="pt-BR"/>
              </w:rPr>
              <w:t>/MMT</w:t>
            </w:r>
          </w:p>
        </w:tc>
        <w:tc>
          <w:tcPr>
            <w:tcW w:w="1785" w:type="dxa"/>
            <w:vAlign w:val="center"/>
          </w:tcPr>
          <w:p w14:paraId="207B9829" w14:textId="2CE6C17D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183</w:t>
            </w:r>
          </w:p>
        </w:tc>
      </w:tr>
      <w:tr w:rsidR="00641F2B" w:rsidRPr="00C87AF8" w14:paraId="33BBA6AC" w14:textId="77777777" w:rsidTr="0009102F">
        <w:trPr>
          <w:trHeight w:val="42"/>
          <w:jc w:val="center"/>
        </w:trPr>
        <w:tc>
          <w:tcPr>
            <w:tcW w:w="1653" w:type="dxa"/>
            <w:vAlign w:val="center"/>
          </w:tcPr>
          <w:p w14:paraId="65571D68" w14:textId="77777777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Pt-10WO</w:t>
            </w:r>
            <w:r w:rsidRPr="002E3C18">
              <w:rPr>
                <w:vertAlign w:val="subscript"/>
                <w:lang w:val="pt-BR"/>
              </w:rPr>
              <w:t>3</w:t>
            </w:r>
            <w:r w:rsidRPr="00641F2B">
              <w:rPr>
                <w:lang w:val="pt-BR"/>
              </w:rPr>
              <w:t>/MMT</w:t>
            </w:r>
          </w:p>
        </w:tc>
        <w:tc>
          <w:tcPr>
            <w:tcW w:w="1785" w:type="dxa"/>
            <w:vAlign w:val="center"/>
          </w:tcPr>
          <w:p w14:paraId="5A1005CE" w14:textId="5DFDB0E5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152</w:t>
            </w:r>
          </w:p>
        </w:tc>
      </w:tr>
      <w:tr w:rsidR="00641F2B" w:rsidRPr="00C87AF8" w14:paraId="6E5A5272" w14:textId="77777777" w:rsidTr="0009102F">
        <w:trPr>
          <w:trHeight w:val="41"/>
          <w:jc w:val="center"/>
        </w:trPr>
        <w:tc>
          <w:tcPr>
            <w:tcW w:w="1653" w:type="dxa"/>
            <w:vAlign w:val="center"/>
          </w:tcPr>
          <w:p w14:paraId="40F5F178" w14:textId="77777777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Pt-15WO</w:t>
            </w:r>
            <w:r w:rsidRPr="002E3C18">
              <w:rPr>
                <w:vertAlign w:val="subscript"/>
                <w:lang w:val="pt-BR"/>
              </w:rPr>
              <w:t>3</w:t>
            </w:r>
            <w:r w:rsidRPr="00641F2B">
              <w:rPr>
                <w:lang w:val="pt-BR"/>
              </w:rPr>
              <w:t>/MMT</w:t>
            </w:r>
          </w:p>
        </w:tc>
        <w:tc>
          <w:tcPr>
            <w:tcW w:w="1785" w:type="dxa"/>
            <w:vAlign w:val="center"/>
          </w:tcPr>
          <w:p w14:paraId="363D7265" w14:textId="2B969805" w:rsidR="00641F2B" w:rsidRPr="00641F2B" w:rsidRDefault="00641F2B" w:rsidP="00C97D4D">
            <w:pPr>
              <w:pStyle w:val="TCTableBody"/>
              <w:spacing w:after="0" w:line="360" w:lineRule="auto"/>
              <w:jc w:val="center"/>
              <w:rPr>
                <w:lang w:val="pt-BR"/>
              </w:rPr>
            </w:pPr>
            <w:r w:rsidRPr="00641F2B">
              <w:rPr>
                <w:lang w:val="pt-BR"/>
              </w:rPr>
              <w:t>144</w:t>
            </w:r>
          </w:p>
        </w:tc>
      </w:tr>
    </w:tbl>
    <w:p w14:paraId="1A0C4DEF" w14:textId="5835D31C" w:rsidR="00D1131E" w:rsidRDefault="00AD6D52" w:rsidP="00D1131E">
      <w:pPr>
        <w:pStyle w:val="TAMainText"/>
        <w:ind w:firstLine="0"/>
        <w:rPr>
          <w:rFonts w:ascii="Times New Roman" w:hAnsi="Times New Roman"/>
          <w:lang w:val="pt-BR"/>
        </w:rPr>
      </w:pPr>
      <w:r w:rsidRPr="00E038AF">
        <w:rPr>
          <w:rFonts w:ascii="Times New Roman" w:hAnsi="Times New Roman"/>
          <w:b/>
          <w:lang w:val="pt-BR"/>
        </w:rPr>
        <w:t xml:space="preserve">Tabela </w:t>
      </w:r>
      <w:r>
        <w:rPr>
          <w:rFonts w:ascii="Times New Roman" w:hAnsi="Times New Roman"/>
          <w:b/>
          <w:lang w:val="pt-BR"/>
        </w:rPr>
        <w:t>2</w:t>
      </w:r>
      <w:r w:rsidRPr="00E038AF">
        <w:rPr>
          <w:rFonts w:ascii="Times New Roman" w:hAnsi="Times New Roman"/>
          <w:b/>
          <w:lang w:val="pt-BR"/>
        </w:rPr>
        <w:t>.</w:t>
      </w:r>
      <w:r w:rsidRPr="00E038AF">
        <w:rPr>
          <w:rFonts w:ascii="Times New Roman" w:hAnsi="Times New Roman"/>
          <w:lang w:val="pt-BR"/>
        </w:rPr>
        <w:t xml:space="preserve"> </w:t>
      </w:r>
      <w:r w:rsidR="000755AD" w:rsidRPr="000755AD">
        <w:rPr>
          <w:rFonts w:ascii="Times New Roman" w:hAnsi="Times New Roman"/>
          <w:lang w:val="pt-BR"/>
        </w:rPr>
        <w:t>Parâmetros texturais dos catalisadores do tipo MMT</w:t>
      </w:r>
      <w:r w:rsidR="000755AD">
        <w:rPr>
          <w:rFonts w:ascii="Times New Roman" w:hAnsi="Times New Roman"/>
          <w:lang w:val="pt-BR"/>
        </w:rPr>
        <w:t>.</w:t>
      </w:r>
    </w:p>
    <w:p w14:paraId="2796EE1C" w14:textId="77777777" w:rsidR="00C666C2" w:rsidRDefault="00C666C2" w:rsidP="00D1131E">
      <w:pPr>
        <w:pStyle w:val="TAMainText"/>
        <w:ind w:firstLine="0"/>
        <w:rPr>
          <w:rFonts w:ascii="Times New Roman" w:hAnsi="Times New Roman"/>
          <w:lang w:val="pt-BR"/>
        </w:rPr>
      </w:pPr>
    </w:p>
    <w:p w14:paraId="5275ADED" w14:textId="1725D28E" w:rsidR="00C666C2" w:rsidRDefault="00C666C2" w:rsidP="001672EC">
      <w:pPr>
        <w:pStyle w:val="TAMainText"/>
        <w:ind w:firstLine="187"/>
        <w:rPr>
          <w:rFonts w:ascii="Times New Roman" w:hAnsi="Times New Roman"/>
          <w:lang w:val="pt-BR"/>
        </w:rPr>
      </w:pPr>
      <w:r w:rsidRPr="00641F2B">
        <w:rPr>
          <w:rFonts w:ascii="Times New Roman" w:hAnsi="Times New Roman"/>
          <w:lang w:val="pt-BR"/>
        </w:rPr>
        <w:t xml:space="preserve">Na literatura é possível encontrar valores de área superficial específica </w:t>
      </w:r>
      <w:r w:rsidR="0009102F">
        <w:rPr>
          <w:rFonts w:ascii="Times New Roman" w:hAnsi="Times New Roman"/>
          <w:lang w:val="pt-BR"/>
        </w:rPr>
        <w:t xml:space="preserve">na faixa </w:t>
      </w:r>
      <w:r w:rsidRPr="00641F2B">
        <w:rPr>
          <w:rFonts w:ascii="Times New Roman" w:hAnsi="Times New Roman"/>
          <w:lang w:val="pt-BR"/>
        </w:rPr>
        <w:t>de 190</w:t>
      </w:r>
      <w:r w:rsidR="0009102F">
        <w:rPr>
          <w:rFonts w:ascii="Times New Roman" w:hAnsi="Times New Roman"/>
          <w:lang w:val="pt-BR"/>
        </w:rPr>
        <w:t xml:space="preserve"> a </w:t>
      </w:r>
      <w:r w:rsidRPr="00641F2B">
        <w:rPr>
          <w:rFonts w:ascii="Times New Roman" w:hAnsi="Times New Roman"/>
          <w:lang w:val="pt-BR"/>
        </w:rPr>
        <w:t xml:space="preserve">250 </w:t>
      </w:r>
      <w:r w:rsidR="0009102F" w:rsidRPr="00641F2B">
        <w:rPr>
          <w:lang w:val="pt-BR"/>
        </w:rPr>
        <w:t>m²</w:t>
      </w:r>
      <w:r w:rsidR="0009102F">
        <w:rPr>
          <w:lang w:val="pt-BR"/>
        </w:rPr>
        <w:t>.</w:t>
      </w:r>
      <w:r w:rsidR="0009102F" w:rsidRPr="00641F2B">
        <w:rPr>
          <w:lang w:val="pt-BR"/>
        </w:rPr>
        <w:t>g</w:t>
      </w:r>
      <w:r w:rsidR="0009102F" w:rsidRPr="0037411D">
        <w:rPr>
          <w:vertAlign w:val="superscript"/>
          <w:lang w:val="pt-BR"/>
        </w:rPr>
        <w:t>-1</w:t>
      </w:r>
      <w:r w:rsidRPr="00641F2B">
        <w:rPr>
          <w:rFonts w:ascii="Times New Roman" w:hAnsi="Times New Roman"/>
          <w:lang w:val="pt-BR"/>
        </w:rPr>
        <w:t xml:space="preserve"> para a K-10, coerente com os dados obtidos nesse trabalho (230 m</w:t>
      </w:r>
      <w:r w:rsidRPr="007729F4">
        <w:rPr>
          <w:rFonts w:ascii="Times New Roman" w:hAnsi="Times New Roman"/>
          <w:vertAlign w:val="superscript"/>
          <w:lang w:val="pt-BR"/>
        </w:rPr>
        <w:t>2</w:t>
      </w:r>
      <w:r w:rsidRPr="00641F2B">
        <w:rPr>
          <w:rFonts w:ascii="Times New Roman" w:hAnsi="Times New Roman"/>
          <w:lang w:val="pt-BR"/>
        </w:rPr>
        <w:t>/g) (</w:t>
      </w:r>
      <w:r>
        <w:rPr>
          <w:rFonts w:ascii="Times New Roman" w:hAnsi="Times New Roman"/>
          <w:lang w:val="pt-BR"/>
        </w:rPr>
        <w:t>22-23</w:t>
      </w:r>
      <w:r w:rsidRPr="00641F2B">
        <w:rPr>
          <w:rFonts w:ascii="Times New Roman" w:hAnsi="Times New Roman"/>
          <w:lang w:val="pt-BR"/>
        </w:rPr>
        <w:t xml:space="preserve">). O tratamento ácido pode ocasionar na abertura dos poros com a dissolução da camada octaédrica, formando sílica amorfa e como consequência </w:t>
      </w:r>
      <w:proofErr w:type="spellStart"/>
      <w:r w:rsidRPr="00641F2B">
        <w:rPr>
          <w:rFonts w:ascii="Times New Roman" w:hAnsi="Times New Roman"/>
          <w:lang w:val="pt-BR"/>
        </w:rPr>
        <w:t>mesoporos</w:t>
      </w:r>
      <w:proofErr w:type="spellEnd"/>
      <w:r w:rsidRPr="00641F2B">
        <w:rPr>
          <w:rFonts w:ascii="Times New Roman" w:hAnsi="Times New Roman"/>
          <w:lang w:val="pt-BR"/>
        </w:rPr>
        <w:t xml:space="preserve"> </w:t>
      </w:r>
      <w:proofErr w:type="spellStart"/>
      <w:r w:rsidRPr="00641F2B">
        <w:rPr>
          <w:rFonts w:ascii="Times New Roman" w:hAnsi="Times New Roman"/>
          <w:lang w:val="pt-BR"/>
        </w:rPr>
        <w:t>interparticulares</w:t>
      </w:r>
      <w:proofErr w:type="spellEnd"/>
      <w:r w:rsidRPr="00641F2B">
        <w:rPr>
          <w:rFonts w:ascii="Times New Roman" w:hAnsi="Times New Roman"/>
          <w:lang w:val="pt-BR"/>
        </w:rPr>
        <w:t xml:space="preserve"> (</w:t>
      </w:r>
      <w:r>
        <w:rPr>
          <w:rFonts w:ascii="Times New Roman" w:hAnsi="Times New Roman"/>
          <w:lang w:val="pt-BR"/>
        </w:rPr>
        <w:t>24)</w:t>
      </w:r>
      <w:r w:rsidR="009C6AA6">
        <w:rPr>
          <w:rFonts w:ascii="Times New Roman" w:hAnsi="Times New Roman"/>
          <w:lang w:val="pt-BR"/>
        </w:rPr>
        <w:t>.</w:t>
      </w:r>
    </w:p>
    <w:p w14:paraId="23F0B795" w14:textId="77777777" w:rsidR="001A3187" w:rsidRDefault="001A3187" w:rsidP="00D1131E">
      <w:pPr>
        <w:pStyle w:val="TAMainText"/>
        <w:ind w:firstLine="0"/>
        <w:rPr>
          <w:rFonts w:ascii="Times New Roman" w:hAnsi="Times New Roman"/>
          <w:lang w:val="pt-BR"/>
        </w:rPr>
      </w:pPr>
    </w:p>
    <w:p w14:paraId="7BCD17E1" w14:textId="039D2079" w:rsidR="00641F2B" w:rsidRDefault="00A24208" w:rsidP="00A24208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 xml:space="preserve">Espectroscopia </w:t>
      </w:r>
      <w:r w:rsidR="0009102F">
        <w:rPr>
          <w:rFonts w:ascii="Times New Roman" w:hAnsi="Times New Roman"/>
          <w:i/>
          <w:lang w:val="pt-BR"/>
        </w:rPr>
        <w:t>no</w:t>
      </w:r>
      <w:r>
        <w:rPr>
          <w:rFonts w:ascii="Times New Roman" w:hAnsi="Times New Roman"/>
          <w:i/>
          <w:lang w:val="pt-BR"/>
        </w:rPr>
        <w:t xml:space="preserve"> Infravermelho com Transformada de Fourier</w:t>
      </w:r>
    </w:p>
    <w:p w14:paraId="67A430EA" w14:textId="6A90697D" w:rsidR="006E52AA" w:rsidRPr="006E52AA" w:rsidRDefault="006E52AA" w:rsidP="006E52AA">
      <w:pPr>
        <w:pStyle w:val="TAMainText"/>
        <w:ind w:firstLine="187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noProof/>
          <w:lang w:val="pt-BR"/>
        </w:rPr>
        <w:drawing>
          <wp:anchor distT="0" distB="0" distL="114300" distR="114300" simplePos="0" relativeHeight="251672575" behindDoc="0" locked="0" layoutInCell="1" allowOverlap="1" wp14:anchorId="33B67E86" wp14:editId="601396E3">
            <wp:simplePos x="0" y="0"/>
            <wp:positionH relativeFrom="column">
              <wp:posOffset>-46355</wp:posOffset>
            </wp:positionH>
            <wp:positionV relativeFrom="paragraph">
              <wp:posOffset>2003425</wp:posOffset>
            </wp:positionV>
            <wp:extent cx="3033395" cy="2552065"/>
            <wp:effectExtent l="0" t="0" r="0" b="635"/>
            <wp:wrapThrough wrapText="bothSides">
              <wp:wrapPolygon edited="0">
                <wp:start x="0" y="0"/>
                <wp:lineTo x="0" y="21444"/>
                <wp:lineTo x="21433" y="21444"/>
                <wp:lineTo x="21433" y="0"/>
                <wp:lineTo x="0" y="0"/>
              </wp:wrapPolygon>
            </wp:wrapThrough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TIR CORRIGIDO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23" t="9455" r="11598" b="3398"/>
                    <a:stretch/>
                  </pic:blipFill>
                  <pic:spPr bwMode="auto">
                    <a:xfrm>
                      <a:off x="0" y="0"/>
                      <a:ext cx="3033395" cy="255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B9E" w:rsidRPr="00FF4B9E">
        <w:rPr>
          <w:rFonts w:ascii="Times New Roman" w:hAnsi="Times New Roman"/>
          <w:lang w:val="pt-BR"/>
        </w:rPr>
        <w:t xml:space="preserve">No espectro </w:t>
      </w:r>
      <w:r w:rsidR="00C97D4D">
        <w:rPr>
          <w:rFonts w:ascii="Times New Roman" w:hAnsi="Times New Roman"/>
          <w:lang w:val="pt-BR"/>
        </w:rPr>
        <w:t xml:space="preserve">de FTIR </w:t>
      </w:r>
      <w:r w:rsidR="00FF4B9E" w:rsidRPr="00FF4B9E">
        <w:rPr>
          <w:rFonts w:ascii="Times New Roman" w:hAnsi="Times New Roman"/>
          <w:lang w:val="pt-BR"/>
        </w:rPr>
        <w:t xml:space="preserve">da amostra MMT </w:t>
      </w:r>
      <w:r w:rsidR="00B22781">
        <w:rPr>
          <w:rFonts w:ascii="Times New Roman" w:hAnsi="Times New Roman"/>
          <w:lang w:val="pt-BR"/>
        </w:rPr>
        <w:t xml:space="preserve">(Figura 4) </w:t>
      </w:r>
      <w:r w:rsidR="00FF4B9E" w:rsidRPr="00FF4B9E">
        <w:rPr>
          <w:rFonts w:ascii="Times New Roman" w:hAnsi="Times New Roman"/>
          <w:lang w:val="pt-BR"/>
        </w:rPr>
        <w:t>foi possível verificar a existência de uma banda em 3630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referente à ligação </w:t>
      </w:r>
      <w:proofErr w:type="spellStart"/>
      <w:r w:rsidR="00FF4B9E" w:rsidRPr="00FF4B9E">
        <w:rPr>
          <w:rFonts w:ascii="Times New Roman" w:hAnsi="Times New Roman"/>
          <w:lang w:val="pt-BR"/>
        </w:rPr>
        <w:t>Al-OH</w:t>
      </w:r>
      <w:proofErr w:type="spellEnd"/>
      <w:r w:rsidR="00FF4B9E" w:rsidRPr="00FF4B9E">
        <w:rPr>
          <w:rFonts w:ascii="Times New Roman" w:hAnsi="Times New Roman"/>
          <w:lang w:val="pt-BR"/>
        </w:rPr>
        <w:t xml:space="preserve"> no octaedro, bem como em </w:t>
      </w:r>
      <w:r w:rsidR="00C97D4D">
        <w:rPr>
          <w:rFonts w:ascii="Times New Roman" w:hAnsi="Times New Roman"/>
          <w:lang w:val="pt-BR"/>
        </w:rPr>
        <w:t xml:space="preserve">       </w:t>
      </w:r>
      <w:r w:rsidR="00FF4B9E" w:rsidRPr="00FF4B9E">
        <w:rPr>
          <w:rFonts w:ascii="Times New Roman" w:hAnsi="Times New Roman"/>
          <w:lang w:val="pt-BR"/>
        </w:rPr>
        <w:t>918 cm</w:t>
      </w:r>
      <w:r w:rsidR="00FF4B9E" w:rsidRPr="00012048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, referente às ligações </w:t>
      </w:r>
      <w:proofErr w:type="spellStart"/>
      <w:r w:rsidR="00FF4B9E" w:rsidRPr="00FF4B9E">
        <w:rPr>
          <w:rFonts w:ascii="Times New Roman" w:hAnsi="Times New Roman"/>
          <w:lang w:val="pt-BR"/>
        </w:rPr>
        <w:t>Al-O-Al</w:t>
      </w:r>
      <w:proofErr w:type="spellEnd"/>
      <w:r w:rsidR="00FF4B9E" w:rsidRPr="00FF4B9E">
        <w:rPr>
          <w:rFonts w:ascii="Times New Roman" w:hAnsi="Times New Roman"/>
          <w:lang w:val="pt-BR"/>
        </w:rPr>
        <w:t xml:space="preserve">. As bandas </w:t>
      </w:r>
      <w:r w:rsidR="00C97D4D">
        <w:rPr>
          <w:rFonts w:ascii="Times New Roman" w:hAnsi="Times New Roman"/>
          <w:lang w:val="pt-BR"/>
        </w:rPr>
        <w:t xml:space="preserve">em   </w:t>
      </w:r>
      <w:r w:rsidR="00FF4B9E" w:rsidRPr="00FF4B9E">
        <w:rPr>
          <w:rFonts w:ascii="Times New Roman" w:hAnsi="Times New Roman"/>
          <w:lang w:val="pt-BR"/>
        </w:rPr>
        <w:t>1045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e 800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são associadas ao estiramento </w:t>
      </w:r>
      <w:proofErr w:type="spellStart"/>
      <w:r w:rsidR="00FF4B9E" w:rsidRPr="00FF4B9E">
        <w:rPr>
          <w:rFonts w:ascii="Times New Roman" w:hAnsi="Times New Roman"/>
          <w:lang w:val="pt-BR"/>
        </w:rPr>
        <w:t>Si-O</w:t>
      </w:r>
      <w:proofErr w:type="spellEnd"/>
      <w:r w:rsidR="00FF4B9E" w:rsidRPr="00FF4B9E">
        <w:rPr>
          <w:rFonts w:ascii="Times New Roman" w:hAnsi="Times New Roman"/>
          <w:lang w:val="pt-BR"/>
        </w:rPr>
        <w:t xml:space="preserve"> assimétrico e simétrico no tetraedro, respectivamente.</w:t>
      </w:r>
      <w:r w:rsidR="00012048">
        <w:rPr>
          <w:rFonts w:ascii="Times New Roman" w:hAnsi="Times New Roman"/>
          <w:lang w:val="pt-BR"/>
        </w:rPr>
        <w:t xml:space="preserve"> </w:t>
      </w:r>
      <w:r w:rsidR="00B22781">
        <w:rPr>
          <w:rFonts w:ascii="Times New Roman" w:hAnsi="Times New Roman"/>
          <w:lang w:val="pt-BR"/>
        </w:rPr>
        <w:t>F</w:t>
      </w:r>
      <w:r w:rsidR="00FF4B9E" w:rsidRPr="00FF4B9E">
        <w:rPr>
          <w:rFonts w:ascii="Times New Roman" w:hAnsi="Times New Roman"/>
          <w:lang w:val="pt-BR"/>
        </w:rPr>
        <w:t>oram observadas</w:t>
      </w:r>
      <w:r w:rsidR="00B22781">
        <w:rPr>
          <w:rFonts w:ascii="Times New Roman" w:hAnsi="Times New Roman"/>
          <w:lang w:val="pt-BR"/>
        </w:rPr>
        <w:t>, também</w:t>
      </w:r>
      <w:r w:rsidR="0075066B">
        <w:rPr>
          <w:rFonts w:ascii="Times New Roman" w:hAnsi="Times New Roman"/>
          <w:lang w:val="pt-BR"/>
        </w:rPr>
        <w:t xml:space="preserve">, </w:t>
      </w:r>
      <w:r w:rsidR="00FF4B9E" w:rsidRPr="00FF4B9E">
        <w:rPr>
          <w:rFonts w:ascii="Times New Roman" w:hAnsi="Times New Roman"/>
          <w:lang w:val="pt-BR"/>
        </w:rPr>
        <w:t>bandas em 1640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referente à ligação </w:t>
      </w:r>
      <w:proofErr w:type="spellStart"/>
      <w:r w:rsidR="00FF4B9E" w:rsidRPr="00FF4B9E">
        <w:rPr>
          <w:rFonts w:ascii="Times New Roman" w:hAnsi="Times New Roman"/>
          <w:lang w:val="pt-BR"/>
        </w:rPr>
        <w:t>Si-OH</w:t>
      </w:r>
      <w:proofErr w:type="spellEnd"/>
      <w:r w:rsidR="00FF4B9E" w:rsidRPr="00FF4B9E">
        <w:rPr>
          <w:rFonts w:ascii="Times New Roman" w:hAnsi="Times New Roman"/>
          <w:lang w:val="pt-BR"/>
        </w:rPr>
        <w:t xml:space="preserve"> e em 460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correspondente às ligações Si-O-Si. Em 530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foi possível identificar um ombro associado à ligação Si-O-Al na camada octaédrica. As bandas 3440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e 1340 cm</w:t>
      </w:r>
      <w:r w:rsidR="00FF4B9E" w:rsidRPr="00A43D07">
        <w:rPr>
          <w:rFonts w:ascii="Times New Roman" w:hAnsi="Times New Roman"/>
          <w:vertAlign w:val="superscript"/>
          <w:lang w:val="pt-BR"/>
        </w:rPr>
        <w:t>-1</w:t>
      </w:r>
      <w:r w:rsidR="00FF4B9E" w:rsidRPr="00FF4B9E">
        <w:rPr>
          <w:rFonts w:ascii="Times New Roman" w:hAnsi="Times New Roman"/>
          <w:lang w:val="pt-BR"/>
        </w:rPr>
        <w:t xml:space="preserve"> podem ser relacionadas com a ligação -OH da água</w:t>
      </w:r>
      <w:r w:rsidR="00B22781">
        <w:rPr>
          <w:rFonts w:ascii="Times New Roman" w:hAnsi="Times New Roman"/>
          <w:lang w:val="pt-BR"/>
        </w:rPr>
        <w:t xml:space="preserve"> presente na</w:t>
      </w:r>
      <w:r w:rsidR="009C509D">
        <w:rPr>
          <w:rFonts w:ascii="Times New Roman" w:hAnsi="Times New Roman"/>
          <w:lang w:val="pt-BR"/>
        </w:rPr>
        <w:t xml:space="preserve"> superfície do material</w:t>
      </w:r>
      <w:r w:rsidR="00FF4B9E" w:rsidRPr="00FF4B9E">
        <w:rPr>
          <w:rFonts w:ascii="Times New Roman" w:hAnsi="Times New Roman"/>
          <w:lang w:val="pt-BR"/>
        </w:rPr>
        <w:t xml:space="preserve"> (</w:t>
      </w:r>
      <w:r w:rsidR="00D3514F">
        <w:rPr>
          <w:rFonts w:ascii="Times New Roman" w:hAnsi="Times New Roman"/>
          <w:lang w:val="pt-BR"/>
        </w:rPr>
        <w:t>20, 25, 26</w:t>
      </w:r>
      <w:r w:rsidR="00FF4B9E" w:rsidRPr="00FF4B9E">
        <w:rPr>
          <w:rFonts w:ascii="Times New Roman" w:hAnsi="Times New Roman"/>
          <w:lang w:val="pt-BR"/>
        </w:rPr>
        <w:t>).</w:t>
      </w:r>
    </w:p>
    <w:p w14:paraId="61F9B974" w14:textId="033431A0" w:rsidR="00C97D4D" w:rsidRDefault="00C97D4D" w:rsidP="00C97D4D">
      <w:pPr>
        <w:pStyle w:val="VAFigureCaption"/>
        <w:spacing w:before="0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F</w:t>
      </w:r>
      <w:r w:rsidRPr="00E038AF">
        <w:rPr>
          <w:rFonts w:ascii="Times New Roman" w:hAnsi="Times New Roman"/>
          <w:b/>
          <w:lang w:val="pt-BR"/>
        </w:rPr>
        <w:t xml:space="preserve">igura </w:t>
      </w:r>
      <w:r>
        <w:rPr>
          <w:rFonts w:ascii="Times New Roman" w:hAnsi="Times New Roman"/>
          <w:b/>
          <w:lang w:val="pt-BR"/>
        </w:rPr>
        <w:t>4</w:t>
      </w:r>
      <w:r w:rsidRPr="00994385">
        <w:rPr>
          <w:lang w:val="pt-BR"/>
        </w:rPr>
        <w:t>.</w:t>
      </w:r>
      <w:r w:rsidRPr="00641F2B">
        <w:rPr>
          <w:rFonts w:ascii="Times New Roman" w:hAnsi="Times New Roman"/>
          <w:b/>
          <w:lang w:val="pt-BR"/>
        </w:rPr>
        <w:t xml:space="preserve"> </w:t>
      </w:r>
      <w:r w:rsidRPr="00553B50">
        <w:rPr>
          <w:rFonts w:ascii="Times New Roman" w:hAnsi="Times New Roman"/>
          <w:bCs/>
          <w:lang w:val="pt-BR"/>
        </w:rPr>
        <w:t>Espetro</w:t>
      </w:r>
      <w:r>
        <w:rPr>
          <w:rFonts w:ascii="Times New Roman" w:hAnsi="Times New Roman"/>
          <w:bCs/>
          <w:lang w:val="pt-BR"/>
        </w:rPr>
        <w:t>s de</w:t>
      </w:r>
      <w:r w:rsidRPr="00553B50">
        <w:rPr>
          <w:rFonts w:ascii="Times New Roman" w:hAnsi="Times New Roman"/>
          <w:bCs/>
          <w:lang w:val="pt-BR"/>
        </w:rPr>
        <w:t xml:space="preserve"> FTIR dos catalisadores</w:t>
      </w:r>
    </w:p>
    <w:p w14:paraId="57A0B1E8" w14:textId="77777777" w:rsidR="00C97D4D" w:rsidRDefault="00C97D4D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4580AEED" w14:textId="27023824" w:rsidR="00FF4B9E" w:rsidRDefault="00FF4B9E" w:rsidP="00EA4E1B">
      <w:pPr>
        <w:pStyle w:val="TAMainText"/>
        <w:ind w:firstLine="187"/>
        <w:rPr>
          <w:rFonts w:ascii="Times New Roman" w:hAnsi="Times New Roman"/>
          <w:lang w:val="pt-BR"/>
        </w:rPr>
      </w:pPr>
      <w:r w:rsidRPr="00FF4B9E">
        <w:rPr>
          <w:rFonts w:ascii="Times New Roman" w:hAnsi="Times New Roman"/>
          <w:lang w:val="pt-BR"/>
        </w:rPr>
        <w:t>Nos espectros de todas as amostras foi possível observar as bandas referentes ao suporte MMT, contudo, nas amostras contendo tungstênio, essas bandas apresentaram menor intensidade, possivelmente devido à formação de ligações W-O-Si e W-O-Al na superfície do material. Não foi possível verificar a presença de bandas associadas à vibração W-O-W (890 cm</w:t>
      </w:r>
      <w:r w:rsidRPr="00A43D07">
        <w:rPr>
          <w:rFonts w:ascii="Times New Roman" w:hAnsi="Times New Roman"/>
          <w:vertAlign w:val="superscript"/>
          <w:lang w:val="pt-BR"/>
        </w:rPr>
        <w:t>-1</w:t>
      </w:r>
      <w:r w:rsidRPr="00FF4B9E">
        <w:rPr>
          <w:rFonts w:ascii="Times New Roman" w:hAnsi="Times New Roman"/>
          <w:lang w:val="pt-BR"/>
        </w:rPr>
        <w:t>), W-O (875 cm</w:t>
      </w:r>
      <w:r w:rsidRPr="00A43D07">
        <w:rPr>
          <w:rFonts w:ascii="Times New Roman" w:hAnsi="Times New Roman"/>
          <w:vertAlign w:val="superscript"/>
          <w:lang w:val="pt-BR"/>
        </w:rPr>
        <w:t>-1</w:t>
      </w:r>
      <w:r w:rsidRPr="00FF4B9E">
        <w:rPr>
          <w:rFonts w:ascii="Times New Roman" w:hAnsi="Times New Roman"/>
          <w:lang w:val="pt-BR"/>
        </w:rPr>
        <w:t xml:space="preserve">) e W=O </w:t>
      </w:r>
      <w:r w:rsidR="009C6AA6">
        <w:rPr>
          <w:rFonts w:ascii="Times New Roman" w:hAnsi="Times New Roman"/>
          <w:lang w:val="pt-BR"/>
        </w:rPr>
        <w:t xml:space="preserve">    </w:t>
      </w:r>
      <w:proofErr w:type="gramStart"/>
      <w:r w:rsidR="009C6AA6">
        <w:rPr>
          <w:rFonts w:ascii="Times New Roman" w:hAnsi="Times New Roman"/>
          <w:lang w:val="pt-BR"/>
        </w:rPr>
        <w:t xml:space="preserve">   </w:t>
      </w:r>
      <w:r w:rsidRPr="00FF4B9E">
        <w:rPr>
          <w:rFonts w:ascii="Times New Roman" w:hAnsi="Times New Roman"/>
          <w:lang w:val="pt-BR"/>
        </w:rPr>
        <w:t>(</w:t>
      </w:r>
      <w:proofErr w:type="gramEnd"/>
      <w:r w:rsidRPr="00FF4B9E">
        <w:rPr>
          <w:rFonts w:ascii="Times New Roman" w:hAnsi="Times New Roman"/>
          <w:lang w:val="pt-BR"/>
        </w:rPr>
        <w:t>920 cm</w:t>
      </w:r>
      <w:r w:rsidRPr="00A43D07">
        <w:rPr>
          <w:rFonts w:ascii="Times New Roman" w:hAnsi="Times New Roman"/>
          <w:vertAlign w:val="superscript"/>
          <w:lang w:val="pt-BR"/>
        </w:rPr>
        <w:t>-1</w:t>
      </w:r>
      <w:r w:rsidRPr="00FF4B9E">
        <w:rPr>
          <w:rFonts w:ascii="Times New Roman" w:hAnsi="Times New Roman"/>
          <w:lang w:val="pt-BR"/>
        </w:rPr>
        <w:t xml:space="preserve">) na superfície dos catalisadores. Fan et al. (2017) associaram a ausência dessas bandas à formação de espécies monoméricas ao invés de poliméricas. </w:t>
      </w:r>
      <w:r w:rsidR="00A43D07" w:rsidRPr="00FF4B9E">
        <w:rPr>
          <w:rFonts w:ascii="Times New Roman" w:hAnsi="Times New Roman"/>
          <w:lang w:val="pt-BR"/>
        </w:rPr>
        <w:t>Nenhuma banda associada às ligações N-H residuais do precursor de tungstênio foi</w:t>
      </w:r>
      <w:r w:rsidRPr="00FF4B9E">
        <w:rPr>
          <w:rFonts w:ascii="Times New Roman" w:hAnsi="Times New Roman"/>
          <w:lang w:val="pt-BR"/>
        </w:rPr>
        <w:t xml:space="preserve"> identificada no espectro, mostrando que a </w:t>
      </w:r>
      <w:r w:rsidRPr="00FF4B9E">
        <w:rPr>
          <w:rFonts w:ascii="Times New Roman" w:hAnsi="Times New Roman"/>
          <w:lang w:val="pt-BR"/>
        </w:rPr>
        <w:lastRenderedPageBreak/>
        <w:t xml:space="preserve">calcinação foi eficiente na decomposição do </w:t>
      </w:r>
      <w:proofErr w:type="spellStart"/>
      <w:r w:rsidRPr="00FF4B9E">
        <w:rPr>
          <w:rFonts w:ascii="Times New Roman" w:hAnsi="Times New Roman"/>
          <w:lang w:val="pt-BR"/>
        </w:rPr>
        <w:t>metatungstato</w:t>
      </w:r>
      <w:proofErr w:type="spellEnd"/>
      <w:r w:rsidRPr="00FF4B9E">
        <w:rPr>
          <w:rFonts w:ascii="Times New Roman" w:hAnsi="Times New Roman"/>
          <w:lang w:val="pt-BR"/>
        </w:rPr>
        <w:t xml:space="preserve"> de amônio.</w:t>
      </w:r>
    </w:p>
    <w:p w14:paraId="176017EE" w14:textId="7411A930" w:rsidR="00FF4B9E" w:rsidRDefault="00FF4B9E" w:rsidP="00EA4E1B">
      <w:pPr>
        <w:pStyle w:val="TAMainText"/>
        <w:ind w:firstLine="187"/>
        <w:rPr>
          <w:rFonts w:ascii="Times New Roman" w:hAnsi="Times New Roman"/>
          <w:lang w:val="pt-BR"/>
        </w:rPr>
      </w:pPr>
    </w:p>
    <w:p w14:paraId="64947944" w14:textId="22594972" w:rsidR="000D6E3D" w:rsidRDefault="000D6E3D" w:rsidP="000D6E3D">
      <w:pPr>
        <w:pStyle w:val="TAMainText"/>
        <w:ind w:firstLine="0"/>
        <w:rPr>
          <w:rFonts w:ascii="Times New Roman" w:hAnsi="Times New Roman"/>
          <w:i/>
          <w:lang w:val="pt-BR"/>
        </w:rPr>
      </w:pPr>
      <w:r>
        <w:rPr>
          <w:rFonts w:ascii="Times New Roman" w:hAnsi="Times New Roman"/>
          <w:i/>
          <w:lang w:val="pt-BR"/>
        </w:rPr>
        <w:t>Espectroscopia Raman</w:t>
      </w:r>
    </w:p>
    <w:p w14:paraId="566371B4" w14:textId="77777777" w:rsidR="000D6E3D" w:rsidRPr="000D6E3D" w:rsidRDefault="000D6E3D" w:rsidP="000D6E3D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4C46F18E" w14:textId="4726F698" w:rsidR="000D6E3D" w:rsidRDefault="00FF09A7" w:rsidP="00B26811">
      <w:pPr>
        <w:pStyle w:val="TAMainText"/>
        <w:ind w:firstLine="187"/>
        <w:rPr>
          <w:rFonts w:ascii="Times New Roman" w:hAnsi="Times New Roman"/>
          <w:lang w:val="pt-BR"/>
        </w:rPr>
      </w:pPr>
      <w:bookmarkStart w:id="2" w:name="_GoBack"/>
      <w:r>
        <w:rPr>
          <w:rFonts w:ascii="Times New Roman" w:hAnsi="Times New Roman"/>
          <w:noProof/>
          <w:sz w:val="24"/>
          <w:szCs w:val="24"/>
          <w:lang w:val="pt-BR"/>
        </w:rPr>
        <w:drawing>
          <wp:anchor distT="0" distB="0" distL="114300" distR="114300" simplePos="0" relativeHeight="251665407" behindDoc="0" locked="0" layoutInCell="1" allowOverlap="1" wp14:anchorId="1E62E6FB" wp14:editId="0FB1601A">
            <wp:simplePos x="0" y="0"/>
            <wp:positionH relativeFrom="margin">
              <wp:posOffset>0</wp:posOffset>
            </wp:positionH>
            <wp:positionV relativeFrom="paragraph">
              <wp:posOffset>2053590</wp:posOffset>
            </wp:positionV>
            <wp:extent cx="2933700" cy="2584450"/>
            <wp:effectExtent l="0" t="0" r="0" b="635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mn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49" t="8224" r="10639"/>
                    <a:stretch/>
                  </pic:blipFill>
                  <pic:spPr bwMode="auto">
                    <a:xfrm>
                      <a:off x="0" y="0"/>
                      <a:ext cx="2933700" cy="2584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0D6E3D">
        <w:rPr>
          <w:rFonts w:ascii="Times New Roman" w:hAnsi="Times New Roman"/>
          <w:lang w:val="pt-BR"/>
        </w:rPr>
        <w:t xml:space="preserve">Na Figura 5 é </w:t>
      </w:r>
      <w:r w:rsidR="000D6E3D" w:rsidRPr="000D6E3D">
        <w:rPr>
          <w:rFonts w:ascii="Times New Roman" w:hAnsi="Times New Roman"/>
          <w:lang w:val="pt-BR"/>
        </w:rPr>
        <w:t xml:space="preserve">possível observar que </w:t>
      </w:r>
      <w:r w:rsidR="008051CC">
        <w:rPr>
          <w:rFonts w:ascii="Times New Roman" w:hAnsi="Times New Roman"/>
          <w:lang w:val="pt-BR"/>
        </w:rPr>
        <w:t xml:space="preserve">o espectro da </w:t>
      </w:r>
      <w:r w:rsidR="000D6E3D" w:rsidRPr="000D6E3D">
        <w:rPr>
          <w:rFonts w:ascii="Times New Roman" w:hAnsi="Times New Roman"/>
          <w:lang w:val="pt-BR"/>
        </w:rPr>
        <w:t>amostra com 5</w:t>
      </w:r>
      <w:r w:rsidR="000D6E3D">
        <w:rPr>
          <w:rFonts w:ascii="Times New Roman" w:hAnsi="Times New Roman"/>
          <w:lang w:val="pt-BR"/>
        </w:rPr>
        <w:t>%</w:t>
      </w:r>
      <w:r w:rsidR="000D6E3D" w:rsidRPr="000D6E3D">
        <w:rPr>
          <w:rFonts w:ascii="Times New Roman" w:hAnsi="Times New Roman"/>
          <w:lang w:val="pt-BR"/>
        </w:rPr>
        <w:t xml:space="preserve"> de tungstênio não apresentou bandas de espalhamento bem definidos, o que</w:t>
      </w:r>
      <w:r w:rsidR="002F2CCE">
        <w:rPr>
          <w:rFonts w:ascii="Times New Roman" w:hAnsi="Times New Roman"/>
          <w:lang w:val="pt-BR"/>
        </w:rPr>
        <w:t xml:space="preserve"> </w:t>
      </w:r>
      <w:r w:rsidR="000D6E3D" w:rsidRPr="000D6E3D">
        <w:rPr>
          <w:rFonts w:ascii="Times New Roman" w:hAnsi="Times New Roman"/>
          <w:lang w:val="pt-BR"/>
        </w:rPr>
        <w:t>significa que as espécies amorfas estão bem dispersas e, portanto, apresentam menor interação com o suporte</w:t>
      </w:r>
      <w:r w:rsidR="002F2CCE">
        <w:rPr>
          <w:rFonts w:ascii="Times New Roman" w:hAnsi="Times New Roman"/>
          <w:lang w:val="pt-BR"/>
        </w:rPr>
        <w:t xml:space="preserve"> (27)</w:t>
      </w:r>
      <w:r w:rsidR="000D6E3D" w:rsidRPr="000D6E3D">
        <w:rPr>
          <w:rFonts w:ascii="Times New Roman" w:hAnsi="Times New Roman"/>
          <w:lang w:val="pt-BR"/>
        </w:rPr>
        <w:t>.</w:t>
      </w:r>
      <w:r w:rsidR="008051CC">
        <w:rPr>
          <w:rFonts w:ascii="Times New Roman" w:hAnsi="Times New Roman"/>
          <w:lang w:val="pt-BR"/>
        </w:rPr>
        <w:t xml:space="preserve"> </w:t>
      </w:r>
      <w:r w:rsidR="00027781">
        <w:rPr>
          <w:rFonts w:ascii="Times New Roman" w:hAnsi="Times New Roman"/>
          <w:lang w:val="pt-BR"/>
        </w:rPr>
        <w:t>O</w:t>
      </w:r>
      <w:r w:rsidR="008051CC">
        <w:rPr>
          <w:rFonts w:ascii="Times New Roman" w:hAnsi="Times New Roman"/>
          <w:lang w:val="pt-BR"/>
        </w:rPr>
        <w:t xml:space="preserve"> </w:t>
      </w:r>
      <w:r w:rsidR="00027781">
        <w:rPr>
          <w:rFonts w:ascii="Times New Roman" w:hAnsi="Times New Roman"/>
          <w:lang w:val="pt-BR"/>
        </w:rPr>
        <w:t>da</w:t>
      </w:r>
      <w:r w:rsidR="000D6E3D" w:rsidRPr="000D6E3D">
        <w:rPr>
          <w:rFonts w:ascii="Times New Roman" w:hAnsi="Times New Roman"/>
          <w:lang w:val="pt-BR"/>
        </w:rPr>
        <w:t xml:space="preserve"> amostra </w:t>
      </w:r>
      <w:r w:rsidR="009C6AA6">
        <w:rPr>
          <w:rFonts w:ascii="Times New Roman" w:hAnsi="Times New Roman"/>
          <w:lang w:val="pt-BR"/>
        </w:rPr>
        <w:t xml:space="preserve">                              </w:t>
      </w:r>
      <w:r w:rsidR="00027781">
        <w:rPr>
          <w:rFonts w:ascii="Times New Roman" w:hAnsi="Times New Roman"/>
          <w:lang w:val="pt-BR"/>
        </w:rPr>
        <w:t>Pt-10WO</w:t>
      </w:r>
      <w:r w:rsidR="00027781" w:rsidRPr="008619F0">
        <w:rPr>
          <w:rFonts w:ascii="Times New Roman" w:hAnsi="Times New Roman"/>
          <w:vertAlign w:val="subscript"/>
          <w:lang w:val="pt-BR"/>
        </w:rPr>
        <w:t>3</w:t>
      </w:r>
      <w:r w:rsidR="00027781">
        <w:rPr>
          <w:rFonts w:ascii="Times New Roman" w:hAnsi="Times New Roman"/>
          <w:lang w:val="pt-BR"/>
        </w:rPr>
        <w:t>/MMT</w:t>
      </w:r>
      <w:r w:rsidR="000D6E3D" w:rsidRPr="000D6E3D">
        <w:rPr>
          <w:rFonts w:ascii="Times New Roman" w:hAnsi="Times New Roman"/>
          <w:lang w:val="pt-BR"/>
        </w:rPr>
        <w:t xml:space="preserve"> apresentou bandas do tungstênio cristalino em 803 e 715 cm</w:t>
      </w:r>
      <w:r w:rsidR="000D6E3D" w:rsidRPr="00A43D07">
        <w:rPr>
          <w:rFonts w:ascii="Times New Roman" w:hAnsi="Times New Roman"/>
          <w:vertAlign w:val="superscript"/>
          <w:lang w:val="pt-BR"/>
        </w:rPr>
        <w:t>-1</w:t>
      </w:r>
      <w:r w:rsidR="000D6E3D" w:rsidRPr="000D6E3D">
        <w:rPr>
          <w:rFonts w:ascii="Times New Roman" w:hAnsi="Times New Roman"/>
          <w:lang w:val="pt-BR"/>
        </w:rPr>
        <w:t>, atribuídos aos modos de estiramento e flexão, respectivamente, do W-O no octaedro WO</w:t>
      </w:r>
      <w:r w:rsidR="000D6E3D" w:rsidRPr="008619F0">
        <w:rPr>
          <w:rFonts w:ascii="Times New Roman" w:hAnsi="Times New Roman"/>
          <w:vertAlign w:val="subscript"/>
          <w:lang w:val="pt-BR"/>
        </w:rPr>
        <w:t>6</w:t>
      </w:r>
      <w:r w:rsidR="000D6E3D" w:rsidRPr="000D6E3D">
        <w:rPr>
          <w:rFonts w:ascii="Times New Roman" w:hAnsi="Times New Roman"/>
          <w:lang w:val="pt-BR"/>
        </w:rPr>
        <w:t>, e bandas em 270 e 321 cm</w:t>
      </w:r>
      <w:r w:rsidR="000D6E3D" w:rsidRPr="008619F0">
        <w:rPr>
          <w:rFonts w:ascii="Times New Roman" w:hAnsi="Times New Roman"/>
          <w:vertAlign w:val="superscript"/>
          <w:lang w:val="pt-BR"/>
        </w:rPr>
        <w:t>-1</w:t>
      </w:r>
      <w:r w:rsidR="000D6E3D" w:rsidRPr="000D6E3D">
        <w:rPr>
          <w:rFonts w:ascii="Times New Roman" w:hAnsi="Times New Roman"/>
          <w:lang w:val="pt-BR"/>
        </w:rPr>
        <w:t xml:space="preserve"> associadas à deformação W-O-W (</w:t>
      </w:r>
      <w:r w:rsidR="00D3514F">
        <w:rPr>
          <w:rFonts w:ascii="Times New Roman" w:hAnsi="Times New Roman"/>
          <w:lang w:val="pt-BR"/>
        </w:rPr>
        <w:t>21</w:t>
      </w:r>
      <w:r w:rsidR="000D6E3D" w:rsidRPr="000D6E3D">
        <w:rPr>
          <w:rFonts w:ascii="Times New Roman" w:hAnsi="Times New Roman"/>
          <w:lang w:val="pt-BR"/>
        </w:rPr>
        <w:t>).</w:t>
      </w:r>
      <w:r w:rsidR="000D6E3D">
        <w:rPr>
          <w:rFonts w:ascii="Times New Roman" w:hAnsi="Times New Roman"/>
          <w:lang w:val="pt-BR"/>
        </w:rPr>
        <w:t xml:space="preserve"> </w:t>
      </w:r>
      <w:r w:rsidR="000D6E3D" w:rsidRPr="000D6E3D">
        <w:rPr>
          <w:rFonts w:ascii="Times New Roman" w:hAnsi="Times New Roman"/>
          <w:lang w:val="pt-BR"/>
        </w:rPr>
        <w:t xml:space="preserve">Também foi possível observar uma banda em </w:t>
      </w:r>
      <w:r w:rsidR="009C6AA6">
        <w:rPr>
          <w:rFonts w:ascii="Times New Roman" w:hAnsi="Times New Roman"/>
          <w:lang w:val="pt-BR"/>
        </w:rPr>
        <w:t xml:space="preserve">             </w:t>
      </w:r>
      <w:r w:rsidR="000D6E3D" w:rsidRPr="000D6E3D">
        <w:rPr>
          <w:rFonts w:ascii="Times New Roman" w:hAnsi="Times New Roman"/>
          <w:lang w:val="pt-BR"/>
        </w:rPr>
        <w:t>955 cm</w:t>
      </w:r>
      <w:r w:rsidR="000D6E3D" w:rsidRPr="00651B58">
        <w:rPr>
          <w:rFonts w:ascii="Times New Roman" w:hAnsi="Times New Roman"/>
          <w:vertAlign w:val="superscript"/>
          <w:lang w:val="pt-BR"/>
        </w:rPr>
        <w:t>-1</w:t>
      </w:r>
      <w:r w:rsidR="000D6E3D" w:rsidRPr="000D6E3D">
        <w:rPr>
          <w:rFonts w:ascii="Times New Roman" w:hAnsi="Times New Roman"/>
          <w:lang w:val="pt-BR"/>
        </w:rPr>
        <w:t xml:space="preserve"> característico da </w:t>
      </w:r>
      <w:r w:rsidR="000D6E3D" w:rsidRPr="00FA6E78">
        <w:rPr>
          <w:rFonts w:ascii="Times New Roman" w:hAnsi="Times New Roman"/>
          <w:lang w:val="pt-BR"/>
        </w:rPr>
        <w:t xml:space="preserve">vibração W=O de espécies de mono e </w:t>
      </w:r>
      <w:proofErr w:type="spellStart"/>
      <w:r w:rsidR="000D6E3D" w:rsidRPr="00FA6E78">
        <w:rPr>
          <w:rFonts w:ascii="Times New Roman" w:hAnsi="Times New Roman"/>
          <w:lang w:val="pt-BR"/>
        </w:rPr>
        <w:t>politungstato</w:t>
      </w:r>
      <w:proofErr w:type="spellEnd"/>
      <w:r w:rsidR="000D6E3D" w:rsidRPr="00FA6E78">
        <w:rPr>
          <w:rFonts w:ascii="Times New Roman" w:hAnsi="Times New Roman"/>
          <w:lang w:val="pt-BR"/>
        </w:rPr>
        <w:t xml:space="preserve"> altamente dispersos</w:t>
      </w:r>
      <w:r>
        <w:rPr>
          <w:rFonts w:ascii="Times New Roman" w:hAnsi="Times New Roman"/>
          <w:lang w:val="pt-BR"/>
        </w:rPr>
        <w:t xml:space="preserve">, em concordância com o resultado obtido no </w:t>
      </w:r>
      <w:proofErr w:type="spellStart"/>
      <w:r>
        <w:rPr>
          <w:rFonts w:ascii="Times New Roman" w:hAnsi="Times New Roman"/>
          <w:lang w:val="pt-BR"/>
        </w:rPr>
        <w:t>difratograma</w:t>
      </w:r>
      <w:proofErr w:type="spellEnd"/>
      <w:r>
        <w:rPr>
          <w:rFonts w:ascii="Times New Roman" w:hAnsi="Times New Roman"/>
          <w:lang w:val="pt-BR"/>
        </w:rPr>
        <w:t xml:space="preserve"> de raios X</w:t>
      </w:r>
      <w:r w:rsidR="000D6E3D" w:rsidRPr="00FA6E78">
        <w:rPr>
          <w:rFonts w:ascii="Times New Roman" w:hAnsi="Times New Roman"/>
          <w:lang w:val="pt-BR"/>
        </w:rPr>
        <w:t xml:space="preserve"> (</w:t>
      </w:r>
      <w:r w:rsidR="002F2CCE" w:rsidRPr="00FA6E78">
        <w:rPr>
          <w:rFonts w:ascii="Times New Roman" w:hAnsi="Times New Roman"/>
          <w:lang w:val="pt-BR"/>
        </w:rPr>
        <w:t>28</w:t>
      </w:r>
      <w:r>
        <w:rPr>
          <w:rFonts w:ascii="Times New Roman" w:hAnsi="Times New Roman"/>
          <w:lang w:val="pt-BR"/>
        </w:rPr>
        <w:t>)</w:t>
      </w:r>
      <w:r w:rsidR="000D6E3D" w:rsidRPr="000D6E3D">
        <w:rPr>
          <w:rFonts w:ascii="Times New Roman" w:hAnsi="Times New Roman"/>
          <w:lang w:val="pt-BR"/>
        </w:rPr>
        <w:t>.</w:t>
      </w:r>
    </w:p>
    <w:p w14:paraId="1597B3CC" w14:textId="7DAF3F93" w:rsidR="00FF09A7" w:rsidRDefault="00FF09A7" w:rsidP="00B26811">
      <w:pPr>
        <w:pStyle w:val="TAMainText"/>
        <w:ind w:firstLine="187"/>
        <w:rPr>
          <w:rFonts w:ascii="Times New Roman" w:hAnsi="Times New Roman"/>
          <w:lang w:val="pt-BR"/>
        </w:rPr>
      </w:pPr>
    </w:p>
    <w:p w14:paraId="307595D3" w14:textId="4F6EA07D" w:rsidR="00E038AF" w:rsidRDefault="000D6E3D" w:rsidP="00D0697F">
      <w:pPr>
        <w:pStyle w:val="VAFigureCaption"/>
        <w:spacing w:before="0"/>
        <w:rPr>
          <w:rFonts w:ascii="Times New Roman" w:hAnsi="Times New Roman"/>
          <w:bCs/>
          <w:lang w:val="pt-BR"/>
        </w:rPr>
      </w:pPr>
      <w:r>
        <w:rPr>
          <w:rFonts w:ascii="Times New Roman" w:hAnsi="Times New Roman"/>
          <w:b/>
          <w:lang w:val="pt-BR"/>
        </w:rPr>
        <w:t>F</w:t>
      </w:r>
      <w:r w:rsidRPr="00E038AF">
        <w:rPr>
          <w:rFonts w:ascii="Times New Roman" w:hAnsi="Times New Roman"/>
          <w:b/>
          <w:lang w:val="pt-BR"/>
        </w:rPr>
        <w:t xml:space="preserve">igura </w:t>
      </w:r>
      <w:r>
        <w:rPr>
          <w:rFonts w:ascii="Times New Roman" w:hAnsi="Times New Roman"/>
          <w:b/>
          <w:lang w:val="pt-BR"/>
        </w:rPr>
        <w:t>5</w:t>
      </w:r>
      <w:r w:rsidRPr="00994385">
        <w:rPr>
          <w:lang w:val="pt-BR"/>
        </w:rPr>
        <w:t>.</w:t>
      </w:r>
      <w:r w:rsidRPr="00641F2B">
        <w:rPr>
          <w:rFonts w:ascii="Times New Roman" w:hAnsi="Times New Roman"/>
          <w:b/>
          <w:lang w:val="pt-BR"/>
        </w:rPr>
        <w:t xml:space="preserve"> </w:t>
      </w:r>
      <w:r w:rsidRPr="000D6E3D">
        <w:rPr>
          <w:rFonts w:ascii="Times New Roman" w:hAnsi="Times New Roman"/>
          <w:bCs/>
          <w:lang w:val="pt-BR"/>
        </w:rPr>
        <w:t>Espectroscopia Raman dos catalisadores.</w:t>
      </w:r>
    </w:p>
    <w:p w14:paraId="20AA905D" w14:textId="2E2C625C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Conclusões</w:t>
      </w:r>
    </w:p>
    <w:p w14:paraId="68B3C878" w14:textId="3DE33987" w:rsidR="00D0697F" w:rsidRPr="00D0697F" w:rsidRDefault="00D0697F" w:rsidP="00D0697F">
      <w:pPr>
        <w:pStyle w:val="TAMainText"/>
        <w:ind w:firstLine="187"/>
        <w:rPr>
          <w:rFonts w:ascii="Times New Roman" w:hAnsi="Times New Roman"/>
          <w:lang w:val="pt-BR"/>
        </w:rPr>
      </w:pPr>
      <w:r w:rsidRPr="00D0697F">
        <w:rPr>
          <w:rFonts w:ascii="Times New Roman" w:hAnsi="Times New Roman"/>
          <w:lang w:val="pt-BR"/>
        </w:rPr>
        <w:t>A síntese dos catalisadores por impregnação da montmorilonita a volume de poros foi eficaz, com formação da platina metálica de estrutura cúbica de face centrada e uma possível mistura de WO</w:t>
      </w:r>
      <w:r w:rsidRPr="00C42403">
        <w:rPr>
          <w:rFonts w:ascii="Times New Roman" w:hAnsi="Times New Roman"/>
          <w:vertAlign w:val="subscript"/>
          <w:lang w:val="pt-BR"/>
        </w:rPr>
        <w:t>3</w:t>
      </w:r>
      <w:r w:rsidRPr="00D0697F">
        <w:rPr>
          <w:rFonts w:ascii="Times New Roman" w:hAnsi="Times New Roman"/>
          <w:lang w:val="pt-BR"/>
        </w:rPr>
        <w:t xml:space="preserve"> monoclínico, </w:t>
      </w:r>
      <w:proofErr w:type="spellStart"/>
      <w:r w:rsidRPr="00D0697F">
        <w:rPr>
          <w:rFonts w:ascii="Times New Roman" w:hAnsi="Times New Roman"/>
          <w:lang w:val="pt-BR"/>
        </w:rPr>
        <w:t>monotungstato</w:t>
      </w:r>
      <w:proofErr w:type="spellEnd"/>
      <w:r w:rsidRPr="00D0697F">
        <w:rPr>
          <w:rFonts w:ascii="Times New Roman" w:hAnsi="Times New Roman"/>
          <w:lang w:val="pt-BR"/>
        </w:rPr>
        <w:t xml:space="preserve"> e </w:t>
      </w:r>
      <w:proofErr w:type="spellStart"/>
      <w:r w:rsidRPr="00D0697F">
        <w:rPr>
          <w:rFonts w:ascii="Times New Roman" w:hAnsi="Times New Roman"/>
          <w:lang w:val="pt-BR"/>
        </w:rPr>
        <w:t>politungstato</w:t>
      </w:r>
      <w:proofErr w:type="spellEnd"/>
      <w:r w:rsidRPr="00D0697F">
        <w:rPr>
          <w:rFonts w:ascii="Times New Roman" w:hAnsi="Times New Roman"/>
          <w:lang w:val="pt-BR"/>
        </w:rPr>
        <w:t>, com todas as fases bem dispersas no suporte. A adição das fases ativas não alterou a estrutura da argila, mantendo-se agregados de partículas tipo placas e poros de fendas, havendo ap</w:t>
      </w:r>
      <w:r w:rsidR="00307DB9">
        <w:rPr>
          <w:rFonts w:ascii="Times New Roman" w:hAnsi="Times New Roman"/>
          <w:lang w:val="pt-BR"/>
        </w:rPr>
        <w:t>enas redução da área</w:t>
      </w:r>
      <w:r w:rsidRPr="00D0697F">
        <w:rPr>
          <w:rFonts w:ascii="Times New Roman" w:hAnsi="Times New Roman"/>
          <w:lang w:val="pt-BR"/>
        </w:rPr>
        <w:t xml:space="preserve"> específica e do volume de poros. </w:t>
      </w:r>
      <w:r w:rsidR="00C42403">
        <w:rPr>
          <w:rFonts w:ascii="Times New Roman" w:hAnsi="Times New Roman"/>
          <w:lang w:val="pt-BR"/>
        </w:rPr>
        <w:t xml:space="preserve">Os materiais apresentados possuem propriedades promissoras na reação de </w:t>
      </w:r>
      <w:proofErr w:type="spellStart"/>
      <w:r w:rsidR="00C42403">
        <w:rPr>
          <w:rFonts w:ascii="Times New Roman" w:hAnsi="Times New Roman"/>
          <w:lang w:val="pt-BR"/>
        </w:rPr>
        <w:t>hidrogenólisel</w:t>
      </w:r>
      <w:proofErr w:type="spellEnd"/>
      <w:r w:rsidR="00C42403">
        <w:rPr>
          <w:rFonts w:ascii="Times New Roman" w:hAnsi="Times New Roman"/>
          <w:lang w:val="pt-BR"/>
        </w:rPr>
        <w:t xml:space="preserve">, com elevada área superficial, presença de micro e </w:t>
      </w:r>
      <w:proofErr w:type="spellStart"/>
      <w:r w:rsidR="00C42403">
        <w:rPr>
          <w:rFonts w:ascii="Times New Roman" w:hAnsi="Times New Roman"/>
          <w:lang w:val="pt-BR"/>
        </w:rPr>
        <w:t>mesoporos</w:t>
      </w:r>
      <w:proofErr w:type="spellEnd"/>
      <w:r w:rsidR="00C42403">
        <w:rPr>
          <w:rFonts w:ascii="Times New Roman" w:hAnsi="Times New Roman"/>
          <w:lang w:val="pt-BR"/>
        </w:rPr>
        <w:t xml:space="preserve"> e formação de sítios metálicos e espécies de tungstênio ativas na transformação do glicerol.</w:t>
      </w:r>
    </w:p>
    <w:p w14:paraId="6BE32F7B" w14:textId="4F456A38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Agradecimentos</w:t>
      </w:r>
    </w:p>
    <w:p w14:paraId="05A178F9" w14:textId="70FB6628" w:rsidR="00EA4E1B" w:rsidRPr="001F25B2" w:rsidRDefault="008B5AF5" w:rsidP="00EA4E1B">
      <w:pPr>
        <w:pStyle w:val="TAMainText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Os autores </w:t>
      </w:r>
      <w:r w:rsidR="004636AA">
        <w:rPr>
          <w:rFonts w:ascii="Times New Roman" w:hAnsi="Times New Roman"/>
          <w:lang w:val="pt-BR"/>
        </w:rPr>
        <w:t xml:space="preserve">agradecem </w:t>
      </w:r>
      <w:r w:rsidR="00214027">
        <w:rPr>
          <w:rFonts w:ascii="Times New Roman" w:hAnsi="Times New Roman"/>
          <w:lang w:val="pt-BR"/>
        </w:rPr>
        <w:t xml:space="preserve">ao </w:t>
      </w:r>
      <w:r w:rsidR="009C6AA6" w:rsidRPr="009C6AA6">
        <w:rPr>
          <w:rFonts w:ascii="Times New Roman" w:hAnsi="Times New Roman"/>
          <w:lang w:val="pt-BR"/>
        </w:rPr>
        <w:t>Laboratório de Peneiras Moleculares (LABPEMOL) da Universidade Federal do Rio Grande do Norte (UFRN)</w:t>
      </w:r>
      <w:r>
        <w:rPr>
          <w:rFonts w:ascii="Times New Roman" w:hAnsi="Times New Roman"/>
          <w:lang w:val="pt-BR"/>
        </w:rPr>
        <w:t xml:space="preserve"> pelas análises de FRX e Raman, à CAPES/CNPq</w:t>
      </w:r>
      <w:r w:rsidR="009C6AA6">
        <w:rPr>
          <w:rFonts w:ascii="Times New Roman" w:hAnsi="Times New Roman"/>
          <w:lang w:val="pt-BR"/>
        </w:rPr>
        <w:t>,</w:t>
      </w:r>
      <w:r w:rsidR="00214027">
        <w:rPr>
          <w:rFonts w:ascii="Times New Roman" w:hAnsi="Times New Roman"/>
          <w:lang w:val="pt-BR"/>
        </w:rPr>
        <w:t xml:space="preserve"> </w:t>
      </w:r>
      <w:r w:rsidR="009C6AA6">
        <w:rPr>
          <w:rFonts w:ascii="Times New Roman" w:hAnsi="Times New Roman"/>
          <w:lang w:val="pt-BR"/>
        </w:rPr>
        <w:t>à</w:t>
      </w:r>
      <w:r w:rsidR="00214027">
        <w:rPr>
          <w:rFonts w:ascii="Times New Roman" w:hAnsi="Times New Roman"/>
          <w:lang w:val="pt-BR"/>
        </w:rPr>
        <w:t xml:space="preserve"> FAPESB (</w:t>
      </w:r>
      <w:r w:rsidR="009C6AA6">
        <w:rPr>
          <w:rFonts w:ascii="Times New Roman" w:hAnsi="Times New Roman"/>
          <w:lang w:val="pt-BR"/>
        </w:rPr>
        <w:t xml:space="preserve">Projeto n° </w:t>
      </w:r>
      <w:r w:rsidR="00214027">
        <w:rPr>
          <w:rFonts w:ascii="Times New Roman" w:hAnsi="Times New Roman"/>
          <w:lang w:val="pt-BR"/>
        </w:rPr>
        <w:t>5787/</w:t>
      </w:r>
      <w:proofErr w:type="gramStart"/>
      <w:r w:rsidR="00214027">
        <w:rPr>
          <w:rFonts w:ascii="Times New Roman" w:hAnsi="Times New Roman"/>
          <w:lang w:val="pt-BR"/>
        </w:rPr>
        <w:t>20</w:t>
      </w:r>
      <w:r w:rsidR="004636AA">
        <w:rPr>
          <w:rFonts w:ascii="Times New Roman" w:hAnsi="Times New Roman"/>
          <w:lang w:val="pt-BR"/>
        </w:rPr>
        <w:t>1</w:t>
      </w:r>
      <w:r w:rsidR="00214027">
        <w:rPr>
          <w:rFonts w:ascii="Times New Roman" w:hAnsi="Times New Roman"/>
          <w:lang w:val="pt-BR"/>
        </w:rPr>
        <w:t xml:space="preserve">9) </w:t>
      </w:r>
      <w:r w:rsidR="009C6AA6">
        <w:rPr>
          <w:rFonts w:ascii="Times New Roman" w:hAnsi="Times New Roman"/>
          <w:lang w:val="pt-BR"/>
        </w:rPr>
        <w:t xml:space="preserve"> e</w:t>
      </w:r>
      <w:proofErr w:type="gramEnd"/>
      <w:r w:rsidR="009C6AA6">
        <w:rPr>
          <w:rFonts w:ascii="Times New Roman" w:hAnsi="Times New Roman"/>
          <w:lang w:val="pt-BR"/>
        </w:rPr>
        <w:t xml:space="preserve"> à </w:t>
      </w:r>
      <w:r w:rsidR="009C6AA6" w:rsidRPr="009C6AA6">
        <w:rPr>
          <w:rFonts w:ascii="Times New Roman" w:hAnsi="Times New Roman"/>
          <w:lang w:val="pt-BR"/>
        </w:rPr>
        <w:t xml:space="preserve">PROPCI–PROPG/UFBA </w:t>
      </w:r>
      <w:r w:rsidR="009C6AA6">
        <w:rPr>
          <w:rFonts w:ascii="Times New Roman" w:hAnsi="Times New Roman"/>
          <w:lang w:val="pt-BR"/>
        </w:rPr>
        <w:t xml:space="preserve">(Edital n° </w:t>
      </w:r>
      <w:r w:rsidR="009C6AA6" w:rsidRPr="009C6AA6">
        <w:rPr>
          <w:rFonts w:ascii="Times New Roman" w:hAnsi="Times New Roman"/>
          <w:lang w:val="pt-BR"/>
        </w:rPr>
        <w:t>007/2022</w:t>
      </w:r>
      <w:r w:rsidR="009C6AA6">
        <w:rPr>
          <w:rFonts w:ascii="Times New Roman" w:hAnsi="Times New Roman"/>
          <w:lang w:val="pt-BR"/>
        </w:rPr>
        <w:t xml:space="preserve"> </w:t>
      </w:r>
      <w:r w:rsidR="009C6AA6" w:rsidRPr="009C6AA6">
        <w:rPr>
          <w:rFonts w:ascii="Times New Roman" w:hAnsi="Times New Roman"/>
          <w:lang w:val="pt-BR"/>
        </w:rPr>
        <w:t>– JOVEMPESQ</w:t>
      </w:r>
      <w:r w:rsidR="009C6AA6">
        <w:rPr>
          <w:rFonts w:ascii="Times New Roman" w:hAnsi="Times New Roman"/>
          <w:lang w:val="pt-BR"/>
        </w:rPr>
        <w:t>)</w:t>
      </w:r>
      <w:r w:rsidR="009C6AA6" w:rsidRPr="009C6AA6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>pelo fomento à pesquis</w:t>
      </w:r>
      <w:r w:rsidR="009C6AA6">
        <w:rPr>
          <w:rFonts w:ascii="Times New Roman" w:hAnsi="Times New Roman"/>
          <w:lang w:val="pt-BR"/>
        </w:rPr>
        <w:t>a</w:t>
      </w:r>
      <w:r w:rsidR="00E72C8E">
        <w:rPr>
          <w:rFonts w:ascii="Times New Roman" w:hAnsi="Times New Roman"/>
          <w:lang w:val="pt-BR"/>
        </w:rPr>
        <w:t>.</w:t>
      </w:r>
      <w:r>
        <w:rPr>
          <w:rFonts w:ascii="Times New Roman" w:hAnsi="Times New Roman"/>
          <w:lang w:val="pt-BR"/>
        </w:rPr>
        <w:t xml:space="preserve"> </w:t>
      </w:r>
    </w:p>
    <w:p w14:paraId="1EAAA287" w14:textId="04713CFD" w:rsidR="00EA4E1B" w:rsidRPr="001F25B2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1F25B2">
        <w:rPr>
          <w:rFonts w:ascii="Helvetica" w:hAnsi="Helvetica" w:cs="Helvetica"/>
          <w:sz w:val="24"/>
          <w:szCs w:val="24"/>
        </w:rPr>
        <w:t>Referências</w:t>
      </w:r>
    </w:p>
    <w:p w14:paraId="7A957DC2" w14:textId="0B03CA3E" w:rsidR="001A7EB2" w:rsidRDefault="001A7EB2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J. Wang; M. Yang; A. Wang, </w:t>
      </w:r>
      <w:r w:rsidRPr="00994385">
        <w:rPr>
          <w:i/>
          <w:iCs/>
        </w:rPr>
        <w:t xml:space="preserve">Chinese J. </w:t>
      </w:r>
      <w:proofErr w:type="spellStart"/>
      <w:r w:rsidRPr="00994385">
        <w:rPr>
          <w:i/>
          <w:iCs/>
        </w:rPr>
        <w:t>Catal</w:t>
      </w:r>
      <w:proofErr w:type="spellEnd"/>
      <w:r w:rsidRPr="00994385">
        <w:rPr>
          <w:i/>
          <w:iCs/>
        </w:rPr>
        <w:t>.</w:t>
      </w:r>
      <w:r w:rsidRPr="00994385">
        <w:t xml:space="preserve"> </w:t>
      </w:r>
      <w:r w:rsidRPr="001A7EB2">
        <w:rPr>
          <w:b/>
          <w:bCs/>
          <w:lang w:val="pt-BR"/>
        </w:rPr>
        <w:t>2020</w:t>
      </w:r>
      <w:r>
        <w:rPr>
          <w:lang w:val="pt-BR"/>
        </w:rPr>
        <w:t>, 41, 1311-1319.</w:t>
      </w:r>
    </w:p>
    <w:p w14:paraId="145F8799" w14:textId="0A334DF2" w:rsidR="001A6E81" w:rsidRDefault="001A6E81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T. </w:t>
      </w:r>
      <w:proofErr w:type="spellStart"/>
      <w:r>
        <w:rPr>
          <w:lang w:val="pt-BR"/>
        </w:rPr>
        <w:t>Numpilai</w:t>
      </w:r>
      <w:proofErr w:type="spellEnd"/>
      <w:r>
        <w:rPr>
          <w:lang w:val="pt-BR"/>
        </w:rPr>
        <w:t xml:space="preserve">; C. </w:t>
      </w:r>
      <w:proofErr w:type="spellStart"/>
      <w:r>
        <w:rPr>
          <w:lang w:val="pt-BR"/>
        </w:rPr>
        <w:t>Cheng</w:t>
      </w:r>
      <w:proofErr w:type="spellEnd"/>
      <w:r>
        <w:rPr>
          <w:lang w:val="pt-BR"/>
        </w:rPr>
        <w:t xml:space="preserve">; A. </w:t>
      </w:r>
      <w:proofErr w:type="spellStart"/>
      <w:r>
        <w:rPr>
          <w:lang w:val="pt-BR"/>
        </w:rPr>
        <w:t>Seubsai</w:t>
      </w:r>
      <w:proofErr w:type="spellEnd"/>
      <w:r>
        <w:rPr>
          <w:lang w:val="pt-BR"/>
        </w:rPr>
        <w:t xml:space="preserve">; K. </w:t>
      </w:r>
      <w:proofErr w:type="spellStart"/>
      <w:r>
        <w:rPr>
          <w:lang w:val="pt-BR"/>
        </w:rPr>
        <w:t>Faungnawaki</w:t>
      </w:r>
      <w:proofErr w:type="spellEnd"/>
      <w:r>
        <w:rPr>
          <w:lang w:val="pt-BR"/>
        </w:rPr>
        <w:t xml:space="preserve">; J. </w:t>
      </w:r>
      <w:proofErr w:type="spellStart"/>
      <w:r>
        <w:rPr>
          <w:lang w:val="pt-BR"/>
        </w:rPr>
        <w:t>Limtrakul</w:t>
      </w:r>
      <w:proofErr w:type="spellEnd"/>
      <w:r>
        <w:rPr>
          <w:lang w:val="pt-BR"/>
        </w:rPr>
        <w:t xml:space="preserve">; T. </w:t>
      </w:r>
      <w:proofErr w:type="spellStart"/>
      <w:r>
        <w:rPr>
          <w:lang w:val="pt-BR"/>
        </w:rPr>
        <w:t>Witoon</w:t>
      </w:r>
      <w:proofErr w:type="spellEnd"/>
      <w:r>
        <w:rPr>
          <w:lang w:val="pt-BR"/>
        </w:rPr>
        <w:t xml:space="preserve">, </w:t>
      </w:r>
      <w:proofErr w:type="spellStart"/>
      <w:r w:rsidRPr="001A6E81">
        <w:rPr>
          <w:i/>
          <w:iCs/>
          <w:lang w:val="pt-BR"/>
        </w:rPr>
        <w:t>Environ</w:t>
      </w:r>
      <w:proofErr w:type="spellEnd"/>
      <w:r w:rsidRPr="001A6E81">
        <w:rPr>
          <w:i/>
          <w:iCs/>
          <w:lang w:val="pt-BR"/>
        </w:rPr>
        <w:t xml:space="preserve">. </w:t>
      </w:r>
      <w:proofErr w:type="spellStart"/>
      <w:r w:rsidRPr="001A6E81">
        <w:rPr>
          <w:i/>
          <w:iCs/>
          <w:lang w:val="pt-BR"/>
        </w:rPr>
        <w:t>Pollut</w:t>
      </w:r>
      <w:proofErr w:type="spellEnd"/>
      <w:r w:rsidRPr="001A6E81">
        <w:rPr>
          <w:i/>
          <w:iCs/>
          <w:lang w:val="pt-BR"/>
        </w:rPr>
        <w:t>.</w:t>
      </w:r>
      <w:r>
        <w:rPr>
          <w:lang w:val="pt-BR"/>
        </w:rPr>
        <w:t xml:space="preserve"> </w:t>
      </w:r>
      <w:r w:rsidRPr="001A6E81">
        <w:rPr>
          <w:lang w:val="pt-BR"/>
        </w:rPr>
        <w:t>2021</w:t>
      </w:r>
      <w:r>
        <w:rPr>
          <w:lang w:val="pt-BR"/>
        </w:rPr>
        <w:t>, 272, 116029.</w:t>
      </w:r>
    </w:p>
    <w:p w14:paraId="0B439969" w14:textId="53E3BB1E" w:rsidR="001A6E81" w:rsidRDefault="001A6E81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R. Urban; B. </w:t>
      </w:r>
      <w:proofErr w:type="spellStart"/>
      <w:r w:rsidRPr="00994385">
        <w:t>Bakshi</w:t>
      </w:r>
      <w:proofErr w:type="spellEnd"/>
      <w:r w:rsidRPr="00994385">
        <w:t xml:space="preserve">, </w:t>
      </w:r>
      <w:proofErr w:type="spellStart"/>
      <w:r w:rsidRPr="00994385">
        <w:rPr>
          <w:i/>
          <w:iCs/>
        </w:rPr>
        <w:t>Ind</w:t>
      </w:r>
      <w:proofErr w:type="spellEnd"/>
      <w:r w:rsidRPr="00994385">
        <w:rPr>
          <w:i/>
          <w:iCs/>
        </w:rPr>
        <w:t xml:space="preserve"> Eng. </w:t>
      </w:r>
      <w:proofErr w:type="spellStart"/>
      <w:r w:rsidRPr="001A6E81">
        <w:rPr>
          <w:i/>
          <w:iCs/>
          <w:lang w:val="pt-BR"/>
        </w:rPr>
        <w:t>Chem</w:t>
      </w:r>
      <w:proofErr w:type="spellEnd"/>
      <w:r w:rsidRPr="001A6E81">
        <w:rPr>
          <w:i/>
          <w:iCs/>
          <w:lang w:val="pt-BR"/>
        </w:rPr>
        <w:t>. Res.</w:t>
      </w:r>
      <w:r>
        <w:rPr>
          <w:lang w:val="pt-BR"/>
        </w:rPr>
        <w:t xml:space="preserve"> </w:t>
      </w:r>
      <w:r w:rsidRPr="001A6E81">
        <w:rPr>
          <w:b/>
          <w:bCs/>
          <w:lang w:val="pt-BR"/>
        </w:rPr>
        <w:t>2009</w:t>
      </w:r>
      <w:r>
        <w:rPr>
          <w:lang w:val="pt-BR"/>
        </w:rPr>
        <w:t>, 48, 8068-8082.</w:t>
      </w:r>
    </w:p>
    <w:p w14:paraId="17731795" w14:textId="5A626182" w:rsidR="001A7EB2" w:rsidRDefault="001A7EB2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L. Liu; S. </w:t>
      </w:r>
      <w:proofErr w:type="spellStart"/>
      <w:r>
        <w:rPr>
          <w:lang w:val="pt-BR"/>
        </w:rPr>
        <w:t>Kawakami</w:t>
      </w:r>
      <w:proofErr w:type="spellEnd"/>
      <w:r>
        <w:rPr>
          <w:lang w:val="pt-BR"/>
        </w:rPr>
        <w:t xml:space="preserve">; Y. </w:t>
      </w:r>
      <w:proofErr w:type="spellStart"/>
      <w:r>
        <w:rPr>
          <w:lang w:val="pt-BR"/>
        </w:rPr>
        <w:t>Nakagawa</w:t>
      </w:r>
      <w:proofErr w:type="spellEnd"/>
      <w:r>
        <w:rPr>
          <w:lang w:val="pt-BR"/>
        </w:rPr>
        <w:t xml:space="preserve">; </w:t>
      </w:r>
      <w:proofErr w:type="spellStart"/>
      <w:r>
        <w:rPr>
          <w:lang w:val="pt-BR"/>
        </w:rPr>
        <w:t>M.Tamura</w:t>
      </w:r>
      <w:proofErr w:type="spellEnd"/>
      <w:r>
        <w:rPr>
          <w:lang w:val="pt-BR"/>
        </w:rPr>
        <w:t xml:space="preserve">; K. </w:t>
      </w:r>
      <w:proofErr w:type="spellStart"/>
      <w:r>
        <w:rPr>
          <w:lang w:val="pt-BR"/>
        </w:rPr>
        <w:t>Tomishige</w:t>
      </w:r>
      <w:proofErr w:type="spellEnd"/>
      <w:r>
        <w:rPr>
          <w:lang w:val="pt-BR"/>
        </w:rPr>
        <w:t xml:space="preserve">, </w:t>
      </w:r>
      <w:proofErr w:type="spellStart"/>
      <w:r w:rsidRPr="001A7EB2">
        <w:rPr>
          <w:i/>
          <w:iCs/>
          <w:lang w:val="pt-BR"/>
        </w:rPr>
        <w:t>Appl</w:t>
      </w:r>
      <w:proofErr w:type="spellEnd"/>
      <w:r w:rsidRPr="001A7EB2">
        <w:rPr>
          <w:i/>
          <w:iCs/>
          <w:lang w:val="pt-BR"/>
        </w:rPr>
        <w:t>. Catal. B</w:t>
      </w:r>
      <w:r>
        <w:rPr>
          <w:lang w:val="pt-BR"/>
        </w:rPr>
        <w:t xml:space="preserve"> </w:t>
      </w:r>
      <w:r w:rsidRPr="001A7EB2">
        <w:rPr>
          <w:b/>
          <w:bCs/>
          <w:lang w:val="pt-BR"/>
        </w:rPr>
        <w:t>2019</w:t>
      </w:r>
      <w:r>
        <w:rPr>
          <w:lang w:val="pt-BR"/>
        </w:rPr>
        <w:t>, 256, 117775.</w:t>
      </w:r>
    </w:p>
    <w:p w14:paraId="35453A36" w14:textId="7E96CC3F" w:rsidR="001A7EB2" w:rsidRDefault="00043BA9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X. </w:t>
      </w:r>
      <w:proofErr w:type="spellStart"/>
      <w:r>
        <w:rPr>
          <w:lang w:val="pt-BR"/>
        </w:rPr>
        <w:t>Wan</w:t>
      </w:r>
      <w:proofErr w:type="spellEnd"/>
      <w:r>
        <w:rPr>
          <w:lang w:val="pt-BR"/>
        </w:rPr>
        <w:t xml:space="preserve">; Q. Zhang; M. Zhu; Y. Zhao; Y. Liu; C. Zhou; Y. Yang; Y. Cao, </w:t>
      </w:r>
      <w:r w:rsidRPr="00043BA9">
        <w:rPr>
          <w:i/>
          <w:iCs/>
          <w:lang w:val="pt-BR"/>
        </w:rPr>
        <w:t xml:space="preserve">J. Catal. </w:t>
      </w:r>
      <w:r w:rsidRPr="00043BA9">
        <w:rPr>
          <w:b/>
          <w:bCs/>
          <w:lang w:val="pt-BR"/>
        </w:rPr>
        <w:t>2019</w:t>
      </w:r>
      <w:r>
        <w:rPr>
          <w:lang w:val="pt-BR"/>
        </w:rPr>
        <w:t>, 375, 339-350.</w:t>
      </w:r>
    </w:p>
    <w:p w14:paraId="43E5C314" w14:textId="75EECB54" w:rsidR="001A7EB2" w:rsidRPr="00994385" w:rsidRDefault="00043BA9" w:rsidP="00EA4E1B">
      <w:pPr>
        <w:pStyle w:val="TAMainText"/>
        <w:numPr>
          <w:ilvl w:val="0"/>
          <w:numId w:val="1"/>
        </w:numPr>
      </w:pPr>
      <w:r w:rsidRPr="00994385">
        <w:t xml:space="preserve">X. Ren; L. </w:t>
      </w:r>
      <w:proofErr w:type="spellStart"/>
      <w:r w:rsidRPr="00994385">
        <w:t>Leng</w:t>
      </w:r>
      <w:proofErr w:type="spellEnd"/>
      <w:r w:rsidRPr="00994385">
        <w:t xml:space="preserve">; Y. Cao; J. Zhang; X. Duan; X. Gong; J. Zhou; X. Zhou, Chin. </w:t>
      </w:r>
      <w:r w:rsidRPr="00994385">
        <w:rPr>
          <w:i/>
          <w:iCs/>
        </w:rPr>
        <w:t>J. Chem. Eng</w:t>
      </w:r>
      <w:r w:rsidRPr="00994385">
        <w:t xml:space="preserve">. </w:t>
      </w:r>
      <w:r w:rsidRPr="00994385">
        <w:rPr>
          <w:b/>
          <w:bCs/>
        </w:rPr>
        <w:t>2022</w:t>
      </w:r>
      <w:r w:rsidR="000038FD" w:rsidRPr="00994385">
        <w:t xml:space="preserve">, </w:t>
      </w:r>
      <w:r w:rsidRPr="00994385">
        <w:t>45, 171-181.</w:t>
      </w:r>
    </w:p>
    <w:p w14:paraId="461DD08E" w14:textId="5EAD02F3" w:rsidR="00043BA9" w:rsidRDefault="004E7B09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S. Cheng; Y. Fan; X. Zhang; Y. Zeng; S. </w:t>
      </w:r>
      <w:proofErr w:type="spellStart"/>
      <w:r w:rsidRPr="00994385">
        <w:t>Xie</w:t>
      </w:r>
      <w:proofErr w:type="spellEnd"/>
      <w:r w:rsidRPr="00994385">
        <w:t xml:space="preserve">; Y. Pei; G. Zeng; M. </w:t>
      </w:r>
      <w:proofErr w:type="spellStart"/>
      <w:r w:rsidRPr="00994385">
        <w:t>Qiao</w:t>
      </w:r>
      <w:proofErr w:type="spellEnd"/>
      <w:r w:rsidRPr="00994385">
        <w:t xml:space="preserve">; B. </w:t>
      </w:r>
      <w:proofErr w:type="spellStart"/>
      <w:r w:rsidRPr="00994385">
        <w:t>Zong</w:t>
      </w:r>
      <w:proofErr w:type="spellEnd"/>
      <w:r w:rsidRPr="00994385">
        <w:t xml:space="preserve">, </w:t>
      </w:r>
      <w:r w:rsidRPr="00994385">
        <w:rPr>
          <w:i/>
          <w:iCs/>
        </w:rPr>
        <w:t xml:space="preserve">Appl. </w:t>
      </w:r>
      <w:r w:rsidRPr="001A7EB2">
        <w:rPr>
          <w:i/>
          <w:iCs/>
          <w:lang w:val="pt-BR"/>
        </w:rPr>
        <w:t>Catal. B</w:t>
      </w:r>
      <w:r>
        <w:rPr>
          <w:i/>
          <w:iCs/>
          <w:lang w:val="pt-BR"/>
        </w:rPr>
        <w:t xml:space="preserve"> </w:t>
      </w:r>
      <w:r w:rsidRPr="004E7B09">
        <w:rPr>
          <w:b/>
          <w:bCs/>
          <w:lang w:val="pt-BR"/>
        </w:rPr>
        <w:t>2021</w:t>
      </w:r>
      <w:r w:rsidRPr="004E7B09">
        <w:rPr>
          <w:lang w:val="pt-BR"/>
        </w:rPr>
        <w:t>, 297, 120428.</w:t>
      </w:r>
    </w:p>
    <w:p w14:paraId="2E570B9B" w14:textId="108F6257" w:rsidR="004E7B09" w:rsidRDefault="004E7B09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L. Yang; Y. Jiang; Z. Zhu; Z. </w:t>
      </w:r>
      <w:proofErr w:type="spellStart"/>
      <w:r>
        <w:rPr>
          <w:lang w:val="pt-BR"/>
        </w:rPr>
        <w:t>Hou</w:t>
      </w:r>
      <w:proofErr w:type="spellEnd"/>
      <w:r>
        <w:rPr>
          <w:lang w:val="pt-BR"/>
        </w:rPr>
        <w:t xml:space="preserve">, </w:t>
      </w:r>
      <w:r w:rsidRPr="004E7B09">
        <w:rPr>
          <w:i/>
          <w:iCs/>
          <w:lang w:val="pt-BR"/>
        </w:rPr>
        <w:t>Mol. Catal</w:t>
      </w:r>
      <w:r w:rsidRPr="004E7B09">
        <w:rPr>
          <w:lang w:val="pt-BR"/>
        </w:rPr>
        <w:t>.</w:t>
      </w:r>
      <w:r>
        <w:rPr>
          <w:lang w:val="pt-BR"/>
        </w:rPr>
        <w:t xml:space="preserve"> </w:t>
      </w:r>
      <w:r w:rsidRPr="004E7B09">
        <w:rPr>
          <w:b/>
          <w:bCs/>
          <w:lang w:val="pt-BR"/>
        </w:rPr>
        <w:t>2022</w:t>
      </w:r>
      <w:r>
        <w:rPr>
          <w:lang w:val="pt-BR"/>
        </w:rPr>
        <w:t>, 523, 111545.</w:t>
      </w:r>
    </w:p>
    <w:p w14:paraId="67BC5834" w14:textId="1263900F" w:rsidR="004E7B09" w:rsidRDefault="004E7B09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M. Yang; K. Wu; S. Sun; Y. Ren, </w:t>
      </w:r>
      <w:r w:rsidRPr="00994385">
        <w:rPr>
          <w:i/>
          <w:iCs/>
        </w:rPr>
        <w:t xml:space="preserve">Appl. </w:t>
      </w:r>
      <w:r w:rsidRPr="001A7EB2">
        <w:rPr>
          <w:i/>
          <w:iCs/>
          <w:lang w:val="pt-BR"/>
        </w:rPr>
        <w:t>Catal. B</w:t>
      </w:r>
      <w:r>
        <w:rPr>
          <w:i/>
          <w:iCs/>
          <w:lang w:val="pt-BR"/>
        </w:rPr>
        <w:t xml:space="preserve"> </w:t>
      </w:r>
      <w:r w:rsidRPr="004E7B09">
        <w:rPr>
          <w:b/>
          <w:bCs/>
          <w:lang w:val="pt-BR"/>
        </w:rPr>
        <w:t>2022</w:t>
      </w:r>
      <w:r w:rsidRPr="004E7B09">
        <w:rPr>
          <w:lang w:val="pt-BR"/>
        </w:rPr>
        <w:t>, 307, 121207.</w:t>
      </w:r>
    </w:p>
    <w:p w14:paraId="109A3EE2" w14:textId="2C3D3CE5" w:rsidR="004E7B09" w:rsidRDefault="009A07DE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T. </w:t>
      </w:r>
      <w:proofErr w:type="spellStart"/>
      <w:r>
        <w:rPr>
          <w:lang w:val="pt-BR"/>
        </w:rPr>
        <w:t>Saelee</w:t>
      </w:r>
      <w:proofErr w:type="spellEnd"/>
      <w:r>
        <w:rPr>
          <w:lang w:val="pt-BR"/>
        </w:rPr>
        <w:t xml:space="preserve">; T. </w:t>
      </w:r>
      <w:proofErr w:type="spellStart"/>
      <w:r>
        <w:rPr>
          <w:lang w:val="pt-BR"/>
        </w:rPr>
        <w:t>Tapanya</w:t>
      </w:r>
      <w:proofErr w:type="spellEnd"/>
      <w:r>
        <w:rPr>
          <w:lang w:val="pt-BR"/>
        </w:rPr>
        <w:t xml:space="preserve">; C. </w:t>
      </w:r>
      <w:proofErr w:type="spellStart"/>
      <w:r>
        <w:rPr>
          <w:lang w:val="pt-BR"/>
        </w:rPr>
        <w:t>Wangphon</w:t>
      </w:r>
      <w:proofErr w:type="spellEnd"/>
      <w:r>
        <w:rPr>
          <w:lang w:val="pt-BR"/>
        </w:rPr>
        <w:t xml:space="preserve">; M. </w:t>
      </w:r>
      <w:proofErr w:type="spellStart"/>
      <w:r>
        <w:rPr>
          <w:lang w:val="pt-BR"/>
        </w:rPr>
        <w:t>Rittiruam</w:t>
      </w:r>
      <w:proofErr w:type="spellEnd"/>
      <w:r>
        <w:rPr>
          <w:lang w:val="pt-BR"/>
        </w:rPr>
        <w:t xml:space="preserve">; T. </w:t>
      </w:r>
      <w:proofErr w:type="spellStart"/>
      <w:r>
        <w:rPr>
          <w:lang w:val="pt-BR"/>
        </w:rPr>
        <w:t>Miyake</w:t>
      </w:r>
      <w:proofErr w:type="spellEnd"/>
      <w:r>
        <w:rPr>
          <w:lang w:val="pt-BR"/>
        </w:rPr>
        <w:t xml:space="preserve">; P. </w:t>
      </w:r>
      <w:proofErr w:type="spellStart"/>
      <w:r>
        <w:rPr>
          <w:lang w:val="pt-BR"/>
        </w:rPr>
        <w:t>Khemthong</w:t>
      </w:r>
      <w:proofErr w:type="spellEnd"/>
      <w:r>
        <w:rPr>
          <w:lang w:val="pt-BR"/>
        </w:rPr>
        <w:t xml:space="preserve">; T. </w:t>
      </w:r>
      <w:proofErr w:type="spellStart"/>
      <w:r>
        <w:rPr>
          <w:lang w:val="pt-BR"/>
        </w:rPr>
        <w:t>Burburee</w:t>
      </w:r>
      <w:proofErr w:type="spellEnd"/>
      <w:r>
        <w:rPr>
          <w:lang w:val="pt-BR"/>
        </w:rPr>
        <w:t xml:space="preserve">; P. </w:t>
      </w:r>
      <w:proofErr w:type="spellStart"/>
      <w:r>
        <w:rPr>
          <w:lang w:val="pt-BR"/>
        </w:rPr>
        <w:t>Limsoonthakul</w:t>
      </w:r>
      <w:proofErr w:type="spellEnd"/>
      <w:r>
        <w:rPr>
          <w:lang w:val="pt-BR"/>
        </w:rPr>
        <w:t xml:space="preserve">; S. </w:t>
      </w:r>
      <w:proofErr w:type="spellStart"/>
      <w:r>
        <w:rPr>
          <w:lang w:val="pt-BR"/>
        </w:rPr>
        <w:t>Praserthdam</w:t>
      </w:r>
      <w:proofErr w:type="spellEnd"/>
      <w:r>
        <w:rPr>
          <w:lang w:val="pt-BR"/>
        </w:rPr>
        <w:t xml:space="preserve">; P. </w:t>
      </w:r>
      <w:proofErr w:type="spellStart"/>
      <w:r>
        <w:rPr>
          <w:lang w:val="pt-BR"/>
        </w:rPr>
        <w:t>Praserthdam</w:t>
      </w:r>
      <w:proofErr w:type="spellEnd"/>
      <w:r>
        <w:rPr>
          <w:lang w:val="pt-BR"/>
        </w:rPr>
        <w:t xml:space="preserve">, </w:t>
      </w:r>
      <w:proofErr w:type="spellStart"/>
      <w:r w:rsidRPr="009A07DE">
        <w:rPr>
          <w:i/>
          <w:iCs/>
          <w:lang w:val="pt-BR"/>
        </w:rPr>
        <w:t>Fuel</w:t>
      </w:r>
      <w:proofErr w:type="spellEnd"/>
      <w:r>
        <w:rPr>
          <w:lang w:val="pt-BR"/>
        </w:rPr>
        <w:t xml:space="preserve"> </w:t>
      </w:r>
      <w:r w:rsidRPr="009A07DE">
        <w:rPr>
          <w:b/>
          <w:bCs/>
          <w:lang w:val="pt-BR"/>
        </w:rPr>
        <w:t>2022</w:t>
      </w:r>
      <w:r>
        <w:rPr>
          <w:lang w:val="pt-BR"/>
        </w:rPr>
        <w:t>, 326, 125019.</w:t>
      </w:r>
    </w:p>
    <w:p w14:paraId="4455DDB4" w14:textId="56A032E9" w:rsidR="009A07DE" w:rsidRDefault="009A07D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Y. Fan; S. Cheng; H. Wang; J. Tian; S. </w:t>
      </w:r>
      <w:proofErr w:type="spellStart"/>
      <w:r w:rsidRPr="00994385">
        <w:t>Xie</w:t>
      </w:r>
      <w:proofErr w:type="spellEnd"/>
      <w:r w:rsidRPr="00994385">
        <w:t xml:space="preserve">; Y. Pei; M. </w:t>
      </w:r>
      <w:proofErr w:type="spellStart"/>
      <w:r w:rsidRPr="00994385">
        <w:t>Qiao</w:t>
      </w:r>
      <w:proofErr w:type="spellEnd"/>
      <w:r w:rsidRPr="00994385">
        <w:t xml:space="preserve">; B. </w:t>
      </w:r>
      <w:proofErr w:type="spellStart"/>
      <w:r w:rsidRPr="00994385">
        <w:t>Zong</w:t>
      </w:r>
      <w:proofErr w:type="spellEnd"/>
      <w:r w:rsidRPr="00994385">
        <w:t xml:space="preserve">, </w:t>
      </w:r>
      <w:r w:rsidRPr="00994385">
        <w:rPr>
          <w:i/>
          <w:iCs/>
        </w:rPr>
        <w:t xml:space="preserve">Appl. </w:t>
      </w:r>
      <w:r w:rsidRPr="001A7EB2">
        <w:rPr>
          <w:i/>
          <w:iCs/>
          <w:lang w:val="pt-BR"/>
        </w:rPr>
        <w:t>Catal. B</w:t>
      </w:r>
      <w:r w:rsidRPr="009A07DE">
        <w:rPr>
          <w:b/>
          <w:bCs/>
          <w:i/>
          <w:iCs/>
          <w:lang w:val="pt-BR"/>
        </w:rPr>
        <w:t xml:space="preserve"> </w:t>
      </w:r>
      <w:r w:rsidRPr="009A07DE">
        <w:rPr>
          <w:b/>
          <w:bCs/>
          <w:lang w:val="pt-BR"/>
        </w:rPr>
        <w:t>2017</w:t>
      </w:r>
      <w:r w:rsidRPr="009A07DE">
        <w:rPr>
          <w:lang w:val="pt-BR"/>
        </w:rPr>
        <w:t>, 217, 331-341.</w:t>
      </w:r>
    </w:p>
    <w:p w14:paraId="5ACE0410" w14:textId="6ACE4DA0" w:rsidR="009A07DE" w:rsidRDefault="009A07D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W. Zhou; J. Luo; Y. Wang; J. Liu; Y. Zhao; S. Wang; X. Ma, </w:t>
      </w:r>
      <w:r w:rsidRPr="00994385">
        <w:rPr>
          <w:i/>
          <w:iCs/>
        </w:rPr>
        <w:t xml:space="preserve">Appl. </w:t>
      </w:r>
      <w:r w:rsidRPr="001A7EB2">
        <w:rPr>
          <w:i/>
          <w:iCs/>
          <w:lang w:val="pt-BR"/>
        </w:rPr>
        <w:t>Catal. B</w:t>
      </w:r>
      <w:r>
        <w:rPr>
          <w:i/>
          <w:iCs/>
          <w:lang w:val="pt-BR"/>
        </w:rPr>
        <w:t xml:space="preserve"> </w:t>
      </w:r>
      <w:r w:rsidRPr="009A07DE">
        <w:rPr>
          <w:b/>
          <w:bCs/>
          <w:lang w:val="pt-BR"/>
        </w:rPr>
        <w:t>2019</w:t>
      </w:r>
      <w:r w:rsidRPr="009A07DE">
        <w:rPr>
          <w:lang w:val="pt-BR"/>
        </w:rPr>
        <w:t>, 242, 410-421.</w:t>
      </w:r>
    </w:p>
    <w:p w14:paraId="0784F188" w14:textId="73CA5B14" w:rsidR="009A07DE" w:rsidRDefault="009A07DE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S. </w:t>
      </w:r>
      <w:proofErr w:type="spellStart"/>
      <w:r w:rsidRPr="00994385">
        <w:t>Samudrala</w:t>
      </w:r>
      <w:proofErr w:type="spellEnd"/>
      <w:r w:rsidRPr="00994385">
        <w:t xml:space="preserve">; S. </w:t>
      </w:r>
      <w:proofErr w:type="spellStart"/>
      <w:r w:rsidRPr="00994385">
        <w:t>Kanasamy</w:t>
      </w:r>
      <w:proofErr w:type="spellEnd"/>
      <w:r w:rsidRPr="00994385">
        <w:t xml:space="preserve">; S. Bhattacharya, </w:t>
      </w:r>
      <w:r w:rsidRPr="00994385">
        <w:rPr>
          <w:i/>
          <w:iCs/>
        </w:rPr>
        <w:t xml:space="preserve">Sci. </w:t>
      </w:r>
      <w:r w:rsidRPr="009A07DE">
        <w:rPr>
          <w:i/>
          <w:iCs/>
          <w:lang w:val="pt-BR"/>
        </w:rPr>
        <w:t xml:space="preserve">Rep. </w:t>
      </w:r>
      <w:r w:rsidRPr="009A07DE">
        <w:rPr>
          <w:b/>
          <w:bCs/>
          <w:lang w:val="pt-BR"/>
        </w:rPr>
        <w:t>2018</w:t>
      </w:r>
      <w:r>
        <w:rPr>
          <w:lang w:val="pt-BR"/>
        </w:rPr>
        <w:t>, 8:7484.</w:t>
      </w:r>
    </w:p>
    <w:p w14:paraId="351504F4" w14:textId="6CA8EA5C" w:rsidR="009A07DE" w:rsidRPr="009E0B13" w:rsidRDefault="009E0B13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J. </w:t>
      </w:r>
      <w:proofErr w:type="spellStart"/>
      <w:r>
        <w:rPr>
          <w:lang w:val="pt-BR"/>
        </w:rPr>
        <w:t>Baloyi</w:t>
      </w:r>
      <w:proofErr w:type="spellEnd"/>
      <w:r>
        <w:rPr>
          <w:lang w:val="pt-BR"/>
        </w:rPr>
        <w:t xml:space="preserve">; T. </w:t>
      </w:r>
      <w:proofErr w:type="spellStart"/>
      <w:r>
        <w:rPr>
          <w:lang w:val="pt-BR"/>
        </w:rPr>
        <w:t>Ntho</w:t>
      </w:r>
      <w:proofErr w:type="spellEnd"/>
      <w:r>
        <w:rPr>
          <w:lang w:val="pt-BR"/>
        </w:rPr>
        <w:t xml:space="preserve">; J. </w:t>
      </w:r>
      <w:proofErr w:type="spellStart"/>
      <w:r>
        <w:rPr>
          <w:lang w:val="pt-BR"/>
        </w:rPr>
        <w:t>Moma</w:t>
      </w:r>
      <w:proofErr w:type="spellEnd"/>
      <w:r>
        <w:rPr>
          <w:lang w:val="pt-BR"/>
        </w:rPr>
        <w:t xml:space="preserve">, </w:t>
      </w:r>
      <w:r w:rsidRPr="009E0B13">
        <w:rPr>
          <w:i/>
          <w:iCs/>
          <w:lang w:val="pt-BR"/>
        </w:rPr>
        <w:t xml:space="preserve">J. </w:t>
      </w:r>
      <w:proofErr w:type="spellStart"/>
      <w:r w:rsidRPr="009E0B13">
        <w:rPr>
          <w:i/>
          <w:iCs/>
          <w:lang w:val="pt-BR"/>
        </w:rPr>
        <w:t>Porous</w:t>
      </w:r>
      <w:proofErr w:type="spellEnd"/>
      <w:r w:rsidRPr="009E0B13">
        <w:rPr>
          <w:i/>
          <w:iCs/>
          <w:lang w:val="pt-BR"/>
        </w:rPr>
        <w:t xml:space="preserve"> Mater. </w:t>
      </w:r>
      <w:r w:rsidRPr="009E0B13">
        <w:rPr>
          <w:b/>
          <w:bCs/>
          <w:lang w:val="pt-BR"/>
        </w:rPr>
        <w:t>2018.</w:t>
      </w:r>
    </w:p>
    <w:p w14:paraId="2733C46F" w14:textId="78A0D182" w:rsidR="009E0B13" w:rsidRDefault="009E0B13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D. Hunyadi; I. </w:t>
      </w:r>
      <w:proofErr w:type="spellStart"/>
      <w:r w:rsidRPr="00994385">
        <w:t>Sajó</w:t>
      </w:r>
      <w:proofErr w:type="spellEnd"/>
      <w:r w:rsidRPr="00994385">
        <w:t xml:space="preserve">; M. </w:t>
      </w:r>
      <w:proofErr w:type="spellStart"/>
      <w:r w:rsidRPr="00994385">
        <w:t>Szilágyi</w:t>
      </w:r>
      <w:proofErr w:type="spellEnd"/>
      <w:r w:rsidRPr="00994385">
        <w:t xml:space="preserve">, </w:t>
      </w:r>
      <w:r w:rsidRPr="00994385">
        <w:rPr>
          <w:i/>
          <w:iCs/>
        </w:rPr>
        <w:t xml:space="preserve">J. </w:t>
      </w:r>
      <w:proofErr w:type="spellStart"/>
      <w:r w:rsidRPr="00994385">
        <w:rPr>
          <w:i/>
          <w:iCs/>
        </w:rPr>
        <w:t>Therm</w:t>
      </w:r>
      <w:proofErr w:type="spellEnd"/>
      <w:r w:rsidRPr="00994385">
        <w:rPr>
          <w:i/>
          <w:iCs/>
        </w:rPr>
        <w:t xml:space="preserve"> Anal</w:t>
      </w:r>
      <w:r w:rsidR="001B0F51" w:rsidRPr="00994385">
        <w:rPr>
          <w:i/>
          <w:iCs/>
        </w:rPr>
        <w:t>.</w:t>
      </w:r>
      <w:r w:rsidRPr="00994385">
        <w:rPr>
          <w:i/>
          <w:iCs/>
        </w:rPr>
        <w:t xml:space="preserve">  </w:t>
      </w:r>
      <w:r w:rsidRPr="009E0B13">
        <w:rPr>
          <w:i/>
          <w:iCs/>
          <w:lang w:val="pt-BR"/>
        </w:rPr>
        <w:t>Calorim</w:t>
      </w:r>
      <w:r w:rsidR="001B0F51">
        <w:rPr>
          <w:i/>
          <w:iCs/>
          <w:lang w:val="pt-BR"/>
        </w:rPr>
        <w:t>,</w:t>
      </w:r>
      <w:r>
        <w:rPr>
          <w:lang w:val="pt-BR"/>
        </w:rPr>
        <w:t xml:space="preserve"> </w:t>
      </w:r>
      <w:r w:rsidRPr="009E0B13">
        <w:rPr>
          <w:b/>
          <w:bCs/>
          <w:lang w:val="pt-BR"/>
        </w:rPr>
        <w:t>2014</w:t>
      </w:r>
      <w:r>
        <w:rPr>
          <w:lang w:val="pt-BR"/>
        </w:rPr>
        <w:t>, 116, 329-337.</w:t>
      </w:r>
    </w:p>
    <w:p w14:paraId="263B4A0D" w14:textId="6486D91B" w:rsidR="00CF1D9E" w:rsidRDefault="00221D5B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T. </w:t>
      </w:r>
      <w:proofErr w:type="spellStart"/>
      <w:r>
        <w:rPr>
          <w:lang w:val="pt-BR"/>
        </w:rPr>
        <w:t>Cseri</w:t>
      </w:r>
      <w:proofErr w:type="spellEnd"/>
      <w:r>
        <w:rPr>
          <w:lang w:val="pt-BR"/>
        </w:rPr>
        <w:t xml:space="preserve">; S. </w:t>
      </w:r>
      <w:proofErr w:type="spellStart"/>
      <w:r>
        <w:rPr>
          <w:lang w:val="pt-BR"/>
        </w:rPr>
        <w:t>Békássy</w:t>
      </w:r>
      <w:proofErr w:type="spellEnd"/>
      <w:r>
        <w:rPr>
          <w:lang w:val="pt-BR"/>
        </w:rPr>
        <w:t xml:space="preserve">; F. </w:t>
      </w:r>
      <w:proofErr w:type="spellStart"/>
      <w:r>
        <w:rPr>
          <w:lang w:val="pt-BR"/>
        </w:rPr>
        <w:t>Figueras</w:t>
      </w:r>
      <w:proofErr w:type="spellEnd"/>
      <w:r>
        <w:rPr>
          <w:lang w:val="pt-BR"/>
        </w:rPr>
        <w:t xml:space="preserve">; E. </w:t>
      </w:r>
      <w:proofErr w:type="spellStart"/>
      <w:r>
        <w:rPr>
          <w:lang w:val="pt-BR"/>
        </w:rPr>
        <w:t>Cseke</w:t>
      </w:r>
      <w:proofErr w:type="spellEnd"/>
      <w:r>
        <w:rPr>
          <w:lang w:val="pt-BR"/>
        </w:rPr>
        <w:t xml:space="preserve">; L. </w:t>
      </w:r>
      <w:proofErr w:type="spellStart"/>
      <w:r>
        <w:rPr>
          <w:lang w:val="pt-BR"/>
        </w:rPr>
        <w:t>Menorval</w:t>
      </w:r>
      <w:proofErr w:type="spellEnd"/>
      <w:r>
        <w:rPr>
          <w:lang w:val="pt-BR"/>
        </w:rPr>
        <w:t xml:space="preserve">; R. </w:t>
      </w:r>
      <w:proofErr w:type="spellStart"/>
      <w:r>
        <w:rPr>
          <w:lang w:val="pt-BR"/>
        </w:rPr>
        <w:t>Dutartre</w:t>
      </w:r>
      <w:proofErr w:type="spellEnd"/>
      <w:r>
        <w:rPr>
          <w:lang w:val="pt-BR"/>
        </w:rPr>
        <w:t xml:space="preserve">, </w:t>
      </w:r>
      <w:proofErr w:type="spellStart"/>
      <w:r w:rsidRPr="001A7EB2">
        <w:rPr>
          <w:i/>
          <w:iCs/>
          <w:lang w:val="pt-BR"/>
        </w:rPr>
        <w:t>Appl</w:t>
      </w:r>
      <w:proofErr w:type="spellEnd"/>
      <w:r w:rsidRPr="001A7EB2">
        <w:rPr>
          <w:i/>
          <w:iCs/>
          <w:lang w:val="pt-BR"/>
        </w:rPr>
        <w:t xml:space="preserve">. Catal. </w:t>
      </w:r>
      <w:r>
        <w:rPr>
          <w:i/>
          <w:iCs/>
          <w:lang w:val="pt-BR"/>
        </w:rPr>
        <w:t xml:space="preserve">A </w:t>
      </w:r>
      <w:r w:rsidRPr="00221D5B">
        <w:rPr>
          <w:b/>
          <w:bCs/>
          <w:lang w:val="pt-BR"/>
        </w:rPr>
        <w:t>1995</w:t>
      </w:r>
      <w:r w:rsidRPr="00221D5B">
        <w:rPr>
          <w:lang w:val="pt-BR"/>
        </w:rPr>
        <w:t>, 132, 141-155.</w:t>
      </w:r>
    </w:p>
    <w:p w14:paraId="2443BCF9" w14:textId="2D95989E" w:rsidR="00221D5B" w:rsidRPr="00994385" w:rsidRDefault="00221D5B" w:rsidP="00EA4E1B">
      <w:pPr>
        <w:pStyle w:val="TAMainText"/>
        <w:numPr>
          <w:ilvl w:val="0"/>
          <w:numId w:val="1"/>
        </w:numPr>
      </w:pPr>
      <w:r w:rsidRPr="00994385">
        <w:t xml:space="preserve">M. Hart; D. Brown, </w:t>
      </w:r>
      <w:r w:rsidRPr="00994385">
        <w:rPr>
          <w:i/>
          <w:iCs/>
        </w:rPr>
        <w:t xml:space="preserve">J </w:t>
      </w:r>
      <w:proofErr w:type="spellStart"/>
      <w:r w:rsidRPr="00994385">
        <w:rPr>
          <w:i/>
          <w:iCs/>
        </w:rPr>
        <w:t>Mol</w:t>
      </w:r>
      <w:proofErr w:type="spellEnd"/>
      <w:r w:rsidRPr="00994385">
        <w:rPr>
          <w:i/>
          <w:iCs/>
        </w:rPr>
        <w:t xml:space="preserve"> </w:t>
      </w:r>
      <w:proofErr w:type="spellStart"/>
      <w:r w:rsidRPr="00994385">
        <w:rPr>
          <w:i/>
          <w:iCs/>
        </w:rPr>
        <w:t>Catal</w:t>
      </w:r>
      <w:proofErr w:type="spellEnd"/>
      <w:r w:rsidRPr="00994385">
        <w:rPr>
          <w:i/>
          <w:iCs/>
        </w:rPr>
        <w:t xml:space="preserve"> A </w:t>
      </w:r>
      <w:proofErr w:type="spellStart"/>
      <w:r w:rsidRPr="00994385">
        <w:rPr>
          <w:i/>
          <w:iCs/>
        </w:rPr>
        <w:t>Chem</w:t>
      </w:r>
      <w:proofErr w:type="spellEnd"/>
      <w:r w:rsidRPr="00994385">
        <w:t xml:space="preserve"> </w:t>
      </w:r>
      <w:r w:rsidRPr="00994385">
        <w:rPr>
          <w:b/>
          <w:bCs/>
        </w:rPr>
        <w:t>2004</w:t>
      </w:r>
      <w:r w:rsidRPr="00994385">
        <w:t>, 212, 315-321.</w:t>
      </w:r>
    </w:p>
    <w:p w14:paraId="5F0CAB3B" w14:textId="247F9CEF" w:rsidR="00221D5B" w:rsidRDefault="000038F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J. </w:t>
      </w:r>
      <w:proofErr w:type="spellStart"/>
      <w:r w:rsidRPr="00994385">
        <w:t>Sungpanich</w:t>
      </w:r>
      <w:proofErr w:type="spellEnd"/>
      <w:r w:rsidRPr="00994385">
        <w:t xml:space="preserve">; T. </w:t>
      </w:r>
      <w:proofErr w:type="spellStart"/>
      <w:r w:rsidRPr="00994385">
        <w:t>Thongtem</w:t>
      </w:r>
      <w:proofErr w:type="spellEnd"/>
      <w:r w:rsidRPr="00994385">
        <w:t xml:space="preserve">; S. </w:t>
      </w:r>
      <w:proofErr w:type="spellStart"/>
      <w:r w:rsidRPr="00994385">
        <w:t>Thongtem</w:t>
      </w:r>
      <w:proofErr w:type="spellEnd"/>
      <w:r w:rsidRPr="00994385">
        <w:t xml:space="preserve">, </w:t>
      </w:r>
      <w:r w:rsidRPr="00994385">
        <w:rPr>
          <w:i/>
          <w:iCs/>
        </w:rPr>
        <w:t xml:space="preserve">J. </w:t>
      </w:r>
      <w:proofErr w:type="spellStart"/>
      <w:r w:rsidRPr="00994385">
        <w:rPr>
          <w:i/>
          <w:iCs/>
        </w:rPr>
        <w:t>Nanomater</w:t>
      </w:r>
      <w:proofErr w:type="spellEnd"/>
      <w:r w:rsidRPr="00994385">
        <w:rPr>
          <w:i/>
          <w:iCs/>
        </w:rPr>
        <w:t xml:space="preserve">. </w:t>
      </w:r>
      <w:r w:rsidRPr="000038FD">
        <w:rPr>
          <w:b/>
          <w:bCs/>
          <w:lang w:val="pt-BR"/>
        </w:rPr>
        <w:t>2014</w:t>
      </w:r>
      <w:r>
        <w:rPr>
          <w:lang w:val="pt-BR"/>
        </w:rPr>
        <w:t>, 739251.</w:t>
      </w:r>
    </w:p>
    <w:p w14:paraId="4C3FEBFE" w14:textId="7853BF71" w:rsidR="000038FD" w:rsidRDefault="000038FD" w:rsidP="00EA4E1B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M. Zhu; K. Zhang; W. Du; A. Jia; M. </w:t>
      </w:r>
      <w:proofErr w:type="spellStart"/>
      <w:r>
        <w:rPr>
          <w:lang w:val="pt-BR"/>
        </w:rPr>
        <w:t>Luo</w:t>
      </w:r>
      <w:proofErr w:type="spellEnd"/>
      <w:r>
        <w:rPr>
          <w:lang w:val="pt-BR"/>
        </w:rPr>
        <w:t xml:space="preserve">; J. Lu, </w:t>
      </w:r>
      <w:proofErr w:type="spellStart"/>
      <w:r w:rsidRPr="000038FD">
        <w:rPr>
          <w:i/>
          <w:iCs/>
          <w:lang w:val="pt-BR"/>
        </w:rPr>
        <w:t>Appl</w:t>
      </w:r>
      <w:proofErr w:type="spellEnd"/>
      <w:r w:rsidRPr="000038FD">
        <w:rPr>
          <w:i/>
          <w:iCs/>
          <w:lang w:val="pt-BR"/>
        </w:rPr>
        <w:t xml:space="preserve">. Catal. </w:t>
      </w:r>
      <w:r>
        <w:rPr>
          <w:lang w:val="pt-BR"/>
        </w:rPr>
        <w:t xml:space="preserve">A </w:t>
      </w:r>
      <w:r w:rsidRPr="000038FD">
        <w:rPr>
          <w:b/>
          <w:bCs/>
          <w:lang w:val="pt-BR"/>
        </w:rPr>
        <w:t>2021</w:t>
      </w:r>
      <w:r>
        <w:rPr>
          <w:lang w:val="pt-BR"/>
        </w:rPr>
        <w:t>, 619, 118142.</w:t>
      </w:r>
    </w:p>
    <w:p w14:paraId="3FE43DF3" w14:textId="611E6743" w:rsidR="000038FD" w:rsidRDefault="000038FD" w:rsidP="00EA4E1B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lastRenderedPageBreak/>
        <w:t xml:space="preserve">W. Yu; P. Wang; C. Zhou; H. Zhao; D. Tong; H. Zhang; H. Yang; S. Ji; H. Wang, </w:t>
      </w:r>
      <w:r w:rsidRPr="00994385">
        <w:rPr>
          <w:i/>
          <w:iCs/>
        </w:rPr>
        <w:t xml:space="preserve">Chinese J. </w:t>
      </w:r>
      <w:proofErr w:type="spellStart"/>
      <w:r w:rsidRPr="00994385">
        <w:rPr>
          <w:i/>
          <w:iCs/>
        </w:rPr>
        <w:t>Catal</w:t>
      </w:r>
      <w:proofErr w:type="spellEnd"/>
      <w:r w:rsidRPr="00994385">
        <w:rPr>
          <w:i/>
          <w:iCs/>
        </w:rPr>
        <w:t xml:space="preserve">. </w:t>
      </w:r>
      <w:r w:rsidRPr="000038FD">
        <w:rPr>
          <w:b/>
          <w:bCs/>
          <w:lang w:val="pt-BR"/>
        </w:rPr>
        <w:t>2017</w:t>
      </w:r>
      <w:r w:rsidRPr="000038FD">
        <w:rPr>
          <w:lang w:val="pt-BR"/>
        </w:rPr>
        <w:t>, 38, 1087-1100.</w:t>
      </w:r>
    </w:p>
    <w:p w14:paraId="595D96E4" w14:textId="1E36AF09" w:rsidR="000038FD" w:rsidRDefault="00E318F7" w:rsidP="00E318F7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R. Saboya; J. </w:t>
      </w:r>
      <w:proofErr w:type="spellStart"/>
      <w:r>
        <w:rPr>
          <w:lang w:val="pt-BR"/>
        </w:rPr>
        <w:t>Cacilia</w:t>
      </w:r>
      <w:proofErr w:type="spellEnd"/>
      <w:r>
        <w:rPr>
          <w:lang w:val="pt-BR"/>
        </w:rPr>
        <w:t xml:space="preserve">; C. Sancho; F. Luna; </w:t>
      </w:r>
      <w:r w:rsidR="007729F4">
        <w:rPr>
          <w:lang w:val="pt-BR"/>
        </w:rPr>
        <w:t>E. Rodríguez-Castellón; C. Cavalcante Jr.,</w:t>
      </w:r>
      <w:r w:rsidR="007729F4" w:rsidRPr="00994385">
        <w:rPr>
          <w:lang w:val="pt-BR"/>
        </w:rPr>
        <w:t xml:space="preserve"> </w:t>
      </w:r>
      <w:proofErr w:type="spellStart"/>
      <w:r w:rsidR="007729F4" w:rsidRPr="007729F4">
        <w:rPr>
          <w:i/>
          <w:iCs/>
          <w:lang w:val="pt-BR"/>
        </w:rPr>
        <w:t>Appl</w:t>
      </w:r>
      <w:proofErr w:type="spellEnd"/>
      <w:r w:rsidR="007729F4" w:rsidRPr="007729F4">
        <w:rPr>
          <w:i/>
          <w:iCs/>
          <w:lang w:val="pt-BR"/>
        </w:rPr>
        <w:t xml:space="preserve">. Clay </w:t>
      </w:r>
      <w:proofErr w:type="spellStart"/>
      <w:r w:rsidR="007729F4" w:rsidRPr="007729F4">
        <w:rPr>
          <w:i/>
          <w:iCs/>
          <w:lang w:val="pt-BR"/>
        </w:rPr>
        <w:t>Sci</w:t>
      </w:r>
      <w:proofErr w:type="spellEnd"/>
      <w:r w:rsidR="007729F4" w:rsidRPr="007729F4">
        <w:rPr>
          <w:i/>
          <w:iCs/>
          <w:lang w:val="pt-BR"/>
        </w:rPr>
        <w:t>.</w:t>
      </w:r>
      <w:r w:rsidR="007729F4">
        <w:rPr>
          <w:lang w:val="pt-BR"/>
        </w:rPr>
        <w:t xml:space="preserve"> </w:t>
      </w:r>
      <w:r w:rsidR="007729F4" w:rsidRPr="007729F4">
        <w:rPr>
          <w:b/>
          <w:bCs/>
          <w:lang w:val="pt-BR"/>
        </w:rPr>
        <w:t>2016</w:t>
      </w:r>
      <w:r w:rsidR="007729F4">
        <w:rPr>
          <w:lang w:val="pt-BR"/>
        </w:rPr>
        <w:t>, 124-125, 69-78.</w:t>
      </w:r>
    </w:p>
    <w:p w14:paraId="32E5B70D" w14:textId="10240B0E" w:rsidR="007729F4" w:rsidRPr="00994385" w:rsidRDefault="007729F4" w:rsidP="00E318F7">
      <w:pPr>
        <w:pStyle w:val="TAMainText"/>
        <w:numPr>
          <w:ilvl w:val="0"/>
          <w:numId w:val="1"/>
        </w:numPr>
      </w:pPr>
      <w:r w:rsidRPr="00994385">
        <w:t xml:space="preserve">M. Ayoub; A. Abdullah, </w:t>
      </w:r>
      <w:r w:rsidRPr="00994385">
        <w:rPr>
          <w:i/>
          <w:iCs/>
        </w:rPr>
        <w:t xml:space="preserve">J. Chem. Eng. </w:t>
      </w:r>
      <w:r w:rsidRPr="00994385">
        <w:rPr>
          <w:b/>
          <w:bCs/>
        </w:rPr>
        <w:t>2013</w:t>
      </w:r>
      <w:r w:rsidRPr="00994385">
        <w:t>, 225, 784-789.</w:t>
      </w:r>
    </w:p>
    <w:p w14:paraId="51C8E3B0" w14:textId="1852045B" w:rsidR="007729F4" w:rsidRDefault="007729F4" w:rsidP="00E318F7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A. </w:t>
      </w:r>
      <w:proofErr w:type="spellStart"/>
      <w:r>
        <w:rPr>
          <w:lang w:val="pt-BR"/>
        </w:rPr>
        <w:t>Chaari</w:t>
      </w:r>
      <w:proofErr w:type="spellEnd"/>
      <w:r>
        <w:rPr>
          <w:lang w:val="pt-BR"/>
        </w:rPr>
        <w:t xml:space="preserve">; S. </w:t>
      </w:r>
      <w:proofErr w:type="spellStart"/>
      <w:r>
        <w:rPr>
          <w:lang w:val="pt-BR"/>
        </w:rPr>
        <w:t>Neji</w:t>
      </w:r>
      <w:proofErr w:type="spellEnd"/>
      <w:r>
        <w:rPr>
          <w:lang w:val="pt-BR"/>
        </w:rPr>
        <w:t xml:space="preserve">; M. </w:t>
      </w:r>
      <w:proofErr w:type="spellStart"/>
      <w:r>
        <w:rPr>
          <w:lang w:val="pt-BR"/>
        </w:rPr>
        <w:t>Frikha</w:t>
      </w:r>
      <w:proofErr w:type="spellEnd"/>
      <w:r>
        <w:rPr>
          <w:lang w:val="pt-BR"/>
        </w:rPr>
        <w:t xml:space="preserve">, </w:t>
      </w:r>
      <w:r w:rsidRPr="007729F4">
        <w:rPr>
          <w:i/>
          <w:iCs/>
          <w:lang w:val="pt-BR"/>
        </w:rPr>
        <w:t xml:space="preserve">J. </w:t>
      </w:r>
      <w:proofErr w:type="spellStart"/>
      <w:r w:rsidRPr="007729F4">
        <w:rPr>
          <w:i/>
          <w:iCs/>
          <w:lang w:val="pt-BR"/>
        </w:rPr>
        <w:t>Oleo</w:t>
      </w:r>
      <w:proofErr w:type="spellEnd"/>
      <w:r w:rsidRPr="007729F4">
        <w:rPr>
          <w:i/>
          <w:iCs/>
          <w:lang w:val="pt-BR"/>
        </w:rPr>
        <w:t xml:space="preserve"> </w:t>
      </w:r>
      <w:proofErr w:type="spellStart"/>
      <w:r w:rsidRPr="007729F4">
        <w:rPr>
          <w:i/>
          <w:iCs/>
          <w:lang w:val="pt-BR"/>
        </w:rPr>
        <w:t>Sci</w:t>
      </w:r>
      <w:proofErr w:type="spellEnd"/>
      <w:r>
        <w:rPr>
          <w:lang w:val="pt-BR"/>
        </w:rPr>
        <w:t xml:space="preserve">. </w:t>
      </w:r>
      <w:r w:rsidRPr="007729F4">
        <w:rPr>
          <w:b/>
          <w:bCs/>
          <w:lang w:val="pt-BR"/>
        </w:rPr>
        <w:t>2017</w:t>
      </w:r>
      <w:r>
        <w:rPr>
          <w:lang w:val="pt-BR"/>
        </w:rPr>
        <w:t>, 66, 455-461.</w:t>
      </w:r>
    </w:p>
    <w:p w14:paraId="1D7DCA63" w14:textId="30103D9D" w:rsidR="007729F4" w:rsidRDefault="007729F4" w:rsidP="00E318F7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N. </w:t>
      </w:r>
      <w:proofErr w:type="spellStart"/>
      <w:r>
        <w:rPr>
          <w:lang w:val="pt-BR"/>
        </w:rPr>
        <w:t>Horri</w:t>
      </w:r>
      <w:proofErr w:type="spellEnd"/>
      <w:r>
        <w:rPr>
          <w:lang w:val="pt-BR"/>
        </w:rPr>
        <w:t xml:space="preserve">; E. Sanz-Pérez; A, Arencibia; R. Sanz; N. </w:t>
      </w:r>
      <w:proofErr w:type="spellStart"/>
      <w:r>
        <w:rPr>
          <w:lang w:val="pt-BR"/>
        </w:rPr>
        <w:t>Frini-Srasra</w:t>
      </w:r>
      <w:proofErr w:type="spellEnd"/>
      <w:r>
        <w:rPr>
          <w:lang w:val="pt-BR"/>
        </w:rPr>
        <w:t xml:space="preserve">; E. </w:t>
      </w:r>
      <w:proofErr w:type="spellStart"/>
      <w:r>
        <w:rPr>
          <w:lang w:val="pt-BR"/>
        </w:rPr>
        <w:t>Srasra</w:t>
      </w:r>
      <w:proofErr w:type="spellEnd"/>
      <w:r>
        <w:rPr>
          <w:lang w:val="pt-BR"/>
        </w:rPr>
        <w:t xml:space="preserve">, </w:t>
      </w:r>
      <w:proofErr w:type="spellStart"/>
      <w:r w:rsidRPr="007729F4">
        <w:rPr>
          <w:i/>
          <w:iCs/>
          <w:lang w:val="pt-BR"/>
        </w:rPr>
        <w:t>Adsorption</w:t>
      </w:r>
      <w:proofErr w:type="spellEnd"/>
      <w:r>
        <w:rPr>
          <w:lang w:val="pt-BR"/>
        </w:rPr>
        <w:t xml:space="preserve"> </w:t>
      </w:r>
      <w:r w:rsidRPr="007729F4">
        <w:rPr>
          <w:b/>
          <w:bCs/>
          <w:lang w:val="pt-BR"/>
        </w:rPr>
        <w:t>2020</w:t>
      </w:r>
      <w:r>
        <w:rPr>
          <w:lang w:val="pt-BR"/>
        </w:rPr>
        <w:t>, 26, 793-811.</w:t>
      </w:r>
    </w:p>
    <w:p w14:paraId="7A186E4C" w14:textId="602FBF6E" w:rsidR="007729F4" w:rsidRDefault="007729F4" w:rsidP="00E318F7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 xml:space="preserve">M. </w:t>
      </w:r>
      <w:proofErr w:type="spellStart"/>
      <w:r w:rsidRPr="00994385">
        <w:t>Timofeeva</w:t>
      </w:r>
      <w:proofErr w:type="spellEnd"/>
      <w:r w:rsidRPr="00994385">
        <w:t xml:space="preserve">; V. </w:t>
      </w:r>
      <w:proofErr w:type="spellStart"/>
      <w:r w:rsidRPr="00994385">
        <w:t>Pachenko</w:t>
      </w:r>
      <w:proofErr w:type="spellEnd"/>
      <w:r w:rsidRPr="00994385">
        <w:t xml:space="preserve">; A. Gil; V. </w:t>
      </w:r>
      <w:proofErr w:type="spellStart"/>
      <w:r w:rsidRPr="00994385">
        <w:t>Doronin</w:t>
      </w:r>
      <w:proofErr w:type="spellEnd"/>
      <w:r w:rsidRPr="00994385">
        <w:t xml:space="preserve">; A. </w:t>
      </w:r>
      <w:proofErr w:type="spellStart"/>
      <w:r w:rsidRPr="00994385">
        <w:t>Golovin</w:t>
      </w:r>
      <w:proofErr w:type="spellEnd"/>
      <w:r w:rsidRPr="00994385">
        <w:t xml:space="preserve">; A. Andreev; </w:t>
      </w:r>
      <w:r w:rsidR="00D3514F" w:rsidRPr="00994385">
        <w:t xml:space="preserve">V. </w:t>
      </w:r>
      <w:proofErr w:type="spellStart"/>
      <w:r w:rsidR="00D3514F" w:rsidRPr="00994385">
        <w:t>Likholobov</w:t>
      </w:r>
      <w:proofErr w:type="spellEnd"/>
      <w:r w:rsidR="00D3514F" w:rsidRPr="00994385">
        <w:t xml:space="preserve">, </w:t>
      </w:r>
      <w:r w:rsidR="00D3514F" w:rsidRPr="00994385">
        <w:rPr>
          <w:i/>
          <w:iCs/>
        </w:rPr>
        <w:t xml:space="preserve">App. </w:t>
      </w:r>
      <w:r w:rsidR="00D3514F" w:rsidRPr="00D3514F">
        <w:rPr>
          <w:i/>
          <w:iCs/>
          <w:lang w:val="pt-BR"/>
        </w:rPr>
        <w:t>Catal. B</w:t>
      </w:r>
      <w:r w:rsidR="00D3514F">
        <w:rPr>
          <w:lang w:val="pt-BR"/>
        </w:rPr>
        <w:t xml:space="preserve"> </w:t>
      </w:r>
      <w:r w:rsidR="00D3514F" w:rsidRPr="00D3514F">
        <w:rPr>
          <w:b/>
          <w:bCs/>
          <w:lang w:val="pt-BR"/>
        </w:rPr>
        <w:t>2011</w:t>
      </w:r>
      <w:r w:rsidR="00D3514F">
        <w:rPr>
          <w:lang w:val="pt-BR"/>
        </w:rPr>
        <w:t>, 104, 54-63.</w:t>
      </w:r>
    </w:p>
    <w:p w14:paraId="22CFBAC0" w14:textId="6453DCDA" w:rsidR="00D3514F" w:rsidRPr="00994385" w:rsidRDefault="00D3514F" w:rsidP="00E318F7">
      <w:pPr>
        <w:pStyle w:val="TAMainText"/>
        <w:numPr>
          <w:ilvl w:val="0"/>
          <w:numId w:val="1"/>
        </w:numPr>
      </w:pPr>
      <w:r w:rsidRPr="00994385">
        <w:t xml:space="preserve">G. Shi; Z. Cao; J. Xu; K. </w:t>
      </w:r>
      <w:proofErr w:type="spellStart"/>
      <w:r w:rsidRPr="00994385">
        <w:t>Jin</w:t>
      </w:r>
      <w:proofErr w:type="spellEnd"/>
      <w:r w:rsidRPr="00994385">
        <w:t xml:space="preserve">; Y. Bao; S. Xu, </w:t>
      </w:r>
      <w:proofErr w:type="spellStart"/>
      <w:r w:rsidRPr="00994385">
        <w:rPr>
          <w:i/>
          <w:iCs/>
        </w:rPr>
        <w:t>Catal</w:t>
      </w:r>
      <w:proofErr w:type="spellEnd"/>
      <w:r w:rsidRPr="00994385">
        <w:rPr>
          <w:i/>
          <w:iCs/>
        </w:rPr>
        <w:t xml:space="preserve">. Lett </w:t>
      </w:r>
      <w:r w:rsidRPr="00994385">
        <w:rPr>
          <w:b/>
          <w:bCs/>
        </w:rPr>
        <w:t>2018</w:t>
      </w:r>
      <w:r w:rsidRPr="00994385">
        <w:t>.</w:t>
      </w:r>
    </w:p>
    <w:p w14:paraId="004C76F5" w14:textId="3C6FEEE0" w:rsidR="00D3514F" w:rsidRDefault="00D3514F" w:rsidP="00E318F7">
      <w:pPr>
        <w:pStyle w:val="TAMainText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W. </w:t>
      </w:r>
      <w:proofErr w:type="spellStart"/>
      <w:r>
        <w:rPr>
          <w:lang w:val="pt-BR"/>
        </w:rPr>
        <w:t>Xu</w:t>
      </w:r>
      <w:proofErr w:type="spellEnd"/>
      <w:r>
        <w:rPr>
          <w:lang w:val="pt-BR"/>
        </w:rPr>
        <w:t xml:space="preserve">; P. Niu; H. </w:t>
      </w:r>
      <w:proofErr w:type="spellStart"/>
      <w:r>
        <w:rPr>
          <w:lang w:val="pt-BR"/>
        </w:rPr>
        <w:t>Guo</w:t>
      </w:r>
      <w:proofErr w:type="spellEnd"/>
      <w:r>
        <w:rPr>
          <w:lang w:val="pt-BR"/>
        </w:rPr>
        <w:t xml:space="preserve">; L. Jia; D. Li, </w:t>
      </w:r>
      <w:proofErr w:type="spellStart"/>
      <w:r w:rsidRPr="00D3514F">
        <w:rPr>
          <w:i/>
          <w:iCs/>
          <w:lang w:val="pt-BR"/>
        </w:rPr>
        <w:t>React</w:t>
      </w:r>
      <w:proofErr w:type="spellEnd"/>
      <w:r w:rsidRPr="00D3514F">
        <w:rPr>
          <w:i/>
          <w:iCs/>
          <w:lang w:val="pt-BR"/>
        </w:rPr>
        <w:t xml:space="preserve">. </w:t>
      </w:r>
      <w:proofErr w:type="spellStart"/>
      <w:r w:rsidRPr="00D3514F">
        <w:rPr>
          <w:i/>
          <w:iCs/>
          <w:lang w:val="pt-BR"/>
        </w:rPr>
        <w:t>Kinet</w:t>
      </w:r>
      <w:proofErr w:type="spellEnd"/>
      <w:r w:rsidRPr="00D3514F">
        <w:rPr>
          <w:i/>
          <w:iCs/>
          <w:lang w:val="pt-BR"/>
        </w:rPr>
        <w:t xml:space="preserve">. </w:t>
      </w:r>
      <w:proofErr w:type="spellStart"/>
      <w:r w:rsidRPr="00D3514F">
        <w:rPr>
          <w:i/>
          <w:iCs/>
          <w:lang w:val="pt-BR"/>
        </w:rPr>
        <w:t>Mech</w:t>
      </w:r>
      <w:proofErr w:type="spellEnd"/>
      <w:r w:rsidRPr="00D3514F">
        <w:rPr>
          <w:i/>
          <w:iCs/>
          <w:lang w:val="pt-BR"/>
        </w:rPr>
        <w:t>. Catal</w:t>
      </w:r>
      <w:r w:rsidRPr="00D3514F">
        <w:rPr>
          <w:lang w:val="pt-BR"/>
        </w:rPr>
        <w:t>.</w:t>
      </w:r>
      <w:r>
        <w:rPr>
          <w:lang w:val="pt-BR"/>
        </w:rPr>
        <w:t xml:space="preserve"> </w:t>
      </w:r>
      <w:r w:rsidRPr="00D3514F">
        <w:rPr>
          <w:b/>
          <w:bCs/>
          <w:lang w:val="pt-BR"/>
        </w:rPr>
        <w:t>2021</w:t>
      </w:r>
      <w:r>
        <w:rPr>
          <w:lang w:val="pt-BR"/>
        </w:rPr>
        <w:t>, 133, 173-189.</w:t>
      </w:r>
    </w:p>
    <w:p w14:paraId="2D2BD527" w14:textId="3C307C7B" w:rsidR="0049405F" w:rsidRDefault="0049405F" w:rsidP="00E318F7">
      <w:pPr>
        <w:pStyle w:val="TAMainText"/>
        <w:numPr>
          <w:ilvl w:val="0"/>
          <w:numId w:val="1"/>
        </w:numPr>
        <w:rPr>
          <w:lang w:val="pt-BR"/>
        </w:rPr>
      </w:pPr>
      <w:r w:rsidRPr="00994385">
        <w:t>B. Zhao; Y. Liang; W. Yan; L. Liu; J. Dong</w:t>
      </w:r>
      <w:r w:rsidRPr="00994385">
        <w:rPr>
          <w:i/>
          <w:iCs/>
        </w:rPr>
        <w:t xml:space="preserve">, Ind. Eng. </w:t>
      </w:r>
      <w:proofErr w:type="spellStart"/>
      <w:r w:rsidRPr="002551B6">
        <w:rPr>
          <w:i/>
          <w:iCs/>
          <w:lang w:val="pt-BR"/>
        </w:rPr>
        <w:t>Chem</w:t>
      </w:r>
      <w:proofErr w:type="spellEnd"/>
      <w:r w:rsidRPr="002551B6">
        <w:rPr>
          <w:i/>
          <w:iCs/>
          <w:lang w:val="pt-BR"/>
        </w:rPr>
        <w:t>. Res.</w:t>
      </w:r>
      <w:r>
        <w:rPr>
          <w:lang w:val="pt-BR"/>
        </w:rPr>
        <w:t xml:space="preserve"> </w:t>
      </w:r>
      <w:r w:rsidRPr="002551B6">
        <w:rPr>
          <w:b/>
          <w:bCs/>
          <w:lang w:val="pt-BR"/>
        </w:rPr>
        <w:t>2021</w:t>
      </w:r>
      <w:r>
        <w:rPr>
          <w:lang w:val="pt-BR"/>
        </w:rPr>
        <w:t>, 60, 125</w:t>
      </w:r>
      <w:r w:rsidR="002551B6">
        <w:rPr>
          <w:lang w:val="pt-BR"/>
        </w:rPr>
        <w:t>34-12544.</w:t>
      </w:r>
    </w:p>
    <w:p w14:paraId="35154880" w14:textId="77777777" w:rsidR="00D3514F" w:rsidRPr="00EA4E1B" w:rsidRDefault="00D3514F" w:rsidP="00EA4E1B"/>
    <w:sectPr w:rsidR="00D3514F" w:rsidRPr="00EA4E1B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035A0B" w14:textId="77777777" w:rsidR="00F45D6F" w:rsidRDefault="00F45D6F" w:rsidP="00EA4E1B">
      <w:pPr>
        <w:spacing w:after="0" w:line="240" w:lineRule="auto"/>
      </w:pPr>
      <w:r>
        <w:separator/>
      </w:r>
    </w:p>
  </w:endnote>
  <w:endnote w:type="continuationSeparator" w:id="0">
    <w:p w14:paraId="5892F09D" w14:textId="77777777" w:rsidR="00F45D6F" w:rsidRDefault="00F45D6F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178D0" w14:textId="77777777" w:rsidR="00F45D6F" w:rsidRDefault="00F45D6F" w:rsidP="00EA4E1B">
      <w:pPr>
        <w:spacing w:after="0" w:line="240" w:lineRule="auto"/>
      </w:pPr>
      <w:r>
        <w:separator/>
      </w:r>
    </w:p>
  </w:footnote>
  <w:footnote w:type="continuationSeparator" w:id="0">
    <w:p w14:paraId="73E8BAF9" w14:textId="77777777" w:rsidR="00F45D6F" w:rsidRDefault="00F45D6F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9" name="Imagem 9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38FD"/>
    <w:rsid w:val="000108CD"/>
    <w:rsid w:val="00012048"/>
    <w:rsid w:val="0001264A"/>
    <w:rsid w:val="00027781"/>
    <w:rsid w:val="00043BA9"/>
    <w:rsid w:val="00061A72"/>
    <w:rsid w:val="000755AD"/>
    <w:rsid w:val="0009102F"/>
    <w:rsid w:val="000C487D"/>
    <w:rsid w:val="000C4F89"/>
    <w:rsid w:val="000C52AF"/>
    <w:rsid w:val="000D6E3D"/>
    <w:rsid w:val="000F1D24"/>
    <w:rsid w:val="00105506"/>
    <w:rsid w:val="00121092"/>
    <w:rsid w:val="00130FB1"/>
    <w:rsid w:val="0014161E"/>
    <w:rsid w:val="001672EC"/>
    <w:rsid w:val="00192270"/>
    <w:rsid w:val="001A3187"/>
    <w:rsid w:val="001A6E81"/>
    <w:rsid w:val="001A7EB2"/>
    <w:rsid w:val="001B0F51"/>
    <w:rsid w:val="001E58A9"/>
    <w:rsid w:val="001F25B2"/>
    <w:rsid w:val="00214027"/>
    <w:rsid w:val="00221D5B"/>
    <w:rsid w:val="00222230"/>
    <w:rsid w:val="002551B6"/>
    <w:rsid w:val="00256CBA"/>
    <w:rsid w:val="0027356F"/>
    <w:rsid w:val="00274BEE"/>
    <w:rsid w:val="002776E8"/>
    <w:rsid w:val="00293C36"/>
    <w:rsid w:val="002D54DF"/>
    <w:rsid w:val="002E3C18"/>
    <w:rsid w:val="002F2CCE"/>
    <w:rsid w:val="00300489"/>
    <w:rsid w:val="00307DB9"/>
    <w:rsid w:val="00310694"/>
    <w:rsid w:val="00317671"/>
    <w:rsid w:val="0032567E"/>
    <w:rsid w:val="003368F8"/>
    <w:rsid w:val="00340B1E"/>
    <w:rsid w:val="0037411D"/>
    <w:rsid w:val="003B4A73"/>
    <w:rsid w:val="003B5757"/>
    <w:rsid w:val="003F6E16"/>
    <w:rsid w:val="00402F3E"/>
    <w:rsid w:val="00417C2D"/>
    <w:rsid w:val="00427D54"/>
    <w:rsid w:val="004636AA"/>
    <w:rsid w:val="004647FC"/>
    <w:rsid w:val="0049405F"/>
    <w:rsid w:val="004C3F4A"/>
    <w:rsid w:val="004E7B09"/>
    <w:rsid w:val="004F3F42"/>
    <w:rsid w:val="004F646D"/>
    <w:rsid w:val="0052112E"/>
    <w:rsid w:val="00547C06"/>
    <w:rsid w:val="00553B50"/>
    <w:rsid w:val="00554FC9"/>
    <w:rsid w:val="00593371"/>
    <w:rsid w:val="005C2775"/>
    <w:rsid w:val="005C2878"/>
    <w:rsid w:val="005C4C27"/>
    <w:rsid w:val="005D65EB"/>
    <w:rsid w:val="00604718"/>
    <w:rsid w:val="00606EE3"/>
    <w:rsid w:val="00613092"/>
    <w:rsid w:val="0061635E"/>
    <w:rsid w:val="00641F2B"/>
    <w:rsid w:val="006435D8"/>
    <w:rsid w:val="00651B58"/>
    <w:rsid w:val="00652815"/>
    <w:rsid w:val="006E52AA"/>
    <w:rsid w:val="006F599B"/>
    <w:rsid w:val="0075066B"/>
    <w:rsid w:val="007507B3"/>
    <w:rsid w:val="00763945"/>
    <w:rsid w:val="007670A0"/>
    <w:rsid w:val="00770D68"/>
    <w:rsid w:val="007729F4"/>
    <w:rsid w:val="00781685"/>
    <w:rsid w:val="00793294"/>
    <w:rsid w:val="0079562B"/>
    <w:rsid w:val="007B4B2B"/>
    <w:rsid w:val="008051CC"/>
    <w:rsid w:val="008619F0"/>
    <w:rsid w:val="00866822"/>
    <w:rsid w:val="008B1683"/>
    <w:rsid w:val="008B5AF5"/>
    <w:rsid w:val="008C1B30"/>
    <w:rsid w:val="008E3A41"/>
    <w:rsid w:val="00904C0A"/>
    <w:rsid w:val="00964E4B"/>
    <w:rsid w:val="009656D9"/>
    <w:rsid w:val="00994385"/>
    <w:rsid w:val="009A07DE"/>
    <w:rsid w:val="009B4ACB"/>
    <w:rsid w:val="009C509D"/>
    <w:rsid w:val="009C6AA6"/>
    <w:rsid w:val="009C7CB0"/>
    <w:rsid w:val="009E0B13"/>
    <w:rsid w:val="009E1BCF"/>
    <w:rsid w:val="009F50DE"/>
    <w:rsid w:val="009F6CD2"/>
    <w:rsid w:val="00A17D85"/>
    <w:rsid w:val="00A24208"/>
    <w:rsid w:val="00A32ABB"/>
    <w:rsid w:val="00A43D07"/>
    <w:rsid w:val="00A87CE8"/>
    <w:rsid w:val="00A94BFB"/>
    <w:rsid w:val="00AA182E"/>
    <w:rsid w:val="00AD6D52"/>
    <w:rsid w:val="00AF0400"/>
    <w:rsid w:val="00B075D9"/>
    <w:rsid w:val="00B22781"/>
    <w:rsid w:val="00B26811"/>
    <w:rsid w:val="00B30AEB"/>
    <w:rsid w:val="00BA6A6E"/>
    <w:rsid w:val="00BB3E0F"/>
    <w:rsid w:val="00BD0EFA"/>
    <w:rsid w:val="00BF102A"/>
    <w:rsid w:val="00C41DBA"/>
    <w:rsid w:val="00C42403"/>
    <w:rsid w:val="00C666C2"/>
    <w:rsid w:val="00C76E54"/>
    <w:rsid w:val="00C80042"/>
    <w:rsid w:val="00C84057"/>
    <w:rsid w:val="00C959DC"/>
    <w:rsid w:val="00C97D4D"/>
    <w:rsid w:val="00CF1D9E"/>
    <w:rsid w:val="00D0305A"/>
    <w:rsid w:val="00D04537"/>
    <w:rsid w:val="00D0697F"/>
    <w:rsid w:val="00D1131E"/>
    <w:rsid w:val="00D21652"/>
    <w:rsid w:val="00D242DE"/>
    <w:rsid w:val="00D3514F"/>
    <w:rsid w:val="00D53549"/>
    <w:rsid w:val="00D84F16"/>
    <w:rsid w:val="00D96135"/>
    <w:rsid w:val="00D96C03"/>
    <w:rsid w:val="00DC009F"/>
    <w:rsid w:val="00DF2AD2"/>
    <w:rsid w:val="00E02A21"/>
    <w:rsid w:val="00E038AF"/>
    <w:rsid w:val="00E04531"/>
    <w:rsid w:val="00E2510B"/>
    <w:rsid w:val="00E25C47"/>
    <w:rsid w:val="00E318F7"/>
    <w:rsid w:val="00E72C8E"/>
    <w:rsid w:val="00EA4E1B"/>
    <w:rsid w:val="00EB47CE"/>
    <w:rsid w:val="00EC2BBB"/>
    <w:rsid w:val="00F30661"/>
    <w:rsid w:val="00F45D6F"/>
    <w:rsid w:val="00F600FC"/>
    <w:rsid w:val="00F631AD"/>
    <w:rsid w:val="00F65163"/>
    <w:rsid w:val="00F917DA"/>
    <w:rsid w:val="00FA6E78"/>
    <w:rsid w:val="00FF09A7"/>
    <w:rsid w:val="00FF1E47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3DEEE"/>
  <w15:docId w15:val="{42978627-3C31-4E6D-8975-4AA8F206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table" w:styleId="Tabelacomgrade">
    <w:name w:val="Table Grid"/>
    <w:basedOn w:val="Tabelanormal"/>
    <w:uiPriority w:val="39"/>
    <w:rsid w:val="003B4A73"/>
    <w:pPr>
      <w:spacing w:after="0" w:line="240" w:lineRule="auto"/>
    </w:pPr>
    <w:rPr>
      <w:rFonts w:ascii="Arial" w:eastAsia="Arial" w:hAnsi="Arial" w:cs="Arial"/>
      <w:sz w:val="22"/>
      <w:szCs w:val="22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C4F8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0C4F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4F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4F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F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F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74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4925-57EA-4D05-9D59-F7DBBA41A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3215</Words>
  <Characters>17367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MAGNA</cp:lastModifiedBy>
  <cp:revision>21</cp:revision>
  <dcterms:created xsi:type="dcterms:W3CDTF">2023-04-27T18:56:00Z</dcterms:created>
  <dcterms:modified xsi:type="dcterms:W3CDTF">2023-06-27T01:26:00Z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1fdb56050769a770a7e8d928b50910a0f369f95e118b19175a6f6e6e2ab85e1d</vt:lpwstr>
  </property>
</Properties>
</file>