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0400" w:rsidRDefault="009D18BC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bookmarkStart w:id="0" w:name="_Hlk1324517"/>
      <w:bookmarkStart w:id="1" w:name="_Hlk1324670"/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0" b="0"/>
                <wp:wrapNone/>
                <wp:docPr id="29594084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:rsidR="00866822" w:rsidRPr="008C1B30" w:rsidRDefault="00866822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0;margin-top:0;width:512.4pt;height:1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" fillcolor="#9a0000" stroked="f" strokeweight="1pt">
                <v:textbox inset=",0,,0">
                  <w:txbxContent>
                    <w:p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:rsidR="00866822" w:rsidRPr="008C1B30" w:rsidRDefault="00866822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A4E1B" w:rsidRDefault="00826C94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sz w:val="32"/>
          <w:lang w:val="pt-BR"/>
        </w:rPr>
        <w:t xml:space="preserve">Ácido acético a partir de etanol e água: o papel do </w:t>
      </w:r>
      <w:r w:rsidR="00D54CA1">
        <w:rPr>
          <w:sz w:val="32"/>
          <w:lang w:val="pt-BR"/>
        </w:rPr>
        <w:t>Al</w:t>
      </w:r>
      <w:r>
        <w:rPr>
          <w:sz w:val="32"/>
          <w:lang w:val="pt-BR"/>
        </w:rPr>
        <w:t xml:space="preserve"> em catalisadores do tipo Cu/Zn/Al</w:t>
      </w:r>
    </w:p>
    <w:p w:rsidR="00826C94" w:rsidRDefault="00826C94" w:rsidP="00EA4E1B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</w:p>
    <w:p w:rsidR="00EA4E1B" w:rsidRPr="00175BFC" w:rsidRDefault="00826C94" w:rsidP="00EA4E1B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it-IT"/>
        </w:rPr>
      </w:pPr>
      <w:r w:rsidRPr="00175BFC">
        <w:rPr>
          <w:rFonts w:ascii="Times New Roman" w:hAnsi="Times New Roman"/>
          <w:sz w:val="20"/>
          <w:lang w:val="it-IT"/>
        </w:rPr>
        <w:t>Luciano H. Chagas</w:t>
      </w:r>
      <w:r w:rsidRPr="00175BFC">
        <w:rPr>
          <w:rFonts w:ascii="Times New Roman" w:hAnsi="Times New Roman"/>
          <w:sz w:val="20"/>
          <w:vertAlign w:val="superscript"/>
          <w:lang w:val="it-IT"/>
        </w:rPr>
        <w:t>1</w:t>
      </w:r>
      <w:r w:rsidRPr="00175BFC">
        <w:rPr>
          <w:rFonts w:ascii="Times New Roman" w:hAnsi="Times New Roman"/>
          <w:sz w:val="20"/>
          <w:lang w:val="it-IT"/>
        </w:rPr>
        <w:t xml:space="preserve">, Guilherme G. </w:t>
      </w:r>
      <w:r w:rsidR="00E718C8" w:rsidRPr="00175BFC">
        <w:rPr>
          <w:rFonts w:ascii="Times New Roman" w:hAnsi="Times New Roman"/>
          <w:sz w:val="20"/>
          <w:lang w:val="it-IT"/>
        </w:rPr>
        <w:t>Gonz</w:t>
      </w:r>
      <w:r w:rsidR="00E718C8">
        <w:rPr>
          <w:rFonts w:ascii="Times New Roman" w:hAnsi="Times New Roman"/>
          <w:sz w:val="20"/>
          <w:lang w:val="it-IT"/>
        </w:rPr>
        <w:t>a</w:t>
      </w:r>
      <w:r w:rsidR="00E718C8" w:rsidRPr="00175BFC">
        <w:rPr>
          <w:rFonts w:ascii="Times New Roman" w:hAnsi="Times New Roman"/>
          <w:sz w:val="20"/>
          <w:lang w:val="it-IT"/>
        </w:rPr>
        <w:t>lez</w:t>
      </w:r>
      <w:r w:rsidR="00E718C8" w:rsidRPr="00175BFC">
        <w:rPr>
          <w:rFonts w:ascii="Times New Roman" w:hAnsi="Times New Roman"/>
          <w:sz w:val="20"/>
          <w:vertAlign w:val="superscript"/>
          <w:lang w:val="it-IT"/>
        </w:rPr>
        <w:t>1</w:t>
      </w:r>
      <w:r w:rsidRPr="00175BFC">
        <w:rPr>
          <w:rFonts w:ascii="Times New Roman" w:hAnsi="Times New Roman"/>
          <w:sz w:val="20"/>
          <w:lang w:val="it-IT"/>
        </w:rPr>
        <w:t xml:space="preserve">, </w:t>
      </w:r>
      <w:r w:rsidR="008A0121">
        <w:rPr>
          <w:rFonts w:ascii="Times New Roman" w:hAnsi="Times New Roman"/>
          <w:sz w:val="20"/>
          <w:lang w:val="it-IT"/>
        </w:rPr>
        <w:t>Bruna J.S. Bronsato</w:t>
      </w:r>
      <w:r w:rsidR="007752C6" w:rsidRPr="007752C6">
        <w:rPr>
          <w:rFonts w:ascii="Times New Roman" w:hAnsi="Times New Roman"/>
          <w:sz w:val="20"/>
          <w:vertAlign w:val="superscript"/>
          <w:lang w:val="it-IT"/>
        </w:rPr>
        <w:t>1,2</w:t>
      </w:r>
      <w:r w:rsidR="008A0121">
        <w:rPr>
          <w:rFonts w:ascii="Times New Roman" w:hAnsi="Times New Roman"/>
          <w:sz w:val="20"/>
          <w:lang w:val="it-IT"/>
        </w:rPr>
        <w:t xml:space="preserve">, </w:t>
      </w:r>
      <w:r w:rsidR="00112125" w:rsidRPr="00175BFC">
        <w:rPr>
          <w:rFonts w:ascii="Times New Roman" w:hAnsi="Times New Roman"/>
          <w:sz w:val="20"/>
          <w:lang w:val="it-IT"/>
        </w:rPr>
        <w:t>Eugenio F. Souza</w:t>
      </w:r>
      <w:r w:rsidR="00112125" w:rsidRPr="00175BFC">
        <w:rPr>
          <w:rFonts w:ascii="Times New Roman" w:hAnsi="Times New Roman"/>
          <w:sz w:val="20"/>
          <w:vertAlign w:val="superscript"/>
          <w:lang w:val="it-IT"/>
        </w:rPr>
        <w:t>1</w:t>
      </w:r>
      <w:r w:rsidR="00112125" w:rsidRPr="00175BFC">
        <w:rPr>
          <w:rFonts w:ascii="Times New Roman" w:hAnsi="Times New Roman"/>
          <w:sz w:val="20"/>
          <w:lang w:val="it-IT"/>
        </w:rPr>
        <w:t>,</w:t>
      </w:r>
      <w:r w:rsidR="00112125" w:rsidRPr="00175BFC">
        <w:rPr>
          <w:rFonts w:ascii="Times New Roman" w:hAnsi="Times New Roman"/>
          <w:sz w:val="20"/>
          <w:vertAlign w:val="superscript"/>
          <w:lang w:val="it-IT"/>
        </w:rPr>
        <w:t xml:space="preserve"> </w:t>
      </w:r>
      <w:r w:rsidRPr="00175BFC">
        <w:rPr>
          <w:rFonts w:ascii="Times New Roman" w:hAnsi="Times New Roman"/>
          <w:sz w:val="20"/>
          <w:lang w:val="it-IT"/>
        </w:rPr>
        <w:t>Priscila C. Zonetti</w:t>
      </w:r>
      <w:r w:rsidRPr="00175BFC">
        <w:rPr>
          <w:rFonts w:ascii="Times New Roman" w:hAnsi="Times New Roman"/>
          <w:sz w:val="20"/>
          <w:vertAlign w:val="superscript"/>
          <w:lang w:val="it-IT"/>
        </w:rPr>
        <w:t>1</w:t>
      </w:r>
      <w:r w:rsidRPr="00175BFC">
        <w:rPr>
          <w:rFonts w:ascii="Times New Roman" w:hAnsi="Times New Roman"/>
          <w:sz w:val="20"/>
          <w:lang w:val="it-IT"/>
        </w:rPr>
        <w:t>, Liane M. Rossi</w:t>
      </w:r>
      <w:r w:rsidR="007752C6">
        <w:rPr>
          <w:rFonts w:ascii="Times New Roman" w:hAnsi="Times New Roman"/>
          <w:sz w:val="20"/>
          <w:vertAlign w:val="superscript"/>
          <w:lang w:val="it-IT"/>
        </w:rPr>
        <w:t>3</w:t>
      </w:r>
      <w:r w:rsidRPr="00175BFC">
        <w:rPr>
          <w:rFonts w:ascii="Times New Roman" w:hAnsi="Times New Roman"/>
          <w:sz w:val="20"/>
          <w:lang w:val="it-IT"/>
        </w:rPr>
        <w:t>, Lucia G. Appel</w:t>
      </w:r>
      <w:r w:rsidRPr="00175BFC">
        <w:rPr>
          <w:rFonts w:ascii="Times New Roman" w:hAnsi="Times New Roman"/>
          <w:sz w:val="20"/>
          <w:vertAlign w:val="superscript"/>
          <w:lang w:val="it-IT"/>
        </w:rPr>
        <w:t>1</w:t>
      </w:r>
      <w:r w:rsidR="00112125" w:rsidRPr="00175BFC">
        <w:rPr>
          <w:rFonts w:ascii="Times New Roman" w:hAnsi="Times New Roman"/>
          <w:sz w:val="20"/>
          <w:vertAlign w:val="superscript"/>
          <w:lang w:val="it-IT"/>
        </w:rPr>
        <w:t>*</w:t>
      </w:r>
      <w:r w:rsidRPr="00175BFC">
        <w:rPr>
          <w:rFonts w:ascii="Times New Roman" w:hAnsi="Times New Roman"/>
          <w:sz w:val="20"/>
          <w:lang w:val="it-IT"/>
        </w:rPr>
        <w:t xml:space="preserve"> </w:t>
      </w:r>
    </w:p>
    <w:p w:rsidR="00826C94" w:rsidRPr="00AE7E27" w:rsidRDefault="00EA4E1B" w:rsidP="007752C6">
      <w:pPr>
        <w:pStyle w:val="BCAuthorAddress"/>
        <w:spacing w:after="0" w:line="240" w:lineRule="auto"/>
        <w:ind w:right="0"/>
        <w:jc w:val="both"/>
        <w:rPr>
          <w:rFonts w:cs="Times"/>
          <w:i w:val="0"/>
          <w:iCs/>
          <w:lang w:val="pt-BR"/>
        </w:rPr>
      </w:pPr>
      <w:r w:rsidRPr="00AE7E27">
        <w:rPr>
          <w:rFonts w:cs="Times"/>
          <w:i w:val="0"/>
          <w:iCs/>
          <w:vertAlign w:val="superscript"/>
          <w:lang w:val="pt-BR"/>
        </w:rPr>
        <w:t>1</w:t>
      </w:r>
      <w:r w:rsidR="00AE7E27" w:rsidRPr="00AE7E27">
        <w:rPr>
          <w:rFonts w:cs="Times"/>
          <w:i w:val="0"/>
          <w:iCs/>
          <w:lang w:val="pt-BR"/>
        </w:rPr>
        <w:t xml:space="preserve"> Divisão de Catálise, Biocatálise e Processos Químicos, Instituto Nacional de Tecnologia, Av</w:t>
      </w:r>
      <w:r w:rsidR="00272F5E">
        <w:rPr>
          <w:rFonts w:cs="Times"/>
          <w:i w:val="0"/>
          <w:iCs/>
          <w:lang w:val="pt-BR"/>
        </w:rPr>
        <w:t>enida</w:t>
      </w:r>
      <w:r w:rsidR="00AE7E27" w:rsidRPr="00AE7E27">
        <w:rPr>
          <w:rFonts w:cs="Times"/>
          <w:i w:val="0"/>
          <w:iCs/>
          <w:lang w:val="pt-BR"/>
        </w:rPr>
        <w:t xml:space="preserve"> Venezuela 82, 518, 20081-312</w:t>
      </w:r>
      <w:r w:rsidR="00272F5E">
        <w:rPr>
          <w:rFonts w:cs="Times"/>
          <w:i w:val="0"/>
          <w:iCs/>
          <w:lang w:val="pt-BR"/>
        </w:rPr>
        <w:t>,</w:t>
      </w:r>
      <w:r w:rsidR="00AE7E27" w:rsidRPr="00AE7E27">
        <w:rPr>
          <w:rFonts w:cs="Times"/>
          <w:i w:val="0"/>
          <w:iCs/>
          <w:lang w:val="pt-BR"/>
        </w:rPr>
        <w:t xml:space="preserve"> Rio de Janeiro, RJ, Brasil</w:t>
      </w:r>
      <w:r w:rsidR="003C18EF" w:rsidRPr="00AE7E27">
        <w:rPr>
          <w:rFonts w:cs="Times"/>
          <w:i w:val="0"/>
          <w:iCs/>
          <w:lang w:val="pt-BR"/>
        </w:rPr>
        <w:t>.</w:t>
      </w:r>
    </w:p>
    <w:p w:rsidR="007752C6" w:rsidRPr="00AE7E27" w:rsidRDefault="007752C6" w:rsidP="00AE7E27">
      <w:pPr>
        <w:spacing w:after="0" w:line="240" w:lineRule="auto"/>
        <w:rPr>
          <w:rFonts w:ascii="Times" w:hAnsi="Times" w:cs="Times"/>
          <w:iCs/>
          <w:sz w:val="20"/>
          <w:szCs w:val="20"/>
          <w:lang w:eastAsia="pt-BR"/>
        </w:rPr>
      </w:pPr>
      <w:r w:rsidRPr="00AE7E27">
        <w:rPr>
          <w:rFonts w:ascii="Times" w:hAnsi="Times" w:cs="Times"/>
          <w:iCs/>
          <w:sz w:val="20"/>
          <w:szCs w:val="20"/>
          <w:vertAlign w:val="superscript"/>
          <w:lang w:eastAsia="pt-BR"/>
        </w:rPr>
        <w:t>2</w:t>
      </w:r>
      <w:r w:rsidRPr="00AE7E27">
        <w:rPr>
          <w:rFonts w:ascii="Times" w:hAnsi="Times" w:cs="Times"/>
          <w:iCs/>
          <w:sz w:val="20"/>
          <w:szCs w:val="20"/>
          <w:lang w:eastAsia="pt-BR"/>
        </w:rPr>
        <w:t xml:space="preserve"> </w:t>
      </w:r>
      <w:r w:rsidR="00AE7E27" w:rsidRPr="00AE7E27">
        <w:rPr>
          <w:rFonts w:ascii="Times" w:hAnsi="Times" w:cs="Times"/>
          <w:iCs/>
          <w:sz w:val="20"/>
          <w:szCs w:val="20"/>
          <w:lang w:eastAsia="pt-BR"/>
        </w:rPr>
        <w:t xml:space="preserve">Departamento de Engenharia Química e de Materiais, Pontifícia Universidade Católica do Rio de Janeiro, Rua Marquês de São Vicente, 225, Gávea, 22451-900, Rio de Janeiro, RJ, Brasil. </w:t>
      </w:r>
    </w:p>
    <w:p w:rsidR="00EA4E1B" w:rsidRPr="00272F5E" w:rsidRDefault="007752C6" w:rsidP="007752C6">
      <w:pPr>
        <w:pStyle w:val="BCAuthorAddress"/>
        <w:spacing w:after="0" w:line="240" w:lineRule="auto"/>
        <w:ind w:right="0"/>
        <w:jc w:val="both"/>
        <w:rPr>
          <w:rFonts w:cs="Times"/>
          <w:i w:val="0"/>
          <w:iCs/>
          <w:lang w:val="pt-BR"/>
        </w:rPr>
      </w:pPr>
      <w:r w:rsidRPr="00AE7E27">
        <w:rPr>
          <w:rFonts w:cs="Times"/>
          <w:i w:val="0"/>
          <w:iCs/>
          <w:vertAlign w:val="superscript"/>
          <w:lang w:val="pt-BR"/>
        </w:rPr>
        <w:t>3</w:t>
      </w:r>
      <w:r w:rsidR="00826C94" w:rsidRPr="00AE7E27">
        <w:rPr>
          <w:rFonts w:cs="Times"/>
          <w:i w:val="0"/>
          <w:iCs/>
          <w:vertAlign w:val="superscript"/>
          <w:lang w:val="pt-BR"/>
        </w:rPr>
        <w:t xml:space="preserve"> </w:t>
      </w:r>
      <w:r w:rsidR="00D12EB1" w:rsidRPr="00AE7E27">
        <w:rPr>
          <w:rFonts w:cs="Times"/>
          <w:i w:val="0"/>
          <w:iCs/>
          <w:lang w:val="pt-BR"/>
        </w:rPr>
        <w:t>Instituto de Química</w:t>
      </w:r>
      <w:r w:rsidR="00D12EB1">
        <w:rPr>
          <w:rFonts w:cs="Times"/>
          <w:i w:val="0"/>
          <w:iCs/>
          <w:lang w:val="pt-BR"/>
        </w:rPr>
        <w:t>,</w:t>
      </w:r>
      <w:r w:rsidR="00D12EB1" w:rsidRPr="00AE7E27">
        <w:rPr>
          <w:rFonts w:cs="Times"/>
          <w:i w:val="0"/>
          <w:iCs/>
          <w:lang w:val="pt-BR"/>
        </w:rPr>
        <w:t xml:space="preserve"> </w:t>
      </w:r>
      <w:r w:rsidR="00826C94" w:rsidRPr="00AE7E27">
        <w:rPr>
          <w:rFonts w:cs="Times"/>
          <w:i w:val="0"/>
          <w:iCs/>
          <w:lang w:val="pt-BR"/>
        </w:rPr>
        <w:t xml:space="preserve">Universidade de São Paulo, </w:t>
      </w:r>
      <w:r w:rsidR="00AE7E27" w:rsidRPr="00AE7E27">
        <w:rPr>
          <w:rFonts w:cs="Times"/>
          <w:i w:val="0"/>
          <w:iCs/>
          <w:lang w:val="pt-BR"/>
        </w:rPr>
        <w:t>Av. Prof. Lineu Prestes, 748</w:t>
      </w:r>
      <w:r w:rsidR="00D12EB1">
        <w:rPr>
          <w:rFonts w:cs="Times"/>
          <w:i w:val="0"/>
          <w:iCs/>
          <w:lang w:val="pt-BR"/>
        </w:rPr>
        <w:t>,</w:t>
      </w:r>
      <w:r w:rsidR="00AE7E27" w:rsidRPr="00AE7E27">
        <w:rPr>
          <w:rFonts w:cs="Times"/>
          <w:i w:val="0"/>
          <w:iCs/>
          <w:lang w:val="pt-BR"/>
        </w:rPr>
        <w:t xml:space="preserve"> Cidade Universitária,</w:t>
      </w:r>
      <w:r w:rsidR="00AE7E27" w:rsidRPr="00AE7E27">
        <w:rPr>
          <w:rFonts w:cs="Times"/>
          <w:i w:val="0"/>
          <w:iCs/>
          <w:color w:val="4D5156"/>
          <w:shd w:val="clear" w:color="auto" w:fill="FFFFFF"/>
          <w:lang w:val="pt-BR"/>
        </w:rPr>
        <w:t xml:space="preserve"> </w:t>
      </w:r>
      <w:r w:rsidR="00AE7E27" w:rsidRPr="00272F5E">
        <w:rPr>
          <w:rFonts w:cs="Times"/>
          <w:i w:val="0"/>
          <w:iCs/>
          <w:shd w:val="clear" w:color="auto" w:fill="FFFFFF"/>
          <w:lang w:val="pt-BR"/>
        </w:rPr>
        <w:t xml:space="preserve">05508-000, São Paulo, </w:t>
      </w:r>
      <w:r w:rsidR="00826C94" w:rsidRPr="00272F5E">
        <w:rPr>
          <w:rFonts w:cs="Times"/>
          <w:i w:val="0"/>
          <w:iCs/>
          <w:lang w:val="pt-BR"/>
        </w:rPr>
        <w:t>SP, Brasil.</w:t>
      </w:r>
    </w:p>
    <w:p w:rsidR="00826C94" w:rsidRPr="007752C6" w:rsidRDefault="00000000" w:rsidP="00826C94">
      <w:pPr>
        <w:rPr>
          <w:rFonts w:ascii="Times New Roman" w:hAnsi="Times New Roman" w:cs="Times New Roman"/>
          <w:sz w:val="20"/>
          <w:szCs w:val="20"/>
          <w:lang w:eastAsia="pt-BR"/>
        </w:rPr>
      </w:pPr>
      <w:hyperlink r:id="rId8" w:history="1">
        <w:r w:rsidR="002506E0" w:rsidRPr="007752C6">
          <w:rPr>
            <w:rStyle w:val="Hyperlink"/>
            <w:rFonts w:ascii="Times New Roman" w:hAnsi="Times New Roman" w:cs="Times New Roman"/>
            <w:color w:val="auto"/>
            <w:sz w:val="20"/>
            <w:szCs w:val="20"/>
            <w:lang w:eastAsia="pt-BR"/>
          </w:rPr>
          <w:t>*lucia.appel@int.gov.br</w:t>
        </w:r>
      </w:hyperlink>
      <w:r w:rsidR="003C18EF" w:rsidRPr="007752C6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</w:p>
    <w:bookmarkEnd w:id="0"/>
    <w:p w:rsidR="00AF0400" w:rsidRDefault="009D18BC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0" b="0"/>
                <wp:wrapNone/>
                <wp:docPr id="505340495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0400" w:rsidRPr="008C1B30" w:rsidRDefault="008C1B30" w:rsidP="00D15F93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</w:pPr>
                            <w:r w:rsidRPr="008C1B30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 xml:space="preserve">Resumo/Abstract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" o:spid="_x0000_s1027" style="position:absolute;left:0;text-align:left;margin-left:461.2pt;margin-top:2.75pt;width:512.4pt;height:13.2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" fillcolor="#9a0000" stroked="f" strokeweight="1pt">
                <v:textbox inset=",0,,0">
                  <w:txbxContent>
                    <w:p w:rsidR="00AF0400" w:rsidRPr="008C1B30" w:rsidRDefault="008C1B30" w:rsidP="00D15F93">
                      <w:pPr>
                        <w:pStyle w:val="BDAbstract"/>
                        <w:spacing w:before="0" w:after="0" w:line="240" w:lineRule="auto"/>
                        <w:jc w:val="center"/>
                      </w:pPr>
                      <w:r w:rsidRPr="008C1B30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 xml:space="preserve">Resumo/Abstract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:rsidR="00D80137" w:rsidRDefault="00EA4E1B" w:rsidP="00D80137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RESUMO - </w:t>
      </w:r>
      <w:r w:rsidR="007D1F5A" w:rsidRPr="00EF4FAE">
        <w:rPr>
          <w:rFonts w:ascii="Times New Roman" w:hAnsi="Times New Roman"/>
          <w:bCs/>
          <w:lang w:val="pt-BR"/>
        </w:rPr>
        <w:t>O</w:t>
      </w:r>
      <w:r w:rsidR="004B1B63" w:rsidRPr="00EF4FAE">
        <w:rPr>
          <w:rFonts w:ascii="Times New Roman" w:hAnsi="Times New Roman"/>
          <w:bCs/>
          <w:lang w:val="pt-BR"/>
        </w:rPr>
        <w:t xml:space="preserve"> </w:t>
      </w:r>
      <w:r w:rsidR="004B1B63">
        <w:rPr>
          <w:rFonts w:ascii="Times New Roman" w:hAnsi="Times New Roman"/>
          <w:lang w:val="pt-BR"/>
        </w:rPr>
        <w:t>comportamento</w:t>
      </w:r>
      <w:r w:rsidR="00617831">
        <w:rPr>
          <w:rFonts w:ascii="Times New Roman" w:hAnsi="Times New Roman"/>
          <w:lang w:val="pt-BR"/>
        </w:rPr>
        <w:t xml:space="preserve"> catalítico e as propriedades físico-químicas</w:t>
      </w:r>
      <w:r w:rsidR="004B1B63">
        <w:rPr>
          <w:rFonts w:ascii="Times New Roman" w:hAnsi="Times New Roman"/>
          <w:lang w:val="pt-BR"/>
        </w:rPr>
        <w:t xml:space="preserve"> de catalisadores do tipo </w:t>
      </w:r>
      <w:r w:rsidR="004B1B63" w:rsidRPr="00A63F17">
        <w:rPr>
          <w:rFonts w:ascii="Times New Roman" w:hAnsi="Times New Roman"/>
          <w:lang w:val="pt-BR"/>
        </w:rPr>
        <w:t>Cu/Zn/Al</w:t>
      </w:r>
      <w:r w:rsidR="004B1B63">
        <w:rPr>
          <w:rFonts w:ascii="Times New Roman" w:hAnsi="Times New Roman"/>
          <w:vertAlign w:val="subscript"/>
          <w:lang w:val="pt-BR"/>
        </w:rPr>
        <w:t xml:space="preserve"> </w:t>
      </w:r>
      <w:r w:rsidR="004254FC" w:rsidRPr="004254FC">
        <w:rPr>
          <w:rFonts w:ascii="Times New Roman" w:hAnsi="Times New Roman"/>
          <w:lang w:val="pt-BR"/>
        </w:rPr>
        <w:t>contendo diferente</w:t>
      </w:r>
      <w:r w:rsidR="00272F5E">
        <w:rPr>
          <w:rFonts w:ascii="Times New Roman" w:hAnsi="Times New Roman"/>
          <w:lang w:val="pt-BR"/>
        </w:rPr>
        <w:t>s</w:t>
      </w:r>
      <w:r w:rsidR="004254FC" w:rsidRPr="004254FC">
        <w:rPr>
          <w:rFonts w:ascii="Times New Roman" w:hAnsi="Times New Roman"/>
          <w:lang w:val="pt-BR"/>
        </w:rPr>
        <w:t xml:space="preserve"> teores </w:t>
      </w:r>
      <w:r w:rsidR="00272F5E">
        <w:rPr>
          <w:rFonts w:ascii="Times New Roman" w:hAnsi="Times New Roman"/>
          <w:lang w:val="pt-BR"/>
        </w:rPr>
        <w:t xml:space="preserve">de </w:t>
      </w:r>
      <w:r w:rsidR="004254FC" w:rsidRPr="004254FC">
        <w:rPr>
          <w:rFonts w:ascii="Times New Roman" w:hAnsi="Times New Roman"/>
          <w:lang w:val="pt-BR"/>
        </w:rPr>
        <w:t>Al</w:t>
      </w:r>
      <w:r w:rsidR="004254FC">
        <w:rPr>
          <w:rFonts w:ascii="Times New Roman" w:hAnsi="Times New Roman"/>
          <w:vertAlign w:val="subscript"/>
          <w:lang w:val="pt-BR"/>
        </w:rPr>
        <w:t xml:space="preserve"> </w:t>
      </w:r>
      <w:r w:rsidR="00617831">
        <w:rPr>
          <w:rFonts w:ascii="Times New Roman" w:hAnsi="Times New Roman"/>
          <w:lang w:val="pt-BR"/>
        </w:rPr>
        <w:t>fo</w:t>
      </w:r>
      <w:r w:rsidR="00C953EC">
        <w:rPr>
          <w:rFonts w:ascii="Times New Roman" w:hAnsi="Times New Roman"/>
          <w:lang w:val="pt-BR"/>
        </w:rPr>
        <w:t>ram</w:t>
      </w:r>
      <w:r w:rsidR="00617831">
        <w:rPr>
          <w:rFonts w:ascii="Times New Roman" w:hAnsi="Times New Roman"/>
          <w:lang w:val="pt-BR"/>
        </w:rPr>
        <w:t xml:space="preserve"> investigado</w:t>
      </w:r>
      <w:r w:rsidR="00C953EC">
        <w:rPr>
          <w:rFonts w:ascii="Times New Roman" w:hAnsi="Times New Roman"/>
          <w:lang w:val="pt-BR"/>
        </w:rPr>
        <w:t>s</w:t>
      </w:r>
      <w:r w:rsidR="00617831">
        <w:rPr>
          <w:rFonts w:ascii="Times New Roman" w:hAnsi="Times New Roman"/>
          <w:lang w:val="pt-BR"/>
        </w:rPr>
        <w:t>. O</w:t>
      </w:r>
      <w:r w:rsidR="00617831">
        <w:rPr>
          <w:rFonts w:ascii="Times New Roman" w:hAnsi="Times New Roman"/>
          <w:b/>
          <w:lang w:val="pt-BR"/>
        </w:rPr>
        <w:t xml:space="preserve"> </w:t>
      </w:r>
      <w:r w:rsidR="00617831">
        <w:rPr>
          <w:rFonts w:ascii="Times New Roman" w:hAnsi="Times New Roman"/>
          <w:bCs/>
          <w:lang w:val="pt-BR"/>
        </w:rPr>
        <w:t>objetivo</w:t>
      </w:r>
      <w:r w:rsidR="00617831" w:rsidRPr="00D80137">
        <w:rPr>
          <w:rFonts w:ascii="Times New Roman" w:hAnsi="Times New Roman"/>
          <w:bCs/>
          <w:lang w:val="pt-BR"/>
        </w:rPr>
        <w:t xml:space="preserve"> </w:t>
      </w:r>
      <w:r w:rsidR="00617831">
        <w:rPr>
          <w:rFonts w:ascii="Times New Roman" w:hAnsi="Times New Roman"/>
          <w:bCs/>
          <w:lang w:val="pt-BR"/>
        </w:rPr>
        <w:t xml:space="preserve">central foi </w:t>
      </w:r>
      <w:r w:rsidR="00617831" w:rsidRPr="00D80137">
        <w:rPr>
          <w:rFonts w:ascii="Times New Roman" w:hAnsi="Times New Roman"/>
          <w:bCs/>
          <w:lang w:val="pt-BR"/>
        </w:rPr>
        <w:t xml:space="preserve">definir o papel do Al </w:t>
      </w:r>
      <w:r w:rsidR="00D54CA1">
        <w:rPr>
          <w:rFonts w:ascii="Times New Roman" w:hAnsi="Times New Roman"/>
          <w:bCs/>
          <w:lang w:val="pt-BR"/>
        </w:rPr>
        <w:t xml:space="preserve">quando o catalisador </w:t>
      </w:r>
      <w:r w:rsidR="00D54CA1" w:rsidRPr="008E544C">
        <w:rPr>
          <w:rFonts w:ascii="Times New Roman" w:hAnsi="Times New Roman"/>
          <w:iCs/>
          <w:lang w:val="pt-BR"/>
        </w:rPr>
        <w:t>Cu/Zn/</w:t>
      </w:r>
      <w:r w:rsidR="00D54CA1" w:rsidRPr="00D54CA1">
        <w:rPr>
          <w:rFonts w:ascii="Times New Roman" w:hAnsi="Times New Roman"/>
          <w:iCs/>
          <w:lang w:val="pt-BR"/>
        </w:rPr>
        <w:t>Al é</w:t>
      </w:r>
      <w:r w:rsidR="00D54CA1">
        <w:rPr>
          <w:rFonts w:ascii="Times New Roman" w:hAnsi="Times New Roman"/>
          <w:i/>
          <w:lang w:val="pt-BR"/>
        </w:rPr>
        <w:t xml:space="preserve"> </w:t>
      </w:r>
      <w:r w:rsidR="00D54CA1" w:rsidRPr="008E544C">
        <w:rPr>
          <w:rFonts w:ascii="Times New Roman" w:hAnsi="Times New Roman"/>
          <w:iCs/>
          <w:lang w:val="pt-BR"/>
        </w:rPr>
        <w:t>empregado</w:t>
      </w:r>
      <w:r w:rsidR="00D54CA1">
        <w:rPr>
          <w:rFonts w:ascii="Times New Roman" w:hAnsi="Times New Roman"/>
          <w:i/>
          <w:lang w:val="pt-BR"/>
        </w:rPr>
        <w:t xml:space="preserve"> </w:t>
      </w:r>
      <w:r w:rsidR="00617831">
        <w:rPr>
          <w:rFonts w:ascii="Times New Roman" w:hAnsi="Times New Roman"/>
          <w:lang w:val="pt-BR"/>
        </w:rPr>
        <w:t>na obtenção de ácido acético a partir de etanol e água</w:t>
      </w:r>
      <w:r w:rsidR="00617831">
        <w:rPr>
          <w:rFonts w:ascii="Times New Roman" w:hAnsi="Times New Roman"/>
          <w:bCs/>
          <w:lang w:val="pt-BR"/>
        </w:rPr>
        <w:t>.</w:t>
      </w:r>
      <w:r w:rsidR="00617831" w:rsidRPr="00D80137">
        <w:rPr>
          <w:rFonts w:ascii="Times New Roman" w:hAnsi="Times New Roman"/>
          <w:bCs/>
          <w:lang w:val="pt-BR"/>
        </w:rPr>
        <w:t xml:space="preserve"> </w:t>
      </w:r>
      <w:r w:rsidR="002F6435">
        <w:rPr>
          <w:rFonts w:ascii="Times New Roman" w:hAnsi="Times New Roman"/>
          <w:lang w:val="pt-BR"/>
        </w:rPr>
        <w:t xml:space="preserve">De </w:t>
      </w:r>
      <w:r w:rsidR="00FB2153">
        <w:rPr>
          <w:rFonts w:ascii="Times New Roman" w:hAnsi="Times New Roman"/>
          <w:lang w:val="pt-BR"/>
        </w:rPr>
        <w:t xml:space="preserve">fato, </w:t>
      </w:r>
      <w:r w:rsidR="00272F5E">
        <w:rPr>
          <w:rFonts w:ascii="Times New Roman" w:hAnsi="Times New Roman"/>
          <w:lang w:val="pt-BR"/>
        </w:rPr>
        <w:t xml:space="preserve">a </w:t>
      </w:r>
      <w:r w:rsidR="00FB2153" w:rsidRPr="00553CF0">
        <w:rPr>
          <w:rFonts w:ascii="Times New Roman" w:hAnsi="Times New Roman"/>
          <w:lang w:val="pt-BR"/>
        </w:rPr>
        <w:t>adição</w:t>
      </w:r>
      <w:r w:rsidR="00D80137" w:rsidRPr="00553CF0">
        <w:rPr>
          <w:rFonts w:ascii="Times New Roman" w:hAnsi="Times New Roman"/>
          <w:lang w:val="pt-BR"/>
        </w:rPr>
        <w:t xml:space="preserve"> de </w:t>
      </w:r>
      <w:r w:rsidR="00D80137">
        <w:rPr>
          <w:rFonts w:ascii="Times New Roman" w:hAnsi="Times New Roman"/>
          <w:lang w:val="pt-BR"/>
        </w:rPr>
        <w:t>Al</w:t>
      </w:r>
      <w:r w:rsidR="00D80137" w:rsidRPr="00553CF0">
        <w:rPr>
          <w:rFonts w:ascii="Times New Roman" w:hAnsi="Times New Roman"/>
          <w:lang w:val="pt-BR"/>
        </w:rPr>
        <w:t xml:space="preserve"> ao catalisador </w:t>
      </w:r>
      <w:proofErr w:type="spellStart"/>
      <w:r w:rsidR="00D80137" w:rsidRPr="00553CF0">
        <w:rPr>
          <w:rFonts w:ascii="Times New Roman" w:hAnsi="Times New Roman"/>
          <w:lang w:val="pt-BR"/>
        </w:rPr>
        <w:t>CuZn</w:t>
      </w:r>
      <w:proofErr w:type="spellEnd"/>
      <w:r w:rsidR="00D80137" w:rsidRPr="00553CF0">
        <w:rPr>
          <w:rFonts w:ascii="Times New Roman" w:hAnsi="Times New Roman"/>
          <w:lang w:val="pt-BR"/>
        </w:rPr>
        <w:t xml:space="preserve"> provoca um significativo aumento na seletividade para ácido acético</w:t>
      </w:r>
      <w:r w:rsidR="00D80137">
        <w:rPr>
          <w:rFonts w:ascii="Times New Roman" w:hAnsi="Times New Roman"/>
          <w:lang w:val="pt-BR"/>
        </w:rPr>
        <w:t xml:space="preserve">. </w:t>
      </w:r>
      <w:r w:rsidR="004254FC">
        <w:rPr>
          <w:rFonts w:ascii="Times New Roman" w:hAnsi="Times New Roman"/>
          <w:lang w:val="pt-BR"/>
        </w:rPr>
        <w:t>Foi verificado que a</w:t>
      </w:r>
      <w:r w:rsidR="00D80137">
        <w:rPr>
          <w:rFonts w:ascii="Times New Roman" w:hAnsi="Times New Roman"/>
          <w:lang w:val="pt-BR"/>
        </w:rPr>
        <w:t xml:space="preserve"> adição </w:t>
      </w:r>
      <w:r w:rsidR="00D54CA1">
        <w:rPr>
          <w:rFonts w:ascii="Times New Roman" w:hAnsi="Times New Roman"/>
          <w:lang w:val="pt-BR"/>
        </w:rPr>
        <w:t>do citado elemento</w:t>
      </w:r>
      <w:r w:rsidR="00D80137">
        <w:rPr>
          <w:rFonts w:ascii="Times New Roman" w:hAnsi="Times New Roman"/>
          <w:lang w:val="pt-BR"/>
        </w:rPr>
        <w:t xml:space="preserve"> </w:t>
      </w:r>
      <w:r w:rsidR="002F6435">
        <w:rPr>
          <w:rFonts w:ascii="Times New Roman" w:hAnsi="Times New Roman"/>
          <w:lang w:val="pt-BR"/>
        </w:rPr>
        <w:t>ao</w:t>
      </w:r>
      <w:r w:rsidR="00D80137">
        <w:rPr>
          <w:rFonts w:ascii="Times New Roman" w:hAnsi="Times New Roman"/>
          <w:lang w:val="pt-BR"/>
        </w:rPr>
        <w:t xml:space="preserve"> catalisador </w:t>
      </w:r>
      <w:proofErr w:type="spellStart"/>
      <w:r w:rsidR="00D80137">
        <w:rPr>
          <w:rFonts w:ascii="Times New Roman" w:hAnsi="Times New Roman"/>
          <w:lang w:val="pt-BR"/>
        </w:rPr>
        <w:t>CuZn</w:t>
      </w:r>
      <w:proofErr w:type="spellEnd"/>
      <w:r w:rsidR="00D80137">
        <w:rPr>
          <w:rFonts w:ascii="Times New Roman" w:hAnsi="Times New Roman"/>
          <w:lang w:val="pt-BR"/>
        </w:rPr>
        <w:t xml:space="preserve"> resulta na formação de </w:t>
      </w:r>
      <w:r w:rsidR="00272F5E">
        <w:rPr>
          <w:rFonts w:ascii="Times New Roman" w:hAnsi="Times New Roman"/>
          <w:lang w:val="pt-BR"/>
        </w:rPr>
        <w:t>ó</w:t>
      </w:r>
      <w:r w:rsidR="00D80137">
        <w:rPr>
          <w:rFonts w:ascii="Times New Roman" w:hAnsi="Times New Roman"/>
          <w:lang w:val="pt-BR"/>
        </w:rPr>
        <w:t xml:space="preserve">xido misto de </w:t>
      </w:r>
      <w:proofErr w:type="gramStart"/>
      <w:r w:rsidR="00D80137">
        <w:rPr>
          <w:rFonts w:ascii="Times New Roman" w:hAnsi="Times New Roman"/>
          <w:lang w:val="pt-BR"/>
        </w:rPr>
        <w:t>Zn(</w:t>
      </w:r>
      <w:proofErr w:type="gramEnd"/>
      <w:r w:rsidR="00D80137">
        <w:rPr>
          <w:rFonts w:ascii="Times New Roman" w:hAnsi="Times New Roman"/>
          <w:lang w:val="pt-BR"/>
        </w:rPr>
        <w:t xml:space="preserve">Al)O. Este composto </w:t>
      </w:r>
      <w:r w:rsidR="004254FC">
        <w:rPr>
          <w:rFonts w:ascii="Times New Roman" w:hAnsi="Times New Roman"/>
          <w:lang w:val="pt-BR"/>
        </w:rPr>
        <w:t>gera com facilidade</w:t>
      </w:r>
      <w:r w:rsidR="00D80137">
        <w:rPr>
          <w:rFonts w:ascii="Times New Roman" w:hAnsi="Times New Roman"/>
          <w:lang w:val="pt-BR"/>
        </w:rPr>
        <w:t xml:space="preserve"> vacâncias de oxigênio </w:t>
      </w:r>
      <w:r w:rsidR="002F6435">
        <w:rPr>
          <w:rFonts w:ascii="Times New Roman" w:hAnsi="Times New Roman"/>
          <w:lang w:val="pt-BR"/>
        </w:rPr>
        <w:t>promovendo</w:t>
      </w:r>
      <w:r w:rsidR="00D80137">
        <w:rPr>
          <w:rFonts w:ascii="Times New Roman" w:hAnsi="Times New Roman"/>
          <w:lang w:val="pt-BR"/>
        </w:rPr>
        <w:t xml:space="preserve"> </w:t>
      </w:r>
      <w:r w:rsidR="004254FC">
        <w:rPr>
          <w:rFonts w:ascii="Times New Roman" w:hAnsi="Times New Roman"/>
          <w:lang w:val="pt-BR"/>
        </w:rPr>
        <w:t xml:space="preserve">desta forma </w:t>
      </w:r>
      <w:r w:rsidR="00D80137">
        <w:rPr>
          <w:rFonts w:ascii="Times New Roman" w:hAnsi="Times New Roman"/>
          <w:lang w:val="pt-BR"/>
        </w:rPr>
        <w:t xml:space="preserve">as propriedades redox </w:t>
      </w:r>
      <w:r w:rsidR="002544BD">
        <w:rPr>
          <w:rFonts w:ascii="Times New Roman" w:hAnsi="Times New Roman"/>
          <w:lang w:val="pt-BR"/>
        </w:rPr>
        <w:t>do catalisador</w:t>
      </w:r>
      <w:r w:rsidR="002F6435">
        <w:rPr>
          <w:rFonts w:ascii="Times New Roman" w:hAnsi="Times New Roman"/>
          <w:lang w:val="pt-BR"/>
        </w:rPr>
        <w:t xml:space="preserve">. </w:t>
      </w:r>
      <w:r w:rsidR="00617831">
        <w:rPr>
          <w:rFonts w:ascii="Times New Roman" w:hAnsi="Times New Roman"/>
          <w:lang w:val="pt-BR"/>
        </w:rPr>
        <w:t>Assim,</w:t>
      </w:r>
      <w:r w:rsidR="002F6435">
        <w:rPr>
          <w:rFonts w:ascii="Times New Roman" w:hAnsi="Times New Roman"/>
          <w:lang w:val="pt-BR"/>
        </w:rPr>
        <w:t xml:space="preserve"> a adição de Al ao </w:t>
      </w:r>
      <w:proofErr w:type="spellStart"/>
      <w:r w:rsidR="002F6435">
        <w:rPr>
          <w:rFonts w:ascii="Times New Roman" w:hAnsi="Times New Roman"/>
          <w:lang w:val="pt-BR"/>
        </w:rPr>
        <w:t>CuZn</w:t>
      </w:r>
      <w:proofErr w:type="spellEnd"/>
      <w:r w:rsidR="002F6435">
        <w:rPr>
          <w:rFonts w:ascii="Times New Roman" w:hAnsi="Times New Roman"/>
          <w:lang w:val="pt-BR"/>
        </w:rPr>
        <w:t xml:space="preserve"> favorece a</w:t>
      </w:r>
      <w:r w:rsidR="002544BD">
        <w:rPr>
          <w:rFonts w:ascii="Times New Roman" w:hAnsi="Times New Roman"/>
          <w:lang w:val="pt-BR"/>
        </w:rPr>
        <w:t xml:space="preserve"> </w:t>
      </w:r>
      <w:r w:rsidR="00D80137">
        <w:rPr>
          <w:rFonts w:ascii="Times New Roman" w:hAnsi="Times New Roman"/>
          <w:lang w:val="pt-BR"/>
        </w:rPr>
        <w:t xml:space="preserve">oxidação do acetaldeído a </w:t>
      </w:r>
      <w:r w:rsidR="00D54CA1">
        <w:rPr>
          <w:rFonts w:ascii="Times New Roman" w:hAnsi="Times New Roman"/>
          <w:lang w:val="pt-BR"/>
        </w:rPr>
        <w:t xml:space="preserve">espécies </w:t>
      </w:r>
      <w:r w:rsidR="00D80137">
        <w:rPr>
          <w:rFonts w:ascii="Times New Roman" w:hAnsi="Times New Roman"/>
          <w:lang w:val="pt-BR"/>
        </w:rPr>
        <w:t>acetato</w:t>
      </w:r>
      <w:r w:rsidR="00272F5E">
        <w:rPr>
          <w:rFonts w:ascii="Times New Roman" w:hAnsi="Times New Roman"/>
          <w:lang w:val="pt-BR"/>
        </w:rPr>
        <w:t>,</w:t>
      </w:r>
      <w:r w:rsidR="00757AE7">
        <w:rPr>
          <w:rFonts w:ascii="Times New Roman" w:hAnsi="Times New Roman"/>
          <w:lang w:val="pt-BR"/>
        </w:rPr>
        <w:t xml:space="preserve"> que </w:t>
      </w:r>
      <w:r w:rsidR="00D54CA1">
        <w:rPr>
          <w:rFonts w:ascii="Times New Roman" w:hAnsi="Times New Roman"/>
          <w:lang w:val="pt-BR"/>
        </w:rPr>
        <w:t>são</w:t>
      </w:r>
      <w:r w:rsidR="00757AE7">
        <w:rPr>
          <w:rFonts w:ascii="Times New Roman" w:hAnsi="Times New Roman"/>
          <w:lang w:val="pt-BR"/>
        </w:rPr>
        <w:t xml:space="preserve"> </w:t>
      </w:r>
      <w:r w:rsidR="00D80137">
        <w:rPr>
          <w:rFonts w:ascii="Times New Roman" w:hAnsi="Times New Roman"/>
          <w:lang w:val="pt-BR"/>
        </w:rPr>
        <w:t>precursor</w:t>
      </w:r>
      <w:r w:rsidR="00ED54A6">
        <w:rPr>
          <w:rFonts w:ascii="Times New Roman" w:hAnsi="Times New Roman"/>
          <w:lang w:val="pt-BR"/>
        </w:rPr>
        <w:t>as</w:t>
      </w:r>
      <w:r w:rsidR="00D80137">
        <w:rPr>
          <w:rFonts w:ascii="Times New Roman" w:hAnsi="Times New Roman"/>
          <w:lang w:val="pt-BR"/>
        </w:rPr>
        <w:t xml:space="preserve"> do ácido acético.</w:t>
      </w:r>
      <w:r w:rsidR="00D80137" w:rsidRPr="00D80137">
        <w:rPr>
          <w:rFonts w:ascii="Times New Roman" w:hAnsi="Times New Roman"/>
          <w:lang w:val="pt-BR"/>
        </w:rPr>
        <w:t xml:space="preserve"> </w:t>
      </w:r>
      <w:r w:rsidR="00757AE7">
        <w:rPr>
          <w:rFonts w:ascii="Times New Roman" w:hAnsi="Times New Roman"/>
          <w:lang w:val="pt-BR"/>
        </w:rPr>
        <w:t>Foi observado também um</w:t>
      </w:r>
      <w:r w:rsidR="00D80137">
        <w:rPr>
          <w:rFonts w:ascii="Times New Roman" w:hAnsi="Times New Roman"/>
          <w:lang w:val="pt-BR"/>
        </w:rPr>
        <w:t xml:space="preserve"> aumento da acidez </w:t>
      </w:r>
      <w:r w:rsidR="002F6435">
        <w:rPr>
          <w:rFonts w:ascii="Times New Roman" w:hAnsi="Times New Roman"/>
          <w:lang w:val="pt-BR"/>
        </w:rPr>
        <w:t xml:space="preserve">do catalisador </w:t>
      </w:r>
      <w:r w:rsidR="00757AE7">
        <w:rPr>
          <w:rFonts w:ascii="Times New Roman" w:hAnsi="Times New Roman"/>
          <w:lang w:val="pt-BR"/>
        </w:rPr>
        <w:t>contendo Al. Esta propriedade</w:t>
      </w:r>
      <w:r w:rsidR="00D80137">
        <w:rPr>
          <w:rFonts w:ascii="Times New Roman" w:hAnsi="Times New Roman"/>
          <w:lang w:val="pt-BR"/>
        </w:rPr>
        <w:t xml:space="preserve"> promove</w:t>
      </w:r>
      <w:r w:rsidR="00FB2153">
        <w:rPr>
          <w:rFonts w:ascii="Times New Roman" w:hAnsi="Times New Roman"/>
          <w:lang w:val="pt-BR"/>
        </w:rPr>
        <w:t xml:space="preserve"> </w:t>
      </w:r>
      <w:r w:rsidR="00D80137">
        <w:rPr>
          <w:rFonts w:ascii="Times New Roman" w:hAnsi="Times New Roman"/>
          <w:lang w:val="pt-BR"/>
        </w:rPr>
        <w:t>a adsorção do acetaldeído na superfície do catalisador</w:t>
      </w:r>
      <w:r w:rsidR="002F6435">
        <w:rPr>
          <w:rFonts w:ascii="Times New Roman" w:hAnsi="Times New Roman"/>
          <w:lang w:val="pt-BR"/>
        </w:rPr>
        <w:t xml:space="preserve"> </w:t>
      </w:r>
      <w:r w:rsidR="00757AE7">
        <w:rPr>
          <w:rFonts w:ascii="Times New Roman" w:hAnsi="Times New Roman"/>
          <w:lang w:val="pt-BR"/>
        </w:rPr>
        <w:t xml:space="preserve">e </w:t>
      </w:r>
      <w:r w:rsidR="002F6435">
        <w:rPr>
          <w:rFonts w:ascii="Times New Roman" w:hAnsi="Times New Roman"/>
          <w:lang w:val="pt-BR"/>
        </w:rPr>
        <w:t>pode também contribuir para o aumento da seletividade a ácido acético.</w:t>
      </w:r>
    </w:p>
    <w:p w:rsidR="00EA4E1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:rsidR="00EA4E1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870522">
        <w:rPr>
          <w:rFonts w:ascii="Times New Roman" w:hAnsi="Times New Roman"/>
          <w:b w:val="0"/>
          <w:i/>
          <w:sz w:val="20"/>
          <w:lang w:val="pt-BR"/>
        </w:rPr>
        <w:t xml:space="preserve">Palavras-chave: </w:t>
      </w:r>
      <w:r w:rsidR="00A63F17">
        <w:rPr>
          <w:rFonts w:ascii="Times New Roman" w:hAnsi="Times New Roman"/>
          <w:b w:val="0"/>
          <w:i/>
          <w:sz w:val="20"/>
          <w:lang w:val="pt-BR"/>
        </w:rPr>
        <w:t>ácido acético, etanol, Cu/ZnO/Al</w:t>
      </w:r>
      <w:r w:rsidR="00A63F17" w:rsidRPr="00A63F17">
        <w:rPr>
          <w:rFonts w:ascii="Times New Roman" w:hAnsi="Times New Roman"/>
          <w:b w:val="0"/>
          <w:i/>
          <w:sz w:val="20"/>
          <w:vertAlign w:val="subscript"/>
          <w:lang w:val="pt-BR"/>
        </w:rPr>
        <w:t>2</w:t>
      </w:r>
      <w:r w:rsidR="00A63F17">
        <w:rPr>
          <w:rFonts w:ascii="Times New Roman" w:hAnsi="Times New Roman"/>
          <w:b w:val="0"/>
          <w:i/>
          <w:sz w:val="20"/>
          <w:lang w:val="pt-BR"/>
        </w:rPr>
        <w:t>O</w:t>
      </w:r>
      <w:r w:rsidR="00A63F17" w:rsidRPr="00A63F17">
        <w:rPr>
          <w:rFonts w:ascii="Times New Roman" w:hAnsi="Times New Roman"/>
          <w:b w:val="0"/>
          <w:i/>
          <w:sz w:val="20"/>
          <w:vertAlign w:val="subscript"/>
          <w:lang w:val="pt-BR"/>
        </w:rPr>
        <w:t>3</w:t>
      </w:r>
      <w:r w:rsidR="00A63F17">
        <w:rPr>
          <w:rFonts w:ascii="Times New Roman" w:hAnsi="Times New Roman"/>
          <w:b w:val="0"/>
          <w:i/>
          <w:sz w:val="20"/>
          <w:lang w:val="pt-BR"/>
        </w:rPr>
        <w:t>, redox, vacâncias de oxigênio</w:t>
      </w:r>
      <w:r>
        <w:rPr>
          <w:rFonts w:ascii="Times New Roman" w:hAnsi="Times New Roman"/>
          <w:b w:val="0"/>
          <w:i/>
          <w:sz w:val="20"/>
          <w:lang w:val="pt-BR"/>
        </w:rPr>
        <w:t>.</w:t>
      </w:r>
    </w:p>
    <w:p w:rsidR="00EA4E1B" w:rsidRPr="00DA4DFC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:rsidR="002544BD" w:rsidRDefault="00EA4E1B" w:rsidP="00BC6813">
      <w:pPr>
        <w:pStyle w:val="BDAbstract"/>
        <w:spacing w:after="0" w:line="240" w:lineRule="auto"/>
        <w:ind w:firstLine="187"/>
        <w:rPr>
          <w:rFonts w:ascii="Times New Roman" w:hAnsi="Times New Roman"/>
          <w:b w:val="0"/>
          <w:sz w:val="20"/>
        </w:rPr>
      </w:pPr>
      <w:r w:rsidRPr="00A63F17">
        <w:rPr>
          <w:rFonts w:ascii="Times New Roman" w:hAnsi="Times New Roman"/>
          <w:b w:val="0"/>
          <w:sz w:val="20"/>
        </w:rPr>
        <w:t xml:space="preserve">ABSTRACT - </w:t>
      </w:r>
      <w:r w:rsidR="00757AE7" w:rsidRPr="00757AE7">
        <w:rPr>
          <w:rFonts w:ascii="Times New Roman" w:hAnsi="Times New Roman"/>
          <w:b w:val="0"/>
          <w:sz w:val="20"/>
        </w:rPr>
        <w:t xml:space="preserve">The catalytic behavior and </w:t>
      </w:r>
      <w:r w:rsidR="00272F5E" w:rsidRPr="00757AE7">
        <w:rPr>
          <w:rFonts w:ascii="Times New Roman" w:hAnsi="Times New Roman"/>
          <w:b w:val="0"/>
          <w:sz w:val="20"/>
        </w:rPr>
        <w:t>physic</w:t>
      </w:r>
      <w:r w:rsidR="00272F5E">
        <w:rPr>
          <w:rFonts w:ascii="Times New Roman" w:hAnsi="Times New Roman"/>
          <w:b w:val="0"/>
          <w:sz w:val="20"/>
        </w:rPr>
        <w:t>al</w:t>
      </w:r>
      <w:r w:rsidR="00757AE7" w:rsidRPr="00757AE7">
        <w:rPr>
          <w:rFonts w:ascii="Times New Roman" w:hAnsi="Times New Roman"/>
          <w:b w:val="0"/>
          <w:sz w:val="20"/>
        </w:rPr>
        <w:t xml:space="preserve">-chemical properties of Cu/Zn/Al type catalysts containing different Al contents </w:t>
      </w:r>
      <w:r w:rsidR="00E718C8">
        <w:rPr>
          <w:rFonts w:ascii="Times New Roman" w:hAnsi="Times New Roman"/>
          <w:b w:val="0"/>
          <w:sz w:val="20"/>
        </w:rPr>
        <w:t>were</w:t>
      </w:r>
      <w:r w:rsidR="00E718C8" w:rsidRPr="00757AE7">
        <w:rPr>
          <w:rFonts w:ascii="Times New Roman" w:hAnsi="Times New Roman"/>
          <w:b w:val="0"/>
          <w:sz w:val="20"/>
        </w:rPr>
        <w:t xml:space="preserve"> </w:t>
      </w:r>
      <w:r w:rsidR="00757AE7" w:rsidRPr="00757AE7">
        <w:rPr>
          <w:rFonts w:ascii="Times New Roman" w:hAnsi="Times New Roman"/>
          <w:b w:val="0"/>
          <w:sz w:val="20"/>
        </w:rPr>
        <w:t>investigated. The main objective was to define the role of Al</w:t>
      </w:r>
      <w:r w:rsidR="00ED54A6">
        <w:rPr>
          <w:rFonts w:ascii="Times New Roman" w:hAnsi="Times New Roman"/>
          <w:b w:val="0"/>
          <w:sz w:val="20"/>
        </w:rPr>
        <w:t xml:space="preserve"> of </w:t>
      </w:r>
      <w:r w:rsidR="00ED54A6" w:rsidRPr="00757AE7">
        <w:rPr>
          <w:rFonts w:ascii="Times New Roman" w:hAnsi="Times New Roman"/>
          <w:b w:val="0"/>
          <w:sz w:val="20"/>
        </w:rPr>
        <w:t xml:space="preserve">Cu/Zn/Al </w:t>
      </w:r>
      <w:r w:rsidR="00757AE7" w:rsidRPr="00757AE7">
        <w:rPr>
          <w:rFonts w:ascii="Times New Roman" w:hAnsi="Times New Roman"/>
          <w:b w:val="0"/>
          <w:sz w:val="20"/>
        </w:rPr>
        <w:t>in obtaining acetic acid from ethanol and water. In fact,</w:t>
      </w:r>
      <w:r w:rsidR="00272F5E">
        <w:rPr>
          <w:rFonts w:ascii="Times New Roman" w:hAnsi="Times New Roman"/>
          <w:b w:val="0"/>
          <w:sz w:val="20"/>
        </w:rPr>
        <w:t xml:space="preserve"> the</w:t>
      </w:r>
      <w:r w:rsidR="00757AE7" w:rsidRPr="00757AE7">
        <w:rPr>
          <w:rFonts w:ascii="Times New Roman" w:hAnsi="Times New Roman"/>
          <w:b w:val="0"/>
          <w:sz w:val="20"/>
        </w:rPr>
        <w:t xml:space="preserve"> addition of Al to the </w:t>
      </w:r>
      <w:proofErr w:type="spellStart"/>
      <w:r w:rsidR="00757AE7" w:rsidRPr="00757AE7">
        <w:rPr>
          <w:rFonts w:ascii="Times New Roman" w:hAnsi="Times New Roman"/>
          <w:b w:val="0"/>
          <w:sz w:val="20"/>
        </w:rPr>
        <w:t>CuZn</w:t>
      </w:r>
      <w:proofErr w:type="spellEnd"/>
      <w:r w:rsidR="00757AE7" w:rsidRPr="00757AE7">
        <w:rPr>
          <w:rFonts w:ascii="Times New Roman" w:hAnsi="Times New Roman"/>
          <w:b w:val="0"/>
          <w:sz w:val="20"/>
        </w:rPr>
        <w:t xml:space="preserve"> catalyst causes a significant increase in the selectivity </w:t>
      </w:r>
      <w:r w:rsidR="00272F5E">
        <w:rPr>
          <w:rFonts w:ascii="Times New Roman" w:hAnsi="Times New Roman"/>
          <w:b w:val="0"/>
          <w:sz w:val="20"/>
        </w:rPr>
        <w:t>to</w:t>
      </w:r>
      <w:r w:rsidR="00757AE7" w:rsidRPr="00757AE7">
        <w:rPr>
          <w:rFonts w:ascii="Times New Roman" w:hAnsi="Times New Roman"/>
          <w:b w:val="0"/>
          <w:sz w:val="20"/>
        </w:rPr>
        <w:t xml:space="preserve"> acetic acid. It has been found that the addition of Al to the </w:t>
      </w:r>
      <w:proofErr w:type="spellStart"/>
      <w:r w:rsidR="00757AE7" w:rsidRPr="00757AE7">
        <w:rPr>
          <w:rFonts w:ascii="Times New Roman" w:hAnsi="Times New Roman"/>
          <w:b w:val="0"/>
          <w:sz w:val="20"/>
        </w:rPr>
        <w:t>CuZn</w:t>
      </w:r>
      <w:proofErr w:type="spellEnd"/>
      <w:r w:rsidR="00757AE7" w:rsidRPr="00757AE7">
        <w:rPr>
          <w:rFonts w:ascii="Times New Roman" w:hAnsi="Times New Roman"/>
          <w:b w:val="0"/>
          <w:sz w:val="20"/>
        </w:rPr>
        <w:t xml:space="preserve"> catalyst results in the formation of mixed </w:t>
      </w:r>
      <w:proofErr w:type="gramStart"/>
      <w:r w:rsidR="00757AE7" w:rsidRPr="00757AE7">
        <w:rPr>
          <w:rFonts w:ascii="Times New Roman" w:hAnsi="Times New Roman"/>
          <w:b w:val="0"/>
          <w:sz w:val="20"/>
        </w:rPr>
        <w:t>Zn(</w:t>
      </w:r>
      <w:proofErr w:type="gramEnd"/>
      <w:r w:rsidR="00757AE7" w:rsidRPr="00757AE7">
        <w:rPr>
          <w:rFonts w:ascii="Times New Roman" w:hAnsi="Times New Roman"/>
          <w:b w:val="0"/>
          <w:sz w:val="20"/>
        </w:rPr>
        <w:t xml:space="preserve">Al)O oxide. This compound easily generates oxygen vacancies, thus promoting the redox properties of the catalyst. </w:t>
      </w:r>
      <w:r w:rsidR="00757AE7">
        <w:rPr>
          <w:rFonts w:ascii="Times New Roman" w:hAnsi="Times New Roman"/>
          <w:b w:val="0"/>
          <w:sz w:val="20"/>
        </w:rPr>
        <w:t>The</w:t>
      </w:r>
      <w:r w:rsidR="00757AE7" w:rsidRPr="00757AE7">
        <w:rPr>
          <w:rFonts w:ascii="Times New Roman" w:hAnsi="Times New Roman"/>
          <w:b w:val="0"/>
          <w:sz w:val="20"/>
        </w:rPr>
        <w:t xml:space="preserve"> addition of Al to </w:t>
      </w:r>
      <w:proofErr w:type="spellStart"/>
      <w:r w:rsidR="00757AE7" w:rsidRPr="00757AE7">
        <w:rPr>
          <w:rFonts w:ascii="Times New Roman" w:hAnsi="Times New Roman"/>
          <w:b w:val="0"/>
          <w:sz w:val="20"/>
        </w:rPr>
        <w:t>CuZn</w:t>
      </w:r>
      <w:proofErr w:type="spellEnd"/>
      <w:r w:rsidR="00757AE7" w:rsidRPr="00757AE7">
        <w:rPr>
          <w:rFonts w:ascii="Times New Roman" w:hAnsi="Times New Roman"/>
          <w:b w:val="0"/>
          <w:sz w:val="20"/>
        </w:rPr>
        <w:t xml:space="preserve"> favors the oxidation of acetaldehyde to acetate</w:t>
      </w:r>
      <w:r w:rsidR="00757AE7">
        <w:rPr>
          <w:rFonts w:ascii="Times New Roman" w:hAnsi="Times New Roman"/>
          <w:b w:val="0"/>
          <w:sz w:val="20"/>
        </w:rPr>
        <w:t xml:space="preserve"> species</w:t>
      </w:r>
      <w:r w:rsidR="00272F5E">
        <w:rPr>
          <w:rFonts w:ascii="Times New Roman" w:hAnsi="Times New Roman"/>
          <w:b w:val="0"/>
          <w:sz w:val="20"/>
        </w:rPr>
        <w:t>,</w:t>
      </w:r>
      <w:r w:rsidR="00757AE7">
        <w:rPr>
          <w:rFonts w:ascii="Times New Roman" w:hAnsi="Times New Roman"/>
          <w:b w:val="0"/>
          <w:sz w:val="20"/>
        </w:rPr>
        <w:t xml:space="preserve"> which is the </w:t>
      </w:r>
      <w:r w:rsidR="00757AE7" w:rsidRPr="00757AE7">
        <w:rPr>
          <w:rFonts w:ascii="Times New Roman" w:hAnsi="Times New Roman"/>
          <w:b w:val="0"/>
          <w:sz w:val="20"/>
        </w:rPr>
        <w:t>precursor of acetic acid.</w:t>
      </w:r>
      <w:r w:rsidR="00757AE7">
        <w:rPr>
          <w:rFonts w:ascii="Times New Roman" w:hAnsi="Times New Roman"/>
          <w:b w:val="0"/>
          <w:sz w:val="20"/>
        </w:rPr>
        <w:t xml:space="preserve"> </w:t>
      </w:r>
      <w:r w:rsidR="00C953EC">
        <w:rPr>
          <w:rFonts w:ascii="Times New Roman" w:hAnsi="Times New Roman"/>
          <w:b w:val="0"/>
          <w:sz w:val="20"/>
        </w:rPr>
        <w:t>It was also observed the</w:t>
      </w:r>
      <w:r w:rsidR="00BC6813" w:rsidRPr="00BC6813">
        <w:rPr>
          <w:rFonts w:ascii="Times New Roman" w:hAnsi="Times New Roman"/>
          <w:b w:val="0"/>
          <w:sz w:val="20"/>
        </w:rPr>
        <w:t xml:space="preserve"> increase </w:t>
      </w:r>
      <w:r w:rsidR="00C953EC">
        <w:rPr>
          <w:rFonts w:ascii="Times New Roman" w:hAnsi="Times New Roman"/>
          <w:b w:val="0"/>
          <w:sz w:val="20"/>
        </w:rPr>
        <w:t>of the</w:t>
      </w:r>
      <w:r w:rsidR="00BC6813" w:rsidRPr="00BC6813">
        <w:rPr>
          <w:rFonts w:ascii="Times New Roman" w:hAnsi="Times New Roman"/>
          <w:b w:val="0"/>
          <w:sz w:val="20"/>
        </w:rPr>
        <w:t xml:space="preserve"> catalyst</w:t>
      </w:r>
      <w:r w:rsidR="00C953EC">
        <w:rPr>
          <w:rFonts w:ascii="Times New Roman" w:hAnsi="Times New Roman"/>
          <w:b w:val="0"/>
          <w:sz w:val="20"/>
        </w:rPr>
        <w:t>´s</w:t>
      </w:r>
      <w:r w:rsidR="00BC6813" w:rsidRPr="00BC6813">
        <w:rPr>
          <w:rFonts w:ascii="Times New Roman" w:hAnsi="Times New Roman"/>
          <w:b w:val="0"/>
          <w:sz w:val="20"/>
        </w:rPr>
        <w:t xml:space="preserve"> acidity</w:t>
      </w:r>
      <w:r w:rsidR="00C953EC">
        <w:rPr>
          <w:rFonts w:ascii="Times New Roman" w:hAnsi="Times New Roman"/>
          <w:b w:val="0"/>
          <w:sz w:val="20"/>
        </w:rPr>
        <w:t xml:space="preserve"> when Al is added to </w:t>
      </w:r>
      <w:proofErr w:type="spellStart"/>
      <w:r w:rsidR="00C953EC">
        <w:rPr>
          <w:rFonts w:ascii="Times New Roman" w:hAnsi="Times New Roman"/>
          <w:b w:val="0"/>
          <w:sz w:val="20"/>
        </w:rPr>
        <w:t>CuZn</w:t>
      </w:r>
      <w:proofErr w:type="spellEnd"/>
      <w:r w:rsidR="00C953EC">
        <w:rPr>
          <w:rFonts w:ascii="Times New Roman" w:hAnsi="Times New Roman"/>
          <w:b w:val="0"/>
          <w:sz w:val="20"/>
        </w:rPr>
        <w:t>. This property</w:t>
      </w:r>
      <w:r w:rsidR="00BC6813" w:rsidRPr="00BC6813">
        <w:rPr>
          <w:rFonts w:ascii="Times New Roman" w:hAnsi="Times New Roman"/>
          <w:b w:val="0"/>
          <w:sz w:val="20"/>
        </w:rPr>
        <w:t xml:space="preserve"> promotes the adsorption of acetaldehyde on the catalyst surface </w:t>
      </w:r>
      <w:r w:rsidR="00C953EC">
        <w:rPr>
          <w:rFonts w:ascii="Times New Roman" w:hAnsi="Times New Roman"/>
          <w:b w:val="0"/>
          <w:sz w:val="20"/>
        </w:rPr>
        <w:t>and might also contribute</w:t>
      </w:r>
      <w:r w:rsidR="00BC6813" w:rsidRPr="00BC6813">
        <w:rPr>
          <w:rFonts w:ascii="Times New Roman" w:hAnsi="Times New Roman"/>
          <w:b w:val="0"/>
          <w:sz w:val="20"/>
        </w:rPr>
        <w:t xml:space="preserve"> to the increase in acetic acid selectivity.</w:t>
      </w:r>
    </w:p>
    <w:p w:rsidR="00EA4E1B" w:rsidRPr="00A63F17" w:rsidRDefault="00EA4E1B" w:rsidP="00EF4FAE">
      <w:pPr>
        <w:pStyle w:val="BDAbstract"/>
        <w:spacing w:after="0" w:line="240" w:lineRule="auto"/>
        <w:rPr>
          <w:rFonts w:ascii="Times New Roman" w:hAnsi="Times New Roman"/>
          <w:b w:val="0"/>
          <w:i/>
          <w:sz w:val="20"/>
        </w:rPr>
      </w:pPr>
      <w:r w:rsidRPr="00A63F17">
        <w:rPr>
          <w:rFonts w:ascii="Times New Roman" w:hAnsi="Times New Roman"/>
          <w:b w:val="0"/>
          <w:i/>
          <w:sz w:val="20"/>
        </w:rPr>
        <w:t xml:space="preserve">Keywords: </w:t>
      </w:r>
      <w:r w:rsidR="00A63F17" w:rsidRPr="00A63F17">
        <w:rPr>
          <w:rFonts w:ascii="Times New Roman" w:hAnsi="Times New Roman"/>
          <w:b w:val="0"/>
          <w:i/>
          <w:sz w:val="20"/>
        </w:rPr>
        <w:t>acetic acid</w:t>
      </w:r>
      <w:r w:rsidRPr="00A63F17">
        <w:rPr>
          <w:rFonts w:ascii="Times New Roman" w:hAnsi="Times New Roman"/>
          <w:b w:val="0"/>
          <w:i/>
          <w:sz w:val="20"/>
        </w:rPr>
        <w:t>,</w:t>
      </w:r>
      <w:r w:rsidR="00A63F17" w:rsidRPr="00A63F17">
        <w:rPr>
          <w:rFonts w:ascii="Times New Roman" w:hAnsi="Times New Roman"/>
          <w:b w:val="0"/>
          <w:i/>
          <w:sz w:val="20"/>
        </w:rPr>
        <w:t xml:space="preserve"> ethanol, Cu/ZnO/Al</w:t>
      </w:r>
      <w:r w:rsidR="00A63F17" w:rsidRPr="00A63F17">
        <w:rPr>
          <w:rFonts w:ascii="Times New Roman" w:hAnsi="Times New Roman"/>
          <w:b w:val="0"/>
          <w:i/>
          <w:sz w:val="20"/>
          <w:vertAlign w:val="subscript"/>
        </w:rPr>
        <w:t>2</w:t>
      </w:r>
      <w:r w:rsidR="00A63F17" w:rsidRPr="00A63F17">
        <w:rPr>
          <w:rFonts w:ascii="Times New Roman" w:hAnsi="Times New Roman"/>
          <w:b w:val="0"/>
          <w:i/>
          <w:sz w:val="20"/>
        </w:rPr>
        <w:t>O</w:t>
      </w:r>
      <w:r w:rsidR="00A63F17" w:rsidRPr="00A63F17">
        <w:rPr>
          <w:rFonts w:ascii="Times New Roman" w:hAnsi="Times New Roman"/>
          <w:b w:val="0"/>
          <w:i/>
          <w:sz w:val="20"/>
          <w:vertAlign w:val="subscript"/>
        </w:rPr>
        <w:t>3</w:t>
      </w:r>
      <w:r w:rsidR="00A63F17" w:rsidRPr="00A63F17">
        <w:rPr>
          <w:rFonts w:ascii="Times New Roman" w:hAnsi="Times New Roman"/>
          <w:b w:val="0"/>
          <w:i/>
          <w:sz w:val="20"/>
        </w:rPr>
        <w:t>, redox, oxygen vacanc</w:t>
      </w:r>
      <w:r w:rsidR="007D1F5A">
        <w:rPr>
          <w:rFonts w:ascii="Times New Roman" w:hAnsi="Times New Roman"/>
          <w:b w:val="0"/>
          <w:i/>
          <w:sz w:val="20"/>
        </w:rPr>
        <w:t>y</w:t>
      </w:r>
      <w:r w:rsidR="00A63F17" w:rsidRPr="00A63F17">
        <w:rPr>
          <w:rFonts w:ascii="Times New Roman" w:hAnsi="Times New Roman"/>
          <w:b w:val="0"/>
          <w:i/>
          <w:sz w:val="20"/>
        </w:rPr>
        <w:t>.</w:t>
      </w:r>
    </w:p>
    <w:bookmarkEnd w:id="1"/>
    <w:p w:rsidR="00EA4E1B" w:rsidRPr="00A63F17" w:rsidRDefault="00EA4E1B" w:rsidP="00EA4E1B">
      <w:pPr>
        <w:rPr>
          <w:lang w:val="en-US"/>
        </w:rPr>
        <w:sectPr w:rsidR="00EA4E1B" w:rsidRPr="00A63F17" w:rsidSect="00EA4E1B">
          <w:headerReference w:type="default" r:id="rId9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</w:p>
    <w:p w:rsidR="00EA4E1B" w:rsidRPr="001F25B2" w:rsidRDefault="00EA4E1B" w:rsidP="008F0CF1">
      <w:pPr>
        <w:pStyle w:val="Ttulo2"/>
        <w:spacing w:before="0" w:after="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Introdução</w:t>
      </w:r>
    </w:p>
    <w:p w:rsidR="00B14433" w:rsidRDefault="00B14433" w:rsidP="00B14433">
      <w:pPr>
        <w:pStyle w:val="TAMainText"/>
        <w:rPr>
          <w:rFonts w:ascii="Times New Roman" w:hAnsi="Times New Roman"/>
          <w:lang w:val="pt-BR"/>
        </w:rPr>
      </w:pPr>
      <w:r w:rsidRPr="00B14433">
        <w:rPr>
          <w:rFonts w:ascii="Times New Roman" w:hAnsi="Times New Roman"/>
          <w:lang w:val="pt-BR"/>
        </w:rPr>
        <w:t xml:space="preserve">O ácido acético é </w:t>
      </w:r>
      <w:r w:rsidR="00582071">
        <w:rPr>
          <w:rFonts w:ascii="Times New Roman" w:hAnsi="Times New Roman"/>
          <w:lang w:val="pt-BR"/>
        </w:rPr>
        <w:t>um dos produtos/</w:t>
      </w:r>
      <w:r w:rsidR="00F77905">
        <w:rPr>
          <w:rFonts w:ascii="Times New Roman" w:hAnsi="Times New Roman"/>
          <w:lang w:val="pt-BR"/>
        </w:rPr>
        <w:t>intermediários</w:t>
      </w:r>
      <w:r w:rsidRPr="00B14433">
        <w:rPr>
          <w:rFonts w:ascii="Times New Roman" w:hAnsi="Times New Roman"/>
          <w:lang w:val="pt-BR"/>
        </w:rPr>
        <w:t xml:space="preserve"> mais relevantes da </w:t>
      </w:r>
      <w:r>
        <w:rPr>
          <w:rFonts w:ascii="Times New Roman" w:hAnsi="Times New Roman"/>
          <w:lang w:val="pt-BR"/>
        </w:rPr>
        <w:t>I</w:t>
      </w:r>
      <w:r w:rsidRPr="00B14433">
        <w:rPr>
          <w:rFonts w:ascii="Times New Roman" w:hAnsi="Times New Roman"/>
          <w:lang w:val="pt-BR"/>
        </w:rPr>
        <w:t>ndúst</w:t>
      </w:r>
      <w:r>
        <w:rPr>
          <w:rFonts w:ascii="Times New Roman" w:hAnsi="Times New Roman"/>
          <w:lang w:val="pt-BR"/>
        </w:rPr>
        <w:t>ria Química. Ele é usado na produção de anidrido acético, monômero de acetato de vinila (VAM), ácido tereftálico (PTA) e outros compostos empregados na fabricação de plásticos, tintas, borrachas, detergentes, solventes e produtos farmacêuticos (1).</w:t>
      </w:r>
    </w:p>
    <w:p w:rsidR="00B14433" w:rsidRDefault="00B14433" w:rsidP="00B14433">
      <w:pPr>
        <w:pStyle w:val="TAMainText"/>
        <w:rPr>
          <w:rFonts w:ascii="Times New Roman" w:hAnsi="Times New Roman"/>
          <w:lang w:val="pt-BR"/>
        </w:rPr>
      </w:pPr>
      <w:r w:rsidRPr="00B14433">
        <w:rPr>
          <w:rFonts w:ascii="Times New Roman" w:hAnsi="Times New Roman"/>
          <w:lang w:val="pt-BR"/>
        </w:rPr>
        <w:t>O processo de carbonilação d</w:t>
      </w:r>
      <w:r w:rsidR="00D13BA9">
        <w:rPr>
          <w:rFonts w:ascii="Times New Roman" w:hAnsi="Times New Roman"/>
          <w:lang w:val="pt-BR"/>
        </w:rPr>
        <w:t>o</w:t>
      </w:r>
      <w:r>
        <w:rPr>
          <w:rFonts w:ascii="Times New Roman" w:hAnsi="Times New Roman"/>
          <w:lang w:val="pt-BR"/>
        </w:rPr>
        <w:t xml:space="preserve"> metanol</w:t>
      </w:r>
      <w:r w:rsidR="00757AE7">
        <w:rPr>
          <w:rFonts w:ascii="Times New Roman" w:hAnsi="Times New Roman"/>
          <w:lang w:val="pt-BR"/>
        </w:rPr>
        <w:t>,</w:t>
      </w:r>
      <w:r w:rsidR="00D13BA9">
        <w:rPr>
          <w:rFonts w:ascii="Times New Roman" w:hAnsi="Times New Roman"/>
          <w:lang w:val="pt-BR"/>
        </w:rPr>
        <w:t xml:space="preserve"> </w:t>
      </w:r>
      <w:r w:rsidR="00EF1BBC">
        <w:rPr>
          <w:rFonts w:ascii="Times New Roman" w:hAnsi="Times New Roman"/>
          <w:lang w:val="pt-BR"/>
        </w:rPr>
        <w:t>que utiliza</w:t>
      </w:r>
      <w:r w:rsidR="00D13BA9">
        <w:rPr>
          <w:rFonts w:ascii="Times New Roman" w:hAnsi="Times New Roman"/>
          <w:lang w:val="pt-BR"/>
        </w:rPr>
        <w:t xml:space="preserve"> </w:t>
      </w:r>
      <w:r w:rsidR="00EF1BBC">
        <w:rPr>
          <w:rFonts w:ascii="Times New Roman" w:hAnsi="Times New Roman"/>
          <w:lang w:val="pt-BR"/>
        </w:rPr>
        <w:t>catalisadores</w:t>
      </w:r>
      <w:r w:rsidR="00D13BA9">
        <w:rPr>
          <w:rFonts w:ascii="Times New Roman" w:hAnsi="Times New Roman"/>
          <w:lang w:val="pt-BR"/>
        </w:rPr>
        <w:t xml:space="preserve"> homogêne</w:t>
      </w:r>
      <w:r w:rsidR="00EF1BBC">
        <w:rPr>
          <w:rFonts w:ascii="Times New Roman" w:hAnsi="Times New Roman"/>
          <w:lang w:val="pt-BR"/>
        </w:rPr>
        <w:t>os</w:t>
      </w:r>
      <w:r w:rsidR="00757AE7">
        <w:rPr>
          <w:rFonts w:ascii="Times New Roman" w:hAnsi="Times New Roman"/>
          <w:lang w:val="pt-BR"/>
        </w:rPr>
        <w:t>,</w:t>
      </w:r>
      <w:r>
        <w:rPr>
          <w:rFonts w:ascii="Times New Roman" w:hAnsi="Times New Roman"/>
          <w:lang w:val="pt-BR"/>
        </w:rPr>
        <w:t xml:space="preserve"> gera a </w:t>
      </w:r>
      <w:r w:rsidR="00757AE7">
        <w:rPr>
          <w:rFonts w:ascii="Times New Roman" w:hAnsi="Times New Roman"/>
          <w:lang w:val="pt-BR"/>
        </w:rPr>
        <w:t>maior parte</w:t>
      </w:r>
      <w:r>
        <w:rPr>
          <w:rFonts w:ascii="Times New Roman" w:hAnsi="Times New Roman"/>
          <w:lang w:val="pt-BR"/>
        </w:rPr>
        <w:t xml:space="preserve"> do ácido acético consumido no mundo e emprega gás natural como matéria-prima.</w:t>
      </w:r>
      <w:r w:rsidR="00D13BA9">
        <w:rPr>
          <w:rFonts w:ascii="Times New Roman" w:hAnsi="Times New Roman"/>
          <w:lang w:val="pt-BR"/>
        </w:rPr>
        <w:t xml:space="preserve"> </w:t>
      </w:r>
      <w:r w:rsidR="00EF1BBC">
        <w:rPr>
          <w:rFonts w:ascii="Times New Roman" w:hAnsi="Times New Roman"/>
          <w:lang w:val="pt-BR"/>
        </w:rPr>
        <w:t>O</w:t>
      </w:r>
      <w:r w:rsidR="00D13BA9">
        <w:rPr>
          <w:rFonts w:ascii="Times New Roman" w:hAnsi="Times New Roman"/>
          <w:lang w:val="pt-BR"/>
        </w:rPr>
        <w:t xml:space="preserve"> alto consumo de energia, o uso de matéria-</w:t>
      </w:r>
      <w:r w:rsidR="00D13BA9">
        <w:rPr>
          <w:rFonts w:ascii="Times New Roman" w:hAnsi="Times New Roman"/>
          <w:lang w:val="pt-BR"/>
        </w:rPr>
        <w:t xml:space="preserve">prima de origem fóssil, </w:t>
      </w:r>
      <w:r w:rsidR="00D13BA9" w:rsidRPr="00EF1BBC">
        <w:rPr>
          <w:rFonts w:ascii="Times New Roman" w:hAnsi="Times New Roman"/>
          <w:lang w:val="pt-BR"/>
        </w:rPr>
        <w:t>a degradação</w:t>
      </w:r>
      <w:r w:rsidR="00D13BA9">
        <w:rPr>
          <w:rFonts w:ascii="Times New Roman" w:hAnsi="Times New Roman"/>
          <w:lang w:val="pt-BR"/>
        </w:rPr>
        <w:t xml:space="preserve"> do catalisador e as dificuldades de separação e purificação do ácido acético ao final deste processo abrem caminho para buscas de nov</w:t>
      </w:r>
      <w:r w:rsidR="00582071">
        <w:rPr>
          <w:rFonts w:ascii="Times New Roman" w:hAnsi="Times New Roman"/>
          <w:lang w:val="pt-BR"/>
        </w:rPr>
        <w:t>o</w:t>
      </w:r>
      <w:r w:rsidR="00D13BA9">
        <w:rPr>
          <w:rFonts w:ascii="Times New Roman" w:hAnsi="Times New Roman"/>
          <w:lang w:val="pt-BR"/>
        </w:rPr>
        <w:t xml:space="preserve">s </w:t>
      </w:r>
      <w:r w:rsidR="00582071">
        <w:rPr>
          <w:rFonts w:ascii="Times New Roman" w:hAnsi="Times New Roman"/>
          <w:lang w:val="pt-BR"/>
        </w:rPr>
        <w:t>processos de produção</w:t>
      </w:r>
      <w:r w:rsidR="00D13BA9">
        <w:rPr>
          <w:rFonts w:ascii="Times New Roman" w:hAnsi="Times New Roman"/>
          <w:lang w:val="pt-BR"/>
        </w:rPr>
        <w:t>. Nesse sentido, de acordo com a literatura (2</w:t>
      </w:r>
      <w:r w:rsidR="00810FFA">
        <w:rPr>
          <w:rFonts w:ascii="Times New Roman" w:hAnsi="Times New Roman"/>
          <w:lang w:val="pt-BR"/>
        </w:rPr>
        <w:t>-5</w:t>
      </w:r>
      <w:r w:rsidR="00D13BA9">
        <w:rPr>
          <w:rFonts w:ascii="Times New Roman" w:hAnsi="Times New Roman"/>
          <w:lang w:val="pt-BR"/>
        </w:rPr>
        <w:t>), o ácido acético pode ser gerado a partir da oxidação seletiva do etanol usando ar como agente oxidante.</w:t>
      </w:r>
      <w:r w:rsidR="0096350A">
        <w:rPr>
          <w:rFonts w:ascii="Times New Roman" w:hAnsi="Times New Roman"/>
          <w:lang w:val="pt-BR"/>
        </w:rPr>
        <w:t xml:space="preserve"> Altos rendimentos de ácido acético podem ser alcançados, porém, devem ser empregadas baixas concentrações de etanol em ar (4,3%), </w:t>
      </w:r>
      <w:r w:rsidR="00582071">
        <w:rPr>
          <w:rFonts w:ascii="Times New Roman" w:hAnsi="Times New Roman"/>
          <w:lang w:val="pt-BR"/>
        </w:rPr>
        <w:t>de forma a</w:t>
      </w:r>
      <w:r w:rsidR="0096350A">
        <w:rPr>
          <w:rFonts w:ascii="Times New Roman" w:hAnsi="Times New Roman"/>
          <w:lang w:val="pt-BR"/>
        </w:rPr>
        <w:t xml:space="preserve"> evitar sua combustão. </w:t>
      </w:r>
      <w:r w:rsidR="00DF5B55">
        <w:rPr>
          <w:rFonts w:ascii="Times New Roman" w:hAnsi="Times New Roman"/>
          <w:lang w:val="pt-BR"/>
        </w:rPr>
        <w:t xml:space="preserve">Esta restrição torna improvável o uso </w:t>
      </w:r>
      <w:r w:rsidR="00EF1BBC">
        <w:rPr>
          <w:rFonts w:ascii="Times New Roman" w:hAnsi="Times New Roman"/>
          <w:lang w:val="pt-BR"/>
        </w:rPr>
        <w:t>d</w:t>
      </w:r>
      <w:r w:rsidR="00DF5B55">
        <w:rPr>
          <w:rFonts w:ascii="Times New Roman" w:hAnsi="Times New Roman"/>
          <w:lang w:val="pt-BR"/>
        </w:rPr>
        <w:t xml:space="preserve">esta tecnologia em </w:t>
      </w:r>
      <w:r w:rsidR="002B5EEB">
        <w:rPr>
          <w:rFonts w:ascii="Times New Roman" w:hAnsi="Times New Roman"/>
          <w:lang w:val="pt-BR"/>
        </w:rPr>
        <w:t>escala industrial.</w:t>
      </w:r>
      <w:r w:rsidR="00D13BA9">
        <w:rPr>
          <w:rFonts w:ascii="Times New Roman" w:hAnsi="Times New Roman"/>
          <w:lang w:val="pt-BR"/>
        </w:rPr>
        <w:t xml:space="preserve"> </w:t>
      </w:r>
      <w:r w:rsidR="00EF1BBC">
        <w:rPr>
          <w:rFonts w:ascii="Times New Roman" w:hAnsi="Times New Roman"/>
          <w:lang w:val="pt-BR"/>
        </w:rPr>
        <w:t>Uma alternativa neste contexto se refere ao</w:t>
      </w:r>
      <w:r w:rsidR="002B5EEB">
        <w:rPr>
          <w:rFonts w:ascii="Times New Roman" w:hAnsi="Times New Roman"/>
          <w:lang w:val="pt-BR"/>
        </w:rPr>
        <w:t xml:space="preserve"> uso de </w:t>
      </w:r>
      <w:r w:rsidR="002B5EEB">
        <w:rPr>
          <w:rFonts w:ascii="Times New Roman" w:hAnsi="Times New Roman"/>
          <w:lang w:val="pt-BR"/>
        </w:rPr>
        <w:lastRenderedPageBreak/>
        <w:t xml:space="preserve">água como agente oxidante, pois </w:t>
      </w:r>
      <w:r w:rsidR="00E718C8">
        <w:rPr>
          <w:rFonts w:ascii="Times New Roman" w:hAnsi="Times New Roman"/>
          <w:lang w:val="pt-BR"/>
        </w:rPr>
        <w:t xml:space="preserve">esta </w:t>
      </w:r>
      <w:r w:rsidR="002B5EEB">
        <w:rPr>
          <w:rFonts w:ascii="Times New Roman" w:hAnsi="Times New Roman"/>
          <w:lang w:val="pt-BR"/>
        </w:rPr>
        <w:t>possibilita o uso de alta concentração de etanol</w:t>
      </w:r>
      <w:r w:rsidR="00EF1BBC">
        <w:rPr>
          <w:rFonts w:ascii="Times New Roman" w:hAnsi="Times New Roman"/>
          <w:lang w:val="pt-BR"/>
        </w:rPr>
        <w:t xml:space="preserve"> no processo industrial</w:t>
      </w:r>
      <w:r w:rsidR="002B5EEB">
        <w:rPr>
          <w:rFonts w:ascii="Times New Roman" w:hAnsi="Times New Roman"/>
          <w:lang w:val="pt-BR"/>
        </w:rPr>
        <w:t>.</w:t>
      </w:r>
      <w:r w:rsidR="00EF1BBC">
        <w:rPr>
          <w:rFonts w:ascii="Times New Roman" w:hAnsi="Times New Roman"/>
          <w:lang w:val="pt-BR"/>
        </w:rPr>
        <w:t xml:space="preserve"> No</w:t>
      </w:r>
      <w:r w:rsidR="00757AE7">
        <w:rPr>
          <w:rFonts w:ascii="Times New Roman" w:hAnsi="Times New Roman"/>
          <w:lang w:val="pt-BR"/>
        </w:rPr>
        <w:t>sso</w:t>
      </w:r>
      <w:r w:rsidR="00EF1BBC">
        <w:rPr>
          <w:rFonts w:ascii="Times New Roman" w:hAnsi="Times New Roman"/>
          <w:lang w:val="pt-BR"/>
        </w:rPr>
        <w:t xml:space="preserve"> grupo vem trabalhando neste contexto empregando o catalisador </w:t>
      </w:r>
      <w:r w:rsidR="00757AE7">
        <w:rPr>
          <w:rFonts w:ascii="Times New Roman" w:hAnsi="Times New Roman"/>
          <w:lang w:val="pt-BR"/>
        </w:rPr>
        <w:t xml:space="preserve">a base de </w:t>
      </w:r>
      <w:r w:rsidR="00EF1BBC" w:rsidRPr="002B5EEB">
        <w:rPr>
          <w:rFonts w:ascii="Times New Roman" w:hAnsi="Times New Roman"/>
          <w:lang w:val="pt-BR"/>
        </w:rPr>
        <w:t>Cu</w:t>
      </w:r>
      <w:r w:rsidR="00757AE7">
        <w:rPr>
          <w:rFonts w:ascii="Times New Roman" w:hAnsi="Times New Roman"/>
          <w:lang w:val="pt-BR"/>
        </w:rPr>
        <w:t xml:space="preserve">, </w:t>
      </w:r>
      <w:r w:rsidR="00EF1BBC" w:rsidRPr="002B5EEB">
        <w:rPr>
          <w:rFonts w:ascii="Times New Roman" w:hAnsi="Times New Roman"/>
          <w:lang w:val="pt-BR"/>
        </w:rPr>
        <w:t>Zn</w:t>
      </w:r>
      <w:r w:rsidR="00757AE7">
        <w:rPr>
          <w:rFonts w:ascii="Times New Roman" w:hAnsi="Times New Roman"/>
          <w:lang w:val="pt-BR"/>
        </w:rPr>
        <w:t xml:space="preserve"> e </w:t>
      </w:r>
      <w:r w:rsidR="00EF1BBC" w:rsidRPr="002B5EEB">
        <w:rPr>
          <w:rFonts w:ascii="Times New Roman" w:hAnsi="Times New Roman"/>
          <w:lang w:val="pt-BR"/>
        </w:rPr>
        <w:t>Al</w:t>
      </w:r>
      <w:r w:rsidR="00757AE7">
        <w:rPr>
          <w:rFonts w:ascii="Times New Roman" w:hAnsi="Times New Roman"/>
          <w:lang w:val="pt-BR"/>
        </w:rPr>
        <w:t>.</w:t>
      </w:r>
    </w:p>
    <w:p w:rsidR="002B5EEB" w:rsidRPr="002B5EEB" w:rsidRDefault="002B5EEB" w:rsidP="002B5EEB">
      <w:pPr>
        <w:pStyle w:val="TAMainText"/>
        <w:rPr>
          <w:rFonts w:ascii="Times New Roman" w:hAnsi="Times New Roman"/>
          <w:lang w:val="pt-BR"/>
        </w:rPr>
      </w:pPr>
      <w:r w:rsidRPr="002B5EEB">
        <w:rPr>
          <w:rFonts w:ascii="Times New Roman" w:hAnsi="Times New Roman"/>
          <w:lang w:val="pt-BR"/>
        </w:rPr>
        <w:t>O catalisador Cu/ZnO/Al</w:t>
      </w:r>
      <w:r w:rsidRPr="00C80294">
        <w:rPr>
          <w:rFonts w:ascii="Times New Roman" w:hAnsi="Times New Roman"/>
          <w:vertAlign w:val="subscript"/>
          <w:lang w:val="pt-BR"/>
        </w:rPr>
        <w:t>2</w:t>
      </w:r>
      <w:r w:rsidRPr="002B5EEB">
        <w:rPr>
          <w:rFonts w:ascii="Times New Roman" w:hAnsi="Times New Roman"/>
          <w:lang w:val="pt-BR"/>
        </w:rPr>
        <w:t>O</w:t>
      </w:r>
      <w:r w:rsidRPr="00C80294">
        <w:rPr>
          <w:rFonts w:ascii="Times New Roman" w:hAnsi="Times New Roman"/>
          <w:vertAlign w:val="subscript"/>
          <w:lang w:val="pt-BR"/>
        </w:rPr>
        <w:t>3</w:t>
      </w:r>
      <w:r w:rsidR="00EE76C7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é um sistema usado industrialmente</w:t>
      </w:r>
      <w:r w:rsidR="00EE76C7" w:rsidRPr="00EE76C7">
        <w:rPr>
          <w:rFonts w:ascii="Times New Roman" w:hAnsi="Times New Roman"/>
          <w:lang w:val="pt-BR"/>
        </w:rPr>
        <w:t xml:space="preserve"> </w:t>
      </w:r>
      <w:r w:rsidR="00EE76C7">
        <w:rPr>
          <w:rFonts w:ascii="Times New Roman" w:hAnsi="Times New Roman"/>
          <w:lang w:val="pt-BR"/>
        </w:rPr>
        <w:t>desde a década de 1970</w:t>
      </w:r>
      <w:r>
        <w:rPr>
          <w:rFonts w:ascii="Times New Roman" w:hAnsi="Times New Roman"/>
          <w:lang w:val="pt-BR"/>
        </w:rPr>
        <w:t xml:space="preserve"> na síntese do metanol </w:t>
      </w:r>
      <w:r w:rsidR="00EE76C7">
        <w:rPr>
          <w:rFonts w:ascii="Times New Roman" w:hAnsi="Times New Roman"/>
          <w:lang w:val="pt-BR"/>
        </w:rPr>
        <w:t xml:space="preserve">e também na reação </w:t>
      </w:r>
      <w:proofErr w:type="spellStart"/>
      <w:r w:rsidR="00B06EB1">
        <w:rPr>
          <w:rFonts w:ascii="Times New Roman" w:hAnsi="Times New Roman"/>
          <w:lang w:val="pt-BR"/>
        </w:rPr>
        <w:t>w</w:t>
      </w:r>
      <w:r w:rsidR="00EE76C7">
        <w:rPr>
          <w:rFonts w:ascii="Times New Roman" w:hAnsi="Times New Roman"/>
          <w:lang w:val="pt-BR"/>
        </w:rPr>
        <w:t>ater</w:t>
      </w:r>
      <w:proofErr w:type="spellEnd"/>
      <w:r w:rsidR="00EE76C7">
        <w:rPr>
          <w:rFonts w:ascii="Times New Roman" w:hAnsi="Times New Roman"/>
          <w:lang w:val="pt-BR"/>
        </w:rPr>
        <w:t xml:space="preserve"> </w:t>
      </w:r>
      <w:proofErr w:type="spellStart"/>
      <w:r w:rsidR="00B06EB1">
        <w:rPr>
          <w:rFonts w:ascii="Times New Roman" w:hAnsi="Times New Roman"/>
          <w:lang w:val="pt-BR"/>
        </w:rPr>
        <w:t>g</w:t>
      </w:r>
      <w:r w:rsidR="00EE76C7">
        <w:rPr>
          <w:rFonts w:ascii="Times New Roman" w:hAnsi="Times New Roman"/>
          <w:lang w:val="pt-BR"/>
        </w:rPr>
        <w:t>as</w:t>
      </w:r>
      <w:proofErr w:type="spellEnd"/>
      <w:r w:rsidR="00EE76C7">
        <w:rPr>
          <w:rFonts w:ascii="Times New Roman" w:hAnsi="Times New Roman"/>
          <w:lang w:val="pt-BR"/>
        </w:rPr>
        <w:t xml:space="preserve"> </w:t>
      </w:r>
      <w:r w:rsidR="00B06EB1">
        <w:rPr>
          <w:rFonts w:ascii="Times New Roman" w:hAnsi="Times New Roman"/>
          <w:lang w:val="pt-BR"/>
        </w:rPr>
        <w:t>s</w:t>
      </w:r>
      <w:r w:rsidR="00EE76C7">
        <w:rPr>
          <w:rFonts w:ascii="Times New Roman" w:hAnsi="Times New Roman"/>
          <w:lang w:val="pt-BR"/>
        </w:rPr>
        <w:t>hift</w:t>
      </w:r>
      <w:r w:rsidR="009670AA">
        <w:rPr>
          <w:rFonts w:ascii="Times New Roman" w:hAnsi="Times New Roman"/>
          <w:lang w:val="pt-BR"/>
        </w:rPr>
        <w:t xml:space="preserve"> (WGS)</w:t>
      </w:r>
      <w:r w:rsidR="00EE76C7">
        <w:rPr>
          <w:rFonts w:ascii="Times New Roman" w:hAnsi="Times New Roman"/>
          <w:lang w:val="pt-BR"/>
        </w:rPr>
        <w:t xml:space="preserve"> (</w:t>
      </w:r>
      <w:r w:rsidR="00C47E3E">
        <w:rPr>
          <w:rFonts w:ascii="Times New Roman" w:hAnsi="Times New Roman"/>
          <w:lang w:val="pt-BR"/>
        </w:rPr>
        <w:t>6</w:t>
      </w:r>
      <w:r w:rsidR="00EE76C7">
        <w:rPr>
          <w:rFonts w:ascii="Times New Roman" w:hAnsi="Times New Roman"/>
          <w:lang w:val="pt-BR"/>
        </w:rPr>
        <w:t>-</w:t>
      </w:r>
      <w:r w:rsidR="00C47E3E">
        <w:rPr>
          <w:rFonts w:ascii="Times New Roman" w:hAnsi="Times New Roman"/>
          <w:lang w:val="pt-BR"/>
        </w:rPr>
        <w:t>10</w:t>
      </w:r>
      <w:r w:rsidR="00EE76C7">
        <w:rPr>
          <w:rFonts w:ascii="Times New Roman" w:hAnsi="Times New Roman"/>
          <w:lang w:val="pt-BR"/>
        </w:rPr>
        <w:t xml:space="preserve">). </w:t>
      </w:r>
      <w:r w:rsidR="009B6A48">
        <w:rPr>
          <w:rFonts w:ascii="Times New Roman" w:hAnsi="Times New Roman"/>
          <w:lang w:val="pt-BR"/>
        </w:rPr>
        <w:t>É</w:t>
      </w:r>
      <w:r w:rsidR="0028254C">
        <w:rPr>
          <w:rFonts w:ascii="Times New Roman" w:hAnsi="Times New Roman"/>
          <w:lang w:val="pt-BR"/>
        </w:rPr>
        <w:t xml:space="preserve"> sabido </w:t>
      </w:r>
      <w:r w:rsidR="00EE76C7">
        <w:rPr>
          <w:rFonts w:ascii="Times New Roman" w:hAnsi="Times New Roman"/>
          <w:lang w:val="pt-BR"/>
        </w:rPr>
        <w:t xml:space="preserve">que a redução </w:t>
      </w:r>
      <w:r w:rsidR="00AC5664">
        <w:rPr>
          <w:rFonts w:ascii="Times New Roman" w:hAnsi="Times New Roman"/>
          <w:lang w:val="pt-BR"/>
        </w:rPr>
        <w:t xml:space="preserve">deste catalisador promove </w:t>
      </w:r>
      <w:r w:rsidR="00EE76C7">
        <w:rPr>
          <w:rFonts w:ascii="Times New Roman" w:hAnsi="Times New Roman"/>
          <w:lang w:val="pt-BR"/>
        </w:rPr>
        <w:t>uma forte interação metal suporte (SMSI)</w:t>
      </w:r>
      <w:r w:rsidR="00AC5664">
        <w:rPr>
          <w:rFonts w:ascii="Times New Roman" w:hAnsi="Times New Roman"/>
          <w:lang w:val="pt-BR"/>
        </w:rPr>
        <w:t>. Esta</w:t>
      </w:r>
      <w:r w:rsidR="00EE76C7">
        <w:rPr>
          <w:rFonts w:ascii="Times New Roman" w:hAnsi="Times New Roman"/>
          <w:lang w:val="pt-BR"/>
        </w:rPr>
        <w:t xml:space="preserve"> </w:t>
      </w:r>
      <w:r w:rsidR="00AC5664">
        <w:rPr>
          <w:rFonts w:ascii="Times New Roman" w:hAnsi="Times New Roman"/>
          <w:lang w:val="pt-BR"/>
        </w:rPr>
        <w:t xml:space="preserve">promove a </w:t>
      </w:r>
      <w:r w:rsidR="00EE76C7">
        <w:rPr>
          <w:rFonts w:ascii="Times New Roman" w:hAnsi="Times New Roman"/>
          <w:lang w:val="pt-BR"/>
        </w:rPr>
        <w:t>migração de nanopartículas de ZnO sobre a superfície do Cu</w:t>
      </w:r>
      <w:r w:rsidR="00EE76C7" w:rsidRPr="00EE76C7">
        <w:rPr>
          <w:rFonts w:ascii="Times New Roman" w:hAnsi="Times New Roman"/>
          <w:vertAlign w:val="superscript"/>
          <w:lang w:val="pt-BR"/>
        </w:rPr>
        <w:t>0</w:t>
      </w:r>
      <w:r w:rsidR="00EE76C7">
        <w:rPr>
          <w:rFonts w:ascii="Times New Roman" w:hAnsi="Times New Roman"/>
          <w:vertAlign w:val="superscript"/>
          <w:lang w:val="pt-BR"/>
        </w:rPr>
        <w:t xml:space="preserve"> </w:t>
      </w:r>
      <w:r w:rsidR="00EE76C7" w:rsidRPr="00EE76C7">
        <w:rPr>
          <w:rFonts w:ascii="Times New Roman" w:hAnsi="Times New Roman"/>
          <w:lang w:val="pt-BR"/>
        </w:rPr>
        <w:t>(</w:t>
      </w:r>
      <w:r w:rsidR="00C47E3E">
        <w:rPr>
          <w:rFonts w:ascii="Times New Roman" w:hAnsi="Times New Roman"/>
          <w:lang w:val="pt-BR"/>
        </w:rPr>
        <w:t>11</w:t>
      </w:r>
      <w:r w:rsidR="00EE76C7" w:rsidRPr="00EE76C7">
        <w:rPr>
          <w:rFonts w:ascii="Times New Roman" w:hAnsi="Times New Roman"/>
          <w:lang w:val="pt-BR"/>
        </w:rPr>
        <w:t>,1</w:t>
      </w:r>
      <w:r w:rsidR="00C47E3E">
        <w:rPr>
          <w:rFonts w:ascii="Times New Roman" w:hAnsi="Times New Roman"/>
          <w:lang w:val="pt-BR"/>
        </w:rPr>
        <w:t>2</w:t>
      </w:r>
      <w:r w:rsidR="00EE76C7" w:rsidRPr="00EE76C7">
        <w:rPr>
          <w:rFonts w:ascii="Times New Roman" w:hAnsi="Times New Roman"/>
          <w:lang w:val="pt-BR"/>
        </w:rPr>
        <w:t>)</w:t>
      </w:r>
      <w:r w:rsidR="00EE76C7">
        <w:rPr>
          <w:rFonts w:ascii="Times New Roman" w:hAnsi="Times New Roman"/>
          <w:lang w:val="pt-BR"/>
        </w:rPr>
        <w:t>.</w:t>
      </w:r>
      <w:r w:rsidR="00AF0A04">
        <w:rPr>
          <w:rFonts w:ascii="Times New Roman" w:hAnsi="Times New Roman"/>
          <w:lang w:val="pt-BR"/>
        </w:rPr>
        <w:t xml:space="preserve"> </w:t>
      </w:r>
      <w:r w:rsidR="008E544C">
        <w:rPr>
          <w:rFonts w:ascii="Times New Roman" w:hAnsi="Times New Roman"/>
          <w:lang w:val="pt-BR"/>
        </w:rPr>
        <w:t>Estas</w:t>
      </w:r>
      <w:r w:rsidR="008E544C" w:rsidRPr="0028254C">
        <w:rPr>
          <w:rFonts w:ascii="Times New Roman" w:hAnsi="Times New Roman"/>
          <w:lang w:val="pt-BR"/>
        </w:rPr>
        <w:t xml:space="preserve"> nanopartículas</w:t>
      </w:r>
      <w:r w:rsidR="008E544C">
        <w:rPr>
          <w:rFonts w:ascii="Times New Roman" w:hAnsi="Times New Roman"/>
          <w:lang w:val="pt-BR"/>
        </w:rPr>
        <w:t xml:space="preserve"> contêm</w:t>
      </w:r>
      <w:r w:rsidR="00AF0A04">
        <w:rPr>
          <w:rFonts w:ascii="Times New Roman" w:hAnsi="Times New Roman"/>
          <w:lang w:val="pt-BR"/>
        </w:rPr>
        <w:t xml:space="preserve"> átomos de Cu, </w:t>
      </w:r>
      <w:r w:rsidR="002602F3">
        <w:rPr>
          <w:rFonts w:ascii="Times New Roman" w:hAnsi="Times New Roman"/>
          <w:lang w:val="pt-BR"/>
        </w:rPr>
        <w:t xml:space="preserve">que promovem a geração de </w:t>
      </w:r>
      <w:r w:rsidR="00AF0A04">
        <w:rPr>
          <w:rFonts w:ascii="Times New Roman" w:hAnsi="Times New Roman"/>
          <w:lang w:val="pt-BR"/>
        </w:rPr>
        <w:t xml:space="preserve">vacâncias de oxigênio e, consequentemente, propriedades redox </w:t>
      </w:r>
      <w:r w:rsidR="00C47E3E" w:rsidRPr="00EE76C7">
        <w:rPr>
          <w:rFonts w:ascii="Times New Roman" w:hAnsi="Times New Roman"/>
          <w:lang w:val="pt-BR"/>
        </w:rPr>
        <w:t>(</w:t>
      </w:r>
      <w:r w:rsidR="00C47E3E">
        <w:rPr>
          <w:rFonts w:ascii="Times New Roman" w:hAnsi="Times New Roman"/>
          <w:lang w:val="pt-BR"/>
        </w:rPr>
        <w:t>11</w:t>
      </w:r>
      <w:r w:rsidR="00C47E3E" w:rsidRPr="00EE76C7">
        <w:rPr>
          <w:rFonts w:ascii="Times New Roman" w:hAnsi="Times New Roman"/>
          <w:lang w:val="pt-BR"/>
        </w:rPr>
        <w:t>,1</w:t>
      </w:r>
      <w:r w:rsidR="00C47E3E">
        <w:rPr>
          <w:rFonts w:ascii="Times New Roman" w:hAnsi="Times New Roman"/>
          <w:lang w:val="pt-BR"/>
        </w:rPr>
        <w:t>2</w:t>
      </w:r>
      <w:r w:rsidR="00C47E3E" w:rsidRPr="00EE76C7">
        <w:rPr>
          <w:rFonts w:ascii="Times New Roman" w:hAnsi="Times New Roman"/>
          <w:lang w:val="pt-BR"/>
        </w:rPr>
        <w:t>)</w:t>
      </w:r>
      <w:r w:rsidR="00AF0A04">
        <w:rPr>
          <w:rFonts w:ascii="Times New Roman" w:hAnsi="Times New Roman"/>
          <w:lang w:val="pt-BR"/>
        </w:rPr>
        <w:t xml:space="preserve">. </w:t>
      </w:r>
    </w:p>
    <w:p w:rsidR="00DE4534" w:rsidRPr="00A4145A" w:rsidRDefault="00336025" w:rsidP="00336025">
      <w:pPr>
        <w:pStyle w:val="TAMainText"/>
        <w:rPr>
          <w:rFonts w:ascii="Times New Roman" w:hAnsi="Times New Roman"/>
          <w:lang w:val="pt-BR"/>
        </w:rPr>
      </w:pPr>
      <w:r w:rsidRPr="00336025">
        <w:rPr>
          <w:rFonts w:ascii="Times New Roman" w:hAnsi="Times New Roman"/>
          <w:lang w:val="pt-BR"/>
        </w:rPr>
        <w:t>Estudos anteriores do nosso grupo, referentes a obtenção de ácido acético a partir de etanol e água mostram que catalisadores a base de Cu/Zn/Al são promissores para a reação em questão</w:t>
      </w:r>
      <w:r w:rsidR="00AB743A">
        <w:rPr>
          <w:rFonts w:ascii="Times New Roman" w:hAnsi="Times New Roman"/>
          <w:lang w:val="pt-BR"/>
        </w:rPr>
        <w:t xml:space="preserve"> (1</w:t>
      </w:r>
      <w:r w:rsidR="00C47E3E">
        <w:rPr>
          <w:rFonts w:ascii="Times New Roman" w:hAnsi="Times New Roman"/>
          <w:lang w:val="pt-BR"/>
        </w:rPr>
        <w:t>3</w:t>
      </w:r>
      <w:r w:rsidR="00AB743A">
        <w:rPr>
          <w:rFonts w:ascii="Times New Roman" w:hAnsi="Times New Roman"/>
          <w:lang w:val="pt-BR"/>
        </w:rPr>
        <w:t>)</w:t>
      </w:r>
      <w:r w:rsidRPr="00336025">
        <w:rPr>
          <w:rFonts w:ascii="Times New Roman" w:hAnsi="Times New Roman"/>
          <w:lang w:val="pt-BR"/>
        </w:rPr>
        <w:t xml:space="preserve">. </w:t>
      </w:r>
      <w:r w:rsidR="00B06EB1">
        <w:rPr>
          <w:rFonts w:ascii="Times New Roman" w:hAnsi="Times New Roman"/>
          <w:lang w:val="pt-BR"/>
        </w:rPr>
        <w:t>E</w:t>
      </w:r>
      <w:r w:rsidRPr="00336025">
        <w:rPr>
          <w:rFonts w:ascii="Times New Roman" w:hAnsi="Times New Roman"/>
          <w:lang w:val="pt-BR"/>
        </w:rPr>
        <w:t xml:space="preserve">stes sólidos apresentam seletividades </w:t>
      </w:r>
      <w:r w:rsidR="00AC5664">
        <w:rPr>
          <w:rFonts w:ascii="Times New Roman" w:hAnsi="Times New Roman"/>
          <w:lang w:val="pt-BR"/>
        </w:rPr>
        <w:t>da ordem de</w:t>
      </w:r>
      <w:r w:rsidR="008C20D0">
        <w:rPr>
          <w:rFonts w:ascii="Times New Roman" w:hAnsi="Times New Roman"/>
          <w:lang w:val="pt-BR"/>
        </w:rPr>
        <w:t xml:space="preserve"> </w:t>
      </w:r>
      <w:r w:rsidRPr="00336025">
        <w:rPr>
          <w:rFonts w:ascii="Times New Roman" w:hAnsi="Times New Roman"/>
          <w:lang w:val="pt-BR"/>
        </w:rPr>
        <w:t>50%</w:t>
      </w:r>
      <w:r w:rsidR="008C20D0">
        <w:rPr>
          <w:rFonts w:ascii="Times New Roman" w:hAnsi="Times New Roman"/>
          <w:lang w:val="pt-BR"/>
        </w:rPr>
        <w:t xml:space="preserve"> em</w:t>
      </w:r>
      <w:r w:rsidRPr="00336025">
        <w:rPr>
          <w:rFonts w:ascii="Times New Roman" w:hAnsi="Times New Roman"/>
          <w:lang w:val="pt-BR"/>
        </w:rPr>
        <w:t xml:space="preserve"> ácido acético e atividade moderada. </w:t>
      </w:r>
      <w:r w:rsidR="00DE4534">
        <w:rPr>
          <w:rFonts w:ascii="Times New Roman" w:hAnsi="Times New Roman"/>
          <w:lang w:val="pt-BR"/>
        </w:rPr>
        <w:t>O mecanismo proposto para est</w:t>
      </w:r>
      <w:r w:rsidR="00A4145A">
        <w:rPr>
          <w:rFonts w:ascii="Times New Roman" w:hAnsi="Times New Roman"/>
          <w:lang w:val="pt-BR"/>
        </w:rPr>
        <w:t>a</w:t>
      </w:r>
      <w:r w:rsidR="00DE4534">
        <w:rPr>
          <w:rFonts w:ascii="Times New Roman" w:hAnsi="Times New Roman"/>
          <w:lang w:val="pt-BR"/>
        </w:rPr>
        <w:t xml:space="preserve"> </w:t>
      </w:r>
      <w:r w:rsidR="00A4145A">
        <w:rPr>
          <w:rFonts w:ascii="Times New Roman" w:hAnsi="Times New Roman"/>
          <w:lang w:val="pt-BR"/>
        </w:rPr>
        <w:t>reação</w:t>
      </w:r>
      <w:r w:rsidR="00DE4534">
        <w:rPr>
          <w:rFonts w:ascii="Times New Roman" w:hAnsi="Times New Roman"/>
          <w:lang w:val="pt-BR"/>
        </w:rPr>
        <w:t xml:space="preserve"> envolve as seguintes etapas: inicialmente</w:t>
      </w:r>
      <w:r w:rsidR="0079029F">
        <w:rPr>
          <w:rFonts w:ascii="Times New Roman" w:hAnsi="Times New Roman"/>
          <w:lang w:val="pt-BR"/>
        </w:rPr>
        <w:t>,</w:t>
      </w:r>
      <w:r w:rsidR="00DE4534">
        <w:rPr>
          <w:rFonts w:ascii="Times New Roman" w:hAnsi="Times New Roman"/>
          <w:lang w:val="pt-BR"/>
        </w:rPr>
        <w:t xml:space="preserve"> o acetaldeído é gerado via desidrogenação na superfície do Cu</w:t>
      </w:r>
      <w:r w:rsidR="00C47E3E">
        <w:rPr>
          <w:rFonts w:ascii="Times New Roman" w:hAnsi="Times New Roman"/>
          <w:vertAlign w:val="superscript"/>
          <w:lang w:val="pt-BR"/>
        </w:rPr>
        <w:t>0</w:t>
      </w:r>
      <w:r w:rsidR="00DE4534">
        <w:rPr>
          <w:rFonts w:ascii="Times New Roman" w:hAnsi="Times New Roman"/>
          <w:lang w:val="pt-BR"/>
        </w:rPr>
        <w:t xml:space="preserve">; a seguir, </w:t>
      </w:r>
      <w:r w:rsidR="00A4145A">
        <w:rPr>
          <w:rFonts w:ascii="Times New Roman" w:hAnsi="Times New Roman"/>
          <w:lang w:val="pt-BR"/>
        </w:rPr>
        <w:t xml:space="preserve">este </w:t>
      </w:r>
      <w:r w:rsidR="00DE4534">
        <w:rPr>
          <w:rFonts w:ascii="Times New Roman" w:hAnsi="Times New Roman"/>
          <w:lang w:val="pt-BR"/>
        </w:rPr>
        <w:t>al</w:t>
      </w:r>
      <w:r w:rsidR="00D7094B">
        <w:rPr>
          <w:rFonts w:ascii="Times New Roman" w:hAnsi="Times New Roman"/>
          <w:lang w:val="pt-BR"/>
        </w:rPr>
        <w:t>deído</w:t>
      </w:r>
      <w:r w:rsidR="00DE4534">
        <w:rPr>
          <w:rFonts w:ascii="Times New Roman" w:hAnsi="Times New Roman"/>
          <w:lang w:val="pt-BR"/>
        </w:rPr>
        <w:t xml:space="preserve"> é oxidado </w:t>
      </w:r>
      <w:r w:rsidR="00D7094B">
        <w:rPr>
          <w:rFonts w:ascii="Times New Roman" w:hAnsi="Times New Roman"/>
          <w:lang w:val="pt-BR"/>
        </w:rPr>
        <w:t>a acetato</w:t>
      </w:r>
      <w:r w:rsidR="00DE4534">
        <w:rPr>
          <w:rFonts w:ascii="Times New Roman" w:hAnsi="Times New Roman"/>
          <w:lang w:val="pt-BR"/>
        </w:rPr>
        <w:t xml:space="preserve"> </w:t>
      </w:r>
      <w:r w:rsidR="00D7094B">
        <w:rPr>
          <w:rFonts w:ascii="Times New Roman" w:hAnsi="Times New Roman"/>
          <w:lang w:val="pt-BR"/>
        </w:rPr>
        <w:t xml:space="preserve">empregando oxigênio </w:t>
      </w:r>
      <w:r w:rsidR="007E5B12">
        <w:rPr>
          <w:rFonts w:ascii="Times New Roman" w:hAnsi="Times New Roman"/>
          <w:lang w:val="pt-BR"/>
        </w:rPr>
        <w:t>da rede cristalina do</w:t>
      </w:r>
      <w:r w:rsidR="00A4145A">
        <w:rPr>
          <w:rFonts w:ascii="Times New Roman" w:hAnsi="Times New Roman"/>
          <w:lang w:val="pt-BR"/>
        </w:rPr>
        <w:t xml:space="preserve"> ZnO gerando vacâncias de oxigênio (</w:t>
      </w:r>
      <w:proofErr w:type="spellStart"/>
      <w:r w:rsidR="00A4145A">
        <w:rPr>
          <w:rFonts w:ascii="Times New Roman" w:hAnsi="Times New Roman"/>
          <w:lang w:val="pt-BR"/>
        </w:rPr>
        <w:t>O</w:t>
      </w:r>
      <w:r w:rsidR="00A4145A" w:rsidRPr="00FA3992">
        <w:rPr>
          <w:rFonts w:ascii="Times New Roman" w:hAnsi="Times New Roman"/>
          <w:vertAlign w:val="subscript"/>
          <w:lang w:val="pt-BR"/>
        </w:rPr>
        <w:t>v</w:t>
      </w:r>
      <w:proofErr w:type="spellEnd"/>
      <w:r w:rsidR="00A4145A">
        <w:rPr>
          <w:rFonts w:ascii="Times New Roman" w:hAnsi="Times New Roman"/>
          <w:lang w:val="pt-BR"/>
        </w:rPr>
        <w:t xml:space="preserve">); então, a </w:t>
      </w:r>
      <w:r w:rsidR="009B6A48">
        <w:rPr>
          <w:rFonts w:ascii="Times New Roman" w:hAnsi="Times New Roman"/>
          <w:lang w:val="pt-BR"/>
        </w:rPr>
        <w:t>H</w:t>
      </w:r>
      <w:r w:rsidR="009B6A48" w:rsidRPr="009B6A48">
        <w:rPr>
          <w:rFonts w:ascii="Times New Roman" w:hAnsi="Times New Roman"/>
          <w:vertAlign w:val="subscript"/>
          <w:lang w:val="pt-BR"/>
        </w:rPr>
        <w:t>2</w:t>
      </w:r>
      <w:r w:rsidR="009B6A48">
        <w:rPr>
          <w:rFonts w:ascii="Times New Roman" w:hAnsi="Times New Roman"/>
          <w:lang w:val="pt-BR"/>
        </w:rPr>
        <w:t>O</w:t>
      </w:r>
      <w:r w:rsidR="00A4145A">
        <w:rPr>
          <w:rFonts w:ascii="Times New Roman" w:hAnsi="Times New Roman"/>
          <w:lang w:val="pt-BR"/>
        </w:rPr>
        <w:t xml:space="preserve"> se dissocia na</w:t>
      </w:r>
      <w:r w:rsidR="007E5B12">
        <w:rPr>
          <w:rFonts w:ascii="Times New Roman" w:hAnsi="Times New Roman"/>
          <w:lang w:val="pt-BR"/>
        </w:rPr>
        <w:t>s</w:t>
      </w:r>
      <w:r w:rsidR="00A4145A">
        <w:rPr>
          <w:rFonts w:ascii="Times New Roman" w:hAnsi="Times New Roman"/>
          <w:lang w:val="pt-BR"/>
        </w:rPr>
        <w:t xml:space="preserve"> </w:t>
      </w:r>
      <w:proofErr w:type="spellStart"/>
      <w:r w:rsidR="00A4145A">
        <w:rPr>
          <w:rFonts w:ascii="Times New Roman" w:hAnsi="Times New Roman"/>
          <w:lang w:val="pt-BR"/>
        </w:rPr>
        <w:t>O</w:t>
      </w:r>
      <w:r w:rsidR="00A4145A" w:rsidRPr="00FA3992">
        <w:rPr>
          <w:rFonts w:ascii="Times New Roman" w:hAnsi="Times New Roman"/>
          <w:vertAlign w:val="subscript"/>
          <w:lang w:val="pt-BR"/>
        </w:rPr>
        <w:t>v</w:t>
      </w:r>
      <w:proofErr w:type="spellEnd"/>
      <w:r w:rsidR="00A4145A">
        <w:rPr>
          <w:rFonts w:ascii="Times New Roman" w:hAnsi="Times New Roman"/>
          <w:lang w:val="pt-BR"/>
        </w:rPr>
        <w:t xml:space="preserve"> recuperando o </w:t>
      </w:r>
      <w:proofErr w:type="spellStart"/>
      <w:r w:rsidR="00A4145A">
        <w:rPr>
          <w:rFonts w:ascii="Times New Roman" w:hAnsi="Times New Roman"/>
          <w:lang w:val="pt-BR"/>
        </w:rPr>
        <w:t>O</w:t>
      </w:r>
      <w:proofErr w:type="spellEnd"/>
      <w:r w:rsidR="00A4145A">
        <w:rPr>
          <w:rFonts w:ascii="Times New Roman" w:hAnsi="Times New Roman"/>
          <w:lang w:val="pt-BR"/>
        </w:rPr>
        <w:t xml:space="preserve"> da rede e gerando H</w:t>
      </w:r>
      <w:r w:rsidR="00A4145A" w:rsidRPr="00A4145A">
        <w:rPr>
          <w:rFonts w:ascii="Times New Roman" w:hAnsi="Times New Roman"/>
          <w:vertAlign w:val="subscript"/>
          <w:lang w:val="pt-BR"/>
        </w:rPr>
        <w:t>2</w:t>
      </w:r>
      <w:r w:rsidR="009B6A48" w:rsidRPr="0079029F">
        <w:rPr>
          <w:rFonts w:ascii="Times New Roman" w:hAnsi="Times New Roman"/>
          <w:lang w:val="pt-BR"/>
        </w:rPr>
        <w:t>;</w:t>
      </w:r>
      <w:r w:rsidR="009B6A48">
        <w:rPr>
          <w:rFonts w:ascii="Times New Roman" w:hAnsi="Times New Roman"/>
          <w:vertAlign w:val="subscript"/>
          <w:lang w:val="pt-BR"/>
        </w:rPr>
        <w:t xml:space="preserve"> </w:t>
      </w:r>
      <w:r w:rsidR="009B6A48" w:rsidRPr="009B6A48">
        <w:rPr>
          <w:rFonts w:ascii="Times New Roman" w:hAnsi="Times New Roman"/>
          <w:lang w:val="pt-BR"/>
        </w:rPr>
        <w:t>finalmente</w:t>
      </w:r>
      <w:r w:rsidR="00C47E3E">
        <w:rPr>
          <w:rFonts w:ascii="Times New Roman" w:hAnsi="Times New Roman"/>
          <w:lang w:val="pt-BR"/>
        </w:rPr>
        <w:t xml:space="preserve"> </w:t>
      </w:r>
      <w:r w:rsidR="00A4145A" w:rsidRPr="00A4145A">
        <w:rPr>
          <w:rFonts w:ascii="Times New Roman" w:hAnsi="Times New Roman"/>
          <w:lang w:val="pt-BR"/>
        </w:rPr>
        <w:t xml:space="preserve">o acetato se </w:t>
      </w:r>
      <w:r w:rsidR="00C47E3E" w:rsidRPr="00A4145A">
        <w:rPr>
          <w:rFonts w:ascii="Times New Roman" w:hAnsi="Times New Roman"/>
          <w:lang w:val="pt-BR"/>
        </w:rPr>
        <w:t>dessorve</w:t>
      </w:r>
      <w:r w:rsidR="00A4145A" w:rsidRPr="00A4145A">
        <w:rPr>
          <w:rFonts w:ascii="Times New Roman" w:hAnsi="Times New Roman"/>
          <w:lang w:val="pt-BR"/>
        </w:rPr>
        <w:t xml:space="preserve"> na forma de ácido acético.</w:t>
      </w:r>
    </w:p>
    <w:p w:rsidR="00336025" w:rsidRPr="002602F3" w:rsidRDefault="00336025" w:rsidP="00336025">
      <w:pPr>
        <w:pStyle w:val="TAMainText"/>
        <w:rPr>
          <w:rFonts w:ascii="Times New Roman" w:hAnsi="Times New Roman"/>
          <w:lang w:val="pt-BR"/>
        </w:rPr>
      </w:pPr>
      <w:r w:rsidRPr="00336025">
        <w:rPr>
          <w:rFonts w:ascii="Times New Roman" w:hAnsi="Times New Roman"/>
          <w:lang w:val="pt-BR"/>
        </w:rPr>
        <w:t xml:space="preserve">Tendo em vista gerar informações que orientem a proposta de novos catalisadores e também o aprimoramento dos sistemas conhecidos, pretende-se definir o papel </w:t>
      </w:r>
      <w:r w:rsidRPr="00A4145A">
        <w:rPr>
          <w:rFonts w:ascii="Times New Roman" w:hAnsi="Times New Roman"/>
          <w:lang w:val="pt-BR"/>
        </w:rPr>
        <w:t xml:space="preserve">de cada componente do catalisador </w:t>
      </w:r>
      <w:r w:rsidR="00C47E3E" w:rsidRPr="002B5EEB">
        <w:rPr>
          <w:rFonts w:ascii="Times New Roman" w:hAnsi="Times New Roman"/>
          <w:lang w:val="pt-BR"/>
        </w:rPr>
        <w:t>Cu/Zn/</w:t>
      </w:r>
      <w:r w:rsidR="00C47E3E" w:rsidRPr="00C47E3E">
        <w:rPr>
          <w:rFonts w:ascii="Times New Roman" w:hAnsi="Times New Roman"/>
          <w:lang w:val="pt-BR"/>
        </w:rPr>
        <w:t>Al</w:t>
      </w:r>
      <w:r w:rsidR="00C47E3E">
        <w:rPr>
          <w:rFonts w:ascii="Times New Roman" w:hAnsi="Times New Roman"/>
          <w:lang w:val="pt-BR"/>
        </w:rPr>
        <w:t xml:space="preserve"> </w:t>
      </w:r>
      <w:r w:rsidRPr="00C47E3E">
        <w:rPr>
          <w:rFonts w:ascii="Times New Roman" w:hAnsi="Times New Roman"/>
          <w:lang w:val="pt-BR"/>
        </w:rPr>
        <w:t>na</w:t>
      </w:r>
      <w:r w:rsidRPr="00A4145A">
        <w:rPr>
          <w:rFonts w:ascii="Times New Roman" w:hAnsi="Times New Roman"/>
          <w:lang w:val="pt-BR"/>
        </w:rPr>
        <w:t xml:space="preserve"> reação de</w:t>
      </w:r>
      <w:r w:rsidRPr="00336025">
        <w:rPr>
          <w:rFonts w:ascii="Times New Roman" w:hAnsi="Times New Roman"/>
          <w:lang w:val="pt-BR"/>
        </w:rPr>
        <w:t xml:space="preserve"> interesse</w:t>
      </w:r>
      <w:r>
        <w:rPr>
          <w:rFonts w:ascii="Times New Roman" w:hAnsi="Times New Roman"/>
          <w:lang w:val="pt-BR"/>
        </w:rPr>
        <w:t>.</w:t>
      </w:r>
      <w:r w:rsidR="002602F3">
        <w:rPr>
          <w:rFonts w:ascii="Times New Roman" w:hAnsi="Times New Roman"/>
          <w:lang w:val="pt-BR"/>
        </w:rPr>
        <w:t xml:space="preserve"> Neste trabalho o foco está voltado para o papel do Al </w:t>
      </w:r>
      <w:r w:rsidR="000043A6">
        <w:rPr>
          <w:rFonts w:ascii="Times New Roman" w:hAnsi="Times New Roman"/>
          <w:lang w:val="pt-BR"/>
        </w:rPr>
        <w:t>d</w:t>
      </w:r>
      <w:r w:rsidR="002602F3">
        <w:rPr>
          <w:rFonts w:ascii="Times New Roman" w:hAnsi="Times New Roman"/>
          <w:lang w:val="pt-BR"/>
        </w:rPr>
        <w:t xml:space="preserve">o catalisador </w:t>
      </w:r>
      <w:r w:rsidR="00C47E3E" w:rsidRPr="002B5EEB">
        <w:rPr>
          <w:rFonts w:ascii="Times New Roman" w:hAnsi="Times New Roman"/>
          <w:lang w:val="pt-BR"/>
        </w:rPr>
        <w:t>Cu/Zn/Al</w:t>
      </w:r>
      <w:r w:rsidR="002602F3">
        <w:rPr>
          <w:rFonts w:ascii="Times New Roman" w:hAnsi="Times New Roman"/>
          <w:vertAlign w:val="subscript"/>
          <w:lang w:val="pt-BR"/>
        </w:rPr>
        <w:t xml:space="preserve"> </w:t>
      </w:r>
      <w:r w:rsidR="002602F3" w:rsidRPr="002602F3">
        <w:rPr>
          <w:rFonts w:ascii="Times New Roman" w:hAnsi="Times New Roman"/>
          <w:lang w:val="pt-BR"/>
        </w:rPr>
        <w:t xml:space="preserve">quando </w:t>
      </w:r>
      <w:r w:rsidR="00A4145A">
        <w:rPr>
          <w:rFonts w:ascii="Times New Roman" w:hAnsi="Times New Roman"/>
          <w:lang w:val="pt-BR"/>
        </w:rPr>
        <w:t xml:space="preserve">este </w:t>
      </w:r>
      <w:r w:rsidR="009B6A48">
        <w:rPr>
          <w:rFonts w:ascii="Times New Roman" w:hAnsi="Times New Roman"/>
          <w:lang w:val="pt-BR"/>
        </w:rPr>
        <w:t>é</w:t>
      </w:r>
      <w:r w:rsidR="00A4145A">
        <w:rPr>
          <w:rFonts w:ascii="Times New Roman" w:hAnsi="Times New Roman"/>
          <w:lang w:val="pt-BR"/>
        </w:rPr>
        <w:t xml:space="preserve"> empregado</w:t>
      </w:r>
      <w:r w:rsidR="002602F3" w:rsidRPr="002602F3">
        <w:rPr>
          <w:rFonts w:ascii="Times New Roman" w:hAnsi="Times New Roman"/>
          <w:lang w:val="pt-BR"/>
        </w:rPr>
        <w:t xml:space="preserve"> </w:t>
      </w:r>
      <w:r w:rsidR="00A4145A">
        <w:rPr>
          <w:rFonts w:ascii="Times New Roman" w:hAnsi="Times New Roman"/>
          <w:lang w:val="pt-BR"/>
        </w:rPr>
        <w:t>n</w:t>
      </w:r>
      <w:r w:rsidR="002602F3" w:rsidRPr="002602F3">
        <w:rPr>
          <w:rFonts w:ascii="Times New Roman" w:hAnsi="Times New Roman"/>
          <w:lang w:val="pt-BR"/>
        </w:rPr>
        <w:t xml:space="preserve">a síntese do ácido acético a partir do etanol </w:t>
      </w:r>
      <w:r w:rsidR="00A4145A">
        <w:rPr>
          <w:rFonts w:ascii="Times New Roman" w:hAnsi="Times New Roman"/>
          <w:lang w:val="pt-BR"/>
        </w:rPr>
        <w:t>usando</w:t>
      </w:r>
      <w:r w:rsidR="002602F3" w:rsidRPr="002602F3">
        <w:rPr>
          <w:rFonts w:ascii="Times New Roman" w:hAnsi="Times New Roman"/>
          <w:lang w:val="pt-BR"/>
        </w:rPr>
        <w:t xml:space="preserve"> </w:t>
      </w:r>
      <w:r w:rsidR="002602F3">
        <w:rPr>
          <w:rFonts w:ascii="Times New Roman" w:hAnsi="Times New Roman"/>
          <w:lang w:val="pt-BR"/>
        </w:rPr>
        <w:t>á</w:t>
      </w:r>
      <w:r w:rsidR="002602F3" w:rsidRPr="002602F3">
        <w:rPr>
          <w:rFonts w:ascii="Times New Roman" w:hAnsi="Times New Roman"/>
          <w:lang w:val="pt-BR"/>
        </w:rPr>
        <w:t>gua como agente oxidante</w:t>
      </w:r>
    </w:p>
    <w:p w:rsidR="002B5EEB" w:rsidRPr="00336025" w:rsidRDefault="002B5EEB" w:rsidP="00A4145A">
      <w:pPr>
        <w:pStyle w:val="TAMainText"/>
        <w:ind w:firstLine="204"/>
        <w:rPr>
          <w:rFonts w:ascii="Times New Roman" w:hAnsi="Times New Roman"/>
          <w:lang w:val="pt-BR"/>
        </w:rPr>
      </w:pPr>
    </w:p>
    <w:p w:rsidR="00EA4E1B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Experimental</w:t>
      </w:r>
    </w:p>
    <w:p w:rsidR="00F37B33" w:rsidRDefault="00F37B33" w:rsidP="00EA4E1B">
      <w:pPr>
        <w:pStyle w:val="TAMainText"/>
        <w:ind w:firstLine="0"/>
        <w:rPr>
          <w:rFonts w:ascii="Times New Roman" w:hAnsi="Times New Roman"/>
          <w:i/>
          <w:lang w:val="pt-BR"/>
        </w:rPr>
      </w:pPr>
    </w:p>
    <w:p w:rsidR="00EA4E1B" w:rsidRPr="001F25B2" w:rsidRDefault="008A3405" w:rsidP="00EA4E1B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Síntese dos catalisadores</w:t>
      </w:r>
    </w:p>
    <w:p w:rsidR="008A3405" w:rsidRDefault="00125C25" w:rsidP="00EA4E1B">
      <w:pPr>
        <w:pStyle w:val="TAMainText"/>
        <w:rPr>
          <w:rFonts w:ascii="Times New Roman" w:hAnsi="Times New Roman"/>
          <w:lang w:val="pt-BR"/>
        </w:rPr>
      </w:pPr>
      <w:r w:rsidRPr="00125C25">
        <w:rPr>
          <w:rFonts w:ascii="Times New Roman" w:hAnsi="Times New Roman"/>
          <w:lang w:val="pt-BR"/>
        </w:rPr>
        <w:t xml:space="preserve">Os catalisadores foram </w:t>
      </w:r>
      <w:r>
        <w:rPr>
          <w:rFonts w:ascii="Times New Roman" w:hAnsi="Times New Roman"/>
          <w:lang w:val="pt-BR"/>
        </w:rPr>
        <w:t xml:space="preserve">preparados por coprecipitação a partir </w:t>
      </w:r>
      <w:r w:rsidR="00106A86">
        <w:rPr>
          <w:rFonts w:ascii="Times New Roman" w:hAnsi="Times New Roman"/>
          <w:lang w:val="pt-BR"/>
        </w:rPr>
        <w:t xml:space="preserve">de </w:t>
      </w:r>
      <w:r>
        <w:rPr>
          <w:rFonts w:ascii="Times New Roman" w:hAnsi="Times New Roman"/>
          <w:lang w:val="pt-BR"/>
        </w:rPr>
        <w:t>soluções aquosas d</w:t>
      </w:r>
      <w:r w:rsidR="00106A86">
        <w:rPr>
          <w:rFonts w:ascii="Times New Roman" w:hAnsi="Times New Roman"/>
          <w:lang w:val="pt-BR"/>
        </w:rPr>
        <w:t>os seguintes sais:</w:t>
      </w:r>
      <w:r>
        <w:rPr>
          <w:rFonts w:ascii="Times New Roman" w:hAnsi="Times New Roman"/>
          <w:lang w:val="pt-BR"/>
        </w:rPr>
        <w:t xml:space="preserve"> </w:t>
      </w:r>
      <w:proofErr w:type="gramStart"/>
      <w:r w:rsidR="008A3405" w:rsidRPr="00125C25">
        <w:rPr>
          <w:rFonts w:ascii="Times New Roman" w:hAnsi="Times New Roman"/>
          <w:lang w:val="pt-BR"/>
        </w:rPr>
        <w:t>Cu(</w:t>
      </w:r>
      <w:proofErr w:type="gramEnd"/>
      <w:r w:rsidR="008A3405" w:rsidRPr="00125C25">
        <w:rPr>
          <w:rFonts w:ascii="Times New Roman" w:hAnsi="Times New Roman"/>
          <w:lang w:val="pt-BR"/>
        </w:rPr>
        <w:t>NO</w:t>
      </w:r>
      <w:r w:rsidR="008A3405" w:rsidRPr="00125C25">
        <w:rPr>
          <w:rFonts w:ascii="Times New Roman" w:hAnsi="Times New Roman"/>
          <w:vertAlign w:val="subscript"/>
          <w:lang w:val="pt-BR"/>
        </w:rPr>
        <w:t>3</w:t>
      </w:r>
      <w:r w:rsidR="008A3405" w:rsidRPr="00125C25">
        <w:rPr>
          <w:rFonts w:ascii="Times New Roman" w:hAnsi="Times New Roman"/>
          <w:lang w:val="pt-BR"/>
        </w:rPr>
        <w:t>)</w:t>
      </w:r>
      <w:r w:rsidR="008A3405" w:rsidRPr="00125C25">
        <w:rPr>
          <w:rFonts w:ascii="Times New Roman" w:hAnsi="Times New Roman"/>
          <w:vertAlign w:val="subscript"/>
          <w:lang w:val="pt-BR"/>
        </w:rPr>
        <w:t>2</w:t>
      </w:r>
      <w:r w:rsidR="008A3405" w:rsidRPr="00125C25">
        <w:rPr>
          <w:rFonts w:ascii="Times New Roman" w:hAnsi="Times New Roman"/>
          <w:lang w:val="pt-BR"/>
        </w:rPr>
        <w:t>, Zn(NO</w:t>
      </w:r>
      <w:r w:rsidR="008A3405" w:rsidRPr="00125C25">
        <w:rPr>
          <w:rFonts w:ascii="Times New Roman" w:hAnsi="Times New Roman"/>
          <w:vertAlign w:val="subscript"/>
          <w:lang w:val="pt-BR"/>
        </w:rPr>
        <w:t>3</w:t>
      </w:r>
      <w:r w:rsidR="008A3405" w:rsidRPr="00125C25">
        <w:rPr>
          <w:rFonts w:ascii="Times New Roman" w:hAnsi="Times New Roman"/>
          <w:lang w:val="pt-BR"/>
        </w:rPr>
        <w:t>)</w:t>
      </w:r>
      <w:r w:rsidR="008A3405" w:rsidRPr="00125C25">
        <w:rPr>
          <w:rFonts w:ascii="Times New Roman" w:hAnsi="Times New Roman"/>
          <w:vertAlign w:val="subscript"/>
          <w:lang w:val="pt-BR"/>
        </w:rPr>
        <w:t>2</w:t>
      </w:r>
      <w:r w:rsidR="008A3405" w:rsidRPr="00125C25">
        <w:rPr>
          <w:rFonts w:ascii="Times New Roman" w:hAnsi="Times New Roman"/>
          <w:lang w:val="pt-BR"/>
        </w:rPr>
        <w:t>, Al(NO</w:t>
      </w:r>
      <w:r w:rsidR="008A3405" w:rsidRPr="00125C25">
        <w:rPr>
          <w:rFonts w:ascii="Times New Roman" w:hAnsi="Times New Roman"/>
          <w:vertAlign w:val="subscript"/>
          <w:lang w:val="pt-BR"/>
        </w:rPr>
        <w:t>3</w:t>
      </w:r>
      <w:r w:rsidR="008A3405" w:rsidRPr="00125C25">
        <w:rPr>
          <w:rFonts w:ascii="Times New Roman" w:hAnsi="Times New Roman"/>
          <w:lang w:val="pt-BR"/>
        </w:rPr>
        <w:t>)</w:t>
      </w:r>
      <w:r w:rsidR="008A3405" w:rsidRPr="00125C25">
        <w:rPr>
          <w:rFonts w:ascii="Times New Roman" w:hAnsi="Times New Roman"/>
          <w:vertAlign w:val="subscript"/>
          <w:lang w:val="pt-BR"/>
        </w:rPr>
        <w:t>3</w:t>
      </w:r>
      <w:r w:rsidR="003D2CB9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e</w:t>
      </w:r>
      <w:r w:rsidR="008A3405" w:rsidRPr="00125C25">
        <w:rPr>
          <w:rFonts w:ascii="Times New Roman" w:hAnsi="Times New Roman"/>
          <w:lang w:val="pt-BR"/>
        </w:rPr>
        <w:t xml:space="preserve"> Na</w:t>
      </w:r>
      <w:r w:rsidR="008A3405" w:rsidRPr="00125C25">
        <w:rPr>
          <w:rFonts w:ascii="Times New Roman" w:hAnsi="Times New Roman"/>
          <w:vertAlign w:val="subscript"/>
          <w:lang w:val="pt-BR"/>
        </w:rPr>
        <w:t>2</w:t>
      </w:r>
      <w:r w:rsidR="008A3405" w:rsidRPr="00125C25">
        <w:rPr>
          <w:rFonts w:ascii="Times New Roman" w:hAnsi="Times New Roman"/>
          <w:lang w:val="pt-BR"/>
        </w:rPr>
        <w:t>CO</w:t>
      </w:r>
      <w:r w:rsidR="008A3405" w:rsidRPr="00125C25">
        <w:rPr>
          <w:rFonts w:ascii="Times New Roman" w:hAnsi="Times New Roman"/>
          <w:vertAlign w:val="subscript"/>
          <w:lang w:val="pt-BR"/>
        </w:rPr>
        <w:t>3</w:t>
      </w:r>
      <w:r w:rsidR="008A3405" w:rsidRPr="00125C25">
        <w:rPr>
          <w:rFonts w:ascii="Times New Roman" w:hAnsi="Times New Roman"/>
          <w:lang w:val="pt-BR"/>
        </w:rPr>
        <w:t xml:space="preserve">. </w:t>
      </w:r>
      <w:r w:rsidRPr="00125C25">
        <w:rPr>
          <w:rFonts w:ascii="Times New Roman" w:hAnsi="Times New Roman"/>
          <w:lang w:val="pt-BR"/>
        </w:rPr>
        <w:t>As suspensões obtidas foram envelhecidas sob constante ag</w:t>
      </w:r>
      <w:r>
        <w:rPr>
          <w:rFonts w:ascii="Times New Roman" w:hAnsi="Times New Roman"/>
          <w:lang w:val="pt-BR"/>
        </w:rPr>
        <w:t>itação durante</w:t>
      </w:r>
      <w:r w:rsidR="008A3405" w:rsidRPr="00125C25">
        <w:rPr>
          <w:rFonts w:ascii="Times New Roman" w:hAnsi="Times New Roman"/>
          <w:lang w:val="pt-BR"/>
        </w:rPr>
        <w:t xml:space="preserve"> 48h </w:t>
      </w:r>
      <w:r>
        <w:rPr>
          <w:rFonts w:ascii="Times New Roman" w:hAnsi="Times New Roman"/>
          <w:lang w:val="pt-BR"/>
        </w:rPr>
        <w:t>à temperatura ambiente</w:t>
      </w:r>
      <w:r w:rsidR="008A3405" w:rsidRPr="00125C25">
        <w:rPr>
          <w:rFonts w:ascii="Times New Roman" w:hAnsi="Times New Roman"/>
          <w:lang w:val="pt-BR"/>
        </w:rPr>
        <w:t xml:space="preserve">. </w:t>
      </w:r>
      <w:r w:rsidRPr="00125C25">
        <w:rPr>
          <w:rFonts w:ascii="Times New Roman" w:hAnsi="Times New Roman"/>
          <w:lang w:val="pt-BR"/>
        </w:rPr>
        <w:t>Então, os precipitados foram filtrados, lavados e sec</w:t>
      </w:r>
      <w:r w:rsidR="00106A86">
        <w:rPr>
          <w:rFonts w:ascii="Times New Roman" w:hAnsi="Times New Roman"/>
          <w:lang w:val="pt-BR"/>
        </w:rPr>
        <w:t>os</w:t>
      </w:r>
      <w:r w:rsidRPr="00125C25">
        <w:rPr>
          <w:rFonts w:ascii="Times New Roman" w:hAnsi="Times New Roman"/>
          <w:lang w:val="pt-BR"/>
        </w:rPr>
        <w:t xml:space="preserve"> à</w:t>
      </w:r>
      <w:r w:rsidR="008A3405" w:rsidRPr="00125C25">
        <w:rPr>
          <w:rFonts w:ascii="Times New Roman" w:hAnsi="Times New Roman"/>
          <w:lang w:val="pt-BR"/>
        </w:rPr>
        <w:t xml:space="preserve"> 110°C</w:t>
      </w:r>
      <w:r w:rsidRPr="00125C25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durante a noite</w:t>
      </w:r>
      <w:r w:rsidR="008A3405" w:rsidRPr="00125C25">
        <w:rPr>
          <w:rFonts w:ascii="Times New Roman" w:hAnsi="Times New Roman"/>
          <w:lang w:val="pt-BR"/>
        </w:rPr>
        <w:t>.</w:t>
      </w:r>
      <w:r>
        <w:rPr>
          <w:rFonts w:ascii="Times New Roman" w:hAnsi="Times New Roman"/>
          <w:lang w:val="pt-BR"/>
        </w:rPr>
        <w:t xml:space="preserve"> </w:t>
      </w:r>
      <w:r w:rsidR="005178CD">
        <w:rPr>
          <w:rFonts w:ascii="Times New Roman" w:hAnsi="Times New Roman"/>
          <w:lang w:val="pt-BR"/>
        </w:rPr>
        <w:t>Por fim,</w:t>
      </w:r>
      <w:r w:rsidRPr="00125C25">
        <w:rPr>
          <w:rFonts w:ascii="Times New Roman" w:hAnsi="Times New Roman"/>
          <w:lang w:val="pt-BR"/>
        </w:rPr>
        <w:t xml:space="preserve"> esses </w:t>
      </w:r>
      <w:r w:rsidR="005178CD" w:rsidRPr="00125C25">
        <w:rPr>
          <w:rFonts w:ascii="Times New Roman" w:hAnsi="Times New Roman"/>
          <w:lang w:val="pt-BR"/>
        </w:rPr>
        <w:t>precursores</w:t>
      </w:r>
      <w:r w:rsidRPr="00125C25">
        <w:rPr>
          <w:rFonts w:ascii="Times New Roman" w:hAnsi="Times New Roman"/>
          <w:lang w:val="pt-BR"/>
        </w:rPr>
        <w:t xml:space="preserve"> foram calcinados a </w:t>
      </w:r>
      <w:r w:rsidR="008A3405" w:rsidRPr="00125C25">
        <w:rPr>
          <w:rFonts w:ascii="Times New Roman" w:hAnsi="Times New Roman"/>
          <w:lang w:val="pt-BR"/>
        </w:rPr>
        <w:t>400°C</w:t>
      </w:r>
      <w:r w:rsidRPr="00125C25">
        <w:rPr>
          <w:rFonts w:ascii="Times New Roman" w:hAnsi="Times New Roman"/>
          <w:lang w:val="pt-BR"/>
        </w:rPr>
        <w:t xml:space="preserve"> por 4h sob fluxo</w:t>
      </w:r>
      <w:r>
        <w:rPr>
          <w:rFonts w:ascii="Times New Roman" w:hAnsi="Times New Roman"/>
          <w:lang w:val="pt-BR"/>
        </w:rPr>
        <w:t xml:space="preserve"> de ar sintético (60 mLmin</w:t>
      </w:r>
      <w:r w:rsidRPr="00125C25">
        <w:rPr>
          <w:rFonts w:ascii="Times New Roman" w:hAnsi="Times New Roman"/>
          <w:vertAlign w:val="superscript"/>
          <w:lang w:val="pt-BR"/>
        </w:rPr>
        <w:t>-1</w:t>
      </w:r>
      <w:r>
        <w:rPr>
          <w:rFonts w:ascii="Times New Roman" w:hAnsi="Times New Roman"/>
          <w:lang w:val="pt-BR"/>
        </w:rPr>
        <w:t>)</w:t>
      </w:r>
      <w:r w:rsidR="008A3405" w:rsidRPr="00125C25">
        <w:rPr>
          <w:rFonts w:ascii="Times New Roman" w:hAnsi="Times New Roman"/>
          <w:lang w:val="pt-BR"/>
        </w:rPr>
        <w:t xml:space="preserve">. </w:t>
      </w:r>
      <w:r w:rsidR="005178CD">
        <w:rPr>
          <w:rFonts w:ascii="Times New Roman" w:hAnsi="Times New Roman"/>
          <w:lang w:val="pt-BR"/>
        </w:rPr>
        <w:t xml:space="preserve">O preparo prevê </w:t>
      </w:r>
      <w:r w:rsidR="002602F3">
        <w:rPr>
          <w:rFonts w:ascii="Times New Roman" w:hAnsi="Times New Roman"/>
          <w:lang w:val="pt-BR"/>
        </w:rPr>
        <w:t xml:space="preserve">para todos os catalisadores </w:t>
      </w:r>
      <w:r w:rsidR="005178CD">
        <w:rPr>
          <w:rFonts w:ascii="Times New Roman" w:hAnsi="Times New Roman"/>
          <w:lang w:val="pt-BR"/>
        </w:rPr>
        <w:t xml:space="preserve">quantidades iguais em massa de </w:t>
      </w:r>
      <w:proofErr w:type="spellStart"/>
      <w:r w:rsidR="005178CD">
        <w:rPr>
          <w:rFonts w:ascii="Times New Roman" w:hAnsi="Times New Roman"/>
          <w:lang w:val="pt-BR"/>
        </w:rPr>
        <w:t>CuO</w:t>
      </w:r>
      <w:proofErr w:type="spellEnd"/>
      <w:r w:rsidR="005178CD">
        <w:rPr>
          <w:rFonts w:ascii="Times New Roman" w:hAnsi="Times New Roman"/>
          <w:lang w:val="pt-BR"/>
        </w:rPr>
        <w:t xml:space="preserve"> e ZnO </w:t>
      </w:r>
      <w:r w:rsidR="002602F3">
        <w:rPr>
          <w:rFonts w:ascii="Times New Roman" w:hAnsi="Times New Roman"/>
          <w:lang w:val="pt-BR"/>
        </w:rPr>
        <w:t>e</w:t>
      </w:r>
      <w:r w:rsidR="005178CD">
        <w:rPr>
          <w:rFonts w:ascii="Times New Roman" w:hAnsi="Times New Roman"/>
          <w:lang w:val="pt-BR"/>
        </w:rPr>
        <w:t xml:space="preserve"> d</w:t>
      </w:r>
      <w:r w:rsidRPr="00125C25">
        <w:rPr>
          <w:rFonts w:ascii="Times New Roman" w:hAnsi="Times New Roman"/>
          <w:lang w:val="pt-BR"/>
        </w:rPr>
        <w:t>iferentes de Al</w:t>
      </w:r>
      <w:r w:rsidR="002602F3">
        <w:rPr>
          <w:rFonts w:ascii="Times New Roman" w:hAnsi="Times New Roman"/>
          <w:lang w:val="pt-BR"/>
        </w:rPr>
        <w:t>. F</w:t>
      </w:r>
      <w:r w:rsidRPr="00125C25">
        <w:rPr>
          <w:rFonts w:ascii="Times New Roman" w:hAnsi="Times New Roman"/>
          <w:lang w:val="pt-BR"/>
        </w:rPr>
        <w:t xml:space="preserve">oram </w:t>
      </w:r>
      <w:r>
        <w:rPr>
          <w:rFonts w:ascii="Times New Roman" w:hAnsi="Times New Roman"/>
          <w:lang w:val="pt-BR"/>
        </w:rPr>
        <w:t>utilizadas</w:t>
      </w:r>
      <w:r w:rsidRPr="00125C25">
        <w:rPr>
          <w:rFonts w:ascii="Times New Roman" w:hAnsi="Times New Roman"/>
          <w:lang w:val="pt-BR"/>
        </w:rPr>
        <w:t xml:space="preserve"> (3, 6</w:t>
      </w:r>
      <w:r w:rsidR="003D2CB9">
        <w:rPr>
          <w:rFonts w:ascii="Times New Roman" w:hAnsi="Times New Roman"/>
          <w:lang w:val="pt-BR"/>
        </w:rPr>
        <w:t xml:space="preserve"> e</w:t>
      </w:r>
      <w:r w:rsidRPr="00125C25">
        <w:rPr>
          <w:rFonts w:ascii="Times New Roman" w:hAnsi="Times New Roman"/>
          <w:lang w:val="pt-BR"/>
        </w:rPr>
        <w:t xml:space="preserve"> 10% </w:t>
      </w:r>
      <w:r>
        <w:rPr>
          <w:rFonts w:ascii="Times New Roman" w:hAnsi="Times New Roman"/>
          <w:lang w:val="pt-BR"/>
        </w:rPr>
        <w:t>em massa</w:t>
      </w:r>
      <w:r w:rsidRPr="00125C25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de </w:t>
      </w:r>
      <w:r w:rsidRPr="00125C25">
        <w:rPr>
          <w:rFonts w:ascii="Times New Roman" w:hAnsi="Times New Roman"/>
          <w:lang w:val="pt-BR"/>
        </w:rPr>
        <w:t>Al</w:t>
      </w:r>
      <w:r w:rsidRPr="00125C25">
        <w:rPr>
          <w:rFonts w:ascii="Times New Roman" w:hAnsi="Times New Roman"/>
          <w:vertAlign w:val="subscript"/>
          <w:lang w:val="pt-BR"/>
        </w:rPr>
        <w:t>2</w:t>
      </w:r>
      <w:r w:rsidRPr="00125C25">
        <w:rPr>
          <w:rFonts w:ascii="Times New Roman" w:hAnsi="Times New Roman"/>
          <w:lang w:val="pt-BR"/>
        </w:rPr>
        <w:t>O</w:t>
      </w:r>
      <w:r w:rsidRPr="00125C25">
        <w:rPr>
          <w:rFonts w:ascii="Times New Roman" w:hAnsi="Times New Roman"/>
          <w:vertAlign w:val="subscript"/>
          <w:lang w:val="pt-BR"/>
        </w:rPr>
        <w:t>3</w:t>
      </w:r>
      <w:r w:rsidRPr="00125C25">
        <w:rPr>
          <w:rFonts w:ascii="Times New Roman" w:hAnsi="Times New Roman"/>
          <w:lang w:val="pt-BR"/>
        </w:rPr>
        <w:t>)</w:t>
      </w:r>
      <w:r w:rsidR="005178CD">
        <w:rPr>
          <w:rFonts w:ascii="Times New Roman" w:hAnsi="Times New Roman"/>
          <w:lang w:val="pt-BR"/>
        </w:rPr>
        <w:t>.</w:t>
      </w:r>
      <w:r>
        <w:rPr>
          <w:rFonts w:ascii="Times New Roman" w:hAnsi="Times New Roman"/>
          <w:lang w:val="pt-BR"/>
        </w:rPr>
        <w:t xml:space="preserve"> </w:t>
      </w:r>
      <w:r w:rsidR="005178CD">
        <w:rPr>
          <w:rFonts w:ascii="Times New Roman" w:hAnsi="Times New Roman"/>
          <w:lang w:val="pt-BR"/>
        </w:rPr>
        <w:t>O</w:t>
      </w:r>
      <w:r>
        <w:rPr>
          <w:rFonts w:ascii="Times New Roman" w:hAnsi="Times New Roman"/>
          <w:lang w:val="pt-BR"/>
        </w:rPr>
        <w:t xml:space="preserve">s catalisadores obtidos foram nomeados de acordo com essas quantidades, sendo, por exemplo, CuZnAl3 o catalisador contendo 3% de </w:t>
      </w:r>
      <w:r w:rsidRPr="00125C25">
        <w:rPr>
          <w:rFonts w:ascii="Times New Roman" w:hAnsi="Times New Roman"/>
          <w:lang w:val="pt-BR"/>
        </w:rPr>
        <w:t>Al</w:t>
      </w:r>
      <w:r w:rsidRPr="00125C25">
        <w:rPr>
          <w:rFonts w:ascii="Times New Roman" w:hAnsi="Times New Roman"/>
          <w:vertAlign w:val="subscript"/>
          <w:lang w:val="pt-BR"/>
        </w:rPr>
        <w:t>2</w:t>
      </w:r>
      <w:r w:rsidRPr="00125C25">
        <w:rPr>
          <w:rFonts w:ascii="Times New Roman" w:hAnsi="Times New Roman"/>
          <w:lang w:val="pt-BR"/>
        </w:rPr>
        <w:t>O</w:t>
      </w:r>
      <w:r w:rsidRPr="00125C25">
        <w:rPr>
          <w:rFonts w:ascii="Times New Roman" w:hAnsi="Times New Roman"/>
          <w:vertAlign w:val="subscript"/>
          <w:lang w:val="pt-BR"/>
        </w:rPr>
        <w:t>3</w:t>
      </w:r>
      <w:r>
        <w:rPr>
          <w:rFonts w:ascii="Times New Roman" w:hAnsi="Times New Roman"/>
          <w:lang w:val="pt-BR"/>
        </w:rPr>
        <w:t>.</w:t>
      </w:r>
    </w:p>
    <w:p w:rsidR="002602F3" w:rsidRDefault="002602F3" w:rsidP="00EA4E1B">
      <w:pPr>
        <w:pStyle w:val="TAMainText"/>
        <w:rPr>
          <w:rFonts w:ascii="Times New Roman" w:hAnsi="Times New Roman"/>
          <w:lang w:val="pt-BR"/>
        </w:rPr>
      </w:pPr>
    </w:p>
    <w:p w:rsidR="00F37B33" w:rsidRDefault="00F37B33" w:rsidP="008A3405">
      <w:pPr>
        <w:pStyle w:val="TAMainText"/>
        <w:ind w:firstLine="0"/>
        <w:rPr>
          <w:rFonts w:ascii="Times New Roman" w:hAnsi="Times New Roman"/>
          <w:i/>
          <w:lang w:val="pt-BR"/>
        </w:rPr>
      </w:pPr>
    </w:p>
    <w:p w:rsidR="00F37B33" w:rsidRDefault="00F37B33" w:rsidP="008A3405">
      <w:pPr>
        <w:pStyle w:val="TAMainText"/>
        <w:ind w:firstLine="0"/>
        <w:rPr>
          <w:rFonts w:ascii="Times New Roman" w:hAnsi="Times New Roman"/>
          <w:i/>
          <w:lang w:val="pt-BR"/>
        </w:rPr>
      </w:pPr>
    </w:p>
    <w:p w:rsidR="008A3405" w:rsidRPr="001F25B2" w:rsidRDefault="008A3405" w:rsidP="008A3405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Caracterizações</w:t>
      </w:r>
    </w:p>
    <w:p w:rsidR="00C40BCA" w:rsidRDefault="00C40BCA" w:rsidP="00C40BCA">
      <w:pPr>
        <w:pStyle w:val="TAMainText"/>
        <w:rPr>
          <w:lang w:val="pt-BR"/>
        </w:rPr>
      </w:pPr>
      <w:r w:rsidRPr="008B5719">
        <w:rPr>
          <w:lang w:val="pt-BR"/>
        </w:rPr>
        <w:t xml:space="preserve">As áreas superficiais foram determinadas por </w:t>
      </w:r>
      <w:r>
        <w:rPr>
          <w:lang w:val="pt-BR"/>
        </w:rPr>
        <w:t>fisissorção de</w:t>
      </w:r>
      <w:r w:rsidRPr="008B5719">
        <w:rPr>
          <w:lang w:val="pt-BR"/>
        </w:rPr>
        <w:t xml:space="preserve"> N</w:t>
      </w:r>
      <w:r w:rsidRPr="008B5719">
        <w:rPr>
          <w:vertAlign w:val="subscript"/>
          <w:lang w:val="pt-BR"/>
        </w:rPr>
        <w:t>2</w:t>
      </w:r>
      <w:r w:rsidRPr="00C93189">
        <w:rPr>
          <w:lang w:val="pt-BR"/>
        </w:rPr>
        <w:t>,</w:t>
      </w:r>
      <w:r w:rsidRPr="008B5719">
        <w:rPr>
          <w:lang w:val="pt-BR"/>
        </w:rPr>
        <w:t xml:space="preserve"> usando o método BET em um equipamento Micromeritics ASAP 2010. As</w:t>
      </w:r>
      <w:r>
        <w:rPr>
          <w:lang w:val="pt-BR"/>
        </w:rPr>
        <w:t xml:space="preserve"> amostras foram secas a 100ºC por 12</w:t>
      </w:r>
      <w:r w:rsidRPr="008B5719">
        <w:rPr>
          <w:lang w:val="pt-BR"/>
        </w:rPr>
        <w:t>h</w:t>
      </w:r>
      <w:r>
        <w:rPr>
          <w:lang w:val="pt-BR"/>
        </w:rPr>
        <w:t xml:space="preserve"> e tratadas a vácuo a 350ºC durante 4</w:t>
      </w:r>
      <w:r w:rsidRPr="008B5719">
        <w:rPr>
          <w:lang w:val="pt-BR"/>
        </w:rPr>
        <w:t>h. Então, o N</w:t>
      </w:r>
      <w:r w:rsidRPr="008B5719">
        <w:rPr>
          <w:vertAlign w:val="subscript"/>
          <w:lang w:val="pt-BR"/>
        </w:rPr>
        <w:t>2</w:t>
      </w:r>
      <w:r>
        <w:rPr>
          <w:lang w:val="pt-BR"/>
        </w:rPr>
        <w:t xml:space="preserve"> foi adsorvido a -196</w:t>
      </w:r>
      <w:r w:rsidRPr="008B5719">
        <w:rPr>
          <w:lang w:val="pt-BR"/>
        </w:rPr>
        <w:t>ºC.</w:t>
      </w:r>
    </w:p>
    <w:p w:rsidR="002F1DCD" w:rsidRPr="002F1DCD" w:rsidRDefault="002F1DCD" w:rsidP="002F1DCD">
      <w:pPr>
        <w:pStyle w:val="TAMainText"/>
        <w:rPr>
          <w:lang w:val="pt-BR"/>
        </w:rPr>
      </w:pPr>
      <w:r w:rsidRPr="002F1DCD">
        <w:rPr>
          <w:lang w:val="pt-BR"/>
        </w:rPr>
        <w:t>Os experimentos de dessorção a temperatura programada (TPD) de NH</w:t>
      </w:r>
      <w:r w:rsidRPr="002F1DCD">
        <w:rPr>
          <w:vertAlign w:val="subscript"/>
          <w:lang w:val="pt-BR"/>
        </w:rPr>
        <w:t>3</w:t>
      </w:r>
      <w:r w:rsidRPr="002F1DCD">
        <w:rPr>
          <w:lang w:val="pt-BR"/>
        </w:rPr>
        <w:t xml:space="preserve"> e de CO</w:t>
      </w:r>
      <w:r w:rsidRPr="002F1DCD">
        <w:rPr>
          <w:vertAlign w:val="subscript"/>
          <w:lang w:val="pt-BR"/>
        </w:rPr>
        <w:t>2</w:t>
      </w:r>
      <w:r w:rsidRPr="002F1DCD">
        <w:rPr>
          <w:lang w:val="pt-BR"/>
        </w:rPr>
        <w:t xml:space="preserve"> foram realizados utilizando um micro reator acoplado a um </w:t>
      </w:r>
      <w:r>
        <w:rPr>
          <w:lang w:val="pt-BR"/>
        </w:rPr>
        <w:t>equipamento Autochem 2920 Micromeritics</w:t>
      </w:r>
      <w:r w:rsidRPr="002F1DCD">
        <w:rPr>
          <w:lang w:val="pt-BR"/>
        </w:rPr>
        <w:t>. Inicialmente, as amostras foram pré-tratadas com N</w:t>
      </w:r>
      <w:r w:rsidRPr="002F1DCD">
        <w:rPr>
          <w:vertAlign w:val="subscript"/>
          <w:lang w:val="pt-BR"/>
        </w:rPr>
        <w:t>2</w:t>
      </w:r>
      <w:r w:rsidRPr="002F1DCD">
        <w:rPr>
          <w:lang w:val="pt-BR"/>
        </w:rPr>
        <w:t xml:space="preserve"> a 1</w:t>
      </w:r>
      <w:r w:rsidR="00F603C5">
        <w:rPr>
          <w:lang w:val="pt-BR"/>
        </w:rPr>
        <w:t>5</w:t>
      </w:r>
      <w:r w:rsidRPr="002F1DCD">
        <w:rPr>
          <w:lang w:val="pt-BR"/>
        </w:rPr>
        <w:t>0ºC durante 30 min a uma vazão de 40 mLmin</w:t>
      </w:r>
      <w:r w:rsidRPr="008440B7">
        <w:rPr>
          <w:vertAlign w:val="superscript"/>
          <w:lang w:val="pt-BR"/>
        </w:rPr>
        <w:t>-1</w:t>
      </w:r>
      <w:r w:rsidRPr="002F1DCD">
        <w:rPr>
          <w:lang w:val="pt-BR"/>
        </w:rPr>
        <w:t xml:space="preserve">. Em seguida foram reduzidas com </w:t>
      </w:r>
      <w:r w:rsidR="00F37B33">
        <w:rPr>
          <w:lang w:val="pt-BR"/>
        </w:rPr>
        <w:t>2</w:t>
      </w:r>
      <w:r>
        <w:rPr>
          <w:lang w:val="pt-BR"/>
        </w:rPr>
        <w:t>0</w:t>
      </w:r>
      <w:r w:rsidRPr="002F1DCD">
        <w:rPr>
          <w:lang w:val="pt-BR"/>
        </w:rPr>
        <w:t>% H</w:t>
      </w:r>
      <w:r w:rsidRPr="002F1DCD">
        <w:rPr>
          <w:vertAlign w:val="subscript"/>
          <w:lang w:val="pt-BR"/>
        </w:rPr>
        <w:t>2</w:t>
      </w:r>
      <w:r w:rsidRPr="002F1DCD">
        <w:rPr>
          <w:lang w:val="pt-BR"/>
        </w:rPr>
        <w:t>/N</w:t>
      </w:r>
      <w:r w:rsidRPr="002F1DCD">
        <w:rPr>
          <w:vertAlign w:val="subscript"/>
          <w:lang w:val="pt-BR"/>
        </w:rPr>
        <w:t>2</w:t>
      </w:r>
      <w:r w:rsidRPr="002F1DCD">
        <w:rPr>
          <w:lang w:val="pt-BR"/>
        </w:rPr>
        <w:t xml:space="preserve"> (50 mLmin</w:t>
      </w:r>
      <w:r w:rsidRPr="002F1DCD">
        <w:rPr>
          <w:vertAlign w:val="superscript"/>
          <w:lang w:val="pt-BR"/>
        </w:rPr>
        <w:t>-1</w:t>
      </w:r>
      <w:r w:rsidRPr="002F1DCD">
        <w:rPr>
          <w:lang w:val="pt-BR"/>
        </w:rPr>
        <w:t xml:space="preserve">) durante 1h a </w:t>
      </w:r>
      <w:r>
        <w:rPr>
          <w:lang w:val="pt-BR"/>
        </w:rPr>
        <w:t>3</w:t>
      </w:r>
      <w:r w:rsidRPr="002F1DCD">
        <w:rPr>
          <w:lang w:val="pt-BR"/>
        </w:rPr>
        <w:t xml:space="preserve">00ºC. Por fim, as amostras foram </w:t>
      </w:r>
      <w:r>
        <w:rPr>
          <w:lang w:val="pt-BR"/>
        </w:rPr>
        <w:t>purgadas com N</w:t>
      </w:r>
      <w:r w:rsidRPr="008440B7">
        <w:rPr>
          <w:vertAlign w:val="subscript"/>
          <w:lang w:val="pt-BR"/>
        </w:rPr>
        <w:t>2</w:t>
      </w:r>
      <w:r>
        <w:rPr>
          <w:lang w:val="pt-BR"/>
        </w:rPr>
        <w:t xml:space="preserve"> até a temperatura ambiente.</w:t>
      </w:r>
      <w:r w:rsidRPr="002F1DCD">
        <w:rPr>
          <w:lang w:val="pt-BR"/>
        </w:rPr>
        <w:t xml:space="preserve"> </w:t>
      </w:r>
    </w:p>
    <w:p w:rsidR="002F1DCD" w:rsidRPr="002F1DCD" w:rsidRDefault="002F1DCD" w:rsidP="002F1DCD">
      <w:pPr>
        <w:pStyle w:val="TAMainText"/>
        <w:rPr>
          <w:lang w:val="pt-BR"/>
        </w:rPr>
      </w:pPr>
      <w:r w:rsidRPr="002F1DCD">
        <w:rPr>
          <w:lang w:val="pt-BR"/>
        </w:rPr>
        <w:t>A densidade de sítios ácidos foi determinada por TPD-NH</w:t>
      </w:r>
      <w:r w:rsidRPr="002F1DCD">
        <w:rPr>
          <w:vertAlign w:val="subscript"/>
          <w:lang w:val="pt-BR"/>
        </w:rPr>
        <w:t>3</w:t>
      </w:r>
      <w:r w:rsidRPr="002F1DCD">
        <w:rPr>
          <w:lang w:val="pt-BR"/>
        </w:rPr>
        <w:t>. A adsorção de 4% NH</w:t>
      </w:r>
      <w:r w:rsidRPr="002F1DCD">
        <w:rPr>
          <w:vertAlign w:val="subscript"/>
          <w:lang w:val="pt-BR"/>
        </w:rPr>
        <w:t>3</w:t>
      </w:r>
      <w:r w:rsidRPr="002F1DCD">
        <w:rPr>
          <w:lang w:val="pt-BR"/>
        </w:rPr>
        <w:t>/He ocorreu durante 1h a 25ºC, com fluxo de 20 mLmin</w:t>
      </w:r>
      <w:r w:rsidRPr="002F1DCD">
        <w:rPr>
          <w:vertAlign w:val="superscript"/>
          <w:lang w:val="pt-BR"/>
        </w:rPr>
        <w:t>-1</w:t>
      </w:r>
      <w:r w:rsidRPr="002F1DCD">
        <w:rPr>
          <w:lang w:val="pt-BR"/>
        </w:rPr>
        <w:t>. Em seguida a dessorção foi realizada com He a 80 mLmin</w:t>
      </w:r>
      <w:r w:rsidRPr="002F1DCD">
        <w:rPr>
          <w:vertAlign w:val="superscript"/>
          <w:lang w:val="pt-BR"/>
        </w:rPr>
        <w:t>-1</w:t>
      </w:r>
      <w:r w:rsidRPr="002F1DCD">
        <w:rPr>
          <w:lang w:val="pt-BR"/>
        </w:rPr>
        <w:t xml:space="preserve">, da temperatura ambiente até </w:t>
      </w:r>
      <w:r w:rsidR="008440B7">
        <w:rPr>
          <w:lang w:val="pt-BR"/>
        </w:rPr>
        <w:t>3</w:t>
      </w:r>
      <w:r w:rsidRPr="002F1DCD">
        <w:rPr>
          <w:lang w:val="pt-BR"/>
        </w:rPr>
        <w:t>00ºC (</w:t>
      </w:r>
      <w:r w:rsidR="00F37B33">
        <w:rPr>
          <w:lang w:val="pt-BR"/>
        </w:rPr>
        <w:t>1</w:t>
      </w:r>
      <w:r w:rsidRPr="002F1DCD">
        <w:rPr>
          <w:lang w:val="pt-BR"/>
        </w:rPr>
        <w:t>0ºCmin</w:t>
      </w:r>
      <w:r w:rsidRPr="008440B7">
        <w:rPr>
          <w:vertAlign w:val="superscript"/>
          <w:lang w:val="pt-BR"/>
        </w:rPr>
        <w:t>-1</w:t>
      </w:r>
      <w:r w:rsidRPr="002F1DCD">
        <w:rPr>
          <w:lang w:val="pt-BR"/>
        </w:rPr>
        <w:t xml:space="preserve">). Essa temperatura foi mantida por 30 min. Os perfis de dessorção foram normalizados a partir das massas das amostras e decompostos em curvas Gaussianas para quantificar sítios ácidos fracos, médios e fortes. A força dos sítios ácidos foi classificada considerando sítios fracos &lt; 200 ºC, médios e fortes &gt; </w:t>
      </w:r>
      <w:r w:rsidR="00F603C5">
        <w:rPr>
          <w:lang w:val="pt-BR"/>
        </w:rPr>
        <w:t>20</w:t>
      </w:r>
      <w:r w:rsidRPr="002F1DCD">
        <w:rPr>
          <w:lang w:val="pt-BR"/>
        </w:rPr>
        <w:t>0ºC.</w:t>
      </w:r>
    </w:p>
    <w:p w:rsidR="00C40BCA" w:rsidRDefault="002F1DCD" w:rsidP="002F1DCD">
      <w:pPr>
        <w:pStyle w:val="TAMainText"/>
        <w:rPr>
          <w:lang w:val="pt-BR"/>
        </w:rPr>
      </w:pPr>
      <w:r w:rsidRPr="002F1DCD">
        <w:rPr>
          <w:lang w:val="pt-BR"/>
        </w:rPr>
        <w:t>Os sítios básicos foram analisados por TPD-CO</w:t>
      </w:r>
      <w:r w:rsidRPr="00F603C5">
        <w:rPr>
          <w:vertAlign w:val="subscript"/>
          <w:lang w:val="pt-BR"/>
        </w:rPr>
        <w:t>2</w:t>
      </w:r>
      <w:r w:rsidRPr="002F1DCD">
        <w:rPr>
          <w:lang w:val="pt-BR"/>
        </w:rPr>
        <w:t>. A etapa de adsorção foi realizada com fluxo de CO</w:t>
      </w:r>
      <w:r w:rsidRPr="00F603C5">
        <w:rPr>
          <w:vertAlign w:val="subscript"/>
          <w:lang w:val="pt-BR"/>
        </w:rPr>
        <w:t>2</w:t>
      </w:r>
      <w:r w:rsidRPr="002F1DCD">
        <w:rPr>
          <w:lang w:val="pt-BR"/>
        </w:rPr>
        <w:t xml:space="preserve"> a temperatura ambiente durante 1h. A dessorção foi realizada com He a 50 mLmin</w:t>
      </w:r>
      <w:r w:rsidRPr="00F603C5">
        <w:rPr>
          <w:vertAlign w:val="superscript"/>
          <w:lang w:val="pt-BR"/>
        </w:rPr>
        <w:t>-1</w:t>
      </w:r>
      <w:r w:rsidRPr="002F1DCD">
        <w:rPr>
          <w:lang w:val="pt-BR"/>
        </w:rPr>
        <w:t xml:space="preserve">, da temperatura ambiente até </w:t>
      </w:r>
      <w:r w:rsidR="00F603C5">
        <w:rPr>
          <w:lang w:val="pt-BR"/>
        </w:rPr>
        <w:t>3</w:t>
      </w:r>
      <w:r w:rsidRPr="002F1DCD">
        <w:rPr>
          <w:lang w:val="pt-BR"/>
        </w:rPr>
        <w:t>00ºC (</w:t>
      </w:r>
      <w:r w:rsidR="00F37B33">
        <w:rPr>
          <w:lang w:val="pt-BR"/>
        </w:rPr>
        <w:t>1</w:t>
      </w:r>
      <w:r w:rsidRPr="002F1DCD">
        <w:rPr>
          <w:lang w:val="pt-BR"/>
        </w:rPr>
        <w:t>0 ºCmin</w:t>
      </w:r>
      <w:r w:rsidRPr="00F603C5">
        <w:rPr>
          <w:vertAlign w:val="superscript"/>
          <w:lang w:val="pt-BR"/>
        </w:rPr>
        <w:t>-1</w:t>
      </w:r>
      <w:r w:rsidRPr="002F1DCD">
        <w:rPr>
          <w:lang w:val="pt-BR"/>
        </w:rPr>
        <w:t xml:space="preserve">). A força dos sítios básicos foi classificada considerando sítios fracos &lt; 170 ºC, médios e fortes &gt; </w:t>
      </w:r>
      <w:r w:rsidR="00F603C5">
        <w:rPr>
          <w:lang w:val="pt-BR"/>
        </w:rPr>
        <w:t>1</w:t>
      </w:r>
      <w:r w:rsidRPr="002F1DCD">
        <w:rPr>
          <w:lang w:val="pt-BR"/>
        </w:rPr>
        <w:t>70 ºC.</w:t>
      </w:r>
    </w:p>
    <w:p w:rsidR="00C40BCA" w:rsidRDefault="00F603C5" w:rsidP="008A3405">
      <w:pPr>
        <w:pStyle w:val="TAMainText"/>
        <w:rPr>
          <w:lang w:val="pt-BR"/>
        </w:rPr>
      </w:pPr>
      <w:r w:rsidRPr="0028114D">
        <w:rPr>
          <w:lang w:val="pt-BR"/>
        </w:rPr>
        <w:t>As análises de TPD</w:t>
      </w:r>
      <w:r w:rsidR="00F37B33">
        <w:rPr>
          <w:lang w:val="pt-BR"/>
        </w:rPr>
        <w:t>-</w:t>
      </w:r>
      <w:r w:rsidRPr="0028114D">
        <w:rPr>
          <w:lang w:val="pt-BR"/>
        </w:rPr>
        <w:t>H</w:t>
      </w:r>
      <w:r w:rsidRPr="0028114D">
        <w:rPr>
          <w:vertAlign w:val="subscript"/>
          <w:lang w:val="pt-BR"/>
        </w:rPr>
        <w:t>2</w:t>
      </w:r>
      <w:r w:rsidRPr="0028114D">
        <w:rPr>
          <w:lang w:val="pt-BR"/>
        </w:rPr>
        <w:t xml:space="preserve">O foram realizadas em um equipamento Micromeritics </w:t>
      </w:r>
      <w:proofErr w:type="spellStart"/>
      <w:r w:rsidRPr="0028114D">
        <w:rPr>
          <w:lang w:val="pt-BR"/>
        </w:rPr>
        <w:t>AutoChem</w:t>
      </w:r>
      <w:proofErr w:type="spellEnd"/>
      <w:r w:rsidRPr="0028114D">
        <w:rPr>
          <w:lang w:val="pt-BR"/>
        </w:rPr>
        <w:t xml:space="preserve"> 2920 e acompanhadas em um espectrômetro de massas Pfeiffer </w:t>
      </w:r>
      <w:proofErr w:type="spellStart"/>
      <w:r w:rsidRPr="0028114D">
        <w:rPr>
          <w:lang w:val="pt-BR"/>
        </w:rPr>
        <w:t>Vacumm</w:t>
      </w:r>
      <w:proofErr w:type="spellEnd"/>
      <w:r w:rsidRPr="0028114D">
        <w:rPr>
          <w:lang w:val="pt-BR"/>
        </w:rPr>
        <w:t xml:space="preserve"> Omni Star. As amostras foram colocadas em reatores de quartzo e pré-tratadas da seguinte forma: as amostras foram aquecidas até 150°C sob fluxo de He, permanecendo nesta temperatura por 1h. Em seguida, os sólidos foram aquecidos até 300°C sob o fluxo de 10% de H</w:t>
      </w:r>
      <w:r w:rsidRPr="0028114D">
        <w:rPr>
          <w:vertAlign w:val="subscript"/>
          <w:lang w:val="pt-BR"/>
        </w:rPr>
        <w:t>2</w:t>
      </w:r>
      <w:r w:rsidRPr="0028114D">
        <w:rPr>
          <w:lang w:val="pt-BR"/>
        </w:rPr>
        <w:t xml:space="preserve">/Ar, permanecendo 1h nesta temperatura. Para a adsorção, um saturador foi preenchido com 50 </w:t>
      </w:r>
      <w:proofErr w:type="spellStart"/>
      <w:r w:rsidRPr="0028114D">
        <w:rPr>
          <w:lang w:val="pt-BR"/>
        </w:rPr>
        <w:t>mL</w:t>
      </w:r>
      <w:proofErr w:type="spellEnd"/>
      <w:r w:rsidRPr="0028114D">
        <w:rPr>
          <w:lang w:val="pt-BR"/>
        </w:rPr>
        <w:t xml:space="preserve"> de água destilada e acoplado ao sistema de geração de vapor da unidade. O saturador foi mantido a 40°C, enquanto o sistema de refluxo permaneceu a 30°C. Uma vazão de 30 mLmin</w:t>
      </w:r>
      <w:r w:rsidRPr="0093558D">
        <w:rPr>
          <w:vertAlign w:val="superscript"/>
          <w:lang w:val="pt-BR"/>
        </w:rPr>
        <w:t>-1</w:t>
      </w:r>
      <w:r w:rsidRPr="0028114D">
        <w:rPr>
          <w:lang w:val="pt-BR"/>
        </w:rPr>
        <w:t xml:space="preserve"> de He foi utilizada para carregar o vapor de água gerado no sistema. A adsorção ocorreu a 40°C através de pulsos de água (20 pulsos e loop de 0,5 </w:t>
      </w:r>
      <w:proofErr w:type="spellStart"/>
      <w:r w:rsidRPr="0028114D">
        <w:rPr>
          <w:lang w:val="pt-BR"/>
        </w:rPr>
        <w:t>mL</w:t>
      </w:r>
      <w:proofErr w:type="spellEnd"/>
      <w:r w:rsidRPr="0028114D">
        <w:rPr>
          <w:lang w:val="pt-BR"/>
        </w:rPr>
        <w:t>). Após os pulsos, as amostras foram expostas a uma vazão de 30 mLmin</w:t>
      </w:r>
      <w:r w:rsidRPr="0093558D">
        <w:rPr>
          <w:vertAlign w:val="superscript"/>
          <w:lang w:val="pt-BR"/>
        </w:rPr>
        <w:t>-1</w:t>
      </w:r>
      <w:r w:rsidRPr="0028114D">
        <w:rPr>
          <w:lang w:val="pt-BR"/>
        </w:rPr>
        <w:t xml:space="preserve"> de He por 30 min a 40°C para a dessorção das moléculas de H</w:t>
      </w:r>
      <w:r w:rsidRPr="0093558D">
        <w:rPr>
          <w:vertAlign w:val="subscript"/>
          <w:lang w:val="pt-BR"/>
        </w:rPr>
        <w:t>2</w:t>
      </w:r>
      <w:r w:rsidRPr="0028114D">
        <w:rPr>
          <w:lang w:val="pt-BR"/>
        </w:rPr>
        <w:t>O fracamente fisissorvidas. Na dessorção, as amostras foram aquecidas de 40°C até 300°C (10°Cmin</w:t>
      </w:r>
      <w:r w:rsidRPr="0093558D">
        <w:rPr>
          <w:vertAlign w:val="superscript"/>
          <w:lang w:val="pt-BR"/>
        </w:rPr>
        <w:t>-1</w:t>
      </w:r>
      <w:r w:rsidRPr="0028114D">
        <w:rPr>
          <w:lang w:val="pt-BR"/>
        </w:rPr>
        <w:t>) sob fluxo de 80 m</w:t>
      </w:r>
      <w:r w:rsidR="00F37B33">
        <w:rPr>
          <w:lang w:val="pt-BR"/>
        </w:rPr>
        <w:t>L</w:t>
      </w:r>
      <w:r w:rsidRPr="0028114D">
        <w:rPr>
          <w:lang w:val="pt-BR"/>
        </w:rPr>
        <w:t>min</w:t>
      </w:r>
      <w:r w:rsidRPr="0093558D">
        <w:rPr>
          <w:vertAlign w:val="superscript"/>
          <w:lang w:val="pt-BR"/>
        </w:rPr>
        <w:t>-1</w:t>
      </w:r>
      <w:r w:rsidRPr="0028114D">
        <w:rPr>
          <w:lang w:val="pt-BR"/>
        </w:rPr>
        <w:t xml:space="preserve"> de He, permanecendo por 1h a 300°C. Após a dessorção, o reator foi resfriado até 25°C e em seguida os catalisadores foram submetidos à análise de </w:t>
      </w:r>
      <w:r w:rsidR="00F37B33">
        <w:rPr>
          <w:lang w:val="pt-BR"/>
        </w:rPr>
        <w:t xml:space="preserve">redução a temperatura programada </w:t>
      </w:r>
      <w:r w:rsidR="00F37B33">
        <w:rPr>
          <w:lang w:val="pt-BR"/>
        </w:rPr>
        <w:lastRenderedPageBreak/>
        <w:t>(</w:t>
      </w:r>
      <w:r w:rsidRPr="0028114D">
        <w:rPr>
          <w:lang w:val="pt-BR"/>
        </w:rPr>
        <w:t>TPR</w:t>
      </w:r>
      <w:r w:rsidR="00F37B33">
        <w:rPr>
          <w:lang w:val="pt-BR"/>
        </w:rPr>
        <w:t>)</w:t>
      </w:r>
      <w:r w:rsidRPr="0028114D">
        <w:rPr>
          <w:lang w:val="pt-BR"/>
        </w:rPr>
        <w:t xml:space="preserve"> utilizando uma mistura 10%H</w:t>
      </w:r>
      <w:r w:rsidRPr="0028114D">
        <w:rPr>
          <w:vertAlign w:val="subscript"/>
          <w:lang w:val="pt-BR"/>
        </w:rPr>
        <w:t>2</w:t>
      </w:r>
      <w:r w:rsidRPr="0028114D">
        <w:rPr>
          <w:lang w:val="pt-BR"/>
        </w:rPr>
        <w:t>/Ar (50 mLmin</w:t>
      </w:r>
      <w:r w:rsidRPr="0093558D">
        <w:rPr>
          <w:vertAlign w:val="superscript"/>
          <w:lang w:val="pt-BR"/>
        </w:rPr>
        <w:t>-1</w:t>
      </w:r>
      <w:r w:rsidRPr="0028114D">
        <w:rPr>
          <w:lang w:val="pt-BR"/>
        </w:rPr>
        <w:t>) sob uma taxa de aquecimento de 10</w:t>
      </w:r>
      <w:r w:rsidR="00F37B33">
        <w:rPr>
          <w:rFonts w:cs="Times"/>
          <w:lang w:val="pt-BR"/>
        </w:rPr>
        <w:t>°</w:t>
      </w:r>
      <w:r w:rsidRPr="0028114D">
        <w:rPr>
          <w:lang w:val="pt-BR"/>
        </w:rPr>
        <w:t>Cmin</w:t>
      </w:r>
      <w:r w:rsidRPr="0093558D">
        <w:rPr>
          <w:vertAlign w:val="superscript"/>
          <w:lang w:val="pt-BR"/>
        </w:rPr>
        <w:t>-1</w:t>
      </w:r>
      <w:r w:rsidRPr="0028114D">
        <w:rPr>
          <w:lang w:val="pt-BR"/>
        </w:rPr>
        <w:t>, até 300</w:t>
      </w:r>
      <w:r w:rsidR="00F37B33">
        <w:rPr>
          <w:rFonts w:cs="Times"/>
          <w:lang w:val="pt-BR"/>
        </w:rPr>
        <w:t>°</w:t>
      </w:r>
      <w:r w:rsidRPr="0028114D">
        <w:rPr>
          <w:lang w:val="pt-BR"/>
        </w:rPr>
        <w:t>C</w:t>
      </w:r>
      <w:r>
        <w:rPr>
          <w:lang w:val="pt-BR"/>
        </w:rPr>
        <w:t>.</w:t>
      </w:r>
    </w:p>
    <w:p w:rsidR="00401901" w:rsidRDefault="00401901" w:rsidP="00401901">
      <w:pPr>
        <w:pStyle w:val="TAMainText"/>
        <w:rPr>
          <w:lang w:val="pt-BR"/>
        </w:rPr>
      </w:pPr>
      <w:r>
        <w:rPr>
          <w:lang w:val="pt-BR"/>
        </w:rPr>
        <w:t xml:space="preserve">Os experimentos de reação superficial em temperatura programada (TPSR) </w:t>
      </w:r>
      <w:r w:rsidRPr="00401901">
        <w:rPr>
          <w:lang w:val="pt-BR"/>
        </w:rPr>
        <w:t>seguida de espectroscopia de massa</w:t>
      </w:r>
      <w:r>
        <w:rPr>
          <w:lang w:val="pt-BR"/>
        </w:rPr>
        <w:t>s</w:t>
      </w:r>
      <w:r w:rsidRPr="00401901">
        <w:rPr>
          <w:lang w:val="pt-BR"/>
        </w:rPr>
        <w:t xml:space="preserve"> (MS) fo</w:t>
      </w:r>
      <w:r>
        <w:rPr>
          <w:lang w:val="pt-BR"/>
        </w:rPr>
        <w:t xml:space="preserve">ram </w:t>
      </w:r>
      <w:r w:rsidRPr="00401901">
        <w:rPr>
          <w:lang w:val="pt-BR"/>
        </w:rPr>
        <w:t>realizad</w:t>
      </w:r>
      <w:r>
        <w:rPr>
          <w:lang w:val="pt-BR"/>
        </w:rPr>
        <w:t>os</w:t>
      </w:r>
      <w:r w:rsidRPr="00401901">
        <w:rPr>
          <w:lang w:val="pt-BR"/>
        </w:rPr>
        <w:t xml:space="preserve"> usando um reator de leito fixo acoplado a um espectrômetro de massa</w:t>
      </w:r>
      <w:r>
        <w:rPr>
          <w:lang w:val="pt-BR"/>
        </w:rPr>
        <w:t>s</w:t>
      </w:r>
      <w:r w:rsidRPr="00401901">
        <w:rPr>
          <w:lang w:val="pt-BR"/>
        </w:rPr>
        <w:t xml:space="preserve"> QMG 220 Prisma Plus da Pfeiffer </w:t>
      </w:r>
      <w:proofErr w:type="spellStart"/>
      <w:r w:rsidRPr="00401901">
        <w:rPr>
          <w:lang w:val="pt-BR"/>
        </w:rPr>
        <w:t>Vacuum</w:t>
      </w:r>
      <w:proofErr w:type="spellEnd"/>
      <w:r w:rsidRPr="00401901">
        <w:rPr>
          <w:lang w:val="pt-BR"/>
        </w:rPr>
        <w:t xml:space="preserve"> GmbH. As amostras foram secas a 150</w:t>
      </w:r>
      <w:r>
        <w:rPr>
          <w:rFonts w:cs="Times"/>
          <w:lang w:val="pt-BR"/>
        </w:rPr>
        <w:t>°</w:t>
      </w:r>
      <w:r w:rsidRPr="00401901">
        <w:rPr>
          <w:lang w:val="pt-BR"/>
        </w:rPr>
        <w:t>C por 30 min sob fluxo de He (40 mLmin</w:t>
      </w:r>
      <w:r w:rsidRPr="00401901">
        <w:rPr>
          <w:vertAlign w:val="superscript"/>
          <w:lang w:val="pt-BR"/>
        </w:rPr>
        <w:t>−1</w:t>
      </w:r>
      <w:r w:rsidRPr="00401901">
        <w:rPr>
          <w:lang w:val="pt-BR"/>
        </w:rPr>
        <w:t xml:space="preserve">). Em seguida, foram </w:t>
      </w:r>
      <w:r w:rsidR="008059FC">
        <w:rPr>
          <w:lang w:val="pt-BR"/>
        </w:rPr>
        <w:t>reduzidas</w:t>
      </w:r>
      <w:r w:rsidRPr="00401901">
        <w:rPr>
          <w:lang w:val="pt-BR"/>
        </w:rPr>
        <w:t xml:space="preserve"> a </w:t>
      </w:r>
      <w:r>
        <w:rPr>
          <w:lang w:val="pt-BR"/>
        </w:rPr>
        <w:t>3</w:t>
      </w:r>
      <w:r w:rsidRPr="00401901">
        <w:rPr>
          <w:lang w:val="pt-BR"/>
        </w:rPr>
        <w:t>00</w:t>
      </w:r>
      <w:r>
        <w:rPr>
          <w:rFonts w:cs="Times"/>
          <w:lang w:val="pt-BR"/>
        </w:rPr>
        <w:t>°</w:t>
      </w:r>
      <w:r w:rsidRPr="00401901">
        <w:rPr>
          <w:lang w:val="pt-BR"/>
        </w:rPr>
        <w:t xml:space="preserve">C por </w:t>
      </w:r>
      <w:r>
        <w:rPr>
          <w:lang w:val="pt-BR"/>
        </w:rPr>
        <w:t xml:space="preserve">1h </w:t>
      </w:r>
      <w:r w:rsidRPr="00401901">
        <w:rPr>
          <w:lang w:val="pt-BR"/>
        </w:rPr>
        <w:t xml:space="preserve">sob fluxo de </w:t>
      </w:r>
      <w:r w:rsidR="008059FC">
        <w:rPr>
          <w:lang w:val="pt-BR"/>
        </w:rPr>
        <w:t>20% H</w:t>
      </w:r>
      <w:r w:rsidR="008059FC" w:rsidRPr="008059FC">
        <w:rPr>
          <w:vertAlign w:val="subscript"/>
          <w:lang w:val="pt-BR"/>
        </w:rPr>
        <w:t>2</w:t>
      </w:r>
      <w:r w:rsidR="008059FC">
        <w:rPr>
          <w:lang w:val="pt-BR"/>
        </w:rPr>
        <w:t>/N</w:t>
      </w:r>
      <w:r w:rsidR="008059FC" w:rsidRPr="008059FC">
        <w:rPr>
          <w:vertAlign w:val="subscript"/>
          <w:lang w:val="pt-BR"/>
        </w:rPr>
        <w:t>2</w:t>
      </w:r>
      <w:r>
        <w:rPr>
          <w:lang w:val="pt-BR"/>
        </w:rPr>
        <w:t xml:space="preserve"> </w:t>
      </w:r>
      <w:r w:rsidRPr="00401901">
        <w:rPr>
          <w:lang w:val="pt-BR"/>
        </w:rPr>
        <w:t>(50 mLmin</w:t>
      </w:r>
      <w:r w:rsidRPr="00401901">
        <w:rPr>
          <w:vertAlign w:val="superscript"/>
          <w:lang w:val="pt-BR"/>
        </w:rPr>
        <w:t>−1</w:t>
      </w:r>
      <w:r w:rsidRPr="00401901">
        <w:rPr>
          <w:lang w:val="pt-BR"/>
        </w:rPr>
        <w:t>). A adsorção de etanol</w:t>
      </w:r>
      <w:r>
        <w:rPr>
          <w:lang w:val="pt-BR"/>
        </w:rPr>
        <w:t xml:space="preserve"> (TPSR-MS-etanol)</w:t>
      </w:r>
      <w:r w:rsidRPr="00401901">
        <w:rPr>
          <w:lang w:val="pt-BR"/>
        </w:rPr>
        <w:t xml:space="preserve"> foi conduzida a </w:t>
      </w:r>
      <w:r w:rsidR="008059FC">
        <w:rPr>
          <w:lang w:val="pt-BR"/>
        </w:rPr>
        <w:t>25</w:t>
      </w:r>
      <w:r>
        <w:rPr>
          <w:rFonts w:cs="Times"/>
          <w:lang w:val="pt-BR"/>
        </w:rPr>
        <w:t>°</w:t>
      </w:r>
      <w:r w:rsidRPr="00401901">
        <w:rPr>
          <w:lang w:val="pt-BR"/>
        </w:rPr>
        <w:t xml:space="preserve">C por </w:t>
      </w:r>
      <w:r>
        <w:rPr>
          <w:lang w:val="pt-BR"/>
        </w:rPr>
        <w:t>40 min</w:t>
      </w:r>
      <w:r w:rsidRPr="00401901">
        <w:rPr>
          <w:lang w:val="pt-BR"/>
        </w:rPr>
        <w:t xml:space="preserve"> usando um fluxo etanol/He (</w:t>
      </w:r>
      <w:r w:rsidR="008059FC">
        <w:rPr>
          <w:lang w:val="pt-BR"/>
        </w:rPr>
        <w:t>15</w:t>
      </w:r>
      <w:r w:rsidRPr="00401901">
        <w:rPr>
          <w:lang w:val="pt-BR"/>
        </w:rPr>
        <w:t xml:space="preserve"> mLmin</w:t>
      </w:r>
      <w:r w:rsidRPr="00401901">
        <w:rPr>
          <w:vertAlign w:val="superscript"/>
          <w:lang w:val="pt-BR"/>
        </w:rPr>
        <w:t>-1</w:t>
      </w:r>
      <w:r w:rsidRPr="00401901">
        <w:rPr>
          <w:lang w:val="pt-BR"/>
        </w:rPr>
        <w:t xml:space="preserve">). </w:t>
      </w:r>
      <w:r w:rsidR="008059FC">
        <w:rPr>
          <w:lang w:val="pt-BR"/>
        </w:rPr>
        <w:t>O v</w:t>
      </w:r>
      <w:r w:rsidRPr="00401901">
        <w:rPr>
          <w:lang w:val="pt-BR"/>
        </w:rPr>
        <w:t>apor de etanol fo</w:t>
      </w:r>
      <w:r>
        <w:rPr>
          <w:lang w:val="pt-BR"/>
        </w:rPr>
        <w:t>i</w:t>
      </w:r>
      <w:r w:rsidRPr="00401901">
        <w:rPr>
          <w:lang w:val="pt-BR"/>
        </w:rPr>
        <w:t xml:space="preserve"> gerado pela passagem de He por um saturador a </w:t>
      </w:r>
      <w:r>
        <w:rPr>
          <w:lang w:val="pt-BR"/>
        </w:rPr>
        <w:t>25</w:t>
      </w:r>
      <w:r>
        <w:rPr>
          <w:rFonts w:cs="Times"/>
          <w:lang w:val="pt-BR"/>
        </w:rPr>
        <w:t>°</w:t>
      </w:r>
      <w:r w:rsidRPr="00401901">
        <w:rPr>
          <w:lang w:val="pt-BR"/>
        </w:rPr>
        <w:t>C. A dessorção do etanol foi realizada sob fluxo de He (</w:t>
      </w:r>
      <w:r w:rsidR="008059FC">
        <w:rPr>
          <w:lang w:val="pt-BR"/>
        </w:rPr>
        <w:t>8</w:t>
      </w:r>
      <w:r w:rsidRPr="00401901">
        <w:rPr>
          <w:lang w:val="pt-BR"/>
        </w:rPr>
        <w:t>0 mLmin</w:t>
      </w:r>
      <w:r w:rsidRPr="00401901">
        <w:rPr>
          <w:vertAlign w:val="superscript"/>
          <w:lang w:val="pt-BR"/>
        </w:rPr>
        <w:t>−1</w:t>
      </w:r>
      <w:r w:rsidRPr="00401901">
        <w:rPr>
          <w:lang w:val="pt-BR"/>
        </w:rPr>
        <w:t xml:space="preserve">) a </w:t>
      </w:r>
      <w:r w:rsidR="002F0E51">
        <w:rPr>
          <w:lang w:val="pt-BR"/>
        </w:rPr>
        <w:t>1</w:t>
      </w:r>
      <w:r w:rsidRPr="00401901">
        <w:rPr>
          <w:lang w:val="pt-BR"/>
        </w:rPr>
        <w:t>0</w:t>
      </w:r>
      <w:r w:rsidR="002F0E51">
        <w:rPr>
          <w:rFonts w:cs="Times"/>
          <w:lang w:val="pt-BR"/>
        </w:rPr>
        <w:t>°</w:t>
      </w:r>
      <w:r w:rsidRPr="00401901">
        <w:rPr>
          <w:lang w:val="pt-BR"/>
        </w:rPr>
        <w:t>C</w:t>
      </w:r>
      <w:r w:rsidR="002F0E51">
        <w:rPr>
          <w:lang w:val="pt-BR"/>
        </w:rPr>
        <w:t>min</w:t>
      </w:r>
      <w:r w:rsidR="002F0E51" w:rsidRPr="002F0E51">
        <w:rPr>
          <w:vertAlign w:val="superscript"/>
          <w:lang w:val="pt-BR"/>
        </w:rPr>
        <w:t>-1</w:t>
      </w:r>
      <w:r w:rsidR="002F0E51">
        <w:rPr>
          <w:lang w:val="pt-BR"/>
        </w:rPr>
        <w:t>,</w:t>
      </w:r>
      <w:r w:rsidRPr="00401901">
        <w:rPr>
          <w:lang w:val="pt-BR"/>
        </w:rPr>
        <w:t xml:space="preserve"> de </w:t>
      </w:r>
      <w:r w:rsidR="008059FC">
        <w:rPr>
          <w:lang w:val="pt-BR"/>
        </w:rPr>
        <w:t>3</w:t>
      </w:r>
      <w:r w:rsidRPr="00401901">
        <w:rPr>
          <w:lang w:val="pt-BR"/>
        </w:rPr>
        <w:t>0</w:t>
      </w:r>
      <w:r w:rsidR="002F0E51">
        <w:rPr>
          <w:rFonts w:cs="Times"/>
          <w:lang w:val="pt-BR"/>
        </w:rPr>
        <w:t>°</w:t>
      </w:r>
      <w:r w:rsidRPr="00401901">
        <w:rPr>
          <w:lang w:val="pt-BR"/>
        </w:rPr>
        <w:t xml:space="preserve">C a </w:t>
      </w:r>
      <w:r w:rsidR="002F0E51">
        <w:rPr>
          <w:lang w:val="pt-BR"/>
        </w:rPr>
        <w:t>3</w:t>
      </w:r>
      <w:r w:rsidRPr="00401901">
        <w:rPr>
          <w:lang w:val="pt-BR"/>
        </w:rPr>
        <w:t>00</w:t>
      </w:r>
      <w:r w:rsidR="002F0E51">
        <w:rPr>
          <w:rFonts w:cs="Times"/>
          <w:lang w:val="pt-BR"/>
        </w:rPr>
        <w:t>°</w:t>
      </w:r>
      <w:r w:rsidRPr="00401901">
        <w:rPr>
          <w:lang w:val="pt-BR"/>
        </w:rPr>
        <w:t>C. Os seguintes fragmentos</w:t>
      </w:r>
      <w:r w:rsidR="008059FC" w:rsidRPr="008059FC">
        <w:rPr>
          <w:lang w:val="pt-BR"/>
        </w:rPr>
        <w:t xml:space="preserve"> </w:t>
      </w:r>
      <w:r w:rsidR="008059FC" w:rsidRPr="00401901">
        <w:rPr>
          <w:lang w:val="pt-BR"/>
        </w:rPr>
        <w:t>foram continuamente monitorados por um espectrômetro de massa</w:t>
      </w:r>
      <w:r w:rsidRPr="00401901">
        <w:rPr>
          <w:lang w:val="pt-BR"/>
        </w:rPr>
        <w:t>:</w:t>
      </w:r>
      <w:r w:rsidR="00E57207">
        <w:rPr>
          <w:lang w:val="pt-BR"/>
        </w:rPr>
        <w:t xml:space="preserve"> </w:t>
      </w:r>
      <w:r w:rsidR="00E57207" w:rsidRPr="00401901">
        <w:rPr>
          <w:lang w:val="pt-BR"/>
        </w:rPr>
        <w:t>m/z = 2 (hidrogênio), m/z = 18 (água), m/z = 26 (eteno),</w:t>
      </w:r>
      <w:r w:rsidR="00E57207">
        <w:rPr>
          <w:lang w:val="pt-BR"/>
        </w:rPr>
        <w:t xml:space="preserve"> </w:t>
      </w:r>
      <w:r w:rsidR="00E57207" w:rsidRPr="00401901">
        <w:rPr>
          <w:lang w:val="pt-BR"/>
        </w:rPr>
        <w:t xml:space="preserve">m/z = </w:t>
      </w:r>
      <w:r w:rsidR="00E57207">
        <w:rPr>
          <w:lang w:val="pt-BR"/>
        </w:rPr>
        <w:t>28</w:t>
      </w:r>
      <w:r w:rsidR="00E57207" w:rsidRPr="00401901">
        <w:rPr>
          <w:lang w:val="pt-BR"/>
        </w:rPr>
        <w:t xml:space="preserve"> (</w:t>
      </w:r>
      <w:r w:rsidR="00E57207">
        <w:rPr>
          <w:lang w:val="pt-BR"/>
        </w:rPr>
        <w:t>CO</w:t>
      </w:r>
      <w:r w:rsidR="00E57207" w:rsidRPr="00401901">
        <w:rPr>
          <w:lang w:val="pt-BR"/>
        </w:rPr>
        <w:t>)</w:t>
      </w:r>
      <w:r w:rsidR="00E57207">
        <w:rPr>
          <w:lang w:val="pt-BR"/>
        </w:rPr>
        <w:t>,</w:t>
      </w:r>
      <w:r w:rsidR="00E57207" w:rsidRPr="00401901">
        <w:rPr>
          <w:lang w:val="pt-BR"/>
        </w:rPr>
        <w:t xml:space="preserve"> m/z = 29 (acetaldeído), m/z = 31 (etanol),</w:t>
      </w:r>
      <w:r w:rsidR="00E57207">
        <w:rPr>
          <w:lang w:val="pt-BR"/>
        </w:rPr>
        <w:t xml:space="preserve"> </w:t>
      </w:r>
      <w:r w:rsidR="00E57207" w:rsidRPr="00401901">
        <w:rPr>
          <w:lang w:val="pt-BR"/>
        </w:rPr>
        <w:t xml:space="preserve">m/z = </w:t>
      </w:r>
      <w:r w:rsidR="00E57207">
        <w:rPr>
          <w:lang w:val="pt-BR"/>
        </w:rPr>
        <w:t>44</w:t>
      </w:r>
      <w:r w:rsidR="00E57207" w:rsidRPr="00401901">
        <w:rPr>
          <w:lang w:val="pt-BR"/>
        </w:rPr>
        <w:t xml:space="preserve"> (</w:t>
      </w:r>
      <w:r w:rsidR="00E57207">
        <w:rPr>
          <w:lang w:val="pt-BR"/>
        </w:rPr>
        <w:t>CO</w:t>
      </w:r>
      <w:r w:rsidR="00E57207" w:rsidRPr="00555E07">
        <w:rPr>
          <w:vertAlign w:val="subscript"/>
          <w:lang w:val="pt-BR"/>
        </w:rPr>
        <w:t>2</w:t>
      </w:r>
      <w:r w:rsidR="00E57207" w:rsidRPr="00401901">
        <w:rPr>
          <w:lang w:val="pt-BR"/>
        </w:rPr>
        <w:t>)</w:t>
      </w:r>
      <w:r w:rsidR="00E57207">
        <w:rPr>
          <w:lang w:val="pt-BR"/>
        </w:rPr>
        <w:t>,</w:t>
      </w:r>
      <w:r w:rsidR="00E57207" w:rsidRPr="00401901">
        <w:rPr>
          <w:lang w:val="pt-BR"/>
        </w:rPr>
        <w:t xml:space="preserve"> m/z = </w:t>
      </w:r>
      <w:r w:rsidR="00E57207">
        <w:rPr>
          <w:lang w:val="pt-BR"/>
        </w:rPr>
        <w:t>45</w:t>
      </w:r>
      <w:r w:rsidR="00E57207" w:rsidRPr="00401901">
        <w:rPr>
          <w:lang w:val="pt-BR"/>
        </w:rPr>
        <w:t xml:space="preserve"> (</w:t>
      </w:r>
      <w:r w:rsidR="00E57207">
        <w:rPr>
          <w:lang w:val="pt-BR"/>
        </w:rPr>
        <w:t>ácido acético</w:t>
      </w:r>
      <w:r w:rsidR="00E57207" w:rsidRPr="00401901">
        <w:rPr>
          <w:lang w:val="pt-BR"/>
        </w:rPr>
        <w:t>)</w:t>
      </w:r>
      <w:r w:rsidR="00E57207">
        <w:rPr>
          <w:lang w:val="pt-BR"/>
        </w:rPr>
        <w:t xml:space="preserve">, </w:t>
      </w:r>
      <w:r w:rsidR="00E57207" w:rsidRPr="00401901">
        <w:rPr>
          <w:lang w:val="pt-BR"/>
        </w:rPr>
        <w:t>m /z = 58 (acetona)</w:t>
      </w:r>
      <w:r w:rsidR="00E57207">
        <w:rPr>
          <w:lang w:val="pt-BR"/>
        </w:rPr>
        <w:t xml:space="preserve"> </w:t>
      </w:r>
      <w:r w:rsidR="00E57207" w:rsidRPr="00401901">
        <w:rPr>
          <w:lang w:val="pt-BR"/>
        </w:rPr>
        <w:t>e m/z = 38 (propeno</w:t>
      </w:r>
      <w:proofErr w:type="gramStart"/>
      <w:r w:rsidR="00E57207" w:rsidRPr="00401901">
        <w:rPr>
          <w:lang w:val="pt-BR"/>
        </w:rPr>
        <w:t>).</w:t>
      </w:r>
      <w:r w:rsidRPr="00401901">
        <w:rPr>
          <w:lang w:val="pt-BR"/>
        </w:rPr>
        <w:t>.</w:t>
      </w:r>
      <w:proofErr w:type="gramEnd"/>
      <w:r w:rsidRPr="00401901">
        <w:rPr>
          <w:lang w:val="pt-BR"/>
        </w:rPr>
        <w:t xml:space="preserve"> As intensidades desses fragmentos foram tratadas matematicamente para eliminar contribuições de mais de uma espécie.</w:t>
      </w:r>
    </w:p>
    <w:p w:rsidR="008059FC" w:rsidRDefault="008059FC" w:rsidP="00401901">
      <w:pPr>
        <w:pStyle w:val="TAMainText"/>
        <w:rPr>
          <w:lang w:val="pt-BR"/>
        </w:rPr>
      </w:pPr>
      <w:r>
        <w:rPr>
          <w:lang w:val="pt-BR"/>
        </w:rPr>
        <w:t>Para os experimentos de TPSR-MS-CO</w:t>
      </w:r>
      <w:r w:rsidRPr="008059FC">
        <w:rPr>
          <w:vertAlign w:val="subscript"/>
          <w:lang w:val="pt-BR"/>
        </w:rPr>
        <w:t>2</w:t>
      </w:r>
      <w:r>
        <w:rPr>
          <w:lang w:val="pt-BR"/>
        </w:rPr>
        <w:t>/H</w:t>
      </w:r>
      <w:r w:rsidRPr="008059FC">
        <w:rPr>
          <w:vertAlign w:val="subscript"/>
          <w:lang w:val="pt-BR"/>
        </w:rPr>
        <w:t>2</w:t>
      </w:r>
      <w:r>
        <w:rPr>
          <w:lang w:val="pt-BR"/>
        </w:rPr>
        <w:t>, a adsorção de CO</w:t>
      </w:r>
      <w:r w:rsidRPr="008059FC">
        <w:rPr>
          <w:vertAlign w:val="subscript"/>
          <w:lang w:val="pt-BR"/>
        </w:rPr>
        <w:t>2</w:t>
      </w:r>
      <w:r>
        <w:rPr>
          <w:lang w:val="pt-BR"/>
        </w:rPr>
        <w:t xml:space="preserve"> (</w:t>
      </w:r>
      <w:r>
        <w:rPr>
          <w:lang w:val="pt-BR"/>
        </w:rPr>
        <w:t>20 mLmin</w:t>
      </w:r>
      <w:r w:rsidRPr="008059FC">
        <w:rPr>
          <w:vertAlign w:val="superscript"/>
          <w:lang w:val="pt-BR"/>
        </w:rPr>
        <w:t>-1</w:t>
      </w:r>
      <w:r>
        <w:rPr>
          <w:lang w:val="pt-BR"/>
        </w:rPr>
        <w:t xml:space="preserve">) foi feita a </w:t>
      </w:r>
      <w:r>
        <w:rPr>
          <w:lang w:val="pt-BR"/>
        </w:rPr>
        <w:t>25</w:t>
      </w:r>
      <w:r>
        <w:rPr>
          <w:rFonts w:cs="Times"/>
          <w:lang w:val="pt-BR"/>
        </w:rPr>
        <w:t>°</w:t>
      </w:r>
      <w:r w:rsidRPr="00401901">
        <w:rPr>
          <w:lang w:val="pt-BR"/>
        </w:rPr>
        <w:t>C</w:t>
      </w:r>
      <w:r>
        <w:rPr>
          <w:lang w:val="pt-BR"/>
        </w:rPr>
        <w:t xml:space="preserve"> durante 40 min. A dessorção foi realizada sob fluxo de H</w:t>
      </w:r>
      <w:r w:rsidRPr="008059FC">
        <w:rPr>
          <w:vertAlign w:val="subscript"/>
          <w:lang w:val="pt-BR"/>
        </w:rPr>
        <w:t>2</w:t>
      </w:r>
      <w:r>
        <w:rPr>
          <w:lang w:val="pt-BR"/>
        </w:rPr>
        <w:t xml:space="preserve"> (4</w:t>
      </w:r>
      <w:r w:rsidRPr="00401901">
        <w:rPr>
          <w:lang w:val="pt-BR"/>
        </w:rPr>
        <w:t>0 mLmin</w:t>
      </w:r>
      <w:r w:rsidRPr="00401901">
        <w:rPr>
          <w:vertAlign w:val="superscript"/>
          <w:lang w:val="pt-BR"/>
        </w:rPr>
        <w:t>−1</w:t>
      </w:r>
      <w:r>
        <w:rPr>
          <w:lang w:val="pt-BR"/>
        </w:rPr>
        <w:t xml:space="preserve">) </w:t>
      </w:r>
      <w:r w:rsidRPr="00401901">
        <w:rPr>
          <w:lang w:val="pt-BR"/>
        </w:rPr>
        <w:t xml:space="preserve">a </w:t>
      </w:r>
      <w:r>
        <w:rPr>
          <w:lang w:val="pt-BR"/>
        </w:rPr>
        <w:t>1</w:t>
      </w:r>
      <w:r w:rsidRPr="00401901">
        <w:rPr>
          <w:lang w:val="pt-BR"/>
        </w:rPr>
        <w:t>0</w:t>
      </w:r>
      <w:r>
        <w:rPr>
          <w:rFonts w:cs="Times"/>
          <w:lang w:val="pt-BR"/>
        </w:rPr>
        <w:t>°</w:t>
      </w:r>
      <w:r w:rsidRPr="00401901">
        <w:rPr>
          <w:lang w:val="pt-BR"/>
        </w:rPr>
        <w:t>C</w:t>
      </w:r>
      <w:r>
        <w:rPr>
          <w:lang w:val="pt-BR"/>
        </w:rPr>
        <w:t>min</w:t>
      </w:r>
      <w:r w:rsidRPr="002F0E51">
        <w:rPr>
          <w:vertAlign w:val="superscript"/>
          <w:lang w:val="pt-BR"/>
        </w:rPr>
        <w:t>-1</w:t>
      </w:r>
      <w:r>
        <w:rPr>
          <w:lang w:val="pt-BR"/>
        </w:rPr>
        <w:t>,</w:t>
      </w:r>
      <w:r w:rsidRPr="00401901">
        <w:rPr>
          <w:lang w:val="pt-BR"/>
        </w:rPr>
        <w:t xml:space="preserve"> de </w:t>
      </w:r>
      <w:r>
        <w:rPr>
          <w:lang w:val="pt-BR"/>
        </w:rPr>
        <w:t>3</w:t>
      </w:r>
      <w:r w:rsidRPr="00401901">
        <w:rPr>
          <w:lang w:val="pt-BR"/>
        </w:rPr>
        <w:t>0</w:t>
      </w:r>
      <w:r>
        <w:rPr>
          <w:rFonts w:cs="Times"/>
          <w:lang w:val="pt-BR"/>
        </w:rPr>
        <w:t>°</w:t>
      </w:r>
      <w:r w:rsidRPr="00401901">
        <w:rPr>
          <w:lang w:val="pt-BR"/>
        </w:rPr>
        <w:t xml:space="preserve">C a </w:t>
      </w:r>
      <w:r>
        <w:rPr>
          <w:lang w:val="pt-BR"/>
        </w:rPr>
        <w:t>3</w:t>
      </w:r>
      <w:r w:rsidRPr="00401901">
        <w:rPr>
          <w:lang w:val="pt-BR"/>
        </w:rPr>
        <w:t>00</w:t>
      </w:r>
      <w:r>
        <w:rPr>
          <w:rFonts w:cs="Times"/>
          <w:lang w:val="pt-BR"/>
        </w:rPr>
        <w:t>°</w:t>
      </w:r>
      <w:r w:rsidRPr="00401901">
        <w:rPr>
          <w:lang w:val="pt-BR"/>
        </w:rPr>
        <w:t>C</w:t>
      </w:r>
      <w:r>
        <w:rPr>
          <w:lang w:val="pt-BR"/>
        </w:rPr>
        <w:t>.</w:t>
      </w:r>
      <w:r w:rsidR="00555E07">
        <w:rPr>
          <w:lang w:val="pt-BR"/>
        </w:rPr>
        <w:t xml:space="preserve"> </w:t>
      </w:r>
      <w:r w:rsidR="00555E07" w:rsidRPr="00401901">
        <w:rPr>
          <w:lang w:val="pt-BR"/>
        </w:rPr>
        <w:t>Os seguintes fragmentos</w:t>
      </w:r>
      <w:r w:rsidR="00555E07" w:rsidRPr="008059FC">
        <w:rPr>
          <w:lang w:val="pt-BR"/>
        </w:rPr>
        <w:t xml:space="preserve"> </w:t>
      </w:r>
      <w:r w:rsidR="00555E07" w:rsidRPr="00401901">
        <w:rPr>
          <w:lang w:val="pt-BR"/>
        </w:rPr>
        <w:t>foram continuamente monitorados por um espectrômetro de massa: m/z = 2 (hidrogênio), m/z = 18 (água),</w:t>
      </w:r>
      <w:r w:rsidR="00555E07">
        <w:rPr>
          <w:lang w:val="pt-BR"/>
        </w:rPr>
        <w:t xml:space="preserve"> </w:t>
      </w:r>
      <w:r w:rsidR="00555E07" w:rsidRPr="00401901">
        <w:rPr>
          <w:lang w:val="pt-BR"/>
        </w:rPr>
        <w:t xml:space="preserve">m/z = </w:t>
      </w:r>
      <w:r w:rsidR="00555E07">
        <w:rPr>
          <w:lang w:val="pt-BR"/>
        </w:rPr>
        <w:t>28</w:t>
      </w:r>
      <w:r w:rsidR="00555E07" w:rsidRPr="00401901">
        <w:rPr>
          <w:lang w:val="pt-BR"/>
        </w:rPr>
        <w:t xml:space="preserve"> (</w:t>
      </w:r>
      <w:r w:rsidR="00555E07">
        <w:rPr>
          <w:lang w:val="pt-BR"/>
        </w:rPr>
        <w:t>CO</w:t>
      </w:r>
      <w:r w:rsidR="00555E07" w:rsidRPr="00401901">
        <w:rPr>
          <w:lang w:val="pt-BR"/>
        </w:rPr>
        <w:t>)</w:t>
      </w:r>
      <w:r w:rsidR="00E57207">
        <w:rPr>
          <w:lang w:val="pt-BR"/>
        </w:rPr>
        <w:t xml:space="preserve"> e</w:t>
      </w:r>
      <w:r w:rsidR="00555E07" w:rsidRPr="00401901">
        <w:rPr>
          <w:lang w:val="pt-BR"/>
        </w:rPr>
        <w:t xml:space="preserve"> m/z = </w:t>
      </w:r>
      <w:r w:rsidR="00555E07">
        <w:rPr>
          <w:lang w:val="pt-BR"/>
        </w:rPr>
        <w:t>4</w:t>
      </w:r>
      <w:r w:rsidR="00555E07">
        <w:rPr>
          <w:lang w:val="pt-BR"/>
        </w:rPr>
        <w:t>4</w:t>
      </w:r>
      <w:r w:rsidR="00555E07" w:rsidRPr="00401901">
        <w:rPr>
          <w:lang w:val="pt-BR"/>
        </w:rPr>
        <w:t xml:space="preserve"> (</w:t>
      </w:r>
      <w:r w:rsidR="00555E07">
        <w:rPr>
          <w:lang w:val="pt-BR"/>
        </w:rPr>
        <w:t>CO</w:t>
      </w:r>
      <w:r w:rsidR="00555E07" w:rsidRPr="00555E07">
        <w:rPr>
          <w:vertAlign w:val="subscript"/>
          <w:lang w:val="pt-BR"/>
        </w:rPr>
        <w:t>2</w:t>
      </w:r>
      <w:r w:rsidR="00555E07" w:rsidRPr="00401901">
        <w:rPr>
          <w:lang w:val="pt-BR"/>
        </w:rPr>
        <w:t>). As intensidades desses fragmentos foram tratadas matematicamente para eliminar contribuições de mais de uma espécie.</w:t>
      </w:r>
      <w:r>
        <w:rPr>
          <w:lang w:val="pt-BR"/>
        </w:rPr>
        <w:t xml:space="preserve"> </w:t>
      </w:r>
    </w:p>
    <w:p w:rsidR="009D18BC" w:rsidRDefault="00EA5557" w:rsidP="009D18BC">
      <w:pPr>
        <w:pStyle w:val="TAMainText"/>
        <w:ind w:firstLine="204"/>
        <w:rPr>
          <w:lang w:val="pt-BR"/>
        </w:rPr>
      </w:pPr>
      <w:r w:rsidRPr="0028114D">
        <w:rPr>
          <w:lang w:val="pt-BR"/>
        </w:rPr>
        <w:t xml:space="preserve">As análises de difração de raios X (DRX) dos catalisadores foram realizadas com 40 kV e 40 </w:t>
      </w:r>
      <w:proofErr w:type="spellStart"/>
      <w:r w:rsidRPr="0028114D">
        <w:rPr>
          <w:lang w:val="pt-BR"/>
        </w:rPr>
        <w:t>mA</w:t>
      </w:r>
      <w:proofErr w:type="spellEnd"/>
      <w:r w:rsidRPr="0028114D">
        <w:rPr>
          <w:lang w:val="pt-BR"/>
        </w:rPr>
        <w:t xml:space="preserve"> </w:t>
      </w:r>
      <w:r w:rsidRPr="0028114D">
        <w:rPr>
          <w:lang w:val="pt-BR"/>
        </w:rPr>
        <w:t xml:space="preserve">em um difratômetro Bruker, modelo D8 </w:t>
      </w:r>
      <w:proofErr w:type="spellStart"/>
      <w:r w:rsidRPr="0028114D">
        <w:rPr>
          <w:lang w:val="pt-BR"/>
        </w:rPr>
        <w:t>Advance</w:t>
      </w:r>
      <w:proofErr w:type="spellEnd"/>
      <w:r>
        <w:rPr>
          <w:lang w:val="pt-BR"/>
        </w:rPr>
        <w:t>,</w:t>
      </w:r>
      <w:r w:rsidRPr="0028114D">
        <w:rPr>
          <w:lang w:val="pt-BR"/>
        </w:rPr>
        <w:t xml:space="preserve"> equipado com fonte de radiação </w:t>
      </w:r>
      <w:proofErr w:type="spellStart"/>
      <w:r w:rsidRPr="0028114D">
        <w:rPr>
          <w:lang w:val="pt-BR"/>
        </w:rPr>
        <w:t>CuK</w:t>
      </w:r>
      <w:proofErr w:type="spellEnd"/>
      <w:r w:rsidRPr="0028114D">
        <w:rPr>
          <w:rFonts w:ascii="Symbol" w:hAnsi="Symbol"/>
          <w:lang w:val="pt-BR"/>
        </w:rPr>
        <w:t></w:t>
      </w:r>
      <w:r w:rsidRPr="0028114D">
        <w:rPr>
          <w:lang w:val="pt-BR"/>
        </w:rPr>
        <w:t xml:space="preserve"> (1,5406 Å) e filtro de níquel</w:t>
      </w:r>
      <w:r>
        <w:rPr>
          <w:lang w:val="pt-BR"/>
        </w:rPr>
        <w:t>.</w:t>
      </w:r>
      <w:r w:rsidRPr="0028114D">
        <w:rPr>
          <w:lang w:val="pt-BR"/>
        </w:rPr>
        <w:t xml:space="preserve"> Os difratogramas foram obtidos nas seguintes condições: passo de 0,02</w:t>
      </w:r>
      <w:r>
        <w:rPr>
          <w:rFonts w:cs="Times"/>
          <w:lang w:val="pt-BR"/>
        </w:rPr>
        <w:t>°</w:t>
      </w:r>
      <w:r w:rsidRPr="0028114D">
        <w:rPr>
          <w:lang w:val="pt-BR"/>
        </w:rPr>
        <w:t>, 0,5 s/passo, no intervalo de 2</w:t>
      </w:r>
      <w:r>
        <w:rPr>
          <w:rFonts w:ascii="Calibri" w:hAnsi="Calibri" w:cs="Calibri"/>
          <w:lang w:val="pt-BR"/>
        </w:rPr>
        <w:t>θ</w:t>
      </w:r>
      <w:r w:rsidRPr="0028114D">
        <w:rPr>
          <w:lang w:val="pt-BR"/>
        </w:rPr>
        <w:t xml:space="preserve"> entre 10 e 85°.</w:t>
      </w:r>
    </w:p>
    <w:p w:rsidR="009D18BC" w:rsidRDefault="009D18BC" w:rsidP="009D18BC">
      <w:pPr>
        <w:pStyle w:val="TAMainText"/>
        <w:ind w:firstLine="204"/>
        <w:rPr>
          <w:lang w:val="pt-BR"/>
        </w:rPr>
      </w:pPr>
      <w:r w:rsidRPr="00E4162F">
        <w:rPr>
          <w:lang w:val="pt-BR"/>
        </w:rPr>
        <w:t xml:space="preserve">A composição superficial dos catalisadores foi determinada a partir da espectroscopia fotoeletrônica de raios X (XPS). A análise de XPS foi realizada em um instrumento SPECS, equipado com um analisador esférico PHOIBOS-150 e com fonte de raio X </w:t>
      </w:r>
      <w:proofErr w:type="spellStart"/>
      <w:r w:rsidRPr="00E4162F">
        <w:rPr>
          <w:lang w:val="pt-BR"/>
        </w:rPr>
        <w:t>AlK</w:t>
      </w:r>
      <w:proofErr w:type="spellEnd"/>
      <w:r w:rsidRPr="00D24935">
        <w:rPr>
          <w:rFonts w:ascii="Symbol" w:hAnsi="Symbol"/>
          <w:lang w:val="pt-BR"/>
        </w:rPr>
        <w:t></w:t>
      </w:r>
      <w:r w:rsidRPr="00E4162F">
        <w:rPr>
          <w:lang w:val="pt-BR"/>
        </w:rPr>
        <w:t xml:space="preserve"> (h</w:t>
      </w:r>
      <w:r w:rsidRPr="00D24935">
        <w:rPr>
          <w:rFonts w:ascii="Symbol" w:hAnsi="Symbol"/>
          <w:lang w:val="pt-BR"/>
        </w:rPr>
        <w:t></w:t>
      </w:r>
      <w:r w:rsidRPr="00E4162F">
        <w:rPr>
          <w:lang w:val="pt-BR"/>
        </w:rPr>
        <w:t xml:space="preserve"> = 1486,6 </w:t>
      </w:r>
      <w:proofErr w:type="spellStart"/>
      <w:r w:rsidRPr="00E4162F">
        <w:rPr>
          <w:lang w:val="pt-BR"/>
        </w:rPr>
        <w:t>eV</w:t>
      </w:r>
      <w:proofErr w:type="spellEnd"/>
      <w:r w:rsidRPr="00E4162F">
        <w:rPr>
          <w:lang w:val="pt-BR"/>
        </w:rPr>
        <w:t xml:space="preserve">). A energia do C1s (284,6 </w:t>
      </w:r>
      <w:proofErr w:type="spellStart"/>
      <w:r w:rsidRPr="00E4162F">
        <w:rPr>
          <w:lang w:val="pt-BR"/>
        </w:rPr>
        <w:t>eV</w:t>
      </w:r>
      <w:proofErr w:type="spellEnd"/>
      <w:r w:rsidRPr="00E4162F">
        <w:rPr>
          <w:lang w:val="pt-BR"/>
        </w:rPr>
        <w:t>) foi usada como referência. Os dados foram analisados no software Casa XPS.</w:t>
      </w:r>
    </w:p>
    <w:p w:rsidR="00F603C5" w:rsidRDefault="00F603C5" w:rsidP="008A3405">
      <w:pPr>
        <w:pStyle w:val="TAMainText"/>
        <w:rPr>
          <w:rFonts w:ascii="Times New Roman" w:hAnsi="Times New Roman"/>
          <w:lang w:val="pt-BR"/>
        </w:rPr>
      </w:pPr>
    </w:p>
    <w:p w:rsidR="008A3405" w:rsidRPr="001F25B2" w:rsidRDefault="008A3405" w:rsidP="008A3405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Testes catalíticos.</w:t>
      </w:r>
    </w:p>
    <w:p w:rsidR="00EA4E1B" w:rsidRDefault="00190C6A" w:rsidP="00EA4E1B">
      <w:pPr>
        <w:pStyle w:val="TAMainText"/>
        <w:rPr>
          <w:rFonts w:ascii="Times New Roman" w:hAnsi="Times New Roman"/>
          <w:lang w:val="pt-BR"/>
        </w:rPr>
      </w:pPr>
      <w:r w:rsidRPr="00190C6A">
        <w:rPr>
          <w:rFonts w:ascii="Times New Roman" w:hAnsi="Times New Roman"/>
          <w:lang w:val="pt-BR"/>
        </w:rPr>
        <w:t xml:space="preserve">Os catalisadores foram avaliados em um micro reator (PFR) nas seguintes condições padrão: </w:t>
      </w:r>
      <w:r>
        <w:rPr>
          <w:rFonts w:ascii="Times New Roman" w:hAnsi="Times New Roman"/>
          <w:lang w:val="pt-BR"/>
        </w:rPr>
        <w:t>300</w:t>
      </w:r>
      <w:r w:rsidRPr="00190C6A">
        <w:rPr>
          <w:rFonts w:ascii="Times New Roman" w:hAnsi="Times New Roman"/>
          <w:lang w:val="pt-BR"/>
        </w:rPr>
        <w:t xml:space="preserve">°C, </w:t>
      </w:r>
      <w:r>
        <w:rPr>
          <w:rFonts w:ascii="Times New Roman" w:hAnsi="Times New Roman"/>
          <w:lang w:val="pt-BR"/>
        </w:rPr>
        <w:t xml:space="preserve">1 </w:t>
      </w:r>
      <w:proofErr w:type="spellStart"/>
      <w:r>
        <w:rPr>
          <w:rFonts w:ascii="Times New Roman" w:hAnsi="Times New Roman"/>
          <w:lang w:val="pt-BR"/>
        </w:rPr>
        <w:t>atm</w:t>
      </w:r>
      <w:proofErr w:type="spellEnd"/>
      <w:r>
        <w:rPr>
          <w:rFonts w:ascii="Times New Roman" w:hAnsi="Times New Roman"/>
          <w:lang w:val="pt-BR"/>
        </w:rPr>
        <w:t xml:space="preserve">, </w:t>
      </w:r>
      <w:r w:rsidR="002F4587">
        <w:rPr>
          <w:rFonts w:ascii="Times New Roman" w:hAnsi="Times New Roman"/>
          <w:lang w:val="pt-BR"/>
        </w:rPr>
        <w:t>0,15g</w:t>
      </w:r>
      <w:r w:rsidR="002F4587" w:rsidRPr="002F4587">
        <w:rPr>
          <w:rFonts w:ascii="Times New Roman" w:hAnsi="Times New Roman"/>
          <w:vertAlign w:val="subscript"/>
          <w:lang w:val="pt-BR"/>
        </w:rPr>
        <w:t>EtOH</w:t>
      </w:r>
      <w:r w:rsidR="002F4587">
        <w:rPr>
          <w:rFonts w:ascii="Times New Roman" w:hAnsi="Times New Roman"/>
          <w:lang w:val="pt-BR"/>
        </w:rPr>
        <w:t>g</w:t>
      </w:r>
      <w:r w:rsidR="002F4587" w:rsidRPr="002F4587">
        <w:rPr>
          <w:rFonts w:ascii="Times New Roman" w:hAnsi="Times New Roman"/>
          <w:vertAlign w:val="subscript"/>
          <w:lang w:val="pt-BR"/>
        </w:rPr>
        <w:t>cat</w:t>
      </w:r>
      <w:r w:rsidR="002F4587" w:rsidRPr="002F4587">
        <w:rPr>
          <w:rFonts w:ascii="Times New Roman" w:hAnsi="Times New Roman"/>
          <w:vertAlign w:val="superscript"/>
          <w:lang w:val="pt-BR"/>
        </w:rPr>
        <w:t>-1</w:t>
      </w:r>
      <w:r w:rsidRPr="00190C6A">
        <w:rPr>
          <w:rFonts w:ascii="Times New Roman" w:hAnsi="Times New Roman"/>
          <w:lang w:val="pt-BR"/>
        </w:rPr>
        <w:t>h</w:t>
      </w:r>
      <w:r w:rsidRPr="00190C6A">
        <w:rPr>
          <w:rFonts w:ascii="Times New Roman" w:hAnsi="Times New Roman"/>
          <w:vertAlign w:val="superscript"/>
          <w:lang w:val="pt-BR"/>
        </w:rPr>
        <w:t>-1</w:t>
      </w:r>
      <w:r>
        <w:rPr>
          <w:rFonts w:ascii="Times New Roman" w:hAnsi="Times New Roman"/>
          <w:lang w:val="pt-BR"/>
        </w:rPr>
        <w:t xml:space="preserve"> e C</w:t>
      </w:r>
      <w:r w:rsidRPr="002F4587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>H</w:t>
      </w:r>
      <w:r w:rsidRPr="002F4587">
        <w:rPr>
          <w:rFonts w:ascii="Times New Roman" w:hAnsi="Times New Roman"/>
          <w:vertAlign w:val="subscript"/>
          <w:lang w:val="pt-BR"/>
        </w:rPr>
        <w:t>5</w:t>
      </w:r>
      <w:r>
        <w:rPr>
          <w:rFonts w:ascii="Times New Roman" w:hAnsi="Times New Roman"/>
          <w:lang w:val="pt-BR"/>
        </w:rPr>
        <w:t>OH:H</w:t>
      </w:r>
      <w:r w:rsidRPr="002F4587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>O:N</w:t>
      </w:r>
      <w:r w:rsidRPr="002F4587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 na proporção 1:8:91</w:t>
      </w:r>
      <w:r w:rsidRPr="00190C6A">
        <w:rPr>
          <w:rFonts w:ascii="Times New Roman" w:hAnsi="Times New Roman"/>
          <w:lang w:val="pt-BR"/>
        </w:rPr>
        <w:t xml:space="preserve"> mol%</w:t>
      </w:r>
      <w:r w:rsidR="00DB297D">
        <w:rPr>
          <w:rFonts w:ascii="Times New Roman" w:hAnsi="Times New Roman"/>
          <w:lang w:val="pt-BR"/>
        </w:rPr>
        <w:t>,</w:t>
      </w:r>
      <w:r w:rsidR="00106A86">
        <w:rPr>
          <w:rFonts w:ascii="Times New Roman" w:hAnsi="Times New Roman"/>
          <w:lang w:val="pt-BR"/>
        </w:rPr>
        <w:t xml:space="preserve"> que correspondem a temperatura da reação, pressão da reação</w:t>
      </w:r>
      <w:r w:rsidR="00DE4534">
        <w:rPr>
          <w:rFonts w:ascii="Times New Roman" w:hAnsi="Times New Roman"/>
          <w:lang w:val="pt-BR"/>
        </w:rPr>
        <w:t>, velocidade espacial e composição da mistura reagente.</w:t>
      </w:r>
      <w:r w:rsidRPr="00190C6A">
        <w:rPr>
          <w:rFonts w:ascii="Times New Roman" w:hAnsi="Times New Roman"/>
          <w:lang w:val="pt-BR"/>
        </w:rPr>
        <w:t xml:space="preserve"> Foram também realizados testes variando a temperatura e a velocidade espacial.</w:t>
      </w:r>
      <w:r w:rsidR="00C40BCA">
        <w:rPr>
          <w:rFonts w:ascii="Times New Roman" w:hAnsi="Times New Roman"/>
          <w:lang w:val="pt-BR"/>
        </w:rPr>
        <w:t xml:space="preserve"> </w:t>
      </w:r>
      <w:r w:rsidR="00C40BCA" w:rsidRPr="00C40BCA">
        <w:rPr>
          <w:rFonts w:ascii="Times New Roman" w:hAnsi="Times New Roman"/>
          <w:lang w:val="pt-BR"/>
        </w:rPr>
        <w:t xml:space="preserve">O pré-tratamento foi o mesmo utilizado nos experimentos de TPD. Os produtos de </w:t>
      </w:r>
      <w:r w:rsidR="00C40BCA" w:rsidRPr="00C40BCA">
        <w:rPr>
          <w:rFonts w:ascii="Times New Roman" w:hAnsi="Times New Roman"/>
          <w:lang w:val="pt-BR"/>
        </w:rPr>
        <w:t xml:space="preserve">reação foram analisados online a cada </w:t>
      </w:r>
      <w:r w:rsidR="00C40BCA">
        <w:rPr>
          <w:rFonts w:ascii="Times New Roman" w:hAnsi="Times New Roman"/>
          <w:lang w:val="pt-BR"/>
        </w:rPr>
        <w:t>27</w:t>
      </w:r>
      <w:r w:rsidR="00C40BCA" w:rsidRPr="00C40BCA">
        <w:rPr>
          <w:rFonts w:ascii="Times New Roman" w:hAnsi="Times New Roman"/>
          <w:lang w:val="pt-BR"/>
        </w:rPr>
        <w:t xml:space="preserve"> min durante pelo menos 6h</w:t>
      </w:r>
      <w:r w:rsidR="00C40BCA">
        <w:rPr>
          <w:rFonts w:ascii="Times New Roman" w:hAnsi="Times New Roman"/>
          <w:lang w:val="pt-BR"/>
        </w:rPr>
        <w:t>,</w:t>
      </w:r>
      <w:r w:rsidR="00C40BCA" w:rsidRPr="00C40BCA">
        <w:rPr>
          <w:rFonts w:ascii="Times New Roman" w:hAnsi="Times New Roman"/>
          <w:lang w:val="pt-BR"/>
        </w:rPr>
        <w:t xml:space="preserve"> usando um cromatógrafo GC </w:t>
      </w:r>
      <w:proofErr w:type="spellStart"/>
      <w:r w:rsidR="00C40BCA" w:rsidRPr="00C40BCA">
        <w:rPr>
          <w:rFonts w:ascii="Times New Roman" w:hAnsi="Times New Roman"/>
          <w:lang w:val="pt-BR"/>
        </w:rPr>
        <w:t>Agilent</w:t>
      </w:r>
      <w:proofErr w:type="spellEnd"/>
      <w:r w:rsidR="00C40BCA" w:rsidRPr="00C40BCA">
        <w:rPr>
          <w:rFonts w:ascii="Times New Roman" w:hAnsi="Times New Roman"/>
          <w:lang w:val="pt-BR"/>
        </w:rPr>
        <w:t xml:space="preserve"> HP6890 equipado com detectores FID e TCD. No caso dos catalisadores testados em isoconversão, a </w:t>
      </w:r>
      <w:r w:rsidR="00C40BCA">
        <w:rPr>
          <w:rFonts w:ascii="Times New Roman" w:hAnsi="Times New Roman"/>
          <w:lang w:val="pt-BR"/>
        </w:rPr>
        <w:t>massa de catalisador</w:t>
      </w:r>
      <w:r w:rsidR="00C40BCA" w:rsidRPr="00C40BCA">
        <w:rPr>
          <w:rFonts w:ascii="Times New Roman" w:hAnsi="Times New Roman"/>
          <w:lang w:val="pt-BR"/>
        </w:rPr>
        <w:t xml:space="preserve"> foi alterada até atingir a conversão desejada</w:t>
      </w:r>
      <w:r w:rsidR="00D20C3A">
        <w:rPr>
          <w:rFonts w:ascii="Times New Roman" w:hAnsi="Times New Roman"/>
          <w:lang w:val="pt-BR"/>
        </w:rPr>
        <w:t xml:space="preserve"> (60%)</w:t>
      </w:r>
      <w:r w:rsidR="00C40BCA" w:rsidRPr="00C40BCA">
        <w:rPr>
          <w:rFonts w:ascii="Times New Roman" w:hAnsi="Times New Roman"/>
          <w:lang w:val="pt-BR"/>
        </w:rPr>
        <w:t>.</w:t>
      </w:r>
    </w:p>
    <w:p w:rsidR="00E57207" w:rsidRDefault="00E57207" w:rsidP="00EA4E1B">
      <w:pPr>
        <w:pStyle w:val="TAMainText"/>
        <w:rPr>
          <w:rFonts w:ascii="Times New Roman" w:hAnsi="Times New Roman"/>
          <w:lang w:val="pt-BR"/>
        </w:rPr>
      </w:pPr>
    </w:p>
    <w:p w:rsidR="00EA4E1B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Resultados e Discussão</w:t>
      </w:r>
    </w:p>
    <w:p w:rsidR="00DB2228" w:rsidRDefault="00DB2228" w:rsidP="00EA4E1B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A Tabela 1 mostra </w:t>
      </w:r>
      <w:r w:rsidR="00DE4534">
        <w:rPr>
          <w:rFonts w:ascii="Times New Roman" w:hAnsi="Times New Roman"/>
          <w:lang w:val="pt-BR"/>
        </w:rPr>
        <w:t>a performance dos catalisadores preparados.</w:t>
      </w:r>
      <w:r>
        <w:rPr>
          <w:rFonts w:ascii="Times New Roman" w:hAnsi="Times New Roman"/>
          <w:lang w:val="pt-BR"/>
        </w:rPr>
        <w:t xml:space="preserve"> </w:t>
      </w:r>
      <w:r w:rsidR="00912182">
        <w:rPr>
          <w:rFonts w:ascii="Times New Roman" w:hAnsi="Times New Roman"/>
          <w:lang w:val="pt-BR"/>
        </w:rPr>
        <w:t xml:space="preserve">Todos os catalisadores são ativos </w:t>
      </w:r>
      <w:r w:rsidR="003C0BF3">
        <w:rPr>
          <w:rFonts w:ascii="Times New Roman" w:hAnsi="Times New Roman"/>
          <w:lang w:val="pt-BR"/>
        </w:rPr>
        <w:t xml:space="preserve">nestas condições </w:t>
      </w:r>
      <w:r w:rsidR="00912182">
        <w:rPr>
          <w:rFonts w:ascii="Times New Roman" w:hAnsi="Times New Roman"/>
          <w:lang w:val="pt-BR"/>
        </w:rPr>
        <w:t xml:space="preserve">para a reação em estudo, alcançando conversões de etanol acima de 90%. </w:t>
      </w:r>
      <w:r w:rsidRPr="00DB2228">
        <w:rPr>
          <w:rFonts w:ascii="Times New Roman" w:hAnsi="Times New Roman"/>
          <w:lang w:val="pt-BR"/>
        </w:rPr>
        <w:t xml:space="preserve">Nota-se que o catalisador </w:t>
      </w:r>
      <w:proofErr w:type="spellStart"/>
      <w:r w:rsidRPr="00DB2228">
        <w:rPr>
          <w:rFonts w:ascii="Times New Roman" w:hAnsi="Times New Roman"/>
          <w:lang w:val="pt-BR"/>
        </w:rPr>
        <w:t>CuZn</w:t>
      </w:r>
      <w:proofErr w:type="spellEnd"/>
      <w:r w:rsidRPr="00DB2228">
        <w:rPr>
          <w:rFonts w:ascii="Times New Roman" w:hAnsi="Times New Roman"/>
          <w:lang w:val="pt-BR"/>
        </w:rPr>
        <w:t xml:space="preserve"> </w:t>
      </w:r>
      <w:r w:rsidR="00DE4534">
        <w:rPr>
          <w:rFonts w:ascii="Times New Roman" w:hAnsi="Times New Roman"/>
          <w:lang w:val="pt-BR"/>
        </w:rPr>
        <w:t>apresenta</w:t>
      </w:r>
      <w:r w:rsidRPr="00DB2228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alta seletividade para acetaldeído, tendo acetona como segundo produto</w:t>
      </w:r>
      <w:r w:rsidR="00DE4534">
        <w:rPr>
          <w:rFonts w:ascii="Times New Roman" w:hAnsi="Times New Roman"/>
          <w:lang w:val="pt-BR"/>
        </w:rPr>
        <w:t>. Já a seletividade para ácido acético é baixa.</w:t>
      </w:r>
      <w:r>
        <w:rPr>
          <w:rFonts w:ascii="Times New Roman" w:hAnsi="Times New Roman"/>
          <w:lang w:val="pt-BR"/>
        </w:rPr>
        <w:t xml:space="preserve"> </w:t>
      </w:r>
    </w:p>
    <w:p w:rsidR="00DB2228" w:rsidRDefault="00DB2228" w:rsidP="00A4145A">
      <w:pPr>
        <w:pStyle w:val="TAMainText"/>
        <w:ind w:firstLine="329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Quando o </w:t>
      </w:r>
      <w:r w:rsidR="008F0CF1">
        <w:rPr>
          <w:rFonts w:ascii="Times New Roman" w:hAnsi="Times New Roman"/>
          <w:lang w:val="pt-BR"/>
        </w:rPr>
        <w:t>Al</w:t>
      </w:r>
      <w:r>
        <w:rPr>
          <w:rFonts w:ascii="Times New Roman" w:hAnsi="Times New Roman"/>
          <w:lang w:val="pt-BR"/>
        </w:rPr>
        <w:t xml:space="preserve"> é introduzido</w:t>
      </w:r>
      <w:r w:rsidR="00DE4534">
        <w:rPr>
          <w:rFonts w:ascii="Times New Roman" w:hAnsi="Times New Roman"/>
          <w:lang w:val="pt-BR"/>
        </w:rPr>
        <w:t xml:space="preserve"> na formulação d</w:t>
      </w:r>
      <w:r w:rsidR="003C0BF3">
        <w:rPr>
          <w:rFonts w:ascii="Times New Roman" w:hAnsi="Times New Roman"/>
          <w:lang w:val="pt-BR"/>
        </w:rPr>
        <w:t>e</w:t>
      </w:r>
      <w:r w:rsidR="00DE4534">
        <w:rPr>
          <w:rFonts w:ascii="Times New Roman" w:hAnsi="Times New Roman"/>
          <w:lang w:val="pt-BR"/>
        </w:rPr>
        <w:t xml:space="preserve"> </w:t>
      </w:r>
      <w:proofErr w:type="spellStart"/>
      <w:r w:rsidR="00DE4534">
        <w:rPr>
          <w:rFonts w:ascii="Times New Roman" w:hAnsi="Times New Roman"/>
          <w:lang w:val="pt-BR"/>
        </w:rPr>
        <w:t>CuZn</w:t>
      </w:r>
      <w:proofErr w:type="spellEnd"/>
      <w:r>
        <w:rPr>
          <w:rFonts w:ascii="Times New Roman" w:hAnsi="Times New Roman"/>
          <w:lang w:val="pt-BR"/>
        </w:rPr>
        <w:t xml:space="preserve">, a seletividade </w:t>
      </w:r>
      <w:r w:rsidR="00DE4534">
        <w:rPr>
          <w:rFonts w:ascii="Times New Roman" w:hAnsi="Times New Roman"/>
          <w:lang w:val="pt-BR"/>
        </w:rPr>
        <w:t>para</w:t>
      </w:r>
      <w:r>
        <w:rPr>
          <w:rFonts w:ascii="Times New Roman" w:hAnsi="Times New Roman"/>
          <w:lang w:val="pt-BR"/>
        </w:rPr>
        <w:t xml:space="preserve"> ácido acético aumenta enquanto as seletividades </w:t>
      </w:r>
      <w:r w:rsidR="00912182">
        <w:rPr>
          <w:rFonts w:ascii="Times New Roman" w:hAnsi="Times New Roman"/>
          <w:lang w:val="pt-BR"/>
        </w:rPr>
        <w:t>para</w:t>
      </w:r>
      <w:r>
        <w:rPr>
          <w:rFonts w:ascii="Times New Roman" w:hAnsi="Times New Roman"/>
          <w:lang w:val="pt-BR"/>
        </w:rPr>
        <w:t xml:space="preserve"> acetaldeído e acetona diminuem. Isso ocorre até 6%</w:t>
      </w:r>
      <w:r w:rsidR="00462442">
        <w:rPr>
          <w:rFonts w:ascii="Times New Roman" w:hAnsi="Times New Roman"/>
          <w:lang w:val="pt-BR"/>
        </w:rPr>
        <w:t xml:space="preserve"> p/p</w:t>
      </w:r>
      <w:r>
        <w:rPr>
          <w:rFonts w:ascii="Times New Roman" w:hAnsi="Times New Roman"/>
          <w:lang w:val="pt-BR"/>
        </w:rPr>
        <w:t xml:space="preserve"> de Al</w:t>
      </w:r>
      <w:r w:rsidRPr="00DB2228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>O</w:t>
      </w:r>
      <w:r w:rsidRPr="00DB2228">
        <w:rPr>
          <w:rFonts w:ascii="Times New Roman" w:hAnsi="Times New Roman"/>
          <w:vertAlign w:val="subscript"/>
          <w:lang w:val="pt-BR"/>
        </w:rPr>
        <w:t>3</w:t>
      </w:r>
      <w:r>
        <w:rPr>
          <w:rFonts w:ascii="Times New Roman" w:hAnsi="Times New Roman"/>
          <w:lang w:val="pt-BR"/>
        </w:rPr>
        <w:t xml:space="preserve"> na composição (CuZnAl6).</w:t>
      </w:r>
      <w:r w:rsidR="00912182">
        <w:rPr>
          <w:rFonts w:ascii="Times New Roman" w:hAnsi="Times New Roman"/>
          <w:lang w:val="pt-BR"/>
        </w:rPr>
        <w:t xml:space="preserve"> Para o catalisador CuZnAl10 </w:t>
      </w:r>
      <w:r w:rsidR="008F0CF1">
        <w:rPr>
          <w:rFonts w:ascii="Times New Roman" w:hAnsi="Times New Roman"/>
          <w:lang w:val="pt-BR"/>
        </w:rPr>
        <w:t>ocorre uma inversão</w:t>
      </w:r>
      <w:r w:rsidR="00FA3992">
        <w:rPr>
          <w:rFonts w:ascii="Times New Roman" w:hAnsi="Times New Roman"/>
          <w:lang w:val="pt-BR"/>
        </w:rPr>
        <w:t xml:space="preserve"> e</w:t>
      </w:r>
      <w:r w:rsidR="008F0CF1">
        <w:rPr>
          <w:rFonts w:ascii="Times New Roman" w:hAnsi="Times New Roman"/>
          <w:lang w:val="pt-BR"/>
        </w:rPr>
        <w:t xml:space="preserve"> </w:t>
      </w:r>
      <w:r w:rsidR="00912182">
        <w:rPr>
          <w:rFonts w:ascii="Times New Roman" w:hAnsi="Times New Roman"/>
          <w:lang w:val="pt-BR"/>
        </w:rPr>
        <w:t xml:space="preserve">a seletividade para o ácido acético diminui, enquanto a seletividade </w:t>
      </w:r>
      <w:r w:rsidR="008F0CF1">
        <w:rPr>
          <w:rFonts w:ascii="Times New Roman" w:hAnsi="Times New Roman"/>
          <w:lang w:val="pt-BR"/>
        </w:rPr>
        <w:t>para</w:t>
      </w:r>
      <w:r w:rsidR="00912182">
        <w:rPr>
          <w:rFonts w:ascii="Times New Roman" w:hAnsi="Times New Roman"/>
          <w:lang w:val="pt-BR"/>
        </w:rPr>
        <w:t xml:space="preserve"> acetaldeído aumenta.</w:t>
      </w:r>
      <w:r w:rsidR="00C93A23">
        <w:rPr>
          <w:rFonts w:ascii="Times New Roman" w:hAnsi="Times New Roman"/>
          <w:lang w:val="pt-BR"/>
        </w:rPr>
        <w:t xml:space="preserve"> </w:t>
      </w:r>
      <w:r w:rsidR="003C0BF3">
        <w:rPr>
          <w:rFonts w:ascii="Times New Roman" w:hAnsi="Times New Roman"/>
          <w:lang w:val="pt-BR"/>
        </w:rPr>
        <w:t>O</w:t>
      </w:r>
      <w:r w:rsidR="00C93A23">
        <w:rPr>
          <w:rFonts w:ascii="Times New Roman" w:hAnsi="Times New Roman"/>
          <w:lang w:val="pt-BR"/>
        </w:rPr>
        <w:t xml:space="preserve"> </w:t>
      </w:r>
      <w:r w:rsidR="003C0BF3">
        <w:rPr>
          <w:rFonts w:ascii="Times New Roman" w:hAnsi="Times New Roman"/>
          <w:lang w:val="pt-BR"/>
        </w:rPr>
        <w:t>comportamento</w:t>
      </w:r>
      <w:r w:rsidR="00A476A2">
        <w:rPr>
          <w:rFonts w:ascii="Times New Roman" w:hAnsi="Times New Roman"/>
          <w:lang w:val="pt-BR"/>
        </w:rPr>
        <w:t xml:space="preserve"> dos catalisadores</w:t>
      </w:r>
      <w:r w:rsidR="003C0BF3">
        <w:rPr>
          <w:rFonts w:ascii="Times New Roman" w:hAnsi="Times New Roman"/>
          <w:lang w:val="pt-BR"/>
        </w:rPr>
        <w:t xml:space="preserve"> na reação parece seguir</w:t>
      </w:r>
      <w:r w:rsidR="00C93A23">
        <w:rPr>
          <w:rFonts w:ascii="Times New Roman" w:hAnsi="Times New Roman"/>
          <w:lang w:val="pt-BR"/>
        </w:rPr>
        <w:t xml:space="preserve"> a </w:t>
      </w:r>
      <w:r w:rsidR="003C0BF3">
        <w:rPr>
          <w:rFonts w:ascii="Times New Roman" w:hAnsi="Times New Roman"/>
          <w:lang w:val="pt-BR"/>
        </w:rPr>
        <w:t xml:space="preserve">mesma </w:t>
      </w:r>
      <w:r w:rsidR="00C93A23">
        <w:rPr>
          <w:rFonts w:ascii="Times New Roman" w:hAnsi="Times New Roman"/>
          <w:lang w:val="pt-BR"/>
        </w:rPr>
        <w:t xml:space="preserve">tendência de acidez </w:t>
      </w:r>
      <w:r w:rsidR="00A476A2">
        <w:rPr>
          <w:rFonts w:ascii="Times New Roman" w:hAnsi="Times New Roman"/>
          <w:lang w:val="pt-BR"/>
        </w:rPr>
        <w:t>destes materiais</w:t>
      </w:r>
      <w:r w:rsidR="00C93A23">
        <w:rPr>
          <w:rFonts w:ascii="Times New Roman" w:hAnsi="Times New Roman"/>
          <w:lang w:val="pt-BR"/>
        </w:rPr>
        <w:t xml:space="preserve">, como pode ser observado pelos resultados de </w:t>
      </w:r>
      <w:r w:rsidR="00C93A23" w:rsidRPr="00190C6A">
        <w:rPr>
          <w:rFonts w:ascii="Times New Roman" w:hAnsi="Times New Roman"/>
          <w:lang w:val="pt-BR"/>
        </w:rPr>
        <w:t>TPD-NH</w:t>
      </w:r>
      <w:r w:rsidR="00C93A23" w:rsidRPr="00190C6A">
        <w:rPr>
          <w:rFonts w:ascii="Times New Roman" w:hAnsi="Times New Roman"/>
          <w:vertAlign w:val="subscript"/>
          <w:lang w:val="pt-BR"/>
        </w:rPr>
        <w:t>3</w:t>
      </w:r>
      <w:r w:rsidR="00B171D2">
        <w:rPr>
          <w:rFonts w:ascii="Times New Roman" w:hAnsi="Times New Roman"/>
          <w:lang w:val="pt-BR"/>
        </w:rPr>
        <w:t xml:space="preserve"> (Tabela 2).</w:t>
      </w:r>
    </w:p>
    <w:p w:rsidR="00AC5664" w:rsidRPr="0028314A" w:rsidRDefault="00AC5664" w:rsidP="00A4145A">
      <w:pPr>
        <w:pStyle w:val="TAMainText"/>
        <w:ind w:left="-284" w:firstLine="0"/>
        <w:rPr>
          <w:rFonts w:ascii="Times New Roman" w:hAnsi="Times New Roman"/>
          <w:lang w:val="pt-BR"/>
        </w:rPr>
      </w:pPr>
    </w:p>
    <w:p w:rsidR="005618EB" w:rsidRDefault="005618EB" w:rsidP="005618EB">
      <w:pPr>
        <w:pStyle w:val="VDTableTitle"/>
        <w:spacing w:after="120"/>
        <w:jc w:val="both"/>
        <w:rPr>
          <w:lang w:val="pt-BR"/>
        </w:rPr>
      </w:pPr>
      <w:r>
        <w:rPr>
          <w:b/>
          <w:lang w:val="pt-BR"/>
        </w:rPr>
        <w:t>Tabela 1.</w:t>
      </w:r>
      <w:r>
        <w:rPr>
          <w:lang w:val="pt-BR"/>
        </w:rPr>
        <w:t xml:space="preserve"> Conversão de etanol (X), seletividade para </w:t>
      </w:r>
      <w:r w:rsidR="004A4646">
        <w:rPr>
          <w:lang w:val="pt-BR"/>
        </w:rPr>
        <w:t>acetaldeído (</w:t>
      </w:r>
      <w:proofErr w:type="spellStart"/>
      <w:r w:rsidR="004A4646">
        <w:rPr>
          <w:lang w:val="pt-BR"/>
        </w:rPr>
        <w:t>S</w:t>
      </w:r>
      <w:r w:rsidR="004A4646">
        <w:rPr>
          <w:vertAlign w:val="subscript"/>
          <w:lang w:val="pt-BR"/>
        </w:rPr>
        <w:t>acet</w:t>
      </w:r>
      <w:proofErr w:type="spellEnd"/>
      <w:r w:rsidR="004A4646">
        <w:rPr>
          <w:lang w:val="pt-BR"/>
        </w:rPr>
        <w:t xml:space="preserve">), </w:t>
      </w:r>
      <w:r>
        <w:rPr>
          <w:lang w:val="pt-BR"/>
        </w:rPr>
        <w:t>ácido acético</w:t>
      </w:r>
      <w:r w:rsidR="004A4646">
        <w:rPr>
          <w:lang w:val="pt-BR"/>
        </w:rPr>
        <w:t xml:space="preserve"> (S</w:t>
      </w:r>
      <w:r w:rsidR="004A4646">
        <w:rPr>
          <w:vertAlign w:val="subscript"/>
          <w:lang w:val="pt-BR"/>
        </w:rPr>
        <w:t>AA</w:t>
      </w:r>
      <w:r w:rsidR="004A4646">
        <w:rPr>
          <w:lang w:val="pt-BR"/>
        </w:rPr>
        <w:t>)</w:t>
      </w:r>
      <w:r>
        <w:rPr>
          <w:lang w:val="pt-BR"/>
        </w:rPr>
        <w:t>, acetona (</w:t>
      </w:r>
      <w:proofErr w:type="spellStart"/>
      <w:r>
        <w:rPr>
          <w:lang w:val="pt-BR"/>
        </w:rPr>
        <w:t>S</w:t>
      </w:r>
      <w:r>
        <w:rPr>
          <w:vertAlign w:val="subscript"/>
          <w:lang w:val="pt-BR"/>
        </w:rPr>
        <w:t>acetona</w:t>
      </w:r>
      <w:proofErr w:type="spellEnd"/>
      <w:r>
        <w:rPr>
          <w:lang w:val="pt-BR"/>
        </w:rPr>
        <w:t>), CO</w:t>
      </w:r>
      <w:r w:rsidRPr="005618EB">
        <w:rPr>
          <w:vertAlign w:val="subscript"/>
          <w:lang w:val="pt-BR"/>
        </w:rPr>
        <w:t>2</w:t>
      </w:r>
      <w:r>
        <w:rPr>
          <w:lang w:val="pt-BR"/>
        </w:rPr>
        <w:t xml:space="preserve"> (S</w:t>
      </w:r>
      <w:r>
        <w:rPr>
          <w:vertAlign w:val="subscript"/>
          <w:lang w:val="pt-BR"/>
        </w:rPr>
        <w:t>CO2</w:t>
      </w:r>
      <w:r>
        <w:rPr>
          <w:lang w:val="pt-BR"/>
        </w:rPr>
        <w:t>)</w:t>
      </w:r>
      <w:r w:rsidR="004A4646">
        <w:rPr>
          <w:lang w:val="pt-BR"/>
        </w:rPr>
        <w:t xml:space="preserve"> e</w:t>
      </w:r>
      <w:r>
        <w:rPr>
          <w:lang w:val="pt-BR"/>
        </w:rPr>
        <w:t xml:space="preserve"> balanço de carbono (C) a 3</w:t>
      </w:r>
      <w:r w:rsidR="004A4646">
        <w:rPr>
          <w:lang w:val="pt-BR"/>
        </w:rPr>
        <w:t>00</w:t>
      </w:r>
      <w:r w:rsidR="004A4646">
        <w:rPr>
          <w:rFonts w:cs="Times"/>
          <w:vertAlign w:val="superscript"/>
          <w:lang w:val="pt-BR"/>
        </w:rPr>
        <w:t>°</w:t>
      </w:r>
      <w:r>
        <w:rPr>
          <w:lang w:val="pt-BR"/>
        </w:rPr>
        <w:t>C</w:t>
      </w:r>
      <w:r w:rsidR="00986D5D">
        <w:rPr>
          <w:lang w:val="pt-BR"/>
        </w:rPr>
        <w:t xml:space="preserve">, 1 </w:t>
      </w:r>
      <w:proofErr w:type="spellStart"/>
      <w:r w:rsidR="00986D5D">
        <w:rPr>
          <w:lang w:val="pt-BR"/>
        </w:rPr>
        <w:t>atm</w:t>
      </w:r>
      <w:proofErr w:type="spellEnd"/>
      <w:r>
        <w:rPr>
          <w:lang w:val="pt-BR"/>
        </w:rPr>
        <w:t xml:space="preserve"> e </w:t>
      </w:r>
      <w:r w:rsidR="004A4646">
        <w:rPr>
          <w:rFonts w:ascii="Times New Roman" w:hAnsi="Times New Roman"/>
          <w:lang w:val="pt-BR"/>
        </w:rPr>
        <w:t>0,15g</w:t>
      </w:r>
      <w:r w:rsidR="004A4646" w:rsidRPr="002F4587">
        <w:rPr>
          <w:rFonts w:ascii="Times New Roman" w:hAnsi="Times New Roman"/>
          <w:vertAlign w:val="subscript"/>
          <w:lang w:val="pt-BR"/>
        </w:rPr>
        <w:t>EtOH</w:t>
      </w:r>
      <w:r w:rsidR="004A4646">
        <w:rPr>
          <w:rFonts w:ascii="Times New Roman" w:hAnsi="Times New Roman"/>
          <w:lang w:val="pt-BR"/>
        </w:rPr>
        <w:t>g</w:t>
      </w:r>
      <w:r w:rsidR="004A4646" w:rsidRPr="002F4587">
        <w:rPr>
          <w:rFonts w:ascii="Times New Roman" w:hAnsi="Times New Roman"/>
          <w:vertAlign w:val="subscript"/>
          <w:lang w:val="pt-BR"/>
        </w:rPr>
        <w:t>cat</w:t>
      </w:r>
      <w:r w:rsidR="004A4646" w:rsidRPr="002F4587">
        <w:rPr>
          <w:rFonts w:ascii="Times New Roman" w:hAnsi="Times New Roman"/>
          <w:vertAlign w:val="superscript"/>
          <w:lang w:val="pt-BR"/>
        </w:rPr>
        <w:t>-1</w:t>
      </w:r>
      <w:r w:rsidR="004A4646" w:rsidRPr="00190C6A">
        <w:rPr>
          <w:rFonts w:ascii="Times New Roman" w:hAnsi="Times New Roman"/>
          <w:lang w:val="pt-BR"/>
        </w:rPr>
        <w:t>h</w:t>
      </w:r>
      <w:r w:rsidR="004A4646" w:rsidRPr="00190C6A">
        <w:rPr>
          <w:rFonts w:ascii="Times New Roman" w:hAnsi="Times New Roman"/>
          <w:vertAlign w:val="superscript"/>
          <w:lang w:val="pt-BR"/>
        </w:rPr>
        <w:t>-1</w:t>
      </w:r>
      <w:r>
        <w:rPr>
          <w:lang w:val="pt-BR"/>
        </w:rPr>
        <w:t>.</w:t>
      </w:r>
    </w:p>
    <w:tbl>
      <w:tblPr>
        <w:tblW w:w="4721" w:type="dxa"/>
        <w:tblBorders>
          <w:top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"/>
        <w:gridCol w:w="508"/>
        <w:gridCol w:w="595"/>
        <w:gridCol w:w="15"/>
        <w:gridCol w:w="552"/>
        <w:gridCol w:w="709"/>
        <w:gridCol w:w="708"/>
        <w:gridCol w:w="711"/>
        <w:gridCol w:w="41"/>
      </w:tblGrid>
      <w:tr w:rsidR="00B506C0" w:rsidTr="00A476A2">
        <w:trPr>
          <w:gridAfter w:val="1"/>
          <w:wAfter w:w="41" w:type="dxa"/>
          <w:trHeight w:val="128"/>
        </w:trPr>
        <w:tc>
          <w:tcPr>
            <w:tcW w:w="882" w:type="dxa"/>
            <w:vMerge w:val="restart"/>
            <w:tcBorders>
              <w:top w:val="single" w:sz="4" w:space="0" w:color="00000A"/>
            </w:tcBorders>
            <w:shd w:val="clear" w:color="auto" w:fill="F2F2F2" w:themeFill="background1" w:themeFillShade="F2"/>
            <w:vAlign w:val="center"/>
          </w:tcPr>
          <w:p w:rsidR="00B506C0" w:rsidRDefault="00FA3992" w:rsidP="004A4646">
            <w:pPr>
              <w:pStyle w:val="TCTableBody"/>
              <w:spacing w:after="0" w:line="240" w:lineRule="auto"/>
              <w:rPr>
                <w:lang w:val="pt-BR"/>
              </w:rPr>
            </w:pPr>
            <w:r>
              <w:rPr>
                <w:lang w:val="pt-BR"/>
              </w:rPr>
              <w:t>A</w:t>
            </w:r>
            <w:r w:rsidR="00B506C0">
              <w:rPr>
                <w:lang w:val="pt-BR"/>
              </w:rPr>
              <w:t>mostra</w:t>
            </w:r>
          </w:p>
        </w:tc>
        <w:tc>
          <w:tcPr>
            <w:tcW w:w="508" w:type="dxa"/>
            <w:vMerge w:val="restart"/>
            <w:tcBorders>
              <w:top w:val="single" w:sz="4" w:space="0" w:color="00000A"/>
            </w:tcBorders>
            <w:shd w:val="clear" w:color="auto" w:fill="F2F2F2" w:themeFill="background1" w:themeFillShade="F2"/>
            <w:vAlign w:val="center"/>
          </w:tcPr>
          <w:p w:rsidR="00B506C0" w:rsidRDefault="00B506C0" w:rsidP="004A4646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X</w:t>
            </w:r>
          </w:p>
          <w:p w:rsidR="00B506C0" w:rsidRDefault="00B506C0" w:rsidP="004A4646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 %</w:t>
            </w:r>
          </w:p>
        </w:tc>
        <w:tc>
          <w:tcPr>
            <w:tcW w:w="2579" w:type="dxa"/>
            <w:gridSpan w:val="5"/>
            <w:tcBorders>
              <w:top w:val="single" w:sz="4" w:space="0" w:color="00000A"/>
              <w:bottom w:val="single" w:sz="4" w:space="0" w:color="00000A"/>
            </w:tcBorders>
            <w:shd w:val="clear" w:color="auto" w:fill="F2F2F2" w:themeFill="background1" w:themeFillShade="F2"/>
            <w:vAlign w:val="center"/>
          </w:tcPr>
          <w:p w:rsidR="00B506C0" w:rsidRDefault="00FA3992" w:rsidP="00B506C0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S</w:t>
            </w:r>
            <w:r w:rsidR="00B506C0">
              <w:rPr>
                <w:lang w:val="pt-BR"/>
              </w:rPr>
              <w:t>eletividades / %</w:t>
            </w:r>
          </w:p>
        </w:tc>
        <w:tc>
          <w:tcPr>
            <w:tcW w:w="711" w:type="dxa"/>
            <w:vMerge w:val="restart"/>
            <w:tcBorders>
              <w:top w:val="single" w:sz="4" w:space="0" w:color="00000A"/>
            </w:tcBorders>
            <w:shd w:val="clear" w:color="auto" w:fill="F2F2F2" w:themeFill="background1" w:themeFillShade="F2"/>
            <w:vAlign w:val="center"/>
          </w:tcPr>
          <w:p w:rsidR="00B506C0" w:rsidRDefault="00B506C0" w:rsidP="004A4646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C </w:t>
            </w:r>
          </w:p>
          <w:p w:rsidR="00B506C0" w:rsidRDefault="00B506C0" w:rsidP="00D7094B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%</w:t>
            </w:r>
          </w:p>
        </w:tc>
      </w:tr>
      <w:tr w:rsidR="00B506C0" w:rsidTr="00A476A2">
        <w:trPr>
          <w:gridAfter w:val="1"/>
          <w:wAfter w:w="41" w:type="dxa"/>
          <w:trHeight w:val="127"/>
        </w:trPr>
        <w:tc>
          <w:tcPr>
            <w:tcW w:w="882" w:type="dxa"/>
            <w:vMerge/>
            <w:tcBorders>
              <w:bottom w:val="single" w:sz="4" w:space="0" w:color="00000A"/>
            </w:tcBorders>
            <w:shd w:val="clear" w:color="auto" w:fill="auto"/>
            <w:vAlign w:val="center"/>
          </w:tcPr>
          <w:p w:rsidR="00B506C0" w:rsidRDefault="00B506C0" w:rsidP="004A4646">
            <w:pPr>
              <w:pStyle w:val="TCTableBody"/>
              <w:spacing w:after="0" w:line="240" w:lineRule="auto"/>
              <w:rPr>
                <w:lang w:val="pt-BR"/>
              </w:rPr>
            </w:pPr>
          </w:p>
        </w:tc>
        <w:tc>
          <w:tcPr>
            <w:tcW w:w="508" w:type="dxa"/>
            <w:vMerge/>
            <w:tcBorders>
              <w:bottom w:val="single" w:sz="4" w:space="0" w:color="00000A"/>
            </w:tcBorders>
            <w:shd w:val="clear" w:color="auto" w:fill="auto"/>
            <w:vAlign w:val="center"/>
          </w:tcPr>
          <w:p w:rsidR="00B506C0" w:rsidRDefault="00B506C0" w:rsidP="004A4646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</w:p>
        </w:tc>
        <w:tc>
          <w:tcPr>
            <w:tcW w:w="59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2F2F2" w:themeFill="background1" w:themeFillShade="F2"/>
            <w:vAlign w:val="center"/>
          </w:tcPr>
          <w:p w:rsidR="00B506C0" w:rsidRDefault="00B506C0" w:rsidP="00481A7D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proofErr w:type="spellStart"/>
            <w:r>
              <w:rPr>
                <w:lang w:val="pt-BR"/>
              </w:rPr>
              <w:t>S</w:t>
            </w:r>
            <w:r>
              <w:rPr>
                <w:vertAlign w:val="subscript"/>
                <w:lang w:val="pt-BR"/>
              </w:rPr>
              <w:t>acet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F2F2F2" w:themeFill="background1" w:themeFillShade="F2"/>
            <w:vAlign w:val="center"/>
          </w:tcPr>
          <w:p w:rsidR="00B506C0" w:rsidRDefault="00B506C0" w:rsidP="00481A7D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S</w:t>
            </w:r>
            <w:r>
              <w:rPr>
                <w:vertAlign w:val="subscript"/>
                <w:lang w:val="pt-BR"/>
              </w:rPr>
              <w:t>AA</w:t>
            </w:r>
          </w:p>
        </w:tc>
        <w:tc>
          <w:tcPr>
            <w:tcW w:w="70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2F2F2" w:themeFill="background1" w:themeFillShade="F2"/>
            <w:vAlign w:val="center"/>
          </w:tcPr>
          <w:p w:rsidR="00B506C0" w:rsidRDefault="00B506C0" w:rsidP="00481A7D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proofErr w:type="spellStart"/>
            <w:r>
              <w:rPr>
                <w:lang w:val="pt-BR"/>
              </w:rPr>
              <w:t>S</w:t>
            </w:r>
            <w:r>
              <w:rPr>
                <w:vertAlign w:val="subscript"/>
                <w:lang w:val="pt-BR"/>
              </w:rPr>
              <w:t>acetona</w:t>
            </w:r>
            <w:proofErr w:type="spellEnd"/>
          </w:p>
        </w:tc>
        <w:tc>
          <w:tcPr>
            <w:tcW w:w="70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2F2F2" w:themeFill="background1" w:themeFillShade="F2"/>
            <w:vAlign w:val="center"/>
          </w:tcPr>
          <w:p w:rsidR="00B506C0" w:rsidRDefault="00B506C0" w:rsidP="00481A7D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S</w:t>
            </w:r>
            <w:r>
              <w:rPr>
                <w:vertAlign w:val="subscript"/>
                <w:lang w:val="pt-BR"/>
              </w:rPr>
              <w:t>CO2</w:t>
            </w:r>
          </w:p>
        </w:tc>
        <w:tc>
          <w:tcPr>
            <w:tcW w:w="711" w:type="dxa"/>
            <w:vMerge/>
            <w:tcBorders>
              <w:bottom w:val="single" w:sz="4" w:space="0" w:color="00000A"/>
            </w:tcBorders>
            <w:shd w:val="clear" w:color="auto" w:fill="auto"/>
            <w:vAlign w:val="center"/>
          </w:tcPr>
          <w:p w:rsidR="00B506C0" w:rsidRDefault="00B506C0" w:rsidP="004A4646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</w:p>
        </w:tc>
      </w:tr>
      <w:tr w:rsidR="00B171D2" w:rsidTr="008B790E">
        <w:trPr>
          <w:trHeight w:val="299"/>
        </w:trPr>
        <w:tc>
          <w:tcPr>
            <w:tcW w:w="882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171D2" w:rsidRPr="004A4646" w:rsidRDefault="00B171D2" w:rsidP="004A4646">
            <w:pPr>
              <w:pStyle w:val="TCTableBody"/>
              <w:spacing w:after="0" w:line="240" w:lineRule="auto"/>
              <w:rPr>
                <w:i/>
                <w:iCs/>
                <w:lang w:val="pt-BR"/>
              </w:rPr>
            </w:pPr>
            <w:proofErr w:type="spellStart"/>
            <w:r w:rsidRPr="004A4646">
              <w:rPr>
                <w:i/>
                <w:iCs/>
                <w:lang w:val="pt-BR"/>
              </w:rPr>
              <w:t>CuZn</w:t>
            </w:r>
            <w:proofErr w:type="spellEnd"/>
          </w:p>
        </w:tc>
        <w:tc>
          <w:tcPr>
            <w:tcW w:w="50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171D2" w:rsidRDefault="00B171D2" w:rsidP="004A4646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93</w:t>
            </w:r>
          </w:p>
        </w:tc>
        <w:tc>
          <w:tcPr>
            <w:tcW w:w="610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171D2" w:rsidRDefault="00B171D2" w:rsidP="004A4646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48</w:t>
            </w:r>
          </w:p>
        </w:tc>
        <w:tc>
          <w:tcPr>
            <w:tcW w:w="552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171D2" w:rsidRDefault="00B171D2" w:rsidP="004A4646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171D2" w:rsidRDefault="00B171D2" w:rsidP="004A4646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28</w:t>
            </w:r>
          </w:p>
        </w:tc>
        <w:tc>
          <w:tcPr>
            <w:tcW w:w="70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171D2" w:rsidRDefault="00B171D2" w:rsidP="004A4646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7</w:t>
            </w:r>
          </w:p>
        </w:tc>
        <w:tc>
          <w:tcPr>
            <w:tcW w:w="752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171D2" w:rsidRDefault="00B171D2" w:rsidP="004A4646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97</w:t>
            </w:r>
          </w:p>
        </w:tc>
      </w:tr>
      <w:tr w:rsidR="00B171D2" w:rsidTr="008B790E">
        <w:trPr>
          <w:trHeight w:val="275"/>
        </w:trPr>
        <w:tc>
          <w:tcPr>
            <w:tcW w:w="882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171D2" w:rsidRDefault="00B171D2" w:rsidP="004A4646">
            <w:pPr>
              <w:pStyle w:val="TCTableBody"/>
              <w:spacing w:after="0" w:line="240" w:lineRule="auto"/>
              <w:rPr>
                <w:i/>
                <w:iCs/>
                <w:lang w:val="pt-BR"/>
              </w:rPr>
            </w:pPr>
            <w:r>
              <w:rPr>
                <w:i/>
                <w:iCs/>
                <w:lang w:val="pt-BR"/>
              </w:rPr>
              <w:t>CuZnAl3</w:t>
            </w:r>
          </w:p>
        </w:tc>
        <w:tc>
          <w:tcPr>
            <w:tcW w:w="50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171D2" w:rsidRDefault="00B171D2" w:rsidP="004A4646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97</w:t>
            </w:r>
          </w:p>
        </w:tc>
        <w:tc>
          <w:tcPr>
            <w:tcW w:w="610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171D2" w:rsidRDefault="00B171D2" w:rsidP="004A4646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37</w:t>
            </w:r>
          </w:p>
        </w:tc>
        <w:tc>
          <w:tcPr>
            <w:tcW w:w="552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171D2" w:rsidRDefault="00B171D2" w:rsidP="004A4646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171D2" w:rsidRDefault="00B171D2" w:rsidP="004A4646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171D2" w:rsidRDefault="00B171D2" w:rsidP="004A4646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6</w:t>
            </w:r>
          </w:p>
        </w:tc>
        <w:tc>
          <w:tcPr>
            <w:tcW w:w="752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171D2" w:rsidRDefault="00B171D2" w:rsidP="004A4646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95</w:t>
            </w:r>
          </w:p>
        </w:tc>
      </w:tr>
      <w:tr w:rsidR="00B171D2" w:rsidTr="008B790E">
        <w:trPr>
          <w:trHeight w:val="312"/>
        </w:trPr>
        <w:tc>
          <w:tcPr>
            <w:tcW w:w="882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171D2" w:rsidRDefault="00B171D2" w:rsidP="004A4646">
            <w:pPr>
              <w:pStyle w:val="TCTableBody"/>
              <w:spacing w:after="0" w:line="240" w:lineRule="auto"/>
              <w:rPr>
                <w:i/>
                <w:iCs/>
                <w:lang w:val="pt-BR"/>
              </w:rPr>
            </w:pPr>
            <w:r>
              <w:rPr>
                <w:i/>
                <w:iCs/>
                <w:lang w:val="pt-BR"/>
              </w:rPr>
              <w:t>CuZnAl6</w:t>
            </w:r>
          </w:p>
        </w:tc>
        <w:tc>
          <w:tcPr>
            <w:tcW w:w="50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171D2" w:rsidRDefault="00B171D2" w:rsidP="004A4646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98</w:t>
            </w:r>
          </w:p>
        </w:tc>
        <w:tc>
          <w:tcPr>
            <w:tcW w:w="610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171D2" w:rsidRDefault="00B171D2" w:rsidP="004A4646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31</w:t>
            </w:r>
          </w:p>
        </w:tc>
        <w:tc>
          <w:tcPr>
            <w:tcW w:w="552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171D2" w:rsidRPr="00B506C0" w:rsidRDefault="00B171D2" w:rsidP="004A4646">
            <w:pPr>
              <w:pStyle w:val="TCTableBody"/>
              <w:spacing w:after="0" w:line="240" w:lineRule="auto"/>
              <w:jc w:val="center"/>
              <w:rPr>
                <w:b/>
                <w:bCs/>
                <w:lang w:val="pt-BR"/>
              </w:rPr>
            </w:pPr>
            <w:r w:rsidRPr="00B506C0">
              <w:rPr>
                <w:b/>
                <w:bCs/>
                <w:lang w:val="pt-BR"/>
              </w:rPr>
              <w:t>53</w:t>
            </w:r>
          </w:p>
        </w:tc>
        <w:tc>
          <w:tcPr>
            <w:tcW w:w="70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171D2" w:rsidRDefault="00B171D2" w:rsidP="004A4646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171D2" w:rsidRDefault="00B171D2" w:rsidP="004A4646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</w:t>
            </w:r>
          </w:p>
        </w:tc>
        <w:tc>
          <w:tcPr>
            <w:tcW w:w="752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171D2" w:rsidRDefault="00B171D2" w:rsidP="004A4646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95</w:t>
            </w:r>
          </w:p>
        </w:tc>
      </w:tr>
      <w:tr w:rsidR="00B171D2" w:rsidTr="008B790E">
        <w:trPr>
          <w:trHeight w:val="152"/>
        </w:trPr>
        <w:tc>
          <w:tcPr>
            <w:tcW w:w="882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171D2" w:rsidRDefault="00B171D2" w:rsidP="004A4646">
            <w:pPr>
              <w:pStyle w:val="TCTableBody"/>
              <w:spacing w:after="0" w:line="240" w:lineRule="auto"/>
              <w:rPr>
                <w:lang w:val="pt-BR"/>
              </w:rPr>
            </w:pPr>
            <w:r>
              <w:rPr>
                <w:i/>
                <w:iCs/>
                <w:lang w:val="pt-BR"/>
              </w:rPr>
              <w:t>CuZnAl10</w:t>
            </w:r>
          </w:p>
        </w:tc>
        <w:tc>
          <w:tcPr>
            <w:tcW w:w="50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171D2" w:rsidRDefault="00B171D2" w:rsidP="004A4646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99</w:t>
            </w:r>
          </w:p>
        </w:tc>
        <w:tc>
          <w:tcPr>
            <w:tcW w:w="610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171D2" w:rsidRDefault="00B171D2" w:rsidP="004A4646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41</w:t>
            </w:r>
          </w:p>
        </w:tc>
        <w:tc>
          <w:tcPr>
            <w:tcW w:w="552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171D2" w:rsidRDefault="00B171D2" w:rsidP="004A4646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46</w:t>
            </w:r>
          </w:p>
        </w:tc>
        <w:tc>
          <w:tcPr>
            <w:tcW w:w="70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171D2" w:rsidRDefault="00B171D2" w:rsidP="004A4646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171D2" w:rsidRDefault="00B171D2" w:rsidP="004A4646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</w:t>
            </w:r>
          </w:p>
        </w:tc>
        <w:tc>
          <w:tcPr>
            <w:tcW w:w="752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171D2" w:rsidRDefault="00B171D2" w:rsidP="004A4646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96</w:t>
            </w:r>
          </w:p>
        </w:tc>
      </w:tr>
    </w:tbl>
    <w:p w:rsidR="004A4646" w:rsidRDefault="00B506C0" w:rsidP="005618EB">
      <w:pPr>
        <w:pStyle w:val="VDTableTitle"/>
        <w:spacing w:after="120"/>
        <w:jc w:val="both"/>
        <w:rPr>
          <w:b/>
          <w:lang w:val="pt-BR"/>
        </w:rPr>
      </w:pPr>
      <w:r>
        <w:rPr>
          <w:vertAlign w:val="subscript"/>
          <w:lang w:val="pt-BR"/>
        </w:rPr>
        <w:t xml:space="preserve">                           </w:t>
      </w:r>
    </w:p>
    <w:p w:rsidR="005618EB" w:rsidRDefault="005618EB" w:rsidP="00810FFA">
      <w:pPr>
        <w:pStyle w:val="TCTableBody"/>
        <w:spacing w:after="0" w:line="240" w:lineRule="auto"/>
        <w:rPr>
          <w:lang w:val="pt-BR"/>
        </w:rPr>
      </w:pPr>
      <w:r>
        <w:rPr>
          <w:b/>
          <w:lang w:val="pt-BR"/>
        </w:rPr>
        <w:t>Tabela 2.</w:t>
      </w:r>
      <w:r>
        <w:rPr>
          <w:lang w:val="pt-BR"/>
        </w:rPr>
        <w:t xml:space="preserve"> Área específica (S</w:t>
      </w:r>
      <w:r>
        <w:rPr>
          <w:vertAlign w:val="subscript"/>
          <w:lang w:val="pt-BR"/>
        </w:rPr>
        <w:t>BET</w:t>
      </w:r>
      <w:r w:rsidR="00331FA3">
        <w:rPr>
          <w:vertAlign w:val="subscript"/>
          <w:lang w:val="pt-BR"/>
        </w:rPr>
        <w:t>,</w:t>
      </w:r>
      <w:r w:rsidR="00331FA3" w:rsidRPr="00331FA3">
        <w:rPr>
          <w:lang w:val="pt-BR"/>
        </w:rPr>
        <w:t xml:space="preserve"> </w:t>
      </w:r>
      <w:r w:rsidR="00331FA3">
        <w:rPr>
          <w:lang w:val="pt-BR"/>
        </w:rPr>
        <w:t>m</w:t>
      </w:r>
      <w:r w:rsidR="00331FA3">
        <w:rPr>
          <w:vertAlign w:val="superscript"/>
          <w:lang w:val="pt-BR"/>
        </w:rPr>
        <w:t>2</w:t>
      </w:r>
      <w:r w:rsidR="00331FA3">
        <w:rPr>
          <w:lang w:val="pt-BR"/>
        </w:rPr>
        <w:t>g</w:t>
      </w:r>
      <w:r w:rsidR="00331FA3">
        <w:rPr>
          <w:vertAlign w:val="superscript"/>
          <w:lang w:val="pt-BR"/>
        </w:rPr>
        <w:t>-1</w:t>
      </w:r>
      <w:r>
        <w:rPr>
          <w:lang w:val="pt-BR"/>
        </w:rPr>
        <w:t xml:space="preserve">), número de sítios ácidos </w:t>
      </w:r>
      <w:r w:rsidR="003A1414">
        <w:rPr>
          <w:lang w:val="pt-BR"/>
        </w:rPr>
        <w:t xml:space="preserve">de força </w:t>
      </w:r>
      <w:r>
        <w:rPr>
          <w:lang w:val="pt-BR"/>
        </w:rPr>
        <w:t>frac</w:t>
      </w:r>
      <w:r w:rsidR="002064B3">
        <w:rPr>
          <w:lang w:val="pt-BR"/>
        </w:rPr>
        <w:t>a</w:t>
      </w:r>
      <w:r w:rsidR="004A4646">
        <w:rPr>
          <w:lang w:val="pt-BR"/>
        </w:rPr>
        <w:t xml:space="preserve"> (</w:t>
      </w:r>
      <w:proofErr w:type="spellStart"/>
      <w:r w:rsidR="004A4646">
        <w:rPr>
          <w:lang w:val="pt-BR"/>
        </w:rPr>
        <w:t>A</w:t>
      </w:r>
      <w:r w:rsidR="004A4646">
        <w:rPr>
          <w:vertAlign w:val="subscript"/>
          <w:lang w:val="pt-BR"/>
        </w:rPr>
        <w:t>f</w:t>
      </w:r>
      <w:proofErr w:type="spellEnd"/>
      <w:r w:rsidR="00331FA3">
        <w:rPr>
          <w:rFonts w:ascii="Times New Roman" w:hAnsi="Times New Roman"/>
          <w:lang w:val="pt-BR"/>
        </w:rPr>
        <w:t xml:space="preserve">, </w:t>
      </w:r>
      <w:r w:rsidR="00B506C0">
        <w:rPr>
          <w:rFonts w:ascii="Times New Roman" w:hAnsi="Times New Roman"/>
          <w:lang w:val="pt-BR"/>
        </w:rPr>
        <w:t>µ</w:t>
      </w:r>
      <w:r w:rsidR="00B506C0">
        <w:rPr>
          <w:lang w:val="pt-BR"/>
        </w:rPr>
        <w:t>mol</w:t>
      </w:r>
      <w:r w:rsidR="00B506C0">
        <w:rPr>
          <w:vertAlign w:val="subscript"/>
          <w:lang w:val="pt-BR"/>
        </w:rPr>
        <w:t>NH3</w:t>
      </w:r>
      <w:r w:rsidR="00B506C0">
        <w:rPr>
          <w:lang w:val="pt-BR"/>
        </w:rPr>
        <w:t>g</w:t>
      </w:r>
      <w:r w:rsidR="00B506C0">
        <w:rPr>
          <w:vertAlign w:val="superscript"/>
          <w:lang w:val="pt-BR"/>
        </w:rPr>
        <w:t>-1</w:t>
      </w:r>
      <w:r w:rsidR="00331FA3" w:rsidRPr="00331FA3">
        <w:rPr>
          <w:lang w:val="pt-BR"/>
        </w:rPr>
        <w:t>)</w:t>
      </w:r>
      <w:r w:rsidR="004A4646">
        <w:rPr>
          <w:lang w:val="pt-BR"/>
        </w:rPr>
        <w:t xml:space="preserve"> </w:t>
      </w:r>
      <w:r>
        <w:rPr>
          <w:lang w:val="pt-BR"/>
        </w:rPr>
        <w:t>e</w:t>
      </w:r>
      <w:r w:rsidR="003A1414">
        <w:rPr>
          <w:lang w:val="pt-BR"/>
        </w:rPr>
        <w:t xml:space="preserve"> de força</w:t>
      </w:r>
      <w:r>
        <w:rPr>
          <w:lang w:val="pt-BR"/>
        </w:rPr>
        <w:t xml:space="preserve"> médi</w:t>
      </w:r>
      <w:r w:rsidR="003A1414">
        <w:rPr>
          <w:lang w:val="pt-BR"/>
        </w:rPr>
        <w:t>a</w:t>
      </w:r>
      <w:r>
        <w:rPr>
          <w:lang w:val="pt-BR"/>
        </w:rPr>
        <w:t xml:space="preserve"> </w:t>
      </w:r>
      <w:r w:rsidR="004A4646">
        <w:rPr>
          <w:lang w:val="pt-BR"/>
        </w:rPr>
        <w:t>+</w:t>
      </w:r>
      <w:r>
        <w:rPr>
          <w:lang w:val="pt-BR"/>
        </w:rPr>
        <w:t xml:space="preserve"> forte (A</w:t>
      </w:r>
      <w:r>
        <w:rPr>
          <w:vertAlign w:val="subscript"/>
          <w:lang w:val="pt-BR"/>
        </w:rPr>
        <w:t>F</w:t>
      </w:r>
      <w:r w:rsidR="00331FA3">
        <w:rPr>
          <w:rFonts w:ascii="Times New Roman" w:hAnsi="Times New Roman"/>
          <w:lang w:val="pt-BR"/>
        </w:rPr>
        <w:t>, µ</w:t>
      </w:r>
      <w:r w:rsidR="00331FA3">
        <w:rPr>
          <w:lang w:val="pt-BR"/>
        </w:rPr>
        <w:t>mol</w:t>
      </w:r>
      <w:r w:rsidR="00331FA3">
        <w:rPr>
          <w:vertAlign w:val="subscript"/>
          <w:lang w:val="pt-BR"/>
        </w:rPr>
        <w:t>NH3</w:t>
      </w:r>
      <w:r w:rsidR="00331FA3">
        <w:rPr>
          <w:lang w:val="pt-BR"/>
        </w:rPr>
        <w:t>g</w:t>
      </w:r>
      <w:r w:rsidR="00331FA3">
        <w:rPr>
          <w:vertAlign w:val="superscript"/>
          <w:lang w:val="pt-BR"/>
        </w:rPr>
        <w:t>-1</w:t>
      </w:r>
      <w:r>
        <w:rPr>
          <w:lang w:val="pt-BR"/>
        </w:rPr>
        <w:t>), número de sítios básicos</w:t>
      </w:r>
      <w:r w:rsidR="00B171D2" w:rsidRPr="00B171D2">
        <w:rPr>
          <w:lang w:val="pt-BR"/>
        </w:rPr>
        <w:t xml:space="preserve"> </w:t>
      </w:r>
      <w:r w:rsidR="003A1414">
        <w:rPr>
          <w:lang w:val="pt-BR"/>
        </w:rPr>
        <w:t xml:space="preserve">de força </w:t>
      </w:r>
      <w:r w:rsidR="00B171D2">
        <w:rPr>
          <w:lang w:val="pt-BR"/>
        </w:rPr>
        <w:t>frac</w:t>
      </w:r>
      <w:r w:rsidR="003A1414">
        <w:rPr>
          <w:lang w:val="pt-BR"/>
        </w:rPr>
        <w:t>a</w:t>
      </w:r>
      <w:r w:rsidR="00B171D2">
        <w:rPr>
          <w:lang w:val="pt-BR"/>
        </w:rPr>
        <w:t xml:space="preserve"> </w:t>
      </w:r>
      <w:r w:rsidR="00D941C0">
        <w:rPr>
          <w:lang w:val="pt-BR"/>
        </w:rPr>
        <w:t>(</w:t>
      </w:r>
      <w:proofErr w:type="spellStart"/>
      <w:r w:rsidR="00D941C0">
        <w:rPr>
          <w:lang w:val="pt-BR"/>
        </w:rPr>
        <w:t>B</w:t>
      </w:r>
      <w:r w:rsidR="00D941C0">
        <w:rPr>
          <w:vertAlign w:val="subscript"/>
          <w:lang w:val="pt-BR"/>
        </w:rPr>
        <w:t>m</w:t>
      </w:r>
      <w:proofErr w:type="spellEnd"/>
      <w:r w:rsidR="00331FA3">
        <w:rPr>
          <w:vertAlign w:val="subscript"/>
          <w:lang w:val="pt-BR"/>
        </w:rPr>
        <w:t>,</w:t>
      </w:r>
      <w:r w:rsidR="00331FA3" w:rsidRPr="00331FA3">
        <w:rPr>
          <w:rFonts w:ascii="Times New Roman" w:hAnsi="Times New Roman"/>
          <w:lang w:val="pt-BR"/>
        </w:rPr>
        <w:t xml:space="preserve"> </w:t>
      </w:r>
      <w:r w:rsidR="00331FA3">
        <w:rPr>
          <w:rFonts w:ascii="Times New Roman" w:hAnsi="Times New Roman"/>
          <w:lang w:val="pt-BR"/>
        </w:rPr>
        <w:t>µ</w:t>
      </w:r>
      <w:r w:rsidR="00331FA3">
        <w:rPr>
          <w:lang w:val="pt-BR"/>
        </w:rPr>
        <w:t>mol</w:t>
      </w:r>
      <w:r w:rsidR="00331FA3">
        <w:rPr>
          <w:vertAlign w:val="subscript"/>
          <w:lang w:val="pt-BR"/>
        </w:rPr>
        <w:t>CO2</w:t>
      </w:r>
      <w:r w:rsidR="00331FA3">
        <w:rPr>
          <w:lang w:val="pt-BR"/>
        </w:rPr>
        <w:t>g</w:t>
      </w:r>
      <w:r w:rsidR="00331FA3">
        <w:rPr>
          <w:vertAlign w:val="superscript"/>
          <w:lang w:val="pt-BR"/>
        </w:rPr>
        <w:t>-1</w:t>
      </w:r>
      <w:r w:rsidR="00D941C0">
        <w:rPr>
          <w:lang w:val="pt-BR"/>
        </w:rPr>
        <w:t>)</w:t>
      </w:r>
      <w:r>
        <w:rPr>
          <w:lang w:val="pt-BR"/>
        </w:rPr>
        <w:t xml:space="preserve"> </w:t>
      </w:r>
      <w:r w:rsidR="00B171D2">
        <w:rPr>
          <w:lang w:val="pt-BR"/>
        </w:rPr>
        <w:t xml:space="preserve">e </w:t>
      </w:r>
      <w:r w:rsidR="003A1414">
        <w:rPr>
          <w:lang w:val="pt-BR"/>
        </w:rPr>
        <w:t xml:space="preserve">força </w:t>
      </w:r>
      <w:r w:rsidR="00D941C0">
        <w:rPr>
          <w:lang w:val="pt-BR"/>
        </w:rPr>
        <w:t>médi</w:t>
      </w:r>
      <w:r w:rsidR="003A1414">
        <w:rPr>
          <w:lang w:val="pt-BR"/>
        </w:rPr>
        <w:t>a</w:t>
      </w:r>
      <w:r w:rsidR="00D941C0">
        <w:rPr>
          <w:lang w:val="pt-BR"/>
        </w:rPr>
        <w:t xml:space="preserve"> + forte</w:t>
      </w:r>
      <w:r w:rsidR="00B171D2">
        <w:rPr>
          <w:lang w:val="pt-BR"/>
        </w:rPr>
        <w:t xml:space="preserve"> </w:t>
      </w:r>
      <w:r>
        <w:rPr>
          <w:lang w:val="pt-BR"/>
        </w:rPr>
        <w:t>(B</w:t>
      </w:r>
      <w:r>
        <w:rPr>
          <w:vertAlign w:val="subscript"/>
          <w:lang w:val="pt-BR"/>
        </w:rPr>
        <w:t>F</w:t>
      </w:r>
      <w:r w:rsidR="00331FA3">
        <w:rPr>
          <w:rFonts w:ascii="Times New Roman" w:hAnsi="Times New Roman"/>
          <w:lang w:val="pt-BR"/>
        </w:rPr>
        <w:t>, µ</w:t>
      </w:r>
      <w:r w:rsidR="00331FA3">
        <w:rPr>
          <w:lang w:val="pt-BR"/>
        </w:rPr>
        <w:t>mol</w:t>
      </w:r>
      <w:r w:rsidR="00331FA3">
        <w:rPr>
          <w:vertAlign w:val="subscript"/>
          <w:lang w:val="pt-BR"/>
        </w:rPr>
        <w:t>CO2</w:t>
      </w:r>
      <w:r w:rsidR="00331FA3">
        <w:rPr>
          <w:lang w:val="pt-BR"/>
        </w:rPr>
        <w:t>g</w:t>
      </w:r>
      <w:r w:rsidR="00331FA3">
        <w:rPr>
          <w:vertAlign w:val="superscript"/>
          <w:lang w:val="pt-BR"/>
        </w:rPr>
        <w:t>-1</w:t>
      </w:r>
      <w:r>
        <w:rPr>
          <w:lang w:val="pt-BR"/>
        </w:rPr>
        <w:t>).</w:t>
      </w:r>
      <w:r w:rsidR="00233865">
        <w:rPr>
          <w:lang w:val="pt-BR"/>
        </w:rPr>
        <w:t xml:space="preserve"> Valores obtidos nos TPD-NH</w:t>
      </w:r>
      <w:r w:rsidR="00233865" w:rsidRPr="008F0CF1">
        <w:rPr>
          <w:vertAlign w:val="subscript"/>
          <w:lang w:val="pt-BR"/>
        </w:rPr>
        <w:t>3</w:t>
      </w:r>
      <w:r w:rsidR="00233865">
        <w:rPr>
          <w:vertAlign w:val="subscript"/>
          <w:lang w:val="pt-BR"/>
        </w:rPr>
        <w:t xml:space="preserve"> </w:t>
      </w:r>
      <w:r w:rsidR="00233865" w:rsidRPr="00233865">
        <w:rPr>
          <w:lang w:val="pt-BR"/>
        </w:rPr>
        <w:t>e</w:t>
      </w:r>
      <w:r w:rsidR="00233865">
        <w:rPr>
          <w:vertAlign w:val="subscript"/>
          <w:lang w:val="pt-BR"/>
        </w:rPr>
        <w:t xml:space="preserve"> </w:t>
      </w:r>
      <w:r w:rsidR="00233865">
        <w:rPr>
          <w:lang w:val="pt-BR"/>
        </w:rPr>
        <w:t>TPD-CO</w:t>
      </w:r>
      <w:r w:rsidR="00233865" w:rsidRPr="00233865">
        <w:rPr>
          <w:vertAlign w:val="subscript"/>
          <w:lang w:val="pt-BR"/>
        </w:rPr>
        <w:t>2</w:t>
      </w:r>
      <w:r w:rsidR="00233865" w:rsidRPr="00233865">
        <w:rPr>
          <w:lang w:val="pt-BR"/>
        </w:rPr>
        <w:t>,</w:t>
      </w:r>
      <w:r w:rsidR="00233865">
        <w:rPr>
          <w:lang w:val="pt-BR"/>
        </w:rPr>
        <w:t xml:space="preserve"> respectivamente.</w:t>
      </w:r>
    </w:p>
    <w:tbl>
      <w:tblPr>
        <w:tblW w:w="4376" w:type="dxa"/>
        <w:tblInd w:w="284" w:type="dxa"/>
        <w:tblBorders>
          <w:top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535"/>
        <w:gridCol w:w="677"/>
        <w:gridCol w:w="676"/>
        <w:gridCol w:w="677"/>
        <w:gridCol w:w="677"/>
      </w:tblGrid>
      <w:tr w:rsidR="00331FA3" w:rsidRPr="00331FA3" w:rsidTr="002064B3">
        <w:trPr>
          <w:trHeight w:val="349"/>
        </w:trPr>
        <w:tc>
          <w:tcPr>
            <w:tcW w:w="1134" w:type="dxa"/>
            <w:tcBorders>
              <w:top w:val="single" w:sz="4" w:space="0" w:color="00000A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1FA3" w:rsidRDefault="008A0121" w:rsidP="00B171D2">
            <w:pPr>
              <w:pStyle w:val="TCTableBody"/>
              <w:spacing w:after="0" w:line="240" w:lineRule="auto"/>
              <w:jc w:val="left"/>
            </w:pPr>
            <w:r>
              <w:rPr>
                <w:lang w:val="pt-BR"/>
              </w:rPr>
              <w:t>Catalisadores</w:t>
            </w:r>
          </w:p>
        </w:tc>
        <w:tc>
          <w:tcPr>
            <w:tcW w:w="535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1FA3" w:rsidRDefault="00331FA3" w:rsidP="00DA168F">
            <w:pPr>
              <w:pStyle w:val="TCTableBody"/>
              <w:spacing w:after="0" w:line="240" w:lineRule="auto"/>
              <w:jc w:val="center"/>
            </w:pPr>
            <w:r>
              <w:rPr>
                <w:lang w:val="pt-BR"/>
              </w:rPr>
              <w:t>S</w:t>
            </w:r>
            <w:r>
              <w:rPr>
                <w:vertAlign w:val="subscript"/>
                <w:lang w:val="pt-BR"/>
              </w:rPr>
              <w:t xml:space="preserve">BET 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1FA3" w:rsidRDefault="00331FA3" w:rsidP="00331FA3">
            <w:pPr>
              <w:pStyle w:val="TCTableBody"/>
              <w:spacing w:after="0" w:line="240" w:lineRule="auto"/>
              <w:jc w:val="center"/>
              <w:rPr>
                <w:rFonts w:ascii="Times New Roman" w:hAnsi="Times New Roman"/>
                <w:lang w:val="pt-BR"/>
              </w:rPr>
            </w:pPr>
            <w:proofErr w:type="spellStart"/>
            <w:r>
              <w:rPr>
                <w:lang w:val="pt-BR"/>
              </w:rPr>
              <w:t>A</w:t>
            </w:r>
            <w:r>
              <w:rPr>
                <w:vertAlign w:val="subscript"/>
                <w:lang w:val="pt-BR"/>
              </w:rPr>
              <w:t>f</w:t>
            </w:r>
            <w:proofErr w:type="spellEnd"/>
          </w:p>
        </w:tc>
        <w:tc>
          <w:tcPr>
            <w:tcW w:w="676" w:type="dxa"/>
            <w:tcBorders>
              <w:top w:val="single" w:sz="4" w:space="0" w:color="00000A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1FA3" w:rsidRDefault="00331FA3" w:rsidP="00331FA3">
            <w:pPr>
              <w:pStyle w:val="TCTableBody"/>
              <w:spacing w:after="0" w:line="24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lang w:val="pt-BR"/>
              </w:rPr>
              <w:t>A</w:t>
            </w:r>
            <w:r>
              <w:rPr>
                <w:vertAlign w:val="subscript"/>
                <w:lang w:val="pt-BR"/>
              </w:rPr>
              <w:t>F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1FA3" w:rsidRDefault="00331FA3" w:rsidP="00331FA3">
            <w:pPr>
              <w:pStyle w:val="TCTableBody"/>
              <w:spacing w:after="0" w:line="240" w:lineRule="auto"/>
              <w:jc w:val="center"/>
              <w:rPr>
                <w:rFonts w:ascii="Times New Roman" w:hAnsi="Times New Roman"/>
                <w:lang w:val="pt-BR"/>
              </w:rPr>
            </w:pPr>
            <w:proofErr w:type="spellStart"/>
            <w:r>
              <w:rPr>
                <w:lang w:val="pt-BR"/>
              </w:rPr>
              <w:t>B</w:t>
            </w:r>
            <w:r>
              <w:rPr>
                <w:vertAlign w:val="subscript"/>
                <w:lang w:val="pt-BR"/>
              </w:rPr>
              <w:t>f</w:t>
            </w:r>
            <w:proofErr w:type="spellEnd"/>
          </w:p>
        </w:tc>
        <w:tc>
          <w:tcPr>
            <w:tcW w:w="677" w:type="dxa"/>
            <w:tcBorders>
              <w:top w:val="single" w:sz="4" w:space="0" w:color="00000A"/>
            </w:tcBorders>
            <w:shd w:val="clear" w:color="auto" w:fill="F2F2F2" w:themeFill="background1" w:themeFillShade="F2"/>
            <w:vAlign w:val="center"/>
          </w:tcPr>
          <w:p w:rsidR="00331FA3" w:rsidRDefault="00331FA3" w:rsidP="00331FA3">
            <w:pPr>
              <w:pStyle w:val="TCTableBody"/>
              <w:spacing w:after="0" w:line="24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lang w:val="pt-BR"/>
              </w:rPr>
              <w:t>B</w:t>
            </w:r>
            <w:r>
              <w:rPr>
                <w:vertAlign w:val="subscript"/>
                <w:lang w:val="pt-BR"/>
              </w:rPr>
              <w:t>F</w:t>
            </w:r>
          </w:p>
        </w:tc>
      </w:tr>
      <w:tr w:rsidR="00331FA3" w:rsidRPr="00331FA3" w:rsidTr="002064B3">
        <w:trPr>
          <w:trHeight w:val="275"/>
        </w:trPr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31FA3" w:rsidRPr="007A724B" w:rsidRDefault="00331FA3" w:rsidP="00481A7D">
            <w:pPr>
              <w:pStyle w:val="TCTableBody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A724B">
              <w:rPr>
                <w:rFonts w:ascii="Times New Roman" w:hAnsi="Times New Roman"/>
                <w:i/>
                <w:iCs/>
                <w:lang w:val="pt-BR"/>
              </w:rPr>
              <w:t>CuZn</w:t>
            </w:r>
            <w:proofErr w:type="spellEnd"/>
          </w:p>
        </w:tc>
        <w:tc>
          <w:tcPr>
            <w:tcW w:w="5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31FA3" w:rsidRPr="007A724B" w:rsidRDefault="00331FA3" w:rsidP="00481A7D">
            <w:pPr>
              <w:pStyle w:val="TCTableBody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24B">
              <w:rPr>
                <w:rFonts w:ascii="Times New Roman" w:hAnsi="Times New Roman"/>
              </w:rPr>
              <w:t>27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vAlign w:val="center"/>
          </w:tcPr>
          <w:p w:rsidR="00331FA3" w:rsidRPr="007A724B" w:rsidRDefault="00331FA3" w:rsidP="00481A7D">
            <w:pPr>
              <w:pStyle w:val="TCTableBody"/>
              <w:spacing w:after="0" w:line="240" w:lineRule="auto"/>
              <w:jc w:val="center"/>
              <w:rPr>
                <w:rFonts w:ascii="Times New Roman" w:hAnsi="Times New Roman"/>
                <w:lang w:val="pt-BR"/>
              </w:rPr>
            </w:pPr>
            <w:r w:rsidRPr="007A724B">
              <w:rPr>
                <w:rFonts w:ascii="Times New Roman" w:hAnsi="Times New Roman"/>
                <w:lang w:val="pt-BR"/>
              </w:rPr>
              <w:t>0</w:t>
            </w:r>
          </w:p>
        </w:tc>
        <w:tc>
          <w:tcPr>
            <w:tcW w:w="676" w:type="dxa"/>
            <w:tcBorders>
              <w:top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331FA3" w:rsidRPr="007A724B" w:rsidRDefault="00331FA3" w:rsidP="00481A7D">
            <w:pPr>
              <w:pStyle w:val="TCTableBody"/>
              <w:spacing w:after="0" w:line="240" w:lineRule="auto"/>
              <w:jc w:val="center"/>
              <w:rPr>
                <w:rFonts w:ascii="Times New Roman" w:hAnsi="Times New Roman"/>
                <w:strike/>
                <w:lang w:val="pt-BR"/>
              </w:rPr>
            </w:pPr>
            <w:r w:rsidRPr="007A724B">
              <w:rPr>
                <w:rFonts w:ascii="Times New Roman" w:hAnsi="Times New Roman"/>
                <w:lang w:val="pt-BR"/>
              </w:rPr>
              <w:t>0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vAlign w:val="center"/>
          </w:tcPr>
          <w:p w:rsidR="00331FA3" w:rsidRPr="007A724B" w:rsidRDefault="00331FA3" w:rsidP="00481A7D">
            <w:pPr>
              <w:pStyle w:val="TCTableBody"/>
              <w:spacing w:after="0" w:line="240" w:lineRule="auto"/>
              <w:jc w:val="center"/>
              <w:rPr>
                <w:rFonts w:ascii="Times New Roman" w:hAnsi="Times New Roman"/>
                <w:lang w:val="pt-BR"/>
              </w:rPr>
            </w:pPr>
            <w:r w:rsidRPr="007A724B">
              <w:rPr>
                <w:rFonts w:ascii="Times New Roman" w:hAnsi="Times New Roman"/>
                <w:lang w:val="pt-BR"/>
              </w:rPr>
              <w:t>16</w:t>
            </w:r>
          </w:p>
        </w:tc>
        <w:tc>
          <w:tcPr>
            <w:tcW w:w="677" w:type="dxa"/>
            <w:tcBorders>
              <w:top w:val="single" w:sz="4" w:space="0" w:color="00000A"/>
              <w:bottom w:val="single" w:sz="4" w:space="0" w:color="00000A"/>
            </w:tcBorders>
            <w:vAlign w:val="center"/>
          </w:tcPr>
          <w:p w:rsidR="00331FA3" w:rsidRPr="007A724B" w:rsidRDefault="00331FA3" w:rsidP="00481A7D">
            <w:pPr>
              <w:pStyle w:val="TCTableBody"/>
              <w:spacing w:after="0" w:line="240" w:lineRule="auto"/>
              <w:jc w:val="center"/>
              <w:rPr>
                <w:rFonts w:ascii="Times New Roman" w:hAnsi="Times New Roman"/>
                <w:lang w:val="pt-BR"/>
              </w:rPr>
            </w:pPr>
            <w:r w:rsidRPr="007A724B">
              <w:rPr>
                <w:rFonts w:ascii="Times New Roman" w:hAnsi="Times New Roman"/>
                <w:lang w:val="pt-BR"/>
              </w:rPr>
              <w:t>73</w:t>
            </w:r>
          </w:p>
        </w:tc>
      </w:tr>
      <w:tr w:rsidR="00331FA3" w:rsidRPr="00331FA3" w:rsidTr="002064B3">
        <w:trPr>
          <w:trHeight w:val="270"/>
        </w:trPr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31FA3" w:rsidRPr="007A724B" w:rsidRDefault="00331FA3" w:rsidP="00481A7D">
            <w:pPr>
              <w:pStyle w:val="TCTableBody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val="pt-BR"/>
              </w:rPr>
            </w:pPr>
            <w:r w:rsidRPr="007A724B">
              <w:rPr>
                <w:rFonts w:ascii="Times New Roman" w:hAnsi="Times New Roman"/>
                <w:i/>
                <w:iCs/>
                <w:lang w:val="pt-BR"/>
              </w:rPr>
              <w:t>CuZnAl3</w:t>
            </w:r>
          </w:p>
        </w:tc>
        <w:tc>
          <w:tcPr>
            <w:tcW w:w="5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31FA3" w:rsidRPr="007A724B" w:rsidRDefault="00331FA3" w:rsidP="00481A7D">
            <w:pPr>
              <w:pStyle w:val="TCTableBody"/>
              <w:spacing w:after="0" w:line="240" w:lineRule="auto"/>
              <w:jc w:val="center"/>
              <w:rPr>
                <w:rFonts w:ascii="Times New Roman" w:hAnsi="Times New Roman"/>
                <w:lang w:val="pt-BR"/>
              </w:rPr>
            </w:pPr>
            <w:r w:rsidRPr="007A724B">
              <w:rPr>
                <w:rFonts w:ascii="Times New Roman" w:hAnsi="Times New Roman"/>
                <w:lang w:val="pt-BR"/>
              </w:rPr>
              <w:t>47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vAlign w:val="center"/>
          </w:tcPr>
          <w:p w:rsidR="00331FA3" w:rsidRPr="007A724B" w:rsidRDefault="00331FA3" w:rsidP="00481A7D">
            <w:pPr>
              <w:pStyle w:val="TCTableBody"/>
              <w:spacing w:after="0" w:line="240" w:lineRule="auto"/>
              <w:jc w:val="center"/>
              <w:rPr>
                <w:rFonts w:ascii="Times New Roman" w:hAnsi="Times New Roman"/>
                <w:lang w:val="pt-BR"/>
              </w:rPr>
            </w:pPr>
            <w:r w:rsidRPr="007A724B">
              <w:rPr>
                <w:rFonts w:ascii="Times New Roman" w:hAnsi="Times New Roman"/>
                <w:lang w:val="pt-BR"/>
              </w:rPr>
              <w:t>10</w:t>
            </w:r>
          </w:p>
        </w:tc>
        <w:tc>
          <w:tcPr>
            <w:tcW w:w="676" w:type="dxa"/>
            <w:tcBorders>
              <w:top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331FA3" w:rsidRPr="007A724B" w:rsidRDefault="00331FA3" w:rsidP="00481A7D">
            <w:pPr>
              <w:pStyle w:val="TCTableBody"/>
              <w:spacing w:after="0" w:line="240" w:lineRule="auto"/>
              <w:jc w:val="center"/>
              <w:rPr>
                <w:rFonts w:ascii="Times New Roman" w:hAnsi="Times New Roman"/>
                <w:strike/>
                <w:lang w:val="pt-BR"/>
              </w:rPr>
            </w:pPr>
            <w:r w:rsidRPr="007A724B">
              <w:rPr>
                <w:rFonts w:ascii="Times New Roman" w:hAnsi="Times New Roman"/>
                <w:lang w:val="pt-BR"/>
              </w:rPr>
              <w:t>15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vAlign w:val="center"/>
          </w:tcPr>
          <w:p w:rsidR="00331FA3" w:rsidRPr="007A724B" w:rsidRDefault="00331FA3" w:rsidP="00481A7D">
            <w:pPr>
              <w:pStyle w:val="TCTableBody"/>
              <w:spacing w:after="0" w:line="240" w:lineRule="auto"/>
              <w:jc w:val="center"/>
              <w:rPr>
                <w:rFonts w:ascii="Times New Roman" w:hAnsi="Times New Roman"/>
                <w:lang w:val="pt-BR"/>
              </w:rPr>
            </w:pPr>
            <w:r w:rsidRPr="007A724B">
              <w:rPr>
                <w:rFonts w:ascii="Times New Roman" w:hAnsi="Times New Roman"/>
                <w:lang w:val="pt-BR"/>
              </w:rPr>
              <w:t>22</w:t>
            </w:r>
          </w:p>
        </w:tc>
        <w:tc>
          <w:tcPr>
            <w:tcW w:w="677" w:type="dxa"/>
            <w:tcBorders>
              <w:top w:val="single" w:sz="4" w:space="0" w:color="00000A"/>
              <w:bottom w:val="single" w:sz="4" w:space="0" w:color="00000A"/>
            </w:tcBorders>
            <w:vAlign w:val="center"/>
          </w:tcPr>
          <w:p w:rsidR="00331FA3" w:rsidRPr="007A724B" w:rsidRDefault="00331FA3" w:rsidP="00481A7D">
            <w:pPr>
              <w:pStyle w:val="TCTableBody"/>
              <w:spacing w:after="0" w:line="240" w:lineRule="auto"/>
              <w:jc w:val="center"/>
              <w:rPr>
                <w:rFonts w:ascii="Times New Roman" w:hAnsi="Times New Roman"/>
                <w:lang w:val="pt-BR"/>
              </w:rPr>
            </w:pPr>
            <w:r w:rsidRPr="007A724B">
              <w:rPr>
                <w:rFonts w:ascii="Times New Roman" w:hAnsi="Times New Roman"/>
                <w:lang w:val="pt-BR"/>
              </w:rPr>
              <w:t>54</w:t>
            </w:r>
          </w:p>
        </w:tc>
      </w:tr>
      <w:tr w:rsidR="00331FA3" w:rsidRPr="00331FA3" w:rsidTr="002064B3">
        <w:trPr>
          <w:trHeight w:val="275"/>
        </w:trPr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31FA3" w:rsidRPr="007A724B" w:rsidRDefault="00331FA3" w:rsidP="00481A7D">
            <w:pPr>
              <w:pStyle w:val="TCTableBody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val="pt-BR"/>
              </w:rPr>
            </w:pPr>
            <w:r w:rsidRPr="007A724B">
              <w:rPr>
                <w:rFonts w:ascii="Times New Roman" w:hAnsi="Times New Roman"/>
                <w:i/>
                <w:iCs/>
                <w:lang w:val="pt-BR"/>
              </w:rPr>
              <w:t>CuZnAl6</w:t>
            </w:r>
          </w:p>
        </w:tc>
        <w:tc>
          <w:tcPr>
            <w:tcW w:w="5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31FA3" w:rsidRPr="007A724B" w:rsidRDefault="00331FA3" w:rsidP="00481A7D">
            <w:pPr>
              <w:pStyle w:val="TCTableBody"/>
              <w:spacing w:after="0" w:line="240" w:lineRule="auto"/>
              <w:jc w:val="center"/>
              <w:rPr>
                <w:rFonts w:ascii="Times New Roman" w:hAnsi="Times New Roman"/>
                <w:lang w:val="pt-BR"/>
              </w:rPr>
            </w:pPr>
            <w:r w:rsidRPr="007A724B">
              <w:rPr>
                <w:rFonts w:ascii="Times New Roman" w:hAnsi="Times New Roman"/>
                <w:lang w:val="pt-BR"/>
              </w:rPr>
              <w:t>54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vAlign w:val="center"/>
          </w:tcPr>
          <w:p w:rsidR="00331FA3" w:rsidRPr="007A724B" w:rsidRDefault="00331FA3" w:rsidP="00481A7D">
            <w:pPr>
              <w:pStyle w:val="TCTableBody"/>
              <w:spacing w:after="0" w:line="240" w:lineRule="auto"/>
              <w:jc w:val="center"/>
              <w:rPr>
                <w:rFonts w:ascii="Times New Roman" w:hAnsi="Times New Roman"/>
                <w:lang w:val="pt-BR"/>
              </w:rPr>
            </w:pPr>
            <w:r w:rsidRPr="007A724B">
              <w:rPr>
                <w:rFonts w:ascii="Times New Roman" w:hAnsi="Times New Roman"/>
                <w:lang w:val="pt-BR"/>
              </w:rPr>
              <w:t>44</w:t>
            </w:r>
          </w:p>
        </w:tc>
        <w:tc>
          <w:tcPr>
            <w:tcW w:w="676" w:type="dxa"/>
            <w:tcBorders>
              <w:top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331FA3" w:rsidRPr="007A724B" w:rsidRDefault="00331FA3" w:rsidP="00481A7D">
            <w:pPr>
              <w:pStyle w:val="TCTableBody"/>
              <w:spacing w:after="0" w:line="240" w:lineRule="auto"/>
              <w:jc w:val="center"/>
              <w:rPr>
                <w:rFonts w:ascii="Times New Roman" w:hAnsi="Times New Roman"/>
                <w:strike/>
                <w:lang w:val="pt-BR"/>
              </w:rPr>
            </w:pPr>
            <w:r w:rsidRPr="007A724B">
              <w:rPr>
                <w:rFonts w:ascii="Times New Roman" w:hAnsi="Times New Roman"/>
                <w:lang w:val="pt-BR"/>
              </w:rPr>
              <w:t>44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vAlign w:val="center"/>
          </w:tcPr>
          <w:p w:rsidR="00331FA3" w:rsidRPr="007A724B" w:rsidRDefault="00331FA3" w:rsidP="00481A7D">
            <w:pPr>
              <w:pStyle w:val="TCTableBody"/>
              <w:spacing w:after="0" w:line="240" w:lineRule="auto"/>
              <w:jc w:val="center"/>
              <w:rPr>
                <w:rFonts w:ascii="Times New Roman" w:hAnsi="Times New Roman"/>
                <w:lang w:val="pt-BR"/>
              </w:rPr>
            </w:pPr>
            <w:r w:rsidRPr="007A724B">
              <w:rPr>
                <w:rFonts w:ascii="Times New Roman" w:hAnsi="Times New Roman"/>
                <w:lang w:val="pt-BR"/>
              </w:rPr>
              <w:t>23</w:t>
            </w:r>
          </w:p>
        </w:tc>
        <w:tc>
          <w:tcPr>
            <w:tcW w:w="677" w:type="dxa"/>
            <w:tcBorders>
              <w:top w:val="single" w:sz="4" w:space="0" w:color="00000A"/>
              <w:bottom w:val="single" w:sz="4" w:space="0" w:color="00000A"/>
            </w:tcBorders>
            <w:vAlign w:val="center"/>
          </w:tcPr>
          <w:p w:rsidR="00331FA3" w:rsidRPr="007A724B" w:rsidRDefault="00331FA3" w:rsidP="00481A7D">
            <w:pPr>
              <w:pStyle w:val="TCTableBody"/>
              <w:spacing w:after="0" w:line="240" w:lineRule="auto"/>
              <w:jc w:val="center"/>
              <w:rPr>
                <w:rFonts w:ascii="Times New Roman" w:hAnsi="Times New Roman"/>
                <w:lang w:val="pt-BR"/>
              </w:rPr>
            </w:pPr>
            <w:r w:rsidRPr="007A724B">
              <w:rPr>
                <w:rFonts w:ascii="Times New Roman" w:hAnsi="Times New Roman"/>
                <w:lang w:val="pt-BR"/>
              </w:rPr>
              <w:t>68</w:t>
            </w:r>
          </w:p>
        </w:tc>
      </w:tr>
      <w:tr w:rsidR="00331FA3" w:rsidRPr="00331FA3" w:rsidTr="002064B3">
        <w:trPr>
          <w:trHeight w:val="349"/>
        </w:trPr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31FA3" w:rsidRPr="007A724B" w:rsidRDefault="00331FA3" w:rsidP="00481A7D">
            <w:pPr>
              <w:pStyle w:val="TCTableBody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24B">
              <w:rPr>
                <w:rFonts w:ascii="Times New Roman" w:hAnsi="Times New Roman"/>
                <w:i/>
                <w:iCs/>
                <w:lang w:val="pt-BR"/>
              </w:rPr>
              <w:t>CuZnAl10</w:t>
            </w:r>
          </w:p>
        </w:tc>
        <w:tc>
          <w:tcPr>
            <w:tcW w:w="5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31FA3" w:rsidRPr="007A724B" w:rsidRDefault="00331FA3" w:rsidP="00481A7D">
            <w:pPr>
              <w:pStyle w:val="TCTableBody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24B">
              <w:rPr>
                <w:rFonts w:ascii="Times New Roman" w:hAnsi="Times New Roman"/>
              </w:rPr>
              <w:t>52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vAlign w:val="center"/>
          </w:tcPr>
          <w:p w:rsidR="00331FA3" w:rsidRPr="007A724B" w:rsidRDefault="00331FA3" w:rsidP="00481A7D">
            <w:pPr>
              <w:pStyle w:val="TCTableBody"/>
              <w:spacing w:after="0" w:line="240" w:lineRule="auto"/>
              <w:jc w:val="center"/>
              <w:rPr>
                <w:rFonts w:ascii="Times New Roman" w:hAnsi="Times New Roman"/>
                <w:lang w:val="pt-BR"/>
              </w:rPr>
            </w:pPr>
            <w:r w:rsidRPr="007A724B">
              <w:rPr>
                <w:rFonts w:ascii="Times New Roman" w:hAnsi="Times New Roman"/>
                <w:lang w:val="pt-BR"/>
              </w:rPr>
              <w:t>11</w:t>
            </w:r>
          </w:p>
        </w:tc>
        <w:tc>
          <w:tcPr>
            <w:tcW w:w="676" w:type="dxa"/>
            <w:tcBorders>
              <w:top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331FA3" w:rsidRPr="007A724B" w:rsidRDefault="00331FA3" w:rsidP="00481A7D">
            <w:pPr>
              <w:pStyle w:val="TCTableBody"/>
              <w:spacing w:after="0" w:line="240" w:lineRule="auto"/>
              <w:jc w:val="center"/>
              <w:rPr>
                <w:rFonts w:ascii="Times New Roman" w:hAnsi="Times New Roman"/>
                <w:strike/>
                <w:lang w:val="pt-BR"/>
              </w:rPr>
            </w:pPr>
            <w:r w:rsidRPr="007A724B">
              <w:rPr>
                <w:rFonts w:ascii="Times New Roman" w:hAnsi="Times New Roman"/>
                <w:lang w:val="pt-BR"/>
              </w:rPr>
              <w:t>29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vAlign w:val="center"/>
          </w:tcPr>
          <w:p w:rsidR="00331FA3" w:rsidRPr="007A724B" w:rsidRDefault="00331FA3" w:rsidP="00481A7D">
            <w:pPr>
              <w:pStyle w:val="TCTableBody"/>
              <w:spacing w:after="0" w:line="240" w:lineRule="auto"/>
              <w:jc w:val="center"/>
              <w:rPr>
                <w:rFonts w:ascii="Times New Roman" w:hAnsi="Times New Roman"/>
                <w:lang w:val="pt-BR"/>
              </w:rPr>
            </w:pPr>
            <w:r w:rsidRPr="007A724B">
              <w:rPr>
                <w:rFonts w:ascii="Times New Roman" w:hAnsi="Times New Roman"/>
                <w:lang w:val="pt-BR"/>
              </w:rPr>
              <w:t>11</w:t>
            </w:r>
          </w:p>
        </w:tc>
        <w:tc>
          <w:tcPr>
            <w:tcW w:w="677" w:type="dxa"/>
            <w:tcBorders>
              <w:top w:val="single" w:sz="4" w:space="0" w:color="00000A"/>
              <w:bottom w:val="single" w:sz="4" w:space="0" w:color="00000A"/>
            </w:tcBorders>
            <w:vAlign w:val="center"/>
          </w:tcPr>
          <w:p w:rsidR="00331FA3" w:rsidRPr="007A724B" w:rsidRDefault="00331FA3" w:rsidP="00481A7D">
            <w:pPr>
              <w:pStyle w:val="TCTableBody"/>
              <w:spacing w:after="0" w:line="240" w:lineRule="auto"/>
              <w:jc w:val="center"/>
              <w:rPr>
                <w:rFonts w:ascii="Times New Roman" w:hAnsi="Times New Roman"/>
                <w:lang w:val="pt-BR"/>
              </w:rPr>
            </w:pPr>
            <w:r w:rsidRPr="007A724B">
              <w:rPr>
                <w:rFonts w:ascii="Times New Roman" w:hAnsi="Times New Roman"/>
                <w:lang w:val="pt-BR"/>
              </w:rPr>
              <w:t>49</w:t>
            </w:r>
          </w:p>
        </w:tc>
      </w:tr>
    </w:tbl>
    <w:p w:rsidR="00F37B33" w:rsidRDefault="00F37B33" w:rsidP="00E84BE8">
      <w:pPr>
        <w:pStyle w:val="TAMainText"/>
        <w:ind w:firstLine="187"/>
        <w:rPr>
          <w:rFonts w:ascii="Times New Roman" w:hAnsi="Times New Roman"/>
          <w:lang w:val="pt-BR"/>
        </w:rPr>
      </w:pPr>
    </w:p>
    <w:p w:rsidR="009D16F3" w:rsidRDefault="00E84BE8" w:rsidP="00E84BE8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As condições experimentais foram variadas para observação do comportamento do catalisador CuZnAl6 (Figura 1</w:t>
      </w:r>
      <w:r w:rsidR="00233865">
        <w:rPr>
          <w:rFonts w:ascii="Times New Roman" w:hAnsi="Times New Roman"/>
          <w:lang w:val="pt-BR"/>
        </w:rPr>
        <w:t xml:space="preserve"> a e b</w:t>
      </w:r>
      <w:r>
        <w:rPr>
          <w:rFonts w:ascii="Times New Roman" w:hAnsi="Times New Roman"/>
          <w:lang w:val="pt-BR"/>
        </w:rPr>
        <w:t xml:space="preserve">). Com o aumento da temperatura a conversão de etanol aumenta e a seletividade para acetaldeído diminui, </w:t>
      </w:r>
      <w:r>
        <w:rPr>
          <w:rFonts w:ascii="Times New Roman" w:hAnsi="Times New Roman"/>
          <w:lang w:val="pt-BR"/>
        </w:rPr>
        <w:lastRenderedPageBreak/>
        <w:t>enquanto as seletividades para acetona e CO</w:t>
      </w:r>
      <w:r w:rsidRPr="00E84BE8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 aumentam e a seletividade para ácido acético atinge o máximo em 300℃.</w:t>
      </w:r>
      <w:r w:rsidR="009D16F3" w:rsidRPr="00E038AF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Por outro lado, a diminuição da velocidade espacial provoca aumento da seletividade ao ácido acético até um certo limite </w:t>
      </w:r>
      <w:r w:rsidRPr="005935EC">
        <w:rPr>
          <w:rFonts w:ascii="Times New Roman" w:hAnsi="Times New Roman"/>
          <w:lang w:val="pt-BR"/>
        </w:rPr>
        <w:t>no qual ela volta a cair, enquanto a seletividade para acetona</w:t>
      </w:r>
      <w:r>
        <w:rPr>
          <w:rFonts w:ascii="Times New Roman" w:hAnsi="Times New Roman"/>
          <w:lang w:val="pt-BR"/>
        </w:rPr>
        <w:t xml:space="preserve"> aumenta. </w:t>
      </w:r>
      <w:r w:rsidR="00175BFC">
        <w:rPr>
          <w:rFonts w:ascii="Times New Roman" w:hAnsi="Times New Roman"/>
          <w:lang w:val="pt-BR"/>
        </w:rPr>
        <w:t xml:space="preserve">Como a </w:t>
      </w:r>
      <w:r w:rsidR="009B346A">
        <w:rPr>
          <w:rFonts w:ascii="Times New Roman" w:hAnsi="Times New Roman"/>
          <w:lang w:val="pt-BR"/>
        </w:rPr>
        <w:t>síntese</w:t>
      </w:r>
      <w:r w:rsidR="00175BFC">
        <w:rPr>
          <w:rFonts w:ascii="Times New Roman" w:hAnsi="Times New Roman"/>
          <w:lang w:val="pt-BR"/>
        </w:rPr>
        <w:t xml:space="preserve"> da acetona ocorre pela condensação de duas espécies acetato, </w:t>
      </w:r>
      <w:r w:rsidR="009B346A">
        <w:rPr>
          <w:rFonts w:ascii="Times New Roman" w:hAnsi="Times New Roman"/>
          <w:lang w:val="pt-BR"/>
        </w:rPr>
        <w:t xml:space="preserve">o mesmo precursor do ácido acético, </w:t>
      </w:r>
      <w:r w:rsidR="00175BFC">
        <w:rPr>
          <w:rFonts w:ascii="Times New Roman" w:hAnsi="Times New Roman"/>
          <w:lang w:val="pt-BR"/>
        </w:rPr>
        <w:t xml:space="preserve">é possível sugerir que tempos de contato elevados </w:t>
      </w:r>
      <w:r w:rsidR="009B346A">
        <w:rPr>
          <w:rFonts w:ascii="Times New Roman" w:hAnsi="Times New Roman"/>
          <w:lang w:val="pt-BR"/>
        </w:rPr>
        <w:t>promovam</w:t>
      </w:r>
      <w:r w:rsidR="00175BFC">
        <w:rPr>
          <w:rFonts w:ascii="Times New Roman" w:hAnsi="Times New Roman"/>
          <w:lang w:val="pt-BR"/>
        </w:rPr>
        <w:t xml:space="preserve"> a formação de uma população grande destas espécies provocando a geração de acetona em detrimento do ácido acético. </w:t>
      </w:r>
      <w:r w:rsidR="00960726">
        <w:rPr>
          <w:rFonts w:ascii="Times New Roman" w:hAnsi="Times New Roman"/>
          <w:lang w:val="pt-BR"/>
        </w:rPr>
        <w:t>A</w:t>
      </w:r>
      <w:r>
        <w:rPr>
          <w:rFonts w:ascii="Times New Roman" w:hAnsi="Times New Roman"/>
          <w:lang w:val="pt-BR"/>
        </w:rPr>
        <w:t xml:space="preserve"> diminuição da seletividade a acetaldeído</w:t>
      </w:r>
      <w:r w:rsidR="00960726">
        <w:rPr>
          <w:rFonts w:ascii="Times New Roman" w:hAnsi="Times New Roman"/>
          <w:lang w:val="pt-BR"/>
        </w:rPr>
        <w:t xml:space="preserve"> com o aumento do tempo de contato</w:t>
      </w:r>
      <w:r>
        <w:rPr>
          <w:rFonts w:ascii="Times New Roman" w:hAnsi="Times New Roman"/>
          <w:lang w:val="pt-BR"/>
        </w:rPr>
        <w:t xml:space="preserve"> mostra que este é </w:t>
      </w:r>
      <w:r w:rsidR="00A476A2">
        <w:rPr>
          <w:rFonts w:ascii="Times New Roman" w:hAnsi="Times New Roman"/>
          <w:lang w:val="pt-BR"/>
        </w:rPr>
        <w:t>de fato um</w:t>
      </w:r>
      <w:r>
        <w:rPr>
          <w:rFonts w:ascii="Times New Roman" w:hAnsi="Times New Roman"/>
          <w:lang w:val="pt-BR"/>
        </w:rPr>
        <w:t xml:space="preserve"> intermediário da síntese </w:t>
      </w:r>
      <w:r w:rsidR="00960726">
        <w:rPr>
          <w:rFonts w:ascii="Times New Roman" w:hAnsi="Times New Roman"/>
          <w:lang w:val="pt-BR"/>
        </w:rPr>
        <w:t>d</w:t>
      </w:r>
      <w:r>
        <w:rPr>
          <w:rFonts w:ascii="Times New Roman" w:hAnsi="Times New Roman"/>
          <w:lang w:val="pt-BR"/>
        </w:rPr>
        <w:t>o</w:t>
      </w:r>
      <w:r w:rsidR="00960726">
        <w:rPr>
          <w:rFonts w:ascii="Times New Roman" w:hAnsi="Times New Roman"/>
          <w:lang w:val="pt-BR"/>
        </w:rPr>
        <w:t xml:space="preserve"> ácido acético.</w:t>
      </w:r>
    </w:p>
    <w:p w:rsidR="002E1AD6" w:rsidRDefault="002E1AD6" w:rsidP="002E1AD6">
      <w:pPr>
        <w:pStyle w:val="TAMainText"/>
        <w:ind w:firstLine="187"/>
        <w:rPr>
          <w:lang w:val="pt-BR"/>
        </w:rPr>
      </w:pPr>
      <w:r>
        <w:rPr>
          <w:lang w:val="pt-BR"/>
        </w:rPr>
        <w:t xml:space="preserve">Os testes catalíticos em isoconversão de 60% mostram que a introdução do </w:t>
      </w:r>
      <w:r w:rsidR="002A67B9">
        <w:rPr>
          <w:lang w:val="pt-BR"/>
        </w:rPr>
        <w:t>Al</w:t>
      </w:r>
      <w:r>
        <w:rPr>
          <w:lang w:val="pt-BR"/>
        </w:rPr>
        <w:t xml:space="preserve"> aumenta consideravelmente a atividade do catalisador (Tabela 3). </w:t>
      </w:r>
      <w:r w:rsidRPr="003A1414">
        <w:rPr>
          <w:lang w:val="pt-BR"/>
        </w:rPr>
        <w:t>Pode-se observar que</w:t>
      </w:r>
      <w:r w:rsidR="008961D9" w:rsidRPr="003A1414">
        <w:rPr>
          <w:lang w:val="pt-BR"/>
        </w:rPr>
        <w:t xml:space="preserve"> </w:t>
      </w:r>
      <w:r w:rsidRPr="003A1414">
        <w:rPr>
          <w:lang w:val="pt-BR"/>
        </w:rPr>
        <w:t xml:space="preserve">os catalisadores contendo maiores teores </w:t>
      </w:r>
      <w:r w:rsidR="002A67B9">
        <w:rPr>
          <w:lang w:val="pt-BR"/>
        </w:rPr>
        <w:t>deste elemento</w:t>
      </w:r>
      <w:r w:rsidRPr="003A1414">
        <w:rPr>
          <w:lang w:val="pt-BR"/>
        </w:rPr>
        <w:t xml:space="preserve"> (CuZnAl6 e CuZnAl10) </w:t>
      </w:r>
      <w:r w:rsidR="008961D9">
        <w:rPr>
          <w:lang w:val="pt-BR"/>
        </w:rPr>
        <w:t xml:space="preserve">atingem 60% </w:t>
      </w:r>
      <w:r w:rsidR="00FA3992">
        <w:rPr>
          <w:lang w:val="pt-BR"/>
        </w:rPr>
        <w:t xml:space="preserve">de </w:t>
      </w:r>
      <w:r w:rsidR="008961D9">
        <w:rPr>
          <w:lang w:val="pt-BR"/>
        </w:rPr>
        <w:t>conversão de etanol com velocidades espaciais aproximadamente 10 vezes maiores que os demais catalisadores</w:t>
      </w:r>
      <w:r w:rsidR="003A1414">
        <w:rPr>
          <w:lang w:val="pt-BR"/>
        </w:rPr>
        <w:t>, sugerindo que estes catalisadores geram acetaldeído com muito mais facilidade.</w:t>
      </w:r>
      <w:r w:rsidR="002A67B9">
        <w:rPr>
          <w:lang w:val="pt-BR"/>
        </w:rPr>
        <w:t xml:space="preserve"> Vale salientar que os catalisadores com Al apresentam quase a mesma área específica (Tabela 2).</w:t>
      </w:r>
    </w:p>
    <w:p w:rsidR="00DE4534" w:rsidRDefault="00DE4534" w:rsidP="002E1AD6">
      <w:pPr>
        <w:pStyle w:val="TAMainText"/>
        <w:ind w:firstLine="187"/>
        <w:rPr>
          <w:lang w:val="pt-BR"/>
        </w:rPr>
      </w:pPr>
    </w:p>
    <w:p w:rsidR="002E1AD6" w:rsidRDefault="002E1AD6" w:rsidP="00810FFA">
      <w:pPr>
        <w:pStyle w:val="VDTableTitle"/>
        <w:spacing w:after="120"/>
        <w:jc w:val="both"/>
        <w:rPr>
          <w:lang w:val="pt-BR"/>
        </w:rPr>
      </w:pPr>
      <w:r>
        <w:rPr>
          <w:b/>
          <w:lang w:val="pt-BR"/>
        </w:rPr>
        <w:t>Tabela 3.</w:t>
      </w:r>
      <w:r>
        <w:rPr>
          <w:lang w:val="pt-BR"/>
        </w:rPr>
        <w:t xml:space="preserve"> </w:t>
      </w:r>
      <w:r w:rsidR="00142083">
        <w:rPr>
          <w:lang w:val="pt-BR"/>
        </w:rPr>
        <w:t>Velocidades espaciais (SV), s</w:t>
      </w:r>
      <w:r>
        <w:rPr>
          <w:lang w:val="pt-BR"/>
        </w:rPr>
        <w:t>eletividades para acetaldeído (</w:t>
      </w:r>
      <w:proofErr w:type="spellStart"/>
      <w:r>
        <w:rPr>
          <w:lang w:val="pt-BR"/>
        </w:rPr>
        <w:t>S</w:t>
      </w:r>
      <w:r>
        <w:rPr>
          <w:vertAlign w:val="subscript"/>
          <w:lang w:val="pt-BR"/>
        </w:rPr>
        <w:t>acet</w:t>
      </w:r>
      <w:proofErr w:type="spellEnd"/>
      <w:r>
        <w:rPr>
          <w:lang w:val="pt-BR"/>
        </w:rPr>
        <w:t>) e ácido acético (S</w:t>
      </w:r>
      <w:r>
        <w:rPr>
          <w:vertAlign w:val="subscript"/>
          <w:lang w:val="pt-BR"/>
        </w:rPr>
        <w:t>AA</w:t>
      </w:r>
      <w:r>
        <w:rPr>
          <w:lang w:val="pt-BR"/>
        </w:rPr>
        <w:t xml:space="preserve">) em isoconversão (60%) a </w:t>
      </w:r>
      <w:r w:rsidR="008A0121">
        <w:rPr>
          <w:lang w:val="pt-BR"/>
        </w:rPr>
        <w:t>250</w:t>
      </w:r>
      <w:r>
        <w:rPr>
          <w:rFonts w:cs="Times"/>
          <w:vertAlign w:val="superscript"/>
          <w:lang w:val="pt-BR"/>
        </w:rPr>
        <w:t>°</w:t>
      </w:r>
      <w:r>
        <w:rPr>
          <w:lang w:val="pt-BR"/>
        </w:rPr>
        <w:t>C e 1 atm.</w:t>
      </w:r>
    </w:p>
    <w:tbl>
      <w:tblPr>
        <w:tblW w:w="3261" w:type="dxa"/>
        <w:jc w:val="center"/>
        <w:tblBorders>
          <w:top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"/>
        <w:gridCol w:w="589"/>
        <w:gridCol w:w="567"/>
        <w:gridCol w:w="1134"/>
      </w:tblGrid>
      <w:tr w:rsidR="00815985" w:rsidTr="00815985">
        <w:trPr>
          <w:trHeight w:val="828"/>
          <w:jc w:val="center"/>
        </w:trPr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815985" w:rsidRDefault="00FA3992" w:rsidP="005868A6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  <w:r w:rsidR="00815985">
              <w:rPr>
                <w:lang w:val="pt-BR"/>
              </w:rPr>
              <w:t>atalisador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815985" w:rsidRDefault="00815985" w:rsidP="00815985">
            <w:pPr>
              <w:pStyle w:val="TCTableBody"/>
              <w:spacing w:after="0" w:line="360" w:lineRule="auto"/>
              <w:jc w:val="center"/>
              <w:rPr>
                <w:vertAlign w:val="subscript"/>
                <w:lang w:val="pt-BR"/>
              </w:rPr>
            </w:pPr>
            <w:proofErr w:type="spellStart"/>
            <w:r>
              <w:rPr>
                <w:lang w:val="pt-BR"/>
              </w:rPr>
              <w:t>S</w:t>
            </w:r>
            <w:r>
              <w:rPr>
                <w:vertAlign w:val="subscript"/>
                <w:lang w:val="pt-BR"/>
              </w:rPr>
              <w:t>acet</w:t>
            </w:r>
            <w:proofErr w:type="spellEnd"/>
          </w:p>
          <w:p w:rsidR="00815985" w:rsidRDefault="00815985" w:rsidP="00815985">
            <w:pPr>
              <w:pStyle w:val="TCTableBody"/>
              <w:spacing w:after="0" w:line="360" w:lineRule="auto"/>
              <w:jc w:val="center"/>
              <w:rPr>
                <w:lang w:val="pt-BR"/>
              </w:rPr>
            </w:pPr>
            <w:r w:rsidRPr="005868A6">
              <w:rPr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15985" w:rsidRDefault="00815985" w:rsidP="00815985">
            <w:pPr>
              <w:pStyle w:val="TCTableBody"/>
              <w:spacing w:after="0" w:line="360" w:lineRule="auto"/>
              <w:jc w:val="center"/>
              <w:rPr>
                <w:vertAlign w:val="subscript"/>
                <w:lang w:val="pt-BR"/>
              </w:rPr>
            </w:pPr>
            <w:r>
              <w:rPr>
                <w:lang w:val="pt-BR"/>
              </w:rPr>
              <w:t>S</w:t>
            </w:r>
            <w:r>
              <w:rPr>
                <w:vertAlign w:val="subscript"/>
                <w:lang w:val="pt-BR"/>
              </w:rPr>
              <w:t>AA</w:t>
            </w:r>
          </w:p>
          <w:p w:rsidR="00815985" w:rsidRDefault="00815985" w:rsidP="00815985">
            <w:pPr>
              <w:pStyle w:val="TCTableBody"/>
              <w:spacing w:after="0" w:line="360" w:lineRule="auto"/>
              <w:jc w:val="center"/>
              <w:rPr>
                <w:lang w:val="pt-BR"/>
              </w:rPr>
            </w:pPr>
            <w:r w:rsidRPr="005868A6">
              <w:rPr>
                <w:lang w:val="pt-BR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15985" w:rsidRDefault="00815985" w:rsidP="00815985">
            <w:pPr>
              <w:pStyle w:val="TCTableBody"/>
              <w:spacing w:after="0" w:line="36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SV</w:t>
            </w:r>
          </w:p>
          <w:p w:rsidR="00815985" w:rsidRDefault="00815985" w:rsidP="00815985">
            <w:pPr>
              <w:pStyle w:val="TCTableBody"/>
              <w:spacing w:after="0" w:line="360" w:lineRule="auto"/>
              <w:jc w:val="center"/>
              <w:rPr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</w:t>
            </w:r>
            <w:r w:rsidRPr="002F4587">
              <w:rPr>
                <w:rFonts w:ascii="Times New Roman" w:hAnsi="Times New Roman"/>
                <w:vertAlign w:val="subscript"/>
                <w:lang w:val="pt-BR"/>
              </w:rPr>
              <w:t>EtOH</w:t>
            </w:r>
            <w:r>
              <w:rPr>
                <w:rFonts w:ascii="Times New Roman" w:hAnsi="Times New Roman"/>
                <w:lang w:val="pt-BR"/>
              </w:rPr>
              <w:t>g</w:t>
            </w:r>
            <w:r w:rsidRPr="002F4587">
              <w:rPr>
                <w:rFonts w:ascii="Times New Roman" w:hAnsi="Times New Roman"/>
                <w:vertAlign w:val="subscript"/>
                <w:lang w:val="pt-BR"/>
              </w:rPr>
              <w:t>cat</w:t>
            </w:r>
            <w:r w:rsidRPr="002F4587">
              <w:rPr>
                <w:rFonts w:ascii="Times New Roman" w:hAnsi="Times New Roman"/>
                <w:vertAlign w:val="superscript"/>
                <w:lang w:val="pt-BR"/>
              </w:rPr>
              <w:t>-1</w:t>
            </w:r>
            <w:r w:rsidRPr="00190C6A">
              <w:rPr>
                <w:rFonts w:ascii="Times New Roman" w:hAnsi="Times New Roman"/>
                <w:lang w:val="pt-BR"/>
              </w:rPr>
              <w:t>h</w:t>
            </w:r>
            <w:r w:rsidRPr="00190C6A">
              <w:rPr>
                <w:rFonts w:ascii="Times New Roman" w:hAnsi="Times New Roman"/>
                <w:vertAlign w:val="superscript"/>
                <w:lang w:val="pt-BR"/>
              </w:rPr>
              <w:t>-1</w:t>
            </w:r>
          </w:p>
        </w:tc>
      </w:tr>
      <w:tr w:rsidR="00603178" w:rsidTr="00815985">
        <w:trPr>
          <w:trHeight w:val="289"/>
          <w:jc w:val="center"/>
        </w:trPr>
        <w:tc>
          <w:tcPr>
            <w:tcW w:w="971" w:type="dxa"/>
            <w:tcBorders>
              <w:top w:val="single" w:sz="4" w:space="0" w:color="auto"/>
              <w:bottom w:val="single" w:sz="4" w:space="0" w:color="00000A"/>
            </w:tcBorders>
            <w:shd w:val="clear" w:color="auto" w:fill="auto"/>
            <w:vAlign w:val="center"/>
          </w:tcPr>
          <w:p w:rsidR="00603178" w:rsidRDefault="00603178" w:rsidP="004177C6">
            <w:pPr>
              <w:pStyle w:val="TCTableBody"/>
              <w:spacing w:after="0" w:line="240" w:lineRule="auto"/>
              <w:jc w:val="center"/>
              <w:rPr>
                <w:i/>
                <w:iCs/>
                <w:lang w:val="pt-BR"/>
              </w:rPr>
            </w:pPr>
            <w:proofErr w:type="spellStart"/>
            <w:r w:rsidRPr="004A4646">
              <w:rPr>
                <w:i/>
                <w:iCs/>
                <w:lang w:val="pt-BR"/>
              </w:rPr>
              <w:t>CuZn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00000A"/>
            </w:tcBorders>
            <w:shd w:val="clear" w:color="auto" w:fill="auto"/>
            <w:vAlign w:val="center"/>
          </w:tcPr>
          <w:p w:rsidR="00603178" w:rsidRDefault="00603178" w:rsidP="004177C6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03178" w:rsidRDefault="00603178" w:rsidP="004177C6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</w:tcBorders>
            <w:shd w:val="clear" w:color="auto" w:fill="auto"/>
            <w:vAlign w:val="center"/>
          </w:tcPr>
          <w:p w:rsidR="00603178" w:rsidRDefault="00603178" w:rsidP="004177C6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0,15</w:t>
            </w:r>
          </w:p>
        </w:tc>
      </w:tr>
      <w:tr w:rsidR="00603178" w:rsidTr="00815985">
        <w:trPr>
          <w:trHeight w:val="407"/>
          <w:jc w:val="center"/>
        </w:trPr>
        <w:tc>
          <w:tcPr>
            <w:tcW w:w="97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03178" w:rsidRDefault="00603178" w:rsidP="004177C6">
            <w:pPr>
              <w:pStyle w:val="TCTableBody"/>
              <w:spacing w:after="0" w:line="240" w:lineRule="auto"/>
              <w:jc w:val="center"/>
              <w:rPr>
                <w:i/>
                <w:iCs/>
                <w:lang w:val="pt-BR"/>
              </w:rPr>
            </w:pPr>
            <w:r>
              <w:rPr>
                <w:i/>
                <w:iCs/>
                <w:lang w:val="pt-BR"/>
              </w:rPr>
              <w:t>CuZnAl3</w:t>
            </w:r>
          </w:p>
        </w:tc>
        <w:tc>
          <w:tcPr>
            <w:tcW w:w="58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03178" w:rsidRDefault="00603178" w:rsidP="004177C6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03178" w:rsidRDefault="00603178" w:rsidP="004177C6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  <w:vAlign w:val="center"/>
          </w:tcPr>
          <w:p w:rsidR="00603178" w:rsidRDefault="003F0A8C" w:rsidP="004177C6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</w:t>
            </w:r>
            <w:r w:rsidR="00603178">
              <w:rPr>
                <w:lang w:val="pt-BR"/>
              </w:rPr>
              <w:t>,27</w:t>
            </w:r>
          </w:p>
        </w:tc>
      </w:tr>
      <w:tr w:rsidR="00603178" w:rsidTr="00815985">
        <w:trPr>
          <w:trHeight w:val="271"/>
          <w:jc w:val="center"/>
        </w:trPr>
        <w:tc>
          <w:tcPr>
            <w:tcW w:w="97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03178" w:rsidRDefault="00603178" w:rsidP="004177C6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i/>
                <w:iCs/>
                <w:lang w:val="pt-BR"/>
              </w:rPr>
              <w:t>CuZnAl6</w:t>
            </w:r>
          </w:p>
        </w:tc>
        <w:tc>
          <w:tcPr>
            <w:tcW w:w="58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03178" w:rsidRDefault="00603178" w:rsidP="004177C6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81</w:t>
            </w:r>
          </w:p>
        </w:tc>
        <w:tc>
          <w:tcPr>
            <w:tcW w:w="567" w:type="dxa"/>
            <w:tcBorders>
              <w:top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03178" w:rsidRDefault="00603178" w:rsidP="004177C6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  <w:vAlign w:val="center"/>
          </w:tcPr>
          <w:p w:rsidR="00603178" w:rsidRDefault="00603178" w:rsidP="004177C6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1,51</w:t>
            </w:r>
          </w:p>
        </w:tc>
      </w:tr>
      <w:tr w:rsidR="00603178" w:rsidTr="00815985">
        <w:trPr>
          <w:trHeight w:val="417"/>
          <w:jc w:val="center"/>
        </w:trPr>
        <w:tc>
          <w:tcPr>
            <w:tcW w:w="97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03178" w:rsidRDefault="00603178" w:rsidP="004177C6">
            <w:pPr>
              <w:pStyle w:val="TCTableBody"/>
              <w:spacing w:after="0" w:line="240" w:lineRule="auto"/>
              <w:jc w:val="center"/>
              <w:rPr>
                <w:i/>
                <w:iCs/>
                <w:lang w:val="pt-BR"/>
              </w:rPr>
            </w:pPr>
            <w:r>
              <w:rPr>
                <w:i/>
                <w:iCs/>
                <w:lang w:val="pt-BR"/>
              </w:rPr>
              <w:t>CuZnAl10</w:t>
            </w:r>
          </w:p>
        </w:tc>
        <w:tc>
          <w:tcPr>
            <w:tcW w:w="58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03178" w:rsidRDefault="00603178" w:rsidP="004177C6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85</w:t>
            </w:r>
          </w:p>
        </w:tc>
        <w:tc>
          <w:tcPr>
            <w:tcW w:w="567" w:type="dxa"/>
            <w:tcBorders>
              <w:top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03178" w:rsidRDefault="00603178" w:rsidP="004177C6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  <w:vAlign w:val="center"/>
          </w:tcPr>
          <w:p w:rsidR="00603178" w:rsidRDefault="00603178" w:rsidP="004177C6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1,51</w:t>
            </w:r>
          </w:p>
        </w:tc>
      </w:tr>
    </w:tbl>
    <w:p w:rsidR="00233865" w:rsidRDefault="00233865" w:rsidP="00233865">
      <w:pPr>
        <w:pStyle w:val="TCTableBody"/>
        <w:spacing w:after="0" w:line="240" w:lineRule="auto"/>
        <w:jc w:val="left"/>
        <w:rPr>
          <w:b/>
          <w:bCs/>
          <w:lang w:val="pt-BR"/>
        </w:rPr>
      </w:pPr>
    </w:p>
    <w:p w:rsidR="0038470F" w:rsidRDefault="00233865" w:rsidP="0038470F">
      <w:pPr>
        <w:pStyle w:val="TCTableBody"/>
        <w:spacing w:after="0" w:line="240" w:lineRule="exact"/>
        <w:rPr>
          <w:lang w:val="pt-BR"/>
        </w:rPr>
      </w:pPr>
      <w:r w:rsidRPr="00175BFC">
        <w:rPr>
          <w:b/>
          <w:bCs/>
          <w:lang w:val="pt-BR"/>
        </w:rPr>
        <w:t>Tabela 4</w:t>
      </w:r>
      <w:r>
        <w:rPr>
          <w:lang w:val="pt-BR"/>
        </w:rPr>
        <w:t>. Quantidade de H</w:t>
      </w:r>
      <w:r w:rsidRPr="007826FE">
        <w:rPr>
          <w:vertAlign w:val="subscript"/>
          <w:lang w:val="pt-BR"/>
        </w:rPr>
        <w:t>2</w:t>
      </w:r>
      <w:r>
        <w:rPr>
          <w:lang w:val="pt-BR"/>
        </w:rPr>
        <w:t xml:space="preserve"> gerado no TPD-H</w:t>
      </w:r>
      <w:r w:rsidRPr="007826FE">
        <w:rPr>
          <w:vertAlign w:val="subscript"/>
          <w:lang w:val="pt-BR"/>
        </w:rPr>
        <w:t>2</w:t>
      </w:r>
      <w:r>
        <w:rPr>
          <w:lang w:val="pt-BR"/>
        </w:rPr>
        <w:t xml:space="preserve">O (A, </w:t>
      </w:r>
      <w:r>
        <w:rPr>
          <w:rFonts w:ascii="Times New Roman" w:hAnsi="Times New Roman"/>
          <w:lang w:val="pt-BR"/>
        </w:rPr>
        <w:t>µ</w:t>
      </w:r>
      <w:r>
        <w:rPr>
          <w:lang w:val="pt-BR"/>
        </w:rPr>
        <w:t>mol</w:t>
      </w:r>
      <w:r>
        <w:rPr>
          <w:vertAlign w:val="subscript"/>
          <w:lang w:val="pt-BR"/>
        </w:rPr>
        <w:t>H2</w:t>
      </w:r>
      <w:r>
        <w:rPr>
          <w:lang w:val="pt-BR"/>
        </w:rPr>
        <w:t>g</w:t>
      </w:r>
      <w:r>
        <w:rPr>
          <w:vertAlign w:val="superscript"/>
          <w:lang w:val="pt-BR"/>
        </w:rPr>
        <w:t>-1</w:t>
      </w:r>
      <w:r>
        <w:rPr>
          <w:lang w:val="pt-BR"/>
        </w:rPr>
        <w:t>) e área relativa de CO gerado no TPSR-CO</w:t>
      </w:r>
      <w:r w:rsidRPr="00175BFC">
        <w:rPr>
          <w:vertAlign w:val="subscript"/>
          <w:lang w:val="pt-BR"/>
        </w:rPr>
        <w:t>2</w:t>
      </w:r>
      <w:r>
        <w:rPr>
          <w:lang w:val="pt-BR"/>
        </w:rPr>
        <w:t>/H</w:t>
      </w:r>
      <w:r w:rsidRPr="00175BFC">
        <w:rPr>
          <w:vertAlign w:val="subscript"/>
          <w:lang w:val="pt-BR"/>
        </w:rPr>
        <w:t>2</w:t>
      </w:r>
      <w:r>
        <w:rPr>
          <w:vertAlign w:val="subscript"/>
          <w:lang w:val="pt-BR"/>
        </w:rPr>
        <w:t xml:space="preserve"> </w:t>
      </w:r>
      <w:r w:rsidRPr="00175BFC">
        <w:rPr>
          <w:lang w:val="pt-BR"/>
        </w:rPr>
        <w:t>(B</w:t>
      </w:r>
      <w:r>
        <w:rPr>
          <w:lang w:val="pt-BR"/>
        </w:rPr>
        <w:t xml:space="preserve">, </w:t>
      </w:r>
      <w:proofErr w:type="spellStart"/>
      <w:r>
        <w:rPr>
          <w:lang w:val="pt-BR"/>
        </w:rPr>
        <w:t>u.a</w:t>
      </w:r>
      <w:proofErr w:type="spellEnd"/>
      <w:r>
        <w:rPr>
          <w:lang w:val="pt-BR"/>
        </w:rPr>
        <w:t>.).</w:t>
      </w:r>
    </w:p>
    <w:p w:rsidR="00233865" w:rsidRDefault="00233865" w:rsidP="0038470F">
      <w:pPr>
        <w:pStyle w:val="TCTableBody"/>
        <w:spacing w:after="0" w:line="240" w:lineRule="exact"/>
        <w:rPr>
          <w:lang w:val="pt-BR"/>
        </w:rPr>
      </w:pPr>
      <w:r>
        <w:rPr>
          <w:lang w:val="pt-BR"/>
        </w:rPr>
        <w:t xml:space="preserve"> </w:t>
      </w:r>
    </w:p>
    <w:tbl>
      <w:tblPr>
        <w:tblStyle w:val="Tabelacomgrade"/>
        <w:tblW w:w="35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276"/>
      </w:tblGrid>
      <w:tr w:rsidR="00233865" w:rsidTr="00223478">
        <w:trPr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865" w:rsidRDefault="00233865" w:rsidP="00223478">
            <w:pPr>
              <w:pStyle w:val="TAMainText"/>
              <w:ind w:firstLine="0"/>
              <w:jc w:val="left"/>
              <w:rPr>
                <w:lang w:val="pt-BR"/>
              </w:rPr>
            </w:pPr>
            <w:r>
              <w:rPr>
                <w:lang w:val="pt-BR"/>
              </w:rPr>
              <w:t>Catalisador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233865" w:rsidRDefault="00233865" w:rsidP="00223478">
            <w:pPr>
              <w:pStyle w:val="TAMainText"/>
              <w:ind w:firstLine="0"/>
              <w:jc w:val="center"/>
              <w:rPr>
                <w:lang w:val="pt-BR"/>
              </w:rPr>
            </w:pPr>
            <w:r>
              <w:rPr>
                <w:lang w:val="pt-BR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233865" w:rsidRDefault="00233865" w:rsidP="00223478">
            <w:pPr>
              <w:pStyle w:val="TAMainText"/>
              <w:ind w:firstLine="0"/>
              <w:jc w:val="center"/>
              <w:rPr>
                <w:lang w:val="pt-BR"/>
              </w:rPr>
            </w:pPr>
            <w:r>
              <w:rPr>
                <w:lang w:val="pt-BR"/>
              </w:rPr>
              <w:t>B</w:t>
            </w:r>
          </w:p>
        </w:tc>
      </w:tr>
      <w:tr w:rsidR="00233865" w:rsidTr="00223478">
        <w:trPr>
          <w:trHeight w:val="435"/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865" w:rsidRDefault="00233865" w:rsidP="00223478">
            <w:pPr>
              <w:pStyle w:val="TAMainText"/>
              <w:ind w:firstLine="0"/>
              <w:jc w:val="left"/>
              <w:rPr>
                <w:lang w:val="pt-BR"/>
              </w:rPr>
            </w:pPr>
            <w:proofErr w:type="spellStart"/>
            <w:r w:rsidRPr="004A4646">
              <w:rPr>
                <w:i/>
                <w:iCs/>
                <w:lang w:val="pt-BR"/>
              </w:rPr>
              <w:t>CuZn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865" w:rsidRDefault="00233865" w:rsidP="00223478">
            <w:pPr>
              <w:pStyle w:val="TAMainText"/>
              <w:ind w:firstLine="0"/>
              <w:jc w:val="center"/>
              <w:rPr>
                <w:lang w:val="pt-BR"/>
              </w:rPr>
            </w:pPr>
            <w:r>
              <w:rPr>
                <w:lang w:val="pt-BR"/>
              </w:rPr>
              <w:t>104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865" w:rsidRDefault="00233865" w:rsidP="00223478">
            <w:pPr>
              <w:pStyle w:val="TAMainText"/>
              <w:ind w:firstLine="0"/>
              <w:jc w:val="center"/>
              <w:rPr>
                <w:lang w:val="pt-BR"/>
              </w:rPr>
            </w:pPr>
            <w:r>
              <w:rPr>
                <w:lang w:val="pt-BR"/>
              </w:rPr>
              <w:t>0,22</w:t>
            </w:r>
          </w:p>
        </w:tc>
      </w:tr>
      <w:tr w:rsidR="00233865" w:rsidTr="00223478">
        <w:trPr>
          <w:trHeight w:val="411"/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865" w:rsidRDefault="00233865" w:rsidP="00223478">
            <w:pPr>
              <w:pStyle w:val="TAMainText"/>
              <w:ind w:firstLine="0"/>
              <w:jc w:val="left"/>
              <w:rPr>
                <w:lang w:val="pt-BR"/>
              </w:rPr>
            </w:pPr>
            <w:r>
              <w:rPr>
                <w:i/>
                <w:iCs/>
                <w:lang w:val="pt-BR"/>
              </w:rPr>
              <w:t>CuZnAl3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865" w:rsidRDefault="00233865" w:rsidP="00223478">
            <w:pPr>
              <w:pStyle w:val="TAMainText"/>
              <w:ind w:firstLine="0"/>
              <w:jc w:val="center"/>
              <w:rPr>
                <w:lang w:val="pt-BR"/>
              </w:rPr>
            </w:pPr>
            <w:r>
              <w:rPr>
                <w:lang w:val="pt-BR"/>
              </w:rPr>
              <w:t>101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865" w:rsidRDefault="00233865" w:rsidP="00223478">
            <w:pPr>
              <w:pStyle w:val="TAMainText"/>
              <w:ind w:firstLine="0"/>
              <w:jc w:val="center"/>
              <w:rPr>
                <w:lang w:val="pt-BR"/>
              </w:rPr>
            </w:pPr>
            <w:r>
              <w:rPr>
                <w:lang w:val="pt-BR"/>
              </w:rPr>
              <w:t>0,28</w:t>
            </w:r>
          </w:p>
        </w:tc>
      </w:tr>
      <w:tr w:rsidR="00233865" w:rsidTr="00223478">
        <w:trPr>
          <w:trHeight w:val="403"/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865" w:rsidRDefault="00233865" w:rsidP="00223478">
            <w:pPr>
              <w:pStyle w:val="TAMainText"/>
              <w:ind w:firstLine="0"/>
              <w:jc w:val="left"/>
              <w:rPr>
                <w:lang w:val="pt-BR"/>
              </w:rPr>
            </w:pPr>
            <w:r>
              <w:rPr>
                <w:i/>
                <w:iCs/>
                <w:lang w:val="pt-BR"/>
              </w:rPr>
              <w:t>CuZnAl6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865" w:rsidRDefault="00233865" w:rsidP="00223478">
            <w:pPr>
              <w:pStyle w:val="TAMainText"/>
              <w:ind w:firstLine="0"/>
              <w:jc w:val="center"/>
              <w:rPr>
                <w:lang w:val="pt-BR"/>
              </w:rPr>
            </w:pPr>
            <w:r w:rsidRPr="00C121AD">
              <w:rPr>
                <w:b/>
                <w:bCs/>
                <w:lang w:val="pt-BR"/>
              </w:rPr>
              <w:t>148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865" w:rsidRDefault="00233865" w:rsidP="00223478">
            <w:pPr>
              <w:pStyle w:val="TAMainText"/>
              <w:ind w:firstLine="0"/>
              <w:jc w:val="center"/>
              <w:rPr>
                <w:lang w:val="pt-BR"/>
              </w:rPr>
            </w:pPr>
            <w:r w:rsidRPr="00C121AD">
              <w:rPr>
                <w:b/>
                <w:bCs/>
                <w:lang w:val="pt-BR"/>
              </w:rPr>
              <w:t>0,50</w:t>
            </w:r>
          </w:p>
        </w:tc>
      </w:tr>
      <w:tr w:rsidR="00233865" w:rsidTr="00223478">
        <w:trPr>
          <w:trHeight w:val="420"/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865" w:rsidRDefault="00233865" w:rsidP="00223478">
            <w:pPr>
              <w:pStyle w:val="TAMainText"/>
              <w:ind w:firstLine="0"/>
              <w:jc w:val="left"/>
              <w:rPr>
                <w:lang w:val="pt-BR"/>
              </w:rPr>
            </w:pPr>
            <w:r>
              <w:rPr>
                <w:i/>
                <w:iCs/>
                <w:lang w:val="pt-BR"/>
              </w:rPr>
              <w:t>CuZnAl10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865" w:rsidRDefault="00233865" w:rsidP="00223478">
            <w:pPr>
              <w:pStyle w:val="TAMainText"/>
              <w:ind w:firstLine="0"/>
              <w:jc w:val="center"/>
              <w:rPr>
                <w:lang w:val="pt-BR"/>
              </w:rPr>
            </w:pPr>
            <w:r>
              <w:rPr>
                <w:lang w:val="pt-BR"/>
              </w:rPr>
              <w:t>81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865" w:rsidRDefault="00233865" w:rsidP="00223478">
            <w:pPr>
              <w:pStyle w:val="TAMainText"/>
              <w:ind w:firstLine="0"/>
              <w:jc w:val="center"/>
              <w:rPr>
                <w:lang w:val="pt-BR"/>
              </w:rPr>
            </w:pPr>
            <w:r>
              <w:rPr>
                <w:lang w:val="pt-BR"/>
              </w:rPr>
              <w:t>0,24</w:t>
            </w:r>
          </w:p>
        </w:tc>
      </w:tr>
    </w:tbl>
    <w:p w:rsidR="00233865" w:rsidRDefault="00233865" w:rsidP="00233865">
      <w:pPr>
        <w:pStyle w:val="TAMainText"/>
        <w:ind w:firstLine="187"/>
        <w:rPr>
          <w:lang w:val="pt-BR"/>
        </w:rPr>
      </w:pPr>
    </w:p>
    <w:p w:rsidR="00F37B33" w:rsidRDefault="00F37B33" w:rsidP="00F37B33">
      <w:pPr>
        <w:pStyle w:val="TAMainText"/>
        <w:ind w:firstLine="187"/>
        <w:rPr>
          <w:lang w:val="pt-BR"/>
        </w:rPr>
      </w:pPr>
      <w:r>
        <w:rPr>
          <w:lang w:val="pt-BR"/>
        </w:rPr>
        <w:t>O mecanismo da reação de RWGS (reação reversa de deslocamento da água, CO</w:t>
      </w:r>
      <w:r w:rsidRPr="003A1414">
        <w:rPr>
          <w:vertAlign w:val="subscript"/>
          <w:lang w:val="pt-BR"/>
        </w:rPr>
        <w:t>2</w:t>
      </w:r>
      <w:r>
        <w:rPr>
          <w:vertAlign w:val="subscript"/>
          <w:lang w:val="pt-BR"/>
        </w:rPr>
        <w:t xml:space="preserve"> </w:t>
      </w:r>
      <w:r>
        <w:rPr>
          <w:lang w:val="pt-BR"/>
        </w:rPr>
        <w:t>+ H</w:t>
      </w:r>
      <w:r w:rsidRPr="003A1414">
        <w:rPr>
          <w:vertAlign w:val="subscript"/>
          <w:lang w:val="pt-BR"/>
        </w:rPr>
        <w:t>2</w:t>
      </w:r>
      <w:r>
        <w:rPr>
          <w:vertAlign w:val="subscript"/>
          <w:lang w:val="pt-BR"/>
        </w:rPr>
        <w:t xml:space="preserve"> </w:t>
      </w:r>
      <w:r>
        <w:rPr>
          <w:rFonts w:cs="Times"/>
          <w:lang w:val="pt-BR"/>
        </w:rPr>
        <w:t>→</w:t>
      </w:r>
      <w:r>
        <w:rPr>
          <w:lang w:val="pt-BR"/>
        </w:rPr>
        <w:t xml:space="preserve"> CO + H</w:t>
      </w:r>
      <w:r w:rsidRPr="003A1414">
        <w:rPr>
          <w:vertAlign w:val="subscript"/>
          <w:lang w:val="pt-BR"/>
        </w:rPr>
        <w:t>2</w:t>
      </w:r>
      <w:r>
        <w:rPr>
          <w:lang w:val="pt-BR"/>
        </w:rPr>
        <w:t xml:space="preserve">O) é considerado por muitos autores como um mecanismo redox. Este pode ser descrito segundo as seguintes etapas: </w:t>
      </w:r>
      <w:r>
        <w:rPr>
          <w:lang w:val="pt-BR"/>
        </w:rPr>
        <w:t>inicialmente, ocorre a deposição de um dos oxigênios do CO</w:t>
      </w:r>
      <w:r w:rsidRPr="003A1414">
        <w:rPr>
          <w:vertAlign w:val="subscript"/>
          <w:lang w:val="pt-BR"/>
        </w:rPr>
        <w:t>2</w:t>
      </w:r>
      <w:r>
        <w:rPr>
          <w:lang w:val="pt-BR"/>
        </w:rPr>
        <w:t xml:space="preserve"> em uma </w:t>
      </w:r>
      <w:proofErr w:type="spellStart"/>
      <w:r>
        <w:rPr>
          <w:lang w:val="pt-BR"/>
        </w:rPr>
        <w:t>O</w:t>
      </w:r>
      <w:r w:rsidRPr="00FA3992">
        <w:rPr>
          <w:vertAlign w:val="subscript"/>
          <w:lang w:val="pt-BR"/>
        </w:rPr>
        <w:t>v</w:t>
      </w:r>
      <w:proofErr w:type="spellEnd"/>
      <w:r>
        <w:rPr>
          <w:lang w:val="pt-BR"/>
        </w:rPr>
        <w:t>, formando CO; a seguir, o H</w:t>
      </w:r>
      <w:r w:rsidRPr="009A33EB">
        <w:rPr>
          <w:vertAlign w:val="subscript"/>
          <w:lang w:val="pt-BR"/>
        </w:rPr>
        <w:t>2</w:t>
      </w:r>
      <w:r>
        <w:rPr>
          <w:lang w:val="pt-BR"/>
        </w:rPr>
        <w:t xml:space="preserve"> elimina este O formando H</w:t>
      </w:r>
      <w:r w:rsidRPr="009A33EB">
        <w:rPr>
          <w:vertAlign w:val="subscript"/>
          <w:lang w:val="pt-BR"/>
        </w:rPr>
        <w:t>2</w:t>
      </w:r>
      <w:r>
        <w:rPr>
          <w:lang w:val="pt-BR"/>
        </w:rPr>
        <w:t xml:space="preserve">O e recuperando a </w:t>
      </w:r>
      <w:proofErr w:type="spellStart"/>
      <w:r>
        <w:rPr>
          <w:lang w:val="pt-BR"/>
        </w:rPr>
        <w:t>O</w:t>
      </w:r>
      <w:r w:rsidRPr="00FA3992">
        <w:rPr>
          <w:vertAlign w:val="subscript"/>
          <w:lang w:val="pt-BR"/>
        </w:rPr>
        <w:t>v</w:t>
      </w:r>
      <w:proofErr w:type="spellEnd"/>
      <w:r>
        <w:rPr>
          <w:lang w:val="pt-BR"/>
        </w:rPr>
        <w:t>. No TPSR-CO</w:t>
      </w:r>
      <w:r w:rsidRPr="009A33EB">
        <w:rPr>
          <w:vertAlign w:val="subscript"/>
          <w:lang w:val="pt-BR"/>
        </w:rPr>
        <w:t>2</w:t>
      </w:r>
      <w:r>
        <w:rPr>
          <w:lang w:val="pt-BR"/>
        </w:rPr>
        <w:t>/H</w:t>
      </w:r>
      <w:r w:rsidRPr="009A33EB">
        <w:rPr>
          <w:vertAlign w:val="subscript"/>
          <w:lang w:val="pt-BR"/>
        </w:rPr>
        <w:t>2</w:t>
      </w:r>
      <w:r>
        <w:rPr>
          <w:lang w:val="pt-BR"/>
        </w:rPr>
        <w:t xml:space="preserve"> esta reação ocorre em transiente de temperatura e observa-se a formação de ambos, CO e H</w:t>
      </w:r>
      <w:r w:rsidRPr="009A33EB">
        <w:rPr>
          <w:vertAlign w:val="subscript"/>
          <w:lang w:val="pt-BR"/>
        </w:rPr>
        <w:t>2</w:t>
      </w:r>
      <w:r>
        <w:rPr>
          <w:lang w:val="pt-BR"/>
        </w:rPr>
        <w:t xml:space="preserve">O. Assim, os resultados são avaliados considerando que a quantidade de </w:t>
      </w:r>
      <w:proofErr w:type="spellStart"/>
      <w:r>
        <w:rPr>
          <w:lang w:val="pt-BR"/>
        </w:rPr>
        <w:t>O</w:t>
      </w:r>
      <w:r w:rsidRPr="00FA3992">
        <w:rPr>
          <w:vertAlign w:val="subscript"/>
          <w:lang w:val="pt-BR"/>
        </w:rPr>
        <w:t>v</w:t>
      </w:r>
      <w:proofErr w:type="spellEnd"/>
      <w:r>
        <w:rPr>
          <w:lang w:val="pt-BR"/>
        </w:rPr>
        <w:t xml:space="preserve"> disponível na superfície do catalisador é diretamente proporcional a quantidade de CO formada.</w:t>
      </w:r>
    </w:p>
    <w:p w:rsidR="00F37B33" w:rsidRDefault="00F37B33" w:rsidP="00233865">
      <w:pPr>
        <w:pStyle w:val="TAMainText"/>
        <w:ind w:firstLine="187"/>
        <w:rPr>
          <w:lang w:val="pt-BR"/>
        </w:rPr>
      </w:pPr>
    </w:p>
    <w:tbl>
      <w:tblPr>
        <w:tblStyle w:val="Tabelacomgrade"/>
        <w:tblW w:w="5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2712"/>
      </w:tblGrid>
      <w:tr w:rsidR="00127B6B" w:rsidTr="00635655">
        <w:tc>
          <w:tcPr>
            <w:tcW w:w="2556" w:type="dxa"/>
          </w:tcPr>
          <w:p w:rsidR="00127B6B" w:rsidRDefault="00F37B33" w:rsidP="00CA41E7">
            <w:pPr>
              <w:ind w:left="-247" w:firstLine="142"/>
              <w:rPr>
                <w:rFonts w:ascii="Times New Roman" w:hAnsi="Times New Roman" w:cs="Times New Roman"/>
                <w:noProof/>
              </w:rPr>
            </w:pPr>
            <w:r w:rsidRPr="00127B6B">
              <w:rPr>
                <w:noProof/>
                <w:lang w:eastAsia="pt-BR"/>
              </w:rPr>
              <w:drawing>
                <wp:inline distT="0" distB="0" distL="0" distR="0" wp14:anchorId="1C8552D0" wp14:editId="41C6AE95">
                  <wp:extent cx="1552575" cy="2022859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22" t="9668" r="41767" b="2907"/>
                          <a:stretch/>
                        </pic:blipFill>
                        <pic:spPr bwMode="auto">
                          <a:xfrm>
                            <a:off x="0" y="0"/>
                            <a:ext cx="1552575" cy="2022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:rsidR="00127B6B" w:rsidRDefault="00127B6B" w:rsidP="00CB4A55">
            <w:pPr>
              <w:rPr>
                <w:rFonts w:ascii="Times New Roman" w:hAnsi="Times New Roman" w:cs="Times New Roman"/>
                <w:noProof/>
              </w:rPr>
            </w:pPr>
            <w:r w:rsidRPr="00127B6B">
              <w:rPr>
                <w:rFonts w:ascii="Times New Roman" w:hAnsi="Times New Roman" w:cs="Times New Roman"/>
                <w:noProof/>
                <w:lang w:eastAsia="pt-BR"/>
              </w:rPr>
              <w:drawing>
                <wp:inline distT="0" distB="0" distL="0" distR="0">
                  <wp:extent cx="1585339" cy="1995170"/>
                  <wp:effectExtent l="0" t="0" r="0" b="508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71" t="9053" r="40788" b="4706"/>
                          <a:stretch/>
                        </pic:blipFill>
                        <pic:spPr bwMode="auto">
                          <a:xfrm>
                            <a:off x="0" y="0"/>
                            <a:ext cx="1586082" cy="199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16F3" w:rsidRDefault="009D16F3" w:rsidP="002064B3">
      <w:pPr>
        <w:pStyle w:val="VAFigureCaption"/>
        <w:spacing w:before="0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>Figura 1.</w:t>
      </w:r>
      <w:r w:rsidRPr="00E038AF">
        <w:rPr>
          <w:rFonts w:ascii="Times New Roman" w:hAnsi="Times New Roman"/>
          <w:lang w:val="pt-BR"/>
        </w:rPr>
        <w:t xml:space="preserve"> </w:t>
      </w:r>
      <w:r w:rsidR="00567307">
        <w:rPr>
          <w:rFonts w:ascii="Times New Roman" w:hAnsi="Times New Roman"/>
          <w:lang w:val="pt-BR"/>
        </w:rPr>
        <w:t xml:space="preserve">Testes para o catalisador CuZnAl6: </w:t>
      </w:r>
      <w:r>
        <w:rPr>
          <w:rFonts w:ascii="Times New Roman" w:hAnsi="Times New Roman"/>
          <w:lang w:val="pt-BR"/>
        </w:rPr>
        <w:t xml:space="preserve">(a) </w:t>
      </w:r>
      <w:r w:rsidR="00567307">
        <w:rPr>
          <w:rFonts w:ascii="Times New Roman" w:hAnsi="Times New Roman"/>
          <w:lang w:val="pt-BR"/>
        </w:rPr>
        <w:t>c</w:t>
      </w:r>
      <w:r>
        <w:rPr>
          <w:rFonts w:ascii="Times New Roman" w:hAnsi="Times New Roman"/>
          <w:lang w:val="pt-BR"/>
        </w:rPr>
        <w:t xml:space="preserve">onversão e seletividades versus temperatura </w:t>
      </w:r>
      <w:r w:rsidR="00960726">
        <w:rPr>
          <w:rFonts w:ascii="Times New Roman" w:hAnsi="Times New Roman"/>
          <w:lang w:val="pt-BR"/>
        </w:rPr>
        <w:t xml:space="preserve">a 1 </w:t>
      </w:r>
      <w:proofErr w:type="spellStart"/>
      <w:r w:rsidR="00960726">
        <w:rPr>
          <w:rFonts w:ascii="Times New Roman" w:hAnsi="Times New Roman"/>
          <w:lang w:val="pt-BR"/>
        </w:rPr>
        <w:t>atm</w:t>
      </w:r>
      <w:proofErr w:type="spellEnd"/>
      <w:r w:rsidR="00960726">
        <w:rPr>
          <w:rFonts w:ascii="Times New Roman" w:hAnsi="Times New Roman"/>
          <w:lang w:val="pt-BR"/>
        </w:rPr>
        <w:t xml:space="preserve"> e 0,15g</w:t>
      </w:r>
      <w:r w:rsidR="00960726" w:rsidRPr="002F4587">
        <w:rPr>
          <w:rFonts w:ascii="Times New Roman" w:hAnsi="Times New Roman"/>
          <w:vertAlign w:val="subscript"/>
          <w:lang w:val="pt-BR"/>
        </w:rPr>
        <w:t>EtOH</w:t>
      </w:r>
      <w:r w:rsidR="00960726">
        <w:rPr>
          <w:rFonts w:ascii="Times New Roman" w:hAnsi="Times New Roman"/>
          <w:lang w:val="pt-BR"/>
        </w:rPr>
        <w:t>g</w:t>
      </w:r>
      <w:r w:rsidR="00960726" w:rsidRPr="002F4587">
        <w:rPr>
          <w:rFonts w:ascii="Times New Roman" w:hAnsi="Times New Roman"/>
          <w:vertAlign w:val="subscript"/>
          <w:lang w:val="pt-BR"/>
        </w:rPr>
        <w:t>cat</w:t>
      </w:r>
      <w:r w:rsidR="00960726" w:rsidRPr="002F4587">
        <w:rPr>
          <w:rFonts w:ascii="Times New Roman" w:hAnsi="Times New Roman"/>
          <w:vertAlign w:val="superscript"/>
          <w:lang w:val="pt-BR"/>
        </w:rPr>
        <w:t>-1</w:t>
      </w:r>
      <w:r w:rsidR="00960726" w:rsidRPr="00190C6A">
        <w:rPr>
          <w:rFonts w:ascii="Times New Roman" w:hAnsi="Times New Roman"/>
          <w:lang w:val="pt-BR"/>
        </w:rPr>
        <w:t>h</w:t>
      </w:r>
      <w:r w:rsidR="00960726" w:rsidRPr="00190C6A">
        <w:rPr>
          <w:rFonts w:ascii="Times New Roman" w:hAnsi="Times New Roman"/>
          <w:vertAlign w:val="superscript"/>
          <w:lang w:val="pt-BR"/>
        </w:rPr>
        <w:t>-1</w:t>
      </w:r>
      <w:r w:rsidR="00960726">
        <w:rPr>
          <w:rFonts w:ascii="Times New Roman" w:hAnsi="Times New Roman"/>
          <w:vertAlign w:val="superscript"/>
          <w:lang w:val="pt-BR"/>
        </w:rPr>
        <w:t xml:space="preserve"> </w:t>
      </w:r>
      <w:r>
        <w:rPr>
          <w:rFonts w:ascii="Times New Roman" w:hAnsi="Times New Roman"/>
          <w:lang w:val="pt-BR"/>
        </w:rPr>
        <w:t>(b) conversão e seletividades versus velocidade espacial</w:t>
      </w:r>
      <w:r w:rsidR="00960726">
        <w:rPr>
          <w:rFonts w:ascii="Times New Roman" w:hAnsi="Times New Roman"/>
          <w:lang w:val="pt-BR"/>
        </w:rPr>
        <w:t xml:space="preserve"> a 300℃ e 1 atm</w:t>
      </w:r>
      <w:r>
        <w:rPr>
          <w:rFonts w:ascii="Times New Roman" w:hAnsi="Times New Roman"/>
          <w:lang w:val="pt-BR"/>
        </w:rPr>
        <w:t>.</w:t>
      </w:r>
    </w:p>
    <w:p w:rsidR="00CB4A55" w:rsidRPr="00CB4730" w:rsidRDefault="00CB4A55" w:rsidP="00CB4730">
      <w:pPr>
        <w:spacing w:after="0" w:line="240" w:lineRule="auto"/>
        <w:rPr>
          <w:lang w:eastAsia="pt-BR"/>
        </w:rPr>
      </w:pPr>
    </w:p>
    <w:p w:rsidR="003A1414" w:rsidRDefault="009A33EB" w:rsidP="00EA4E1B">
      <w:pPr>
        <w:pStyle w:val="TAMainText"/>
        <w:ind w:firstLine="187"/>
        <w:rPr>
          <w:lang w:val="pt-BR"/>
        </w:rPr>
      </w:pPr>
      <w:r>
        <w:rPr>
          <w:lang w:val="pt-BR"/>
        </w:rPr>
        <w:t>O TPD-H</w:t>
      </w:r>
      <w:r w:rsidRPr="00D308D7">
        <w:rPr>
          <w:vertAlign w:val="subscript"/>
          <w:lang w:val="pt-BR"/>
        </w:rPr>
        <w:t>2</w:t>
      </w:r>
      <w:r>
        <w:rPr>
          <w:lang w:val="pt-BR"/>
        </w:rPr>
        <w:t xml:space="preserve">O é também usado para quantificar a concentração de </w:t>
      </w:r>
      <w:proofErr w:type="spellStart"/>
      <w:r w:rsidR="00FE3891">
        <w:rPr>
          <w:lang w:val="pt-BR"/>
        </w:rPr>
        <w:t>O</w:t>
      </w:r>
      <w:r w:rsidR="00FE3891" w:rsidRPr="00FA3992">
        <w:rPr>
          <w:vertAlign w:val="subscript"/>
          <w:lang w:val="pt-BR"/>
        </w:rPr>
        <w:t>v</w:t>
      </w:r>
      <w:proofErr w:type="spellEnd"/>
      <w:r>
        <w:rPr>
          <w:lang w:val="pt-BR"/>
        </w:rPr>
        <w:t>. Neste caso a H</w:t>
      </w:r>
      <w:r w:rsidRPr="009A33EB">
        <w:rPr>
          <w:vertAlign w:val="subscript"/>
          <w:lang w:val="pt-BR"/>
        </w:rPr>
        <w:t>2</w:t>
      </w:r>
      <w:r>
        <w:rPr>
          <w:lang w:val="pt-BR"/>
        </w:rPr>
        <w:t>O</w:t>
      </w:r>
      <w:r w:rsidR="003A1414">
        <w:rPr>
          <w:lang w:val="pt-BR"/>
        </w:rPr>
        <w:t xml:space="preserve"> </w:t>
      </w:r>
      <w:r>
        <w:rPr>
          <w:lang w:val="pt-BR"/>
        </w:rPr>
        <w:t>se dissocia nas vacâncias gerando H</w:t>
      </w:r>
      <w:r w:rsidRPr="009A33EB">
        <w:rPr>
          <w:vertAlign w:val="subscript"/>
          <w:lang w:val="pt-BR"/>
        </w:rPr>
        <w:t>2</w:t>
      </w:r>
      <w:r>
        <w:rPr>
          <w:lang w:val="pt-BR"/>
        </w:rPr>
        <w:t>. Assim, a quantidade de H</w:t>
      </w:r>
      <w:r w:rsidRPr="00D308D7">
        <w:rPr>
          <w:vertAlign w:val="subscript"/>
          <w:lang w:val="pt-BR"/>
        </w:rPr>
        <w:t>2</w:t>
      </w:r>
      <w:r>
        <w:rPr>
          <w:lang w:val="pt-BR"/>
        </w:rPr>
        <w:t xml:space="preserve"> gerada é proporcional ao número de vacâncias.</w:t>
      </w:r>
    </w:p>
    <w:p w:rsidR="00710802" w:rsidRDefault="009A33EB" w:rsidP="00EA4E1B">
      <w:pPr>
        <w:pStyle w:val="TAMainText"/>
        <w:ind w:firstLine="187"/>
        <w:rPr>
          <w:lang w:val="pt-BR"/>
        </w:rPr>
      </w:pPr>
      <w:r>
        <w:rPr>
          <w:lang w:val="pt-BR"/>
        </w:rPr>
        <w:t>Desta forma</w:t>
      </w:r>
      <w:r w:rsidR="00E20F1D">
        <w:rPr>
          <w:lang w:val="pt-BR"/>
        </w:rPr>
        <w:t>,</w:t>
      </w:r>
      <w:r>
        <w:rPr>
          <w:lang w:val="pt-BR"/>
        </w:rPr>
        <w:t xml:space="preserve"> </w:t>
      </w:r>
      <w:r w:rsidR="00D308D7">
        <w:rPr>
          <w:lang w:val="pt-BR"/>
        </w:rPr>
        <w:t>a quantidade de vacâncias presente</w:t>
      </w:r>
      <w:r w:rsidR="00FE3891">
        <w:rPr>
          <w:lang w:val="pt-BR"/>
        </w:rPr>
        <w:t xml:space="preserve"> na superfície d</w:t>
      </w:r>
      <w:r w:rsidR="00D308D7">
        <w:rPr>
          <w:lang w:val="pt-BR"/>
        </w:rPr>
        <w:t>os catalisadores</w:t>
      </w:r>
      <w:r w:rsidR="00FE3891">
        <w:rPr>
          <w:lang w:val="pt-BR"/>
        </w:rPr>
        <w:t xml:space="preserve"> após um pré-tratamento (redução)</w:t>
      </w:r>
      <w:r w:rsidR="00E20F1D">
        <w:rPr>
          <w:lang w:val="pt-BR"/>
        </w:rPr>
        <w:t>,</w:t>
      </w:r>
      <w:r w:rsidR="00D308D7">
        <w:rPr>
          <w:lang w:val="pt-BR"/>
        </w:rPr>
        <w:t xml:space="preserve"> </w:t>
      </w:r>
      <w:r w:rsidR="00D15F93">
        <w:rPr>
          <w:lang w:val="pt-BR"/>
        </w:rPr>
        <w:t xml:space="preserve">foram analisadas via </w:t>
      </w:r>
      <w:r w:rsidR="00710802">
        <w:rPr>
          <w:lang w:val="pt-BR"/>
        </w:rPr>
        <w:t>TPD-H</w:t>
      </w:r>
      <w:r w:rsidR="00710802" w:rsidRPr="00710802">
        <w:rPr>
          <w:vertAlign w:val="subscript"/>
          <w:lang w:val="pt-BR"/>
        </w:rPr>
        <w:t>2</w:t>
      </w:r>
      <w:r w:rsidR="00710802">
        <w:rPr>
          <w:lang w:val="pt-BR"/>
        </w:rPr>
        <w:t>O e TPSR</w:t>
      </w:r>
      <w:r w:rsidR="00142083">
        <w:rPr>
          <w:lang w:val="pt-BR"/>
        </w:rPr>
        <w:t>-</w:t>
      </w:r>
      <w:r w:rsidR="00462442">
        <w:rPr>
          <w:lang w:val="pt-BR"/>
        </w:rPr>
        <w:t>CO</w:t>
      </w:r>
      <w:r w:rsidR="00462442" w:rsidRPr="003C0BF3">
        <w:rPr>
          <w:vertAlign w:val="subscript"/>
          <w:lang w:val="pt-BR"/>
        </w:rPr>
        <w:t>2</w:t>
      </w:r>
      <w:r w:rsidR="00462442">
        <w:rPr>
          <w:lang w:val="pt-BR"/>
        </w:rPr>
        <w:t>/H</w:t>
      </w:r>
      <w:r w:rsidR="00462442" w:rsidRPr="003C0BF3">
        <w:rPr>
          <w:vertAlign w:val="subscript"/>
          <w:lang w:val="pt-BR"/>
        </w:rPr>
        <w:t>2</w:t>
      </w:r>
      <w:r w:rsidR="00462442">
        <w:rPr>
          <w:lang w:val="pt-BR"/>
        </w:rPr>
        <w:t xml:space="preserve"> </w:t>
      </w:r>
      <w:r w:rsidR="00710802">
        <w:rPr>
          <w:lang w:val="pt-BR"/>
        </w:rPr>
        <w:t xml:space="preserve">(Tabela </w:t>
      </w:r>
      <w:r w:rsidR="005868A6">
        <w:rPr>
          <w:lang w:val="pt-BR"/>
        </w:rPr>
        <w:t>4</w:t>
      </w:r>
      <w:r w:rsidR="00710802">
        <w:rPr>
          <w:lang w:val="pt-BR"/>
        </w:rPr>
        <w:t>). O primeiro experimento mostra que a quantidade de H</w:t>
      </w:r>
      <w:r w:rsidR="00710802" w:rsidRPr="00AB743A">
        <w:rPr>
          <w:vertAlign w:val="subscript"/>
          <w:lang w:val="pt-BR"/>
        </w:rPr>
        <w:t>2</w:t>
      </w:r>
      <w:r w:rsidR="00710802">
        <w:rPr>
          <w:lang w:val="pt-BR"/>
        </w:rPr>
        <w:t xml:space="preserve"> gerada pela </w:t>
      </w:r>
      <w:r w:rsidR="00462442">
        <w:rPr>
          <w:lang w:val="pt-BR"/>
        </w:rPr>
        <w:t>dissociação</w:t>
      </w:r>
      <w:r w:rsidR="00710802">
        <w:rPr>
          <w:lang w:val="pt-BR"/>
        </w:rPr>
        <w:t xml:space="preserve"> da água no catalisador CuZnAl6 é </w:t>
      </w:r>
      <w:r w:rsidR="0054380D">
        <w:rPr>
          <w:lang w:val="pt-BR"/>
        </w:rPr>
        <w:t xml:space="preserve">a </w:t>
      </w:r>
      <w:r w:rsidR="00710802">
        <w:rPr>
          <w:lang w:val="pt-BR"/>
        </w:rPr>
        <w:t xml:space="preserve">maior do </w:t>
      </w:r>
      <w:r w:rsidR="0054380D">
        <w:rPr>
          <w:lang w:val="pt-BR"/>
        </w:rPr>
        <w:t>conjunto de</w:t>
      </w:r>
      <w:r w:rsidR="00710802">
        <w:rPr>
          <w:lang w:val="pt-BR"/>
        </w:rPr>
        <w:t xml:space="preserve"> catalisadores. Já o </w:t>
      </w:r>
      <w:r w:rsidR="003C0BF3">
        <w:rPr>
          <w:lang w:val="pt-BR"/>
        </w:rPr>
        <w:t>TPSR-CO</w:t>
      </w:r>
      <w:r w:rsidR="003C0BF3" w:rsidRPr="003C0BF3">
        <w:rPr>
          <w:vertAlign w:val="subscript"/>
          <w:lang w:val="pt-BR"/>
        </w:rPr>
        <w:t>2</w:t>
      </w:r>
      <w:r w:rsidR="003C0BF3">
        <w:rPr>
          <w:lang w:val="pt-BR"/>
        </w:rPr>
        <w:t>/H</w:t>
      </w:r>
      <w:r w:rsidR="003C0BF3" w:rsidRPr="003C0BF3">
        <w:rPr>
          <w:vertAlign w:val="subscript"/>
          <w:lang w:val="pt-BR"/>
        </w:rPr>
        <w:t>2</w:t>
      </w:r>
      <w:r w:rsidR="003C0BF3">
        <w:rPr>
          <w:vertAlign w:val="subscript"/>
          <w:lang w:val="pt-BR"/>
        </w:rPr>
        <w:t xml:space="preserve"> </w:t>
      </w:r>
      <w:r w:rsidR="00710802">
        <w:rPr>
          <w:lang w:val="pt-BR"/>
        </w:rPr>
        <w:t>mostra que a quantidade de CO formada a partir da adsorção do CO</w:t>
      </w:r>
      <w:r w:rsidR="00710802" w:rsidRPr="00710802">
        <w:rPr>
          <w:vertAlign w:val="subscript"/>
          <w:lang w:val="pt-BR"/>
        </w:rPr>
        <w:t>2</w:t>
      </w:r>
      <w:r w:rsidR="00710802">
        <w:rPr>
          <w:lang w:val="pt-BR"/>
        </w:rPr>
        <w:t xml:space="preserve"> também é significativamente maior para o catalisador CuZnAl6.</w:t>
      </w:r>
    </w:p>
    <w:p w:rsidR="003879AB" w:rsidRDefault="004B0D13" w:rsidP="00EA4E1B">
      <w:pPr>
        <w:pStyle w:val="TAMainText"/>
        <w:ind w:firstLine="187"/>
        <w:rPr>
          <w:lang w:val="pt-BR"/>
        </w:rPr>
      </w:pPr>
      <w:r>
        <w:rPr>
          <w:lang w:val="pt-BR"/>
        </w:rPr>
        <w:t>O DRX</w:t>
      </w:r>
      <w:r w:rsidR="00EA4068">
        <w:rPr>
          <w:lang w:val="pt-BR"/>
        </w:rPr>
        <w:t>/</w:t>
      </w:r>
      <w:proofErr w:type="spellStart"/>
      <w:r>
        <w:rPr>
          <w:lang w:val="pt-BR"/>
        </w:rPr>
        <w:t>Rietveld</w:t>
      </w:r>
      <w:proofErr w:type="spellEnd"/>
      <w:r>
        <w:rPr>
          <w:lang w:val="pt-BR"/>
        </w:rPr>
        <w:t xml:space="preserve"> </w:t>
      </w:r>
      <w:r w:rsidR="00EA4068">
        <w:rPr>
          <w:lang w:val="pt-BR"/>
        </w:rPr>
        <w:t xml:space="preserve">e o </w:t>
      </w:r>
      <w:r w:rsidR="00EA4068" w:rsidRPr="004B0D13">
        <w:rPr>
          <w:lang w:val="pt-BR"/>
        </w:rPr>
        <w:t>XPS</w:t>
      </w:r>
      <w:r w:rsidR="00EA4068">
        <w:rPr>
          <w:lang w:val="pt-BR"/>
        </w:rPr>
        <w:t xml:space="preserve"> </w:t>
      </w:r>
      <w:r>
        <w:rPr>
          <w:lang w:val="pt-BR"/>
        </w:rPr>
        <w:t xml:space="preserve">do catalisador </w:t>
      </w:r>
      <w:r w:rsidRPr="00FA3992">
        <w:rPr>
          <w:lang w:val="pt-BR"/>
        </w:rPr>
        <w:t xml:space="preserve">CuZnAl6 </w:t>
      </w:r>
      <w:r w:rsidRPr="004B0D13">
        <w:rPr>
          <w:lang w:val="pt-BR"/>
        </w:rPr>
        <w:t>(oxidado)</w:t>
      </w:r>
      <w:r>
        <w:rPr>
          <w:lang w:val="pt-BR"/>
        </w:rPr>
        <w:t xml:space="preserve"> </w:t>
      </w:r>
      <w:r w:rsidRPr="004B0D13">
        <w:rPr>
          <w:lang w:val="pt-BR"/>
        </w:rPr>
        <w:t>mostr</w:t>
      </w:r>
      <w:r>
        <w:rPr>
          <w:lang w:val="pt-BR"/>
        </w:rPr>
        <w:t>aram</w:t>
      </w:r>
      <w:r w:rsidRPr="004B0D13">
        <w:rPr>
          <w:lang w:val="pt-BR"/>
        </w:rPr>
        <w:t xml:space="preserve"> a formação</w:t>
      </w:r>
      <w:r w:rsidR="00FA3992">
        <w:rPr>
          <w:lang w:val="pt-BR"/>
        </w:rPr>
        <w:t xml:space="preserve"> de</w:t>
      </w:r>
      <w:r>
        <w:rPr>
          <w:lang w:val="pt-BR"/>
        </w:rPr>
        <w:t xml:space="preserve"> </w:t>
      </w:r>
      <w:proofErr w:type="spellStart"/>
      <w:r>
        <w:rPr>
          <w:lang w:val="pt-BR"/>
        </w:rPr>
        <w:t>Cu</w:t>
      </w:r>
      <w:r w:rsidRPr="004B0D13">
        <w:rPr>
          <w:lang w:val="pt-BR"/>
        </w:rPr>
        <w:t>O</w:t>
      </w:r>
      <w:proofErr w:type="spellEnd"/>
      <w:r>
        <w:rPr>
          <w:lang w:val="pt-BR"/>
        </w:rPr>
        <w:t xml:space="preserve"> e do </w:t>
      </w:r>
      <w:r w:rsidR="00E20F1D">
        <w:rPr>
          <w:lang w:val="pt-BR"/>
        </w:rPr>
        <w:t>ó</w:t>
      </w:r>
      <w:r>
        <w:rPr>
          <w:lang w:val="pt-BR"/>
        </w:rPr>
        <w:t xml:space="preserve">xido misto </w:t>
      </w:r>
      <w:proofErr w:type="gramStart"/>
      <w:r>
        <w:rPr>
          <w:lang w:val="pt-BR"/>
        </w:rPr>
        <w:t>Zn(</w:t>
      </w:r>
      <w:proofErr w:type="gramEnd"/>
      <w:r>
        <w:rPr>
          <w:lang w:val="pt-BR"/>
        </w:rPr>
        <w:t>Al)O</w:t>
      </w:r>
      <w:r w:rsidR="00BB7F78">
        <w:rPr>
          <w:lang w:val="pt-BR"/>
        </w:rPr>
        <w:t xml:space="preserve"> (14)</w:t>
      </w:r>
      <w:r>
        <w:rPr>
          <w:lang w:val="pt-BR"/>
        </w:rPr>
        <w:t xml:space="preserve">. </w:t>
      </w:r>
      <w:r w:rsidR="00EA4068">
        <w:rPr>
          <w:lang w:val="pt-BR"/>
        </w:rPr>
        <w:t>No caso da amostra reduzida e passivada</w:t>
      </w:r>
      <w:r w:rsidR="00BB7F78">
        <w:rPr>
          <w:lang w:val="pt-BR"/>
        </w:rPr>
        <w:t>,</w:t>
      </w:r>
      <w:r w:rsidR="00EA4068">
        <w:rPr>
          <w:lang w:val="pt-BR"/>
        </w:rPr>
        <w:t xml:space="preserve"> foram observadas via DRX/</w:t>
      </w:r>
      <w:proofErr w:type="spellStart"/>
      <w:r w:rsidR="00EA4068">
        <w:rPr>
          <w:lang w:val="pt-BR"/>
        </w:rPr>
        <w:t>Rietveld</w:t>
      </w:r>
      <w:proofErr w:type="spellEnd"/>
      <w:r w:rsidR="00EA4068">
        <w:rPr>
          <w:lang w:val="pt-BR"/>
        </w:rPr>
        <w:t xml:space="preserve"> as seguintes fases</w:t>
      </w:r>
      <w:r w:rsidR="00AD4D86">
        <w:rPr>
          <w:lang w:val="pt-BR"/>
        </w:rPr>
        <w:t>:</w:t>
      </w:r>
      <w:r w:rsidR="00EA4068">
        <w:rPr>
          <w:lang w:val="pt-BR"/>
        </w:rPr>
        <w:t xml:space="preserve"> Cu</w:t>
      </w:r>
      <w:r w:rsidR="00BB7F78">
        <w:rPr>
          <w:vertAlign w:val="superscript"/>
          <w:lang w:val="pt-BR"/>
        </w:rPr>
        <w:t>0</w:t>
      </w:r>
      <w:r w:rsidR="00EA4068">
        <w:rPr>
          <w:lang w:val="pt-BR"/>
        </w:rPr>
        <w:t xml:space="preserve"> e </w:t>
      </w:r>
      <w:proofErr w:type="gramStart"/>
      <w:r w:rsidR="00EA4068">
        <w:rPr>
          <w:lang w:val="pt-BR"/>
        </w:rPr>
        <w:t>Zn(</w:t>
      </w:r>
      <w:proofErr w:type="gramEnd"/>
      <w:r w:rsidR="00EA4068">
        <w:rPr>
          <w:lang w:val="pt-BR"/>
        </w:rPr>
        <w:t>Al)O</w:t>
      </w:r>
      <w:r w:rsidR="004177C6">
        <w:rPr>
          <w:lang w:val="pt-BR"/>
        </w:rPr>
        <w:t xml:space="preserve"> (1</w:t>
      </w:r>
      <w:r w:rsidR="00BB7F78">
        <w:rPr>
          <w:lang w:val="pt-BR"/>
        </w:rPr>
        <w:t>4</w:t>
      </w:r>
      <w:r w:rsidR="004177C6">
        <w:rPr>
          <w:lang w:val="pt-BR"/>
        </w:rPr>
        <w:t>)</w:t>
      </w:r>
      <w:r w:rsidR="00EA4068">
        <w:rPr>
          <w:lang w:val="pt-BR"/>
        </w:rPr>
        <w:t>.</w:t>
      </w:r>
      <w:r w:rsidR="007D0C2B">
        <w:rPr>
          <w:lang w:val="pt-BR"/>
        </w:rPr>
        <w:t xml:space="preserve"> </w:t>
      </w:r>
    </w:p>
    <w:p w:rsidR="004B0D13" w:rsidRDefault="0054380D" w:rsidP="00EA4E1B">
      <w:pPr>
        <w:pStyle w:val="TAMainText"/>
        <w:ind w:firstLine="187"/>
        <w:rPr>
          <w:lang w:val="pt-BR"/>
        </w:rPr>
      </w:pPr>
      <w:r>
        <w:rPr>
          <w:lang w:val="pt-BR"/>
        </w:rPr>
        <w:t xml:space="preserve">O </w:t>
      </w:r>
      <w:proofErr w:type="gramStart"/>
      <w:r>
        <w:rPr>
          <w:lang w:val="pt-BR"/>
        </w:rPr>
        <w:t>Zn(</w:t>
      </w:r>
      <w:proofErr w:type="gramEnd"/>
      <w:r>
        <w:rPr>
          <w:lang w:val="pt-BR"/>
        </w:rPr>
        <w:t xml:space="preserve">Al)O é um </w:t>
      </w:r>
      <w:r w:rsidR="00FA3992">
        <w:rPr>
          <w:lang w:val="pt-BR"/>
        </w:rPr>
        <w:t>ó</w:t>
      </w:r>
      <w:r>
        <w:rPr>
          <w:lang w:val="pt-BR"/>
        </w:rPr>
        <w:t>xido misto onde o Al</w:t>
      </w:r>
      <w:r w:rsidR="007104C2" w:rsidRPr="007104C2">
        <w:rPr>
          <w:vertAlign w:val="superscript"/>
          <w:lang w:val="pt-BR"/>
        </w:rPr>
        <w:t>3+</w:t>
      </w:r>
      <w:r>
        <w:rPr>
          <w:lang w:val="pt-BR"/>
        </w:rPr>
        <w:t xml:space="preserve"> encontra-se </w:t>
      </w:r>
      <w:r w:rsidR="007104C2">
        <w:rPr>
          <w:lang w:val="pt-BR"/>
        </w:rPr>
        <w:t>substituindo o Zn</w:t>
      </w:r>
      <w:r w:rsidR="007104C2" w:rsidRPr="007104C2">
        <w:rPr>
          <w:vertAlign w:val="superscript"/>
          <w:lang w:val="pt-BR"/>
        </w:rPr>
        <w:t>2+</w:t>
      </w:r>
      <w:r w:rsidR="007104C2">
        <w:rPr>
          <w:lang w:val="pt-BR"/>
        </w:rPr>
        <w:t xml:space="preserve"> </w:t>
      </w:r>
      <w:r>
        <w:rPr>
          <w:lang w:val="pt-BR"/>
        </w:rPr>
        <w:t>na rede cristalina do ZnO</w:t>
      </w:r>
      <w:r w:rsidR="007104C2">
        <w:rPr>
          <w:lang w:val="pt-BR"/>
        </w:rPr>
        <w:t xml:space="preserve">. Estes óxidos tendem a facilitar a formação de </w:t>
      </w:r>
      <w:proofErr w:type="spellStart"/>
      <w:r w:rsidR="00FA3992">
        <w:rPr>
          <w:lang w:val="pt-BR"/>
        </w:rPr>
        <w:t>O</w:t>
      </w:r>
      <w:r w:rsidR="00FA3992" w:rsidRPr="00FA3992">
        <w:rPr>
          <w:vertAlign w:val="subscript"/>
          <w:lang w:val="pt-BR"/>
        </w:rPr>
        <w:t>v</w:t>
      </w:r>
      <w:proofErr w:type="spellEnd"/>
      <w:r w:rsidR="007104C2">
        <w:rPr>
          <w:lang w:val="pt-BR"/>
        </w:rPr>
        <w:t>.</w:t>
      </w:r>
      <w:r>
        <w:rPr>
          <w:lang w:val="pt-BR"/>
        </w:rPr>
        <w:t xml:space="preserve"> </w:t>
      </w:r>
      <w:r w:rsidR="007D0C2B">
        <w:rPr>
          <w:lang w:val="pt-BR"/>
        </w:rPr>
        <w:t xml:space="preserve">Assim, pode-se sugerir que a formação </w:t>
      </w:r>
      <w:r w:rsidR="00FA3992">
        <w:rPr>
          <w:lang w:val="pt-BR"/>
        </w:rPr>
        <w:t xml:space="preserve">de </w:t>
      </w:r>
      <w:proofErr w:type="gramStart"/>
      <w:r w:rsidR="007D0C2B">
        <w:rPr>
          <w:lang w:val="pt-BR"/>
        </w:rPr>
        <w:t>Zn(</w:t>
      </w:r>
      <w:proofErr w:type="gramEnd"/>
      <w:r w:rsidR="007D0C2B">
        <w:rPr>
          <w:lang w:val="pt-BR"/>
        </w:rPr>
        <w:t xml:space="preserve">Al)O </w:t>
      </w:r>
      <w:r w:rsidR="003879AB">
        <w:rPr>
          <w:lang w:val="pt-BR"/>
        </w:rPr>
        <w:t xml:space="preserve">no catalisador </w:t>
      </w:r>
      <w:r w:rsidR="003879AB" w:rsidRPr="00FA3992">
        <w:rPr>
          <w:lang w:val="pt-BR"/>
        </w:rPr>
        <w:t>CuZnAl6</w:t>
      </w:r>
      <w:r w:rsidR="003879AB">
        <w:rPr>
          <w:i/>
          <w:iCs/>
          <w:lang w:val="pt-BR"/>
        </w:rPr>
        <w:t xml:space="preserve"> </w:t>
      </w:r>
      <w:r w:rsidR="007D0C2B">
        <w:rPr>
          <w:lang w:val="pt-BR"/>
        </w:rPr>
        <w:t xml:space="preserve">facilita a formação de </w:t>
      </w:r>
      <w:proofErr w:type="spellStart"/>
      <w:r w:rsidR="00FA3992">
        <w:rPr>
          <w:lang w:val="pt-BR"/>
        </w:rPr>
        <w:t>O</w:t>
      </w:r>
      <w:r w:rsidR="00FA3992" w:rsidRPr="00FA3992">
        <w:rPr>
          <w:vertAlign w:val="subscript"/>
          <w:lang w:val="pt-BR"/>
        </w:rPr>
        <w:t>v</w:t>
      </w:r>
      <w:proofErr w:type="spellEnd"/>
      <w:r w:rsidR="007D0C2B">
        <w:rPr>
          <w:lang w:val="pt-BR"/>
        </w:rPr>
        <w:t xml:space="preserve"> promovendo as </w:t>
      </w:r>
      <w:r w:rsidR="003879AB">
        <w:rPr>
          <w:lang w:val="pt-BR"/>
        </w:rPr>
        <w:t xml:space="preserve">suas </w:t>
      </w:r>
      <w:r w:rsidR="007D0C2B">
        <w:rPr>
          <w:lang w:val="pt-BR"/>
        </w:rPr>
        <w:t xml:space="preserve">propriedades redox e </w:t>
      </w:r>
      <w:r w:rsidR="007104C2">
        <w:rPr>
          <w:lang w:val="pt-BR"/>
        </w:rPr>
        <w:t>consequentemente</w:t>
      </w:r>
      <w:r w:rsidR="007D0C2B">
        <w:rPr>
          <w:lang w:val="pt-BR"/>
        </w:rPr>
        <w:t xml:space="preserve"> a oxidação do acetaldeído a ácido acético.</w:t>
      </w:r>
    </w:p>
    <w:p w:rsidR="00D33BE4" w:rsidRDefault="0038470F" w:rsidP="00EA4E1B">
      <w:pPr>
        <w:pStyle w:val="TAMainText"/>
        <w:ind w:firstLine="187"/>
        <w:rPr>
          <w:lang w:val="pt-BR"/>
        </w:rPr>
      </w:pPr>
      <w:r>
        <w:rPr>
          <w:lang w:val="pt-BR"/>
        </w:rPr>
        <w:t xml:space="preserve">A geração de espécies acetato a partir do acetaldeído </w:t>
      </w:r>
      <w:r w:rsidR="00053511">
        <w:rPr>
          <w:lang w:val="pt-BR"/>
        </w:rPr>
        <w:t>ocorre</w:t>
      </w:r>
      <w:r>
        <w:rPr>
          <w:lang w:val="pt-BR"/>
        </w:rPr>
        <w:t xml:space="preserve"> via mecanismo de Mars e Van Krevelen</w:t>
      </w:r>
      <w:r w:rsidR="00053511">
        <w:rPr>
          <w:lang w:val="pt-BR"/>
        </w:rPr>
        <w:t xml:space="preserve"> (MVK)</w:t>
      </w:r>
      <w:r>
        <w:rPr>
          <w:lang w:val="pt-BR"/>
        </w:rPr>
        <w:t xml:space="preserve">. De acordo com este mecanismo, o acetaldeído abstrai um O da </w:t>
      </w:r>
      <w:r>
        <w:rPr>
          <w:lang w:val="pt-BR"/>
        </w:rPr>
        <w:lastRenderedPageBreak/>
        <w:t xml:space="preserve">rede cristalina do </w:t>
      </w:r>
      <w:proofErr w:type="gramStart"/>
      <w:r w:rsidR="001B46DB">
        <w:rPr>
          <w:lang w:val="pt-BR"/>
        </w:rPr>
        <w:t>Zn(</w:t>
      </w:r>
      <w:proofErr w:type="gramEnd"/>
      <w:r w:rsidR="001B46DB">
        <w:rPr>
          <w:lang w:val="pt-BR"/>
        </w:rPr>
        <w:t>Al)O</w:t>
      </w:r>
      <w:r>
        <w:rPr>
          <w:lang w:val="pt-BR"/>
        </w:rPr>
        <w:t xml:space="preserve"> para formar </w:t>
      </w:r>
      <w:r w:rsidR="00053511">
        <w:rPr>
          <w:lang w:val="pt-BR"/>
        </w:rPr>
        <w:t>espécies</w:t>
      </w:r>
      <w:r>
        <w:rPr>
          <w:lang w:val="pt-BR"/>
        </w:rPr>
        <w:t xml:space="preserve"> acetato</w:t>
      </w:r>
      <w:r w:rsidR="001B46DB">
        <w:rPr>
          <w:lang w:val="pt-BR"/>
        </w:rPr>
        <w:t xml:space="preserve"> (etapa lenta)</w:t>
      </w:r>
      <w:r>
        <w:rPr>
          <w:lang w:val="pt-BR"/>
        </w:rPr>
        <w:t xml:space="preserve">. Nesse sentido, o catalisador que libera o </w:t>
      </w:r>
      <w:proofErr w:type="spellStart"/>
      <w:r>
        <w:rPr>
          <w:lang w:val="pt-BR"/>
        </w:rPr>
        <w:t>O</w:t>
      </w:r>
      <w:proofErr w:type="spellEnd"/>
      <w:r>
        <w:rPr>
          <w:lang w:val="pt-BR"/>
        </w:rPr>
        <w:t xml:space="preserve"> com maior facilidade deve ser aquele que gera mais ácido acético. </w:t>
      </w:r>
      <w:r w:rsidR="00053511">
        <w:rPr>
          <w:lang w:val="pt-BR"/>
        </w:rPr>
        <w:t>Os resultados obtidos por TPD-H</w:t>
      </w:r>
      <w:r w:rsidR="00053511" w:rsidRPr="00053511">
        <w:rPr>
          <w:vertAlign w:val="subscript"/>
          <w:lang w:val="pt-BR"/>
        </w:rPr>
        <w:t>2</w:t>
      </w:r>
      <w:r w:rsidR="00053511">
        <w:rPr>
          <w:lang w:val="pt-BR"/>
        </w:rPr>
        <w:t>O e TPSR-CO</w:t>
      </w:r>
      <w:r w:rsidR="00053511" w:rsidRPr="00053511">
        <w:rPr>
          <w:vertAlign w:val="subscript"/>
          <w:lang w:val="pt-BR"/>
        </w:rPr>
        <w:t>2</w:t>
      </w:r>
      <w:r w:rsidR="00053511">
        <w:rPr>
          <w:lang w:val="pt-BR"/>
        </w:rPr>
        <w:t>/H</w:t>
      </w:r>
      <w:r w:rsidR="00053511" w:rsidRPr="00053511">
        <w:rPr>
          <w:vertAlign w:val="subscript"/>
          <w:lang w:val="pt-BR"/>
        </w:rPr>
        <w:t>2</w:t>
      </w:r>
      <w:r w:rsidR="00053511">
        <w:rPr>
          <w:lang w:val="pt-BR"/>
        </w:rPr>
        <w:t xml:space="preserve"> são proporcionais à quantidade de vacâncias geradas durante a redução do catalisador. Sendo assim, o catalisador que apresenta maiores </w:t>
      </w:r>
      <w:r w:rsidR="00E36B5E">
        <w:rPr>
          <w:lang w:val="pt-BR"/>
        </w:rPr>
        <w:t>quantidade de H</w:t>
      </w:r>
      <w:r w:rsidR="00E36B5E" w:rsidRPr="00E36B5E">
        <w:rPr>
          <w:vertAlign w:val="subscript"/>
          <w:lang w:val="pt-BR"/>
        </w:rPr>
        <w:t>2</w:t>
      </w:r>
      <w:r w:rsidR="00E36B5E">
        <w:rPr>
          <w:lang w:val="pt-BR"/>
        </w:rPr>
        <w:t xml:space="preserve"> ou CO formados</w:t>
      </w:r>
      <w:r w:rsidR="00053511">
        <w:rPr>
          <w:lang w:val="pt-BR"/>
        </w:rPr>
        <w:t xml:space="preserve"> é aquele que possui maior facilidade de gerar vacâncias e, consequentemente, maior labilidade dos oxigênios superficiais usados no mecanismo de MVK. De fato, o catalisador CuZnAl6 é o que apresenta o maior número de vacâncias e a maior seletividade para ácido acético.</w:t>
      </w:r>
    </w:p>
    <w:p w:rsidR="0038470F" w:rsidRDefault="00D33BE4" w:rsidP="00EA4E1B">
      <w:pPr>
        <w:pStyle w:val="TAMainText"/>
        <w:ind w:firstLine="187"/>
        <w:rPr>
          <w:lang w:val="pt-BR"/>
        </w:rPr>
      </w:pPr>
      <w:r>
        <w:rPr>
          <w:lang w:val="pt-BR"/>
        </w:rPr>
        <w:t xml:space="preserve">Teores acima de 6% </w:t>
      </w:r>
      <w:r w:rsidR="00EA79A4">
        <w:rPr>
          <w:lang w:val="pt-BR"/>
        </w:rPr>
        <w:t xml:space="preserve">de </w:t>
      </w:r>
      <w:r>
        <w:rPr>
          <w:lang w:val="pt-BR"/>
        </w:rPr>
        <w:t>Al</w:t>
      </w:r>
      <w:r w:rsidRPr="00D33BE4">
        <w:rPr>
          <w:vertAlign w:val="subscript"/>
          <w:lang w:val="pt-BR"/>
        </w:rPr>
        <w:t>2</w:t>
      </w:r>
      <w:r>
        <w:rPr>
          <w:lang w:val="pt-BR"/>
        </w:rPr>
        <w:t>O</w:t>
      </w:r>
      <w:r w:rsidRPr="00D33BE4">
        <w:rPr>
          <w:vertAlign w:val="subscript"/>
          <w:lang w:val="pt-BR"/>
        </w:rPr>
        <w:t>3</w:t>
      </w:r>
      <w:r>
        <w:rPr>
          <w:lang w:val="pt-BR"/>
        </w:rPr>
        <w:t xml:space="preserve"> resultam em queda nos valores gerados a partir das diversas técnicas de caracterização utilizadas (TPD-H</w:t>
      </w:r>
      <w:r w:rsidRPr="00D33BE4">
        <w:rPr>
          <w:vertAlign w:val="subscript"/>
          <w:lang w:val="pt-BR"/>
        </w:rPr>
        <w:t>2</w:t>
      </w:r>
      <w:r>
        <w:rPr>
          <w:lang w:val="pt-BR"/>
        </w:rPr>
        <w:t>O, TPD-CO</w:t>
      </w:r>
      <w:r w:rsidRPr="00D33BE4">
        <w:rPr>
          <w:vertAlign w:val="subscript"/>
          <w:lang w:val="pt-BR"/>
        </w:rPr>
        <w:t>2</w:t>
      </w:r>
      <w:r>
        <w:rPr>
          <w:lang w:val="pt-BR"/>
        </w:rPr>
        <w:t>, TPD-NH</w:t>
      </w:r>
      <w:r w:rsidRPr="00D33BE4">
        <w:rPr>
          <w:vertAlign w:val="subscript"/>
          <w:lang w:val="pt-BR"/>
        </w:rPr>
        <w:t>3</w:t>
      </w:r>
      <w:r>
        <w:rPr>
          <w:lang w:val="pt-BR"/>
        </w:rPr>
        <w:t xml:space="preserve"> e TPSR-CO</w:t>
      </w:r>
      <w:r w:rsidRPr="00D33BE4">
        <w:rPr>
          <w:vertAlign w:val="subscript"/>
          <w:lang w:val="pt-BR"/>
        </w:rPr>
        <w:t>2</w:t>
      </w:r>
      <w:r>
        <w:rPr>
          <w:lang w:val="pt-BR"/>
        </w:rPr>
        <w:t>/H</w:t>
      </w:r>
      <w:r w:rsidRPr="00D33BE4">
        <w:rPr>
          <w:vertAlign w:val="subscript"/>
          <w:lang w:val="pt-BR"/>
        </w:rPr>
        <w:t>2</w:t>
      </w:r>
      <w:r>
        <w:rPr>
          <w:lang w:val="pt-BR"/>
        </w:rPr>
        <w:t xml:space="preserve">). Isso sugere a formação de uma fase amorfa contendo Al, que recobriria parte da superfície do catalisador fazendo com que todas essas medidas de superfície tenham seus valores diminuídos. </w:t>
      </w:r>
      <w:r w:rsidR="001B46DB">
        <w:rPr>
          <w:lang w:val="pt-BR"/>
        </w:rPr>
        <w:t xml:space="preserve">O aprimoramento da técnica de preparação no sentido de minimizar a </w:t>
      </w:r>
      <w:r w:rsidR="009B1F27">
        <w:rPr>
          <w:lang w:val="pt-BR"/>
        </w:rPr>
        <w:t xml:space="preserve">formação da </w:t>
      </w:r>
      <w:r w:rsidR="001B46DB">
        <w:rPr>
          <w:lang w:val="pt-BR"/>
        </w:rPr>
        <w:t>fase isolada a base de Al pode levar a catalisadores com performance superior</w:t>
      </w:r>
      <w:r w:rsidR="00053511">
        <w:rPr>
          <w:lang w:val="pt-BR"/>
        </w:rPr>
        <w:t xml:space="preserve"> </w:t>
      </w:r>
      <w:r w:rsidR="001B46DB">
        <w:rPr>
          <w:lang w:val="pt-BR"/>
        </w:rPr>
        <w:t>a descrita acima.</w:t>
      </w:r>
    </w:p>
    <w:p w:rsidR="00462442" w:rsidRDefault="00710802" w:rsidP="00EA4E1B">
      <w:pPr>
        <w:pStyle w:val="TAMainText"/>
        <w:ind w:firstLine="187"/>
        <w:rPr>
          <w:lang w:val="pt-BR"/>
        </w:rPr>
      </w:pPr>
      <w:r>
        <w:rPr>
          <w:lang w:val="pt-BR"/>
        </w:rPr>
        <w:t xml:space="preserve">Traçando um paralelo entre os experimentos de caracterização e os testes catalíticos, </w:t>
      </w:r>
      <w:r w:rsidR="007752C6">
        <w:rPr>
          <w:lang w:val="pt-BR"/>
        </w:rPr>
        <w:t xml:space="preserve">pode-se sugerir </w:t>
      </w:r>
      <w:r w:rsidR="00D33BE4">
        <w:rPr>
          <w:lang w:val="pt-BR"/>
        </w:rPr>
        <w:t xml:space="preserve">então </w:t>
      </w:r>
      <w:r w:rsidR="007752C6">
        <w:rPr>
          <w:lang w:val="pt-BR"/>
        </w:rPr>
        <w:t>que</w:t>
      </w:r>
      <w:r>
        <w:rPr>
          <w:lang w:val="pt-BR"/>
        </w:rPr>
        <w:t xml:space="preserve"> </w:t>
      </w:r>
      <w:r w:rsidR="00BB7F78">
        <w:rPr>
          <w:lang w:val="pt-BR"/>
        </w:rPr>
        <w:t xml:space="preserve">a </w:t>
      </w:r>
      <w:r>
        <w:rPr>
          <w:lang w:val="pt-BR"/>
        </w:rPr>
        <w:t>presença de alumínio</w:t>
      </w:r>
      <w:r w:rsidR="00446392">
        <w:rPr>
          <w:lang w:val="pt-BR"/>
        </w:rPr>
        <w:t>, devido a sua acidez,</w:t>
      </w:r>
      <w:r>
        <w:rPr>
          <w:lang w:val="pt-BR"/>
        </w:rPr>
        <w:t xml:space="preserve"> poderia promover a adsorção de acetaldeído, evitando a dessorção e facilitando sua oxidação</w:t>
      </w:r>
      <w:r w:rsidR="007D0C2B">
        <w:rPr>
          <w:lang w:val="pt-BR"/>
        </w:rPr>
        <w:t xml:space="preserve"> a espécie</w:t>
      </w:r>
      <w:r w:rsidR="00D33BE4">
        <w:rPr>
          <w:lang w:val="pt-BR"/>
        </w:rPr>
        <w:t>s</w:t>
      </w:r>
      <w:r w:rsidR="007D0C2B">
        <w:rPr>
          <w:lang w:val="pt-BR"/>
        </w:rPr>
        <w:t xml:space="preserve"> acetato</w:t>
      </w:r>
      <w:r w:rsidR="00BB7F78">
        <w:rPr>
          <w:lang w:val="pt-BR"/>
        </w:rPr>
        <w:t>,</w:t>
      </w:r>
      <w:r w:rsidR="007D0C2B">
        <w:rPr>
          <w:lang w:val="pt-BR"/>
        </w:rPr>
        <w:t xml:space="preserve"> que </w:t>
      </w:r>
      <w:r w:rsidR="00BB7F78">
        <w:rPr>
          <w:lang w:val="pt-BR"/>
        </w:rPr>
        <w:t>dessorve</w:t>
      </w:r>
      <w:r w:rsidR="00D33BE4">
        <w:rPr>
          <w:lang w:val="pt-BR"/>
        </w:rPr>
        <w:t>m</w:t>
      </w:r>
      <w:r w:rsidR="007D0C2B">
        <w:rPr>
          <w:lang w:val="pt-BR"/>
        </w:rPr>
        <w:t xml:space="preserve"> na forma</w:t>
      </w:r>
      <w:r w:rsidR="00D33BE4">
        <w:rPr>
          <w:lang w:val="pt-BR"/>
        </w:rPr>
        <w:t xml:space="preserve"> de</w:t>
      </w:r>
      <w:r>
        <w:rPr>
          <w:lang w:val="pt-BR"/>
        </w:rPr>
        <w:t xml:space="preserve"> </w:t>
      </w:r>
      <w:r w:rsidR="007D0C2B">
        <w:rPr>
          <w:lang w:val="pt-BR"/>
        </w:rPr>
        <w:t xml:space="preserve">ácido </w:t>
      </w:r>
      <w:r>
        <w:rPr>
          <w:lang w:val="pt-BR"/>
        </w:rPr>
        <w:t xml:space="preserve">acético. Além disso, a adição de </w:t>
      </w:r>
      <w:r w:rsidR="00820C97">
        <w:rPr>
          <w:lang w:val="pt-BR"/>
        </w:rPr>
        <w:t>Al</w:t>
      </w:r>
      <w:r>
        <w:rPr>
          <w:lang w:val="pt-BR"/>
        </w:rPr>
        <w:t xml:space="preserve"> até um certo limite </w:t>
      </w:r>
      <w:r w:rsidR="007752C6">
        <w:rPr>
          <w:lang w:val="pt-BR"/>
        </w:rPr>
        <w:t>facilita a formação de</w:t>
      </w:r>
      <w:r>
        <w:rPr>
          <w:lang w:val="pt-BR"/>
        </w:rPr>
        <w:t xml:space="preserve"> </w:t>
      </w:r>
      <w:proofErr w:type="spellStart"/>
      <w:r w:rsidR="00EA79A4">
        <w:rPr>
          <w:lang w:val="pt-BR"/>
        </w:rPr>
        <w:t>O</w:t>
      </w:r>
      <w:r w:rsidR="00EA79A4" w:rsidRPr="00EA79A4">
        <w:rPr>
          <w:vertAlign w:val="subscript"/>
          <w:lang w:val="pt-BR"/>
        </w:rPr>
        <w:t>v</w:t>
      </w:r>
      <w:proofErr w:type="spellEnd"/>
      <w:r w:rsidR="007752C6">
        <w:rPr>
          <w:lang w:val="pt-BR"/>
        </w:rPr>
        <w:t xml:space="preserve"> conforme mostrado via TPD-H</w:t>
      </w:r>
      <w:r w:rsidR="007752C6" w:rsidRPr="00710802">
        <w:rPr>
          <w:vertAlign w:val="subscript"/>
          <w:lang w:val="pt-BR"/>
        </w:rPr>
        <w:t>2</w:t>
      </w:r>
      <w:r w:rsidR="007752C6">
        <w:rPr>
          <w:lang w:val="pt-BR"/>
        </w:rPr>
        <w:t>O e TPSR-CO</w:t>
      </w:r>
      <w:r w:rsidR="007752C6" w:rsidRPr="00C121AD">
        <w:rPr>
          <w:vertAlign w:val="subscript"/>
          <w:lang w:val="pt-BR"/>
        </w:rPr>
        <w:t>2</w:t>
      </w:r>
      <w:r w:rsidR="007752C6">
        <w:rPr>
          <w:lang w:val="pt-BR"/>
        </w:rPr>
        <w:t>/H</w:t>
      </w:r>
      <w:r w:rsidR="007752C6" w:rsidRPr="00C121AD">
        <w:rPr>
          <w:vertAlign w:val="subscript"/>
          <w:lang w:val="pt-BR"/>
        </w:rPr>
        <w:t>2</w:t>
      </w:r>
      <w:r w:rsidR="007752C6">
        <w:rPr>
          <w:lang w:val="pt-BR"/>
        </w:rPr>
        <w:t>,</w:t>
      </w:r>
      <w:r w:rsidR="00D20B71">
        <w:rPr>
          <w:lang w:val="pt-BR"/>
        </w:rPr>
        <w:t xml:space="preserve"> </w:t>
      </w:r>
      <w:r w:rsidR="007752C6">
        <w:rPr>
          <w:lang w:val="pt-BR"/>
        </w:rPr>
        <w:t>promovendo desta forma</w:t>
      </w:r>
      <w:r>
        <w:rPr>
          <w:lang w:val="pt-BR"/>
        </w:rPr>
        <w:t xml:space="preserve"> as propriedades redox do catalisador</w:t>
      </w:r>
      <w:r w:rsidR="007752C6">
        <w:rPr>
          <w:lang w:val="pt-BR"/>
        </w:rPr>
        <w:t xml:space="preserve"> e</w:t>
      </w:r>
      <w:r w:rsidR="00D33BE4">
        <w:rPr>
          <w:lang w:val="pt-BR"/>
        </w:rPr>
        <w:t>,</w:t>
      </w:r>
      <w:r w:rsidR="007752C6">
        <w:rPr>
          <w:lang w:val="pt-BR"/>
        </w:rPr>
        <w:t xml:space="preserve"> consequentemente</w:t>
      </w:r>
      <w:r w:rsidR="00D33BE4">
        <w:rPr>
          <w:lang w:val="pt-BR"/>
        </w:rPr>
        <w:t>,</w:t>
      </w:r>
      <w:r>
        <w:rPr>
          <w:lang w:val="pt-BR"/>
        </w:rPr>
        <w:t xml:space="preserve"> favorecendo a </w:t>
      </w:r>
      <w:r w:rsidR="007752C6">
        <w:rPr>
          <w:lang w:val="pt-BR"/>
        </w:rPr>
        <w:t>oxidação do acetaldeído a</w:t>
      </w:r>
      <w:r>
        <w:rPr>
          <w:lang w:val="pt-BR"/>
        </w:rPr>
        <w:t xml:space="preserve"> ácido acético</w:t>
      </w:r>
      <w:r w:rsidR="00EA4068">
        <w:rPr>
          <w:lang w:val="pt-BR"/>
        </w:rPr>
        <w:t>.</w:t>
      </w:r>
      <w:r w:rsidR="00446392">
        <w:rPr>
          <w:lang w:val="pt-BR"/>
        </w:rPr>
        <w:t xml:space="preserve"> </w:t>
      </w:r>
    </w:p>
    <w:p w:rsidR="00E35216" w:rsidRPr="00820C97" w:rsidRDefault="002C32C4" w:rsidP="00A4073B">
      <w:pPr>
        <w:pStyle w:val="TAMainText"/>
        <w:ind w:firstLine="187"/>
        <w:rPr>
          <w:rFonts w:ascii="Helvetica" w:hAnsi="Helvetica" w:cs="Helvetica"/>
          <w:sz w:val="24"/>
          <w:szCs w:val="24"/>
          <w:lang w:val="pt-BR"/>
        </w:rPr>
      </w:pPr>
      <w:r>
        <w:rPr>
          <w:lang w:val="pt-BR"/>
        </w:rPr>
        <w:t xml:space="preserve"> </w:t>
      </w:r>
    </w:p>
    <w:p w:rsidR="00EA4E1B" w:rsidRDefault="00EA4E1B" w:rsidP="00BD6361">
      <w:pPr>
        <w:pStyle w:val="Ttulo2"/>
        <w:spacing w:after="0"/>
        <w:rPr>
          <w:rFonts w:ascii="Helvetica" w:hAnsi="Helvetica" w:cs="Helvetica"/>
          <w:sz w:val="24"/>
          <w:szCs w:val="24"/>
        </w:rPr>
      </w:pPr>
      <w:r w:rsidRPr="00506245">
        <w:rPr>
          <w:rFonts w:ascii="Helvetica" w:hAnsi="Helvetica" w:cs="Helvetica"/>
          <w:sz w:val="24"/>
          <w:szCs w:val="24"/>
        </w:rPr>
        <w:t>Conclusões</w:t>
      </w:r>
    </w:p>
    <w:p w:rsidR="00D20B71" w:rsidRDefault="000E0DB3" w:rsidP="00EA4E1B">
      <w:pPr>
        <w:pStyle w:val="TAMainText"/>
        <w:ind w:firstLine="187"/>
        <w:rPr>
          <w:rFonts w:ascii="Times New Roman" w:hAnsi="Times New Roman"/>
          <w:lang w:val="pt-BR"/>
        </w:rPr>
      </w:pPr>
      <w:r w:rsidRPr="00553CF0">
        <w:rPr>
          <w:rFonts w:ascii="Times New Roman" w:hAnsi="Times New Roman"/>
          <w:lang w:val="pt-BR"/>
        </w:rPr>
        <w:t xml:space="preserve">A adição de </w:t>
      </w:r>
      <w:r w:rsidR="00D20B71">
        <w:rPr>
          <w:rFonts w:ascii="Times New Roman" w:hAnsi="Times New Roman"/>
          <w:lang w:val="pt-BR"/>
        </w:rPr>
        <w:t>Al</w:t>
      </w:r>
      <w:r w:rsidRPr="00553CF0">
        <w:rPr>
          <w:rFonts w:ascii="Times New Roman" w:hAnsi="Times New Roman"/>
          <w:lang w:val="pt-BR"/>
        </w:rPr>
        <w:t xml:space="preserve"> ao catalisador </w:t>
      </w:r>
      <w:proofErr w:type="spellStart"/>
      <w:r w:rsidRPr="00553CF0">
        <w:rPr>
          <w:rFonts w:ascii="Times New Roman" w:hAnsi="Times New Roman"/>
          <w:lang w:val="pt-BR"/>
        </w:rPr>
        <w:t>CuZn</w:t>
      </w:r>
      <w:proofErr w:type="spellEnd"/>
      <w:r w:rsidRPr="00553CF0">
        <w:rPr>
          <w:rFonts w:ascii="Times New Roman" w:hAnsi="Times New Roman"/>
          <w:lang w:val="pt-BR"/>
        </w:rPr>
        <w:t xml:space="preserve"> </w:t>
      </w:r>
      <w:r w:rsidR="00553CF0" w:rsidRPr="00553CF0">
        <w:rPr>
          <w:rFonts w:ascii="Times New Roman" w:hAnsi="Times New Roman"/>
          <w:lang w:val="pt-BR"/>
        </w:rPr>
        <w:t xml:space="preserve">provoca </w:t>
      </w:r>
      <w:r w:rsidR="00D20B71" w:rsidRPr="00553CF0">
        <w:rPr>
          <w:rFonts w:ascii="Times New Roman" w:hAnsi="Times New Roman"/>
          <w:lang w:val="pt-BR"/>
        </w:rPr>
        <w:t>um significativo aumento na seletividade para ácido acético</w:t>
      </w:r>
      <w:r w:rsidR="00D20B71">
        <w:rPr>
          <w:rFonts w:ascii="Times New Roman" w:hAnsi="Times New Roman"/>
          <w:lang w:val="pt-BR"/>
        </w:rPr>
        <w:t xml:space="preserve">. Este comportamento </w:t>
      </w:r>
      <w:r w:rsidR="0059680B">
        <w:rPr>
          <w:rFonts w:ascii="Times New Roman" w:hAnsi="Times New Roman"/>
          <w:lang w:val="pt-BR"/>
        </w:rPr>
        <w:t>deve</w:t>
      </w:r>
      <w:r w:rsidR="00D20B71">
        <w:rPr>
          <w:rFonts w:ascii="Times New Roman" w:hAnsi="Times New Roman"/>
          <w:lang w:val="pt-BR"/>
        </w:rPr>
        <w:t xml:space="preserve"> estar associado ao aumento da acidez </w:t>
      </w:r>
      <w:r w:rsidR="00D80137">
        <w:rPr>
          <w:rFonts w:ascii="Times New Roman" w:hAnsi="Times New Roman"/>
          <w:lang w:val="pt-BR"/>
        </w:rPr>
        <w:t xml:space="preserve">que </w:t>
      </w:r>
      <w:r w:rsidR="00D20B71">
        <w:rPr>
          <w:rFonts w:ascii="Times New Roman" w:hAnsi="Times New Roman"/>
          <w:lang w:val="pt-BR"/>
        </w:rPr>
        <w:t xml:space="preserve">promoveria a adsorção do acetaldeído </w:t>
      </w:r>
      <w:r w:rsidR="00FE3F54">
        <w:rPr>
          <w:rFonts w:ascii="Times New Roman" w:hAnsi="Times New Roman"/>
          <w:lang w:val="pt-BR"/>
        </w:rPr>
        <w:t>na superfície do catalisador</w:t>
      </w:r>
      <w:r w:rsidR="008471F4">
        <w:rPr>
          <w:rFonts w:ascii="Times New Roman" w:hAnsi="Times New Roman"/>
          <w:lang w:val="pt-BR"/>
        </w:rPr>
        <w:t xml:space="preserve"> possibilitando a sua oxidação a acetato e posterior dessorção como ácido </w:t>
      </w:r>
      <w:r w:rsidR="00BB7F78">
        <w:rPr>
          <w:rFonts w:ascii="Times New Roman" w:hAnsi="Times New Roman"/>
          <w:lang w:val="pt-BR"/>
        </w:rPr>
        <w:t>acético</w:t>
      </w:r>
      <w:r w:rsidR="00D80137">
        <w:rPr>
          <w:rFonts w:ascii="Times New Roman" w:hAnsi="Times New Roman"/>
          <w:lang w:val="pt-BR"/>
        </w:rPr>
        <w:t>. A</w:t>
      </w:r>
      <w:r w:rsidR="008471F4">
        <w:rPr>
          <w:rFonts w:ascii="Times New Roman" w:hAnsi="Times New Roman"/>
          <w:lang w:val="pt-BR"/>
        </w:rPr>
        <w:t>lém disso, a</w:t>
      </w:r>
      <w:r w:rsidR="00D80137">
        <w:rPr>
          <w:rFonts w:ascii="Times New Roman" w:hAnsi="Times New Roman"/>
          <w:lang w:val="pt-BR"/>
        </w:rPr>
        <w:t xml:space="preserve"> adição de Al </w:t>
      </w:r>
      <w:r w:rsidR="007D0C2B">
        <w:rPr>
          <w:rFonts w:ascii="Times New Roman" w:hAnsi="Times New Roman"/>
          <w:lang w:val="pt-BR"/>
        </w:rPr>
        <w:t>ao</w:t>
      </w:r>
      <w:r w:rsidR="00D80137">
        <w:rPr>
          <w:rFonts w:ascii="Times New Roman" w:hAnsi="Times New Roman"/>
          <w:lang w:val="pt-BR"/>
        </w:rPr>
        <w:t xml:space="preserve"> catalisador </w:t>
      </w:r>
      <w:proofErr w:type="spellStart"/>
      <w:r w:rsidR="00D80137">
        <w:rPr>
          <w:rFonts w:ascii="Times New Roman" w:hAnsi="Times New Roman"/>
          <w:lang w:val="pt-BR"/>
        </w:rPr>
        <w:t>CuZn</w:t>
      </w:r>
      <w:proofErr w:type="spellEnd"/>
      <w:r w:rsidR="00D80137">
        <w:rPr>
          <w:rFonts w:ascii="Times New Roman" w:hAnsi="Times New Roman"/>
          <w:lang w:val="pt-BR"/>
        </w:rPr>
        <w:t xml:space="preserve"> resulta na formação de </w:t>
      </w:r>
      <w:proofErr w:type="gramStart"/>
      <w:r w:rsidR="00D80137">
        <w:rPr>
          <w:rFonts w:ascii="Times New Roman" w:hAnsi="Times New Roman"/>
          <w:lang w:val="pt-BR"/>
        </w:rPr>
        <w:t>Zn(</w:t>
      </w:r>
      <w:proofErr w:type="gramEnd"/>
      <w:r w:rsidR="00D80137">
        <w:rPr>
          <w:rFonts w:ascii="Times New Roman" w:hAnsi="Times New Roman"/>
          <w:lang w:val="pt-BR"/>
        </w:rPr>
        <w:t xml:space="preserve">Al)O. Este composto facilita a geração de </w:t>
      </w:r>
      <w:proofErr w:type="spellStart"/>
      <w:r w:rsidR="00EA79A4">
        <w:rPr>
          <w:rFonts w:ascii="Times New Roman" w:hAnsi="Times New Roman"/>
          <w:lang w:val="pt-BR"/>
        </w:rPr>
        <w:t>O</w:t>
      </w:r>
      <w:r w:rsidR="00EA79A4" w:rsidRPr="00EA79A4">
        <w:rPr>
          <w:rFonts w:ascii="Times New Roman" w:hAnsi="Times New Roman"/>
          <w:vertAlign w:val="subscript"/>
          <w:lang w:val="pt-BR"/>
        </w:rPr>
        <w:t>v</w:t>
      </w:r>
      <w:proofErr w:type="spellEnd"/>
      <w:r w:rsidR="00D80137">
        <w:rPr>
          <w:rFonts w:ascii="Times New Roman" w:hAnsi="Times New Roman"/>
          <w:lang w:val="pt-BR"/>
        </w:rPr>
        <w:t xml:space="preserve"> </w:t>
      </w:r>
      <w:r w:rsidR="007D0C2B">
        <w:rPr>
          <w:rFonts w:ascii="Times New Roman" w:hAnsi="Times New Roman"/>
          <w:lang w:val="pt-BR"/>
        </w:rPr>
        <w:t>promovendo</w:t>
      </w:r>
      <w:r w:rsidR="008471F4">
        <w:rPr>
          <w:rFonts w:ascii="Times New Roman" w:hAnsi="Times New Roman"/>
          <w:lang w:val="pt-BR"/>
        </w:rPr>
        <w:t xml:space="preserve"> desta forma</w:t>
      </w:r>
      <w:r w:rsidR="00FE3F54">
        <w:rPr>
          <w:rFonts w:ascii="Times New Roman" w:hAnsi="Times New Roman"/>
          <w:lang w:val="pt-BR"/>
        </w:rPr>
        <w:t xml:space="preserve"> a oxidação do acetaldeído a acetato</w:t>
      </w:r>
      <w:r w:rsidR="00AD4D86">
        <w:rPr>
          <w:rFonts w:ascii="Times New Roman" w:hAnsi="Times New Roman"/>
          <w:lang w:val="pt-BR"/>
        </w:rPr>
        <w:t>,</w:t>
      </w:r>
      <w:r w:rsidR="00D80137">
        <w:rPr>
          <w:rFonts w:ascii="Times New Roman" w:hAnsi="Times New Roman"/>
          <w:lang w:val="pt-BR"/>
        </w:rPr>
        <w:t xml:space="preserve"> precursor do ácido acético</w:t>
      </w:r>
      <w:r w:rsidR="00FE3F54">
        <w:rPr>
          <w:rFonts w:ascii="Times New Roman" w:hAnsi="Times New Roman"/>
          <w:lang w:val="pt-BR"/>
        </w:rPr>
        <w:t>.</w:t>
      </w:r>
      <w:r w:rsidR="009B1F27" w:rsidRPr="009B1F27">
        <w:rPr>
          <w:rFonts w:ascii="Times New Roman" w:hAnsi="Times New Roman"/>
          <w:lang w:val="pt-BR"/>
        </w:rPr>
        <w:t xml:space="preserve"> </w:t>
      </w:r>
      <w:r w:rsidR="009B1F27">
        <w:rPr>
          <w:rFonts w:ascii="Times New Roman" w:hAnsi="Times New Roman"/>
          <w:lang w:val="pt-BR"/>
        </w:rPr>
        <w:t xml:space="preserve">Os resultados </w:t>
      </w:r>
      <w:r w:rsidR="00225E7E">
        <w:rPr>
          <w:rFonts w:ascii="Times New Roman" w:hAnsi="Times New Roman"/>
          <w:lang w:val="pt-BR"/>
        </w:rPr>
        <w:t xml:space="preserve">também </w:t>
      </w:r>
      <w:r w:rsidR="009B1F27">
        <w:rPr>
          <w:rFonts w:ascii="Times New Roman" w:hAnsi="Times New Roman"/>
          <w:lang w:val="pt-BR"/>
        </w:rPr>
        <w:t>sugerem que a partir de um certo valor de concentração</w:t>
      </w:r>
      <w:r w:rsidR="00EA79A4">
        <w:rPr>
          <w:rFonts w:ascii="Times New Roman" w:hAnsi="Times New Roman"/>
          <w:lang w:val="pt-BR"/>
        </w:rPr>
        <w:t xml:space="preserve"> de </w:t>
      </w:r>
      <w:r w:rsidR="009B1F27">
        <w:rPr>
          <w:rFonts w:ascii="Times New Roman" w:hAnsi="Times New Roman"/>
          <w:lang w:val="pt-BR"/>
        </w:rPr>
        <w:t>Al ocorre formação de um composto que recobre</w:t>
      </w:r>
      <w:r w:rsidR="00C02387">
        <w:rPr>
          <w:rFonts w:ascii="Times New Roman" w:hAnsi="Times New Roman"/>
          <w:lang w:val="pt-BR"/>
        </w:rPr>
        <w:t xml:space="preserve"> parcialmente</w:t>
      </w:r>
      <w:r w:rsidR="009B1F27">
        <w:rPr>
          <w:rFonts w:ascii="Times New Roman" w:hAnsi="Times New Roman"/>
          <w:lang w:val="pt-BR"/>
        </w:rPr>
        <w:t xml:space="preserve"> a superfície do catalisador afetando uma s</w:t>
      </w:r>
      <w:r w:rsidR="00EA79A4">
        <w:rPr>
          <w:rFonts w:ascii="Times New Roman" w:hAnsi="Times New Roman"/>
          <w:lang w:val="pt-BR"/>
        </w:rPr>
        <w:t>é</w:t>
      </w:r>
      <w:r w:rsidR="009B1F27">
        <w:rPr>
          <w:rFonts w:ascii="Times New Roman" w:hAnsi="Times New Roman"/>
          <w:lang w:val="pt-BR"/>
        </w:rPr>
        <w:t>rie de propriedades relevantes deste sólido.</w:t>
      </w:r>
      <w:r w:rsidR="00225E7E">
        <w:rPr>
          <w:rFonts w:ascii="Times New Roman" w:hAnsi="Times New Roman"/>
          <w:lang w:val="pt-BR"/>
        </w:rPr>
        <w:t xml:space="preserve"> Preparações que minimizem a formação deste composto de Al deverão ser muito promissoras para reação de interesse.</w:t>
      </w:r>
    </w:p>
    <w:p w:rsidR="00567307" w:rsidRDefault="00567307" w:rsidP="00EA4E1B">
      <w:pPr>
        <w:pStyle w:val="TAMainText"/>
        <w:ind w:firstLine="187"/>
        <w:rPr>
          <w:rFonts w:ascii="Times New Roman" w:hAnsi="Times New Roman"/>
          <w:lang w:val="pt-BR"/>
        </w:rPr>
      </w:pPr>
    </w:p>
    <w:p w:rsidR="00EA4E1B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Agradecimentos</w:t>
      </w:r>
    </w:p>
    <w:p w:rsidR="00EA4E1B" w:rsidRDefault="003A7B03" w:rsidP="00EA4E1B">
      <w:pPr>
        <w:pStyle w:val="TAMainText"/>
        <w:rPr>
          <w:rFonts w:ascii="Times New Roman" w:hAnsi="Times New Roman"/>
          <w:lang w:val="pt-BR"/>
        </w:rPr>
      </w:pPr>
      <w:r w:rsidRPr="007E1AFE">
        <w:rPr>
          <w:rFonts w:ascii="Times New Roman" w:hAnsi="Times New Roman"/>
          <w:shd w:val="clear" w:color="auto" w:fill="FFFFFF"/>
          <w:lang w:val="pt-BR"/>
        </w:rPr>
        <w:t xml:space="preserve">Agradecemos o apoio do RCGI – </w:t>
      </w:r>
      <w:proofErr w:type="spellStart"/>
      <w:r w:rsidRPr="007E1AFE">
        <w:rPr>
          <w:rFonts w:ascii="Times New Roman" w:hAnsi="Times New Roman"/>
          <w:shd w:val="clear" w:color="auto" w:fill="FFFFFF"/>
          <w:lang w:val="pt-BR"/>
        </w:rPr>
        <w:t>Research</w:t>
      </w:r>
      <w:proofErr w:type="spellEnd"/>
      <w:r w:rsidRPr="007E1AFE">
        <w:rPr>
          <w:rFonts w:ascii="Times New Roman" w:hAnsi="Times New Roman"/>
          <w:shd w:val="clear" w:color="auto" w:fill="FFFFFF"/>
          <w:lang w:val="pt-BR"/>
        </w:rPr>
        <w:t xml:space="preserve"> Centre for </w:t>
      </w:r>
      <w:proofErr w:type="spellStart"/>
      <w:r w:rsidRPr="007E1AFE">
        <w:rPr>
          <w:rFonts w:ascii="Times New Roman" w:hAnsi="Times New Roman"/>
          <w:shd w:val="clear" w:color="auto" w:fill="FFFFFF"/>
          <w:lang w:val="pt-BR"/>
        </w:rPr>
        <w:t>Greenhouse</w:t>
      </w:r>
      <w:proofErr w:type="spellEnd"/>
      <w:r w:rsidRPr="007E1AFE">
        <w:rPr>
          <w:rFonts w:ascii="Times New Roman" w:hAnsi="Times New Roman"/>
          <w:shd w:val="clear" w:color="auto" w:fill="FFFFFF"/>
          <w:lang w:val="pt-BR"/>
        </w:rPr>
        <w:t xml:space="preserve"> </w:t>
      </w:r>
      <w:proofErr w:type="spellStart"/>
      <w:r w:rsidRPr="007E1AFE">
        <w:rPr>
          <w:rFonts w:ascii="Times New Roman" w:hAnsi="Times New Roman"/>
          <w:shd w:val="clear" w:color="auto" w:fill="FFFFFF"/>
          <w:lang w:val="pt-BR"/>
        </w:rPr>
        <w:t>Gas</w:t>
      </w:r>
      <w:proofErr w:type="spellEnd"/>
      <w:r w:rsidRPr="007E1AFE">
        <w:rPr>
          <w:rFonts w:ascii="Times New Roman" w:hAnsi="Times New Roman"/>
          <w:shd w:val="clear" w:color="auto" w:fill="FFFFFF"/>
          <w:lang w:val="pt-BR"/>
        </w:rPr>
        <w:t xml:space="preserve"> </w:t>
      </w:r>
      <w:proofErr w:type="spellStart"/>
      <w:r w:rsidRPr="007E1AFE">
        <w:rPr>
          <w:rFonts w:ascii="Times New Roman" w:hAnsi="Times New Roman"/>
          <w:shd w:val="clear" w:color="auto" w:fill="FFFFFF"/>
          <w:lang w:val="pt-BR"/>
        </w:rPr>
        <w:t>Innovation</w:t>
      </w:r>
      <w:proofErr w:type="spellEnd"/>
      <w:r w:rsidRPr="007E1AFE">
        <w:rPr>
          <w:rFonts w:ascii="Times New Roman" w:hAnsi="Times New Roman"/>
          <w:shd w:val="clear" w:color="auto" w:fill="FFFFFF"/>
          <w:lang w:val="pt-BR"/>
        </w:rPr>
        <w:t>, localizado na Universidade de São Paulo (USP) e financiado pela FAPESP – Fundação de Amparo à Pesquisa do Estado de São Paulo (2014/50279-4 e 2020/15230-5) e Shell Brasil, e a importância estratégica do apoio dado pela ANP (Agência Nacional do Petróleo, Gás Natural e Biocombustíveis) através do incentivo regulatório de P&amp;D.</w:t>
      </w:r>
      <w:r w:rsidR="00D83597" w:rsidRPr="00D83597">
        <w:rPr>
          <w:rFonts w:ascii="Times New Roman" w:hAnsi="Times New Roman"/>
          <w:lang w:val="pt-BR"/>
        </w:rPr>
        <w:t xml:space="preserve"> </w:t>
      </w:r>
      <w:r w:rsidR="00EA79A4">
        <w:rPr>
          <w:rFonts w:ascii="Times New Roman" w:hAnsi="Times New Roman"/>
          <w:lang w:val="pt-BR"/>
        </w:rPr>
        <w:t>E</w:t>
      </w:r>
      <w:r w:rsidR="00D83597" w:rsidRPr="00D83597">
        <w:rPr>
          <w:rFonts w:ascii="Times New Roman" w:hAnsi="Times New Roman"/>
          <w:lang w:val="pt-BR"/>
        </w:rPr>
        <w:t xml:space="preserve"> à </w:t>
      </w:r>
      <w:r w:rsidR="00D83597">
        <w:rPr>
          <w:rFonts w:ascii="Times New Roman" w:hAnsi="Times New Roman"/>
          <w:lang w:val="pt-BR"/>
        </w:rPr>
        <w:t xml:space="preserve">equipe técnica do </w:t>
      </w:r>
      <w:proofErr w:type="spellStart"/>
      <w:r w:rsidR="00D83597">
        <w:rPr>
          <w:rFonts w:ascii="Times New Roman" w:hAnsi="Times New Roman"/>
          <w:lang w:val="pt-BR"/>
        </w:rPr>
        <w:t>Lacat</w:t>
      </w:r>
      <w:proofErr w:type="spellEnd"/>
      <w:r w:rsidR="00D83597">
        <w:rPr>
          <w:rFonts w:ascii="Times New Roman" w:hAnsi="Times New Roman"/>
          <w:lang w:val="pt-BR"/>
        </w:rPr>
        <w:t>/INT</w:t>
      </w:r>
      <w:r w:rsidR="00EA4E1B" w:rsidRPr="00D83597">
        <w:rPr>
          <w:rFonts w:ascii="Times New Roman" w:hAnsi="Times New Roman"/>
          <w:lang w:val="pt-BR"/>
        </w:rPr>
        <w:t>.</w:t>
      </w:r>
    </w:p>
    <w:p w:rsidR="0054380D" w:rsidRDefault="0054380D" w:rsidP="00EA4E1B">
      <w:pPr>
        <w:pStyle w:val="TAMainText"/>
        <w:rPr>
          <w:rFonts w:ascii="Times New Roman" w:hAnsi="Times New Roman"/>
          <w:lang w:val="pt-BR"/>
        </w:rPr>
      </w:pPr>
    </w:p>
    <w:p w:rsidR="00810FFA" w:rsidRDefault="00810FFA" w:rsidP="00810FFA">
      <w:pPr>
        <w:pStyle w:val="TAMainText"/>
        <w:ind w:firstLine="0"/>
        <w:jc w:val="center"/>
        <w:rPr>
          <w:rFonts w:ascii="Helvetica" w:hAnsi="Helvetica" w:cs="Helvetica"/>
          <w:sz w:val="24"/>
          <w:szCs w:val="24"/>
        </w:rPr>
      </w:pPr>
      <w:proofErr w:type="spellStart"/>
      <w:r w:rsidRPr="00810FFA">
        <w:rPr>
          <w:rFonts w:ascii="Helvetica" w:hAnsi="Helvetica" w:cs="Helvetica"/>
          <w:sz w:val="24"/>
          <w:szCs w:val="24"/>
        </w:rPr>
        <w:t>Referências</w:t>
      </w:r>
      <w:proofErr w:type="spellEnd"/>
    </w:p>
    <w:p w:rsidR="00810FFA" w:rsidRPr="00810FFA" w:rsidRDefault="00810FFA" w:rsidP="00810FFA">
      <w:pPr>
        <w:pStyle w:val="TAMainText"/>
        <w:ind w:firstLine="0"/>
        <w:jc w:val="center"/>
        <w:rPr>
          <w:rFonts w:ascii="Helvetica" w:hAnsi="Helvetica" w:cs="Helvetica"/>
          <w:sz w:val="24"/>
          <w:szCs w:val="24"/>
        </w:rPr>
      </w:pPr>
    </w:p>
    <w:p w:rsidR="00522C8E" w:rsidRPr="002602F3" w:rsidRDefault="00AB743A" w:rsidP="00D54CA1">
      <w:pPr>
        <w:pStyle w:val="TAMainText"/>
        <w:numPr>
          <w:ilvl w:val="0"/>
          <w:numId w:val="2"/>
        </w:numPr>
        <w:jc w:val="left"/>
      </w:pPr>
      <w:r w:rsidRPr="00256F22">
        <w:rPr>
          <w:rFonts w:ascii="Times New Roman" w:hAnsi="Times New Roman"/>
        </w:rPr>
        <w:t xml:space="preserve">Acetic acid | spot and contract prices, market intelligence | ICIS.com, (n.d.). </w:t>
      </w:r>
      <w:hyperlink r:id="rId12" w:history="1">
        <w:r w:rsidR="00522C8E" w:rsidRPr="002602F3">
          <w:rPr>
            <w:rStyle w:val="Hyperlink"/>
            <w:rFonts w:ascii="Times New Roman" w:hAnsi="Times New Roman"/>
            <w:color w:val="auto"/>
            <w:u w:val="none"/>
          </w:rPr>
          <w:t>https://www.icis.com/explore/commodities/chemicals/acetic-acid/</w:t>
        </w:r>
      </w:hyperlink>
      <w:r w:rsidRPr="002602F3">
        <w:rPr>
          <w:rFonts w:ascii="Times New Roman" w:hAnsi="Times New Roman"/>
        </w:rPr>
        <w:t>.</w:t>
      </w:r>
    </w:p>
    <w:p w:rsidR="00522C8E" w:rsidRPr="00175BFC" w:rsidRDefault="00522C8E" w:rsidP="00810FFA">
      <w:pPr>
        <w:pStyle w:val="TAMainText"/>
        <w:numPr>
          <w:ilvl w:val="0"/>
          <w:numId w:val="2"/>
        </w:numPr>
        <w:rPr>
          <w:lang w:val="it-IT"/>
        </w:rPr>
      </w:pPr>
      <w:r w:rsidRPr="00175BFC">
        <w:rPr>
          <w:rFonts w:ascii="Times New Roman" w:hAnsi="Times New Roman"/>
          <w:lang w:val="it-IT"/>
        </w:rPr>
        <w:t xml:space="preserve">X. Li, E. Iglesia, </w:t>
      </w:r>
      <w:r w:rsidRPr="00175BFC">
        <w:rPr>
          <w:rFonts w:ascii="Times New Roman" w:hAnsi="Times New Roman"/>
          <w:i/>
          <w:iCs/>
          <w:lang w:val="it-IT"/>
        </w:rPr>
        <w:t>Chem. Eur. J.</w:t>
      </w:r>
      <w:r w:rsidRPr="00175BFC">
        <w:rPr>
          <w:rFonts w:ascii="Times New Roman" w:hAnsi="Times New Roman"/>
          <w:lang w:val="it-IT"/>
        </w:rPr>
        <w:t xml:space="preserve"> </w:t>
      </w:r>
      <w:r w:rsidRPr="00175BFC">
        <w:rPr>
          <w:rFonts w:ascii="Times New Roman" w:hAnsi="Times New Roman"/>
          <w:b/>
          <w:bCs/>
          <w:lang w:val="it-IT"/>
        </w:rPr>
        <w:t>2007</w:t>
      </w:r>
      <w:r w:rsidRPr="00175BFC">
        <w:rPr>
          <w:rFonts w:ascii="Times New Roman" w:hAnsi="Times New Roman"/>
          <w:lang w:val="it-IT"/>
        </w:rPr>
        <w:t xml:space="preserve">, </w:t>
      </w:r>
      <w:r w:rsidRPr="00175BFC">
        <w:rPr>
          <w:rFonts w:ascii="Times New Roman" w:hAnsi="Times New Roman"/>
          <w:i/>
          <w:iCs/>
          <w:lang w:val="it-IT"/>
        </w:rPr>
        <w:t>13</w:t>
      </w:r>
      <w:r w:rsidRPr="00175BFC">
        <w:rPr>
          <w:rFonts w:ascii="Times New Roman" w:hAnsi="Times New Roman"/>
          <w:lang w:val="it-IT"/>
        </w:rPr>
        <w:t>, 9324–9330.</w:t>
      </w:r>
    </w:p>
    <w:p w:rsidR="00810FFA" w:rsidRPr="00810FFA" w:rsidRDefault="00522C8E" w:rsidP="00810FFA">
      <w:pPr>
        <w:pStyle w:val="TAMainText"/>
        <w:numPr>
          <w:ilvl w:val="0"/>
          <w:numId w:val="2"/>
        </w:numPr>
        <w:rPr>
          <w:lang w:val="pt-BR"/>
        </w:rPr>
      </w:pPr>
      <w:r w:rsidRPr="00175BFC">
        <w:rPr>
          <w:rFonts w:ascii="Times New Roman" w:hAnsi="Times New Roman"/>
          <w:lang w:val="de-DE"/>
        </w:rPr>
        <w:t xml:space="preserve">B. Jørgensen, S.B. Kristensen, A.J. Kunov-Kruse, R. Fehrmann, C.H. Christensen, A. Riisager, </w:t>
      </w:r>
      <w:r w:rsidRPr="00175BFC">
        <w:rPr>
          <w:rFonts w:ascii="Times New Roman" w:hAnsi="Times New Roman"/>
          <w:i/>
          <w:iCs/>
          <w:lang w:val="de-DE"/>
        </w:rPr>
        <w:t xml:space="preserve">Top. </w:t>
      </w:r>
      <w:r w:rsidRPr="00175BFC">
        <w:rPr>
          <w:rFonts w:ascii="Times New Roman" w:hAnsi="Times New Roman"/>
          <w:i/>
          <w:iCs/>
          <w:lang w:val="pt-BR"/>
        </w:rPr>
        <w:t>Catal.</w:t>
      </w:r>
      <w:r w:rsidRPr="00175BFC">
        <w:rPr>
          <w:rFonts w:ascii="Times New Roman" w:hAnsi="Times New Roman"/>
          <w:lang w:val="pt-BR"/>
        </w:rPr>
        <w:t xml:space="preserve"> </w:t>
      </w:r>
      <w:r w:rsidRPr="00175BFC">
        <w:rPr>
          <w:rFonts w:ascii="Times New Roman" w:hAnsi="Times New Roman"/>
          <w:b/>
          <w:bCs/>
          <w:lang w:val="pt-BR"/>
        </w:rPr>
        <w:t>2009</w:t>
      </w:r>
      <w:r w:rsidRPr="00175BFC">
        <w:rPr>
          <w:rFonts w:ascii="Times New Roman" w:hAnsi="Times New Roman"/>
          <w:lang w:val="pt-BR"/>
        </w:rPr>
        <w:t xml:space="preserve">, </w:t>
      </w:r>
      <w:r w:rsidRPr="00175BFC">
        <w:rPr>
          <w:rFonts w:ascii="Times New Roman" w:hAnsi="Times New Roman"/>
          <w:i/>
          <w:iCs/>
          <w:lang w:val="pt-BR"/>
        </w:rPr>
        <w:t>52</w:t>
      </w:r>
      <w:r w:rsidRPr="00175BFC">
        <w:rPr>
          <w:rFonts w:ascii="Times New Roman" w:hAnsi="Times New Roman"/>
          <w:lang w:val="pt-BR"/>
        </w:rPr>
        <w:t>, 253–257.</w:t>
      </w:r>
      <w:r w:rsidR="00582071" w:rsidRPr="00175BFC">
        <w:rPr>
          <w:rFonts w:ascii="Times New Roman" w:hAnsi="Times New Roman"/>
          <w:lang w:val="pt-BR"/>
        </w:rPr>
        <w:t xml:space="preserve"> </w:t>
      </w:r>
    </w:p>
    <w:p w:rsidR="002F4DD4" w:rsidRPr="002F4DD4" w:rsidRDefault="002F4DD4" w:rsidP="00810FFA">
      <w:pPr>
        <w:pStyle w:val="TAMainText"/>
        <w:numPr>
          <w:ilvl w:val="0"/>
          <w:numId w:val="2"/>
        </w:numPr>
      </w:pPr>
      <w:r w:rsidRPr="002F4DD4">
        <w:rPr>
          <w:rFonts w:ascii="Times New Roman" w:hAnsi="Times New Roman"/>
          <w:lang w:val="pt-BR"/>
        </w:rPr>
        <w:t xml:space="preserve">S. </w:t>
      </w:r>
      <w:proofErr w:type="spellStart"/>
      <w:r w:rsidRPr="002F4DD4">
        <w:rPr>
          <w:rFonts w:ascii="Times New Roman" w:hAnsi="Times New Roman"/>
          <w:lang w:val="pt-BR"/>
        </w:rPr>
        <w:t>Letichevsky</w:t>
      </w:r>
      <w:proofErr w:type="spellEnd"/>
      <w:r w:rsidRPr="002F4DD4">
        <w:rPr>
          <w:rFonts w:ascii="Times New Roman" w:hAnsi="Times New Roman"/>
          <w:lang w:val="pt-BR"/>
        </w:rPr>
        <w:t xml:space="preserve">, P.C. Zonetti, P.P.P. Reis, J. </w:t>
      </w:r>
      <w:proofErr w:type="spellStart"/>
      <w:r w:rsidRPr="002F4DD4">
        <w:rPr>
          <w:rFonts w:ascii="Times New Roman" w:hAnsi="Times New Roman"/>
          <w:lang w:val="pt-BR"/>
        </w:rPr>
        <w:t>Celnik</w:t>
      </w:r>
      <w:proofErr w:type="spellEnd"/>
      <w:r w:rsidRPr="002F4DD4">
        <w:rPr>
          <w:rFonts w:ascii="Times New Roman" w:hAnsi="Times New Roman"/>
          <w:lang w:val="pt-BR"/>
        </w:rPr>
        <w:t xml:space="preserve">, C.R.K. Rabello, A.B. Gaspar, L.G. Appel, </w:t>
      </w:r>
      <w:r w:rsidRPr="002F4DD4">
        <w:rPr>
          <w:rFonts w:ascii="Times New Roman" w:hAnsi="Times New Roman"/>
          <w:i/>
          <w:iCs/>
          <w:lang w:val="pt-BR"/>
        </w:rPr>
        <w:t xml:space="preserve">J. Mol. </w:t>
      </w:r>
      <w:proofErr w:type="spellStart"/>
      <w:r w:rsidRPr="002F4DD4">
        <w:rPr>
          <w:rFonts w:ascii="Times New Roman" w:hAnsi="Times New Roman"/>
          <w:i/>
          <w:iCs/>
        </w:rPr>
        <w:t>Catal</w:t>
      </w:r>
      <w:proofErr w:type="spellEnd"/>
      <w:r w:rsidRPr="002F4DD4">
        <w:rPr>
          <w:rFonts w:ascii="Times New Roman" w:hAnsi="Times New Roman"/>
          <w:i/>
          <w:iCs/>
        </w:rPr>
        <w:t>. A Chem.</w:t>
      </w:r>
      <w:r w:rsidRPr="002F4DD4">
        <w:rPr>
          <w:rFonts w:ascii="Times New Roman" w:hAnsi="Times New Roman"/>
        </w:rPr>
        <w:t xml:space="preserve"> </w:t>
      </w:r>
      <w:r w:rsidRPr="002F4DD4">
        <w:rPr>
          <w:rFonts w:ascii="Times New Roman" w:hAnsi="Times New Roman"/>
          <w:b/>
          <w:bCs/>
        </w:rPr>
        <w:t>2015</w:t>
      </w:r>
      <w:r>
        <w:rPr>
          <w:rFonts w:ascii="Times New Roman" w:hAnsi="Times New Roman"/>
        </w:rPr>
        <w:t xml:space="preserve">, </w:t>
      </w:r>
      <w:r w:rsidRPr="002F4DD4">
        <w:rPr>
          <w:rFonts w:ascii="Times New Roman" w:hAnsi="Times New Roman"/>
          <w:i/>
          <w:iCs/>
        </w:rPr>
        <w:t>410</w:t>
      </w:r>
      <w:r>
        <w:rPr>
          <w:rFonts w:ascii="Times New Roman" w:hAnsi="Times New Roman"/>
        </w:rPr>
        <w:t>,</w:t>
      </w:r>
      <w:r w:rsidRPr="002F4DD4">
        <w:rPr>
          <w:rFonts w:ascii="Times New Roman" w:hAnsi="Times New Roman"/>
        </w:rPr>
        <w:t xml:space="preserve"> 177–183</w:t>
      </w:r>
      <w:r w:rsidR="00491956">
        <w:rPr>
          <w:rFonts w:ascii="Times New Roman" w:hAnsi="Times New Roman"/>
        </w:rPr>
        <w:t>J.</w:t>
      </w:r>
    </w:p>
    <w:p w:rsidR="002F4DD4" w:rsidRPr="002F4DD4" w:rsidRDefault="002F4DD4" w:rsidP="00810FFA">
      <w:pPr>
        <w:pStyle w:val="TAMainText"/>
        <w:numPr>
          <w:ilvl w:val="0"/>
          <w:numId w:val="2"/>
        </w:numPr>
      </w:pPr>
      <w:r w:rsidRPr="002F4DD4">
        <w:rPr>
          <w:lang w:val="pt-BR"/>
        </w:rPr>
        <w:t xml:space="preserve">P.P.P. Reis, P.C. Zonetti, F.B. Passos, L.G. Appel, </w:t>
      </w:r>
      <w:r w:rsidRPr="002F4DD4">
        <w:rPr>
          <w:i/>
          <w:iCs/>
          <w:lang w:val="pt-BR"/>
        </w:rPr>
        <w:t xml:space="preserve">Catal. </w:t>
      </w:r>
      <w:r w:rsidRPr="002F4DD4">
        <w:rPr>
          <w:i/>
          <w:iCs/>
        </w:rPr>
        <w:t>Letters</w:t>
      </w:r>
      <w:r w:rsidRPr="002F4DD4">
        <w:t xml:space="preserve">, </w:t>
      </w:r>
      <w:r w:rsidRPr="002F4DD4">
        <w:rPr>
          <w:b/>
          <w:bCs/>
        </w:rPr>
        <w:t>2017</w:t>
      </w:r>
      <w:r w:rsidRPr="002F4DD4">
        <w:t xml:space="preserve">, </w:t>
      </w:r>
      <w:r w:rsidRPr="002F4DD4">
        <w:rPr>
          <w:i/>
          <w:iCs/>
        </w:rPr>
        <w:t>147</w:t>
      </w:r>
      <w:r w:rsidRPr="002F4DD4">
        <w:t>, 821–827</w:t>
      </w:r>
      <w:r>
        <w:t>.</w:t>
      </w:r>
    </w:p>
    <w:p w:rsidR="00491956" w:rsidRPr="00491956" w:rsidRDefault="00491956" w:rsidP="004648AF">
      <w:pPr>
        <w:pStyle w:val="TAMainText"/>
        <w:numPr>
          <w:ilvl w:val="0"/>
          <w:numId w:val="2"/>
        </w:numPr>
      </w:pPr>
      <w:r w:rsidRPr="002F4DD4">
        <w:rPr>
          <w:rFonts w:ascii="Times New Roman" w:hAnsi="Times New Roman"/>
        </w:rPr>
        <w:t>I.</w:t>
      </w:r>
      <w:r w:rsidR="002F4DD4" w:rsidRPr="002F4DD4">
        <w:rPr>
          <w:rFonts w:ascii="Times New Roman" w:hAnsi="Times New Roman"/>
        </w:rPr>
        <w:t xml:space="preserve"> </w:t>
      </w:r>
      <w:proofErr w:type="spellStart"/>
      <w:r w:rsidRPr="002F4DD4">
        <w:rPr>
          <w:rFonts w:ascii="Times New Roman" w:hAnsi="Times New Roman"/>
        </w:rPr>
        <w:t>Kroschwitz</w:t>
      </w:r>
      <w:proofErr w:type="spellEnd"/>
      <w:r w:rsidRPr="002F4DD4">
        <w:rPr>
          <w:rFonts w:ascii="Times New Roman" w:hAnsi="Times New Roman"/>
        </w:rPr>
        <w:t xml:space="preserve">; A. Seidel in </w:t>
      </w:r>
      <w:r w:rsidRPr="002F4DD4">
        <w:rPr>
          <w:rFonts w:ascii="Times New Roman" w:hAnsi="Times New Roman"/>
          <w:i/>
          <w:iCs/>
        </w:rPr>
        <w:t>Kirk-</w:t>
      </w:r>
      <w:proofErr w:type="spellStart"/>
      <w:r w:rsidRPr="002F4DD4">
        <w:rPr>
          <w:rFonts w:ascii="Times New Roman" w:hAnsi="Times New Roman"/>
          <w:i/>
          <w:iCs/>
        </w:rPr>
        <w:t>Othmer</w:t>
      </w:r>
      <w:proofErr w:type="spellEnd"/>
      <w:r w:rsidRPr="002F4DD4">
        <w:rPr>
          <w:rFonts w:ascii="Times New Roman" w:hAnsi="Times New Roman"/>
          <w:i/>
          <w:iCs/>
        </w:rPr>
        <w:t xml:space="preserve"> encyclopedia of chemical technology,</w:t>
      </w:r>
      <w:r w:rsidRPr="002F4DD4">
        <w:rPr>
          <w:rFonts w:ascii="Times New Roman" w:hAnsi="Times New Roman"/>
        </w:rPr>
        <w:t xml:space="preserve"> Wiley </w:t>
      </w:r>
      <w:proofErr w:type="spellStart"/>
      <w:r w:rsidRPr="002F4DD4">
        <w:rPr>
          <w:rFonts w:ascii="Times New Roman" w:hAnsi="Times New Roman"/>
        </w:rPr>
        <w:t>InterScience</w:t>
      </w:r>
      <w:proofErr w:type="spellEnd"/>
      <w:r w:rsidRPr="002F4DD4">
        <w:rPr>
          <w:rFonts w:ascii="Times New Roman" w:hAnsi="Times New Roman"/>
        </w:rPr>
        <w:t xml:space="preserve"> (Online service), </w:t>
      </w:r>
      <w:r w:rsidRPr="002F4DD4">
        <w:rPr>
          <w:rFonts w:ascii="Times New Roman" w:hAnsi="Times New Roman"/>
          <w:b/>
          <w:bCs/>
        </w:rPr>
        <w:t>2004</w:t>
      </w:r>
      <w:r w:rsidRPr="002F4DD4">
        <w:rPr>
          <w:rFonts w:ascii="Times New Roman" w:hAnsi="Times New Roman"/>
        </w:rPr>
        <w:t>.</w:t>
      </w:r>
    </w:p>
    <w:p w:rsidR="00731247" w:rsidRDefault="00491956" w:rsidP="00810FFA">
      <w:pPr>
        <w:pStyle w:val="TAMainText"/>
        <w:numPr>
          <w:ilvl w:val="0"/>
          <w:numId w:val="2"/>
        </w:numPr>
      </w:pPr>
      <w:r w:rsidRPr="00491956">
        <w:rPr>
          <w:rFonts w:ascii="Times New Roman" w:hAnsi="Times New Roman"/>
          <w:lang w:val="pt-BR"/>
        </w:rPr>
        <w:t xml:space="preserve">M. Ginés., N. Amadeo, M. </w:t>
      </w:r>
      <w:proofErr w:type="spellStart"/>
      <w:r w:rsidRPr="00491956">
        <w:rPr>
          <w:rFonts w:ascii="Times New Roman" w:hAnsi="Times New Roman"/>
          <w:lang w:val="pt-BR"/>
        </w:rPr>
        <w:t>Laborde</w:t>
      </w:r>
      <w:proofErr w:type="spellEnd"/>
      <w:r w:rsidRPr="00491956">
        <w:rPr>
          <w:rFonts w:ascii="Times New Roman" w:hAnsi="Times New Roman"/>
          <w:lang w:val="pt-BR"/>
        </w:rPr>
        <w:t xml:space="preserve">, C. </w:t>
      </w:r>
      <w:proofErr w:type="spellStart"/>
      <w:r w:rsidRPr="00491956">
        <w:rPr>
          <w:rFonts w:ascii="Times New Roman" w:hAnsi="Times New Roman"/>
          <w:lang w:val="pt-BR"/>
        </w:rPr>
        <w:t>Apesteguía</w:t>
      </w:r>
      <w:proofErr w:type="spellEnd"/>
      <w:r w:rsidRPr="00491956">
        <w:rPr>
          <w:rFonts w:ascii="Times New Roman" w:hAnsi="Times New Roman"/>
          <w:lang w:val="pt-BR"/>
        </w:rPr>
        <w:t xml:space="preserve">, </w:t>
      </w:r>
      <w:proofErr w:type="spellStart"/>
      <w:r w:rsidRPr="00491956">
        <w:rPr>
          <w:rFonts w:ascii="Times New Roman" w:hAnsi="Times New Roman"/>
          <w:i/>
          <w:iCs/>
          <w:lang w:val="pt-BR"/>
        </w:rPr>
        <w:t>Appl</w:t>
      </w:r>
      <w:proofErr w:type="spellEnd"/>
      <w:r w:rsidRPr="00491956">
        <w:rPr>
          <w:rFonts w:ascii="Times New Roman" w:hAnsi="Times New Roman"/>
          <w:i/>
          <w:iCs/>
          <w:lang w:val="pt-BR"/>
        </w:rPr>
        <w:t xml:space="preserve">. </w:t>
      </w:r>
      <w:proofErr w:type="spellStart"/>
      <w:r w:rsidRPr="00491956">
        <w:rPr>
          <w:rFonts w:ascii="Times New Roman" w:hAnsi="Times New Roman"/>
          <w:i/>
          <w:iCs/>
        </w:rPr>
        <w:t>Catal</w:t>
      </w:r>
      <w:proofErr w:type="spellEnd"/>
      <w:r w:rsidRPr="00491956">
        <w:rPr>
          <w:rFonts w:ascii="Times New Roman" w:hAnsi="Times New Roman"/>
          <w:i/>
          <w:iCs/>
        </w:rPr>
        <w:t>. A: Gen.</w:t>
      </w:r>
      <w:r w:rsidRPr="00F35A44">
        <w:rPr>
          <w:rFonts w:ascii="Times New Roman" w:hAnsi="Times New Roman"/>
        </w:rPr>
        <w:t xml:space="preserve"> </w:t>
      </w:r>
      <w:r w:rsidRPr="00491956">
        <w:rPr>
          <w:rFonts w:ascii="Times New Roman" w:hAnsi="Times New Roman"/>
          <w:b/>
          <w:bCs/>
        </w:rPr>
        <w:t>1995</w:t>
      </w:r>
      <w:r>
        <w:rPr>
          <w:rFonts w:ascii="Times New Roman" w:hAnsi="Times New Roman"/>
        </w:rPr>
        <w:t xml:space="preserve">, </w:t>
      </w:r>
      <w:r w:rsidRPr="00491956">
        <w:rPr>
          <w:rFonts w:ascii="Times New Roman" w:hAnsi="Times New Roman"/>
          <w:i/>
          <w:iCs/>
        </w:rPr>
        <w:t>131</w:t>
      </w:r>
      <w:r w:rsidRPr="00F35A44">
        <w:rPr>
          <w:rFonts w:ascii="Times New Roman" w:hAnsi="Times New Roman"/>
        </w:rPr>
        <w:t>, 283–296</w:t>
      </w:r>
      <w:r>
        <w:rPr>
          <w:rFonts w:ascii="Times New Roman" w:hAnsi="Times New Roman"/>
        </w:rPr>
        <w:t>.</w:t>
      </w:r>
    </w:p>
    <w:p w:rsidR="00731247" w:rsidRDefault="00731247" w:rsidP="00810FFA">
      <w:pPr>
        <w:pStyle w:val="TAMainText"/>
        <w:numPr>
          <w:ilvl w:val="0"/>
          <w:numId w:val="2"/>
        </w:numPr>
      </w:pPr>
      <w:r>
        <w:t xml:space="preserve">P. </w:t>
      </w:r>
      <w:proofErr w:type="spellStart"/>
      <w:r w:rsidRPr="00731247">
        <w:t>Kowalik</w:t>
      </w:r>
      <w:proofErr w:type="spellEnd"/>
      <w:r w:rsidRPr="00731247">
        <w:t>,</w:t>
      </w:r>
      <w:r>
        <w:t xml:space="preserve"> K.</w:t>
      </w:r>
      <w:r w:rsidRPr="00731247">
        <w:t xml:space="preserve"> </w:t>
      </w:r>
      <w:proofErr w:type="spellStart"/>
      <w:r w:rsidRPr="00731247">
        <w:t>Antoniak</w:t>
      </w:r>
      <w:proofErr w:type="spellEnd"/>
      <w:r w:rsidRPr="00731247">
        <w:t>-Jurak,</w:t>
      </w:r>
      <w:r>
        <w:t xml:space="preserve"> R.</w:t>
      </w:r>
      <w:r w:rsidRPr="00731247">
        <w:t xml:space="preserve"> </w:t>
      </w:r>
      <w:proofErr w:type="spellStart"/>
      <w:r w:rsidRPr="00731247">
        <w:t>Bicki</w:t>
      </w:r>
      <w:proofErr w:type="spellEnd"/>
      <w:r w:rsidRPr="00731247">
        <w:t>,</w:t>
      </w:r>
      <w:r>
        <w:t xml:space="preserve"> W.</w:t>
      </w:r>
      <w:r w:rsidRPr="00731247">
        <w:t xml:space="preserve"> </w:t>
      </w:r>
      <w:proofErr w:type="spellStart"/>
      <w:r w:rsidRPr="00731247">
        <w:t>Próchniak</w:t>
      </w:r>
      <w:proofErr w:type="spellEnd"/>
      <w:r w:rsidRPr="00731247">
        <w:t xml:space="preserve">, </w:t>
      </w:r>
      <w:r>
        <w:t>P.</w:t>
      </w:r>
      <w:r w:rsidRPr="00731247">
        <w:t xml:space="preserve"> </w:t>
      </w:r>
      <w:proofErr w:type="spellStart"/>
      <w:r w:rsidRPr="00731247">
        <w:t>Wiercioch</w:t>
      </w:r>
      <w:proofErr w:type="spellEnd"/>
      <w:r w:rsidRPr="00731247">
        <w:t>,</w:t>
      </w:r>
      <w:r>
        <w:t xml:space="preserve"> K. </w:t>
      </w:r>
      <w:proofErr w:type="spellStart"/>
      <w:r w:rsidRPr="00731247">
        <w:t>Michalska</w:t>
      </w:r>
      <w:proofErr w:type="spellEnd"/>
      <w:r w:rsidRPr="00731247">
        <w:t xml:space="preserve">, </w:t>
      </w:r>
      <w:r w:rsidRPr="00731247">
        <w:rPr>
          <w:i/>
          <w:iCs/>
        </w:rPr>
        <w:t xml:space="preserve">Int. J. </w:t>
      </w:r>
      <w:proofErr w:type="spellStart"/>
      <w:r w:rsidRPr="00731247">
        <w:rPr>
          <w:i/>
          <w:iCs/>
        </w:rPr>
        <w:t>Hydrog</w:t>
      </w:r>
      <w:proofErr w:type="spellEnd"/>
      <w:r w:rsidRPr="00731247">
        <w:rPr>
          <w:i/>
          <w:iCs/>
        </w:rPr>
        <w:t xml:space="preserve">. Energy </w:t>
      </w:r>
      <w:r w:rsidRPr="00731247">
        <w:rPr>
          <w:b/>
          <w:bCs/>
        </w:rPr>
        <w:t>2019</w:t>
      </w:r>
      <w:r w:rsidRPr="00731247">
        <w:t xml:space="preserve">, </w:t>
      </w:r>
      <w:r w:rsidRPr="00731247">
        <w:rPr>
          <w:i/>
          <w:iCs/>
        </w:rPr>
        <w:t>44</w:t>
      </w:r>
      <w:r w:rsidRPr="00731247">
        <w:t>, 913–922</w:t>
      </w:r>
      <w:r>
        <w:t>.</w:t>
      </w:r>
    </w:p>
    <w:p w:rsidR="00731247" w:rsidRPr="00175BFC" w:rsidRDefault="00731247" w:rsidP="00810FFA">
      <w:pPr>
        <w:pStyle w:val="TAMainText"/>
        <w:numPr>
          <w:ilvl w:val="0"/>
          <w:numId w:val="2"/>
        </w:numPr>
        <w:rPr>
          <w:lang w:val="de-DE"/>
        </w:rPr>
      </w:pPr>
      <w:r w:rsidRPr="00175BFC">
        <w:rPr>
          <w:lang w:val="de-DE"/>
        </w:rPr>
        <w:t xml:space="preserve">M. </w:t>
      </w:r>
      <w:r w:rsidRPr="00175BFC">
        <w:rPr>
          <w:rFonts w:ascii="Times New Roman" w:hAnsi="Times New Roman"/>
          <w:lang w:val="de-DE"/>
        </w:rPr>
        <w:t xml:space="preserve">Behrens, </w:t>
      </w:r>
      <w:r w:rsidRPr="00175BFC">
        <w:rPr>
          <w:rFonts w:ascii="Times New Roman" w:hAnsi="Times New Roman"/>
          <w:i/>
          <w:iCs/>
          <w:lang w:val="de-DE"/>
        </w:rPr>
        <w:t xml:space="preserve">Angew. Chem. Int. Ed. </w:t>
      </w:r>
      <w:r w:rsidRPr="00175BFC">
        <w:rPr>
          <w:rFonts w:ascii="Times New Roman" w:hAnsi="Times New Roman"/>
          <w:b/>
          <w:bCs/>
          <w:lang w:val="de-DE"/>
        </w:rPr>
        <w:t>2016</w:t>
      </w:r>
      <w:r w:rsidRPr="00175BFC">
        <w:rPr>
          <w:rFonts w:ascii="Times New Roman" w:hAnsi="Times New Roman"/>
          <w:lang w:val="de-DE"/>
        </w:rPr>
        <w:t>,</w:t>
      </w:r>
      <w:r w:rsidRPr="00175BFC">
        <w:rPr>
          <w:rFonts w:ascii="Times New Roman" w:hAnsi="Times New Roman"/>
          <w:i/>
          <w:iCs/>
          <w:lang w:val="de-DE"/>
        </w:rPr>
        <w:t xml:space="preserve"> 55</w:t>
      </w:r>
      <w:r w:rsidRPr="00175BFC">
        <w:rPr>
          <w:rFonts w:ascii="Times New Roman" w:hAnsi="Times New Roman"/>
          <w:lang w:val="de-DE"/>
        </w:rPr>
        <w:t>, 14906 – 14908.</w:t>
      </w:r>
    </w:p>
    <w:p w:rsidR="00731247" w:rsidRDefault="00731247" w:rsidP="00810FFA">
      <w:pPr>
        <w:pStyle w:val="TAMainText"/>
        <w:numPr>
          <w:ilvl w:val="0"/>
          <w:numId w:val="2"/>
        </w:numPr>
      </w:pPr>
      <w:r>
        <w:t xml:space="preserve">M.R. </w:t>
      </w:r>
      <w:proofErr w:type="spellStart"/>
      <w:r>
        <w:t>Gogate</w:t>
      </w:r>
      <w:proofErr w:type="spellEnd"/>
      <w:r>
        <w:t xml:space="preserve">, </w:t>
      </w:r>
      <w:r w:rsidRPr="00731247">
        <w:rPr>
          <w:rFonts w:ascii="Times New Roman" w:hAnsi="Times New Roman"/>
          <w:i/>
          <w:iCs/>
        </w:rPr>
        <w:t>Pet. Sci. Technol.</w:t>
      </w:r>
      <w:r>
        <w:rPr>
          <w:rFonts w:ascii="Times New Roman" w:hAnsi="Times New Roman"/>
        </w:rPr>
        <w:t xml:space="preserve"> </w:t>
      </w:r>
      <w:r w:rsidRPr="00731247">
        <w:rPr>
          <w:rFonts w:ascii="Times New Roman" w:hAnsi="Times New Roman"/>
          <w:b/>
          <w:bCs/>
        </w:rPr>
        <w:t>2019</w:t>
      </w:r>
      <w:r>
        <w:rPr>
          <w:rFonts w:ascii="Times New Roman" w:hAnsi="Times New Roman"/>
        </w:rPr>
        <w:t>,</w:t>
      </w:r>
      <w:r w:rsidRPr="00731247">
        <w:rPr>
          <w:rFonts w:ascii="Times New Roman" w:hAnsi="Times New Roman"/>
          <w:i/>
          <w:iCs/>
        </w:rPr>
        <w:t xml:space="preserve"> 37,</w:t>
      </w:r>
      <w:r w:rsidRPr="00731247">
        <w:rPr>
          <w:rFonts w:ascii="Times New Roman" w:hAnsi="Times New Roman"/>
        </w:rPr>
        <w:t xml:space="preserve"> 671–678</w:t>
      </w:r>
      <w:r>
        <w:rPr>
          <w:rFonts w:ascii="Times New Roman" w:hAnsi="Times New Roman"/>
        </w:rPr>
        <w:t>.</w:t>
      </w:r>
    </w:p>
    <w:p w:rsidR="00731247" w:rsidRPr="00782D3B" w:rsidRDefault="00731247" w:rsidP="00810FFA">
      <w:pPr>
        <w:pStyle w:val="TAMainText"/>
        <w:numPr>
          <w:ilvl w:val="0"/>
          <w:numId w:val="2"/>
        </w:numPr>
      </w:pPr>
      <w:r>
        <w:t xml:space="preserve">J.D. </w:t>
      </w:r>
      <w:r w:rsidRPr="00731247">
        <w:rPr>
          <w:rFonts w:ascii="Times New Roman" w:hAnsi="Times New Roman"/>
        </w:rPr>
        <w:t xml:space="preserve"> </w:t>
      </w:r>
      <w:proofErr w:type="spellStart"/>
      <w:r w:rsidRPr="00731247">
        <w:rPr>
          <w:rFonts w:ascii="Times New Roman" w:hAnsi="Times New Roman"/>
        </w:rPr>
        <w:t>Grunwaldt</w:t>
      </w:r>
      <w:proofErr w:type="spellEnd"/>
      <w:r w:rsidRPr="00731247">
        <w:rPr>
          <w:rFonts w:ascii="Times New Roman" w:hAnsi="Times New Roman"/>
        </w:rPr>
        <w:t xml:space="preserve">, A.M. </w:t>
      </w:r>
      <w:proofErr w:type="spellStart"/>
      <w:r w:rsidRPr="00731247">
        <w:rPr>
          <w:rFonts w:ascii="Times New Roman" w:hAnsi="Times New Roman"/>
        </w:rPr>
        <w:t>Molenbroek</w:t>
      </w:r>
      <w:proofErr w:type="spellEnd"/>
      <w:r w:rsidRPr="00731247">
        <w:rPr>
          <w:rFonts w:ascii="Times New Roman" w:hAnsi="Times New Roman"/>
        </w:rPr>
        <w:t xml:space="preserve">, N.-Y. </w:t>
      </w:r>
      <w:proofErr w:type="spellStart"/>
      <w:r w:rsidRPr="00731247">
        <w:rPr>
          <w:rFonts w:ascii="Times New Roman" w:hAnsi="Times New Roman"/>
        </w:rPr>
        <w:t>Topsøe</w:t>
      </w:r>
      <w:proofErr w:type="spellEnd"/>
      <w:r w:rsidRPr="00731247">
        <w:rPr>
          <w:rFonts w:ascii="Times New Roman" w:hAnsi="Times New Roman"/>
        </w:rPr>
        <w:t xml:space="preserve">, H. </w:t>
      </w:r>
      <w:proofErr w:type="spellStart"/>
      <w:r w:rsidRPr="00731247">
        <w:rPr>
          <w:rFonts w:ascii="Times New Roman" w:hAnsi="Times New Roman"/>
        </w:rPr>
        <w:t>Topsøe</w:t>
      </w:r>
      <w:proofErr w:type="spellEnd"/>
      <w:r w:rsidRPr="00731247">
        <w:rPr>
          <w:rFonts w:ascii="Times New Roman" w:hAnsi="Times New Roman"/>
        </w:rPr>
        <w:t xml:space="preserve">, B.S. Clausen, </w:t>
      </w:r>
      <w:r w:rsidRPr="00731247">
        <w:rPr>
          <w:rFonts w:ascii="Times New Roman" w:hAnsi="Times New Roman"/>
          <w:i/>
          <w:iCs/>
        </w:rPr>
        <w:t xml:space="preserve">J. </w:t>
      </w:r>
      <w:proofErr w:type="spellStart"/>
      <w:r w:rsidRPr="00731247">
        <w:rPr>
          <w:rFonts w:ascii="Times New Roman" w:hAnsi="Times New Roman"/>
          <w:i/>
          <w:iCs/>
        </w:rPr>
        <w:t>Catal</w:t>
      </w:r>
      <w:proofErr w:type="spellEnd"/>
      <w:r w:rsidRPr="00731247">
        <w:rPr>
          <w:rFonts w:ascii="Times New Roman" w:hAnsi="Times New Roman"/>
          <w:i/>
          <w:iCs/>
        </w:rPr>
        <w:t>.</w:t>
      </w:r>
      <w:r w:rsidRPr="00731247">
        <w:rPr>
          <w:rFonts w:ascii="Times New Roman" w:hAnsi="Times New Roman"/>
        </w:rPr>
        <w:t xml:space="preserve"> </w:t>
      </w:r>
      <w:r w:rsidRPr="00731247">
        <w:rPr>
          <w:rFonts w:ascii="Times New Roman" w:hAnsi="Times New Roman"/>
          <w:b/>
          <w:bCs/>
        </w:rPr>
        <w:t>2000</w:t>
      </w:r>
      <w:r w:rsidRPr="00731247">
        <w:rPr>
          <w:rFonts w:ascii="Times New Roman" w:hAnsi="Times New Roman"/>
        </w:rPr>
        <w:t>, 194, 452–460</w:t>
      </w:r>
      <w:r>
        <w:rPr>
          <w:rFonts w:ascii="Times New Roman" w:hAnsi="Times New Roman"/>
        </w:rPr>
        <w:t>.</w:t>
      </w:r>
    </w:p>
    <w:p w:rsidR="00782D3B" w:rsidRPr="00782D3B" w:rsidRDefault="00731247" w:rsidP="00810FFA">
      <w:pPr>
        <w:pStyle w:val="TAMainText"/>
        <w:numPr>
          <w:ilvl w:val="0"/>
          <w:numId w:val="2"/>
        </w:numPr>
      </w:pPr>
      <w:r>
        <w:t>M.</w:t>
      </w:r>
      <w:r w:rsidRPr="00782D3B">
        <w:rPr>
          <w:rFonts w:ascii="Times New Roman" w:hAnsi="Times New Roman"/>
        </w:rPr>
        <w:t xml:space="preserve"> Behrens, F. </w:t>
      </w:r>
      <w:proofErr w:type="spellStart"/>
      <w:r w:rsidRPr="00782D3B">
        <w:rPr>
          <w:rFonts w:ascii="Times New Roman" w:hAnsi="Times New Roman"/>
        </w:rPr>
        <w:t>Studt</w:t>
      </w:r>
      <w:proofErr w:type="spellEnd"/>
      <w:r w:rsidRPr="00782D3B">
        <w:rPr>
          <w:rFonts w:ascii="Times New Roman" w:hAnsi="Times New Roman"/>
        </w:rPr>
        <w:t xml:space="preserve">, I. </w:t>
      </w:r>
      <w:proofErr w:type="spellStart"/>
      <w:r w:rsidRPr="00782D3B">
        <w:rPr>
          <w:rFonts w:ascii="Times New Roman" w:hAnsi="Times New Roman"/>
        </w:rPr>
        <w:t>Kasatkin</w:t>
      </w:r>
      <w:proofErr w:type="spellEnd"/>
      <w:r w:rsidRPr="00782D3B">
        <w:rPr>
          <w:rFonts w:ascii="Times New Roman" w:hAnsi="Times New Roman"/>
        </w:rPr>
        <w:t xml:space="preserve">, S. Kuhl, M. </w:t>
      </w:r>
      <w:proofErr w:type="spellStart"/>
      <w:r w:rsidRPr="00782D3B">
        <w:rPr>
          <w:rFonts w:ascii="Times New Roman" w:hAnsi="Times New Roman"/>
        </w:rPr>
        <w:t>Havecker</w:t>
      </w:r>
      <w:proofErr w:type="spellEnd"/>
      <w:r w:rsidRPr="00782D3B">
        <w:rPr>
          <w:rFonts w:ascii="Times New Roman" w:hAnsi="Times New Roman"/>
        </w:rPr>
        <w:t xml:space="preserve">, F. </w:t>
      </w:r>
      <w:proofErr w:type="spellStart"/>
      <w:r w:rsidRPr="00782D3B">
        <w:rPr>
          <w:rFonts w:ascii="Times New Roman" w:hAnsi="Times New Roman"/>
        </w:rPr>
        <w:t>Abild</w:t>
      </w:r>
      <w:proofErr w:type="spellEnd"/>
      <w:r w:rsidRPr="00782D3B">
        <w:rPr>
          <w:rFonts w:ascii="Times New Roman" w:hAnsi="Times New Roman"/>
        </w:rPr>
        <w:t xml:space="preserve">-Pedersen, S. Zander, F. </w:t>
      </w:r>
      <w:proofErr w:type="spellStart"/>
      <w:r w:rsidRPr="00782D3B">
        <w:rPr>
          <w:rFonts w:ascii="Times New Roman" w:hAnsi="Times New Roman"/>
        </w:rPr>
        <w:t>Girgsdies</w:t>
      </w:r>
      <w:proofErr w:type="spellEnd"/>
      <w:r w:rsidRPr="00782D3B">
        <w:rPr>
          <w:rFonts w:ascii="Times New Roman" w:hAnsi="Times New Roman"/>
        </w:rPr>
        <w:t xml:space="preserve">, P. </w:t>
      </w:r>
      <w:proofErr w:type="spellStart"/>
      <w:r w:rsidRPr="00782D3B">
        <w:rPr>
          <w:rFonts w:ascii="Times New Roman" w:hAnsi="Times New Roman"/>
        </w:rPr>
        <w:t>Kurr</w:t>
      </w:r>
      <w:proofErr w:type="spellEnd"/>
      <w:r w:rsidRPr="00782D3B">
        <w:rPr>
          <w:rFonts w:ascii="Times New Roman" w:hAnsi="Times New Roman"/>
        </w:rPr>
        <w:t xml:space="preserve">, B.-L. </w:t>
      </w:r>
      <w:proofErr w:type="spellStart"/>
      <w:r w:rsidRPr="00782D3B">
        <w:rPr>
          <w:rFonts w:ascii="Times New Roman" w:hAnsi="Times New Roman"/>
        </w:rPr>
        <w:t>Kniep</w:t>
      </w:r>
      <w:proofErr w:type="spellEnd"/>
      <w:r w:rsidRPr="00782D3B">
        <w:rPr>
          <w:rFonts w:ascii="Times New Roman" w:hAnsi="Times New Roman"/>
        </w:rPr>
        <w:t xml:space="preserve">, M. Tovar, R.W. Fischer, J.K. </w:t>
      </w:r>
      <w:proofErr w:type="spellStart"/>
      <w:r w:rsidRPr="00782D3B">
        <w:rPr>
          <w:rFonts w:ascii="Times New Roman" w:hAnsi="Times New Roman"/>
        </w:rPr>
        <w:t>Norskov</w:t>
      </w:r>
      <w:proofErr w:type="spellEnd"/>
      <w:r w:rsidRPr="00782D3B">
        <w:rPr>
          <w:rFonts w:ascii="Times New Roman" w:hAnsi="Times New Roman"/>
        </w:rPr>
        <w:t xml:space="preserve">, R. </w:t>
      </w:r>
      <w:proofErr w:type="spellStart"/>
      <w:r w:rsidRPr="00782D3B">
        <w:rPr>
          <w:rFonts w:ascii="Times New Roman" w:hAnsi="Times New Roman"/>
        </w:rPr>
        <w:t>Schlogl</w:t>
      </w:r>
      <w:proofErr w:type="spellEnd"/>
      <w:r w:rsidRPr="00782D3B">
        <w:rPr>
          <w:rFonts w:ascii="Times New Roman" w:hAnsi="Times New Roman"/>
        </w:rPr>
        <w:t xml:space="preserve">, </w:t>
      </w:r>
      <w:r w:rsidRPr="00782D3B">
        <w:rPr>
          <w:rFonts w:ascii="Times New Roman" w:hAnsi="Times New Roman"/>
          <w:i/>
          <w:iCs/>
        </w:rPr>
        <w:t>Science</w:t>
      </w:r>
      <w:r w:rsidRPr="00782D3B">
        <w:rPr>
          <w:rFonts w:ascii="Times New Roman" w:hAnsi="Times New Roman"/>
        </w:rPr>
        <w:t xml:space="preserve"> </w:t>
      </w:r>
      <w:r w:rsidR="00782D3B" w:rsidRPr="00782D3B">
        <w:rPr>
          <w:rFonts w:ascii="Times New Roman" w:hAnsi="Times New Roman"/>
          <w:b/>
          <w:bCs/>
        </w:rPr>
        <w:t>2012</w:t>
      </w:r>
      <w:r w:rsidR="00782D3B" w:rsidRPr="00782D3B">
        <w:rPr>
          <w:rFonts w:ascii="Times New Roman" w:hAnsi="Times New Roman"/>
        </w:rPr>
        <w:t xml:space="preserve">, </w:t>
      </w:r>
      <w:r w:rsidRPr="00782D3B">
        <w:rPr>
          <w:rFonts w:ascii="Times New Roman" w:hAnsi="Times New Roman"/>
          <w:i/>
          <w:iCs/>
        </w:rPr>
        <w:t>336</w:t>
      </w:r>
      <w:r w:rsidRPr="00782D3B">
        <w:rPr>
          <w:rFonts w:ascii="Times New Roman" w:hAnsi="Times New Roman"/>
        </w:rPr>
        <w:t>, 893–897</w:t>
      </w:r>
      <w:r w:rsidR="00782D3B" w:rsidRPr="00782D3B">
        <w:rPr>
          <w:rFonts w:ascii="Times New Roman" w:hAnsi="Times New Roman"/>
        </w:rPr>
        <w:t>.</w:t>
      </w:r>
    </w:p>
    <w:p w:rsidR="00522C8E" w:rsidRDefault="00782D3B" w:rsidP="00810FFA">
      <w:pPr>
        <w:pStyle w:val="TAMainText"/>
        <w:numPr>
          <w:ilvl w:val="0"/>
          <w:numId w:val="2"/>
        </w:numPr>
        <w:rPr>
          <w:rFonts w:ascii="Times New Roman" w:hAnsi="Times New Roman"/>
        </w:rPr>
      </w:pPr>
      <w:r w:rsidRPr="007826FE">
        <w:rPr>
          <w:rFonts w:ascii="Times New Roman" w:hAnsi="Times New Roman"/>
        </w:rPr>
        <w:t xml:space="preserve">G.G. Gonzalez, P.C. </w:t>
      </w:r>
      <w:r w:rsidR="00731247" w:rsidRPr="007826FE">
        <w:rPr>
          <w:rFonts w:ascii="Times New Roman" w:hAnsi="Times New Roman"/>
        </w:rPr>
        <w:t>Zonetti,</w:t>
      </w:r>
      <w:r w:rsidRPr="007826FE">
        <w:rPr>
          <w:rFonts w:ascii="Times New Roman" w:hAnsi="Times New Roman"/>
        </w:rPr>
        <w:t xml:space="preserve"> E.B.</w:t>
      </w:r>
      <w:r w:rsidR="00731247" w:rsidRPr="007826FE">
        <w:rPr>
          <w:rFonts w:ascii="Times New Roman" w:hAnsi="Times New Roman"/>
        </w:rPr>
        <w:t xml:space="preserve"> Silveira,</w:t>
      </w:r>
      <w:r w:rsidRPr="007826FE">
        <w:rPr>
          <w:rFonts w:ascii="Times New Roman" w:hAnsi="Times New Roman"/>
        </w:rPr>
        <w:t xml:space="preserve"> F.M.T.</w:t>
      </w:r>
      <w:r w:rsidR="00731247" w:rsidRPr="007826FE">
        <w:rPr>
          <w:rFonts w:ascii="Times New Roman" w:hAnsi="Times New Roman"/>
        </w:rPr>
        <w:t xml:space="preserve"> Mendes,</w:t>
      </w:r>
      <w:r w:rsidRPr="007826FE">
        <w:rPr>
          <w:rFonts w:ascii="Times New Roman" w:hAnsi="Times New Roman"/>
        </w:rPr>
        <w:t xml:space="preserve"> R.R.</w:t>
      </w:r>
      <w:r w:rsidR="00731247" w:rsidRPr="007826FE">
        <w:rPr>
          <w:rFonts w:ascii="Times New Roman" w:hAnsi="Times New Roman"/>
        </w:rPr>
        <w:t xml:space="preserve"> de </w:t>
      </w:r>
      <w:proofErr w:type="spellStart"/>
      <w:r w:rsidR="00731247" w:rsidRPr="007826FE">
        <w:rPr>
          <w:rFonts w:ascii="Times New Roman" w:hAnsi="Times New Roman"/>
        </w:rPr>
        <w:t>Avillez</w:t>
      </w:r>
      <w:proofErr w:type="spellEnd"/>
      <w:r w:rsidR="00731247" w:rsidRPr="007826FE">
        <w:rPr>
          <w:rFonts w:ascii="Times New Roman" w:hAnsi="Times New Roman"/>
        </w:rPr>
        <w:t xml:space="preserve">, </w:t>
      </w:r>
      <w:r w:rsidRPr="007826FE">
        <w:rPr>
          <w:rFonts w:ascii="Times New Roman" w:hAnsi="Times New Roman"/>
        </w:rPr>
        <w:t xml:space="preserve">C.R.K. </w:t>
      </w:r>
      <w:proofErr w:type="spellStart"/>
      <w:r w:rsidR="00731247" w:rsidRPr="007826FE">
        <w:rPr>
          <w:rFonts w:ascii="Times New Roman" w:hAnsi="Times New Roman"/>
        </w:rPr>
        <w:t>Rabello</w:t>
      </w:r>
      <w:proofErr w:type="spellEnd"/>
      <w:r w:rsidR="00731247" w:rsidRPr="007826FE">
        <w:rPr>
          <w:rFonts w:ascii="Times New Roman" w:hAnsi="Times New Roman"/>
        </w:rPr>
        <w:t>,</w:t>
      </w:r>
      <w:r w:rsidRPr="007826FE">
        <w:rPr>
          <w:rFonts w:ascii="Times New Roman" w:hAnsi="Times New Roman"/>
        </w:rPr>
        <w:t xml:space="preserve"> F.M.</w:t>
      </w:r>
      <w:r w:rsidR="00731247" w:rsidRPr="007826FE">
        <w:rPr>
          <w:rFonts w:ascii="Times New Roman" w:hAnsi="Times New Roman"/>
        </w:rPr>
        <w:t xml:space="preserve"> </w:t>
      </w:r>
      <w:proofErr w:type="spellStart"/>
      <w:r w:rsidR="00731247" w:rsidRPr="007826FE">
        <w:rPr>
          <w:rFonts w:ascii="Times New Roman" w:hAnsi="Times New Roman"/>
        </w:rPr>
        <w:t>Zotin</w:t>
      </w:r>
      <w:proofErr w:type="spellEnd"/>
      <w:r w:rsidR="00731247" w:rsidRPr="007826FE">
        <w:rPr>
          <w:rFonts w:ascii="Times New Roman" w:hAnsi="Times New Roman"/>
        </w:rPr>
        <w:t xml:space="preserve">, </w:t>
      </w:r>
      <w:r w:rsidRPr="007826FE">
        <w:rPr>
          <w:rFonts w:ascii="Times New Roman" w:hAnsi="Times New Roman"/>
        </w:rPr>
        <w:t xml:space="preserve">L.G. </w:t>
      </w:r>
      <w:r w:rsidR="00731247" w:rsidRPr="007826FE">
        <w:rPr>
          <w:rFonts w:ascii="Times New Roman" w:hAnsi="Times New Roman"/>
        </w:rPr>
        <w:t xml:space="preserve">Appel, </w:t>
      </w:r>
      <w:r w:rsidR="00731247" w:rsidRPr="007826FE">
        <w:rPr>
          <w:rFonts w:ascii="Times New Roman" w:hAnsi="Times New Roman"/>
          <w:i/>
          <w:iCs/>
        </w:rPr>
        <w:t xml:space="preserve">J. </w:t>
      </w:r>
      <w:proofErr w:type="spellStart"/>
      <w:r w:rsidR="00731247" w:rsidRPr="007826FE">
        <w:rPr>
          <w:rFonts w:ascii="Times New Roman" w:hAnsi="Times New Roman"/>
          <w:i/>
          <w:iCs/>
        </w:rPr>
        <w:t>Catal</w:t>
      </w:r>
      <w:proofErr w:type="spellEnd"/>
      <w:r w:rsidR="00731247" w:rsidRPr="007826FE">
        <w:rPr>
          <w:rFonts w:ascii="Times New Roman" w:hAnsi="Times New Roman"/>
          <w:i/>
          <w:iCs/>
        </w:rPr>
        <w:t>.</w:t>
      </w:r>
      <w:r w:rsidRPr="007826FE">
        <w:rPr>
          <w:rFonts w:ascii="Times New Roman" w:hAnsi="Times New Roman"/>
        </w:rPr>
        <w:t xml:space="preserve"> </w:t>
      </w:r>
      <w:r w:rsidRPr="007826FE">
        <w:rPr>
          <w:rFonts w:ascii="Times New Roman" w:hAnsi="Times New Roman"/>
          <w:b/>
          <w:bCs/>
        </w:rPr>
        <w:t>2019</w:t>
      </w:r>
      <w:r w:rsidRPr="007826FE">
        <w:rPr>
          <w:rFonts w:ascii="Times New Roman" w:hAnsi="Times New Roman"/>
        </w:rPr>
        <w:t>,</w:t>
      </w:r>
      <w:r w:rsidR="00731247" w:rsidRPr="007826FE">
        <w:rPr>
          <w:rFonts w:ascii="Times New Roman" w:hAnsi="Times New Roman"/>
        </w:rPr>
        <w:t xml:space="preserve"> 380, 343–351.</w:t>
      </w:r>
    </w:p>
    <w:p w:rsidR="00522C8E" w:rsidRPr="004177C6" w:rsidRDefault="004177C6" w:rsidP="00810FFA">
      <w:pPr>
        <w:pStyle w:val="TAMainText"/>
        <w:numPr>
          <w:ilvl w:val="0"/>
          <w:numId w:val="2"/>
        </w:numPr>
        <w:rPr>
          <w:lang w:val="pt-BR"/>
        </w:rPr>
      </w:pPr>
      <w:r w:rsidRPr="004177C6">
        <w:rPr>
          <w:rFonts w:ascii="Times New Roman" w:hAnsi="Times New Roman"/>
          <w:lang w:val="pt-BR"/>
        </w:rPr>
        <w:t>Trabalho “Descrevendo o papel do Al no catalisador Cu/ZnO/Al quando empregado na síntese do metanol a partir do CO</w:t>
      </w:r>
      <w:r w:rsidRPr="004177C6">
        <w:rPr>
          <w:rFonts w:ascii="Times New Roman" w:hAnsi="Times New Roman"/>
          <w:vertAlign w:val="subscript"/>
          <w:lang w:val="pt-BR"/>
        </w:rPr>
        <w:t>2</w:t>
      </w:r>
      <w:r w:rsidRPr="004177C6">
        <w:rPr>
          <w:rFonts w:ascii="Times New Roman" w:hAnsi="Times New Roman"/>
          <w:lang w:val="pt-BR"/>
        </w:rPr>
        <w:t>/H</w:t>
      </w:r>
      <w:r w:rsidRPr="004177C6">
        <w:rPr>
          <w:rFonts w:ascii="Times New Roman" w:hAnsi="Times New Roman"/>
          <w:vertAlign w:val="subscript"/>
          <w:lang w:val="pt-BR"/>
        </w:rPr>
        <w:t>2</w:t>
      </w:r>
      <w:r w:rsidRPr="004177C6">
        <w:rPr>
          <w:rFonts w:ascii="Times New Roman" w:hAnsi="Times New Roman"/>
          <w:lang w:val="pt-BR"/>
        </w:rPr>
        <w:t xml:space="preserve">” apresentado neste </w:t>
      </w:r>
      <w:r>
        <w:rPr>
          <w:rFonts w:ascii="Times New Roman" w:hAnsi="Times New Roman"/>
          <w:lang w:val="pt-BR"/>
        </w:rPr>
        <w:t xml:space="preserve">22º </w:t>
      </w:r>
      <w:proofErr w:type="spellStart"/>
      <w:r>
        <w:rPr>
          <w:rFonts w:ascii="Times New Roman" w:hAnsi="Times New Roman"/>
          <w:lang w:val="pt-BR"/>
        </w:rPr>
        <w:t>CBC</w:t>
      </w:r>
      <w:r w:rsidR="00810FFA">
        <w:rPr>
          <w:rFonts w:ascii="Times New Roman" w:hAnsi="Times New Roman"/>
          <w:lang w:val="pt-BR"/>
        </w:rPr>
        <w:t>at</w:t>
      </w:r>
      <w:proofErr w:type="spellEnd"/>
      <w:r>
        <w:rPr>
          <w:rFonts w:ascii="Times New Roman" w:hAnsi="Times New Roman"/>
          <w:lang w:val="pt-BR"/>
        </w:rPr>
        <w:t>.</w:t>
      </w:r>
    </w:p>
    <w:sectPr w:rsidR="00522C8E" w:rsidRPr="004177C6" w:rsidSect="00A4145A">
      <w:type w:val="continuous"/>
      <w:pgSz w:w="11906" w:h="16838"/>
      <w:pgMar w:top="1418" w:right="1094" w:bottom="1418" w:left="567" w:header="709" w:footer="709" w:gutter="0"/>
      <w:cols w:num="2" w:space="60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67F38" w:rsidRDefault="00167F38" w:rsidP="00EA4E1B">
      <w:pPr>
        <w:spacing w:after="0" w:line="240" w:lineRule="auto"/>
      </w:pPr>
      <w:r>
        <w:separator/>
      </w:r>
    </w:p>
  </w:endnote>
  <w:endnote w:type="continuationSeparator" w:id="0">
    <w:p w:rsidR="00167F38" w:rsidRDefault="00167F38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67F38" w:rsidRDefault="00167F38" w:rsidP="00EA4E1B">
      <w:pPr>
        <w:spacing w:after="0" w:line="240" w:lineRule="auto"/>
      </w:pPr>
      <w:r>
        <w:separator/>
      </w:r>
    </w:p>
  </w:footnote>
  <w:footnote w:type="continuationSeparator" w:id="0">
    <w:p w:rsidR="00167F38" w:rsidRDefault="00167F38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4E1B" w:rsidRDefault="00AF0400" w:rsidP="00EA4E1B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524000" cy="104932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>
          <wp:extent cx="1676400" cy="633018"/>
          <wp:effectExtent l="0" t="0" r="0" b="0"/>
          <wp:docPr id="9" name="Imagem 9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202" cy="6435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E21B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54811406">
    <w:abstractNumId w:val="1"/>
  </w:num>
  <w:num w:numId="2" w16cid:durableId="958533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043A6"/>
    <w:rsid w:val="0001264A"/>
    <w:rsid w:val="00017431"/>
    <w:rsid w:val="00032A21"/>
    <w:rsid w:val="00053511"/>
    <w:rsid w:val="00061A72"/>
    <w:rsid w:val="000D5306"/>
    <w:rsid w:val="000E0DB3"/>
    <w:rsid w:val="000F1D24"/>
    <w:rsid w:val="00106A86"/>
    <w:rsid w:val="00112125"/>
    <w:rsid w:val="00125C25"/>
    <w:rsid w:val="00127B6B"/>
    <w:rsid w:val="00142083"/>
    <w:rsid w:val="001661E5"/>
    <w:rsid w:val="00167F38"/>
    <w:rsid w:val="00175BFC"/>
    <w:rsid w:val="00190C6A"/>
    <w:rsid w:val="001972DF"/>
    <w:rsid w:val="001A01BD"/>
    <w:rsid w:val="001B46DB"/>
    <w:rsid w:val="001E58A9"/>
    <w:rsid w:val="001F0083"/>
    <w:rsid w:val="001F25B2"/>
    <w:rsid w:val="002064B3"/>
    <w:rsid w:val="00222230"/>
    <w:rsid w:val="00225E7E"/>
    <w:rsid w:val="00233865"/>
    <w:rsid w:val="00240542"/>
    <w:rsid w:val="002506E0"/>
    <w:rsid w:val="002544BD"/>
    <w:rsid w:val="002602F3"/>
    <w:rsid w:val="0026251E"/>
    <w:rsid w:val="00267EF7"/>
    <w:rsid w:val="00272F5E"/>
    <w:rsid w:val="0028254C"/>
    <w:rsid w:val="0028314A"/>
    <w:rsid w:val="002A67B9"/>
    <w:rsid w:val="002B5EEB"/>
    <w:rsid w:val="002B75F0"/>
    <w:rsid w:val="002C32C4"/>
    <w:rsid w:val="002E1AD6"/>
    <w:rsid w:val="002F0E51"/>
    <w:rsid w:val="002F1DCD"/>
    <w:rsid w:val="002F4587"/>
    <w:rsid w:val="002F4DD4"/>
    <w:rsid w:val="002F6435"/>
    <w:rsid w:val="003174C4"/>
    <w:rsid w:val="00331FA3"/>
    <w:rsid w:val="00336025"/>
    <w:rsid w:val="00340B1E"/>
    <w:rsid w:val="0038470F"/>
    <w:rsid w:val="003879AB"/>
    <w:rsid w:val="003A1414"/>
    <w:rsid w:val="003A7B03"/>
    <w:rsid w:val="003C0BF3"/>
    <w:rsid w:val="003C18EF"/>
    <w:rsid w:val="003D2CB9"/>
    <w:rsid w:val="003E4FAD"/>
    <w:rsid w:val="003F0A8C"/>
    <w:rsid w:val="00401901"/>
    <w:rsid w:val="00402F3E"/>
    <w:rsid w:val="00411C63"/>
    <w:rsid w:val="004177C6"/>
    <w:rsid w:val="004250B2"/>
    <w:rsid w:val="004254FC"/>
    <w:rsid w:val="00446392"/>
    <w:rsid w:val="00462442"/>
    <w:rsid w:val="00481A7D"/>
    <w:rsid w:val="00491956"/>
    <w:rsid w:val="004925F5"/>
    <w:rsid w:val="004A4646"/>
    <w:rsid w:val="004B0977"/>
    <w:rsid w:val="004B0D13"/>
    <w:rsid w:val="004B1B63"/>
    <w:rsid w:val="004F3F42"/>
    <w:rsid w:val="00504B0A"/>
    <w:rsid w:val="00506245"/>
    <w:rsid w:val="005178CD"/>
    <w:rsid w:val="0052112E"/>
    <w:rsid w:val="00522C8E"/>
    <w:rsid w:val="0053169B"/>
    <w:rsid w:val="0054380D"/>
    <w:rsid w:val="00553CF0"/>
    <w:rsid w:val="00555E07"/>
    <w:rsid w:val="005618EB"/>
    <w:rsid w:val="00567307"/>
    <w:rsid w:val="005807BF"/>
    <w:rsid w:val="00582071"/>
    <w:rsid w:val="005868A6"/>
    <w:rsid w:val="005935EC"/>
    <w:rsid w:val="0059680B"/>
    <w:rsid w:val="005C2775"/>
    <w:rsid w:val="005D6249"/>
    <w:rsid w:val="005D65EB"/>
    <w:rsid w:val="00603178"/>
    <w:rsid w:val="00604718"/>
    <w:rsid w:val="006056A2"/>
    <w:rsid w:val="00617831"/>
    <w:rsid w:val="00635655"/>
    <w:rsid w:val="006408D4"/>
    <w:rsid w:val="00652815"/>
    <w:rsid w:val="00671D42"/>
    <w:rsid w:val="006C3654"/>
    <w:rsid w:val="006F599B"/>
    <w:rsid w:val="007104C2"/>
    <w:rsid w:val="00710802"/>
    <w:rsid w:val="007175B4"/>
    <w:rsid w:val="00731247"/>
    <w:rsid w:val="00741481"/>
    <w:rsid w:val="00757AE7"/>
    <w:rsid w:val="007670A0"/>
    <w:rsid w:val="007752C6"/>
    <w:rsid w:val="00781685"/>
    <w:rsid w:val="007826FE"/>
    <w:rsid w:val="00782D3B"/>
    <w:rsid w:val="0079029F"/>
    <w:rsid w:val="007A0DF6"/>
    <w:rsid w:val="007A724B"/>
    <w:rsid w:val="007B4B2B"/>
    <w:rsid w:val="007D0C2B"/>
    <w:rsid w:val="007D1F5A"/>
    <w:rsid w:val="007E5B12"/>
    <w:rsid w:val="008059FC"/>
    <w:rsid w:val="00810FFA"/>
    <w:rsid w:val="00815985"/>
    <w:rsid w:val="00820C97"/>
    <w:rsid w:val="00826C94"/>
    <w:rsid w:val="008440B7"/>
    <w:rsid w:val="008471F4"/>
    <w:rsid w:val="00866822"/>
    <w:rsid w:val="00876E89"/>
    <w:rsid w:val="008840BC"/>
    <w:rsid w:val="008914D5"/>
    <w:rsid w:val="008961D9"/>
    <w:rsid w:val="0089789E"/>
    <w:rsid w:val="008A0121"/>
    <w:rsid w:val="008A3405"/>
    <w:rsid w:val="008B1683"/>
    <w:rsid w:val="008B790E"/>
    <w:rsid w:val="008C1B30"/>
    <w:rsid w:val="008C20D0"/>
    <w:rsid w:val="008E544C"/>
    <w:rsid w:val="008F0CF1"/>
    <w:rsid w:val="008F29AE"/>
    <w:rsid w:val="00912182"/>
    <w:rsid w:val="00954FFB"/>
    <w:rsid w:val="00960726"/>
    <w:rsid w:val="0096350A"/>
    <w:rsid w:val="009656D9"/>
    <w:rsid w:val="009670AA"/>
    <w:rsid w:val="00986D5D"/>
    <w:rsid w:val="009A33EB"/>
    <w:rsid w:val="009B1F27"/>
    <w:rsid w:val="009B346A"/>
    <w:rsid w:val="009B6A48"/>
    <w:rsid w:val="009C7CB0"/>
    <w:rsid w:val="009D16F3"/>
    <w:rsid w:val="009D18BC"/>
    <w:rsid w:val="009D2C37"/>
    <w:rsid w:val="00A17D85"/>
    <w:rsid w:val="00A35065"/>
    <w:rsid w:val="00A4073B"/>
    <w:rsid w:val="00A4145A"/>
    <w:rsid w:val="00A476A2"/>
    <w:rsid w:val="00A63F17"/>
    <w:rsid w:val="00A87CE8"/>
    <w:rsid w:val="00A933C8"/>
    <w:rsid w:val="00AA182E"/>
    <w:rsid w:val="00AB743A"/>
    <w:rsid w:val="00AC5664"/>
    <w:rsid w:val="00AD4D86"/>
    <w:rsid w:val="00AE71DB"/>
    <w:rsid w:val="00AE7E27"/>
    <w:rsid w:val="00AF0400"/>
    <w:rsid w:val="00AF0A04"/>
    <w:rsid w:val="00B06EB1"/>
    <w:rsid w:val="00B14433"/>
    <w:rsid w:val="00B171D2"/>
    <w:rsid w:val="00B30AEB"/>
    <w:rsid w:val="00B506C0"/>
    <w:rsid w:val="00BA6A6E"/>
    <w:rsid w:val="00BB6D09"/>
    <w:rsid w:val="00BB7F78"/>
    <w:rsid w:val="00BC193E"/>
    <w:rsid w:val="00BC6813"/>
    <w:rsid w:val="00BD6361"/>
    <w:rsid w:val="00BE5DB2"/>
    <w:rsid w:val="00BF161D"/>
    <w:rsid w:val="00C02387"/>
    <w:rsid w:val="00C0289F"/>
    <w:rsid w:val="00C121AD"/>
    <w:rsid w:val="00C22747"/>
    <w:rsid w:val="00C40BCA"/>
    <w:rsid w:val="00C47E3E"/>
    <w:rsid w:val="00C76E54"/>
    <w:rsid w:val="00C80294"/>
    <w:rsid w:val="00C834D8"/>
    <w:rsid w:val="00C84508"/>
    <w:rsid w:val="00C93A23"/>
    <w:rsid w:val="00C953EC"/>
    <w:rsid w:val="00CA41E7"/>
    <w:rsid w:val="00CA43AB"/>
    <w:rsid w:val="00CB4730"/>
    <w:rsid w:val="00CB4A55"/>
    <w:rsid w:val="00D12EB1"/>
    <w:rsid w:val="00D13BA9"/>
    <w:rsid w:val="00D15F93"/>
    <w:rsid w:val="00D20B71"/>
    <w:rsid w:val="00D20C3A"/>
    <w:rsid w:val="00D308D7"/>
    <w:rsid w:val="00D33BE4"/>
    <w:rsid w:val="00D54CA1"/>
    <w:rsid w:val="00D7094B"/>
    <w:rsid w:val="00D80137"/>
    <w:rsid w:val="00D83597"/>
    <w:rsid w:val="00D941C0"/>
    <w:rsid w:val="00D96135"/>
    <w:rsid w:val="00DA168F"/>
    <w:rsid w:val="00DB2228"/>
    <w:rsid w:val="00DB297D"/>
    <w:rsid w:val="00DE4534"/>
    <w:rsid w:val="00DF5B55"/>
    <w:rsid w:val="00E02A21"/>
    <w:rsid w:val="00E038AF"/>
    <w:rsid w:val="00E06140"/>
    <w:rsid w:val="00E20F1D"/>
    <w:rsid w:val="00E35216"/>
    <w:rsid w:val="00E36B5E"/>
    <w:rsid w:val="00E54266"/>
    <w:rsid w:val="00E57207"/>
    <w:rsid w:val="00E718C8"/>
    <w:rsid w:val="00E84BE8"/>
    <w:rsid w:val="00E90BA2"/>
    <w:rsid w:val="00E95D32"/>
    <w:rsid w:val="00EA4068"/>
    <w:rsid w:val="00EA4E1B"/>
    <w:rsid w:val="00EA5557"/>
    <w:rsid w:val="00EA79A4"/>
    <w:rsid w:val="00EB0030"/>
    <w:rsid w:val="00ED54A6"/>
    <w:rsid w:val="00EE4D67"/>
    <w:rsid w:val="00EE76C7"/>
    <w:rsid w:val="00EF1BBC"/>
    <w:rsid w:val="00EF4FAE"/>
    <w:rsid w:val="00F30661"/>
    <w:rsid w:val="00F370EF"/>
    <w:rsid w:val="00F37B33"/>
    <w:rsid w:val="00F44B6F"/>
    <w:rsid w:val="00F603C5"/>
    <w:rsid w:val="00F77905"/>
    <w:rsid w:val="00F917DA"/>
    <w:rsid w:val="00FA3992"/>
    <w:rsid w:val="00FB2153"/>
    <w:rsid w:val="00FC3724"/>
    <w:rsid w:val="00FE221C"/>
    <w:rsid w:val="00FE3891"/>
    <w:rsid w:val="00FE3F54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E1F95"/>
  <w15:docId w15:val="{01FC5575-3B03-475C-87D0-4E218BC1E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link w:val="TAMainTextChar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qFormat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qFormat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character" w:styleId="Hyperlink">
    <w:name w:val="Hyperlink"/>
    <w:basedOn w:val="Fontepargpadro"/>
    <w:uiPriority w:val="99"/>
    <w:unhideWhenUsed/>
    <w:rsid w:val="00826C94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26C94"/>
    <w:rPr>
      <w:color w:val="605E5C"/>
      <w:shd w:val="clear" w:color="auto" w:fill="E1DFDD"/>
    </w:rPr>
  </w:style>
  <w:style w:type="character" w:customStyle="1" w:styleId="Caracteresdenotadefim">
    <w:name w:val="Caracteres de nota de fim"/>
    <w:qFormat/>
    <w:rsid w:val="005618EB"/>
  </w:style>
  <w:style w:type="table" w:styleId="Tabelacomgrade">
    <w:name w:val="Table Grid"/>
    <w:basedOn w:val="Tabelanormal"/>
    <w:uiPriority w:val="39"/>
    <w:rsid w:val="00127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B506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506C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506C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506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506C0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E718C8"/>
    <w:pPr>
      <w:spacing w:after="0" w:line="240" w:lineRule="auto"/>
    </w:pPr>
  </w:style>
  <w:style w:type="character" w:customStyle="1" w:styleId="TAMainTextChar">
    <w:name w:val="TA_Main_Text Char"/>
    <w:link w:val="TAMainText"/>
    <w:locked/>
    <w:rsid w:val="00C40BCA"/>
    <w:rPr>
      <w:rFonts w:ascii="Times" w:eastAsia="Times New Roman" w:hAnsi="Times" w:cs="Times New Roman"/>
      <w:sz w:val="20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8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lucia.appel@int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cis.com/explore/commodities/chemicals/acetic-acid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4F48F-2BCC-456D-9986-36EC318DF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5</Pages>
  <Words>3617</Words>
  <Characters>19533</Characters>
  <Application>Microsoft Office Word</Application>
  <DocSecurity>0</DocSecurity>
  <Lines>162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Luciano Honorato Chagas</cp:lastModifiedBy>
  <cp:revision>6</cp:revision>
  <dcterms:created xsi:type="dcterms:W3CDTF">2023-06-15T15:14:00Z</dcterms:created>
  <dcterms:modified xsi:type="dcterms:W3CDTF">2023-06-15T19:14:00Z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</Properties>
</file>