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Pr="006A7278" w:rsidRDefault="00866822" w:rsidP="00EA4E1B">
      <w:pPr>
        <w:pStyle w:val="BATitle"/>
        <w:spacing w:before="0" w:after="0" w:line="240" w:lineRule="auto"/>
        <w:ind w:right="0"/>
        <w:jc w:val="both"/>
        <w:rPr>
          <w:sz w:val="32"/>
        </w:rPr>
      </w:pPr>
      <w:bookmarkStart w:id="0" w:name="_Hlk1324517"/>
      <w:bookmarkStart w:id="1" w:name="_Hlk1324670"/>
      <w:r w:rsidRPr="006A7278">
        <w:rPr>
          <w:noProof/>
          <w:sz w:val="32"/>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217ECB42" w:rsidR="00EA4E1B" w:rsidRPr="006A7278" w:rsidRDefault="00622066" w:rsidP="00EA4E1B">
      <w:pPr>
        <w:pStyle w:val="BATitle"/>
        <w:spacing w:before="0" w:after="0" w:line="240" w:lineRule="auto"/>
        <w:ind w:right="0"/>
        <w:jc w:val="both"/>
        <w:rPr>
          <w:sz w:val="32"/>
        </w:rPr>
      </w:pPr>
      <w:r w:rsidRPr="006A7278">
        <w:rPr>
          <w:sz w:val="32"/>
        </w:rPr>
        <w:t xml:space="preserve">Conversion of Monosaccharides into </w:t>
      </w:r>
      <w:r w:rsidR="00AA772D" w:rsidRPr="006A7278">
        <w:rPr>
          <w:sz w:val="32"/>
        </w:rPr>
        <w:t>5-Hydroxymethylfurfural</w:t>
      </w:r>
      <w:r w:rsidRPr="006A7278">
        <w:rPr>
          <w:sz w:val="32"/>
        </w:rPr>
        <w:t xml:space="preserve"> and Furfural Using </w:t>
      </w:r>
      <w:r w:rsidR="004932AB" w:rsidRPr="006A7278">
        <w:rPr>
          <w:sz w:val="32"/>
        </w:rPr>
        <w:t>Acid</w:t>
      </w:r>
      <w:r w:rsidR="00B46834" w:rsidRPr="006A7278">
        <w:rPr>
          <w:sz w:val="32"/>
        </w:rPr>
        <w:t>ic</w:t>
      </w:r>
      <w:r w:rsidR="000F6DEB" w:rsidRPr="006A7278">
        <w:rPr>
          <w:sz w:val="32"/>
        </w:rPr>
        <w:t xml:space="preserve"> Templated Mesoporous Carbons</w:t>
      </w:r>
    </w:p>
    <w:p w14:paraId="18735493" w14:textId="04B80F55" w:rsidR="00EA4E1B" w:rsidRPr="006A7278" w:rsidRDefault="000F6DEB" w:rsidP="00EA4E1B">
      <w:pPr>
        <w:pStyle w:val="BBAuthorName"/>
        <w:spacing w:after="120"/>
        <w:ind w:right="0"/>
        <w:jc w:val="both"/>
        <w:rPr>
          <w:rFonts w:ascii="Times New Roman" w:hAnsi="Times New Roman"/>
          <w:sz w:val="20"/>
          <w:lang w:val="pt-BR"/>
        </w:rPr>
      </w:pPr>
      <w:r w:rsidRPr="006A7278">
        <w:rPr>
          <w:rFonts w:ascii="Times New Roman" w:hAnsi="Times New Roman"/>
          <w:sz w:val="20"/>
          <w:lang w:val="pt-BR"/>
        </w:rPr>
        <w:t>José Lucas Vieira</w:t>
      </w:r>
      <w:r w:rsidR="00EA4E1B" w:rsidRPr="006A7278">
        <w:rPr>
          <w:rFonts w:ascii="Times New Roman" w:hAnsi="Times New Roman"/>
          <w:sz w:val="20"/>
          <w:vertAlign w:val="superscript"/>
          <w:lang w:val="pt-BR"/>
        </w:rPr>
        <w:t>1</w:t>
      </w:r>
      <w:r w:rsidRPr="006A7278">
        <w:rPr>
          <w:rFonts w:ascii="Times New Roman" w:hAnsi="Times New Roman"/>
          <w:sz w:val="20"/>
          <w:lang w:val="pt-BR"/>
        </w:rPr>
        <w:t>, Jean Marcel R. Gallo</w:t>
      </w:r>
      <w:proofErr w:type="gramStart"/>
      <w:r w:rsidRPr="006A7278">
        <w:rPr>
          <w:rFonts w:ascii="Times New Roman" w:hAnsi="Times New Roman"/>
          <w:sz w:val="20"/>
          <w:vertAlign w:val="superscript"/>
          <w:lang w:val="pt-BR"/>
        </w:rPr>
        <w:t>1,*</w:t>
      </w:r>
      <w:proofErr w:type="gramEnd"/>
    </w:p>
    <w:p w14:paraId="22D38595" w14:textId="668F7CB2" w:rsidR="00EA4E1B" w:rsidRPr="006A7278" w:rsidRDefault="00EA4E1B" w:rsidP="006115DA">
      <w:pPr>
        <w:pStyle w:val="BCAuthorAddress"/>
        <w:spacing w:after="0"/>
        <w:ind w:right="0"/>
      </w:pPr>
      <w:r w:rsidRPr="006A7278">
        <w:rPr>
          <w:vertAlign w:val="superscript"/>
        </w:rPr>
        <w:t>1</w:t>
      </w:r>
      <w:r w:rsidR="00D23389" w:rsidRPr="006A7278">
        <w:t>Federal University of São</w:t>
      </w:r>
      <w:r w:rsidR="002657EB" w:rsidRPr="006A7278">
        <w:t xml:space="preserve"> </w:t>
      </w:r>
      <w:r w:rsidR="00D23389" w:rsidRPr="006A7278">
        <w:t>Carlos</w:t>
      </w:r>
      <w:r w:rsidR="00B46834" w:rsidRPr="006A7278">
        <w:t xml:space="preserve"> (UFSCar)</w:t>
      </w:r>
      <w:r w:rsidR="000F6DEB" w:rsidRPr="006A7278">
        <w:t xml:space="preserve">, </w:t>
      </w:r>
      <w:r w:rsidR="002657EB" w:rsidRPr="006A7278">
        <w:t>Department of Chemistry</w:t>
      </w:r>
      <w:r w:rsidR="00D23389" w:rsidRPr="006A7278">
        <w:t xml:space="preserve">, </w:t>
      </w:r>
      <w:r w:rsidR="000F6DEB" w:rsidRPr="006A7278">
        <w:t>CEP 13565-905, São Carlos-SP</w:t>
      </w:r>
      <w:r w:rsidR="000F6DEB" w:rsidRPr="006A7278">
        <w:br/>
      </w:r>
      <w:hyperlink r:id="rId8" w:history="1">
        <w:r w:rsidR="00584E63" w:rsidRPr="006A7278">
          <w:rPr>
            <w:rStyle w:val="Hyperlink"/>
            <w:vertAlign w:val="superscript"/>
          </w:rPr>
          <w:t>*</w:t>
        </w:r>
        <w:r w:rsidR="00584E63" w:rsidRPr="006A7278">
          <w:rPr>
            <w:rStyle w:val="Hyperlink"/>
          </w:rPr>
          <w:t>jean@ufscar.br</w:t>
        </w:r>
      </w:hyperlink>
    </w:p>
    <w:bookmarkEnd w:id="0"/>
    <w:p w14:paraId="238E7EC1" w14:textId="5D4AB3B8" w:rsidR="00AF0400" w:rsidRPr="006A7278" w:rsidRDefault="00AF0400" w:rsidP="00EA4E1B">
      <w:pPr>
        <w:pStyle w:val="BDAbstract"/>
        <w:spacing w:before="0" w:after="0" w:line="240" w:lineRule="auto"/>
        <w:rPr>
          <w:rFonts w:ascii="Times New Roman" w:hAnsi="Times New Roman"/>
          <w:b w:val="0"/>
          <w:sz w:val="20"/>
        </w:rPr>
      </w:pPr>
      <w:r w:rsidRPr="006A7278">
        <w:rPr>
          <w:noProof/>
          <w:sz w:val="32"/>
        </w:rPr>
        <mc:AlternateContent>
          <mc:Choice Requires="wps">
            <w:drawing>
              <wp:anchor distT="0" distB="0" distL="114300" distR="114300" simplePos="0" relativeHeight="251658239" behindDoc="0" locked="0" layoutInCell="1" allowOverlap="1" wp14:anchorId="7596F111" wp14:editId="18486331">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0D750C" w14:textId="510EB765" w:rsidR="00952B5E" w:rsidRPr="00B46834" w:rsidRDefault="00952B5E" w:rsidP="00952B5E">
                            <w:pPr>
                              <w:pStyle w:val="BDAbstract"/>
                              <w:spacing w:before="0" w:after="0" w:line="240" w:lineRule="auto"/>
                              <w:jc w:val="center"/>
                              <w:rPr>
                                <w:rFonts w:cs="Helvetica"/>
                                <w:bCs/>
                                <w:sz w:val="20"/>
                                <w:lang w:val="pt-BR"/>
                                <w14:textOutline w14:w="9525" w14:cap="rnd" w14:cmpd="sng" w14:algn="ctr">
                                  <w14:solidFill>
                                    <w14:srgbClr w14:val="000000"/>
                                  </w14:solidFill>
                                  <w14:prstDash w14:val="solid"/>
                                  <w14:bevel/>
                                </w14:textOutline>
                              </w:rPr>
                            </w:pPr>
                            <w:r w:rsidRPr="00B46834">
                              <w:rPr>
                                <w:rFonts w:cs="Helvetica"/>
                                <w:bCs/>
                                <w:sz w:val="20"/>
                                <w:highlight w:val="lightGray"/>
                                <w:lang w:val="pt-BR"/>
                                <w14:textOutline w14:w="9525" w14:cap="rnd" w14:cmpd="sng" w14:algn="ctr">
                                  <w14:solidFill>
                                    <w14:srgbClr w14:val="000000"/>
                                  </w14:solidFill>
                                  <w14:prstDash w14:val="solid"/>
                                  <w14:bevel/>
                                </w14:textOutline>
                              </w:rPr>
                              <w:t xml:space="preserve">Resumo/Abstract </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740D750C" w14:textId="510EB765" w:rsidR="00952B5E" w:rsidRPr="00B46834" w:rsidRDefault="00952B5E" w:rsidP="00952B5E">
                      <w:pPr>
                        <w:pStyle w:val="BDAbstract"/>
                        <w:spacing w:before="0" w:after="0" w:line="240" w:lineRule="auto"/>
                        <w:jc w:val="center"/>
                        <w:rPr>
                          <w:rFonts w:cs="Helvetica"/>
                          <w:bCs/>
                          <w:sz w:val="20"/>
                          <w:lang w:val="pt-BR"/>
                          <w14:textOutline w14:w="9525" w14:cap="rnd" w14:cmpd="sng" w14:algn="ctr">
                            <w14:solidFill>
                              <w14:srgbClr w14:val="000000"/>
                            </w14:solidFill>
                            <w14:prstDash w14:val="solid"/>
                            <w14:bevel/>
                          </w14:textOutline>
                        </w:rPr>
                      </w:pPr>
                      <w:r w:rsidRPr="00B46834">
                        <w:rPr>
                          <w:rFonts w:cs="Helvetica"/>
                          <w:bCs/>
                          <w:sz w:val="20"/>
                          <w:highlight w:val="lightGray"/>
                          <w:lang w:val="pt-BR"/>
                          <w14:textOutline w14:w="9525" w14:cap="rnd" w14:cmpd="sng" w14:algn="ctr">
                            <w14:solidFill>
                              <w14:srgbClr w14:val="000000"/>
                            </w14:solidFill>
                            <w14:prstDash w14:val="solid"/>
                            <w14:bevel/>
                          </w14:textOutline>
                        </w:rPr>
                        <w:t xml:space="preserve">Resumo/Abstract </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Pr="006A7278" w:rsidRDefault="00AF0400" w:rsidP="00EA4E1B">
      <w:pPr>
        <w:pStyle w:val="BDAbstract"/>
        <w:spacing w:before="0" w:after="0" w:line="240" w:lineRule="auto"/>
        <w:rPr>
          <w:rFonts w:ascii="Times New Roman" w:hAnsi="Times New Roman"/>
          <w:b w:val="0"/>
          <w:sz w:val="20"/>
        </w:rPr>
      </w:pPr>
    </w:p>
    <w:p w14:paraId="09B41B70" w14:textId="52DA13E0" w:rsidR="00EA4E1B" w:rsidRPr="006A7278" w:rsidRDefault="00EA4E1B" w:rsidP="00EA4E1B">
      <w:pPr>
        <w:pStyle w:val="BDAbstract"/>
        <w:spacing w:before="0" w:after="0" w:line="240" w:lineRule="auto"/>
        <w:rPr>
          <w:rFonts w:ascii="Times New Roman" w:hAnsi="Times New Roman"/>
          <w:b w:val="0"/>
          <w:sz w:val="20"/>
          <w:lang w:val="pt-BR"/>
        </w:rPr>
      </w:pPr>
      <w:r w:rsidRPr="006A7278">
        <w:rPr>
          <w:rFonts w:ascii="Times New Roman" w:hAnsi="Times New Roman"/>
          <w:b w:val="0"/>
          <w:sz w:val="20"/>
          <w:lang w:val="pt-BR"/>
        </w:rPr>
        <w:t xml:space="preserve">RESUMO </w:t>
      </w:r>
      <w:r w:rsidR="00272D5B" w:rsidRPr="006A7278">
        <w:rPr>
          <w:rFonts w:ascii="Times New Roman" w:hAnsi="Times New Roman"/>
          <w:b w:val="0"/>
          <w:sz w:val="20"/>
          <w:lang w:val="pt-BR"/>
        </w:rPr>
        <w:t>–</w:t>
      </w:r>
      <w:r w:rsidR="00B76B4A" w:rsidRPr="006A7278">
        <w:rPr>
          <w:rFonts w:ascii="Times New Roman" w:hAnsi="Times New Roman"/>
          <w:b w:val="0"/>
          <w:sz w:val="20"/>
          <w:lang w:val="pt-BR"/>
        </w:rPr>
        <w:t xml:space="preserve"> </w:t>
      </w:r>
      <w:r w:rsidR="00272D5B" w:rsidRPr="006A7278">
        <w:rPr>
          <w:rFonts w:ascii="Times New Roman" w:hAnsi="Times New Roman"/>
          <w:b w:val="0"/>
          <w:sz w:val="20"/>
          <w:lang w:val="pt-BR"/>
        </w:rPr>
        <w:t xml:space="preserve">As moléculas plataforma </w:t>
      </w:r>
      <w:r w:rsidR="00B76B4A" w:rsidRPr="006A7278">
        <w:rPr>
          <w:rFonts w:ascii="Times New Roman" w:hAnsi="Times New Roman"/>
          <w:b w:val="0"/>
          <w:sz w:val="20"/>
          <w:lang w:val="pt-BR"/>
        </w:rPr>
        <w:t>5-hidroximetilfurfural (HMF) e furfural podem ser obtid</w:t>
      </w:r>
      <w:r w:rsidR="0075025F" w:rsidRPr="006A7278">
        <w:rPr>
          <w:rFonts w:ascii="Times New Roman" w:hAnsi="Times New Roman"/>
          <w:b w:val="0"/>
          <w:sz w:val="20"/>
          <w:lang w:val="pt-BR"/>
        </w:rPr>
        <w:t>a</w:t>
      </w:r>
      <w:r w:rsidR="00B76B4A" w:rsidRPr="006A7278">
        <w:rPr>
          <w:rFonts w:ascii="Times New Roman" w:hAnsi="Times New Roman"/>
          <w:b w:val="0"/>
          <w:sz w:val="20"/>
          <w:lang w:val="pt-BR"/>
        </w:rPr>
        <w:t xml:space="preserve">s pela desidratação da frutose e xilose, respectivamente, em catálise ácida de Brønsted. Preparamos 10 Carbonos Mesoporosos Modelados de Brønsted para essas reações. As caracterizações mostraram que eles apresentam 2 diferentes grupos de sítios ácidos, assim como as Amberlysts 45 e 15, sendo os mais fortes relacionados a espécies de ácido sulfônico ou fenilssulfônico. Um </w:t>
      </w:r>
      <w:r w:rsidR="00B76B4A" w:rsidRPr="006A7278">
        <w:rPr>
          <w:rFonts w:ascii="Times New Roman" w:hAnsi="Times New Roman"/>
          <w:b w:val="0"/>
          <w:i/>
          <w:iCs/>
          <w:sz w:val="20"/>
          <w:lang w:val="pt-BR"/>
        </w:rPr>
        <w:t xml:space="preserve">volcano </w:t>
      </w:r>
      <w:proofErr w:type="spellStart"/>
      <w:r w:rsidR="00B76B4A" w:rsidRPr="006A7278">
        <w:rPr>
          <w:rFonts w:ascii="Times New Roman" w:hAnsi="Times New Roman"/>
          <w:b w:val="0"/>
          <w:i/>
          <w:iCs/>
          <w:sz w:val="20"/>
          <w:lang w:val="pt-BR"/>
        </w:rPr>
        <w:t>plot</w:t>
      </w:r>
      <w:proofErr w:type="spellEnd"/>
      <w:r w:rsidR="00B76B4A" w:rsidRPr="006A7278">
        <w:rPr>
          <w:rFonts w:ascii="Times New Roman" w:hAnsi="Times New Roman"/>
          <w:b w:val="0"/>
          <w:sz w:val="20"/>
          <w:lang w:val="pt-BR"/>
        </w:rPr>
        <w:t xml:space="preserve"> foi encontrado na correlação de </w:t>
      </w:r>
      <w:proofErr w:type="spellStart"/>
      <w:r w:rsidR="00B76B4A" w:rsidRPr="006A7278">
        <w:rPr>
          <w:rFonts w:ascii="Times New Roman" w:hAnsi="Times New Roman"/>
          <w:b w:val="0"/>
          <w:sz w:val="20"/>
          <w:lang w:val="pt-BR"/>
        </w:rPr>
        <w:t>TON</w:t>
      </w:r>
      <w:r w:rsidR="00B76B4A" w:rsidRPr="006A7278">
        <w:rPr>
          <w:rFonts w:ascii="Times New Roman" w:hAnsi="Times New Roman"/>
          <w:b w:val="0"/>
          <w:sz w:val="20"/>
          <w:vertAlign w:val="subscript"/>
          <w:lang w:val="pt-BR"/>
        </w:rPr>
        <w:t>Plataforma</w:t>
      </w:r>
      <w:proofErr w:type="spellEnd"/>
      <w:r w:rsidR="00B76B4A" w:rsidRPr="006A7278">
        <w:rPr>
          <w:rFonts w:ascii="Times New Roman" w:hAnsi="Times New Roman"/>
          <w:b w:val="0"/>
          <w:sz w:val="20"/>
          <w:lang w:val="pt-BR"/>
        </w:rPr>
        <w:t xml:space="preserve"> com porcentagem de sítios mais fortes, indicando que o maior </w:t>
      </w:r>
      <w:proofErr w:type="spellStart"/>
      <w:r w:rsidR="00B76B4A" w:rsidRPr="006A7278">
        <w:rPr>
          <w:rFonts w:ascii="Times New Roman" w:hAnsi="Times New Roman"/>
          <w:b w:val="0"/>
          <w:sz w:val="20"/>
          <w:lang w:val="pt-BR"/>
        </w:rPr>
        <w:t>TON</w:t>
      </w:r>
      <w:r w:rsidR="00B76B4A" w:rsidRPr="006A7278">
        <w:rPr>
          <w:rFonts w:ascii="Times New Roman" w:hAnsi="Times New Roman"/>
          <w:b w:val="0"/>
          <w:sz w:val="20"/>
          <w:vertAlign w:val="subscript"/>
          <w:lang w:val="pt-BR"/>
        </w:rPr>
        <w:t>Plataforma</w:t>
      </w:r>
      <w:proofErr w:type="spellEnd"/>
      <w:r w:rsidR="00B76B4A" w:rsidRPr="006A7278">
        <w:rPr>
          <w:rFonts w:ascii="Times New Roman" w:hAnsi="Times New Roman"/>
          <w:b w:val="0"/>
          <w:sz w:val="20"/>
          <w:lang w:val="pt-BR"/>
        </w:rPr>
        <w:t xml:space="preserve"> ocorre na faixa de 70-80</w:t>
      </w:r>
      <w:r w:rsidR="00272D5B" w:rsidRPr="006A7278">
        <w:rPr>
          <w:rFonts w:ascii="Times New Roman" w:hAnsi="Times New Roman"/>
          <w:b w:val="0"/>
          <w:sz w:val="20"/>
          <w:lang w:val="pt-BR"/>
        </w:rPr>
        <w:t xml:space="preserve"> </w:t>
      </w:r>
      <w:r w:rsidR="00B76B4A" w:rsidRPr="006A7278">
        <w:rPr>
          <w:rFonts w:ascii="Times New Roman" w:hAnsi="Times New Roman"/>
          <w:b w:val="0"/>
          <w:sz w:val="20"/>
          <w:lang w:val="pt-BR"/>
        </w:rPr>
        <w:t>% de sítios mais fortes, pertencentes aos catalisadores CMK-3-PSA, CMK-5- PSA, CMK-8-PSA e S-CMK-8-PSA. Na segunda parte deste trabalho, Carbonos Mesoporosos Mo</w:t>
      </w:r>
      <w:r w:rsidR="00272D5B" w:rsidRPr="006A7278">
        <w:rPr>
          <w:rFonts w:ascii="Times New Roman" w:hAnsi="Times New Roman"/>
          <w:b w:val="0"/>
          <w:sz w:val="20"/>
          <w:lang w:val="pt-BR"/>
        </w:rPr>
        <w:t>delados</w:t>
      </w:r>
      <w:r w:rsidR="00B76B4A" w:rsidRPr="006A7278">
        <w:rPr>
          <w:rFonts w:ascii="Times New Roman" w:hAnsi="Times New Roman"/>
          <w:b w:val="0"/>
          <w:sz w:val="20"/>
          <w:lang w:val="pt-BR"/>
        </w:rPr>
        <w:t xml:space="preserve"> Bifuncionais foram preparados pela troca iônica parcial do CMK-8-PSA e Amb-45 com </w:t>
      </w:r>
      <w:proofErr w:type="gramStart"/>
      <w:r w:rsidR="00B76B4A" w:rsidRPr="006A7278">
        <w:rPr>
          <w:rFonts w:ascii="Times New Roman" w:hAnsi="Times New Roman"/>
          <w:b w:val="0"/>
          <w:sz w:val="20"/>
          <w:lang w:val="pt-BR"/>
        </w:rPr>
        <w:t>Al(</w:t>
      </w:r>
      <w:proofErr w:type="gramEnd"/>
      <w:r w:rsidR="00B76B4A" w:rsidRPr="006A7278">
        <w:rPr>
          <w:rFonts w:ascii="Times New Roman" w:hAnsi="Times New Roman"/>
          <w:b w:val="0"/>
          <w:sz w:val="20"/>
          <w:lang w:val="pt-BR"/>
        </w:rPr>
        <w:t xml:space="preserve">III), </w:t>
      </w:r>
      <w:proofErr w:type="spellStart"/>
      <w:r w:rsidR="00B76B4A" w:rsidRPr="006A7278">
        <w:rPr>
          <w:rFonts w:ascii="Times New Roman" w:hAnsi="Times New Roman"/>
          <w:b w:val="0"/>
          <w:sz w:val="20"/>
          <w:lang w:val="pt-BR"/>
        </w:rPr>
        <w:t>Sc</w:t>
      </w:r>
      <w:proofErr w:type="spellEnd"/>
      <w:r w:rsidR="00B76B4A" w:rsidRPr="006A7278">
        <w:rPr>
          <w:rFonts w:ascii="Times New Roman" w:hAnsi="Times New Roman"/>
          <w:b w:val="0"/>
          <w:sz w:val="20"/>
          <w:lang w:val="pt-BR"/>
        </w:rPr>
        <w:t>(III), Fe(III), Cu(II), Sn(IV) e Yb(III). Eles foram usados na conversão de glicose em HMF, uma reação mais econômica que ocorre p</w:t>
      </w:r>
      <w:r w:rsidR="0075025F" w:rsidRPr="006A7278">
        <w:rPr>
          <w:rFonts w:ascii="Times New Roman" w:hAnsi="Times New Roman"/>
          <w:b w:val="0"/>
          <w:sz w:val="20"/>
          <w:lang w:val="pt-BR"/>
        </w:rPr>
        <w:t>or</w:t>
      </w:r>
      <w:r w:rsidR="00B76B4A" w:rsidRPr="006A7278">
        <w:rPr>
          <w:rFonts w:ascii="Times New Roman" w:hAnsi="Times New Roman"/>
          <w:b w:val="0"/>
          <w:sz w:val="20"/>
          <w:lang w:val="pt-BR"/>
        </w:rPr>
        <w:t xml:space="preserve"> catálise ácida de Lewis e Brønsted. Os melhores resultados foram obtidos para os catalisadores com </w:t>
      </w:r>
      <w:proofErr w:type="gramStart"/>
      <w:r w:rsidR="00B76B4A" w:rsidRPr="006A7278">
        <w:rPr>
          <w:rFonts w:ascii="Times New Roman" w:hAnsi="Times New Roman"/>
          <w:b w:val="0"/>
          <w:sz w:val="20"/>
          <w:lang w:val="pt-BR"/>
        </w:rPr>
        <w:t>Sn(</w:t>
      </w:r>
      <w:proofErr w:type="gramEnd"/>
      <w:r w:rsidR="00B76B4A" w:rsidRPr="006A7278">
        <w:rPr>
          <w:rFonts w:ascii="Times New Roman" w:hAnsi="Times New Roman"/>
          <w:b w:val="0"/>
          <w:sz w:val="20"/>
          <w:lang w:val="pt-BR"/>
        </w:rPr>
        <w:t xml:space="preserve">IV), que </w:t>
      </w:r>
      <w:r w:rsidR="0075025F" w:rsidRPr="006A7278">
        <w:rPr>
          <w:rFonts w:ascii="Times New Roman" w:hAnsi="Times New Roman"/>
          <w:b w:val="0"/>
          <w:sz w:val="20"/>
          <w:lang w:val="pt-BR"/>
        </w:rPr>
        <w:t>tiveram</w:t>
      </w:r>
      <w:r w:rsidR="00B76B4A" w:rsidRPr="006A7278">
        <w:rPr>
          <w:rFonts w:ascii="Times New Roman" w:hAnsi="Times New Roman"/>
          <w:b w:val="0"/>
          <w:sz w:val="20"/>
          <w:lang w:val="pt-BR"/>
        </w:rPr>
        <w:t xml:space="preserve"> a melhor combinação de sítios ácidos de Lewis e Brønsted para produzir HMF.</w:t>
      </w:r>
    </w:p>
    <w:p w14:paraId="60EE2598" w14:textId="5FB902F8" w:rsidR="00893C97" w:rsidRPr="006A7278" w:rsidRDefault="00893C97" w:rsidP="00893C97">
      <w:pPr>
        <w:pStyle w:val="BDAbstract"/>
        <w:spacing w:before="0" w:after="0" w:line="240" w:lineRule="auto"/>
        <w:rPr>
          <w:rFonts w:ascii="Times New Roman" w:hAnsi="Times New Roman"/>
          <w:b w:val="0"/>
          <w:sz w:val="20"/>
          <w:lang w:val="pt-BR"/>
        </w:rPr>
      </w:pPr>
      <w:r w:rsidRPr="006A7278">
        <w:rPr>
          <w:rFonts w:ascii="Times New Roman" w:hAnsi="Times New Roman"/>
          <w:b w:val="0"/>
          <w:i/>
          <w:sz w:val="20"/>
          <w:lang w:val="pt-BR"/>
        </w:rPr>
        <w:t xml:space="preserve">Palavras-chave: </w:t>
      </w:r>
      <w:r w:rsidR="0094703A" w:rsidRPr="006A7278">
        <w:rPr>
          <w:rFonts w:ascii="Times New Roman" w:hAnsi="Times New Roman"/>
          <w:b w:val="0"/>
          <w:i/>
          <w:sz w:val="20"/>
          <w:lang w:val="pt-BR"/>
        </w:rPr>
        <w:t>HMF, Furfural, Carbono</w:t>
      </w:r>
      <w:r w:rsidR="006E58E5" w:rsidRPr="006A7278">
        <w:rPr>
          <w:rFonts w:ascii="Times New Roman" w:hAnsi="Times New Roman"/>
          <w:b w:val="0"/>
          <w:i/>
          <w:sz w:val="20"/>
          <w:lang w:val="pt-BR"/>
        </w:rPr>
        <w:t xml:space="preserve"> Ácido</w:t>
      </w:r>
      <w:r w:rsidR="0094703A" w:rsidRPr="006A7278">
        <w:rPr>
          <w:rFonts w:ascii="Times New Roman" w:hAnsi="Times New Roman"/>
          <w:b w:val="0"/>
          <w:i/>
          <w:sz w:val="20"/>
          <w:lang w:val="pt-BR"/>
        </w:rPr>
        <w:t>, Brønsted, Lewis</w:t>
      </w:r>
    </w:p>
    <w:p w14:paraId="5D8D4445" w14:textId="11D77547" w:rsidR="00EA4E1B" w:rsidRPr="006A7278" w:rsidRDefault="00EA4E1B" w:rsidP="00EA4E1B">
      <w:pPr>
        <w:pStyle w:val="BDAbstract"/>
        <w:spacing w:before="0" w:after="0" w:line="240" w:lineRule="auto"/>
        <w:rPr>
          <w:rFonts w:ascii="Times New Roman" w:hAnsi="Times New Roman"/>
          <w:b w:val="0"/>
          <w:sz w:val="20"/>
          <w:lang w:val="pt-BR"/>
        </w:rPr>
      </w:pPr>
    </w:p>
    <w:p w14:paraId="5F4A84E8" w14:textId="0F4154AC" w:rsidR="00EA4E1B" w:rsidRPr="006A7278" w:rsidRDefault="00EA4E1B" w:rsidP="00CC3095">
      <w:pPr>
        <w:pStyle w:val="BDAbstract"/>
        <w:spacing w:before="0" w:after="0" w:line="240" w:lineRule="auto"/>
        <w:rPr>
          <w:rFonts w:ascii="Times New Roman" w:hAnsi="Times New Roman"/>
          <w:b w:val="0"/>
          <w:sz w:val="20"/>
        </w:rPr>
      </w:pPr>
      <w:r w:rsidRPr="006A7278">
        <w:rPr>
          <w:rFonts w:ascii="Times New Roman" w:hAnsi="Times New Roman"/>
          <w:b w:val="0"/>
          <w:sz w:val="20"/>
        </w:rPr>
        <w:t xml:space="preserve">ABSTRACT </w:t>
      </w:r>
      <w:r w:rsidR="0040296F" w:rsidRPr="006A7278">
        <w:rPr>
          <w:rFonts w:ascii="Times New Roman" w:hAnsi="Times New Roman"/>
          <w:b w:val="0"/>
          <w:sz w:val="20"/>
        </w:rPr>
        <w:t>–</w:t>
      </w:r>
      <w:r w:rsidRPr="006A7278">
        <w:rPr>
          <w:rFonts w:ascii="Times New Roman" w:hAnsi="Times New Roman"/>
          <w:b w:val="0"/>
          <w:sz w:val="20"/>
        </w:rPr>
        <w:t xml:space="preserve"> </w:t>
      </w:r>
      <w:r w:rsidR="00B76B4A" w:rsidRPr="006A7278">
        <w:rPr>
          <w:rFonts w:ascii="Times New Roman" w:hAnsi="Times New Roman"/>
          <w:b w:val="0"/>
          <w:sz w:val="20"/>
        </w:rPr>
        <w:t xml:space="preserve">The platform molecules </w:t>
      </w:r>
      <w:r w:rsidR="0040296F" w:rsidRPr="006A7278">
        <w:rPr>
          <w:rFonts w:ascii="Times New Roman" w:hAnsi="Times New Roman"/>
          <w:b w:val="0"/>
          <w:sz w:val="20"/>
        </w:rPr>
        <w:t xml:space="preserve">5-hydroxymethylfurfural (HMF) and furfural can be obtained by the dehydration of fructose and xylose, respectively, in Brønsted acid catalysis. </w:t>
      </w:r>
      <w:r w:rsidR="001A6166" w:rsidRPr="006A7278">
        <w:rPr>
          <w:rFonts w:ascii="Times New Roman" w:hAnsi="Times New Roman"/>
          <w:b w:val="0"/>
          <w:sz w:val="20"/>
        </w:rPr>
        <w:t>We</w:t>
      </w:r>
      <w:r w:rsidR="0040296F" w:rsidRPr="006A7278">
        <w:rPr>
          <w:rFonts w:ascii="Times New Roman" w:hAnsi="Times New Roman"/>
          <w:b w:val="0"/>
          <w:sz w:val="20"/>
        </w:rPr>
        <w:t xml:space="preserve"> </w:t>
      </w:r>
      <w:r w:rsidR="001A6166" w:rsidRPr="006A7278">
        <w:rPr>
          <w:rFonts w:ascii="Times New Roman" w:hAnsi="Times New Roman"/>
          <w:b w:val="0"/>
          <w:sz w:val="20"/>
        </w:rPr>
        <w:t>prepared</w:t>
      </w:r>
      <w:r w:rsidR="00136A9A" w:rsidRPr="006A7278">
        <w:rPr>
          <w:rFonts w:ascii="Times New Roman" w:hAnsi="Times New Roman"/>
          <w:b w:val="0"/>
          <w:sz w:val="20"/>
        </w:rPr>
        <w:t xml:space="preserve"> </w:t>
      </w:r>
      <w:r w:rsidR="0040296F" w:rsidRPr="006A7278">
        <w:rPr>
          <w:rFonts w:ascii="Times New Roman" w:hAnsi="Times New Roman"/>
          <w:b w:val="0"/>
          <w:sz w:val="20"/>
        </w:rPr>
        <w:t>10 Brønsted Templated Mesoporous Carbons (BTMC) for these reactions</w:t>
      </w:r>
      <w:r w:rsidR="00866B61" w:rsidRPr="006A7278">
        <w:rPr>
          <w:rFonts w:ascii="Times New Roman" w:hAnsi="Times New Roman"/>
          <w:b w:val="0"/>
          <w:sz w:val="20"/>
        </w:rPr>
        <w:t xml:space="preserve">. </w:t>
      </w:r>
      <w:r w:rsidR="004D6D90" w:rsidRPr="006A7278">
        <w:rPr>
          <w:rFonts w:ascii="Times New Roman" w:hAnsi="Times New Roman"/>
          <w:b w:val="0"/>
          <w:sz w:val="20"/>
        </w:rPr>
        <w:t xml:space="preserve">The characterizations showed that </w:t>
      </w:r>
      <w:r w:rsidR="001A6166" w:rsidRPr="006A7278">
        <w:rPr>
          <w:rFonts w:ascii="Times New Roman" w:hAnsi="Times New Roman"/>
          <w:b w:val="0"/>
          <w:sz w:val="20"/>
        </w:rPr>
        <w:t>they</w:t>
      </w:r>
      <w:r w:rsidR="004D6D90" w:rsidRPr="006A7278">
        <w:rPr>
          <w:rFonts w:ascii="Times New Roman" w:hAnsi="Times New Roman"/>
          <w:b w:val="0"/>
          <w:sz w:val="20"/>
        </w:rPr>
        <w:t xml:space="preserve"> present 2 different groups of acid sites,</w:t>
      </w:r>
      <w:r w:rsidR="00CC3095" w:rsidRPr="006A7278">
        <w:rPr>
          <w:rFonts w:ascii="Times New Roman" w:hAnsi="Times New Roman"/>
          <w:b w:val="0"/>
          <w:sz w:val="20"/>
        </w:rPr>
        <w:t xml:space="preserve"> as well the Amberlysts 45 and 15, </w:t>
      </w:r>
      <w:r w:rsidR="004D6D90" w:rsidRPr="006A7278">
        <w:rPr>
          <w:rFonts w:ascii="Times New Roman" w:hAnsi="Times New Roman"/>
          <w:b w:val="0"/>
          <w:sz w:val="20"/>
        </w:rPr>
        <w:t xml:space="preserve">being the stronger </w:t>
      </w:r>
      <w:r w:rsidR="00866B61" w:rsidRPr="006A7278">
        <w:rPr>
          <w:rFonts w:ascii="Times New Roman" w:hAnsi="Times New Roman"/>
          <w:b w:val="0"/>
          <w:sz w:val="20"/>
        </w:rPr>
        <w:t>sites</w:t>
      </w:r>
      <w:r w:rsidR="004D6D90" w:rsidRPr="006A7278">
        <w:rPr>
          <w:rFonts w:ascii="Times New Roman" w:hAnsi="Times New Roman"/>
          <w:b w:val="0"/>
          <w:sz w:val="20"/>
        </w:rPr>
        <w:t xml:space="preserve"> related to sulfonic or phenylsulfonic acid species. A volcano plot was found in the correlation of </w:t>
      </w:r>
      <w:proofErr w:type="spellStart"/>
      <w:r w:rsidR="004D6D90" w:rsidRPr="006A7278">
        <w:rPr>
          <w:rFonts w:ascii="Times New Roman" w:hAnsi="Times New Roman"/>
          <w:b w:val="0"/>
          <w:sz w:val="20"/>
        </w:rPr>
        <w:t>TON</w:t>
      </w:r>
      <w:r w:rsidR="004D6D90" w:rsidRPr="006A7278">
        <w:rPr>
          <w:rFonts w:ascii="Times New Roman" w:hAnsi="Times New Roman"/>
          <w:b w:val="0"/>
          <w:sz w:val="20"/>
          <w:vertAlign w:val="subscript"/>
        </w:rPr>
        <w:t>Platform</w:t>
      </w:r>
      <w:proofErr w:type="spellEnd"/>
      <w:r w:rsidR="004D6D90" w:rsidRPr="006A7278">
        <w:rPr>
          <w:rFonts w:ascii="Times New Roman" w:hAnsi="Times New Roman"/>
          <w:b w:val="0"/>
          <w:sz w:val="20"/>
        </w:rPr>
        <w:t xml:space="preserve"> with their percentage of stronger sites, indicating that the highest </w:t>
      </w:r>
      <w:proofErr w:type="spellStart"/>
      <w:r w:rsidR="004D6D90" w:rsidRPr="006A7278">
        <w:rPr>
          <w:rFonts w:ascii="Times New Roman" w:hAnsi="Times New Roman"/>
          <w:b w:val="0"/>
          <w:sz w:val="20"/>
        </w:rPr>
        <w:t>TON</w:t>
      </w:r>
      <w:r w:rsidR="004D6D90" w:rsidRPr="006A7278">
        <w:rPr>
          <w:rFonts w:ascii="Times New Roman" w:hAnsi="Times New Roman"/>
          <w:b w:val="0"/>
          <w:sz w:val="20"/>
          <w:vertAlign w:val="subscript"/>
        </w:rPr>
        <w:t>Platform</w:t>
      </w:r>
      <w:proofErr w:type="spellEnd"/>
      <w:r w:rsidR="004D6D90" w:rsidRPr="006A7278">
        <w:rPr>
          <w:rFonts w:ascii="Times New Roman" w:hAnsi="Times New Roman"/>
          <w:b w:val="0"/>
          <w:sz w:val="20"/>
        </w:rPr>
        <w:t xml:space="preserve"> happens in the range of 70-80 % of stronger acid sites, belonging to the </w:t>
      </w:r>
      <w:r w:rsidR="00193E98" w:rsidRPr="006A7278">
        <w:rPr>
          <w:rFonts w:ascii="Times New Roman" w:hAnsi="Times New Roman"/>
          <w:b w:val="0"/>
          <w:sz w:val="20"/>
        </w:rPr>
        <w:t>catalysts</w:t>
      </w:r>
      <w:r w:rsidR="004D6D90" w:rsidRPr="006A7278">
        <w:rPr>
          <w:rFonts w:ascii="Times New Roman" w:hAnsi="Times New Roman"/>
          <w:b w:val="0"/>
          <w:sz w:val="20"/>
        </w:rPr>
        <w:t xml:space="preserve"> CMK-3-PSA, CMK-5-PSA, CMK-8-PSA and S-CMK-8-PSA</w:t>
      </w:r>
      <w:r w:rsidR="00866B61" w:rsidRPr="006A7278">
        <w:rPr>
          <w:rFonts w:ascii="Times New Roman" w:hAnsi="Times New Roman"/>
          <w:b w:val="0"/>
          <w:sz w:val="20"/>
        </w:rPr>
        <w:t>.</w:t>
      </w:r>
      <w:r w:rsidR="004D6D90" w:rsidRPr="006A7278">
        <w:rPr>
          <w:rFonts w:ascii="Times New Roman" w:hAnsi="Times New Roman"/>
          <w:b w:val="0"/>
          <w:sz w:val="20"/>
        </w:rPr>
        <w:t xml:space="preserve"> In the second part</w:t>
      </w:r>
      <w:r w:rsidR="001A6166" w:rsidRPr="006A7278">
        <w:rPr>
          <w:rFonts w:ascii="Times New Roman" w:hAnsi="Times New Roman"/>
          <w:b w:val="0"/>
          <w:sz w:val="20"/>
        </w:rPr>
        <w:t xml:space="preserve"> of this work</w:t>
      </w:r>
      <w:r w:rsidR="004D6D90" w:rsidRPr="006A7278">
        <w:rPr>
          <w:rFonts w:ascii="Times New Roman" w:hAnsi="Times New Roman"/>
          <w:b w:val="0"/>
          <w:sz w:val="20"/>
        </w:rPr>
        <w:t>,</w:t>
      </w:r>
      <w:r w:rsidR="00874E0D" w:rsidRPr="006A7278">
        <w:rPr>
          <w:rFonts w:ascii="Times New Roman" w:hAnsi="Times New Roman"/>
          <w:b w:val="0"/>
          <w:sz w:val="20"/>
        </w:rPr>
        <w:t xml:space="preserve"> </w:t>
      </w:r>
      <w:r w:rsidR="00CC3095" w:rsidRPr="006A7278">
        <w:rPr>
          <w:rFonts w:ascii="Times New Roman" w:hAnsi="Times New Roman"/>
          <w:b w:val="0"/>
          <w:sz w:val="20"/>
        </w:rPr>
        <w:t>Bifunctional Templated Mesoporous Carbons (BiTMC)</w:t>
      </w:r>
      <w:r w:rsidR="00850FF0" w:rsidRPr="006A7278">
        <w:rPr>
          <w:rFonts w:ascii="Times New Roman" w:hAnsi="Times New Roman"/>
          <w:b w:val="0"/>
          <w:sz w:val="20"/>
        </w:rPr>
        <w:t xml:space="preserve"> were prepared by the partial ion exchange of the CMK-8-PSA and Amb-45 with </w:t>
      </w:r>
      <w:proofErr w:type="gramStart"/>
      <w:r w:rsidR="00850FF0" w:rsidRPr="006A7278">
        <w:rPr>
          <w:rFonts w:ascii="Times New Roman" w:hAnsi="Times New Roman"/>
          <w:b w:val="0"/>
          <w:sz w:val="20"/>
        </w:rPr>
        <w:t>Al(</w:t>
      </w:r>
      <w:proofErr w:type="gramEnd"/>
      <w:r w:rsidR="00850FF0" w:rsidRPr="006A7278">
        <w:rPr>
          <w:rFonts w:ascii="Times New Roman" w:hAnsi="Times New Roman"/>
          <w:b w:val="0"/>
          <w:sz w:val="20"/>
        </w:rPr>
        <w:t>III), Sc(III), Fe(III), Cu(II), Sn(IV) and Yb(III)</w:t>
      </w:r>
      <w:r w:rsidR="005E45EA" w:rsidRPr="006A7278">
        <w:rPr>
          <w:rFonts w:ascii="Times New Roman" w:hAnsi="Times New Roman"/>
          <w:b w:val="0"/>
          <w:sz w:val="20"/>
        </w:rPr>
        <w:t>. They</w:t>
      </w:r>
      <w:r w:rsidR="00CC3095" w:rsidRPr="006A7278">
        <w:rPr>
          <w:rFonts w:ascii="Times New Roman" w:hAnsi="Times New Roman"/>
          <w:b w:val="0"/>
          <w:sz w:val="20"/>
        </w:rPr>
        <w:t xml:space="preserve"> were used in the conversion of glucose into HMF, a more economically reaction that occurs by </w:t>
      </w:r>
      <w:r w:rsidR="001A6166" w:rsidRPr="006A7278">
        <w:rPr>
          <w:rFonts w:ascii="Times New Roman" w:hAnsi="Times New Roman"/>
          <w:b w:val="0"/>
          <w:sz w:val="20"/>
        </w:rPr>
        <w:t xml:space="preserve">Lewis and </w:t>
      </w:r>
      <w:r w:rsidR="005E45EA" w:rsidRPr="006A7278">
        <w:rPr>
          <w:rFonts w:ascii="Times New Roman" w:hAnsi="Times New Roman"/>
          <w:b w:val="0"/>
          <w:sz w:val="20"/>
        </w:rPr>
        <w:t>Brønsted</w:t>
      </w:r>
      <w:r w:rsidR="001A6166" w:rsidRPr="006A7278">
        <w:rPr>
          <w:rFonts w:ascii="Times New Roman" w:hAnsi="Times New Roman"/>
          <w:b w:val="0"/>
          <w:sz w:val="20"/>
        </w:rPr>
        <w:t xml:space="preserve"> acid catalysis</w:t>
      </w:r>
      <w:r w:rsidR="00CC3095" w:rsidRPr="006A7278">
        <w:rPr>
          <w:rFonts w:ascii="Times New Roman" w:hAnsi="Times New Roman"/>
          <w:b w:val="0"/>
          <w:sz w:val="20"/>
        </w:rPr>
        <w:t>.</w:t>
      </w:r>
      <w:r w:rsidR="004D6D90" w:rsidRPr="006A7278">
        <w:rPr>
          <w:rFonts w:ascii="Times New Roman" w:hAnsi="Times New Roman"/>
          <w:b w:val="0"/>
          <w:sz w:val="20"/>
        </w:rPr>
        <w:t xml:space="preserve"> The </w:t>
      </w:r>
      <w:r w:rsidR="00136A9A" w:rsidRPr="006A7278">
        <w:rPr>
          <w:rFonts w:ascii="Times New Roman" w:hAnsi="Times New Roman"/>
          <w:b w:val="0"/>
          <w:sz w:val="20"/>
        </w:rPr>
        <w:t xml:space="preserve">best results were obtained for the </w:t>
      </w:r>
      <w:r w:rsidR="004D6D90" w:rsidRPr="006A7278">
        <w:rPr>
          <w:rFonts w:ascii="Times New Roman" w:hAnsi="Times New Roman"/>
          <w:b w:val="0"/>
          <w:sz w:val="20"/>
        </w:rPr>
        <w:t xml:space="preserve">catalysts with </w:t>
      </w:r>
      <w:proofErr w:type="gramStart"/>
      <w:r w:rsidR="004D6D90" w:rsidRPr="006A7278">
        <w:rPr>
          <w:rFonts w:ascii="Times New Roman" w:hAnsi="Times New Roman"/>
          <w:b w:val="0"/>
          <w:sz w:val="20"/>
        </w:rPr>
        <w:t>Sn(</w:t>
      </w:r>
      <w:proofErr w:type="gramEnd"/>
      <w:r w:rsidR="004D6D90" w:rsidRPr="006A7278">
        <w:rPr>
          <w:rFonts w:ascii="Times New Roman" w:hAnsi="Times New Roman"/>
          <w:b w:val="0"/>
          <w:sz w:val="20"/>
        </w:rPr>
        <w:t>IV),</w:t>
      </w:r>
      <w:r w:rsidR="00CC3095" w:rsidRPr="006A7278">
        <w:rPr>
          <w:rFonts w:ascii="Times New Roman" w:hAnsi="Times New Roman"/>
          <w:b w:val="0"/>
          <w:sz w:val="20"/>
        </w:rPr>
        <w:t xml:space="preserve"> </w:t>
      </w:r>
      <w:r w:rsidR="00136A9A" w:rsidRPr="006A7278">
        <w:rPr>
          <w:rFonts w:ascii="Times New Roman" w:hAnsi="Times New Roman"/>
          <w:b w:val="0"/>
          <w:sz w:val="20"/>
        </w:rPr>
        <w:t xml:space="preserve">which </w:t>
      </w:r>
      <w:r w:rsidR="004D6D90" w:rsidRPr="006A7278">
        <w:rPr>
          <w:rFonts w:ascii="Times New Roman" w:hAnsi="Times New Roman"/>
          <w:b w:val="0"/>
          <w:sz w:val="20"/>
        </w:rPr>
        <w:t xml:space="preserve">had the best combination of </w:t>
      </w:r>
      <w:r w:rsidR="001A6166" w:rsidRPr="006A7278">
        <w:rPr>
          <w:rFonts w:ascii="Times New Roman" w:hAnsi="Times New Roman"/>
          <w:b w:val="0"/>
          <w:sz w:val="20"/>
        </w:rPr>
        <w:t xml:space="preserve">Lewis and </w:t>
      </w:r>
      <w:r w:rsidR="004D6D90" w:rsidRPr="006A7278">
        <w:rPr>
          <w:rFonts w:ascii="Times New Roman" w:hAnsi="Times New Roman"/>
          <w:b w:val="0"/>
          <w:sz w:val="20"/>
        </w:rPr>
        <w:t>Brønsted acid sites to produce HMF</w:t>
      </w:r>
      <w:r w:rsidR="001A6166" w:rsidRPr="006A7278">
        <w:rPr>
          <w:rFonts w:ascii="Times New Roman" w:hAnsi="Times New Roman"/>
          <w:b w:val="0"/>
          <w:sz w:val="20"/>
        </w:rPr>
        <w:t>.</w:t>
      </w:r>
    </w:p>
    <w:p w14:paraId="67F049CA" w14:textId="3AD8DB9A" w:rsidR="00893C97" w:rsidRPr="006A7278" w:rsidRDefault="00893C97" w:rsidP="00893C97">
      <w:pPr>
        <w:pStyle w:val="BDAbstract"/>
        <w:spacing w:before="0" w:after="120" w:line="240" w:lineRule="auto"/>
        <w:rPr>
          <w:rFonts w:ascii="Times New Roman" w:hAnsi="Times New Roman"/>
          <w:b w:val="0"/>
          <w:i/>
          <w:sz w:val="20"/>
        </w:rPr>
      </w:pPr>
      <w:r w:rsidRPr="006A7278">
        <w:rPr>
          <w:rFonts w:ascii="Times New Roman" w:hAnsi="Times New Roman"/>
          <w:b w:val="0"/>
          <w:i/>
          <w:sz w:val="20"/>
        </w:rPr>
        <w:t xml:space="preserve">Keywords: </w:t>
      </w:r>
      <w:r w:rsidR="0094703A" w:rsidRPr="006A7278">
        <w:rPr>
          <w:rFonts w:ascii="Times New Roman" w:hAnsi="Times New Roman"/>
          <w:b w:val="0"/>
          <w:i/>
          <w:sz w:val="20"/>
        </w:rPr>
        <w:t xml:space="preserve">HMF, Furfural, </w:t>
      </w:r>
      <w:r w:rsidR="006E58E5" w:rsidRPr="006A7278">
        <w:rPr>
          <w:rFonts w:ascii="Times New Roman" w:hAnsi="Times New Roman"/>
          <w:b w:val="0"/>
          <w:i/>
          <w:sz w:val="20"/>
        </w:rPr>
        <w:t xml:space="preserve">Acidic </w:t>
      </w:r>
      <w:r w:rsidR="0094703A" w:rsidRPr="006A7278">
        <w:rPr>
          <w:rFonts w:ascii="Times New Roman" w:hAnsi="Times New Roman"/>
          <w:b w:val="0"/>
          <w:i/>
          <w:sz w:val="20"/>
        </w:rPr>
        <w:t>Carbon, Brønsted, Lewis</w:t>
      </w:r>
    </w:p>
    <w:p w14:paraId="084BC3B2" w14:textId="77777777" w:rsidR="00893C97" w:rsidRPr="006A7278" w:rsidRDefault="00893C97" w:rsidP="00893C97">
      <w:pPr>
        <w:rPr>
          <w:lang w:val="en-US"/>
        </w:rPr>
        <w:sectPr w:rsidR="00893C97" w:rsidRPr="006A7278" w:rsidSect="00EA4E1B">
          <w:headerReference w:type="default" r:id="rId9"/>
          <w:endnotePr>
            <w:numFmt w:val="decimal"/>
          </w:endnotePr>
          <w:pgSz w:w="11906" w:h="16838"/>
          <w:pgMar w:top="1418" w:right="1094" w:bottom="1418" w:left="567" w:header="709" w:footer="709" w:gutter="0"/>
          <w:cols w:space="708"/>
          <w:docGrid w:linePitch="360"/>
        </w:sectPr>
      </w:pPr>
    </w:p>
    <w:bookmarkEnd w:id="1"/>
    <w:p w14:paraId="625F2C0A" w14:textId="7E64ADAC" w:rsidR="00EA4E1B" w:rsidRPr="006A7278" w:rsidRDefault="00AA772D" w:rsidP="00F83FD3">
      <w:pPr>
        <w:pStyle w:val="Ttulo2"/>
        <w:rPr>
          <w:rFonts w:ascii="Helvetica" w:hAnsi="Helvetica" w:cs="Helvetica"/>
          <w:sz w:val="24"/>
          <w:szCs w:val="24"/>
          <w:lang w:val="en-US"/>
        </w:rPr>
      </w:pPr>
      <w:r w:rsidRPr="006A7278">
        <w:rPr>
          <w:rFonts w:ascii="Helvetica" w:hAnsi="Helvetica" w:cs="Helvetica"/>
          <w:sz w:val="24"/>
          <w:szCs w:val="24"/>
          <w:lang w:val="en-US"/>
        </w:rPr>
        <w:t>Introduction</w:t>
      </w:r>
    </w:p>
    <w:p w14:paraId="786C8CEF" w14:textId="50A940DD" w:rsidR="00FA0B2B" w:rsidRPr="006A7278" w:rsidRDefault="008B0D8E" w:rsidP="00AA772D">
      <w:pPr>
        <w:pStyle w:val="TAMainText"/>
        <w:ind w:firstLine="204"/>
      </w:pPr>
      <w:r w:rsidRPr="006A7278">
        <w:rPr>
          <w:rFonts w:ascii="Times New Roman" w:hAnsi="Times New Roman"/>
        </w:rPr>
        <w:t>5-Hydroxymethylfurfural (HMF) and furfural are bio-based products</w:t>
      </w:r>
      <w:r w:rsidR="007D78A8" w:rsidRPr="006A7278">
        <w:rPr>
          <w:rFonts w:ascii="Times New Roman" w:hAnsi="Times New Roman"/>
        </w:rPr>
        <w:t xml:space="preserve"> considered platform molecules for</w:t>
      </w:r>
      <w:r w:rsidR="008A0B2E" w:rsidRPr="006A7278">
        <w:rPr>
          <w:rFonts w:ascii="Times New Roman" w:hAnsi="Times New Roman"/>
        </w:rPr>
        <w:t xml:space="preserve"> being intermediates in</w:t>
      </w:r>
      <w:r w:rsidR="007D78A8" w:rsidRPr="006A7278">
        <w:rPr>
          <w:rFonts w:ascii="Times New Roman" w:hAnsi="Times New Roman"/>
        </w:rPr>
        <w:t xml:space="preserve"> </w:t>
      </w:r>
      <w:r w:rsidRPr="006A7278">
        <w:rPr>
          <w:rFonts w:ascii="Times New Roman" w:hAnsi="Times New Roman"/>
        </w:rPr>
        <w:t>the production of chemicals and fuels</w:t>
      </w:r>
      <w:r w:rsidR="00084042" w:rsidRPr="006A7278">
        <w:rPr>
          <w:rFonts w:ascii="Times New Roman" w:hAnsi="Times New Roman"/>
        </w:rPr>
        <w:t xml:space="preserve"> </w:t>
      </w:r>
      <w:r w:rsidR="00084042" w:rsidRPr="006A7278">
        <w:rPr>
          <w:rFonts w:ascii="Times New Roman" w:hAnsi="Times New Roman"/>
        </w:rPr>
        <w:fldChar w:fldCharType="begin" w:fldLock="1"/>
      </w:r>
      <w:r w:rsidR="00C844CD" w:rsidRPr="006A7278">
        <w:rPr>
          <w:rFonts w:ascii="Times New Roman" w:hAnsi="Times New Roman"/>
        </w:rPr>
        <w:instrText>ADDIN CSL_CITATION {"citationItems":[{"id":"ITEM-1","itemData":{"DOI":"10.21577/0103-5053.20170009","ISSN":"16784790","abstract":"© 2017 Sociedade Brasileira de Química. Chemicals commodities and consumable, accounting for billions of ton of carbon per year, are produced in an industry based on non-renewable fossil feedstocks. Oil reserves are enough for feeding chemical industry for another century, and therefore, it is essential finding alternative sources of carbon for a progressive replacement of the industrial feedstock. In this context lignocellulosic, a renewable source of carbon composed mainly by polymers of sugars, appears as the most promising candidate. Herein, it will be discussed the status, challenges and prospective future of biomass as industrial feedstock in a raising biorefinery, aiming to clarify the real problems in the actual biomass processing. It will be shown that lignocellulosic biomass is able to replace oil in the production of several chemicals and also delivery new compounds with important applications. However, for a cost effective use of biomass, the development and improvement of solvent and catalytic systems play a leading role. The sustainability of biomass feedstock is also discussed from the economical, social and environmental points of view.","author":[{"dropping-particle":"","family":"Gallo","given":"Jean Marcel R.","non-dropping-particle":"","parse-names":false,"suffix":""},{"dropping-particle":"","family":"Trapp","given":"Marilia A.","non-dropping-particle":"","parse-names":false,"suffix":""}],"container-title":"Journal of the Brazilian Chemical Society","id":"ITEM-1","issue":"9","issued":{"date-parts":[["2017"]]},"note":"From Duplicate 2 (The chemical conversion of biomass-derived saccharides: An overview - Gallo, J M R; Trapp, M A)\n\nCited By :1\nExport Date: 1 March 2018","page":"1586-1607","title":"The chemical conversion of biomass-derived saccharides: An overview","type":"article-journal","volume":"28"},"uris":["http://www.mendeley.com/documents/?uuid=e2314047-4726-4733-a9f4-e77f0f2c22d0"]}],"mendeley":{"formattedCitation":"(1)","plainTextFormattedCitation":"(1)","previouslyFormattedCitation":"(1)"},"properties":{"noteIndex":0},"schema":"https://github.com/citation-style-language/schema/raw/master/csl-citation.json"}</w:instrText>
      </w:r>
      <w:r w:rsidR="00084042" w:rsidRPr="006A7278">
        <w:rPr>
          <w:rFonts w:ascii="Times New Roman" w:hAnsi="Times New Roman"/>
        </w:rPr>
        <w:fldChar w:fldCharType="separate"/>
      </w:r>
      <w:r w:rsidR="00084042" w:rsidRPr="006A7278">
        <w:rPr>
          <w:rFonts w:ascii="Times New Roman" w:hAnsi="Times New Roman"/>
          <w:noProof/>
        </w:rPr>
        <w:t>(1)</w:t>
      </w:r>
      <w:r w:rsidR="00084042" w:rsidRPr="006A7278">
        <w:rPr>
          <w:rFonts w:ascii="Times New Roman" w:hAnsi="Times New Roman"/>
        </w:rPr>
        <w:fldChar w:fldCharType="end"/>
      </w:r>
      <w:r w:rsidRPr="006A7278">
        <w:rPr>
          <w:rFonts w:ascii="Times New Roman" w:hAnsi="Times New Roman"/>
        </w:rPr>
        <w:t>. They can be obtained</w:t>
      </w:r>
      <w:r w:rsidR="00E373FB" w:rsidRPr="006A7278">
        <w:rPr>
          <w:rFonts w:ascii="Times New Roman" w:hAnsi="Times New Roman"/>
        </w:rPr>
        <w:t xml:space="preserve"> </w:t>
      </w:r>
      <w:r w:rsidR="000362FF" w:rsidRPr="006A7278">
        <w:rPr>
          <w:rFonts w:ascii="Times New Roman" w:hAnsi="Times New Roman"/>
        </w:rPr>
        <w:t xml:space="preserve">in </w:t>
      </w:r>
      <w:r w:rsidR="00FA0B2B" w:rsidRPr="006A7278">
        <w:rPr>
          <w:rFonts w:ascii="Times New Roman" w:hAnsi="Times New Roman"/>
        </w:rPr>
        <w:t>good</w:t>
      </w:r>
      <w:r w:rsidR="000362FF" w:rsidRPr="006A7278">
        <w:rPr>
          <w:rFonts w:ascii="Times New Roman" w:hAnsi="Times New Roman"/>
        </w:rPr>
        <w:t xml:space="preserve"> yields </w:t>
      </w:r>
      <w:r w:rsidR="00EA2E59" w:rsidRPr="006A7278">
        <w:rPr>
          <w:rFonts w:ascii="Times New Roman" w:hAnsi="Times New Roman"/>
        </w:rPr>
        <w:t xml:space="preserve">by the dehydration of </w:t>
      </w:r>
      <w:r w:rsidR="00162EE0" w:rsidRPr="006A7278">
        <w:rPr>
          <w:rFonts w:ascii="Times New Roman" w:hAnsi="Times New Roman"/>
        </w:rPr>
        <w:t xml:space="preserve">the </w:t>
      </w:r>
      <w:proofErr w:type="gramStart"/>
      <w:r w:rsidR="00162EE0" w:rsidRPr="006A7278">
        <w:rPr>
          <w:rFonts w:ascii="Times New Roman" w:hAnsi="Times New Roman"/>
        </w:rPr>
        <w:t>monosaccharides</w:t>
      </w:r>
      <w:proofErr w:type="gramEnd"/>
      <w:r w:rsidR="00162EE0" w:rsidRPr="006A7278">
        <w:rPr>
          <w:rFonts w:ascii="Times New Roman" w:hAnsi="Times New Roman"/>
        </w:rPr>
        <w:t xml:space="preserve"> </w:t>
      </w:r>
      <w:r w:rsidR="00E373FB" w:rsidRPr="006A7278">
        <w:rPr>
          <w:rFonts w:ascii="Times New Roman" w:hAnsi="Times New Roman"/>
        </w:rPr>
        <w:t>fructo</w:t>
      </w:r>
      <w:r w:rsidR="00EA2E59" w:rsidRPr="006A7278">
        <w:rPr>
          <w:rFonts w:ascii="Times New Roman" w:hAnsi="Times New Roman"/>
        </w:rPr>
        <w:t xml:space="preserve">se and xylose, respectively, </w:t>
      </w:r>
      <w:r w:rsidR="00E373FB" w:rsidRPr="006A7278">
        <w:rPr>
          <w:rFonts w:ascii="Times New Roman" w:hAnsi="Times New Roman"/>
        </w:rPr>
        <w:t>in</w:t>
      </w:r>
      <w:r w:rsidR="00EA2E59" w:rsidRPr="006A7278">
        <w:rPr>
          <w:rFonts w:ascii="Times New Roman" w:hAnsi="Times New Roman"/>
        </w:rPr>
        <w:t xml:space="preserve"> </w:t>
      </w:r>
      <w:r w:rsidR="00EA2E59" w:rsidRPr="006A7278">
        <w:t>Brønsted</w:t>
      </w:r>
      <w:r w:rsidR="00EA2E59" w:rsidRPr="006A7278">
        <w:rPr>
          <w:rFonts w:ascii="Times New Roman" w:hAnsi="Times New Roman"/>
        </w:rPr>
        <w:t xml:space="preserve"> acid </w:t>
      </w:r>
      <w:r w:rsidR="00E373FB" w:rsidRPr="006A7278">
        <w:rPr>
          <w:rFonts w:ascii="Times New Roman" w:hAnsi="Times New Roman"/>
        </w:rPr>
        <w:t>catalysis</w:t>
      </w:r>
      <w:r w:rsidR="00EA2E59" w:rsidRPr="006A7278">
        <w:rPr>
          <w:rFonts w:ascii="Times New Roman" w:hAnsi="Times New Roman"/>
        </w:rPr>
        <w:t xml:space="preserve">. </w:t>
      </w:r>
      <w:r w:rsidR="00936243" w:rsidRPr="006A7278">
        <w:rPr>
          <w:rFonts w:ascii="Times New Roman" w:hAnsi="Times New Roman"/>
        </w:rPr>
        <w:t xml:space="preserve">Many solid catalysts have been studied in these reactions, such as zeolites, metal oxides, heteropolyacids, phosphates, </w:t>
      </w:r>
      <w:r w:rsidR="006E58E5" w:rsidRPr="006A7278">
        <w:rPr>
          <w:rFonts w:ascii="Times New Roman" w:hAnsi="Times New Roman"/>
        </w:rPr>
        <w:t xml:space="preserve">acidic </w:t>
      </w:r>
      <w:r w:rsidR="00C844CD" w:rsidRPr="006A7278">
        <w:t>silica</w:t>
      </w:r>
      <w:r w:rsidR="006E58E5" w:rsidRPr="006A7278">
        <w:t>s</w:t>
      </w:r>
      <w:r w:rsidR="00C844CD" w:rsidRPr="006A7278">
        <w:t xml:space="preserve"> </w:t>
      </w:r>
      <w:r w:rsidR="00936243" w:rsidRPr="006A7278">
        <w:t>and sulfonic</w:t>
      </w:r>
      <w:r w:rsidR="006E58E5" w:rsidRPr="006A7278">
        <w:t xml:space="preserve"> acid resins</w:t>
      </w:r>
      <w:r w:rsidR="00936243" w:rsidRPr="006A7278">
        <w:t xml:space="preserve"> </w:t>
      </w:r>
      <w:r w:rsidR="00C844CD" w:rsidRPr="006A7278">
        <w:fldChar w:fldCharType="begin" w:fldLock="1"/>
      </w:r>
      <w:r w:rsidR="002F25E1" w:rsidRPr="006A7278">
        <w:instrText>ADDIN CSL_CITATION {"citationItems":[{"id":"ITEM-1","itemData":{"DOI":"10.1039/c6cy00384b","ISSN":"20444761","abstract":"Recently, there has been growing interest in the transformation of renewable biomass into value-added chemicals and biofuels. Among them, furfural and 5-hydroxymethylfurfural (HMF) have received great attention as precursors in the synthesis of a lot of commodity chemicals and liquid fuels. Furfural and HMF can be easily produced from the dehydration of xylose and fructose over acid catalysts, respectively. However, the use of xylose and fructose is limited in large-scale production of furans due to their high cost. Therefore, much effort has been devoted to the synthesis of furfural from xylan and hemicelluloses and HMF from glucose based carbohydrates over different catalysts, particularly with two catalytic sites. Herein, we will provide an overview of the methods developed in recent years to synthesize furfuran and HMF from carbohydrates by using the \"one-pot\" strategy and discuss major challenges involved in the large scale production of furfural and HMF.","author":[{"dropping-particle":"","family":"Zhou","given":"Peng","non-dropping-particle":"","parse-names":false,"suffix":""},{"dropping-particle":"","family":"Zhang","given":"Zehui","non-dropping-particle":"","parse-names":false,"suffix":""}],"container-title":"Catalysis Science and Technology","id":"ITEM-1","issue":"11","issued":{"date-parts":[["2016"]]},"page":"3694-3712","publisher":"Royal Society of Chemistry","title":"One-pot catalytic conversion of carbohydrates into furfural and 5-hydroxymethylfurfural","type":"article-journal","volume":"6"},"uris":["http://www.mendeley.com/documents/?uuid=193f65a6-5bfb-4aa0-bb52-ed5fd751ba4d"]}],"mendeley":{"formattedCitation":"(2)","plainTextFormattedCitation":"(2)","previouslyFormattedCitation":"(2)"},"properties":{"noteIndex":0},"schema":"https://github.com/citation-style-language/schema/raw/master/csl-citation.json"}</w:instrText>
      </w:r>
      <w:r w:rsidR="00C844CD" w:rsidRPr="006A7278">
        <w:fldChar w:fldCharType="separate"/>
      </w:r>
      <w:r w:rsidR="00C844CD" w:rsidRPr="006A7278">
        <w:rPr>
          <w:noProof/>
        </w:rPr>
        <w:t>(2)</w:t>
      </w:r>
      <w:r w:rsidR="00C844CD" w:rsidRPr="006A7278">
        <w:fldChar w:fldCharType="end"/>
      </w:r>
      <w:r w:rsidR="00936243" w:rsidRPr="006A7278">
        <w:t>. However, they present low active site availability, poor mechanical and thermal stability, and inferior durability and reusability.</w:t>
      </w:r>
    </w:p>
    <w:p w14:paraId="3AD90E9F" w14:textId="77BC32FD" w:rsidR="00893C97" w:rsidRPr="006A7278" w:rsidRDefault="00936243" w:rsidP="00F83FD3">
      <w:pPr>
        <w:pStyle w:val="TAMainText"/>
        <w:ind w:firstLine="204"/>
        <w:rPr>
          <w:rFonts w:ascii="Times New Roman" w:hAnsi="Times New Roman"/>
        </w:rPr>
      </w:pPr>
      <w:r w:rsidRPr="006A7278">
        <w:t xml:space="preserve">A class of catalysts that has been presenting good results in </w:t>
      </w:r>
      <w:r w:rsidR="006E58E5" w:rsidRPr="006A7278">
        <w:t>acidic</w:t>
      </w:r>
      <w:r w:rsidRPr="006A7278">
        <w:t xml:space="preserve"> catalytic reactions, overcoming practically all the previous drawbacks, and</w:t>
      </w:r>
      <w:r w:rsidR="00FA0B2B" w:rsidRPr="006A7278">
        <w:t xml:space="preserve"> has few studies in the conversion of monosaccharides </w:t>
      </w:r>
      <w:r w:rsidRPr="006A7278">
        <w:t xml:space="preserve">is the </w:t>
      </w:r>
      <w:r w:rsidR="00FA0B2B" w:rsidRPr="006A7278">
        <w:t>Brønsted Templated Mesoporous Carbons (BTMC)</w:t>
      </w:r>
      <w:r w:rsidR="00C844CD" w:rsidRPr="006A7278">
        <w:t xml:space="preserve"> </w:t>
      </w:r>
      <w:r w:rsidR="002F25E1" w:rsidRPr="006A7278">
        <w:fldChar w:fldCharType="begin" w:fldLock="1"/>
      </w:r>
      <w:r w:rsidR="002F25E1" w:rsidRPr="006A7278">
        <w:instrText>ADDIN CSL_CITATION {"citationItems":[{"id":"ITEM-1","itemData":{"DOI":"10.1021/jp312820g","ISSN":"19327447","abstract":"The hydrophobic surface of ordered mesoporous carbon (OMC) via a hard-template route is difficult to sulfonate, which limits its practical applications in solid acid catalysis. Here, we reported an OMC solid acid catalyst with large surface area and ordered mesostructure, as well as high acidity. The pretreatment of hard-template prepared OMC with H2O 2 brought numerous hydrophilic groups onto the carbon surface, which are favorable for the modification of -SO3H groups by a followed sulfonation treating with sulfuric acid. The results of X-ray diffraction, N2 adsorption-desorption, and transmission electron microscopy demonstrated the preservation of large surface area and ordered mesostructure. Infrared spectra indicated the successful modification of -SO3H groups and in the meantime suggested the existence of hydrophilic groups (-COOH and -OH). The acidity of catalyst estimated by an indirect titration method and the modified amount of -SO3H groups examined by energy dispersive spectra were 2.09 mmol H+g-1 and 1.86 mmol -SO 3H g-1, respectively. Such multifunctionalized OMC material with hydrophilic groups (-SO3H, -COOH, -OH) and the hydrophobic framework (polycyclic aromatic carbon) showed evidently improved catalytic activities for biodiesel production. Furthermore, its excellent stability and recycling property were demonstrated by five consecutive cycles. © 2013 American Chemical Society.","author":[{"dropping-particle":"","family":"Chang","given":"Binbin","non-dropping-particle":"","parse-names":false,"suffix":""},{"dropping-particle":"","family":"Fu","given":"Jie","non-dropping-particle":"","parse-names":false,"suffix":""},{"dropping-particle":"","family":"Tian","given":"Yanlong","non-dropping-particle":"","parse-names":false,"suffix":""},{"dropping-particle":"","family":"Dong","given":"Xiaoping","non-dropping-particle":"","parse-names":false,"suffix":""}],"container-title":"Journal of Physical Chemistry C","id":"ITEM-1","issue":"12","issued":{"date-parts":[["2013"]]},"page":"6252-6258","title":"Multifunctionalized ordered mesoporous carbon as an efficient and stable solid acid catalyst for biodiesel preparation","type":"article-journal","volume":"117"},"uris":["http://www.mendeley.com/documents/?uuid=4d73bfda-038f-4569-aceb-e08a34427430"]},{"id":"ITEM-2","itemData":{"DOI":"10.1016/j.apcata.2012.03.044","ISSN":"0926860X","abstract":"Mesoporous carbon materials with thin pore walls (</w:instrText>
      </w:r>
      <w:r w:rsidR="002F25E1" w:rsidRPr="006A7278">
        <w:rPr>
          <w:rFonts w:ascii="Cambria Math" w:hAnsi="Cambria Math" w:cs="Cambria Math"/>
        </w:rPr>
        <w:instrText>∼</w:instrText>
      </w:r>
      <w:r w:rsidR="002F25E1" w:rsidRPr="006A7278">
        <w:instrText xml:space="preserve">1.7 nm) were synthesized using low-cost </w:instrText>
      </w:r>
      <w:r w:rsidR="002F25E1" w:rsidRPr="006A7278">
        <w:rPr>
          <w:rFonts w:cs="Times"/>
        </w:rPr>
        <w:instrText>γ</w:instrText>
      </w:r>
      <w:r w:rsidR="002F25E1" w:rsidRPr="006A7278">
        <w:instrText>-Al 2O 3 as a hard template and in situ polymerized resorcinol-furfural resin as the carbon precursor. Compared with sugar, resin, a widely used carbon precursor, has higher carbon yield and simplifies the synthetic process. Ph-SO 3H modified mesoporous carbon was synthesized by covalent grafting of Ph-SO 3H groups on mesoporous carbon via the diazonium salt. The resulting materials were characterized by means of nitrogen adsorption analysis, TEM, 13C NMR, XRD, FTIR and sulfur elemental analysis. The modified carbons were shown to possess high surface area (</w:instrText>
      </w:r>
      <w:r w:rsidR="002F25E1" w:rsidRPr="006A7278">
        <w:rPr>
          <w:rFonts w:ascii="Cambria Math" w:hAnsi="Cambria Math" w:cs="Cambria Math"/>
        </w:rPr>
        <w:instrText>∼</w:instrText>
      </w:r>
      <w:r w:rsidR="002F25E1" w:rsidRPr="006A7278">
        <w:instrText>1000 m 2/g), a bimodal pore size distribution and high strong acid density (1.86 mmol H +/g). These sulfonated carbons were used as solid acid catalysts in the esterification of oleic acid and methanol, a key reaction in biodiesel production. Compared with the traditional solid acid Amberlyst-15, the optimized carbon catalyst exhibited much higher activity with a rate constant (1.34 h -1) three times to that of Amberlyt-15 and a turnover frequency (TOF) of 128 h -1 eight times that of Amberlyst-15. The efficient catalytic ability was attributed to the high surface area and a proper mesopore texture. This carbon catalyst could then be easily separated from the product by filtration. The catalyst was reused six times, and no distinct activity drop was observed after the initial deactivation. © 2012 Elsevier B.V.","author":[{"dropping-particle":"","family":"Geng","given":"Liang","non-dropping-particle":"","parse-names":false,"suffix":""},{"dropping-particle":"","family":"Yu","given":"Gang","non-dropping-particle":"","parse-names":false,"suffix":""},{"dropping-particle":"","family":"Wang","given":"Yu","non-dropping-particle":"","parse-names":false,"suffix":""},{"dropping-particle":"","family":"Zhu","given":"Yuexiang","non-dropping-particle":"","parse-names":false,"suffix":""}],"container-title":"Applied Catalysis A: General","id":"ITEM-2","issued":{"date-parts":[["2012"]]},"page":"137-144","publisher":"Elsevier B.V.","title":"Ph-SO3H-modified mesoporous carbon as an efficient catalyst for the esterification of oleic acid","type":"article-journal","volume":"427-428"},"uris":["http://www.mendeley.com/documents/?uuid=d6c605d7-c309-4d7c-914f-4758034497f4"]}],"mendeley":{"formattedCitation":"(3,4)","plainTextFormattedCitation":"(3,4)","previouslyFormattedCitation":"(3,4)"},"properties":{"noteIndex":0},"schema":"https://github.com/citation-style-language/schema/raw/master/csl-citation.json"}</w:instrText>
      </w:r>
      <w:r w:rsidR="002F25E1" w:rsidRPr="006A7278">
        <w:fldChar w:fldCharType="separate"/>
      </w:r>
      <w:r w:rsidR="002F25E1" w:rsidRPr="006A7278">
        <w:rPr>
          <w:noProof/>
        </w:rPr>
        <w:t>(3,4)</w:t>
      </w:r>
      <w:r w:rsidR="002F25E1" w:rsidRPr="006A7278">
        <w:fldChar w:fldCharType="end"/>
      </w:r>
      <w:r w:rsidRPr="006A7278">
        <w:t xml:space="preserve">. These catalysts are prepared by a step-by-step method, which starts with the synthesis of Templated Mesoporous Carbon Supports (TMCS) using mesoporous silica as hard template. After removing the </w:t>
      </w:r>
      <w:r w:rsidRPr="006A7278">
        <w:t>silica template with NaOH or HF, the acidic species</w:t>
      </w:r>
      <w:r w:rsidR="00FA0B2B" w:rsidRPr="006A7278">
        <w:t>, usually</w:t>
      </w:r>
      <w:r w:rsidR="00893C97" w:rsidRPr="006A7278">
        <w:t xml:space="preserve"> sulfonic </w:t>
      </w:r>
      <w:r w:rsidR="006E58E5" w:rsidRPr="006A7278">
        <w:t xml:space="preserve">acid </w:t>
      </w:r>
      <w:r w:rsidR="00893C97" w:rsidRPr="006A7278">
        <w:t>groups, are grafted on their surface by post-grafting methods. Therefore, herein, we firstly propose the synthesis of different Brønsted Templated Mesoporous Carbons (BTMC) for the conversion of fructose and xylose into respectively HMF and furfural.</w:t>
      </w:r>
    </w:p>
    <w:p w14:paraId="3412B823" w14:textId="603995D6" w:rsidR="00893C97" w:rsidRPr="006A7278" w:rsidRDefault="00893C97" w:rsidP="00893C97">
      <w:pPr>
        <w:pStyle w:val="TAMainText"/>
        <w:ind w:firstLine="204"/>
        <w:rPr>
          <w:rFonts w:ascii="Times New Roman" w:hAnsi="Times New Roman"/>
        </w:rPr>
      </w:pPr>
      <w:r w:rsidRPr="006A7278">
        <w:rPr>
          <w:rFonts w:ascii="Times New Roman" w:hAnsi="Times New Roman"/>
        </w:rPr>
        <w:t xml:space="preserve">Even though the production of HMF and furfural from fructose and xylose presents high yields, they have some commercial drawbacks. Fructose is commercially produced by the enzymatic isomerization of glucose, a cheaper monosaccharide, which makes the direct conversion of glucose into HMF more desirable </w:t>
      </w:r>
      <w:r w:rsidRPr="006A7278">
        <w:rPr>
          <w:rFonts w:ascii="Times New Roman" w:hAnsi="Times New Roman"/>
        </w:rPr>
        <w:fldChar w:fldCharType="begin" w:fldLock="1"/>
      </w:r>
      <w:r w:rsidRPr="006A7278">
        <w:rPr>
          <w:rFonts w:ascii="Times New Roman" w:hAnsi="Times New Roman"/>
        </w:rPr>
        <w:instrText>ADDIN CSL_CITATION {"citationItems":[{"id":"ITEM-1","itemData":{"DOI":"10.21577/0103-5053.20170009","ISSN":"16784790","abstract":"© 2017 Sociedade Brasileira de Química. Chemicals commodities and consumable, accounting for billions of ton of carbon per year, are produced in an industry based on non-renewable fossil feedstocks. Oil reserves are enough for feeding chemical industry for another century, and therefore, it is essential finding alternative sources of carbon for a progressive replacement of the industrial feedstock. In this context lignocellulosic, a renewable source of carbon composed mainly by polymers of sugars, appears as the most promising candidate. Herein, it will be discussed the status, challenges and prospective future of biomass as industrial feedstock in a raising biorefinery, aiming to clarify the real problems in the actual biomass processing. It will be shown that lignocellulosic biomass is able to replace oil in the production of several chemicals and also delivery new compounds with important applications. However, for a cost effective use of biomass, the development and improvement of solvent and catalytic systems play a leading role. The sustainability of biomass feedstock is also discussed from the economical, social and environmental points of view.","author":[{"dropping-particle":"","family":"Gallo","given":"Jean Marcel R.","non-dropping-particle":"","parse-names":false,"suffix":""},{"dropping-particle":"","family":"Trapp","given":"Marilia A.","non-dropping-particle":"","parse-names":false,"suffix":""}],"container-title":"Journal of the Brazilian Chemical Society","id":"ITEM-1","issue":"9","issued":{"date-parts":[["2017"]]},"note":"From Duplicate 2 (The chemical conversion of biomass-derived saccharides: An overview - Gallo, J M R; Trapp, M A)\n\nCited By :1\nExport Date: 1 March 2018","page":"1586-1607","title":"The chemical conversion of biomass-derived saccharides: An overview","type":"article-journal","volume":"28"},"uris":["http://www.mendeley.com/documents/?uuid=e2314047-4726-4733-a9f4-e77f0f2c22d0"]}],"mendeley":{"formattedCitation":"(1)","plainTextFormattedCitation":"(1)","previouslyFormattedCitation":"(1)"},"properties":{"noteIndex":0},"schema":"https://github.com/citation-style-language/schema/raw/master/csl-citation.json"}</w:instrText>
      </w:r>
      <w:r w:rsidRPr="006A7278">
        <w:rPr>
          <w:rFonts w:ascii="Times New Roman" w:hAnsi="Times New Roman"/>
        </w:rPr>
        <w:fldChar w:fldCharType="separate"/>
      </w:r>
      <w:r w:rsidRPr="006A7278">
        <w:rPr>
          <w:rFonts w:ascii="Times New Roman" w:hAnsi="Times New Roman"/>
          <w:noProof/>
        </w:rPr>
        <w:t>(1)</w:t>
      </w:r>
      <w:r w:rsidRPr="006A7278">
        <w:rPr>
          <w:rFonts w:ascii="Times New Roman" w:hAnsi="Times New Roman"/>
        </w:rPr>
        <w:fldChar w:fldCharType="end"/>
      </w:r>
      <w:r w:rsidRPr="006A7278">
        <w:rPr>
          <w:rFonts w:ascii="Times New Roman" w:hAnsi="Times New Roman"/>
        </w:rPr>
        <w:t xml:space="preserve">. The production of furfural from xylose, in turn, occurs at high temperatures and reaction times, then, it would be desirable to decrease these parameters to make this reaction more economically viable </w:t>
      </w:r>
      <w:r w:rsidRPr="006A7278">
        <w:rPr>
          <w:rFonts w:ascii="Times New Roman" w:hAnsi="Times New Roman"/>
        </w:rPr>
        <w:fldChar w:fldCharType="begin" w:fldLock="1"/>
      </w:r>
      <w:r w:rsidRPr="006A7278">
        <w:rPr>
          <w:rFonts w:ascii="Times New Roman" w:hAnsi="Times New Roman"/>
        </w:rPr>
        <w:instrText>ADDIN CSL_CITATION {"citationItems":[{"id":"ITEM-1","itemData":{"DOI":"10.21577/0103-5053.20170009","ISSN":"16784790","abstract":"© 2017 Sociedade Brasileira de Química. Chemicals commodities and consumable, accounting for billions of ton of carbon per year, are produced in an industry based on non-renewable fossil feedstocks. Oil reserves are enough for feeding chemical industry for another century, and therefore, it is essential finding alternative sources of carbon for a progressive replacement of the industrial feedstock. In this context lignocellulosic, a renewable source of carbon composed mainly by polymers of sugars, appears as the most promising candidate. Herein, it will be discussed the status, challenges and prospective future of biomass as industrial feedstock in a raising biorefinery, aiming to clarify the real problems in the actual biomass processing. It will be shown that lignocellulosic biomass is able to replace oil in the production of several chemicals and also delivery new compounds with important applications. However, for a cost effective use of biomass, the development and improvement of solvent and catalytic systems play a leading role. The sustainability of biomass feedstock is also discussed from the economical, social and environmental points of view.","author":[{"dropping-particle":"","family":"Gallo","given":"Jean Marcel R.","non-dropping-particle":"","parse-names":false,"suffix":""},{"dropping-particle":"","family":"Trapp","given":"Marilia A.","non-dropping-particle":"","parse-names":false,"suffix":""}],"container-title":"Journal of the Brazilian Chemical Society","id":"ITEM-1","issue":"9","issued":{"date-parts":[["2017"]]},"note":"From Duplicate 2 (The chemical conversion of biomass-derived saccharides: An overview - Gallo, J M R; Trapp, M A)\n\nCited By :1\nExport Date: 1 March 2018","page":"1586-1607","title":"The chemical conversion of biomass-derived saccharides: An overview","type":"article-journal","volume":"28"},"uris":["http://www.mendeley.com/documents/?uuid=e2314047-4726-4733-a9f4-e77f0f2c22d0"]}],"mendeley":{"formattedCitation":"(1)","plainTextFormattedCitation":"(1)","previouslyFormattedCitation":"(1)"},"properties":{"noteIndex":0},"schema":"https://github.com/citation-style-language/schema/raw/master/csl-citation.json"}</w:instrText>
      </w:r>
      <w:r w:rsidRPr="006A7278">
        <w:rPr>
          <w:rFonts w:ascii="Times New Roman" w:hAnsi="Times New Roman"/>
        </w:rPr>
        <w:fldChar w:fldCharType="separate"/>
      </w:r>
      <w:r w:rsidRPr="006A7278">
        <w:rPr>
          <w:rFonts w:ascii="Times New Roman" w:hAnsi="Times New Roman"/>
          <w:noProof/>
        </w:rPr>
        <w:t>(1)</w:t>
      </w:r>
      <w:r w:rsidRPr="006A7278">
        <w:rPr>
          <w:rFonts w:ascii="Times New Roman" w:hAnsi="Times New Roman"/>
        </w:rPr>
        <w:fldChar w:fldCharType="end"/>
      </w:r>
      <w:r w:rsidRPr="006A7278">
        <w:rPr>
          <w:rFonts w:ascii="Times New Roman" w:hAnsi="Times New Roman"/>
        </w:rPr>
        <w:t xml:space="preserve">. A promising solution for both problems is to use bifunctional catalysts with Lewis and </w:t>
      </w:r>
      <w:r w:rsidRPr="006A7278">
        <w:t>Brønsted</w:t>
      </w:r>
      <w:r w:rsidRPr="006A7278">
        <w:rPr>
          <w:rFonts w:ascii="Times New Roman" w:hAnsi="Times New Roman"/>
        </w:rPr>
        <w:t xml:space="preserve"> acidity to convert glucose and xylose into HMF and furfural. Thus, the Lewis acid sites firstly isomerizes the precursors into the reactive intermediates fructose and xylulose, which are </w:t>
      </w:r>
      <w:r w:rsidRPr="006A7278">
        <w:rPr>
          <w:rFonts w:ascii="Times New Roman" w:hAnsi="Times New Roman"/>
        </w:rPr>
        <w:lastRenderedPageBreak/>
        <w:t xml:space="preserve">subsequently dehydrated by </w:t>
      </w:r>
      <w:r w:rsidRPr="006A7278">
        <w:t>Brønsted</w:t>
      </w:r>
      <w:r w:rsidRPr="006A7278">
        <w:rPr>
          <w:rFonts w:ascii="Times New Roman" w:hAnsi="Times New Roman"/>
        </w:rPr>
        <w:t xml:space="preserve"> acid sites into their respective platform molecules </w:t>
      </w:r>
      <w:r w:rsidRPr="006A7278">
        <w:rPr>
          <w:rFonts w:ascii="Times New Roman" w:hAnsi="Times New Roman"/>
        </w:rPr>
        <w:fldChar w:fldCharType="begin" w:fldLock="1"/>
      </w:r>
      <w:r w:rsidRPr="006A7278">
        <w:rPr>
          <w:rFonts w:ascii="Times New Roman" w:hAnsi="Times New Roman"/>
        </w:rPr>
        <w:instrText>ADDIN CSL_CITATION {"citationItems":[{"id":"ITEM-1","itemData":{"DOI":"10.1016/j.apcata.2021.118099","ISSN":"0926860X","abstract":"The direct conversion of glucose and xylose into HMF and furfural is more efficient using a combination of Lewis and Brønsted acids. Herein, niobium phosphates were prepared with different compositions, which affect its surface acidity and, consequently, the catalytic activity. The catalysts with a high P/Nb molar ratio presented a low molar ratio between Lewis and Brønsted acid sites (L/B ratio), while those with low P/Nb molar ratio displayed a high L/B ratio. NbP-2, the sample with the highest L/B ratio, showed the highest reaction rate for both HMF and furfural formation. It was found, indeed, that the reaction rate for monosaccharides conversion and furans formation correlate linearly with the L/B ratio. The results presented not only introduce niobium phosphates with a high L/B molar ratio as promising catalysts for HMF and furfural production but also provide fundamental knowledge that will guide the design of other bifunctional heterogeneous catalysts.","author":[{"dropping-particle":"","family":"Vieira","given":"José Lucas","non-dropping-particle":"","parse-names":false,"suffix":""},{"dropping-particle":"","family":"Paul","given":"Geo","non-dropping-particle":"","parse-names":false,"suffix":""},{"dropping-particle":"","family":"Iga","given":"Gustavo D","non-dropping-particle":"","parse-names":false,"suffix":""},{"dropping-particle":"","family":"Cabral","given":"Natalia M","non-dropping-particle":"","parse-names":false,"suffix":""},{"dropping-particle":"","family":"Bueno","given":"José Maria C.","non-dropping-particle":"","parse-names":false,"suffix":""},{"dropping-particle":"","family":"Bisio","given":"Chiara","non-dropping-particle":"","parse-names":false,"suffix":""},{"dropping-particle":"","family":"Gallo","given":"Jean Marcel R.","non-dropping-particle":"","parse-names":false,"suffix":""}],"container-title":"Applied Catalysis A: General","id":"ITEM-1","issued":{"date-parts":[["2021"]]},"page":"1-16","title":"Niobium phosphates as bifunctional catalysts for the conversion of biomass-derived monosaccharides","type":"article-journal","volume":"617"},"uris":["http://www.mendeley.com/documents/?uuid=f629c695-aa17-4d72-80c7-d8559a229b42"]}],"mendeley":{"formattedCitation":"(5)","plainTextFormattedCitation":"(5)","previouslyFormattedCitation":"(5)"},"properties":{"noteIndex":0},"schema":"https://github.com/citation-style-language/schema/raw/master/csl-citation.json"}</w:instrText>
      </w:r>
      <w:r w:rsidRPr="006A7278">
        <w:rPr>
          <w:rFonts w:ascii="Times New Roman" w:hAnsi="Times New Roman"/>
        </w:rPr>
        <w:fldChar w:fldCharType="separate"/>
      </w:r>
      <w:r w:rsidRPr="006A7278">
        <w:rPr>
          <w:rFonts w:ascii="Times New Roman" w:hAnsi="Times New Roman"/>
          <w:noProof/>
        </w:rPr>
        <w:t>(5)</w:t>
      </w:r>
      <w:r w:rsidRPr="006A7278">
        <w:rPr>
          <w:rFonts w:ascii="Times New Roman" w:hAnsi="Times New Roman"/>
        </w:rPr>
        <w:fldChar w:fldCharType="end"/>
      </w:r>
      <w:r w:rsidRPr="006A7278">
        <w:rPr>
          <w:rFonts w:ascii="Times New Roman" w:hAnsi="Times New Roman"/>
        </w:rPr>
        <w:t>.</w:t>
      </w:r>
    </w:p>
    <w:p w14:paraId="43DFE1BB" w14:textId="77777777" w:rsidR="00F07290" w:rsidRPr="006A7278" w:rsidRDefault="00893C97" w:rsidP="00893C97">
      <w:pPr>
        <w:pStyle w:val="TAMainText"/>
        <w:ind w:firstLine="204"/>
      </w:pPr>
      <w:r w:rsidRPr="006A7278">
        <w:rPr>
          <w:rFonts w:ascii="Times New Roman" w:hAnsi="Times New Roman"/>
        </w:rPr>
        <w:t>A very interesting bifunctional catalyst for the conversion of glucose into HMF was obtained by the partial ion</w:t>
      </w:r>
      <w:r w:rsidRPr="006A7278">
        <w:t xml:space="preserve"> exchange of the Brønsted acid sites of the resin sulfonic Amberlyst-15 with cations Fe(III), achieving HMF yields close to 60 % </w:t>
      </w:r>
      <w:r w:rsidRPr="006A7278">
        <w:fldChar w:fldCharType="begin" w:fldLock="1"/>
      </w:r>
      <w:r w:rsidRPr="006A7278">
        <w:instrText>ADDIN CSL_CITATION {"citationItems":[{"id":"ITEM-1","itemData":{"DOI":"10.1039/c8se00499d","ISSN":"23984902","abstract":"In this study, a series of Fe 3+ modified Amberlyst-15 resins (Fe/AR) were prepared and used as environmentally friendly bifunctional catalysts for the conversion of glucose to 5-hydroxymethylfurfural (HMF). The physicochemical properties of the Fe/AR catalysts were characterized by XRD, SEM-EDX, XPS, TG-DTA and FTIR spectroscopy techniques. It was found that the 10%-Fe/AR catalyst has the ability to synergistically catalyze the isomerization of glucose and the dehydration of fructose in a \"one-pot\" reaction, and allows an impressive 68% HMF yield to be achieved in the H 2 O/THF biphasic system. Moreover, the 10%-Fe/AR catalyst still retained the desired catalytic activity after four consecutive cycles.","author":[{"dropping-particle":"","family":"Xu","given":"Siquan","non-dropping-particle":"","parse-names":false,"suffix":""},{"dropping-particle":"","family":"Yin","given":"Chunyu","non-dropping-particle":"","parse-names":false,"suffix":""},{"dropping-particle":"","family":"Pan","given":"Donghui","non-dropping-particle":"","parse-names":false,"suffix":""},{"dropping-particle":"","family":"Hu","given":"Feng","non-dropping-particle":"","parse-names":false,"suffix":""},{"dropping-particle":"","family":"Wu","given":"Yuanfeng","non-dropping-particle":"","parse-names":false,"suffix":""},{"dropping-particle":"","family":"Miao","given":"Yanan","non-dropping-particle":"","parse-names":false,"suffix":""},{"dropping-particle":"","family":"Gao","given":"Lijing","non-dropping-particle":"","parse-names":false,"suffix":""},{"dropping-particle":"","family":"Xiao","given":"Guomin","non-dropping-particle":"","parse-names":false,"suffix":""}],"container-title":"Sustainable Energy and Fuels","id":"ITEM-1","issue":"2","issued":{"date-parts":[["2019"]]},"page":"390-395","title":"Efficient conversion of glucose into 5-hydroxymethylfurfural using a bifunctional Fe 3+ modified Amberlyst-15 catalyst","type":"article-journal","volume":"3"},"uris":["http://www.mendeley.com/documents/?uuid=a75ca61c-0c78-48fc-b8df-193d71f379bb"]}],"mendeley":{"formattedCitation":"(6)","plainTextFormattedCitation":"(6)","previouslyFormattedCitation":"(6)"},"properties":{"noteIndex":0},"schema":"https://github.com/citation-style-language/schema/raw/master/csl-citation.json"}</w:instrText>
      </w:r>
      <w:r w:rsidRPr="006A7278">
        <w:fldChar w:fldCharType="separate"/>
      </w:r>
      <w:r w:rsidRPr="006A7278">
        <w:rPr>
          <w:noProof/>
        </w:rPr>
        <w:t>(6)</w:t>
      </w:r>
      <w:r w:rsidRPr="006A7278">
        <w:fldChar w:fldCharType="end"/>
      </w:r>
      <w:r w:rsidRPr="006A7278">
        <w:t xml:space="preserve">. Therefore, in the second part of this work, we propose a partial ion exchange of the Brønsted acid sites of the best BTMC prepared in the first part with promising metallic cations for the isomerization of monosaccharides, such as </w:t>
      </w:r>
      <w:r w:rsidRPr="006A7278">
        <w:rPr>
          <w:rFonts w:ascii="Times New Roman" w:hAnsi="Times New Roman"/>
        </w:rPr>
        <w:t xml:space="preserve">Al(III), Sc(III), Fe(III), Cu(II), Sn(IV) and Yb(III) </w:t>
      </w:r>
      <w:r w:rsidRPr="006A7278">
        <w:fldChar w:fldCharType="begin" w:fldLock="1"/>
      </w:r>
      <w:r w:rsidRPr="006A7278">
        <w:instrText>ADDIN CSL_CITATION {"citationItems":[{"id":"ITEM-1","itemData":{"DOI":"10.1039/c8se00499d","ISSN":"23984902","abstract":"In this study, a series of Fe 3+ modified Amberlyst-15 resins (Fe/AR) were prepared and used as environmentally friendly bifunctional catalysts for the conversion of glucose to 5-hydroxymethylfurfural (HMF). The physicochemical properties of the Fe/AR catalysts were characterized by XRD, SEM-EDX, XPS, TG-DTA and FTIR spectroscopy techniques. It was found that the 10%-Fe/AR catalyst has the ability to synergistically catalyze the isomerization of glucose and the dehydration of fructose in a \"one-pot\" reaction, and allows an impressive 68% HMF yield to be achieved in the H 2 O/THF biphasic system. Moreover, the 10%-Fe/AR catalyst still retained the desired catalytic activity after four consecutive cycles.","author":[{"dropping-particle":"","family":"Xu","given":"Siquan","non-dropping-particle":"","parse-names":false,"suffix":""},{"dropping-particle":"","family":"Yin","given":"Chunyu","non-dropping-particle":"","parse-names":false,"suffix":""},{"dropping-particle":"","family":"Pan","given":"Donghui","non-dropping-particle":"","parse-names":false,"suffix":""},{"dropping-particle":"","family":"Hu","given":"Feng","non-dropping-particle":"","parse-names":false,"suffix":""},{"dropping-particle":"","family":"Wu","given":"Yuanfeng","non-dropping-particle":"","parse-names":false,"suffix":""},{"dropping-particle":"","family":"Miao","given":"Yanan","non-dropping-particle":"","parse-names":false,"suffix":""},{"dropping-particle":"","family":"Gao","given":"Lijing","non-dropping-particle":"","parse-names":false,"suffix":""},{"dropping-particle":"","family":"Xiao","given":"Guomin","non-dropping-particle":"","parse-names":false,"suffix":""}],"container-title":"Sustainable Energy and Fuels","id":"ITEM-1","issue":"2","issued":{"date-parts":[["2019"]]},"page":"390-395","title":"Efficient conversion of glucose into 5-hydroxymethylfurfural using a bifunctional Fe 3+ modified Amberlyst-15 catalyst","type":"article-journal","volume":"3"},"uris":["http://www.mendeley.com/documents/?uuid=a75ca61c-0c78-48fc-b8df-193d71f379bb"]},{"id":"ITEM-2","itemData":{"DOI":"10.1021/acs.iecr.1c01781","ISSN":"0888-5885","author":[{"dropping-particle":"","family":"Pimenta Lorenti","given":"Juliana","non-dropping-particle":"","parse-names":false,"suffix":""},{"dropping-particle":"","family":"Scolari","given":"Eduardo","non-dropping-particle":"","parse-names":false,"suffix":""},{"dropping-particle":"","family":"Cabral","given":"Natalia M","non-dropping-particle":"","parse-names":false,"suffix":""},{"dropping-particle":"","family":"Bisio","given":"Chiara","non-dropping-particle":"","parse-names":false,"suffix":""},{"dropping-particle":"","family":"Gallo","given":"Jean Marcel R","non-dropping-particle":"","parse-names":false,"suffix":""}],"container-title":"Industrial &amp; Engineering Chemistry Research","id":"ITEM-2","issue":"35","issued":{"date-parts":[["2021","9","8"]]},"page":"12821-12833","title":"Isomerization and Epimerization of Glucose Catalyzed by Sn-Containing Mesoporous Silica","type":"article-journal","volume":"60"},"uris":["http://www.mendeley.com/documents/?uuid=280f8247-fc7c-4215-b7c0-00935cecade7"]},{"id":"ITEM-3","itemData":{"DOI":"10.1016/j.clay.2017.02.017","ISSN":"01691317","abstract":"Various metal ion-exchanged montmorillonite catalysts were prepared, characterized, and evaluated in the conversion of glucose to methyl levulinate in methanol. The bulk and surface features of these catalysts were investigated using X-ray fluorescence spectroscopy, inductively coupled plasma optical emission spectroscopy, powder X-ray diffraction, Fourier-transform infrared (FT-IR) spectroscopy, thermogravimetric analysis, scanning electron microscopy, N2 adsorption–desorption, temperature-programmed NH3 desorption, and pyridine adsorption FT-IR spectroscopy. Al3 +-exchanged montmorillonite had the best activity and maximum methyl levulinate selectivity because of presence of a large number of acid sites and a good balance of Brønsted and Lewis acid sites on the catalyst. The montmorillonite catalyst can be easily recovered from the reaction mixture by filtration, and reused at least five times without any loss of activity and selectivity after treatment with H2O2 solution to remove carbon species deposited on the catalyst surface.","author":[{"dropping-particle":"","family":"Liu","given":"Jie","non-dropping-particle":"","parse-names":false,"suffix":""},{"dropping-particle":"","family":"Yang","given":"Bei Bei","non-dropping-particle":"","parse-names":false,"suffix":""},{"dropping-particle":"","family":"Wang","given":"Xue Qian","non-dropping-particle":"","parse-names":false,"suffix":""},{"dropping-particle":"","family":"Liu","given":"Chun Ling","non-dropping-particle":"","parse-names":false,"suffix":""},{"dropping-particle":"","family":"Yang","given":"Rong Zhen","non-dropping-particle":"","parse-names":false,"suffix":""},{"dropping-particle":"","family":"Dong","given":"Wen Sheng","non-dropping-particle":"","parse-names":false,"suffix":""}],"container-title":"Applied Clay Science","id":"ITEM-3","issued":{"date-parts":[["2017"]]},"page":"118-124","publisher":"Elsevier B.V.","title":"Glucose conversion to methyl levulinate catalyzed by metal ion-exchanged montmorillonites","type":"article-journal","volume":"141"},"uris":["http://www.mendeley.com/documents/?uuid=b3bf1236-0fe3-46a5-ada5-5108d805cf81"]},{"id":"ITEM-4","itemData":{"DOI":"10.2174/1570193053544472","author":[{"dropping-particle":"","family":"Luo","given":"S","non-dropping-particle":"","parse-names":false,"suffix":""},{"dropping-particle":"","family":"Zhu","given":"L","non-dropping-particle":"","parse-names":false,"suffix":""},{"dropping-particle":"","family":"Talukdar","given":"A","non-dropping-particle":"","parse-names":false,"suffix":""},{"dropping-particle":"","family":"Zhang","given":"G","non-dropping-particle":"","parse-names":false,"suffix":""},{"dropping-particle":"","family":"Mi","given":"X","non-dropping-particle":"","parse-names":false,"suffix":""},{"dropping-particle":"","family":"Cheng","given":"J P","non-dropping-particle":"","parse-names":false,"suffix":""},{"dropping-particle":"","family":"Wang","given":"P G","non-dropping-particle":"","parse-names":false,"suffix":""}],"container-title":"Mini-Reviews in Organic Chemistry","id":"ITEM-4","issue":"2","issued":{"date-parts":[["2005"]]},"note":"Cited By :53\nExport Date: 26 March 2019","page":"177-202","title":"Recent advances in rare earth-metal triflate catalyzed organic synthesis in green media","type":"article-journal","volume":"2"},"uris":["http://www.mendeley.com/documents/?uuid=b275669b-a8d1-4c7d-ad40-84f0c2e3900c"]}],"mendeley":{"formattedCitation":"(6–9)","plainTextFormattedCitation":"(6–9)","previouslyFormattedCitation":"(6–9)"},"properties":{"noteIndex":0},"schema":"https://github.com/citation-style-language/schema/raw/master/csl-citation.json"}</w:instrText>
      </w:r>
      <w:r w:rsidRPr="006A7278">
        <w:fldChar w:fldCharType="separate"/>
      </w:r>
      <w:r w:rsidRPr="006A7278">
        <w:rPr>
          <w:noProof/>
        </w:rPr>
        <w:t>(6–9)</w:t>
      </w:r>
      <w:r w:rsidRPr="006A7278">
        <w:fldChar w:fldCharType="end"/>
      </w:r>
      <w:r w:rsidRPr="006A7278">
        <w:rPr>
          <w:rFonts w:ascii="Times New Roman" w:hAnsi="Times New Roman"/>
        </w:rPr>
        <w:t xml:space="preserve">. The </w:t>
      </w:r>
      <w:r w:rsidRPr="006A7278">
        <w:t>Bifunctional Templated Mesoporous Carbons (BiTMC) produced were then used in the conversion of glucose and xylose into HMF and furfural, respectively.</w:t>
      </w:r>
    </w:p>
    <w:p w14:paraId="4D2EF067" w14:textId="3C5CC50D" w:rsidR="00893C97" w:rsidRPr="006A7278" w:rsidRDefault="00F07290" w:rsidP="00893C97">
      <w:pPr>
        <w:pStyle w:val="TAMainText"/>
        <w:ind w:firstLine="204"/>
        <w:rPr>
          <w:rFonts w:ascii="Times New Roman" w:hAnsi="Times New Roman"/>
        </w:rPr>
      </w:pPr>
      <w:bookmarkStart w:id="2" w:name="_Hlk138081468"/>
      <w:r w:rsidRPr="006A7278">
        <w:t xml:space="preserve">Furthermore, in both parts of this work, we selected tetrahydrofuran containing 20 wt. % of water as solvent for the catalytic reactions, which is known to increase the </w:t>
      </w:r>
      <w:r w:rsidR="00392F30" w:rsidRPr="006A7278">
        <w:t xml:space="preserve">reaction rates and </w:t>
      </w:r>
      <w:r w:rsidR="004B55B8" w:rsidRPr="006A7278">
        <w:t>selectivities to</w:t>
      </w:r>
      <w:r w:rsidRPr="006A7278">
        <w:t xml:space="preserve"> platform molecules from monosaccharides </w:t>
      </w:r>
      <w:r w:rsidRPr="006A7278">
        <w:fldChar w:fldCharType="begin" w:fldLock="1"/>
      </w:r>
      <w:r w:rsidR="00562D7D" w:rsidRPr="006A7278">
        <w:instrText>ADDIN CSL_CITATION {"citationItems":[{"id":"ITEM-1","itemData":{"DOI":"10.1002/anie.201408359","ISBN":"9781510812529","ISSN":"15213773","PMID":"25214063","abstract":"Reaction kinetics were studied to quantify the effects of polar aprotic organic solvents on the acid-catalyzed conversion of xylose into furfural. A solvent of particular importance is γ-valerolactone (GVL), which leads to significant increases in reaction rates compared to water in addition to increased product selectivity. GVL has similar effects on the kinetics for the dehydration of 1,2-propanediol to propanal and for the hydrolysis of cellobiose to glucose. Based on results obtained for homogeneous Brønsted acid catalysts that span a range of pKa values, we suggest that an aprotic organic solvent affects the reaction kinetics by changing the stabilization of the acidic proton relative to the protonated transition state. This same behavior is displayed by strong solid Brønsted acid catalysts, such as H-mordenite and H-beta.","author":[{"dropping-particle":"","family":"Mellmer","given":"Max A. A","non-dropping-particle":"","parse-names":false,"suffix":""},{"dropping-particle":"","family":"Sener","given":"Canan","non-dropping-particle":"","parse-names":false,"suffix":""},{"dropping-particle":"","family":"Gallo","given":"Jean Marcel R. M R","non-dropping-particle":"","parse-names":false,"suffix":""},{"dropping-particle":"","family":"Luterbacher","given":"Jeremy S. S","non-dropping-particle":"","parse-names":false,"suffix":""},{"dropping-particle":"","family":"Alonso","given":"David Martin M","non-dropping-particle":"","parse-names":false,"suffix":""},{"dropping-particle":"","family":"Dumesic","given":"James A. A","non-dropping-particle":"","parse-names":false,"suffix":""}],"container-title":"Angewandte Chemie - International Edition","id":"ITEM-1","issue":"44","issued":{"date-parts":[["2014"]]},"note":"From Duplicate 2 (Solvent effects in acid-catalyzed biomass conversion reactions - Mellmer, M A; Sener, C; Gallo, J M R; Luterbacher, J S; Alonso, D M; Dumesic, J A)\n\nCited By :67\nExport Date: 18 January 2018","page":"11872-11875","title":"Solvent effects in acid-catalyzed biomass conversion reactions","type":"article-journal","volume":"53"},"uris":["http://www.mendeley.com/documents/?uuid=203cc963-7308-4e2c-bffb-baf9687cb6b0"]}],"mendeley":{"formattedCitation":"(10)","plainTextFormattedCitation":"(10)","previouslyFormattedCitation":"(10)"},"properties":{"noteIndex":0},"schema":"https://github.com/citation-style-language/schema/raw/master/csl-citation.json"}</w:instrText>
      </w:r>
      <w:r w:rsidRPr="006A7278">
        <w:fldChar w:fldCharType="separate"/>
      </w:r>
      <w:r w:rsidRPr="006A7278">
        <w:rPr>
          <w:noProof/>
        </w:rPr>
        <w:t>(10)</w:t>
      </w:r>
      <w:r w:rsidRPr="006A7278">
        <w:fldChar w:fldCharType="end"/>
      </w:r>
      <w:bookmarkEnd w:id="2"/>
      <w:r w:rsidRPr="006A7278">
        <w:t>.</w:t>
      </w:r>
    </w:p>
    <w:p w14:paraId="52FFAC79" w14:textId="697AE363" w:rsidR="00EA4E1B" w:rsidRPr="006A7278" w:rsidRDefault="00AA772D" w:rsidP="00EA4E1B">
      <w:pPr>
        <w:pStyle w:val="Ttulo2"/>
        <w:rPr>
          <w:rFonts w:ascii="Helvetica" w:hAnsi="Helvetica" w:cs="Helvetica"/>
          <w:sz w:val="24"/>
          <w:szCs w:val="24"/>
          <w:lang w:val="en-US"/>
        </w:rPr>
      </w:pPr>
      <w:r w:rsidRPr="006A7278">
        <w:rPr>
          <w:rFonts w:ascii="Helvetica" w:hAnsi="Helvetica" w:cs="Helvetica"/>
          <w:sz w:val="24"/>
          <w:szCs w:val="24"/>
          <w:lang w:val="en-US"/>
        </w:rPr>
        <w:t>Materials and Methods</w:t>
      </w:r>
    </w:p>
    <w:p w14:paraId="00EEF2C3" w14:textId="2932932B" w:rsidR="00B93CD4" w:rsidRPr="006A7278" w:rsidRDefault="00B93CD4" w:rsidP="00B93CD4">
      <w:pPr>
        <w:pStyle w:val="TAMainText"/>
        <w:ind w:firstLine="0"/>
        <w:rPr>
          <w:rFonts w:ascii="Times New Roman" w:hAnsi="Times New Roman"/>
          <w:i/>
        </w:rPr>
      </w:pPr>
      <w:r w:rsidRPr="006A7278">
        <w:rPr>
          <w:rFonts w:ascii="Times New Roman" w:hAnsi="Times New Roman"/>
          <w:i/>
        </w:rPr>
        <w:t>Synthesis of</w:t>
      </w:r>
      <w:r w:rsidR="007C4E8B" w:rsidRPr="006A7278">
        <w:rPr>
          <w:rFonts w:ascii="Times New Roman" w:hAnsi="Times New Roman"/>
          <w:i/>
        </w:rPr>
        <w:t xml:space="preserve"> the</w:t>
      </w:r>
      <w:r w:rsidRPr="006A7278">
        <w:rPr>
          <w:rFonts w:ascii="Times New Roman" w:hAnsi="Times New Roman"/>
          <w:i/>
        </w:rPr>
        <w:t xml:space="preserve"> </w:t>
      </w:r>
      <w:r w:rsidR="00561F67" w:rsidRPr="006A7278">
        <w:rPr>
          <w:rFonts w:ascii="Times New Roman" w:hAnsi="Times New Roman"/>
          <w:i/>
        </w:rPr>
        <w:t xml:space="preserve">TMCS and </w:t>
      </w:r>
      <w:r w:rsidR="00F121FF" w:rsidRPr="006A7278">
        <w:rPr>
          <w:rFonts w:ascii="Times New Roman" w:hAnsi="Times New Roman"/>
          <w:i/>
        </w:rPr>
        <w:t>BTMC</w:t>
      </w:r>
    </w:p>
    <w:p w14:paraId="32D56690" w14:textId="42C30497" w:rsidR="00561F67" w:rsidRPr="006A7278" w:rsidRDefault="00733D65" w:rsidP="00B93CD4">
      <w:pPr>
        <w:pStyle w:val="TAMainText"/>
        <w:rPr>
          <w:rFonts w:ascii="Times New Roman" w:hAnsi="Times New Roman"/>
        </w:rPr>
      </w:pPr>
      <w:r w:rsidRPr="006A7278">
        <w:rPr>
          <w:rFonts w:ascii="Times New Roman" w:hAnsi="Times New Roman"/>
        </w:rPr>
        <w:t>Ten TMCS and BTMC were prepared</w:t>
      </w:r>
      <w:r w:rsidR="00B93CD4" w:rsidRPr="006A7278">
        <w:rPr>
          <w:rFonts w:ascii="Times New Roman" w:hAnsi="Times New Roman"/>
        </w:rPr>
        <w:t>.</w:t>
      </w:r>
      <w:r w:rsidR="005C374B" w:rsidRPr="006A7278">
        <w:rPr>
          <w:rFonts w:ascii="Times New Roman" w:hAnsi="Times New Roman"/>
        </w:rPr>
        <w:t xml:space="preserve"> For the synthesis of the carbon supports, the silica hard template, the carbon source and the pyrolysis temperature were varied (</w:t>
      </w:r>
      <w:r w:rsidR="00D94A76" w:rsidRPr="006A7278">
        <w:rPr>
          <w:rFonts w:ascii="Times New Roman" w:hAnsi="Times New Roman"/>
          <w:b/>
          <w:bCs/>
        </w:rPr>
        <w:t>Table 1</w:t>
      </w:r>
      <w:r w:rsidR="00D94A76" w:rsidRPr="006A7278">
        <w:rPr>
          <w:rFonts w:ascii="Times New Roman" w:hAnsi="Times New Roman"/>
        </w:rPr>
        <w:t>).</w:t>
      </w:r>
      <w:r w:rsidR="00561F67" w:rsidRPr="006A7278">
        <w:rPr>
          <w:rFonts w:ascii="Times New Roman" w:hAnsi="Times New Roman"/>
        </w:rPr>
        <w:t xml:space="preserve"> </w:t>
      </w:r>
      <w:r w:rsidR="00AC6F4A" w:rsidRPr="006A7278">
        <w:rPr>
          <w:rFonts w:ascii="Times New Roman" w:hAnsi="Times New Roman"/>
        </w:rPr>
        <w:t xml:space="preserve">To remove the silica template, </w:t>
      </w:r>
      <w:r w:rsidR="002F72E5" w:rsidRPr="006A7278">
        <w:rPr>
          <w:rFonts w:ascii="Times New Roman" w:hAnsi="Times New Roman"/>
        </w:rPr>
        <w:t xml:space="preserve">HF concentrated was used. </w:t>
      </w:r>
      <w:r w:rsidR="00561F67" w:rsidRPr="006A7278">
        <w:rPr>
          <w:rFonts w:ascii="Times New Roman" w:hAnsi="Times New Roman"/>
        </w:rPr>
        <w:t xml:space="preserve">The nomenclature of these materials </w:t>
      </w:r>
      <w:r w:rsidR="007C4E8B" w:rsidRPr="006A7278">
        <w:rPr>
          <w:rFonts w:ascii="Times New Roman" w:hAnsi="Times New Roman"/>
        </w:rPr>
        <w:t>is</w:t>
      </w:r>
      <w:r w:rsidR="00561F67" w:rsidRPr="006A7278">
        <w:rPr>
          <w:rFonts w:ascii="Times New Roman" w:hAnsi="Times New Roman"/>
        </w:rPr>
        <w:t xml:space="preserve"> “Carbon-Pyrolysis temperature”.</w:t>
      </w:r>
    </w:p>
    <w:p w14:paraId="25A0ED31" w14:textId="71FFEDCE" w:rsidR="0094703A" w:rsidRPr="006A7278" w:rsidRDefault="004D35B2" w:rsidP="002F3658">
      <w:pPr>
        <w:pStyle w:val="TAMainText"/>
        <w:spacing w:after="120"/>
        <w:ind w:firstLine="204"/>
        <w:rPr>
          <w:rFonts w:ascii="Times New Roman" w:hAnsi="Times New Roman"/>
        </w:rPr>
      </w:pPr>
      <w:r w:rsidRPr="006A7278">
        <w:rPr>
          <w:rFonts w:ascii="Times New Roman" w:hAnsi="Times New Roman"/>
        </w:rPr>
        <w:t xml:space="preserve">After that, </w:t>
      </w:r>
      <w:r w:rsidR="00733D65" w:rsidRPr="006A7278">
        <w:rPr>
          <w:rFonts w:ascii="Times New Roman" w:hAnsi="Times New Roman"/>
        </w:rPr>
        <w:t>two</w:t>
      </w:r>
      <w:r w:rsidRPr="006A7278">
        <w:rPr>
          <w:rFonts w:ascii="Times New Roman" w:hAnsi="Times New Roman"/>
        </w:rPr>
        <w:t xml:space="preserve"> different post-grafting methods</w:t>
      </w:r>
      <w:r w:rsidR="00733D65" w:rsidRPr="006A7278">
        <w:rPr>
          <w:rFonts w:ascii="Times New Roman" w:hAnsi="Times New Roman"/>
        </w:rPr>
        <w:t xml:space="preserve"> were selected</w:t>
      </w:r>
      <w:r w:rsidRPr="006A7278">
        <w:rPr>
          <w:rFonts w:ascii="Times New Roman" w:hAnsi="Times New Roman"/>
        </w:rPr>
        <w:t xml:space="preserve"> to </w:t>
      </w:r>
      <w:r w:rsidR="00733D65" w:rsidRPr="006A7278">
        <w:rPr>
          <w:rFonts w:ascii="Times New Roman" w:hAnsi="Times New Roman"/>
        </w:rPr>
        <w:t>functionalize with</w:t>
      </w:r>
      <w:r w:rsidRPr="006A7278">
        <w:rPr>
          <w:rFonts w:ascii="Times New Roman" w:hAnsi="Times New Roman"/>
        </w:rPr>
        <w:t xml:space="preserve"> Brønsted acid species. For the carbon supports pyrolyzed at 550 °C, which theoretically present a surface functionalized with oxygen groups, it was selected the fuming sulfuric acid method </w:t>
      </w:r>
      <w:r w:rsidRPr="006A7278">
        <w:rPr>
          <w:rFonts w:ascii="Times New Roman" w:hAnsi="Times New Roman"/>
        </w:rPr>
        <w:fldChar w:fldCharType="begin" w:fldLock="1"/>
      </w:r>
      <w:r w:rsidR="00562D7D" w:rsidRPr="006A7278">
        <w:rPr>
          <w:rFonts w:ascii="Times New Roman" w:hAnsi="Times New Roman"/>
        </w:rPr>
        <w:instrText>ADDIN CSL_CITATION {"citationItems":[{"id":"ITEM-1","itemData":{"DOI":"https://doi.org/10.1016/j.cattod.2006.01.037","ISSN":"0920-5861","abstract":"Carbon material prepared from d-glucose has been examined as a solid acid catalyst. Sulfonation of incompletely carbonized d-glucose results in amorphous carbon consisting of small polycyclic aromatic carbon sheets with high density of SO3H groups. The carbon material exhibits remarkable catalytic performance for the esterification of higher fatty acids. This can be attributed to high density of SO3H groups with strong acidity in the material.","author":[{"dropping-particle":"","family":"Takagaki","given":"Atsushi","non-dropping-particle":"","parse-names":false,"suffix":""},{"dropping-particle":"","family":"Toda","given":"Masakazu","non-dropping-particle":"","parse-names":false,"suffix":""},{"dropping-particle":"","family":"Okamura","given":"Mai","non-dropping-particle":"","parse-names":false,"suffix":""},{"dropping-particle":"","family":"Kondo","given":"Junko N","non-dropping-particle":"","parse-names":false,"suffix":""},{"dropping-particle":"","family":"Hayashi","given":"Shigenobu","non-dropping-particle":"","parse-names":false,"suffix":""},{"dropping-particle":"","family":"Domen","given":"Kazunari","non-dropping-particle":"","parse-names":false,"suffix":""},{"dropping-particle":"","family":"Hara","given":"Michikazu","non-dropping-particle":"","parse-names":false,"suffix":""}],"container-title":"Catalysis Today","id":"ITEM-1","issue":"2","issued":{"date-parts":[["2006"]]},"page":"157-161","title":"Esterification of higher fatty acids by a novel strong solid acid","type":"article-journal","volume":"116"},"uris":["http://www.mendeley.com/documents/?uuid=35d49521-dbeb-45cc-b13e-81b5860bbf8f"]}],"mendeley":{"formattedCitation":"(11)","plainTextFormattedCitation":"(11)","previouslyFormattedCitation":"(11)"},"properties":{"noteIndex":0},"schema":"https://github.com/citation-style-language/schema/raw/master/csl-citation.json"}</w:instrText>
      </w:r>
      <w:r w:rsidRPr="006A7278">
        <w:rPr>
          <w:rFonts w:ascii="Times New Roman" w:hAnsi="Times New Roman"/>
        </w:rPr>
        <w:fldChar w:fldCharType="separate"/>
      </w:r>
      <w:r w:rsidR="00F07290" w:rsidRPr="006A7278">
        <w:rPr>
          <w:rFonts w:ascii="Times New Roman" w:hAnsi="Times New Roman"/>
          <w:noProof/>
        </w:rPr>
        <w:t>(11)</w:t>
      </w:r>
      <w:r w:rsidRPr="006A7278">
        <w:rPr>
          <w:rFonts w:ascii="Times New Roman" w:hAnsi="Times New Roman"/>
        </w:rPr>
        <w:fldChar w:fldCharType="end"/>
      </w:r>
      <w:r w:rsidRPr="006A7278">
        <w:rPr>
          <w:rFonts w:ascii="Times New Roman" w:hAnsi="Times New Roman"/>
        </w:rPr>
        <w:t>, in order to graft sulfonic</w:t>
      </w:r>
      <w:r w:rsidR="006E58E5" w:rsidRPr="006A7278">
        <w:rPr>
          <w:rFonts w:ascii="Times New Roman" w:hAnsi="Times New Roman"/>
        </w:rPr>
        <w:t xml:space="preserve"> acid</w:t>
      </w:r>
      <w:r w:rsidRPr="006A7278">
        <w:rPr>
          <w:rFonts w:ascii="Times New Roman" w:hAnsi="Times New Roman"/>
        </w:rPr>
        <w:t xml:space="preserve"> species (catalyst “Carbon-SA”). For the supports pyrolyzed at 1000 °C, which present a more hydrophobic surface, the diazonium salt method </w:t>
      </w:r>
      <w:r w:rsidRPr="006A7278">
        <w:rPr>
          <w:rFonts w:ascii="Times New Roman" w:hAnsi="Times New Roman"/>
        </w:rPr>
        <w:fldChar w:fldCharType="begin" w:fldLock="1"/>
      </w:r>
      <w:r w:rsidR="00562D7D" w:rsidRPr="006A7278">
        <w:rPr>
          <w:rFonts w:ascii="Times New Roman" w:hAnsi="Times New Roman"/>
        </w:rPr>
        <w:instrText>ADDIN CSL_CITATION {"citationItems":[{"id":"ITEM-1","itemData":{"DOI":"10.1021/cm070278r","ISSN":"08974756","author":[{"dropping-particle":"","family":"Wang","given":"Xiqing","non-dropping-particle":"","parse-names":false,"suffix":""},{"dropping-particle":"","family":"Liu","given":"Rui","non-dropping-particle":"","parse-names":false,"suffix":""},{"dropping-particle":"","family":"Waje","given":"Mahesh M.","non-dropping-particle":"","parse-names":false,"suffix":""},{"dropping-particle":"","family":"Chen","given":"Zhongwei","non-dropping-particle":"","parse-names":false,"suffix":""},{"dropping-particle":"","family":"Yan","given":"Yushan","non-dropping-particle":"","parse-names":false,"suffix":""},{"dropping-particle":"","family":"Bozhilov","given":"Krassimir N.","non-dropping-particle":"","parse-names":false,"suffix":""},{"dropping-particle":"","family":"Feng","given":"Pingyun","non-dropping-particle":"","parse-names":false,"suffix":""}],"container-title":"Chemistry of Materials","id":"ITEM-1","issue":"10","issued":{"date-parts":[["2007"]]},"page":"2395-2397","title":"Sulfonated ordered mesoporous carbon as a stable and highly active protonic acid catalyst","type":"article-journal","volume":"19"},"uris":["http://www.mendeley.com/documents/?uuid=25933d03-ac2c-434c-9925-b8e9c2e9a857"]}],"mendeley":{"formattedCitation":"(12)","plainTextFormattedCitation":"(12)","previouslyFormattedCitation":"(12)"},"properties":{"noteIndex":0},"schema":"https://github.com/citation-style-language/schema/raw/master/csl-citation.json"}</w:instrText>
      </w:r>
      <w:r w:rsidRPr="006A7278">
        <w:rPr>
          <w:rFonts w:ascii="Times New Roman" w:hAnsi="Times New Roman"/>
        </w:rPr>
        <w:fldChar w:fldCharType="separate"/>
      </w:r>
      <w:r w:rsidR="00F07290" w:rsidRPr="006A7278">
        <w:rPr>
          <w:rFonts w:ascii="Times New Roman" w:hAnsi="Times New Roman"/>
          <w:noProof/>
        </w:rPr>
        <w:t>(12)</w:t>
      </w:r>
      <w:r w:rsidRPr="006A7278">
        <w:rPr>
          <w:rFonts w:ascii="Times New Roman" w:hAnsi="Times New Roman"/>
        </w:rPr>
        <w:fldChar w:fldCharType="end"/>
      </w:r>
      <w:r w:rsidRPr="006A7278">
        <w:rPr>
          <w:rFonts w:ascii="Times New Roman" w:hAnsi="Times New Roman"/>
        </w:rPr>
        <w:t xml:space="preserve"> was selected to graft phenylsulfonic acid species (catalyst “Carbon-PSA”) (</w:t>
      </w:r>
      <w:r w:rsidRPr="006A7278">
        <w:rPr>
          <w:rFonts w:ascii="Times New Roman" w:hAnsi="Times New Roman"/>
          <w:b/>
          <w:bCs/>
        </w:rPr>
        <w:t>Table 1</w:t>
      </w:r>
      <w:r w:rsidRPr="006A7278">
        <w:rPr>
          <w:rFonts w:ascii="Times New Roman" w:hAnsi="Times New Roman"/>
        </w:rPr>
        <w:t>).</w:t>
      </w:r>
    </w:p>
    <w:tbl>
      <w:tblPr>
        <w:tblStyle w:val="SimplesTabela2"/>
        <w:tblpPr w:leftFromText="141" w:rightFromText="141" w:vertAnchor="text" w:horzAnchor="page" w:tblpX="110" w:tblpY="240"/>
        <w:tblW w:w="5946" w:type="pct"/>
        <w:tblLayout w:type="fixed"/>
        <w:tblLook w:val="04A0" w:firstRow="1" w:lastRow="0" w:firstColumn="1" w:lastColumn="0" w:noHBand="0" w:noVBand="1"/>
      </w:tblPr>
      <w:tblGrid>
        <w:gridCol w:w="1134"/>
        <w:gridCol w:w="854"/>
        <w:gridCol w:w="989"/>
        <w:gridCol w:w="708"/>
        <w:gridCol w:w="851"/>
        <w:gridCol w:w="1134"/>
      </w:tblGrid>
      <w:tr w:rsidR="004D35B2" w:rsidRPr="006A7278" w14:paraId="5A57D17A" w14:textId="77777777" w:rsidTr="004D35B2">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00" w:type="pct"/>
            <w:shd w:val="clear" w:color="auto" w:fill="BFBFBF" w:themeFill="background1" w:themeFillShade="BF"/>
            <w:vAlign w:val="center"/>
          </w:tcPr>
          <w:p w14:paraId="0821D790" w14:textId="77777777" w:rsidR="00F83FD3" w:rsidRPr="006A7278" w:rsidRDefault="00F83FD3" w:rsidP="00F83FD3">
            <w:pPr>
              <w:pStyle w:val="TCTableBody"/>
              <w:spacing w:before="0" w:after="0"/>
              <w:jc w:val="center"/>
              <w:rPr>
                <w:i/>
                <w:iCs/>
                <w:sz w:val="15"/>
                <w:szCs w:val="15"/>
                <w:lang w:eastAsia="en-US"/>
              </w:rPr>
            </w:pPr>
            <w:bookmarkStart w:id="3" w:name="Síntese"/>
            <w:r w:rsidRPr="006A7278">
              <w:rPr>
                <w:i/>
                <w:iCs/>
                <w:sz w:val="15"/>
                <w:szCs w:val="15"/>
                <w:lang w:eastAsia="en-US"/>
              </w:rPr>
              <w:t>TMCS</w:t>
            </w:r>
          </w:p>
        </w:tc>
        <w:tc>
          <w:tcPr>
            <w:tcW w:w="753" w:type="pct"/>
            <w:shd w:val="clear" w:color="auto" w:fill="BFBFBF" w:themeFill="background1" w:themeFillShade="BF"/>
            <w:vAlign w:val="center"/>
          </w:tcPr>
          <w:p w14:paraId="155770BA" w14:textId="77777777" w:rsidR="00F83FD3" w:rsidRPr="006A7278" w:rsidRDefault="00F83FD3" w:rsidP="00F83FD3">
            <w:pPr>
              <w:pStyle w:val="TCTableBody"/>
              <w:spacing w:before="0" w:after="0"/>
              <w:jc w:val="center"/>
              <w:cnfStyle w:val="100000000000" w:firstRow="1" w:lastRow="0" w:firstColumn="0" w:lastColumn="0" w:oddVBand="0" w:evenVBand="0" w:oddHBand="0" w:evenHBand="0" w:firstRowFirstColumn="0" w:firstRowLastColumn="0" w:lastRowFirstColumn="0" w:lastRowLastColumn="0"/>
              <w:rPr>
                <w:b w:val="0"/>
                <w:bCs w:val="0"/>
                <w:i/>
                <w:iCs/>
                <w:sz w:val="15"/>
                <w:szCs w:val="15"/>
                <w:lang w:eastAsia="en-US"/>
              </w:rPr>
            </w:pPr>
            <w:r w:rsidRPr="006A7278">
              <w:rPr>
                <w:i/>
                <w:iCs/>
                <w:sz w:val="15"/>
                <w:szCs w:val="15"/>
                <w:lang w:eastAsia="en-US"/>
              </w:rPr>
              <w:t>Silica</w:t>
            </w:r>
          </w:p>
          <w:p w14:paraId="568C5900" w14:textId="77777777" w:rsidR="00F83FD3" w:rsidRPr="006A7278" w:rsidRDefault="00F83FD3" w:rsidP="00F83FD3">
            <w:pPr>
              <w:pStyle w:val="TCTableBody"/>
              <w:spacing w:before="0" w:after="0"/>
              <w:jc w:val="center"/>
              <w:cnfStyle w:val="100000000000" w:firstRow="1" w:lastRow="0" w:firstColumn="0" w:lastColumn="0" w:oddVBand="0" w:evenVBand="0" w:oddHBand="0" w:evenHBand="0" w:firstRowFirstColumn="0" w:firstRowLastColumn="0" w:lastRowFirstColumn="0" w:lastRowLastColumn="0"/>
              <w:rPr>
                <w:i/>
                <w:iCs/>
                <w:sz w:val="15"/>
                <w:szCs w:val="15"/>
                <w:lang w:eastAsia="en-US"/>
              </w:rPr>
            </w:pPr>
            <w:r w:rsidRPr="006A7278">
              <w:rPr>
                <w:i/>
                <w:iCs/>
                <w:sz w:val="15"/>
                <w:szCs w:val="15"/>
                <w:lang w:eastAsia="en-US"/>
              </w:rPr>
              <w:t>Template</w:t>
            </w:r>
          </w:p>
        </w:tc>
        <w:tc>
          <w:tcPr>
            <w:tcW w:w="872" w:type="pct"/>
            <w:shd w:val="clear" w:color="auto" w:fill="BFBFBF" w:themeFill="background1" w:themeFillShade="BF"/>
            <w:vAlign w:val="center"/>
          </w:tcPr>
          <w:p w14:paraId="613F2F23" w14:textId="77777777" w:rsidR="00F83FD3" w:rsidRPr="006A7278" w:rsidRDefault="00F83FD3" w:rsidP="00F83FD3">
            <w:pPr>
              <w:pStyle w:val="TCTableBody"/>
              <w:spacing w:before="0" w:after="0"/>
              <w:jc w:val="center"/>
              <w:cnfStyle w:val="100000000000" w:firstRow="1" w:lastRow="0" w:firstColumn="0" w:lastColumn="0" w:oddVBand="0" w:evenVBand="0" w:oddHBand="0" w:evenHBand="0" w:firstRowFirstColumn="0" w:firstRowLastColumn="0" w:lastRowFirstColumn="0" w:lastRowLastColumn="0"/>
              <w:rPr>
                <w:b w:val="0"/>
                <w:bCs w:val="0"/>
                <w:i/>
                <w:iCs/>
                <w:sz w:val="15"/>
                <w:szCs w:val="15"/>
                <w:lang w:eastAsia="en-US"/>
              </w:rPr>
            </w:pPr>
            <w:r w:rsidRPr="006A7278">
              <w:rPr>
                <w:i/>
                <w:iCs/>
                <w:sz w:val="15"/>
                <w:szCs w:val="15"/>
                <w:lang w:eastAsia="en-US"/>
              </w:rPr>
              <w:t>Carbon</w:t>
            </w:r>
          </w:p>
          <w:p w14:paraId="50003F42" w14:textId="77777777" w:rsidR="00F83FD3" w:rsidRPr="006A7278" w:rsidRDefault="00F83FD3" w:rsidP="00F83FD3">
            <w:pPr>
              <w:pStyle w:val="TCTableBody"/>
              <w:spacing w:before="0" w:after="0"/>
              <w:jc w:val="center"/>
              <w:cnfStyle w:val="100000000000" w:firstRow="1" w:lastRow="0" w:firstColumn="0" w:lastColumn="0" w:oddVBand="0" w:evenVBand="0" w:oddHBand="0" w:evenHBand="0" w:firstRowFirstColumn="0" w:firstRowLastColumn="0" w:lastRowFirstColumn="0" w:lastRowLastColumn="0"/>
              <w:rPr>
                <w:i/>
                <w:iCs/>
                <w:sz w:val="15"/>
                <w:szCs w:val="15"/>
                <w:lang w:eastAsia="en-US"/>
              </w:rPr>
            </w:pPr>
            <w:r w:rsidRPr="006A7278">
              <w:rPr>
                <w:i/>
                <w:iCs/>
                <w:sz w:val="15"/>
                <w:szCs w:val="15"/>
                <w:lang w:eastAsia="en-US"/>
              </w:rPr>
              <w:t>Source</w:t>
            </w:r>
          </w:p>
        </w:tc>
        <w:tc>
          <w:tcPr>
            <w:tcW w:w="624" w:type="pct"/>
            <w:shd w:val="clear" w:color="auto" w:fill="BFBFBF" w:themeFill="background1" w:themeFillShade="BF"/>
            <w:vAlign w:val="center"/>
          </w:tcPr>
          <w:p w14:paraId="3487B63F" w14:textId="77777777" w:rsidR="00F83FD3" w:rsidRPr="006A7278" w:rsidRDefault="00F83FD3" w:rsidP="00F83FD3">
            <w:pPr>
              <w:pStyle w:val="TCTableBody"/>
              <w:spacing w:before="0" w:after="0"/>
              <w:jc w:val="center"/>
              <w:cnfStyle w:val="100000000000" w:firstRow="1" w:lastRow="0" w:firstColumn="0" w:lastColumn="0" w:oddVBand="0" w:evenVBand="0" w:oddHBand="0" w:evenHBand="0" w:firstRowFirstColumn="0" w:firstRowLastColumn="0" w:lastRowFirstColumn="0" w:lastRowLastColumn="0"/>
              <w:rPr>
                <w:b w:val="0"/>
                <w:bCs w:val="0"/>
                <w:i/>
                <w:iCs/>
                <w:sz w:val="15"/>
                <w:szCs w:val="15"/>
                <w:lang w:eastAsia="en-US"/>
              </w:rPr>
            </w:pPr>
            <w:proofErr w:type="spellStart"/>
            <w:r w:rsidRPr="006A7278">
              <w:rPr>
                <w:i/>
                <w:iCs/>
                <w:sz w:val="15"/>
                <w:szCs w:val="15"/>
                <w:lang w:eastAsia="en-US"/>
              </w:rPr>
              <w:t>T</w:t>
            </w:r>
            <w:r w:rsidRPr="006A7278">
              <w:rPr>
                <w:i/>
                <w:iCs/>
                <w:sz w:val="15"/>
                <w:szCs w:val="15"/>
                <w:vertAlign w:val="subscript"/>
                <w:lang w:eastAsia="en-US"/>
              </w:rPr>
              <w:t>Pyrolysis</w:t>
            </w:r>
            <w:proofErr w:type="spellEnd"/>
          </w:p>
          <w:p w14:paraId="55675E9C" w14:textId="77777777" w:rsidR="00F83FD3" w:rsidRPr="006A7278" w:rsidRDefault="00F83FD3" w:rsidP="00F83FD3">
            <w:pPr>
              <w:pStyle w:val="TCTableBody"/>
              <w:spacing w:before="0" w:after="0"/>
              <w:jc w:val="center"/>
              <w:cnfStyle w:val="100000000000" w:firstRow="1" w:lastRow="0" w:firstColumn="0" w:lastColumn="0" w:oddVBand="0" w:evenVBand="0" w:oddHBand="0" w:evenHBand="0" w:firstRowFirstColumn="0" w:firstRowLastColumn="0" w:lastRowFirstColumn="0" w:lastRowLastColumn="0"/>
              <w:rPr>
                <w:i/>
                <w:iCs/>
                <w:sz w:val="15"/>
                <w:szCs w:val="15"/>
                <w:lang w:eastAsia="en-US"/>
              </w:rPr>
            </w:pPr>
            <w:r w:rsidRPr="006A7278">
              <w:rPr>
                <w:i/>
                <w:iCs/>
                <w:sz w:val="15"/>
                <w:szCs w:val="15"/>
                <w:lang w:eastAsia="en-US"/>
              </w:rPr>
              <w:t>(°C)</w:t>
            </w:r>
          </w:p>
        </w:tc>
        <w:tc>
          <w:tcPr>
            <w:tcW w:w="750" w:type="pct"/>
            <w:shd w:val="clear" w:color="auto" w:fill="FF3300"/>
            <w:vAlign w:val="center"/>
          </w:tcPr>
          <w:p w14:paraId="79A56AB3" w14:textId="77777777" w:rsidR="00F83FD3" w:rsidRPr="006A7278" w:rsidRDefault="00F83FD3" w:rsidP="00F83FD3">
            <w:pPr>
              <w:pStyle w:val="TCTableBody"/>
              <w:spacing w:before="0" w:after="0"/>
              <w:jc w:val="center"/>
              <w:cnfStyle w:val="100000000000" w:firstRow="1" w:lastRow="0" w:firstColumn="0" w:lastColumn="0" w:oddVBand="0" w:evenVBand="0" w:oddHBand="0" w:evenHBand="0" w:firstRowFirstColumn="0" w:firstRowLastColumn="0" w:lastRowFirstColumn="0" w:lastRowLastColumn="0"/>
              <w:rPr>
                <w:b w:val="0"/>
                <w:bCs w:val="0"/>
                <w:i/>
                <w:iCs/>
                <w:sz w:val="15"/>
                <w:szCs w:val="15"/>
                <w:lang w:eastAsia="en-US"/>
              </w:rPr>
            </w:pPr>
            <w:r w:rsidRPr="006A7278">
              <w:rPr>
                <w:i/>
                <w:iCs/>
                <w:sz w:val="15"/>
                <w:szCs w:val="15"/>
                <w:lang w:eastAsia="en-US"/>
              </w:rPr>
              <w:t>Post-</w:t>
            </w:r>
          </w:p>
          <w:p w14:paraId="59FB41AC" w14:textId="77777777" w:rsidR="00F83FD3" w:rsidRPr="006A7278" w:rsidRDefault="00F83FD3" w:rsidP="00F83FD3">
            <w:pPr>
              <w:pStyle w:val="TCTableBody"/>
              <w:spacing w:before="0" w:after="0"/>
              <w:jc w:val="center"/>
              <w:cnfStyle w:val="100000000000" w:firstRow="1" w:lastRow="0" w:firstColumn="0" w:lastColumn="0" w:oddVBand="0" w:evenVBand="0" w:oddHBand="0" w:evenHBand="0" w:firstRowFirstColumn="0" w:firstRowLastColumn="0" w:lastRowFirstColumn="0" w:lastRowLastColumn="0"/>
              <w:rPr>
                <w:i/>
                <w:iCs/>
                <w:sz w:val="15"/>
                <w:szCs w:val="15"/>
                <w:lang w:eastAsia="en-US"/>
              </w:rPr>
            </w:pPr>
            <w:r w:rsidRPr="006A7278">
              <w:rPr>
                <w:i/>
                <w:iCs/>
                <w:sz w:val="15"/>
                <w:szCs w:val="15"/>
                <w:lang w:eastAsia="en-US"/>
              </w:rPr>
              <w:t>Grafting</w:t>
            </w:r>
          </w:p>
        </w:tc>
        <w:tc>
          <w:tcPr>
            <w:tcW w:w="1000" w:type="pct"/>
            <w:shd w:val="clear" w:color="auto" w:fill="FF3300"/>
            <w:vAlign w:val="center"/>
          </w:tcPr>
          <w:p w14:paraId="17134C03" w14:textId="77777777" w:rsidR="00F83FD3" w:rsidRPr="006A7278" w:rsidRDefault="00F83FD3" w:rsidP="00F83FD3">
            <w:pPr>
              <w:pStyle w:val="TCTableBody"/>
              <w:spacing w:before="0" w:after="0"/>
              <w:jc w:val="center"/>
              <w:cnfStyle w:val="100000000000" w:firstRow="1" w:lastRow="0" w:firstColumn="0" w:lastColumn="0" w:oddVBand="0" w:evenVBand="0" w:oddHBand="0" w:evenHBand="0" w:firstRowFirstColumn="0" w:firstRowLastColumn="0" w:lastRowFirstColumn="0" w:lastRowLastColumn="0"/>
              <w:rPr>
                <w:i/>
                <w:iCs/>
                <w:sz w:val="15"/>
                <w:szCs w:val="15"/>
                <w:lang w:eastAsia="en-US"/>
              </w:rPr>
            </w:pPr>
            <w:r w:rsidRPr="006A7278">
              <w:rPr>
                <w:i/>
                <w:iCs/>
                <w:sz w:val="15"/>
                <w:szCs w:val="15"/>
                <w:lang w:eastAsia="en-US"/>
              </w:rPr>
              <w:t>BTMC</w:t>
            </w:r>
          </w:p>
        </w:tc>
      </w:tr>
      <w:tr w:rsidR="004D35B2" w:rsidRPr="006A7278" w14:paraId="32DD4E00" w14:textId="77777777" w:rsidTr="004D35B2">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000" w:type="pct"/>
            <w:shd w:val="clear" w:color="auto" w:fill="F2F2F2" w:themeFill="background1" w:themeFillShade="F2"/>
            <w:vAlign w:val="center"/>
          </w:tcPr>
          <w:p w14:paraId="760C0C9C" w14:textId="77777777" w:rsidR="00F83FD3" w:rsidRPr="006A7278" w:rsidRDefault="00F83FD3" w:rsidP="00F83FD3">
            <w:pPr>
              <w:pStyle w:val="TCTableBody"/>
              <w:spacing w:before="0" w:after="0" w:line="240" w:lineRule="auto"/>
              <w:jc w:val="center"/>
              <w:rPr>
                <w:sz w:val="13"/>
                <w:szCs w:val="13"/>
                <w:lang w:eastAsia="en-US"/>
              </w:rPr>
            </w:pPr>
            <w:r w:rsidRPr="006A7278">
              <w:rPr>
                <w:sz w:val="13"/>
                <w:szCs w:val="13"/>
                <w:lang w:eastAsia="en-US"/>
              </w:rPr>
              <w:t>C-Chi-550</w:t>
            </w:r>
          </w:p>
        </w:tc>
        <w:tc>
          <w:tcPr>
            <w:tcW w:w="753" w:type="pct"/>
            <w:shd w:val="clear" w:color="auto" w:fill="F2F2F2" w:themeFill="background1" w:themeFillShade="F2"/>
            <w:vAlign w:val="center"/>
          </w:tcPr>
          <w:p w14:paraId="4F6F5807" w14:textId="77777777" w:rsidR="004D35B2" w:rsidRPr="006A7278" w:rsidRDefault="00F83FD3" w:rsidP="00F83FD3">
            <w:pPr>
              <w:pStyle w:val="TCTableBody"/>
              <w:spacing w:before="0" w:after="0" w:line="240" w:lineRule="auto"/>
              <w:jc w:val="center"/>
              <w:cnfStyle w:val="000000100000" w:firstRow="0" w:lastRow="0" w:firstColumn="0" w:lastColumn="0" w:oddVBand="0" w:evenVBand="0" w:oddHBand="1" w:evenHBand="0" w:firstRowFirstColumn="0" w:firstRowLastColumn="0" w:lastRowFirstColumn="0" w:lastRowLastColumn="0"/>
              <w:rPr>
                <w:sz w:val="13"/>
                <w:szCs w:val="13"/>
                <w:lang w:eastAsia="en-US"/>
              </w:rPr>
            </w:pPr>
            <w:r w:rsidRPr="006A7278">
              <w:rPr>
                <w:sz w:val="13"/>
                <w:szCs w:val="13"/>
                <w:lang w:eastAsia="en-US"/>
              </w:rPr>
              <w:t xml:space="preserve">Ludox </w:t>
            </w:r>
          </w:p>
          <w:p w14:paraId="474CADF7" w14:textId="5260321D" w:rsidR="00F83FD3" w:rsidRPr="006A7278" w:rsidRDefault="00F83FD3" w:rsidP="00F83FD3">
            <w:pPr>
              <w:pStyle w:val="TCTableBody"/>
              <w:spacing w:before="0" w:after="0" w:line="240" w:lineRule="auto"/>
              <w:jc w:val="center"/>
              <w:cnfStyle w:val="000000100000" w:firstRow="0" w:lastRow="0" w:firstColumn="0" w:lastColumn="0" w:oddVBand="0" w:evenVBand="0" w:oddHBand="1" w:evenHBand="0" w:firstRowFirstColumn="0" w:firstRowLastColumn="0" w:lastRowFirstColumn="0" w:lastRowLastColumn="0"/>
              <w:rPr>
                <w:sz w:val="13"/>
                <w:szCs w:val="13"/>
                <w:lang w:eastAsia="en-US"/>
              </w:rPr>
            </w:pPr>
            <w:r w:rsidRPr="006A7278">
              <w:rPr>
                <w:sz w:val="13"/>
                <w:szCs w:val="13"/>
                <w:lang w:eastAsia="en-US"/>
              </w:rPr>
              <w:t>AS-40</w:t>
            </w:r>
          </w:p>
        </w:tc>
        <w:tc>
          <w:tcPr>
            <w:tcW w:w="872" w:type="pct"/>
            <w:shd w:val="clear" w:color="auto" w:fill="F2F2F2" w:themeFill="background1" w:themeFillShade="F2"/>
            <w:vAlign w:val="center"/>
          </w:tcPr>
          <w:p w14:paraId="63BAA8C8" w14:textId="77777777" w:rsidR="00F83FD3" w:rsidRPr="006A7278" w:rsidRDefault="00F83FD3" w:rsidP="00F83FD3">
            <w:pPr>
              <w:pStyle w:val="TCTableBody"/>
              <w:spacing w:before="0" w:after="0" w:line="240" w:lineRule="auto"/>
              <w:jc w:val="center"/>
              <w:cnfStyle w:val="000000100000" w:firstRow="0" w:lastRow="0" w:firstColumn="0" w:lastColumn="0" w:oddVBand="0" w:evenVBand="0" w:oddHBand="1" w:evenHBand="0" w:firstRowFirstColumn="0" w:firstRowLastColumn="0" w:lastRowFirstColumn="0" w:lastRowLastColumn="0"/>
              <w:rPr>
                <w:sz w:val="13"/>
                <w:szCs w:val="13"/>
                <w:lang w:eastAsia="en-US"/>
              </w:rPr>
            </w:pPr>
            <w:r w:rsidRPr="006A7278">
              <w:rPr>
                <w:sz w:val="13"/>
                <w:szCs w:val="13"/>
                <w:lang w:eastAsia="en-US"/>
              </w:rPr>
              <w:t>Chitosan</w:t>
            </w:r>
          </w:p>
        </w:tc>
        <w:tc>
          <w:tcPr>
            <w:tcW w:w="624" w:type="pct"/>
            <w:vMerge w:val="restart"/>
            <w:shd w:val="clear" w:color="auto" w:fill="F2F2F2" w:themeFill="background1" w:themeFillShade="F2"/>
            <w:vAlign w:val="center"/>
          </w:tcPr>
          <w:p w14:paraId="0AE9E883" w14:textId="77777777" w:rsidR="00F83FD3" w:rsidRPr="006A7278" w:rsidRDefault="00F83FD3" w:rsidP="00F83FD3">
            <w:pPr>
              <w:pStyle w:val="TCTableBody"/>
              <w:spacing w:before="0" w:after="0" w:line="240" w:lineRule="auto"/>
              <w:jc w:val="center"/>
              <w:cnfStyle w:val="000000100000" w:firstRow="0" w:lastRow="0" w:firstColumn="0" w:lastColumn="0" w:oddVBand="0" w:evenVBand="0" w:oddHBand="1" w:evenHBand="0" w:firstRowFirstColumn="0" w:firstRowLastColumn="0" w:lastRowFirstColumn="0" w:lastRowLastColumn="0"/>
              <w:rPr>
                <w:sz w:val="13"/>
                <w:szCs w:val="13"/>
                <w:lang w:eastAsia="en-US"/>
              </w:rPr>
            </w:pPr>
            <w:r w:rsidRPr="006A7278">
              <w:rPr>
                <w:sz w:val="13"/>
                <w:szCs w:val="13"/>
                <w:lang w:eastAsia="en-US"/>
              </w:rPr>
              <w:t>550</w:t>
            </w:r>
          </w:p>
        </w:tc>
        <w:tc>
          <w:tcPr>
            <w:tcW w:w="750" w:type="pct"/>
            <w:vMerge w:val="restart"/>
            <w:shd w:val="clear" w:color="auto" w:fill="FF9966"/>
            <w:vAlign w:val="center"/>
          </w:tcPr>
          <w:p w14:paraId="4A8993A0" w14:textId="77777777" w:rsidR="00F83FD3" w:rsidRPr="006A7278" w:rsidRDefault="00F83FD3" w:rsidP="00F83FD3">
            <w:pPr>
              <w:pStyle w:val="TCTableBody"/>
              <w:spacing w:before="0" w:after="0" w:line="240" w:lineRule="auto"/>
              <w:jc w:val="center"/>
              <w:cnfStyle w:val="000000100000" w:firstRow="0" w:lastRow="0" w:firstColumn="0" w:lastColumn="0" w:oddVBand="0" w:evenVBand="0" w:oddHBand="1" w:evenHBand="0" w:firstRowFirstColumn="0" w:firstRowLastColumn="0" w:lastRowFirstColumn="0" w:lastRowLastColumn="0"/>
              <w:rPr>
                <w:sz w:val="13"/>
                <w:szCs w:val="13"/>
                <w:lang w:eastAsia="en-US"/>
              </w:rPr>
            </w:pPr>
            <w:r w:rsidRPr="006A7278">
              <w:rPr>
                <w:sz w:val="13"/>
                <w:szCs w:val="13"/>
                <w:lang w:eastAsia="en-US"/>
              </w:rPr>
              <w:t>Fuming H</w:t>
            </w:r>
            <w:r w:rsidRPr="006A7278">
              <w:rPr>
                <w:sz w:val="13"/>
                <w:szCs w:val="13"/>
                <w:vertAlign w:val="subscript"/>
                <w:lang w:eastAsia="en-US"/>
              </w:rPr>
              <w:t>2</w:t>
            </w:r>
            <w:r w:rsidRPr="006A7278">
              <w:rPr>
                <w:sz w:val="13"/>
                <w:szCs w:val="13"/>
                <w:lang w:eastAsia="en-US"/>
              </w:rPr>
              <w:t>SO</w:t>
            </w:r>
            <w:r w:rsidRPr="006A7278">
              <w:rPr>
                <w:sz w:val="13"/>
                <w:szCs w:val="13"/>
                <w:vertAlign w:val="subscript"/>
                <w:lang w:eastAsia="en-US"/>
              </w:rPr>
              <w:t>4</w:t>
            </w:r>
          </w:p>
        </w:tc>
        <w:tc>
          <w:tcPr>
            <w:tcW w:w="1000" w:type="pct"/>
            <w:shd w:val="clear" w:color="auto" w:fill="FF9966"/>
            <w:vAlign w:val="center"/>
          </w:tcPr>
          <w:p w14:paraId="1AF13725" w14:textId="77777777" w:rsidR="00F83FD3" w:rsidRPr="006A7278" w:rsidRDefault="00F83FD3" w:rsidP="00F83FD3">
            <w:pPr>
              <w:pStyle w:val="TCTableBody"/>
              <w:spacing w:before="0" w:after="0" w:line="240" w:lineRule="auto"/>
              <w:jc w:val="center"/>
              <w:cnfStyle w:val="000000100000" w:firstRow="0" w:lastRow="0" w:firstColumn="0" w:lastColumn="0" w:oddVBand="0" w:evenVBand="0" w:oddHBand="1" w:evenHBand="0" w:firstRowFirstColumn="0" w:firstRowLastColumn="0" w:lastRowFirstColumn="0" w:lastRowLastColumn="0"/>
              <w:rPr>
                <w:b/>
                <w:bCs/>
                <w:sz w:val="13"/>
                <w:szCs w:val="13"/>
                <w:lang w:eastAsia="en-US"/>
              </w:rPr>
            </w:pPr>
            <w:r w:rsidRPr="006A7278">
              <w:rPr>
                <w:b/>
                <w:bCs/>
                <w:sz w:val="13"/>
                <w:szCs w:val="13"/>
                <w:lang w:eastAsia="en-US"/>
              </w:rPr>
              <w:t>C-Chi-SA</w:t>
            </w:r>
          </w:p>
        </w:tc>
      </w:tr>
      <w:tr w:rsidR="004D35B2" w:rsidRPr="006A7278" w14:paraId="7E7F5171" w14:textId="77777777" w:rsidTr="004D35B2">
        <w:trPr>
          <w:trHeight w:val="280"/>
        </w:trPr>
        <w:tc>
          <w:tcPr>
            <w:cnfStyle w:val="001000000000" w:firstRow="0" w:lastRow="0" w:firstColumn="1" w:lastColumn="0" w:oddVBand="0" w:evenVBand="0" w:oddHBand="0" w:evenHBand="0" w:firstRowFirstColumn="0" w:firstRowLastColumn="0" w:lastRowFirstColumn="0" w:lastRowLastColumn="0"/>
            <w:tcW w:w="1000" w:type="pct"/>
            <w:shd w:val="clear" w:color="auto" w:fill="F2F2F2" w:themeFill="background1" w:themeFillShade="F2"/>
            <w:vAlign w:val="center"/>
          </w:tcPr>
          <w:p w14:paraId="6F061B62" w14:textId="77777777" w:rsidR="00F83FD3" w:rsidRPr="006A7278" w:rsidRDefault="00F83FD3" w:rsidP="00F83FD3">
            <w:pPr>
              <w:pStyle w:val="TCTableBody"/>
              <w:spacing w:before="0" w:after="0" w:line="240" w:lineRule="auto"/>
              <w:jc w:val="center"/>
              <w:rPr>
                <w:sz w:val="13"/>
                <w:szCs w:val="13"/>
                <w:lang w:eastAsia="en-US"/>
              </w:rPr>
            </w:pPr>
            <w:r w:rsidRPr="006A7278">
              <w:rPr>
                <w:sz w:val="13"/>
                <w:szCs w:val="13"/>
                <w:lang w:eastAsia="en-US"/>
              </w:rPr>
              <w:t>CMK-3-550</w:t>
            </w:r>
          </w:p>
        </w:tc>
        <w:tc>
          <w:tcPr>
            <w:tcW w:w="753" w:type="pct"/>
            <w:shd w:val="clear" w:color="auto" w:fill="F2F2F2" w:themeFill="background1" w:themeFillShade="F2"/>
            <w:vAlign w:val="center"/>
          </w:tcPr>
          <w:p w14:paraId="58556015" w14:textId="77777777" w:rsidR="00F83FD3" w:rsidRPr="006A7278" w:rsidRDefault="00F83FD3" w:rsidP="00F83FD3">
            <w:pPr>
              <w:pStyle w:val="TCTableBody"/>
              <w:spacing w:before="0" w:after="0" w:line="240" w:lineRule="auto"/>
              <w:jc w:val="center"/>
              <w:cnfStyle w:val="000000000000" w:firstRow="0" w:lastRow="0" w:firstColumn="0" w:lastColumn="0" w:oddVBand="0" w:evenVBand="0" w:oddHBand="0" w:evenHBand="0" w:firstRowFirstColumn="0" w:firstRowLastColumn="0" w:lastRowFirstColumn="0" w:lastRowLastColumn="0"/>
              <w:rPr>
                <w:sz w:val="13"/>
                <w:szCs w:val="13"/>
                <w:lang w:eastAsia="en-US"/>
              </w:rPr>
            </w:pPr>
            <w:r w:rsidRPr="006A7278">
              <w:rPr>
                <w:sz w:val="13"/>
                <w:szCs w:val="13"/>
                <w:lang w:eastAsia="en-US"/>
              </w:rPr>
              <w:t>SBA-15</w:t>
            </w:r>
          </w:p>
        </w:tc>
        <w:tc>
          <w:tcPr>
            <w:tcW w:w="872" w:type="pct"/>
            <w:shd w:val="clear" w:color="auto" w:fill="F2F2F2" w:themeFill="background1" w:themeFillShade="F2"/>
            <w:vAlign w:val="center"/>
          </w:tcPr>
          <w:p w14:paraId="5E53EB9B" w14:textId="77777777" w:rsidR="00F83FD3" w:rsidRPr="006A7278" w:rsidRDefault="00F83FD3" w:rsidP="00F83FD3">
            <w:pPr>
              <w:pStyle w:val="TCTableBody"/>
              <w:spacing w:before="0" w:after="0" w:line="240" w:lineRule="auto"/>
              <w:jc w:val="center"/>
              <w:cnfStyle w:val="000000000000" w:firstRow="0" w:lastRow="0" w:firstColumn="0" w:lastColumn="0" w:oddVBand="0" w:evenVBand="0" w:oddHBand="0" w:evenHBand="0" w:firstRowFirstColumn="0" w:firstRowLastColumn="0" w:lastRowFirstColumn="0" w:lastRowLastColumn="0"/>
              <w:rPr>
                <w:sz w:val="13"/>
                <w:szCs w:val="13"/>
                <w:lang w:eastAsia="en-US"/>
              </w:rPr>
            </w:pPr>
            <w:r w:rsidRPr="006A7278">
              <w:rPr>
                <w:sz w:val="13"/>
                <w:szCs w:val="13"/>
                <w:lang w:eastAsia="en-US"/>
              </w:rPr>
              <w:t>Sucrose</w:t>
            </w:r>
          </w:p>
        </w:tc>
        <w:tc>
          <w:tcPr>
            <w:tcW w:w="624" w:type="pct"/>
            <w:vMerge/>
            <w:shd w:val="clear" w:color="auto" w:fill="F2F2F2" w:themeFill="background1" w:themeFillShade="F2"/>
            <w:vAlign w:val="center"/>
          </w:tcPr>
          <w:p w14:paraId="54827B50" w14:textId="77777777" w:rsidR="00F83FD3" w:rsidRPr="006A7278" w:rsidRDefault="00F83FD3" w:rsidP="00F83FD3">
            <w:pPr>
              <w:pStyle w:val="TCTableBody"/>
              <w:spacing w:before="0" w:after="0" w:line="240" w:lineRule="auto"/>
              <w:jc w:val="center"/>
              <w:cnfStyle w:val="000000000000" w:firstRow="0" w:lastRow="0" w:firstColumn="0" w:lastColumn="0" w:oddVBand="0" w:evenVBand="0" w:oddHBand="0" w:evenHBand="0" w:firstRowFirstColumn="0" w:firstRowLastColumn="0" w:lastRowFirstColumn="0" w:lastRowLastColumn="0"/>
              <w:rPr>
                <w:sz w:val="13"/>
                <w:szCs w:val="13"/>
                <w:lang w:eastAsia="en-US"/>
              </w:rPr>
            </w:pPr>
          </w:p>
        </w:tc>
        <w:tc>
          <w:tcPr>
            <w:tcW w:w="750" w:type="pct"/>
            <w:vMerge/>
            <w:shd w:val="clear" w:color="auto" w:fill="FF9966"/>
            <w:vAlign w:val="center"/>
          </w:tcPr>
          <w:p w14:paraId="2CC19C62" w14:textId="77777777" w:rsidR="00F83FD3" w:rsidRPr="006A7278" w:rsidRDefault="00F83FD3" w:rsidP="00F83FD3">
            <w:pPr>
              <w:pStyle w:val="TCTableBody"/>
              <w:spacing w:before="0" w:after="0" w:line="240" w:lineRule="auto"/>
              <w:jc w:val="center"/>
              <w:cnfStyle w:val="000000000000" w:firstRow="0" w:lastRow="0" w:firstColumn="0" w:lastColumn="0" w:oddVBand="0" w:evenVBand="0" w:oddHBand="0" w:evenHBand="0" w:firstRowFirstColumn="0" w:firstRowLastColumn="0" w:lastRowFirstColumn="0" w:lastRowLastColumn="0"/>
              <w:rPr>
                <w:sz w:val="13"/>
                <w:szCs w:val="13"/>
                <w:lang w:eastAsia="en-US"/>
              </w:rPr>
            </w:pPr>
          </w:p>
        </w:tc>
        <w:tc>
          <w:tcPr>
            <w:tcW w:w="1000" w:type="pct"/>
            <w:shd w:val="clear" w:color="auto" w:fill="FF9966"/>
            <w:vAlign w:val="center"/>
          </w:tcPr>
          <w:p w14:paraId="1A9919CB" w14:textId="77777777" w:rsidR="00F83FD3" w:rsidRPr="006A7278" w:rsidRDefault="00F83FD3" w:rsidP="00F83FD3">
            <w:pPr>
              <w:pStyle w:val="TCTableBody"/>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sz w:val="13"/>
                <w:szCs w:val="13"/>
                <w:lang w:eastAsia="en-US"/>
              </w:rPr>
            </w:pPr>
            <w:r w:rsidRPr="006A7278">
              <w:rPr>
                <w:b/>
                <w:bCs/>
                <w:sz w:val="13"/>
                <w:szCs w:val="13"/>
                <w:lang w:eastAsia="en-US"/>
              </w:rPr>
              <w:t>CMK-3-SA</w:t>
            </w:r>
          </w:p>
        </w:tc>
      </w:tr>
      <w:tr w:rsidR="004D35B2" w:rsidRPr="006A7278" w14:paraId="760C283D" w14:textId="77777777" w:rsidTr="004D35B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00" w:type="pct"/>
            <w:shd w:val="clear" w:color="auto" w:fill="F2F2F2" w:themeFill="background1" w:themeFillShade="F2"/>
            <w:vAlign w:val="center"/>
          </w:tcPr>
          <w:p w14:paraId="75644DF0" w14:textId="77777777" w:rsidR="00F83FD3" w:rsidRPr="006A7278" w:rsidRDefault="00F83FD3" w:rsidP="00F83FD3">
            <w:pPr>
              <w:pStyle w:val="TCTableBody"/>
              <w:spacing w:before="0" w:after="0" w:line="240" w:lineRule="auto"/>
              <w:jc w:val="center"/>
              <w:rPr>
                <w:sz w:val="13"/>
                <w:szCs w:val="13"/>
                <w:lang w:eastAsia="en-US"/>
              </w:rPr>
            </w:pPr>
            <w:r w:rsidRPr="006A7278">
              <w:rPr>
                <w:sz w:val="13"/>
                <w:szCs w:val="13"/>
                <w:lang w:eastAsia="en-US"/>
              </w:rPr>
              <w:t>CMK-5-550</w:t>
            </w:r>
          </w:p>
        </w:tc>
        <w:tc>
          <w:tcPr>
            <w:tcW w:w="753" w:type="pct"/>
            <w:shd w:val="clear" w:color="auto" w:fill="F2F2F2" w:themeFill="background1" w:themeFillShade="F2"/>
            <w:vAlign w:val="center"/>
          </w:tcPr>
          <w:p w14:paraId="240EF3FD" w14:textId="77777777" w:rsidR="00F83FD3" w:rsidRPr="006A7278" w:rsidRDefault="00F83FD3" w:rsidP="00F83FD3">
            <w:pPr>
              <w:pStyle w:val="TCTableBody"/>
              <w:spacing w:before="0" w:after="0" w:line="240" w:lineRule="auto"/>
              <w:jc w:val="center"/>
              <w:cnfStyle w:val="000000100000" w:firstRow="0" w:lastRow="0" w:firstColumn="0" w:lastColumn="0" w:oddVBand="0" w:evenVBand="0" w:oddHBand="1" w:evenHBand="0" w:firstRowFirstColumn="0" w:firstRowLastColumn="0" w:lastRowFirstColumn="0" w:lastRowLastColumn="0"/>
              <w:rPr>
                <w:sz w:val="13"/>
                <w:szCs w:val="13"/>
                <w:lang w:eastAsia="en-US"/>
              </w:rPr>
            </w:pPr>
            <w:r w:rsidRPr="006A7278">
              <w:rPr>
                <w:sz w:val="13"/>
                <w:szCs w:val="13"/>
                <w:lang w:eastAsia="en-US"/>
              </w:rPr>
              <w:t>Al-SBA-15</w:t>
            </w:r>
          </w:p>
        </w:tc>
        <w:tc>
          <w:tcPr>
            <w:tcW w:w="872" w:type="pct"/>
            <w:shd w:val="clear" w:color="auto" w:fill="F2F2F2" w:themeFill="background1" w:themeFillShade="F2"/>
            <w:vAlign w:val="center"/>
          </w:tcPr>
          <w:p w14:paraId="6CB2F7DD" w14:textId="77777777" w:rsidR="00F83FD3" w:rsidRPr="006A7278" w:rsidRDefault="00F83FD3" w:rsidP="00F83FD3">
            <w:pPr>
              <w:pStyle w:val="TCTableBody"/>
              <w:spacing w:before="0" w:after="0" w:line="240" w:lineRule="auto"/>
              <w:jc w:val="center"/>
              <w:cnfStyle w:val="000000100000" w:firstRow="0" w:lastRow="0" w:firstColumn="0" w:lastColumn="0" w:oddVBand="0" w:evenVBand="0" w:oddHBand="1" w:evenHBand="0" w:firstRowFirstColumn="0" w:firstRowLastColumn="0" w:lastRowFirstColumn="0" w:lastRowLastColumn="0"/>
              <w:rPr>
                <w:sz w:val="13"/>
                <w:szCs w:val="13"/>
                <w:lang w:eastAsia="en-US"/>
              </w:rPr>
            </w:pPr>
            <w:r w:rsidRPr="006A7278">
              <w:rPr>
                <w:sz w:val="13"/>
                <w:szCs w:val="13"/>
                <w:lang w:eastAsia="en-US"/>
              </w:rPr>
              <w:t>Furfuryl Alcohol</w:t>
            </w:r>
          </w:p>
        </w:tc>
        <w:tc>
          <w:tcPr>
            <w:tcW w:w="624" w:type="pct"/>
            <w:vMerge/>
            <w:shd w:val="clear" w:color="auto" w:fill="F2F2F2" w:themeFill="background1" w:themeFillShade="F2"/>
            <w:vAlign w:val="center"/>
          </w:tcPr>
          <w:p w14:paraId="28DBDA04" w14:textId="77777777" w:rsidR="00F83FD3" w:rsidRPr="006A7278" w:rsidRDefault="00F83FD3" w:rsidP="00F83FD3">
            <w:pPr>
              <w:pStyle w:val="TCTableBody"/>
              <w:spacing w:before="0" w:after="0" w:line="240" w:lineRule="auto"/>
              <w:jc w:val="center"/>
              <w:cnfStyle w:val="000000100000" w:firstRow="0" w:lastRow="0" w:firstColumn="0" w:lastColumn="0" w:oddVBand="0" w:evenVBand="0" w:oddHBand="1" w:evenHBand="0" w:firstRowFirstColumn="0" w:firstRowLastColumn="0" w:lastRowFirstColumn="0" w:lastRowLastColumn="0"/>
              <w:rPr>
                <w:sz w:val="13"/>
                <w:szCs w:val="13"/>
                <w:lang w:eastAsia="en-US"/>
              </w:rPr>
            </w:pPr>
          </w:p>
        </w:tc>
        <w:tc>
          <w:tcPr>
            <w:tcW w:w="750" w:type="pct"/>
            <w:vMerge/>
            <w:shd w:val="clear" w:color="auto" w:fill="FF9966"/>
            <w:vAlign w:val="center"/>
          </w:tcPr>
          <w:p w14:paraId="15478154" w14:textId="77777777" w:rsidR="00F83FD3" w:rsidRPr="006A7278" w:rsidRDefault="00F83FD3" w:rsidP="00F83FD3">
            <w:pPr>
              <w:pStyle w:val="TCTableBody"/>
              <w:spacing w:before="0" w:after="0" w:line="240" w:lineRule="auto"/>
              <w:jc w:val="center"/>
              <w:cnfStyle w:val="000000100000" w:firstRow="0" w:lastRow="0" w:firstColumn="0" w:lastColumn="0" w:oddVBand="0" w:evenVBand="0" w:oddHBand="1" w:evenHBand="0" w:firstRowFirstColumn="0" w:firstRowLastColumn="0" w:lastRowFirstColumn="0" w:lastRowLastColumn="0"/>
              <w:rPr>
                <w:sz w:val="13"/>
                <w:szCs w:val="13"/>
                <w:lang w:eastAsia="en-US"/>
              </w:rPr>
            </w:pPr>
          </w:p>
        </w:tc>
        <w:tc>
          <w:tcPr>
            <w:tcW w:w="1000" w:type="pct"/>
            <w:shd w:val="clear" w:color="auto" w:fill="FF9966"/>
            <w:vAlign w:val="center"/>
          </w:tcPr>
          <w:p w14:paraId="73393DFE" w14:textId="77777777" w:rsidR="00F83FD3" w:rsidRPr="006A7278" w:rsidRDefault="00F83FD3" w:rsidP="00F83FD3">
            <w:pPr>
              <w:pStyle w:val="TCTableBody"/>
              <w:spacing w:before="0" w:after="0" w:line="240" w:lineRule="auto"/>
              <w:jc w:val="center"/>
              <w:cnfStyle w:val="000000100000" w:firstRow="0" w:lastRow="0" w:firstColumn="0" w:lastColumn="0" w:oddVBand="0" w:evenVBand="0" w:oddHBand="1" w:evenHBand="0" w:firstRowFirstColumn="0" w:firstRowLastColumn="0" w:lastRowFirstColumn="0" w:lastRowLastColumn="0"/>
              <w:rPr>
                <w:b/>
                <w:bCs/>
                <w:sz w:val="13"/>
                <w:szCs w:val="13"/>
                <w:lang w:eastAsia="en-US"/>
              </w:rPr>
            </w:pPr>
            <w:r w:rsidRPr="006A7278">
              <w:rPr>
                <w:b/>
                <w:bCs/>
                <w:sz w:val="13"/>
                <w:szCs w:val="13"/>
                <w:lang w:eastAsia="en-US"/>
              </w:rPr>
              <w:t>CMK-5-SA</w:t>
            </w:r>
          </w:p>
        </w:tc>
      </w:tr>
      <w:tr w:rsidR="004D35B2" w:rsidRPr="006A7278" w14:paraId="69133129" w14:textId="77777777" w:rsidTr="004D35B2">
        <w:trPr>
          <w:trHeight w:val="260"/>
        </w:trPr>
        <w:tc>
          <w:tcPr>
            <w:cnfStyle w:val="001000000000" w:firstRow="0" w:lastRow="0" w:firstColumn="1" w:lastColumn="0" w:oddVBand="0" w:evenVBand="0" w:oddHBand="0" w:evenHBand="0" w:firstRowFirstColumn="0" w:firstRowLastColumn="0" w:lastRowFirstColumn="0" w:lastRowLastColumn="0"/>
            <w:tcW w:w="1000" w:type="pct"/>
            <w:shd w:val="clear" w:color="auto" w:fill="F2F2F2" w:themeFill="background1" w:themeFillShade="F2"/>
            <w:vAlign w:val="center"/>
          </w:tcPr>
          <w:p w14:paraId="4B70ACD0" w14:textId="77777777" w:rsidR="00F83FD3" w:rsidRPr="006A7278" w:rsidRDefault="00F83FD3" w:rsidP="00F83FD3">
            <w:pPr>
              <w:pStyle w:val="TCTableBody"/>
              <w:spacing w:before="0" w:after="0" w:line="240" w:lineRule="auto"/>
              <w:jc w:val="center"/>
              <w:rPr>
                <w:sz w:val="13"/>
                <w:szCs w:val="13"/>
                <w:lang w:eastAsia="en-US"/>
              </w:rPr>
            </w:pPr>
            <w:r w:rsidRPr="006A7278">
              <w:rPr>
                <w:sz w:val="13"/>
                <w:szCs w:val="13"/>
                <w:lang w:eastAsia="en-US"/>
              </w:rPr>
              <w:t>CMK-8-550</w:t>
            </w:r>
          </w:p>
        </w:tc>
        <w:tc>
          <w:tcPr>
            <w:tcW w:w="753" w:type="pct"/>
            <w:shd w:val="clear" w:color="auto" w:fill="F2F2F2" w:themeFill="background1" w:themeFillShade="F2"/>
            <w:vAlign w:val="center"/>
          </w:tcPr>
          <w:p w14:paraId="3CA27CC2" w14:textId="77777777" w:rsidR="00F83FD3" w:rsidRPr="006A7278" w:rsidRDefault="00F83FD3" w:rsidP="00F83FD3">
            <w:pPr>
              <w:pStyle w:val="TCTableBody"/>
              <w:spacing w:before="0" w:after="0" w:line="240" w:lineRule="auto"/>
              <w:jc w:val="center"/>
              <w:cnfStyle w:val="000000000000" w:firstRow="0" w:lastRow="0" w:firstColumn="0" w:lastColumn="0" w:oddVBand="0" w:evenVBand="0" w:oddHBand="0" w:evenHBand="0" w:firstRowFirstColumn="0" w:firstRowLastColumn="0" w:lastRowFirstColumn="0" w:lastRowLastColumn="0"/>
              <w:rPr>
                <w:sz w:val="13"/>
                <w:szCs w:val="13"/>
                <w:lang w:eastAsia="en-US"/>
              </w:rPr>
            </w:pPr>
            <w:r w:rsidRPr="006A7278">
              <w:rPr>
                <w:sz w:val="13"/>
                <w:szCs w:val="13"/>
                <w:lang w:eastAsia="en-US"/>
              </w:rPr>
              <w:t>KIT-6</w:t>
            </w:r>
          </w:p>
        </w:tc>
        <w:tc>
          <w:tcPr>
            <w:tcW w:w="872" w:type="pct"/>
            <w:shd w:val="clear" w:color="auto" w:fill="F2F2F2" w:themeFill="background1" w:themeFillShade="F2"/>
            <w:vAlign w:val="center"/>
          </w:tcPr>
          <w:p w14:paraId="4098E61C" w14:textId="77777777" w:rsidR="00F83FD3" w:rsidRPr="006A7278" w:rsidRDefault="00F83FD3" w:rsidP="00F83FD3">
            <w:pPr>
              <w:pStyle w:val="TCTableBody"/>
              <w:spacing w:before="0" w:after="0" w:line="240" w:lineRule="auto"/>
              <w:jc w:val="center"/>
              <w:cnfStyle w:val="000000000000" w:firstRow="0" w:lastRow="0" w:firstColumn="0" w:lastColumn="0" w:oddVBand="0" w:evenVBand="0" w:oddHBand="0" w:evenHBand="0" w:firstRowFirstColumn="0" w:firstRowLastColumn="0" w:lastRowFirstColumn="0" w:lastRowLastColumn="0"/>
              <w:rPr>
                <w:sz w:val="13"/>
                <w:szCs w:val="13"/>
                <w:lang w:eastAsia="en-US"/>
              </w:rPr>
            </w:pPr>
            <w:r w:rsidRPr="006A7278">
              <w:rPr>
                <w:sz w:val="13"/>
                <w:szCs w:val="13"/>
                <w:lang w:eastAsia="en-US"/>
              </w:rPr>
              <w:t>Sucrose</w:t>
            </w:r>
          </w:p>
        </w:tc>
        <w:tc>
          <w:tcPr>
            <w:tcW w:w="624" w:type="pct"/>
            <w:vMerge/>
            <w:shd w:val="clear" w:color="auto" w:fill="F2F2F2" w:themeFill="background1" w:themeFillShade="F2"/>
            <w:vAlign w:val="center"/>
          </w:tcPr>
          <w:p w14:paraId="44C08C86" w14:textId="77777777" w:rsidR="00F83FD3" w:rsidRPr="006A7278" w:rsidRDefault="00F83FD3" w:rsidP="00F83FD3">
            <w:pPr>
              <w:pStyle w:val="TCTableBody"/>
              <w:spacing w:before="0" w:after="0" w:line="240" w:lineRule="auto"/>
              <w:jc w:val="center"/>
              <w:cnfStyle w:val="000000000000" w:firstRow="0" w:lastRow="0" w:firstColumn="0" w:lastColumn="0" w:oddVBand="0" w:evenVBand="0" w:oddHBand="0" w:evenHBand="0" w:firstRowFirstColumn="0" w:firstRowLastColumn="0" w:lastRowFirstColumn="0" w:lastRowLastColumn="0"/>
              <w:rPr>
                <w:sz w:val="13"/>
                <w:szCs w:val="13"/>
                <w:lang w:eastAsia="en-US"/>
              </w:rPr>
            </w:pPr>
          </w:p>
        </w:tc>
        <w:tc>
          <w:tcPr>
            <w:tcW w:w="750" w:type="pct"/>
            <w:vMerge/>
            <w:shd w:val="clear" w:color="auto" w:fill="FF9966"/>
            <w:vAlign w:val="center"/>
          </w:tcPr>
          <w:p w14:paraId="29DBCE0B" w14:textId="77777777" w:rsidR="00F83FD3" w:rsidRPr="006A7278" w:rsidRDefault="00F83FD3" w:rsidP="00F83FD3">
            <w:pPr>
              <w:pStyle w:val="TCTableBody"/>
              <w:spacing w:before="0" w:after="0" w:line="240" w:lineRule="auto"/>
              <w:jc w:val="center"/>
              <w:cnfStyle w:val="000000000000" w:firstRow="0" w:lastRow="0" w:firstColumn="0" w:lastColumn="0" w:oddVBand="0" w:evenVBand="0" w:oddHBand="0" w:evenHBand="0" w:firstRowFirstColumn="0" w:firstRowLastColumn="0" w:lastRowFirstColumn="0" w:lastRowLastColumn="0"/>
              <w:rPr>
                <w:sz w:val="13"/>
                <w:szCs w:val="13"/>
                <w:lang w:eastAsia="en-US"/>
              </w:rPr>
            </w:pPr>
          </w:p>
        </w:tc>
        <w:tc>
          <w:tcPr>
            <w:tcW w:w="1000" w:type="pct"/>
            <w:shd w:val="clear" w:color="auto" w:fill="FF9966"/>
            <w:vAlign w:val="center"/>
          </w:tcPr>
          <w:p w14:paraId="707C3BE8" w14:textId="77777777" w:rsidR="00F83FD3" w:rsidRPr="006A7278" w:rsidRDefault="00F83FD3" w:rsidP="00F83FD3">
            <w:pPr>
              <w:pStyle w:val="TCTableBody"/>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sz w:val="13"/>
                <w:szCs w:val="13"/>
                <w:lang w:eastAsia="en-US"/>
              </w:rPr>
            </w:pPr>
            <w:r w:rsidRPr="006A7278">
              <w:rPr>
                <w:b/>
                <w:bCs/>
                <w:sz w:val="13"/>
                <w:szCs w:val="13"/>
                <w:lang w:eastAsia="en-US"/>
              </w:rPr>
              <w:t>CMK-8-SA</w:t>
            </w:r>
          </w:p>
        </w:tc>
      </w:tr>
      <w:tr w:rsidR="004D35B2" w:rsidRPr="006A7278" w14:paraId="6BCD0A3D" w14:textId="77777777" w:rsidTr="004D35B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00" w:type="pct"/>
            <w:shd w:val="clear" w:color="auto" w:fill="F2F2F2" w:themeFill="background1" w:themeFillShade="F2"/>
            <w:vAlign w:val="center"/>
          </w:tcPr>
          <w:p w14:paraId="2051D1BB" w14:textId="77777777" w:rsidR="00F83FD3" w:rsidRPr="006A7278" w:rsidRDefault="00F83FD3" w:rsidP="00F83FD3">
            <w:pPr>
              <w:pStyle w:val="TCTableBody"/>
              <w:spacing w:before="0" w:after="0" w:line="240" w:lineRule="auto"/>
              <w:jc w:val="center"/>
              <w:rPr>
                <w:sz w:val="13"/>
                <w:szCs w:val="13"/>
                <w:lang w:eastAsia="en-US"/>
              </w:rPr>
            </w:pPr>
            <w:r w:rsidRPr="006A7278">
              <w:rPr>
                <w:sz w:val="13"/>
                <w:szCs w:val="13"/>
                <w:lang w:eastAsia="en-US"/>
              </w:rPr>
              <w:t>S-CMK-8-550</w:t>
            </w:r>
          </w:p>
        </w:tc>
        <w:tc>
          <w:tcPr>
            <w:tcW w:w="753" w:type="pct"/>
            <w:shd w:val="clear" w:color="auto" w:fill="F2F2F2" w:themeFill="background1" w:themeFillShade="F2"/>
            <w:vAlign w:val="center"/>
          </w:tcPr>
          <w:p w14:paraId="7DE7B29F" w14:textId="77777777" w:rsidR="00F83FD3" w:rsidRPr="006A7278" w:rsidRDefault="00F83FD3" w:rsidP="00F83FD3">
            <w:pPr>
              <w:pStyle w:val="TCTableBody"/>
              <w:spacing w:before="0" w:after="0" w:line="240" w:lineRule="auto"/>
              <w:jc w:val="center"/>
              <w:cnfStyle w:val="000000100000" w:firstRow="0" w:lastRow="0" w:firstColumn="0" w:lastColumn="0" w:oddVBand="0" w:evenVBand="0" w:oddHBand="1" w:evenHBand="0" w:firstRowFirstColumn="0" w:firstRowLastColumn="0" w:lastRowFirstColumn="0" w:lastRowLastColumn="0"/>
              <w:rPr>
                <w:sz w:val="13"/>
                <w:szCs w:val="13"/>
                <w:lang w:eastAsia="en-US"/>
              </w:rPr>
            </w:pPr>
            <w:r w:rsidRPr="006A7278">
              <w:rPr>
                <w:sz w:val="13"/>
                <w:szCs w:val="13"/>
                <w:lang w:eastAsia="en-US"/>
              </w:rPr>
              <w:t>KIT-6</w:t>
            </w:r>
          </w:p>
        </w:tc>
        <w:tc>
          <w:tcPr>
            <w:tcW w:w="872" w:type="pct"/>
            <w:shd w:val="clear" w:color="auto" w:fill="F2F2F2" w:themeFill="background1" w:themeFillShade="F2"/>
            <w:vAlign w:val="center"/>
          </w:tcPr>
          <w:p w14:paraId="3CBC66BD" w14:textId="77777777" w:rsidR="00F83FD3" w:rsidRPr="006A7278" w:rsidRDefault="00F83FD3" w:rsidP="00F83FD3">
            <w:pPr>
              <w:pStyle w:val="TCTableBody"/>
              <w:spacing w:before="0" w:after="0" w:line="240" w:lineRule="auto"/>
              <w:jc w:val="center"/>
              <w:cnfStyle w:val="000000100000" w:firstRow="0" w:lastRow="0" w:firstColumn="0" w:lastColumn="0" w:oddVBand="0" w:evenVBand="0" w:oddHBand="1" w:evenHBand="0" w:firstRowFirstColumn="0" w:firstRowLastColumn="0" w:lastRowFirstColumn="0" w:lastRowLastColumn="0"/>
              <w:rPr>
                <w:sz w:val="13"/>
                <w:szCs w:val="13"/>
                <w:lang w:eastAsia="en-US"/>
              </w:rPr>
            </w:pPr>
            <w:r w:rsidRPr="006A7278">
              <w:rPr>
                <w:sz w:val="13"/>
                <w:szCs w:val="13"/>
                <w:lang w:eastAsia="en-US"/>
              </w:rPr>
              <w:t>2-Thiophene Methanol</w:t>
            </w:r>
          </w:p>
        </w:tc>
        <w:tc>
          <w:tcPr>
            <w:tcW w:w="624" w:type="pct"/>
            <w:vMerge/>
            <w:shd w:val="clear" w:color="auto" w:fill="F2F2F2" w:themeFill="background1" w:themeFillShade="F2"/>
            <w:vAlign w:val="center"/>
          </w:tcPr>
          <w:p w14:paraId="22BE2692" w14:textId="77777777" w:rsidR="00F83FD3" w:rsidRPr="006A7278" w:rsidRDefault="00F83FD3" w:rsidP="00F83FD3">
            <w:pPr>
              <w:pStyle w:val="TCTableBody"/>
              <w:spacing w:before="0" w:after="0" w:line="240" w:lineRule="auto"/>
              <w:jc w:val="center"/>
              <w:cnfStyle w:val="000000100000" w:firstRow="0" w:lastRow="0" w:firstColumn="0" w:lastColumn="0" w:oddVBand="0" w:evenVBand="0" w:oddHBand="1" w:evenHBand="0" w:firstRowFirstColumn="0" w:firstRowLastColumn="0" w:lastRowFirstColumn="0" w:lastRowLastColumn="0"/>
              <w:rPr>
                <w:sz w:val="13"/>
                <w:szCs w:val="13"/>
                <w:lang w:eastAsia="en-US"/>
              </w:rPr>
            </w:pPr>
          </w:p>
        </w:tc>
        <w:tc>
          <w:tcPr>
            <w:tcW w:w="750" w:type="pct"/>
            <w:vMerge/>
            <w:shd w:val="clear" w:color="auto" w:fill="FF9966"/>
            <w:vAlign w:val="center"/>
          </w:tcPr>
          <w:p w14:paraId="73DA7492" w14:textId="77777777" w:rsidR="00F83FD3" w:rsidRPr="006A7278" w:rsidRDefault="00F83FD3" w:rsidP="00F83FD3">
            <w:pPr>
              <w:pStyle w:val="TCTableBody"/>
              <w:spacing w:before="0" w:after="0" w:line="240" w:lineRule="auto"/>
              <w:jc w:val="center"/>
              <w:cnfStyle w:val="000000100000" w:firstRow="0" w:lastRow="0" w:firstColumn="0" w:lastColumn="0" w:oddVBand="0" w:evenVBand="0" w:oddHBand="1" w:evenHBand="0" w:firstRowFirstColumn="0" w:firstRowLastColumn="0" w:lastRowFirstColumn="0" w:lastRowLastColumn="0"/>
              <w:rPr>
                <w:sz w:val="13"/>
                <w:szCs w:val="13"/>
                <w:lang w:eastAsia="en-US"/>
              </w:rPr>
            </w:pPr>
          </w:p>
        </w:tc>
        <w:tc>
          <w:tcPr>
            <w:tcW w:w="1000" w:type="pct"/>
            <w:shd w:val="clear" w:color="auto" w:fill="FF9966"/>
            <w:vAlign w:val="center"/>
          </w:tcPr>
          <w:p w14:paraId="1EB6F476" w14:textId="77777777" w:rsidR="00F83FD3" w:rsidRPr="006A7278" w:rsidRDefault="00F83FD3" w:rsidP="00F83FD3">
            <w:pPr>
              <w:pStyle w:val="TCTableBody"/>
              <w:spacing w:before="0" w:after="0" w:line="240" w:lineRule="auto"/>
              <w:jc w:val="center"/>
              <w:cnfStyle w:val="000000100000" w:firstRow="0" w:lastRow="0" w:firstColumn="0" w:lastColumn="0" w:oddVBand="0" w:evenVBand="0" w:oddHBand="1" w:evenHBand="0" w:firstRowFirstColumn="0" w:firstRowLastColumn="0" w:lastRowFirstColumn="0" w:lastRowLastColumn="0"/>
              <w:rPr>
                <w:b/>
                <w:bCs/>
                <w:sz w:val="13"/>
                <w:szCs w:val="13"/>
                <w:lang w:eastAsia="en-US"/>
              </w:rPr>
            </w:pPr>
            <w:r w:rsidRPr="006A7278">
              <w:rPr>
                <w:b/>
                <w:bCs/>
                <w:sz w:val="13"/>
                <w:szCs w:val="13"/>
                <w:lang w:eastAsia="en-US"/>
              </w:rPr>
              <w:t>S-CMK-8-SA</w:t>
            </w:r>
          </w:p>
        </w:tc>
      </w:tr>
      <w:tr w:rsidR="004D35B2" w:rsidRPr="006A7278" w14:paraId="0AB28071" w14:textId="77777777" w:rsidTr="004D35B2">
        <w:trPr>
          <w:trHeight w:val="20"/>
        </w:trPr>
        <w:tc>
          <w:tcPr>
            <w:cnfStyle w:val="001000000000" w:firstRow="0" w:lastRow="0" w:firstColumn="1" w:lastColumn="0" w:oddVBand="0" w:evenVBand="0" w:oddHBand="0" w:evenHBand="0" w:firstRowFirstColumn="0" w:firstRowLastColumn="0" w:lastRowFirstColumn="0" w:lastRowLastColumn="0"/>
            <w:tcW w:w="1000" w:type="pct"/>
            <w:shd w:val="clear" w:color="auto" w:fill="F2F2F2" w:themeFill="background1" w:themeFillShade="F2"/>
            <w:vAlign w:val="center"/>
          </w:tcPr>
          <w:p w14:paraId="340EA8EB" w14:textId="77777777" w:rsidR="004D35B2" w:rsidRPr="006A7278" w:rsidRDefault="004D35B2" w:rsidP="004D35B2">
            <w:pPr>
              <w:pStyle w:val="TCTableBody"/>
              <w:spacing w:before="0" w:after="0" w:line="240" w:lineRule="auto"/>
              <w:jc w:val="center"/>
              <w:rPr>
                <w:sz w:val="13"/>
                <w:szCs w:val="13"/>
                <w:lang w:eastAsia="en-US"/>
              </w:rPr>
            </w:pPr>
            <w:r w:rsidRPr="006A7278">
              <w:rPr>
                <w:sz w:val="13"/>
                <w:szCs w:val="13"/>
                <w:lang w:eastAsia="en-US"/>
              </w:rPr>
              <w:t>C-Chi-1000</w:t>
            </w:r>
          </w:p>
        </w:tc>
        <w:tc>
          <w:tcPr>
            <w:tcW w:w="753" w:type="pct"/>
            <w:shd w:val="clear" w:color="auto" w:fill="F2F2F2" w:themeFill="background1" w:themeFillShade="F2"/>
            <w:vAlign w:val="center"/>
          </w:tcPr>
          <w:p w14:paraId="7A43369A" w14:textId="77777777" w:rsidR="004D35B2" w:rsidRPr="006A7278" w:rsidRDefault="004D35B2" w:rsidP="004D35B2">
            <w:pPr>
              <w:pStyle w:val="TCTableBody"/>
              <w:spacing w:before="0" w:after="0" w:line="240" w:lineRule="auto"/>
              <w:jc w:val="center"/>
              <w:cnfStyle w:val="000000000000" w:firstRow="0" w:lastRow="0" w:firstColumn="0" w:lastColumn="0" w:oddVBand="0" w:evenVBand="0" w:oddHBand="0" w:evenHBand="0" w:firstRowFirstColumn="0" w:firstRowLastColumn="0" w:lastRowFirstColumn="0" w:lastRowLastColumn="0"/>
              <w:rPr>
                <w:sz w:val="13"/>
                <w:szCs w:val="13"/>
                <w:lang w:eastAsia="en-US"/>
              </w:rPr>
            </w:pPr>
            <w:r w:rsidRPr="006A7278">
              <w:rPr>
                <w:sz w:val="13"/>
                <w:szCs w:val="13"/>
                <w:lang w:eastAsia="en-US"/>
              </w:rPr>
              <w:t xml:space="preserve">Ludox </w:t>
            </w:r>
          </w:p>
          <w:p w14:paraId="3173026F" w14:textId="7F929EE3" w:rsidR="004D35B2" w:rsidRPr="006A7278" w:rsidRDefault="004D35B2" w:rsidP="004D35B2">
            <w:pPr>
              <w:pStyle w:val="TCTableBody"/>
              <w:spacing w:before="0" w:after="0" w:line="240" w:lineRule="auto"/>
              <w:jc w:val="center"/>
              <w:cnfStyle w:val="000000000000" w:firstRow="0" w:lastRow="0" w:firstColumn="0" w:lastColumn="0" w:oddVBand="0" w:evenVBand="0" w:oddHBand="0" w:evenHBand="0" w:firstRowFirstColumn="0" w:firstRowLastColumn="0" w:lastRowFirstColumn="0" w:lastRowLastColumn="0"/>
              <w:rPr>
                <w:sz w:val="13"/>
                <w:szCs w:val="13"/>
                <w:lang w:eastAsia="en-US"/>
              </w:rPr>
            </w:pPr>
            <w:r w:rsidRPr="006A7278">
              <w:rPr>
                <w:sz w:val="13"/>
                <w:szCs w:val="13"/>
                <w:lang w:eastAsia="en-US"/>
              </w:rPr>
              <w:t>AS-40</w:t>
            </w:r>
          </w:p>
        </w:tc>
        <w:tc>
          <w:tcPr>
            <w:tcW w:w="872" w:type="pct"/>
            <w:shd w:val="clear" w:color="auto" w:fill="F2F2F2" w:themeFill="background1" w:themeFillShade="F2"/>
            <w:vAlign w:val="center"/>
          </w:tcPr>
          <w:p w14:paraId="2431259B" w14:textId="2010A8D7" w:rsidR="004D35B2" w:rsidRPr="006A7278" w:rsidRDefault="004D35B2" w:rsidP="004D35B2">
            <w:pPr>
              <w:pStyle w:val="TCTableBody"/>
              <w:spacing w:before="0" w:after="0" w:line="240" w:lineRule="auto"/>
              <w:jc w:val="center"/>
              <w:cnfStyle w:val="000000000000" w:firstRow="0" w:lastRow="0" w:firstColumn="0" w:lastColumn="0" w:oddVBand="0" w:evenVBand="0" w:oddHBand="0" w:evenHBand="0" w:firstRowFirstColumn="0" w:firstRowLastColumn="0" w:lastRowFirstColumn="0" w:lastRowLastColumn="0"/>
              <w:rPr>
                <w:sz w:val="13"/>
                <w:szCs w:val="13"/>
                <w:lang w:eastAsia="en-US"/>
              </w:rPr>
            </w:pPr>
            <w:r w:rsidRPr="006A7278">
              <w:rPr>
                <w:sz w:val="13"/>
                <w:szCs w:val="13"/>
                <w:lang w:eastAsia="en-US"/>
              </w:rPr>
              <w:t>Chitosan</w:t>
            </w:r>
          </w:p>
        </w:tc>
        <w:tc>
          <w:tcPr>
            <w:tcW w:w="624" w:type="pct"/>
            <w:vMerge w:val="restart"/>
            <w:shd w:val="clear" w:color="auto" w:fill="F2F2F2" w:themeFill="background1" w:themeFillShade="F2"/>
            <w:vAlign w:val="center"/>
          </w:tcPr>
          <w:p w14:paraId="0C7C7784" w14:textId="77777777" w:rsidR="004D35B2" w:rsidRPr="006A7278" w:rsidRDefault="004D35B2" w:rsidP="004D35B2">
            <w:pPr>
              <w:pStyle w:val="TCTableBody"/>
              <w:spacing w:before="0" w:after="0" w:line="240" w:lineRule="auto"/>
              <w:jc w:val="center"/>
              <w:cnfStyle w:val="000000000000" w:firstRow="0" w:lastRow="0" w:firstColumn="0" w:lastColumn="0" w:oddVBand="0" w:evenVBand="0" w:oddHBand="0" w:evenHBand="0" w:firstRowFirstColumn="0" w:firstRowLastColumn="0" w:lastRowFirstColumn="0" w:lastRowLastColumn="0"/>
              <w:rPr>
                <w:sz w:val="13"/>
                <w:szCs w:val="13"/>
                <w:lang w:eastAsia="en-US"/>
              </w:rPr>
            </w:pPr>
            <w:r w:rsidRPr="006A7278">
              <w:rPr>
                <w:sz w:val="13"/>
                <w:szCs w:val="13"/>
                <w:lang w:eastAsia="en-US"/>
              </w:rPr>
              <w:t>1000</w:t>
            </w:r>
          </w:p>
        </w:tc>
        <w:tc>
          <w:tcPr>
            <w:tcW w:w="750" w:type="pct"/>
            <w:vMerge w:val="restart"/>
            <w:shd w:val="clear" w:color="auto" w:fill="FF9966"/>
            <w:vAlign w:val="center"/>
          </w:tcPr>
          <w:p w14:paraId="1E01AC04" w14:textId="77777777" w:rsidR="004D35B2" w:rsidRPr="006A7278" w:rsidRDefault="004D35B2" w:rsidP="004D35B2">
            <w:pPr>
              <w:pStyle w:val="TCTableBody"/>
              <w:spacing w:before="0" w:after="0" w:line="240" w:lineRule="auto"/>
              <w:jc w:val="center"/>
              <w:cnfStyle w:val="000000000000" w:firstRow="0" w:lastRow="0" w:firstColumn="0" w:lastColumn="0" w:oddVBand="0" w:evenVBand="0" w:oddHBand="0" w:evenHBand="0" w:firstRowFirstColumn="0" w:firstRowLastColumn="0" w:lastRowFirstColumn="0" w:lastRowLastColumn="0"/>
              <w:rPr>
                <w:sz w:val="13"/>
                <w:szCs w:val="13"/>
                <w:lang w:eastAsia="en-US"/>
              </w:rPr>
            </w:pPr>
            <w:r w:rsidRPr="006A7278">
              <w:rPr>
                <w:sz w:val="13"/>
                <w:szCs w:val="13"/>
                <w:lang w:eastAsia="en-US"/>
              </w:rPr>
              <w:t>Diazonium Salt</w:t>
            </w:r>
          </w:p>
        </w:tc>
        <w:tc>
          <w:tcPr>
            <w:tcW w:w="1000" w:type="pct"/>
            <w:shd w:val="clear" w:color="auto" w:fill="FF9966"/>
            <w:vAlign w:val="center"/>
          </w:tcPr>
          <w:p w14:paraId="4130DD9C" w14:textId="77777777" w:rsidR="004D35B2" w:rsidRPr="006A7278" w:rsidRDefault="004D35B2" w:rsidP="004D35B2">
            <w:pPr>
              <w:pStyle w:val="TCTableBody"/>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sz w:val="13"/>
                <w:szCs w:val="13"/>
                <w:lang w:eastAsia="en-US"/>
              </w:rPr>
            </w:pPr>
            <w:r w:rsidRPr="006A7278">
              <w:rPr>
                <w:b/>
                <w:bCs/>
                <w:sz w:val="13"/>
                <w:szCs w:val="13"/>
                <w:lang w:eastAsia="en-US"/>
              </w:rPr>
              <w:t>C-Chi-PSA</w:t>
            </w:r>
          </w:p>
        </w:tc>
      </w:tr>
      <w:tr w:rsidR="004D35B2" w:rsidRPr="006A7278" w14:paraId="0827B24F" w14:textId="77777777" w:rsidTr="004D35B2">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000" w:type="pct"/>
            <w:shd w:val="clear" w:color="auto" w:fill="F2F2F2" w:themeFill="background1" w:themeFillShade="F2"/>
            <w:vAlign w:val="center"/>
          </w:tcPr>
          <w:p w14:paraId="7CF62F90" w14:textId="77777777" w:rsidR="004D35B2" w:rsidRPr="006A7278" w:rsidRDefault="004D35B2" w:rsidP="004D35B2">
            <w:pPr>
              <w:pStyle w:val="TCTableBody"/>
              <w:spacing w:before="0" w:after="0" w:line="240" w:lineRule="auto"/>
              <w:jc w:val="center"/>
              <w:rPr>
                <w:sz w:val="13"/>
                <w:szCs w:val="13"/>
                <w:lang w:eastAsia="en-US"/>
              </w:rPr>
            </w:pPr>
            <w:r w:rsidRPr="006A7278">
              <w:rPr>
                <w:sz w:val="13"/>
                <w:szCs w:val="13"/>
                <w:lang w:eastAsia="en-US"/>
              </w:rPr>
              <w:t>CMK-3-1000</w:t>
            </w:r>
          </w:p>
        </w:tc>
        <w:tc>
          <w:tcPr>
            <w:tcW w:w="753" w:type="pct"/>
            <w:shd w:val="clear" w:color="auto" w:fill="F2F2F2" w:themeFill="background1" w:themeFillShade="F2"/>
            <w:vAlign w:val="center"/>
          </w:tcPr>
          <w:p w14:paraId="0B8B9037" w14:textId="4137ECA0" w:rsidR="004D35B2" w:rsidRPr="006A7278" w:rsidRDefault="004D35B2" w:rsidP="004D35B2">
            <w:pPr>
              <w:pStyle w:val="TCTableBody"/>
              <w:spacing w:before="0" w:after="0" w:line="240" w:lineRule="auto"/>
              <w:jc w:val="center"/>
              <w:cnfStyle w:val="000000100000" w:firstRow="0" w:lastRow="0" w:firstColumn="0" w:lastColumn="0" w:oddVBand="0" w:evenVBand="0" w:oddHBand="1" w:evenHBand="0" w:firstRowFirstColumn="0" w:firstRowLastColumn="0" w:lastRowFirstColumn="0" w:lastRowLastColumn="0"/>
              <w:rPr>
                <w:sz w:val="13"/>
                <w:szCs w:val="13"/>
                <w:lang w:eastAsia="en-US"/>
              </w:rPr>
            </w:pPr>
            <w:r w:rsidRPr="006A7278">
              <w:rPr>
                <w:sz w:val="13"/>
                <w:szCs w:val="13"/>
                <w:lang w:eastAsia="en-US"/>
              </w:rPr>
              <w:t>SBA-15</w:t>
            </w:r>
          </w:p>
        </w:tc>
        <w:tc>
          <w:tcPr>
            <w:tcW w:w="872" w:type="pct"/>
            <w:shd w:val="clear" w:color="auto" w:fill="F2F2F2" w:themeFill="background1" w:themeFillShade="F2"/>
            <w:vAlign w:val="center"/>
          </w:tcPr>
          <w:p w14:paraId="04284CD9" w14:textId="75FF71F9" w:rsidR="004D35B2" w:rsidRPr="006A7278" w:rsidRDefault="004D35B2" w:rsidP="004D35B2">
            <w:pPr>
              <w:pStyle w:val="TCTableBody"/>
              <w:spacing w:before="0" w:after="0" w:line="240" w:lineRule="auto"/>
              <w:jc w:val="center"/>
              <w:cnfStyle w:val="000000100000" w:firstRow="0" w:lastRow="0" w:firstColumn="0" w:lastColumn="0" w:oddVBand="0" w:evenVBand="0" w:oddHBand="1" w:evenHBand="0" w:firstRowFirstColumn="0" w:firstRowLastColumn="0" w:lastRowFirstColumn="0" w:lastRowLastColumn="0"/>
              <w:rPr>
                <w:sz w:val="13"/>
                <w:szCs w:val="13"/>
                <w:lang w:eastAsia="en-US"/>
              </w:rPr>
            </w:pPr>
            <w:r w:rsidRPr="006A7278">
              <w:rPr>
                <w:sz w:val="13"/>
                <w:szCs w:val="13"/>
                <w:lang w:eastAsia="en-US"/>
              </w:rPr>
              <w:t>Sucrose</w:t>
            </w:r>
          </w:p>
        </w:tc>
        <w:tc>
          <w:tcPr>
            <w:tcW w:w="624" w:type="pct"/>
            <w:vMerge/>
            <w:shd w:val="clear" w:color="auto" w:fill="F2F2F2" w:themeFill="background1" w:themeFillShade="F2"/>
            <w:vAlign w:val="center"/>
          </w:tcPr>
          <w:p w14:paraId="1918E385" w14:textId="77777777" w:rsidR="004D35B2" w:rsidRPr="006A7278" w:rsidRDefault="004D35B2" w:rsidP="004D35B2">
            <w:pPr>
              <w:pStyle w:val="TCTableBody"/>
              <w:spacing w:before="0" w:after="0" w:line="240" w:lineRule="auto"/>
              <w:jc w:val="center"/>
              <w:cnfStyle w:val="000000100000" w:firstRow="0" w:lastRow="0" w:firstColumn="0" w:lastColumn="0" w:oddVBand="0" w:evenVBand="0" w:oddHBand="1" w:evenHBand="0" w:firstRowFirstColumn="0" w:firstRowLastColumn="0" w:lastRowFirstColumn="0" w:lastRowLastColumn="0"/>
              <w:rPr>
                <w:sz w:val="13"/>
                <w:szCs w:val="13"/>
                <w:lang w:eastAsia="en-US"/>
              </w:rPr>
            </w:pPr>
          </w:p>
        </w:tc>
        <w:tc>
          <w:tcPr>
            <w:tcW w:w="750" w:type="pct"/>
            <w:vMerge/>
            <w:shd w:val="clear" w:color="auto" w:fill="FF9966"/>
            <w:vAlign w:val="center"/>
          </w:tcPr>
          <w:p w14:paraId="6ADD321E" w14:textId="77777777" w:rsidR="004D35B2" w:rsidRPr="006A7278" w:rsidRDefault="004D35B2" w:rsidP="004D35B2">
            <w:pPr>
              <w:pStyle w:val="TCTableBody"/>
              <w:spacing w:before="0" w:after="0" w:line="240" w:lineRule="auto"/>
              <w:jc w:val="center"/>
              <w:cnfStyle w:val="000000100000" w:firstRow="0" w:lastRow="0" w:firstColumn="0" w:lastColumn="0" w:oddVBand="0" w:evenVBand="0" w:oddHBand="1" w:evenHBand="0" w:firstRowFirstColumn="0" w:firstRowLastColumn="0" w:lastRowFirstColumn="0" w:lastRowLastColumn="0"/>
              <w:rPr>
                <w:sz w:val="13"/>
                <w:szCs w:val="13"/>
                <w:lang w:eastAsia="en-US"/>
              </w:rPr>
            </w:pPr>
          </w:p>
        </w:tc>
        <w:tc>
          <w:tcPr>
            <w:tcW w:w="1000" w:type="pct"/>
            <w:shd w:val="clear" w:color="auto" w:fill="FF9966"/>
            <w:vAlign w:val="center"/>
          </w:tcPr>
          <w:p w14:paraId="42D889B5" w14:textId="77777777" w:rsidR="004D35B2" w:rsidRPr="006A7278" w:rsidRDefault="004D35B2" w:rsidP="004D35B2">
            <w:pPr>
              <w:pStyle w:val="TCTableBody"/>
              <w:spacing w:before="0" w:after="0" w:line="240" w:lineRule="auto"/>
              <w:jc w:val="center"/>
              <w:cnfStyle w:val="000000100000" w:firstRow="0" w:lastRow="0" w:firstColumn="0" w:lastColumn="0" w:oddVBand="0" w:evenVBand="0" w:oddHBand="1" w:evenHBand="0" w:firstRowFirstColumn="0" w:firstRowLastColumn="0" w:lastRowFirstColumn="0" w:lastRowLastColumn="0"/>
              <w:rPr>
                <w:b/>
                <w:bCs/>
                <w:sz w:val="13"/>
                <w:szCs w:val="13"/>
                <w:lang w:eastAsia="en-US"/>
              </w:rPr>
            </w:pPr>
            <w:r w:rsidRPr="006A7278">
              <w:rPr>
                <w:b/>
                <w:bCs/>
                <w:sz w:val="13"/>
                <w:szCs w:val="13"/>
                <w:lang w:eastAsia="en-US"/>
              </w:rPr>
              <w:t>CMK-3-PSA</w:t>
            </w:r>
          </w:p>
        </w:tc>
      </w:tr>
      <w:tr w:rsidR="004D35B2" w:rsidRPr="006A7278" w14:paraId="5D99C7DA" w14:textId="77777777" w:rsidTr="004D35B2">
        <w:trPr>
          <w:trHeight w:val="20"/>
        </w:trPr>
        <w:tc>
          <w:tcPr>
            <w:cnfStyle w:val="001000000000" w:firstRow="0" w:lastRow="0" w:firstColumn="1" w:lastColumn="0" w:oddVBand="0" w:evenVBand="0" w:oddHBand="0" w:evenHBand="0" w:firstRowFirstColumn="0" w:firstRowLastColumn="0" w:lastRowFirstColumn="0" w:lastRowLastColumn="0"/>
            <w:tcW w:w="1000" w:type="pct"/>
            <w:shd w:val="clear" w:color="auto" w:fill="F2F2F2" w:themeFill="background1" w:themeFillShade="F2"/>
            <w:vAlign w:val="center"/>
          </w:tcPr>
          <w:p w14:paraId="75F03419" w14:textId="77777777" w:rsidR="004D35B2" w:rsidRPr="006A7278" w:rsidRDefault="004D35B2" w:rsidP="004D35B2">
            <w:pPr>
              <w:pStyle w:val="TCTableBody"/>
              <w:spacing w:before="0" w:after="0" w:line="240" w:lineRule="auto"/>
              <w:jc w:val="center"/>
              <w:rPr>
                <w:sz w:val="13"/>
                <w:szCs w:val="13"/>
                <w:lang w:eastAsia="en-US"/>
              </w:rPr>
            </w:pPr>
            <w:r w:rsidRPr="006A7278">
              <w:rPr>
                <w:sz w:val="13"/>
                <w:szCs w:val="13"/>
                <w:lang w:eastAsia="en-US"/>
              </w:rPr>
              <w:t>CMK-5-1000</w:t>
            </w:r>
          </w:p>
        </w:tc>
        <w:tc>
          <w:tcPr>
            <w:tcW w:w="753" w:type="pct"/>
            <w:shd w:val="clear" w:color="auto" w:fill="F2F2F2" w:themeFill="background1" w:themeFillShade="F2"/>
            <w:vAlign w:val="center"/>
          </w:tcPr>
          <w:p w14:paraId="1B0B9427" w14:textId="01EBDE31" w:rsidR="004D35B2" w:rsidRPr="006A7278" w:rsidRDefault="004D35B2" w:rsidP="004D35B2">
            <w:pPr>
              <w:pStyle w:val="TCTableBody"/>
              <w:spacing w:before="0" w:after="0" w:line="240" w:lineRule="auto"/>
              <w:jc w:val="center"/>
              <w:cnfStyle w:val="000000000000" w:firstRow="0" w:lastRow="0" w:firstColumn="0" w:lastColumn="0" w:oddVBand="0" w:evenVBand="0" w:oddHBand="0" w:evenHBand="0" w:firstRowFirstColumn="0" w:firstRowLastColumn="0" w:lastRowFirstColumn="0" w:lastRowLastColumn="0"/>
              <w:rPr>
                <w:sz w:val="13"/>
                <w:szCs w:val="13"/>
                <w:lang w:eastAsia="en-US"/>
              </w:rPr>
            </w:pPr>
            <w:r w:rsidRPr="006A7278">
              <w:rPr>
                <w:sz w:val="13"/>
                <w:szCs w:val="13"/>
                <w:lang w:eastAsia="en-US"/>
              </w:rPr>
              <w:t>Al-SBA-15</w:t>
            </w:r>
          </w:p>
        </w:tc>
        <w:tc>
          <w:tcPr>
            <w:tcW w:w="872" w:type="pct"/>
            <w:shd w:val="clear" w:color="auto" w:fill="F2F2F2" w:themeFill="background1" w:themeFillShade="F2"/>
            <w:vAlign w:val="center"/>
          </w:tcPr>
          <w:p w14:paraId="263F5364" w14:textId="7B2DDD79" w:rsidR="004D35B2" w:rsidRPr="006A7278" w:rsidRDefault="004D35B2" w:rsidP="004D35B2">
            <w:pPr>
              <w:pStyle w:val="TCTableBody"/>
              <w:spacing w:before="0" w:after="0" w:line="240" w:lineRule="auto"/>
              <w:jc w:val="center"/>
              <w:cnfStyle w:val="000000000000" w:firstRow="0" w:lastRow="0" w:firstColumn="0" w:lastColumn="0" w:oddVBand="0" w:evenVBand="0" w:oddHBand="0" w:evenHBand="0" w:firstRowFirstColumn="0" w:firstRowLastColumn="0" w:lastRowFirstColumn="0" w:lastRowLastColumn="0"/>
              <w:rPr>
                <w:sz w:val="13"/>
                <w:szCs w:val="13"/>
                <w:lang w:eastAsia="en-US"/>
              </w:rPr>
            </w:pPr>
            <w:r w:rsidRPr="006A7278">
              <w:rPr>
                <w:sz w:val="13"/>
                <w:szCs w:val="13"/>
                <w:lang w:eastAsia="en-US"/>
              </w:rPr>
              <w:t>Furfuryl Alcohol</w:t>
            </w:r>
          </w:p>
        </w:tc>
        <w:tc>
          <w:tcPr>
            <w:tcW w:w="624" w:type="pct"/>
            <w:vMerge/>
            <w:shd w:val="clear" w:color="auto" w:fill="F2F2F2" w:themeFill="background1" w:themeFillShade="F2"/>
            <w:vAlign w:val="center"/>
          </w:tcPr>
          <w:p w14:paraId="666EF825" w14:textId="77777777" w:rsidR="004D35B2" w:rsidRPr="006A7278" w:rsidRDefault="004D35B2" w:rsidP="004D35B2">
            <w:pPr>
              <w:pStyle w:val="TCTableBody"/>
              <w:spacing w:before="0" w:after="0" w:line="240" w:lineRule="auto"/>
              <w:jc w:val="center"/>
              <w:cnfStyle w:val="000000000000" w:firstRow="0" w:lastRow="0" w:firstColumn="0" w:lastColumn="0" w:oddVBand="0" w:evenVBand="0" w:oddHBand="0" w:evenHBand="0" w:firstRowFirstColumn="0" w:firstRowLastColumn="0" w:lastRowFirstColumn="0" w:lastRowLastColumn="0"/>
              <w:rPr>
                <w:sz w:val="13"/>
                <w:szCs w:val="13"/>
                <w:lang w:eastAsia="en-US"/>
              </w:rPr>
            </w:pPr>
          </w:p>
        </w:tc>
        <w:tc>
          <w:tcPr>
            <w:tcW w:w="750" w:type="pct"/>
            <w:vMerge/>
            <w:shd w:val="clear" w:color="auto" w:fill="FF9966"/>
            <w:vAlign w:val="center"/>
          </w:tcPr>
          <w:p w14:paraId="4A3294F5" w14:textId="77777777" w:rsidR="004D35B2" w:rsidRPr="006A7278" w:rsidRDefault="004D35B2" w:rsidP="004D35B2">
            <w:pPr>
              <w:pStyle w:val="TCTableBody"/>
              <w:spacing w:before="0" w:after="0" w:line="240" w:lineRule="auto"/>
              <w:jc w:val="center"/>
              <w:cnfStyle w:val="000000000000" w:firstRow="0" w:lastRow="0" w:firstColumn="0" w:lastColumn="0" w:oddVBand="0" w:evenVBand="0" w:oddHBand="0" w:evenHBand="0" w:firstRowFirstColumn="0" w:firstRowLastColumn="0" w:lastRowFirstColumn="0" w:lastRowLastColumn="0"/>
              <w:rPr>
                <w:sz w:val="13"/>
                <w:szCs w:val="13"/>
                <w:lang w:eastAsia="en-US"/>
              </w:rPr>
            </w:pPr>
          </w:p>
        </w:tc>
        <w:tc>
          <w:tcPr>
            <w:tcW w:w="1000" w:type="pct"/>
            <w:shd w:val="clear" w:color="auto" w:fill="FF9966"/>
            <w:vAlign w:val="center"/>
          </w:tcPr>
          <w:p w14:paraId="11895BF7" w14:textId="77777777" w:rsidR="004D35B2" w:rsidRPr="006A7278" w:rsidRDefault="004D35B2" w:rsidP="004D35B2">
            <w:pPr>
              <w:pStyle w:val="TCTableBody"/>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sz w:val="13"/>
                <w:szCs w:val="13"/>
                <w:lang w:eastAsia="en-US"/>
              </w:rPr>
            </w:pPr>
            <w:r w:rsidRPr="006A7278">
              <w:rPr>
                <w:b/>
                <w:bCs/>
                <w:sz w:val="13"/>
                <w:szCs w:val="13"/>
                <w:lang w:eastAsia="en-US"/>
              </w:rPr>
              <w:t>CMK-5-PSA</w:t>
            </w:r>
          </w:p>
        </w:tc>
      </w:tr>
      <w:tr w:rsidR="004D35B2" w:rsidRPr="006A7278" w14:paraId="69BE5236" w14:textId="77777777" w:rsidTr="004D35B2">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000" w:type="pct"/>
            <w:shd w:val="clear" w:color="auto" w:fill="F2F2F2" w:themeFill="background1" w:themeFillShade="F2"/>
            <w:vAlign w:val="center"/>
          </w:tcPr>
          <w:p w14:paraId="6F94EE14" w14:textId="77777777" w:rsidR="004D35B2" w:rsidRPr="006A7278" w:rsidRDefault="004D35B2" w:rsidP="004D35B2">
            <w:pPr>
              <w:pStyle w:val="TCTableBody"/>
              <w:spacing w:before="0" w:after="0" w:line="240" w:lineRule="auto"/>
              <w:jc w:val="center"/>
              <w:rPr>
                <w:sz w:val="13"/>
                <w:szCs w:val="13"/>
                <w:lang w:eastAsia="en-US"/>
              </w:rPr>
            </w:pPr>
            <w:r w:rsidRPr="006A7278">
              <w:rPr>
                <w:sz w:val="13"/>
                <w:szCs w:val="13"/>
                <w:lang w:eastAsia="en-US"/>
              </w:rPr>
              <w:t>CMK-8-1000</w:t>
            </w:r>
          </w:p>
        </w:tc>
        <w:tc>
          <w:tcPr>
            <w:tcW w:w="753" w:type="pct"/>
            <w:shd w:val="clear" w:color="auto" w:fill="F2F2F2" w:themeFill="background1" w:themeFillShade="F2"/>
            <w:vAlign w:val="center"/>
          </w:tcPr>
          <w:p w14:paraId="3F7E6715" w14:textId="2F3BC372" w:rsidR="004D35B2" w:rsidRPr="006A7278" w:rsidRDefault="004D35B2" w:rsidP="004D35B2">
            <w:pPr>
              <w:pStyle w:val="TCTableBody"/>
              <w:spacing w:before="0" w:after="0" w:line="240" w:lineRule="auto"/>
              <w:jc w:val="center"/>
              <w:cnfStyle w:val="000000100000" w:firstRow="0" w:lastRow="0" w:firstColumn="0" w:lastColumn="0" w:oddVBand="0" w:evenVBand="0" w:oddHBand="1" w:evenHBand="0" w:firstRowFirstColumn="0" w:firstRowLastColumn="0" w:lastRowFirstColumn="0" w:lastRowLastColumn="0"/>
              <w:rPr>
                <w:sz w:val="13"/>
                <w:szCs w:val="13"/>
                <w:lang w:eastAsia="en-US"/>
              </w:rPr>
            </w:pPr>
            <w:r w:rsidRPr="006A7278">
              <w:rPr>
                <w:sz w:val="13"/>
                <w:szCs w:val="13"/>
                <w:lang w:eastAsia="en-US"/>
              </w:rPr>
              <w:t>KIT-6</w:t>
            </w:r>
          </w:p>
        </w:tc>
        <w:tc>
          <w:tcPr>
            <w:tcW w:w="872" w:type="pct"/>
            <w:shd w:val="clear" w:color="auto" w:fill="F2F2F2" w:themeFill="background1" w:themeFillShade="F2"/>
            <w:vAlign w:val="center"/>
          </w:tcPr>
          <w:p w14:paraId="6F45672B" w14:textId="07A5D795" w:rsidR="004D35B2" w:rsidRPr="006A7278" w:rsidRDefault="004D35B2" w:rsidP="004D35B2">
            <w:pPr>
              <w:pStyle w:val="TCTableBody"/>
              <w:spacing w:before="0" w:after="0" w:line="240" w:lineRule="auto"/>
              <w:jc w:val="center"/>
              <w:cnfStyle w:val="000000100000" w:firstRow="0" w:lastRow="0" w:firstColumn="0" w:lastColumn="0" w:oddVBand="0" w:evenVBand="0" w:oddHBand="1" w:evenHBand="0" w:firstRowFirstColumn="0" w:firstRowLastColumn="0" w:lastRowFirstColumn="0" w:lastRowLastColumn="0"/>
              <w:rPr>
                <w:sz w:val="13"/>
                <w:szCs w:val="13"/>
                <w:lang w:eastAsia="en-US"/>
              </w:rPr>
            </w:pPr>
            <w:r w:rsidRPr="006A7278">
              <w:rPr>
                <w:sz w:val="13"/>
                <w:szCs w:val="13"/>
                <w:lang w:eastAsia="en-US"/>
              </w:rPr>
              <w:t>Sucrose</w:t>
            </w:r>
          </w:p>
        </w:tc>
        <w:tc>
          <w:tcPr>
            <w:tcW w:w="624" w:type="pct"/>
            <w:vMerge/>
            <w:shd w:val="clear" w:color="auto" w:fill="F2F2F2" w:themeFill="background1" w:themeFillShade="F2"/>
            <w:vAlign w:val="center"/>
          </w:tcPr>
          <w:p w14:paraId="5493D4F4" w14:textId="77777777" w:rsidR="004D35B2" w:rsidRPr="006A7278" w:rsidRDefault="004D35B2" w:rsidP="004D35B2">
            <w:pPr>
              <w:pStyle w:val="TCTableBody"/>
              <w:spacing w:before="0" w:after="0" w:line="240" w:lineRule="auto"/>
              <w:jc w:val="center"/>
              <w:cnfStyle w:val="000000100000" w:firstRow="0" w:lastRow="0" w:firstColumn="0" w:lastColumn="0" w:oddVBand="0" w:evenVBand="0" w:oddHBand="1" w:evenHBand="0" w:firstRowFirstColumn="0" w:firstRowLastColumn="0" w:lastRowFirstColumn="0" w:lastRowLastColumn="0"/>
              <w:rPr>
                <w:sz w:val="13"/>
                <w:szCs w:val="13"/>
                <w:lang w:eastAsia="en-US"/>
              </w:rPr>
            </w:pPr>
          </w:p>
        </w:tc>
        <w:tc>
          <w:tcPr>
            <w:tcW w:w="750" w:type="pct"/>
            <w:vMerge/>
            <w:shd w:val="clear" w:color="auto" w:fill="FF9966"/>
            <w:vAlign w:val="center"/>
          </w:tcPr>
          <w:p w14:paraId="465D8A0E" w14:textId="77777777" w:rsidR="004D35B2" w:rsidRPr="006A7278" w:rsidRDefault="004D35B2" w:rsidP="004D35B2">
            <w:pPr>
              <w:pStyle w:val="TCTableBody"/>
              <w:spacing w:before="0" w:after="0" w:line="240" w:lineRule="auto"/>
              <w:jc w:val="center"/>
              <w:cnfStyle w:val="000000100000" w:firstRow="0" w:lastRow="0" w:firstColumn="0" w:lastColumn="0" w:oddVBand="0" w:evenVBand="0" w:oddHBand="1" w:evenHBand="0" w:firstRowFirstColumn="0" w:firstRowLastColumn="0" w:lastRowFirstColumn="0" w:lastRowLastColumn="0"/>
              <w:rPr>
                <w:sz w:val="13"/>
                <w:szCs w:val="13"/>
                <w:lang w:eastAsia="en-US"/>
              </w:rPr>
            </w:pPr>
          </w:p>
        </w:tc>
        <w:tc>
          <w:tcPr>
            <w:tcW w:w="1000" w:type="pct"/>
            <w:shd w:val="clear" w:color="auto" w:fill="FF9966"/>
            <w:vAlign w:val="center"/>
          </w:tcPr>
          <w:p w14:paraId="0D8606C4" w14:textId="77777777" w:rsidR="004D35B2" w:rsidRPr="006A7278" w:rsidRDefault="004D35B2" w:rsidP="004D35B2">
            <w:pPr>
              <w:pStyle w:val="TCTableBody"/>
              <w:spacing w:before="0" w:after="0" w:line="240" w:lineRule="auto"/>
              <w:jc w:val="center"/>
              <w:cnfStyle w:val="000000100000" w:firstRow="0" w:lastRow="0" w:firstColumn="0" w:lastColumn="0" w:oddVBand="0" w:evenVBand="0" w:oddHBand="1" w:evenHBand="0" w:firstRowFirstColumn="0" w:firstRowLastColumn="0" w:lastRowFirstColumn="0" w:lastRowLastColumn="0"/>
              <w:rPr>
                <w:b/>
                <w:bCs/>
                <w:sz w:val="13"/>
                <w:szCs w:val="13"/>
                <w:lang w:eastAsia="en-US"/>
              </w:rPr>
            </w:pPr>
            <w:r w:rsidRPr="006A7278">
              <w:rPr>
                <w:b/>
                <w:bCs/>
                <w:sz w:val="13"/>
                <w:szCs w:val="13"/>
                <w:lang w:eastAsia="en-US"/>
              </w:rPr>
              <w:t>CMK-8-PSA</w:t>
            </w:r>
          </w:p>
        </w:tc>
      </w:tr>
      <w:tr w:rsidR="004D35B2" w:rsidRPr="006A7278" w14:paraId="0DD53DB0" w14:textId="77777777" w:rsidTr="004D35B2">
        <w:trPr>
          <w:trHeight w:val="20"/>
        </w:trPr>
        <w:tc>
          <w:tcPr>
            <w:cnfStyle w:val="001000000000" w:firstRow="0" w:lastRow="0" w:firstColumn="1" w:lastColumn="0" w:oddVBand="0" w:evenVBand="0" w:oddHBand="0" w:evenHBand="0" w:firstRowFirstColumn="0" w:firstRowLastColumn="0" w:lastRowFirstColumn="0" w:lastRowLastColumn="0"/>
            <w:tcW w:w="1000" w:type="pct"/>
            <w:shd w:val="clear" w:color="auto" w:fill="F2F2F2" w:themeFill="background1" w:themeFillShade="F2"/>
            <w:vAlign w:val="center"/>
          </w:tcPr>
          <w:p w14:paraId="4564C69F" w14:textId="77777777" w:rsidR="004D35B2" w:rsidRPr="006A7278" w:rsidRDefault="004D35B2" w:rsidP="004D35B2">
            <w:pPr>
              <w:pStyle w:val="TCTableBody"/>
              <w:spacing w:before="0" w:after="0" w:line="240" w:lineRule="auto"/>
              <w:jc w:val="center"/>
              <w:rPr>
                <w:sz w:val="13"/>
                <w:szCs w:val="13"/>
                <w:lang w:eastAsia="en-US"/>
              </w:rPr>
            </w:pPr>
            <w:r w:rsidRPr="006A7278">
              <w:rPr>
                <w:sz w:val="13"/>
                <w:szCs w:val="13"/>
                <w:lang w:eastAsia="en-US"/>
              </w:rPr>
              <w:t>S-CMK-8-1000</w:t>
            </w:r>
          </w:p>
        </w:tc>
        <w:tc>
          <w:tcPr>
            <w:tcW w:w="753" w:type="pct"/>
            <w:shd w:val="clear" w:color="auto" w:fill="F2F2F2" w:themeFill="background1" w:themeFillShade="F2"/>
            <w:vAlign w:val="center"/>
          </w:tcPr>
          <w:p w14:paraId="462495E8" w14:textId="1836BE95" w:rsidR="004D35B2" w:rsidRPr="006A7278" w:rsidRDefault="004D35B2" w:rsidP="004D35B2">
            <w:pPr>
              <w:pStyle w:val="TCTableBody"/>
              <w:spacing w:before="0" w:after="0" w:line="240" w:lineRule="auto"/>
              <w:jc w:val="center"/>
              <w:cnfStyle w:val="000000000000" w:firstRow="0" w:lastRow="0" w:firstColumn="0" w:lastColumn="0" w:oddVBand="0" w:evenVBand="0" w:oddHBand="0" w:evenHBand="0" w:firstRowFirstColumn="0" w:firstRowLastColumn="0" w:lastRowFirstColumn="0" w:lastRowLastColumn="0"/>
              <w:rPr>
                <w:sz w:val="13"/>
                <w:szCs w:val="13"/>
                <w:lang w:eastAsia="en-US"/>
              </w:rPr>
            </w:pPr>
            <w:r w:rsidRPr="006A7278">
              <w:rPr>
                <w:sz w:val="13"/>
                <w:szCs w:val="13"/>
                <w:lang w:eastAsia="en-US"/>
              </w:rPr>
              <w:t>KIT-6</w:t>
            </w:r>
          </w:p>
        </w:tc>
        <w:tc>
          <w:tcPr>
            <w:tcW w:w="872" w:type="pct"/>
            <w:shd w:val="clear" w:color="auto" w:fill="F2F2F2" w:themeFill="background1" w:themeFillShade="F2"/>
            <w:vAlign w:val="center"/>
          </w:tcPr>
          <w:p w14:paraId="0497BE73" w14:textId="0539F614" w:rsidR="004D35B2" w:rsidRPr="006A7278" w:rsidRDefault="004D35B2" w:rsidP="004D35B2">
            <w:pPr>
              <w:pStyle w:val="TCTableBody"/>
              <w:spacing w:before="0" w:after="0" w:line="240" w:lineRule="auto"/>
              <w:jc w:val="center"/>
              <w:cnfStyle w:val="000000000000" w:firstRow="0" w:lastRow="0" w:firstColumn="0" w:lastColumn="0" w:oddVBand="0" w:evenVBand="0" w:oddHBand="0" w:evenHBand="0" w:firstRowFirstColumn="0" w:firstRowLastColumn="0" w:lastRowFirstColumn="0" w:lastRowLastColumn="0"/>
              <w:rPr>
                <w:sz w:val="13"/>
                <w:szCs w:val="13"/>
                <w:lang w:eastAsia="en-US"/>
              </w:rPr>
            </w:pPr>
            <w:r w:rsidRPr="006A7278">
              <w:rPr>
                <w:sz w:val="13"/>
                <w:szCs w:val="13"/>
                <w:lang w:eastAsia="en-US"/>
              </w:rPr>
              <w:t>2-Thiophene Methanol</w:t>
            </w:r>
          </w:p>
        </w:tc>
        <w:tc>
          <w:tcPr>
            <w:tcW w:w="624" w:type="pct"/>
            <w:vMerge/>
            <w:shd w:val="clear" w:color="auto" w:fill="F2F2F2" w:themeFill="background1" w:themeFillShade="F2"/>
            <w:vAlign w:val="center"/>
          </w:tcPr>
          <w:p w14:paraId="4C71FB19" w14:textId="77777777" w:rsidR="004D35B2" w:rsidRPr="006A7278" w:rsidRDefault="004D35B2" w:rsidP="004D35B2">
            <w:pPr>
              <w:pStyle w:val="TCTableBody"/>
              <w:spacing w:before="0" w:after="0" w:line="240" w:lineRule="auto"/>
              <w:jc w:val="center"/>
              <w:cnfStyle w:val="000000000000" w:firstRow="0" w:lastRow="0" w:firstColumn="0" w:lastColumn="0" w:oddVBand="0" w:evenVBand="0" w:oddHBand="0" w:evenHBand="0" w:firstRowFirstColumn="0" w:firstRowLastColumn="0" w:lastRowFirstColumn="0" w:lastRowLastColumn="0"/>
              <w:rPr>
                <w:sz w:val="13"/>
                <w:szCs w:val="13"/>
                <w:lang w:eastAsia="en-US"/>
              </w:rPr>
            </w:pPr>
          </w:p>
        </w:tc>
        <w:tc>
          <w:tcPr>
            <w:tcW w:w="750" w:type="pct"/>
            <w:vMerge/>
            <w:shd w:val="clear" w:color="auto" w:fill="FF9966"/>
            <w:vAlign w:val="center"/>
          </w:tcPr>
          <w:p w14:paraId="4BBAC633" w14:textId="77777777" w:rsidR="004D35B2" w:rsidRPr="006A7278" w:rsidRDefault="004D35B2" w:rsidP="004D35B2">
            <w:pPr>
              <w:pStyle w:val="TCTableBody"/>
              <w:spacing w:before="0" w:after="0" w:line="240" w:lineRule="auto"/>
              <w:jc w:val="center"/>
              <w:cnfStyle w:val="000000000000" w:firstRow="0" w:lastRow="0" w:firstColumn="0" w:lastColumn="0" w:oddVBand="0" w:evenVBand="0" w:oddHBand="0" w:evenHBand="0" w:firstRowFirstColumn="0" w:firstRowLastColumn="0" w:lastRowFirstColumn="0" w:lastRowLastColumn="0"/>
              <w:rPr>
                <w:sz w:val="13"/>
                <w:szCs w:val="13"/>
                <w:lang w:eastAsia="en-US"/>
              </w:rPr>
            </w:pPr>
          </w:p>
        </w:tc>
        <w:tc>
          <w:tcPr>
            <w:tcW w:w="1000" w:type="pct"/>
            <w:shd w:val="clear" w:color="auto" w:fill="FF9966"/>
            <w:vAlign w:val="center"/>
          </w:tcPr>
          <w:p w14:paraId="57525D61" w14:textId="77777777" w:rsidR="004D35B2" w:rsidRPr="006A7278" w:rsidRDefault="004D35B2" w:rsidP="004D35B2">
            <w:pPr>
              <w:pStyle w:val="TCTableBody"/>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sz w:val="13"/>
                <w:szCs w:val="13"/>
                <w:lang w:eastAsia="en-US"/>
              </w:rPr>
            </w:pPr>
            <w:r w:rsidRPr="006A7278">
              <w:rPr>
                <w:b/>
                <w:bCs/>
                <w:sz w:val="13"/>
                <w:szCs w:val="13"/>
                <w:lang w:eastAsia="en-US"/>
              </w:rPr>
              <w:t>S-CMK-8-PSA</w:t>
            </w:r>
          </w:p>
        </w:tc>
      </w:tr>
    </w:tbl>
    <w:bookmarkEnd w:id="3"/>
    <w:p w14:paraId="5B7D1EE8" w14:textId="1286620B" w:rsidR="0094703A" w:rsidRPr="006A7278" w:rsidRDefault="0094703A" w:rsidP="0094703A">
      <w:pPr>
        <w:pStyle w:val="VDTableTitle"/>
        <w:spacing w:after="120"/>
        <w:jc w:val="both"/>
        <w:rPr>
          <w:rFonts w:ascii="Times New Roman" w:hAnsi="Times New Roman"/>
          <w:bCs/>
        </w:rPr>
      </w:pPr>
      <w:r w:rsidRPr="006A7278">
        <w:rPr>
          <w:rFonts w:ascii="Times New Roman" w:hAnsi="Times New Roman"/>
          <w:b/>
        </w:rPr>
        <w:t xml:space="preserve">Table 1. </w:t>
      </w:r>
      <w:r w:rsidRPr="006A7278">
        <w:rPr>
          <w:rFonts w:ascii="Times New Roman" w:hAnsi="Times New Roman"/>
          <w:bCs/>
        </w:rPr>
        <w:t>Synthetic parameters of the TMCS and BTMC.</w:t>
      </w:r>
    </w:p>
    <w:p w14:paraId="03CB9210" w14:textId="02E697B5" w:rsidR="00B0487D" w:rsidRPr="006A7278" w:rsidRDefault="00F121FF" w:rsidP="00B0487D">
      <w:pPr>
        <w:pStyle w:val="TAMainText"/>
        <w:ind w:firstLine="0"/>
        <w:rPr>
          <w:rFonts w:ascii="Times New Roman" w:hAnsi="Times New Roman"/>
          <w:i/>
        </w:rPr>
      </w:pPr>
      <w:r w:rsidRPr="006A7278">
        <w:rPr>
          <w:rFonts w:ascii="Times New Roman" w:hAnsi="Times New Roman"/>
          <w:i/>
        </w:rPr>
        <w:t>Characterization of</w:t>
      </w:r>
      <w:r w:rsidR="007C4E8B" w:rsidRPr="006A7278">
        <w:rPr>
          <w:rFonts w:ascii="Times New Roman" w:hAnsi="Times New Roman"/>
          <w:i/>
        </w:rPr>
        <w:t xml:space="preserve"> the</w:t>
      </w:r>
      <w:r w:rsidRPr="006A7278">
        <w:rPr>
          <w:rFonts w:ascii="Times New Roman" w:hAnsi="Times New Roman"/>
          <w:i/>
        </w:rPr>
        <w:t xml:space="preserve"> </w:t>
      </w:r>
      <w:r w:rsidR="007C4E8B" w:rsidRPr="006A7278">
        <w:rPr>
          <w:rFonts w:ascii="Times New Roman" w:hAnsi="Times New Roman"/>
          <w:i/>
        </w:rPr>
        <w:t>TMCS</w:t>
      </w:r>
      <w:r w:rsidR="00561F67" w:rsidRPr="006A7278">
        <w:rPr>
          <w:rFonts w:ascii="Times New Roman" w:hAnsi="Times New Roman"/>
          <w:i/>
        </w:rPr>
        <w:t xml:space="preserve"> and BTMC</w:t>
      </w:r>
    </w:p>
    <w:p w14:paraId="33AF1F65" w14:textId="65F046DA" w:rsidR="00B0487D" w:rsidRPr="006A7278" w:rsidRDefault="00F121FF" w:rsidP="00B0487D">
      <w:pPr>
        <w:pStyle w:val="TAMainText"/>
        <w:rPr>
          <w:rFonts w:ascii="Times New Roman" w:hAnsi="Times New Roman"/>
        </w:rPr>
      </w:pPr>
      <w:r w:rsidRPr="006A7278">
        <w:rPr>
          <w:rFonts w:ascii="Times New Roman" w:hAnsi="Times New Roman"/>
        </w:rPr>
        <w:t xml:space="preserve">Powder X-Ray Diffraction (XRD) analysis was performed using a </w:t>
      </w:r>
      <w:proofErr w:type="spellStart"/>
      <w:r w:rsidRPr="006A7278">
        <w:rPr>
          <w:rFonts w:ascii="Times New Roman" w:hAnsi="Times New Roman"/>
        </w:rPr>
        <w:t>Rikagu</w:t>
      </w:r>
      <w:proofErr w:type="spellEnd"/>
      <w:r w:rsidRPr="006A7278">
        <w:rPr>
          <w:rFonts w:ascii="Times New Roman" w:hAnsi="Times New Roman"/>
        </w:rPr>
        <w:t xml:space="preserve"> </w:t>
      </w:r>
      <w:proofErr w:type="spellStart"/>
      <w:r w:rsidRPr="006A7278">
        <w:rPr>
          <w:rFonts w:ascii="Times New Roman" w:hAnsi="Times New Roman"/>
        </w:rPr>
        <w:t>Multiflex</w:t>
      </w:r>
      <w:proofErr w:type="spellEnd"/>
      <w:r w:rsidRPr="006A7278">
        <w:rPr>
          <w:rFonts w:ascii="Times New Roman" w:hAnsi="Times New Roman"/>
        </w:rPr>
        <w:t xml:space="preserve"> diffractometer. Nitrogen physisorption was recorded at 77 K using a Micro 100 series Surface Area and Pore Size Analyzer instrument from JWGB Sci &amp; Tech. Scanning Electron Microscopy (SEM) was performed using a model S-3400N equipment from Hitachi. Thermogravimetric Analysis (TGA) was performed in a TGA Q500 V20.13 Build 39, with air flow. RAMAN spectra were obtained using a Renishaw </w:t>
      </w:r>
      <w:proofErr w:type="spellStart"/>
      <w:r w:rsidRPr="006A7278">
        <w:rPr>
          <w:rFonts w:ascii="Times New Roman" w:hAnsi="Times New Roman"/>
        </w:rPr>
        <w:t>inVia</w:t>
      </w:r>
      <w:proofErr w:type="spellEnd"/>
      <w:r w:rsidRPr="006A7278">
        <w:rPr>
          <w:rFonts w:ascii="Times New Roman" w:hAnsi="Times New Roman"/>
        </w:rPr>
        <w:t xml:space="preserve"> spectrometer with a 633 nm excitation wavelength. Infrared spectroscopy (FTIR) was performed in a Prestige-21 infrared spectrometer. X-Ray Photoelectron Spectroscopy (XPS) was made in a Thermo Fisher Scientific K-alpha photoelectron spectrometer. Potentiometric titration was performed in a pH meter </w:t>
      </w:r>
      <w:proofErr w:type="spellStart"/>
      <w:r w:rsidRPr="006A7278">
        <w:rPr>
          <w:rFonts w:ascii="Times New Roman" w:hAnsi="Times New Roman"/>
        </w:rPr>
        <w:t>Metrohm</w:t>
      </w:r>
      <w:proofErr w:type="spellEnd"/>
      <w:r w:rsidRPr="006A7278">
        <w:rPr>
          <w:rFonts w:ascii="Times New Roman" w:hAnsi="Times New Roman"/>
        </w:rPr>
        <w:t xml:space="preserve"> 827 pH Lab. In this experiment, 40 mg of the samples were added in 35 mL of a solution of NaNO</w:t>
      </w:r>
      <w:r w:rsidRPr="006A7278">
        <w:rPr>
          <w:rFonts w:ascii="Times New Roman" w:hAnsi="Times New Roman"/>
          <w:vertAlign w:val="subscript"/>
        </w:rPr>
        <w:t>3</w:t>
      </w:r>
      <w:r w:rsidRPr="006A7278">
        <w:rPr>
          <w:rFonts w:ascii="Times New Roman" w:hAnsi="Times New Roman"/>
        </w:rPr>
        <w:t xml:space="preserve"> 0.1 mol L</w:t>
      </w:r>
      <w:r w:rsidRPr="006A7278">
        <w:rPr>
          <w:rFonts w:ascii="Times New Roman" w:hAnsi="Times New Roman"/>
          <w:vertAlign w:val="superscript"/>
        </w:rPr>
        <w:t>−1</w:t>
      </w:r>
      <w:r w:rsidRPr="006A7278">
        <w:rPr>
          <w:rFonts w:ascii="Times New Roman" w:hAnsi="Times New Roman"/>
        </w:rPr>
        <w:t xml:space="preserve">, </w:t>
      </w:r>
      <w:r w:rsidR="00733D65" w:rsidRPr="006A7278">
        <w:rPr>
          <w:rFonts w:ascii="Times New Roman" w:hAnsi="Times New Roman"/>
        </w:rPr>
        <w:t xml:space="preserve">stirring </w:t>
      </w:r>
      <w:r w:rsidRPr="006A7278">
        <w:rPr>
          <w:rFonts w:ascii="Times New Roman" w:hAnsi="Times New Roman"/>
        </w:rPr>
        <w:t>for 10 min. After that, the mixture</w:t>
      </w:r>
      <w:r w:rsidR="00733D65" w:rsidRPr="006A7278">
        <w:rPr>
          <w:rFonts w:ascii="Times New Roman" w:hAnsi="Times New Roman"/>
        </w:rPr>
        <w:t xml:space="preserve"> </w:t>
      </w:r>
      <w:r w:rsidRPr="006A7278">
        <w:rPr>
          <w:rFonts w:ascii="Times New Roman" w:hAnsi="Times New Roman"/>
        </w:rPr>
        <w:t>was titrated with a standard solution of NaOH 0.01 mol L</w:t>
      </w:r>
      <w:r w:rsidRPr="006A7278">
        <w:rPr>
          <w:rFonts w:ascii="Times New Roman" w:hAnsi="Times New Roman"/>
          <w:vertAlign w:val="superscript"/>
        </w:rPr>
        <w:t>-1</w:t>
      </w:r>
      <w:r w:rsidRPr="006A7278">
        <w:rPr>
          <w:rFonts w:ascii="Times New Roman" w:hAnsi="Times New Roman"/>
        </w:rPr>
        <w:t>/NaNO</w:t>
      </w:r>
      <w:r w:rsidRPr="006A7278">
        <w:rPr>
          <w:rFonts w:ascii="Times New Roman" w:hAnsi="Times New Roman"/>
          <w:vertAlign w:val="subscript"/>
        </w:rPr>
        <w:t>3</w:t>
      </w:r>
      <w:r w:rsidRPr="006A7278">
        <w:rPr>
          <w:rFonts w:ascii="Times New Roman" w:hAnsi="Times New Roman"/>
        </w:rPr>
        <w:t xml:space="preserve"> 0.1 mol L</w:t>
      </w:r>
      <w:r w:rsidRPr="006A7278">
        <w:rPr>
          <w:rFonts w:ascii="Times New Roman" w:hAnsi="Times New Roman"/>
          <w:vertAlign w:val="superscript"/>
        </w:rPr>
        <w:t>−1</w:t>
      </w:r>
      <w:r w:rsidRPr="006A7278">
        <w:rPr>
          <w:rFonts w:ascii="Times New Roman" w:hAnsi="Times New Roman"/>
        </w:rPr>
        <w:t>.</w:t>
      </w:r>
    </w:p>
    <w:p w14:paraId="276FAC53" w14:textId="0232B61C" w:rsidR="0070674D" w:rsidRPr="006A7278" w:rsidRDefault="0070674D" w:rsidP="00B0487D">
      <w:pPr>
        <w:pStyle w:val="TAMainText"/>
        <w:rPr>
          <w:rFonts w:ascii="Times New Roman" w:hAnsi="Times New Roman"/>
        </w:rPr>
      </w:pPr>
    </w:p>
    <w:p w14:paraId="6810D67C" w14:textId="135456AA" w:rsidR="0070674D" w:rsidRPr="006A7278" w:rsidRDefault="0070674D" w:rsidP="0070674D">
      <w:pPr>
        <w:pStyle w:val="TAMainText"/>
        <w:ind w:firstLine="0"/>
        <w:rPr>
          <w:rFonts w:ascii="Times New Roman" w:hAnsi="Times New Roman"/>
          <w:i/>
        </w:rPr>
      </w:pPr>
      <w:r w:rsidRPr="006A7278">
        <w:rPr>
          <w:rFonts w:ascii="Times New Roman" w:hAnsi="Times New Roman"/>
          <w:i/>
        </w:rPr>
        <w:t xml:space="preserve">Synthesis of </w:t>
      </w:r>
      <w:r w:rsidR="007C4E8B" w:rsidRPr="006A7278">
        <w:rPr>
          <w:rFonts w:ascii="Times New Roman" w:hAnsi="Times New Roman"/>
          <w:i/>
        </w:rPr>
        <w:t xml:space="preserve">the </w:t>
      </w:r>
      <w:r w:rsidRPr="006A7278">
        <w:rPr>
          <w:rFonts w:ascii="Times New Roman" w:hAnsi="Times New Roman"/>
          <w:i/>
        </w:rPr>
        <w:t>BiTMC</w:t>
      </w:r>
    </w:p>
    <w:p w14:paraId="7B55B9E4" w14:textId="3A047F48" w:rsidR="00F607F0" w:rsidRPr="006A7278" w:rsidRDefault="007538AD" w:rsidP="0070674D">
      <w:pPr>
        <w:pStyle w:val="TAMainText"/>
        <w:rPr>
          <w:rFonts w:ascii="Times New Roman" w:hAnsi="Times New Roman"/>
        </w:rPr>
      </w:pPr>
      <w:r w:rsidRPr="006A7278">
        <w:rPr>
          <w:rFonts w:ascii="Times New Roman" w:hAnsi="Times New Roman"/>
        </w:rPr>
        <w:t>The calculation of Brønsted acid sites exchanged was based on t</w:t>
      </w:r>
      <w:r w:rsidR="00F607F0" w:rsidRPr="006A7278">
        <w:rPr>
          <w:rFonts w:ascii="Times New Roman" w:hAnsi="Times New Roman"/>
        </w:rPr>
        <w:t xml:space="preserve">he concentration of stronger </w:t>
      </w:r>
      <w:r w:rsidR="00FF4126" w:rsidRPr="006A7278">
        <w:rPr>
          <w:rFonts w:ascii="Times New Roman" w:hAnsi="Times New Roman"/>
        </w:rPr>
        <w:t xml:space="preserve">acid </w:t>
      </w:r>
      <w:r w:rsidR="00F607F0" w:rsidRPr="006A7278">
        <w:rPr>
          <w:rFonts w:ascii="Times New Roman" w:hAnsi="Times New Roman"/>
        </w:rPr>
        <w:t>sites by potentiometric titration.</w:t>
      </w:r>
      <w:r w:rsidRPr="006A7278">
        <w:rPr>
          <w:rFonts w:ascii="Times New Roman" w:hAnsi="Times New Roman"/>
        </w:rPr>
        <w:t xml:space="preserve"> </w:t>
      </w:r>
      <w:r w:rsidR="00B46834" w:rsidRPr="006A7278">
        <w:rPr>
          <w:rFonts w:ascii="Times New Roman" w:hAnsi="Times New Roman"/>
        </w:rPr>
        <w:t xml:space="preserve">The </w:t>
      </w:r>
      <w:r w:rsidRPr="006A7278">
        <w:rPr>
          <w:rFonts w:ascii="Times New Roman" w:hAnsi="Times New Roman"/>
        </w:rPr>
        <w:t xml:space="preserve">synthesis was performed </w:t>
      </w:r>
      <w:r w:rsidR="00C03853" w:rsidRPr="006A7278">
        <w:rPr>
          <w:rFonts w:ascii="Times New Roman" w:hAnsi="Times New Roman"/>
        </w:rPr>
        <w:t xml:space="preserve">in a boiling flask containing a mixture of metallic salt, BTMC and </w:t>
      </w:r>
      <w:r w:rsidR="004A273A" w:rsidRPr="006A7278">
        <w:rPr>
          <w:rFonts w:ascii="Times New Roman" w:hAnsi="Times New Roman"/>
        </w:rPr>
        <w:t xml:space="preserve">ethanol </w:t>
      </w:r>
      <w:r w:rsidR="00C03853" w:rsidRPr="006A7278">
        <w:rPr>
          <w:rFonts w:ascii="Times New Roman" w:hAnsi="Times New Roman"/>
        </w:rPr>
        <w:t>(1g</w:t>
      </w:r>
      <w:r w:rsidR="004A273A" w:rsidRPr="006A7278">
        <w:rPr>
          <w:rFonts w:ascii="Times New Roman" w:hAnsi="Times New Roman"/>
        </w:rPr>
        <w:t xml:space="preserve"> of BTMC</w:t>
      </w:r>
      <w:r w:rsidR="00C03853" w:rsidRPr="006A7278">
        <w:rPr>
          <w:rFonts w:ascii="Times New Roman" w:hAnsi="Times New Roman"/>
        </w:rPr>
        <w:t xml:space="preserve">:125mL </w:t>
      </w:r>
      <w:r w:rsidR="004A273A" w:rsidRPr="006A7278">
        <w:rPr>
          <w:rFonts w:ascii="Times New Roman" w:hAnsi="Times New Roman"/>
        </w:rPr>
        <w:t>of ethanol) under stirring and reflux</w:t>
      </w:r>
      <w:r w:rsidR="008D7FC5" w:rsidRPr="006A7278">
        <w:rPr>
          <w:rFonts w:ascii="Times New Roman" w:hAnsi="Times New Roman"/>
        </w:rPr>
        <w:t xml:space="preserve"> for 24 h</w:t>
      </w:r>
      <w:r w:rsidR="004A273A" w:rsidRPr="006A7278">
        <w:rPr>
          <w:rFonts w:ascii="Times New Roman" w:hAnsi="Times New Roman"/>
        </w:rPr>
        <w:t>.</w:t>
      </w:r>
      <w:r w:rsidR="008D7FC5" w:rsidRPr="006A7278">
        <w:rPr>
          <w:rFonts w:ascii="Times New Roman" w:hAnsi="Times New Roman"/>
        </w:rPr>
        <w:t xml:space="preserve"> The final product was then filtered, washed with ethanol and water, and dried at 80 °C</w:t>
      </w:r>
      <w:r w:rsidR="009F2535" w:rsidRPr="006A7278">
        <w:rPr>
          <w:rFonts w:ascii="Times New Roman" w:hAnsi="Times New Roman"/>
        </w:rPr>
        <w:t xml:space="preserve"> for 1.5 h. The nomenclature of the BiTMC is: “Percentage of Brønsted acid sites exchanged-</w:t>
      </w:r>
      <w:r w:rsidR="00C61D14" w:rsidRPr="006A7278">
        <w:rPr>
          <w:rFonts w:ascii="Times New Roman" w:hAnsi="Times New Roman"/>
        </w:rPr>
        <w:t>M</w:t>
      </w:r>
      <w:r w:rsidR="009F2535" w:rsidRPr="006A7278">
        <w:rPr>
          <w:rFonts w:ascii="Times New Roman" w:hAnsi="Times New Roman"/>
        </w:rPr>
        <w:t>etallic cation-BTMC”.</w:t>
      </w:r>
    </w:p>
    <w:p w14:paraId="225BF840" w14:textId="3D4F7DA0" w:rsidR="00B05D03" w:rsidRPr="006A7278" w:rsidRDefault="00B05D03" w:rsidP="0070674D">
      <w:pPr>
        <w:pStyle w:val="TAMainText"/>
        <w:rPr>
          <w:rFonts w:ascii="Times New Roman" w:hAnsi="Times New Roman"/>
        </w:rPr>
      </w:pPr>
    </w:p>
    <w:p w14:paraId="3810E4DF" w14:textId="20E9E1D5" w:rsidR="00B05D03" w:rsidRPr="006A7278" w:rsidRDefault="00B05D03" w:rsidP="00B05D03">
      <w:pPr>
        <w:pStyle w:val="TAMainText"/>
        <w:ind w:firstLine="0"/>
        <w:rPr>
          <w:rFonts w:ascii="Times New Roman" w:hAnsi="Times New Roman"/>
          <w:i/>
        </w:rPr>
      </w:pPr>
      <w:r w:rsidRPr="006A7278">
        <w:rPr>
          <w:rFonts w:ascii="Times New Roman" w:hAnsi="Times New Roman"/>
          <w:i/>
        </w:rPr>
        <w:t>Catalytic Tests</w:t>
      </w:r>
    </w:p>
    <w:p w14:paraId="362B406E" w14:textId="547F6013" w:rsidR="00132E18" w:rsidRPr="006A7278" w:rsidRDefault="00B05D03" w:rsidP="00B05D03">
      <w:pPr>
        <w:pStyle w:val="TAMainText"/>
        <w:rPr>
          <w:rFonts w:ascii="Times New Roman" w:hAnsi="Times New Roman"/>
        </w:rPr>
      </w:pPr>
      <w:r w:rsidRPr="006A7278">
        <w:rPr>
          <w:rFonts w:ascii="Times New Roman" w:hAnsi="Times New Roman"/>
        </w:rPr>
        <w:t xml:space="preserve">The catalytic tests were performed in thick-glass reactors of 15 mL, containing 2.00 g of a solution of 2 wt. % of </w:t>
      </w:r>
      <w:r w:rsidR="00756DC4" w:rsidRPr="006A7278">
        <w:rPr>
          <w:rFonts w:ascii="Times New Roman" w:hAnsi="Times New Roman"/>
        </w:rPr>
        <w:t>monosaccharides</w:t>
      </w:r>
      <w:r w:rsidRPr="006A7278">
        <w:rPr>
          <w:rFonts w:ascii="Times New Roman" w:hAnsi="Times New Roman"/>
        </w:rPr>
        <w:t xml:space="preserve"> in tetrahydrofuran containing 20 wt. % of </w:t>
      </w:r>
      <w:proofErr w:type="gramStart"/>
      <w:r w:rsidRPr="006A7278">
        <w:rPr>
          <w:rFonts w:ascii="Times New Roman" w:hAnsi="Times New Roman"/>
        </w:rPr>
        <w:t>water</w:t>
      </w:r>
      <w:proofErr w:type="gramEnd"/>
      <w:r w:rsidRPr="006A7278">
        <w:rPr>
          <w:rFonts w:ascii="Times New Roman" w:hAnsi="Times New Roman"/>
        </w:rPr>
        <w:t xml:space="preserve"> (</w:t>
      </w:r>
      <w:r w:rsidR="006A7278">
        <w:rPr>
          <w:rFonts w:ascii="Times New Roman" w:hAnsi="Times New Roman"/>
        </w:rPr>
        <w:t>THF</w:t>
      </w:r>
      <w:r w:rsidRPr="006A7278">
        <w:rPr>
          <w:rFonts w:ascii="Times New Roman" w:hAnsi="Times New Roman"/>
        </w:rPr>
        <w:t>/H</w:t>
      </w:r>
      <w:r w:rsidRPr="006A7278">
        <w:rPr>
          <w:rFonts w:ascii="Times New Roman" w:hAnsi="Times New Roman"/>
          <w:vertAlign w:val="subscript"/>
        </w:rPr>
        <w:t>2</w:t>
      </w:r>
      <w:r w:rsidRPr="006A7278">
        <w:rPr>
          <w:rFonts w:ascii="Times New Roman" w:hAnsi="Times New Roman"/>
        </w:rPr>
        <w:t xml:space="preserve">O = 4/1), and the catalyst. For the reactions, the reactors were placed in an oil bath already heated at 130 °C or 160 °C for the dehydration of </w:t>
      </w:r>
      <w:r w:rsidR="00FC42F0" w:rsidRPr="006A7278">
        <w:rPr>
          <w:rFonts w:ascii="Times New Roman" w:hAnsi="Times New Roman"/>
        </w:rPr>
        <w:t>glucose/</w:t>
      </w:r>
      <w:r w:rsidRPr="006A7278">
        <w:rPr>
          <w:rFonts w:ascii="Times New Roman" w:hAnsi="Times New Roman"/>
        </w:rPr>
        <w:t xml:space="preserve">fructose or xylose, respectively, and remained in different reaction times at 300 rpm. The reactions were stopped by cooling down the reactors in ice bath. </w:t>
      </w:r>
    </w:p>
    <w:p w14:paraId="7B2910AE" w14:textId="583C2B70" w:rsidR="00B05D03" w:rsidRPr="006A7278" w:rsidRDefault="00B05D03" w:rsidP="00132E18">
      <w:pPr>
        <w:pStyle w:val="TAMainText"/>
        <w:rPr>
          <w:rFonts w:ascii="Times New Roman" w:hAnsi="Times New Roman"/>
        </w:rPr>
      </w:pPr>
      <w:r w:rsidRPr="006A7278">
        <w:rPr>
          <w:rFonts w:ascii="Times New Roman" w:hAnsi="Times New Roman"/>
        </w:rPr>
        <w:t xml:space="preserve">Identification and quantification of the products were performed by High Performance Liquid Chromatography (HPLC) using standards. For the </w:t>
      </w:r>
      <w:r w:rsidR="00B31334" w:rsidRPr="006A7278">
        <w:rPr>
          <w:rFonts w:ascii="Times New Roman" w:hAnsi="Times New Roman"/>
        </w:rPr>
        <w:t xml:space="preserve">catalytic reactions </w:t>
      </w:r>
      <w:r w:rsidR="00132E18" w:rsidRPr="006A7278">
        <w:rPr>
          <w:rFonts w:ascii="Times New Roman" w:hAnsi="Times New Roman"/>
        </w:rPr>
        <w:t>using</w:t>
      </w:r>
      <w:r w:rsidR="00B31334" w:rsidRPr="006A7278">
        <w:rPr>
          <w:rFonts w:ascii="Times New Roman" w:hAnsi="Times New Roman"/>
        </w:rPr>
        <w:t xml:space="preserve"> BTMC</w:t>
      </w:r>
      <w:r w:rsidRPr="006A7278">
        <w:rPr>
          <w:rFonts w:ascii="Times New Roman" w:hAnsi="Times New Roman"/>
        </w:rPr>
        <w:t xml:space="preserve">, a Shimadzu HPLC LC-10AD was coupled to a </w:t>
      </w:r>
      <w:proofErr w:type="spellStart"/>
      <w:r w:rsidRPr="006A7278">
        <w:rPr>
          <w:rFonts w:ascii="Times New Roman" w:hAnsi="Times New Roman"/>
        </w:rPr>
        <w:t>Bio-rad</w:t>
      </w:r>
      <w:proofErr w:type="spellEnd"/>
      <w:r w:rsidRPr="006A7278">
        <w:rPr>
          <w:rFonts w:ascii="Times New Roman" w:hAnsi="Times New Roman"/>
        </w:rPr>
        <w:t xml:space="preserve"> </w:t>
      </w:r>
      <w:proofErr w:type="spellStart"/>
      <w:r w:rsidRPr="006A7278">
        <w:rPr>
          <w:rFonts w:ascii="Times New Roman" w:hAnsi="Times New Roman"/>
        </w:rPr>
        <w:t>Aminex</w:t>
      </w:r>
      <w:proofErr w:type="spellEnd"/>
      <w:r w:rsidRPr="006A7278">
        <w:rPr>
          <w:rFonts w:ascii="Times New Roman" w:hAnsi="Times New Roman"/>
        </w:rPr>
        <w:t xml:space="preserve"> HPX-87H column of 300.0 mm x 7.8 mm (0.005 mol L</w:t>
      </w:r>
      <w:r w:rsidRPr="006A7278">
        <w:rPr>
          <w:rFonts w:ascii="Times New Roman" w:hAnsi="Times New Roman"/>
          <w:vertAlign w:val="superscript"/>
        </w:rPr>
        <w:t>−1</w:t>
      </w:r>
      <w:r w:rsidRPr="006A7278">
        <w:rPr>
          <w:rFonts w:ascii="Times New Roman" w:hAnsi="Times New Roman"/>
        </w:rPr>
        <w:t xml:space="preserve"> H</w:t>
      </w:r>
      <w:r w:rsidRPr="006A7278">
        <w:rPr>
          <w:rFonts w:ascii="Times New Roman" w:hAnsi="Times New Roman"/>
          <w:vertAlign w:val="subscript"/>
        </w:rPr>
        <w:t>2</w:t>
      </w:r>
      <w:r w:rsidRPr="006A7278">
        <w:rPr>
          <w:rFonts w:ascii="Times New Roman" w:hAnsi="Times New Roman"/>
        </w:rPr>
        <w:t>SO</w:t>
      </w:r>
      <w:r w:rsidRPr="006A7278">
        <w:rPr>
          <w:rFonts w:ascii="Times New Roman" w:hAnsi="Times New Roman"/>
          <w:vertAlign w:val="subscript"/>
        </w:rPr>
        <w:t>4</w:t>
      </w:r>
      <w:r w:rsidRPr="006A7278">
        <w:rPr>
          <w:rFonts w:ascii="Times New Roman" w:hAnsi="Times New Roman"/>
        </w:rPr>
        <w:t xml:space="preserve"> as mobile phase)</w:t>
      </w:r>
      <w:r w:rsidR="00132E18" w:rsidRPr="006A7278">
        <w:rPr>
          <w:rFonts w:ascii="Times New Roman" w:hAnsi="Times New Roman"/>
        </w:rPr>
        <w:t xml:space="preserve">. For the catalytic reactions using BiTMC, in turn, the same HPLC was coupled to a </w:t>
      </w:r>
      <w:proofErr w:type="spellStart"/>
      <w:r w:rsidR="00132E18" w:rsidRPr="006A7278">
        <w:rPr>
          <w:rFonts w:ascii="Times New Roman" w:hAnsi="Times New Roman"/>
        </w:rPr>
        <w:t>Rezex</w:t>
      </w:r>
      <w:proofErr w:type="spellEnd"/>
      <w:r w:rsidR="00132E18" w:rsidRPr="006A7278">
        <w:rPr>
          <w:rFonts w:ascii="Times New Roman" w:hAnsi="Times New Roman"/>
        </w:rPr>
        <w:t xml:space="preserve"> RCM-Monosaccharide column of 300.0 mm x 7.8 mm (pure water as mobile phase). In both systems, the detectors used were a </w:t>
      </w:r>
      <w:r w:rsidRPr="006A7278">
        <w:rPr>
          <w:rFonts w:ascii="Times New Roman" w:hAnsi="Times New Roman"/>
        </w:rPr>
        <w:t>refraction index (Shimadzu RID-20A) and</w:t>
      </w:r>
      <w:r w:rsidR="00132E18" w:rsidRPr="006A7278">
        <w:rPr>
          <w:rFonts w:ascii="Times New Roman" w:hAnsi="Times New Roman"/>
        </w:rPr>
        <w:t xml:space="preserve"> a</w:t>
      </w:r>
      <w:r w:rsidRPr="006A7278">
        <w:rPr>
          <w:rFonts w:ascii="Times New Roman" w:hAnsi="Times New Roman"/>
        </w:rPr>
        <w:t xml:space="preserve"> diode array (Shimadzu SPD-10A).</w:t>
      </w:r>
    </w:p>
    <w:p w14:paraId="136BD1AC" w14:textId="0EE138B4" w:rsidR="00EA4E1B" w:rsidRPr="006A7278" w:rsidRDefault="00AA772D" w:rsidP="00EA4E1B">
      <w:pPr>
        <w:pStyle w:val="Ttulo2"/>
        <w:rPr>
          <w:rFonts w:ascii="Helvetica" w:hAnsi="Helvetica" w:cs="Helvetica"/>
          <w:sz w:val="24"/>
          <w:szCs w:val="24"/>
          <w:lang w:val="en-US"/>
        </w:rPr>
      </w:pPr>
      <w:r w:rsidRPr="006A7278">
        <w:rPr>
          <w:rFonts w:ascii="Helvetica" w:hAnsi="Helvetica" w:cs="Helvetica"/>
          <w:sz w:val="24"/>
          <w:szCs w:val="24"/>
          <w:lang w:val="en-US"/>
        </w:rPr>
        <w:lastRenderedPageBreak/>
        <w:t>Results and Discussion</w:t>
      </w:r>
    </w:p>
    <w:p w14:paraId="548B2541" w14:textId="47FA4425" w:rsidR="000520EF" w:rsidRPr="006A7278" w:rsidRDefault="000520EF" w:rsidP="000520EF">
      <w:pPr>
        <w:pStyle w:val="TAMainText"/>
        <w:ind w:firstLine="0"/>
        <w:rPr>
          <w:rFonts w:ascii="Times New Roman" w:hAnsi="Times New Roman"/>
          <w:i/>
        </w:rPr>
      </w:pPr>
      <w:r w:rsidRPr="006A7278">
        <w:rPr>
          <w:rFonts w:ascii="Times New Roman" w:hAnsi="Times New Roman"/>
          <w:i/>
        </w:rPr>
        <w:t xml:space="preserve">Characterization of the </w:t>
      </w:r>
      <w:r w:rsidR="007C4E8B" w:rsidRPr="006A7278">
        <w:rPr>
          <w:rFonts w:ascii="Times New Roman" w:hAnsi="Times New Roman"/>
          <w:i/>
        </w:rPr>
        <w:t>TMCS</w:t>
      </w:r>
      <w:r w:rsidRPr="006A7278">
        <w:rPr>
          <w:rFonts w:ascii="Times New Roman" w:hAnsi="Times New Roman"/>
          <w:i/>
        </w:rPr>
        <w:t xml:space="preserve"> and BTMC</w:t>
      </w:r>
    </w:p>
    <w:p w14:paraId="64CB5A9F" w14:textId="398E1961" w:rsidR="000520EF" w:rsidRPr="006A7278" w:rsidRDefault="000520EF" w:rsidP="007A7E91">
      <w:pPr>
        <w:pStyle w:val="TAMainText"/>
        <w:spacing w:after="120"/>
        <w:ind w:firstLine="204"/>
      </w:pPr>
      <w:r w:rsidRPr="006A7278">
        <w:rPr>
          <w:rFonts w:ascii="Times New Roman" w:hAnsi="Times New Roman"/>
        </w:rPr>
        <w:t xml:space="preserve">The </w:t>
      </w:r>
      <w:r w:rsidR="00A6395C" w:rsidRPr="006A7278">
        <w:rPr>
          <w:rFonts w:ascii="Times New Roman" w:hAnsi="Times New Roman"/>
        </w:rPr>
        <w:t>XRD</w:t>
      </w:r>
      <w:r w:rsidR="00B55E6F" w:rsidRPr="006A7278">
        <w:rPr>
          <w:rFonts w:ascii="Times New Roman" w:hAnsi="Times New Roman"/>
        </w:rPr>
        <w:t xml:space="preserve"> </w:t>
      </w:r>
      <w:r w:rsidR="00A6395C" w:rsidRPr="006A7278">
        <w:rPr>
          <w:rFonts w:ascii="Times New Roman" w:hAnsi="Times New Roman"/>
        </w:rPr>
        <w:t xml:space="preserve">analysis (not shown) confirmed that the </w:t>
      </w:r>
      <w:r w:rsidR="007A6A9D" w:rsidRPr="006A7278">
        <w:rPr>
          <w:rFonts w:ascii="Times New Roman" w:hAnsi="Times New Roman"/>
        </w:rPr>
        <w:t xml:space="preserve">TMCS </w:t>
      </w:r>
      <w:r w:rsidR="00B55E6F" w:rsidRPr="006A7278">
        <w:rPr>
          <w:rFonts w:ascii="Times New Roman" w:hAnsi="Times New Roman"/>
        </w:rPr>
        <w:t xml:space="preserve">present the same long-range pore organization of their respective silica template (SBA-15, CMK-3 and CMK-5 = </w:t>
      </w:r>
      <w:r w:rsidR="0073286D" w:rsidRPr="006A7278">
        <w:t xml:space="preserve">hexagonal pores array in the </w:t>
      </w:r>
      <w:r w:rsidR="0073286D" w:rsidRPr="006A7278">
        <w:rPr>
          <w:i/>
          <w:iCs/>
        </w:rPr>
        <w:t>P6mm</w:t>
      </w:r>
      <w:r w:rsidR="0073286D" w:rsidRPr="006A7278">
        <w:t xml:space="preserve"> symmetry; and KIT-</w:t>
      </w:r>
      <w:r w:rsidR="00B55E6F" w:rsidRPr="006A7278">
        <w:rPr>
          <w:rFonts w:ascii="Times New Roman" w:hAnsi="Times New Roman"/>
        </w:rPr>
        <w:t xml:space="preserve"> </w:t>
      </w:r>
      <w:r w:rsidR="0073286D" w:rsidRPr="006A7278">
        <w:rPr>
          <w:rFonts w:ascii="Times New Roman" w:hAnsi="Times New Roman"/>
        </w:rPr>
        <w:t xml:space="preserve">6, CMK-8 and S-CMK-8 = </w:t>
      </w:r>
      <w:r w:rsidR="0073286D" w:rsidRPr="006A7278">
        <w:t xml:space="preserve">cubic pores array in the </w:t>
      </w:r>
      <w:r w:rsidR="0073286D" w:rsidRPr="006A7278">
        <w:rPr>
          <w:i/>
          <w:iCs/>
        </w:rPr>
        <w:t>Ia3d</w:t>
      </w:r>
      <w:r w:rsidR="0073286D" w:rsidRPr="006A7278">
        <w:t xml:space="preserve"> symmetry). Nitrogen physisorption analysis (not shown) confirmed that all the </w:t>
      </w:r>
      <w:r w:rsidR="00316B09" w:rsidRPr="006A7278">
        <w:t>TMCS</w:t>
      </w:r>
      <w:r w:rsidR="0073286D" w:rsidRPr="006A7278">
        <w:t xml:space="preserve"> are mesoporous (pore diameter higher than 3.20 nm) and present high surface area (</w:t>
      </w:r>
      <w:r w:rsidR="000F1B26" w:rsidRPr="006A7278">
        <w:t>between 300-1900 m</w:t>
      </w:r>
      <w:r w:rsidR="000F1B26" w:rsidRPr="006A7278">
        <w:rPr>
          <w:vertAlign w:val="superscript"/>
        </w:rPr>
        <w:t>2</w:t>
      </w:r>
      <w:r w:rsidR="000F1B26" w:rsidRPr="006A7278">
        <w:t xml:space="preserve"> g</w:t>
      </w:r>
      <w:r w:rsidR="000F1B26" w:rsidRPr="006A7278">
        <w:rPr>
          <w:vertAlign w:val="superscript"/>
        </w:rPr>
        <w:t>-1</w:t>
      </w:r>
      <w:r w:rsidR="000F1B26" w:rsidRPr="006A7278">
        <w:t xml:space="preserve">). SEM analysis (not shown) exhibited that the carbons C-Chi present roughness surface with honeycomb-like morphology; CMK-3 and CMK-5 aggregates of worm-like morphology, and CMK-8 and S-CMK-8 aggregates without well-defined morphology. The TGA analysis (not shown) </w:t>
      </w:r>
      <w:r w:rsidR="00316B09" w:rsidRPr="006A7278">
        <w:t xml:space="preserve">confirmed low content of Silicon (&lt; 5 wt. %) in all TMCS. </w:t>
      </w:r>
    </w:p>
    <w:bookmarkStart w:id="4" w:name="_Hlk137742078"/>
    <w:bookmarkStart w:id="5" w:name="_Hlk138081696"/>
    <w:p w14:paraId="59C0F7AC" w14:textId="6B388C19" w:rsidR="00186D8A" w:rsidRPr="006A7278" w:rsidRDefault="00BA60BC" w:rsidP="00186D8A">
      <w:pPr>
        <w:spacing w:after="0"/>
        <w:jc w:val="center"/>
      </w:pPr>
      <w:r w:rsidRPr="006A7278">
        <w:object w:dxaOrig="3026" w:dyaOrig="3032" w14:anchorId="6931BC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25pt;height:115.5pt" o:ole="">
            <v:imagedata r:id="rId10" o:title="" croptop="7106f" cropbottom="127f" cropleft="5766f" cropright="4742f"/>
          </v:shape>
          <o:OLEObject Type="Embed" ProgID="Origin50.Graph" ShapeID="_x0000_i1025" DrawAspect="Content" ObjectID="_1748696839" r:id="rId11"/>
        </w:object>
      </w:r>
      <w:bookmarkEnd w:id="4"/>
      <w:r w:rsidRPr="006A7278">
        <w:object w:dxaOrig="3026" w:dyaOrig="3032" w14:anchorId="705D71B9">
          <v:shape id="_x0000_i1026" type="#_x0000_t75" style="width:118.5pt;height:117.75pt" o:ole="">
            <v:imagedata r:id="rId12" o:title="" croptop="6909f" cropbottom="-228f" cropleft="6422f" cropright="5278f"/>
          </v:shape>
          <o:OLEObject Type="Embed" ProgID="Origin50.Graph" ShapeID="_x0000_i1026" DrawAspect="Content" ObjectID="_1748696840" r:id="rId13"/>
        </w:object>
      </w:r>
    </w:p>
    <w:p w14:paraId="5AEA5FD1" w14:textId="4103CB8B" w:rsidR="00186D8A" w:rsidRPr="006A7278" w:rsidRDefault="00186D8A" w:rsidP="00186D8A">
      <w:pPr>
        <w:pStyle w:val="VDTableTitle"/>
        <w:spacing w:after="120"/>
        <w:jc w:val="both"/>
      </w:pPr>
      <w:r w:rsidRPr="006A7278">
        <w:rPr>
          <w:rFonts w:ascii="Times New Roman" w:hAnsi="Times New Roman"/>
          <w:b/>
        </w:rPr>
        <w:t xml:space="preserve">Figure 1. </w:t>
      </w:r>
      <w:r w:rsidR="00BA60BC" w:rsidRPr="006A7278">
        <w:rPr>
          <w:rFonts w:ascii="Times New Roman" w:hAnsi="Times New Roman"/>
          <w:bCs/>
        </w:rPr>
        <w:t xml:space="preserve">RAMAN deconvoluted spectra of the TMSC sulfonated with SA (A) and PSA (B) species. </w:t>
      </w:r>
      <w:r w:rsidR="00BA60BC" w:rsidRPr="006A7278">
        <w:t>D*-band: defect-rich short carbon layers; D-band</w:t>
      </w:r>
      <w:r w:rsidR="00591CAF" w:rsidRPr="006A7278">
        <w:t>:</w:t>
      </w:r>
      <w:r w:rsidR="00BA60BC" w:rsidRPr="006A7278">
        <w:t xml:space="preserve"> defective graphene layers; D</w:t>
      </w:r>
      <w:r w:rsidR="00BA60BC" w:rsidRPr="006A7278">
        <w:rPr>
          <w:vertAlign w:val="superscript"/>
        </w:rPr>
        <w:t>#</w:t>
      </w:r>
      <w:r w:rsidR="00BA60BC" w:rsidRPr="006A7278">
        <w:t>-band</w:t>
      </w:r>
      <w:r w:rsidR="00591CAF" w:rsidRPr="006A7278">
        <w:t>:</w:t>
      </w:r>
      <w:r w:rsidR="00BA60BC" w:rsidRPr="006A7278">
        <w:t xml:space="preserve"> oxidized functional groups on the carbon surface; G-band</w:t>
      </w:r>
      <w:r w:rsidR="00591CAF" w:rsidRPr="006A7278">
        <w:t>:</w:t>
      </w:r>
      <w:r w:rsidR="00BA60BC" w:rsidRPr="006A7278">
        <w:t xml:space="preserve"> ordered graphene layers</w:t>
      </w:r>
      <w:r w:rsidR="00591CAF" w:rsidRPr="006A7278">
        <w:t>.</w:t>
      </w:r>
    </w:p>
    <w:p w14:paraId="3F9ABD92" w14:textId="74290772" w:rsidR="007A7E91" w:rsidRPr="006A7278" w:rsidRDefault="007A7E91" w:rsidP="007A7E91">
      <w:pPr>
        <w:spacing w:after="0"/>
        <w:jc w:val="center"/>
      </w:pPr>
      <w:r w:rsidRPr="006A7278">
        <w:object w:dxaOrig="3026" w:dyaOrig="3033" w14:anchorId="4DCF64B6">
          <v:shape id="_x0000_i1027" type="#_x0000_t75" style="width:119.25pt;height:131.25pt" o:ole="">
            <v:imagedata r:id="rId14" o:title="" croptop="6448f" cropbottom="303f" cropleft="4996f" cropright="7356f"/>
          </v:shape>
          <o:OLEObject Type="Embed" ProgID="Origin50.Graph" ShapeID="_x0000_i1027" DrawAspect="Content" ObjectID="_1748696841" r:id="rId15"/>
        </w:object>
      </w:r>
      <w:r w:rsidR="003314AD" w:rsidRPr="006A7278">
        <w:object w:dxaOrig="3026" w:dyaOrig="3033" w14:anchorId="28577E73">
          <v:shape id="_x0000_i1028" type="#_x0000_t75" style="width:117.75pt;height:132pt" o:ole="">
            <v:imagedata r:id="rId16" o:title="" croptop="6166f" cropleft="4998f" cropright="7638f"/>
          </v:shape>
          <o:OLEObject Type="Embed" ProgID="Origin50.Graph" ShapeID="_x0000_i1028" DrawAspect="Content" ObjectID="_1748696842" r:id="rId17"/>
        </w:object>
      </w:r>
    </w:p>
    <w:p w14:paraId="2E6761EE" w14:textId="77777777" w:rsidR="007A7E91" w:rsidRPr="006A7278" w:rsidRDefault="007A7E91" w:rsidP="007A7E91">
      <w:pPr>
        <w:pStyle w:val="VDTableTitle"/>
        <w:spacing w:after="120"/>
        <w:jc w:val="both"/>
        <w:rPr>
          <w:rFonts w:ascii="Times New Roman" w:hAnsi="Times New Roman"/>
          <w:bCs/>
        </w:rPr>
      </w:pPr>
      <w:r w:rsidRPr="006A7278">
        <w:rPr>
          <w:rFonts w:ascii="Times New Roman" w:hAnsi="Times New Roman"/>
          <w:b/>
        </w:rPr>
        <w:t>Figure 2.</w:t>
      </w:r>
      <w:bookmarkStart w:id="6" w:name="_Hlk137743383"/>
      <w:r w:rsidRPr="006A7278">
        <w:rPr>
          <w:rFonts w:ascii="Times New Roman" w:hAnsi="Times New Roman"/>
          <w:b/>
        </w:rPr>
        <w:t xml:space="preserve"> </w:t>
      </w:r>
      <w:r w:rsidRPr="006A7278">
        <w:rPr>
          <w:szCs w:val="24"/>
        </w:rPr>
        <w:t xml:space="preserve">High-resolution XPS spectra of S 2p for the TMSC </w:t>
      </w:r>
      <w:bookmarkEnd w:id="6"/>
      <w:r w:rsidRPr="006A7278">
        <w:rPr>
          <w:rFonts w:ascii="Times New Roman" w:hAnsi="Times New Roman"/>
          <w:bCs/>
        </w:rPr>
        <w:t xml:space="preserve">sulfonated with SA (A) and PSA (B) species. </w:t>
      </w:r>
      <w:r w:rsidRPr="006A7278">
        <w:t>Poly-Th: polythiophene-type chains; -C-(S=O)-C-: sulfoxide groups; -C-(O=S=O)-C-: sulfone groups; -SO</w:t>
      </w:r>
      <w:r w:rsidRPr="006A7278">
        <w:rPr>
          <w:vertAlign w:val="subscript"/>
        </w:rPr>
        <w:t>3</w:t>
      </w:r>
      <w:r w:rsidRPr="006A7278">
        <w:t>H: sulfonic acid groups.</w:t>
      </w:r>
    </w:p>
    <w:bookmarkEnd w:id="5"/>
    <w:p w14:paraId="50A40FED" w14:textId="77777777" w:rsidR="007A7E91" w:rsidRPr="006A7278" w:rsidRDefault="007A7E91" w:rsidP="007A7E91">
      <w:pPr>
        <w:pStyle w:val="TAMainText"/>
        <w:rPr>
          <w:rFonts w:ascii="Times New Roman" w:hAnsi="Times New Roman"/>
        </w:rPr>
      </w:pPr>
      <w:r w:rsidRPr="006A7278">
        <w:rPr>
          <w:rFonts w:ascii="Times New Roman" w:hAnsi="Times New Roman"/>
        </w:rPr>
        <w:t xml:space="preserve">After the post-grafting methods, the XRD, </w:t>
      </w:r>
      <w:r w:rsidRPr="006A7278">
        <w:t xml:space="preserve">SEM and nitrogen physisorption analysis (not shown) exhibited that the </w:t>
      </w:r>
      <w:r w:rsidRPr="006A7278">
        <w:rPr>
          <w:rFonts w:ascii="Times New Roman" w:hAnsi="Times New Roman"/>
        </w:rPr>
        <w:t>long-range pore organization and morphology of the BTMC were collapsed, and their surface area decreased; however, they are still mesoporous. In addition, the RAMAN analysis (</w:t>
      </w:r>
      <w:r w:rsidRPr="006A7278">
        <w:rPr>
          <w:b/>
          <w:bCs/>
        </w:rPr>
        <w:t>Figure 1</w:t>
      </w:r>
      <w:r w:rsidRPr="006A7278">
        <w:rPr>
          <w:rFonts w:ascii="Times New Roman" w:hAnsi="Times New Roman"/>
        </w:rPr>
        <w:t xml:space="preserve">) showed that the </w:t>
      </w:r>
      <w:r w:rsidRPr="006A7278">
        <w:rPr>
          <w:rFonts w:ascii="Times New Roman" w:hAnsi="Times New Roman"/>
        </w:rPr>
        <w:t>functionalization favored the aromatization of their carbon layers, producing longer defective graphene layers; and increased the amount of oxidized functional groups on their carbon matrix surfaces. The presence of the sulfonic and phenylsulfonic acid species were confirmed by FTIR and by S 2p XPS (</w:t>
      </w:r>
      <w:r w:rsidRPr="006A7278">
        <w:rPr>
          <w:b/>
          <w:bCs/>
        </w:rPr>
        <w:t>Figure 2</w:t>
      </w:r>
      <w:r w:rsidRPr="006A7278">
        <w:rPr>
          <w:rFonts w:ascii="Times New Roman" w:hAnsi="Times New Roman"/>
        </w:rPr>
        <w:t>). Moreover, the latter analysis showed that the contribution of -SO</w:t>
      </w:r>
      <w:r w:rsidRPr="006A7278">
        <w:rPr>
          <w:rFonts w:ascii="Times New Roman" w:hAnsi="Times New Roman"/>
          <w:vertAlign w:val="subscript"/>
        </w:rPr>
        <w:t>3</w:t>
      </w:r>
      <w:r w:rsidRPr="006A7278">
        <w:rPr>
          <w:rFonts w:ascii="Times New Roman" w:hAnsi="Times New Roman"/>
        </w:rPr>
        <w:t>H signal is higher for the BTMC functionalized with phenylsulfonic acid species than sulfonic acid species.</w:t>
      </w:r>
    </w:p>
    <w:p w14:paraId="4298D40E" w14:textId="1EA26801" w:rsidR="007A7E91" w:rsidRPr="006A7278" w:rsidRDefault="007A7E91" w:rsidP="007A7E91">
      <w:pPr>
        <w:pStyle w:val="TAMainText"/>
        <w:spacing w:after="120"/>
        <w:ind w:firstLine="187"/>
      </w:pPr>
      <w:r w:rsidRPr="006A7278">
        <w:t>The surface acidity of the BTMC was evaluated by potentiometric titration with the strong base NaOH. The potentiometric titration curves (not shown) exhibited two different groups of acid sites, a stronger and a total, which considers the stronger and the less acidic species. From those curves, the concentration of stronger acid sites (N</w:t>
      </w:r>
      <w:r w:rsidRPr="006A7278">
        <w:rPr>
          <w:vertAlign w:val="subscript"/>
        </w:rPr>
        <w:t>S</w:t>
      </w:r>
      <w:r w:rsidRPr="006A7278">
        <w:t>), total acid sites (N</w:t>
      </w:r>
      <w:r w:rsidRPr="006A7278">
        <w:rPr>
          <w:vertAlign w:val="subscript"/>
        </w:rPr>
        <w:t>T</w:t>
      </w:r>
      <w:r w:rsidRPr="006A7278">
        <w:t>) and the percentage of stronger acid sites were calculated (</w:t>
      </w:r>
      <w:r w:rsidRPr="006A7278">
        <w:rPr>
          <w:b/>
          <w:bCs/>
        </w:rPr>
        <w:t>Figure 3</w:t>
      </w:r>
      <w:r w:rsidRPr="006A7278">
        <w:t>).</w:t>
      </w:r>
    </w:p>
    <w:bookmarkStart w:id="7" w:name="Ácidos"/>
    <w:p w14:paraId="64DBF74A" w14:textId="77777777" w:rsidR="007A7E91" w:rsidRPr="006A7278" w:rsidRDefault="007A7E91" w:rsidP="007A7E91">
      <w:pPr>
        <w:spacing w:after="0"/>
        <w:jc w:val="center"/>
        <w:rPr>
          <w:lang w:val="en-US"/>
        </w:rPr>
      </w:pPr>
      <w:r w:rsidRPr="006A7278">
        <w:object w:dxaOrig="14295" w:dyaOrig="10744" w14:anchorId="148923A0">
          <v:shape id="_x0000_i1029" type="#_x0000_t75" style="width:237.75pt;height:169.5pt" o:ole="">
            <v:imagedata r:id="rId18" o:title="" croptop="5596f" cropbottom="374f" cropleft="2140f" cropright="1574f"/>
          </v:shape>
          <o:OLEObject Type="Embed" ProgID="Origin50.Graph" ShapeID="_x0000_i1029" DrawAspect="Content" ObjectID="_1748696843" r:id="rId19"/>
        </w:object>
      </w:r>
      <w:bookmarkEnd w:id="7"/>
      <w:r w:rsidRPr="006A7278">
        <w:rPr>
          <w:lang w:val="en-US"/>
        </w:rPr>
        <w:t xml:space="preserve"> </w:t>
      </w:r>
    </w:p>
    <w:p w14:paraId="65AAADD1" w14:textId="77777777" w:rsidR="007A7E91" w:rsidRPr="006A7278" w:rsidRDefault="007A7E91" w:rsidP="007A7E91">
      <w:pPr>
        <w:pStyle w:val="VDTableTitle"/>
        <w:spacing w:after="120"/>
        <w:jc w:val="both"/>
        <w:rPr>
          <w:rFonts w:ascii="Times New Roman" w:hAnsi="Times New Roman"/>
          <w:bCs/>
        </w:rPr>
      </w:pPr>
      <w:r w:rsidRPr="006A7278">
        <w:rPr>
          <w:rFonts w:ascii="Times New Roman" w:hAnsi="Times New Roman"/>
          <w:b/>
        </w:rPr>
        <w:t xml:space="preserve">Figure 3. </w:t>
      </w:r>
      <w:r w:rsidRPr="006A7278">
        <w:rPr>
          <w:rFonts w:ascii="Times New Roman" w:hAnsi="Times New Roman"/>
          <w:bCs/>
        </w:rPr>
        <w:t>Concentration of stronger acid sites (N</w:t>
      </w:r>
      <w:r w:rsidRPr="006A7278">
        <w:rPr>
          <w:rFonts w:ascii="Times New Roman" w:hAnsi="Times New Roman"/>
          <w:bCs/>
          <w:vertAlign w:val="subscript"/>
        </w:rPr>
        <w:t>S</w:t>
      </w:r>
      <w:r w:rsidRPr="006A7278">
        <w:rPr>
          <w:rFonts w:ascii="Times New Roman" w:hAnsi="Times New Roman"/>
          <w:bCs/>
        </w:rPr>
        <w:t>), total acid sites (N</w:t>
      </w:r>
      <w:r w:rsidRPr="006A7278">
        <w:rPr>
          <w:rFonts w:ascii="Times New Roman" w:hAnsi="Times New Roman"/>
          <w:bCs/>
          <w:vertAlign w:val="subscript"/>
        </w:rPr>
        <w:t>T</w:t>
      </w:r>
      <w:r w:rsidRPr="006A7278">
        <w:rPr>
          <w:rFonts w:ascii="Times New Roman" w:hAnsi="Times New Roman"/>
          <w:bCs/>
        </w:rPr>
        <w:t xml:space="preserve">), and percentage of stronger acid sites of the </w:t>
      </w:r>
      <w:r w:rsidRPr="006A7278">
        <w:t>BTMC and Amberlysts</w:t>
      </w:r>
      <w:r w:rsidRPr="006A7278">
        <w:rPr>
          <w:rFonts w:ascii="Times New Roman" w:hAnsi="Times New Roman"/>
          <w:bCs/>
        </w:rPr>
        <w:t>, by potentiometric titration with NaOH.</w:t>
      </w:r>
    </w:p>
    <w:p w14:paraId="5FDB2642" w14:textId="1F568C19" w:rsidR="007A7E91" w:rsidRPr="006A7278" w:rsidRDefault="00C83F0B" w:rsidP="007A7E91">
      <w:pPr>
        <w:spacing w:after="0"/>
        <w:jc w:val="center"/>
      </w:pPr>
      <w:r w:rsidRPr="006A7278">
        <w:object w:dxaOrig="6487" w:dyaOrig="4976" w14:anchorId="6C2865F2">
          <v:shape id="_x0000_i1030" type="#_x0000_t75" style="width:232.5pt;height:186.75pt" o:ole="">
            <v:imagedata r:id="rId20" o:title="" croptop="4967f" cropbottom="2247f" cropleft="3157f" cropright="7052f"/>
          </v:shape>
          <o:OLEObject Type="Embed" ProgID="Origin50.Graph" ShapeID="_x0000_i1030" DrawAspect="Content" ObjectID="_1748696844" r:id="rId21"/>
        </w:object>
      </w:r>
    </w:p>
    <w:p w14:paraId="75578B10" w14:textId="77777777" w:rsidR="007A7E91" w:rsidRPr="006A7278" w:rsidRDefault="007A7E91" w:rsidP="007A7E91">
      <w:pPr>
        <w:pStyle w:val="VDTableTitle"/>
        <w:spacing w:after="120"/>
        <w:jc w:val="both"/>
        <w:rPr>
          <w:rFonts w:ascii="Times New Roman" w:hAnsi="Times New Roman"/>
          <w:bCs/>
        </w:rPr>
      </w:pPr>
      <w:r w:rsidRPr="006A7278">
        <w:rPr>
          <w:rFonts w:ascii="Times New Roman" w:hAnsi="Times New Roman"/>
          <w:b/>
        </w:rPr>
        <w:t xml:space="preserve">Figure 4. </w:t>
      </w:r>
      <w:r w:rsidRPr="006A7278">
        <w:t>Correlation between -SO</w:t>
      </w:r>
      <w:r w:rsidRPr="006A7278">
        <w:rPr>
          <w:vertAlign w:val="subscript"/>
        </w:rPr>
        <w:t>3</w:t>
      </w:r>
      <w:r w:rsidRPr="006A7278">
        <w:t xml:space="preserve">H signal contribution, by S 2p XPS; and percentage of stronger sites, by potentiometric titration, </w:t>
      </w:r>
      <w:r w:rsidRPr="006A7278">
        <w:rPr>
          <w:rFonts w:ascii="Times New Roman" w:hAnsi="Times New Roman"/>
          <w:bCs/>
        </w:rPr>
        <w:t xml:space="preserve">of the </w:t>
      </w:r>
      <w:r w:rsidRPr="006A7278">
        <w:t>BTMC</w:t>
      </w:r>
      <w:r w:rsidRPr="006A7278">
        <w:rPr>
          <w:rFonts w:ascii="Times New Roman" w:hAnsi="Times New Roman"/>
          <w:bCs/>
        </w:rPr>
        <w:t>.</w:t>
      </w:r>
    </w:p>
    <w:p w14:paraId="270669A0" w14:textId="2570F5D0" w:rsidR="0095321A" w:rsidRPr="006A7278" w:rsidRDefault="000D194A" w:rsidP="00D90950">
      <w:pPr>
        <w:pStyle w:val="TAMainText"/>
        <w:ind w:firstLine="187"/>
      </w:pPr>
      <w:r w:rsidRPr="006A7278">
        <w:lastRenderedPageBreak/>
        <w:t xml:space="preserve">The results pointed out that the </w:t>
      </w:r>
      <w:r w:rsidR="00B025AE" w:rsidRPr="006A7278">
        <w:t>less acidic BTMC are t</w:t>
      </w:r>
      <w:r w:rsidRPr="006A7278">
        <w:t xml:space="preserve">he </w:t>
      </w:r>
      <w:r w:rsidR="00B025AE" w:rsidRPr="006A7278">
        <w:t>chitosan-based</w:t>
      </w:r>
      <w:r w:rsidRPr="006A7278">
        <w:t xml:space="preserve"> </w:t>
      </w:r>
      <w:r w:rsidR="00B025AE" w:rsidRPr="006A7278">
        <w:t>ones</w:t>
      </w:r>
      <w:r w:rsidRPr="006A7278">
        <w:t xml:space="preserve">. </w:t>
      </w:r>
      <w:r w:rsidR="00B025AE" w:rsidRPr="006A7278">
        <w:t xml:space="preserve">The </w:t>
      </w:r>
      <w:r w:rsidR="00D90950" w:rsidRPr="006A7278">
        <w:t xml:space="preserve">acidity of the </w:t>
      </w:r>
      <w:r w:rsidR="003F5DEE" w:rsidRPr="006A7278">
        <w:t>CMK catalyst</w:t>
      </w:r>
      <w:r w:rsidR="00586C89" w:rsidRPr="006A7278">
        <w:t>s</w:t>
      </w:r>
      <w:r w:rsidR="00B025AE" w:rsidRPr="006A7278">
        <w:t>, in turn,</w:t>
      </w:r>
      <w:r w:rsidR="003F5DEE" w:rsidRPr="006A7278">
        <w:t xml:space="preserve"> can be divided </w:t>
      </w:r>
      <w:r w:rsidR="00B025AE" w:rsidRPr="006A7278">
        <w:t>in</w:t>
      </w:r>
      <w:r w:rsidR="00D90950" w:rsidRPr="006A7278">
        <w:t xml:space="preserve"> 2 groups</w:t>
      </w:r>
      <w:r w:rsidR="003F5DEE" w:rsidRPr="006A7278">
        <w:t>: CMK-SA group (CMK-3-SA, CMK-5-SA, CMK-8-SA and S-CMK-8-SA)</w:t>
      </w:r>
      <w:r w:rsidR="00B025AE" w:rsidRPr="006A7278">
        <w:t>, with</w:t>
      </w:r>
      <w:r w:rsidR="003F5DEE" w:rsidRPr="006A7278">
        <w:t xml:space="preserve"> the highest concentration of total acid sites of the </w:t>
      </w:r>
      <w:r w:rsidR="00D90950" w:rsidRPr="006A7278">
        <w:t>BTMC</w:t>
      </w:r>
      <w:r w:rsidR="003F5DEE" w:rsidRPr="006A7278">
        <w:t xml:space="preserve"> (between 1650 – 2250 µmol g</w:t>
      </w:r>
      <w:r w:rsidR="003F5DEE" w:rsidRPr="006A7278">
        <w:rPr>
          <w:vertAlign w:val="superscript"/>
        </w:rPr>
        <w:t>-1</w:t>
      </w:r>
      <w:r w:rsidR="003F5DEE" w:rsidRPr="006A7278">
        <w:t>) and a percentage of stronger sites close to 50 %; and the CMK-PSA group (CMK-3-PSA, CMK-5-PSA, CMK-8-PSA and S-CMK-8-PSA)</w:t>
      </w:r>
      <w:r w:rsidR="00D90950" w:rsidRPr="006A7278">
        <w:t>, with</w:t>
      </w:r>
      <w:r w:rsidR="003F5DEE" w:rsidRPr="006A7278">
        <w:t xml:space="preserve"> a concentration of total acid sites between 880 – 1370 µmol g</w:t>
      </w:r>
      <w:r w:rsidR="003F5DEE" w:rsidRPr="006A7278">
        <w:rPr>
          <w:vertAlign w:val="superscript"/>
        </w:rPr>
        <w:t>-1</w:t>
      </w:r>
      <w:r w:rsidR="003F5DEE" w:rsidRPr="006A7278">
        <w:t xml:space="preserve"> and the highest percentage of stronger acid sites of the </w:t>
      </w:r>
      <w:r w:rsidR="00D90950" w:rsidRPr="006A7278">
        <w:t xml:space="preserve">BTMC </w:t>
      </w:r>
      <w:r w:rsidR="003F5DEE" w:rsidRPr="006A7278">
        <w:t xml:space="preserve">(between 70 – 80 %). </w:t>
      </w:r>
      <w:r w:rsidR="00E47CC2" w:rsidRPr="006A7278">
        <w:t xml:space="preserve">Interestingly, the percentage of stronger acid sites of the </w:t>
      </w:r>
      <w:r w:rsidR="00E47CC2" w:rsidRPr="006A7278">
        <w:rPr>
          <w:rFonts w:ascii="Times New Roman" w:hAnsi="Times New Roman"/>
        </w:rPr>
        <w:t xml:space="preserve">BTMC functionalized with phenylsulfonic acid species are higher than </w:t>
      </w:r>
      <w:r w:rsidR="00E43687" w:rsidRPr="006A7278">
        <w:rPr>
          <w:rFonts w:ascii="Times New Roman" w:hAnsi="Times New Roman"/>
        </w:rPr>
        <w:t xml:space="preserve">those </w:t>
      </w:r>
      <w:r w:rsidR="00E47CC2" w:rsidRPr="006A7278">
        <w:rPr>
          <w:rFonts w:ascii="Times New Roman" w:hAnsi="Times New Roman"/>
        </w:rPr>
        <w:t>with sulfonic acid species.</w:t>
      </w:r>
      <w:r w:rsidR="00E47CC2" w:rsidRPr="006A7278">
        <w:t xml:space="preserve"> Th</w:t>
      </w:r>
      <w:r w:rsidR="004D35B2" w:rsidRPr="006A7278">
        <w:t>us</w:t>
      </w:r>
      <w:r w:rsidR="00D90950" w:rsidRPr="006A7278">
        <w:t xml:space="preserve">, </w:t>
      </w:r>
      <w:r w:rsidR="003F5DEE" w:rsidRPr="006A7278">
        <w:t>a linear correlation was found between the -SO</w:t>
      </w:r>
      <w:r w:rsidR="003F5DEE" w:rsidRPr="006A7278">
        <w:rPr>
          <w:vertAlign w:val="subscript"/>
        </w:rPr>
        <w:t>3</w:t>
      </w:r>
      <w:r w:rsidR="003F5DEE" w:rsidRPr="006A7278">
        <w:t xml:space="preserve">H </w:t>
      </w:r>
      <w:r w:rsidR="00D90950" w:rsidRPr="006A7278">
        <w:t>signal</w:t>
      </w:r>
      <w:r w:rsidR="003F5DEE" w:rsidRPr="006A7278">
        <w:t xml:space="preserve">, by S 2p XPS; and the percentage of stronger </w:t>
      </w:r>
      <w:r w:rsidR="00F57CEE" w:rsidRPr="006A7278">
        <w:t xml:space="preserve">acid </w:t>
      </w:r>
      <w:r w:rsidR="003F5DEE" w:rsidRPr="006A7278">
        <w:t>sites, by potentiometric titration (</w:t>
      </w:r>
      <w:r w:rsidR="00D90950" w:rsidRPr="006A7278">
        <w:rPr>
          <w:b/>
          <w:bCs/>
        </w:rPr>
        <w:t xml:space="preserve">Figure </w:t>
      </w:r>
      <w:r w:rsidR="007A7E91" w:rsidRPr="006A7278">
        <w:rPr>
          <w:b/>
          <w:bCs/>
        </w:rPr>
        <w:t>4</w:t>
      </w:r>
      <w:r w:rsidR="003F5DEE" w:rsidRPr="006A7278">
        <w:t>)</w:t>
      </w:r>
      <w:r w:rsidR="00F57CEE" w:rsidRPr="006A7278">
        <w:t>,</w:t>
      </w:r>
      <w:r w:rsidR="00265B33" w:rsidRPr="006A7278">
        <w:t xml:space="preserve"> suggesting </w:t>
      </w:r>
      <w:r w:rsidR="003F5DEE" w:rsidRPr="006A7278">
        <w:t>t</w:t>
      </w:r>
      <w:r w:rsidR="00265B33" w:rsidRPr="006A7278">
        <w:t>hat</w:t>
      </w:r>
      <w:r w:rsidR="003F5DEE" w:rsidRPr="006A7278">
        <w:t xml:space="preserve"> the higher the -SO</w:t>
      </w:r>
      <w:r w:rsidR="003F5DEE" w:rsidRPr="006A7278">
        <w:rPr>
          <w:vertAlign w:val="subscript"/>
        </w:rPr>
        <w:t>3</w:t>
      </w:r>
      <w:r w:rsidR="003F5DEE" w:rsidRPr="006A7278">
        <w:t xml:space="preserve">H </w:t>
      </w:r>
      <w:r w:rsidR="00265B33" w:rsidRPr="006A7278">
        <w:t>signal</w:t>
      </w:r>
      <w:r w:rsidR="003F5DEE" w:rsidRPr="006A7278">
        <w:t xml:space="preserve"> contribution of the </w:t>
      </w:r>
      <w:r w:rsidR="00265B33" w:rsidRPr="006A7278">
        <w:t>BTMC</w:t>
      </w:r>
      <w:r w:rsidR="003F5DEE" w:rsidRPr="006A7278">
        <w:t xml:space="preserve">, the higher </w:t>
      </w:r>
      <w:r w:rsidR="00265B33" w:rsidRPr="006A7278">
        <w:t xml:space="preserve">is </w:t>
      </w:r>
      <w:r w:rsidR="008D0BCB" w:rsidRPr="006A7278">
        <w:t>their</w:t>
      </w:r>
      <w:r w:rsidR="003F5DEE" w:rsidRPr="006A7278">
        <w:t xml:space="preserve"> percentage of stronger</w:t>
      </w:r>
      <w:r w:rsidR="00F57CEE" w:rsidRPr="006A7278">
        <w:t xml:space="preserve"> </w:t>
      </w:r>
      <w:r w:rsidR="003F5DEE" w:rsidRPr="006A7278">
        <w:t xml:space="preserve">sites. </w:t>
      </w:r>
      <w:r w:rsidR="00265B33" w:rsidRPr="006A7278">
        <w:t>From this, it can</w:t>
      </w:r>
      <w:r w:rsidR="00F57CEE" w:rsidRPr="006A7278">
        <w:t xml:space="preserve"> </w:t>
      </w:r>
      <w:r w:rsidR="00265B33" w:rsidRPr="006A7278">
        <w:t xml:space="preserve">be </w:t>
      </w:r>
      <w:r w:rsidR="009D25E2" w:rsidRPr="006A7278">
        <w:t>concluded</w:t>
      </w:r>
      <w:r w:rsidR="00265B33" w:rsidRPr="006A7278">
        <w:t xml:space="preserve"> that the stronger acid sites</w:t>
      </w:r>
      <w:r w:rsidR="00F57CEE" w:rsidRPr="006A7278">
        <w:t xml:space="preserve"> of the BTMC</w:t>
      </w:r>
      <w:r w:rsidR="00265B33" w:rsidRPr="006A7278">
        <w:t xml:space="preserve"> </w:t>
      </w:r>
      <w:r w:rsidR="00D3622D" w:rsidRPr="006A7278">
        <w:t>are</w:t>
      </w:r>
      <w:r w:rsidR="00265B33" w:rsidRPr="006A7278">
        <w:t xml:space="preserve"> prevenient of the sulfonic and phenylsulfonic acid species.</w:t>
      </w:r>
      <w:r w:rsidR="00D3622D" w:rsidRPr="006A7278">
        <w:t xml:space="preserve"> </w:t>
      </w:r>
      <w:r w:rsidR="00F57CEE" w:rsidRPr="006A7278">
        <w:t>T</w:t>
      </w:r>
      <w:r w:rsidR="00D3622D" w:rsidRPr="006A7278">
        <w:t>he less acidic species</w:t>
      </w:r>
      <w:r w:rsidR="00F57CEE" w:rsidRPr="006A7278">
        <w:t>, in turn,</w:t>
      </w:r>
      <w:r w:rsidR="00D3622D" w:rsidRPr="006A7278">
        <w:t xml:space="preserve"> </w:t>
      </w:r>
      <w:r w:rsidR="00F57CEE" w:rsidRPr="006A7278">
        <w:t>might</w:t>
      </w:r>
      <w:r w:rsidR="00D3622D" w:rsidRPr="006A7278">
        <w:t xml:space="preserve"> be related to carboxylic acid</w:t>
      </w:r>
      <w:r w:rsidR="00F57CEE" w:rsidRPr="006A7278">
        <w:t xml:space="preserve"> species</w:t>
      </w:r>
      <w:r w:rsidR="00D3622D" w:rsidRPr="006A7278">
        <w:t xml:space="preserve"> and hydroxyl of alcohols and phenols</w:t>
      </w:r>
      <w:r w:rsidR="008D0BCB" w:rsidRPr="006A7278">
        <w:t xml:space="preserve"> </w:t>
      </w:r>
      <w:r w:rsidR="008D0BCB" w:rsidRPr="006A7278">
        <w:fldChar w:fldCharType="begin" w:fldLock="1"/>
      </w:r>
      <w:r w:rsidR="00562D7D" w:rsidRPr="006A7278">
        <w:instrText>ADDIN CSL_CITATION {"citationItems":[{"id":"ITEM-1","itemData":{"DOI":"10.1016/j.carbon.2020.05.040","ISSN":"00086223","abstract":"The presence and form of oxygenated functions on carbons lead to significant differences in material properties that impact surface chemistry, catalysis, electronic, and mechanical properties. Titration methodologies, specifically potentiometric and Boehm titrations, classify the types of acidic functions present on carbon materials into broad categories described as carboxylic, lactonic, and phenolic functions based upon the measured or estimated acid dissociation constants (pKa). The accuracy of these methods depends, however, on the estimates for pKa values and suffers when multiple possible species possess similar pKa values. Here, we improve upon past methods by combining potentiometric and chemical titrations, which involves identifying acidic functions by pKa values but also examining how functional groups react with alkaline titrants. Specifically, Brønsted acids like carboxylic and phenolic groups deprotonate reversibly when contacted with alkaline titrant solutions; however, lactonic functions undergo hydrolysis to form carboxylic acids and hydroxyls during identical treatments. Consequently, comparisons between sequential potentiometric titrations can be used to discriminate between functional groups by examining their pKa values but also their reactivity. Tests on probe compounds and functionalized carbon materials show our method successfully distinguishes lactones from other acidic functions on carbon surfaces and suggests the methodology complements other characterization techniques for carbon materials.","author":[{"dropping-particle":"","family":"Zhang","given":"Zhongyao","non-dropping-particle":"","parse-names":false,"suffix":""},{"dropping-particle":"","family":"Flaherty","given":"David W.","non-dropping-particle":"","parse-names":false,"suffix":""}],"container-title":"Carbon","id":"ITEM-1","issued":{"date-parts":[["2020"]]},"page":"436-445","publisher":"Elsevier Ltd","title":"Modified potentiometric titration method to distinguish and quantify oxygenated functional groups on carbon materials by pKa and chemical reactivity","type":"article-journal","volume":"166"},"uris":["http://www.mendeley.com/documents/?uuid=156bf4b2-005d-41d0-a59b-3daad9ca78df"]}],"mendeley":{"formattedCitation":"(13)","plainTextFormattedCitation":"(13)","previouslyFormattedCitation":"(13)"},"properties":{"noteIndex":0},"schema":"https://github.com/citation-style-language/schema/raw/master/csl-citation.json"}</w:instrText>
      </w:r>
      <w:r w:rsidR="008D0BCB" w:rsidRPr="006A7278">
        <w:fldChar w:fldCharType="separate"/>
      </w:r>
      <w:r w:rsidR="00F07290" w:rsidRPr="006A7278">
        <w:rPr>
          <w:noProof/>
        </w:rPr>
        <w:t>(13)</w:t>
      </w:r>
      <w:r w:rsidR="008D0BCB" w:rsidRPr="006A7278">
        <w:fldChar w:fldCharType="end"/>
      </w:r>
      <w:r w:rsidR="00D3622D" w:rsidRPr="006A7278">
        <w:t>.</w:t>
      </w:r>
    </w:p>
    <w:p w14:paraId="132A4ED4" w14:textId="34C2F1A9" w:rsidR="00B24BB8" w:rsidRPr="006A7278" w:rsidRDefault="00C91735" w:rsidP="002F3658">
      <w:pPr>
        <w:pStyle w:val="TAMainText"/>
        <w:ind w:firstLine="187"/>
      </w:pPr>
      <w:r w:rsidRPr="006A7278">
        <w:t>For the sake of comparison, two sulfonic acid</w:t>
      </w:r>
      <w:r w:rsidR="006E58E5" w:rsidRPr="006A7278">
        <w:t xml:space="preserve"> resins</w:t>
      </w:r>
      <w:r w:rsidRPr="006A7278">
        <w:t xml:space="preserve"> were also studied, the Amberlyst-</w:t>
      </w:r>
      <w:r w:rsidR="007A03EB" w:rsidRPr="006A7278">
        <w:t>15 (Amb-15) and Amberlyst-45 (Amb-45). The</w:t>
      </w:r>
      <w:r w:rsidR="007F7A13" w:rsidRPr="006A7278">
        <w:t>ir</w:t>
      </w:r>
      <w:r w:rsidR="007A03EB" w:rsidRPr="006A7278">
        <w:t xml:space="preserve"> potentiometric </w:t>
      </w:r>
      <w:r w:rsidR="007F7A13" w:rsidRPr="006A7278">
        <w:t xml:space="preserve">titration </w:t>
      </w:r>
      <w:r w:rsidR="007A03EB" w:rsidRPr="006A7278">
        <w:t xml:space="preserve">results showed </w:t>
      </w:r>
      <w:r w:rsidR="003F5DEE" w:rsidRPr="006A7278">
        <w:t>the</w:t>
      </w:r>
      <w:r w:rsidR="00F57CEE" w:rsidRPr="006A7278">
        <w:t>y present the</w:t>
      </w:r>
      <w:r w:rsidR="003F5DEE" w:rsidRPr="006A7278">
        <w:t xml:space="preserve"> highest concentration of stronger, total and percentage of stronger acid sites of this study.</w:t>
      </w:r>
    </w:p>
    <w:p w14:paraId="35BDA58E" w14:textId="77777777" w:rsidR="002F3658" w:rsidRPr="006A7278" w:rsidRDefault="002F3658" w:rsidP="002F3658">
      <w:pPr>
        <w:pStyle w:val="TAMainText"/>
        <w:ind w:firstLine="187"/>
      </w:pPr>
    </w:p>
    <w:p w14:paraId="09432DE6" w14:textId="6E375186" w:rsidR="00F57CEE" w:rsidRPr="006A7278" w:rsidRDefault="00F57CEE" w:rsidP="00F57CEE">
      <w:pPr>
        <w:pStyle w:val="TAMainText"/>
        <w:ind w:firstLine="0"/>
        <w:rPr>
          <w:rFonts w:ascii="Times New Roman" w:hAnsi="Times New Roman"/>
          <w:i/>
        </w:rPr>
      </w:pPr>
      <w:r w:rsidRPr="006A7278">
        <w:rPr>
          <w:rFonts w:ascii="Times New Roman" w:hAnsi="Times New Roman"/>
          <w:i/>
        </w:rPr>
        <w:t>Catalytic Studies of the BTMC and Amberlysts</w:t>
      </w:r>
    </w:p>
    <w:p w14:paraId="4E973A56" w14:textId="1E051CF9" w:rsidR="006B448C" w:rsidRPr="006A7278" w:rsidRDefault="006B448C" w:rsidP="007A7E91">
      <w:pPr>
        <w:pStyle w:val="TAMainText"/>
        <w:ind w:firstLine="204"/>
      </w:pPr>
      <w:r w:rsidRPr="006A7278">
        <w:t xml:space="preserve">The catalytic screening of the BTMC and Amberlysts </w:t>
      </w:r>
      <w:r w:rsidR="00FA41AC" w:rsidRPr="006A7278">
        <w:t>for the conversion of fructose and xylose into respectively HMF and furfural</w:t>
      </w:r>
      <w:r w:rsidRPr="006A7278">
        <w:t xml:space="preserve"> </w:t>
      </w:r>
      <w:r w:rsidR="00FA41AC" w:rsidRPr="006A7278">
        <w:t xml:space="preserve">is presented in </w:t>
      </w:r>
      <w:r w:rsidR="00FA41AC" w:rsidRPr="006A7278">
        <w:rPr>
          <w:b/>
          <w:bCs/>
        </w:rPr>
        <w:t xml:space="preserve">Figure </w:t>
      </w:r>
      <w:r w:rsidR="007A7E91" w:rsidRPr="006A7278">
        <w:rPr>
          <w:b/>
          <w:bCs/>
        </w:rPr>
        <w:t>5</w:t>
      </w:r>
      <w:r w:rsidR="00FA41AC" w:rsidRPr="006A7278">
        <w:t>.</w:t>
      </w:r>
      <w:r w:rsidR="00C65DDD" w:rsidRPr="006A7278">
        <w:t xml:space="preserve"> I</w:t>
      </w:r>
      <w:r w:rsidRPr="006A7278">
        <w:t>t is firstly observed that all catalysts</w:t>
      </w:r>
      <w:r w:rsidR="00C65DDD" w:rsidRPr="006A7278">
        <w:t xml:space="preserve"> produced platform molecules</w:t>
      </w:r>
      <w:r w:rsidRPr="006A7278">
        <w:t xml:space="preserve">, </w:t>
      </w:r>
      <w:r w:rsidR="00C65DDD" w:rsidRPr="006A7278">
        <w:t>confirmin</w:t>
      </w:r>
      <w:r w:rsidRPr="006A7278">
        <w:t xml:space="preserve">g that </w:t>
      </w:r>
      <w:r w:rsidR="00C65DDD" w:rsidRPr="006A7278">
        <w:t>they present active Brønsted acid sites to convert</w:t>
      </w:r>
      <w:r w:rsidRPr="006A7278">
        <w:t xml:space="preserve"> fructose and xylose </w:t>
      </w:r>
      <w:r w:rsidR="00C65DDD" w:rsidRPr="006A7278">
        <w:t>in</w:t>
      </w:r>
      <w:r w:rsidRPr="006A7278">
        <w:t>to HMF and furfural, respectively.</w:t>
      </w:r>
    </w:p>
    <w:p w14:paraId="282B8B14" w14:textId="77777777" w:rsidR="007A7E91" w:rsidRPr="006A7278" w:rsidRDefault="007A7E91" w:rsidP="007A7E91">
      <w:pPr>
        <w:pStyle w:val="TAMainText"/>
        <w:ind w:firstLine="204"/>
      </w:pPr>
      <w:r w:rsidRPr="006A7278">
        <w:t xml:space="preserve">Comparing now the catalytic performance of the BTMC, a pattern is observed in both reactions: the worst catalyst is C-Chi-SA (HMF and furfural yield of 2 %); followed by C-Chi-PSA (HMF and furfural yield of 19 % and 14 %, respectively), the CMK-SA group (HMF and furfural yield between 32-50 % and 16-27 %, respectively), and, with the best results, CMK-PSA group (HMF and furfural yield between 65-68 % and 41-45 %, respectively). These results show that the </w:t>
      </w:r>
      <w:r w:rsidRPr="006A7278">
        <w:rPr>
          <w:rFonts w:ascii="Times New Roman" w:hAnsi="Times New Roman"/>
        </w:rPr>
        <w:t xml:space="preserve">BTMC functionalized with phenylsulfonic acid species </w:t>
      </w:r>
      <w:r w:rsidRPr="006A7278">
        <w:t xml:space="preserve">exhibit better results </w:t>
      </w:r>
      <w:r w:rsidRPr="006A7278">
        <w:rPr>
          <w:rFonts w:ascii="Times New Roman" w:hAnsi="Times New Roman"/>
        </w:rPr>
        <w:t xml:space="preserve">than those with sulfonic acid species, </w:t>
      </w:r>
      <w:r w:rsidRPr="006A7278">
        <w:t>even the latter presenting higher concentration of stronger and total acid sites than the former (</w:t>
      </w:r>
      <w:r w:rsidRPr="006A7278">
        <w:rPr>
          <w:b/>
          <w:bCs/>
        </w:rPr>
        <w:t>Figure 3</w:t>
      </w:r>
      <w:r w:rsidRPr="006A7278">
        <w:t>). This trend indicates that the concentration of acid sites is not the main factor to improve the production of platform molecules from monosaccharides.</w:t>
      </w:r>
    </w:p>
    <w:p w14:paraId="29834EAA" w14:textId="77777777" w:rsidR="007A7E91" w:rsidRPr="006A7278" w:rsidRDefault="007A7E91" w:rsidP="007A7E91">
      <w:pPr>
        <w:pStyle w:val="TAMainText"/>
        <w:spacing w:after="120"/>
        <w:ind w:firstLine="204"/>
      </w:pPr>
      <w:r w:rsidRPr="006A7278">
        <w:t xml:space="preserve">Lastly, the Amberlysts presented different catalytic results depending on the reaction. For the conversion of </w:t>
      </w:r>
      <w:r w:rsidRPr="006A7278">
        <w:t>fructose into HMF, they presented practically the same results of the CMK-PSA group. On the other hand, for the conversion of xylose into furfural, they presented 10 % higher furfural yield than the CMK-PSA group.</w:t>
      </w:r>
    </w:p>
    <w:p w14:paraId="7FB39329" w14:textId="77777777" w:rsidR="00142C07" w:rsidRPr="006A7278" w:rsidRDefault="00142C07" w:rsidP="00142C07">
      <w:pPr>
        <w:pStyle w:val="Ttulo2"/>
        <w:spacing w:before="0" w:after="0" w:line="300" w:lineRule="auto"/>
        <w:rPr>
          <w:rFonts w:ascii="Helvetica" w:hAnsi="Helvetica" w:cs="Helvetica"/>
          <w:sz w:val="21"/>
          <w:szCs w:val="21"/>
          <w:lang w:val="en-US"/>
        </w:rPr>
      </w:pPr>
      <w:r w:rsidRPr="006A7278">
        <w:object w:dxaOrig="14295" w:dyaOrig="10744" w14:anchorId="701C108B">
          <v:shape id="_x0000_i1031" type="#_x0000_t75" style="width:227.25pt;height:192.75pt" o:ole="">
            <v:imagedata r:id="rId22" o:title="" croptop="4732f" cropleft="3556f" cropright="8063f"/>
          </v:shape>
          <o:OLEObject Type="Embed" ProgID="Origin50.Graph" ShapeID="_x0000_i1031" DrawAspect="Content" ObjectID="_1748696845" r:id="rId23"/>
        </w:object>
      </w:r>
    </w:p>
    <w:p w14:paraId="2721970A" w14:textId="3E6CDF1D" w:rsidR="00142C07" w:rsidRPr="006A7278" w:rsidRDefault="00142C07" w:rsidP="00142C07">
      <w:pPr>
        <w:pStyle w:val="VDTableTitle"/>
        <w:spacing w:after="120"/>
        <w:jc w:val="both"/>
        <w:rPr>
          <w:rFonts w:ascii="Times New Roman" w:hAnsi="Times New Roman"/>
          <w:bCs/>
        </w:rPr>
      </w:pPr>
      <w:r w:rsidRPr="006A7278">
        <w:rPr>
          <w:rFonts w:ascii="Times New Roman" w:hAnsi="Times New Roman"/>
          <w:b/>
        </w:rPr>
        <w:t xml:space="preserve">Figure </w:t>
      </w:r>
      <w:r w:rsidR="007A7E91" w:rsidRPr="006A7278">
        <w:rPr>
          <w:rFonts w:ascii="Times New Roman" w:hAnsi="Times New Roman"/>
          <w:b/>
        </w:rPr>
        <w:t>5</w:t>
      </w:r>
      <w:r w:rsidRPr="006A7278">
        <w:rPr>
          <w:rFonts w:ascii="Times New Roman" w:hAnsi="Times New Roman"/>
          <w:b/>
        </w:rPr>
        <w:t xml:space="preserve">. </w:t>
      </w:r>
      <w:r w:rsidRPr="006A7278">
        <w:rPr>
          <w:rFonts w:ascii="Times New Roman" w:hAnsi="Times New Roman"/>
          <w:bCs/>
        </w:rPr>
        <w:t>Catalytic screening of the BTMC and Amberlysts in the conversion of fructose into HMF and xylose into furfural, at 130 °C and 160 °C, respectively, in THF/H</w:t>
      </w:r>
      <w:r w:rsidRPr="006A7278">
        <w:rPr>
          <w:rFonts w:ascii="Times New Roman" w:hAnsi="Times New Roman"/>
          <w:bCs/>
          <w:vertAlign w:val="subscript"/>
        </w:rPr>
        <w:t>2</w:t>
      </w:r>
      <w:r w:rsidRPr="006A7278">
        <w:rPr>
          <w:rFonts w:ascii="Times New Roman" w:hAnsi="Times New Roman"/>
          <w:bCs/>
        </w:rPr>
        <w:t>O = 4/1, 1 h of reaction and 50 mg of catalyst.</w:t>
      </w:r>
    </w:p>
    <w:p w14:paraId="5F6DCD35" w14:textId="3DED55F6" w:rsidR="007A7E91" w:rsidRPr="006A7278" w:rsidRDefault="00C83F0B" w:rsidP="007A7E91">
      <w:pPr>
        <w:pStyle w:val="Ttulo2"/>
        <w:spacing w:before="0" w:after="0" w:line="300" w:lineRule="auto"/>
      </w:pPr>
      <w:r w:rsidRPr="006A7278">
        <w:object w:dxaOrig="6487" w:dyaOrig="4976" w14:anchorId="23C1DDFC">
          <v:shape id="_x0000_i1032" type="#_x0000_t75" style="width:229.5pt;height:190.5pt" o:ole="">
            <v:imagedata r:id="rId24" o:title="" croptop="2240f" cropbottom="2566f" cropleft="2180f" cropright="7265f"/>
          </v:shape>
          <o:OLEObject Type="Embed" ProgID="Origin50.Graph" ShapeID="_x0000_i1032" DrawAspect="Content" ObjectID="_1748696846" r:id="rId25"/>
        </w:object>
      </w:r>
    </w:p>
    <w:p w14:paraId="12666118" w14:textId="77777777" w:rsidR="007A7E91" w:rsidRPr="006A7278" w:rsidRDefault="007A7E91" w:rsidP="007A7E91">
      <w:pPr>
        <w:pStyle w:val="VDTableTitle"/>
        <w:spacing w:after="120"/>
        <w:jc w:val="both"/>
        <w:rPr>
          <w:rFonts w:ascii="Times New Roman" w:hAnsi="Times New Roman"/>
          <w:bCs/>
        </w:rPr>
      </w:pPr>
      <w:r w:rsidRPr="006A7278">
        <w:rPr>
          <w:rFonts w:ascii="Times New Roman" w:hAnsi="Times New Roman"/>
          <w:b/>
        </w:rPr>
        <w:t xml:space="preserve">Figure 6. </w:t>
      </w:r>
      <w:r w:rsidRPr="006A7278">
        <w:t xml:space="preserve">Correlation between </w:t>
      </w:r>
      <w:proofErr w:type="spellStart"/>
      <w:r w:rsidRPr="006A7278">
        <w:t>TON</w:t>
      </w:r>
      <w:r w:rsidRPr="006A7278">
        <w:rPr>
          <w:vertAlign w:val="subscript"/>
        </w:rPr>
        <w:t>Platform</w:t>
      </w:r>
      <w:proofErr w:type="spellEnd"/>
      <w:r w:rsidRPr="006A7278">
        <w:t xml:space="preserve"> with the percentage of stronger acid sites of the BTMC and Amberlysts</w:t>
      </w:r>
      <w:r w:rsidRPr="006A7278">
        <w:rPr>
          <w:rFonts w:ascii="Times New Roman" w:hAnsi="Times New Roman"/>
          <w:bCs/>
        </w:rPr>
        <w:t>.</w:t>
      </w:r>
    </w:p>
    <w:p w14:paraId="0A2325EB" w14:textId="0043F5D7" w:rsidR="00F63EF6" w:rsidRPr="006A7278" w:rsidRDefault="00F63EF6" w:rsidP="00307C5B">
      <w:pPr>
        <w:pStyle w:val="TAMainText"/>
        <w:ind w:firstLine="204"/>
      </w:pPr>
      <w:r w:rsidRPr="006A7278">
        <w:t>A</w:t>
      </w:r>
      <w:r w:rsidR="00D3120A" w:rsidRPr="006A7278">
        <w:t>nother</w:t>
      </w:r>
      <w:r w:rsidRPr="006A7278">
        <w:t xml:space="preserve"> very interesting strategy to compare the catalytic performance of the catalysts is by </w:t>
      </w:r>
      <w:r w:rsidR="005C0036" w:rsidRPr="006A7278">
        <w:t xml:space="preserve">the turnover number of </w:t>
      </w:r>
      <w:r w:rsidR="00DB47D3" w:rsidRPr="006A7278">
        <w:t xml:space="preserve">HMF and furfural </w:t>
      </w:r>
      <w:r w:rsidR="005C0036" w:rsidRPr="006A7278">
        <w:t>production, which considers the production of th</w:t>
      </w:r>
      <w:r w:rsidR="00DB47D3" w:rsidRPr="006A7278">
        <w:t>ose</w:t>
      </w:r>
      <w:r w:rsidR="005C0036" w:rsidRPr="006A7278">
        <w:t xml:space="preserve"> product</w:t>
      </w:r>
      <w:r w:rsidR="00DB47D3" w:rsidRPr="006A7278">
        <w:t>s</w:t>
      </w:r>
      <w:r w:rsidR="005C0036" w:rsidRPr="006A7278">
        <w:t xml:space="preserve"> per catalytic site. Considering that the stronger acid site</w:t>
      </w:r>
      <w:r w:rsidR="001E2CCE" w:rsidRPr="006A7278">
        <w:t xml:space="preserve"> </w:t>
      </w:r>
      <w:r w:rsidR="003179EE" w:rsidRPr="006A7278">
        <w:t>is</w:t>
      </w:r>
      <w:r w:rsidR="00BC6AE3" w:rsidRPr="006A7278">
        <w:t xml:space="preserve"> the active one, the turnover number of platform molecule production (</w:t>
      </w:r>
      <w:proofErr w:type="spellStart"/>
      <w:r w:rsidR="00BC6AE3" w:rsidRPr="006A7278">
        <w:t>TON</w:t>
      </w:r>
      <w:r w:rsidR="00BC6AE3" w:rsidRPr="006A7278">
        <w:rPr>
          <w:vertAlign w:val="subscript"/>
        </w:rPr>
        <w:t>P</w:t>
      </w:r>
      <w:r w:rsidR="001E2CCE" w:rsidRPr="006A7278">
        <w:rPr>
          <w:vertAlign w:val="subscript"/>
        </w:rPr>
        <w:t>latform</w:t>
      </w:r>
      <w:proofErr w:type="spellEnd"/>
      <w:r w:rsidR="00BC6AE3" w:rsidRPr="006A7278">
        <w:t>)</w:t>
      </w:r>
      <w:r w:rsidR="00D3120A" w:rsidRPr="006A7278">
        <w:t xml:space="preserve"> </w:t>
      </w:r>
      <w:r w:rsidR="00BC6AE3" w:rsidRPr="006A7278">
        <w:t>can be</w:t>
      </w:r>
      <w:r w:rsidR="001B40C4" w:rsidRPr="006A7278">
        <w:t xml:space="preserve"> easily</w:t>
      </w:r>
      <w:r w:rsidR="00BC6AE3" w:rsidRPr="006A7278">
        <w:t xml:space="preserve"> calculated. In addition, observing the </w:t>
      </w:r>
      <w:r w:rsidR="00BC6AE3" w:rsidRPr="006A7278">
        <w:rPr>
          <w:b/>
          <w:bCs/>
        </w:rPr>
        <w:t xml:space="preserve">Figures </w:t>
      </w:r>
      <w:r w:rsidR="007A7E91" w:rsidRPr="006A7278">
        <w:rPr>
          <w:b/>
          <w:bCs/>
        </w:rPr>
        <w:t>3</w:t>
      </w:r>
      <w:r w:rsidR="00BC6AE3" w:rsidRPr="006A7278">
        <w:t xml:space="preserve"> and </w:t>
      </w:r>
      <w:r w:rsidR="007A7E91" w:rsidRPr="006A7278">
        <w:rPr>
          <w:b/>
          <w:bCs/>
        </w:rPr>
        <w:t>5</w:t>
      </w:r>
      <w:r w:rsidR="00BC6AE3" w:rsidRPr="006A7278">
        <w:t xml:space="preserve">, one can see that the yield of platform molecules </w:t>
      </w:r>
      <w:r w:rsidR="001B40C4" w:rsidRPr="006A7278">
        <w:t xml:space="preserve">of all catalysts </w:t>
      </w:r>
      <w:r w:rsidR="00BC6AE3" w:rsidRPr="006A7278">
        <w:t>seems to follow the</w:t>
      </w:r>
      <w:r w:rsidR="001B40C4" w:rsidRPr="006A7278">
        <w:t>ir</w:t>
      </w:r>
      <w:r w:rsidR="00BC6AE3" w:rsidRPr="006A7278">
        <w:t xml:space="preserve"> percentage of stronger acid sites</w:t>
      </w:r>
      <w:r w:rsidR="001B40C4" w:rsidRPr="006A7278">
        <w:t xml:space="preserve">, suggesting that this parameter may be important for these reactions. For this reason, the </w:t>
      </w:r>
      <w:proofErr w:type="spellStart"/>
      <w:r w:rsidR="001E2CCE" w:rsidRPr="006A7278">
        <w:t>TON</w:t>
      </w:r>
      <w:r w:rsidR="001E2CCE" w:rsidRPr="006A7278">
        <w:rPr>
          <w:vertAlign w:val="subscript"/>
        </w:rPr>
        <w:t>Platform</w:t>
      </w:r>
      <w:proofErr w:type="spellEnd"/>
      <w:r w:rsidR="001E2CCE" w:rsidRPr="006A7278">
        <w:t xml:space="preserve"> </w:t>
      </w:r>
      <w:r w:rsidR="001B40C4" w:rsidRPr="006A7278">
        <w:t xml:space="preserve">of all </w:t>
      </w:r>
      <w:r w:rsidR="001B40C4" w:rsidRPr="006A7278">
        <w:lastRenderedPageBreak/>
        <w:t xml:space="preserve">catalysts were </w:t>
      </w:r>
      <w:r w:rsidR="0043069E" w:rsidRPr="006A7278">
        <w:t>correlated</w:t>
      </w:r>
      <w:r w:rsidR="001B40C4" w:rsidRPr="006A7278">
        <w:t xml:space="preserve"> with their percentage of stronger acid sites (</w:t>
      </w:r>
      <w:r w:rsidR="001B40C4" w:rsidRPr="006A7278">
        <w:rPr>
          <w:b/>
          <w:bCs/>
        </w:rPr>
        <w:t xml:space="preserve">Figure </w:t>
      </w:r>
      <w:r w:rsidR="007A7E91" w:rsidRPr="006A7278">
        <w:rPr>
          <w:b/>
          <w:bCs/>
        </w:rPr>
        <w:t>6</w:t>
      </w:r>
      <w:r w:rsidR="001B40C4" w:rsidRPr="006A7278">
        <w:t xml:space="preserve">). </w:t>
      </w:r>
      <w:r w:rsidRPr="006A7278">
        <w:t xml:space="preserve">Interestingly, it is noticed a volcano plot with the best results in the range of </w:t>
      </w:r>
      <w:r w:rsidR="009E1741" w:rsidRPr="006A7278">
        <w:t>70</w:t>
      </w:r>
      <w:r w:rsidR="004900A8" w:rsidRPr="006A7278">
        <w:t>-</w:t>
      </w:r>
      <w:r w:rsidRPr="006A7278">
        <w:t>80 % of stronger acid sites, belonging to the CMK-PSA group. In this case, this group produced between 2.5</w:t>
      </w:r>
      <w:r w:rsidR="00754548" w:rsidRPr="006A7278">
        <w:t>-</w:t>
      </w:r>
      <w:r w:rsidRPr="006A7278">
        <w:t>5.0 mols of HMF and 2.0</w:t>
      </w:r>
      <w:r w:rsidR="00754548" w:rsidRPr="006A7278">
        <w:t>-</w:t>
      </w:r>
      <w:r w:rsidRPr="006A7278">
        <w:t>4.0 mols of furfural per mol of stronger acid site</w:t>
      </w:r>
      <w:r w:rsidR="009E1741" w:rsidRPr="006A7278">
        <w:t>;</w:t>
      </w:r>
      <w:r w:rsidRPr="006A7278">
        <w:t xml:space="preserve"> whereas the Amberlysts, the best catalysts according to the </w:t>
      </w:r>
      <w:r w:rsidR="00754548" w:rsidRPr="006A7278">
        <w:rPr>
          <w:b/>
          <w:bCs/>
        </w:rPr>
        <w:t xml:space="preserve">Figure </w:t>
      </w:r>
      <w:r w:rsidR="007A7E91" w:rsidRPr="006A7278">
        <w:rPr>
          <w:b/>
          <w:bCs/>
        </w:rPr>
        <w:t>5</w:t>
      </w:r>
      <w:r w:rsidRPr="006A7278">
        <w:t>, only 0.5</w:t>
      </w:r>
      <w:r w:rsidR="00754548" w:rsidRPr="006A7278">
        <w:t>-</w:t>
      </w:r>
      <w:r w:rsidRPr="006A7278">
        <w:t>1.5 mols of platform molecules per mol of stronger acid site. Therefore,</w:t>
      </w:r>
      <w:r w:rsidR="009C3222" w:rsidRPr="006A7278">
        <w:t xml:space="preserve"> it can be concluded that</w:t>
      </w:r>
      <w:r w:rsidRPr="006A7278">
        <w:t xml:space="preserve"> the </w:t>
      </w:r>
      <w:r w:rsidR="003179EE" w:rsidRPr="006A7278">
        <w:t xml:space="preserve">really important </w:t>
      </w:r>
      <w:r w:rsidRPr="006A7278">
        <w:t>parameter for those reactions is the percentage of stronger acid sites, which is optimum for the CMK-PSA group.</w:t>
      </w:r>
    </w:p>
    <w:p w14:paraId="4A3AE3AA" w14:textId="77777777" w:rsidR="00307C5B" w:rsidRPr="006A7278" w:rsidRDefault="00307C5B" w:rsidP="00142C07">
      <w:pPr>
        <w:pStyle w:val="TAMainText"/>
        <w:spacing w:after="120"/>
        <w:ind w:firstLine="204"/>
      </w:pPr>
    </w:p>
    <w:p w14:paraId="04D9D655" w14:textId="429C30CE" w:rsidR="001D0B99" w:rsidRPr="006A7278" w:rsidRDefault="00C8347E" w:rsidP="001D0B99">
      <w:pPr>
        <w:pStyle w:val="TAMainText"/>
        <w:ind w:firstLine="0"/>
        <w:rPr>
          <w:rFonts w:ascii="Times New Roman" w:hAnsi="Times New Roman"/>
          <w:i/>
        </w:rPr>
      </w:pPr>
      <w:r w:rsidRPr="006A7278">
        <w:rPr>
          <w:rFonts w:ascii="Times New Roman" w:hAnsi="Times New Roman"/>
          <w:i/>
        </w:rPr>
        <w:t xml:space="preserve">Preliminary </w:t>
      </w:r>
      <w:r w:rsidR="001D0B99" w:rsidRPr="006A7278">
        <w:rPr>
          <w:rFonts w:ascii="Times New Roman" w:hAnsi="Times New Roman"/>
          <w:i/>
        </w:rPr>
        <w:t>Catalytic Studies</w:t>
      </w:r>
      <w:r w:rsidRPr="006A7278">
        <w:rPr>
          <w:rFonts w:ascii="Times New Roman" w:hAnsi="Times New Roman"/>
          <w:i/>
        </w:rPr>
        <w:t xml:space="preserve"> </w:t>
      </w:r>
      <w:r w:rsidR="001D0B99" w:rsidRPr="006A7278">
        <w:rPr>
          <w:rFonts w:ascii="Times New Roman" w:hAnsi="Times New Roman"/>
          <w:i/>
        </w:rPr>
        <w:t xml:space="preserve">of the BiTMC </w:t>
      </w:r>
    </w:p>
    <w:p w14:paraId="5A5DCC14" w14:textId="3590FB24" w:rsidR="00200424" w:rsidRPr="006A7278" w:rsidRDefault="003F1520" w:rsidP="00200424">
      <w:pPr>
        <w:pStyle w:val="TAMainText"/>
        <w:ind w:firstLine="204"/>
        <w:rPr>
          <w:rFonts w:ascii="Times New Roman" w:hAnsi="Times New Roman"/>
        </w:rPr>
      </w:pPr>
      <w:r w:rsidRPr="006A7278">
        <w:rPr>
          <w:rFonts w:ascii="Times New Roman" w:hAnsi="Times New Roman"/>
        </w:rPr>
        <w:t>So far,</w:t>
      </w:r>
      <w:r w:rsidR="00CD3D8D" w:rsidRPr="006A7278">
        <w:rPr>
          <w:rFonts w:ascii="Times New Roman" w:hAnsi="Times New Roman"/>
        </w:rPr>
        <w:t xml:space="preserve"> we</w:t>
      </w:r>
      <w:r w:rsidRPr="006A7278">
        <w:rPr>
          <w:rFonts w:ascii="Times New Roman" w:hAnsi="Times New Roman"/>
        </w:rPr>
        <w:t xml:space="preserve"> have</w:t>
      </w:r>
      <w:r w:rsidR="00691813" w:rsidRPr="006A7278">
        <w:rPr>
          <w:rFonts w:ascii="Times New Roman" w:hAnsi="Times New Roman"/>
        </w:rPr>
        <w:t xml:space="preserve"> only</w:t>
      </w:r>
      <w:r w:rsidRPr="006A7278">
        <w:rPr>
          <w:rFonts w:ascii="Times New Roman" w:hAnsi="Times New Roman"/>
        </w:rPr>
        <w:t xml:space="preserve"> </w:t>
      </w:r>
      <w:r w:rsidR="00F82291" w:rsidRPr="006A7278">
        <w:rPr>
          <w:rFonts w:ascii="Times New Roman" w:hAnsi="Times New Roman"/>
        </w:rPr>
        <w:t xml:space="preserve">synthesized </w:t>
      </w:r>
      <w:r w:rsidR="004B6F0A" w:rsidRPr="006A7278">
        <w:rPr>
          <w:rFonts w:ascii="Times New Roman" w:hAnsi="Times New Roman"/>
        </w:rPr>
        <w:t>some</w:t>
      </w:r>
      <w:r w:rsidR="00F82291" w:rsidRPr="006A7278">
        <w:rPr>
          <w:rFonts w:ascii="Times New Roman" w:hAnsi="Times New Roman"/>
        </w:rPr>
        <w:t xml:space="preserve"> BiTMC and </w:t>
      </w:r>
      <w:r w:rsidR="00CD3D8D" w:rsidRPr="006A7278">
        <w:rPr>
          <w:rFonts w:ascii="Times New Roman" w:hAnsi="Times New Roman"/>
        </w:rPr>
        <w:t>performed</w:t>
      </w:r>
      <w:r w:rsidRPr="006A7278">
        <w:rPr>
          <w:rFonts w:ascii="Times New Roman" w:hAnsi="Times New Roman"/>
        </w:rPr>
        <w:t xml:space="preserve"> </w:t>
      </w:r>
      <w:r w:rsidR="00F6076B" w:rsidRPr="006A7278">
        <w:rPr>
          <w:rFonts w:ascii="Times New Roman" w:hAnsi="Times New Roman"/>
        </w:rPr>
        <w:t>their</w:t>
      </w:r>
      <w:r w:rsidR="00200424" w:rsidRPr="006A7278">
        <w:rPr>
          <w:rFonts w:ascii="Times New Roman" w:hAnsi="Times New Roman"/>
        </w:rPr>
        <w:t xml:space="preserve"> </w:t>
      </w:r>
      <w:r w:rsidRPr="006A7278">
        <w:rPr>
          <w:rFonts w:ascii="Times New Roman" w:hAnsi="Times New Roman"/>
        </w:rPr>
        <w:t xml:space="preserve">catalytic screening in the conversion of glucose into HMF. Initially, for the sake of comparison, we selected the BTMC CMK-8-PSA and the </w:t>
      </w:r>
      <w:r w:rsidRPr="006A7278">
        <w:t xml:space="preserve">resin sulfonic </w:t>
      </w:r>
      <w:r w:rsidRPr="006A7278">
        <w:rPr>
          <w:rFonts w:ascii="Times New Roman" w:hAnsi="Times New Roman"/>
        </w:rPr>
        <w:t xml:space="preserve">Amb-45 to make the partial ion exchange. Considering that our goal is to produce </w:t>
      </w:r>
      <w:r w:rsidR="00484E6F" w:rsidRPr="006A7278">
        <w:rPr>
          <w:rFonts w:ascii="Times New Roman" w:hAnsi="Times New Roman"/>
        </w:rPr>
        <w:t xml:space="preserve">catalysts with </w:t>
      </w:r>
      <w:r w:rsidR="00484E6F" w:rsidRPr="006A7278">
        <w:t>Brønsted and Lewis acidity</w:t>
      </w:r>
      <w:r w:rsidRPr="006A7278">
        <w:rPr>
          <w:rFonts w:ascii="Times New Roman" w:hAnsi="Times New Roman"/>
        </w:rPr>
        <w:t xml:space="preserve">, we firstly decided to perform </w:t>
      </w:r>
      <w:r w:rsidR="00F82291" w:rsidRPr="006A7278">
        <w:rPr>
          <w:rFonts w:ascii="Times New Roman" w:hAnsi="Times New Roman"/>
        </w:rPr>
        <w:t xml:space="preserve">the </w:t>
      </w:r>
      <w:r w:rsidRPr="006A7278">
        <w:rPr>
          <w:rFonts w:ascii="Times New Roman" w:hAnsi="Times New Roman"/>
        </w:rPr>
        <w:t>partial ion exchange of 40 % of the</w:t>
      </w:r>
      <w:r w:rsidR="00484E6F" w:rsidRPr="006A7278">
        <w:rPr>
          <w:rFonts w:ascii="Times New Roman" w:hAnsi="Times New Roman"/>
        </w:rPr>
        <w:t xml:space="preserve"> </w:t>
      </w:r>
      <w:r w:rsidR="00484E6F" w:rsidRPr="006A7278">
        <w:t xml:space="preserve">Brønsted acid sites of those catalysts. </w:t>
      </w:r>
      <w:r w:rsidR="00B81888" w:rsidRPr="006A7278">
        <w:t xml:space="preserve">Their </w:t>
      </w:r>
      <w:r w:rsidR="00B81888" w:rsidRPr="006A7278">
        <w:rPr>
          <w:rFonts w:ascii="Times New Roman" w:hAnsi="Times New Roman"/>
        </w:rPr>
        <w:t xml:space="preserve">catalytic screening in the conversion of glucose into HMF is presented in </w:t>
      </w:r>
      <w:r w:rsidR="00B81888" w:rsidRPr="006A7278">
        <w:rPr>
          <w:rFonts w:ascii="Times New Roman" w:hAnsi="Times New Roman"/>
          <w:b/>
          <w:bCs/>
        </w:rPr>
        <w:t xml:space="preserve">Figure </w:t>
      </w:r>
      <w:r w:rsidR="007A7E91" w:rsidRPr="006A7278">
        <w:rPr>
          <w:rFonts w:ascii="Times New Roman" w:hAnsi="Times New Roman"/>
          <w:b/>
          <w:bCs/>
        </w:rPr>
        <w:t>7</w:t>
      </w:r>
      <w:r w:rsidR="00F82291" w:rsidRPr="006A7278">
        <w:rPr>
          <w:rFonts w:ascii="Times New Roman" w:hAnsi="Times New Roman"/>
        </w:rPr>
        <w:t xml:space="preserve">. </w:t>
      </w:r>
      <w:r w:rsidR="00C74AC3" w:rsidRPr="006A7278">
        <w:rPr>
          <w:rFonts w:ascii="Times New Roman" w:hAnsi="Times New Roman"/>
        </w:rPr>
        <w:t>The</w:t>
      </w:r>
      <w:r w:rsidR="00867F40" w:rsidRPr="006A7278">
        <w:rPr>
          <w:rFonts w:ascii="Times New Roman" w:hAnsi="Times New Roman"/>
        </w:rPr>
        <w:t xml:space="preserve"> </w:t>
      </w:r>
      <w:r w:rsidR="00C74AC3" w:rsidRPr="006A7278">
        <w:rPr>
          <w:rFonts w:ascii="Times New Roman" w:hAnsi="Times New Roman"/>
        </w:rPr>
        <w:t>catalysts</w:t>
      </w:r>
      <w:r w:rsidR="00867F40" w:rsidRPr="006A7278">
        <w:rPr>
          <w:rFonts w:ascii="Times New Roman" w:hAnsi="Times New Roman"/>
        </w:rPr>
        <w:t xml:space="preserve"> converted 15-30 % of glucose and produced fructose and HMF, as expected; </w:t>
      </w:r>
      <w:r w:rsidR="00C74AC3" w:rsidRPr="006A7278">
        <w:rPr>
          <w:rFonts w:ascii="Times New Roman" w:hAnsi="Times New Roman"/>
        </w:rPr>
        <w:t>and</w:t>
      </w:r>
      <w:r w:rsidR="00867F40" w:rsidRPr="006A7278">
        <w:rPr>
          <w:rFonts w:ascii="Times New Roman" w:hAnsi="Times New Roman"/>
        </w:rPr>
        <w:t xml:space="preserve"> mannose, an epimer of glucose that </w:t>
      </w:r>
      <w:r w:rsidR="004B6F0A" w:rsidRPr="006A7278">
        <w:rPr>
          <w:rFonts w:ascii="Times New Roman" w:hAnsi="Times New Roman"/>
        </w:rPr>
        <w:t xml:space="preserve">is produced by Lewis acid catalysis and </w:t>
      </w:r>
      <w:r w:rsidR="00867F40" w:rsidRPr="006A7278">
        <w:rPr>
          <w:rFonts w:ascii="Times New Roman" w:hAnsi="Times New Roman"/>
        </w:rPr>
        <w:t>is</w:t>
      </w:r>
      <w:r w:rsidR="00DB1366" w:rsidRPr="006A7278">
        <w:rPr>
          <w:rFonts w:ascii="Times New Roman" w:hAnsi="Times New Roman"/>
        </w:rPr>
        <w:t xml:space="preserve"> undesired for producing HMF in low yields</w:t>
      </w:r>
      <w:r w:rsidR="00691813" w:rsidRPr="006A7278">
        <w:rPr>
          <w:rFonts w:ascii="Times New Roman" w:hAnsi="Times New Roman"/>
        </w:rPr>
        <w:t xml:space="preserve"> </w:t>
      </w:r>
      <w:r w:rsidR="00691813" w:rsidRPr="006A7278">
        <w:rPr>
          <w:rFonts w:ascii="Times New Roman" w:hAnsi="Times New Roman"/>
        </w:rPr>
        <w:fldChar w:fldCharType="begin" w:fldLock="1"/>
      </w:r>
      <w:r w:rsidR="00B226E0" w:rsidRPr="006A7278">
        <w:rPr>
          <w:rFonts w:ascii="Times New Roman" w:hAnsi="Times New Roman"/>
        </w:rPr>
        <w:instrText>ADDIN CSL_CITATION {"citationItems":[{"id":"ITEM-1","itemData":{"DOI":"10.1021/acs.iecr.1c01781","ISSN":"0888-5885","author":[{"dropping-particle":"","family":"Pimenta Lorenti","given":"Juliana","non-dropping-particle":"","parse-names":false,"suffix":""},{"dropping-particle":"","family":"Scolari","given":"Eduardo","non-dropping-particle":"","parse-names":false,"suffix":""},{"dropping-particle":"","family":"Cabral","given":"Natalia M","non-dropping-particle":"","parse-names":false,"suffix":""},{"dropping-particle":"","family":"Bisio","given":"Chiara","non-dropping-particle":"","parse-names":false,"suffix":""},{"dropping-particle":"","family":"Gallo","given":"Jean Marcel R","non-dropping-particle":"","parse-names":false,"suffix":""}],"container-title":"Industrial &amp; Engineering Chemistry Research","id":"ITEM-1","issue":"35","issued":{"date-parts":[["2021","9","8"]]},"page":"12821-12833","title":"Isomerization and Epimerization of Glucose Catalyzed by Sn-Containing Mesoporous Silica","type":"article-journal","volume":"60"},"uris":["http://www.mendeley.com/documents/?uuid=280f8247-fc7c-4215-b7c0-00935cecade7"]}],"mendeley":{"formattedCitation":"(7)","plainTextFormattedCitation":"(7)","previouslyFormattedCitation":"(7)"},"properties":{"noteIndex":0},"schema":"https://github.com/citation-style-language/schema/raw/master/csl-citation.json"}</w:instrText>
      </w:r>
      <w:r w:rsidR="00691813" w:rsidRPr="006A7278">
        <w:rPr>
          <w:rFonts w:ascii="Times New Roman" w:hAnsi="Times New Roman"/>
        </w:rPr>
        <w:fldChar w:fldCharType="separate"/>
      </w:r>
      <w:r w:rsidR="00691813" w:rsidRPr="006A7278">
        <w:rPr>
          <w:rFonts w:ascii="Times New Roman" w:hAnsi="Times New Roman"/>
          <w:noProof/>
        </w:rPr>
        <w:t>(7)</w:t>
      </w:r>
      <w:r w:rsidR="00691813" w:rsidRPr="006A7278">
        <w:rPr>
          <w:rFonts w:ascii="Times New Roman" w:hAnsi="Times New Roman"/>
        </w:rPr>
        <w:fldChar w:fldCharType="end"/>
      </w:r>
      <w:r w:rsidR="00867F40" w:rsidRPr="006A7278">
        <w:rPr>
          <w:rFonts w:ascii="Times New Roman" w:hAnsi="Times New Roman"/>
        </w:rPr>
        <w:t>.</w:t>
      </w:r>
    </w:p>
    <w:p w14:paraId="4F0302A9" w14:textId="42BFCF68" w:rsidR="00C13DD1" w:rsidRPr="006A7278" w:rsidRDefault="00867F40" w:rsidP="007A7E91">
      <w:pPr>
        <w:pStyle w:val="TAMainText"/>
        <w:ind w:firstLine="204"/>
      </w:pPr>
      <w:r w:rsidRPr="006A7278">
        <w:rPr>
          <w:rFonts w:ascii="Times New Roman" w:hAnsi="Times New Roman"/>
        </w:rPr>
        <w:t>Observing the effect of the metallic cation</w:t>
      </w:r>
      <w:r w:rsidR="00DB1366" w:rsidRPr="006A7278">
        <w:rPr>
          <w:rFonts w:ascii="Times New Roman" w:hAnsi="Times New Roman"/>
        </w:rPr>
        <w:t>s</w:t>
      </w:r>
      <w:r w:rsidRPr="006A7278">
        <w:rPr>
          <w:rFonts w:ascii="Times New Roman" w:hAnsi="Times New Roman"/>
        </w:rPr>
        <w:t xml:space="preserve">, it is clear that the catalysts containing </w:t>
      </w:r>
      <w:proofErr w:type="gramStart"/>
      <w:r w:rsidRPr="006A7278">
        <w:rPr>
          <w:rFonts w:ascii="Times New Roman" w:hAnsi="Times New Roman"/>
        </w:rPr>
        <w:t>Cu(</w:t>
      </w:r>
      <w:proofErr w:type="gramEnd"/>
      <w:r w:rsidRPr="006A7278">
        <w:rPr>
          <w:rFonts w:ascii="Times New Roman" w:hAnsi="Times New Roman"/>
        </w:rPr>
        <w:t xml:space="preserve">II) and Yb(III) exhibited results </w:t>
      </w:r>
      <w:r w:rsidR="00DB1366" w:rsidRPr="006A7278">
        <w:rPr>
          <w:rFonts w:ascii="Times New Roman" w:hAnsi="Times New Roman"/>
        </w:rPr>
        <w:t>worse than</w:t>
      </w:r>
      <w:r w:rsidRPr="006A7278">
        <w:rPr>
          <w:rFonts w:ascii="Times New Roman" w:hAnsi="Times New Roman"/>
        </w:rPr>
        <w:t xml:space="preserve"> the blank (pure </w:t>
      </w:r>
      <w:r w:rsidRPr="006A7278">
        <w:t>Brønsted</w:t>
      </w:r>
      <w:r w:rsidRPr="006A7278">
        <w:rPr>
          <w:rFonts w:ascii="Times New Roman" w:hAnsi="Times New Roman"/>
        </w:rPr>
        <w:t xml:space="preserve"> acid catalyst)</w:t>
      </w:r>
      <w:r w:rsidR="00DB1366" w:rsidRPr="006A7278">
        <w:rPr>
          <w:rFonts w:ascii="Times New Roman" w:hAnsi="Times New Roman"/>
        </w:rPr>
        <w:t xml:space="preserve">. On the other hand, the </w:t>
      </w:r>
      <w:r w:rsidR="005042C0" w:rsidRPr="006A7278">
        <w:rPr>
          <w:rFonts w:ascii="Times New Roman" w:hAnsi="Times New Roman"/>
        </w:rPr>
        <w:t xml:space="preserve">cation </w:t>
      </w:r>
      <w:proofErr w:type="gramStart"/>
      <w:r w:rsidR="00DB1366" w:rsidRPr="006A7278">
        <w:rPr>
          <w:rFonts w:ascii="Times New Roman" w:hAnsi="Times New Roman"/>
        </w:rPr>
        <w:t>Al(</w:t>
      </w:r>
      <w:proofErr w:type="gramEnd"/>
      <w:r w:rsidR="00DB1366" w:rsidRPr="006A7278">
        <w:rPr>
          <w:rFonts w:ascii="Times New Roman" w:hAnsi="Times New Roman"/>
        </w:rPr>
        <w:t xml:space="preserve">III) </w:t>
      </w:r>
      <w:r w:rsidR="00773DFF" w:rsidRPr="006A7278">
        <w:rPr>
          <w:rFonts w:ascii="Times New Roman" w:hAnsi="Times New Roman"/>
        </w:rPr>
        <w:t>favored</w:t>
      </w:r>
      <w:r w:rsidR="005042C0" w:rsidRPr="006A7278">
        <w:rPr>
          <w:rFonts w:ascii="Times New Roman" w:hAnsi="Times New Roman"/>
        </w:rPr>
        <w:t xml:space="preserve"> only</w:t>
      </w:r>
      <w:r w:rsidR="00773DFF" w:rsidRPr="006A7278">
        <w:rPr>
          <w:rFonts w:ascii="Times New Roman" w:hAnsi="Times New Roman"/>
        </w:rPr>
        <w:t xml:space="preserve"> </w:t>
      </w:r>
      <w:r w:rsidR="00DB1366" w:rsidRPr="006A7278">
        <w:rPr>
          <w:rFonts w:ascii="Times New Roman" w:hAnsi="Times New Roman"/>
        </w:rPr>
        <w:t xml:space="preserve">the isomerization of glucose into fructose; </w:t>
      </w:r>
      <w:r w:rsidR="00773DFF" w:rsidRPr="006A7278">
        <w:rPr>
          <w:rFonts w:ascii="Times New Roman" w:hAnsi="Times New Roman"/>
        </w:rPr>
        <w:t>with selectivities of 44 % and 22 % for 40%-Al(III)-CMK-8-PSA and 40%-Al(III)-Amb-45, respectively.</w:t>
      </w:r>
      <w:r w:rsidR="00C74AC3" w:rsidRPr="006A7278">
        <w:rPr>
          <w:rFonts w:ascii="Times New Roman" w:hAnsi="Times New Roman"/>
        </w:rPr>
        <w:t xml:space="preserve"> The cation </w:t>
      </w:r>
      <w:proofErr w:type="gramStart"/>
      <w:r w:rsidR="00C74AC3" w:rsidRPr="006A7278">
        <w:rPr>
          <w:rFonts w:ascii="Times New Roman" w:hAnsi="Times New Roman"/>
        </w:rPr>
        <w:t>Fe(</w:t>
      </w:r>
      <w:proofErr w:type="gramEnd"/>
      <w:r w:rsidR="00C74AC3" w:rsidRPr="006A7278">
        <w:rPr>
          <w:rFonts w:ascii="Times New Roman" w:hAnsi="Times New Roman"/>
        </w:rPr>
        <w:t xml:space="preserve">III), in turn, was active only for 40%-Fe(III)-CMK-8-PSA in the isomerization of glucose into fructose (selectivity of 12 %). The catalysts </w:t>
      </w:r>
      <w:r w:rsidR="00773DFF" w:rsidRPr="006A7278">
        <w:rPr>
          <w:rFonts w:ascii="Times New Roman" w:hAnsi="Times New Roman"/>
        </w:rPr>
        <w:t xml:space="preserve">with </w:t>
      </w:r>
      <w:proofErr w:type="gramStart"/>
      <w:r w:rsidR="00773DFF" w:rsidRPr="006A7278">
        <w:rPr>
          <w:rFonts w:ascii="Times New Roman" w:hAnsi="Times New Roman"/>
        </w:rPr>
        <w:t>Sc(</w:t>
      </w:r>
      <w:proofErr w:type="gramEnd"/>
      <w:r w:rsidR="00773DFF" w:rsidRPr="006A7278">
        <w:rPr>
          <w:rFonts w:ascii="Times New Roman" w:hAnsi="Times New Roman"/>
        </w:rPr>
        <w:t xml:space="preserve">III) </w:t>
      </w:r>
      <w:r w:rsidR="00C74AC3" w:rsidRPr="006A7278">
        <w:rPr>
          <w:rFonts w:ascii="Times New Roman" w:hAnsi="Times New Roman"/>
        </w:rPr>
        <w:t>were well active, producing</w:t>
      </w:r>
      <w:r w:rsidR="006E5A69" w:rsidRPr="006A7278">
        <w:rPr>
          <w:rFonts w:ascii="Times New Roman" w:hAnsi="Times New Roman"/>
        </w:rPr>
        <w:t xml:space="preserve"> </w:t>
      </w:r>
      <w:r w:rsidR="00C74AC3" w:rsidRPr="006A7278">
        <w:rPr>
          <w:rFonts w:ascii="Times New Roman" w:hAnsi="Times New Roman"/>
        </w:rPr>
        <w:t>fructose and HMF</w:t>
      </w:r>
      <w:r w:rsidR="006E5A69" w:rsidRPr="006A7278">
        <w:rPr>
          <w:rFonts w:ascii="Times New Roman" w:hAnsi="Times New Roman"/>
        </w:rPr>
        <w:t xml:space="preserve">; however, with more selectivity </w:t>
      </w:r>
      <w:r w:rsidR="00DB47D3" w:rsidRPr="006A7278">
        <w:rPr>
          <w:rFonts w:ascii="Times New Roman" w:hAnsi="Times New Roman"/>
        </w:rPr>
        <w:t>for</w:t>
      </w:r>
      <w:r w:rsidR="006E5A69" w:rsidRPr="006A7278">
        <w:rPr>
          <w:rFonts w:ascii="Times New Roman" w:hAnsi="Times New Roman"/>
        </w:rPr>
        <w:t xml:space="preserve"> </w:t>
      </w:r>
      <w:r w:rsidR="00DB47D3" w:rsidRPr="006A7278">
        <w:rPr>
          <w:rFonts w:ascii="Times New Roman" w:hAnsi="Times New Roman"/>
        </w:rPr>
        <w:t>the</w:t>
      </w:r>
      <w:r w:rsidR="006E5A69" w:rsidRPr="006A7278">
        <w:rPr>
          <w:rFonts w:ascii="Times New Roman" w:hAnsi="Times New Roman"/>
        </w:rPr>
        <w:t xml:space="preserve"> </w:t>
      </w:r>
      <w:r w:rsidR="00DB47D3" w:rsidRPr="006A7278">
        <w:rPr>
          <w:rFonts w:ascii="Times New Roman" w:hAnsi="Times New Roman"/>
        </w:rPr>
        <w:t>isomer</w:t>
      </w:r>
      <w:r w:rsidR="00EA0E24" w:rsidRPr="006A7278">
        <w:rPr>
          <w:rFonts w:ascii="Times New Roman" w:hAnsi="Times New Roman"/>
        </w:rPr>
        <w:t xml:space="preserve">. </w:t>
      </w:r>
      <w:r w:rsidR="00773DFF" w:rsidRPr="006A7278">
        <w:rPr>
          <w:rFonts w:ascii="Times New Roman" w:hAnsi="Times New Roman"/>
        </w:rPr>
        <w:t xml:space="preserve">Lastly, the catalysts with </w:t>
      </w:r>
      <w:proofErr w:type="gramStart"/>
      <w:r w:rsidR="00773DFF" w:rsidRPr="006A7278">
        <w:rPr>
          <w:rFonts w:ascii="Times New Roman" w:hAnsi="Times New Roman"/>
        </w:rPr>
        <w:t>Sn(</w:t>
      </w:r>
      <w:proofErr w:type="gramEnd"/>
      <w:r w:rsidR="00773DFF" w:rsidRPr="006A7278">
        <w:rPr>
          <w:rFonts w:ascii="Times New Roman" w:hAnsi="Times New Roman"/>
        </w:rPr>
        <w:t>IV) were the best for the production of HMF, achieving selectivities of 12 % and 21 % for 40%-Al(III)-CMK-8-PSA and 40%-Al(III)-Amb-45, respectively. This result indicates that these materials present</w:t>
      </w:r>
      <w:r w:rsidR="005042C0" w:rsidRPr="006A7278">
        <w:rPr>
          <w:rFonts w:ascii="Times New Roman" w:hAnsi="Times New Roman"/>
        </w:rPr>
        <w:t xml:space="preserve"> good combination of </w:t>
      </w:r>
      <w:r w:rsidR="005E45EA" w:rsidRPr="006A7278">
        <w:rPr>
          <w:rFonts w:ascii="Times New Roman" w:hAnsi="Times New Roman"/>
        </w:rPr>
        <w:t xml:space="preserve">Lewis and Brønsted acid sites </w:t>
      </w:r>
      <w:r w:rsidR="005042C0" w:rsidRPr="006A7278">
        <w:t>to first isomerize glucose into fructose, and subsequently convert fructose into HMF.</w:t>
      </w:r>
    </w:p>
    <w:p w14:paraId="1F5D2218" w14:textId="577CB685" w:rsidR="007A7E91" w:rsidRPr="006A7278" w:rsidRDefault="007A7E91" w:rsidP="007A7E91">
      <w:pPr>
        <w:pStyle w:val="TAMainText"/>
        <w:spacing w:after="120"/>
        <w:ind w:firstLine="204"/>
      </w:pPr>
      <w:r w:rsidRPr="006A7278">
        <w:rPr>
          <w:rFonts w:ascii="Times New Roman" w:hAnsi="Times New Roman"/>
        </w:rPr>
        <w:t xml:space="preserve">As some cations did not have effect in the reaction with 40 % of </w:t>
      </w:r>
      <w:r w:rsidRPr="006A7278">
        <w:t>Brønsted acid sites exchanged, we decided to exchange 100 % of these sites. So far, this experiment was performed just for M-Amb-45 (</w:t>
      </w:r>
      <w:r w:rsidRPr="006A7278">
        <w:rPr>
          <w:b/>
          <w:bCs/>
        </w:rPr>
        <w:t>Figure 8</w:t>
      </w:r>
      <w:r w:rsidRPr="006A7278">
        <w:t>). Interestingly, the increase of the percentage of Brønsted acid sites exchanged did not change the conversion of glucose (with the exception of 100%-</w:t>
      </w:r>
      <w:proofErr w:type="gramStart"/>
      <w:r w:rsidRPr="006A7278">
        <w:t>Sc(</w:t>
      </w:r>
      <w:proofErr w:type="gramEnd"/>
      <w:r w:rsidRPr="006A7278">
        <w:t xml:space="preserve">III)-Amb-45, achieving 47 % of conversion). It </w:t>
      </w:r>
      <w:r w:rsidRPr="006A7278">
        <w:t xml:space="preserve">was also observed that the production of fructose was increased for the catalysts with </w:t>
      </w:r>
      <w:proofErr w:type="gramStart"/>
      <w:r w:rsidRPr="006A7278">
        <w:t>Al(</w:t>
      </w:r>
      <w:proofErr w:type="gramEnd"/>
      <w:r w:rsidRPr="006A7278">
        <w:t xml:space="preserve">III), Cu(II) and Yb(III) (41%, 26 % and 39 %, respectively), which was expected due to the complete exchange of Brønsted sites for Lewis acid sites. However, the catalysts with </w:t>
      </w:r>
      <w:proofErr w:type="gramStart"/>
      <w:r w:rsidRPr="006A7278">
        <w:t>Sc(</w:t>
      </w:r>
      <w:proofErr w:type="gramEnd"/>
      <w:r w:rsidRPr="006A7278">
        <w:t>III), Fe(III) and Sn(IV) practically had the same distribution of products of their respective catalysts with 40 % of Brønsted acid sites exchanged (</w:t>
      </w:r>
      <w:r w:rsidRPr="006A7278">
        <w:rPr>
          <w:b/>
          <w:bCs/>
        </w:rPr>
        <w:t xml:space="preserve">Figure </w:t>
      </w:r>
      <w:r w:rsidR="00307C5B" w:rsidRPr="006A7278">
        <w:rPr>
          <w:b/>
          <w:bCs/>
        </w:rPr>
        <w:t>7</w:t>
      </w:r>
      <w:r w:rsidR="00562D7D" w:rsidRPr="006A7278">
        <w:rPr>
          <w:b/>
          <w:bCs/>
        </w:rPr>
        <w:t>B</w:t>
      </w:r>
      <w:r w:rsidRPr="006A7278">
        <w:t>), indicating no effect for the further Lewis acid sites added.</w:t>
      </w:r>
    </w:p>
    <w:p w14:paraId="221D445A" w14:textId="1359747A" w:rsidR="006B7E8F" w:rsidRPr="006A7278" w:rsidRDefault="00F83FD3" w:rsidP="00A43DC5">
      <w:pPr>
        <w:pStyle w:val="Ttulo2"/>
        <w:spacing w:before="0" w:after="0" w:line="300" w:lineRule="auto"/>
      </w:pPr>
      <w:r w:rsidRPr="006A7278">
        <w:object w:dxaOrig="30973" w:dyaOrig="26263" w14:anchorId="2C3F2EB3">
          <v:shape id="_x0000_i1033" type="#_x0000_t75" style="width:215.25pt;height:204.75pt" o:ole="">
            <v:imagedata r:id="rId26" o:title="" croptop="6113f" cropleft="4355f" cropright="8296f"/>
          </v:shape>
          <o:OLEObject Type="Embed" ProgID="Origin50.Graph" ShapeID="_x0000_i1033" DrawAspect="Content" ObjectID="_1748696847" r:id="rId27"/>
        </w:object>
      </w:r>
    </w:p>
    <w:p w14:paraId="0C36B1FE" w14:textId="3AE81056" w:rsidR="00CB49F6" w:rsidRPr="006A7278" w:rsidRDefault="00EB1CA3" w:rsidP="00EA0E24">
      <w:pPr>
        <w:spacing w:after="0"/>
        <w:jc w:val="center"/>
      </w:pPr>
      <w:r w:rsidRPr="006A7278">
        <w:object w:dxaOrig="30973" w:dyaOrig="26263" w14:anchorId="0BC64738">
          <v:shape id="_x0000_i1034" type="#_x0000_t75" style="width:215.25pt;height:206.25pt" o:ole="">
            <v:imagedata r:id="rId28" o:title="" croptop="5380f" cropleft="4133f" cropright="8296f"/>
          </v:shape>
          <o:OLEObject Type="Embed" ProgID="Origin50.Graph" ShapeID="_x0000_i1034" DrawAspect="Content" ObjectID="_1748696848" r:id="rId29"/>
        </w:object>
      </w:r>
    </w:p>
    <w:p w14:paraId="57D400F1" w14:textId="1FF9AA5E" w:rsidR="006B7E8F" w:rsidRPr="006A7278" w:rsidRDefault="006B7E8F" w:rsidP="006B7E8F">
      <w:pPr>
        <w:pStyle w:val="VDTableTitle"/>
        <w:spacing w:after="120"/>
        <w:jc w:val="both"/>
        <w:rPr>
          <w:rFonts w:ascii="Times New Roman" w:hAnsi="Times New Roman"/>
          <w:bCs/>
        </w:rPr>
      </w:pPr>
      <w:r w:rsidRPr="006A7278">
        <w:rPr>
          <w:rFonts w:ascii="Times New Roman" w:hAnsi="Times New Roman"/>
          <w:b/>
        </w:rPr>
        <w:t xml:space="preserve">Figure </w:t>
      </w:r>
      <w:r w:rsidR="007A7E91" w:rsidRPr="006A7278">
        <w:rPr>
          <w:rFonts w:ascii="Times New Roman" w:hAnsi="Times New Roman"/>
          <w:b/>
        </w:rPr>
        <w:t>7</w:t>
      </w:r>
      <w:r w:rsidRPr="006A7278">
        <w:rPr>
          <w:rFonts w:ascii="Times New Roman" w:hAnsi="Times New Roman"/>
          <w:b/>
        </w:rPr>
        <w:t xml:space="preserve">. </w:t>
      </w:r>
      <w:r w:rsidR="00484E6F" w:rsidRPr="006A7278">
        <w:rPr>
          <w:rFonts w:ascii="Times New Roman" w:hAnsi="Times New Roman"/>
          <w:bCs/>
        </w:rPr>
        <w:t xml:space="preserve">Catalytic screening of </w:t>
      </w:r>
      <w:r w:rsidR="00F82291" w:rsidRPr="006A7278">
        <w:rPr>
          <w:rFonts w:ascii="Times New Roman" w:hAnsi="Times New Roman"/>
          <w:bCs/>
        </w:rPr>
        <w:t>the BiTMC 40%-M-CMK-8-PSA (A) and 40%-M-Amb-45 (B) in</w:t>
      </w:r>
      <w:r w:rsidR="00484E6F" w:rsidRPr="006A7278">
        <w:rPr>
          <w:rFonts w:ascii="Times New Roman" w:hAnsi="Times New Roman"/>
          <w:bCs/>
        </w:rPr>
        <w:t xml:space="preserve"> the conversion of </w:t>
      </w:r>
      <w:r w:rsidR="00F82291" w:rsidRPr="006A7278">
        <w:rPr>
          <w:rFonts w:ascii="Times New Roman" w:hAnsi="Times New Roman"/>
          <w:bCs/>
        </w:rPr>
        <w:t>glucose</w:t>
      </w:r>
      <w:r w:rsidR="00484E6F" w:rsidRPr="006A7278">
        <w:rPr>
          <w:rFonts w:ascii="Times New Roman" w:hAnsi="Times New Roman"/>
          <w:bCs/>
        </w:rPr>
        <w:t xml:space="preserve"> </w:t>
      </w:r>
      <w:r w:rsidR="00F82291" w:rsidRPr="006A7278">
        <w:rPr>
          <w:rFonts w:ascii="Times New Roman" w:hAnsi="Times New Roman"/>
          <w:bCs/>
        </w:rPr>
        <w:t>in</w:t>
      </w:r>
      <w:r w:rsidR="00484E6F" w:rsidRPr="006A7278">
        <w:rPr>
          <w:rFonts w:ascii="Times New Roman" w:hAnsi="Times New Roman"/>
          <w:bCs/>
        </w:rPr>
        <w:t>to HMF</w:t>
      </w:r>
      <w:r w:rsidR="00526679" w:rsidRPr="006A7278">
        <w:rPr>
          <w:rFonts w:ascii="Times New Roman" w:hAnsi="Times New Roman"/>
          <w:bCs/>
        </w:rPr>
        <w:t>,</w:t>
      </w:r>
      <w:r w:rsidR="00484E6F" w:rsidRPr="006A7278">
        <w:rPr>
          <w:rFonts w:ascii="Times New Roman" w:hAnsi="Times New Roman"/>
          <w:bCs/>
        </w:rPr>
        <w:t xml:space="preserve"> at 130 °C</w:t>
      </w:r>
      <w:r w:rsidR="00526679" w:rsidRPr="006A7278">
        <w:rPr>
          <w:rFonts w:ascii="Times New Roman" w:hAnsi="Times New Roman"/>
          <w:bCs/>
        </w:rPr>
        <w:t>,</w:t>
      </w:r>
      <w:r w:rsidR="00484E6F" w:rsidRPr="006A7278">
        <w:rPr>
          <w:rFonts w:ascii="Times New Roman" w:hAnsi="Times New Roman"/>
          <w:bCs/>
        </w:rPr>
        <w:t xml:space="preserve"> in THF/H</w:t>
      </w:r>
      <w:r w:rsidR="00484E6F" w:rsidRPr="006A7278">
        <w:rPr>
          <w:rFonts w:ascii="Times New Roman" w:hAnsi="Times New Roman"/>
          <w:bCs/>
          <w:vertAlign w:val="subscript"/>
        </w:rPr>
        <w:t>2</w:t>
      </w:r>
      <w:r w:rsidR="00484E6F" w:rsidRPr="006A7278">
        <w:rPr>
          <w:rFonts w:ascii="Times New Roman" w:hAnsi="Times New Roman"/>
          <w:bCs/>
        </w:rPr>
        <w:t xml:space="preserve">O = 4/1, </w:t>
      </w:r>
      <w:r w:rsidR="00F82291" w:rsidRPr="006A7278">
        <w:rPr>
          <w:rFonts w:ascii="Times New Roman" w:hAnsi="Times New Roman"/>
          <w:bCs/>
        </w:rPr>
        <w:t>2</w:t>
      </w:r>
      <w:r w:rsidR="00484E6F" w:rsidRPr="006A7278">
        <w:rPr>
          <w:rFonts w:ascii="Times New Roman" w:hAnsi="Times New Roman"/>
          <w:bCs/>
        </w:rPr>
        <w:t xml:space="preserve"> h of reaction and </w:t>
      </w:r>
      <w:r w:rsidR="00F82291" w:rsidRPr="006A7278">
        <w:rPr>
          <w:rFonts w:ascii="Times New Roman" w:hAnsi="Times New Roman"/>
          <w:bCs/>
        </w:rPr>
        <w:t>2</w:t>
      </w:r>
      <w:r w:rsidR="00484E6F" w:rsidRPr="006A7278">
        <w:rPr>
          <w:rFonts w:ascii="Times New Roman" w:hAnsi="Times New Roman"/>
          <w:bCs/>
        </w:rPr>
        <w:t>0 mg of catalyst.</w:t>
      </w:r>
    </w:p>
    <w:p w14:paraId="32973B47" w14:textId="77777777" w:rsidR="007A7E91" w:rsidRPr="006A7278" w:rsidRDefault="007A7E91" w:rsidP="007A7E91">
      <w:pPr>
        <w:pStyle w:val="TAMainText"/>
        <w:spacing w:after="120"/>
        <w:ind w:firstLine="187"/>
      </w:pPr>
      <w:r w:rsidRPr="006A7278">
        <w:t xml:space="preserve">From those preliminary results, we can conclude that the catalysts with the cations </w:t>
      </w:r>
      <w:proofErr w:type="gramStart"/>
      <w:r w:rsidRPr="006A7278">
        <w:rPr>
          <w:rFonts w:ascii="Times New Roman" w:hAnsi="Times New Roman"/>
        </w:rPr>
        <w:t>Al(</w:t>
      </w:r>
      <w:proofErr w:type="gramEnd"/>
      <w:r w:rsidRPr="006A7278">
        <w:rPr>
          <w:rFonts w:ascii="Times New Roman" w:hAnsi="Times New Roman"/>
        </w:rPr>
        <w:t xml:space="preserve">III), Cu(II) and Yb(III) are promising Lewis acid catalysts for producing fructose as the main product. The catalysts with </w:t>
      </w:r>
      <w:proofErr w:type="gramStart"/>
      <w:r w:rsidRPr="006A7278">
        <w:rPr>
          <w:rFonts w:ascii="Times New Roman" w:hAnsi="Times New Roman"/>
        </w:rPr>
        <w:t>Sc(</w:t>
      </w:r>
      <w:proofErr w:type="gramEnd"/>
      <w:r w:rsidRPr="006A7278">
        <w:rPr>
          <w:rFonts w:ascii="Times New Roman" w:hAnsi="Times New Roman"/>
        </w:rPr>
        <w:t xml:space="preserve">III), in turn, have active Lewis and Brønsted acid sites; however, the later sites were not able to convert all the fructose produced in the former </w:t>
      </w:r>
      <w:r w:rsidRPr="006A7278">
        <w:rPr>
          <w:rFonts w:ascii="Times New Roman" w:hAnsi="Times New Roman"/>
        </w:rPr>
        <w:lastRenderedPageBreak/>
        <w:t xml:space="preserve">sites, which decreased their HMF selectivity. This problem was not observed for the catalysts with </w:t>
      </w:r>
      <w:proofErr w:type="gramStart"/>
      <w:r w:rsidRPr="006A7278">
        <w:rPr>
          <w:rFonts w:ascii="Times New Roman" w:hAnsi="Times New Roman"/>
        </w:rPr>
        <w:t>Sn(</w:t>
      </w:r>
      <w:proofErr w:type="gramEnd"/>
      <w:r w:rsidRPr="006A7278">
        <w:rPr>
          <w:rFonts w:ascii="Times New Roman" w:hAnsi="Times New Roman"/>
        </w:rPr>
        <w:t>IV), which had the best combination of Lewis and Brønsted acid sites</w:t>
      </w:r>
      <w:r w:rsidRPr="006A7278">
        <w:t xml:space="preserve"> to produce HMF as the main product.</w:t>
      </w:r>
    </w:p>
    <w:p w14:paraId="4F61B9E1" w14:textId="0904D6CE" w:rsidR="00256455" w:rsidRPr="006A7278" w:rsidRDefault="00AD3A28" w:rsidP="00C855FA">
      <w:pPr>
        <w:spacing w:after="0"/>
        <w:jc w:val="center"/>
      </w:pPr>
      <w:r w:rsidRPr="006A7278">
        <w:object w:dxaOrig="30974" w:dyaOrig="26263" w14:anchorId="5DFE2953">
          <v:shape id="_x0000_i1035" type="#_x0000_t75" style="width:218.25pt;height:208.5pt" o:ole="">
            <v:imagedata r:id="rId30" o:title="" croptop="5135f" cropleft="3733f" cropright="8503f"/>
          </v:shape>
          <o:OLEObject Type="Embed" ProgID="Origin50.Graph" ShapeID="_x0000_i1035" DrawAspect="Content" ObjectID="_1748696849" r:id="rId31"/>
        </w:object>
      </w:r>
    </w:p>
    <w:p w14:paraId="2D206C36" w14:textId="1855E4E4" w:rsidR="006E5A69" w:rsidRPr="006A7278" w:rsidRDefault="006E5A69" w:rsidP="006E5A69">
      <w:pPr>
        <w:pStyle w:val="VDTableTitle"/>
        <w:spacing w:after="120"/>
        <w:jc w:val="both"/>
        <w:rPr>
          <w:rFonts w:ascii="Times New Roman" w:hAnsi="Times New Roman"/>
          <w:b/>
        </w:rPr>
      </w:pPr>
      <w:r w:rsidRPr="006A7278">
        <w:rPr>
          <w:rFonts w:ascii="Times New Roman" w:hAnsi="Times New Roman"/>
          <w:b/>
        </w:rPr>
        <w:t xml:space="preserve">Figure </w:t>
      </w:r>
      <w:r w:rsidR="007A7E91" w:rsidRPr="006A7278">
        <w:rPr>
          <w:rFonts w:ascii="Times New Roman" w:hAnsi="Times New Roman"/>
          <w:b/>
        </w:rPr>
        <w:t>8</w:t>
      </w:r>
      <w:r w:rsidRPr="006A7278">
        <w:rPr>
          <w:rFonts w:ascii="Times New Roman" w:hAnsi="Times New Roman"/>
          <w:b/>
        </w:rPr>
        <w:t xml:space="preserve">. </w:t>
      </w:r>
      <w:r w:rsidRPr="006A7278">
        <w:rPr>
          <w:rFonts w:ascii="Times New Roman" w:hAnsi="Times New Roman"/>
          <w:bCs/>
        </w:rPr>
        <w:t>Catalytic screening of the 100%-M-Amb-45 in the conversion of glucose into HMF, at 130 °C, in THF/H</w:t>
      </w:r>
      <w:r w:rsidRPr="006A7278">
        <w:rPr>
          <w:rFonts w:ascii="Times New Roman" w:hAnsi="Times New Roman"/>
          <w:bCs/>
          <w:vertAlign w:val="subscript"/>
        </w:rPr>
        <w:t>2</w:t>
      </w:r>
      <w:r w:rsidRPr="006A7278">
        <w:rPr>
          <w:rFonts w:ascii="Times New Roman" w:hAnsi="Times New Roman"/>
          <w:bCs/>
        </w:rPr>
        <w:t>O = 4/1, 2 h of reaction and 20 mg of catalyst.</w:t>
      </w:r>
      <w:r w:rsidRPr="006A7278">
        <w:rPr>
          <w:rFonts w:ascii="Times New Roman" w:hAnsi="Times New Roman"/>
          <w:b/>
        </w:rPr>
        <w:t xml:space="preserve"> </w:t>
      </w:r>
    </w:p>
    <w:p w14:paraId="5FBDB94A" w14:textId="310D17A7" w:rsidR="004B6F0A" w:rsidRPr="006A7278" w:rsidRDefault="00AD17D7" w:rsidP="004B6F0A">
      <w:pPr>
        <w:pStyle w:val="Ttulo2"/>
        <w:rPr>
          <w:rFonts w:ascii="Helvetica" w:hAnsi="Helvetica" w:cs="Helvetica"/>
          <w:sz w:val="24"/>
          <w:szCs w:val="24"/>
          <w:lang w:val="en-US"/>
        </w:rPr>
      </w:pPr>
      <w:r w:rsidRPr="006A7278">
        <w:rPr>
          <w:rFonts w:ascii="Helvetica" w:hAnsi="Helvetica" w:cs="Helvetica"/>
          <w:sz w:val="24"/>
          <w:szCs w:val="24"/>
          <w:lang w:val="en-US"/>
        </w:rPr>
        <w:t>Conclusions</w:t>
      </w:r>
    </w:p>
    <w:p w14:paraId="07FD8F13" w14:textId="6FB317A6" w:rsidR="001601C9" w:rsidRPr="006A7278" w:rsidRDefault="00EB1CA3" w:rsidP="008F61A0">
      <w:pPr>
        <w:pStyle w:val="TAMainText"/>
      </w:pPr>
      <w:r w:rsidRPr="006A7278">
        <w:rPr>
          <w:rFonts w:ascii="Times New Roman" w:hAnsi="Times New Roman"/>
        </w:rPr>
        <w:t xml:space="preserve">In the first part of this work, different TMCS were prepared varying the silica hard template, the carbon source, and the pyrolysis temperature. These materials indeed are mesoporous and present </w:t>
      </w:r>
      <w:r w:rsidRPr="006A7278">
        <w:t xml:space="preserve">high surface area. From them, BTMC were synthetized </w:t>
      </w:r>
      <w:r w:rsidR="008F61A0" w:rsidRPr="006A7278">
        <w:t>by 2 different post-grafting methods</w:t>
      </w:r>
      <w:r w:rsidR="00F53894" w:rsidRPr="006A7278">
        <w:t>, grafting sulfonic or phenylsulfonic acid species on their surface</w:t>
      </w:r>
      <w:r w:rsidR="008F61A0" w:rsidRPr="006A7278">
        <w:t xml:space="preserve">. The characterizations showed that these catalysts still are mesoporous and contain high surface areas, although they lost their </w:t>
      </w:r>
      <w:r w:rsidR="008F61A0" w:rsidRPr="006A7278">
        <w:rPr>
          <w:rFonts w:ascii="Times New Roman" w:hAnsi="Times New Roman"/>
        </w:rPr>
        <w:t>long-range pore organization and</w:t>
      </w:r>
      <w:r w:rsidR="008F61A0" w:rsidRPr="006A7278">
        <w:t xml:space="preserve"> morphology after the functionalization. In addition, they present 2 different groups of acid sites, being the stronger one related to </w:t>
      </w:r>
      <w:r w:rsidR="00F53894" w:rsidRPr="006A7278">
        <w:t xml:space="preserve">the </w:t>
      </w:r>
      <w:r w:rsidR="008F61A0" w:rsidRPr="006A7278">
        <w:t xml:space="preserve">sulfonic </w:t>
      </w:r>
      <w:r w:rsidR="001E2CCE" w:rsidRPr="006A7278">
        <w:t>or</w:t>
      </w:r>
      <w:r w:rsidR="008F61A0" w:rsidRPr="006A7278">
        <w:t xml:space="preserve"> phenylsulfonic acid species. They were active for the conversion of fructose and xylose into HMF and furfural, respectively, as well the Amberlysts 45 and 15, which were studied for the sake of comparison. </w:t>
      </w:r>
      <w:r w:rsidR="001601C9" w:rsidRPr="006A7278">
        <w:t xml:space="preserve">Lastly, a volcano plot was found in the correlation of </w:t>
      </w:r>
      <w:proofErr w:type="spellStart"/>
      <w:r w:rsidR="001E2CCE" w:rsidRPr="006A7278">
        <w:t>TON</w:t>
      </w:r>
      <w:r w:rsidR="001E2CCE" w:rsidRPr="006A7278">
        <w:rPr>
          <w:vertAlign w:val="subscript"/>
        </w:rPr>
        <w:t>Platform</w:t>
      </w:r>
      <w:proofErr w:type="spellEnd"/>
      <w:r w:rsidR="001E2CCE" w:rsidRPr="006A7278">
        <w:t xml:space="preserve"> </w:t>
      </w:r>
      <w:r w:rsidR="004D6D90" w:rsidRPr="006A7278">
        <w:t>with their</w:t>
      </w:r>
      <w:r w:rsidR="001601C9" w:rsidRPr="006A7278">
        <w:t xml:space="preserve"> percentage of stronger sites, indicating that the highest production of platform molecules per </w:t>
      </w:r>
      <w:r w:rsidR="001E2CCE" w:rsidRPr="006A7278">
        <w:t xml:space="preserve">stronger </w:t>
      </w:r>
      <w:r w:rsidR="001601C9" w:rsidRPr="006A7278">
        <w:t xml:space="preserve">acid site </w:t>
      </w:r>
      <w:r w:rsidR="00A65D02" w:rsidRPr="006A7278">
        <w:t xml:space="preserve">happens in the range of </w:t>
      </w:r>
      <w:r w:rsidR="001601C9" w:rsidRPr="006A7278">
        <w:t xml:space="preserve">70-80 % of stronger acid sites, </w:t>
      </w:r>
      <w:r w:rsidR="00A65D02" w:rsidRPr="006A7278">
        <w:t>belonging to the</w:t>
      </w:r>
      <w:r w:rsidR="001E2CCE" w:rsidRPr="006A7278">
        <w:t xml:space="preserve"> catalysts of the</w:t>
      </w:r>
      <w:r w:rsidR="001601C9" w:rsidRPr="006A7278">
        <w:t xml:space="preserve"> CMK-PSA group</w:t>
      </w:r>
      <w:r w:rsidR="00A65D02" w:rsidRPr="006A7278">
        <w:t xml:space="preserve"> (CMK-3-PSA, CMK-5-PSA, CMK-8-PSA and S-CMK-8-PSA)</w:t>
      </w:r>
      <w:r w:rsidR="00F53894" w:rsidRPr="006A7278">
        <w:t xml:space="preserve">. With this study, we can </w:t>
      </w:r>
      <w:r w:rsidR="001E2CCE" w:rsidRPr="006A7278">
        <w:t xml:space="preserve">also </w:t>
      </w:r>
      <w:r w:rsidR="00F53894" w:rsidRPr="006A7278">
        <w:t xml:space="preserve">conclude that the really important parameter </w:t>
      </w:r>
      <w:r w:rsidR="0061609A" w:rsidRPr="006A7278">
        <w:t>for</w:t>
      </w:r>
      <w:r w:rsidR="001E2CCE" w:rsidRPr="006A7278">
        <w:t xml:space="preserve"> a catalyst </w:t>
      </w:r>
      <w:r w:rsidR="0061609A" w:rsidRPr="006A7278">
        <w:t>convert</w:t>
      </w:r>
      <w:r w:rsidR="001E2CCE" w:rsidRPr="006A7278">
        <w:t xml:space="preserve"> fructose and xylose </w:t>
      </w:r>
      <w:r w:rsidR="0061609A" w:rsidRPr="006A7278">
        <w:t>in</w:t>
      </w:r>
      <w:r w:rsidR="001E2CCE" w:rsidRPr="006A7278">
        <w:t>to platform molecules</w:t>
      </w:r>
      <w:r w:rsidR="00F53894" w:rsidRPr="006A7278">
        <w:t xml:space="preserve"> is </w:t>
      </w:r>
      <w:r w:rsidR="001E2CCE" w:rsidRPr="006A7278">
        <w:t>its</w:t>
      </w:r>
      <w:r w:rsidR="00F53894" w:rsidRPr="006A7278">
        <w:t xml:space="preserve"> percentage of stronger acid sites</w:t>
      </w:r>
      <w:r w:rsidR="001E2CCE" w:rsidRPr="006A7278">
        <w:t>.</w:t>
      </w:r>
    </w:p>
    <w:p w14:paraId="07C7E3D9" w14:textId="2A0D3EC7" w:rsidR="001010C0" w:rsidRPr="006A7278" w:rsidRDefault="00C13DD1" w:rsidP="001010C0">
      <w:pPr>
        <w:pStyle w:val="TAMainText"/>
        <w:spacing w:after="120"/>
        <w:ind w:firstLine="187"/>
      </w:pPr>
      <w:r w:rsidRPr="006A7278">
        <w:t xml:space="preserve">In the second part, different bifunctional catalysts were prepared by the </w:t>
      </w:r>
      <w:r w:rsidRPr="006A7278">
        <w:rPr>
          <w:rFonts w:ascii="Times New Roman" w:hAnsi="Times New Roman"/>
        </w:rPr>
        <w:t xml:space="preserve">partial ion exchange of the </w:t>
      </w:r>
      <w:r w:rsidR="005D3E1A" w:rsidRPr="006A7278">
        <w:t xml:space="preserve">Brønsted acid </w:t>
      </w:r>
      <w:r w:rsidR="005D3E1A" w:rsidRPr="006A7278">
        <w:t xml:space="preserve">sites of the CMK-8-PSA and Amb-45 with </w:t>
      </w:r>
      <w:proofErr w:type="gramStart"/>
      <w:r w:rsidR="005D3E1A" w:rsidRPr="006A7278">
        <w:rPr>
          <w:rFonts w:ascii="Times New Roman" w:hAnsi="Times New Roman"/>
        </w:rPr>
        <w:t>Al(</w:t>
      </w:r>
      <w:proofErr w:type="gramEnd"/>
      <w:r w:rsidR="005D3E1A" w:rsidRPr="006A7278">
        <w:rPr>
          <w:rFonts w:ascii="Times New Roman" w:hAnsi="Times New Roman"/>
        </w:rPr>
        <w:t xml:space="preserve">III), Sc(III), Fe(III), Cu(II), Sn(IV) and Yb(III). The preliminary catalytic studies in the conversion of glucose into HMF showed that the catalysts with the metallic cations </w:t>
      </w:r>
      <w:proofErr w:type="gramStart"/>
      <w:r w:rsidR="005D3E1A" w:rsidRPr="006A7278">
        <w:rPr>
          <w:rFonts w:ascii="Times New Roman" w:hAnsi="Times New Roman"/>
        </w:rPr>
        <w:t>Al(</w:t>
      </w:r>
      <w:proofErr w:type="gramEnd"/>
      <w:r w:rsidR="005D3E1A" w:rsidRPr="006A7278">
        <w:rPr>
          <w:rFonts w:ascii="Times New Roman" w:hAnsi="Times New Roman"/>
        </w:rPr>
        <w:t>III), Cu(II) and Yb(III) are promising Lewis acid catalysts</w:t>
      </w:r>
      <w:r w:rsidR="00E201DA" w:rsidRPr="006A7278">
        <w:rPr>
          <w:rFonts w:ascii="Times New Roman" w:hAnsi="Times New Roman"/>
        </w:rPr>
        <w:t xml:space="preserve"> for</w:t>
      </w:r>
      <w:r w:rsidR="005D3E1A" w:rsidRPr="006A7278">
        <w:rPr>
          <w:rFonts w:ascii="Times New Roman" w:hAnsi="Times New Roman"/>
        </w:rPr>
        <w:t xml:space="preserve"> producing fructose as the main product. </w:t>
      </w:r>
      <w:r w:rsidR="001010C0" w:rsidRPr="006A7278">
        <w:rPr>
          <w:rFonts w:ascii="Times New Roman" w:hAnsi="Times New Roman"/>
        </w:rPr>
        <w:t xml:space="preserve">The catalysts with </w:t>
      </w:r>
      <w:proofErr w:type="gramStart"/>
      <w:r w:rsidR="001010C0" w:rsidRPr="006A7278">
        <w:rPr>
          <w:rFonts w:ascii="Times New Roman" w:hAnsi="Times New Roman"/>
        </w:rPr>
        <w:t>Sc(</w:t>
      </w:r>
      <w:proofErr w:type="gramEnd"/>
      <w:r w:rsidR="001010C0" w:rsidRPr="006A7278">
        <w:rPr>
          <w:rFonts w:ascii="Times New Roman" w:hAnsi="Times New Roman"/>
        </w:rPr>
        <w:t xml:space="preserve">III), in turn, have active Lewis and Brønsted acid sites; however, they produced HMF in low selectivities. This problem was not observed for the catalysts with </w:t>
      </w:r>
      <w:proofErr w:type="gramStart"/>
      <w:r w:rsidR="001010C0" w:rsidRPr="006A7278">
        <w:rPr>
          <w:rFonts w:ascii="Times New Roman" w:hAnsi="Times New Roman"/>
        </w:rPr>
        <w:t>Sn(</w:t>
      </w:r>
      <w:proofErr w:type="gramEnd"/>
      <w:r w:rsidR="001010C0" w:rsidRPr="006A7278">
        <w:rPr>
          <w:rFonts w:ascii="Times New Roman" w:hAnsi="Times New Roman"/>
        </w:rPr>
        <w:t xml:space="preserve">IV), which had the best </w:t>
      </w:r>
      <w:r w:rsidR="005E45EA" w:rsidRPr="006A7278">
        <w:rPr>
          <w:rFonts w:ascii="Times New Roman" w:hAnsi="Times New Roman"/>
        </w:rPr>
        <w:t>combination of Lewis and Brønsted acid sites</w:t>
      </w:r>
      <w:r w:rsidR="001010C0" w:rsidRPr="006A7278">
        <w:t xml:space="preserve"> to produce HMF as the main product.</w:t>
      </w:r>
    </w:p>
    <w:p w14:paraId="628E3A6A" w14:textId="1FBDA4FC" w:rsidR="00744EDD" w:rsidRPr="006A7278" w:rsidRDefault="00744EDD" w:rsidP="00744EDD">
      <w:pPr>
        <w:pStyle w:val="Ttulo2"/>
        <w:rPr>
          <w:rFonts w:ascii="Helvetica" w:hAnsi="Helvetica" w:cs="Helvetica"/>
          <w:sz w:val="24"/>
          <w:szCs w:val="24"/>
          <w:lang w:val="en-US"/>
        </w:rPr>
      </w:pPr>
      <w:r w:rsidRPr="006A7278">
        <w:rPr>
          <w:rFonts w:ascii="Helvetica" w:hAnsi="Helvetica" w:cs="Helvetica"/>
          <w:sz w:val="24"/>
          <w:szCs w:val="24"/>
          <w:lang w:val="en-US"/>
        </w:rPr>
        <w:t>Acknowledgments</w:t>
      </w:r>
    </w:p>
    <w:p w14:paraId="6932E5C1" w14:textId="694F7131" w:rsidR="005432AF" w:rsidRPr="006A7278" w:rsidRDefault="00D50239" w:rsidP="00B46834">
      <w:pPr>
        <w:pStyle w:val="TAMainText"/>
        <w:ind w:firstLine="204"/>
        <w:rPr>
          <w:rFonts w:ascii="Times New Roman" w:hAnsi="Times New Roman"/>
        </w:rPr>
      </w:pPr>
      <w:r w:rsidRPr="006A7278">
        <w:rPr>
          <w:rFonts w:ascii="Times New Roman" w:hAnsi="Times New Roman"/>
        </w:rPr>
        <w:t xml:space="preserve">The authors thank </w:t>
      </w:r>
      <w:r w:rsidR="0083000D" w:rsidRPr="006A7278">
        <w:rPr>
          <w:rFonts w:ascii="Times New Roman" w:hAnsi="Times New Roman"/>
        </w:rPr>
        <w:t>São Paulo Research Foundation (</w:t>
      </w:r>
      <w:r w:rsidR="005432AF" w:rsidRPr="006A7278">
        <w:rPr>
          <w:rFonts w:ascii="Times New Roman" w:hAnsi="Times New Roman"/>
        </w:rPr>
        <w:t>FAPESP</w:t>
      </w:r>
      <w:r w:rsidR="0083000D" w:rsidRPr="006A7278">
        <w:rPr>
          <w:rFonts w:ascii="Times New Roman" w:hAnsi="Times New Roman"/>
        </w:rPr>
        <w:t xml:space="preserve"> </w:t>
      </w:r>
      <w:r w:rsidR="005432AF" w:rsidRPr="006A7278">
        <w:rPr>
          <w:rFonts w:ascii="Times New Roman" w:hAnsi="Times New Roman"/>
        </w:rPr>
        <w:t>grants: 2016/02128-2, 2019/02132-8, and 2020/04109-0</w:t>
      </w:r>
      <w:r w:rsidRPr="006A7278">
        <w:rPr>
          <w:rFonts w:ascii="Times New Roman" w:hAnsi="Times New Roman"/>
        </w:rPr>
        <w:t>)</w:t>
      </w:r>
      <w:r w:rsidR="005432AF" w:rsidRPr="006A7278">
        <w:rPr>
          <w:rFonts w:ascii="Times New Roman" w:hAnsi="Times New Roman"/>
        </w:rPr>
        <w:t>.</w:t>
      </w:r>
    </w:p>
    <w:p w14:paraId="7008CC76" w14:textId="4E211DD8" w:rsidR="00744EDD" w:rsidRPr="006A7278" w:rsidRDefault="00744EDD" w:rsidP="00744EDD">
      <w:pPr>
        <w:pStyle w:val="Ttulo2"/>
        <w:rPr>
          <w:rFonts w:ascii="Helvetica" w:hAnsi="Helvetica" w:cs="Helvetica"/>
          <w:sz w:val="24"/>
          <w:szCs w:val="24"/>
          <w:lang w:val="en-US"/>
        </w:rPr>
      </w:pPr>
      <w:r w:rsidRPr="006A7278">
        <w:rPr>
          <w:rFonts w:ascii="Helvetica" w:hAnsi="Helvetica" w:cs="Helvetica"/>
          <w:sz w:val="24"/>
          <w:szCs w:val="24"/>
          <w:lang w:val="en-US"/>
        </w:rPr>
        <w:t>References</w:t>
      </w:r>
    </w:p>
    <w:p w14:paraId="60687624" w14:textId="7C27340C" w:rsidR="00562D7D" w:rsidRPr="003314AD" w:rsidRDefault="00C844CD" w:rsidP="00562D7D">
      <w:pPr>
        <w:widowControl w:val="0"/>
        <w:autoSpaceDE w:val="0"/>
        <w:autoSpaceDN w:val="0"/>
        <w:adjustRightInd w:val="0"/>
        <w:spacing w:after="0" w:line="240" w:lineRule="exact"/>
        <w:ind w:left="640" w:hanging="640"/>
        <w:jc w:val="both"/>
        <w:rPr>
          <w:rFonts w:ascii="Times New Roman" w:hAnsi="Times New Roman" w:cs="Times New Roman"/>
          <w:noProof/>
          <w:sz w:val="20"/>
          <w:szCs w:val="24"/>
          <w:lang w:val="en-US"/>
        </w:rPr>
      </w:pPr>
      <w:r w:rsidRPr="006A7278">
        <w:rPr>
          <w:rFonts w:ascii="Times New Roman" w:hAnsi="Times New Roman"/>
        </w:rPr>
        <w:fldChar w:fldCharType="begin" w:fldLock="1"/>
      </w:r>
      <w:r w:rsidRPr="006A7278">
        <w:rPr>
          <w:rFonts w:ascii="Times New Roman" w:hAnsi="Times New Roman"/>
          <w:lang w:val="en-US"/>
        </w:rPr>
        <w:instrText xml:space="preserve">ADDIN Mendeley Bibliography CSL_BIBLIOGRAPHY </w:instrText>
      </w:r>
      <w:r w:rsidRPr="006A7278">
        <w:rPr>
          <w:rFonts w:ascii="Times New Roman" w:hAnsi="Times New Roman"/>
        </w:rPr>
        <w:fldChar w:fldCharType="separate"/>
      </w:r>
      <w:r w:rsidR="00562D7D" w:rsidRPr="003314AD">
        <w:rPr>
          <w:rFonts w:ascii="Times New Roman" w:hAnsi="Times New Roman" w:cs="Times New Roman"/>
          <w:noProof/>
          <w:sz w:val="20"/>
          <w:szCs w:val="24"/>
          <w:lang w:val="en-US"/>
        </w:rPr>
        <w:t>1.</w:t>
      </w:r>
      <w:r w:rsidR="00562D7D" w:rsidRPr="003314AD">
        <w:rPr>
          <w:rFonts w:ascii="Times New Roman" w:hAnsi="Times New Roman" w:cs="Times New Roman"/>
          <w:noProof/>
          <w:sz w:val="20"/>
          <w:szCs w:val="24"/>
          <w:lang w:val="en-US"/>
        </w:rPr>
        <w:tab/>
        <w:t xml:space="preserve">J.M.R. Gallo, M.A. Trapp, </w:t>
      </w:r>
      <w:r w:rsidR="00562D7D" w:rsidRPr="003314AD">
        <w:rPr>
          <w:rFonts w:ascii="Times New Roman" w:hAnsi="Times New Roman" w:cs="Times New Roman"/>
          <w:i/>
          <w:iCs/>
          <w:noProof/>
          <w:sz w:val="20"/>
          <w:szCs w:val="24"/>
          <w:lang w:val="en-US"/>
        </w:rPr>
        <w:t>J. Braz. Chem. Soc.</w:t>
      </w:r>
      <w:r w:rsidR="00562D7D" w:rsidRPr="003314AD">
        <w:rPr>
          <w:rFonts w:ascii="Times New Roman" w:hAnsi="Times New Roman" w:cs="Times New Roman"/>
          <w:noProof/>
          <w:sz w:val="20"/>
          <w:szCs w:val="24"/>
          <w:lang w:val="en-US"/>
        </w:rPr>
        <w:t xml:space="preserve"> </w:t>
      </w:r>
      <w:r w:rsidR="00562D7D" w:rsidRPr="003314AD">
        <w:rPr>
          <w:rFonts w:ascii="Times New Roman" w:hAnsi="Times New Roman" w:cs="Times New Roman"/>
          <w:i/>
          <w:iCs/>
          <w:noProof/>
          <w:sz w:val="20"/>
          <w:szCs w:val="24"/>
          <w:lang w:val="en-US"/>
        </w:rPr>
        <w:t>28</w:t>
      </w:r>
      <w:r w:rsidR="00562D7D" w:rsidRPr="003314AD">
        <w:rPr>
          <w:rFonts w:ascii="Times New Roman" w:hAnsi="Times New Roman" w:cs="Times New Roman"/>
          <w:noProof/>
          <w:sz w:val="20"/>
          <w:szCs w:val="24"/>
          <w:lang w:val="en-US"/>
        </w:rPr>
        <w:t xml:space="preserve"> (</w:t>
      </w:r>
      <w:r w:rsidR="00562D7D" w:rsidRPr="003314AD">
        <w:rPr>
          <w:rFonts w:ascii="Times New Roman" w:hAnsi="Times New Roman" w:cs="Times New Roman"/>
          <w:b/>
          <w:bCs/>
          <w:noProof/>
          <w:sz w:val="20"/>
          <w:szCs w:val="24"/>
          <w:lang w:val="en-US"/>
        </w:rPr>
        <w:t>2017</w:t>
      </w:r>
      <w:r w:rsidR="00562D7D" w:rsidRPr="003314AD">
        <w:rPr>
          <w:rFonts w:ascii="Times New Roman" w:hAnsi="Times New Roman" w:cs="Times New Roman"/>
          <w:noProof/>
          <w:sz w:val="20"/>
          <w:szCs w:val="24"/>
          <w:lang w:val="en-US"/>
        </w:rPr>
        <w:t>) 1586–1607.</w:t>
      </w:r>
    </w:p>
    <w:p w14:paraId="228937D2" w14:textId="77777777" w:rsidR="00562D7D" w:rsidRPr="003314AD" w:rsidRDefault="00562D7D" w:rsidP="00562D7D">
      <w:pPr>
        <w:widowControl w:val="0"/>
        <w:autoSpaceDE w:val="0"/>
        <w:autoSpaceDN w:val="0"/>
        <w:adjustRightInd w:val="0"/>
        <w:spacing w:after="0" w:line="240" w:lineRule="exact"/>
        <w:ind w:left="640" w:hanging="640"/>
        <w:jc w:val="both"/>
        <w:rPr>
          <w:rFonts w:ascii="Times New Roman" w:hAnsi="Times New Roman" w:cs="Times New Roman"/>
          <w:noProof/>
          <w:sz w:val="20"/>
          <w:szCs w:val="24"/>
          <w:lang w:val="en-US"/>
        </w:rPr>
      </w:pPr>
      <w:r w:rsidRPr="003314AD">
        <w:rPr>
          <w:rFonts w:ascii="Times New Roman" w:hAnsi="Times New Roman" w:cs="Times New Roman"/>
          <w:noProof/>
          <w:sz w:val="20"/>
          <w:szCs w:val="24"/>
          <w:lang w:val="en-US"/>
        </w:rPr>
        <w:t>2.</w:t>
      </w:r>
      <w:r w:rsidRPr="003314AD">
        <w:rPr>
          <w:rFonts w:ascii="Times New Roman" w:hAnsi="Times New Roman" w:cs="Times New Roman"/>
          <w:noProof/>
          <w:sz w:val="20"/>
          <w:szCs w:val="24"/>
          <w:lang w:val="en-US"/>
        </w:rPr>
        <w:tab/>
        <w:t xml:space="preserve">P. Zhou, Z. Zhang, </w:t>
      </w:r>
      <w:r w:rsidRPr="003314AD">
        <w:rPr>
          <w:rFonts w:ascii="Times New Roman" w:hAnsi="Times New Roman" w:cs="Times New Roman"/>
          <w:i/>
          <w:iCs/>
          <w:noProof/>
          <w:sz w:val="20"/>
          <w:szCs w:val="24"/>
          <w:lang w:val="en-US"/>
        </w:rPr>
        <w:t>Catal. Sci. Technol.</w:t>
      </w:r>
      <w:r w:rsidRPr="003314AD">
        <w:rPr>
          <w:rFonts w:ascii="Times New Roman" w:hAnsi="Times New Roman" w:cs="Times New Roman"/>
          <w:noProof/>
          <w:sz w:val="20"/>
          <w:szCs w:val="24"/>
          <w:lang w:val="en-US"/>
        </w:rPr>
        <w:t xml:space="preserve"> </w:t>
      </w:r>
      <w:r w:rsidRPr="003314AD">
        <w:rPr>
          <w:rFonts w:ascii="Times New Roman" w:hAnsi="Times New Roman" w:cs="Times New Roman"/>
          <w:i/>
          <w:iCs/>
          <w:noProof/>
          <w:sz w:val="20"/>
          <w:szCs w:val="24"/>
          <w:lang w:val="en-US"/>
        </w:rPr>
        <w:t>6</w:t>
      </w:r>
      <w:r w:rsidRPr="003314AD">
        <w:rPr>
          <w:rFonts w:ascii="Times New Roman" w:hAnsi="Times New Roman" w:cs="Times New Roman"/>
          <w:noProof/>
          <w:sz w:val="20"/>
          <w:szCs w:val="24"/>
          <w:lang w:val="en-US"/>
        </w:rPr>
        <w:t xml:space="preserve"> (</w:t>
      </w:r>
      <w:r w:rsidRPr="003314AD">
        <w:rPr>
          <w:rFonts w:ascii="Times New Roman" w:hAnsi="Times New Roman" w:cs="Times New Roman"/>
          <w:b/>
          <w:bCs/>
          <w:noProof/>
          <w:sz w:val="20"/>
          <w:szCs w:val="24"/>
          <w:lang w:val="en-US"/>
        </w:rPr>
        <w:t>2016</w:t>
      </w:r>
      <w:r w:rsidRPr="003314AD">
        <w:rPr>
          <w:rFonts w:ascii="Times New Roman" w:hAnsi="Times New Roman" w:cs="Times New Roman"/>
          <w:noProof/>
          <w:sz w:val="20"/>
          <w:szCs w:val="24"/>
          <w:lang w:val="en-US"/>
        </w:rPr>
        <w:t>) 3694–3712.</w:t>
      </w:r>
    </w:p>
    <w:p w14:paraId="052F269E" w14:textId="77777777" w:rsidR="00562D7D" w:rsidRPr="003314AD" w:rsidRDefault="00562D7D" w:rsidP="00562D7D">
      <w:pPr>
        <w:widowControl w:val="0"/>
        <w:autoSpaceDE w:val="0"/>
        <w:autoSpaceDN w:val="0"/>
        <w:adjustRightInd w:val="0"/>
        <w:spacing w:after="0" w:line="240" w:lineRule="exact"/>
        <w:ind w:left="640" w:hanging="640"/>
        <w:jc w:val="both"/>
        <w:rPr>
          <w:rFonts w:ascii="Times New Roman" w:hAnsi="Times New Roman" w:cs="Times New Roman"/>
          <w:noProof/>
          <w:sz w:val="20"/>
          <w:szCs w:val="24"/>
          <w:lang w:val="en-US"/>
        </w:rPr>
      </w:pPr>
      <w:r w:rsidRPr="003314AD">
        <w:rPr>
          <w:rFonts w:ascii="Times New Roman" w:hAnsi="Times New Roman" w:cs="Times New Roman"/>
          <w:noProof/>
          <w:sz w:val="20"/>
          <w:szCs w:val="24"/>
          <w:lang w:val="en-US"/>
        </w:rPr>
        <w:t>3.</w:t>
      </w:r>
      <w:r w:rsidRPr="003314AD">
        <w:rPr>
          <w:rFonts w:ascii="Times New Roman" w:hAnsi="Times New Roman" w:cs="Times New Roman"/>
          <w:noProof/>
          <w:sz w:val="20"/>
          <w:szCs w:val="24"/>
          <w:lang w:val="en-US"/>
        </w:rPr>
        <w:tab/>
        <w:t xml:space="preserve">B. Chang, J. Fu, Y. Tian, X. Dong, </w:t>
      </w:r>
      <w:r w:rsidRPr="003314AD">
        <w:rPr>
          <w:rFonts w:ascii="Times New Roman" w:hAnsi="Times New Roman" w:cs="Times New Roman"/>
          <w:i/>
          <w:iCs/>
          <w:noProof/>
          <w:sz w:val="20"/>
          <w:szCs w:val="24"/>
          <w:lang w:val="en-US"/>
        </w:rPr>
        <w:t>J. Phys. Chem. C</w:t>
      </w:r>
      <w:r w:rsidRPr="003314AD">
        <w:rPr>
          <w:rFonts w:ascii="Times New Roman" w:hAnsi="Times New Roman" w:cs="Times New Roman"/>
          <w:noProof/>
          <w:sz w:val="20"/>
          <w:szCs w:val="24"/>
          <w:lang w:val="en-US"/>
        </w:rPr>
        <w:t xml:space="preserve"> </w:t>
      </w:r>
      <w:r w:rsidRPr="003314AD">
        <w:rPr>
          <w:rFonts w:ascii="Times New Roman" w:hAnsi="Times New Roman" w:cs="Times New Roman"/>
          <w:i/>
          <w:iCs/>
          <w:noProof/>
          <w:sz w:val="20"/>
          <w:szCs w:val="24"/>
          <w:lang w:val="en-US"/>
        </w:rPr>
        <w:t>117</w:t>
      </w:r>
      <w:r w:rsidRPr="003314AD">
        <w:rPr>
          <w:rFonts w:ascii="Times New Roman" w:hAnsi="Times New Roman" w:cs="Times New Roman"/>
          <w:noProof/>
          <w:sz w:val="20"/>
          <w:szCs w:val="24"/>
          <w:lang w:val="en-US"/>
        </w:rPr>
        <w:t xml:space="preserve"> (</w:t>
      </w:r>
      <w:r w:rsidRPr="003314AD">
        <w:rPr>
          <w:rFonts w:ascii="Times New Roman" w:hAnsi="Times New Roman" w:cs="Times New Roman"/>
          <w:b/>
          <w:bCs/>
          <w:noProof/>
          <w:sz w:val="20"/>
          <w:szCs w:val="24"/>
          <w:lang w:val="en-US"/>
        </w:rPr>
        <w:t>2013</w:t>
      </w:r>
      <w:r w:rsidRPr="003314AD">
        <w:rPr>
          <w:rFonts w:ascii="Times New Roman" w:hAnsi="Times New Roman" w:cs="Times New Roman"/>
          <w:noProof/>
          <w:sz w:val="20"/>
          <w:szCs w:val="24"/>
          <w:lang w:val="en-US"/>
        </w:rPr>
        <w:t>) 6252–6258.</w:t>
      </w:r>
    </w:p>
    <w:p w14:paraId="7CE93F21" w14:textId="77777777" w:rsidR="00562D7D" w:rsidRPr="006A7278" w:rsidRDefault="00562D7D" w:rsidP="00562D7D">
      <w:pPr>
        <w:widowControl w:val="0"/>
        <w:autoSpaceDE w:val="0"/>
        <w:autoSpaceDN w:val="0"/>
        <w:adjustRightInd w:val="0"/>
        <w:spacing w:after="0" w:line="240" w:lineRule="exact"/>
        <w:ind w:left="640" w:hanging="640"/>
        <w:jc w:val="both"/>
        <w:rPr>
          <w:rFonts w:ascii="Times New Roman" w:hAnsi="Times New Roman" w:cs="Times New Roman"/>
          <w:noProof/>
          <w:sz w:val="20"/>
          <w:szCs w:val="24"/>
        </w:rPr>
      </w:pPr>
      <w:r w:rsidRPr="003314AD">
        <w:rPr>
          <w:rFonts w:ascii="Times New Roman" w:hAnsi="Times New Roman" w:cs="Times New Roman"/>
          <w:noProof/>
          <w:sz w:val="20"/>
          <w:szCs w:val="24"/>
          <w:lang w:val="en-US"/>
        </w:rPr>
        <w:t>4.</w:t>
      </w:r>
      <w:r w:rsidRPr="003314AD">
        <w:rPr>
          <w:rFonts w:ascii="Times New Roman" w:hAnsi="Times New Roman" w:cs="Times New Roman"/>
          <w:noProof/>
          <w:sz w:val="20"/>
          <w:szCs w:val="24"/>
          <w:lang w:val="en-US"/>
        </w:rPr>
        <w:tab/>
        <w:t xml:space="preserve">L. Geng, G. Yu, Y. Wang, Y. Zhu, </w:t>
      </w:r>
      <w:r w:rsidRPr="003314AD">
        <w:rPr>
          <w:rFonts w:ascii="Times New Roman" w:hAnsi="Times New Roman" w:cs="Times New Roman"/>
          <w:i/>
          <w:iCs/>
          <w:noProof/>
          <w:sz w:val="20"/>
          <w:szCs w:val="24"/>
          <w:lang w:val="en-US"/>
        </w:rPr>
        <w:t xml:space="preserve">Appl. </w:t>
      </w:r>
      <w:r w:rsidRPr="006A7278">
        <w:rPr>
          <w:rFonts w:ascii="Times New Roman" w:hAnsi="Times New Roman" w:cs="Times New Roman"/>
          <w:i/>
          <w:iCs/>
          <w:noProof/>
          <w:sz w:val="20"/>
          <w:szCs w:val="24"/>
        </w:rPr>
        <w:t>Catal. A Gen.</w:t>
      </w:r>
      <w:r w:rsidRPr="006A7278">
        <w:rPr>
          <w:rFonts w:ascii="Times New Roman" w:hAnsi="Times New Roman" w:cs="Times New Roman"/>
          <w:noProof/>
          <w:sz w:val="20"/>
          <w:szCs w:val="24"/>
        </w:rPr>
        <w:t xml:space="preserve"> </w:t>
      </w:r>
      <w:r w:rsidRPr="006A7278">
        <w:rPr>
          <w:rFonts w:ascii="Times New Roman" w:hAnsi="Times New Roman" w:cs="Times New Roman"/>
          <w:i/>
          <w:iCs/>
          <w:noProof/>
          <w:sz w:val="20"/>
          <w:szCs w:val="24"/>
        </w:rPr>
        <w:t>427</w:t>
      </w:r>
      <w:r w:rsidRPr="006A7278">
        <w:rPr>
          <w:rFonts w:ascii="Times New Roman" w:hAnsi="Times New Roman" w:cs="Times New Roman"/>
          <w:noProof/>
          <w:sz w:val="20"/>
          <w:szCs w:val="24"/>
        </w:rPr>
        <w:t>–</w:t>
      </w:r>
      <w:r w:rsidRPr="006A7278">
        <w:rPr>
          <w:rFonts w:ascii="Times New Roman" w:hAnsi="Times New Roman" w:cs="Times New Roman"/>
          <w:i/>
          <w:iCs/>
          <w:noProof/>
          <w:sz w:val="20"/>
          <w:szCs w:val="24"/>
        </w:rPr>
        <w:t>428</w:t>
      </w:r>
      <w:r w:rsidRPr="006A7278">
        <w:rPr>
          <w:rFonts w:ascii="Times New Roman" w:hAnsi="Times New Roman" w:cs="Times New Roman"/>
          <w:noProof/>
          <w:sz w:val="20"/>
          <w:szCs w:val="24"/>
        </w:rPr>
        <w:t xml:space="preserve"> (</w:t>
      </w:r>
      <w:r w:rsidRPr="006A7278">
        <w:rPr>
          <w:rFonts w:ascii="Times New Roman" w:hAnsi="Times New Roman" w:cs="Times New Roman"/>
          <w:b/>
          <w:bCs/>
          <w:noProof/>
          <w:sz w:val="20"/>
          <w:szCs w:val="24"/>
        </w:rPr>
        <w:t>2012</w:t>
      </w:r>
      <w:r w:rsidRPr="006A7278">
        <w:rPr>
          <w:rFonts w:ascii="Times New Roman" w:hAnsi="Times New Roman" w:cs="Times New Roman"/>
          <w:noProof/>
          <w:sz w:val="20"/>
          <w:szCs w:val="24"/>
        </w:rPr>
        <w:t>) 137–144.</w:t>
      </w:r>
    </w:p>
    <w:p w14:paraId="1B27DCFC" w14:textId="77777777" w:rsidR="00562D7D" w:rsidRPr="006A7278" w:rsidRDefault="00562D7D" w:rsidP="00562D7D">
      <w:pPr>
        <w:widowControl w:val="0"/>
        <w:autoSpaceDE w:val="0"/>
        <w:autoSpaceDN w:val="0"/>
        <w:adjustRightInd w:val="0"/>
        <w:spacing w:after="0" w:line="240" w:lineRule="exact"/>
        <w:ind w:left="640" w:hanging="640"/>
        <w:jc w:val="both"/>
        <w:rPr>
          <w:rFonts w:ascii="Times New Roman" w:hAnsi="Times New Roman" w:cs="Times New Roman"/>
          <w:noProof/>
          <w:sz w:val="20"/>
          <w:szCs w:val="24"/>
        </w:rPr>
      </w:pPr>
      <w:r w:rsidRPr="006A7278">
        <w:rPr>
          <w:rFonts w:ascii="Times New Roman" w:hAnsi="Times New Roman" w:cs="Times New Roman"/>
          <w:noProof/>
          <w:sz w:val="20"/>
          <w:szCs w:val="24"/>
        </w:rPr>
        <w:t>5.</w:t>
      </w:r>
      <w:r w:rsidRPr="006A7278">
        <w:rPr>
          <w:rFonts w:ascii="Times New Roman" w:hAnsi="Times New Roman" w:cs="Times New Roman"/>
          <w:noProof/>
          <w:sz w:val="20"/>
          <w:szCs w:val="24"/>
        </w:rPr>
        <w:tab/>
        <w:t xml:space="preserve">J.L. Vieira, G. Paul, G.D. Iga, N.M. Cabral, J.M.C. Bueno, C. Bisio, J.M.R. Gallo, </w:t>
      </w:r>
      <w:r w:rsidRPr="006A7278">
        <w:rPr>
          <w:rFonts w:ascii="Times New Roman" w:hAnsi="Times New Roman" w:cs="Times New Roman"/>
          <w:i/>
          <w:iCs/>
          <w:noProof/>
          <w:sz w:val="20"/>
          <w:szCs w:val="24"/>
        </w:rPr>
        <w:t>Appl. Catal. A Gen.</w:t>
      </w:r>
      <w:r w:rsidRPr="006A7278">
        <w:rPr>
          <w:rFonts w:ascii="Times New Roman" w:hAnsi="Times New Roman" w:cs="Times New Roman"/>
          <w:noProof/>
          <w:sz w:val="20"/>
          <w:szCs w:val="24"/>
        </w:rPr>
        <w:t xml:space="preserve"> </w:t>
      </w:r>
      <w:r w:rsidRPr="006A7278">
        <w:rPr>
          <w:rFonts w:ascii="Times New Roman" w:hAnsi="Times New Roman" w:cs="Times New Roman"/>
          <w:i/>
          <w:iCs/>
          <w:noProof/>
          <w:sz w:val="20"/>
          <w:szCs w:val="24"/>
        </w:rPr>
        <w:t>617</w:t>
      </w:r>
      <w:r w:rsidRPr="006A7278">
        <w:rPr>
          <w:rFonts w:ascii="Times New Roman" w:hAnsi="Times New Roman" w:cs="Times New Roman"/>
          <w:noProof/>
          <w:sz w:val="20"/>
          <w:szCs w:val="24"/>
        </w:rPr>
        <w:t xml:space="preserve"> (</w:t>
      </w:r>
      <w:r w:rsidRPr="006A7278">
        <w:rPr>
          <w:rFonts w:ascii="Times New Roman" w:hAnsi="Times New Roman" w:cs="Times New Roman"/>
          <w:b/>
          <w:bCs/>
          <w:noProof/>
          <w:sz w:val="20"/>
          <w:szCs w:val="24"/>
        </w:rPr>
        <w:t>2021</w:t>
      </w:r>
      <w:r w:rsidRPr="006A7278">
        <w:rPr>
          <w:rFonts w:ascii="Times New Roman" w:hAnsi="Times New Roman" w:cs="Times New Roman"/>
          <w:noProof/>
          <w:sz w:val="20"/>
          <w:szCs w:val="24"/>
        </w:rPr>
        <w:t>) 1–16.</w:t>
      </w:r>
    </w:p>
    <w:p w14:paraId="63557D19" w14:textId="77777777" w:rsidR="00562D7D" w:rsidRPr="006A7278" w:rsidRDefault="00562D7D" w:rsidP="00562D7D">
      <w:pPr>
        <w:widowControl w:val="0"/>
        <w:autoSpaceDE w:val="0"/>
        <w:autoSpaceDN w:val="0"/>
        <w:adjustRightInd w:val="0"/>
        <w:spacing w:after="0" w:line="240" w:lineRule="exact"/>
        <w:ind w:left="640" w:hanging="640"/>
        <w:jc w:val="both"/>
        <w:rPr>
          <w:rFonts w:ascii="Times New Roman" w:hAnsi="Times New Roman" w:cs="Times New Roman"/>
          <w:noProof/>
          <w:sz w:val="20"/>
          <w:szCs w:val="24"/>
        </w:rPr>
      </w:pPr>
      <w:r w:rsidRPr="006A7278">
        <w:rPr>
          <w:rFonts w:ascii="Times New Roman" w:hAnsi="Times New Roman" w:cs="Times New Roman"/>
          <w:noProof/>
          <w:sz w:val="20"/>
          <w:szCs w:val="24"/>
        </w:rPr>
        <w:t>6.</w:t>
      </w:r>
      <w:r w:rsidRPr="006A7278">
        <w:rPr>
          <w:rFonts w:ascii="Times New Roman" w:hAnsi="Times New Roman" w:cs="Times New Roman"/>
          <w:noProof/>
          <w:sz w:val="20"/>
          <w:szCs w:val="24"/>
        </w:rPr>
        <w:tab/>
        <w:t xml:space="preserve">S. Xu, C. Yin, D. Pan, F. Hu, Y. Wu, Y. Miao, L. Gao, G. Xiao, </w:t>
      </w:r>
      <w:r w:rsidRPr="006A7278">
        <w:rPr>
          <w:rFonts w:ascii="Times New Roman" w:hAnsi="Times New Roman" w:cs="Times New Roman"/>
          <w:i/>
          <w:iCs/>
          <w:noProof/>
          <w:sz w:val="20"/>
          <w:szCs w:val="24"/>
        </w:rPr>
        <w:t>Sustain. Energy Fuels</w:t>
      </w:r>
      <w:r w:rsidRPr="006A7278">
        <w:rPr>
          <w:rFonts w:ascii="Times New Roman" w:hAnsi="Times New Roman" w:cs="Times New Roman"/>
          <w:noProof/>
          <w:sz w:val="20"/>
          <w:szCs w:val="24"/>
        </w:rPr>
        <w:t xml:space="preserve"> </w:t>
      </w:r>
      <w:r w:rsidRPr="006A7278">
        <w:rPr>
          <w:rFonts w:ascii="Times New Roman" w:hAnsi="Times New Roman" w:cs="Times New Roman"/>
          <w:i/>
          <w:iCs/>
          <w:noProof/>
          <w:sz w:val="20"/>
          <w:szCs w:val="24"/>
        </w:rPr>
        <w:t>3</w:t>
      </w:r>
      <w:r w:rsidRPr="006A7278">
        <w:rPr>
          <w:rFonts w:ascii="Times New Roman" w:hAnsi="Times New Roman" w:cs="Times New Roman"/>
          <w:noProof/>
          <w:sz w:val="20"/>
          <w:szCs w:val="24"/>
        </w:rPr>
        <w:t xml:space="preserve"> (</w:t>
      </w:r>
      <w:r w:rsidRPr="006A7278">
        <w:rPr>
          <w:rFonts w:ascii="Times New Roman" w:hAnsi="Times New Roman" w:cs="Times New Roman"/>
          <w:b/>
          <w:bCs/>
          <w:noProof/>
          <w:sz w:val="20"/>
          <w:szCs w:val="24"/>
        </w:rPr>
        <w:t>2019</w:t>
      </w:r>
      <w:r w:rsidRPr="006A7278">
        <w:rPr>
          <w:rFonts w:ascii="Times New Roman" w:hAnsi="Times New Roman" w:cs="Times New Roman"/>
          <w:noProof/>
          <w:sz w:val="20"/>
          <w:szCs w:val="24"/>
        </w:rPr>
        <w:t>) 390–395.</w:t>
      </w:r>
    </w:p>
    <w:p w14:paraId="61AD01D8" w14:textId="77777777" w:rsidR="00562D7D" w:rsidRPr="006A7278" w:rsidRDefault="00562D7D" w:rsidP="00562D7D">
      <w:pPr>
        <w:widowControl w:val="0"/>
        <w:autoSpaceDE w:val="0"/>
        <w:autoSpaceDN w:val="0"/>
        <w:adjustRightInd w:val="0"/>
        <w:spacing w:after="0" w:line="240" w:lineRule="exact"/>
        <w:ind w:left="640" w:hanging="640"/>
        <w:jc w:val="both"/>
        <w:rPr>
          <w:rFonts w:ascii="Times New Roman" w:hAnsi="Times New Roman" w:cs="Times New Roman"/>
          <w:noProof/>
          <w:sz w:val="20"/>
          <w:szCs w:val="24"/>
        </w:rPr>
      </w:pPr>
      <w:r w:rsidRPr="006A7278">
        <w:rPr>
          <w:rFonts w:ascii="Times New Roman" w:hAnsi="Times New Roman" w:cs="Times New Roman"/>
          <w:noProof/>
          <w:sz w:val="20"/>
          <w:szCs w:val="24"/>
        </w:rPr>
        <w:t>7.</w:t>
      </w:r>
      <w:r w:rsidRPr="006A7278">
        <w:rPr>
          <w:rFonts w:ascii="Times New Roman" w:hAnsi="Times New Roman" w:cs="Times New Roman"/>
          <w:noProof/>
          <w:sz w:val="20"/>
          <w:szCs w:val="24"/>
        </w:rPr>
        <w:tab/>
        <w:t xml:space="preserve">J. Pimenta Lorenti, E. Scolari, N.M. Cabral, C. Bisio, J.M.R. Gallo, </w:t>
      </w:r>
      <w:r w:rsidRPr="006A7278">
        <w:rPr>
          <w:rFonts w:ascii="Times New Roman" w:hAnsi="Times New Roman" w:cs="Times New Roman"/>
          <w:i/>
          <w:iCs/>
          <w:noProof/>
          <w:sz w:val="20"/>
          <w:szCs w:val="24"/>
        </w:rPr>
        <w:t>Ind. Eng. Chem. Res.</w:t>
      </w:r>
      <w:r w:rsidRPr="006A7278">
        <w:rPr>
          <w:rFonts w:ascii="Times New Roman" w:hAnsi="Times New Roman" w:cs="Times New Roman"/>
          <w:noProof/>
          <w:sz w:val="20"/>
          <w:szCs w:val="24"/>
        </w:rPr>
        <w:t xml:space="preserve"> </w:t>
      </w:r>
      <w:r w:rsidRPr="006A7278">
        <w:rPr>
          <w:rFonts w:ascii="Times New Roman" w:hAnsi="Times New Roman" w:cs="Times New Roman"/>
          <w:i/>
          <w:iCs/>
          <w:noProof/>
          <w:sz w:val="20"/>
          <w:szCs w:val="24"/>
        </w:rPr>
        <w:t>60</w:t>
      </w:r>
      <w:r w:rsidRPr="006A7278">
        <w:rPr>
          <w:rFonts w:ascii="Times New Roman" w:hAnsi="Times New Roman" w:cs="Times New Roman"/>
          <w:noProof/>
          <w:sz w:val="20"/>
          <w:szCs w:val="24"/>
        </w:rPr>
        <w:t xml:space="preserve"> (</w:t>
      </w:r>
      <w:r w:rsidRPr="006A7278">
        <w:rPr>
          <w:rFonts w:ascii="Times New Roman" w:hAnsi="Times New Roman" w:cs="Times New Roman"/>
          <w:b/>
          <w:bCs/>
          <w:noProof/>
          <w:sz w:val="20"/>
          <w:szCs w:val="24"/>
        </w:rPr>
        <w:t>2021</w:t>
      </w:r>
      <w:r w:rsidRPr="006A7278">
        <w:rPr>
          <w:rFonts w:ascii="Times New Roman" w:hAnsi="Times New Roman" w:cs="Times New Roman"/>
          <w:noProof/>
          <w:sz w:val="20"/>
          <w:szCs w:val="24"/>
        </w:rPr>
        <w:t>) 12821–12833.</w:t>
      </w:r>
    </w:p>
    <w:p w14:paraId="452CAC89" w14:textId="77777777" w:rsidR="00562D7D" w:rsidRPr="003314AD" w:rsidRDefault="00562D7D" w:rsidP="00562D7D">
      <w:pPr>
        <w:widowControl w:val="0"/>
        <w:autoSpaceDE w:val="0"/>
        <w:autoSpaceDN w:val="0"/>
        <w:adjustRightInd w:val="0"/>
        <w:spacing w:after="0" w:line="240" w:lineRule="exact"/>
        <w:ind w:left="640" w:hanging="640"/>
        <w:jc w:val="both"/>
        <w:rPr>
          <w:rFonts w:ascii="Times New Roman" w:hAnsi="Times New Roman" w:cs="Times New Roman"/>
          <w:noProof/>
          <w:sz w:val="20"/>
          <w:szCs w:val="24"/>
          <w:lang w:val="en-US"/>
        </w:rPr>
      </w:pPr>
      <w:r w:rsidRPr="006A7278">
        <w:rPr>
          <w:rFonts w:ascii="Times New Roman" w:hAnsi="Times New Roman" w:cs="Times New Roman"/>
          <w:noProof/>
          <w:sz w:val="20"/>
          <w:szCs w:val="24"/>
        </w:rPr>
        <w:t>8.</w:t>
      </w:r>
      <w:r w:rsidRPr="006A7278">
        <w:rPr>
          <w:rFonts w:ascii="Times New Roman" w:hAnsi="Times New Roman" w:cs="Times New Roman"/>
          <w:noProof/>
          <w:sz w:val="20"/>
          <w:szCs w:val="24"/>
        </w:rPr>
        <w:tab/>
        <w:t xml:space="preserve">J. Liu, B.B. Yang, X.Q. Wang, C.L. Liu, R.Z. Yang, W.S. Dong, </w:t>
      </w:r>
      <w:r w:rsidRPr="006A7278">
        <w:rPr>
          <w:rFonts w:ascii="Times New Roman" w:hAnsi="Times New Roman" w:cs="Times New Roman"/>
          <w:i/>
          <w:iCs/>
          <w:noProof/>
          <w:sz w:val="20"/>
          <w:szCs w:val="24"/>
        </w:rPr>
        <w:t xml:space="preserve">Appl. </w:t>
      </w:r>
      <w:r w:rsidRPr="003314AD">
        <w:rPr>
          <w:rFonts w:ascii="Times New Roman" w:hAnsi="Times New Roman" w:cs="Times New Roman"/>
          <w:i/>
          <w:iCs/>
          <w:noProof/>
          <w:sz w:val="20"/>
          <w:szCs w:val="24"/>
          <w:lang w:val="en-US"/>
        </w:rPr>
        <w:t>Clay Sci.</w:t>
      </w:r>
      <w:r w:rsidRPr="003314AD">
        <w:rPr>
          <w:rFonts w:ascii="Times New Roman" w:hAnsi="Times New Roman" w:cs="Times New Roman"/>
          <w:noProof/>
          <w:sz w:val="20"/>
          <w:szCs w:val="24"/>
          <w:lang w:val="en-US"/>
        </w:rPr>
        <w:t xml:space="preserve"> </w:t>
      </w:r>
      <w:r w:rsidRPr="003314AD">
        <w:rPr>
          <w:rFonts w:ascii="Times New Roman" w:hAnsi="Times New Roman" w:cs="Times New Roman"/>
          <w:i/>
          <w:iCs/>
          <w:noProof/>
          <w:sz w:val="20"/>
          <w:szCs w:val="24"/>
          <w:lang w:val="en-US"/>
        </w:rPr>
        <w:t>141</w:t>
      </w:r>
      <w:r w:rsidRPr="003314AD">
        <w:rPr>
          <w:rFonts w:ascii="Times New Roman" w:hAnsi="Times New Roman" w:cs="Times New Roman"/>
          <w:noProof/>
          <w:sz w:val="20"/>
          <w:szCs w:val="24"/>
          <w:lang w:val="en-US"/>
        </w:rPr>
        <w:t xml:space="preserve"> (</w:t>
      </w:r>
      <w:r w:rsidRPr="003314AD">
        <w:rPr>
          <w:rFonts w:ascii="Times New Roman" w:hAnsi="Times New Roman" w:cs="Times New Roman"/>
          <w:b/>
          <w:bCs/>
          <w:noProof/>
          <w:sz w:val="20"/>
          <w:szCs w:val="24"/>
          <w:lang w:val="en-US"/>
        </w:rPr>
        <w:t>2017</w:t>
      </w:r>
      <w:r w:rsidRPr="003314AD">
        <w:rPr>
          <w:rFonts w:ascii="Times New Roman" w:hAnsi="Times New Roman" w:cs="Times New Roman"/>
          <w:noProof/>
          <w:sz w:val="20"/>
          <w:szCs w:val="24"/>
          <w:lang w:val="en-US"/>
        </w:rPr>
        <w:t>) 118–124.</w:t>
      </w:r>
    </w:p>
    <w:p w14:paraId="5DE3E147" w14:textId="77777777" w:rsidR="00562D7D" w:rsidRPr="003314AD" w:rsidRDefault="00562D7D" w:rsidP="00562D7D">
      <w:pPr>
        <w:widowControl w:val="0"/>
        <w:autoSpaceDE w:val="0"/>
        <w:autoSpaceDN w:val="0"/>
        <w:adjustRightInd w:val="0"/>
        <w:spacing w:after="0" w:line="240" w:lineRule="exact"/>
        <w:ind w:left="640" w:hanging="640"/>
        <w:jc w:val="both"/>
        <w:rPr>
          <w:rFonts w:ascii="Times New Roman" w:hAnsi="Times New Roman" w:cs="Times New Roman"/>
          <w:noProof/>
          <w:sz w:val="20"/>
          <w:szCs w:val="24"/>
          <w:lang w:val="en-US"/>
        </w:rPr>
      </w:pPr>
      <w:r w:rsidRPr="003314AD">
        <w:rPr>
          <w:rFonts w:ascii="Times New Roman" w:hAnsi="Times New Roman" w:cs="Times New Roman"/>
          <w:noProof/>
          <w:sz w:val="20"/>
          <w:szCs w:val="24"/>
          <w:lang w:val="en-US"/>
        </w:rPr>
        <w:t>9.</w:t>
      </w:r>
      <w:r w:rsidRPr="003314AD">
        <w:rPr>
          <w:rFonts w:ascii="Times New Roman" w:hAnsi="Times New Roman" w:cs="Times New Roman"/>
          <w:noProof/>
          <w:sz w:val="20"/>
          <w:szCs w:val="24"/>
          <w:lang w:val="en-US"/>
        </w:rPr>
        <w:tab/>
        <w:t xml:space="preserve">S. Luo, L. Zhu, A. Talukdar, G. Zhang, X. Mi, J.P. Cheng, P.G. Wang, </w:t>
      </w:r>
      <w:r w:rsidRPr="003314AD">
        <w:rPr>
          <w:rFonts w:ascii="Times New Roman" w:hAnsi="Times New Roman" w:cs="Times New Roman"/>
          <w:i/>
          <w:iCs/>
          <w:noProof/>
          <w:sz w:val="20"/>
          <w:szCs w:val="24"/>
          <w:lang w:val="en-US"/>
        </w:rPr>
        <w:t>Mini. Rev. Org. Chem.</w:t>
      </w:r>
      <w:r w:rsidRPr="003314AD">
        <w:rPr>
          <w:rFonts w:ascii="Times New Roman" w:hAnsi="Times New Roman" w:cs="Times New Roman"/>
          <w:noProof/>
          <w:sz w:val="20"/>
          <w:szCs w:val="24"/>
          <w:lang w:val="en-US"/>
        </w:rPr>
        <w:t xml:space="preserve"> </w:t>
      </w:r>
      <w:r w:rsidRPr="003314AD">
        <w:rPr>
          <w:rFonts w:ascii="Times New Roman" w:hAnsi="Times New Roman" w:cs="Times New Roman"/>
          <w:i/>
          <w:iCs/>
          <w:noProof/>
          <w:sz w:val="20"/>
          <w:szCs w:val="24"/>
          <w:lang w:val="en-US"/>
        </w:rPr>
        <w:t>2</w:t>
      </w:r>
      <w:r w:rsidRPr="003314AD">
        <w:rPr>
          <w:rFonts w:ascii="Times New Roman" w:hAnsi="Times New Roman" w:cs="Times New Roman"/>
          <w:noProof/>
          <w:sz w:val="20"/>
          <w:szCs w:val="24"/>
          <w:lang w:val="en-US"/>
        </w:rPr>
        <w:t xml:space="preserve"> (</w:t>
      </w:r>
      <w:r w:rsidRPr="003314AD">
        <w:rPr>
          <w:rFonts w:ascii="Times New Roman" w:hAnsi="Times New Roman" w:cs="Times New Roman"/>
          <w:b/>
          <w:bCs/>
          <w:noProof/>
          <w:sz w:val="20"/>
          <w:szCs w:val="24"/>
          <w:lang w:val="en-US"/>
        </w:rPr>
        <w:t>2005</w:t>
      </w:r>
      <w:r w:rsidRPr="003314AD">
        <w:rPr>
          <w:rFonts w:ascii="Times New Roman" w:hAnsi="Times New Roman" w:cs="Times New Roman"/>
          <w:noProof/>
          <w:sz w:val="20"/>
          <w:szCs w:val="24"/>
          <w:lang w:val="en-US"/>
        </w:rPr>
        <w:t>) 177–202.</w:t>
      </w:r>
    </w:p>
    <w:p w14:paraId="0A465503" w14:textId="77777777" w:rsidR="00562D7D" w:rsidRPr="003314AD" w:rsidRDefault="00562D7D" w:rsidP="00562D7D">
      <w:pPr>
        <w:widowControl w:val="0"/>
        <w:autoSpaceDE w:val="0"/>
        <w:autoSpaceDN w:val="0"/>
        <w:adjustRightInd w:val="0"/>
        <w:spacing w:after="0" w:line="240" w:lineRule="exact"/>
        <w:ind w:left="640" w:hanging="640"/>
        <w:jc w:val="both"/>
        <w:rPr>
          <w:rFonts w:ascii="Times New Roman" w:hAnsi="Times New Roman" w:cs="Times New Roman"/>
          <w:noProof/>
          <w:sz w:val="20"/>
          <w:szCs w:val="24"/>
          <w:lang w:val="en-US"/>
        </w:rPr>
      </w:pPr>
      <w:r w:rsidRPr="003314AD">
        <w:rPr>
          <w:rFonts w:ascii="Times New Roman" w:hAnsi="Times New Roman" w:cs="Times New Roman"/>
          <w:noProof/>
          <w:sz w:val="20"/>
          <w:szCs w:val="24"/>
          <w:lang w:val="en-US"/>
        </w:rPr>
        <w:t>10.</w:t>
      </w:r>
      <w:r w:rsidRPr="003314AD">
        <w:rPr>
          <w:rFonts w:ascii="Times New Roman" w:hAnsi="Times New Roman" w:cs="Times New Roman"/>
          <w:noProof/>
          <w:sz w:val="20"/>
          <w:szCs w:val="24"/>
          <w:lang w:val="en-US"/>
        </w:rPr>
        <w:tab/>
        <w:t xml:space="preserve">M.A.A. Mellmer, C. Sener, J.M.R.M.R. Gallo, J.S.S. Luterbacher, D.M.M. Alonso, J.A.A. Dumesic, </w:t>
      </w:r>
      <w:r w:rsidRPr="003314AD">
        <w:rPr>
          <w:rFonts w:ascii="Times New Roman" w:hAnsi="Times New Roman" w:cs="Times New Roman"/>
          <w:i/>
          <w:iCs/>
          <w:noProof/>
          <w:sz w:val="20"/>
          <w:szCs w:val="24"/>
          <w:lang w:val="en-US"/>
        </w:rPr>
        <w:t>Angew. Chemie - Int. Ed.</w:t>
      </w:r>
      <w:r w:rsidRPr="003314AD">
        <w:rPr>
          <w:rFonts w:ascii="Times New Roman" w:hAnsi="Times New Roman" w:cs="Times New Roman"/>
          <w:noProof/>
          <w:sz w:val="20"/>
          <w:szCs w:val="24"/>
          <w:lang w:val="en-US"/>
        </w:rPr>
        <w:t xml:space="preserve"> </w:t>
      </w:r>
      <w:r w:rsidRPr="003314AD">
        <w:rPr>
          <w:rFonts w:ascii="Times New Roman" w:hAnsi="Times New Roman" w:cs="Times New Roman"/>
          <w:i/>
          <w:iCs/>
          <w:noProof/>
          <w:sz w:val="20"/>
          <w:szCs w:val="24"/>
          <w:lang w:val="en-US"/>
        </w:rPr>
        <w:t>53</w:t>
      </w:r>
      <w:r w:rsidRPr="003314AD">
        <w:rPr>
          <w:rFonts w:ascii="Times New Roman" w:hAnsi="Times New Roman" w:cs="Times New Roman"/>
          <w:noProof/>
          <w:sz w:val="20"/>
          <w:szCs w:val="24"/>
          <w:lang w:val="en-US"/>
        </w:rPr>
        <w:t xml:space="preserve"> (</w:t>
      </w:r>
      <w:r w:rsidRPr="003314AD">
        <w:rPr>
          <w:rFonts w:ascii="Times New Roman" w:hAnsi="Times New Roman" w:cs="Times New Roman"/>
          <w:b/>
          <w:bCs/>
          <w:noProof/>
          <w:sz w:val="20"/>
          <w:szCs w:val="24"/>
          <w:lang w:val="en-US"/>
        </w:rPr>
        <w:t>2014</w:t>
      </w:r>
      <w:r w:rsidRPr="003314AD">
        <w:rPr>
          <w:rFonts w:ascii="Times New Roman" w:hAnsi="Times New Roman" w:cs="Times New Roman"/>
          <w:noProof/>
          <w:sz w:val="20"/>
          <w:szCs w:val="24"/>
          <w:lang w:val="en-US"/>
        </w:rPr>
        <w:t>) 11872–11875.</w:t>
      </w:r>
    </w:p>
    <w:p w14:paraId="4737FD00" w14:textId="77777777" w:rsidR="00562D7D" w:rsidRPr="003314AD" w:rsidRDefault="00562D7D" w:rsidP="00562D7D">
      <w:pPr>
        <w:widowControl w:val="0"/>
        <w:autoSpaceDE w:val="0"/>
        <w:autoSpaceDN w:val="0"/>
        <w:adjustRightInd w:val="0"/>
        <w:spacing w:after="0" w:line="240" w:lineRule="exact"/>
        <w:ind w:left="640" w:hanging="640"/>
        <w:jc w:val="both"/>
        <w:rPr>
          <w:rFonts w:ascii="Times New Roman" w:hAnsi="Times New Roman" w:cs="Times New Roman"/>
          <w:noProof/>
          <w:sz w:val="20"/>
          <w:szCs w:val="24"/>
          <w:lang w:val="en-US"/>
        </w:rPr>
      </w:pPr>
      <w:r w:rsidRPr="003314AD">
        <w:rPr>
          <w:rFonts w:ascii="Times New Roman" w:hAnsi="Times New Roman" w:cs="Times New Roman"/>
          <w:noProof/>
          <w:sz w:val="20"/>
          <w:szCs w:val="24"/>
          <w:lang w:val="en-US"/>
        </w:rPr>
        <w:t>11.</w:t>
      </w:r>
      <w:r w:rsidRPr="003314AD">
        <w:rPr>
          <w:rFonts w:ascii="Times New Roman" w:hAnsi="Times New Roman" w:cs="Times New Roman"/>
          <w:noProof/>
          <w:sz w:val="20"/>
          <w:szCs w:val="24"/>
          <w:lang w:val="en-US"/>
        </w:rPr>
        <w:tab/>
        <w:t xml:space="preserve">A. Takagaki, M. Toda, M. Okamura, J.N. Kondo, S. Hayashi, K. Domen, M. Hara, </w:t>
      </w:r>
      <w:r w:rsidRPr="003314AD">
        <w:rPr>
          <w:rFonts w:ascii="Times New Roman" w:hAnsi="Times New Roman" w:cs="Times New Roman"/>
          <w:i/>
          <w:iCs/>
          <w:noProof/>
          <w:sz w:val="20"/>
          <w:szCs w:val="24"/>
          <w:lang w:val="en-US"/>
        </w:rPr>
        <w:t>Catal. Today</w:t>
      </w:r>
      <w:r w:rsidRPr="003314AD">
        <w:rPr>
          <w:rFonts w:ascii="Times New Roman" w:hAnsi="Times New Roman" w:cs="Times New Roman"/>
          <w:noProof/>
          <w:sz w:val="20"/>
          <w:szCs w:val="24"/>
          <w:lang w:val="en-US"/>
        </w:rPr>
        <w:t xml:space="preserve"> </w:t>
      </w:r>
      <w:r w:rsidRPr="003314AD">
        <w:rPr>
          <w:rFonts w:ascii="Times New Roman" w:hAnsi="Times New Roman" w:cs="Times New Roman"/>
          <w:i/>
          <w:iCs/>
          <w:noProof/>
          <w:sz w:val="20"/>
          <w:szCs w:val="24"/>
          <w:lang w:val="en-US"/>
        </w:rPr>
        <w:t>116</w:t>
      </w:r>
      <w:r w:rsidRPr="003314AD">
        <w:rPr>
          <w:rFonts w:ascii="Times New Roman" w:hAnsi="Times New Roman" w:cs="Times New Roman"/>
          <w:noProof/>
          <w:sz w:val="20"/>
          <w:szCs w:val="24"/>
          <w:lang w:val="en-US"/>
        </w:rPr>
        <w:t xml:space="preserve"> (</w:t>
      </w:r>
      <w:r w:rsidRPr="003314AD">
        <w:rPr>
          <w:rFonts w:ascii="Times New Roman" w:hAnsi="Times New Roman" w:cs="Times New Roman"/>
          <w:b/>
          <w:bCs/>
          <w:noProof/>
          <w:sz w:val="20"/>
          <w:szCs w:val="24"/>
          <w:lang w:val="en-US"/>
        </w:rPr>
        <w:t>2006</w:t>
      </w:r>
      <w:r w:rsidRPr="003314AD">
        <w:rPr>
          <w:rFonts w:ascii="Times New Roman" w:hAnsi="Times New Roman" w:cs="Times New Roman"/>
          <w:noProof/>
          <w:sz w:val="20"/>
          <w:szCs w:val="24"/>
          <w:lang w:val="en-US"/>
        </w:rPr>
        <w:t>) 157–161.</w:t>
      </w:r>
    </w:p>
    <w:p w14:paraId="49F1C995" w14:textId="77777777" w:rsidR="00562D7D" w:rsidRPr="006A7278" w:rsidRDefault="00562D7D" w:rsidP="00562D7D">
      <w:pPr>
        <w:widowControl w:val="0"/>
        <w:autoSpaceDE w:val="0"/>
        <w:autoSpaceDN w:val="0"/>
        <w:adjustRightInd w:val="0"/>
        <w:spacing w:after="0" w:line="240" w:lineRule="exact"/>
        <w:ind w:left="640" w:hanging="640"/>
        <w:jc w:val="both"/>
        <w:rPr>
          <w:rFonts w:ascii="Times New Roman" w:hAnsi="Times New Roman" w:cs="Times New Roman"/>
          <w:noProof/>
          <w:sz w:val="20"/>
          <w:szCs w:val="24"/>
        </w:rPr>
      </w:pPr>
      <w:r w:rsidRPr="003314AD">
        <w:rPr>
          <w:rFonts w:ascii="Times New Roman" w:hAnsi="Times New Roman" w:cs="Times New Roman"/>
          <w:noProof/>
          <w:sz w:val="20"/>
          <w:szCs w:val="24"/>
          <w:lang w:val="en-US"/>
        </w:rPr>
        <w:t>12.</w:t>
      </w:r>
      <w:r w:rsidRPr="003314AD">
        <w:rPr>
          <w:rFonts w:ascii="Times New Roman" w:hAnsi="Times New Roman" w:cs="Times New Roman"/>
          <w:noProof/>
          <w:sz w:val="20"/>
          <w:szCs w:val="24"/>
          <w:lang w:val="en-US"/>
        </w:rPr>
        <w:tab/>
        <w:t xml:space="preserve">X. Wang, R. Liu, M.M. Waje, Z. Chen, Y. Yan, K.N. Bozhilov, P. Feng, </w:t>
      </w:r>
      <w:r w:rsidRPr="003314AD">
        <w:rPr>
          <w:rFonts w:ascii="Times New Roman" w:hAnsi="Times New Roman" w:cs="Times New Roman"/>
          <w:i/>
          <w:iCs/>
          <w:noProof/>
          <w:sz w:val="20"/>
          <w:szCs w:val="24"/>
          <w:lang w:val="en-US"/>
        </w:rPr>
        <w:t xml:space="preserve">Chem. </w:t>
      </w:r>
      <w:r w:rsidRPr="006A7278">
        <w:rPr>
          <w:rFonts w:ascii="Times New Roman" w:hAnsi="Times New Roman" w:cs="Times New Roman"/>
          <w:i/>
          <w:iCs/>
          <w:noProof/>
          <w:sz w:val="20"/>
          <w:szCs w:val="24"/>
        </w:rPr>
        <w:t>Mater.</w:t>
      </w:r>
      <w:r w:rsidRPr="006A7278">
        <w:rPr>
          <w:rFonts w:ascii="Times New Roman" w:hAnsi="Times New Roman" w:cs="Times New Roman"/>
          <w:noProof/>
          <w:sz w:val="20"/>
          <w:szCs w:val="24"/>
        </w:rPr>
        <w:t xml:space="preserve"> </w:t>
      </w:r>
      <w:r w:rsidRPr="006A7278">
        <w:rPr>
          <w:rFonts w:ascii="Times New Roman" w:hAnsi="Times New Roman" w:cs="Times New Roman"/>
          <w:i/>
          <w:iCs/>
          <w:noProof/>
          <w:sz w:val="20"/>
          <w:szCs w:val="24"/>
        </w:rPr>
        <w:t>19</w:t>
      </w:r>
      <w:r w:rsidRPr="006A7278">
        <w:rPr>
          <w:rFonts w:ascii="Times New Roman" w:hAnsi="Times New Roman" w:cs="Times New Roman"/>
          <w:noProof/>
          <w:sz w:val="20"/>
          <w:szCs w:val="24"/>
        </w:rPr>
        <w:t xml:space="preserve"> (</w:t>
      </w:r>
      <w:r w:rsidRPr="006A7278">
        <w:rPr>
          <w:rFonts w:ascii="Times New Roman" w:hAnsi="Times New Roman" w:cs="Times New Roman"/>
          <w:b/>
          <w:bCs/>
          <w:noProof/>
          <w:sz w:val="20"/>
          <w:szCs w:val="24"/>
        </w:rPr>
        <w:t>2007</w:t>
      </w:r>
      <w:r w:rsidRPr="006A7278">
        <w:rPr>
          <w:rFonts w:ascii="Times New Roman" w:hAnsi="Times New Roman" w:cs="Times New Roman"/>
          <w:noProof/>
          <w:sz w:val="20"/>
          <w:szCs w:val="24"/>
        </w:rPr>
        <w:t>) 2395–2397.</w:t>
      </w:r>
    </w:p>
    <w:p w14:paraId="5BCF3823" w14:textId="77777777" w:rsidR="00562D7D" w:rsidRPr="006A7278" w:rsidRDefault="00562D7D" w:rsidP="00562D7D">
      <w:pPr>
        <w:widowControl w:val="0"/>
        <w:autoSpaceDE w:val="0"/>
        <w:autoSpaceDN w:val="0"/>
        <w:adjustRightInd w:val="0"/>
        <w:spacing w:after="0" w:line="240" w:lineRule="exact"/>
        <w:ind w:left="640" w:hanging="640"/>
        <w:jc w:val="both"/>
        <w:rPr>
          <w:rFonts w:ascii="Times New Roman" w:hAnsi="Times New Roman" w:cs="Times New Roman"/>
          <w:noProof/>
          <w:sz w:val="20"/>
        </w:rPr>
      </w:pPr>
      <w:r w:rsidRPr="006A7278">
        <w:rPr>
          <w:rFonts w:ascii="Times New Roman" w:hAnsi="Times New Roman" w:cs="Times New Roman"/>
          <w:noProof/>
          <w:sz w:val="20"/>
          <w:szCs w:val="24"/>
        </w:rPr>
        <w:t>13.</w:t>
      </w:r>
      <w:r w:rsidRPr="006A7278">
        <w:rPr>
          <w:rFonts w:ascii="Times New Roman" w:hAnsi="Times New Roman" w:cs="Times New Roman"/>
          <w:noProof/>
          <w:sz w:val="20"/>
          <w:szCs w:val="24"/>
        </w:rPr>
        <w:tab/>
        <w:t xml:space="preserve">Z. Zhang, D.W. Flaherty, </w:t>
      </w:r>
      <w:r w:rsidRPr="006A7278">
        <w:rPr>
          <w:rFonts w:ascii="Times New Roman" w:hAnsi="Times New Roman" w:cs="Times New Roman"/>
          <w:i/>
          <w:iCs/>
          <w:noProof/>
          <w:sz w:val="20"/>
          <w:szCs w:val="24"/>
        </w:rPr>
        <w:t>Carbon N. Y.</w:t>
      </w:r>
      <w:r w:rsidRPr="006A7278">
        <w:rPr>
          <w:rFonts w:ascii="Times New Roman" w:hAnsi="Times New Roman" w:cs="Times New Roman"/>
          <w:noProof/>
          <w:sz w:val="20"/>
          <w:szCs w:val="24"/>
        </w:rPr>
        <w:t xml:space="preserve"> </w:t>
      </w:r>
      <w:r w:rsidRPr="006A7278">
        <w:rPr>
          <w:rFonts w:ascii="Times New Roman" w:hAnsi="Times New Roman" w:cs="Times New Roman"/>
          <w:i/>
          <w:iCs/>
          <w:noProof/>
          <w:sz w:val="20"/>
          <w:szCs w:val="24"/>
        </w:rPr>
        <w:t>166</w:t>
      </w:r>
      <w:r w:rsidRPr="006A7278">
        <w:rPr>
          <w:rFonts w:ascii="Times New Roman" w:hAnsi="Times New Roman" w:cs="Times New Roman"/>
          <w:noProof/>
          <w:sz w:val="20"/>
          <w:szCs w:val="24"/>
        </w:rPr>
        <w:t xml:space="preserve"> (</w:t>
      </w:r>
      <w:r w:rsidRPr="006A7278">
        <w:rPr>
          <w:rFonts w:ascii="Times New Roman" w:hAnsi="Times New Roman" w:cs="Times New Roman"/>
          <w:b/>
          <w:bCs/>
          <w:noProof/>
          <w:sz w:val="20"/>
          <w:szCs w:val="24"/>
        </w:rPr>
        <w:t>2020</w:t>
      </w:r>
      <w:r w:rsidRPr="006A7278">
        <w:rPr>
          <w:rFonts w:ascii="Times New Roman" w:hAnsi="Times New Roman" w:cs="Times New Roman"/>
          <w:noProof/>
          <w:sz w:val="20"/>
          <w:szCs w:val="24"/>
        </w:rPr>
        <w:t>) 436–445.</w:t>
      </w:r>
    </w:p>
    <w:p w14:paraId="6B074862" w14:textId="590A26CA" w:rsidR="0045074F" w:rsidRPr="00AA772D" w:rsidRDefault="00C844CD" w:rsidP="00562D7D">
      <w:pPr>
        <w:pStyle w:val="TAMainText"/>
        <w:rPr>
          <w:rFonts w:ascii="Times New Roman" w:hAnsi="Times New Roman"/>
        </w:rPr>
      </w:pPr>
      <w:r w:rsidRPr="006A7278">
        <w:rPr>
          <w:rFonts w:ascii="Times New Roman" w:hAnsi="Times New Roman"/>
        </w:rPr>
        <w:fldChar w:fldCharType="end"/>
      </w:r>
    </w:p>
    <w:sectPr w:rsidR="0045074F" w:rsidRPr="00AA772D" w:rsidSect="00EA4E1B">
      <w:headerReference w:type="default" r:id="rId32"/>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D4BE2" w14:textId="77777777" w:rsidR="006965B8" w:rsidRDefault="006965B8" w:rsidP="00EA4E1B">
      <w:pPr>
        <w:spacing w:after="0" w:line="240" w:lineRule="auto"/>
      </w:pPr>
      <w:r>
        <w:separator/>
      </w:r>
    </w:p>
  </w:endnote>
  <w:endnote w:type="continuationSeparator" w:id="0">
    <w:p w14:paraId="0FB05BB6" w14:textId="77777777" w:rsidR="006965B8" w:rsidRDefault="006965B8"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64E13" w14:textId="77777777" w:rsidR="006965B8" w:rsidRDefault="006965B8" w:rsidP="00EA4E1B">
      <w:pPr>
        <w:spacing w:after="0" w:line="240" w:lineRule="auto"/>
      </w:pPr>
      <w:r>
        <w:separator/>
      </w:r>
    </w:p>
  </w:footnote>
  <w:footnote w:type="continuationSeparator" w:id="0">
    <w:p w14:paraId="3FA4E2CE" w14:textId="77777777" w:rsidR="006965B8" w:rsidRDefault="006965B8"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F3A0F" w14:textId="77777777" w:rsidR="00893C97" w:rsidRDefault="00893C97" w:rsidP="00EA4E1B">
    <w:pPr>
      <w:pStyle w:val="Cabealho"/>
      <w:jc w:val="center"/>
    </w:pPr>
    <w:r>
      <w:rPr>
        <w:noProof/>
      </w:rPr>
      <w:drawing>
        <wp:inline distT="0" distB="0" distL="0" distR="0" wp14:anchorId="08228DE1" wp14:editId="30A9A736">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lang w:eastAsia="pt-BR"/>
      </w:rPr>
      <w:drawing>
        <wp:inline distT="0" distB="0" distL="0" distR="0" wp14:anchorId="77809E7A" wp14:editId="1C4CA2B0">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2" name="Imagem 2"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7A9A"/>
    <w:rsid w:val="00010813"/>
    <w:rsid w:val="00010DEC"/>
    <w:rsid w:val="0001264A"/>
    <w:rsid w:val="000362FF"/>
    <w:rsid w:val="00036FA6"/>
    <w:rsid w:val="00044F65"/>
    <w:rsid w:val="00045603"/>
    <w:rsid w:val="00046068"/>
    <w:rsid w:val="000520EF"/>
    <w:rsid w:val="000578E0"/>
    <w:rsid w:val="00061A72"/>
    <w:rsid w:val="000758EC"/>
    <w:rsid w:val="00084042"/>
    <w:rsid w:val="000D194A"/>
    <w:rsid w:val="000D3A16"/>
    <w:rsid w:val="000E07CC"/>
    <w:rsid w:val="000E35E2"/>
    <w:rsid w:val="000F1B26"/>
    <w:rsid w:val="000F1D24"/>
    <w:rsid w:val="000F6DEB"/>
    <w:rsid w:val="001010C0"/>
    <w:rsid w:val="0011163E"/>
    <w:rsid w:val="00132E18"/>
    <w:rsid w:val="00136A9A"/>
    <w:rsid w:val="00142C07"/>
    <w:rsid w:val="001601C9"/>
    <w:rsid w:val="00162898"/>
    <w:rsid w:val="00162EE0"/>
    <w:rsid w:val="00186D8A"/>
    <w:rsid w:val="00193E98"/>
    <w:rsid w:val="00195B5C"/>
    <w:rsid w:val="0019725F"/>
    <w:rsid w:val="001A6166"/>
    <w:rsid w:val="001B40C4"/>
    <w:rsid w:val="001B6097"/>
    <w:rsid w:val="001D092E"/>
    <w:rsid w:val="001D0B99"/>
    <w:rsid w:val="001D149A"/>
    <w:rsid w:val="001E2CCE"/>
    <w:rsid w:val="001E58A9"/>
    <w:rsid w:val="001F25B2"/>
    <w:rsid w:val="00200424"/>
    <w:rsid w:val="002025E3"/>
    <w:rsid w:val="00203F94"/>
    <w:rsid w:val="00222230"/>
    <w:rsid w:val="00223FE9"/>
    <w:rsid w:val="00231271"/>
    <w:rsid w:val="00246209"/>
    <w:rsid w:val="00246B75"/>
    <w:rsid w:val="00256455"/>
    <w:rsid w:val="002657EB"/>
    <w:rsid w:val="00265B33"/>
    <w:rsid w:val="00272D5B"/>
    <w:rsid w:val="00297551"/>
    <w:rsid w:val="002B21C8"/>
    <w:rsid w:val="002C5FBE"/>
    <w:rsid w:val="002D231A"/>
    <w:rsid w:val="002F25E1"/>
    <w:rsid w:val="002F3658"/>
    <w:rsid w:val="002F72E5"/>
    <w:rsid w:val="00307C5B"/>
    <w:rsid w:val="00316B09"/>
    <w:rsid w:val="003179EE"/>
    <w:rsid w:val="003314AD"/>
    <w:rsid w:val="0033663F"/>
    <w:rsid w:val="00340B1E"/>
    <w:rsid w:val="003877B0"/>
    <w:rsid w:val="00392F30"/>
    <w:rsid w:val="003D135D"/>
    <w:rsid w:val="003D4840"/>
    <w:rsid w:val="003D4ACD"/>
    <w:rsid w:val="003E10E2"/>
    <w:rsid w:val="003F1520"/>
    <w:rsid w:val="003F5DEE"/>
    <w:rsid w:val="0040296F"/>
    <w:rsid w:val="00402F3E"/>
    <w:rsid w:val="00421A84"/>
    <w:rsid w:val="0043069E"/>
    <w:rsid w:val="0045074F"/>
    <w:rsid w:val="00452C01"/>
    <w:rsid w:val="004659A5"/>
    <w:rsid w:val="00467AEA"/>
    <w:rsid w:val="00473959"/>
    <w:rsid w:val="00482419"/>
    <w:rsid w:val="00484E6F"/>
    <w:rsid w:val="004900A8"/>
    <w:rsid w:val="004932AB"/>
    <w:rsid w:val="004976AA"/>
    <w:rsid w:val="004A273A"/>
    <w:rsid w:val="004B55B8"/>
    <w:rsid w:val="004B6F0A"/>
    <w:rsid w:val="004B7E2D"/>
    <w:rsid w:val="004D35B2"/>
    <w:rsid w:val="004D5578"/>
    <w:rsid w:val="004D6D90"/>
    <w:rsid w:val="004F3F42"/>
    <w:rsid w:val="004F71E8"/>
    <w:rsid w:val="005026C2"/>
    <w:rsid w:val="005042C0"/>
    <w:rsid w:val="005162AD"/>
    <w:rsid w:val="0051703B"/>
    <w:rsid w:val="0052112E"/>
    <w:rsid w:val="00526679"/>
    <w:rsid w:val="00535875"/>
    <w:rsid w:val="00536A7D"/>
    <w:rsid w:val="005432AF"/>
    <w:rsid w:val="00547440"/>
    <w:rsid w:val="00561F67"/>
    <w:rsid w:val="00562D7D"/>
    <w:rsid w:val="0057564E"/>
    <w:rsid w:val="005757F5"/>
    <w:rsid w:val="00584E63"/>
    <w:rsid w:val="00586C89"/>
    <w:rsid w:val="00591CAF"/>
    <w:rsid w:val="005C0036"/>
    <w:rsid w:val="005C2775"/>
    <w:rsid w:val="005C374B"/>
    <w:rsid w:val="005D3E1A"/>
    <w:rsid w:val="005D65EB"/>
    <w:rsid w:val="005D7034"/>
    <w:rsid w:val="005E45EA"/>
    <w:rsid w:val="00604718"/>
    <w:rsid w:val="006115DA"/>
    <w:rsid w:val="00615D9D"/>
    <w:rsid w:val="0061609A"/>
    <w:rsid w:val="00622066"/>
    <w:rsid w:val="00652815"/>
    <w:rsid w:val="00665A0F"/>
    <w:rsid w:val="0067126F"/>
    <w:rsid w:val="0069093D"/>
    <w:rsid w:val="00691813"/>
    <w:rsid w:val="006965B8"/>
    <w:rsid w:val="006A7278"/>
    <w:rsid w:val="006B448C"/>
    <w:rsid w:val="006B7E8F"/>
    <w:rsid w:val="006C1E78"/>
    <w:rsid w:val="006C7626"/>
    <w:rsid w:val="006E2BA4"/>
    <w:rsid w:val="006E58E5"/>
    <w:rsid w:val="006E5A69"/>
    <w:rsid w:val="006F599B"/>
    <w:rsid w:val="0070674D"/>
    <w:rsid w:val="00717FB5"/>
    <w:rsid w:val="0072258A"/>
    <w:rsid w:val="0072438E"/>
    <w:rsid w:val="007303CE"/>
    <w:rsid w:val="0073286D"/>
    <w:rsid w:val="00733D65"/>
    <w:rsid w:val="00742A4A"/>
    <w:rsid w:val="00744EDD"/>
    <w:rsid w:val="00745069"/>
    <w:rsid w:val="0075025F"/>
    <w:rsid w:val="007538AD"/>
    <w:rsid w:val="00754548"/>
    <w:rsid w:val="00756DC4"/>
    <w:rsid w:val="007635D3"/>
    <w:rsid w:val="007670A0"/>
    <w:rsid w:val="00773DFF"/>
    <w:rsid w:val="00781685"/>
    <w:rsid w:val="007855B4"/>
    <w:rsid w:val="007A03EB"/>
    <w:rsid w:val="007A58EF"/>
    <w:rsid w:val="007A6A9D"/>
    <w:rsid w:val="007A7E91"/>
    <w:rsid w:val="007B4B2B"/>
    <w:rsid w:val="007C4E8B"/>
    <w:rsid w:val="007C56B5"/>
    <w:rsid w:val="007D589F"/>
    <w:rsid w:val="007D6E8F"/>
    <w:rsid w:val="007D78A8"/>
    <w:rsid w:val="007F7A13"/>
    <w:rsid w:val="0083000D"/>
    <w:rsid w:val="008329BA"/>
    <w:rsid w:val="0083430A"/>
    <w:rsid w:val="00850FF0"/>
    <w:rsid w:val="00860FE8"/>
    <w:rsid w:val="00866822"/>
    <w:rsid w:val="00866B61"/>
    <w:rsid w:val="00867F40"/>
    <w:rsid w:val="00874E0D"/>
    <w:rsid w:val="00884E82"/>
    <w:rsid w:val="00893C97"/>
    <w:rsid w:val="008A0B2E"/>
    <w:rsid w:val="008A0D66"/>
    <w:rsid w:val="008A561E"/>
    <w:rsid w:val="008B01EE"/>
    <w:rsid w:val="008B0D8E"/>
    <w:rsid w:val="008B1683"/>
    <w:rsid w:val="008B5641"/>
    <w:rsid w:val="008B5B34"/>
    <w:rsid w:val="008C1B30"/>
    <w:rsid w:val="008D0BCB"/>
    <w:rsid w:val="008D34FF"/>
    <w:rsid w:val="008D665B"/>
    <w:rsid w:val="008D6916"/>
    <w:rsid w:val="008D7FC5"/>
    <w:rsid w:val="008F61A0"/>
    <w:rsid w:val="00936243"/>
    <w:rsid w:val="009465CA"/>
    <w:rsid w:val="0094703A"/>
    <w:rsid w:val="00952B5E"/>
    <w:rsid w:val="0095321A"/>
    <w:rsid w:val="009656D9"/>
    <w:rsid w:val="00994DAF"/>
    <w:rsid w:val="00995579"/>
    <w:rsid w:val="009A1183"/>
    <w:rsid w:val="009A1F0D"/>
    <w:rsid w:val="009A2B68"/>
    <w:rsid w:val="009C3222"/>
    <w:rsid w:val="009C674C"/>
    <w:rsid w:val="009C7CB0"/>
    <w:rsid w:val="009D25E2"/>
    <w:rsid w:val="009E1741"/>
    <w:rsid w:val="009F2535"/>
    <w:rsid w:val="00A11FBB"/>
    <w:rsid w:val="00A17D85"/>
    <w:rsid w:val="00A43A74"/>
    <w:rsid w:val="00A43DC5"/>
    <w:rsid w:val="00A6395C"/>
    <w:rsid w:val="00A65D02"/>
    <w:rsid w:val="00A80C95"/>
    <w:rsid w:val="00A87CE8"/>
    <w:rsid w:val="00AA182E"/>
    <w:rsid w:val="00AA283A"/>
    <w:rsid w:val="00AA772D"/>
    <w:rsid w:val="00AC6E98"/>
    <w:rsid w:val="00AC6F4A"/>
    <w:rsid w:val="00AD17D7"/>
    <w:rsid w:val="00AD3A28"/>
    <w:rsid w:val="00AF0400"/>
    <w:rsid w:val="00AF7B69"/>
    <w:rsid w:val="00B025AE"/>
    <w:rsid w:val="00B0487D"/>
    <w:rsid w:val="00B05D03"/>
    <w:rsid w:val="00B21A27"/>
    <w:rsid w:val="00B226E0"/>
    <w:rsid w:val="00B24BB8"/>
    <w:rsid w:val="00B30AEB"/>
    <w:rsid w:val="00B31334"/>
    <w:rsid w:val="00B407F3"/>
    <w:rsid w:val="00B46834"/>
    <w:rsid w:val="00B55E6F"/>
    <w:rsid w:val="00B76B4A"/>
    <w:rsid w:val="00B81888"/>
    <w:rsid w:val="00B86629"/>
    <w:rsid w:val="00B93CD4"/>
    <w:rsid w:val="00BA60BC"/>
    <w:rsid w:val="00BA6A6E"/>
    <w:rsid w:val="00BB5E55"/>
    <w:rsid w:val="00BC6AE3"/>
    <w:rsid w:val="00C03853"/>
    <w:rsid w:val="00C13DD1"/>
    <w:rsid w:val="00C26354"/>
    <w:rsid w:val="00C302AD"/>
    <w:rsid w:val="00C61D14"/>
    <w:rsid w:val="00C65DDD"/>
    <w:rsid w:val="00C74AC3"/>
    <w:rsid w:val="00C76E54"/>
    <w:rsid w:val="00C824BD"/>
    <w:rsid w:val="00C8347E"/>
    <w:rsid w:val="00C83F0B"/>
    <w:rsid w:val="00C844CD"/>
    <w:rsid w:val="00C855FA"/>
    <w:rsid w:val="00C91735"/>
    <w:rsid w:val="00C9181C"/>
    <w:rsid w:val="00CA60D4"/>
    <w:rsid w:val="00CA6DF5"/>
    <w:rsid w:val="00CB49F6"/>
    <w:rsid w:val="00CC3095"/>
    <w:rsid w:val="00CD3D8D"/>
    <w:rsid w:val="00CE1143"/>
    <w:rsid w:val="00CF0F5D"/>
    <w:rsid w:val="00D04D28"/>
    <w:rsid w:val="00D063D5"/>
    <w:rsid w:val="00D12F57"/>
    <w:rsid w:val="00D23389"/>
    <w:rsid w:val="00D30045"/>
    <w:rsid w:val="00D3120A"/>
    <w:rsid w:val="00D3622D"/>
    <w:rsid w:val="00D50239"/>
    <w:rsid w:val="00D517A2"/>
    <w:rsid w:val="00D652C3"/>
    <w:rsid w:val="00D72D6F"/>
    <w:rsid w:val="00D90950"/>
    <w:rsid w:val="00D94A76"/>
    <w:rsid w:val="00D96135"/>
    <w:rsid w:val="00DB062E"/>
    <w:rsid w:val="00DB1366"/>
    <w:rsid w:val="00DB47D3"/>
    <w:rsid w:val="00DC2763"/>
    <w:rsid w:val="00DD0AE8"/>
    <w:rsid w:val="00DD22BA"/>
    <w:rsid w:val="00DD7A13"/>
    <w:rsid w:val="00E00C50"/>
    <w:rsid w:val="00E02A21"/>
    <w:rsid w:val="00E038AF"/>
    <w:rsid w:val="00E10EBE"/>
    <w:rsid w:val="00E11F59"/>
    <w:rsid w:val="00E16285"/>
    <w:rsid w:val="00E201DA"/>
    <w:rsid w:val="00E340CA"/>
    <w:rsid w:val="00E373FB"/>
    <w:rsid w:val="00E42B4D"/>
    <w:rsid w:val="00E43687"/>
    <w:rsid w:val="00E47CC2"/>
    <w:rsid w:val="00EA0E24"/>
    <w:rsid w:val="00EA2E59"/>
    <w:rsid w:val="00EA4E1B"/>
    <w:rsid w:val="00EB1CA3"/>
    <w:rsid w:val="00EC1CC8"/>
    <w:rsid w:val="00EF7C90"/>
    <w:rsid w:val="00F07290"/>
    <w:rsid w:val="00F121FF"/>
    <w:rsid w:val="00F30661"/>
    <w:rsid w:val="00F32919"/>
    <w:rsid w:val="00F51043"/>
    <w:rsid w:val="00F53894"/>
    <w:rsid w:val="00F57CEE"/>
    <w:rsid w:val="00F6076B"/>
    <w:rsid w:val="00F607F0"/>
    <w:rsid w:val="00F63EF6"/>
    <w:rsid w:val="00F65CA0"/>
    <w:rsid w:val="00F82291"/>
    <w:rsid w:val="00F83FD3"/>
    <w:rsid w:val="00F917DA"/>
    <w:rsid w:val="00F926EF"/>
    <w:rsid w:val="00FA0B2B"/>
    <w:rsid w:val="00FA41AC"/>
    <w:rsid w:val="00FC0572"/>
    <w:rsid w:val="00FC42F0"/>
    <w:rsid w:val="00FE3D69"/>
    <w:rsid w:val="00FF1E47"/>
    <w:rsid w:val="00FF412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unhideWhenUsed/>
    <w:rsid w:val="00D23389"/>
    <w:rPr>
      <w:color w:val="0563C1" w:themeColor="hyperlink"/>
      <w:u w:val="single"/>
    </w:rPr>
  </w:style>
  <w:style w:type="character" w:styleId="MenoPendente">
    <w:name w:val="Unresolved Mention"/>
    <w:basedOn w:val="Fontepargpadro"/>
    <w:uiPriority w:val="99"/>
    <w:semiHidden/>
    <w:unhideWhenUsed/>
    <w:rsid w:val="00D23389"/>
    <w:rPr>
      <w:color w:val="605E5C"/>
      <w:shd w:val="clear" w:color="auto" w:fill="E1DFDD"/>
    </w:rPr>
  </w:style>
  <w:style w:type="table" w:styleId="SimplesTabela2">
    <w:name w:val="Plain Table 2"/>
    <w:basedOn w:val="Tabelanormal"/>
    <w:uiPriority w:val="42"/>
    <w:rsid w:val="00F926EF"/>
    <w:pPr>
      <w:spacing w:before="120" w:after="0" w:line="240" w:lineRule="auto"/>
      <w:jc w:val="both"/>
    </w:pPr>
    <w:rPr>
      <w:rFonts w:ascii="Calibri" w:eastAsia="Calibri" w:hAnsi="Calibri" w:cs="Calibri"/>
      <w:sz w:val="22"/>
      <w:szCs w:val="22"/>
      <w:lang w:val="pt-PT" w:eastAsia="pt-B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968504">
      <w:bodyDiv w:val="1"/>
      <w:marLeft w:val="0"/>
      <w:marRight w:val="0"/>
      <w:marTop w:val="0"/>
      <w:marBottom w:val="0"/>
      <w:divBdr>
        <w:top w:val="none" w:sz="0" w:space="0" w:color="auto"/>
        <w:left w:val="none" w:sz="0" w:space="0" w:color="auto"/>
        <w:bottom w:val="none" w:sz="0" w:space="0" w:color="auto"/>
        <w:right w:val="none" w:sz="0" w:space="0" w:color="auto"/>
      </w:divBdr>
    </w:div>
    <w:div w:id="962855745">
      <w:bodyDiv w:val="1"/>
      <w:marLeft w:val="0"/>
      <w:marRight w:val="0"/>
      <w:marTop w:val="0"/>
      <w:marBottom w:val="0"/>
      <w:divBdr>
        <w:top w:val="none" w:sz="0" w:space="0" w:color="auto"/>
        <w:left w:val="none" w:sz="0" w:space="0" w:color="auto"/>
        <w:bottom w:val="none" w:sz="0" w:space="0" w:color="auto"/>
        <w:right w:val="none" w:sz="0" w:space="0" w:color="auto"/>
      </w:divBdr>
    </w:div>
    <w:div w:id="1004362575">
      <w:bodyDiv w:val="1"/>
      <w:marLeft w:val="0"/>
      <w:marRight w:val="0"/>
      <w:marTop w:val="0"/>
      <w:marBottom w:val="0"/>
      <w:divBdr>
        <w:top w:val="none" w:sz="0" w:space="0" w:color="auto"/>
        <w:left w:val="none" w:sz="0" w:space="0" w:color="auto"/>
        <w:bottom w:val="none" w:sz="0" w:space="0" w:color="auto"/>
        <w:right w:val="none" w:sz="0" w:space="0" w:color="auto"/>
      </w:divBdr>
    </w:div>
    <w:div w:id="1041827447">
      <w:bodyDiv w:val="1"/>
      <w:marLeft w:val="0"/>
      <w:marRight w:val="0"/>
      <w:marTop w:val="0"/>
      <w:marBottom w:val="0"/>
      <w:divBdr>
        <w:top w:val="none" w:sz="0" w:space="0" w:color="auto"/>
        <w:left w:val="none" w:sz="0" w:space="0" w:color="auto"/>
        <w:bottom w:val="none" w:sz="0" w:space="0" w:color="auto"/>
        <w:right w:val="none" w:sz="0" w:space="0" w:color="auto"/>
      </w:divBdr>
    </w:div>
    <w:div w:id="1149708133">
      <w:bodyDiv w:val="1"/>
      <w:marLeft w:val="0"/>
      <w:marRight w:val="0"/>
      <w:marTop w:val="0"/>
      <w:marBottom w:val="0"/>
      <w:divBdr>
        <w:top w:val="none" w:sz="0" w:space="0" w:color="auto"/>
        <w:left w:val="none" w:sz="0" w:space="0" w:color="auto"/>
        <w:bottom w:val="none" w:sz="0" w:space="0" w:color="auto"/>
        <w:right w:val="none" w:sz="0" w:space="0" w:color="auto"/>
      </w:divBdr>
    </w:div>
    <w:div w:id="1157309660">
      <w:bodyDiv w:val="1"/>
      <w:marLeft w:val="0"/>
      <w:marRight w:val="0"/>
      <w:marTop w:val="0"/>
      <w:marBottom w:val="0"/>
      <w:divBdr>
        <w:top w:val="none" w:sz="0" w:space="0" w:color="auto"/>
        <w:left w:val="none" w:sz="0" w:space="0" w:color="auto"/>
        <w:bottom w:val="none" w:sz="0" w:space="0" w:color="auto"/>
        <w:right w:val="none" w:sz="0" w:space="0" w:color="auto"/>
      </w:divBdr>
    </w:div>
    <w:div w:id="1216043355">
      <w:bodyDiv w:val="1"/>
      <w:marLeft w:val="0"/>
      <w:marRight w:val="0"/>
      <w:marTop w:val="0"/>
      <w:marBottom w:val="0"/>
      <w:divBdr>
        <w:top w:val="none" w:sz="0" w:space="0" w:color="auto"/>
        <w:left w:val="none" w:sz="0" w:space="0" w:color="auto"/>
        <w:bottom w:val="none" w:sz="0" w:space="0" w:color="auto"/>
        <w:right w:val="none" w:sz="0" w:space="0" w:color="auto"/>
      </w:divBdr>
    </w:div>
    <w:div w:id="1274052417">
      <w:bodyDiv w:val="1"/>
      <w:marLeft w:val="0"/>
      <w:marRight w:val="0"/>
      <w:marTop w:val="0"/>
      <w:marBottom w:val="0"/>
      <w:divBdr>
        <w:top w:val="none" w:sz="0" w:space="0" w:color="auto"/>
        <w:left w:val="none" w:sz="0" w:space="0" w:color="auto"/>
        <w:bottom w:val="none" w:sz="0" w:space="0" w:color="auto"/>
        <w:right w:val="none" w:sz="0" w:space="0" w:color="auto"/>
      </w:divBdr>
    </w:div>
    <w:div w:id="1396120583">
      <w:bodyDiv w:val="1"/>
      <w:marLeft w:val="0"/>
      <w:marRight w:val="0"/>
      <w:marTop w:val="0"/>
      <w:marBottom w:val="0"/>
      <w:divBdr>
        <w:top w:val="none" w:sz="0" w:space="0" w:color="auto"/>
        <w:left w:val="none" w:sz="0" w:space="0" w:color="auto"/>
        <w:bottom w:val="none" w:sz="0" w:space="0" w:color="auto"/>
        <w:right w:val="none" w:sz="0" w:space="0" w:color="auto"/>
      </w:divBdr>
    </w:div>
    <w:div w:id="1462765719">
      <w:bodyDiv w:val="1"/>
      <w:marLeft w:val="0"/>
      <w:marRight w:val="0"/>
      <w:marTop w:val="0"/>
      <w:marBottom w:val="0"/>
      <w:divBdr>
        <w:top w:val="none" w:sz="0" w:space="0" w:color="auto"/>
        <w:left w:val="none" w:sz="0" w:space="0" w:color="auto"/>
        <w:bottom w:val="none" w:sz="0" w:space="0" w:color="auto"/>
        <w:right w:val="none" w:sz="0" w:space="0" w:color="auto"/>
      </w:divBdr>
    </w:div>
    <w:div w:id="1476755075">
      <w:bodyDiv w:val="1"/>
      <w:marLeft w:val="0"/>
      <w:marRight w:val="0"/>
      <w:marTop w:val="0"/>
      <w:marBottom w:val="0"/>
      <w:divBdr>
        <w:top w:val="none" w:sz="0" w:space="0" w:color="auto"/>
        <w:left w:val="none" w:sz="0" w:space="0" w:color="auto"/>
        <w:bottom w:val="none" w:sz="0" w:space="0" w:color="auto"/>
        <w:right w:val="none" w:sz="0" w:space="0" w:color="auto"/>
      </w:divBdr>
    </w:div>
    <w:div w:id="1533767050">
      <w:bodyDiv w:val="1"/>
      <w:marLeft w:val="0"/>
      <w:marRight w:val="0"/>
      <w:marTop w:val="0"/>
      <w:marBottom w:val="0"/>
      <w:divBdr>
        <w:top w:val="none" w:sz="0" w:space="0" w:color="auto"/>
        <w:left w:val="none" w:sz="0" w:space="0" w:color="auto"/>
        <w:bottom w:val="none" w:sz="0" w:space="0" w:color="auto"/>
        <w:right w:val="none" w:sz="0" w:space="0" w:color="auto"/>
      </w:divBdr>
    </w:div>
    <w:div w:id="1952586093">
      <w:bodyDiv w:val="1"/>
      <w:marLeft w:val="0"/>
      <w:marRight w:val="0"/>
      <w:marTop w:val="0"/>
      <w:marBottom w:val="0"/>
      <w:divBdr>
        <w:top w:val="none" w:sz="0" w:space="0" w:color="auto"/>
        <w:left w:val="none" w:sz="0" w:space="0" w:color="auto"/>
        <w:bottom w:val="none" w:sz="0" w:space="0" w:color="auto"/>
        <w:right w:val="none" w:sz="0" w:space="0" w:color="auto"/>
      </w:divBdr>
    </w:div>
    <w:div w:id="1981038387">
      <w:bodyDiv w:val="1"/>
      <w:marLeft w:val="0"/>
      <w:marRight w:val="0"/>
      <w:marTop w:val="0"/>
      <w:marBottom w:val="0"/>
      <w:divBdr>
        <w:top w:val="none" w:sz="0" w:space="0" w:color="auto"/>
        <w:left w:val="none" w:sz="0" w:space="0" w:color="auto"/>
        <w:bottom w:val="none" w:sz="0" w:space="0" w:color="auto"/>
        <w:right w:val="none" w:sz="0" w:space="0" w:color="auto"/>
      </w:divBdr>
    </w:div>
    <w:div w:id="2075660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7.emf"/><Relationship Id="rId26"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0.emf"/><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2.emf"/><Relationship Id="rId10" Type="http://schemas.openxmlformats.org/officeDocument/2006/relationships/image" Target="media/image3.emf"/><Relationship Id="rId19" Type="http://schemas.openxmlformats.org/officeDocument/2006/relationships/oleObject" Target="embeddings/oleObject5.bin"/><Relationship Id="rId31" Type="http://schemas.openxmlformats.org/officeDocument/2006/relationships/oleObject" Target="embeddings/oleObject11.bin"/><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oleObject" Target="embeddings/oleObject9.bin"/><Relationship Id="rId30" Type="http://schemas.openxmlformats.org/officeDocument/2006/relationships/image" Target="media/image13.emf"/><Relationship Id="rId8" Type="http://schemas.openxmlformats.org/officeDocument/2006/relationships/hyperlink" Target="mailto:*jean@ufscar.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2089</TotalTime>
  <Pages>6</Pages>
  <Words>9587</Words>
  <Characters>51773</Characters>
  <Application>Microsoft Office Word</Application>
  <DocSecurity>0</DocSecurity>
  <Lines>431</Lines>
  <Paragraphs>122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josé lucas vieira</cp:lastModifiedBy>
  <cp:revision>180</cp:revision>
  <dcterms:created xsi:type="dcterms:W3CDTF">2022-12-12T17:08:00Z</dcterms:created>
  <dcterms:modified xsi:type="dcterms:W3CDTF">2023-06-19T19:21:00Z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http://www.zotero.org/styles/acs-applied-materials-and-interfaces</vt:lpwstr>
  </property>
  <property fmtid="{D5CDD505-2E9C-101B-9397-08002B2CF9AE}" pid="3" name="Mendeley Recent Style Name 0_1">
    <vt:lpwstr>ACS Applied Materials &amp; Interfaces</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http://www.zotero.org/styles/applied-catalysis-b-environmental</vt:lpwstr>
  </property>
  <property fmtid="{D5CDD505-2E9C-101B-9397-08002B2CF9AE}" pid="9" name="Mendeley Recent Style Name 3_1">
    <vt:lpwstr>Applied Catalysis B: Environmental</vt:lpwstr>
  </property>
  <property fmtid="{D5CDD505-2E9C-101B-9397-08002B2CF9AE}" pid="10" name="Mendeley Recent Style Id 4_1">
    <vt:lpwstr>http://csl.mendeley.com/styles/556661811/22CBCat</vt:lpwstr>
  </property>
  <property fmtid="{D5CDD505-2E9C-101B-9397-08002B2CF9AE}" pid="11" name="Mendeley Recent Style Name 4_1">
    <vt:lpwstr>CBCat - José Lucas Vieira</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http://www.zotero.org/styles/journal-of-catalysis</vt:lpwstr>
  </property>
  <property fmtid="{D5CDD505-2E9C-101B-9397-08002B2CF9AE}" pid="17" name="Mendeley Recent Style Name 7_1">
    <vt:lpwstr>Journal of Catalysis</vt:lpwstr>
  </property>
  <property fmtid="{D5CDD505-2E9C-101B-9397-08002B2CF9AE}" pid="18" name="Mendeley Recent Style Id 8_1">
    <vt:lpwstr>http://www.zotero.org/styles/journal-of-the-american-chemical-society</vt:lpwstr>
  </property>
  <property fmtid="{D5CDD505-2E9C-101B-9397-08002B2CF9AE}" pid="19" name="Mendeley Recent Style Name 8_1">
    <vt:lpwstr>Journal of the American Chemical Society</vt:lpwstr>
  </property>
  <property fmtid="{D5CDD505-2E9C-101B-9397-08002B2CF9AE}" pid="20" name="Mendeley Recent Style Id 9_1">
    <vt:lpwstr>http://www.zotero.org/styles/microporous-and-mesoporous-materials</vt:lpwstr>
  </property>
  <property fmtid="{D5CDD505-2E9C-101B-9397-08002B2CF9AE}" pid="21" name="Mendeley Recent Style Name 9_1">
    <vt:lpwstr>Microporous and Mesoporous Materials</vt:lpwstr>
  </property>
  <property fmtid="{D5CDD505-2E9C-101B-9397-08002B2CF9AE}" pid="22" name="Mendeley Document_1">
    <vt:lpwstr>True</vt:lpwstr>
  </property>
  <property fmtid="{D5CDD505-2E9C-101B-9397-08002B2CF9AE}" pid="23" name="Mendeley Citation Style_1">
    <vt:lpwstr>http://csl.mendeley.com/styles/556661811/22CBCat</vt:lpwstr>
  </property>
  <property fmtid="{D5CDD505-2E9C-101B-9397-08002B2CF9AE}" pid="24" name="Mendeley Unique User Id_1">
    <vt:lpwstr>cb4c85f0-02f5-3487-a5ad-20871640d940</vt:lpwstr>
  </property>
</Properties>
</file>