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2608"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bookmarkEnd w:id="0"/>
    <w:p w14:paraId="2403795F" w14:textId="1A8AE659" w:rsidR="006D3832" w:rsidRPr="00685D5A" w:rsidRDefault="006D3832" w:rsidP="006D3832">
      <w:pPr>
        <w:pStyle w:val="BATitle"/>
        <w:spacing w:before="0" w:after="0" w:line="240" w:lineRule="auto"/>
        <w:ind w:right="0"/>
        <w:jc w:val="both"/>
        <w:rPr>
          <w:sz w:val="32"/>
        </w:rPr>
      </w:pPr>
      <w:r w:rsidRPr="00D64AB3">
        <w:rPr>
          <w:sz w:val="32"/>
        </w:rPr>
        <w:t>New Mn(II) NHC complex photocatalyst for the CRP2 reactions</w:t>
      </w:r>
    </w:p>
    <w:p w14:paraId="3453F087" w14:textId="77777777" w:rsidR="006D3832" w:rsidRPr="00FA12C6" w:rsidRDefault="006D3832" w:rsidP="006D3832">
      <w:pPr>
        <w:pStyle w:val="BBAuthorName"/>
        <w:spacing w:after="120"/>
        <w:ind w:right="0"/>
        <w:jc w:val="both"/>
        <w:rPr>
          <w:rFonts w:ascii="Times New Roman" w:hAnsi="Times New Roman"/>
          <w:bCs/>
          <w:sz w:val="20"/>
        </w:rPr>
      </w:pPr>
    </w:p>
    <w:p w14:paraId="133F3BAB" w14:textId="77777777" w:rsidR="006D3832" w:rsidRPr="00685D5A" w:rsidRDefault="006D3832" w:rsidP="006D3832">
      <w:pPr>
        <w:pStyle w:val="BBAuthorName"/>
        <w:spacing w:after="120"/>
        <w:ind w:right="0"/>
        <w:jc w:val="both"/>
        <w:rPr>
          <w:rFonts w:ascii="Times New Roman" w:hAnsi="Times New Roman"/>
          <w:bCs/>
          <w:sz w:val="20"/>
          <w:lang w:val="pt-BR"/>
        </w:rPr>
      </w:pPr>
      <w:r w:rsidRPr="00685D5A">
        <w:rPr>
          <w:rFonts w:ascii="Times New Roman" w:hAnsi="Times New Roman"/>
          <w:bCs/>
          <w:sz w:val="20"/>
          <w:lang w:val="pt-BR"/>
        </w:rPr>
        <w:t>Camila Bignardi</w:t>
      </w:r>
      <w:r w:rsidRPr="00685D5A">
        <w:rPr>
          <w:rFonts w:ascii="Times New Roman" w:hAnsi="Times New Roman"/>
          <w:bCs/>
          <w:sz w:val="20"/>
          <w:vertAlign w:val="superscript"/>
          <w:lang w:val="pt-BR"/>
        </w:rPr>
        <w:t>1</w:t>
      </w:r>
      <w:r w:rsidRPr="00685D5A">
        <w:rPr>
          <w:rFonts w:ascii="Times New Roman" w:hAnsi="Times New Roman"/>
          <w:bCs/>
          <w:sz w:val="20"/>
          <w:lang w:val="pt-BR"/>
        </w:rPr>
        <w:t>, Naralyne M. Pesqueira</w:t>
      </w:r>
      <w:r w:rsidRPr="00685D5A">
        <w:rPr>
          <w:rFonts w:ascii="Times New Roman" w:hAnsi="Times New Roman"/>
          <w:bCs/>
          <w:sz w:val="20"/>
          <w:vertAlign w:val="superscript"/>
          <w:lang w:val="pt-BR"/>
        </w:rPr>
        <w:t>1</w:t>
      </w:r>
      <w:r w:rsidRPr="00685D5A">
        <w:rPr>
          <w:rFonts w:ascii="Times New Roman" w:hAnsi="Times New Roman"/>
          <w:bCs/>
          <w:sz w:val="20"/>
          <w:lang w:val="pt-BR"/>
        </w:rPr>
        <w:t>, Yasmin M. Shimizo,</w:t>
      </w:r>
      <w:r w:rsidRPr="00685D5A">
        <w:rPr>
          <w:rFonts w:ascii="Times New Roman" w:hAnsi="Times New Roman"/>
          <w:bCs/>
          <w:sz w:val="20"/>
          <w:vertAlign w:val="superscript"/>
          <w:lang w:val="pt-BR"/>
        </w:rPr>
        <w:t>1</w:t>
      </w:r>
      <w:r w:rsidRPr="00685D5A">
        <w:rPr>
          <w:rFonts w:ascii="Times New Roman" w:hAnsi="Times New Roman"/>
          <w:bCs/>
          <w:sz w:val="20"/>
          <w:lang w:val="pt-BR"/>
        </w:rPr>
        <w:t xml:space="preserve"> Valdemiro P. Carvalho Jr.</w:t>
      </w:r>
      <w:r w:rsidRPr="00685D5A">
        <w:rPr>
          <w:rFonts w:ascii="Times New Roman" w:hAnsi="Times New Roman"/>
          <w:bCs/>
          <w:sz w:val="20"/>
          <w:vertAlign w:val="superscript"/>
          <w:lang w:val="pt-BR"/>
        </w:rPr>
        <w:t>1</w:t>
      </w:r>
      <w:r w:rsidRPr="00685D5A">
        <w:rPr>
          <w:rFonts w:ascii="Times New Roman" w:hAnsi="Times New Roman"/>
          <w:bCs/>
          <w:sz w:val="20"/>
          <w:lang w:val="pt-BR"/>
        </w:rPr>
        <w:t>, Beatriz E. Goi.</w:t>
      </w:r>
      <w:r>
        <w:rPr>
          <w:rFonts w:ascii="Times New Roman" w:hAnsi="Times New Roman"/>
          <w:bCs/>
          <w:sz w:val="20"/>
          <w:lang w:val="pt-BR"/>
        </w:rPr>
        <w:t xml:space="preserve"> </w:t>
      </w:r>
      <w:r w:rsidRPr="00685D5A">
        <w:rPr>
          <w:rFonts w:ascii="Times New Roman" w:hAnsi="Times New Roman"/>
          <w:bCs/>
          <w:sz w:val="20"/>
          <w:vertAlign w:val="superscript"/>
          <w:lang w:val="pt-BR"/>
        </w:rPr>
        <w:t>1</w:t>
      </w:r>
    </w:p>
    <w:p w14:paraId="7BE0D3AD" w14:textId="77777777" w:rsidR="006D3832" w:rsidRDefault="006D3832" w:rsidP="006D3832">
      <w:pPr>
        <w:pStyle w:val="BCAuthorAddress"/>
        <w:spacing w:after="0"/>
        <w:ind w:right="0"/>
        <w:jc w:val="both"/>
        <w:rPr>
          <w:lang w:val="pt-BR"/>
        </w:rPr>
      </w:pPr>
      <w:r w:rsidRPr="00CB3F18">
        <w:rPr>
          <w:vertAlign w:val="superscript"/>
          <w:lang w:val="pt-BR"/>
        </w:rPr>
        <w:t>1</w:t>
      </w:r>
      <w:r w:rsidRPr="00CB3F18">
        <w:rPr>
          <w:lang w:val="pt-BR"/>
        </w:rPr>
        <w:t xml:space="preserve"> Departamento de Química e Bioquímica, FCT-UNESP, Presidente Prudente.</w:t>
      </w:r>
      <w:r w:rsidRPr="00CB3F18">
        <w:rPr>
          <w:rStyle w:val="Refdenotadefim"/>
          <w:lang w:val="pt-BR"/>
        </w:rPr>
        <w:endnoteReference w:id="1"/>
      </w:r>
    </w:p>
    <w:p w14:paraId="7B259BC4" w14:textId="77777777" w:rsidR="006D3832" w:rsidRPr="00CB3F18" w:rsidRDefault="006D3832" w:rsidP="006D3832">
      <w:pPr>
        <w:rPr>
          <w:rFonts w:ascii="Times New Roman" w:hAnsi="Times New Roman" w:cs="Times New Roman"/>
          <w:i/>
          <w:iCs/>
          <w:lang w:eastAsia="pt-BR"/>
        </w:rPr>
      </w:pPr>
      <w:r w:rsidRPr="00CB3F18">
        <w:rPr>
          <w:rFonts w:ascii="Times New Roman" w:hAnsi="Times New Roman" w:cs="Times New Roman"/>
          <w:i/>
          <w:iCs/>
          <w:lang w:eastAsia="pt-BR"/>
        </w:rPr>
        <w:t>c.bignardi@unesp.br; beatriz.goi@unes.br *</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742E3176" w:rsidR="00EA4E1B" w:rsidRPr="00DA4DFC" w:rsidRDefault="00EA4E1B" w:rsidP="006D3832">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RESUMO -</w:t>
      </w:r>
      <w:r w:rsidR="006D3832" w:rsidRPr="006D3832">
        <w:rPr>
          <w:lang w:val="pt-BR"/>
        </w:rPr>
        <w:t xml:space="preserve"> </w:t>
      </w:r>
      <w:r w:rsidR="006D3832" w:rsidRPr="006D3832">
        <w:rPr>
          <w:rFonts w:ascii="Times New Roman" w:hAnsi="Times New Roman"/>
          <w:b w:val="0"/>
          <w:sz w:val="20"/>
          <w:lang w:val="pt-BR"/>
        </w:rPr>
        <w:t xml:space="preserve">O complexo </w:t>
      </w:r>
      <w:r w:rsidR="00EC46EC" w:rsidRPr="00EC46EC">
        <w:rPr>
          <w:rFonts w:ascii="Times New Roman" w:hAnsi="Times New Roman"/>
          <w:b w:val="0"/>
          <w:sz w:val="20"/>
          <w:lang w:val="pt-BR"/>
        </w:rPr>
        <w:t>[Mn</w:t>
      </w:r>
      <w:r w:rsidR="00EC46EC" w:rsidRPr="00EC46EC">
        <w:rPr>
          <w:rFonts w:ascii="Times New Roman" w:hAnsi="Times New Roman"/>
          <w:b w:val="0"/>
          <w:sz w:val="20"/>
          <w:vertAlign w:val="superscript"/>
          <w:lang w:val="pt-BR"/>
        </w:rPr>
        <w:t>II</w:t>
      </w:r>
      <w:r w:rsidR="00EC46EC" w:rsidRPr="00EC46EC">
        <w:rPr>
          <w:rFonts w:ascii="Times New Roman" w:hAnsi="Times New Roman"/>
          <w:b w:val="0"/>
          <w:sz w:val="20"/>
          <w:lang w:val="pt-BR"/>
        </w:rPr>
        <w:t>(</w:t>
      </w:r>
      <w:r w:rsidR="00EC46EC" w:rsidRPr="00EC46EC">
        <w:rPr>
          <w:rFonts w:ascii="Times New Roman" w:hAnsi="Times New Roman"/>
          <w:b w:val="0"/>
          <w:i/>
          <w:iCs/>
          <w:sz w:val="20"/>
          <w:lang w:val="pt-BR"/>
        </w:rPr>
        <w:t>py</w:t>
      </w:r>
      <w:r w:rsidR="00EC46EC" w:rsidRPr="00EC46EC">
        <w:rPr>
          <w:rFonts w:ascii="Times New Roman" w:hAnsi="Times New Roman"/>
          <w:b w:val="0"/>
          <w:sz w:val="20"/>
          <w:lang w:val="pt-BR"/>
        </w:rPr>
        <w:t>-mes)</w:t>
      </w:r>
      <w:r w:rsidR="00EC46EC" w:rsidRPr="00EC46EC">
        <w:rPr>
          <w:rFonts w:ascii="Times New Roman" w:hAnsi="Times New Roman"/>
          <w:b w:val="0"/>
          <w:sz w:val="20"/>
          <w:vertAlign w:val="subscript"/>
          <w:lang w:val="pt-BR"/>
        </w:rPr>
        <w:t>2</w:t>
      </w:r>
      <w:r w:rsidR="00EC46EC" w:rsidRPr="00EC46EC">
        <w:rPr>
          <w:rFonts w:ascii="Times New Roman" w:hAnsi="Times New Roman"/>
          <w:b w:val="0"/>
          <w:sz w:val="20"/>
          <w:lang w:val="pt-BR"/>
        </w:rPr>
        <w:t>](PF</w:t>
      </w:r>
      <w:r w:rsidR="00EC46EC" w:rsidRPr="00EC46EC">
        <w:rPr>
          <w:rFonts w:ascii="Times New Roman" w:hAnsi="Times New Roman"/>
          <w:b w:val="0"/>
          <w:sz w:val="20"/>
          <w:vertAlign w:val="subscript"/>
          <w:lang w:val="pt-BR"/>
        </w:rPr>
        <w:t>6</w:t>
      </w:r>
      <w:r w:rsidR="00EC46EC" w:rsidRPr="00EC46EC">
        <w:rPr>
          <w:rFonts w:ascii="Times New Roman" w:hAnsi="Times New Roman"/>
          <w:b w:val="0"/>
          <w:sz w:val="20"/>
          <w:lang w:val="pt-BR"/>
        </w:rPr>
        <w:t>)</w:t>
      </w:r>
      <w:r w:rsidR="00EC46EC" w:rsidRPr="00EC46EC">
        <w:rPr>
          <w:rFonts w:ascii="Times New Roman" w:hAnsi="Times New Roman"/>
          <w:b w:val="0"/>
          <w:sz w:val="20"/>
          <w:vertAlign w:val="subscript"/>
          <w:lang w:val="pt-BR"/>
        </w:rPr>
        <w:t>2</w:t>
      </w:r>
      <w:r w:rsidR="00EC46EC" w:rsidRPr="00EC46EC">
        <w:rPr>
          <w:rFonts w:ascii="Times New Roman" w:hAnsi="Times New Roman"/>
          <w:b w:val="0"/>
          <w:sz w:val="20"/>
          <w:lang w:val="pt-BR"/>
        </w:rPr>
        <w:t xml:space="preserve"> </w:t>
      </w:r>
      <w:r w:rsidR="006D3832" w:rsidRPr="006D3832">
        <w:rPr>
          <w:rFonts w:ascii="Times New Roman" w:hAnsi="Times New Roman"/>
          <w:b w:val="0"/>
          <w:sz w:val="20"/>
          <w:lang w:val="pt-BR"/>
        </w:rPr>
        <w:t xml:space="preserve">foi sintetizado a partir do NHC, py-mesetilimidazol, e posteriormente caracterizado. O ligante py-mesetil foi caracterizado por FTIR, UV-Vis, espectroscopia de fluorescência e RMN de 1H e o complexo </w:t>
      </w:r>
      <w:r w:rsidR="00EC46EC" w:rsidRPr="00EC46EC">
        <w:rPr>
          <w:rFonts w:ascii="Times New Roman" w:hAnsi="Times New Roman"/>
          <w:b w:val="0"/>
          <w:sz w:val="20"/>
          <w:lang w:val="pt-BR"/>
        </w:rPr>
        <w:t>[Mn</w:t>
      </w:r>
      <w:r w:rsidR="00EC46EC" w:rsidRPr="00EC46EC">
        <w:rPr>
          <w:rFonts w:ascii="Times New Roman" w:hAnsi="Times New Roman"/>
          <w:b w:val="0"/>
          <w:sz w:val="20"/>
          <w:vertAlign w:val="superscript"/>
          <w:lang w:val="pt-BR"/>
        </w:rPr>
        <w:t>II</w:t>
      </w:r>
      <w:r w:rsidR="00EC46EC" w:rsidRPr="00EC46EC">
        <w:rPr>
          <w:rFonts w:ascii="Times New Roman" w:hAnsi="Times New Roman"/>
          <w:b w:val="0"/>
          <w:sz w:val="20"/>
          <w:lang w:val="pt-BR"/>
        </w:rPr>
        <w:t>(</w:t>
      </w:r>
      <w:r w:rsidR="00EC46EC" w:rsidRPr="00EC46EC">
        <w:rPr>
          <w:rFonts w:ascii="Times New Roman" w:hAnsi="Times New Roman"/>
          <w:b w:val="0"/>
          <w:i/>
          <w:iCs/>
          <w:sz w:val="20"/>
          <w:lang w:val="pt-BR"/>
        </w:rPr>
        <w:t>py</w:t>
      </w:r>
      <w:r w:rsidR="00EC46EC" w:rsidRPr="00EC46EC">
        <w:rPr>
          <w:rFonts w:ascii="Times New Roman" w:hAnsi="Times New Roman"/>
          <w:b w:val="0"/>
          <w:sz w:val="20"/>
          <w:lang w:val="pt-BR"/>
        </w:rPr>
        <w:t>-mes)</w:t>
      </w:r>
      <w:r w:rsidR="00EC46EC" w:rsidRPr="00EC46EC">
        <w:rPr>
          <w:rFonts w:ascii="Times New Roman" w:hAnsi="Times New Roman"/>
          <w:b w:val="0"/>
          <w:sz w:val="20"/>
          <w:vertAlign w:val="subscript"/>
          <w:lang w:val="pt-BR"/>
        </w:rPr>
        <w:t>2</w:t>
      </w:r>
      <w:r w:rsidR="00EC46EC" w:rsidRPr="00EC46EC">
        <w:rPr>
          <w:rFonts w:ascii="Times New Roman" w:hAnsi="Times New Roman"/>
          <w:b w:val="0"/>
          <w:sz w:val="20"/>
          <w:lang w:val="pt-BR"/>
        </w:rPr>
        <w:t>](PF</w:t>
      </w:r>
      <w:r w:rsidR="00EC46EC" w:rsidRPr="00EC46EC">
        <w:rPr>
          <w:rFonts w:ascii="Times New Roman" w:hAnsi="Times New Roman"/>
          <w:b w:val="0"/>
          <w:sz w:val="20"/>
          <w:vertAlign w:val="subscript"/>
          <w:lang w:val="pt-BR"/>
        </w:rPr>
        <w:t>6</w:t>
      </w:r>
      <w:r w:rsidR="00EC46EC" w:rsidRPr="00EC46EC">
        <w:rPr>
          <w:rFonts w:ascii="Times New Roman" w:hAnsi="Times New Roman"/>
          <w:b w:val="0"/>
          <w:sz w:val="20"/>
          <w:lang w:val="pt-BR"/>
        </w:rPr>
        <w:t>)</w:t>
      </w:r>
      <w:r w:rsidR="00EC46EC" w:rsidRPr="00EC46EC">
        <w:rPr>
          <w:rFonts w:ascii="Times New Roman" w:hAnsi="Times New Roman"/>
          <w:b w:val="0"/>
          <w:sz w:val="20"/>
          <w:vertAlign w:val="subscript"/>
          <w:lang w:val="pt-BR"/>
        </w:rPr>
        <w:t>2</w:t>
      </w:r>
      <w:r w:rsidR="00EC46EC" w:rsidRPr="00EC46EC">
        <w:rPr>
          <w:rFonts w:ascii="Times New Roman" w:hAnsi="Times New Roman"/>
          <w:b w:val="0"/>
          <w:sz w:val="20"/>
          <w:lang w:val="pt-BR"/>
        </w:rPr>
        <w:t xml:space="preserve"> </w:t>
      </w:r>
      <w:r w:rsidR="006D3832" w:rsidRPr="006D3832">
        <w:rPr>
          <w:rFonts w:ascii="Times New Roman" w:hAnsi="Times New Roman"/>
          <w:b w:val="0"/>
          <w:sz w:val="20"/>
          <w:lang w:val="pt-BR"/>
        </w:rPr>
        <w:t>por FTIR e UV-Vis, voltametria cíclica, MALDi-TOF e espectroscopia de fluorescência. O complexo foi estudado fotofisicamente na presença dos aditivos da polimerização em 365 nm, tendo sido calculada a constante de Stern-Volmer (KSV = 0,387 M-1). Além disso, o comportamento do complexo obtido frente à irradiação em 365 nm também foi avaliado. O complexo sintetizado mostrou-se ativo como fotocatalisador na CRP2 do acrilato de metila (MA), utilizando α-bromofenilacetato (EBPA), como iniciador, e a trietilamina (TEA). Os polímeros obtidos apresentaram massas uniformes com Đ &lt; 2. A melhor condição para a fotocatálise foi na razão molar de [MA/EBr/Mn/TEA] = 200/1/0,12/1 com Mn = 160000 g•mol‒1 e Đ = 1,4 com 73% de conversão. A mesma razão foi utilizada no acompanhamento cinético da polimerização, mostrando que o complexo além de catalisar uma reação de pseudo-primeira ordem (kobs= 2,1×10‒3 min‒1) mantém o sistema moderadamente controlado.</w:t>
      </w:r>
    </w:p>
    <w:p w14:paraId="55FA40DA" w14:textId="4583FA7B" w:rsidR="00EC46EC" w:rsidRPr="00EC46EC" w:rsidRDefault="00EA4E1B" w:rsidP="00EA4E1B">
      <w:pPr>
        <w:pStyle w:val="BDAbstract"/>
        <w:spacing w:before="0" w:after="0" w:line="240" w:lineRule="auto"/>
        <w:rPr>
          <w:rFonts w:ascii="Times New Roman" w:hAnsi="Times New Roman"/>
          <w:b w:val="0"/>
          <w:sz w:val="20"/>
        </w:rPr>
      </w:pPr>
      <w:r w:rsidRPr="00EC46EC">
        <w:rPr>
          <w:rFonts w:ascii="Times New Roman" w:hAnsi="Times New Roman"/>
          <w:b w:val="0"/>
          <w:sz w:val="20"/>
        </w:rPr>
        <w:t xml:space="preserve">ABSTRACT </w:t>
      </w:r>
      <w:r w:rsidR="00EC46EC" w:rsidRPr="00EC46EC">
        <w:rPr>
          <w:rFonts w:ascii="Times New Roman" w:hAnsi="Times New Roman"/>
          <w:b w:val="0"/>
          <w:sz w:val="20"/>
        </w:rPr>
        <w:t>–</w:t>
      </w:r>
      <w:r w:rsidRPr="00EC46EC">
        <w:rPr>
          <w:rFonts w:ascii="Times New Roman" w:hAnsi="Times New Roman"/>
          <w:b w:val="0"/>
          <w:sz w:val="20"/>
        </w:rPr>
        <w:t xml:space="preserve"> </w:t>
      </w:r>
      <w:r w:rsidR="00EC46EC" w:rsidRPr="00EC46EC">
        <w:rPr>
          <w:rFonts w:ascii="Times New Roman" w:hAnsi="Times New Roman"/>
          <w:b w:val="0"/>
          <w:sz w:val="20"/>
        </w:rPr>
        <w:t>The [Mn</w:t>
      </w:r>
      <w:r w:rsidR="00EC46EC" w:rsidRPr="00EC46EC">
        <w:rPr>
          <w:rFonts w:ascii="Times New Roman" w:hAnsi="Times New Roman"/>
          <w:b w:val="0"/>
          <w:sz w:val="20"/>
          <w:vertAlign w:val="superscript"/>
        </w:rPr>
        <w:t>II</w:t>
      </w:r>
      <w:r w:rsidR="00EC46EC" w:rsidRPr="00EC46EC">
        <w:rPr>
          <w:rFonts w:ascii="Times New Roman" w:hAnsi="Times New Roman"/>
          <w:b w:val="0"/>
          <w:sz w:val="20"/>
        </w:rPr>
        <w:t>(</w:t>
      </w:r>
      <w:r w:rsidR="00EC46EC" w:rsidRPr="00EC46EC">
        <w:rPr>
          <w:rFonts w:ascii="Times New Roman" w:hAnsi="Times New Roman"/>
          <w:b w:val="0"/>
          <w:i/>
          <w:iCs/>
          <w:sz w:val="20"/>
        </w:rPr>
        <w:t>py</w:t>
      </w:r>
      <w:r w:rsidR="00EC46EC" w:rsidRPr="00EC46EC">
        <w:rPr>
          <w:rFonts w:ascii="Times New Roman" w:hAnsi="Times New Roman"/>
          <w:b w:val="0"/>
          <w:sz w:val="20"/>
        </w:rPr>
        <w:t>-mes)</w:t>
      </w:r>
      <w:r w:rsidR="00EC46EC" w:rsidRPr="00EC46EC">
        <w:rPr>
          <w:rFonts w:ascii="Times New Roman" w:hAnsi="Times New Roman"/>
          <w:b w:val="0"/>
          <w:sz w:val="20"/>
          <w:vertAlign w:val="subscript"/>
        </w:rPr>
        <w:t>2</w:t>
      </w:r>
      <w:r w:rsidR="00EC46EC" w:rsidRPr="00EC46EC">
        <w:rPr>
          <w:rFonts w:ascii="Times New Roman" w:hAnsi="Times New Roman"/>
          <w:b w:val="0"/>
          <w:sz w:val="20"/>
        </w:rPr>
        <w:t>](PF</w:t>
      </w:r>
      <w:r w:rsidR="00EC46EC" w:rsidRPr="00EC46EC">
        <w:rPr>
          <w:rFonts w:ascii="Times New Roman" w:hAnsi="Times New Roman"/>
          <w:b w:val="0"/>
          <w:sz w:val="20"/>
          <w:vertAlign w:val="subscript"/>
        </w:rPr>
        <w:t>6</w:t>
      </w:r>
      <w:r w:rsidR="00EC46EC" w:rsidRPr="00EC46EC">
        <w:rPr>
          <w:rFonts w:ascii="Times New Roman" w:hAnsi="Times New Roman"/>
          <w:b w:val="0"/>
          <w:sz w:val="20"/>
        </w:rPr>
        <w:t>)</w:t>
      </w:r>
      <w:r w:rsidR="00EC46EC" w:rsidRPr="00EC46EC">
        <w:rPr>
          <w:rFonts w:ascii="Times New Roman" w:hAnsi="Times New Roman"/>
          <w:b w:val="0"/>
          <w:sz w:val="20"/>
          <w:vertAlign w:val="subscript"/>
        </w:rPr>
        <w:t>2</w:t>
      </w:r>
      <w:r w:rsidR="00EC46EC" w:rsidRPr="00EC46EC">
        <w:rPr>
          <w:rFonts w:ascii="Times New Roman" w:hAnsi="Times New Roman"/>
          <w:b w:val="0"/>
          <w:sz w:val="20"/>
        </w:rPr>
        <w:t xml:space="preserve"> complex was synthesized from the NHC, py-mesethylimidazole, and further characterized. The py-mesetil ligand was characterized by FTIR, UV-Vis, fluorescence spectroscopy and 1H NMR and the [Mn</w:t>
      </w:r>
      <w:r w:rsidR="00EC46EC" w:rsidRPr="00EC46EC">
        <w:rPr>
          <w:rFonts w:ascii="Times New Roman" w:hAnsi="Times New Roman"/>
          <w:b w:val="0"/>
          <w:sz w:val="20"/>
          <w:vertAlign w:val="superscript"/>
        </w:rPr>
        <w:t>II</w:t>
      </w:r>
      <w:r w:rsidR="00EC46EC" w:rsidRPr="00EC46EC">
        <w:rPr>
          <w:rFonts w:ascii="Times New Roman" w:hAnsi="Times New Roman"/>
          <w:b w:val="0"/>
          <w:sz w:val="20"/>
        </w:rPr>
        <w:t>(</w:t>
      </w:r>
      <w:r w:rsidR="00EC46EC" w:rsidRPr="00EC46EC">
        <w:rPr>
          <w:rFonts w:ascii="Times New Roman" w:hAnsi="Times New Roman"/>
          <w:b w:val="0"/>
          <w:i/>
          <w:iCs/>
          <w:sz w:val="20"/>
        </w:rPr>
        <w:t>py</w:t>
      </w:r>
      <w:r w:rsidR="00EC46EC" w:rsidRPr="00EC46EC">
        <w:rPr>
          <w:rFonts w:ascii="Times New Roman" w:hAnsi="Times New Roman"/>
          <w:b w:val="0"/>
          <w:sz w:val="20"/>
        </w:rPr>
        <w:t>-mes)</w:t>
      </w:r>
      <w:r w:rsidR="00EC46EC" w:rsidRPr="00EC46EC">
        <w:rPr>
          <w:rFonts w:ascii="Times New Roman" w:hAnsi="Times New Roman"/>
          <w:b w:val="0"/>
          <w:sz w:val="20"/>
          <w:vertAlign w:val="subscript"/>
        </w:rPr>
        <w:t>2</w:t>
      </w:r>
      <w:r w:rsidR="00EC46EC" w:rsidRPr="00EC46EC">
        <w:rPr>
          <w:rFonts w:ascii="Times New Roman" w:hAnsi="Times New Roman"/>
          <w:b w:val="0"/>
          <w:sz w:val="20"/>
        </w:rPr>
        <w:t>](PF</w:t>
      </w:r>
      <w:r w:rsidR="00EC46EC" w:rsidRPr="00EC46EC">
        <w:rPr>
          <w:rFonts w:ascii="Times New Roman" w:hAnsi="Times New Roman"/>
          <w:b w:val="0"/>
          <w:sz w:val="20"/>
          <w:vertAlign w:val="subscript"/>
        </w:rPr>
        <w:t>6</w:t>
      </w:r>
      <w:r w:rsidR="00EC46EC" w:rsidRPr="00EC46EC">
        <w:rPr>
          <w:rFonts w:ascii="Times New Roman" w:hAnsi="Times New Roman"/>
          <w:b w:val="0"/>
          <w:sz w:val="20"/>
        </w:rPr>
        <w:t>)</w:t>
      </w:r>
      <w:r w:rsidR="00EC46EC" w:rsidRPr="00EC46EC">
        <w:rPr>
          <w:rFonts w:ascii="Times New Roman" w:hAnsi="Times New Roman"/>
          <w:b w:val="0"/>
          <w:sz w:val="20"/>
          <w:vertAlign w:val="subscript"/>
        </w:rPr>
        <w:t>2</w:t>
      </w:r>
      <w:r w:rsidR="00EC46EC" w:rsidRPr="00EC46EC">
        <w:rPr>
          <w:rFonts w:ascii="Times New Roman" w:hAnsi="Times New Roman"/>
          <w:b w:val="0"/>
          <w:sz w:val="20"/>
        </w:rPr>
        <w:t xml:space="preserve"> complex by FTIR and UV-Vis, cyclic voltammetry, MALDi-TOF and fluorescence spectroscopy. The complex was photophysically studied in the presence of polymerization additives at 365 nm, and the Stern-Volmer constant (KSV = 0.387 M-1) was calculated. Furthermore, the behavior of the complex obtained against irradiation at 365 nm was also evaluated. The synthesized complex was active as a photocatalyst in methyl acrylate (MA) CRP2, using </w:t>
      </w:r>
      <w:r w:rsidR="00EC46EC" w:rsidRPr="00EC46EC">
        <w:rPr>
          <w:rFonts w:ascii="Times New Roman" w:hAnsi="Times New Roman"/>
          <w:b w:val="0"/>
          <w:sz w:val="20"/>
          <w:lang w:val="pt-BR"/>
        </w:rPr>
        <w:t>α</w:t>
      </w:r>
      <w:r w:rsidR="00EC46EC" w:rsidRPr="00EC46EC">
        <w:rPr>
          <w:rFonts w:ascii="Times New Roman" w:hAnsi="Times New Roman"/>
          <w:b w:val="0"/>
          <w:sz w:val="20"/>
        </w:rPr>
        <w:t>-bromophenylacetate (EBPA) as initiator and triethylamine (TEA). The obtained polymers presented uniform masses with Đ &lt; 2. The best condition for the photocatalysis was in the molar ratio of [MA/EBr/Mn/TEA] = 200/1/0.12/1 with Mn = 160000 g•mol‒1 and Đ = 1.4 with 73% conversion. The same ratio was used in the polymerization kinetic follow-up, showing that the complex, in addition to catalyzing a pseudo-first order reaction (kobs= 2.1×10‒3 min‒1), keeps the system moderately controlled.</w:t>
      </w:r>
    </w:p>
    <w:p w14:paraId="5F4A84E8" w14:textId="5484389C" w:rsidR="00EA4E1B" w:rsidRPr="00EC46EC" w:rsidRDefault="00EA4E1B" w:rsidP="00EA4E1B">
      <w:pPr>
        <w:pStyle w:val="BDAbstract"/>
        <w:spacing w:before="0" w:after="120" w:line="240" w:lineRule="auto"/>
        <w:rPr>
          <w:rFonts w:ascii="Times New Roman" w:hAnsi="Times New Roman"/>
          <w:b w:val="0"/>
          <w:i/>
          <w:sz w:val="20"/>
        </w:rPr>
      </w:pPr>
      <w:r w:rsidRPr="00EC46EC">
        <w:rPr>
          <w:rFonts w:ascii="Times New Roman" w:hAnsi="Times New Roman"/>
          <w:b w:val="0"/>
          <w:i/>
          <w:sz w:val="20"/>
        </w:rPr>
        <w:t>Keywords</w:t>
      </w:r>
      <w:r w:rsidR="00EC46EC" w:rsidRPr="00EC46EC">
        <w:t xml:space="preserve"> </w:t>
      </w:r>
      <w:r w:rsidR="00EC46EC" w:rsidRPr="00EC46EC">
        <w:rPr>
          <w:rFonts w:ascii="Times New Roman" w:hAnsi="Times New Roman"/>
          <w:b w:val="0"/>
          <w:i/>
          <w:sz w:val="20"/>
        </w:rPr>
        <w:t>N-heterocyclic carbenes, manganese(II), photacatalyst, CPR2</w:t>
      </w:r>
    </w:p>
    <w:bookmarkEnd w:id="1"/>
    <w:p w14:paraId="48D9B0C4" w14:textId="77777777" w:rsidR="00EA4E1B" w:rsidRPr="00EC46EC" w:rsidRDefault="00EA4E1B" w:rsidP="00EA4E1B">
      <w:pPr>
        <w:rPr>
          <w:lang w:val="en-US"/>
        </w:rPr>
        <w:sectPr w:rsidR="00EA4E1B" w:rsidRPr="00EC46EC" w:rsidSect="00EA4E1B">
          <w:headerReference w:type="default" r:id="rId8"/>
          <w:endnotePr>
            <w:numFmt w:val="decimal"/>
          </w:endnotePr>
          <w:pgSz w:w="11906" w:h="16838"/>
          <w:pgMar w:top="1418" w:right="1094" w:bottom="1418" w:left="567" w:header="709" w:footer="709" w:gutter="0"/>
          <w:cols w:space="708"/>
          <w:docGrid w:linePitch="360"/>
        </w:sectPr>
      </w:pPr>
    </w:p>
    <w:p w14:paraId="6B03F469" w14:textId="77777777" w:rsidR="006D3832" w:rsidRPr="00D7340B" w:rsidRDefault="006D3832" w:rsidP="006D3832">
      <w:pPr>
        <w:pStyle w:val="Ttulo2"/>
        <w:spacing w:before="0"/>
        <w:rPr>
          <w:rFonts w:ascii="Helvetica" w:hAnsi="Helvetica" w:cs="Helvetica"/>
          <w:sz w:val="24"/>
          <w:szCs w:val="24"/>
          <w:lang w:val="en-US"/>
        </w:rPr>
      </w:pPr>
      <w:r w:rsidRPr="00D7340B">
        <w:rPr>
          <w:rFonts w:ascii="Helvetica" w:hAnsi="Helvetica" w:cs="Helvetica"/>
          <w:sz w:val="24"/>
          <w:szCs w:val="24"/>
          <w:lang w:val="en-US"/>
        </w:rPr>
        <w:t>Introduction</w:t>
      </w:r>
    </w:p>
    <w:p w14:paraId="11C44CDE" w14:textId="41BD728F" w:rsidR="006D3832" w:rsidRDefault="006D3832" w:rsidP="006D3832">
      <w:pPr>
        <w:keepNext/>
        <w:spacing w:line="240" w:lineRule="auto"/>
        <w:ind w:firstLine="709"/>
        <w:jc w:val="both"/>
        <w:rPr>
          <w:rFonts w:ascii="Times New Roman" w:eastAsiaTheme="minorHAnsi" w:hAnsi="Times New Roman"/>
          <w:sz w:val="20"/>
          <w:szCs w:val="20"/>
          <w:lang w:val="en-US"/>
        </w:rPr>
      </w:pPr>
      <w:r w:rsidRPr="00C112F7">
        <w:rPr>
          <w:rFonts w:ascii="Times New Roman" w:eastAsiaTheme="minorHAnsi" w:hAnsi="Times New Roman"/>
          <w:sz w:val="20"/>
          <w:szCs w:val="20"/>
          <w:lang w:val="en-US"/>
        </w:rPr>
        <w:t>These last decades, controlled/living radical polymerization (CRP) has been the subject of intense efforts and great attention.</w:t>
      </w:r>
      <w:r w:rsidR="00337DB0">
        <w:rPr>
          <w:rFonts w:ascii="Times New Roman" w:eastAsiaTheme="minorHAnsi" w:hAnsi="Times New Roman"/>
          <w:sz w:val="20"/>
          <w:szCs w:val="20"/>
          <w:lang w:val="en-US"/>
        </w:rPr>
        <w:t>[</w:t>
      </w:r>
      <w:r w:rsidRPr="00337DB0">
        <w:rPr>
          <w:rFonts w:ascii="Times New Roman" w:eastAsiaTheme="minorHAnsi" w:hAnsi="Times New Roman"/>
          <w:sz w:val="20"/>
          <w:szCs w:val="20"/>
          <w:lang w:val="en-US"/>
        </w:rPr>
        <w:t>1,2</w:t>
      </w:r>
      <w:r w:rsidR="00337DB0">
        <w:rPr>
          <w:rFonts w:ascii="Times New Roman" w:eastAsiaTheme="minorHAnsi" w:hAnsi="Times New Roman"/>
          <w:sz w:val="20"/>
          <w:szCs w:val="20"/>
          <w:lang w:val="en-US"/>
        </w:rPr>
        <w:t>]</w:t>
      </w:r>
      <w:r w:rsidRPr="00C112F7">
        <w:rPr>
          <w:rFonts w:ascii="Times New Roman" w:eastAsiaTheme="minorHAnsi" w:hAnsi="Times New Roman"/>
          <w:sz w:val="20"/>
          <w:szCs w:val="20"/>
          <w:lang w:val="en-US"/>
        </w:rPr>
        <w:t xml:space="preserve"> More recently, the use of light in CRP has been introduced.</w:t>
      </w:r>
      <w:r w:rsidR="00337DB0">
        <w:rPr>
          <w:rFonts w:ascii="Times New Roman" w:eastAsiaTheme="minorHAnsi" w:hAnsi="Times New Roman"/>
          <w:sz w:val="20"/>
          <w:szCs w:val="20"/>
          <w:lang w:val="en-US"/>
        </w:rPr>
        <w:t>[</w:t>
      </w:r>
      <w:r w:rsidRPr="00337DB0">
        <w:rPr>
          <w:rFonts w:ascii="Times New Roman" w:eastAsiaTheme="minorHAnsi" w:hAnsi="Times New Roman"/>
          <w:sz w:val="20"/>
          <w:szCs w:val="20"/>
          <w:lang w:val="en-US"/>
        </w:rPr>
        <w:t>3</w:t>
      </w:r>
      <w:r w:rsidR="00337DB0">
        <w:rPr>
          <w:rFonts w:ascii="Times New Roman" w:eastAsiaTheme="minorHAnsi" w:hAnsi="Times New Roman"/>
          <w:sz w:val="20"/>
          <w:szCs w:val="20"/>
          <w:lang w:val="en-US"/>
        </w:rPr>
        <w:t>]</w:t>
      </w:r>
      <w:r w:rsidRPr="00C112F7">
        <w:rPr>
          <w:rFonts w:ascii="Times New Roman" w:eastAsiaTheme="minorHAnsi" w:hAnsi="Times New Roman"/>
          <w:sz w:val="20"/>
          <w:szCs w:val="20"/>
          <w:lang w:val="en-US"/>
        </w:rPr>
        <w:t xml:space="preserve">The controlled radical photopolymerization (CRP2) benefits of different advantages compared with CRP, including a spatial and temporal control of the polymerization reaction but also the possibility to carry out the polymer synthesis at room temperature to avoid undesired side reactions. CRP2 must be defined as a process where the light controls the opening of the dormant species (i.e., without light, the re-initiation does not take place). This is not a process where the initiation only is governed by light as with classical Type I or Type II photoinitiators (PI). CRP2 can offer many advantages: (i) the control of the molecular weight upon light irradiation, (ii) the copolymer synthesis at room temperature, (iii) the on/off polymerization on demand upon light irradiation, and (iv) surface modification and/or surface patterning that can be carried out with spatial control </w:t>
      </w:r>
      <w:r w:rsidRPr="00C112F7">
        <w:rPr>
          <w:rFonts w:ascii="Times New Roman" w:eastAsiaTheme="minorHAnsi" w:hAnsi="Times New Roman"/>
          <w:sz w:val="20"/>
          <w:szCs w:val="20"/>
          <w:lang w:val="en-US"/>
        </w:rPr>
        <w:t xml:space="preserve">in the light irradiated area. </w:t>
      </w:r>
      <w:r>
        <w:rPr>
          <w:rFonts w:ascii="Times New Roman" w:eastAsiaTheme="minorHAnsi" w:hAnsi="Times New Roman"/>
          <w:sz w:val="20"/>
          <w:szCs w:val="20"/>
          <w:lang w:val="en-US"/>
        </w:rPr>
        <w:t>The CRP2 reactions are based in the three-component initiating system.</w:t>
      </w:r>
    </w:p>
    <w:p w14:paraId="4E098F7A" w14:textId="77777777" w:rsidR="00EC46EC" w:rsidRDefault="006D3832" w:rsidP="00EC46EC">
      <w:pPr>
        <w:jc w:val="both"/>
        <w:rPr>
          <w:rFonts w:ascii="Times New Roman" w:eastAsiaTheme="minorHAnsi" w:hAnsi="Times New Roman" w:cs="Times New Roman"/>
          <w:lang w:val="en-US"/>
        </w:rPr>
      </w:pPr>
      <w:r w:rsidRPr="00EC46EC">
        <w:rPr>
          <w:rFonts w:ascii="Times New Roman" w:hAnsi="Times New Roman" w:cs="Times New Roman"/>
          <w:lang w:val="en-US"/>
        </w:rPr>
        <w:t xml:space="preserve"> </w:t>
      </w:r>
      <w:r w:rsidRPr="00EC46EC">
        <w:rPr>
          <w:rFonts w:ascii="Times New Roman" w:eastAsiaTheme="minorHAnsi" w:hAnsi="Times New Roman" w:cs="Times New Roman"/>
          <w:lang w:val="en-US"/>
        </w:rPr>
        <w:t>The CRP2 can occur using organic or metal centered photocatalyst. Several families of PCs have been checked for the generation of radicals usable in polymerization reactions under very soft conditions</w:t>
      </w:r>
      <w:r w:rsidR="00337DB0" w:rsidRPr="00EC46EC">
        <w:rPr>
          <w:rFonts w:ascii="Times New Roman" w:eastAsiaTheme="minorHAnsi" w:hAnsi="Times New Roman" w:cs="Times New Roman"/>
          <w:lang w:val="en-US"/>
        </w:rPr>
        <w:t>[</w:t>
      </w:r>
      <w:r w:rsidRPr="00EC46EC">
        <w:rPr>
          <w:rFonts w:ascii="Times New Roman" w:eastAsiaTheme="minorHAnsi" w:hAnsi="Times New Roman" w:cs="Times New Roman"/>
          <w:lang w:val="en-US"/>
        </w:rPr>
        <w:t>5–8</w:t>
      </w:r>
      <w:r w:rsidR="00337DB0" w:rsidRPr="00EC46EC">
        <w:rPr>
          <w:rFonts w:ascii="Times New Roman" w:eastAsiaTheme="minorHAnsi" w:hAnsi="Times New Roman" w:cs="Times New Roman"/>
          <w:lang w:val="en-US"/>
        </w:rPr>
        <w:t>]</w:t>
      </w:r>
      <w:r w:rsidRPr="00EC46EC">
        <w:rPr>
          <w:rFonts w:ascii="Times New Roman" w:eastAsiaTheme="minorHAnsi" w:hAnsi="Times New Roman" w:cs="Times New Roman"/>
          <w:lang w:val="en-US"/>
        </w:rPr>
        <w:t xml:space="preserve"> and their ability to operate in CRP2,</w:t>
      </w:r>
      <w:r w:rsidR="00337DB0" w:rsidRPr="00EC46EC">
        <w:rPr>
          <w:rFonts w:ascii="Times New Roman" w:eastAsiaTheme="minorHAnsi" w:hAnsi="Times New Roman" w:cs="Times New Roman"/>
          <w:lang w:val="en-US"/>
        </w:rPr>
        <w:t>[</w:t>
      </w:r>
      <w:r w:rsidRPr="00EC46EC">
        <w:rPr>
          <w:rFonts w:ascii="Times New Roman" w:eastAsiaTheme="minorHAnsi" w:hAnsi="Times New Roman" w:cs="Times New Roman"/>
          <w:lang w:val="en-US"/>
        </w:rPr>
        <w:t>9</w:t>
      </w:r>
      <w:r w:rsidR="00337DB0" w:rsidRPr="00EC46EC">
        <w:rPr>
          <w:rFonts w:ascii="Times New Roman" w:eastAsiaTheme="minorHAnsi" w:hAnsi="Times New Roman" w:cs="Times New Roman"/>
          <w:lang w:val="en-US"/>
        </w:rPr>
        <w:t xml:space="preserve">] </w:t>
      </w:r>
      <w:r w:rsidRPr="00EC46EC">
        <w:rPr>
          <w:rFonts w:ascii="Times New Roman" w:eastAsiaTheme="minorHAnsi" w:hAnsi="Times New Roman" w:cs="Times New Roman"/>
          <w:lang w:val="en-US"/>
        </w:rPr>
        <w:t>among them the Cu,</w:t>
      </w:r>
      <w:r w:rsidR="00EC46EC" w:rsidRPr="00EC46EC">
        <w:rPr>
          <w:rFonts w:ascii="Times New Roman" w:eastAsiaTheme="minorHAnsi" w:hAnsi="Times New Roman" w:cs="Times New Roman"/>
          <w:lang w:val="en-US"/>
        </w:rPr>
        <w:t xml:space="preserve"> </w:t>
      </w:r>
      <w:r w:rsidRPr="00EC46EC">
        <w:rPr>
          <w:rFonts w:ascii="Times New Roman" w:eastAsiaTheme="minorHAnsi" w:hAnsi="Times New Roman" w:cs="Times New Roman"/>
          <w:lang w:val="en-US"/>
        </w:rPr>
        <w:t>Ru, Ir and Fe complexes. The reaction mechanisms are usually described by photoredox catalytic cycle (Fig. 1).</w:t>
      </w:r>
    </w:p>
    <w:p w14:paraId="5C00C14A" w14:textId="30BFC05C" w:rsidR="00EC46EC" w:rsidRPr="00EC46EC" w:rsidRDefault="00EC46EC" w:rsidP="00EC46EC">
      <w:pPr>
        <w:jc w:val="center"/>
        <w:rPr>
          <w:rFonts w:ascii="Times New Roman" w:hAnsi="Times New Roman" w:cs="Times New Roman"/>
          <w:sz w:val="16"/>
          <w:szCs w:val="16"/>
        </w:rPr>
      </w:pPr>
      <w:r w:rsidRPr="00EC46EC">
        <w:rPr>
          <w:rFonts w:ascii="Times New Roman" w:hAnsi="Times New Roman" w:cs="Times New Roman"/>
          <w:sz w:val="16"/>
          <w:szCs w:val="16"/>
        </w:rPr>
        <w:object w:dxaOrig="10289" w:dyaOrig="6859" w14:anchorId="5ABDD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16.5pt" o:ole="">
            <v:imagedata r:id="rId9" o:title=""/>
          </v:shape>
          <o:OLEObject Type="Embed" ProgID="ChemDraw.Document.6.0" ShapeID="_x0000_i1025" DrawAspect="Content" ObjectID="_1750488001" r:id="rId10"/>
        </w:object>
      </w:r>
    </w:p>
    <w:p w14:paraId="106B25D5" w14:textId="6B16B236" w:rsidR="00EC46EC" w:rsidRPr="00EC46EC" w:rsidRDefault="00EC46EC" w:rsidP="00EC46EC">
      <w:pPr>
        <w:jc w:val="both"/>
        <w:rPr>
          <w:rFonts w:ascii="Times New Roman" w:hAnsi="Times New Roman" w:cs="Times New Roman"/>
          <w:sz w:val="16"/>
          <w:szCs w:val="16"/>
          <w:lang w:val="en-US"/>
        </w:rPr>
      </w:pPr>
      <w:r w:rsidRPr="00EC46EC">
        <w:rPr>
          <w:rFonts w:ascii="Times New Roman" w:hAnsi="Times New Roman" w:cs="Times New Roman"/>
          <w:sz w:val="16"/>
          <w:szCs w:val="16"/>
          <w:lang w:val="en-US"/>
        </w:rPr>
        <w:t xml:space="preserve">Figure </w:t>
      </w:r>
      <w:r w:rsidRPr="00EC46EC">
        <w:rPr>
          <w:rFonts w:ascii="Times New Roman" w:hAnsi="Times New Roman" w:cs="Times New Roman"/>
          <w:sz w:val="16"/>
          <w:szCs w:val="16"/>
        </w:rPr>
        <w:fldChar w:fldCharType="begin"/>
      </w:r>
      <w:r w:rsidRPr="00EC46EC">
        <w:rPr>
          <w:rFonts w:ascii="Times New Roman" w:hAnsi="Times New Roman" w:cs="Times New Roman"/>
          <w:sz w:val="16"/>
          <w:szCs w:val="16"/>
          <w:lang w:val="en-US"/>
        </w:rPr>
        <w:instrText xml:space="preserve"> SEQ Figure \* ARABIC </w:instrText>
      </w:r>
      <w:r w:rsidRPr="00EC46EC">
        <w:rPr>
          <w:rFonts w:ascii="Times New Roman" w:hAnsi="Times New Roman" w:cs="Times New Roman"/>
          <w:sz w:val="16"/>
          <w:szCs w:val="16"/>
        </w:rPr>
        <w:fldChar w:fldCharType="separate"/>
      </w:r>
      <w:r w:rsidRPr="00EC46EC">
        <w:rPr>
          <w:rFonts w:ascii="Times New Roman" w:hAnsi="Times New Roman" w:cs="Times New Roman"/>
          <w:noProof/>
          <w:sz w:val="16"/>
          <w:szCs w:val="16"/>
          <w:lang w:val="en-US"/>
        </w:rPr>
        <w:t>1</w:t>
      </w:r>
      <w:r w:rsidRPr="00EC46EC">
        <w:rPr>
          <w:rFonts w:ascii="Times New Roman" w:hAnsi="Times New Roman" w:cs="Times New Roman"/>
          <w:sz w:val="16"/>
          <w:szCs w:val="16"/>
        </w:rPr>
        <w:fldChar w:fldCharType="end"/>
      </w:r>
      <w:r w:rsidRPr="00EC46EC">
        <w:rPr>
          <w:rFonts w:ascii="Times New Roman" w:hAnsi="Times New Roman" w:cs="Times New Roman"/>
          <w:sz w:val="16"/>
          <w:szCs w:val="16"/>
          <w:lang w:val="en-US"/>
        </w:rPr>
        <w:t>. Mechanistic cycle for CRP2 reactions.</w:t>
      </w:r>
    </w:p>
    <w:p w14:paraId="7BFC5A9E" w14:textId="60F05DF4" w:rsidR="006D3832" w:rsidRPr="00C80175" w:rsidRDefault="006D3832" w:rsidP="006D3832">
      <w:pPr>
        <w:ind w:firstLine="708"/>
        <w:jc w:val="both"/>
        <w:rPr>
          <w:lang w:val="en-US"/>
        </w:rPr>
      </w:pPr>
      <w:r>
        <w:rPr>
          <w:rFonts w:ascii="Times New Roman" w:eastAsiaTheme="minorHAnsi" w:hAnsi="Times New Roman"/>
          <w:sz w:val="20"/>
          <w:szCs w:val="20"/>
          <w:lang w:val="en-US"/>
        </w:rPr>
        <w:t>T</w:t>
      </w:r>
      <w:r w:rsidRPr="00C80175">
        <w:rPr>
          <w:rFonts w:ascii="Times New Roman" w:eastAsiaTheme="minorHAnsi" w:hAnsi="Times New Roman"/>
          <w:sz w:val="20"/>
          <w:szCs w:val="20"/>
          <w:lang w:val="en-US"/>
        </w:rPr>
        <w:t xml:space="preserve">he first line transition metal complexes are considered promising to be used as photocatalysts. Numerous transition metal complexes such as V, Cr, Fe, Co, Ni, Cu, and Zn complexes have been explored as photocatalysts. With recent advances, manganese (Mn) has emerged as a valuable transition metal in reactions induced by visible light </w:t>
      </w:r>
      <w:r w:rsidR="00337DB0" w:rsidRPr="00337DB0">
        <w:rPr>
          <w:rFonts w:ascii="Times New Roman" w:eastAsiaTheme="minorHAnsi" w:hAnsi="Times New Roman"/>
          <w:sz w:val="20"/>
          <w:szCs w:val="20"/>
          <w:lang w:val="en-US"/>
        </w:rPr>
        <w:t>[10]</w:t>
      </w:r>
      <w:r w:rsidRPr="00C80175">
        <w:rPr>
          <w:rFonts w:ascii="Times New Roman" w:eastAsiaTheme="minorHAnsi" w:hAnsi="Times New Roman"/>
          <w:sz w:val="20"/>
          <w:szCs w:val="20"/>
          <w:lang w:val="en-US"/>
        </w:rPr>
        <w:t xml:space="preserve">. Catalysis using Mn promoted by visible light has recently evolved as a highly versatile tool to promote a wide range of organic transformations, being then able to induce organic reactions via photoinduced electron transfer. </w:t>
      </w:r>
      <w:r w:rsidR="00337DB0">
        <w:rPr>
          <w:rFonts w:ascii="Times New Roman" w:eastAsiaTheme="minorHAnsi" w:hAnsi="Times New Roman"/>
          <w:sz w:val="20"/>
          <w:szCs w:val="20"/>
          <w:lang w:val="en-US"/>
        </w:rPr>
        <w:t>[</w:t>
      </w:r>
      <w:r w:rsidR="00337DB0" w:rsidRPr="00337DB0">
        <w:rPr>
          <w:rFonts w:ascii="Times New Roman" w:eastAsiaTheme="minorHAnsi" w:hAnsi="Times New Roman"/>
          <w:sz w:val="20"/>
          <w:szCs w:val="20"/>
          <w:lang w:val="en-US"/>
        </w:rPr>
        <w:t>11,12]</w:t>
      </w:r>
      <w:r w:rsidR="00337DB0">
        <w:rPr>
          <w:rFonts w:ascii="Times New Roman" w:eastAsiaTheme="minorHAnsi" w:hAnsi="Times New Roman"/>
          <w:sz w:val="20"/>
          <w:szCs w:val="20"/>
          <w:vertAlign w:val="superscript"/>
          <w:lang w:val="en-US"/>
        </w:rPr>
        <w:t xml:space="preserve"> </w:t>
      </w:r>
      <w:r w:rsidRPr="00C80175">
        <w:rPr>
          <w:rFonts w:ascii="Times New Roman" w:eastAsiaTheme="minorHAnsi" w:hAnsi="Times New Roman"/>
          <w:sz w:val="20"/>
          <w:szCs w:val="20"/>
          <w:lang w:val="en-US"/>
        </w:rPr>
        <w:t>A great attention should be focused on manganese complexes. Indeed, compared with very expensive and sometimes toxic Ir or Ru complexes, Manganese-based structures are quite cheap and potentially much less toxic opening up applications in the biomaterial area.</w:t>
      </w:r>
    </w:p>
    <w:p w14:paraId="1B2D6719" w14:textId="77777777" w:rsidR="006D3832" w:rsidRPr="00C80175" w:rsidRDefault="006D3832" w:rsidP="006D3832">
      <w:pPr>
        <w:pStyle w:val="Ttulo2"/>
        <w:rPr>
          <w:rFonts w:ascii="Helvetica" w:hAnsi="Helvetica" w:cs="Helvetica"/>
          <w:sz w:val="24"/>
          <w:szCs w:val="24"/>
          <w:lang w:val="en-US"/>
        </w:rPr>
      </w:pPr>
      <w:r w:rsidRPr="00C80175">
        <w:rPr>
          <w:rFonts w:ascii="Helvetica" w:hAnsi="Helvetica" w:cs="Helvetica"/>
          <w:sz w:val="24"/>
          <w:szCs w:val="24"/>
          <w:lang w:val="en-US"/>
        </w:rPr>
        <w:t>Experimental</w:t>
      </w:r>
    </w:p>
    <w:p w14:paraId="37D8DBC3" w14:textId="77777777" w:rsidR="006D3832" w:rsidRPr="00BB0CC2" w:rsidRDefault="006D3832" w:rsidP="006D3832">
      <w:pPr>
        <w:spacing w:line="240" w:lineRule="auto"/>
        <w:jc w:val="both"/>
        <w:rPr>
          <w:rFonts w:ascii="Times New Roman" w:eastAsiaTheme="minorHAnsi" w:hAnsi="Times New Roman"/>
          <w:i/>
          <w:iCs/>
          <w:sz w:val="20"/>
          <w:szCs w:val="20"/>
          <w:lang w:val="en-US"/>
        </w:rPr>
      </w:pPr>
      <w:r w:rsidRPr="00BB0CC2">
        <w:rPr>
          <w:rFonts w:ascii="Times New Roman" w:eastAsiaTheme="minorHAnsi" w:hAnsi="Times New Roman" w:cs="Times New Roman"/>
          <w:i/>
          <w:iCs/>
          <w:sz w:val="20"/>
          <w:szCs w:val="20"/>
          <w:lang w:val="en-US"/>
        </w:rPr>
        <w:t>Synthesis of Mn(II) complexes bearing NHCs ligands</w:t>
      </w:r>
    </w:p>
    <w:p w14:paraId="15738BBA" w14:textId="069C85D4" w:rsidR="006D3832" w:rsidRPr="00BB0CC2" w:rsidRDefault="006D3832" w:rsidP="006D3832">
      <w:pPr>
        <w:spacing w:line="240" w:lineRule="auto"/>
        <w:ind w:firstLine="706"/>
        <w:contextualSpacing/>
        <w:jc w:val="both"/>
        <w:rPr>
          <w:rFonts w:ascii="Times New Roman" w:eastAsiaTheme="minorHAnsi" w:hAnsi="Times New Roman" w:cs="Times New Roman"/>
          <w:sz w:val="20"/>
          <w:szCs w:val="20"/>
          <w:lang w:val="en-US"/>
        </w:rPr>
      </w:pPr>
      <w:r w:rsidRPr="00BB0CC2">
        <w:rPr>
          <w:rFonts w:ascii="Times New Roman" w:eastAsiaTheme="minorHAnsi" w:hAnsi="Times New Roman" w:cs="Times New Roman"/>
          <w:sz w:val="20"/>
          <w:szCs w:val="20"/>
          <w:lang w:val="en-US"/>
        </w:rPr>
        <w:t xml:space="preserve">The synthesis of the Mn(II) complex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realized according to the following procedure: the NHC ligand (0.25 mmol), MnCl</w:t>
      </w:r>
      <w:r w:rsidRPr="00BB0CC2">
        <w:rPr>
          <w:rFonts w:ascii="Times New Roman" w:eastAsiaTheme="minorHAnsi" w:hAnsi="Times New Roman" w:cs="Times New Roman"/>
          <w:sz w:val="20"/>
          <w:szCs w:val="20"/>
          <w:vertAlign w:val="subscript"/>
          <w:lang w:val="en-US"/>
        </w:rPr>
        <w:t>2</w:t>
      </w:r>
      <w:r w:rsidRPr="00BB0CC2">
        <w:rPr>
          <w:rFonts w:ascii="Times New Roman" w:eastAsiaTheme="minorHAnsi" w:hAnsi="Times New Roman" w:cs="Times New Roman"/>
          <w:sz w:val="20"/>
          <w:szCs w:val="20"/>
          <w:lang w:val="en-US"/>
        </w:rPr>
        <w:t xml:space="preserve"> (0.125 mmol), KPF</w:t>
      </w:r>
      <w:r w:rsidRPr="00BB0CC2">
        <w:rPr>
          <w:rFonts w:ascii="Times New Roman" w:eastAsiaTheme="minorHAnsi" w:hAnsi="Times New Roman" w:cs="Times New Roman"/>
          <w:sz w:val="20"/>
          <w:szCs w:val="20"/>
          <w:vertAlign w:val="subscript"/>
          <w:lang w:val="en-US"/>
        </w:rPr>
        <w:t xml:space="preserve">6 </w:t>
      </w:r>
      <w:r w:rsidRPr="00BB0CC2">
        <w:rPr>
          <w:rFonts w:ascii="Times New Roman" w:eastAsiaTheme="minorHAnsi" w:hAnsi="Times New Roman" w:cs="Times New Roman"/>
          <w:sz w:val="20"/>
          <w:szCs w:val="20"/>
          <w:lang w:val="en-US"/>
        </w:rPr>
        <w:t>(0.25 mmol) and Cs</w:t>
      </w:r>
      <w:r w:rsidRPr="00BB0CC2">
        <w:rPr>
          <w:rFonts w:ascii="Times New Roman" w:eastAsiaTheme="minorHAnsi" w:hAnsi="Times New Roman" w:cs="Times New Roman"/>
          <w:sz w:val="20"/>
          <w:szCs w:val="20"/>
          <w:vertAlign w:val="subscript"/>
          <w:lang w:val="en-US"/>
        </w:rPr>
        <w:t>2</w:t>
      </w:r>
      <w:r w:rsidRPr="00BB0CC2">
        <w:rPr>
          <w:rFonts w:ascii="Times New Roman" w:eastAsiaTheme="minorHAnsi" w:hAnsi="Times New Roman" w:cs="Times New Roman"/>
          <w:sz w:val="20"/>
          <w:szCs w:val="20"/>
          <w:lang w:val="en-US"/>
        </w:rPr>
        <w:t>CO</w:t>
      </w:r>
      <w:r w:rsidRPr="00BB0CC2">
        <w:rPr>
          <w:rFonts w:ascii="Times New Roman" w:eastAsiaTheme="minorHAnsi" w:hAnsi="Times New Roman" w:cs="Times New Roman"/>
          <w:sz w:val="20"/>
          <w:szCs w:val="20"/>
          <w:vertAlign w:val="subscript"/>
          <w:lang w:val="en-US"/>
        </w:rPr>
        <w:t xml:space="preserve">3 </w:t>
      </w:r>
      <w:r w:rsidRPr="00BB0CC2">
        <w:rPr>
          <w:rFonts w:ascii="Times New Roman" w:eastAsiaTheme="minorHAnsi" w:hAnsi="Times New Roman" w:cs="Times New Roman"/>
          <w:sz w:val="20"/>
          <w:szCs w:val="20"/>
          <w:lang w:val="en-US"/>
        </w:rPr>
        <w:t xml:space="preserve">(0.375  mmol)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taken in a Schlenk flask and will be subjected to vacuum for 30 min. Acetonitrile (20 mL)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added, and then the reaction mixture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refluxed for 12 h to obtain a yellow colored suspension. All the volatiles </w:t>
      </w:r>
      <w:r w:rsidR="00C60930">
        <w:rPr>
          <w:rFonts w:ascii="Times New Roman" w:eastAsiaTheme="minorHAnsi" w:hAnsi="Times New Roman" w:cs="Times New Roman"/>
          <w:sz w:val="20"/>
          <w:szCs w:val="20"/>
          <w:lang w:val="en-US"/>
        </w:rPr>
        <w:t>were</w:t>
      </w:r>
      <w:r w:rsidRPr="00BB0CC2">
        <w:rPr>
          <w:rFonts w:ascii="Times New Roman" w:eastAsiaTheme="minorHAnsi" w:hAnsi="Times New Roman" w:cs="Times New Roman"/>
          <w:sz w:val="20"/>
          <w:szCs w:val="20"/>
          <w:lang w:val="en-US"/>
        </w:rPr>
        <w:t xml:space="preserve"> removed under vacuum, yielding a pale-yellow colored residue. The residue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washed with water to remove the leftover base and inorganic by products. The residue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washed with methanol (15 mL) and filtered through an open frit. The leftover residue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dissolved in CH</w:t>
      </w:r>
      <w:r w:rsidRPr="00BB0CC2">
        <w:rPr>
          <w:rFonts w:ascii="Times New Roman" w:eastAsiaTheme="minorHAnsi" w:hAnsi="Times New Roman" w:cs="Times New Roman"/>
          <w:sz w:val="20"/>
          <w:szCs w:val="20"/>
          <w:vertAlign w:val="subscript"/>
          <w:lang w:val="en-US"/>
        </w:rPr>
        <w:t>2</w:t>
      </w:r>
      <w:r w:rsidRPr="00BB0CC2">
        <w:rPr>
          <w:rFonts w:ascii="Times New Roman" w:eastAsiaTheme="minorHAnsi" w:hAnsi="Times New Roman" w:cs="Times New Roman"/>
          <w:sz w:val="20"/>
          <w:szCs w:val="20"/>
          <w:lang w:val="en-US"/>
        </w:rPr>
        <w:t>Cl</w:t>
      </w:r>
      <w:r w:rsidRPr="00BB0CC2">
        <w:rPr>
          <w:rFonts w:ascii="Times New Roman" w:eastAsiaTheme="minorHAnsi" w:hAnsi="Times New Roman" w:cs="Times New Roman"/>
          <w:sz w:val="20"/>
          <w:szCs w:val="20"/>
          <w:vertAlign w:val="subscript"/>
          <w:lang w:val="en-US"/>
        </w:rPr>
        <w:t>2</w:t>
      </w:r>
      <w:r w:rsidRPr="00BB0CC2">
        <w:rPr>
          <w:rFonts w:ascii="Times New Roman" w:eastAsiaTheme="minorHAnsi" w:hAnsi="Times New Roman" w:cs="Times New Roman"/>
          <w:sz w:val="20"/>
          <w:szCs w:val="20"/>
          <w:lang w:val="en-US"/>
        </w:rPr>
        <w:t xml:space="preserve"> and filtered. After, the solvent </w:t>
      </w:r>
      <w:r w:rsidR="00C60930">
        <w:rPr>
          <w:rFonts w:ascii="Times New Roman" w:eastAsiaTheme="minorHAnsi" w:hAnsi="Times New Roman" w:cs="Times New Roman"/>
          <w:sz w:val="20"/>
          <w:szCs w:val="20"/>
          <w:lang w:val="en-US"/>
        </w:rPr>
        <w:t>was</w:t>
      </w:r>
      <w:r w:rsidRPr="00BB0CC2">
        <w:rPr>
          <w:rFonts w:ascii="Times New Roman" w:eastAsiaTheme="minorHAnsi" w:hAnsi="Times New Roman" w:cs="Times New Roman"/>
          <w:sz w:val="20"/>
          <w:szCs w:val="20"/>
          <w:lang w:val="en-US"/>
        </w:rPr>
        <w:t xml:space="preserve"> evaporated under reduced pressure and the resulting powders </w:t>
      </w:r>
      <w:r w:rsidR="00C60930">
        <w:rPr>
          <w:rFonts w:ascii="Times New Roman" w:eastAsiaTheme="minorHAnsi" w:hAnsi="Times New Roman" w:cs="Times New Roman"/>
          <w:sz w:val="20"/>
          <w:szCs w:val="20"/>
          <w:lang w:val="en-US"/>
        </w:rPr>
        <w:t>were</w:t>
      </w:r>
      <w:r w:rsidRPr="00BB0CC2">
        <w:rPr>
          <w:rFonts w:ascii="Times New Roman" w:eastAsiaTheme="minorHAnsi" w:hAnsi="Times New Roman" w:cs="Times New Roman"/>
          <w:sz w:val="20"/>
          <w:szCs w:val="20"/>
          <w:lang w:val="en-US"/>
        </w:rPr>
        <w:t xml:space="preserve"> recrystallized in diethyl ether and pentane (1:2 ratio). </w:t>
      </w:r>
    </w:p>
    <w:p w14:paraId="0CC427C7" w14:textId="418FDBEF" w:rsidR="006D3832" w:rsidRPr="00BB0CC2" w:rsidRDefault="006D3832" w:rsidP="006D3832">
      <w:pPr>
        <w:spacing w:after="0" w:line="240" w:lineRule="auto"/>
        <w:contextualSpacing/>
        <w:jc w:val="both"/>
        <w:rPr>
          <w:rFonts w:ascii="Times New Roman" w:eastAsiaTheme="minorHAnsi" w:hAnsi="Times New Roman" w:cs="Times New Roman"/>
          <w:i/>
          <w:sz w:val="20"/>
          <w:szCs w:val="20"/>
          <w:lang w:val="en-US"/>
        </w:rPr>
      </w:pPr>
      <w:r w:rsidRPr="00BB0CC2">
        <w:rPr>
          <w:rFonts w:ascii="Times New Roman" w:eastAsiaTheme="minorHAnsi" w:hAnsi="Times New Roman" w:cs="Times New Roman"/>
          <w:i/>
          <w:sz w:val="20"/>
          <w:szCs w:val="20"/>
          <w:lang w:val="en-US"/>
        </w:rPr>
        <w:t xml:space="preserve">General procedure for CRP2 </w:t>
      </w:r>
    </w:p>
    <w:p w14:paraId="5C36C286" w14:textId="5B01329E" w:rsidR="006D3832" w:rsidRPr="00BB0CC2" w:rsidRDefault="006D3832" w:rsidP="006D3832">
      <w:pPr>
        <w:spacing w:after="0" w:line="240" w:lineRule="auto"/>
        <w:ind w:firstLine="708"/>
        <w:contextualSpacing/>
        <w:jc w:val="both"/>
        <w:rPr>
          <w:rFonts w:ascii="Times New Roman" w:eastAsiaTheme="minorHAnsi" w:hAnsi="Times New Roman" w:cs="Times New Roman"/>
          <w:iCs/>
          <w:sz w:val="20"/>
          <w:szCs w:val="20"/>
          <w:lang w:val="en-US"/>
        </w:rPr>
      </w:pPr>
      <w:r w:rsidRPr="00BB0CC2">
        <w:rPr>
          <w:rFonts w:ascii="Times New Roman" w:eastAsiaTheme="minorHAnsi" w:hAnsi="Times New Roman" w:cs="Times New Roman"/>
          <w:iCs/>
          <w:sz w:val="20"/>
          <w:szCs w:val="20"/>
          <w:lang w:val="en-US"/>
        </w:rPr>
        <w:t xml:space="preserve">The photopolymerization procedure for monomer (MMA, MA, BA, or PEGDA) </w:t>
      </w:r>
      <w:r w:rsidR="00C60930">
        <w:rPr>
          <w:rFonts w:ascii="Times New Roman" w:eastAsiaTheme="minorHAnsi" w:hAnsi="Times New Roman" w:cs="Times New Roman"/>
          <w:iCs/>
          <w:sz w:val="20"/>
          <w:szCs w:val="20"/>
          <w:lang w:val="en-US"/>
        </w:rPr>
        <w:t>was prepareed</w:t>
      </w:r>
      <w:r w:rsidRPr="00BB0CC2">
        <w:rPr>
          <w:rFonts w:ascii="Times New Roman" w:eastAsiaTheme="minorHAnsi" w:hAnsi="Times New Roman" w:cs="Times New Roman"/>
          <w:iCs/>
          <w:sz w:val="20"/>
          <w:szCs w:val="20"/>
          <w:lang w:val="en-US"/>
        </w:rPr>
        <w:t xml:space="preserve"> as follows: a mixture solution </w:t>
      </w:r>
      <w:r w:rsidR="00C60930">
        <w:rPr>
          <w:rFonts w:ascii="Times New Roman" w:eastAsiaTheme="minorHAnsi" w:hAnsi="Times New Roman" w:cs="Times New Roman"/>
          <w:iCs/>
          <w:sz w:val="20"/>
          <w:szCs w:val="20"/>
          <w:lang w:val="en-US"/>
        </w:rPr>
        <w:t>was</w:t>
      </w:r>
      <w:r w:rsidRPr="00BB0CC2">
        <w:rPr>
          <w:rFonts w:ascii="Times New Roman" w:eastAsiaTheme="minorHAnsi" w:hAnsi="Times New Roman" w:cs="Times New Roman"/>
          <w:iCs/>
          <w:sz w:val="20"/>
          <w:szCs w:val="20"/>
          <w:lang w:val="en-US"/>
        </w:rPr>
        <w:t xml:space="preserve"> obtained by adding the </w:t>
      </w:r>
      <w:r w:rsidR="00C60930">
        <w:rPr>
          <w:rFonts w:ascii="Times New Roman" w:eastAsiaTheme="minorHAnsi" w:hAnsi="Times New Roman" w:cs="Times New Roman"/>
          <w:iCs/>
          <w:sz w:val="20"/>
          <w:szCs w:val="20"/>
          <w:lang w:val="en-US"/>
        </w:rPr>
        <w:t>Mn</w:t>
      </w:r>
      <w:r w:rsidRPr="00BB0CC2">
        <w:rPr>
          <w:rFonts w:ascii="Times New Roman" w:eastAsiaTheme="minorHAnsi" w:hAnsi="Times New Roman" w:cs="Times New Roman"/>
          <w:iCs/>
          <w:sz w:val="20"/>
          <w:szCs w:val="20"/>
          <w:vertAlign w:val="superscript"/>
          <w:lang w:val="en-US"/>
        </w:rPr>
        <w:t>II</w:t>
      </w:r>
      <w:r w:rsidRPr="00BB0CC2">
        <w:rPr>
          <w:rFonts w:ascii="Times New Roman" w:eastAsiaTheme="minorHAnsi" w:hAnsi="Times New Roman" w:cs="Times New Roman"/>
          <w:iCs/>
          <w:sz w:val="20"/>
          <w:szCs w:val="20"/>
          <w:lang w:val="en-US"/>
        </w:rPr>
        <w:t xml:space="preserve"> complexes, EDB (</w:t>
      </w:r>
      <w:r w:rsidRPr="00BB0CC2">
        <w:rPr>
          <w:rFonts w:ascii="Times New Roman" w:eastAsiaTheme="minorHAnsi" w:hAnsi="Times New Roman" w:cs="Times New Roman"/>
          <w:sz w:val="20"/>
          <w:szCs w:val="20"/>
          <w:lang w:val="en-US"/>
        </w:rPr>
        <w:t>ethyl-4-(dimethylamino) benzoate)</w:t>
      </w:r>
      <w:r w:rsidRPr="00BB0CC2">
        <w:rPr>
          <w:rFonts w:ascii="Times New Roman" w:eastAsiaTheme="minorHAnsi" w:hAnsi="Times New Roman" w:cs="Times New Roman"/>
          <w:iCs/>
          <w:sz w:val="20"/>
          <w:szCs w:val="20"/>
          <w:lang w:val="en-US"/>
        </w:rPr>
        <w:t xml:space="preserve">, EBr </w:t>
      </w:r>
      <w:r w:rsidRPr="00BB0CC2">
        <w:rPr>
          <w:rFonts w:ascii="Times New Roman" w:eastAsiaTheme="minorHAnsi" w:hAnsi="Times New Roman" w:cs="Times New Roman"/>
          <w:iCs/>
          <w:sz w:val="20"/>
          <w:szCs w:val="20"/>
          <w:lang w:val="en-US"/>
        </w:rPr>
        <w:t xml:space="preserve">(ethyl </w:t>
      </w:r>
      <w:r w:rsidRPr="00BB0CC2">
        <w:rPr>
          <w:rFonts w:ascii="Symbol" w:eastAsiaTheme="minorHAnsi" w:hAnsi="Symbol" w:cs="Times New Roman"/>
          <w:i/>
          <w:sz w:val="20"/>
          <w:szCs w:val="20"/>
          <w:lang w:val="en-US"/>
        </w:rPr>
        <w:t>a</w:t>
      </w:r>
      <w:r w:rsidRPr="00BB0CC2">
        <w:rPr>
          <w:rFonts w:ascii="Times New Roman" w:eastAsiaTheme="minorHAnsi" w:hAnsi="Times New Roman" w:cs="Times New Roman"/>
          <w:iCs/>
          <w:sz w:val="20"/>
          <w:szCs w:val="20"/>
          <w:lang w:val="en-US"/>
        </w:rPr>
        <w:t xml:space="preserve">-bromophenylacetate) and monomer to a dried Schlenk flask (25 mL) with a stir bar. The solution </w:t>
      </w:r>
      <w:r w:rsidR="00C60930">
        <w:rPr>
          <w:rFonts w:ascii="Times New Roman" w:eastAsiaTheme="minorHAnsi" w:hAnsi="Times New Roman" w:cs="Times New Roman"/>
          <w:iCs/>
          <w:sz w:val="20"/>
          <w:szCs w:val="20"/>
          <w:lang w:val="en-US"/>
        </w:rPr>
        <w:t>was</w:t>
      </w:r>
      <w:r w:rsidRPr="00BB0CC2">
        <w:rPr>
          <w:rFonts w:ascii="Times New Roman" w:eastAsiaTheme="minorHAnsi" w:hAnsi="Times New Roman" w:cs="Times New Roman"/>
          <w:iCs/>
          <w:sz w:val="20"/>
          <w:szCs w:val="20"/>
          <w:lang w:val="en-US"/>
        </w:rPr>
        <w:t xml:space="preserve"> deoxygenated through three standard freeze-pump-thaw cycles, flame-sealed, and placed in a stirring apparatus under </w:t>
      </w:r>
      <w:r w:rsidRPr="00BB0CC2">
        <w:rPr>
          <w:rFonts w:ascii="Times New Roman" w:eastAsiaTheme="minorHAnsi" w:hAnsi="Times New Roman" w:cs="Times New Roman"/>
          <w:sz w:val="20"/>
          <w:szCs w:val="20"/>
          <w:lang w:val="en-US"/>
        </w:rPr>
        <w:t xml:space="preserve">LED </w:t>
      </w:r>
      <w:r w:rsidRPr="00BB0CC2">
        <w:rPr>
          <w:rFonts w:ascii="Times New Roman" w:eastAsiaTheme="minorHAnsi" w:hAnsi="Times New Roman" w:cs="Times New Roman"/>
          <w:iCs/>
          <w:sz w:val="20"/>
          <w:szCs w:val="20"/>
          <w:lang w:val="en-US"/>
        </w:rPr>
        <w:t xml:space="preserve">irradiation. The samples </w:t>
      </w:r>
      <w:r w:rsidR="00C60930">
        <w:rPr>
          <w:rFonts w:ascii="Times New Roman" w:eastAsiaTheme="minorHAnsi" w:hAnsi="Times New Roman" w:cs="Times New Roman"/>
          <w:iCs/>
          <w:sz w:val="20"/>
          <w:szCs w:val="20"/>
          <w:lang w:val="en-US"/>
        </w:rPr>
        <w:t>was</w:t>
      </w:r>
      <w:r w:rsidRPr="00BB0CC2">
        <w:rPr>
          <w:rFonts w:ascii="Times New Roman" w:eastAsiaTheme="minorHAnsi" w:hAnsi="Times New Roman" w:cs="Times New Roman"/>
          <w:iCs/>
          <w:sz w:val="20"/>
          <w:szCs w:val="20"/>
          <w:lang w:val="en-US"/>
        </w:rPr>
        <w:t xml:space="preserve"> regularly collected from the medium using a nitrogen flushed syringe. The monomer </w:t>
      </w:r>
      <w:r w:rsidR="00C60930">
        <w:rPr>
          <w:rFonts w:ascii="Times New Roman" w:eastAsiaTheme="minorHAnsi" w:hAnsi="Times New Roman" w:cs="Times New Roman"/>
          <w:iCs/>
          <w:sz w:val="20"/>
          <w:szCs w:val="20"/>
          <w:lang w:val="en-US"/>
        </w:rPr>
        <w:t>conversion was</w:t>
      </w:r>
      <w:r w:rsidRPr="00BB0CC2">
        <w:rPr>
          <w:rFonts w:ascii="Times New Roman" w:eastAsiaTheme="minorHAnsi" w:hAnsi="Times New Roman" w:cs="Times New Roman"/>
          <w:iCs/>
          <w:sz w:val="20"/>
          <w:szCs w:val="20"/>
          <w:lang w:val="en-US"/>
        </w:rPr>
        <w:t xml:space="preserve"> evaluated by FTIR to determine conversion and SEC-THF to obtain molecular parameters using PMMA standards.</w:t>
      </w:r>
    </w:p>
    <w:p w14:paraId="3BD18897" w14:textId="5A05A360" w:rsidR="006D3832" w:rsidRPr="001F25B2" w:rsidRDefault="006D3832" w:rsidP="006D3832">
      <w:pPr>
        <w:pStyle w:val="Ttulo2"/>
        <w:rPr>
          <w:rFonts w:ascii="Helvetica" w:hAnsi="Helvetica" w:cs="Helvetica"/>
          <w:sz w:val="24"/>
          <w:szCs w:val="24"/>
        </w:rPr>
      </w:pPr>
      <w:r>
        <w:rPr>
          <w:rFonts w:ascii="Helvetica" w:hAnsi="Helvetica" w:cs="Helvetica"/>
          <w:sz w:val="24"/>
          <w:szCs w:val="24"/>
        </w:rPr>
        <w:t>Results and d</w:t>
      </w:r>
      <w:r w:rsidR="00DE2895">
        <w:rPr>
          <w:rFonts w:ascii="Helvetica" w:hAnsi="Helvetica" w:cs="Helvetica"/>
          <w:sz w:val="24"/>
          <w:szCs w:val="24"/>
        </w:rPr>
        <w:t>iscussion</w:t>
      </w:r>
    </w:p>
    <w:p w14:paraId="7071D0A2" w14:textId="77777777" w:rsidR="006D3832" w:rsidRDefault="006D3832" w:rsidP="006D3832">
      <w:pPr>
        <w:pStyle w:val="TAMainText"/>
        <w:numPr>
          <w:ilvl w:val="0"/>
          <w:numId w:val="2"/>
        </w:numPr>
        <w:rPr>
          <w:rFonts w:ascii="Times New Roman" w:hAnsi="Times New Roman"/>
          <w:i/>
          <w:iCs/>
        </w:rPr>
      </w:pPr>
      <w:r w:rsidRPr="00C80175">
        <w:rPr>
          <w:rFonts w:ascii="Times New Roman" w:hAnsi="Times New Roman"/>
          <w:i/>
          <w:iCs/>
        </w:rPr>
        <w:t>Ligand and Mn Complex synthesis and characterizations.</w:t>
      </w:r>
    </w:p>
    <w:p w14:paraId="595DD781" w14:textId="253AAE8C" w:rsidR="006D3832" w:rsidRDefault="006D3832" w:rsidP="006D3832">
      <w:pPr>
        <w:pStyle w:val="TAMainText"/>
        <w:ind w:left="187" w:firstLine="0"/>
        <w:rPr>
          <w:rFonts w:ascii="Times New Roman" w:hAnsi="Times New Roman"/>
        </w:rPr>
      </w:pPr>
      <w:r>
        <w:rPr>
          <w:rFonts w:ascii="Times New Roman" w:hAnsi="Times New Roman"/>
        </w:rPr>
        <w:t>The i</w:t>
      </w:r>
      <w:r w:rsidRPr="00C80175">
        <w:rPr>
          <w:rFonts w:ascii="Times New Roman" w:hAnsi="Times New Roman"/>
        </w:rPr>
        <w:t>midazole was prepared by a classical route. For the synthesis of 1-Mesethylimidazole, the most suitable route is the one proposed by Gridnev (1994). In order to obtain mesethylimidazole, the reaction started with the mesethylaniline salt with glyoxal, in an acid medium, using paraformaldehyde and ammonium chloride to cyclize imidazole. To obtain the pure product, it was</w:t>
      </w:r>
      <w:r w:rsidRPr="00C80175">
        <w:rPr>
          <w:rFonts w:ascii="Times New Roman" w:hAnsi="Times New Roman"/>
          <w:i/>
          <w:iCs/>
        </w:rPr>
        <w:t xml:space="preserve"> </w:t>
      </w:r>
      <w:r w:rsidRPr="007C264E">
        <w:rPr>
          <w:rFonts w:ascii="Times New Roman" w:hAnsi="Times New Roman"/>
        </w:rPr>
        <w:t>extracted in hexane, precipitated and recrystallized in a mixture of CH</w:t>
      </w:r>
      <w:r w:rsidRPr="007C264E">
        <w:rPr>
          <w:rFonts w:ascii="Times New Roman" w:hAnsi="Times New Roman"/>
          <w:vertAlign w:val="subscript"/>
        </w:rPr>
        <w:t>2</w:t>
      </w:r>
      <w:r w:rsidRPr="007C264E">
        <w:rPr>
          <w:rFonts w:ascii="Times New Roman" w:hAnsi="Times New Roman"/>
        </w:rPr>
        <w:t>Cl</w:t>
      </w:r>
      <w:r w:rsidRPr="007C264E">
        <w:rPr>
          <w:rFonts w:ascii="Times New Roman" w:hAnsi="Times New Roman"/>
          <w:vertAlign w:val="subscript"/>
        </w:rPr>
        <w:t>2</w:t>
      </w:r>
      <w:r w:rsidRPr="007C264E">
        <w:rPr>
          <w:rFonts w:ascii="Times New Roman" w:hAnsi="Times New Roman"/>
        </w:rPr>
        <w:t xml:space="preserve"> and Et</w:t>
      </w:r>
      <w:r w:rsidRPr="007C264E">
        <w:rPr>
          <w:rFonts w:ascii="Times New Roman" w:hAnsi="Times New Roman"/>
          <w:vertAlign w:val="subscript"/>
        </w:rPr>
        <w:t>2</w:t>
      </w:r>
      <w:r w:rsidRPr="007C264E">
        <w:rPr>
          <w:rFonts w:ascii="Times New Roman" w:hAnsi="Times New Roman"/>
        </w:rPr>
        <w:t>O. In order to give the disubstituted imidazole (</w:t>
      </w:r>
      <w:r w:rsidRPr="007C264E">
        <w:rPr>
          <w:rFonts w:ascii="Times New Roman" w:hAnsi="Times New Roman"/>
          <w:i/>
          <w:iCs/>
        </w:rPr>
        <w:t>py</w:t>
      </w:r>
      <w:r w:rsidRPr="007C264E">
        <w:rPr>
          <w:rFonts w:ascii="Times New Roman" w:hAnsi="Times New Roman"/>
        </w:rPr>
        <w:t>-mesethylimidazole), the mesethylimidazole was reacted with the 2-bromepyridine.</w:t>
      </w:r>
      <w:r>
        <w:rPr>
          <w:rFonts w:ascii="Times New Roman" w:hAnsi="Times New Roman"/>
        </w:rPr>
        <w:t xml:space="preserve"> The respective Mn complex was synthetized from the deprotonation of the </w:t>
      </w:r>
      <w:r w:rsidRPr="007C264E">
        <w:rPr>
          <w:rFonts w:ascii="Times New Roman" w:hAnsi="Times New Roman"/>
          <w:i/>
          <w:iCs/>
        </w:rPr>
        <w:t>py</w:t>
      </w:r>
      <w:r>
        <w:rPr>
          <w:rFonts w:ascii="Times New Roman" w:hAnsi="Times New Roman"/>
        </w:rPr>
        <w:t>-mesthylimidazole ligand in MeCN</w:t>
      </w:r>
      <w:r w:rsidRPr="007C264E">
        <w:rPr>
          <w:rFonts w:ascii="Times New Roman" w:hAnsi="Times New Roman"/>
          <w:vertAlign w:val="subscript"/>
        </w:rPr>
        <w:t>3</w:t>
      </w:r>
      <w:r>
        <w:rPr>
          <w:rFonts w:ascii="Times New Roman" w:hAnsi="Times New Roman"/>
        </w:rPr>
        <w:t xml:space="preserve"> and the MnCl</w:t>
      </w:r>
      <w:r w:rsidRPr="007C264E">
        <w:rPr>
          <w:rFonts w:ascii="Times New Roman" w:hAnsi="Times New Roman"/>
          <w:vertAlign w:val="subscript"/>
        </w:rPr>
        <w:t>2</w:t>
      </w:r>
      <w:r>
        <w:rPr>
          <w:rFonts w:ascii="Times New Roman" w:hAnsi="Times New Roman"/>
          <w:vertAlign w:val="subscript"/>
        </w:rPr>
        <w:t xml:space="preserve"> </w:t>
      </w:r>
      <w:r w:rsidRPr="007C264E">
        <w:rPr>
          <w:rFonts w:ascii="Times New Roman" w:hAnsi="Times New Roman"/>
        </w:rPr>
        <w:t xml:space="preserve">salt. </w:t>
      </w:r>
    </w:p>
    <w:p w14:paraId="59F7CF5A" w14:textId="6981E651" w:rsidR="006D3832" w:rsidRDefault="006D3832" w:rsidP="00443489">
      <w:pPr>
        <w:pStyle w:val="TAMainText"/>
        <w:ind w:left="187" w:firstLine="521"/>
        <w:rPr>
          <w:rFonts w:ascii="Times New Roman" w:hAnsi="Times New Roman"/>
        </w:rPr>
      </w:pPr>
      <w:r>
        <w:rPr>
          <w:rFonts w:ascii="Times New Roman" w:hAnsi="Times New Roman"/>
        </w:rPr>
        <w:t>The imidazole precursor and the py-mesethylimidazol were both characteri</w:t>
      </w:r>
      <w:r w:rsidR="00443489">
        <w:rPr>
          <w:rFonts w:ascii="Times New Roman" w:hAnsi="Times New Roman"/>
        </w:rPr>
        <w:t>zed by H</w:t>
      </w:r>
      <w:r w:rsidR="00443489" w:rsidRPr="00443489">
        <w:rPr>
          <w:rFonts w:ascii="Times New Roman" w:hAnsi="Times New Roman"/>
          <w:vertAlign w:val="superscript"/>
        </w:rPr>
        <w:t>1</w:t>
      </w:r>
      <w:r w:rsidR="00443489">
        <w:rPr>
          <w:rFonts w:ascii="Times New Roman" w:hAnsi="Times New Roman"/>
        </w:rPr>
        <w:t xml:space="preserve"> NMR.</w:t>
      </w:r>
      <w:r w:rsidR="00443489" w:rsidRPr="00443489">
        <w:rPr>
          <w:rFonts w:ascii="Times New Roman" w:hAnsi="Times New Roman"/>
        </w:rPr>
        <w:t xml:space="preserve"> </w:t>
      </w:r>
      <w:r w:rsidR="00443489">
        <w:rPr>
          <w:rFonts w:ascii="Times New Roman" w:hAnsi="Times New Roman"/>
        </w:rPr>
        <w:t>I</w:t>
      </w:r>
      <w:r w:rsidR="00443489" w:rsidRPr="00443489">
        <w:rPr>
          <w:rFonts w:ascii="Times New Roman" w:hAnsi="Times New Roman"/>
        </w:rPr>
        <w:t>t is noted that the 6 hydrogens referring to the methyls ortho positioned in the mesethyl substituent appear with a very intense signal at 1.96 ppm, while the 3 H referring to the methyl para positioned appear with a signal in 2.34 ppm</w:t>
      </w:r>
      <w:r w:rsidR="00443489">
        <w:rPr>
          <w:rFonts w:ascii="Times New Roman" w:hAnsi="Times New Roman"/>
        </w:rPr>
        <w:t>, in both products</w:t>
      </w:r>
      <w:r w:rsidR="00443489" w:rsidRPr="00443489">
        <w:rPr>
          <w:rFonts w:ascii="Times New Roman" w:hAnsi="Times New Roman"/>
        </w:rPr>
        <w:t xml:space="preserve">. The second step for the synthesis of di-substituted NHC can be confirmed by 1H NMR in CDCl3. From the spectrum, it is possible to observe that the peak referring to hydrogen A appears at 11.50 ppm while in the </w:t>
      </w:r>
      <w:r w:rsidR="00443489">
        <w:rPr>
          <w:rFonts w:ascii="Times New Roman" w:hAnsi="Times New Roman"/>
        </w:rPr>
        <w:t xml:space="preserve">imidazole </w:t>
      </w:r>
      <w:r w:rsidR="00443489" w:rsidRPr="00443489">
        <w:rPr>
          <w:rFonts w:ascii="Times New Roman" w:hAnsi="Times New Roman"/>
        </w:rPr>
        <w:t>monosubstituted spectrum</w:t>
      </w:r>
      <w:r w:rsidR="00443489">
        <w:rPr>
          <w:rFonts w:ascii="Times New Roman" w:hAnsi="Times New Roman"/>
        </w:rPr>
        <w:t>,</w:t>
      </w:r>
      <w:r w:rsidR="00443489" w:rsidRPr="00443489">
        <w:rPr>
          <w:rFonts w:ascii="Times New Roman" w:hAnsi="Times New Roman"/>
        </w:rPr>
        <w:t xml:space="preserve"> it is found around 6.95 ppm. The shift is observed due to the addition of bromopyridine to imidazole, which is a π-leaving group and makes hydrogen more acidic. </w:t>
      </w:r>
    </w:p>
    <w:p w14:paraId="00214510" w14:textId="73147682" w:rsidR="006D3832" w:rsidRPr="007C264E" w:rsidRDefault="006D3832" w:rsidP="006D3832">
      <w:pPr>
        <w:pStyle w:val="TAMainText"/>
        <w:ind w:left="187" w:firstLine="521"/>
        <w:rPr>
          <w:rFonts w:ascii="Times New Roman" w:hAnsi="Times New Roman"/>
          <w:i/>
          <w:iCs/>
        </w:rPr>
      </w:pPr>
      <w:r>
        <w:rPr>
          <w:rFonts w:ascii="Times New Roman" w:hAnsi="Times New Roman"/>
        </w:rPr>
        <w:t xml:space="preserve">The ligand and the complex were characterized by FT-IR spectroscopy. From Figure </w:t>
      </w:r>
      <w:r w:rsidR="00443489">
        <w:rPr>
          <w:rFonts w:ascii="Times New Roman" w:hAnsi="Times New Roman"/>
        </w:rPr>
        <w:t>2</w:t>
      </w:r>
      <w:r w:rsidR="00443489" w:rsidRPr="00443489">
        <w:rPr>
          <w:rFonts w:ascii="Times New Roman" w:hAnsi="Times New Roman"/>
        </w:rPr>
        <w:t>, it is possible to observe that the bands referring to the Py-mesethyl(PF</w:t>
      </w:r>
      <w:r w:rsidR="00443489" w:rsidRPr="00443489">
        <w:rPr>
          <w:rFonts w:ascii="Times New Roman" w:hAnsi="Times New Roman"/>
          <w:vertAlign w:val="subscript"/>
        </w:rPr>
        <w:t>6</w:t>
      </w:r>
      <w:r w:rsidR="00443489" w:rsidRPr="00443489">
        <w:rPr>
          <w:rFonts w:ascii="Times New Roman" w:hAnsi="Times New Roman"/>
        </w:rPr>
        <w:t>) ligand remained in the complex, however the bands referring to the C</w:t>
      </w:r>
      <w:r w:rsidR="00443489">
        <w:rPr>
          <w:rFonts w:ascii="Times New Roman" w:hAnsi="Times New Roman"/>
        </w:rPr>
        <w:t>‒</w:t>
      </w:r>
      <w:r w:rsidR="00443489" w:rsidRPr="00443489">
        <w:rPr>
          <w:rFonts w:ascii="Times New Roman" w:hAnsi="Times New Roman"/>
        </w:rPr>
        <w:t>H stretch were covered by an enlarged band that appears at 3500 cm</w:t>
      </w:r>
      <w:r w:rsidR="00443489" w:rsidRPr="00443489">
        <w:rPr>
          <w:rFonts w:ascii="Times New Roman" w:hAnsi="Times New Roman"/>
          <w:vertAlign w:val="superscript"/>
        </w:rPr>
        <w:t>‒</w:t>
      </w:r>
      <w:r w:rsidR="00443489" w:rsidRPr="00443489">
        <w:rPr>
          <w:rFonts w:ascii="Times New Roman" w:hAnsi="Times New Roman"/>
        </w:rPr>
        <w:t>1. Note a displacement in the stretch referring to the binding of azomethine, of 1608</w:t>
      </w:r>
      <w:r w:rsidR="00443489">
        <w:rPr>
          <w:rFonts w:ascii="Times New Roman" w:hAnsi="Times New Roman"/>
        </w:rPr>
        <w:t>‒</w:t>
      </w:r>
      <w:r w:rsidR="00443489" w:rsidRPr="00443489">
        <w:rPr>
          <w:rFonts w:ascii="Times New Roman" w:hAnsi="Times New Roman"/>
        </w:rPr>
        <w:t>1604 cm‒1, indicating coordination of the N of pyridine with the metal center of Mn</w:t>
      </w:r>
      <w:r w:rsidR="00443489" w:rsidRPr="00443489">
        <w:rPr>
          <w:rFonts w:ascii="Times New Roman" w:hAnsi="Times New Roman"/>
          <w:vertAlign w:val="superscript"/>
        </w:rPr>
        <w:t>II</w:t>
      </w:r>
      <w:r w:rsidR="00443489" w:rsidRPr="00443489">
        <w:rPr>
          <w:rFonts w:ascii="Times New Roman" w:hAnsi="Times New Roman"/>
        </w:rPr>
        <w:t>. The bands referring to the vibrations related to the free PF</w:t>
      </w:r>
      <w:r w:rsidR="00443489" w:rsidRPr="00443489">
        <w:rPr>
          <w:rFonts w:ascii="Times New Roman" w:hAnsi="Times New Roman"/>
          <w:vertAlign w:val="subscript"/>
        </w:rPr>
        <w:t>6</w:t>
      </w:r>
      <w:r w:rsidR="00443489" w:rsidRPr="00443489">
        <w:rPr>
          <w:rFonts w:ascii="Times New Roman" w:hAnsi="Times New Roman"/>
          <w:vertAlign w:val="superscript"/>
        </w:rPr>
        <w:t>‒</w:t>
      </w:r>
      <w:r w:rsidR="00443489" w:rsidRPr="00443489">
        <w:rPr>
          <w:rFonts w:ascii="Times New Roman" w:hAnsi="Times New Roman"/>
        </w:rPr>
        <w:t xml:space="preserve"> ion can still be observed around 842 and 558 cm</w:t>
      </w:r>
      <w:r w:rsidR="00443489" w:rsidRPr="00443489">
        <w:rPr>
          <w:rFonts w:ascii="Times New Roman" w:hAnsi="Times New Roman"/>
          <w:vertAlign w:val="superscript"/>
        </w:rPr>
        <w:t>‒1</w:t>
      </w:r>
      <w:r w:rsidR="00443489" w:rsidRPr="00443489">
        <w:rPr>
          <w:rFonts w:ascii="Times New Roman" w:hAnsi="Times New Roman"/>
        </w:rPr>
        <w:t>. In the region of 417 cm</w:t>
      </w:r>
      <w:r w:rsidR="00443489" w:rsidRPr="00443489">
        <w:rPr>
          <w:rFonts w:ascii="Times New Roman" w:hAnsi="Times New Roman"/>
          <w:vertAlign w:val="superscript"/>
        </w:rPr>
        <w:t>‒1</w:t>
      </w:r>
      <w:r w:rsidR="00443489" w:rsidRPr="00443489">
        <w:rPr>
          <w:rFonts w:ascii="Times New Roman" w:hAnsi="Times New Roman"/>
        </w:rPr>
        <w:t xml:space="preserve">, the appearance of a band referring to the stretching </w:t>
      </w:r>
      <w:r w:rsidR="00443489">
        <w:rPr>
          <w:rFonts w:ascii="Times New Roman" w:hAnsi="Times New Roman"/>
        </w:rPr>
        <w:t>related to</w:t>
      </w:r>
      <w:r w:rsidR="00443489" w:rsidRPr="00443489">
        <w:rPr>
          <w:rFonts w:ascii="Times New Roman" w:hAnsi="Times New Roman"/>
        </w:rPr>
        <w:t xml:space="preserve"> the Mn</w:t>
      </w:r>
      <w:r w:rsidR="00443489">
        <w:rPr>
          <w:rFonts w:ascii="Times New Roman" w:hAnsi="Times New Roman"/>
        </w:rPr>
        <w:t>‒</w:t>
      </w:r>
      <w:r w:rsidR="00443489" w:rsidRPr="00443489">
        <w:rPr>
          <w:rFonts w:ascii="Times New Roman" w:hAnsi="Times New Roman"/>
        </w:rPr>
        <w:t>N bond is observed</w:t>
      </w:r>
      <w:r w:rsidR="00443489">
        <w:rPr>
          <w:rFonts w:ascii="Times New Roman" w:hAnsi="Times New Roman"/>
        </w:rPr>
        <w:t>.</w:t>
      </w:r>
    </w:p>
    <w:p w14:paraId="31D82432" w14:textId="77777777" w:rsidR="00EC46EC" w:rsidRDefault="00EC46EC" w:rsidP="00EC46EC">
      <w:pPr>
        <w:pStyle w:val="Legenda"/>
        <w:jc w:val="center"/>
        <w:rPr>
          <w:lang w:val="en-US"/>
        </w:rPr>
      </w:pPr>
      <w:r w:rsidRPr="006D3832">
        <w:rPr>
          <w:noProof/>
        </w:rPr>
        <w:lastRenderedPageBreak/>
        <w:drawing>
          <wp:inline distT="0" distB="0" distL="0" distR="0" wp14:anchorId="3BFAA302" wp14:editId="68867D8F">
            <wp:extent cx="2254250" cy="1728470"/>
            <wp:effectExtent l="0" t="0" r="0"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611"/>
                    <a:stretch/>
                  </pic:blipFill>
                  <pic:spPr bwMode="auto">
                    <a:xfrm>
                      <a:off x="0" y="0"/>
                      <a:ext cx="2254250" cy="1728470"/>
                    </a:xfrm>
                    <a:prstGeom prst="rect">
                      <a:avLst/>
                    </a:prstGeom>
                    <a:noFill/>
                    <a:ln>
                      <a:noFill/>
                    </a:ln>
                    <a:extLst>
                      <a:ext uri="{53640926-AAD7-44D8-BBD7-CCE9431645EC}">
                        <a14:shadowObscured xmlns:a14="http://schemas.microsoft.com/office/drawing/2010/main"/>
                      </a:ext>
                    </a:extLst>
                  </pic:spPr>
                </pic:pic>
              </a:graphicData>
            </a:graphic>
          </wp:inline>
        </w:drawing>
      </w:r>
    </w:p>
    <w:p w14:paraId="673B7721" w14:textId="0A8BD788" w:rsidR="006D3832" w:rsidRPr="006D3832" w:rsidRDefault="006D3832" w:rsidP="006D3832">
      <w:pPr>
        <w:pStyle w:val="Legenda"/>
        <w:rPr>
          <w:rFonts w:ascii="Times New Roman" w:hAnsi="Times New Roman"/>
          <w:lang w:val="en-US"/>
        </w:rPr>
      </w:pPr>
      <w:r w:rsidRPr="006D3832">
        <w:rPr>
          <w:lang w:val="en-US"/>
        </w:rPr>
        <w:t xml:space="preserve">Figure </w:t>
      </w:r>
      <w:r>
        <w:fldChar w:fldCharType="begin"/>
      </w:r>
      <w:r w:rsidRPr="006D3832">
        <w:rPr>
          <w:lang w:val="en-US"/>
        </w:rPr>
        <w:instrText xml:space="preserve"> SEQ Figure \* ARABIC </w:instrText>
      </w:r>
      <w:r>
        <w:fldChar w:fldCharType="separate"/>
      </w:r>
      <w:r w:rsidR="00280DBA">
        <w:rPr>
          <w:noProof/>
          <w:lang w:val="en-US"/>
        </w:rPr>
        <w:t>2</w:t>
      </w:r>
      <w:r>
        <w:fldChar w:fldCharType="end"/>
      </w:r>
      <w:r w:rsidRPr="006D3832">
        <w:rPr>
          <w:lang w:val="en-US"/>
        </w:rPr>
        <w:t>. Vibrational absorption spectra in the infrared region for the compound [Mn</w:t>
      </w:r>
      <w:r w:rsidRPr="006D3832">
        <w:rPr>
          <w:vertAlign w:val="superscript"/>
          <w:lang w:val="en-US"/>
        </w:rPr>
        <w:t>II</w:t>
      </w:r>
      <w:r w:rsidRPr="006D3832">
        <w:rPr>
          <w:lang w:val="en-US"/>
        </w:rPr>
        <w:t>(py-mesetyl)], and its starting reagents, MnCl</w:t>
      </w:r>
      <w:r w:rsidRPr="006D3832">
        <w:rPr>
          <w:vertAlign w:val="subscript"/>
          <w:lang w:val="en-US"/>
        </w:rPr>
        <w:t>2</w:t>
      </w:r>
      <w:r w:rsidRPr="006D3832">
        <w:rPr>
          <w:lang w:val="en-US"/>
        </w:rPr>
        <w:t xml:space="preserve"> and py-mesethylimidazole(PF</w:t>
      </w:r>
      <w:r w:rsidRPr="006D3832">
        <w:rPr>
          <w:vertAlign w:val="subscript"/>
          <w:lang w:val="en-US"/>
        </w:rPr>
        <w:t>6</w:t>
      </w:r>
      <w:r w:rsidRPr="006D3832">
        <w:rPr>
          <w:lang w:val="en-US"/>
        </w:rPr>
        <w:t>)</w:t>
      </w:r>
      <w:r w:rsidRPr="006D3832">
        <w:rPr>
          <w:vertAlign w:val="subscript"/>
          <w:lang w:val="en-US"/>
        </w:rPr>
        <w:t>2</w:t>
      </w:r>
      <w:r w:rsidRPr="006D3832">
        <w:rPr>
          <w:lang w:val="en-US"/>
        </w:rPr>
        <w:t>.</w:t>
      </w:r>
    </w:p>
    <w:p w14:paraId="0F217213" w14:textId="11EFF5ED" w:rsidR="002728A3" w:rsidRDefault="002728A3" w:rsidP="00EA4E1B">
      <w:pPr>
        <w:pStyle w:val="TAMainText"/>
        <w:ind w:firstLine="187"/>
        <w:rPr>
          <w:rFonts w:ascii="Times New Roman" w:hAnsi="Times New Roman"/>
        </w:rPr>
      </w:pPr>
      <w:r w:rsidRPr="002728A3">
        <w:rPr>
          <w:rFonts w:ascii="Times New Roman" w:hAnsi="Times New Roman"/>
        </w:rPr>
        <w:t>MALDi-TOF mass spectrometry analyzes of the [Mn</w:t>
      </w:r>
      <w:r w:rsidRPr="002728A3">
        <w:rPr>
          <w:rFonts w:ascii="Times New Roman" w:hAnsi="Times New Roman"/>
          <w:vertAlign w:val="superscript"/>
        </w:rPr>
        <w:t>II</w:t>
      </w:r>
      <w:r w:rsidRPr="002728A3">
        <w:rPr>
          <w:rFonts w:ascii="Times New Roman" w:hAnsi="Times New Roman"/>
        </w:rPr>
        <w:t>(py-mesetil)</w:t>
      </w:r>
      <w:r w:rsidRPr="002728A3">
        <w:rPr>
          <w:rFonts w:ascii="Times New Roman" w:hAnsi="Times New Roman"/>
          <w:vertAlign w:val="subscript"/>
        </w:rPr>
        <w:t>2</w:t>
      </w:r>
      <w:r w:rsidRPr="002728A3">
        <w:rPr>
          <w:rFonts w:ascii="Times New Roman" w:hAnsi="Times New Roman"/>
        </w:rPr>
        <w:t>](PF</w:t>
      </w:r>
      <w:r w:rsidRPr="002728A3">
        <w:rPr>
          <w:rFonts w:ascii="Times New Roman" w:hAnsi="Times New Roman"/>
          <w:vertAlign w:val="subscript"/>
        </w:rPr>
        <w:t>6</w:t>
      </w:r>
      <w:r w:rsidRPr="002728A3">
        <w:rPr>
          <w:rFonts w:ascii="Times New Roman" w:hAnsi="Times New Roman"/>
        </w:rPr>
        <w:t>)</w:t>
      </w:r>
      <w:r w:rsidRPr="002728A3">
        <w:rPr>
          <w:rFonts w:ascii="Times New Roman" w:hAnsi="Times New Roman"/>
          <w:vertAlign w:val="subscript"/>
        </w:rPr>
        <w:t>2</w:t>
      </w:r>
      <w:r w:rsidRPr="002728A3">
        <w:rPr>
          <w:rFonts w:ascii="Times New Roman" w:hAnsi="Times New Roman"/>
        </w:rPr>
        <w:t xml:space="preserve"> complex were performed in CH</w:t>
      </w:r>
      <w:r w:rsidRPr="002728A3">
        <w:rPr>
          <w:rFonts w:ascii="Times New Roman" w:hAnsi="Times New Roman"/>
          <w:vertAlign w:val="subscript"/>
        </w:rPr>
        <w:t>2</w:t>
      </w:r>
      <w:r w:rsidRPr="002728A3">
        <w:rPr>
          <w:rFonts w:ascii="Times New Roman" w:hAnsi="Times New Roman"/>
        </w:rPr>
        <w:t>Cl</w:t>
      </w:r>
      <w:r w:rsidRPr="002728A3">
        <w:rPr>
          <w:rFonts w:ascii="Times New Roman" w:hAnsi="Times New Roman"/>
          <w:vertAlign w:val="subscript"/>
        </w:rPr>
        <w:t>2</w:t>
      </w:r>
      <w:r w:rsidRPr="002728A3">
        <w:rPr>
          <w:rFonts w:ascii="Times New Roman" w:hAnsi="Times New Roman"/>
        </w:rPr>
        <w:t xml:space="preserve"> and the detected metal ion data are shown in Figure </w:t>
      </w:r>
      <w:r>
        <w:rPr>
          <w:rFonts w:ascii="Times New Roman" w:hAnsi="Times New Roman"/>
        </w:rPr>
        <w:t>3</w:t>
      </w:r>
      <w:r w:rsidRPr="002728A3">
        <w:rPr>
          <w:rFonts w:ascii="Times New Roman" w:hAnsi="Times New Roman"/>
        </w:rPr>
        <w:t>. The spectrum of the complex shows the expected molecular ion [M2+] with sign at 291.8654 m/z, considering the m/2z ratio. The highest intensity peak found around 264.5678 m/z refers to free carbene. The more distant peaks are related to the alpha-cyano-4-hydroxycinnamic acid (HAAC) matrix.</w:t>
      </w:r>
    </w:p>
    <w:p w14:paraId="128F3EF0" w14:textId="2E733B80" w:rsidR="002728A3" w:rsidRDefault="00EC46EC" w:rsidP="0023210B">
      <w:pPr>
        <w:keepNext/>
        <w:contextualSpacing/>
        <w:jc w:val="center"/>
      </w:pPr>
      <w:r>
        <w:object w:dxaOrig="15437" w:dyaOrig="11815" w14:anchorId="4FD6EB9A">
          <v:shape id="_x0000_i1026" type="#_x0000_t75" style="width:153pt;height:139.5pt" o:ole="">
            <v:imagedata r:id="rId12" o:title="" croptop="5857f" cropbottom="3174f" cropleft="10800f" cropright="7522f"/>
          </v:shape>
          <o:OLEObject Type="Embed" ProgID="Origin95.Graph" ShapeID="_x0000_i1026" DrawAspect="Content" ObjectID="_1750488002" r:id="rId13"/>
        </w:object>
      </w:r>
    </w:p>
    <w:p w14:paraId="031954E1" w14:textId="218092E9" w:rsidR="002728A3" w:rsidRDefault="002728A3" w:rsidP="0023210B">
      <w:pPr>
        <w:pStyle w:val="Legenda"/>
        <w:contextualSpacing/>
        <w:jc w:val="center"/>
        <w:rPr>
          <w:lang w:val="en-US"/>
        </w:rPr>
      </w:pPr>
      <w:r w:rsidRPr="002728A3">
        <w:rPr>
          <w:lang w:val="en-US"/>
        </w:rPr>
        <w:t xml:space="preserve">Figure </w:t>
      </w:r>
      <w:r>
        <w:fldChar w:fldCharType="begin"/>
      </w:r>
      <w:r w:rsidRPr="002728A3">
        <w:rPr>
          <w:lang w:val="en-US"/>
        </w:rPr>
        <w:instrText xml:space="preserve"> SEQ Figure \* ARABIC </w:instrText>
      </w:r>
      <w:r>
        <w:fldChar w:fldCharType="separate"/>
      </w:r>
      <w:r w:rsidR="00280DBA">
        <w:rPr>
          <w:noProof/>
          <w:lang w:val="en-US"/>
        </w:rPr>
        <w:t>3</w:t>
      </w:r>
      <w:r>
        <w:fldChar w:fldCharType="end"/>
      </w:r>
      <w:r w:rsidRPr="002728A3">
        <w:rPr>
          <w:lang w:val="en-US"/>
        </w:rPr>
        <w:t>. MALDi-TOF spectrum for complex  [Mn</w:t>
      </w:r>
      <w:r w:rsidRPr="002728A3">
        <w:rPr>
          <w:vertAlign w:val="superscript"/>
          <w:lang w:val="en-US"/>
        </w:rPr>
        <w:t>II</w:t>
      </w:r>
      <w:r w:rsidRPr="002728A3">
        <w:rPr>
          <w:lang w:val="en-US"/>
        </w:rPr>
        <w:t>(</w:t>
      </w:r>
      <w:r w:rsidRPr="002728A3">
        <w:rPr>
          <w:i/>
          <w:iCs/>
          <w:lang w:val="en-US"/>
        </w:rPr>
        <w:t>py</w:t>
      </w:r>
      <w:r w:rsidRPr="002728A3">
        <w:rPr>
          <w:lang w:val="en-US"/>
        </w:rPr>
        <w:t>-mes)</w:t>
      </w:r>
      <w:r w:rsidRPr="002728A3">
        <w:rPr>
          <w:vertAlign w:val="subscript"/>
          <w:lang w:val="en-US"/>
        </w:rPr>
        <w:t>2</w:t>
      </w:r>
      <w:r w:rsidRPr="002728A3">
        <w:rPr>
          <w:lang w:val="en-US"/>
        </w:rPr>
        <w:t>](PF</w:t>
      </w:r>
      <w:r w:rsidRPr="002728A3">
        <w:rPr>
          <w:vertAlign w:val="subscript"/>
          <w:lang w:val="en-US"/>
        </w:rPr>
        <w:t>6</w:t>
      </w:r>
      <w:r w:rsidRPr="002728A3">
        <w:rPr>
          <w:lang w:val="en-US"/>
        </w:rPr>
        <w:t>)</w:t>
      </w:r>
      <w:r w:rsidRPr="002728A3">
        <w:rPr>
          <w:vertAlign w:val="subscript"/>
          <w:lang w:val="en-US"/>
        </w:rPr>
        <w:t>2</w:t>
      </w:r>
      <w:r w:rsidRPr="002728A3">
        <w:rPr>
          <w:lang w:val="en-US"/>
        </w:rPr>
        <w:t>.</w:t>
      </w:r>
    </w:p>
    <w:p w14:paraId="3DBA42C4" w14:textId="0FA9705F" w:rsidR="002728A3" w:rsidRPr="002728A3" w:rsidRDefault="002728A3" w:rsidP="0023210B">
      <w:pPr>
        <w:pStyle w:val="TAMainText"/>
        <w:ind w:firstLine="0"/>
        <w:contextualSpacing/>
        <w:rPr>
          <w:rFonts w:ascii="Times New Roman" w:hAnsi="Times New Roman"/>
        </w:rPr>
      </w:pPr>
      <w:r w:rsidRPr="002728A3">
        <w:rPr>
          <w:rFonts w:ascii="Times New Roman" w:hAnsi="Times New Roman"/>
        </w:rPr>
        <w:t>The initial characterization of the py-mes</w:t>
      </w:r>
      <w:r w:rsidR="00F76C7C">
        <w:rPr>
          <w:rFonts w:ascii="Times New Roman" w:hAnsi="Times New Roman"/>
        </w:rPr>
        <w:t>i</w:t>
      </w:r>
      <w:r w:rsidRPr="002728A3">
        <w:rPr>
          <w:rFonts w:ascii="Times New Roman" w:hAnsi="Times New Roman"/>
        </w:rPr>
        <w:t>thyl(PF</w:t>
      </w:r>
      <w:r w:rsidRPr="002728A3">
        <w:rPr>
          <w:rFonts w:ascii="Times New Roman" w:hAnsi="Times New Roman"/>
          <w:vertAlign w:val="subscript"/>
        </w:rPr>
        <w:t>6</w:t>
      </w:r>
      <w:r w:rsidRPr="002728A3">
        <w:rPr>
          <w:rFonts w:ascii="Times New Roman" w:hAnsi="Times New Roman"/>
        </w:rPr>
        <w:t>) ligand of the respective complex [Mn</w:t>
      </w:r>
      <w:r w:rsidRPr="002728A3">
        <w:rPr>
          <w:rFonts w:ascii="Times New Roman" w:hAnsi="Times New Roman"/>
          <w:vertAlign w:val="superscript"/>
        </w:rPr>
        <w:t>II</w:t>
      </w:r>
      <w:r w:rsidRPr="002728A3">
        <w:rPr>
          <w:rFonts w:ascii="Times New Roman" w:hAnsi="Times New Roman"/>
        </w:rPr>
        <w:t>(py-mes</w:t>
      </w:r>
      <w:r w:rsidR="00F76C7C">
        <w:rPr>
          <w:rFonts w:ascii="Times New Roman" w:hAnsi="Times New Roman"/>
        </w:rPr>
        <w:t>i</w:t>
      </w:r>
      <w:r w:rsidRPr="002728A3">
        <w:rPr>
          <w:rFonts w:ascii="Times New Roman" w:hAnsi="Times New Roman"/>
        </w:rPr>
        <w:t>thyl)</w:t>
      </w:r>
      <w:r w:rsidRPr="002728A3">
        <w:rPr>
          <w:rFonts w:ascii="Times New Roman" w:hAnsi="Times New Roman"/>
          <w:vertAlign w:val="subscript"/>
        </w:rPr>
        <w:t>2</w:t>
      </w:r>
      <w:r w:rsidRPr="002728A3">
        <w:rPr>
          <w:rFonts w:ascii="Times New Roman" w:hAnsi="Times New Roman"/>
        </w:rPr>
        <w:t>](PF</w:t>
      </w:r>
      <w:r w:rsidRPr="002728A3">
        <w:rPr>
          <w:rFonts w:ascii="Times New Roman" w:hAnsi="Times New Roman"/>
          <w:vertAlign w:val="subscript"/>
        </w:rPr>
        <w:t>6</w:t>
      </w:r>
      <w:r w:rsidRPr="002728A3">
        <w:rPr>
          <w:rFonts w:ascii="Times New Roman" w:hAnsi="Times New Roman"/>
        </w:rPr>
        <w:t>)</w:t>
      </w:r>
      <w:r w:rsidRPr="002728A3">
        <w:rPr>
          <w:rFonts w:ascii="Times New Roman" w:hAnsi="Times New Roman"/>
          <w:vertAlign w:val="subscript"/>
        </w:rPr>
        <w:t>2</w:t>
      </w:r>
      <w:r w:rsidRPr="002728A3">
        <w:rPr>
          <w:rFonts w:ascii="Times New Roman" w:hAnsi="Times New Roman"/>
        </w:rPr>
        <w:t xml:space="preserve"> by spectroscopy in the UV-Vis region</w:t>
      </w:r>
      <w:r>
        <w:rPr>
          <w:rFonts w:ascii="Times New Roman" w:hAnsi="Times New Roman"/>
        </w:rPr>
        <w:t xml:space="preserve"> (Figure 4)</w:t>
      </w:r>
      <w:r w:rsidRPr="002728A3">
        <w:rPr>
          <w:rFonts w:ascii="Times New Roman" w:hAnsi="Times New Roman"/>
        </w:rPr>
        <w:t xml:space="preserve"> consisted of observing the difference between the absorption bands of the synthesized complex in comparison with the previously prepared NHC ligand.</w:t>
      </w:r>
      <w:r w:rsidRPr="002728A3">
        <w:t xml:space="preserve"> </w:t>
      </w:r>
      <w:r w:rsidRPr="002728A3">
        <w:rPr>
          <w:rFonts w:ascii="Times New Roman" w:hAnsi="Times New Roman"/>
        </w:rPr>
        <w:t>From the spectrum of the py-mes</w:t>
      </w:r>
      <w:r w:rsidR="00F76C7C">
        <w:rPr>
          <w:rFonts w:ascii="Times New Roman" w:hAnsi="Times New Roman"/>
        </w:rPr>
        <w:t>i</w:t>
      </w:r>
      <w:r w:rsidRPr="002728A3">
        <w:rPr>
          <w:rFonts w:ascii="Times New Roman" w:hAnsi="Times New Roman"/>
        </w:rPr>
        <w:t>thyl (PF</w:t>
      </w:r>
      <w:r w:rsidRPr="002728A3">
        <w:rPr>
          <w:rFonts w:ascii="Times New Roman" w:hAnsi="Times New Roman"/>
          <w:vertAlign w:val="subscript"/>
        </w:rPr>
        <w:t>6</w:t>
      </w:r>
      <w:r w:rsidRPr="002728A3">
        <w:rPr>
          <w:rFonts w:ascii="Times New Roman" w:hAnsi="Times New Roman"/>
        </w:rPr>
        <w:t>) ligand, two bands related to the π</w:t>
      </w:r>
      <w:r>
        <w:rPr>
          <w:rFonts w:ascii="Times New Roman" w:hAnsi="Times New Roman"/>
        </w:rPr>
        <w:t>‒</w:t>
      </w:r>
      <w:r w:rsidRPr="002728A3">
        <w:rPr>
          <w:rFonts w:ascii="Times New Roman" w:hAnsi="Times New Roman"/>
        </w:rPr>
        <w:t>π* and n</w:t>
      </w:r>
      <w:r>
        <w:rPr>
          <w:rFonts w:ascii="Times New Roman" w:hAnsi="Times New Roman"/>
        </w:rPr>
        <w:t>‒</w:t>
      </w:r>
      <w:r w:rsidRPr="002728A3">
        <w:rPr>
          <w:rFonts w:ascii="Times New Roman" w:hAnsi="Times New Roman"/>
        </w:rPr>
        <w:t>π* electronic transitions at 245 and 266 nm, respectively</w:t>
      </w:r>
      <w:r>
        <w:rPr>
          <w:rFonts w:ascii="Times New Roman" w:hAnsi="Times New Roman"/>
        </w:rPr>
        <w:t>.</w:t>
      </w:r>
      <w:r w:rsidRPr="002728A3">
        <w:rPr>
          <w:rFonts w:ascii="Times New Roman" w:hAnsi="Times New Roman"/>
        </w:rPr>
        <w:t xml:space="preserve"> Comparing with the synthesized Mn</w:t>
      </w:r>
      <w:r w:rsidRPr="002728A3">
        <w:rPr>
          <w:rFonts w:ascii="Times New Roman" w:hAnsi="Times New Roman"/>
          <w:vertAlign w:val="superscript"/>
        </w:rPr>
        <w:t>II</w:t>
      </w:r>
      <w:r w:rsidRPr="002728A3">
        <w:rPr>
          <w:rFonts w:ascii="Times New Roman" w:hAnsi="Times New Roman"/>
        </w:rPr>
        <w:t xml:space="preserve"> complex, it is observed a hypsochromic shift of the band at π</w:t>
      </w:r>
      <w:r>
        <w:rPr>
          <w:rFonts w:ascii="Times New Roman" w:hAnsi="Times New Roman"/>
        </w:rPr>
        <w:t>‒</w:t>
      </w:r>
      <w:r w:rsidRPr="002728A3">
        <w:rPr>
          <w:rFonts w:ascii="Times New Roman" w:hAnsi="Times New Roman"/>
        </w:rPr>
        <w:t>π* from 245 to 240 nm, and for the band at 266 nm there is a bathochromic shift to 271 nm. In addition to these shifted bands, we observe the appearance of a shoulder at 312 nm related to n</w:t>
      </w:r>
      <w:r>
        <w:rPr>
          <w:rFonts w:ascii="Times New Roman" w:hAnsi="Times New Roman"/>
        </w:rPr>
        <w:t>‒</w:t>
      </w:r>
      <w:r w:rsidRPr="002728A3">
        <w:rPr>
          <w:rFonts w:ascii="Times New Roman" w:hAnsi="Times New Roman"/>
        </w:rPr>
        <w:t>π* transitions, and a band at 365 nm attributed to MLCT transitions.</w:t>
      </w:r>
    </w:p>
    <w:p w14:paraId="2289DB57" w14:textId="35ADFF62" w:rsidR="002728A3" w:rsidRDefault="00A13454" w:rsidP="0023210B">
      <w:pPr>
        <w:keepNext/>
        <w:contextualSpacing/>
        <w:jc w:val="center"/>
      </w:pPr>
      <w:r w:rsidRPr="004D3BE3">
        <w:object w:dxaOrig="26302" w:dyaOrig="18607" w14:anchorId="7C31B1B4">
          <v:shape id="_x0000_i1027" type="#_x0000_t75" style="width:206.5pt;height:158pt" o:ole="">
            <v:imagedata r:id="rId14" o:title="" croptop="4079f" cropbottom="21947f" cropleft="2574f" cropright="26522f"/>
          </v:shape>
          <o:OLEObject Type="Embed" ProgID="Origin50.Graph" ShapeID="_x0000_i1027" DrawAspect="Content" ObjectID="_1750488003" r:id="rId15"/>
        </w:object>
      </w:r>
    </w:p>
    <w:p w14:paraId="72E4C06B" w14:textId="2721E323" w:rsidR="002728A3" w:rsidRPr="00F76C7C" w:rsidRDefault="002728A3" w:rsidP="0023210B">
      <w:pPr>
        <w:pStyle w:val="Legenda"/>
        <w:contextualSpacing/>
        <w:jc w:val="both"/>
        <w:rPr>
          <w:lang w:val="en-US"/>
        </w:rPr>
      </w:pPr>
      <w:r w:rsidRPr="002728A3">
        <w:rPr>
          <w:lang w:val="en-US"/>
        </w:rPr>
        <w:t xml:space="preserve">Figure </w:t>
      </w:r>
      <w:r>
        <w:fldChar w:fldCharType="begin"/>
      </w:r>
      <w:r w:rsidRPr="002728A3">
        <w:rPr>
          <w:lang w:val="en-US"/>
        </w:rPr>
        <w:instrText xml:space="preserve"> SEQ Figure \* ARABIC </w:instrText>
      </w:r>
      <w:r>
        <w:fldChar w:fldCharType="separate"/>
      </w:r>
      <w:r w:rsidR="00280DBA">
        <w:rPr>
          <w:noProof/>
          <w:lang w:val="en-US"/>
        </w:rPr>
        <w:t>4</w:t>
      </w:r>
      <w:r>
        <w:fldChar w:fldCharType="end"/>
      </w:r>
      <w:r w:rsidRPr="002728A3">
        <w:rPr>
          <w:lang w:val="en-US"/>
        </w:rPr>
        <w:t>. UV-Vis spectra for the compounds py-mes</w:t>
      </w:r>
      <w:r w:rsidR="00F76C7C">
        <w:rPr>
          <w:lang w:val="en-US"/>
        </w:rPr>
        <w:t>i</w:t>
      </w:r>
      <w:r w:rsidRPr="002728A3">
        <w:rPr>
          <w:lang w:val="en-US"/>
        </w:rPr>
        <w:t>thyl (PF</w:t>
      </w:r>
      <w:r w:rsidRPr="002728A3">
        <w:rPr>
          <w:vertAlign w:val="subscript"/>
          <w:lang w:val="en-US"/>
        </w:rPr>
        <w:t>6</w:t>
      </w:r>
      <w:r w:rsidRPr="002728A3">
        <w:rPr>
          <w:lang w:val="en-US"/>
        </w:rPr>
        <w:t>) and its respective complex [Mn</w:t>
      </w:r>
      <w:r w:rsidRPr="002728A3">
        <w:rPr>
          <w:vertAlign w:val="superscript"/>
          <w:lang w:val="en-US"/>
        </w:rPr>
        <w:t>II</w:t>
      </w:r>
      <w:r w:rsidRPr="002728A3">
        <w:rPr>
          <w:lang w:val="en-US"/>
        </w:rPr>
        <w:t>(py-mesethyl)].</w:t>
      </w:r>
    </w:p>
    <w:p w14:paraId="4A59E3C0" w14:textId="357CB8B5" w:rsidR="00540CD6" w:rsidRDefault="00540CD6" w:rsidP="0023210B">
      <w:pPr>
        <w:spacing w:line="240" w:lineRule="auto"/>
        <w:contextualSpacing/>
        <w:jc w:val="both"/>
        <w:rPr>
          <w:rFonts w:ascii="Times New Roman" w:eastAsia="Times New Roman" w:hAnsi="Times New Roman" w:cs="Times New Roman"/>
          <w:sz w:val="20"/>
          <w:szCs w:val="20"/>
          <w:lang w:val="en-US" w:eastAsia="pt-BR"/>
        </w:rPr>
      </w:pPr>
      <w:r w:rsidRPr="00540CD6">
        <w:rPr>
          <w:rFonts w:ascii="Times New Roman" w:eastAsia="Times New Roman" w:hAnsi="Times New Roman" w:cs="Times New Roman"/>
          <w:sz w:val="20"/>
          <w:szCs w:val="20"/>
          <w:lang w:val="en-US" w:eastAsia="pt-BR"/>
        </w:rPr>
        <w:t>The [Mn</w:t>
      </w:r>
      <w:r w:rsidRPr="00540CD6">
        <w:rPr>
          <w:rFonts w:ascii="Times New Roman" w:eastAsia="Times New Roman" w:hAnsi="Times New Roman" w:cs="Times New Roman"/>
          <w:sz w:val="20"/>
          <w:szCs w:val="20"/>
          <w:vertAlign w:val="superscript"/>
          <w:lang w:val="en-US" w:eastAsia="pt-BR"/>
        </w:rPr>
        <w:t>II</w:t>
      </w:r>
      <w:r w:rsidRPr="00540CD6">
        <w:rPr>
          <w:rFonts w:ascii="Times New Roman" w:eastAsia="Times New Roman" w:hAnsi="Times New Roman" w:cs="Times New Roman"/>
          <w:sz w:val="20"/>
          <w:szCs w:val="20"/>
          <w:lang w:val="en-US" w:eastAsia="pt-BR"/>
        </w:rPr>
        <w:t>(py-mesethyl)</w:t>
      </w:r>
      <w:r w:rsidRPr="00540CD6">
        <w:rPr>
          <w:rFonts w:ascii="Times New Roman" w:eastAsia="Times New Roman" w:hAnsi="Times New Roman" w:cs="Times New Roman"/>
          <w:sz w:val="20"/>
          <w:szCs w:val="20"/>
          <w:vertAlign w:val="subscript"/>
          <w:lang w:val="en-US" w:eastAsia="pt-BR"/>
        </w:rPr>
        <w:t>2</w:t>
      </w:r>
      <w:r w:rsidRPr="00540CD6">
        <w:rPr>
          <w:rFonts w:ascii="Times New Roman" w:eastAsia="Times New Roman" w:hAnsi="Times New Roman" w:cs="Times New Roman"/>
          <w:sz w:val="20"/>
          <w:szCs w:val="20"/>
          <w:lang w:val="en-US" w:eastAsia="pt-BR"/>
        </w:rPr>
        <w:t>](PF</w:t>
      </w:r>
      <w:r w:rsidRPr="00540CD6">
        <w:rPr>
          <w:rFonts w:ascii="Times New Roman" w:eastAsia="Times New Roman" w:hAnsi="Times New Roman" w:cs="Times New Roman"/>
          <w:sz w:val="20"/>
          <w:szCs w:val="20"/>
          <w:vertAlign w:val="subscript"/>
          <w:lang w:val="en-US" w:eastAsia="pt-BR"/>
        </w:rPr>
        <w:t>6</w:t>
      </w:r>
      <w:r w:rsidRPr="00540CD6">
        <w:rPr>
          <w:rFonts w:ascii="Times New Roman" w:eastAsia="Times New Roman" w:hAnsi="Times New Roman" w:cs="Times New Roman"/>
          <w:sz w:val="20"/>
          <w:szCs w:val="20"/>
          <w:lang w:val="en-US" w:eastAsia="pt-BR"/>
        </w:rPr>
        <w:t>)</w:t>
      </w:r>
      <w:r w:rsidRPr="00540CD6">
        <w:rPr>
          <w:rFonts w:ascii="Times New Roman" w:eastAsia="Times New Roman" w:hAnsi="Times New Roman" w:cs="Times New Roman"/>
          <w:sz w:val="20"/>
          <w:szCs w:val="20"/>
          <w:vertAlign w:val="subscript"/>
          <w:lang w:val="en-US" w:eastAsia="pt-BR"/>
        </w:rPr>
        <w:t>2</w:t>
      </w:r>
      <w:r>
        <w:rPr>
          <w:rFonts w:ascii="Times New Roman" w:eastAsia="Times New Roman" w:hAnsi="Times New Roman" w:cs="Times New Roman"/>
          <w:sz w:val="20"/>
          <w:szCs w:val="20"/>
          <w:vertAlign w:val="subscript"/>
          <w:lang w:val="en-US" w:eastAsia="pt-BR"/>
        </w:rPr>
        <w:t xml:space="preserve"> </w:t>
      </w:r>
      <w:r>
        <w:rPr>
          <w:rFonts w:ascii="Times New Roman" w:eastAsia="Times New Roman" w:hAnsi="Times New Roman" w:cs="Times New Roman"/>
          <w:sz w:val="20"/>
          <w:szCs w:val="20"/>
          <w:lang w:val="en-US" w:eastAsia="pt-BR"/>
        </w:rPr>
        <w:t xml:space="preserve">and the NHC were further characterized by photoluminescence spectroscopy. The complex has showed emission around 400 nm when excited with wavelength fixed at 320 nm as can be seen from figure 5. Also from this figure, it is possible to notice that when the complex was excited with wavelength fixed at 365 nm, the emission was discrete. </w:t>
      </w:r>
    </w:p>
    <w:p w14:paraId="0CC6BBDE" w14:textId="77777777" w:rsidR="0023210B" w:rsidRDefault="0023210B" w:rsidP="0023210B">
      <w:pPr>
        <w:spacing w:line="240" w:lineRule="auto"/>
        <w:contextualSpacing/>
        <w:jc w:val="both"/>
        <w:rPr>
          <w:rFonts w:ascii="Times New Roman" w:eastAsia="Times New Roman" w:hAnsi="Times New Roman" w:cs="Times New Roman"/>
          <w:sz w:val="20"/>
          <w:szCs w:val="20"/>
          <w:lang w:val="en-US" w:eastAsia="pt-BR"/>
        </w:rPr>
      </w:pPr>
    </w:p>
    <w:p w14:paraId="7BDFDAE5" w14:textId="3970F6D2" w:rsidR="00540CD6" w:rsidRPr="00540CD6" w:rsidRDefault="00540CD6" w:rsidP="0023210B">
      <w:pPr>
        <w:spacing w:line="240" w:lineRule="auto"/>
        <w:ind w:firstLine="187"/>
        <w:contextualSpacing/>
        <w:jc w:val="both"/>
        <w:rPr>
          <w:rFonts w:ascii="Times New Roman" w:eastAsia="Times New Roman" w:hAnsi="Times New Roman" w:cs="Times New Roman"/>
          <w:sz w:val="20"/>
          <w:szCs w:val="20"/>
          <w:lang w:val="en-US" w:eastAsia="pt-BR"/>
        </w:rPr>
      </w:pPr>
      <w:r w:rsidRPr="00540CD6">
        <w:rPr>
          <w:rFonts w:ascii="Times New Roman" w:eastAsia="Times New Roman" w:hAnsi="Times New Roman" w:cs="Times New Roman"/>
          <w:sz w:val="20"/>
          <w:szCs w:val="20"/>
          <w:lang w:val="en-US" w:eastAsia="pt-BR"/>
        </w:rPr>
        <w:t>In order to study the luminescent behavior of the [MnII(</w:t>
      </w:r>
      <w:r w:rsidRPr="0023210B">
        <w:rPr>
          <w:rFonts w:ascii="Times New Roman" w:eastAsia="Times New Roman" w:hAnsi="Times New Roman" w:cs="Times New Roman"/>
          <w:i/>
          <w:iCs/>
          <w:sz w:val="20"/>
          <w:szCs w:val="20"/>
          <w:lang w:val="en-US" w:eastAsia="pt-BR"/>
        </w:rPr>
        <w:t>py</w:t>
      </w:r>
      <w:r w:rsidRPr="00540CD6">
        <w:rPr>
          <w:rFonts w:ascii="Times New Roman" w:eastAsia="Times New Roman" w:hAnsi="Times New Roman" w:cs="Times New Roman"/>
          <w:sz w:val="20"/>
          <w:szCs w:val="20"/>
          <w:lang w:val="en-US" w:eastAsia="pt-BR"/>
        </w:rPr>
        <w:t>-mesetil)</w:t>
      </w:r>
      <w:r w:rsidRPr="0023210B">
        <w:rPr>
          <w:rFonts w:ascii="Times New Roman" w:eastAsia="Times New Roman" w:hAnsi="Times New Roman" w:cs="Times New Roman"/>
          <w:sz w:val="20"/>
          <w:szCs w:val="20"/>
          <w:vertAlign w:val="subscript"/>
          <w:lang w:val="en-US" w:eastAsia="pt-BR"/>
        </w:rPr>
        <w:t>2</w:t>
      </w:r>
      <w:r w:rsidRPr="00540CD6">
        <w:rPr>
          <w:rFonts w:ascii="Times New Roman" w:eastAsia="Times New Roman" w:hAnsi="Times New Roman" w:cs="Times New Roman"/>
          <w:sz w:val="20"/>
          <w:szCs w:val="20"/>
          <w:lang w:val="en-US" w:eastAsia="pt-BR"/>
        </w:rPr>
        <w:t>](PF</w:t>
      </w:r>
      <w:r w:rsidRPr="0023210B">
        <w:rPr>
          <w:rFonts w:ascii="Times New Roman" w:eastAsia="Times New Roman" w:hAnsi="Times New Roman" w:cs="Times New Roman"/>
          <w:sz w:val="20"/>
          <w:szCs w:val="20"/>
          <w:vertAlign w:val="subscript"/>
          <w:lang w:val="en-US" w:eastAsia="pt-BR"/>
        </w:rPr>
        <w:t>6</w:t>
      </w:r>
      <w:r w:rsidRPr="00540CD6">
        <w:rPr>
          <w:rFonts w:ascii="Times New Roman" w:eastAsia="Times New Roman" w:hAnsi="Times New Roman" w:cs="Times New Roman"/>
          <w:sz w:val="20"/>
          <w:szCs w:val="20"/>
          <w:lang w:val="en-US" w:eastAsia="pt-BR"/>
        </w:rPr>
        <w:t>)</w:t>
      </w:r>
      <w:r w:rsidRPr="0023210B">
        <w:rPr>
          <w:rFonts w:ascii="Times New Roman" w:eastAsia="Times New Roman" w:hAnsi="Times New Roman" w:cs="Times New Roman"/>
          <w:sz w:val="20"/>
          <w:szCs w:val="20"/>
          <w:vertAlign w:val="subscript"/>
          <w:lang w:val="en-US" w:eastAsia="pt-BR"/>
        </w:rPr>
        <w:t>2</w:t>
      </w:r>
      <w:r w:rsidRPr="00540CD6">
        <w:rPr>
          <w:rFonts w:ascii="Times New Roman" w:eastAsia="Times New Roman" w:hAnsi="Times New Roman" w:cs="Times New Roman"/>
          <w:sz w:val="20"/>
          <w:szCs w:val="20"/>
          <w:lang w:val="en-US" w:eastAsia="pt-BR"/>
        </w:rPr>
        <w:t xml:space="preserve"> complex against solvents of different polarities, </w:t>
      </w:r>
      <w:r w:rsidR="0023210B">
        <w:rPr>
          <w:rFonts w:ascii="Times New Roman" w:eastAsia="Times New Roman" w:hAnsi="Times New Roman" w:cs="Times New Roman"/>
          <w:sz w:val="20"/>
          <w:szCs w:val="20"/>
          <w:lang w:val="en-US" w:eastAsia="pt-BR"/>
        </w:rPr>
        <w:t>four</w:t>
      </w:r>
      <w:r w:rsidRPr="00540CD6">
        <w:rPr>
          <w:rFonts w:ascii="Times New Roman" w:eastAsia="Times New Roman" w:hAnsi="Times New Roman" w:cs="Times New Roman"/>
          <w:sz w:val="20"/>
          <w:szCs w:val="20"/>
          <w:lang w:val="en-US" w:eastAsia="pt-BR"/>
        </w:rPr>
        <w:t xml:space="preserve"> fluorescence measurements were performed, as shown in</w:t>
      </w:r>
      <w:r w:rsidR="0023210B">
        <w:rPr>
          <w:rFonts w:ascii="Times New Roman" w:eastAsia="Times New Roman" w:hAnsi="Times New Roman" w:cs="Times New Roman"/>
          <w:sz w:val="20"/>
          <w:szCs w:val="20"/>
          <w:lang w:val="en-US" w:eastAsia="pt-BR"/>
        </w:rPr>
        <w:t xml:space="preserve"> figure 6. </w:t>
      </w:r>
    </w:p>
    <w:p w14:paraId="2D9051CE" w14:textId="4F9F1BE8" w:rsidR="0023210B" w:rsidRDefault="00EC46EC" w:rsidP="0023210B">
      <w:pPr>
        <w:keepNext/>
        <w:jc w:val="both"/>
      </w:pPr>
      <w:r>
        <w:object w:dxaOrig="25560" w:dyaOrig="17850" w14:anchorId="669CAF49">
          <v:shape id="_x0000_i1028" type="#_x0000_t75" style="width:189pt;height:139pt" o:ole="">
            <v:imagedata r:id="rId16" o:title="" croptop="3526f" cropbottom="21880f" cropleft="2684f" cropright="24911f"/>
          </v:shape>
          <o:OLEObject Type="Embed" ProgID="Origin50.Graph" ShapeID="_x0000_i1028" DrawAspect="Content" ObjectID="_1750488004" r:id="rId17"/>
        </w:object>
      </w:r>
    </w:p>
    <w:p w14:paraId="28E37CFA" w14:textId="67F13A2F" w:rsidR="002728A3" w:rsidRPr="0023210B" w:rsidRDefault="0023210B" w:rsidP="0023210B">
      <w:pPr>
        <w:pStyle w:val="Legenda"/>
        <w:jc w:val="both"/>
        <w:rPr>
          <w:lang w:val="en-US"/>
        </w:rPr>
      </w:pPr>
      <w:r w:rsidRPr="0023210B">
        <w:rPr>
          <w:lang w:val="en-US"/>
        </w:rPr>
        <w:t xml:space="preserve">Figure </w:t>
      </w:r>
      <w:r>
        <w:fldChar w:fldCharType="begin"/>
      </w:r>
      <w:r w:rsidRPr="0023210B">
        <w:rPr>
          <w:lang w:val="en-US"/>
        </w:rPr>
        <w:instrText xml:space="preserve"> SEQ Figure \* ARABIC </w:instrText>
      </w:r>
      <w:r>
        <w:fldChar w:fldCharType="separate"/>
      </w:r>
      <w:r w:rsidR="00280DBA">
        <w:rPr>
          <w:noProof/>
          <w:lang w:val="en-US"/>
        </w:rPr>
        <w:t>5</w:t>
      </w:r>
      <w:r>
        <w:fldChar w:fldCharType="end"/>
      </w:r>
      <w:r w:rsidRPr="0023210B">
        <w:rPr>
          <w:lang w:val="en-US"/>
        </w:rPr>
        <w:t>. Emission spectrum for the [MnII(py-mes</w:t>
      </w:r>
      <w:r w:rsidR="00F76C7C">
        <w:rPr>
          <w:lang w:val="en-US"/>
        </w:rPr>
        <w:t>i</w:t>
      </w:r>
      <w:r w:rsidRPr="0023210B">
        <w:rPr>
          <w:lang w:val="en-US"/>
        </w:rPr>
        <w:t>thyl)2](PF6)2 complex in different solvents at 320 nm.</w:t>
      </w:r>
    </w:p>
    <w:p w14:paraId="0F18A1C4" w14:textId="6D7B784E" w:rsidR="0023210B" w:rsidRDefault="0023210B" w:rsidP="00EA4E1B">
      <w:pPr>
        <w:pStyle w:val="TAMainText"/>
        <w:ind w:firstLine="187"/>
        <w:rPr>
          <w:rFonts w:ascii="Times New Roman" w:hAnsi="Times New Roman"/>
        </w:rPr>
      </w:pPr>
      <w:r w:rsidRPr="0023210B">
        <w:rPr>
          <w:rFonts w:ascii="Times New Roman" w:hAnsi="Times New Roman"/>
        </w:rPr>
        <w:t xml:space="preserve">The solvatochromism </w:t>
      </w:r>
      <w:r>
        <w:rPr>
          <w:rFonts w:ascii="Times New Roman" w:hAnsi="Times New Roman"/>
        </w:rPr>
        <w:t>investigatio</w:t>
      </w:r>
      <w:r w:rsidR="00F76C7C">
        <w:rPr>
          <w:rFonts w:ascii="Times New Roman" w:hAnsi="Times New Roman"/>
        </w:rPr>
        <w:t>n</w:t>
      </w:r>
      <w:r w:rsidRPr="0023210B">
        <w:rPr>
          <w:rFonts w:ascii="Times New Roman" w:hAnsi="Times New Roman"/>
        </w:rPr>
        <w:t xml:space="preserve"> was carried out in four different solvents, acetonitrile, acetone, dichloromethane and methanol. It can be observed that the emission spectra in dichloromethane and acetone obtained the similar profile with a small shift between the absorption maxima, at 415 and 426</w:t>
      </w:r>
      <w:r>
        <w:rPr>
          <w:rFonts w:ascii="Times New Roman" w:hAnsi="Times New Roman"/>
        </w:rPr>
        <w:t xml:space="preserve"> nm</w:t>
      </w:r>
      <w:r w:rsidRPr="0023210B">
        <w:rPr>
          <w:rFonts w:ascii="Times New Roman" w:hAnsi="Times New Roman"/>
        </w:rPr>
        <w:t xml:space="preserve"> respectively. The spectrum in methanol presented its maximum absorption around 352 nm. Finally, the last solvent studied was acetonitrile, which has two emission bands, one at 360 and another at 430 nm. These differences in the spectra are linked to the polarity of the solvents, and also to the coordinating capacity of </w:t>
      </w:r>
      <w:r w:rsidRPr="0023210B">
        <w:rPr>
          <w:rFonts w:ascii="Times New Roman" w:hAnsi="Times New Roman"/>
        </w:rPr>
        <w:lastRenderedPageBreak/>
        <w:t>acetonitrile. In addition, we can also observe that dichlormethane, acetone and acetonitrile solvents are aporotic polar. The order of the dielectric constants arranged in ascending order is:</w:t>
      </w:r>
    </w:p>
    <w:p w14:paraId="6C781C88" w14:textId="7317A3AC" w:rsidR="0023210B" w:rsidRPr="0023210B" w:rsidRDefault="0023210B" w:rsidP="00EA4E1B">
      <w:pPr>
        <w:pStyle w:val="TAMainText"/>
        <w:ind w:firstLine="187"/>
        <w:rPr>
          <w:rFonts w:ascii="Times New Roman" w:hAnsi="Times New Roman"/>
          <w:b/>
          <w:bCs/>
        </w:rPr>
      </w:pPr>
      <w:r w:rsidRPr="0023210B">
        <w:rPr>
          <w:rFonts w:ascii="Times New Roman" w:hAnsi="Times New Roman"/>
          <w:b/>
          <w:bCs/>
        </w:rPr>
        <w:t>dichloromethane &lt; acetone &lt; methanol &lt; acetonitrile</w:t>
      </w:r>
    </w:p>
    <w:p w14:paraId="24513AAE" w14:textId="2EA5275E" w:rsidR="0023210B" w:rsidRDefault="0023210B" w:rsidP="00EA4E1B">
      <w:pPr>
        <w:pStyle w:val="TAMainText"/>
        <w:ind w:firstLine="187"/>
        <w:rPr>
          <w:rFonts w:ascii="Times New Roman" w:hAnsi="Times New Roman"/>
        </w:rPr>
      </w:pPr>
      <w:r w:rsidRPr="0023210B">
        <w:rPr>
          <w:rFonts w:ascii="Times New Roman" w:hAnsi="Times New Roman"/>
        </w:rPr>
        <w:t xml:space="preserve">To better study the behavior of the complex against polymerization, fluorescence studies were carried out with additives added to the reaction (TEA). Figure </w:t>
      </w:r>
      <w:r>
        <w:rPr>
          <w:rFonts w:ascii="Times New Roman" w:hAnsi="Times New Roman"/>
        </w:rPr>
        <w:t>7</w:t>
      </w:r>
      <w:r w:rsidRPr="0023210B">
        <w:rPr>
          <w:rFonts w:ascii="Times New Roman" w:hAnsi="Times New Roman"/>
        </w:rPr>
        <w:t xml:space="preserve"> shows the behavior obtained in the spectrum of the complex [Mn</w:t>
      </w:r>
      <w:r w:rsidRPr="0023210B">
        <w:rPr>
          <w:rFonts w:ascii="Times New Roman" w:hAnsi="Times New Roman"/>
          <w:vertAlign w:val="superscript"/>
        </w:rPr>
        <w:t>II</w:t>
      </w:r>
      <w:r w:rsidRPr="0023210B">
        <w:rPr>
          <w:rFonts w:ascii="Times New Roman" w:hAnsi="Times New Roman"/>
        </w:rPr>
        <w:t>(</w:t>
      </w:r>
      <w:r w:rsidRPr="0023210B">
        <w:rPr>
          <w:rFonts w:ascii="Times New Roman" w:hAnsi="Times New Roman"/>
          <w:i/>
          <w:iCs/>
        </w:rPr>
        <w:t>py</w:t>
      </w:r>
      <w:r w:rsidRPr="0023210B">
        <w:rPr>
          <w:rFonts w:ascii="Times New Roman" w:hAnsi="Times New Roman"/>
        </w:rPr>
        <w:t>-mesetil)</w:t>
      </w:r>
      <w:r w:rsidRPr="0023210B">
        <w:rPr>
          <w:rFonts w:ascii="Times New Roman" w:hAnsi="Times New Roman"/>
          <w:vertAlign w:val="subscript"/>
        </w:rPr>
        <w:t>2</w:t>
      </w:r>
      <w:r w:rsidRPr="0023210B">
        <w:rPr>
          <w:rFonts w:ascii="Times New Roman" w:hAnsi="Times New Roman"/>
        </w:rPr>
        <w:t>](PF</w:t>
      </w:r>
      <w:r w:rsidRPr="0023210B">
        <w:rPr>
          <w:rFonts w:ascii="Times New Roman" w:hAnsi="Times New Roman"/>
          <w:vertAlign w:val="subscript"/>
        </w:rPr>
        <w:t>6</w:t>
      </w:r>
      <w:r w:rsidRPr="0023210B">
        <w:rPr>
          <w:rFonts w:ascii="Times New Roman" w:hAnsi="Times New Roman"/>
        </w:rPr>
        <w:t>)</w:t>
      </w:r>
      <w:r w:rsidRPr="0023210B">
        <w:rPr>
          <w:rFonts w:ascii="Times New Roman" w:hAnsi="Times New Roman"/>
          <w:vertAlign w:val="subscript"/>
        </w:rPr>
        <w:t>2</w:t>
      </w:r>
      <w:r w:rsidRPr="0023210B">
        <w:rPr>
          <w:rFonts w:ascii="Times New Roman" w:hAnsi="Times New Roman"/>
        </w:rPr>
        <w:t xml:space="preserve"> after successive additions of TEA.</w:t>
      </w:r>
      <w:r w:rsidR="001C5C8D" w:rsidRPr="001C5C8D">
        <w:t xml:space="preserve"> </w:t>
      </w:r>
      <w:r w:rsidR="001C5C8D" w:rsidRPr="001C5C8D">
        <w:rPr>
          <w:rFonts w:ascii="Times New Roman" w:hAnsi="Times New Roman"/>
        </w:rPr>
        <w:t>From Figure 32, a suppression behavior is observed, with a decrease in emission intensity with the addition of TEA aliquots. The luminescence of a molecule can be suppressed by a series of photophysical/photochemical processes, or even by the presence of solvents/reagents that lead to deactivation by a radiative or non-radiative process.</w:t>
      </w:r>
      <w:r w:rsidR="001C5C8D">
        <w:rPr>
          <w:rFonts w:ascii="Times New Roman" w:hAnsi="Times New Roman"/>
        </w:rPr>
        <w:t xml:space="preserve"> </w:t>
      </w:r>
    </w:p>
    <w:p w14:paraId="09C86918" w14:textId="388292F0" w:rsidR="0023210B" w:rsidRDefault="00A13454" w:rsidP="0023210B">
      <w:r w:rsidRPr="00A23F28">
        <w:object w:dxaOrig="26310" w:dyaOrig="18607" w14:anchorId="0995B472">
          <v:shape id="_x0000_i1029" type="#_x0000_t75" style="width:221pt;height:161pt" o:ole="">
            <v:imagedata r:id="rId18" o:title="" croptop="3482f" cropbottom="22630f" cropleft="1229f" cropright="25997f"/>
          </v:shape>
          <o:OLEObject Type="Embed" ProgID="Origin50.Graph" ShapeID="_x0000_i1029" DrawAspect="Content" ObjectID="_1750488005" r:id="rId19"/>
        </w:object>
      </w:r>
    </w:p>
    <w:p w14:paraId="6490D861" w14:textId="781679BE" w:rsidR="0023210B" w:rsidRPr="001C5C8D" w:rsidRDefault="001C5C8D" w:rsidP="001C5C8D">
      <w:pPr>
        <w:pStyle w:val="Legenda"/>
        <w:jc w:val="both"/>
        <w:rPr>
          <w:rFonts w:ascii="Times New Roman" w:hAnsi="Times New Roman"/>
          <w:lang w:val="en-US"/>
        </w:rPr>
      </w:pPr>
      <w:r w:rsidRPr="001C5C8D">
        <w:rPr>
          <w:lang w:val="en-US"/>
        </w:rPr>
        <w:t xml:space="preserve">Figure </w:t>
      </w:r>
      <w:r>
        <w:fldChar w:fldCharType="begin"/>
      </w:r>
      <w:r w:rsidRPr="001C5C8D">
        <w:rPr>
          <w:lang w:val="en-US"/>
        </w:rPr>
        <w:instrText xml:space="preserve"> SEQ Figure \* ARABIC </w:instrText>
      </w:r>
      <w:r>
        <w:fldChar w:fldCharType="separate"/>
      </w:r>
      <w:r w:rsidR="00280DBA">
        <w:rPr>
          <w:noProof/>
          <w:lang w:val="en-US"/>
        </w:rPr>
        <w:t>6</w:t>
      </w:r>
      <w:r>
        <w:fldChar w:fldCharType="end"/>
      </w:r>
      <w:r w:rsidRPr="001C5C8D">
        <w:rPr>
          <w:lang w:val="en-US"/>
        </w:rPr>
        <w:t>. Fluorescence spectrum for [Mn</w:t>
      </w:r>
      <w:r w:rsidRPr="001C5C8D">
        <w:rPr>
          <w:vertAlign w:val="superscript"/>
          <w:lang w:val="en-US"/>
        </w:rPr>
        <w:t>II</w:t>
      </w:r>
      <w:r w:rsidRPr="001C5C8D">
        <w:rPr>
          <w:lang w:val="en-US"/>
        </w:rPr>
        <w:t>(</w:t>
      </w:r>
      <w:r w:rsidRPr="001C5C8D">
        <w:rPr>
          <w:i/>
          <w:iCs/>
          <w:lang w:val="en-US"/>
        </w:rPr>
        <w:t>py</w:t>
      </w:r>
      <w:r w:rsidRPr="001C5C8D">
        <w:rPr>
          <w:lang w:val="en-US"/>
        </w:rPr>
        <w:t>-mesethyl)</w:t>
      </w:r>
      <w:r w:rsidRPr="001C5C8D">
        <w:rPr>
          <w:vertAlign w:val="subscript"/>
          <w:lang w:val="en-US"/>
        </w:rPr>
        <w:t>2</w:t>
      </w:r>
      <w:r w:rsidRPr="001C5C8D">
        <w:rPr>
          <w:lang w:val="en-US"/>
        </w:rPr>
        <w:t>](PF</w:t>
      </w:r>
      <w:r w:rsidRPr="001C5C8D">
        <w:rPr>
          <w:vertAlign w:val="subscript"/>
          <w:lang w:val="en-US"/>
        </w:rPr>
        <w:t>6</w:t>
      </w:r>
      <w:r w:rsidRPr="001C5C8D">
        <w:rPr>
          <w:lang w:val="en-US"/>
        </w:rPr>
        <w:t>)</w:t>
      </w:r>
      <w:r w:rsidRPr="001C5C8D">
        <w:rPr>
          <w:vertAlign w:val="subscript"/>
          <w:lang w:val="en-US"/>
        </w:rPr>
        <w:t>2</w:t>
      </w:r>
      <w:r w:rsidRPr="001C5C8D">
        <w:rPr>
          <w:lang w:val="en-US"/>
        </w:rPr>
        <w:t xml:space="preserve"> complex in the presence of different TEA concentrations with excitation set at 365 nm</w:t>
      </w:r>
      <w:r>
        <w:rPr>
          <w:lang w:val="en-US"/>
        </w:rPr>
        <w:t xml:space="preserve">. </w:t>
      </w:r>
    </w:p>
    <w:p w14:paraId="16C5E7D0" w14:textId="3EDA9A32" w:rsidR="0023210B" w:rsidRDefault="001C5C8D" w:rsidP="00EA4E1B">
      <w:pPr>
        <w:pStyle w:val="TAMainText"/>
        <w:ind w:firstLine="187"/>
        <w:rPr>
          <w:rFonts w:ascii="Times New Roman" w:hAnsi="Times New Roman"/>
        </w:rPr>
      </w:pPr>
      <w:r w:rsidRPr="001C5C8D">
        <w:rPr>
          <w:rFonts w:ascii="Times New Roman" w:hAnsi="Times New Roman"/>
        </w:rPr>
        <w:t xml:space="preserve">From the intensity values obtained in Figure </w:t>
      </w:r>
      <w:r>
        <w:rPr>
          <w:rFonts w:ascii="Times New Roman" w:hAnsi="Times New Roman"/>
        </w:rPr>
        <w:t>7</w:t>
      </w:r>
      <w:r w:rsidRPr="001C5C8D">
        <w:rPr>
          <w:rFonts w:ascii="Times New Roman" w:hAnsi="Times New Roman"/>
        </w:rPr>
        <w:t xml:space="preserve"> and the TEA concentration used, it is possible to construct the Stern-Volmer plot ([suppressor] vs. I</w:t>
      </w:r>
      <w:r w:rsidRPr="001C5C8D">
        <w:rPr>
          <w:rFonts w:ascii="Times New Roman" w:hAnsi="Times New Roman"/>
          <w:vertAlign w:val="subscript"/>
        </w:rPr>
        <w:t>0</w:t>
      </w:r>
      <w:r w:rsidRPr="001C5C8D">
        <w:rPr>
          <w:rFonts w:ascii="Times New Roman" w:hAnsi="Times New Roman"/>
        </w:rPr>
        <w:t>/I</w:t>
      </w:r>
      <w:r w:rsidRPr="001C5C8D">
        <w:rPr>
          <w:rFonts w:ascii="Times New Roman" w:hAnsi="Times New Roman"/>
          <w:vertAlign w:val="subscript"/>
        </w:rPr>
        <w:t>t</w:t>
      </w:r>
      <w:r w:rsidRPr="001C5C8D">
        <w:rPr>
          <w:rFonts w:ascii="Times New Roman" w:hAnsi="Times New Roman"/>
        </w:rPr>
        <w:t>), shown in</w:t>
      </w:r>
      <w:r>
        <w:rPr>
          <w:rFonts w:ascii="Times New Roman" w:hAnsi="Times New Roman"/>
        </w:rPr>
        <w:t xml:space="preserve"> Figure 8.</w:t>
      </w:r>
    </w:p>
    <w:p w14:paraId="635A4967" w14:textId="17E1A16B" w:rsidR="001C5C8D" w:rsidRDefault="00E87344" w:rsidP="009C4608">
      <w:pPr>
        <w:spacing w:line="240" w:lineRule="auto"/>
        <w:jc w:val="both"/>
      </w:pPr>
      <w:r>
        <w:object w:dxaOrig="26310" w:dyaOrig="18608" w14:anchorId="3D78C36F">
          <v:shape id="_x0000_i1030" type="#_x0000_t75" style="width:204pt;height:156.5pt" o:ole="">
            <v:imagedata r:id="rId20" o:title="" croptop="6881f" cropbottom="2048f" cropleft="5069f" cropright="8545f"/>
          </v:shape>
          <o:OLEObject Type="Embed" ProgID="Origin50.Graph" ShapeID="_x0000_i1030" DrawAspect="Content" ObjectID="_1750488006" r:id="rId21"/>
        </w:object>
      </w:r>
    </w:p>
    <w:p w14:paraId="21A4111C" w14:textId="0575EC0A" w:rsidR="001C5C8D" w:rsidRPr="009C4608" w:rsidRDefault="009C4608" w:rsidP="009C4608">
      <w:pPr>
        <w:pStyle w:val="Legenda"/>
        <w:jc w:val="both"/>
        <w:rPr>
          <w:rFonts w:ascii="Times New Roman" w:hAnsi="Times New Roman"/>
          <w:lang w:val="en-US"/>
        </w:rPr>
      </w:pPr>
      <w:r w:rsidRPr="009C4608">
        <w:rPr>
          <w:lang w:val="en-US"/>
        </w:rPr>
        <w:t xml:space="preserve">Figure </w:t>
      </w:r>
      <w:r>
        <w:fldChar w:fldCharType="begin"/>
      </w:r>
      <w:r w:rsidRPr="009C4608">
        <w:rPr>
          <w:lang w:val="en-US"/>
        </w:rPr>
        <w:instrText xml:space="preserve"> SEQ Figure \* ARABIC </w:instrText>
      </w:r>
      <w:r>
        <w:fldChar w:fldCharType="separate"/>
      </w:r>
      <w:r w:rsidR="00280DBA">
        <w:rPr>
          <w:noProof/>
          <w:lang w:val="en-US"/>
        </w:rPr>
        <w:t>7</w:t>
      </w:r>
      <w:r>
        <w:fldChar w:fldCharType="end"/>
      </w:r>
      <w:r w:rsidRPr="009C4608">
        <w:rPr>
          <w:lang w:val="en-US"/>
        </w:rPr>
        <w:t>. Stern-Volmer kinetic plot for the [Mn</w:t>
      </w:r>
      <w:r w:rsidRPr="009C4608">
        <w:rPr>
          <w:vertAlign w:val="superscript"/>
          <w:lang w:val="en-US"/>
        </w:rPr>
        <w:t>II</w:t>
      </w:r>
      <w:r w:rsidRPr="009C4608">
        <w:rPr>
          <w:lang w:val="en-US"/>
        </w:rPr>
        <w:t>(</w:t>
      </w:r>
      <w:r w:rsidRPr="009C4608">
        <w:rPr>
          <w:i/>
          <w:iCs/>
          <w:lang w:val="en-US"/>
        </w:rPr>
        <w:t>py</w:t>
      </w:r>
      <w:r w:rsidRPr="009C4608">
        <w:rPr>
          <w:lang w:val="en-US"/>
        </w:rPr>
        <w:t>-mesetil)</w:t>
      </w:r>
      <w:r w:rsidRPr="009C4608">
        <w:rPr>
          <w:vertAlign w:val="subscript"/>
          <w:lang w:val="en-US"/>
        </w:rPr>
        <w:t>2</w:t>
      </w:r>
      <w:r w:rsidRPr="009C4608">
        <w:rPr>
          <w:lang w:val="en-US"/>
        </w:rPr>
        <w:t>](PF</w:t>
      </w:r>
      <w:r w:rsidRPr="009C4608">
        <w:rPr>
          <w:vertAlign w:val="subscript"/>
          <w:lang w:val="en-US"/>
        </w:rPr>
        <w:t>6</w:t>
      </w:r>
      <w:r w:rsidRPr="009C4608">
        <w:rPr>
          <w:lang w:val="en-US"/>
        </w:rPr>
        <w:t>)</w:t>
      </w:r>
      <w:r w:rsidRPr="009C4608">
        <w:rPr>
          <w:vertAlign w:val="subscript"/>
          <w:lang w:val="en-US"/>
        </w:rPr>
        <w:t>2</w:t>
      </w:r>
      <w:r w:rsidRPr="009C4608">
        <w:rPr>
          <w:lang w:val="en-US"/>
        </w:rPr>
        <w:t xml:space="preserve"> complex in the presence of TEA.</w:t>
      </w:r>
    </w:p>
    <w:p w14:paraId="2EB8D88B" w14:textId="1CDEE164" w:rsidR="001C5C8D" w:rsidRDefault="009C4608" w:rsidP="00EA4E1B">
      <w:pPr>
        <w:pStyle w:val="TAMainText"/>
        <w:ind w:firstLine="187"/>
        <w:rPr>
          <w:rFonts w:ascii="Times New Roman" w:hAnsi="Times New Roman"/>
        </w:rPr>
      </w:pPr>
      <w:r w:rsidRPr="009C4608">
        <w:rPr>
          <w:rFonts w:ascii="Times New Roman" w:hAnsi="Times New Roman"/>
        </w:rPr>
        <w:t xml:space="preserve">From the slope of the line obtained in Figure </w:t>
      </w:r>
      <w:r>
        <w:rPr>
          <w:rFonts w:ascii="Times New Roman" w:hAnsi="Times New Roman"/>
        </w:rPr>
        <w:t>8</w:t>
      </w:r>
      <w:r w:rsidRPr="009C4608">
        <w:rPr>
          <w:rFonts w:ascii="Times New Roman" w:hAnsi="Times New Roman"/>
        </w:rPr>
        <w:t>, it is possible to calculate the value of KSV. For the complex [Mn</w:t>
      </w:r>
      <w:r w:rsidRPr="009C4608">
        <w:rPr>
          <w:rFonts w:ascii="Times New Roman" w:hAnsi="Times New Roman"/>
          <w:vertAlign w:val="superscript"/>
        </w:rPr>
        <w:t>II</w:t>
      </w:r>
      <w:r w:rsidRPr="009C4608">
        <w:rPr>
          <w:rFonts w:ascii="Times New Roman" w:hAnsi="Times New Roman"/>
        </w:rPr>
        <w:t>(</w:t>
      </w:r>
      <w:r w:rsidRPr="009C4608">
        <w:rPr>
          <w:rFonts w:ascii="Times New Roman" w:hAnsi="Times New Roman"/>
          <w:i/>
          <w:iCs/>
        </w:rPr>
        <w:t>py</w:t>
      </w:r>
      <w:r w:rsidRPr="009C4608">
        <w:rPr>
          <w:rFonts w:ascii="Times New Roman" w:hAnsi="Times New Roman"/>
        </w:rPr>
        <w:t>-mes</w:t>
      </w:r>
      <w:r w:rsidR="00F76C7C">
        <w:rPr>
          <w:rFonts w:ascii="Times New Roman" w:hAnsi="Times New Roman"/>
        </w:rPr>
        <w:t>i</w:t>
      </w:r>
      <w:r w:rsidRPr="009C4608">
        <w:rPr>
          <w:rFonts w:ascii="Times New Roman" w:hAnsi="Times New Roman"/>
        </w:rPr>
        <w:t>til)</w:t>
      </w:r>
      <w:r w:rsidRPr="009C4608">
        <w:rPr>
          <w:rFonts w:ascii="Times New Roman" w:hAnsi="Times New Roman"/>
          <w:vertAlign w:val="subscript"/>
        </w:rPr>
        <w:t>2</w:t>
      </w:r>
      <w:r w:rsidRPr="009C4608">
        <w:rPr>
          <w:rFonts w:ascii="Times New Roman" w:hAnsi="Times New Roman"/>
        </w:rPr>
        <w:t>](PF</w:t>
      </w:r>
      <w:r w:rsidRPr="009C4608">
        <w:rPr>
          <w:rFonts w:ascii="Times New Roman" w:hAnsi="Times New Roman"/>
          <w:vertAlign w:val="subscript"/>
        </w:rPr>
        <w:t>6</w:t>
      </w:r>
      <w:r w:rsidRPr="009C4608">
        <w:rPr>
          <w:rFonts w:ascii="Times New Roman" w:hAnsi="Times New Roman"/>
        </w:rPr>
        <w:t>)</w:t>
      </w:r>
      <w:r w:rsidRPr="009C4608">
        <w:rPr>
          <w:rFonts w:ascii="Times New Roman" w:hAnsi="Times New Roman"/>
          <w:vertAlign w:val="subscript"/>
        </w:rPr>
        <w:t>2</w:t>
      </w:r>
      <w:r w:rsidRPr="009C4608">
        <w:rPr>
          <w:rFonts w:ascii="Times New Roman" w:hAnsi="Times New Roman"/>
        </w:rPr>
        <w:t xml:space="preserve"> in the presence of TEA, Ksv = 0.387 M</w:t>
      </w:r>
      <w:r w:rsidRPr="009C4608">
        <w:rPr>
          <w:rFonts w:ascii="Times New Roman" w:hAnsi="Times New Roman"/>
          <w:vertAlign w:val="superscript"/>
        </w:rPr>
        <w:t>‒1</w:t>
      </w:r>
      <w:r w:rsidRPr="009C4608">
        <w:rPr>
          <w:rFonts w:ascii="Times New Roman" w:hAnsi="Times New Roman"/>
        </w:rPr>
        <w:t xml:space="preserve"> was obtained. The value obtained is lower than that found in the literature for transition complexes with other metallic centers. The Stern-Volmer constant also indicates the sensitivity of a fluorophore to a suppressor, if the fluorophore is free in solution, it will have lower KSV values.</w:t>
      </w:r>
    </w:p>
    <w:p w14:paraId="1FEA43FC" w14:textId="7BB8B0F9" w:rsidR="007351E9" w:rsidRDefault="00F76C7C" w:rsidP="00EA4E1B">
      <w:pPr>
        <w:pStyle w:val="TAMainText"/>
        <w:ind w:firstLine="187"/>
        <w:rPr>
          <w:rFonts w:ascii="Times New Roman" w:hAnsi="Times New Roman"/>
        </w:rPr>
      </w:pPr>
      <w:r w:rsidRPr="00F76C7C">
        <w:rPr>
          <w:rFonts w:ascii="Times New Roman" w:hAnsi="Times New Roman"/>
        </w:rPr>
        <w:t>To evaluate the catalytic activity of the [MnII(py-mesetil)] complex, some initial experiments were performed. The first test was performed without the presence of light, using Methyl Acrylate (MA) as monomer, α-bromophenylacetate (EBr) as initiator, Mn complex as photocatalyst and triethylamine (TEA) as electron donor, following the reductive route, using molar ratios [200/1/0.02/1], respectively, but there was no polymerization. The second test was carried out in the presence of light (365 nm LED) without the Mn</w:t>
      </w:r>
      <w:r w:rsidRPr="00F76C7C">
        <w:rPr>
          <w:rFonts w:ascii="Times New Roman" w:hAnsi="Times New Roman"/>
          <w:vertAlign w:val="superscript"/>
        </w:rPr>
        <w:t>II</w:t>
      </w:r>
      <w:r w:rsidRPr="00F76C7C">
        <w:rPr>
          <w:rFonts w:ascii="Times New Roman" w:hAnsi="Times New Roman"/>
        </w:rPr>
        <w:t xml:space="preserve"> complex, in which polymer formation was also not observed. Finally, photopolymerization of MA in CH</w:t>
      </w:r>
      <w:r w:rsidRPr="00F76C7C">
        <w:rPr>
          <w:rFonts w:ascii="Times New Roman" w:hAnsi="Times New Roman"/>
          <w:vertAlign w:val="subscript"/>
        </w:rPr>
        <w:t>2</w:t>
      </w:r>
      <w:r w:rsidRPr="00F76C7C">
        <w:rPr>
          <w:rFonts w:ascii="Times New Roman" w:hAnsi="Times New Roman"/>
        </w:rPr>
        <w:t>Cl</w:t>
      </w:r>
      <w:r w:rsidRPr="00F76C7C">
        <w:rPr>
          <w:rFonts w:ascii="Times New Roman" w:hAnsi="Times New Roman"/>
          <w:vertAlign w:val="subscript"/>
        </w:rPr>
        <w:t>2</w:t>
      </w:r>
      <w:r w:rsidRPr="00F76C7C">
        <w:rPr>
          <w:rFonts w:ascii="Times New Roman" w:hAnsi="Times New Roman"/>
        </w:rPr>
        <w:t xml:space="preserve"> using Mn</w:t>
      </w:r>
      <w:r w:rsidRPr="00F76C7C">
        <w:rPr>
          <w:rFonts w:ascii="Times New Roman" w:hAnsi="Times New Roman"/>
          <w:vertAlign w:val="superscript"/>
        </w:rPr>
        <w:t>II</w:t>
      </w:r>
      <w:r w:rsidRPr="00F76C7C">
        <w:rPr>
          <w:rFonts w:ascii="Times New Roman" w:hAnsi="Times New Roman"/>
        </w:rPr>
        <w:t>/EBr/TEA was performed at 365 nm for 90 minutes at 25 ºC. At the end of the irradiation, an aliquot was taken to calculate the conversion and, subsequently, the sample was solubilized in THF, filtered and injected int</w:t>
      </w:r>
      <w:r>
        <w:rPr>
          <w:rFonts w:ascii="Times New Roman" w:hAnsi="Times New Roman"/>
        </w:rPr>
        <w:t>o SEC</w:t>
      </w:r>
      <w:r w:rsidRPr="00F76C7C">
        <w:rPr>
          <w:rFonts w:ascii="Times New Roman" w:hAnsi="Times New Roman"/>
        </w:rPr>
        <w:t xml:space="preserve"> to obtain the values of Mn and Đ</w:t>
      </w:r>
      <w:r>
        <w:rPr>
          <w:rFonts w:ascii="Times New Roman" w:hAnsi="Times New Roman"/>
        </w:rPr>
        <w:t>. The conversion found was around 35% while the M</w:t>
      </w:r>
      <w:r w:rsidRPr="00F76C7C">
        <w:rPr>
          <w:rFonts w:ascii="Times New Roman" w:hAnsi="Times New Roman"/>
          <w:vertAlign w:val="subscript"/>
        </w:rPr>
        <w:t>n</w:t>
      </w:r>
      <w:r>
        <w:rPr>
          <w:rFonts w:ascii="Times New Roman" w:hAnsi="Times New Roman"/>
        </w:rPr>
        <w:t>=144000g.mol</w:t>
      </w:r>
      <w:r>
        <w:rPr>
          <w:rFonts w:ascii="Times New Roman" w:hAnsi="Times New Roman"/>
          <w:vertAlign w:val="superscript"/>
        </w:rPr>
        <w:t>‒</w:t>
      </w:r>
      <w:r w:rsidRPr="00F76C7C">
        <w:rPr>
          <w:rFonts w:ascii="Times New Roman" w:hAnsi="Times New Roman"/>
          <w:vertAlign w:val="superscript"/>
        </w:rPr>
        <w:t>1</w:t>
      </w:r>
      <w:r>
        <w:rPr>
          <w:rFonts w:ascii="Times New Roman" w:hAnsi="Times New Roman"/>
        </w:rPr>
        <w:t xml:space="preserve"> and </w:t>
      </w:r>
      <w:r w:rsidRPr="00F76C7C">
        <w:rPr>
          <w:rFonts w:ascii="Times New Roman" w:hAnsi="Times New Roman"/>
        </w:rPr>
        <w:t>Đ</w:t>
      </w:r>
      <w:r>
        <w:rPr>
          <w:rFonts w:ascii="Times New Roman" w:hAnsi="Times New Roman"/>
        </w:rPr>
        <w:t>=1.5. I</w:t>
      </w:r>
      <w:r w:rsidRPr="00F76C7C">
        <w:rPr>
          <w:rFonts w:ascii="Times New Roman" w:hAnsi="Times New Roman"/>
        </w:rPr>
        <w:t>n</w:t>
      </w:r>
      <w:r>
        <w:rPr>
          <w:rFonts w:ascii="Times New Roman" w:hAnsi="Times New Roman"/>
        </w:rPr>
        <w:t xml:space="preserve"> order to investigate</w:t>
      </w:r>
      <w:r w:rsidRPr="00F76C7C">
        <w:rPr>
          <w:rFonts w:ascii="Times New Roman" w:hAnsi="Times New Roman"/>
        </w:rPr>
        <w:t xml:space="preserve"> an ideal condition, some parameters were varied and are presented in </w:t>
      </w:r>
      <w:r>
        <w:rPr>
          <w:rFonts w:ascii="Times New Roman" w:hAnsi="Times New Roman"/>
        </w:rPr>
        <w:t xml:space="preserve">Table 1. </w:t>
      </w:r>
    </w:p>
    <w:p w14:paraId="7BAE9B84" w14:textId="2C5C6070" w:rsidR="003406C1" w:rsidRPr="00F76C7C" w:rsidRDefault="003406C1" w:rsidP="00EA4E1B">
      <w:pPr>
        <w:pStyle w:val="TAMainText"/>
        <w:ind w:firstLine="187"/>
        <w:rPr>
          <w:rFonts w:ascii="Times New Roman" w:hAnsi="Times New Roman"/>
        </w:rPr>
      </w:pPr>
      <w:r w:rsidRPr="003406C1">
        <w:rPr>
          <w:noProof/>
        </w:rPr>
        <w:drawing>
          <wp:anchor distT="0" distB="0" distL="114300" distR="114300" simplePos="0" relativeHeight="251663872" behindDoc="1" locked="0" layoutInCell="1" allowOverlap="1" wp14:anchorId="2EFDE0D2" wp14:editId="5A446999">
            <wp:simplePos x="0" y="0"/>
            <wp:positionH relativeFrom="margin">
              <wp:align>right</wp:align>
            </wp:positionH>
            <wp:positionV relativeFrom="paragraph">
              <wp:posOffset>405765</wp:posOffset>
            </wp:positionV>
            <wp:extent cx="2908300" cy="1828800"/>
            <wp:effectExtent l="0" t="0" r="6350" b="0"/>
            <wp:wrapThrough wrapText="bothSides">
              <wp:wrapPolygon edited="0">
                <wp:start x="0" y="0"/>
                <wp:lineTo x="0" y="3600"/>
                <wp:lineTo x="1132" y="3600"/>
                <wp:lineTo x="0" y="5175"/>
                <wp:lineTo x="0" y="6750"/>
                <wp:lineTo x="1132" y="7200"/>
                <wp:lineTo x="0" y="8325"/>
                <wp:lineTo x="0" y="10125"/>
                <wp:lineTo x="1132" y="10800"/>
                <wp:lineTo x="0" y="11700"/>
                <wp:lineTo x="0" y="20475"/>
                <wp:lineTo x="8489" y="21375"/>
                <wp:lineTo x="9055" y="21375"/>
                <wp:lineTo x="21506" y="20700"/>
                <wp:lineTo x="21506" y="11700"/>
                <wp:lineTo x="20515" y="10800"/>
                <wp:lineTo x="21506" y="9900"/>
                <wp:lineTo x="21506" y="5175"/>
                <wp:lineTo x="20515" y="3600"/>
                <wp:lineTo x="21364" y="3600"/>
                <wp:lineTo x="21506" y="3150"/>
                <wp:lineTo x="21506" y="0"/>
                <wp:lineTo x="0" y="0"/>
              </wp:wrapPolygon>
            </wp:wrapThrough>
            <wp:docPr id="53821784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974"/>
                    <a:stretch/>
                  </pic:blipFill>
                  <pic:spPr bwMode="auto">
                    <a:xfrm>
                      <a:off x="0" y="0"/>
                      <a:ext cx="2908300"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rPr>
        <w:t xml:space="preserve">Table 1. </w:t>
      </w:r>
      <w:r w:rsidRPr="003406C1">
        <w:rPr>
          <w:rFonts w:ascii="Times New Roman" w:hAnsi="Times New Roman"/>
        </w:rPr>
        <w:t>Conditions for photopolymerization catalyzed by the [Mn</w:t>
      </w:r>
      <w:r w:rsidRPr="003406C1">
        <w:rPr>
          <w:rFonts w:ascii="Times New Roman" w:hAnsi="Times New Roman"/>
          <w:vertAlign w:val="superscript"/>
        </w:rPr>
        <w:t>II</w:t>
      </w:r>
      <w:r w:rsidRPr="003406C1">
        <w:rPr>
          <w:rFonts w:ascii="Times New Roman" w:hAnsi="Times New Roman"/>
        </w:rPr>
        <w:t>(</w:t>
      </w:r>
      <w:r w:rsidRPr="003406C1">
        <w:rPr>
          <w:rFonts w:ascii="Times New Roman" w:hAnsi="Times New Roman"/>
          <w:i/>
          <w:iCs/>
        </w:rPr>
        <w:t>py</w:t>
      </w:r>
      <w:r w:rsidRPr="003406C1">
        <w:rPr>
          <w:rFonts w:ascii="Times New Roman" w:hAnsi="Times New Roman"/>
        </w:rPr>
        <w:t>-mes</w:t>
      </w:r>
      <w:r>
        <w:rPr>
          <w:rFonts w:ascii="Times New Roman" w:hAnsi="Times New Roman"/>
        </w:rPr>
        <w:t>i</w:t>
      </w:r>
      <w:r w:rsidRPr="003406C1">
        <w:rPr>
          <w:rFonts w:ascii="Times New Roman" w:hAnsi="Times New Roman"/>
        </w:rPr>
        <w:t>til)</w:t>
      </w:r>
      <w:r w:rsidRPr="003406C1">
        <w:rPr>
          <w:rFonts w:ascii="Times New Roman" w:hAnsi="Times New Roman"/>
          <w:vertAlign w:val="subscript"/>
        </w:rPr>
        <w:t>2</w:t>
      </w:r>
      <w:r w:rsidRPr="003406C1">
        <w:rPr>
          <w:rFonts w:ascii="Times New Roman" w:hAnsi="Times New Roman"/>
        </w:rPr>
        <w:t>](PF</w:t>
      </w:r>
      <w:r w:rsidRPr="003406C1">
        <w:rPr>
          <w:rFonts w:ascii="Times New Roman" w:hAnsi="Times New Roman"/>
          <w:vertAlign w:val="subscript"/>
        </w:rPr>
        <w:t>6</w:t>
      </w:r>
      <w:r w:rsidRPr="003406C1">
        <w:rPr>
          <w:rFonts w:ascii="Times New Roman" w:hAnsi="Times New Roman"/>
        </w:rPr>
        <w:t>)</w:t>
      </w:r>
      <w:r w:rsidRPr="003406C1">
        <w:rPr>
          <w:rFonts w:ascii="Times New Roman" w:hAnsi="Times New Roman"/>
          <w:vertAlign w:val="subscript"/>
        </w:rPr>
        <w:t>2</w:t>
      </w:r>
      <w:r w:rsidRPr="003406C1">
        <w:rPr>
          <w:rFonts w:ascii="Times New Roman" w:hAnsi="Times New Roman"/>
        </w:rPr>
        <w:t xml:space="preserve"> complex</w:t>
      </w:r>
      <w:r>
        <w:rPr>
          <w:rFonts w:ascii="Times New Roman" w:hAnsi="Times New Roman"/>
        </w:rPr>
        <w:t>.</w:t>
      </w:r>
    </w:p>
    <w:p w14:paraId="05E0F64B" w14:textId="147D2800" w:rsidR="00F76C7C" w:rsidRPr="003406C1" w:rsidRDefault="003406C1" w:rsidP="0089474D">
      <w:pPr>
        <w:pStyle w:val="TAMainText"/>
        <w:numPr>
          <w:ilvl w:val="0"/>
          <w:numId w:val="2"/>
        </w:numPr>
        <w:rPr>
          <w:rFonts w:ascii="Times New Roman" w:hAnsi="Times New Roman"/>
          <w:i/>
          <w:iCs/>
        </w:rPr>
      </w:pPr>
      <w:r w:rsidRPr="003406C1">
        <w:rPr>
          <w:rFonts w:ascii="Times New Roman" w:hAnsi="Times New Roman"/>
          <w:i/>
          <w:iCs/>
        </w:rPr>
        <w:t>Polymerization kinetics for the MA/EBPA/Mn/TEA system</w:t>
      </w:r>
      <w:r>
        <w:rPr>
          <w:rFonts w:ascii="Times New Roman" w:hAnsi="Times New Roman"/>
          <w:i/>
          <w:iCs/>
        </w:rPr>
        <w:t>.</w:t>
      </w:r>
    </w:p>
    <w:p w14:paraId="3F6BED5A" w14:textId="0CBA702B" w:rsidR="00F76C7C" w:rsidRPr="003406C1" w:rsidRDefault="003406C1" w:rsidP="00EA4E1B">
      <w:pPr>
        <w:pStyle w:val="TAMainText"/>
        <w:ind w:firstLine="187"/>
        <w:rPr>
          <w:rFonts w:ascii="Times New Roman" w:hAnsi="Times New Roman"/>
        </w:rPr>
      </w:pPr>
      <w:r w:rsidRPr="003406C1">
        <w:rPr>
          <w:rFonts w:ascii="Times New Roman" w:hAnsi="Times New Roman"/>
        </w:rPr>
        <w:t>The kinetic monitoring of the photopolymerization of the MA was carried out at the ratio of 200/1/0.12/01 in the [MA/EBPA/Mn/TEA] system with LEDs at 365 nm, which showed better results in the tests performed previously. Photopolymerization was followed for 330 minutes, where aliquots were taken every 30 minutes and analyzed by FTIR in order to calculate the conversion for each point.</w:t>
      </w:r>
      <w:r>
        <w:rPr>
          <w:rFonts w:ascii="Times New Roman" w:hAnsi="Times New Roman"/>
        </w:rPr>
        <w:t xml:space="preserve"> The data are summarized in table 2.</w:t>
      </w:r>
    </w:p>
    <w:p w14:paraId="27D69BD5" w14:textId="0D7E4EBB" w:rsidR="00F76C7C" w:rsidRPr="003406C1" w:rsidRDefault="003406C1" w:rsidP="00EA4E1B">
      <w:pPr>
        <w:pStyle w:val="TAMainText"/>
        <w:ind w:firstLine="187"/>
        <w:rPr>
          <w:rFonts w:ascii="Times New Roman" w:hAnsi="Times New Roman"/>
        </w:rPr>
      </w:pPr>
      <w:r w:rsidRPr="003406C1">
        <w:rPr>
          <w:noProof/>
        </w:rPr>
        <w:lastRenderedPageBreak/>
        <w:drawing>
          <wp:anchor distT="0" distB="0" distL="114300" distR="114300" simplePos="0" relativeHeight="251664896" behindDoc="1" locked="0" layoutInCell="1" allowOverlap="1" wp14:anchorId="4C8E8CCD" wp14:editId="0CE2CF0C">
            <wp:simplePos x="0" y="0"/>
            <wp:positionH relativeFrom="column">
              <wp:posOffset>36195</wp:posOffset>
            </wp:positionH>
            <wp:positionV relativeFrom="paragraph">
              <wp:posOffset>486410</wp:posOffset>
            </wp:positionV>
            <wp:extent cx="3027680" cy="1929130"/>
            <wp:effectExtent l="0" t="0" r="0" b="0"/>
            <wp:wrapThrough wrapText="bothSides">
              <wp:wrapPolygon edited="0">
                <wp:start x="1087" y="0"/>
                <wp:lineTo x="1087" y="2560"/>
                <wp:lineTo x="1495" y="3413"/>
                <wp:lineTo x="2582" y="3413"/>
                <wp:lineTo x="1223" y="4693"/>
                <wp:lineTo x="1223" y="6186"/>
                <wp:lineTo x="2582" y="6826"/>
                <wp:lineTo x="1087" y="7892"/>
                <wp:lineTo x="1223" y="16211"/>
                <wp:lineTo x="10737" y="17064"/>
                <wp:lineTo x="1223" y="17064"/>
                <wp:lineTo x="1223" y="19623"/>
                <wp:lineTo x="18076" y="20050"/>
                <wp:lineTo x="18619" y="20050"/>
                <wp:lineTo x="20386" y="18984"/>
                <wp:lineTo x="20114" y="13864"/>
                <wp:lineTo x="19706" y="13651"/>
                <wp:lineTo x="20386" y="11092"/>
                <wp:lineTo x="18619" y="10238"/>
                <wp:lineTo x="20114" y="9812"/>
                <wp:lineTo x="20250" y="7892"/>
                <wp:lineTo x="19163" y="6826"/>
                <wp:lineTo x="20386" y="5972"/>
                <wp:lineTo x="19706" y="3626"/>
                <wp:lineTo x="20522" y="2986"/>
                <wp:lineTo x="20250" y="0"/>
                <wp:lineTo x="1087" y="0"/>
              </wp:wrapPolygon>
            </wp:wrapThrough>
            <wp:docPr id="129051550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680" cy="1929130"/>
                    </a:xfrm>
                    <a:prstGeom prst="rect">
                      <a:avLst/>
                    </a:prstGeom>
                    <a:noFill/>
                    <a:ln>
                      <a:noFill/>
                    </a:ln>
                  </pic:spPr>
                </pic:pic>
              </a:graphicData>
            </a:graphic>
          </wp:anchor>
        </w:drawing>
      </w:r>
      <w:r>
        <w:rPr>
          <w:rFonts w:ascii="Times New Roman" w:hAnsi="Times New Roman"/>
        </w:rPr>
        <w:t xml:space="preserve">Table 2. </w:t>
      </w:r>
      <w:r w:rsidRPr="003406C1">
        <w:rPr>
          <w:rFonts w:ascii="Times New Roman" w:hAnsi="Times New Roman"/>
        </w:rPr>
        <w:t>Conversion values, molar mass and polydispersity obtained in the CRP2 of MA, in the ratio of 200/1/0.12/1 at 25ºC.</w:t>
      </w:r>
    </w:p>
    <w:p w14:paraId="6D8F7E9A" w14:textId="4928256C" w:rsidR="003406C1" w:rsidRPr="003406C1" w:rsidRDefault="003406C1" w:rsidP="00EA4E1B">
      <w:pPr>
        <w:pStyle w:val="TAMainText"/>
        <w:ind w:firstLine="187"/>
        <w:rPr>
          <w:rFonts w:ascii="Times New Roman" w:hAnsi="Times New Roman"/>
        </w:rPr>
      </w:pPr>
    </w:p>
    <w:p w14:paraId="4657BDB2" w14:textId="376EA2B2" w:rsidR="003406C1" w:rsidRPr="003406C1" w:rsidRDefault="003406C1" w:rsidP="00EA4E1B">
      <w:pPr>
        <w:pStyle w:val="TAMainText"/>
        <w:ind w:firstLine="187"/>
        <w:rPr>
          <w:rFonts w:ascii="Times New Roman" w:hAnsi="Times New Roman"/>
        </w:rPr>
      </w:pPr>
      <w:r w:rsidRPr="003406C1">
        <w:rPr>
          <w:rFonts w:ascii="Times New Roman" w:hAnsi="Times New Roman"/>
        </w:rPr>
        <w:t xml:space="preserve">In Figure </w:t>
      </w:r>
      <w:r>
        <w:rPr>
          <w:rFonts w:ascii="Times New Roman" w:hAnsi="Times New Roman"/>
        </w:rPr>
        <w:t>8</w:t>
      </w:r>
      <w:r w:rsidRPr="003406C1">
        <w:rPr>
          <w:rFonts w:ascii="Times New Roman" w:hAnsi="Times New Roman"/>
        </w:rPr>
        <w:t>, the monomer conversion as a function of irradiation time can be seen, in which, based on the conversion values, it is possible to establish the order of the reaction. The inserted graph contains the dependency of ln([MA]0/[MA]t) as a function of reaction time as well.</w:t>
      </w:r>
    </w:p>
    <w:p w14:paraId="5D13BF48" w14:textId="2A64568A" w:rsidR="003406C1" w:rsidRPr="003406C1" w:rsidRDefault="00E87344" w:rsidP="00EA4E1B">
      <w:pPr>
        <w:pStyle w:val="TAMainText"/>
        <w:ind w:firstLine="187"/>
        <w:rPr>
          <w:rFonts w:ascii="Times New Roman" w:hAnsi="Times New Roman"/>
        </w:rPr>
      </w:pPr>
      <w:r>
        <w:rPr>
          <w:noProof/>
        </w:rPr>
        <w:drawing>
          <wp:anchor distT="0" distB="0" distL="114300" distR="114300" simplePos="0" relativeHeight="251665920" behindDoc="0" locked="0" layoutInCell="1" allowOverlap="1" wp14:anchorId="545DC560" wp14:editId="3475E29A">
            <wp:simplePos x="0" y="0"/>
            <wp:positionH relativeFrom="column">
              <wp:posOffset>395605</wp:posOffset>
            </wp:positionH>
            <wp:positionV relativeFrom="paragraph">
              <wp:posOffset>41275</wp:posOffset>
            </wp:positionV>
            <wp:extent cx="2279650" cy="1784350"/>
            <wp:effectExtent l="0" t="0" r="6350" b="6350"/>
            <wp:wrapThrough wrapText="bothSides">
              <wp:wrapPolygon edited="0">
                <wp:start x="1625" y="0"/>
                <wp:lineTo x="722" y="1614"/>
                <wp:lineTo x="722" y="2075"/>
                <wp:lineTo x="1805" y="3690"/>
                <wp:lineTo x="0" y="5535"/>
                <wp:lineTo x="0" y="13606"/>
                <wp:lineTo x="722" y="14759"/>
                <wp:lineTo x="1264" y="18448"/>
                <wp:lineTo x="1805" y="19601"/>
                <wp:lineTo x="6859" y="21446"/>
                <wp:lineTo x="9747" y="21446"/>
                <wp:lineTo x="13899" y="21446"/>
                <wp:lineTo x="21480" y="19832"/>
                <wp:lineTo x="21480" y="0"/>
                <wp:lineTo x="1625" y="0"/>
              </wp:wrapPolygon>
            </wp:wrapThrough>
            <wp:docPr id="203683023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l="1223" t="2842" r="2547"/>
                    <a:stretch/>
                  </pic:blipFill>
                  <pic:spPr bwMode="auto">
                    <a:xfrm>
                      <a:off x="0" y="0"/>
                      <a:ext cx="2279650" cy="1784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A8A49" w14:textId="12B23493" w:rsidR="003406C1" w:rsidRPr="003406C1" w:rsidRDefault="003406C1" w:rsidP="00EA4E1B">
      <w:pPr>
        <w:pStyle w:val="TAMainText"/>
        <w:ind w:firstLine="187"/>
        <w:rPr>
          <w:rFonts w:ascii="Times New Roman" w:hAnsi="Times New Roman"/>
        </w:rPr>
      </w:pPr>
    </w:p>
    <w:p w14:paraId="76A0B96F" w14:textId="77777777" w:rsidR="003406C1" w:rsidRPr="003406C1" w:rsidRDefault="003406C1" w:rsidP="00EA4E1B">
      <w:pPr>
        <w:pStyle w:val="TAMainText"/>
        <w:ind w:firstLine="187"/>
        <w:rPr>
          <w:rFonts w:ascii="Times New Roman" w:hAnsi="Times New Roman"/>
        </w:rPr>
      </w:pPr>
    </w:p>
    <w:p w14:paraId="2F440161" w14:textId="488BA60F" w:rsidR="003406C1" w:rsidRPr="003406C1" w:rsidRDefault="003406C1" w:rsidP="00EA4E1B">
      <w:pPr>
        <w:pStyle w:val="TAMainText"/>
        <w:ind w:firstLine="187"/>
        <w:rPr>
          <w:rFonts w:ascii="Times New Roman" w:hAnsi="Times New Roman"/>
        </w:rPr>
      </w:pPr>
    </w:p>
    <w:p w14:paraId="0FEF6591" w14:textId="77777777" w:rsidR="00080EA3" w:rsidRPr="00080EA3" w:rsidRDefault="00080EA3" w:rsidP="00080EA3">
      <w:pPr>
        <w:pStyle w:val="Legenda"/>
        <w:rPr>
          <w:b w:val="0"/>
          <w:bCs w:val="0"/>
          <w:lang w:val="en-US"/>
        </w:rPr>
      </w:pPr>
    </w:p>
    <w:p w14:paraId="748D8BB3" w14:textId="77777777" w:rsidR="00E87344" w:rsidRDefault="00E87344" w:rsidP="00080EA3">
      <w:pPr>
        <w:pStyle w:val="Legenda"/>
        <w:jc w:val="both"/>
        <w:rPr>
          <w:rFonts w:ascii="Times New Roman" w:hAnsi="Times New Roman" w:cs="Times New Roman"/>
          <w:b w:val="0"/>
          <w:bCs w:val="0"/>
          <w:lang w:val="en-US"/>
        </w:rPr>
      </w:pPr>
    </w:p>
    <w:p w14:paraId="162B1B04" w14:textId="77777777" w:rsidR="00E87344" w:rsidRDefault="00E87344" w:rsidP="00080EA3">
      <w:pPr>
        <w:pStyle w:val="Legenda"/>
        <w:jc w:val="both"/>
        <w:rPr>
          <w:rFonts w:ascii="Times New Roman" w:hAnsi="Times New Roman" w:cs="Times New Roman"/>
          <w:b w:val="0"/>
          <w:bCs w:val="0"/>
          <w:lang w:val="en-US"/>
        </w:rPr>
      </w:pPr>
    </w:p>
    <w:p w14:paraId="498FBA10" w14:textId="77777777" w:rsidR="00E87344" w:rsidRDefault="00E87344" w:rsidP="00080EA3">
      <w:pPr>
        <w:pStyle w:val="Legenda"/>
        <w:jc w:val="both"/>
        <w:rPr>
          <w:rFonts w:ascii="Times New Roman" w:hAnsi="Times New Roman" w:cs="Times New Roman"/>
          <w:b w:val="0"/>
          <w:bCs w:val="0"/>
          <w:lang w:val="en-US"/>
        </w:rPr>
      </w:pPr>
    </w:p>
    <w:p w14:paraId="561B1203" w14:textId="77777777" w:rsidR="00E87344" w:rsidRDefault="00E87344" w:rsidP="00080EA3">
      <w:pPr>
        <w:pStyle w:val="Legenda"/>
        <w:jc w:val="both"/>
        <w:rPr>
          <w:rFonts w:ascii="Times New Roman" w:hAnsi="Times New Roman" w:cs="Times New Roman"/>
          <w:b w:val="0"/>
          <w:bCs w:val="0"/>
          <w:lang w:val="en-US"/>
        </w:rPr>
      </w:pPr>
    </w:p>
    <w:p w14:paraId="70CF17FD" w14:textId="77777777" w:rsidR="00E87344" w:rsidRDefault="00E87344" w:rsidP="00080EA3">
      <w:pPr>
        <w:pStyle w:val="Legenda"/>
        <w:jc w:val="both"/>
        <w:rPr>
          <w:rFonts w:ascii="Times New Roman" w:hAnsi="Times New Roman" w:cs="Times New Roman"/>
          <w:b w:val="0"/>
          <w:bCs w:val="0"/>
          <w:lang w:val="en-US"/>
        </w:rPr>
      </w:pPr>
    </w:p>
    <w:p w14:paraId="1341432D" w14:textId="678EEAB5" w:rsidR="003406C1" w:rsidRPr="00080EA3" w:rsidRDefault="00080EA3" w:rsidP="00080EA3">
      <w:pPr>
        <w:pStyle w:val="Legenda"/>
        <w:jc w:val="both"/>
        <w:rPr>
          <w:rFonts w:ascii="Times New Roman" w:hAnsi="Times New Roman" w:cs="Times New Roman"/>
          <w:b w:val="0"/>
          <w:bCs w:val="0"/>
          <w:lang w:val="en-US"/>
        </w:rPr>
      </w:pPr>
      <w:r w:rsidRPr="00080EA3">
        <w:rPr>
          <w:rFonts w:ascii="Times New Roman" w:hAnsi="Times New Roman" w:cs="Times New Roman"/>
          <w:b w:val="0"/>
          <w:bCs w:val="0"/>
          <w:lang w:val="en-US"/>
        </w:rPr>
        <w:t xml:space="preserve">Figure </w:t>
      </w:r>
      <w:r w:rsidRPr="00080EA3">
        <w:rPr>
          <w:rFonts w:ascii="Times New Roman" w:hAnsi="Times New Roman" w:cs="Times New Roman"/>
          <w:b w:val="0"/>
          <w:bCs w:val="0"/>
        </w:rPr>
        <w:fldChar w:fldCharType="begin"/>
      </w:r>
      <w:r w:rsidRPr="00080EA3">
        <w:rPr>
          <w:rFonts w:ascii="Times New Roman" w:hAnsi="Times New Roman" w:cs="Times New Roman"/>
          <w:b w:val="0"/>
          <w:bCs w:val="0"/>
          <w:lang w:val="en-US"/>
        </w:rPr>
        <w:instrText xml:space="preserve"> SEQ Figure \* ARABIC </w:instrText>
      </w:r>
      <w:r w:rsidRPr="00080EA3">
        <w:rPr>
          <w:rFonts w:ascii="Times New Roman" w:hAnsi="Times New Roman" w:cs="Times New Roman"/>
          <w:b w:val="0"/>
          <w:bCs w:val="0"/>
        </w:rPr>
        <w:fldChar w:fldCharType="separate"/>
      </w:r>
      <w:r w:rsidR="00280DBA">
        <w:rPr>
          <w:rFonts w:ascii="Times New Roman" w:hAnsi="Times New Roman" w:cs="Times New Roman"/>
          <w:b w:val="0"/>
          <w:bCs w:val="0"/>
          <w:noProof/>
          <w:lang w:val="en-US"/>
        </w:rPr>
        <w:t>8</w:t>
      </w:r>
      <w:r w:rsidRPr="00080EA3">
        <w:rPr>
          <w:rFonts w:ascii="Times New Roman" w:hAnsi="Times New Roman" w:cs="Times New Roman"/>
          <w:b w:val="0"/>
          <w:bCs w:val="0"/>
        </w:rPr>
        <w:fldChar w:fldCharType="end"/>
      </w:r>
      <w:r w:rsidRPr="00080EA3">
        <w:rPr>
          <w:rFonts w:ascii="Times New Roman" w:hAnsi="Times New Roman" w:cs="Times New Roman"/>
          <w:b w:val="0"/>
          <w:bCs w:val="0"/>
          <w:lang w:val="en-US"/>
        </w:rPr>
        <w:t>. Dependence of time-varying conversion to CRP2 from methyl acrylate with [MnII(py-memethyl)2](PF6)2 complex at the molar ratio [MA]/[EBPA]/[MnII]/[TPO] of 200 /1/0.12/1 at 25°C for 360 minutes.</w:t>
      </w:r>
    </w:p>
    <w:p w14:paraId="1E7D6F67" w14:textId="4A4A2CF4" w:rsidR="003406C1" w:rsidRPr="003406C1" w:rsidRDefault="00080EA3" w:rsidP="00EA4E1B">
      <w:pPr>
        <w:pStyle w:val="TAMainText"/>
        <w:ind w:firstLine="187"/>
        <w:rPr>
          <w:rFonts w:ascii="Times New Roman" w:hAnsi="Times New Roman"/>
        </w:rPr>
      </w:pPr>
      <w:r w:rsidRPr="00080EA3">
        <w:rPr>
          <w:rFonts w:ascii="Times New Roman" w:hAnsi="Times New Roman"/>
        </w:rPr>
        <w:t xml:space="preserve">Performing the derivative of the conversion curve as a function of the reaction time (Figure </w:t>
      </w:r>
      <w:r>
        <w:rPr>
          <w:rFonts w:ascii="Times New Roman" w:hAnsi="Times New Roman"/>
        </w:rPr>
        <w:t>8</w:t>
      </w:r>
      <w:r w:rsidRPr="00080EA3">
        <w:rPr>
          <w:rFonts w:ascii="Times New Roman" w:hAnsi="Times New Roman"/>
        </w:rPr>
        <w:t xml:space="preserve">), the dependence of the polymerization rate as a function of the monomer conversion is obtained, represented in Figure </w:t>
      </w:r>
      <w:r>
        <w:rPr>
          <w:rFonts w:ascii="Times New Roman" w:hAnsi="Times New Roman"/>
        </w:rPr>
        <w:t>9.</w:t>
      </w:r>
      <w:r w:rsidR="00DF3923">
        <w:rPr>
          <w:rFonts w:ascii="Times New Roman" w:hAnsi="Times New Roman"/>
        </w:rPr>
        <w:t xml:space="preserve"> </w:t>
      </w:r>
      <w:r w:rsidR="00DF3923" w:rsidRPr="00DF3923">
        <w:rPr>
          <w:rFonts w:ascii="Times New Roman" w:hAnsi="Times New Roman"/>
        </w:rPr>
        <w:t xml:space="preserve">According to the Figure </w:t>
      </w:r>
      <w:r w:rsidR="00DF3923">
        <w:rPr>
          <w:rFonts w:ascii="Times New Roman" w:hAnsi="Times New Roman"/>
        </w:rPr>
        <w:t>9</w:t>
      </w:r>
      <w:r w:rsidR="00DF3923" w:rsidRPr="00DF3923">
        <w:rPr>
          <w:rFonts w:ascii="Times New Roman" w:hAnsi="Times New Roman"/>
        </w:rPr>
        <w:t xml:space="preserve">, it can be observed that in the initial minutes there is a rapid increase in the polymerization speed, since the termination reactions are controlled by diffusion. This phenomenon is called self-acceleration (a). Then, the propagation reactions also become diffusion-controlled, leading to self-deceleration (b). However, the high viscosity in the polymeric medium makes it difficult to terminate the macroradicals by sequential movement (c). Consequently, the growth of the radical chain occurs through its propagation with the monomer that has not yet reacted until it encounters a second radical chain, thus, the termination occurs. </w:t>
      </w:r>
    </w:p>
    <w:p w14:paraId="3D8B4F49" w14:textId="77777777" w:rsidR="00080EA3" w:rsidRDefault="00080EA3" w:rsidP="00080EA3">
      <w:pPr>
        <w:keepNext/>
        <w:jc w:val="center"/>
        <w:rPr>
          <w:rFonts w:ascii="Times New Roman" w:hAnsi="Times New Roman" w:cs="Times New Roman"/>
          <w:sz w:val="16"/>
          <w:szCs w:val="16"/>
          <w:lang w:val="en-US"/>
        </w:rPr>
      </w:pPr>
      <w:r>
        <w:rPr>
          <w:noProof/>
        </w:rPr>
        <w:drawing>
          <wp:inline distT="0" distB="0" distL="0" distR="0" wp14:anchorId="3AAA189A" wp14:editId="0C422BF8">
            <wp:extent cx="2265591" cy="1786890"/>
            <wp:effectExtent l="0" t="0" r="1905" b="3810"/>
            <wp:docPr id="49515012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t="8975" r="2848" b="2026"/>
                    <a:stretch/>
                  </pic:blipFill>
                  <pic:spPr bwMode="auto">
                    <a:xfrm>
                      <a:off x="0" y="0"/>
                      <a:ext cx="2275109" cy="1794397"/>
                    </a:xfrm>
                    <a:prstGeom prst="rect">
                      <a:avLst/>
                    </a:prstGeom>
                    <a:noFill/>
                    <a:ln>
                      <a:noFill/>
                    </a:ln>
                    <a:extLst>
                      <a:ext uri="{53640926-AAD7-44D8-BBD7-CCE9431645EC}">
                        <a14:shadowObscured xmlns:a14="http://schemas.microsoft.com/office/drawing/2010/main"/>
                      </a:ext>
                    </a:extLst>
                  </pic:spPr>
                </pic:pic>
              </a:graphicData>
            </a:graphic>
          </wp:inline>
        </w:drawing>
      </w:r>
    </w:p>
    <w:p w14:paraId="1F28FC25" w14:textId="61F29B97" w:rsidR="00DF3923" w:rsidRPr="00DF3923" w:rsidRDefault="00080EA3" w:rsidP="00DF3923">
      <w:pPr>
        <w:keepNext/>
        <w:jc w:val="both"/>
        <w:rPr>
          <w:rFonts w:ascii="Times New Roman" w:hAnsi="Times New Roman" w:cs="Times New Roman"/>
          <w:sz w:val="16"/>
          <w:szCs w:val="16"/>
          <w:lang w:val="en-US"/>
        </w:rPr>
      </w:pPr>
      <w:r w:rsidRPr="00080EA3">
        <w:rPr>
          <w:rFonts w:ascii="Times New Roman" w:hAnsi="Times New Roman" w:cs="Times New Roman"/>
          <w:sz w:val="16"/>
          <w:szCs w:val="16"/>
          <w:lang w:val="en-US"/>
        </w:rPr>
        <w:t xml:space="preserve">Figure </w:t>
      </w:r>
      <w:r w:rsidRPr="00080EA3">
        <w:rPr>
          <w:rFonts w:ascii="Times New Roman" w:hAnsi="Times New Roman" w:cs="Times New Roman"/>
          <w:sz w:val="16"/>
          <w:szCs w:val="16"/>
        </w:rPr>
        <w:fldChar w:fldCharType="begin"/>
      </w:r>
      <w:r w:rsidRPr="00080EA3">
        <w:rPr>
          <w:rFonts w:ascii="Times New Roman" w:hAnsi="Times New Roman" w:cs="Times New Roman"/>
          <w:sz w:val="16"/>
          <w:szCs w:val="16"/>
          <w:lang w:val="en-US"/>
        </w:rPr>
        <w:instrText xml:space="preserve"> SEQ Figure \* ARABIC </w:instrText>
      </w:r>
      <w:r w:rsidRPr="00080EA3">
        <w:rPr>
          <w:rFonts w:ascii="Times New Roman" w:hAnsi="Times New Roman" w:cs="Times New Roman"/>
          <w:sz w:val="16"/>
          <w:szCs w:val="16"/>
        </w:rPr>
        <w:fldChar w:fldCharType="separate"/>
      </w:r>
      <w:r w:rsidR="00280DBA">
        <w:rPr>
          <w:rFonts w:ascii="Times New Roman" w:hAnsi="Times New Roman" w:cs="Times New Roman"/>
          <w:noProof/>
          <w:sz w:val="16"/>
          <w:szCs w:val="16"/>
          <w:lang w:val="en-US"/>
        </w:rPr>
        <w:t>9</w:t>
      </w:r>
      <w:r w:rsidRPr="00080EA3">
        <w:rPr>
          <w:rFonts w:ascii="Times New Roman" w:hAnsi="Times New Roman" w:cs="Times New Roman"/>
          <w:sz w:val="16"/>
          <w:szCs w:val="16"/>
        </w:rPr>
        <w:fldChar w:fldCharType="end"/>
      </w:r>
      <w:r w:rsidRPr="00080EA3">
        <w:rPr>
          <w:rFonts w:ascii="Times New Roman" w:hAnsi="Times New Roman" w:cs="Times New Roman"/>
          <w:sz w:val="16"/>
          <w:szCs w:val="16"/>
          <w:lang w:val="en-US"/>
        </w:rPr>
        <w:t>. Dependency of polymerization rate (Rp) as a function of methyl acrylate conversion.</w:t>
      </w:r>
    </w:p>
    <w:p w14:paraId="01329DB7" w14:textId="0D74745F" w:rsidR="003406C1" w:rsidRPr="003406C1" w:rsidRDefault="00DF3923" w:rsidP="00EA4E1B">
      <w:pPr>
        <w:pStyle w:val="TAMainText"/>
        <w:ind w:firstLine="187"/>
        <w:rPr>
          <w:rFonts w:ascii="Times New Roman" w:hAnsi="Times New Roman"/>
        </w:rPr>
      </w:pPr>
      <w:r w:rsidRPr="00DF3923">
        <w:rPr>
          <w:rFonts w:ascii="Times New Roman" w:hAnsi="Times New Roman"/>
        </w:rPr>
        <w:t xml:space="preserve">From Figure </w:t>
      </w:r>
      <w:r>
        <w:rPr>
          <w:rFonts w:ascii="Times New Roman" w:hAnsi="Times New Roman"/>
        </w:rPr>
        <w:t>10</w:t>
      </w:r>
      <w:r w:rsidRPr="00DF3923">
        <w:rPr>
          <w:rFonts w:ascii="Times New Roman" w:hAnsi="Times New Roman"/>
        </w:rPr>
        <w:t>, one can observe an almost linear behavior between the increase in molar mass with the increase in conversion. During photopolymerization, a decrease in polydispersity index values is also observed, from 2.3 to 1.4, indicating a possible ability to control the system.</w:t>
      </w:r>
    </w:p>
    <w:p w14:paraId="4172085A" w14:textId="77777777" w:rsidR="00EC46EC" w:rsidRDefault="00E87344" w:rsidP="005C0FB5">
      <w:pPr>
        <w:jc w:val="both"/>
      </w:pPr>
      <w:r w:rsidRPr="00324611">
        <w:object w:dxaOrig="25560" w:dyaOrig="17850" w14:anchorId="7BA5CA31">
          <v:shape id="_x0000_i1031" type="#_x0000_t75" style="width:200.5pt;height:147.5pt" o:ole="">
            <v:imagedata r:id="rId26" o:title="" croptop="2609f" cropbottom="21776f" cropleft="1451f" cropright="24549f"/>
          </v:shape>
          <o:OLEObject Type="Embed" ProgID="Origin50.Graph" ShapeID="_x0000_i1031" DrawAspect="Content" ObjectID="_1750488007" r:id="rId27"/>
        </w:object>
      </w:r>
    </w:p>
    <w:p w14:paraId="060E3C2F" w14:textId="47D13F31" w:rsidR="005C0FB5" w:rsidRPr="00EC46EC" w:rsidRDefault="005C0FB5" w:rsidP="005C0FB5">
      <w:pPr>
        <w:jc w:val="both"/>
        <w:rPr>
          <w:rFonts w:ascii="Times New Roman" w:hAnsi="Times New Roman" w:cs="Times New Roman"/>
          <w:sz w:val="16"/>
          <w:szCs w:val="16"/>
          <w:lang w:val="en-US"/>
        </w:rPr>
      </w:pPr>
      <w:r w:rsidRPr="00EC46EC">
        <w:rPr>
          <w:rFonts w:ascii="Times New Roman" w:hAnsi="Times New Roman" w:cs="Times New Roman"/>
          <w:sz w:val="16"/>
          <w:szCs w:val="16"/>
          <w:lang w:val="en-US"/>
        </w:rPr>
        <w:t xml:space="preserve">Figure </w:t>
      </w:r>
      <w:r w:rsidRPr="00EC46EC">
        <w:rPr>
          <w:rFonts w:ascii="Times New Roman" w:hAnsi="Times New Roman" w:cs="Times New Roman"/>
          <w:sz w:val="16"/>
          <w:szCs w:val="16"/>
        </w:rPr>
        <w:fldChar w:fldCharType="begin"/>
      </w:r>
      <w:r w:rsidRPr="00EC46EC">
        <w:rPr>
          <w:rFonts w:ascii="Times New Roman" w:hAnsi="Times New Roman" w:cs="Times New Roman"/>
          <w:sz w:val="16"/>
          <w:szCs w:val="16"/>
          <w:lang w:val="en-US"/>
        </w:rPr>
        <w:instrText xml:space="preserve"> SEQ Figure \* ARABIC </w:instrText>
      </w:r>
      <w:r w:rsidRPr="00EC46EC">
        <w:rPr>
          <w:rFonts w:ascii="Times New Roman" w:hAnsi="Times New Roman" w:cs="Times New Roman"/>
          <w:sz w:val="16"/>
          <w:szCs w:val="16"/>
        </w:rPr>
        <w:fldChar w:fldCharType="separate"/>
      </w:r>
      <w:r w:rsidR="00280DBA" w:rsidRPr="00EC46EC">
        <w:rPr>
          <w:rFonts w:ascii="Times New Roman" w:hAnsi="Times New Roman" w:cs="Times New Roman"/>
          <w:noProof/>
          <w:sz w:val="16"/>
          <w:szCs w:val="16"/>
          <w:lang w:val="en-US"/>
        </w:rPr>
        <w:t>10</w:t>
      </w:r>
      <w:r w:rsidRPr="00EC46EC">
        <w:rPr>
          <w:rFonts w:ascii="Times New Roman" w:hAnsi="Times New Roman" w:cs="Times New Roman"/>
          <w:sz w:val="16"/>
          <w:szCs w:val="16"/>
        </w:rPr>
        <w:fldChar w:fldCharType="end"/>
      </w:r>
      <w:r w:rsidRPr="00EC46EC">
        <w:rPr>
          <w:rFonts w:ascii="Times New Roman" w:hAnsi="Times New Roman" w:cs="Times New Roman"/>
          <w:sz w:val="16"/>
          <w:szCs w:val="16"/>
          <w:lang w:val="en-US"/>
        </w:rPr>
        <w:t>. Dependency of Mn</w:t>
      </w:r>
      <w:r w:rsidRPr="00EC46EC">
        <w:rPr>
          <w:rFonts w:ascii="Times New Roman" w:hAnsi="Times New Roman" w:cs="Times New Roman"/>
          <w:sz w:val="16"/>
          <w:szCs w:val="16"/>
          <w:vertAlign w:val="subscript"/>
          <w:lang w:val="en-US"/>
        </w:rPr>
        <w:t>GPC</w:t>
      </w:r>
      <w:r w:rsidRPr="00EC46EC">
        <w:rPr>
          <w:rFonts w:ascii="Times New Roman" w:hAnsi="Times New Roman" w:cs="Times New Roman"/>
          <w:sz w:val="16"/>
          <w:szCs w:val="16"/>
          <w:lang w:val="en-US"/>
        </w:rPr>
        <w:t xml:space="preserve"> and Đ values with conversion to MA polymerization.</w:t>
      </w:r>
    </w:p>
    <w:p w14:paraId="545E71F2" w14:textId="4302499B" w:rsidR="00280DBA" w:rsidRPr="00280DBA" w:rsidRDefault="00280DBA" w:rsidP="0089474D">
      <w:pPr>
        <w:pStyle w:val="TAMainText"/>
        <w:numPr>
          <w:ilvl w:val="0"/>
          <w:numId w:val="2"/>
        </w:numPr>
        <w:rPr>
          <w:rFonts w:ascii="Times New Roman" w:hAnsi="Times New Roman"/>
          <w:i/>
          <w:iCs/>
        </w:rPr>
      </w:pPr>
      <w:r w:rsidRPr="00280DBA">
        <w:rPr>
          <w:rFonts w:ascii="Times New Roman" w:hAnsi="Times New Roman"/>
          <w:i/>
          <w:iCs/>
        </w:rPr>
        <w:t>UV-Vis polymerization kinetics and possible polymerization mechanisms</w:t>
      </w:r>
    </w:p>
    <w:p w14:paraId="2B13AA67" w14:textId="5E206A1A" w:rsidR="00280DBA" w:rsidRPr="00280DBA" w:rsidRDefault="00280DBA" w:rsidP="00EA4E1B">
      <w:pPr>
        <w:pStyle w:val="TAMainText"/>
        <w:ind w:firstLine="187"/>
        <w:rPr>
          <w:rFonts w:ascii="Times New Roman" w:hAnsi="Times New Roman"/>
        </w:rPr>
      </w:pPr>
      <w:r w:rsidRPr="00280DBA">
        <w:rPr>
          <w:rFonts w:ascii="Times New Roman" w:hAnsi="Times New Roman"/>
        </w:rPr>
        <w:t>In order to analyze the behavior of the complex [Mn</w:t>
      </w:r>
      <w:r w:rsidRPr="00280DBA">
        <w:rPr>
          <w:rFonts w:ascii="Times New Roman" w:hAnsi="Times New Roman"/>
          <w:vertAlign w:val="superscript"/>
        </w:rPr>
        <w:t>II</w:t>
      </w:r>
      <w:r w:rsidRPr="00280DBA">
        <w:rPr>
          <w:rFonts w:ascii="Times New Roman" w:hAnsi="Times New Roman"/>
        </w:rPr>
        <w:t>(</w:t>
      </w:r>
      <w:r w:rsidRPr="00280DBA">
        <w:rPr>
          <w:rFonts w:ascii="Times New Roman" w:hAnsi="Times New Roman"/>
          <w:i/>
          <w:iCs/>
        </w:rPr>
        <w:t>py</w:t>
      </w:r>
      <w:r w:rsidRPr="00280DBA">
        <w:rPr>
          <w:rFonts w:ascii="Times New Roman" w:hAnsi="Times New Roman"/>
        </w:rPr>
        <w:t>-mes</w:t>
      </w:r>
      <w:r>
        <w:rPr>
          <w:rFonts w:ascii="Times New Roman" w:hAnsi="Times New Roman"/>
        </w:rPr>
        <w:t>i</w:t>
      </w:r>
      <w:r w:rsidRPr="00280DBA">
        <w:rPr>
          <w:rFonts w:ascii="Times New Roman" w:hAnsi="Times New Roman"/>
        </w:rPr>
        <w:t>t</w:t>
      </w:r>
      <w:r>
        <w:rPr>
          <w:rFonts w:ascii="Times New Roman" w:hAnsi="Times New Roman"/>
        </w:rPr>
        <w:t>hy</w:t>
      </w:r>
      <w:r w:rsidRPr="00280DBA">
        <w:rPr>
          <w:rFonts w:ascii="Times New Roman" w:hAnsi="Times New Roman"/>
        </w:rPr>
        <w:t>l)</w:t>
      </w:r>
      <w:r w:rsidRPr="00280DBA">
        <w:rPr>
          <w:rFonts w:ascii="Times New Roman" w:hAnsi="Times New Roman"/>
          <w:vertAlign w:val="subscript"/>
        </w:rPr>
        <w:t>2</w:t>
      </w:r>
      <w:r w:rsidRPr="00280DBA">
        <w:rPr>
          <w:rFonts w:ascii="Times New Roman" w:hAnsi="Times New Roman"/>
        </w:rPr>
        <w:t>](PF</w:t>
      </w:r>
      <w:r w:rsidRPr="00280DBA">
        <w:rPr>
          <w:rFonts w:ascii="Times New Roman" w:hAnsi="Times New Roman"/>
          <w:vertAlign w:val="subscript"/>
        </w:rPr>
        <w:t>6</w:t>
      </w:r>
      <w:r w:rsidRPr="00280DBA">
        <w:rPr>
          <w:rFonts w:ascii="Times New Roman" w:hAnsi="Times New Roman"/>
        </w:rPr>
        <w:t>)</w:t>
      </w:r>
      <w:r w:rsidRPr="00280DBA">
        <w:rPr>
          <w:rFonts w:ascii="Times New Roman" w:hAnsi="Times New Roman"/>
          <w:vertAlign w:val="subscript"/>
        </w:rPr>
        <w:t>2</w:t>
      </w:r>
      <w:r w:rsidRPr="00280DBA">
        <w:rPr>
          <w:rFonts w:ascii="Times New Roman" w:hAnsi="Times New Roman"/>
        </w:rPr>
        <w:t xml:space="preserve"> as a redox photocatalyst, an experiment based on the literature was proposed, in which a simulation of the polymerization is carried out, accompanied by UV-spectroscopy. Vis. For this, a solution was prepared containing the photocatalyst, the Methyl Acrylate (MA) monomer, and the initiator (EBr), as shown in Figure </w:t>
      </w:r>
      <w:r>
        <w:rPr>
          <w:rFonts w:ascii="Times New Roman" w:hAnsi="Times New Roman"/>
        </w:rPr>
        <w:t>12</w:t>
      </w:r>
      <w:r w:rsidRPr="00280DBA">
        <w:rPr>
          <w:rFonts w:ascii="Times New Roman" w:hAnsi="Times New Roman"/>
        </w:rPr>
        <w:t>.</w:t>
      </w:r>
    </w:p>
    <w:p w14:paraId="0D6F5D69" w14:textId="6BD0552F" w:rsidR="00280DBA" w:rsidRPr="00280DBA" w:rsidRDefault="00A13454" w:rsidP="00A13454">
      <w:pPr>
        <w:jc w:val="center"/>
        <w:rPr>
          <w:rFonts w:ascii="Times New Roman" w:hAnsi="Times New Roman" w:cs="Times New Roman"/>
        </w:rPr>
      </w:pPr>
      <w:r w:rsidRPr="00280DBA">
        <w:rPr>
          <w:rFonts w:ascii="Times New Roman" w:hAnsi="Times New Roman" w:cs="Times New Roman"/>
        </w:rPr>
        <w:object w:dxaOrig="26310" w:dyaOrig="18607" w14:anchorId="2D5DAB44">
          <v:shape id="_x0000_i1032" type="#_x0000_t75" style="width:193.5pt;height:2in" o:ole="">
            <v:imagedata r:id="rId28" o:title="" croptop="3651f" cropbottom="23130f" cropleft="2053f" cropright="26664f"/>
          </v:shape>
          <o:OLEObject Type="Embed" ProgID="Origin50.Graph" ShapeID="_x0000_i1032" DrawAspect="Content" ObjectID="_1750488008" r:id="rId29"/>
        </w:object>
      </w:r>
    </w:p>
    <w:p w14:paraId="27B4E430" w14:textId="6CA57335" w:rsidR="00280DBA" w:rsidRPr="00280DBA" w:rsidRDefault="00280DBA" w:rsidP="00280DBA">
      <w:pPr>
        <w:pStyle w:val="Legenda"/>
        <w:jc w:val="both"/>
        <w:rPr>
          <w:rFonts w:ascii="Times New Roman" w:hAnsi="Times New Roman" w:cs="Times New Roman"/>
          <w:b w:val="0"/>
          <w:bCs w:val="0"/>
          <w:lang w:val="en-US"/>
        </w:rPr>
      </w:pPr>
      <w:r w:rsidRPr="00280DBA">
        <w:rPr>
          <w:rFonts w:ascii="Times New Roman" w:hAnsi="Times New Roman" w:cs="Times New Roman"/>
          <w:b w:val="0"/>
          <w:bCs w:val="0"/>
          <w:lang w:val="en-US"/>
        </w:rPr>
        <w:t xml:space="preserve">Figure </w:t>
      </w:r>
      <w:r w:rsidRPr="00280DBA">
        <w:rPr>
          <w:rFonts w:ascii="Times New Roman" w:hAnsi="Times New Roman" w:cs="Times New Roman"/>
          <w:b w:val="0"/>
          <w:bCs w:val="0"/>
        </w:rPr>
        <w:fldChar w:fldCharType="begin"/>
      </w:r>
      <w:r w:rsidRPr="00280DBA">
        <w:rPr>
          <w:rFonts w:ascii="Times New Roman" w:hAnsi="Times New Roman" w:cs="Times New Roman"/>
          <w:b w:val="0"/>
          <w:bCs w:val="0"/>
          <w:lang w:val="en-US"/>
        </w:rPr>
        <w:instrText xml:space="preserve"> SEQ Figure \* ARABIC </w:instrText>
      </w:r>
      <w:r w:rsidRPr="00280DBA">
        <w:rPr>
          <w:rFonts w:ascii="Times New Roman" w:hAnsi="Times New Roman" w:cs="Times New Roman"/>
          <w:b w:val="0"/>
          <w:bCs w:val="0"/>
        </w:rPr>
        <w:fldChar w:fldCharType="separate"/>
      </w:r>
      <w:r>
        <w:rPr>
          <w:rFonts w:ascii="Times New Roman" w:hAnsi="Times New Roman" w:cs="Times New Roman"/>
          <w:b w:val="0"/>
          <w:bCs w:val="0"/>
          <w:noProof/>
          <w:lang w:val="en-US"/>
        </w:rPr>
        <w:t>1</w:t>
      </w:r>
      <w:r w:rsidR="00EC46EC">
        <w:rPr>
          <w:rFonts w:ascii="Times New Roman" w:hAnsi="Times New Roman" w:cs="Times New Roman"/>
          <w:b w:val="0"/>
          <w:bCs w:val="0"/>
          <w:noProof/>
          <w:lang w:val="en-US"/>
        </w:rPr>
        <w:t>1</w:t>
      </w:r>
      <w:r w:rsidRPr="00280DBA">
        <w:rPr>
          <w:rFonts w:ascii="Times New Roman" w:hAnsi="Times New Roman" w:cs="Times New Roman"/>
          <w:b w:val="0"/>
          <w:bCs w:val="0"/>
        </w:rPr>
        <w:fldChar w:fldCharType="end"/>
      </w:r>
      <w:r w:rsidRPr="00280DBA">
        <w:rPr>
          <w:rFonts w:ascii="Times New Roman" w:hAnsi="Times New Roman" w:cs="Times New Roman"/>
          <w:b w:val="0"/>
          <w:bCs w:val="0"/>
          <w:lang w:val="en-US"/>
        </w:rPr>
        <w:t>. UV-Vis spectrum obtained from the simulation of polymerization in the photoreactor using the Mn</w:t>
      </w:r>
      <w:r w:rsidRPr="00280DBA">
        <w:rPr>
          <w:rFonts w:ascii="Times New Roman" w:hAnsi="Times New Roman" w:cs="Times New Roman"/>
          <w:b w:val="0"/>
          <w:bCs w:val="0"/>
          <w:vertAlign w:val="superscript"/>
          <w:lang w:val="en-US"/>
        </w:rPr>
        <w:t>II</w:t>
      </w:r>
      <w:r w:rsidRPr="00280DBA">
        <w:rPr>
          <w:rFonts w:ascii="Times New Roman" w:hAnsi="Times New Roman" w:cs="Times New Roman"/>
          <w:b w:val="0"/>
          <w:bCs w:val="0"/>
          <w:lang w:val="en-US"/>
        </w:rPr>
        <w:t xml:space="preserve"> complex as photocatalyst.</w:t>
      </w:r>
    </w:p>
    <w:p w14:paraId="4B81BFFF" w14:textId="38657996" w:rsidR="00280DBA" w:rsidRPr="00280DBA" w:rsidRDefault="00280DBA" w:rsidP="00EA4E1B">
      <w:pPr>
        <w:pStyle w:val="TAMainText"/>
        <w:ind w:firstLine="187"/>
        <w:rPr>
          <w:rFonts w:ascii="Times New Roman" w:hAnsi="Times New Roman"/>
        </w:rPr>
      </w:pPr>
      <w:r w:rsidRPr="00280DBA">
        <w:rPr>
          <w:rFonts w:ascii="Times New Roman" w:hAnsi="Times New Roman"/>
        </w:rPr>
        <w:t>From figure 1</w:t>
      </w:r>
      <w:r w:rsidR="00EC46EC">
        <w:rPr>
          <w:rFonts w:ascii="Times New Roman" w:hAnsi="Times New Roman"/>
        </w:rPr>
        <w:t>1</w:t>
      </w:r>
      <w:r w:rsidRPr="00280DBA">
        <w:rPr>
          <w:rFonts w:ascii="Times New Roman" w:hAnsi="Times New Roman"/>
        </w:rPr>
        <w:t xml:space="preserve"> it is </w:t>
      </w:r>
      <w:r>
        <w:rPr>
          <w:rFonts w:ascii="Times New Roman" w:hAnsi="Times New Roman"/>
        </w:rPr>
        <w:t xml:space="preserve">possible to </w:t>
      </w:r>
      <w:r w:rsidRPr="00280DBA">
        <w:rPr>
          <w:rFonts w:ascii="Times New Roman" w:hAnsi="Times New Roman"/>
        </w:rPr>
        <w:t>observe the formation of an isosbetic point</w:t>
      </w:r>
      <w:r>
        <w:rPr>
          <w:rFonts w:ascii="Times New Roman" w:hAnsi="Times New Roman"/>
        </w:rPr>
        <w:t xml:space="preserve">. This indicates the possible equilibrium between the species that are being formed and consumed. From the literature, it is possible to infer the formation of photoproducts after the addition of TEA in the system. </w:t>
      </w:r>
      <w:r w:rsidRPr="00280DBA">
        <w:rPr>
          <w:rFonts w:ascii="Times New Roman" w:hAnsi="Times New Roman"/>
        </w:rPr>
        <w:t>The interaction of the Mn</w:t>
      </w:r>
      <w:r w:rsidRPr="00280DBA">
        <w:rPr>
          <w:rFonts w:ascii="Times New Roman" w:hAnsi="Times New Roman"/>
          <w:vertAlign w:val="superscript"/>
        </w:rPr>
        <w:t>II</w:t>
      </w:r>
      <w:r w:rsidRPr="00280DBA">
        <w:rPr>
          <w:rFonts w:ascii="Times New Roman" w:hAnsi="Times New Roman"/>
        </w:rPr>
        <w:t xml:space="preserve"> complex with TEA can form an exciplex in the excited state, according to the proposed mechanism for redox photocatalysts,</w:t>
      </w:r>
      <w:r w:rsidR="00FB5A91">
        <w:rPr>
          <w:rFonts w:ascii="Times New Roman" w:hAnsi="Times New Roman"/>
          <w:vertAlign w:val="superscript"/>
        </w:rPr>
        <w:t>1</w:t>
      </w:r>
      <w:r w:rsidRPr="00280DBA">
        <w:rPr>
          <w:rFonts w:ascii="Times New Roman" w:hAnsi="Times New Roman"/>
          <w:vertAlign w:val="superscript"/>
        </w:rPr>
        <w:t>1</w:t>
      </w:r>
      <w:r w:rsidRPr="00280DBA">
        <w:rPr>
          <w:rFonts w:ascii="Times New Roman" w:hAnsi="Times New Roman"/>
        </w:rPr>
        <w:t xml:space="preserve"> as depicted</w:t>
      </w:r>
      <w:r>
        <w:rPr>
          <w:rFonts w:ascii="Times New Roman" w:hAnsi="Times New Roman"/>
        </w:rPr>
        <w:t xml:space="preserve"> is figure 1</w:t>
      </w:r>
      <w:r w:rsidR="00EC46EC">
        <w:rPr>
          <w:rFonts w:ascii="Times New Roman" w:hAnsi="Times New Roman"/>
        </w:rPr>
        <w:t>2</w:t>
      </w:r>
      <w:r>
        <w:rPr>
          <w:rFonts w:ascii="Times New Roman" w:hAnsi="Times New Roman"/>
        </w:rPr>
        <w:t>. The fact that the TEA act as a suppressor of the Mn</w:t>
      </w:r>
      <w:r w:rsidRPr="00280DBA">
        <w:rPr>
          <w:rFonts w:ascii="Times New Roman" w:hAnsi="Times New Roman"/>
          <w:vertAlign w:val="superscript"/>
        </w:rPr>
        <w:t>II</w:t>
      </w:r>
      <w:r>
        <w:rPr>
          <w:rFonts w:ascii="Times New Roman" w:hAnsi="Times New Roman"/>
          <w:vertAlign w:val="superscript"/>
        </w:rPr>
        <w:t xml:space="preserve">* </w:t>
      </w:r>
      <w:r>
        <w:rPr>
          <w:rFonts w:ascii="Times New Roman" w:hAnsi="Times New Roman"/>
        </w:rPr>
        <w:t>also corroborates for the mechanism represented bellow.</w:t>
      </w:r>
    </w:p>
    <w:p w14:paraId="27ED5E77" w14:textId="5C66F7AB" w:rsidR="00280DBA" w:rsidRPr="00280DBA" w:rsidRDefault="00EC46EC" w:rsidP="00280DBA">
      <w:pPr>
        <w:jc w:val="center"/>
        <w:rPr>
          <w:b/>
          <w:bCs/>
        </w:rPr>
      </w:pPr>
      <w:r w:rsidRPr="00280DBA">
        <w:rPr>
          <w:b/>
          <w:bCs/>
        </w:rPr>
        <w:object w:dxaOrig="8798" w:dyaOrig="7318" w14:anchorId="344EE80D">
          <v:shape id="_x0000_i1033" type="#_x0000_t75" style="width:186pt;height:154.5pt" o:ole="">
            <v:imagedata r:id="rId30" o:title=""/>
          </v:shape>
          <o:OLEObject Type="Embed" ProgID="ChemDraw.Document.6.0" ShapeID="_x0000_i1033" DrawAspect="Content" ObjectID="_1750488009" r:id="rId31"/>
        </w:object>
      </w:r>
    </w:p>
    <w:p w14:paraId="5A047A0C" w14:textId="7E5F92B9" w:rsidR="00E87344" w:rsidRDefault="00280DBA" w:rsidP="00E87344">
      <w:pPr>
        <w:pStyle w:val="Legenda"/>
        <w:jc w:val="both"/>
        <w:rPr>
          <w:rFonts w:ascii="Times New Roman" w:hAnsi="Times New Roman" w:cs="Times New Roman"/>
          <w:b w:val="0"/>
          <w:bCs w:val="0"/>
          <w:color w:val="auto"/>
          <w:lang w:val="en-US"/>
        </w:rPr>
      </w:pPr>
      <w:r w:rsidRPr="00280DBA">
        <w:rPr>
          <w:rFonts w:ascii="Times New Roman" w:hAnsi="Times New Roman" w:cs="Times New Roman"/>
          <w:b w:val="0"/>
          <w:bCs w:val="0"/>
          <w:color w:val="auto"/>
          <w:lang w:val="en-US"/>
        </w:rPr>
        <w:t xml:space="preserve">Figure </w:t>
      </w:r>
      <w:r w:rsidRPr="00280DBA">
        <w:rPr>
          <w:rFonts w:ascii="Times New Roman" w:hAnsi="Times New Roman" w:cs="Times New Roman"/>
          <w:b w:val="0"/>
          <w:bCs w:val="0"/>
          <w:color w:val="auto"/>
        </w:rPr>
        <w:fldChar w:fldCharType="begin"/>
      </w:r>
      <w:r w:rsidRPr="00280DBA">
        <w:rPr>
          <w:rFonts w:ascii="Times New Roman" w:hAnsi="Times New Roman" w:cs="Times New Roman"/>
          <w:b w:val="0"/>
          <w:bCs w:val="0"/>
          <w:color w:val="auto"/>
          <w:lang w:val="en-US"/>
        </w:rPr>
        <w:instrText xml:space="preserve"> SEQ Figure \* ARABIC </w:instrText>
      </w:r>
      <w:r w:rsidRPr="00280DBA">
        <w:rPr>
          <w:rFonts w:ascii="Times New Roman" w:hAnsi="Times New Roman" w:cs="Times New Roman"/>
          <w:b w:val="0"/>
          <w:bCs w:val="0"/>
          <w:color w:val="auto"/>
        </w:rPr>
        <w:fldChar w:fldCharType="separate"/>
      </w:r>
      <w:r w:rsidRPr="00280DBA">
        <w:rPr>
          <w:rFonts w:ascii="Times New Roman" w:hAnsi="Times New Roman" w:cs="Times New Roman"/>
          <w:b w:val="0"/>
          <w:bCs w:val="0"/>
          <w:noProof/>
          <w:color w:val="auto"/>
          <w:lang w:val="en-US"/>
        </w:rPr>
        <w:t>1</w:t>
      </w:r>
      <w:r w:rsidRPr="00280DBA">
        <w:rPr>
          <w:rFonts w:ascii="Times New Roman" w:hAnsi="Times New Roman" w:cs="Times New Roman"/>
          <w:b w:val="0"/>
          <w:bCs w:val="0"/>
          <w:color w:val="auto"/>
        </w:rPr>
        <w:fldChar w:fldCharType="end"/>
      </w:r>
      <w:r w:rsidR="00EC46EC" w:rsidRPr="00EC46EC">
        <w:rPr>
          <w:rFonts w:ascii="Times New Roman" w:hAnsi="Times New Roman" w:cs="Times New Roman"/>
          <w:b w:val="0"/>
          <w:bCs w:val="0"/>
          <w:color w:val="auto"/>
          <w:lang w:val="en-US"/>
        </w:rPr>
        <w:t>2</w:t>
      </w:r>
      <w:r w:rsidRPr="00280DBA">
        <w:rPr>
          <w:rFonts w:ascii="Times New Roman" w:hAnsi="Times New Roman" w:cs="Times New Roman"/>
          <w:b w:val="0"/>
          <w:bCs w:val="0"/>
          <w:color w:val="auto"/>
          <w:lang w:val="en-US"/>
        </w:rPr>
        <w:t>.Proposed mechanism for the interaction between TEA and the MnII complex when it is excited by a light source, via the reductive pathway.</w:t>
      </w:r>
    </w:p>
    <w:p w14:paraId="68C742BE" w14:textId="77777777" w:rsidR="00E87344" w:rsidRDefault="00EA4E1B" w:rsidP="00E87344">
      <w:pPr>
        <w:pStyle w:val="Legenda"/>
        <w:jc w:val="both"/>
        <w:rPr>
          <w:rFonts w:ascii="Helvetica" w:hAnsi="Helvetica" w:cs="Helvetica"/>
          <w:sz w:val="24"/>
          <w:szCs w:val="24"/>
          <w:lang w:val="en-US"/>
        </w:rPr>
      </w:pPr>
      <w:r w:rsidRPr="00E87344">
        <w:rPr>
          <w:rFonts w:ascii="Helvetica" w:hAnsi="Helvetica" w:cs="Helvetica"/>
          <w:sz w:val="24"/>
          <w:szCs w:val="24"/>
          <w:lang w:val="en-US"/>
        </w:rPr>
        <w:t>Conclus</w:t>
      </w:r>
      <w:r w:rsidR="00E87344">
        <w:rPr>
          <w:rFonts w:ascii="Helvetica" w:hAnsi="Helvetica" w:cs="Helvetica"/>
          <w:sz w:val="24"/>
          <w:szCs w:val="24"/>
          <w:lang w:val="en-US"/>
        </w:rPr>
        <w:t xml:space="preserve">ions </w:t>
      </w:r>
    </w:p>
    <w:p w14:paraId="43CC3971" w14:textId="37F90C07" w:rsidR="00E87344" w:rsidRPr="00E87344" w:rsidRDefault="00E87344" w:rsidP="00E87344">
      <w:pPr>
        <w:pStyle w:val="Legenda"/>
        <w:jc w:val="both"/>
        <w:rPr>
          <w:rFonts w:ascii="Times New Roman" w:eastAsia="Times New Roman" w:hAnsi="Times New Roman" w:cs="Times New Roman"/>
          <w:b w:val="0"/>
          <w:bCs w:val="0"/>
          <w:sz w:val="20"/>
          <w:szCs w:val="20"/>
          <w:lang w:val="en-US" w:eastAsia="pt-BR"/>
        </w:rPr>
      </w:pPr>
      <w:r w:rsidRPr="00E87344">
        <w:rPr>
          <w:rFonts w:ascii="Times New Roman" w:eastAsia="Times New Roman" w:hAnsi="Times New Roman" w:cs="Times New Roman"/>
          <w:b w:val="0"/>
          <w:bCs w:val="0"/>
          <w:sz w:val="20"/>
          <w:szCs w:val="20"/>
          <w:lang w:val="en-US" w:eastAsia="pt-BR"/>
        </w:rPr>
        <w:t>The monosubstituted imidazole 1-H-mesethylimidazole was synthesized according to the literature and characterized by FTIR, UV-Vis and 1H NMR. Coupling reaction with 2-bromopyridine took place and the final ligand was characterized by FTIR, UV-Vis and 1H NMR satisfactorily. The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 xml:space="preserve"> complex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(py-</w:t>
      </w:r>
      <w:r w:rsidRPr="00E87344">
        <w:rPr>
          <w:rFonts w:ascii="Times New Roman" w:eastAsia="Times New Roman" w:hAnsi="Times New Roman" w:cs="Times New Roman"/>
          <w:b w:val="0"/>
          <w:bCs w:val="0"/>
          <w:sz w:val="20"/>
          <w:szCs w:val="20"/>
          <w:lang w:val="en-US" w:eastAsia="pt-BR"/>
        </w:rPr>
        <w:t>mesithyl)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](PF</w:t>
      </w:r>
      <w:r w:rsidRPr="00E87344">
        <w:rPr>
          <w:rFonts w:ascii="Times New Roman" w:eastAsia="Times New Roman" w:hAnsi="Times New Roman" w:cs="Times New Roman"/>
          <w:b w:val="0"/>
          <w:bCs w:val="0"/>
          <w:sz w:val="20"/>
          <w:szCs w:val="20"/>
          <w:vertAlign w:val="subscript"/>
          <w:lang w:val="en-US" w:eastAsia="pt-BR"/>
        </w:rPr>
        <w:t>6</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xml:space="preserve"> was synthesized and initially characterized by FTIR, UV-Vis, cyclic voltammetry, fluorescence spectroscopy and DFT calculations. Photocatalysis studies showed that the complex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(py-mesithyl)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](PF</w:t>
      </w:r>
      <w:r w:rsidRPr="00E87344">
        <w:rPr>
          <w:rFonts w:ascii="Times New Roman" w:eastAsia="Times New Roman" w:hAnsi="Times New Roman" w:cs="Times New Roman"/>
          <w:b w:val="0"/>
          <w:bCs w:val="0"/>
          <w:sz w:val="20"/>
          <w:szCs w:val="20"/>
          <w:vertAlign w:val="subscript"/>
          <w:lang w:val="en-US" w:eastAsia="pt-BR"/>
        </w:rPr>
        <w:t>6</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xml:space="preserve"> has a good catalytic activity, being able to polymerize MA in a three-component system in CRP2, using TEA as co-initiator, EBr as initiator, in bulk with molar masses around 105 g.mol</w:t>
      </w:r>
      <w:r w:rsidRPr="00E87344">
        <w:rPr>
          <w:rFonts w:ascii="Times New Roman" w:eastAsia="Times New Roman" w:hAnsi="Times New Roman" w:cs="Times New Roman"/>
          <w:b w:val="0"/>
          <w:bCs w:val="0"/>
          <w:sz w:val="20"/>
          <w:szCs w:val="20"/>
          <w:vertAlign w:val="superscript"/>
          <w:lang w:val="en-US" w:eastAsia="pt-BR"/>
        </w:rPr>
        <w:t>‒1</w:t>
      </w:r>
      <w:r w:rsidRPr="00E87344">
        <w:rPr>
          <w:rFonts w:ascii="Times New Roman" w:eastAsia="Times New Roman" w:hAnsi="Times New Roman" w:cs="Times New Roman"/>
          <w:b w:val="0"/>
          <w:bCs w:val="0"/>
          <w:sz w:val="20"/>
          <w:szCs w:val="20"/>
          <w:lang w:val="en-US" w:eastAsia="pt-BR"/>
        </w:rPr>
        <w:t xml:space="preserve"> with Đ ≥ 1.4. The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i/>
          <w:iCs/>
          <w:sz w:val="20"/>
          <w:szCs w:val="20"/>
          <w:lang w:val="en-US" w:eastAsia="pt-BR"/>
        </w:rPr>
        <w:t>py</w:t>
      </w:r>
      <w:r w:rsidRPr="00E87344">
        <w:rPr>
          <w:rFonts w:ascii="Times New Roman" w:eastAsia="Times New Roman" w:hAnsi="Times New Roman" w:cs="Times New Roman"/>
          <w:b w:val="0"/>
          <w:bCs w:val="0"/>
          <w:sz w:val="20"/>
          <w:szCs w:val="20"/>
          <w:lang w:val="en-US" w:eastAsia="pt-BR"/>
        </w:rPr>
        <w:t>-mesethyl)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](PF</w:t>
      </w:r>
      <w:r w:rsidRPr="00E87344">
        <w:rPr>
          <w:rFonts w:ascii="Times New Roman" w:eastAsia="Times New Roman" w:hAnsi="Times New Roman" w:cs="Times New Roman"/>
          <w:b w:val="0"/>
          <w:bCs w:val="0"/>
          <w:sz w:val="20"/>
          <w:szCs w:val="20"/>
          <w:vertAlign w:val="subscript"/>
          <w:lang w:val="en-US" w:eastAsia="pt-BR"/>
        </w:rPr>
        <w:t>6</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xml:space="preserve"> complex was studied photophysically in the presence of polymerization additives at 365 nm, where it was possible to calculate the Stern-Volmer constant (KSV = 0.387 M</w:t>
      </w:r>
      <w:r w:rsidRPr="00E87344">
        <w:rPr>
          <w:rFonts w:ascii="Times New Roman" w:eastAsia="Times New Roman" w:hAnsi="Times New Roman" w:cs="Times New Roman"/>
          <w:b w:val="0"/>
          <w:bCs w:val="0"/>
          <w:sz w:val="20"/>
          <w:szCs w:val="20"/>
          <w:vertAlign w:val="superscript"/>
          <w:lang w:val="en-US" w:eastAsia="pt-BR"/>
        </w:rPr>
        <w:t>-1</w:t>
      </w:r>
      <w:r w:rsidRPr="00E87344">
        <w:rPr>
          <w:rFonts w:ascii="Times New Roman" w:eastAsia="Times New Roman" w:hAnsi="Times New Roman" w:cs="Times New Roman"/>
          <w:b w:val="0"/>
          <w:bCs w:val="0"/>
          <w:sz w:val="20"/>
          <w:szCs w:val="20"/>
          <w:lang w:val="en-US" w:eastAsia="pt-BR"/>
        </w:rPr>
        <w:t>). The polymerization was simulated in UV-Vis using CH</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Cl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xml:space="preserve"> as solvent, the resulting spectra suggest the interaction of TEA with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i/>
          <w:iCs/>
          <w:sz w:val="20"/>
          <w:szCs w:val="20"/>
          <w:lang w:val="en-US" w:eastAsia="pt-BR"/>
        </w:rPr>
        <w:t>py</w:t>
      </w:r>
      <w:r w:rsidRPr="00E87344">
        <w:rPr>
          <w:rFonts w:ascii="Times New Roman" w:eastAsia="Times New Roman" w:hAnsi="Times New Roman" w:cs="Times New Roman"/>
          <w:b w:val="0"/>
          <w:bCs w:val="0"/>
          <w:sz w:val="20"/>
          <w:szCs w:val="20"/>
          <w:lang w:val="en-US" w:eastAsia="pt-BR"/>
        </w:rPr>
        <w:t>-mesithyl)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](PF</w:t>
      </w:r>
      <w:r w:rsidRPr="00E87344">
        <w:rPr>
          <w:rFonts w:ascii="Times New Roman" w:eastAsia="Times New Roman" w:hAnsi="Times New Roman" w:cs="Times New Roman"/>
          <w:b w:val="0"/>
          <w:bCs w:val="0"/>
          <w:sz w:val="20"/>
          <w:szCs w:val="20"/>
          <w:vertAlign w:val="subscript"/>
          <w:lang w:val="en-US" w:eastAsia="pt-BR"/>
        </w:rPr>
        <w:t>6</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as well as the formation and consumption of new species in the medium. The polymerization of MA with the Mn</w:t>
      </w:r>
      <w:r w:rsidRPr="00E87344">
        <w:rPr>
          <w:rFonts w:ascii="Times New Roman" w:eastAsia="Times New Roman" w:hAnsi="Times New Roman" w:cs="Times New Roman"/>
          <w:b w:val="0"/>
          <w:bCs w:val="0"/>
          <w:sz w:val="20"/>
          <w:szCs w:val="20"/>
          <w:vertAlign w:val="superscript"/>
          <w:lang w:val="en-US" w:eastAsia="pt-BR"/>
        </w:rPr>
        <w:t>II</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i/>
          <w:iCs/>
          <w:sz w:val="20"/>
          <w:szCs w:val="20"/>
          <w:lang w:val="en-US" w:eastAsia="pt-BR"/>
        </w:rPr>
        <w:t>py</w:t>
      </w:r>
      <w:r w:rsidRPr="00E87344">
        <w:rPr>
          <w:rFonts w:ascii="Times New Roman" w:eastAsia="Times New Roman" w:hAnsi="Times New Roman" w:cs="Times New Roman"/>
          <w:b w:val="0"/>
          <w:bCs w:val="0"/>
          <w:sz w:val="20"/>
          <w:szCs w:val="20"/>
          <w:lang w:val="en-US" w:eastAsia="pt-BR"/>
        </w:rPr>
        <w:t>-mesithyl)</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](PF</w:t>
      </w:r>
      <w:r w:rsidRPr="00E87344">
        <w:rPr>
          <w:rFonts w:ascii="Times New Roman" w:eastAsia="Times New Roman" w:hAnsi="Times New Roman" w:cs="Times New Roman"/>
          <w:b w:val="0"/>
          <w:bCs w:val="0"/>
          <w:sz w:val="20"/>
          <w:szCs w:val="20"/>
          <w:vertAlign w:val="subscript"/>
          <w:lang w:val="en-US" w:eastAsia="pt-BR"/>
        </w:rPr>
        <w:t>6</w:t>
      </w:r>
      <w:r w:rsidRPr="00E87344">
        <w:rPr>
          <w:rFonts w:ascii="Times New Roman" w:eastAsia="Times New Roman" w:hAnsi="Times New Roman" w:cs="Times New Roman"/>
          <w:b w:val="0"/>
          <w:bCs w:val="0"/>
          <w:sz w:val="20"/>
          <w:szCs w:val="20"/>
          <w:lang w:val="en-US" w:eastAsia="pt-BR"/>
        </w:rPr>
        <w:t>)</w:t>
      </w:r>
      <w:r w:rsidRPr="00E87344">
        <w:rPr>
          <w:rFonts w:ascii="Times New Roman" w:eastAsia="Times New Roman" w:hAnsi="Times New Roman" w:cs="Times New Roman"/>
          <w:b w:val="0"/>
          <w:bCs w:val="0"/>
          <w:sz w:val="20"/>
          <w:szCs w:val="20"/>
          <w:vertAlign w:val="subscript"/>
          <w:lang w:val="en-US" w:eastAsia="pt-BR"/>
        </w:rPr>
        <w:t>2</w:t>
      </w:r>
      <w:r w:rsidRPr="00E87344">
        <w:rPr>
          <w:rFonts w:ascii="Times New Roman" w:eastAsia="Times New Roman" w:hAnsi="Times New Roman" w:cs="Times New Roman"/>
          <w:b w:val="0"/>
          <w:bCs w:val="0"/>
          <w:sz w:val="20"/>
          <w:szCs w:val="20"/>
          <w:lang w:val="en-US" w:eastAsia="pt-BR"/>
        </w:rPr>
        <w:t xml:space="preserve"> complex was carried out at a molar ratio of 200/1/0.12/1 with kinetic monitoring of the polymerization of methyl acrylate, showing that the complex, in addition to catalyzing a pseudo-first order reaction (k</w:t>
      </w:r>
      <w:r w:rsidRPr="00E87344">
        <w:rPr>
          <w:rFonts w:ascii="Times New Roman" w:eastAsia="Times New Roman" w:hAnsi="Times New Roman" w:cs="Times New Roman"/>
          <w:b w:val="0"/>
          <w:bCs w:val="0"/>
          <w:sz w:val="20"/>
          <w:szCs w:val="20"/>
          <w:vertAlign w:val="subscript"/>
          <w:lang w:val="en-US" w:eastAsia="pt-BR"/>
        </w:rPr>
        <w:t>obs</w:t>
      </w:r>
      <w:r w:rsidRPr="00E87344">
        <w:rPr>
          <w:rFonts w:ascii="Times New Roman" w:eastAsia="Times New Roman" w:hAnsi="Times New Roman" w:cs="Times New Roman"/>
          <w:b w:val="0"/>
          <w:bCs w:val="0"/>
          <w:sz w:val="20"/>
          <w:szCs w:val="20"/>
          <w:lang w:val="en-US" w:eastAsia="pt-BR"/>
        </w:rPr>
        <w:t>= 2.1×10</w:t>
      </w:r>
      <w:r w:rsidRPr="00E87344">
        <w:rPr>
          <w:rFonts w:ascii="Times New Roman" w:eastAsia="Times New Roman" w:hAnsi="Times New Roman" w:cs="Times New Roman"/>
          <w:b w:val="0"/>
          <w:bCs w:val="0"/>
          <w:sz w:val="20"/>
          <w:szCs w:val="20"/>
          <w:vertAlign w:val="superscript"/>
          <w:lang w:val="en-US" w:eastAsia="pt-BR"/>
        </w:rPr>
        <w:t>‒3</w:t>
      </w:r>
      <w:r w:rsidRPr="00E87344">
        <w:rPr>
          <w:rFonts w:ascii="Times New Roman" w:eastAsia="Times New Roman" w:hAnsi="Times New Roman" w:cs="Times New Roman"/>
          <w:b w:val="0"/>
          <w:bCs w:val="0"/>
          <w:sz w:val="20"/>
          <w:szCs w:val="20"/>
          <w:lang w:val="en-US" w:eastAsia="pt-BR"/>
        </w:rPr>
        <w:t xml:space="preserve"> min</w:t>
      </w:r>
      <w:r w:rsidRPr="00E87344">
        <w:rPr>
          <w:rFonts w:ascii="Times New Roman" w:eastAsia="Times New Roman" w:hAnsi="Times New Roman" w:cs="Times New Roman"/>
          <w:b w:val="0"/>
          <w:bCs w:val="0"/>
          <w:sz w:val="20"/>
          <w:szCs w:val="20"/>
          <w:vertAlign w:val="superscript"/>
          <w:lang w:val="en-US" w:eastAsia="pt-BR"/>
        </w:rPr>
        <w:t>‒1</w:t>
      </w:r>
      <w:r w:rsidRPr="00E87344">
        <w:rPr>
          <w:rFonts w:ascii="Times New Roman" w:eastAsia="Times New Roman" w:hAnsi="Times New Roman" w:cs="Times New Roman"/>
          <w:b w:val="0"/>
          <w:bCs w:val="0"/>
          <w:sz w:val="20"/>
          <w:szCs w:val="20"/>
          <w:lang w:val="en-US" w:eastAsia="pt-BR"/>
        </w:rPr>
        <w:t>) keeps the system moderately controlled in a reaction followed for approximately six hours with 56% conversion, Mn = 170000 and IPD = 1.4.</w:t>
      </w:r>
    </w:p>
    <w:p w14:paraId="6BE32F7B" w14:textId="0C8CFB22" w:rsidR="00EA4E1B" w:rsidRPr="001F25B2" w:rsidRDefault="00EA4E1B" w:rsidP="00E87344">
      <w:pPr>
        <w:pStyle w:val="Ttulo2"/>
        <w:jc w:val="both"/>
        <w:rPr>
          <w:rFonts w:ascii="Helvetica" w:hAnsi="Helvetica" w:cs="Helvetica"/>
          <w:sz w:val="24"/>
          <w:szCs w:val="24"/>
        </w:rPr>
      </w:pPr>
      <w:r w:rsidRPr="001F25B2">
        <w:rPr>
          <w:rFonts w:ascii="Helvetica" w:hAnsi="Helvetica" w:cs="Helvetica"/>
          <w:sz w:val="24"/>
          <w:szCs w:val="24"/>
        </w:rPr>
        <w:t>Agradecimentos</w:t>
      </w:r>
    </w:p>
    <w:p w14:paraId="402BF1BF" w14:textId="178AEDCB" w:rsidR="00337DB0" w:rsidRPr="001F25B2" w:rsidRDefault="00EC46EC" w:rsidP="00337DB0">
      <w:r>
        <w:rPr>
          <w:noProof/>
        </w:rPr>
        <mc:AlternateContent>
          <mc:Choice Requires="wps">
            <w:drawing>
              <wp:anchor distT="0" distB="0" distL="114300" distR="114300" simplePos="0" relativeHeight="251666944" behindDoc="0" locked="0" layoutInCell="1" allowOverlap="1" wp14:anchorId="215F1589" wp14:editId="51EDA274">
                <wp:simplePos x="0" y="0"/>
                <wp:positionH relativeFrom="column">
                  <wp:posOffset>1807845</wp:posOffset>
                </wp:positionH>
                <wp:positionV relativeFrom="paragraph">
                  <wp:posOffset>8890</wp:posOffset>
                </wp:positionV>
                <wp:extent cx="1657350" cy="400050"/>
                <wp:effectExtent l="0" t="0" r="0" b="0"/>
                <wp:wrapThrough wrapText="bothSides">
                  <wp:wrapPolygon edited="0">
                    <wp:start x="0" y="0"/>
                    <wp:lineTo x="0" y="20571"/>
                    <wp:lineTo x="21352" y="20571"/>
                    <wp:lineTo x="21352" y="0"/>
                    <wp:lineTo x="0" y="0"/>
                  </wp:wrapPolygon>
                </wp:wrapThrough>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00050"/>
                        </a:xfrm>
                        <a:prstGeom prst="rect">
                          <a:avLst/>
                        </a:prstGeom>
                        <a:solidFill>
                          <a:srgbClr val="FFFFFF"/>
                        </a:solidFill>
                        <a:ln w="9525">
                          <a:noFill/>
                          <a:miter lim="800000"/>
                          <a:headEnd/>
                          <a:tailEnd/>
                        </a:ln>
                      </wps:spPr>
                      <wps:txbx>
                        <w:txbxContent>
                          <w:p w14:paraId="26F00A29" w14:textId="418B0F39" w:rsidR="00C51B3E" w:rsidRDefault="00C51B3E">
                            <w:pPr>
                              <w:rPr>
                                <w:sz w:val="16"/>
                                <w:szCs w:val="16"/>
                              </w:rPr>
                            </w:pPr>
                            <w:r w:rsidRPr="00C51B3E">
                              <w:rPr>
                                <w:sz w:val="16"/>
                                <w:szCs w:val="16"/>
                              </w:rPr>
                              <w:t>Proc.: 2022/16571-6</w:t>
                            </w:r>
                            <w:r>
                              <w:rPr>
                                <w:sz w:val="16"/>
                                <w:szCs w:val="16"/>
                              </w:rPr>
                              <w:t xml:space="preserve">, </w:t>
                            </w:r>
                            <w:r w:rsidRPr="00C51B3E">
                              <w:rPr>
                                <w:sz w:val="16"/>
                                <w:szCs w:val="16"/>
                              </w:rPr>
                              <w:t xml:space="preserve">2021/11873-1 and 2021/13128-1  </w:t>
                            </w:r>
                          </w:p>
                          <w:p w14:paraId="3DA4037A" w14:textId="77777777" w:rsidR="00C51B3E" w:rsidRPr="00C51B3E" w:rsidRDefault="00C51B3E">
                            <w:pPr>
                              <w:rPr>
                                <w:sz w:val="16"/>
                                <w:szCs w:val="16"/>
                              </w:rPr>
                            </w:pPr>
                          </w:p>
                        </w:txbxContent>
                      </wps:txbx>
                      <wps:bodyPr rot="0" vert="horz" wrap="square" lIns="91440" tIns="45720" rIns="91440" bIns="45720" anchor="t" anchorCtr="0">
                        <a:noAutofit/>
                      </wps:bodyPr>
                    </wps:wsp>
                  </a:graphicData>
                </a:graphic>
              </wp:anchor>
            </w:drawing>
          </mc:Choice>
          <mc:Fallback>
            <w:pict>
              <v:shapetype w14:anchorId="215F1589" id="_x0000_t202" coordsize="21600,21600" o:spt="202" path="m,l,21600r21600,l21600,xe">
                <v:stroke joinstyle="miter"/>
                <v:path gradientshapeok="t" o:connecttype="rect"/>
              </v:shapetype>
              <v:shape id="Caixa de Texto 2" o:spid="_x0000_s1028" type="#_x0000_t202" style="position:absolute;margin-left:142.35pt;margin-top:.7pt;width:130.5pt;height:31.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aDwIAAP0DAAAOAAAAZHJzL2Uyb0RvYy54bWysU9tu2zAMfR+wfxD0vtjJkl6MOEWXLsOA&#10;7gJ0+wBZlmNhsqhRSuzu60vJbpptb8P8IJAmdUgeHq1vhs6wo0KvwZZ8Pss5U1ZCre2+5N+/7d5c&#10;ceaDsLUwYFXJH5XnN5vXr9a9K9QCWjC1QkYg1he9K3kbgiuyzMtWdcLPwClLwQawE4Fc3Gc1ip7Q&#10;O5Mt8vwi6wFrhyCV9/T3bgzyTcJvGiXDl6bxKjBTcuotpBPTWcUz26xFsUfhWi2nNsQ/dNEJbano&#10;CepOBMEOqP+C6rRE8NCEmYQug6bRUqUZaJp5/sc0D61wKs1C5Hh3osn/P1j5+fjgviILwzsYaIFp&#10;CO/uQf7wzMK2FXavbhGhb5WoqfA8Upb1zhfT1Ui1L3wEqfpPUNOSxSFAAhoa7CIrNCcjdFrA44l0&#10;NQQmY8mL1eXbFYUkxZZ5npMdS4ji+bZDHz4o6Fg0So601IQujvc+jKnPKbGYB6PrnTYmObivtgbZ&#10;UZAAdumb0H9LM5b1Jb9eLVYJ2UK8n7TR6UACNbor+RU1l0+SiWy8t3VKCUKb0aamjZ3oiYyM3ISh&#10;GpiuS76IpSNbFdSPxBfCqEd6P2S0gL8460mLJfc/DwIVZ+ajJc6v58tlFG9ylqvLBTl4HqnOI8JK&#10;gip54Gw0tyEJPtJh4ZZ20+hE20snU8uksUT89B6iiM/9lPXyajdPAAAA//8DAFBLAwQUAAYACAAA&#10;ACEA0AguBdwAAAAIAQAADwAAAGRycy9kb3ducmV2LnhtbEyPy07DMBBF90j8gzVIbBB1qJykhDgV&#10;IIHY9vEBk3iaRMR2FLtN+vcMK1henas7Z8rtYgdxoSn03ml4WiUgyDXe9K7VcDx8PG5AhIjO4OAd&#10;abhSgG11e1NiYfzsdnTZx1bwiAsFauhiHAspQ9ORxbDyIzlmJz9ZjBynVpoJZx63g1wnSSYt9o4v&#10;dDjSe0fN9/5sNZy+5of0ea4/4zHfqewN+7z2V63v75bXFxCRlvhXhl99VoeKnWp/diaIQcN6o3Ku&#10;MlAgmKcq5VxryJQCWZXy/wPVDwAAAP//AwBQSwECLQAUAAYACAAAACEAtoM4kv4AAADhAQAAEwAA&#10;AAAAAAAAAAAAAAAAAAAAW0NvbnRlbnRfVHlwZXNdLnhtbFBLAQItABQABgAIAAAAIQA4/SH/1gAA&#10;AJQBAAALAAAAAAAAAAAAAAAAAC8BAABfcmVscy8ucmVsc1BLAQItABQABgAIAAAAIQA/KapaDwIA&#10;AP0DAAAOAAAAAAAAAAAAAAAAAC4CAABkcnMvZTJvRG9jLnhtbFBLAQItABQABgAIAAAAIQDQCC4F&#10;3AAAAAgBAAAPAAAAAAAAAAAAAAAAAGkEAABkcnMvZG93bnJldi54bWxQSwUGAAAAAAQABADzAAAA&#10;cgUAAAAA&#10;" stroked="f">
                <v:textbox>
                  <w:txbxContent>
                    <w:p w14:paraId="26F00A29" w14:textId="418B0F39" w:rsidR="00C51B3E" w:rsidRDefault="00C51B3E">
                      <w:pPr>
                        <w:rPr>
                          <w:sz w:val="16"/>
                          <w:szCs w:val="16"/>
                        </w:rPr>
                      </w:pPr>
                      <w:r w:rsidRPr="00C51B3E">
                        <w:rPr>
                          <w:sz w:val="16"/>
                          <w:szCs w:val="16"/>
                        </w:rPr>
                        <w:t>Proc.: 2022/16571-6</w:t>
                      </w:r>
                      <w:r>
                        <w:rPr>
                          <w:sz w:val="16"/>
                          <w:szCs w:val="16"/>
                        </w:rPr>
                        <w:t xml:space="preserve">, </w:t>
                      </w:r>
                      <w:r w:rsidRPr="00C51B3E">
                        <w:rPr>
                          <w:sz w:val="16"/>
                          <w:szCs w:val="16"/>
                        </w:rPr>
                        <w:t xml:space="preserve">2021/11873-1 and 2021/13128-1  </w:t>
                      </w:r>
                    </w:p>
                    <w:p w14:paraId="3DA4037A" w14:textId="77777777" w:rsidR="00C51B3E" w:rsidRPr="00C51B3E" w:rsidRDefault="00C51B3E">
                      <w:pPr>
                        <w:rPr>
                          <w:sz w:val="16"/>
                          <w:szCs w:val="16"/>
                        </w:rPr>
                      </w:pPr>
                    </w:p>
                  </w:txbxContent>
                </v:textbox>
                <w10:wrap type="through"/>
              </v:shape>
            </w:pict>
          </mc:Fallback>
        </mc:AlternateContent>
      </w:r>
      <w:r w:rsidR="00337DB0">
        <w:rPr>
          <w:noProof/>
        </w:rPr>
        <w:drawing>
          <wp:inline distT="0" distB="0" distL="0" distR="0" wp14:anchorId="2D675513" wp14:editId="47CB8D34">
            <wp:extent cx="1661939" cy="260555"/>
            <wp:effectExtent l="0" t="0" r="0" b="6350"/>
            <wp:docPr id="139834084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2200" cy="266867"/>
                    </a:xfrm>
                    <a:prstGeom prst="rect">
                      <a:avLst/>
                    </a:prstGeom>
                    <a:noFill/>
                  </pic:spPr>
                </pic:pic>
              </a:graphicData>
            </a:graphic>
          </wp:inline>
        </w:drawing>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3C2EB1">
      <w:pPr>
        <w:pStyle w:val="TAMainText"/>
        <w:ind w:firstLine="0"/>
        <w:contextualSpacing/>
        <w:rPr>
          <w:lang w:val="pt-BR"/>
        </w:rPr>
      </w:pPr>
    </w:p>
    <w:p w14:paraId="7CEEE789" w14:textId="5848665E"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1-</w:t>
      </w:r>
      <w:r w:rsidRPr="003C2EB1">
        <w:rPr>
          <w:rFonts w:ascii="Times New Roman" w:hAnsi="Times New Roman" w:cs="Times New Roman"/>
          <w:sz w:val="16"/>
          <w:szCs w:val="16"/>
          <w:lang w:val="en-US"/>
        </w:rPr>
        <w:tab/>
        <w:t>Federico Bella, Roberta Bongiovanni.. Journal of Photochemistry and Photobiology C: Photochemistry Reviews, 16, 1-21.(2013)</w:t>
      </w:r>
    </w:p>
    <w:p w14:paraId="7435785D" w14:textId="0BC90D42"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2-</w:t>
      </w:r>
      <w:r w:rsidRPr="003C2EB1">
        <w:rPr>
          <w:rFonts w:ascii="Times New Roman" w:hAnsi="Times New Roman" w:cs="Times New Roman"/>
          <w:sz w:val="16"/>
          <w:szCs w:val="16"/>
          <w:lang w:val="en-US"/>
        </w:rPr>
        <w:tab/>
        <w:t>Mao Chen, Mingjiang Zhong, and Jeremiah A. Johnson Chem. Rev. 116, 17, 10167–10211 (2016).</w:t>
      </w:r>
    </w:p>
    <w:p w14:paraId="425782E4" w14:textId="3B0E5AF1"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3-</w:t>
      </w:r>
      <w:r w:rsidRPr="003C2EB1">
        <w:rPr>
          <w:rFonts w:ascii="Times New Roman" w:hAnsi="Times New Roman" w:cs="Times New Roman"/>
          <w:sz w:val="16"/>
          <w:szCs w:val="16"/>
          <w:lang w:val="en-US"/>
        </w:rPr>
        <w:tab/>
        <w:t>Andrzejewska E, Grajek K. MOJ Poly Sci. 2017;1(2):58-60.</w:t>
      </w:r>
    </w:p>
    <w:p w14:paraId="32454F74" w14:textId="30C3B1B5"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4-</w:t>
      </w:r>
      <w:r w:rsidRPr="003C2EB1">
        <w:rPr>
          <w:rFonts w:ascii="Times New Roman" w:hAnsi="Times New Roman" w:cs="Times New Roman"/>
          <w:sz w:val="16"/>
          <w:szCs w:val="16"/>
          <w:lang w:val="en-US"/>
        </w:rPr>
        <w:tab/>
        <w:t xml:space="preserve"> Yusuf Yagci. Macromol. Symp. 161, 19–35 (2000).</w:t>
      </w:r>
    </w:p>
    <w:p w14:paraId="2805DAD3" w14:textId="77777777"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5-</w:t>
      </w:r>
      <w:r w:rsidRPr="003C2EB1">
        <w:rPr>
          <w:rFonts w:ascii="Times New Roman" w:hAnsi="Times New Roman" w:cs="Times New Roman"/>
          <w:sz w:val="16"/>
          <w:szCs w:val="16"/>
          <w:lang w:val="en-US"/>
        </w:rPr>
        <w:tab/>
        <w:t xml:space="preserve"> Dietlin, C., Schweizer, S., Xiao, P., Zhang, J., Morlet-Savary, F., Graff, B., Lalevée, J. Polymer Chemistry, 6(21), 3895–3912. (2015).</w:t>
      </w:r>
    </w:p>
    <w:p w14:paraId="03A8A7A6" w14:textId="77777777"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6-</w:t>
      </w:r>
      <w:r w:rsidRPr="003C2EB1">
        <w:rPr>
          <w:rFonts w:ascii="Times New Roman" w:hAnsi="Times New Roman" w:cs="Times New Roman"/>
          <w:sz w:val="16"/>
          <w:szCs w:val="16"/>
          <w:lang w:val="en-US"/>
        </w:rPr>
        <w:tab/>
        <w:t xml:space="preserve"> N. Zivic, M. Bouzrati-Zerelli, A. Kermagoret, F. Dumur, J.-P. Fouassier, D. Gigmes, J. Lalevée,. ChemCatChem, 8, 1617.(2016)</w:t>
      </w:r>
    </w:p>
    <w:p w14:paraId="78343A5B" w14:textId="77777777"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7-</w:t>
      </w:r>
      <w:r w:rsidRPr="003C2EB1">
        <w:rPr>
          <w:rFonts w:ascii="Times New Roman" w:hAnsi="Times New Roman" w:cs="Times New Roman"/>
          <w:sz w:val="16"/>
          <w:szCs w:val="16"/>
          <w:lang w:val="en-US"/>
        </w:rPr>
        <w:tab/>
        <w:t xml:space="preserve"> Liang, E. X., Lu, M., Hou, Z. H., Huang, Y., He, B. H., Wang, G. X., Liu, L. C., Wu, H. and Zhong, M. (2015),. J. Appl. Polym. Sci., 133, 42891</w:t>
      </w:r>
    </w:p>
    <w:p w14:paraId="06AFB7F6" w14:textId="5E8544A5"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8-</w:t>
      </w:r>
      <w:r w:rsidRPr="003C2EB1">
        <w:rPr>
          <w:rFonts w:ascii="Times New Roman" w:hAnsi="Times New Roman" w:cs="Times New Roman"/>
          <w:sz w:val="16"/>
          <w:szCs w:val="16"/>
          <w:lang w:val="en-US"/>
        </w:rPr>
        <w:tab/>
        <w:t>Jean-Pierre Fouassier, Jacques Lalevée. Ed Wiley &amp; Sons. Abril,2021. ISBN: 978-3-527-82126-6</w:t>
      </w:r>
    </w:p>
    <w:p w14:paraId="1E31186F" w14:textId="77777777"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9-</w:t>
      </w:r>
      <w:r w:rsidRPr="003C2EB1">
        <w:rPr>
          <w:rFonts w:ascii="Times New Roman" w:hAnsi="Times New Roman" w:cs="Times New Roman"/>
          <w:sz w:val="16"/>
          <w:szCs w:val="16"/>
          <w:lang w:val="en-US"/>
        </w:rPr>
        <w:tab/>
        <w:t>Allushi, A., Kutahya, C., Aydogan, C., Kreutzer, J., Yilmaz, G., &amp; Yagci, Y. Polymer Chemistry, 8(12), 1972–1977. (2017).</w:t>
      </w:r>
    </w:p>
    <w:p w14:paraId="5C83196A" w14:textId="77777777" w:rsidR="003C2EB1" w:rsidRPr="003C2EB1"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10-</w:t>
      </w:r>
      <w:r w:rsidRPr="003C2EB1">
        <w:rPr>
          <w:rFonts w:ascii="Times New Roman" w:hAnsi="Times New Roman" w:cs="Times New Roman"/>
          <w:sz w:val="16"/>
          <w:szCs w:val="16"/>
          <w:lang w:val="en-US"/>
        </w:rPr>
        <w:tab/>
        <w:t>S. Telitel, F. Dumur, S. Telitel, O. Soppera, M. Lepeltier, Y. Guillaneuf, J. Poly, F. Morlet-Savary, P. Fioux, J.-P. Fouassier, D. Gigmes, J. Lalevée, Polym. Chem. 2015, 6, 613–624.</w:t>
      </w:r>
    </w:p>
    <w:p w14:paraId="2C72CF1A" w14:textId="77777777" w:rsidR="003C2EB1" w:rsidRPr="00C60930" w:rsidRDefault="003C2EB1" w:rsidP="003C2EB1">
      <w:pPr>
        <w:spacing w:line="240" w:lineRule="auto"/>
        <w:contextualSpacing/>
        <w:jc w:val="both"/>
        <w:rPr>
          <w:rFonts w:ascii="Times New Roman" w:hAnsi="Times New Roman" w:cs="Times New Roman"/>
          <w:sz w:val="16"/>
          <w:szCs w:val="16"/>
          <w:lang w:val="en-US"/>
        </w:rPr>
      </w:pPr>
      <w:r w:rsidRPr="003C2EB1">
        <w:rPr>
          <w:rFonts w:ascii="Times New Roman" w:hAnsi="Times New Roman" w:cs="Times New Roman"/>
          <w:sz w:val="16"/>
          <w:szCs w:val="16"/>
          <w:lang w:val="en-US"/>
        </w:rPr>
        <w:t>11-</w:t>
      </w:r>
      <w:r w:rsidRPr="003C2EB1">
        <w:rPr>
          <w:rFonts w:ascii="Times New Roman" w:hAnsi="Times New Roman" w:cs="Times New Roman"/>
          <w:sz w:val="16"/>
          <w:szCs w:val="16"/>
          <w:lang w:val="en-US"/>
        </w:rPr>
        <w:tab/>
        <w:t xml:space="preserve">Jean Pierre Fouassier, Jacques Lalevee. Photoinitiators for Polymer Synthesis: Scope, Reactivity and Efficiency. </w:t>
      </w:r>
      <w:r w:rsidRPr="00C60930">
        <w:rPr>
          <w:rFonts w:ascii="Times New Roman" w:hAnsi="Times New Roman" w:cs="Times New Roman"/>
          <w:sz w:val="16"/>
          <w:szCs w:val="16"/>
          <w:lang w:val="en-US"/>
        </w:rPr>
        <w:t>Wiley &amp; Sons. 2012, Alemanha.</w:t>
      </w:r>
    </w:p>
    <w:p w14:paraId="58716424" w14:textId="4B7FD8E2" w:rsidR="007B4B2B" w:rsidRPr="003C2EB1" w:rsidRDefault="003C2EB1" w:rsidP="003C2EB1">
      <w:pPr>
        <w:spacing w:line="240" w:lineRule="auto"/>
        <w:contextualSpacing/>
        <w:jc w:val="both"/>
        <w:rPr>
          <w:rFonts w:ascii="Times New Roman" w:hAnsi="Times New Roman" w:cs="Times New Roman"/>
          <w:sz w:val="16"/>
          <w:szCs w:val="16"/>
        </w:rPr>
      </w:pPr>
      <w:r w:rsidRPr="003C2EB1">
        <w:rPr>
          <w:rFonts w:ascii="Times New Roman" w:hAnsi="Times New Roman" w:cs="Times New Roman"/>
          <w:sz w:val="16"/>
          <w:szCs w:val="16"/>
          <w:lang w:val="en-US"/>
        </w:rPr>
        <w:t>12-</w:t>
      </w:r>
      <w:r w:rsidRPr="003C2EB1">
        <w:rPr>
          <w:rFonts w:ascii="Times New Roman" w:hAnsi="Times New Roman" w:cs="Times New Roman"/>
          <w:sz w:val="16"/>
          <w:szCs w:val="16"/>
          <w:lang w:val="en-US"/>
        </w:rPr>
        <w:tab/>
        <w:t xml:space="preserve"> Jean P. Fouassier, Jacques Lalevee. Photopolymerisation Initiating Systems. Ed. 29, Royal Society of Chemistry, Cambridge. </w:t>
      </w:r>
      <w:r w:rsidRPr="003C2EB1">
        <w:rPr>
          <w:rFonts w:ascii="Times New Roman" w:hAnsi="Times New Roman" w:cs="Times New Roman"/>
          <w:sz w:val="16"/>
          <w:szCs w:val="16"/>
        </w:rPr>
        <w:t>(2018)</w:t>
      </w:r>
    </w:p>
    <w:sectPr w:rsidR="007B4B2B" w:rsidRPr="003C2EB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365A" w14:textId="77777777" w:rsidR="00E92C95" w:rsidRDefault="00E92C95" w:rsidP="00EA4E1B">
      <w:pPr>
        <w:spacing w:after="0" w:line="240" w:lineRule="auto"/>
      </w:pPr>
      <w:r>
        <w:separator/>
      </w:r>
    </w:p>
  </w:endnote>
  <w:endnote w:type="continuationSeparator" w:id="0">
    <w:p w14:paraId="648722AF" w14:textId="77777777" w:rsidR="00E92C95" w:rsidRDefault="00E92C95" w:rsidP="00EA4E1B">
      <w:pPr>
        <w:spacing w:after="0" w:line="240" w:lineRule="auto"/>
      </w:pPr>
      <w:r>
        <w:continuationSeparator/>
      </w:r>
    </w:p>
  </w:endnote>
  <w:endnote w:id="1">
    <w:p w14:paraId="6CD59B39" w14:textId="77777777" w:rsidR="006D3832" w:rsidRPr="001F25B2" w:rsidRDefault="006D3832" w:rsidP="006D3832">
      <w:pPr>
        <w:pStyle w:val="Textodenotadefim"/>
        <w:rPr>
          <w:rFonts w:ascii="Times New Roman" w:hAnsi="Times New Roman" w:cs="Times New Roman"/>
        </w:rPr>
      </w:pPr>
      <w:r w:rsidRPr="001F25B2">
        <w:rPr>
          <w:rStyle w:val="Refdenotadefim"/>
          <w:rFonts w:ascii="Times New Roman" w:hAnsi="Times New Roman" w:cs="Times New Roman"/>
        </w:rPr>
        <w:endnoteRef/>
      </w:r>
      <w:r w:rsidRPr="001F25B2">
        <w:rPr>
          <w:rFonts w:ascii="Times New Roman" w:hAnsi="Times New Roman" w:cs="Times New Roman"/>
        </w:rPr>
        <w:t xml:space="preserve"> Endereço atual.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75AC" w14:textId="77777777" w:rsidR="00E92C95" w:rsidRDefault="00E92C95" w:rsidP="00EA4E1B">
      <w:pPr>
        <w:spacing w:after="0" w:line="240" w:lineRule="auto"/>
      </w:pPr>
      <w:r>
        <w:separator/>
      </w:r>
    </w:p>
  </w:footnote>
  <w:footnote w:type="continuationSeparator" w:id="0">
    <w:p w14:paraId="698F143C" w14:textId="77777777" w:rsidR="00E92C95" w:rsidRDefault="00E92C9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5E192774"/>
    <w:multiLevelType w:val="hybridMultilevel"/>
    <w:tmpl w:val="BE4E2F0E"/>
    <w:lvl w:ilvl="0" w:tplc="430A286A">
      <w:start w:val="1"/>
      <w:numFmt w:val="decimal"/>
      <w:lvlText w:val="%1."/>
      <w:lvlJc w:val="left"/>
      <w:pPr>
        <w:ind w:left="547" w:hanging="360"/>
      </w:pPr>
      <w:rPr>
        <w:rFonts w:hint="default"/>
      </w:rPr>
    </w:lvl>
    <w:lvl w:ilvl="1" w:tplc="04160019" w:tentative="1">
      <w:start w:val="1"/>
      <w:numFmt w:val="lowerLetter"/>
      <w:lvlText w:val="%2."/>
      <w:lvlJc w:val="left"/>
      <w:pPr>
        <w:ind w:left="1267" w:hanging="360"/>
      </w:pPr>
    </w:lvl>
    <w:lvl w:ilvl="2" w:tplc="0416001B" w:tentative="1">
      <w:start w:val="1"/>
      <w:numFmt w:val="lowerRoman"/>
      <w:lvlText w:val="%3."/>
      <w:lvlJc w:val="right"/>
      <w:pPr>
        <w:ind w:left="1987" w:hanging="180"/>
      </w:pPr>
    </w:lvl>
    <w:lvl w:ilvl="3" w:tplc="0416000F" w:tentative="1">
      <w:start w:val="1"/>
      <w:numFmt w:val="decimal"/>
      <w:lvlText w:val="%4."/>
      <w:lvlJc w:val="left"/>
      <w:pPr>
        <w:ind w:left="2707" w:hanging="360"/>
      </w:pPr>
    </w:lvl>
    <w:lvl w:ilvl="4" w:tplc="04160019" w:tentative="1">
      <w:start w:val="1"/>
      <w:numFmt w:val="lowerLetter"/>
      <w:lvlText w:val="%5."/>
      <w:lvlJc w:val="left"/>
      <w:pPr>
        <w:ind w:left="3427" w:hanging="360"/>
      </w:pPr>
    </w:lvl>
    <w:lvl w:ilvl="5" w:tplc="0416001B" w:tentative="1">
      <w:start w:val="1"/>
      <w:numFmt w:val="lowerRoman"/>
      <w:lvlText w:val="%6."/>
      <w:lvlJc w:val="right"/>
      <w:pPr>
        <w:ind w:left="4147" w:hanging="180"/>
      </w:pPr>
    </w:lvl>
    <w:lvl w:ilvl="6" w:tplc="0416000F" w:tentative="1">
      <w:start w:val="1"/>
      <w:numFmt w:val="decimal"/>
      <w:lvlText w:val="%7."/>
      <w:lvlJc w:val="left"/>
      <w:pPr>
        <w:ind w:left="4867" w:hanging="360"/>
      </w:pPr>
    </w:lvl>
    <w:lvl w:ilvl="7" w:tplc="04160019" w:tentative="1">
      <w:start w:val="1"/>
      <w:numFmt w:val="lowerLetter"/>
      <w:lvlText w:val="%8."/>
      <w:lvlJc w:val="left"/>
      <w:pPr>
        <w:ind w:left="5587" w:hanging="360"/>
      </w:pPr>
    </w:lvl>
    <w:lvl w:ilvl="8" w:tplc="0416001B" w:tentative="1">
      <w:start w:val="1"/>
      <w:numFmt w:val="lowerRoman"/>
      <w:lvlText w:val="%9."/>
      <w:lvlJc w:val="right"/>
      <w:pPr>
        <w:ind w:left="6307" w:hanging="180"/>
      </w:pPr>
    </w:lvl>
  </w:abstractNum>
  <w:num w:numId="1" w16cid:durableId="1811439884">
    <w:abstractNumId w:val="0"/>
  </w:num>
  <w:num w:numId="2" w16cid:durableId="159085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80EA3"/>
    <w:rsid w:val="000F1D24"/>
    <w:rsid w:val="001C5C8D"/>
    <w:rsid w:val="001E58A9"/>
    <w:rsid w:val="001F25B2"/>
    <w:rsid w:val="00222230"/>
    <w:rsid w:val="0023210B"/>
    <w:rsid w:val="002728A3"/>
    <w:rsid w:val="00280DBA"/>
    <w:rsid w:val="00337DB0"/>
    <w:rsid w:val="003406C1"/>
    <w:rsid w:val="00340B1E"/>
    <w:rsid w:val="003C2EB1"/>
    <w:rsid w:val="00402F3E"/>
    <w:rsid w:val="00443489"/>
    <w:rsid w:val="004E1375"/>
    <w:rsid w:val="004F3F42"/>
    <w:rsid w:val="0052112E"/>
    <w:rsid w:val="00540CD6"/>
    <w:rsid w:val="005C0FB5"/>
    <w:rsid w:val="005C2775"/>
    <w:rsid w:val="005D65EB"/>
    <w:rsid w:val="00604718"/>
    <w:rsid w:val="00652815"/>
    <w:rsid w:val="006D3832"/>
    <w:rsid w:val="006F599B"/>
    <w:rsid w:val="007351E9"/>
    <w:rsid w:val="007670A0"/>
    <w:rsid w:val="00781685"/>
    <w:rsid w:val="007B4B2B"/>
    <w:rsid w:val="00866822"/>
    <w:rsid w:val="0089474D"/>
    <w:rsid w:val="008B1683"/>
    <w:rsid w:val="008C1B30"/>
    <w:rsid w:val="009656D9"/>
    <w:rsid w:val="009C4608"/>
    <w:rsid w:val="009C7CB0"/>
    <w:rsid w:val="00A13454"/>
    <w:rsid w:val="00A17D85"/>
    <w:rsid w:val="00A87CE8"/>
    <w:rsid w:val="00AA182E"/>
    <w:rsid w:val="00AF0400"/>
    <w:rsid w:val="00B30AEB"/>
    <w:rsid w:val="00B87F6B"/>
    <w:rsid w:val="00BA6A6E"/>
    <w:rsid w:val="00C51B3E"/>
    <w:rsid w:val="00C60930"/>
    <w:rsid w:val="00C76E54"/>
    <w:rsid w:val="00D64AB3"/>
    <w:rsid w:val="00D96135"/>
    <w:rsid w:val="00DE2895"/>
    <w:rsid w:val="00DF3923"/>
    <w:rsid w:val="00E02A21"/>
    <w:rsid w:val="00E038AF"/>
    <w:rsid w:val="00E87344"/>
    <w:rsid w:val="00E92C95"/>
    <w:rsid w:val="00EA4E1B"/>
    <w:rsid w:val="00EC46EC"/>
    <w:rsid w:val="00F30661"/>
    <w:rsid w:val="00F76C7C"/>
    <w:rsid w:val="00F917DA"/>
    <w:rsid w:val="00FB5A9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6D3832"/>
    <w:rPr>
      <w:sz w:val="16"/>
      <w:szCs w:val="16"/>
    </w:rPr>
  </w:style>
  <w:style w:type="paragraph" w:styleId="Textodecomentrio">
    <w:name w:val="annotation text"/>
    <w:basedOn w:val="Normal"/>
    <w:link w:val="TextodecomentrioChar"/>
    <w:uiPriority w:val="99"/>
    <w:semiHidden/>
    <w:unhideWhenUsed/>
    <w:rsid w:val="006D38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D3832"/>
    <w:rPr>
      <w:sz w:val="20"/>
      <w:szCs w:val="20"/>
    </w:rPr>
  </w:style>
  <w:style w:type="paragraph" w:styleId="Assuntodocomentrio">
    <w:name w:val="annotation subject"/>
    <w:basedOn w:val="Textodecomentrio"/>
    <w:next w:val="Textodecomentrio"/>
    <w:link w:val="AssuntodocomentrioChar"/>
    <w:uiPriority w:val="99"/>
    <w:semiHidden/>
    <w:unhideWhenUsed/>
    <w:rsid w:val="006D3832"/>
    <w:rPr>
      <w:b/>
      <w:bCs/>
    </w:rPr>
  </w:style>
  <w:style w:type="character" w:customStyle="1" w:styleId="AssuntodocomentrioChar">
    <w:name w:val="Assunto do comentário Char"/>
    <w:basedOn w:val="TextodecomentrioChar"/>
    <w:link w:val="Assuntodocomentrio"/>
    <w:uiPriority w:val="99"/>
    <w:semiHidden/>
    <w:rsid w:val="006D38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4.bin"/><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emf"/><Relationship Id="rId28" Type="http://schemas.openxmlformats.org/officeDocument/2006/relationships/image" Target="media/image15.e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oleObject" Target="embeddings/oleObject7.bin"/><Relationship Id="rId30" Type="http://schemas.openxmlformats.org/officeDocument/2006/relationships/image" Target="media/image16.emf"/><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3477</Words>
  <Characters>18780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Camila</cp:lastModifiedBy>
  <cp:revision>13</cp:revision>
  <dcterms:created xsi:type="dcterms:W3CDTF">2023-03-27T18:15:00Z</dcterms:created>
  <dcterms:modified xsi:type="dcterms:W3CDTF">2023-07-10T12:53:00Z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