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050D20D3" w14:textId="57888892" w:rsidR="00EA4E1B" w:rsidRPr="007C4102" w:rsidRDefault="00E5052E" w:rsidP="00EA4E1B">
      <w:pPr>
        <w:pStyle w:val="BATitle"/>
        <w:spacing w:before="0" w:after="0" w:line="240" w:lineRule="auto"/>
        <w:ind w:right="0"/>
        <w:jc w:val="both"/>
        <w:rPr>
          <w:sz w:val="32"/>
          <w:lang w:val="pt-BR"/>
        </w:rPr>
      </w:pPr>
      <w:r w:rsidRPr="007C4102">
        <w:rPr>
          <w:sz w:val="32"/>
          <w:lang w:val="pt-BR"/>
        </w:rPr>
        <w:t xml:space="preserve">Conversão de etanol a </w:t>
      </w:r>
      <w:r w:rsidR="00FC10E9">
        <w:rPr>
          <w:sz w:val="32"/>
          <w:lang w:val="pt-BR"/>
        </w:rPr>
        <w:t>n-</w:t>
      </w:r>
      <w:r w:rsidRPr="007C4102">
        <w:rPr>
          <w:sz w:val="32"/>
          <w:lang w:val="pt-BR"/>
        </w:rPr>
        <w:t xml:space="preserve">butanol </w:t>
      </w:r>
      <w:r w:rsidR="00620A8C">
        <w:rPr>
          <w:sz w:val="32"/>
          <w:lang w:val="pt-BR"/>
        </w:rPr>
        <w:t xml:space="preserve">sobre </w:t>
      </w:r>
      <w:r w:rsidRPr="007C4102">
        <w:rPr>
          <w:sz w:val="32"/>
          <w:lang w:val="pt-BR"/>
        </w:rPr>
        <w:t>catalisador</w:t>
      </w:r>
      <w:r w:rsidR="00620A8C">
        <w:rPr>
          <w:sz w:val="32"/>
          <w:lang w:val="pt-BR"/>
        </w:rPr>
        <w:t>es</w:t>
      </w:r>
      <w:r w:rsidR="008F2B60">
        <w:rPr>
          <w:sz w:val="32"/>
          <w:lang w:val="pt-BR"/>
        </w:rPr>
        <w:t xml:space="preserve"> </w:t>
      </w:r>
      <w:r w:rsidRPr="007C4102">
        <w:rPr>
          <w:sz w:val="32"/>
          <w:lang w:val="pt-BR"/>
        </w:rPr>
        <w:t>hidroxiapatita</w:t>
      </w:r>
      <w:r w:rsidR="00620A8C">
        <w:rPr>
          <w:sz w:val="32"/>
          <w:lang w:val="pt-BR"/>
        </w:rPr>
        <w:t xml:space="preserve"> em condições inertes e redutoras</w:t>
      </w:r>
    </w:p>
    <w:p w14:paraId="311B6B8F" w14:textId="77777777" w:rsidR="009074A0" w:rsidRPr="007C4102" w:rsidRDefault="009074A0" w:rsidP="00EA4E1B">
      <w:pPr>
        <w:pStyle w:val="BBAuthorName"/>
        <w:spacing w:after="120"/>
        <w:ind w:right="0"/>
        <w:jc w:val="both"/>
        <w:rPr>
          <w:rFonts w:ascii="Times New Roman" w:hAnsi="Times New Roman"/>
          <w:sz w:val="20"/>
          <w:lang w:val="pt-BR"/>
        </w:rPr>
      </w:pPr>
    </w:p>
    <w:p w14:paraId="18735493" w14:textId="67EE03FA" w:rsidR="00EA4E1B" w:rsidRPr="007C4102" w:rsidRDefault="00E5052E" w:rsidP="00EA4E1B">
      <w:pPr>
        <w:pStyle w:val="BBAuthorName"/>
        <w:spacing w:after="120"/>
        <w:ind w:right="0"/>
        <w:jc w:val="both"/>
        <w:rPr>
          <w:rFonts w:ascii="Times New Roman" w:hAnsi="Times New Roman"/>
          <w:sz w:val="20"/>
          <w:lang w:val="pt-BR"/>
        </w:rPr>
      </w:pPr>
      <w:r w:rsidRPr="007C4102">
        <w:rPr>
          <w:rFonts w:ascii="Times New Roman" w:hAnsi="Times New Roman"/>
          <w:sz w:val="20"/>
          <w:lang w:val="pt-BR"/>
        </w:rPr>
        <w:t>Kathlen C</w:t>
      </w:r>
      <w:r w:rsidR="005C4DF2" w:rsidRPr="007C4102">
        <w:rPr>
          <w:rFonts w:ascii="Times New Roman" w:hAnsi="Times New Roman"/>
          <w:sz w:val="20"/>
          <w:lang w:val="pt-BR"/>
        </w:rPr>
        <w:t>arla</w:t>
      </w:r>
      <w:r w:rsidRPr="007C4102">
        <w:rPr>
          <w:rFonts w:ascii="Times New Roman" w:hAnsi="Times New Roman"/>
          <w:sz w:val="20"/>
          <w:lang w:val="pt-BR"/>
        </w:rPr>
        <w:t xml:space="preserve"> E</w:t>
      </w:r>
      <w:r w:rsidR="005C4DF2" w:rsidRPr="007C4102">
        <w:rPr>
          <w:rFonts w:ascii="Times New Roman" w:hAnsi="Times New Roman"/>
          <w:sz w:val="20"/>
          <w:lang w:val="pt-BR"/>
        </w:rPr>
        <w:t>iko</w:t>
      </w:r>
      <w:r w:rsidRPr="007C4102">
        <w:rPr>
          <w:rFonts w:ascii="Times New Roman" w:hAnsi="Times New Roman"/>
          <w:sz w:val="20"/>
          <w:lang w:val="pt-BR"/>
        </w:rPr>
        <w:t xml:space="preserve"> S</w:t>
      </w:r>
      <w:r w:rsidR="005C4DF2" w:rsidRPr="007C4102">
        <w:rPr>
          <w:rFonts w:ascii="Times New Roman" w:hAnsi="Times New Roman"/>
          <w:sz w:val="20"/>
          <w:lang w:val="pt-BR"/>
        </w:rPr>
        <w:t>aito</w:t>
      </w:r>
      <w:r w:rsidRPr="007C4102">
        <w:rPr>
          <w:rFonts w:ascii="Times New Roman" w:hAnsi="Times New Roman"/>
          <w:sz w:val="20"/>
          <w:lang w:val="pt-BR"/>
        </w:rPr>
        <w:t xml:space="preserve"> Yokoo</w:t>
      </w:r>
      <w:r w:rsidR="005C4DF2" w:rsidRPr="007C4102">
        <w:rPr>
          <w:rFonts w:ascii="Times New Roman" w:hAnsi="Times New Roman"/>
          <w:sz w:val="20"/>
          <w:lang w:val="pt-BR"/>
        </w:rPr>
        <w:t xml:space="preserve">, Juan José </w:t>
      </w:r>
      <w:proofErr w:type="spellStart"/>
      <w:r w:rsidR="005C4DF2" w:rsidRPr="007C4102">
        <w:rPr>
          <w:rFonts w:ascii="Times New Roman" w:hAnsi="Times New Roman"/>
          <w:sz w:val="20"/>
          <w:lang w:val="pt-BR"/>
        </w:rPr>
        <w:t>Lovon</w:t>
      </w:r>
      <w:proofErr w:type="spellEnd"/>
      <w:r w:rsidR="005C4DF2" w:rsidRPr="007C4102">
        <w:rPr>
          <w:rFonts w:ascii="Times New Roman" w:hAnsi="Times New Roman"/>
          <w:sz w:val="20"/>
          <w:lang w:val="pt-BR"/>
        </w:rPr>
        <w:t>-Quintana, Gustavo Paim Valença</w:t>
      </w:r>
      <w:r w:rsidR="00EA4E1B" w:rsidRPr="007C4102">
        <w:rPr>
          <w:rFonts w:ascii="Times New Roman" w:hAnsi="Times New Roman"/>
          <w:sz w:val="20"/>
          <w:vertAlign w:val="superscript"/>
          <w:lang w:val="pt-BR"/>
        </w:rPr>
        <w:t>1</w:t>
      </w:r>
      <w:r w:rsidR="00392683" w:rsidRPr="007C4102">
        <w:rPr>
          <w:rFonts w:ascii="Times New Roman" w:hAnsi="Times New Roman"/>
          <w:sz w:val="20"/>
          <w:vertAlign w:val="superscript"/>
          <w:lang w:val="pt-BR"/>
        </w:rPr>
        <w:t>*</w:t>
      </w:r>
    </w:p>
    <w:p w14:paraId="74036674" w14:textId="25760035" w:rsidR="005C4DF2" w:rsidRPr="007C4102" w:rsidRDefault="00EA4E1B" w:rsidP="00EA4E1B">
      <w:pPr>
        <w:pStyle w:val="BCAuthorAddress"/>
        <w:spacing w:after="0"/>
        <w:ind w:right="0"/>
        <w:jc w:val="both"/>
        <w:rPr>
          <w:lang w:val="pt-BR"/>
        </w:rPr>
      </w:pPr>
      <w:r w:rsidRPr="007C4102">
        <w:rPr>
          <w:vertAlign w:val="superscript"/>
          <w:lang w:val="pt-BR"/>
        </w:rPr>
        <w:t>1</w:t>
      </w:r>
      <w:r w:rsidR="005C4DF2" w:rsidRPr="007C4102">
        <w:rPr>
          <w:lang w:val="pt-BR"/>
        </w:rPr>
        <w:t xml:space="preserve">Universidade Estadual de Campinas, </w:t>
      </w:r>
      <w:r w:rsidR="009B5A62" w:rsidRPr="007C4102">
        <w:rPr>
          <w:lang w:val="pt-BR"/>
        </w:rPr>
        <w:t xml:space="preserve">Faculdade de Engenharia Química, </w:t>
      </w:r>
      <w:r w:rsidR="005C4DF2" w:rsidRPr="007C4102">
        <w:rPr>
          <w:lang w:val="pt-BR"/>
        </w:rPr>
        <w:t>Av. Albert Einstein, 500 - Campinas, SP</w:t>
      </w:r>
    </w:p>
    <w:p w14:paraId="47981E95" w14:textId="3FD09E75" w:rsidR="00392683" w:rsidRPr="007C4102" w:rsidRDefault="00392683" w:rsidP="00392683">
      <w:pPr>
        <w:rPr>
          <w:rFonts w:ascii="Times" w:eastAsia="Times New Roman" w:hAnsi="Times" w:cs="Times New Roman"/>
          <w:i/>
          <w:sz w:val="20"/>
          <w:szCs w:val="20"/>
          <w:lang w:eastAsia="pt-BR"/>
        </w:rPr>
      </w:pPr>
      <w:r w:rsidRPr="007C4102">
        <w:rPr>
          <w:rFonts w:ascii="Times" w:eastAsia="Times New Roman" w:hAnsi="Times" w:cs="Times New Roman"/>
          <w:i/>
          <w:sz w:val="20"/>
          <w:szCs w:val="20"/>
          <w:vertAlign w:val="superscript"/>
          <w:lang w:eastAsia="pt-BR"/>
        </w:rPr>
        <w:t>*</w:t>
      </w:r>
      <w:r w:rsidRPr="007C4102">
        <w:rPr>
          <w:rFonts w:ascii="Times" w:eastAsia="Times New Roman" w:hAnsi="Times" w:cs="Times New Roman"/>
          <w:i/>
          <w:sz w:val="20"/>
          <w:szCs w:val="20"/>
          <w:lang w:eastAsia="pt-BR"/>
        </w:rPr>
        <w:t>gustavo@feq.unicamp.br</w:t>
      </w:r>
    </w:p>
    <w:bookmarkEnd w:id="0"/>
    <w:p w14:paraId="238E7EC1" w14:textId="5D4AB3B8" w:rsidR="00AF0400" w:rsidRPr="007C4102" w:rsidRDefault="00AF0400" w:rsidP="00EA4E1B">
      <w:pPr>
        <w:pStyle w:val="BDAbstract"/>
        <w:spacing w:before="0" w:after="0" w:line="240" w:lineRule="auto"/>
        <w:rPr>
          <w:rFonts w:ascii="Times New Roman" w:hAnsi="Times New Roman"/>
          <w:b w:val="0"/>
          <w:sz w:val="20"/>
          <w:lang w:val="pt-BR"/>
        </w:rPr>
      </w:pPr>
      <w:r w:rsidRPr="007C4102">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14F31C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14F31C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Pr="007C4102" w:rsidRDefault="00AF0400" w:rsidP="00EA4E1B">
      <w:pPr>
        <w:pStyle w:val="BDAbstract"/>
        <w:spacing w:before="0" w:after="0" w:line="240" w:lineRule="auto"/>
        <w:rPr>
          <w:rFonts w:ascii="Times New Roman" w:hAnsi="Times New Roman"/>
          <w:b w:val="0"/>
          <w:sz w:val="20"/>
          <w:lang w:val="pt-BR"/>
        </w:rPr>
      </w:pPr>
    </w:p>
    <w:p w14:paraId="130D3332" w14:textId="6312E290" w:rsidR="00422F86" w:rsidRPr="007C4102" w:rsidRDefault="00EA4E1B" w:rsidP="00EA4E1B">
      <w:pPr>
        <w:pStyle w:val="BDAbstract"/>
        <w:spacing w:before="0" w:after="0" w:line="240" w:lineRule="auto"/>
        <w:rPr>
          <w:rFonts w:ascii="Times New Roman" w:hAnsi="Times New Roman"/>
          <w:b w:val="0"/>
          <w:sz w:val="20"/>
          <w:lang w:val="pt-BR"/>
        </w:rPr>
      </w:pPr>
      <w:r w:rsidRPr="007C4102">
        <w:rPr>
          <w:rFonts w:ascii="Times New Roman" w:hAnsi="Times New Roman"/>
          <w:b w:val="0"/>
          <w:sz w:val="20"/>
          <w:lang w:val="pt-BR"/>
        </w:rPr>
        <w:t xml:space="preserve">RESUMO - </w:t>
      </w:r>
      <w:r w:rsidR="00A34B25">
        <w:rPr>
          <w:rFonts w:ascii="Times New Roman" w:hAnsi="Times New Roman"/>
          <w:b w:val="0"/>
          <w:sz w:val="20"/>
          <w:lang w:val="pt-BR"/>
        </w:rPr>
        <w:t>A</w:t>
      </w:r>
      <w:r w:rsidR="00422F86" w:rsidRPr="007C4102">
        <w:rPr>
          <w:rFonts w:ascii="Times New Roman" w:hAnsi="Times New Roman"/>
          <w:b w:val="0"/>
          <w:sz w:val="20"/>
          <w:lang w:val="pt-BR"/>
        </w:rPr>
        <w:t xml:space="preserve"> hidroxiapatita (HAP)</w:t>
      </w:r>
      <w:r w:rsidR="002D6A1F" w:rsidRPr="007C4102">
        <w:rPr>
          <w:rFonts w:ascii="Times New Roman" w:hAnsi="Times New Roman"/>
          <w:b w:val="0"/>
          <w:sz w:val="20"/>
          <w:lang w:val="pt-BR"/>
        </w:rPr>
        <w:t xml:space="preserve"> </w:t>
      </w:r>
      <w:r w:rsidR="00A34B25">
        <w:rPr>
          <w:rFonts w:ascii="Times New Roman" w:hAnsi="Times New Roman"/>
          <w:b w:val="0"/>
          <w:sz w:val="20"/>
          <w:lang w:val="pt-BR"/>
        </w:rPr>
        <w:t xml:space="preserve">foi testada </w:t>
      </w:r>
      <w:r w:rsidR="002D6A1F" w:rsidRPr="007C4102">
        <w:rPr>
          <w:rFonts w:ascii="Times New Roman" w:hAnsi="Times New Roman"/>
          <w:b w:val="0"/>
          <w:sz w:val="20"/>
          <w:lang w:val="pt-BR"/>
        </w:rPr>
        <w:t>como catalisador na conversão de etanol em n-butanol</w:t>
      </w:r>
      <w:r w:rsidR="00A34B25">
        <w:rPr>
          <w:rFonts w:ascii="Times New Roman" w:hAnsi="Times New Roman"/>
          <w:b w:val="0"/>
          <w:sz w:val="20"/>
          <w:lang w:val="pt-BR"/>
        </w:rPr>
        <w:t xml:space="preserve"> em condições inertes e redutoras</w:t>
      </w:r>
      <w:r w:rsidR="00422F86" w:rsidRPr="007C4102">
        <w:rPr>
          <w:rFonts w:ascii="Times New Roman" w:hAnsi="Times New Roman"/>
          <w:b w:val="0"/>
          <w:sz w:val="20"/>
          <w:lang w:val="pt-BR"/>
        </w:rPr>
        <w:t>. A HAP foi sintetizada por precipitação química e caracterizada por difração de raios-X (XRD), adsorção de N</w:t>
      </w:r>
      <w:r w:rsidR="00422F86" w:rsidRPr="007C4102">
        <w:rPr>
          <w:rFonts w:ascii="Times New Roman" w:hAnsi="Times New Roman"/>
          <w:b w:val="0"/>
          <w:sz w:val="20"/>
          <w:vertAlign w:val="subscript"/>
          <w:lang w:val="pt-BR"/>
        </w:rPr>
        <w:t>2</w:t>
      </w:r>
      <w:r w:rsidR="00422F86" w:rsidRPr="007C4102">
        <w:rPr>
          <w:rFonts w:ascii="Times New Roman" w:hAnsi="Times New Roman"/>
          <w:b w:val="0"/>
          <w:sz w:val="20"/>
          <w:lang w:val="pt-BR"/>
        </w:rPr>
        <w:t xml:space="preserve"> a -196 ºC e dessorção da temperatura programada (TPD) de NH</w:t>
      </w:r>
      <w:r w:rsidR="00422F86" w:rsidRPr="007C4102">
        <w:rPr>
          <w:rFonts w:ascii="Times New Roman" w:hAnsi="Times New Roman"/>
          <w:b w:val="0"/>
          <w:sz w:val="20"/>
          <w:vertAlign w:val="subscript"/>
          <w:lang w:val="pt-BR"/>
        </w:rPr>
        <w:t>3</w:t>
      </w:r>
      <w:r w:rsidR="00422F86" w:rsidRPr="007C4102">
        <w:rPr>
          <w:rFonts w:ascii="Times New Roman" w:hAnsi="Times New Roman"/>
          <w:b w:val="0"/>
          <w:sz w:val="20"/>
          <w:lang w:val="pt-BR"/>
        </w:rPr>
        <w:t xml:space="preserve"> e CO</w:t>
      </w:r>
      <w:r w:rsidR="00422F86" w:rsidRPr="007C4102">
        <w:rPr>
          <w:rFonts w:ascii="Times New Roman" w:hAnsi="Times New Roman"/>
          <w:b w:val="0"/>
          <w:sz w:val="20"/>
          <w:vertAlign w:val="subscript"/>
          <w:lang w:val="pt-BR"/>
        </w:rPr>
        <w:t>2</w:t>
      </w:r>
      <w:r w:rsidR="00422F86" w:rsidRPr="007C4102">
        <w:rPr>
          <w:rFonts w:ascii="Times New Roman" w:hAnsi="Times New Roman"/>
          <w:b w:val="0"/>
          <w:sz w:val="20"/>
          <w:lang w:val="pt-BR"/>
        </w:rPr>
        <w:t xml:space="preserve">. </w:t>
      </w:r>
      <w:r w:rsidR="00A34B25">
        <w:rPr>
          <w:rFonts w:ascii="Times New Roman" w:hAnsi="Times New Roman"/>
          <w:b w:val="0"/>
          <w:sz w:val="20"/>
          <w:lang w:val="pt-BR"/>
        </w:rPr>
        <w:t>A</w:t>
      </w:r>
      <w:r w:rsidR="00422F86" w:rsidRPr="007C4102">
        <w:rPr>
          <w:rFonts w:ascii="Times New Roman" w:hAnsi="Times New Roman"/>
          <w:b w:val="0"/>
          <w:sz w:val="20"/>
          <w:lang w:val="pt-BR"/>
        </w:rPr>
        <w:t xml:space="preserve"> conversão de etanol em HAP </w:t>
      </w:r>
      <w:r w:rsidR="00A34B25">
        <w:rPr>
          <w:rFonts w:ascii="Times New Roman" w:hAnsi="Times New Roman"/>
          <w:b w:val="0"/>
          <w:sz w:val="20"/>
          <w:lang w:val="pt-BR"/>
        </w:rPr>
        <w:t xml:space="preserve">foi realizada </w:t>
      </w:r>
      <w:r w:rsidR="00422F86" w:rsidRPr="007C4102">
        <w:rPr>
          <w:rFonts w:ascii="Times New Roman" w:hAnsi="Times New Roman"/>
          <w:b w:val="0"/>
          <w:sz w:val="20"/>
          <w:lang w:val="pt-BR"/>
        </w:rPr>
        <w:t xml:space="preserve">na faixa de temperaturas de 250 a 350 °C variando a pressão parcial de etanol de 15 a 25%v/v. </w:t>
      </w:r>
      <w:r w:rsidR="00552939">
        <w:rPr>
          <w:rFonts w:ascii="Times New Roman" w:hAnsi="Times New Roman"/>
          <w:b w:val="0"/>
          <w:sz w:val="20"/>
          <w:lang w:val="pt-BR"/>
        </w:rPr>
        <w:t>A</w:t>
      </w:r>
      <w:r w:rsidR="00BC57EF">
        <w:rPr>
          <w:rFonts w:ascii="Times New Roman" w:hAnsi="Times New Roman"/>
          <w:b w:val="0"/>
          <w:sz w:val="20"/>
          <w:lang w:val="pt-BR"/>
        </w:rPr>
        <w:t xml:space="preserve"> formação dos </w:t>
      </w:r>
      <w:r w:rsidR="00422F86" w:rsidRPr="007C4102">
        <w:rPr>
          <w:rFonts w:ascii="Times New Roman" w:hAnsi="Times New Roman"/>
          <w:b w:val="0"/>
          <w:sz w:val="20"/>
          <w:lang w:val="pt-BR"/>
        </w:rPr>
        <w:t xml:space="preserve">produtos </w:t>
      </w:r>
      <w:r w:rsidR="00552939">
        <w:rPr>
          <w:rFonts w:ascii="Times New Roman" w:hAnsi="Times New Roman"/>
          <w:b w:val="0"/>
          <w:sz w:val="20"/>
          <w:lang w:val="pt-BR"/>
        </w:rPr>
        <w:t xml:space="preserve">ocorreu de acordo com as </w:t>
      </w:r>
      <w:r w:rsidR="00422F86" w:rsidRPr="007C4102">
        <w:rPr>
          <w:rFonts w:ascii="Times New Roman" w:hAnsi="Times New Roman"/>
          <w:b w:val="0"/>
          <w:sz w:val="20"/>
          <w:lang w:val="pt-BR"/>
        </w:rPr>
        <w:t xml:space="preserve">reações do mecanismo de </w:t>
      </w:r>
      <w:proofErr w:type="spellStart"/>
      <w:r w:rsidR="00422F86" w:rsidRPr="007C4102">
        <w:rPr>
          <w:rFonts w:ascii="Times New Roman" w:hAnsi="Times New Roman"/>
          <w:b w:val="0"/>
          <w:sz w:val="20"/>
          <w:lang w:val="pt-BR"/>
        </w:rPr>
        <w:t>Guerbet</w:t>
      </w:r>
      <w:proofErr w:type="spellEnd"/>
      <w:r w:rsidR="00422F86" w:rsidRPr="007C4102">
        <w:rPr>
          <w:rFonts w:ascii="Times New Roman" w:hAnsi="Times New Roman"/>
          <w:b w:val="0"/>
          <w:sz w:val="20"/>
          <w:lang w:val="pt-BR"/>
        </w:rPr>
        <w:t>, tais como acetaldeído, 1-butanol, 2-etil-butan-1-ol, entre outros. A HAP em condições inertes e redutoras apresentou uma seletividade a 1-butanol próximo de 50% a 350 ºC</w:t>
      </w:r>
      <w:r w:rsidR="002D6A1F" w:rsidRPr="007C4102">
        <w:rPr>
          <w:rFonts w:ascii="Times New Roman" w:hAnsi="Times New Roman"/>
          <w:b w:val="0"/>
          <w:sz w:val="20"/>
          <w:lang w:val="pt-BR"/>
        </w:rPr>
        <w:t xml:space="preserve">, indicando que o hidrogênio gasoso não é a fonte de átomos de H introduzidos nas etapas de hidrogenação na sequência de </w:t>
      </w:r>
      <w:r w:rsidR="00BC57EF">
        <w:rPr>
          <w:rFonts w:ascii="Times New Roman" w:hAnsi="Times New Roman"/>
          <w:b w:val="0"/>
          <w:sz w:val="20"/>
          <w:lang w:val="pt-BR"/>
        </w:rPr>
        <w:t>reações</w:t>
      </w:r>
      <w:r w:rsidR="00BC57EF" w:rsidRPr="007C4102">
        <w:rPr>
          <w:rFonts w:ascii="Times New Roman" w:hAnsi="Times New Roman"/>
          <w:b w:val="0"/>
          <w:sz w:val="20"/>
          <w:lang w:val="pt-BR"/>
        </w:rPr>
        <w:t xml:space="preserve"> </w:t>
      </w:r>
      <w:r w:rsidR="002D6A1F" w:rsidRPr="007C4102">
        <w:rPr>
          <w:rFonts w:ascii="Times New Roman" w:hAnsi="Times New Roman"/>
          <w:b w:val="0"/>
          <w:sz w:val="20"/>
          <w:lang w:val="pt-BR"/>
        </w:rPr>
        <w:t xml:space="preserve">de acoplamento de </w:t>
      </w:r>
      <w:proofErr w:type="spellStart"/>
      <w:r w:rsidR="002D6A1F" w:rsidRPr="007C4102">
        <w:rPr>
          <w:rFonts w:ascii="Times New Roman" w:hAnsi="Times New Roman"/>
          <w:b w:val="0"/>
          <w:sz w:val="20"/>
          <w:lang w:val="pt-BR"/>
        </w:rPr>
        <w:t>Guerbet</w:t>
      </w:r>
      <w:proofErr w:type="spellEnd"/>
      <w:r w:rsidR="002D6A1F" w:rsidRPr="007C4102">
        <w:rPr>
          <w:rFonts w:ascii="Times New Roman" w:hAnsi="Times New Roman"/>
          <w:b w:val="0"/>
          <w:sz w:val="20"/>
          <w:lang w:val="pt-BR"/>
        </w:rPr>
        <w:t xml:space="preserve"> sobre HAP. </w:t>
      </w:r>
    </w:p>
    <w:p w14:paraId="09B41B70" w14:textId="3C448B8D" w:rsidR="00EA4E1B" w:rsidRPr="00C534B5" w:rsidRDefault="00EA4E1B" w:rsidP="00EA4E1B">
      <w:pPr>
        <w:pStyle w:val="BDAbstract"/>
        <w:spacing w:before="0" w:after="0" w:line="240" w:lineRule="auto"/>
        <w:rPr>
          <w:rFonts w:ascii="Times New Roman" w:hAnsi="Times New Roman"/>
          <w:b w:val="0"/>
          <w:sz w:val="20"/>
        </w:rPr>
      </w:pPr>
      <w:proofErr w:type="spellStart"/>
      <w:r w:rsidRPr="00C534B5">
        <w:rPr>
          <w:rFonts w:ascii="Times New Roman" w:hAnsi="Times New Roman"/>
          <w:b w:val="0"/>
          <w:i/>
          <w:sz w:val="20"/>
        </w:rPr>
        <w:t>Palavras-chave</w:t>
      </w:r>
      <w:proofErr w:type="spellEnd"/>
      <w:r w:rsidRPr="00C534B5">
        <w:rPr>
          <w:rFonts w:ascii="Times New Roman" w:hAnsi="Times New Roman"/>
          <w:b w:val="0"/>
          <w:i/>
          <w:sz w:val="20"/>
        </w:rPr>
        <w:t xml:space="preserve">: </w:t>
      </w:r>
      <w:proofErr w:type="spellStart"/>
      <w:r w:rsidR="00422F86" w:rsidRPr="00C534B5">
        <w:rPr>
          <w:rFonts w:ascii="Times New Roman" w:hAnsi="Times New Roman"/>
          <w:b w:val="0"/>
          <w:i/>
          <w:sz w:val="20"/>
        </w:rPr>
        <w:t>etanol</w:t>
      </w:r>
      <w:proofErr w:type="spellEnd"/>
      <w:r w:rsidR="00422F86" w:rsidRPr="00C534B5">
        <w:rPr>
          <w:rFonts w:ascii="Times New Roman" w:hAnsi="Times New Roman"/>
          <w:b w:val="0"/>
          <w:i/>
          <w:sz w:val="20"/>
        </w:rPr>
        <w:t xml:space="preserve">, </w:t>
      </w:r>
      <w:proofErr w:type="spellStart"/>
      <w:r w:rsidR="00422F86" w:rsidRPr="00C534B5">
        <w:rPr>
          <w:rFonts w:ascii="Times New Roman" w:hAnsi="Times New Roman"/>
          <w:b w:val="0"/>
          <w:i/>
          <w:sz w:val="20"/>
        </w:rPr>
        <w:t>hidroxiapatita</w:t>
      </w:r>
      <w:proofErr w:type="spellEnd"/>
      <w:r w:rsidR="00422F86" w:rsidRPr="00C534B5">
        <w:rPr>
          <w:rFonts w:ascii="Times New Roman" w:hAnsi="Times New Roman"/>
          <w:b w:val="0"/>
          <w:i/>
          <w:sz w:val="20"/>
        </w:rPr>
        <w:t xml:space="preserve">, </w:t>
      </w:r>
      <w:proofErr w:type="spellStart"/>
      <w:r w:rsidR="00422F86" w:rsidRPr="00C534B5">
        <w:rPr>
          <w:rFonts w:ascii="Times New Roman" w:hAnsi="Times New Roman"/>
          <w:b w:val="0"/>
          <w:i/>
          <w:sz w:val="20"/>
        </w:rPr>
        <w:t>biomassa</w:t>
      </w:r>
      <w:proofErr w:type="spellEnd"/>
    </w:p>
    <w:p w14:paraId="0F80E7D5" w14:textId="56F3DC02" w:rsidR="00EA4E1B" w:rsidRPr="00C534B5" w:rsidRDefault="00EA4E1B" w:rsidP="00C534B5">
      <w:pPr>
        <w:pStyle w:val="BDAbstract"/>
        <w:spacing w:after="0" w:line="240" w:lineRule="auto"/>
        <w:rPr>
          <w:b w:val="0"/>
        </w:rPr>
      </w:pPr>
      <w:r w:rsidRPr="00C534B5">
        <w:rPr>
          <w:rFonts w:ascii="Times New Roman" w:hAnsi="Times New Roman"/>
          <w:b w:val="0"/>
          <w:sz w:val="20"/>
        </w:rPr>
        <w:t xml:space="preserve">ABSTRACT - </w:t>
      </w:r>
      <w:r w:rsidR="001D3D5C" w:rsidRPr="00C534B5">
        <w:rPr>
          <w:rFonts w:ascii="Times New Roman" w:hAnsi="Times New Roman"/>
          <w:b w:val="0"/>
          <w:sz w:val="20"/>
        </w:rPr>
        <w:t xml:space="preserve">Hydroxyapatite (HAP) was tested as a catalyst in the conversion of ethanol to n-butanol under inert and reducing conditions. HAP was synthesized by chemical precipitation and characterized by X-ray diffraction (XRD), N2 adsorption at -196 ºC, and temperature-programmed desorption (TPD) of NH3 and CO2. The conversion of ethanol over HAP was performed in the temperature range of 250 to 350 °C, with ethanol partial pressure varying from 15 to 25% v/v. The product formation followed the </w:t>
      </w:r>
      <w:proofErr w:type="spellStart"/>
      <w:r w:rsidR="001D3D5C" w:rsidRPr="00C534B5">
        <w:rPr>
          <w:rFonts w:ascii="Times New Roman" w:hAnsi="Times New Roman"/>
          <w:b w:val="0"/>
          <w:sz w:val="20"/>
        </w:rPr>
        <w:t>Guerbet</w:t>
      </w:r>
      <w:proofErr w:type="spellEnd"/>
      <w:r w:rsidR="001D3D5C" w:rsidRPr="00795470">
        <w:t xml:space="preserve"> </w:t>
      </w:r>
      <w:r w:rsidR="001D3D5C" w:rsidRPr="00C534B5">
        <w:rPr>
          <w:rFonts w:ascii="Times New Roman" w:hAnsi="Times New Roman"/>
          <w:b w:val="0"/>
          <w:sz w:val="20"/>
        </w:rPr>
        <w:t xml:space="preserve">mechanism reactions, such as acetaldehyde, 1-butanol, 2-ethyl-butan-1-ol, among others. HAP under inert and reducing conditions showed a selectivity for 1-butanol close to 50% at 350 ºC, indicating that gaseous hydrogen is not the source of H atoms introduced in the hydrogenation steps of the </w:t>
      </w:r>
      <w:proofErr w:type="spellStart"/>
      <w:r w:rsidR="001D3D5C" w:rsidRPr="00C534B5">
        <w:rPr>
          <w:rFonts w:ascii="Times New Roman" w:hAnsi="Times New Roman"/>
          <w:b w:val="0"/>
          <w:sz w:val="20"/>
        </w:rPr>
        <w:t>Guerbet</w:t>
      </w:r>
      <w:proofErr w:type="spellEnd"/>
      <w:r w:rsidR="001D3D5C" w:rsidRPr="00C534B5">
        <w:rPr>
          <w:rFonts w:ascii="Times New Roman" w:hAnsi="Times New Roman"/>
          <w:b w:val="0"/>
          <w:sz w:val="20"/>
        </w:rPr>
        <w:t xml:space="preserve"> coupling reactions over HAP.</w:t>
      </w:r>
    </w:p>
    <w:p w14:paraId="5F4A84E8" w14:textId="663C8254" w:rsidR="00EA4E1B" w:rsidRPr="007C4102" w:rsidRDefault="00EA4E1B" w:rsidP="00EA4E1B">
      <w:pPr>
        <w:pStyle w:val="BDAbstract"/>
        <w:spacing w:before="0" w:after="120" w:line="240" w:lineRule="auto"/>
        <w:rPr>
          <w:rFonts w:ascii="Times New Roman" w:hAnsi="Times New Roman"/>
          <w:b w:val="0"/>
          <w:i/>
          <w:sz w:val="20"/>
          <w:lang w:val="pt-BR"/>
        </w:rPr>
      </w:pPr>
      <w:r w:rsidRPr="007C4102">
        <w:rPr>
          <w:rFonts w:ascii="Times New Roman" w:hAnsi="Times New Roman"/>
          <w:b w:val="0"/>
          <w:i/>
          <w:sz w:val="20"/>
          <w:lang w:val="pt-BR"/>
        </w:rPr>
        <w:t xml:space="preserve">Keywords: </w:t>
      </w:r>
      <w:r w:rsidR="001E5D15" w:rsidRPr="007C4102">
        <w:rPr>
          <w:rFonts w:ascii="Times New Roman" w:hAnsi="Times New Roman"/>
          <w:b w:val="0"/>
          <w:i/>
          <w:sz w:val="20"/>
          <w:lang w:val="pt-BR"/>
        </w:rPr>
        <w:t xml:space="preserve">etanol, </w:t>
      </w:r>
      <w:proofErr w:type="spellStart"/>
      <w:r w:rsidR="001E5D15" w:rsidRPr="007C4102">
        <w:rPr>
          <w:rFonts w:ascii="Times New Roman" w:hAnsi="Times New Roman"/>
          <w:b w:val="0"/>
          <w:i/>
          <w:sz w:val="20"/>
          <w:lang w:val="pt-BR"/>
        </w:rPr>
        <w:t>hydroxyapatite</w:t>
      </w:r>
      <w:proofErr w:type="spellEnd"/>
      <w:r w:rsidR="001E5D15" w:rsidRPr="007C4102">
        <w:rPr>
          <w:rFonts w:ascii="Times New Roman" w:hAnsi="Times New Roman"/>
          <w:b w:val="0"/>
          <w:i/>
          <w:sz w:val="20"/>
          <w:lang w:val="pt-BR"/>
        </w:rPr>
        <w:t xml:space="preserve">, </w:t>
      </w:r>
      <w:proofErr w:type="spellStart"/>
      <w:r w:rsidR="001E5D15" w:rsidRPr="007C4102">
        <w:rPr>
          <w:rFonts w:ascii="Times New Roman" w:hAnsi="Times New Roman"/>
          <w:b w:val="0"/>
          <w:i/>
          <w:sz w:val="20"/>
          <w:lang w:val="pt-BR"/>
        </w:rPr>
        <w:t>biomass</w:t>
      </w:r>
      <w:proofErr w:type="spellEnd"/>
    </w:p>
    <w:bookmarkEnd w:id="1"/>
    <w:p w14:paraId="48D9B0C4" w14:textId="77777777" w:rsidR="00EA4E1B" w:rsidRPr="007C4102" w:rsidRDefault="00EA4E1B" w:rsidP="00EA4E1B">
      <w:pPr>
        <w:sectPr w:rsidR="00EA4E1B" w:rsidRPr="007C4102"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7C4102" w:rsidRDefault="00EA4E1B" w:rsidP="00EA4E1B">
      <w:pPr>
        <w:pStyle w:val="Heading2"/>
        <w:spacing w:before="0"/>
        <w:rPr>
          <w:rFonts w:ascii="Helvetica" w:hAnsi="Helvetica" w:cs="Helvetica"/>
          <w:sz w:val="24"/>
          <w:szCs w:val="24"/>
        </w:rPr>
      </w:pPr>
      <w:r w:rsidRPr="007C4102">
        <w:rPr>
          <w:rFonts w:ascii="Helvetica" w:hAnsi="Helvetica" w:cs="Helvetica"/>
          <w:sz w:val="24"/>
          <w:szCs w:val="24"/>
        </w:rPr>
        <w:t>Introdução</w:t>
      </w:r>
    </w:p>
    <w:p w14:paraId="4BA5F420" w14:textId="2003C548" w:rsidR="0012137E" w:rsidRPr="007C4102" w:rsidRDefault="00433E2C" w:rsidP="004C5625">
      <w:pPr>
        <w:pStyle w:val="CBCat"/>
      </w:pPr>
      <w:r w:rsidRPr="007C4102">
        <w:t xml:space="preserve">A produção de biocombustíveis e produtos químicos de </w:t>
      </w:r>
      <w:r w:rsidR="0008322C">
        <w:t xml:space="preserve">maior </w:t>
      </w:r>
      <w:r w:rsidRPr="007C4102">
        <w:t>valor agregado a partir de fontes renováveis</w:t>
      </w:r>
      <w:r w:rsidR="0008322C" w:rsidRPr="0008322C">
        <w:rPr>
          <w:color w:val="0070C0"/>
        </w:rPr>
        <w:t>,</w:t>
      </w:r>
      <w:r w:rsidRPr="007C4102">
        <w:t xml:space="preserve"> como </w:t>
      </w:r>
      <w:r w:rsidR="0008322C">
        <w:t xml:space="preserve"> o bioetanol</w:t>
      </w:r>
      <w:r w:rsidR="0008322C" w:rsidRPr="0008322C">
        <w:rPr>
          <w:color w:val="0070C0"/>
        </w:rPr>
        <w:t>,</w:t>
      </w:r>
      <w:r w:rsidRPr="007C4102">
        <w:t xml:space="preserve"> </w:t>
      </w:r>
      <w:r w:rsidR="0093213D">
        <w:t xml:space="preserve">vem sendo </w:t>
      </w:r>
      <w:r w:rsidR="0002578B" w:rsidRPr="007C4102">
        <w:t xml:space="preserve">amplamente </w:t>
      </w:r>
      <w:r w:rsidRPr="007C4102">
        <w:t xml:space="preserve">estudada </w:t>
      </w:r>
      <w:r w:rsidR="0093213D">
        <w:t xml:space="preserve"> nas últimas duas décadas</w:t>
      </w:r>
      <w:r w:rsidR="004C5625" w:rsidRPr="007C4102">
        <w:t xml:space="preserve"> </w:t>
      </w:r>
      <w:r w:rsidR="004C5625" w:rsidRPr="007C4102">
        <w:fldChar w:fldCharType="begin"/>
      </w:r>
      <w:r w:rsidR="0002578B" w:rsidRPr="007C4102">
        <w:instrText xml:space="preserve"> ADDIN ZOTERO_ITEM CSL_CITATION {"citationID":"DtUqAikP","properties":{"formattedCitation":"(1,2)","plainCitation":"(1,2)","noteIndex":0},"citationItems":[{"id":3372,"uris":["http://zotero.org/users/11372031/items/64J23XG9"],"itemData":{"id":3372,"type":"article-journal","abstract":"Dwindling petroleum resources and increasing environmental concerns have stimulated the production of platform chemicals via biochemical processes through the use of renewable carbon sources. Various types of biomass wastes, which are biodegradable and vastly underutilized, are generated worldwide in huge quantities. They contain diverse chemical constituents, which may serve as starting points for the manufacture of a wide range of valuable bio-derived platform chemicals, intermediates, or end products via diﬀerent conversion pathways. The valorization of inexpensive, abundantly available, and renewable biomass waste could provide signiﬁcant beneﬁts in response to increasing fossil fuel demands and manufacturing costs, as well as emerging environmental concerns. This review explores the potential for the use of available biomass waste to produce important chemicals, such as monosaccharides, oligosaccharides, biofuels, bioactive molecules, nanocellulose, and lignin, with a focus on commercially viable technologies.","container-title":"Bioresource Technology","DOI":"10.1016/j.biortech.2019.122386","ISSN":"09608524","journalAbbreviation":"Bioresource Technology","language":"en","page":"122386","source":"DOI.org (Crossref)","title":"Bioconversion of biomass waste into high value chemicals","volume":"298","author":[{"family":"Cho","given":"Eun Jin"},{"family":"Trinh","given":"Ly Thi Phi"},{"family":"Song","given":"Younho"},{"family":"Lee","given":"Yoon Gyo"},{"family":"Bae","given":"Hyeun-Jong"}],"issued":{"date-parts":[["2020",2]]}}},{"id":2247,"uris":["http://zotero.org/users/11372031/items/NLW6IIE8"],"itemData":{"id":2247,"type":"article-journal","abstract":"This paper presents a detailed review of the energy potential from residual biomass for distributed generation in Brazil, presenting the potential by macro-region of the different types of residues generated in the agricultural, forestry, livestock, industrial and urban sectors. The focus of this research is to map and point out, through bibliographic research, the great potential of biomass in the Brazilian market for the production of biogas and consequently the use for electric power generation in the country and especially in the state of Paraná. Therefore, it should be emphasized that the methodology used is based on a bibliographic research from databases and recent research using a survey carried out by the ITAIPU Technological Park (PTI) in partnership with SENAI/PR, using the FIEP Observatories. As result, this research describes through data collection a favorable scenario for the technical feasibility of the use of biomass for the energetic use of biogas for power generation. The distributed generation of electricity from the use of biomass could help Brazil in the preservation of the environment as well as contribute to the diversification of the energy matrix, economic development and broadening access to energy in isolated communities.","container-title":"Renewable and Sustainable Energy Reviews","DOI":"10.1016/j.rser.2018.06.034","ISSN":"18790690","issue":"June","note":"publisher: Elsevier Ltd","page":"440-455","title":"Review of the energy potential of the residual biomass for the distributed generation in Brazil","volume":"94","author":[{"family":"Ferreira","given":"L. R.A."},{"family":"Otto","given":"R. B."},{"family":"Silva","given":"F. P."},{"family":"De Souza","given":"S. N.M."},{"family":"De Souza","given":"S. S."},{"family":"Ando Junior","given":"O. H."}],"issued":{"date-parts":[["2018"]]}}}],"schema":"https://github.com/citation-style-language/schema/raw/master/csl-citation.json"} </w:instrText>
      </w:r>
      <w:r w:rsidR="004C5625" w:rsidRPr="007C4102">
        <w:fldChar w:fldCharType="separate"/>
      </w:r>
      <w:r w:rsidR="0002578B" w:rsidRPr="007C4102">
        <w:t>(1,2)</w:t>
      </w:r>
      <w:r w:rsidR="004C5625" w:rsidRPr="007C4102">
        <w:fldChar w:fldCharType="end"/>
      </w:r>
      <w:r w:rsidR="0012137E" w:rsidRPr="007C4102">
        <w:t xml:space="preserve">. </w:t>
      </w:r>
      <w:r w:rsidR="002259BF">
        <w:t>Princip</w:t>
      </w:r>
      <w:r w:rsidR="0093213D">
        <w:t xml:space="preserve">almente, no referente aos </w:t>
      </w:r>
      <w:r w:rsidR="0002578B" w:rsidRPr="007C4102">
        <w:t>mecanismos de reação</w:t>
      </w:r>
      <w:r w:rsidR="0093213D">
        <w:t xml:space="preserve">, </w:t>
      </w:r>
      <w:r w:rsidR="0002578B" w:rsidRPr="007C4102">
        <w:t xml:space="preserve"> </w:t>
      </w:r>
      <w:r w:rsidR="0093213D">
        <w:t xml:space="preserve">envolvendo a </w:t>
      </w:r>
      <w:r w:rsidR="0012137E" w:rsidRPr="007C4102">
        <w:t xml:space="preserve">remoção de átomos de O e formação de novas ligações C-C </w:t>
      </w:r>
      <w:r w:rsidR="004C5625" w:rsidRPr="007C4102">
        <w:fldChar w:fldCharType="begin" w:fldLock="1"/>
      </w:r>
      <w:r w:rsidR="0002578B" w:rsidRPr="007C4102">
        <w:instrText xml:space="preserve"> ADDIN ZOTERO_ITEM CSL_CITATION {"citationID":"pU6k6lTH","properties":{"formattedCitation":"(3)","plainCitation":"(3)","noteIndex":0},"citationItems":[{"id":2148,"uris":["http://www.mendeley.com/documents/?uuid=d7678086-7765-4b22-b5c9-56fd74c9831a","http://zotero.org/users/11372031/items/3LI3KPAN"],"itemData":{"id":2148,"type":"article-journal","abstract":"The unselective nature and ubiquitous deactivation of Brønsted acids in aldol condensations have precluded their practical use and unequivocal mechanistic assessments. H2and a Pt function are used here to confer stability by scavenging unsaturated intermediates to form stable products, thus allowing kinetic, spectroscopic, and isotopic assessments of elementary steps and their kinetic relevance, confirmed by density functional theory (DFT), for acetone condensation on microporous and mesoporous aluminosilicates (FER, TON, MFI, BEA, FAU, MCM-41). The selective titration of protons with 2,6-di-tert-butyl pyridine during catalysis shows that condensations occur exclusively on protons; the number of titrants required to suppress reactivity measures accessible sites and allows reactivity to be rigorously reported as turnover rates. Infrared spectra show that H-bonded acetone is present at saturation coverages during condensation catalysis. Taken together with rates that depend linearly on acetone pressure and with the absence of H/D kinetic isotope effects, these data indicate that condensation turnovers are mediated by the kinetically-relevant formation of a C[sbnd]C bond via reactions of H-bonded acetone with another acetone molecule, a conclusion confirmed by DFT-derived free energies along the reaction coordinate. Measured rate constants reflect free energy differences between this transition state and its relevant precursors, a H-bonded and a gaseous acetone. These rate constants (per H+) depend sensitively on size and shape of the confining voids among aluminosilicates of similar acid strength but diverse framework structure. Confinement effects are mediated by van der Waals contacts and are accurately described by energies derived from Lennard-Jones potentials of DFT-derived transition state structures; these energies are ensemble-averaged over all accessible configurations and T-site locations in each aluminosilicate framework. These energy descriptors replace incomplete metrics based solely on the sizes of voids and transition states, which fail to capture differences in reactivity among different confining frameworks.","container-title":"Journal of Catalysis","DOI":"10.1016/j.jcat.2016.12.011","ISSN":"10902694","page":"134-153","title":"Elementary steps in acetone condensation reactions catalyzed by aluminosilicates with diverse void structures","volume":"346","author":[{"family":"Herrmann","given":"Stanley"},{"family":"Iglesia","given":"Enrique"}],"issued":{"date-parts":[["2017"]]}}}],"schema":"https://github.com/citation-style-language/schema/raw/master/csl-citation.json"} </w:instrText>
      </w:r>
      <w:r w:rsidR="004C5625" w:rsidRPr="007C4102">
        <w:fldChar w:fldCharType="separate"/>
      </w:r>
      <w:r w:rsidR="0002578B" w:rsidRPr="007C4102">
        <w:t>(3)</w:t>
      </w:r>
      <w:r w:rsidR="004C5625" w:rsidRPr="007C4102">
        <w:fldChar w:fldCharType="end"/>
      </w:r>
      <w:r w:rsidR="0012137E" w:rsidRPr="007C4102">
        <w:t>.</w:t>
      </w:r>
    </w:p>
    <w:p w14:paraId="5AD57D54" w14:textId="151F55FC" w:rsidR="0012137E" w:rsidRPr="007C4102" w:rsidRDefault="0012137E" w:rsidP="004C5625">
      <w:pPr>
        <w:pStyle w:val="CBCat"/>
      </w:pPr>
      <w:r w:rsidRPr="007C4102">
        <w:t xml:space="preserve">O bioetanol é obtido a partir da fermentação </w:t>
      </w:r>
      <w:r w:rsidR="001A074C">
        <w:t xml:space="preserve">controlada e destilação </w:t>
      </w:r>
      <w:r w:rsidRPr="007C4102">
        <w:t>de diferentes biomassas</w:t>
      </w:r>
      <w:r w:rsidR="001A074C">
        <w:t xml:space="preserve"> (e.g., </w:t>
      </w:r>
      <w:r w:rsidR="002259BF" w:rsidRPr="001D3D5C">
        <w:t>bagaço da cana-de-açúcar, beterraba, trigo ou milho</w:t>
      </w:r>
      <w:r w:rsidR="002259BF">
        <w:t>)</w:t>
      </w:r>
      <w:r w:rsidRPr="007C4102">
        <w:t xml:space="preserve">. A grande disponibilidade, bem como </w:t>
      </w:r>
      <w:r w:rsidR="002259BF">
        <w:t xml:space="preserve">o </w:t>
      </w:r>
      <w:r w:rsidRPr="007C4102">
        <w:t xml:space="preserve">seu potencial como molécula plataforma, justificam o grande interesse em seu uso como uma matéria-prima, como por exemplo, </w:t>
      </w:r>
      <w:r w:rsidR="00D31809" w:rsidRPr="007C4102">
        <w:t xml:space="preserve">para produção </w:t>
      </w:r>
      <w:r w:rsidRPr="007C4102">
        <w:t xml:space="preserve">o </w:t>
      </w:r>
      <w:r w:rsidR="00FE2FFA">
        <w:t>n</w:t>
      </w:r>
      <w:r w:rsidRPr="007C4102">
        <w:t xml:space="preserve">-butanol </w:t>
      </w:r>
      <w:r w:rsidR="004C5625" w:rsidRPr="007C4102">
        <w:fldChar w:fldCharType="begin"/>
      </w:r>
      <w:r w:rsidR="0002578B" w:rsidRPr="007C4102">
        <w:instrText xml:space="preserve"> ADDIN ZOTERO_ITEM CSL_CITATION {"citationID":"oT3l5iCj","properties":{"unsorted":true,"formattedCitation":"(4\\uc0\\u8211{}7)","plainCitation":"(4–7)","noteIndex":0},"citationItems":[{"id":218,"uris":["http://zotero.org/users/11372031/items/E4KAG45E"],"itemData":{"id":218,"type":"article-journal","container-title":"ACS Catalysis","DOI":"10.1021/acscatal.6b01883","ISSN":"21555435","issue":"10","note":"ISBN: 2155-5435","page":"7125-7132","title":"Homogeneous Ethanol to Butanol Catalysis - Guerbet Renewed","volume":"6","author":[{"family":"Aitchison","given":"Hope"},{"family":"Wingad","given":"Richard L."},{"family":"Wass","given":"Duncan F."}],"issued":{"date-parts":[["2016"]]}},"label":"page"},{"id":2168,"uris":["http://zotero.org/users/11372031/items/YD3RSVLR"],"itemData":{"id":2168,"type":"article-journal","abstract":"Synthesis and characterization of a copper mixed metal oxide obtained from hydrotalcite precursor as well as catalytic runs for ethanol conversion to 1-butanol are described. Applying the surface response model, the reaction was optimized reaching an ethanol conversion of 79.6% into gaseous phase (69% of yield) and condensed phase (31% of yield) products using a batch reactor at 350 °C for 5 h. The main product of the condensed phase was 1-butanol with 25.4% yield and 32% selectivity, these results being among the higher ones reported for this reaction in the literature. Recycling catalyst experiments demonstrated that, for at least four cycles, the ethanol conversion remains almost constant but the 1-butanol yield and selectivity both decreased. XRD, EPR, surface area measurements and acidity/basicity experiments carried out after the first and fourth catalyst recycling cycles show major modifications in the initial mixed metal oxide structure and copper oxidation state indicating that the active catalytic species increases during the first catalytic run.","container-title":"Molecular Catalysis","DOI":"10.1016/j.mcat.2019.110516","ISSN":"24688231","issue":"May","note":"publisher: Elsevier","page":"110516","title":"Highly selective 1-butanol obtained from ethanol catalyzed by mixed metal oxides: Reaction optimization and catalyst structure behavior","volume":"476","author":[{"family":"Rechi Siqueira","given":"Marcos"},{"family":"Micali Perrone","given":"O."},{"family":"Metzker","given":"Gustavo"},{"family":"Oliveira Lisboa","given":"Daniela Correa","non-dropping-particle":"de"},{"family":"Thoméo","given":"João Cláudio"},{"family":"Boscolo","given":"Maurício"}],"issued":{"date-parts":[["2019"]]}},"label":"page"},{"id":1228,"uris":["http://zotero.org/users/11372031/items/93MXVNJK"],"itemData":{"id":1228,"type":"article-journal","abstract":"Silica-magnesia (Si/Mg=1:1) catalysts were studied in the one-pot conversion of ethanol to butadiene. The catalyst synthesis method was found to greatly influence morphology and performance, with materials prepared through wet-kneading performing best both in terms of ethanol conversion and butadiene yield. Detailed characterization of the catalysts synthesized through co-precipitation or wet-kneading allowed correlation of activity and selectivity with morphology, textural properties, crystallinity, and acidity/basicity. The higher yields achieved with the wet-kneaded catalysts were attributed to a morphology consisting of SiO2 spheres embedded in a thin layer of MgO. The particle size of the SiO2 catalysts also influenced performance, with catalysts with smaller SiO2 spheres showing higher activity. Temperature-programmed desorption (TPD) measurements showed that best butadiene yields were obtained with SiO2 -MgO catalysts characterized by an intermediate amount of acidic and basic sites. A Hammett indicator study showed the catalysts' pKa value to be inversely correlated with the amount of dehydration by-products formed. Butadiene yields could be further improved by the addition of 1 wt % of CuO as promoter to give butadiene yields and selectivities as high as 40 % and 53 %, respectively. The copper promoter boosts the production of the acetaldehyde intermediate changing the rate-determining step of the process. TEM-energy-dispersive X-ray (EDX) analyses showed CuO to be present on both the SiO2 and MgO components. UV/Vis spectra of promoted catalysts in turn pointed at the presence of cluster-like CuO species, which are proposed to be responsible for the increased butadiene production.","container-title":"ChemSusChem","DOI":"10.1002/cssc.201402361","ISSN":"1864564X","issue":"9","note":"PMID: 25045112\nISBN: 1864-5631","page":"2505-2515","title":"Effect of Preparation Method and CuO Promotion in the Conversion of Ethanol into 1,3-Butadiene over SiO2–MgO Catalysts","volume":"7","author":[{"family":"Angelici","given":"Carlo"},{"family":"Velthoen","given":"Marjolein E.Z."},{"family":"Weckhuysen","given":"Bert M."},{"family":"Bruijnincx","given":"Pieter C.A."}],"issued":{"date-parts":[["2014"]]}},"label":"page"},{"id":1455,"uris":["http://zotero.org/users/11372031/items/TGW2AQ4M"],"itemData":{"id":1455,"type":"article-journal","abstract":"The ethanol condensation catalyzed by mixed oxides is studied in this work, considering not only the activity but also the stability of these materials. Concerning to the activity, different weight hourly space velocities (WHSV) were tested, obtaining the highest conversion and 1-butanol selectivity with Mg-Al, mainly at 673 K and a WSHV of 7.9 h−1. On the other hand, dehydration products, observed with Mg-Zr in relevant amounts, limit the results obtained with this material. Deactivation studies were carried out by combining the measurement of reactant and products in the gas phase and in the catalytic surface using spectroscopic techniques (DRIFT). Good stability was observed with both materials at low temperatures (lower than 673 K), whereas at the highest one, Mg-Zr suffers relevant deactivation justified by the permanent adsorption of aldehydes and oxygenated oligomers on the active sites. It has been demonstrated that Mg-Al mixed oxides are promising catalyst for 1-butanol production from ethanol not only in terms of activity, but also in terms of catalyst stability.","container-title":"Applied Catalysis A: General","DOI":"10.1016/j.apcata.2017.06.001","ISSN":"0926860X","issue":"May","note":"publisher: Elsevier","page":"271-281","title":"Role of the surface intermediates in the stability of basic mixed oxides as catalyst for ethanol condensation","volume":"542","author":[{"family":"Quesada","given":"Jorge"},{"family":"Faba","given":"Laura"},{"family":"Díaz","given":"Eva"},{"family":"Ordóñez","given":"Salvador"}],"issued":{"date-parts":[["2017"]]}},"label":"page"}],"schema":"https://github.com/citation-style-language/schema/raw/master/csl-citation.json"} </w:instrText>
      </w:r>
      <w:r w:rsidR="004C5625" w:rsidRPr="007C4102">
        <w:fldChar w:fldCharType="separate"/>
      </w:r>
      <w:r w:rsidR="0002578B" w:rsidRPr="007C4102">
        <w:rPr>
          <w:szCs w:val="24"/>
        </w:rPr>
        <w:t>(4–7)</w:t>
      </w:r>
      <w:r w:rsidR="004C5625" w:rsidRPr="007C4102">
        <w:fldChar w:fldCharType="end"/>
      </w:r>
      <w:r w:rsidRPr="007C4102">
        <w:t xml:space="preserve">. O </w:t>
      </w:r>
      <w:r w:rsidR="00FE2FFA">
        <w:t>n</w:t>
      </w:r>
      <w:r w:rsidRPr="007C4102">
        <w:t xml:space="preserve">-butanol </w:t>
      </w:r>
      <w:r w:rsidR="00FC10E9">
        <w:t xml:space="preserve">ou </w:t>
      </w:r>
      <w:r w:rsidR="00FE2FFA">
        <w:t>1</w:t>
      </w:r>
      <w:r w:rsidR="00FC10E9">
        <w:t xml:space="preserve">-butanol </w:t>
      </w:r>
      <w:r w:rsidRPr="007C4102">
        <w:t xml:space="preserve">é </w:t>
      </w:r>
      <w:r w:rsidR="001E78B1">
        <w:t>um álcool [</w:t>
      </w:r>
      <w:r w:rsidR="001E78B1" w:rsidRPr="001D3D5C">
        <w:t>CH</w:t>
      </w:r>
      <w:r w:rsidR="001E78B1" w:rsidRPr="001D3D5C">
        <w:rPr>
          <w:vertAlign w:val="subscript"/>
        </w:rPr>
        <w:t>3</w:t>
      </w:r>
      <w:r w:rsidR="001E78B1" w:rsidRPr="001D3D5C">
        <w:t>(CH</w:t>
      </w:r>
      <w:r w:rsidR="001E78B1" w:rsidRPr="001D3D5C">
        <w:rPr>
          <w:vertAlign w:val="subscript"/>
        </w:rPr>
        <w:t>2</w:t>
      </w:r>
      <w:r w:rsidR="001E78B1" w:rsidRPr="001D3D5C">
        <w:t>)</w:t>
      </w:r>
      <w:r w:rsidR="001E78B1" w:rsidRPr="001D3D5C">
        <w:rPr>
          <w:vertAlign w:val="subscript"/>
        </w:rPr>
        <w:t>3</w:t>
      </w:r>
      <w:r w:rsidR="001E78B1" w:rsidRPr="001D3D5C">
        <w:t>OH</w:t>
      </w:r>
      <w:r w:rsidR="001E78B1">
        <w:t>]</w:t>
      </w:r>
      <w:r w:rsidR="001E78B1" w:rsidRPr="007C4102">
        <w:t xml:space="preserve"> </w:t>
      </w:r>
      <w:r w:rsidRPr="007C4102">
        <w:t>não corrosivo</w:t>
      </w:r>
      <w:r w:rsidR="001E78B1">
        <w:t xml:space="preserve"> e</w:t>
      </w:r>
      <w:r w:rsidR="001E78B1" w:rsidRPr="007C4102">
        <w:t xml:space="preserve"> </w:t>
      </w:r>
      <w:r w:rsidRPr="007C4102">
        <w:t>imiscível em água</w:t>
      </w:r>
      <w:r w:rsidR="001E78B1">
        <w:t>.</w:t>
      </w:r>
      <w:r w:rsidRPr="007C4102">
        <w:t xml:space="preserve"> </w:t>
      </w:r>
      <w:r w:rsidR="001E78B1">
        <w:t>P</w:t>
      </w:r>
      <w:r w:rsidR="001E78B1" w:rsidRPr="007C4102">
        <w:t xml:space="preserve">ossui </w:t>
      </w:r>
      <w:r w:rsidRPr="007C4102">
        <w:t xml:space="preserve">uma densidade de energia de 29,2 MJ </w:t>
      </w:r>
      <w:r w:rsidR="004C5625" w:rsidRPr="007C4102">
        <w:t>L</w:t>
      </w:r>
      <w:r w:rsidR="004C5625" w:rsidRPr="007C4102">
        <w:rPr>
          <w:vertAlign w:val="superscript"/>
        </w:rPr>
        <w:t>-1</w:t>
      </w:r>
      <w:r w:rsidRPr="007C4102">
        <w:t xml:space="preserve">, maior que </w:t>
      </w:r>
      <w:r w:rsidR="001E78B1">
        <w:t>d</w:t>
      </w:r>
      <w:r w:rsidRPr="007C4102">
        <w:t xml:space="preserve">o etanol (19,6 MJ </w:t>
      </w:r>
      <w:r w:rsidR="004C5625" w:rsidRPr="007C4102">
        <w:t>L</w:t>
      </w:r>
      <w:r w:rsidR="004C5625" w:rsidRPr="007C4102">
        <w:rPr>
          <w:vertAlign w:val="superscript"/>
        </w:rPr>
        <w:t>-1</w:t>
      </w:r>
      <w:r w:rsidRPr="007C4102">
        <w:t>) e mais próximo da gasolina (32 MJ L</w:t>
      </w:r>
      <w:r w:rsidRPr="007C4102">
        <w:rPr>
          <w:vertAlign w:val="superscript"/>
        </w:rPr>
        <w:t>-1</w:t>
      </w:r>
      <w:r w:rsidRPr="007C4102">
        <w:t>), tornando-se uma possível alternativa como biocombustível. Além disso,</w:t>
      </w:r>
      <w:r w:rsidR="0002578B" w:rsidRPr="007C4102">
        <w:t xml:space="preserve"> o</w:t>
      </w:r>
      <w:r w:rsidRPr="007C4102">
        <w:t xml:space="preserve"> 1-butanol é usado como aditivo na gasolina, como solvente e como matéria-prima para produção de ésteres, éteres e resinas </w:t>
      </w:r>
      <w:r w:rsidR="004C5625" w:rsidRPr="007C4102">
        <w:fldChar w:fldCharType="begin" w:fldLock="1"/>
      </w:r>
      <w:r w:rsidR="0002578B" w:rsidRPr="007C4102">
        <w:instrText xml:space="preserve"> ADDIN ZOTERO_ITEM CSL_CITATION {"citationID":"HSaK93uO","properties":{"formattedCitation":"(8)","plainCitation":"(8)","noteIndex":0},"citationItems":[{"id":2170,"uris":["http://www.mendeley.com/documents/?uuid=dd0cba93-aa5f-4ab9-a2aa-bdccff7cb345","http://www.mendeley.com/documents/?uuid=198baff7-0ffd-46fc-bd0c-98b2c87fabdb","http://zotero.org/users/11372031/items/PMSTYTDY"],"itemData":{"id":2170,"type":"article-journal","abstract":"This article brings a comprehensive literature review with the objective of presenting butanol, its characteristics and properties. The focus of this work is to gain a better understanding of this alcohol and evaluate its potential use as biofuel, mainly for the automotive industry. An overview on the butanol production is shown, with emphasis on processes and raw materials for the production of biobutanol. The new and growing studies to improve the acetone-butanol-ethanol (ABE) process are also reviewed showing new developments focused in new strains and usage of different feedstock for fermentation, in search of better process yield. On the application of butanol as fuel, some highlights on other author's studies focused in the chemical kinetics of butanol are introduced and are useful to start a debate about the potential of this alcohol – or its blend with gasoline or diesel – as a new and environmentally interesting biofuel.","container-title":"Renewable and Sustainable Energy Reviews","DOI":"10.1016/j.rser.2016.11.213","ISSN":"18790690","issue":"October 2015","note":"publisher: Elsevier","page":"642-651","title":"Review on the characteristics of butanol, its production and use as fuel in internal combustion engines","volume":"69","author":[{"family":"Trindade","given":"Wagner Roberto da Silva"},{"family":"Santos","given":"Rogério Gonçalves","dropping-particle":"dos"}],"issued":{"date-parts":[["2017"]]}}}],"schema":"https://github.com/citation-style-language/schema/raw/master/csl-citation.json"} </w:instrText>
      </w:r>
      <w:r w:rsidR="004C5625" w:rsidRPr="007C4102">
        <w:fldChar w:fldCharType="separate"/>
      </w:r>
      <w:r w:rsidR="0002578B" w:rsidRPr="007C4102">
        <w:t>(8)</w:t>
      </w:r>
      <w:r w:rsidR="004C5625" w:rsidRPr="007C4102">
        <w:fldChar w:fldCharType="end"/>
      </w:r>
      <w:r w:rsidRPr="007C4102">
        <w:t xml:space="preserve">. </w:t>
      </w:r>
    </w:p>
    <w:p w14:paraId="4B35E126" w14:textId="18E0B5CE" w:rsidR="0012137E" w:rsidRPr="007C4102" w:rsidRDefault="0012137E" w:rsidP="004C5625">
      <w:pPr>
        <w:pStyle w:val="CBCat"/>
      </w:pPr>
      <w:r w:rsidRPr="007C4102">
        <w:t>Em 202</w:t>
      </w:r>
      <w:r w:rsidR="00BE6289" w:rsidRPr="007C4102">
        <w:t>2</w:t>
      </w:r>
      <w:r w:rsidRPr="007C4102">
        <w:t xml:space="preserve">, o volume de mercado </w:t>
      </w:r>
      <w:r w:rsidR="00FC10E9">
        <w:t xml:space="preserve">global </w:t>
      </w:r>
      <w:r w:rsidRPr="007C4102">
        <w:t>de n-butanol foi superior a 5,</w:t>
      </w:r>
      <w:r w:rsidR="00BE6289" w:rsidRPr="007C4102">
        <w:t>3</w:t>
      </w:r>
      <w:r w:rsidRPr="007C4102">
        <w:t xml:space="preserve"> milhões de toneladas métricas. Prevê-se que </w:t>
      </w:r>
      <w:r w:rsidRPr="007C4102">
        <w:t xml:space="preserve">o volume de mercado deste composto </w:t>
      </w:r>
      <w:r w:rsidR="00FC10E9">
        <w:t xml:space="preserve">cresça </w:t>
      </w:r>
      <w:r w:rsidRPr="007C4102">
        <w:t>para cerca de 6,</w:t>
      </w:r>
      <w:r w:rsidR="00BE6289" w:rsidRPr="007C4102">
        <w:t>7</w:t>
      </w:r>
      <w:r w:rsidRPr="007C4102">
        <w:t xml:space="preserve">2 milhões de toneladas métricas </w:t>
      </w:r>
      <w:r w:rsidR="00FC10E9">
        <w:t>até o</w:t>
      </w:r>
      <w:r w:rsidRPr="007C4102">
        <w:t xml:space="preserve"> ano de 202</w:t>
      </w:r>
      <w:r w:rsidR="00BE6289" w:rsidRPr="007C4102">
        <w:t xml:space="preserve">9 </w:t>
      </w:r>
      <w:r w:rsidR="00E64D7D" w:rsidRPr="007C4102">
        <w:fldChar w:fldCharType="begin"/>
      </w:r>
      <w:r w:rsidR="0002578B" w:rsidRPr="007C4102">
        <w:instrText xml:space="preserve"> ADDIN ZOTERO_ITEM CSL_CITATION {"citationID":"sNhHRPvo","properties":{"formattedCitation":"(9)","plainCitation":"(9)","noteIndex":0},"citationItems":[{"id":3373,"uris":["http://zotero.org/users/11372031/items/8S4UBEUV"],"itemData":{"id":3373,"type":"document","title":"Statista"}}],"schema":"https://github.com/citation-style-language/schema/raw/master/csl-citation.json"} </w:instrText>
      </w:r>
      <w:r w:rsidR="00E64D7D" w:rsidRPr="007C4102">
        <w:fldChar w:fldCharType="separate"/>
      </w:r>
      <w:r w:rsidR="0002578B" w:rsidRPr="007C4102">
        <w:t>(9)</w:t>
      </w:r>
      <w:r w:rsidR="00E64D7D" w:rsidRPr="007C4102">
        <w:fldChar w:fldCharType="end"/>
      </w:r>
      <w:r w:rsidRPr="007C4102">
        <w:t xml:space="preserve">. No entanto, a rota petroquímica convencional para a síntese de n-butanol requer </w:t>
      </w:r>
      <w:r w:rsidR="00FE2FFA">
        <w:t xml:space="preserve">de </w:t>
      </w:r>
      <w:r w:rsidRPr="007C4102">
        <w:t xml:space="preserve">muitas etapas de </w:t>
      </w:r>
      <w:proofErr w:type="spellStart"/>
      <w:r w:rsidRPr="007C4102">
        <w:t>hidroformilação</w:t>
      </w:r>
      <w:proofErr w:type="spellEnd"/>
      <w:r w:rsidRPr="007C4102">
        <w:t xml:space="preserve">, </w:t>
      </w:r>
      <w:r w:rsidR="00FE2FFA">
        <w:t xml:space="preserve">de </w:t>
      </w:r>
      <w:r w:rsidRPr="007C4102">
        <w:t xml:space="preserve">altas pressões e </w:t>
      </w:r>
      <w:r w:rsidR="00FE2FFA">
        <w:t xml:space="preserve">o uso de </w:t>
      </w:r>
      <w:r w:rsidRPr="007C4102">
        <w:t>catalisadores</w:t>
      </w:r>
      <w:r w:rsidR="004C5625" w:rsidRPr="007C4102">
        <w:t xml:space="preserve"> homogêneos</w:t>
      </w:r>
      <w:r w:rsidRPr="007C4102">
        <w:t xml:space="preserve">, </w:t>
      </w:r>
      <w:r w:rsidR="00FE2FFA">
        <w:t xml:space="preserve">elevando os custos </w:t>
      </w:r>
      <w:r w:rsidRPr="007C4102">
        <w:t xml:space="preserve">de separação e </w:t>
      </w:r>
      <w:r w:rsidR="00FE2FFA">
        <w:t>produção</w:t>
      </w:r>
      <w:r w:rsidRPr="007C4102">
        <w:t xml:space="preserve">. Portanto, </w:t>
      </w:r>
      <w:r w:rsidR="004C5625" w:rsidRPr="007C4102">
        <w:t>a conversão</w:t>
      </w:r>
      <w:r w:rsidRPr="007C4102">
        <w:t xml:space="preserve"> de </w:t>
      </w:r>
      <w:r w:rsidR="004C5625" w:rsidRPr="007C4102">
        <w:t>bio</w:t>
      </w:r>
      <w:r w:rsidRPr="007C4102">
        <w:t xml:space="preserve">etanol </w:t>
      </w:r>
      <w:r w:rsidR="004C5625" w:rsidRPr="007C4102">
        <w:t>a</w:t>
      </w:r>
      <w:r w:rsidRPr="007C4102">
        <w:t xml:space="preserve"> n-butanol é um tópico de interesse para explorar abordagens alternativas para produzir </w:t>
      </w:r>
      <w:r w:rsidR="00FE2FFA" w:rsidRPr="007C4102">
        <w:t>n</w:t>
      </w:r>
      <w:r w:rsidR="00FE2FFA">
        <w:t>-</w:t>
      </w:r>
      <w:r w:rsidRPr="007C4102">
        <w:t xml:space="preserve">butanol sob condições mais amenas e usando catalisadores heterogêneos em uma única etapa. </w:t>
      </w:r>
    </w:p>
    <w:p w14:paraId="7395F499" w14:textId="1A018D01" w:rsidR="0012137E" w:rsidRPr="007C4102" w:rsidRDefault="0012137E" w:rsidP="004C5625">
      <w:pPr>
        <w:pStyle w:val="CBCat"/>
      </w:pPr>
      <w:r w:rsidRPr="007C4102">
        <w:t xml:space="preserve">O mecanismo mais aceito para conversão catalítica de </w:t>
      </w:r>
      <w:r w:rsidR="00FE2FFA">
        <w:t>bio</w:t>
      </w:r>
      <w:r w:rsidRPr="007C4102">
        <w:t xml:space="preserve">etanol em </w:t>
      </w:r>
      <w:r w:rsidR="00FE2FFA">
        <w:t>n</w:t>
      </w:r>
      <w:r w:rsidRPr="007C4102">
        <w:t xml:space="preserve">-butanol é o mecanismo de </w:t>
      </w:r>
      <w:proofErr w:type="spellStart"/>
      <w:r w:rsidRPr="007C4102">
        <w:t>Guerbet</w:t>
      </w:r>
      <w:proofErr w:type="spellEnd"/>
      <w:r w:rsidRPr="007C4102">
        <w:t xml:space="preserve">. </w:t>
      </w:r>
      <w:r w:rsidR="00FE2FFA">
        <w:t>Esse</w:t>
      </w:r>
      <w:r w:rsidR="00FE2FFA" w:rsidRPr="007C4102">
        <w:t xml:space="preserve"> </w:t>
      </w:r>
      <w:r w:rsidR="004C5625" w:rsidRPr="007C4102">
        <w:t>mecanismo</w:t>
      </w:r>
      <w:r w:rsidRPr="007C4102">
        <w:t xml:space="preserve"> consiste </w:t>
      </w:r>
      <w:r w:rsidR="00FE2FFA">
        <w:t>de</w:t>
      </w:r>
      <w:r w:rsidR="00FE2FFA" w:rsidRPr="007C4102">
        <w:t xml:space="preserve"> </w:t>
      </w:r>
      <w:r w:rsidRPr="007C4102">
        <w:t xml:space="preserve">uma sequência de etapas: desidrogenação do </w:t>
      </w:r>
      <w:r w:rsidR="008D65BE">
        <w:t>bio</w:t>
      </w:r>
      <w:r w:rsidRPr="007C4102">
        <w:t xml:space="preserve">etanol, condensação </w:t>
      </w:r>
      <w:proofErr w:type="spellStart"/>
      <w:r w:rsidRPr="007C4102">
        <w:t>aldólica</w:t>
      </w:r>
      <w:proofErr w:type="spellEnd"/>
      <w:r w:rsidRPr="007C4102">
        <w:t xml:space="preserve"> do acetaldeído e </w:t>
      </w:r>
      <w:r w:rsidR="007123C4" w:rsidRPr="007C4102">
        <w:t xml:space="preserve">sucessivas etapas </w:t>
      </w:r>
      <w:r w:rsidR="008D65BE">
        <w:t xml:space="preserve">de </w:t>
      </w:r>
      <w:r w:rsidRPr="007C4102">
        <w:t xml:space="preserve">hidrogenação do </w:t>
      </w:r>
      <w:proofErr w:type="spellStart"/>
      <w:r w:rsidRPr="007C4102">
        <w:t>crotonaldeído</w:t>
      </w:r>
      <w:proofErr w:type="spellEnd"/>
      <w:r w:rsidRPr="007C4102">
        <w:t xml:space="preserve"> a </w:t>
      </w:r>
      <w:r w:rsidR="008D65BE">
        <w:t>n</w:t>
      </w:r>
      <w:r w:rsidRPr="007C4102">
        <w:t>-butanol</w:t>
      </w:r>
      <w:r w:rsidR="0002578B" w:rsidRPr="007C4102">
        <w:t>, conforme ilustrado na Figura 1</w:t>
      </w:r>
      <w:r w:rsidR="004C5625" w:rsidRPr="007C4102">
        <w:fldChar w:fldCharType="begin" w:fldLock="1"/>
      </w:r>
      <w:r w:rsidR="0002578B" w:rsidRPr="007C4102">
        <w:instrText xml:space="preserve"> ADDIN ZOTERO_ITEM CSL_CITATION {"citationID":"VwdTHvvU","properties":{"formattedCitation":"(10)","plainCitation":"(10)","noteIndex":0},"citationItems":[{"id":1471,"uris":["http://www.mendeley.com/documents/?uuid=0e1c8e58-57bf-4f5d-9429-cb487b82ba4e","http://zotero.org/users/11372031/items/9LNWCQ4L"],"itemData":{"id":1471,"type":"article-journal","abstract":"Alcohol coupling, also known as the Guerbet reaction, is a potentially important process to increase the value of short chain alcohols. Metal oxides, metal phosphates, and supported transition metals, such as copper, are important components of heterogeneous catalysts for the reaction. However, the wide variety of catalyst compositions, reaction conditions, and reactor configurations used to study the reaction complicate a direct comparison of various catalysts. In this review, rates over different catalysts will be compared, the influences of the acid and base properties of the catalyst on product selectivity will be presented, and possible reaction paths to accomplish alcohol coupling will be discussed.","container-title":"ACS Catalysis","DOI":"10.1021/cs400292f","ISSN":"21555435","issue":"7","note":"ISBN: 2155-5435","page":"1588-1600","title":"Heterogeneous Catalysts for the Guerbet Coupling of Alcohols","volume":"3","author":[{"family":"Kozlowski","given":"J T"},{"family":"Davis","given":"R J"}],"issued":{"date-parts":[["2013"]]}}}],"schema":"https://github.com/citation-style-language/schema/raw/master/csl-citation.json"} </w:instrText>
      </w:r>
      <w:r w:rsidR="004C5625" w:rsidRPr="007C4102">
        <w:fldChar w:fldCharType="separate"/>
      </w:r>
      <w:r w:rsidR="0002578B" w:rsidRPr="007C4102">
        <w:t>(10)</w:t>
      </w:r>
      <w:r w:rsidR="004C5625" w:rsidRPr="007C4102">
        <w:fldChar w:fldCharType="end"/>
      </w:r>
      <w:r w:rsidRPr="007C4102">
        <w:t>. Um dos catalisadores mais promissores para conversão de etanol a n-butanol é a hidroxiapatita</w:t>
      </w:r>
      <w:r w:rsidR="008D65BE">
        <w:t xml:space="preserve"> (HAP</w:t>
      </w:r>
      <w:r w:rsidRPr="007C4102">
        <w:t>)</w:t>
      </w:r>
      <w:r w:rsidR="008D65BE">
        <w:t xml:space="preserve">.A </w:t>
      </w:r>
      <w:r w:rsidRPr="007C4102">
        <w:t xml:space="preserve">presença de sítios ácidos e básicos de força intermediária na superfície </w:t>
      </w:r>
      <w:r w:rsidR="008D65BE">
        <w:t xml:space="preserve">da HAP </w:t>
      </w:r>
      <w:r w:rsidRPr="007C4102">
        <w:t xml:space="preserve">é considerada uma característica chave para um acoplamento C-C eficaz </w:t>
      </w:r>
      <w:r w:rsidR="004C5625" w:rsidRPr="007C4102">
        <w:fldChar w:fldCharType="begin" w:fldLock="1"/>
      </w:r>
      <w:r w:rsidR="0002578B" w:rsidRPr="007C4102">
        <w:instrText xml:space="preserve"> ADDIN ZOTERO_ITEM CSL_CITATION {"citationID":"57xrgrtM","properties":{"formattedCitation":"(11)","plainCitation":"(11)","noteIndex":0},"citationItems":[{"id":1509,"uris":["http://www.mendeley.com/documents/?uuid=daf5fe27-7fba-4f84-8757-4105d8e28e34","http://zotero.org/users/11372031/items/LSDD2HMH"],"itemData":{"id":1509,"type":"article-journal","abstract":"The Guerbet coupling of ethanol into butanol was investigated using multiproduct steady-state isotopic transient kinetic analysis (SSITKA) in a comparative study between stoichiometric hydroxyapatite (HAP) and magnesia (MgO) catalysts at 613 and 653 K, respectively. The steady-state catalytic reactions were conducted in a gas-phase, fixed-bed, differential reactor at 1.3 atm total system pressure. Multiproduct SSITKA results showed that the mean surface residence time of reactive intermediates leading to acetaldehyde was significantly shorter than that of intermediates leading to butanol on both HAP and MgO. This finding may suggest that the dehydrogenation of ethanol to acetaldehyde is fast on these surfaces compared with C?C bond formation. If adsorbed acetaldehyde is a key reaction intermediate in the Guerbet coupling of ethanol into butanol, then SSITKA revealed that the majority of adsorbed acetaldehyde produced on the surface of MgO desorbs into the gas-phase, whereas the majority of adsorbed acetaldehyde on HAP likely undergoes sequential aldol-type reactions required for butanol formation. Adsorption microcalorimetry of triethylamine and CO2 showed a significantly higher number of acid and base sites on the surface of HAP compared with those on MgO. Diffuse reflectance infrared Fourier transform spectroscopy of adsorbed ethanol followed by stepwise temperature-programmed desorption revealed that ethoxide is more weakly bound to the HAP surface compared with MgO. A high surface density of acid?base site pairs along with a weak binding affinity for ethanol on HAP may provide a possible explanation for the increased activity and high butanol selectivity observed with HAP compared with MgO catalysts in the ethanol coupling reaction. The Guerbet coupling of ethanol into butanol was investigated using multiproduct steady-state isotopic transient kinetic analysis (SSITKA) in a comparative study between stoichiometric hydroxyapatite (HAP) and magnesia (MgO) catalysts at 613 and 653 K, respectively. The steady-state catalytic reactions were conducted in a gas-phase, fixed-bed, differential reactor at 1.3 atm total system pressure. Multiproduct SSITKA results showed that the mean surface residence time of reactive intermediates leading to acetaldehyde was significantly shorter than that of intermediates leading to butanol on both HAP and MgO. This finding may suggest that the dehydrogenation of ethanol to acetaldehyde is fast on these surfaces compared with C?C bond formation. If adsorbed acetaldehyde is a key reaction intermediate in the Guerbet coupling of ethanol into butanol, then SSITKA revealed that the majority of adsorbed acetaldehyde produced on the surface of MgO desorbs into the gas-phase, whereas the majority of adsorbed acetaldehyde on HAP likely undergoes sequential aldol-type reactions required for butanol formation. Adsorption microcalorimetry of triethylamine and CO2 showed a significantly higher number of acid and base sites on the surface of HAP compared with those on MgO. Diffuse reflectance infrared Fourier transform spectroscopy of adsorbed ethanol followed by stepwise temperature-programmed desorption revealed that ethoxide is more weakly bound to the HAP surface compared with MgO. A high surface density of acid?base site pairs along with a weak binding affinity for ethanol on HAP may provide a possible explanation for the increased activity and high butanol selectivity observed with HAP compared with MgO catalysts in the ethanol coupling reaction.","container-title":"ACS Catalysis","DOI":"10.1021/cs502023g","ISSN":"21555435","issue":"3","note":"ISBN: 2155-5435","page":"1737-1746","title":"Multiproduct steady-state isotopic transient kinetic analysis of the ethanol coupling reaction over hydroxyapatite and magnesia","volume":"5","author":[{"family":"Hanspal","given":"Sabra"},{"family":"Young","given":"Zachary D."},{"family":"Shou","given":"Heng"},{"family":"Davis","given":"Robert J."}],"issued":{"date-parts":[["2015"]]}}}],"schema":"https://github.com/citation-style-language/schema/raw/master/csl-citation.json"} </w:instrText>
      </w:r>
      <w:r w:rsidR="004C5625" w:rsidRPr="007C4102">
        <w:fldChar w:fldCharType="separate"/>
      </w:r>
      <w:r w:rsidR="0002578B" w:rsidRPr="007C4102">
        <w:t>(11)</w:t>
      </w:r>
      <w:r w:rsidR="004C5625" w:rsidRPr="007C4102">
        <w:fldChar w:fldCharType="end"/>
      </w:r>
      <w:r w:rsidRPr="007C4102">
        <w:t>.</w:t>
      </w:r>
    </w:p>
    <w:p w14:paraId="4C9C17F4" w14:textId="7BFFC35E" w:rsidR="00732B10" w:rsidRPr="007C4102" w:rsidRDefault="007123C4" w:rsidP="004C5625">
      <w:pPr>
        <w:pStyle w:val="CBCat"/>
      </w:pPr>
      <w:r w:rsidRPr="007C4102">
        <w:t>D</w:t>
      </w:r>
      <w:r w:rsidR="004C5625" w:rsidRPr="007C4102">
        <w:t>evido a iminente necessidade de melhora da atividade catalítica para conversão de etanol</w:t>
      </w:r>
      <w:r w:rsidRPr="007C4102">
        <w:t xml:space="preserve"> a n-butanol</w:t>
      </w:r>
      <w:r w:rsidR="004C5625" w:rsidRPr="007C4102">
        <w:t xml:space="preserve">, </w:t>
      </w:r>
      <w:r w:rsidR="008D65BE">
        <w:t>este</w:t>
      </w:r>
      <w:r w:rsidR="008D65BE" w:rsidRPr="007C4102">
        <w:t xml:space="preserve"> </w:t>
      </w:r>
      <w:r w:rsidR="004C5625" w:rsidRPr="007C4102">
        <w:t xml:space="preserve">trabalho </w:t>
      </w:r>
      <w:r w:rsidR="008D65BE">
        <w:t>tem como</w:t>
      </w:r>
      <w:r w:rsidR="004C5625" w:rsidRPr="007C4102">
        <w:t xml:space="preserve"> prop</w:t>
      </w:r>
      <w:r w:rsidR="008D65BE">
        <w:t>ósito</w:t>
      </w:r>
      <w:r w:rsidR="004C5625" w:rsidRPr="007C4102">
        <w:t xml:space="preserve"> investigar a aplicação </w:t>
      </w:r>
      <w:r w:rsidR="008D65BE">
        <w:t xml:space="preserve">da </w:t>
      </w:r>
      <w:r w:rsidR="004C5625" w:rsidRPr="007C4102">
        <w:t xml:space="preserve">hidroxiapatita </w:t>
      </w:r>
      <w:r w:rsidR="004C5625" w:rsidRPr="007C4102">
        <w:lastRenderedPageBreak/>
        <w:t xml:space="preserve">(HAP) </w:t>
      </w:r>
      <w:r w:rsidR="008D65BE">
        <w:t xml:space="preserve">como catalisador </w:t>
      </w:r>
      <w:r w:rsidR="004C5625" w:rsidRPr="007C4102">
        <w:t xml:space="preserve">na conversão de etanol em diferentes condições reacionais </w:t>
      </w:r>
      <w:r w:rsidR="008D65BE">
        <w:t xml:space="preserve">de </w:t>
      </w:r>
      <w:r w:rsidR="004C5625" w:rsidRPr="007C4102">
        <w:t>temperatura</w:t>
      </w:r>
      <w:r w:rsidR="008D65BE">
        <w:t>,</w:t>
      </w:r>
      <w:r w:rsidR="004C5625" w:rsidRPr="007C4102">
        <w:t xml:space="preserve"> pressão</w:t>
      </w:r>
      <w:r w:rsidRPr="007C4102">
        <w:t xml:space="preserve"> e atmosfera redutora</w:t>
      </w:r>
      <w:r w:rsidR="004C5625" w:rsidRPr="007C4102">
        <w:t xml:space="preserve">.  </w:t>
      </w:r>
    </w:p>
    <w:p w14:paraId="70BE8BF8" w14:textId="77777777" w:rsidR="004C5625" w:rsidRPr="007C4102" w:rsidRDefault="004C5625" w:rsidP="004C5625">
      <w:pPr>
        <w:pStyle w:val="CBCat"/>
      </w:pPr>
    </w:p>
    <w:p w14:paraId="4C9DE39C" w14:textId="77777777" w:rsidR="004C5625" w:rsidRPr="007C4102" w:rsidRDefault="004C5625" w:rsidP="004C5625">
      <w:pPr>
        <w:pStyle w:val="Heading2"/>
        <w:rPr>
          <w:rFonts w:ascii="Helvetica" w:hAnsi="Helvetica" w:cs="Helvetica"/>
          <w:sz w:val="24"/>
          <w:szCs w:val="24"/>
        </w:rPr>
      </w:pPr>
      <w:r w:rsidRPr="007C4102">
        <w:rPr>
          <w:rFonts w:ascii="Helvetica" w:hAnsi="Helvetica" w:cs="Helvetica"/>
          <w:sz w:val="24"/>
          <w:szCs w:val="24"/>
        </w:rPr>
        <w:t>Experimental</w:t>
      </w:r>
    </w:p>
    <w:p w14:paraId="6031A85E" w14:textId="77777777" w:rsidR="004C5625" w:rsidRPr="007C4102" w:rsidRDefault="004C5625" w:rsidP="004C5625">
      <w:pPr>
        <w:pStyle w:val="TAMainText"/>
        <w:ind w:firstLine="0"/>
        <w:rPr>
          <w:rFonts w:ascii="Times New Roman" w:hAnsi="Times New Roman"/>
          <w:i/>
          <w:lang w:val="pt-BR"/>
        </w:rPr>
      </w:pPr>
      <w:r w:rsidRPr="007C4102">
        <w:rPr>
          <w:rFonts w:ascii="Times New Roman" w:hAnsi="Times New Roman"/>
          <w:i/>
          <w:lang w:val="pt-BR"/>
        </w:rPr>
        <w:t>Síntese hidroxiapatita</w:t>
      </w:r>
    </w:p>
    <w:p w14:paraId="6C151009" w14:textId="25E3B81A" w:rsidR="004C5625" w:rsidRPr="007C4102" w:rsidRDefault="004C5625" w:rsidP="00422F86">
      <w:pPr>
        <w:pStyle w:val="CBCat"/>
      </w:pPr>
      <w:r w:rsidRPr="007C4102">
        <w:t xml:space="preserve">A HAP foi preparada conforme patente depositada no INPI (BR-10-2015-009832-4) </w:t>
      </w:r>
      <w:r w:rsidRPr="007C4102">
        <w:rPr>
          <w:rStyle w:val="CBCatChar"/>
        </w:rPr>
        <w:fldChar w:fldCharType="begin" w:fldLock="1"/>
      </w:r>
      <w:r w:rsidR="00DD197A">
        <w:rPr>
          <w:rStyle w:val="CBCatChar"/>
          <w:lang w:val="pt-BR"/>
        </w:rPr>
        <w:instrText xml:space="preserve"> ADDIN ZOTERO_ITEM CSL_CITATION {"citationID":"9PJmr2eg","properties":{"formattedCitation":"(12)","plainCitation":"(12)","noteIndex":0},"citationItems":[{"id":"4oqiIBPM/CTeBsmpL","uris":["http://www.mendeley.com/documents/?uuid=cdf1fa79-f83a-4a3f-92eb-362d3717d927"],"itemData":{"author":[{"dropping-particle":"","family":"Lovon-Quintana","given":"Juan José","non-dropping-particle":"","parse-names":false,"suffix":""},{"dropping-particle":"","family":"Rodrigues-Guerrero","given":"Julie Katerine","non-dropping-particle":"","parse-names":false,"suffix":""},{"dropping-particle":"","family":"Valença","given":"Gustavo Paim","non-dropping-particle":"","parse-names":false,"suffix":""}],"id":"ITEM-1","issued":{"date-parts":[["2015"]]},"number":"INPI: BR-10-2015-009832-4 e PCT: 2015-000200","page":"49","publisher":"INPI: BR-10-2015-009832-4 e PCT: 2015-000200","title":"Processo de produção de hidrocarbonetos combustíveis a partir de etanol sobre catalisadores tipo apatita, processo de obtenção dos referidos catalisadores, catalisadores assim obtidos, e seus usos","type":"patent"}}],"schema":"https://github.com/citation-style-language/schema/raw/master/csl-citation.json"} </w:instrText>
      </w:r>
      <w:r w:rsidRPr="007C4102">
        <w:rPr>
          <w:rStyle w:val="CBCatChar"/>
        </w:rPr>
        <w:fldChar w:fldCharType="separate"/>
      </w:r>
      <w:r w:rsidR="0002578B" w:rsidRPr="00DF1477">
        <w:rPr>
          <w:rStyle w:val="CBCatChar"/>
          <w:lang w:val="pt-BR"/>
        </w:rPr>
        <w:t>(12)</w:t>
      </w:r>
      <w:r w:rsidRPr="007C4102">
        <w:rPr>
          <w:rStyle w:val="CBCatChar"/>
        </w:rPr>
        <w:fldChar w:fldCharType="end"/>
      </w:r>
      <w:r w:rsidRPr="00DF1477">
        <w:rPr>
          <w:rStyle w:val="CBCatChar"/>
          <w:lang w:val="pt-BR"/>
        </w:rPr>
        <w:t xml:space="preserve">. </w:t>
      </w:r>
      <w:r w:rsidRPr="007C4102">
        <w:t>Uma solução 0,6 M de (NH</w:t>
      </w:r>
      <w:r w:rsidRPr="007C4102">
        <w:rPr>
          <w:vertAlign w:val="subscript"/>
        </w:rPr>
        <w:t>4</w:t>
      </w:r>
      <w:r w:rsidRPr="007C4102">
        <w:t>)</w:t>
      </w:r>
      <w:r w:rsidRPr="007C4102">
        <w:rPr>
          <w:vertAlign w:val="subscript"/>
        </w:rPr>
        <w:t>2</w:t>
      </w:r>
      <w:r w:rsidRPr="007C4102">
        <w:t>HPO</w:t>
      </w:r>
      <w:r w:rsidRPr="007C4102">
        <w:rPr>
          <w:vertAlign w:val="subscript"/>
        </w:rPr>
        <w:t>4</w:t>
      </w:r>
      <w:r w:rsidRPr="007C4102">
        <w:t xml:space="preserve"> (Merck, 99,9%) foi gotejada sobre uma solução 1,0 M de </w:t>
      </w:r>
      <w:proofErr w:type="gramStart"/>
      <w:r w:rsidRPr="007C4102">
        <w:t>Ca(</w:t>
      </w:r>
      <w:proofErr w:type="gramEnd"/>
      <w:r w:rsidRPr="007C4102">
        <w:t>NO</w:t>
      </w:r>
      <w:r w:rsidRPr="007C4102">
        <w:rPr>
          <w:vertAlign w:val="subscript"/>
        </w:rPr>
        <w:t>3</w:t>
      </w:r>
      <w:r w:rsidRPr="007C4102">
        <w:t>)</w:t>
      </w:r>
      <w:r w:rsidRPr="007C4102">
        <w:rPr>
          <w:vertAlign w:val="subscript"/>
        </w:rPr>
        <w:t>2</w:t>
      </w:r>
      <w:r w:rsidRPr="007C4102">
        <w:t>.4H</w:t>
      </w:r>
      <w:r w:rsidRPr="007C4102">
        <w:rPr>
          <w:vertAlign w:val="subscript"/>
        </w:rPr>
        <w:t>2</w:t>
      </w:r>
      <w:r w:rsidRPr="007C4102">
        <w:t xml:space="preserve">O (Merck, 99,9%). </w:t>
      </w:r>
      <w:r w:rsidR="00FD2593">
        <w:t xml:space="preserve"> O </w:t>
      </w:r>
      <w:r w:rsidR="0021373A">
        <w:t xml:space="preserve">precipitado </w:t>
      </w:r>
      <w:r w:rsidR="00FD2593">
        <w:t>resultante</w:t>
      </w:r>
      <w:r w:rsidR="0021373A">
        <w:t xml:space="preserve"> </w:t>
      </w:r>
      <w:r w:rsidRPr="007C4102">
        <w:t xml:space="preserve">foi </w:t>
      </w:r>
      <w:r w:rsidR="001D3D5C" w:rsidRPr="007C4102">
        <w:t>mantido</w:t>
      </w:r>
      <w:r w:rsidRPr="007C4102">
        <w:t xml:space="preserve"> </w:t>
      </w:r>
      <w:r w:rsidR="00FD2593">
        <w:t xml:space="preserve">em suspensão </w:t>
      </w:r>
      <w:r w:rsidRPr="007C4102">
        <w:t xml:space="preserve">sob agitação constante a 50 °C por 2 h. O pH (10,5) da reação foi monitorado e controlado </w:t>
      </w:r>
      <w:r w:rsidR="00FD2593">
        <w:t>com</w:t>
      </w:r>
      <w:r w:rsidR="00FD2593" w:rsidRPr="007C4102">
        <w:t xml:space="preserve"> </w:t>
      </w:r>
      <w:r w:rsidRPr="007C4102">
        <w:t>uma solução de NH</w:t>
      </w:r>
      <w:r w:rsidRPr="007C4102">
        <w:rPr>
          <w:vertAlign w:val="subscript"/>
        </w:rPr>
        <w:t>4</w:t>
      </w:r>
      <w:r w:rsidRPr="007C4102">
        <w:t xml:space="preserve">OH (Merck, 26,4%). </w:t>
      </w:r>
      <w:r w:rsidR="00FD2593">
        <w:t>O produto da reação</w:t>
      </w:r>
      <w:r w:rsidR="00FD2593" w:rsidRPr="007C4102">
        <w:t xml:space="preserve"> </w:t>
      </w:r>
      <w:r w:rsidRPr="007C4102">
        <w:t xml:space="preserve">permaneceu em repouso por 24h. Em seguida, </w:t>
      </w:r>
      <w:r w:rsidR="00FD2593">
        <w:t xml:space="preserve">o precipitado </w:t>
      </w:r>
      <w:r w:rsidRPr="007C4102">
        <w:t>foi</w:t>
      </w:r>
      <w:r w:rsidR="00FD2593">
        <w:t xml:space="preserve"> separado por filtração </w:t>
      </w:r>
      <w:r w:rsidRPr="007C4102">
        <w:t>a vácuo</w:t>
      </w:r>
      <w:r w:rsidR="00FD2593">
        <w:t xml:space="preserve"> e lavado com etanol e água destilada e deionizada</w:t>
      </w:r>
      <w:r w:rsidRPr="007C4102">
        <w:t xml:space="preserve">. O </w:t>
      </w:r>
      <w:r w:rsidR="00FD2593">
        <w:t xml:space="preserve">filtrado </w:t>
      </w:r>
      <w:r w:rsidRPr="007C4102">
        <w:t xml:space="preserve">foi seco a 80 °C por 12h. Por fim, o material foi pulverizado e selecionado nas peneiras entre 100 e 200 </w:t>
      </w:r>
      <w:proofErr w:type="spellStart"/>
      <w:r w:rsidRPr="007C4102">
        <w:t>mesh</w:t>
      </w:r>
      <w:proofErr w:type="spellEnd"/>
      <w:r w:rsidRPr="007C4102">
        <w:t>. O sólido foi calcinado a 700 °C, durante 2h com rampa de aquecimento de 5 °C/min.</w:t>
      </w:r>
    </w:p>
    <w:p w14:paraId="2636DE57" w14:textId="77777777" w:rsidR="0065578B" w:rsidRPr="007C4102" w:rsidRDefault="0065578B" w:rsidP="00422F86">
      <w:pPr>
        <w:pStyle w:val="CBCat"/>
      </w:pPr>
    </w:p>
    <w:p w14:paraId="2FA5C136" w14:textId="50E2E10F" w:rsidR="00322E7F" w:rsidRPr="007C4102" w:rsidRDefault="00322E7F" w:rsidP="00322E7F">
      <w:pPr>
        <w:jc w:val="center"/>
      </w:pPr>
      <w:r w:rsidRPr="007C4102">
        <w:object w:dxaOrig="4260" w:dyaOrig="7771" w14:anchorId="04F1F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87.75pt" o:ole="">
            <v:imagedata r:id="rId9" o:title=""/>
          </v:shape>
          <o:OLEObject Type="Embed" ProgID="ACD.ChemSketch.20" ShapeID="_x0000_i1025" DrawAspect="Content" ObjectID="_1749527923" r:id="rId10"/>
        </w:object>
      </w:r>
    </w:p>
    <w:p w14:paraId="264BE015" w14:textId="05CA2F48" w:rsidR="00C451BA" w:rsidRPr="007C4102" w:rsidRDefault="0065578B" w:rsidP="0065578B">
      <w:pPr>
        <w:pStyle w:val="Caption"/>
        <w:rPr>
          <w:rStyle w:val="FiguraTtuloChar"/>
          <w:rFonts w:eastAsiaTheme="minorEastAsia"/>
          <w:color w:val="auto"/>
          <w:lang w:val="pt-BR"/>
        </w:rPr>
      </w:pPr>
      <w:r w:rsidRPr="00EC6407">
        <w:rPr>
          <w:rStyle w:val="CBCatChar"/>
          <w:rFonts w:eastAsiaTheme="minorEastAsia"/>
          <w:color w:val="auto"/>
          <w:sz w:val="18"/>
          <w:szCs w:val="18"/>
          <w:lang w:val="pt-BR"/>
        </w:rPr>
        <w:t xml:space="preserve">Figura </w:t>
      </w:r>
      <w:r w:rsidRPr="007C4102">
        <w:rPr>
          <w:rStyle w:val="CBCatChar"/>
          <w:rFonts w:eastAsiaTheme="minorEastAsia"/>
          <w:color w:val="auto"/>
          <w:sz w:val="18"/>
          <w:szCs w:val="18"/>
        </w:rPr>
        <w:fldChar w:fldCharType="begin"/>
      </w:r>
      <w:r w:rsidRPr="00EC6407">
        <w:rPr>
          <w:rStyle w:val="CBCatChar"/>
          <w:rFonts w:eastAsiaTheme="minorEastAsia"/>
          <w:color w:val="auto"/>
          <w:sz w:val="18"/>
          <w:szCs w:val="18"/>
          <w:lang w:val="pt-BR"/>
        </w:rPr>
        <w:instrText xml:space="preserve"> SEQ Figura \* ARABIC </w:instrText>
      </w:r>
      <w:r w:rsidRPr="007C4102">
        <w:rPr>
          <w:rStyle w:val="CBCatChar"/>
          <w:rFonts w:eastAsiaTheme="minorEastAsia"/>
          <w:color w:val="auto"/>
          <w:sz w:val="18"/>
          <w:szCs w:val="18"/>
        </w:rPr>
        <w:fldChar w:fldCharType="separate"/>
      </w:r>
      <w:r w:rsidRPr="00EC6407">
        <w:rPr>
          <w:rStyle w:val="CBCatChar"/>
          <w:rFonts w:eastAsiaTheme="minorEastAsia"/>
          <w:noProof/>
          <w:color w:val="auto"/>
          <w:sz w:val="18"/>
          <w:szCs w:val="18"/>
          <w:lang w:val="pt-BR"/>
        </w:rPr>
        <w:t>1</w:t>
      </w:r>
      <w:r w:rsidRPr="007C4102">
        <w:rPr>
          <w:rStyle w:val="CBCatChar"/>
          <w:rFonts w:eastAsiaTheme="minorEastAsia"/>
          <w:color w:val="auto"/>
          <w:sz w:val="18"/>
          <w:szCs w:val="18"/>
        </w:rPr>
        <w:fldChar w:fldCharType="end"/>
      </w:r>
      <w:r w:rsidRPr="00EC6407">
        <w:rPr>
          <w:rStyle w:val="CBCatChar"/>
          <w:rFonts w:eastAsiaTheme="minorEastAsia"/>
          <w:color w:val="auto"/>
          <w:sz w:val="18"/>
          <w:szCs w:val="18"/>
          <w:lang w:val="pt-BR"/>
        </w:rPr>
        <w:t>.</w:t>
      </w:r>
      <w:r w:rsidRPr="007C4102">
        <w:rPr>
          <w:rFonts w:ascii="Times New Roman" w:hAnsi="Times New Roman"/>
          <w:color w:val="auto"/>
          <w:sz w:val="14"/>
          <w:szCs w:val="14"/>
        </w:rPr>
        <w:t xml:space="preserve"> </w:t>
      </w:r>
      <w:r w:rsidR="00C451BA" w:rsidRPr="007C4102">
        <w:rPr>
          <w:rStyle w:val="FiguraTtuloChar"/>
          <w:rFonts w:eastAsiaTheme="minorEastAsia"/>
          <w:b w:val="0"/>
          <w:bCs w:val="0"/>
          <w:color w:val="auto"/>
          <w:lang w:val="pt-BR"/>
        </w:rPr>
        <w:t xml:space="preserve">Mecanismo de </w:t>
      </w:r>
      <w:proofErr w:type="spellStart"/>
      <w:r w:rsidR="00C451BA" w:rsidRPr="007C4102">
        <w:rPr>
          <w:rStyle w:val="FiguraTtuloChar"/>
          <w:rFonts w:eastAsiaTheme="minorEastAsia"/>
          <w:b w:val="0"/>
          <w:bCs w:val="0"/>
          <w:color w:val="auto"/>
          <w:lang w:val="pt-BR"/>
        </w:rPr>
        <w:t>Guerbet</w:t>
      </w:r>
      <w:proofErr w:type="spellEnd"/>
    </w:p>
    <w:p w14:paraId="44546E67" w14:textId="77777777" w:rsidR="00C451BA" w:rsidRPr="007C4102" w:rsidRDefault="00C451BA" w:rsidP="00C451BA">
      <w:pPr>
        <w:pStyle w:val="CBCat"/>
      </w:pPr>
    </w:p>
    <w:p w14:paraId="47A2372A" w14:textId="6FDB10DB" w:rsidR="000C2EB6" w:rsidRPr="007C4102" w:rsidRDefault="000C2EB6" w:rsidP="000C2EB6">
      <w:pPr>
        <w:pStyle w:val="TAMainText"/>
        <w:ind w:firstLine="0"/>
        <w:rPr>
          <w:rFonts w:ascii="Times New Roman" w:hAnsi="Times New Roman"/>
          <w:i/>
          <w:lang w:val="pt-BR"/>
        </w:rPr>
      </w:pPr>
      <w:r w:rsidRPr="007C4102">
        <w:rPr>
          <w:rFonts w:ascii="Times New Roman" w:hAnsi="Times New Roman"/>
          <w:i/>
          <w:lang w:val="pt-BR"/>
        </w:rPr>
        <w:t>Caracterização</w:t>
      </w:r>
    </w:p>
    <w:p w14:paraId="58D6E87F" w14:textId="132672E8" w:rsidR="000C2EB6" w:rsidRPr="007C4102" w:rsidRDefault="00F2222D" w:rsidP="00432195">
      <w:pPr>
        <w:pStyle w:val="CBCat"/>
      </w:pPr>
      <w:r w:rsidRPr="007C4102">
        <w:t xml:space="preserve">A fase cristalina do sólido foi determinada por difração de raios-X (XRD) </w:t>
      </w:r>
      <w:r w:rsidR="00562860">
        <w:t>em um</w:t>
      </w:r>
      <w:r w:rsidR="00562860" w:rsidRPr="007C4102">
        <w:t xml:space="preserve"> </w:t>
      </w:r>
      <w:r w:rsidRPr="007C4102">
        <w:t>equipamento</w:t>
      </w:r>
      <w:r w:rsidR="00562860">
        <w:t xml:space="preserve"> da</w:t>
      </w:r>
      <w:r w:rsidRPr="007C4102">
        <w:t xml:space="preserve"> Philips </w:t>
      </w:r>
      <w:proofErr w:type="spellStart"/>
      <w:r w:rsidRPr="007C4102">
        <w:t>Analytical</w:t>
      </w:r>
      <w:proofErr w:type="spellEnd"/>
      <w:r w:rsidRPr="007C4102">
        <w:t xml:space="preserve"> </w:t>
      </w:r>
      <w:proofErr w:type="spellStart"/>
      <w:r w:rsidRPr="007C4102">
        <w:t>X’Pert</w:t>
      </w:r>
      <w:proofErr w:type="spellEnd"/>
      <w:r w:rsidRPr="007C4102">
        <w:t xml:space="preserve"> PW3050</w:t>
      </w:r>
      <w:r w:rsidR="00F73277">
        <w:t xml:space="preserve"> com</w:t>
      </w:r>
      <w:r w:rsidRPr="007C4102">
        <w:t xml:space="preserve"> radiação </w:t>
      </w:r>
      <w:proofErr w:type="spellStart"/>
      <w:r w:rsidRPr="007C4102">
        <w:t>CuK</w:t>
      </w:r>
      <w:proofErr w:type="spellEnd"/>
      <w:r w:rsidRPr="007C4102">
        <w:t>α (λ=1,5406 Å),</w:t>
      </w:r>
      <w:r w:rsidR="00562860">
        <w:t xml:space="preserve"> operado a </w:t>
      </w:r>
      <w:r w:rsidRPr="007C4102">
        <w:t xml:space="preserve">40 </w:t>
      </w:r>
      <w:proofErr w:type="spellStart"/>
      <w:r w:rsidRPr="007C4102">
        <w:t>mA</w:t>
      </w:r>
      <w:proofErr w:type="spellEnd"/>
      <w:r w:rsidRPr="007C4102">
        <w:t xml:space="preserve"> e 40 kV. A faixa de análise foi de 20° a 50° (2θ), com </w:t>
      </w:r>
      <w:r w:rsidR="00562860">
        <w:t xml:space="preserve">tamanho de </w:t>
      </w:r>
      <w:r w:rsidRPr="007C4102">
        <w:t xml:space="preserve">passo 0,02° e tempo por passo de 1,8 s. As propriedades texturais foram determinadas por </w:t>
      </w:r>
      <w:r w:rsidR="00562860">
        <w:t>adsorção</w:t>
      </w:r>
      <w:r w:rsidR="00562860" w:rsidRPr="007C4102">
        <w:t xml:space="preserve"> </w:t>
      </w:r>
      <w:r w:rsidRPr="007C4102">
        <w:t>de N</w:t>
      </w:r>
      <w:r w:rsidRPr="007C4102">
        <w:rPr>
          <w:vertAlign w:val="subscript"/>
        </w:rPr>
        <w:t>2</w:t>
      </w:r>
      <w:r w:rsidRPr="007C4102">
        <w:t xml:space="preserve"> a 77 K no equipamento </w:t>
      </w:r>
      <w:proofErr w:type="spellStart"/>
      <w:r w:rsidRPr="007C4102">
        <w:t>Micromeritics</w:t>
      </w:r>
      <w:proofErr w:type="spellEnd"/>
      <w:r w:rsidRPr="007C4102">
        <w:t xml:space="preserve"> ASAP 2020. Aproximadamente 200 mg de sólido foram </w:t>
      </w:r>
      <w:proofErr w:type="spellStart"/>
      <w:r w:rsidR="00562860">
        <w:t>pré-</w:t>
      </w:r>
      <w:r w:rsidRPr="007C4102">
        <w:t>tratados</w:t>
      </w:r>
      <w:proofErr w:type="spellEnd"/>
      <w:r w:rsidRPr="007C4102">
        <w:t xml:space="preserve"> em vácuo a 350 °C durante 4h. A área superficial foi determinada pelo método desenvolvido por </w:t>
      </w:r>
      <w:proofErr w:type="spellStart"/>
      <w:r w:rsidRPr="007C4102">
        <w:t>Brunauer</w:t>
      </w:r>
      <w:proofErr w:type="spellEnd"/>
      <w:r w:rsidRPr="007C4102">
        <w:t xml:space="preserve">, </w:t>
      </w:r>
      <w:proofErr w:type="spellStart"/>
      <w:r w:rsidRPr="007C4102">
        <w:t>Emmett</w:t>
      </w:r>
      <w:proofErr w:type="spellEnd"/>
      <w:r w:rsidRPr="007C4102">
        <w:t xml:space="preserve"> e Teller (BET) e o volume e diâmetro médio dos poros pelo método Barret, </w:t>
      </w:r>
      <w:proofErr w:type="spellStart"/>
      <w:r w:rsidRPr="007C4102">
        <w:t>Joyner</w:t>
      </w:r>
      <w:proofErr w:type="spellEnd"/>
      <w:r w:rsidRPr="007C4102">
        <w:t xml:space="preserve"> e </w:t>
      </w:r>
      <w:proofErr w:type="spellStart"/>
      <w:r w:rsidRPr="007C4102">
        <w:t>Halenda</w:t>
      </w:r>
      <w:proofErr w:type="spellEnd"/>
      <w:r w:rsidRPr="007C4102">
        <w:t xml:space="preserve"> (BJH). A densidade de sítios básicos e ácidos foi determinada por dessorção a temperatura programada (TPD) de CO</w:t>
      </w:r>
      <w:r w:rsidRPr="007C4102">
        <w:rPr>
          <w:vertAlign w:val="subscript"/>
        </w:rPr>
        <w:t>2</w:t>
      </w:r>
      <w:r w:rsidRPr="007C4102">
        <w:t xml:space="preserve"> e NH</w:t>
      </w:r>
      <w:r w:rsidRPr="007C4102">
        <w:rPr>
          <w:vertAlign w:val="subscript"/>
        </w:rPr>
        <w:t>3</w:t>
      </w:r>
      <w:r w:rsidRPr="007C4102">
        <w:t xml:space="preserve">, respectivamente. O sólido foi </w:t>
      </w:r>
      <w:proofErr w:type="spellStart"/>
      <w:r w:rsidRPr="007C4102">
        <w:t>pré-tratado</w:t>
      </w:r>
      <w:proofErr w:type="spellEnd"/>
      <w:r w:rsidRPr="007C4102">
        <w:t xml:space="preserve"> até 400 °C sob fluxo de Hélio e depois resfriado para 35 °C (TPD-CO</w:t>
      </w:r>
      <w:r w:rsidRPr="007C4102">
        <w:rPr>
          <w:vertAlign w:val="subscript"/>
        </w:rPr>
        <w:t>2</w:t>
      </w:r>
      <w:r w:rsidRPr="007C4102">
        <w:t>) / 50 °C (TPD-NH</w:t>
      </w:r>
      <w:r w:rsidRPr="007C4102">
        <w:rPr>
          <w:vertAlign w:val="subscript"/>
        </w:rPr>
        <w:t>3</w:t>
      </w:r>
      <w:r w:rsidRPr="007C4102">
        <w:t>). O sólido permaneceu sob fluxo de CO</w:t>
      </w:r>
      <w:r w:rsidRPr="007C4102">
        <w:rPr>
          <w:vertAlign w:val="subscript"/>
        </w:rPr>
        <w:t>2</w:t>
      </w:r>
      <w:r w:rsidRPr="007C4102">
        <w:t>/NH</w:t>
      </w:r>
      <w:r w:rsidRPr="007C4102">
        <w:rPr>
          <w:vertAlign w:val="subscript"/>
        </w:rPr>
        <w:t>3</w:t>
      </w:r>
      <w:r w:rsidRPr="007C4102">
        <w:t xml:space="preserve"> por 30 minutos, e em seguida, purgado com Hélio para retirar excesso de CO</w:t>
      </w:r>
      <w:r w:rsidRPr="007C4102">
        <w:rPr>
          <w:vertAlign w:val="subscript"/>
        </w:rPr>
        <w:t>2</w:t>
      </w:r>
      <w:r w:rsidRPr="007C4102">
        <w:t>/NH</w:t>
      </w:r>
      <w:r w:rsidRPr="007C4102">
        <w:rPr>
          <w:vertAlign w:val="subscript"/>
        </w:rPr>
        <w:t>3</w:t>
      </w:r>
      <w:r w:rsidRPr="007C4102">
        <w:t xml:space="preserve"> por 30 minutos. Por fim, a</w:t>
      </w:r>
      <w:r w:rsidR="00B62729">
        <w:t xml:space="preserve"> amostra foi aquecida a uma taxa de</w:t>
      </w:r>
      <w:r w:rsidRPr="007C4102">
        <w:t xml:space="preserve"> 10 °C/min até 700 °C.</w:t>
      </w:r>
    </w:p>
    <w:p w14:paraId="344786A2" w14:textId="77777777" w:rsidR="000C2EB6" w:rsidRPr="007C4102" w:rsidRDefault="000C2EB6" w:rsidP="00C451BA">
      <w:pPr>
        <w:pStyle w:val="CBCat"/>
      </w:pPr>
    </w:p>
    <w:p w14:paraId="57A917CE" w14:textId="727E6C03" w:rsidR="000C2EB6" w:rsidRPr="007C4102" w:rsidRDefault="000C2EB6" w:rsidP="000C2EB6">
      <w:pPr>
        <w:pStyle w:val="TAMainText"/>
        <w:ind w:firstLine="0"/>
        <w:rPr>
          <w:rFonts w:ascii="Times New Roman" w:hAnsi="Times New Roman"/>
          <w:i/>
          <w:lang w:val="pt-BR"/>
        </w:rPr>
      </w:pPr>
      <w:r w:rsidRPr="007C4102">
        <w:rPr>
          <w:rFonts w:ascii="Times New Roman" w:hAnsi="Times New Roman"/>
          <w:i/>
          <w:lang w:val="pt-BR"/>
        </w:rPr>
        <w:t>Ensaios catalíticos</w:t>
      </w:r>
    </w:p>
    <w:p w14:paraId="0D031EB1" w14:textId="1EF90289" w:rsidR="000C2EB6" w:rsidRPr="007C4102" w:rsidRDefault="000C2EB6" w:rsidP="00C451BA">
      <w:pPr>
        <w:pStyle w:val="CBCat"/>
      </w:pPr>
      <w:r w:rsidRPr="007C4102">
        <w:t>Os ensaios catalíticos foram realizados em um reator de leito fixo, constituído por um tubo de quartzo em U (</w:t>
      </w:r>
      <w:proofErr w:type="spellStart"/>
      <w:r w:rsidRPr="007C4102">
        <w:t>Øi</w:t>
      </w:r>
      <w:proofErr w:type="spellEnd"/>
      <w:r w:rsidRPr="007C4102">
        <w:t xml:space="preserve"> ≈ 5 mm) acoplado dentro um forno tubular EDG modelo 10P-S. Como suporte do leito do catalisador foi utilizado lã de quartzo. Antes da reação, o catalisador HAP</w:t>
      </w:r>
      <w:r w:rsidR="00E92C87" w:rsidRPr="007C4102">
        <w:t xml:space="preserve"> (80 mg)</w:t>
      </w:r>
      <w:r w:rsidRPr="007C4102">
        <w:t xml:space="preserve"> foi </w:t>
      </w:r>
      <w:proofErr w:type="spellStart"/>
      <w:r w:rsidRPr="007C4102">
        <w:t>pré-tratado</w:t>
      </w:r>
      <w:proofErr w:type="spellEnd"/>
      <w:r w:rsidRPr="007C4102">
        <w:t xml:space="preserve"> com uma corrente de 60 </w:t>
      </w:r>
      <w:proofErr w:type="spellStart"/>
      <w:r w:rsidRPr="007C4102">
        <w:t>mL</w:t>
      </w:r>
      <w:proofErr w:type="spellEnd"/>
      <w:r w:rsidRPr="007C4102">
        <w:t xml:space="preserve"> min</w:t>
      </w:r>
      <w:r w:rsidRPr="007C4102">
        <w:rPr>
          <w:vertAlign w:val="superscript"/>
        </w:rPr>
        <w:t>−1</w:t>
      </w:r>
      <w:r w:rsidRPr="007C4102">
        <w:t xml:space="preserve"> de N</w:t>
      </w:r>
      <w:r w:rsidRPr="007C4102">
        <w:rPr>
          <w:vertAlign w:val="subscript"/>
        </w:rPr>
        <w:t>2</w:t>
      </w:r>
      <w:r w:rsidRPr="007C4102">
        <w:t xml:space="preserve"> (White Martins, 99,999%) a 300 ºC por 1 h, e posteriormente, resfriado até temperatura de reação. </w:t>
      </w:r>
      <w:r w:rsidR="00B62729">
        <w:t>Em seguida, ao reator foi alimentada</w:t>
      </w:r>
      <w:r w:rsidRPr="007C4102">
        <w:t xml:space="preserve"> </w:t>
      </w:r>
      <w:r w:rsidR="00E92C87" w:rsidRPr="007C4102">
        <w:t xml:space="preserve">uma corrente 60 </w:t>
      </w:r>
      <w:proofErr w:type="spellStart"/>
      <w:r w:rsidR="00E92C87" w:rsidRPr="007C4102">
        <w:t>mL</w:t>
      </w:r>
      <w:proofErr w:type="spellEnd"/>
      <w:r w:rsidR="00E92C87" w:rsidRPr="007C4102">
        <w:t xml:space="preserve"> min</w:t>
      </w:r>
      <w:r w:rsidR="00E92C87" w:rsidRPr="007C4102">
        <w:rPr>
          <w:vertAlign w:val="superscript"/>
        </w:rPr>
        <w:t>-1</w:t>
      </w:r>
      <w:r w:rsidR="00E92C87" w:rsidRPr="007C4102">
        <w:t xml:space="preserve"> de N</w:t>
      </w:r>
      <w:r w:rsidR="00E92C87" w:rsidRPr="007C4102">
        <w:rPr>
          <w:vertAlign w:val="subscript"/>
        </w:rPr>
        <w:t>2</w:t>
      </w:r>
      <w:r w:rsidR="00E92C87" w:rsidRPr="007C4102">
        <w:t xml:space="preserve"> saturado de</w:t>
      </w:r>
      <w:r w:rsidRPr="007C4102">
        <w:t xml:space="preserve"> etanol (Merck, 99,9%) na temperatura de reação. Todos os experimentos foram realizados a pressão </w:t>
      </w:r>
      <w:r w:rsidR="00B62729">
        <w:t>atmosférica</w:t>
      </w:r>
      <w:r w:rsidRPr="007C4102">
        <w:t xml:space="preserve"> variando a temperatura de reação de 250 a </w:t>
      </w:r>
      <w:r w:rsidR="00E92C87" w:rsidRPr="007C4102">
        <w:t>35</w:t>
      </w:r>
      <w:r w:rsidRPr="007C4102">
        <w:t xml:space="preserve">0 °C </w:t>
      </w:r>
      <w:r w:rsidR="005A3BC2">
        <w:t>usando</w:t>
      </w:r>
      <w:r w:rsidR="00370282">
        <w:t xml:space="preserve"> diferentes</w:t>
      </w:r>
      <w:r w:rsidRPr="007C4102">
        <w:t xml:space="preserve"> </w:t>
      </w:r>
      <w:r w:rsidR="005A3BC2">
        <w:t xml:space="preserve">pressiones </w:t>
      </w:r>
      <w:r w:rsidR="001D3D5C">
        <w:t>parciais de</w:t>
      </w:r>
      <w:r w:rsidRPr="007C4102">
        <w:t xml:space="preserve"> etanol </w:t>
      </w:r>
      <w:r w:rsidR="00370282">
        <w:t>(</w:t>
      </w:r>
      <w:r w:rsidRPr="007C4102">
        <w:t>15</w:t>
      </w:r>
      <w:r w:rsidR="00E92C87" w:rsidRPr="007C4102">
        <w:t xml:space="preserve">, 20 e 25 </w:t>
      </w:r>
      <w:r w:rsidR="005A3BC2">
        <w:t>kPa</w:t>
      </w:r>
      <w:r w:rsidR="00370282">
        <w:t>)</w:t>
      </w:r>
      <w:r w:rsidR="005A3BC2">
        <w:t xml:space="preserve"> na alimentação ao reator</w:t>
      </w:r>
      <w:r w:rsidRPr="007C4102">
        <w:t xml:space="preserve">. Os fluxos dos produtos foram analisados por cromatografia gasosa usando um </w:t>
      </w:r>
      <w:proofErr w:type="spellStart"/>
      <w:r w:rsidRPr="007C4102">
        <w:t>Agilent</w:t>
      </w:r>
      <w:proofErr w:type="spellEnd"/>
      <w:r w:rsidRPr="007C4102">
        <w:t xml:space="preserve"> 7890A GC equipado com uma coluna capilar DB-1 (60 m x 530 </w:t>
      </w:r>
      <w:proofErr w:type="spellStart"/>
      <w:r w:rsidRPr="007C4102">
        <w:t>μm</w:t>
      </w:r>
      <w:proofErr w:type="spellEnd"/>
      <w:r w:rsidRPr="007C4102">
        <w:t xml:space="preserve"> x 1 </w:t>
      </w:r>
      <w:proofErr w:type="spellStart"/>
      <w:r w:rsidRPr="007C4102">
        <w:t>μm</w:t>
      </w:r>
      <w:proofErr w:type="spellEnd"/>
      <w:r w:rsidRPr="007C4102">
        <w:t>) e um detector de ionização de chama</w:t>
      </w:r>
      <w:r w:rsidR="004C5625" w:rsidRPr="007C4102">
        <w:t>.</w:t>
      </w:r>
    </w:p>
    <w:p w14:paraId="2DA46EFF" w14:textId="77777777" w:rsidR="00C451BA" w:rsidRPr="007C4102" w:rsidRDefault="00C451BA" w:rsidP="00C451BA">
      <w:pPr>
        <w:pStyle w:val="CBCat"/>
      </w:pPr>
    </w:p>
    <w:p w14:paraId="136BD1AC" w14:textId="731A63B1" w:rsidR="00EA4E1B" w:rsidRPr="007C4102" w:rsidRDefault="00EA4E1B" w:rsidP="00EA4E1B">
      <w:pPr>
        <w:pStyle w:val="Heading2"/>
        <w:rPr>
          <w:rFonts w:ascii="Helvetica" w:hAnsi="Helvetica" w:cs="Helvetica"/>
          <w:sz w:val="24"/>
          <w:szCs w:val="24"/>
        </w:rPr>
      </w:pPr>
      <w:r w:rsidRPr="007C4102">
        <w:rPr>
          <w:rFonts w:ascii="Helvetica" w:hAnsi="Helvetica" w:cs="Helvetica"/>
          <w:sz w:val="24"/>
          <w:szCs w:val="24"/>
        </w:rPr>
        <w:t>Resultados e Discussão</w:t>
      </w:r>
    </w:p>
    <w:p w14:paraId="72CA035B" w14:textId="3569B195" w:rsidR="001866E1" w:rsidRPr="007C4102" w:rsidRDefault="001866E1" w:rsidP="001866E1">
      <w:pPr>
        <w:pStyle w:val="TAMainText"/>
        <w:ind w:firstLine="0"/>
        <w:rPr>
          <w:rFonts w:ascii="Times New Roman" w:hAnsi="Times New Roman"/>
          <w:i/>
          <w:lang w:val="pt-BR"/>
        </w:rPr>
      </w:pPr>
      <w:r w:rsidRPr="007C4102">
        <w:rPr>
          <w:rFonts w:ascii="Times New Roman" w:hAnsi="Times New Roman"/>
          <w:i/>
          <w:lang w:val="pt-BR"/>
        </w:rPr>
        <w:t xml:space="preserve">Caracterização </w:t>
      </w:r>
    </w:p>
    <w:p w14:paraId="307595D3" w14:textId="368C11CD" w:rsidR="00E038AF" w:rsidRPr="007C4102" w:rsidRDefault="00717AF5" w:rsidP="00717AF5">
      <w:pPr>
        <w:pStyle w:val="CBCat"/>
      </w:pPr>
      <w:r w:rsidRPr="007C4102">
        <w:t xml:space="preserve">O </w:t>
      </w:r>
      <w:proofErr w:type="spellStart"/>
      <w:r w:rsidRPr="007C4102">
        <w:t>difratograma</w:t>
      </w:r>
      <w:proofErr w:type="spellEnd"/>
      <w:r w:rsidRPr="007C4102">
        <w:t xml:space="preserve"> aponta a formação de uma única fase de HAP</w:t>
      </w:r>
      <w:r w:rsidR="00A34E6B">
        <w:t>, sem a presença de fases agregadas ou impurezas,</w:t>
      </w:r>
      <w:r w:rsidRPr="007C4102">
        <w:t xml:space="preserve"> </w:t>
      </w:r>
      <w:r w:rsidR="00A34E6B">
        <w:t>com</w:t>
      </w:r>
      <w:r w:rsidR="00A34E6B" w:rsidRPr="007C4102">
        <w:t xml:space="preserve"> </w:t>
      </w:r>
      <w:r w:rsidRPr="007C4102">
        <w:t xml:space="preserve">correspondência a </w:t>
      </w:r>
      <w:r w:rsidR="00CD5684">
        <w:t>ficha</w:t>
      </w:r>
      <w:r w:rsidRPr="007C4102">
        <w:t xml:space="preserve"> ICDD</w:t>
      </w:r>
      <w:r w:rsidR="00CD5684">
        <w:t>-PDF:</w:t>
      </w:r>
      <w:r w:rsidRPr="007C4102">
        <w:t xml:space="preserve"> 01-089-6439. Os sinais </w:t>
      </w:r>
      <w:r w:rsidR="00CD5684">
        <w:t>foram</w:t>
      </w:r>
      <w:r w:rsidR="00CD5684" w:rsidRPr="007C4102">
        <w:t xml:space="preserve"> </w:t>
      </w:r>
      <w:r w:rsidRPr="007C4102">
        <w:t>atribuídos à estrutura cristalina hexagonal-</w:t>
      </w:r>
      <w:proofErr w:type="spellStart"/>
      <w:r w:rsidRPr="007C4102">
        <w:t>dipiramidal</w:t>
      </w:r>
      <w:proofErr w:type="spellEnd"/>
      <w:r w:rsidRPr="007C4102">
        <w:t xml:space="preserve"> da HAP estequiométrica.</w:t>
      </w:r>
    </w:p>
    <w:p w14:paraId="7E539D28" w14:textId="77777777" w:rsidR="00C451BA" w:rsidRPr="007C4102" w:rsidRDefault="00C451BA" w:rsidP="00717AF5">
      <w:pPr>
        <w:pStyle w:val="CBCat"/>
      </w:pPr>
    </w:p>
    <w:p w14:paraId="423160EA" w14:textId="6CC24365" w:rsidR="00C451BA" w:rsidRPr="007C4102" w:rsidRDefault="00717AF5" w:rsidP="0065578B">
      <w:pPr>
        <w:pStyle w:val="Caption"/>
        <w:rPr>
          <w:rStyle w:val="FiguraTtuloChar"/>
          <w:rFonts w:eastAsiaTheme="minorEastAsia"/>
          <w:color w:val="auto"/>
          <w:lang w:val="pt-BR"/>
        </w:rPr>
      </w:pPr>
      <w:r w:rsidRPr="007C4102">
        <w:rPr>
          <w:rFonts w:ascii="Times New Roman" w:hAnsi="Times New Roman" w:cs="Times New Roman"/>
          <w:noProof/>
          <w:color w:val="auto"/>
          <w:sz w:val="20"/>
          <w:szCs w:val="20"/>
        </w:rPr>
        <w:lastRenderedPageBreak/>
        <w:drawing>
          <wp:inline distT="0" distB="0" distL="0" distR="0" wp14:anchorId="4ABEBDB8" wp14:editId="6DC2D047">
            <wp:extent cx="3027680" cy="151003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680" cy="1510030"/>
                    </a:xfrm>
                    <a:prstGeom prst="rect">
                      <a:avLst/>
                    </a:prstGeom>
                    <a:noFill/>
                    <a:ln>
                      <a:noFill/>
                    </a:ln>
                  </pic:spPr>
                </pic:pic>
              </a:graphicData>
            </a:graphic>
          </wp:inline>
        </w:drawing>
      </w:r>
      <w:r w:rsidR="0065578B" w:rsidRPr="00EC6407">
        <w:rPr>
          <w:rStyle w:val="FiguraChar"/>
          <w:rFonts w:eastAsiaTheme="minorEastAsia"/>
          <w:b/>
          <w:bCs w:val="0"/>
          <w:color w:val="auto"/>
          <w:lang w:val="pt-BR"/>
        </w:rPr>
        <w:t xml:space="preserve">Figura </w:t>
      </w:r>
      <w:r w:rsidR="0065578B" w:rsidRPr="007C4102">
        <w:rPr>
          <w:rStyle w:val="FiguraChar"/>
          <w:rFonts w:eastAsiaTheme="minorEastAsia"/>
          <w:b/>
          <w:bCs w:val="0"/>
          <w:color w:val="auto"/>
        </w:rPr>
        <w:fldChar w:fldCharType="begin"/>
      </w:r>
      <w:r w:rsidR="0065578B" w:rsidRPr="00EC6407">
        <w:rPr>
          <w:rStyle w:val="FiguraChar"/>
          <w:rFonts w:eastAsiaTheme="minorEastAsia"/>
          <w:b/>
          <w:bCs w:val="0"/>
          <w:color w:val="auto"/>
          <w:lang w:val="pt-BR"/>
        </w:rPr>
        <w:instrText xml:space="preserve"> SEQ Figura \* ARABIC </w:instrText>
      </w:r>
      <w:r w:rsidR="0065578B" w:rsidRPr="007C4102">
        <w:rPr>
          <w:rStyle w:val="FiguraChar"/>
          <w:rFonts w:eastAsiaTheme="minorEastAsia"/>
          <w:b/>
          <w:bCs w:val="0"/>
          <w:color w:val="auto"/>
        </w:rPr>
        <w:fldChar w:fldCharType="separate"/>
      </w:r>
      <w:r w:rsidR="0065578B" w:rsidRPr="00EC6407">
        <w:rPr>
          <w:rStyle w:val="FiguraChar"/>
          <w:rFonts w:eastAsiaTheme="minorEastAsia"/>
          <w:b/>
          <w:bCs w:val="0"/>
          <w:color w:val="auto"/>
          <w:lang w:val="pt-BR"/>
        </w:rPr>
        <w:t>2</w:t>
      </w:r>
      <w:r w:rsidR="0065578B" w:rsidRPr="007C4102">
        <w:rPr>
          <w:rStyle w:val="FiguraChar"/>
          <w:rFonts w:eastAsiaTheme="minorEastAsia"/>
          <w:b/>
          <w:bCs w:val="0"/>
          <w:color w:val="auto"/>
        </w:rPr>
        <w:fldChar w:fldCharType="end"/>
      </w:r>
      <w:r w:rsidR="008F4990" w:rsidRPr="00EC6407">
        <w:rPr>
          <w:rStyle w:val="FiguraChar"/>
          <w:rFonts w:eastAsiaTheme="minorEastAsia"/>
          <w:b/>
          <w:bCs w:val="0"/>
          <w:color w:val="auto"/>
          <w:lang w:val="pt-BR"/>
        </w:rPr>
        <w:t>.</w:t>
      </w:r>
      <w:r w:rsidR="00C451BA" w:rsidRPr="007C4102">
        <w:rPr>
          <w:rFonts w:ascii="Times New Roman" w:hAnsi="Times New Roman"/>
          <w:color w:val="auto"/>
        </w:rPr>
        <w:t xml:space="preserve"> </w:t>
      </w:r>
      <w:proofErr w:type="spellStart"/>
      <w:r w:rsidR="00C451BA" w:rsidRPr="00EC6407">
        <w:rPr>
          <w:rStyle w:val="CBCatChar"/>
          <w:rFonts w:eastAsiaTheme="minorEastAsia"/>
          <w:b w:val="0"/>
          <w:bCs w:val="0"/>
          <w:color w:val="auto"/>
          <w:sz w:val="18"/>
          <w:szCs w:val="18"/>
          <w:lang w:val="pt-BR"/>
        </w:rPr>
        <w:t>Difratograma</w:t>
      </w:r>
      <w:proofErr w:type="spellEnd"/>
      <w:r w:rsidR="00C451BA" w:rsidRPr="00EC6407">
        <w:rPr>
          <w:rStyle w:val="CBCatChar"/>
          <w:rFonts w:eastAsiaTheme="minorEastAsia"/>
          <w:b w:val="0"/>
          <w:bCs w:val="0"/>
          <w:color w:val="auto"/>
          <w:sz w:val="18"/>
          <w:szCs w:val="18"/>
          <w:lang w:val="pt-BR"/>
        </w:rPr>
        <w:t xml:space="preserve"> da HAP</w:t>
      </w:r>
    </w:p>
    <w:p w14:paraId="63E5F5B4" w14:textId="3EB911A2" w:rsidR="00717AF5" w:rsidRPr="007C4102" w:rsidRDefault="00717AF5" w:rsidP="008F4990">
      <w:pPr>
        <w:pStyle w:val="CBCat"/>
      </w:pPr>
      <w:r w:rsidRPr="007C4102">
        <w:t>O catalisador HAP apresentou</w:t>
      </w:r>
      <w:r w:rsidR="00A34E6B">
        <w:t xml:space="preserve"> uma</w:t>
      </w:r>
      <w:r w:rsidRPr="007C4102">
        <w:t xml:space="preserve"> isoterma do tipo IV </w:t>
      </w:r>
      <w:r w:rsidR="00A34E6B">
        <w:t>de acordo com</w:t>
      </w:r>
      <w:r w:rsidR="00A34E6B" w:rsidRPr="007C4102">
        <w:t xml:space="preserve"> </w:t>
      </w:r>
      <w:r w:rsidRPr="007C4102">
        <w:t xml:space="preserve">a classificação IUPAC, </w:t>
      </w:r>
      <w:r w:rsidR="00A34E6B">
        <w:t>(</w:t>
      </w:r>
      <w:r w:rsidRPr="007C4102">
        <w:t>Figura 1</w:t>
      </w:r>
      <w:r w:rsidR="00A34E6B">
        <w:t>)</w:t>
      </w:r>
      <w:r w:rsidRPr="007C4102">
        <w:t xml:space="preserve">. </w:t>
      </w:r>
      <w:r w:rsidR="00A34E6B">
        <w:t xml:space="preserve">A </w:t>
      </w:r>
      <w:r w:rsidRPr="007C4102">
        <w:t>pressões relativas altas (P/P0&gt; 0,8)</w:t>
      </w:r>
      <w:r w:rsidR="00A34E6B">
        <w:t xml:space="preserve"> foi observado a</w:t>
      </w:r>
      <w:r w:rsidRPr="007C4102">
        <w:t xml:space="preserve"> formação de uma alça de histerese</w:t>
      </w:r>
      <w:r w:rsidR="00A34E6B">
        <w:t>,</w:t>
      </w:r>
      <w:r w:rsidRPr="007C4102">
        <w:t xml:space="preserve"> </w:t>
      </w:r>
      <w:r w:rsidR="00A34E6B">
        <w:t xml:space="preserve">provavelmente, </w:t>
      </w:r>
      <w:r w:rsidRPr="007C4102">
        <w:t xml:space="preserve">associada à condensação capilar comumente observada em materiais </w:t>
      </w:r>
      <w:proofErr w:type="spellStart"/>
      <w:r w:rsidRPr="007C4102">
        <w:t>mesoporosos</w:t>
      </w:r>
      <w:proofErr w:type="spellEnd"/>
      <w:r w:rsidRPr="007C4102">
        <w:t xml:space="preserve"> </w:t>
      </w:r>
      <w:r w:rsidR="00C451BA" w:rsidRPr="007C4102">
        <w:fldChar w:fldCharType="begin"/>
      </w:r>
      <w:r w:rsidR="0002578B" w:rsidRPr="007C4102">
        <w:instrText xml:space="preserve"> ADDIN ZOTERO_ITEM CSL_CITATION {"citationID":"PlKGk2yw","properties":{"formattedCitation":"(13)","plainCitation":"(13)","noteIndex":0},"citationItems":[{"id":2743,"uris":["http://zotero.org/users/11372031/items/6NCW4J23"],"itemData":{"id":2743,"type":"article-journal","container-title":"Pure and Applied Chemistry","DOI":"10.1351/pac198557040603","ISSN":"13653075","issue":"4","page":"603-619","title":"Reporting Physisorption Data for Gas/Solid Systems with Special Reference to the Determination of Surface Area and Porosity","volume":"57","author":[{"family":"Sing","given":"K. S.W."},{"family":"Everett","given":"D. H."},{"family":"Haul","given":"R. A.W."},{"family":"Moscou","given":"L."},{"family":"Pierotti","given":"R. A."},{"family":"Rouquerol","given":"J."},{"family":"Siemieniewska","given":"T."}],"issued":{"date-parts":[["1985"]]}}}],"schema":"https://github.com/citation-style-language/schema/raw/master/csl-citation.json"} </w:instrText>
      </w:r>
      <w:r w:rsidR="00C451BA" w:rsidRPr="007C4102">
        <w:fldChar w:fldCharType="separate"/>
      </w:r>
      <w:r w:rsidR="0002578B" w:rsidRPr="007C4102">
        <w:t>(13)</w:t>
      </w:r>
      <w:r w:rsidR="00C451BA" w:rsidRPr="007C4102">
        <w:fldChar w:fldCharType="end"/>
      </w:r>
      <w:r w:rsidR="00C451BA" w:rsidRPr="007C4102">
        <w:t>.</w:t>
      </w:r>
      <w:r w:rsidR="00F91B8D" w:rsidRPr="007C4102">
        <w:t xml:space="preserve"> A partir do</w:t>
      </w:r>
      <w:r w:rsidR="00A34E6B">
        <w:t>s</w:t>
      </w:r>
      <w:r w:rsidR="00F91B8D" w:rsidRPr="007C4102">
        <w:t xml:space="preserve"> método</w:t>
      </w:r>
      <w:r w:rsidR="00A34E6B">
        <w:t>s</w:t>
      </w:r>
      <w:r w:rsidR="00F91B8D" w:rsidRPr="007C4102">
        <w:t xml:space="preserve"> BET e BJH, a área superficial específica foi de 30 m</w:t>
      </w:r>
      <w:r w:rsidR="00F91B8D" w:rsidRPr="007C4102">
        <w:rPr>
          <w:vertAlign w:val="superscript"/>
        </w:rPr>
        <w:t xml:space="preserve">2 </w:t>
      </w:r>
      <w:r w:rsidR="00F91B8D" w:rsidRPr="007C4102">
        <w:t>g</w:t>
      </w:r>
      <w:r w:rsidR="00F91B8D" w:rsidRPr="007C4102">
        <w:rPr>
          <w:vertAlign w:val="superscript"/>
        </w:rPr>
        <w:t>-1</w:t>
      </w:r>
      <w:r w:rsidR="00F91B8D" w:rsidRPr="007C4102">
        <w:t>, o volume 0,</w:t>
      </w:r>
      <w:r w:rsidR="00E37C32" w:rsidRPr="007C4102">
        <w:t>3</w:t>
      </w:r>
      <w:r w:rsidR="00F91B8D" w:rsidRPr="007C4102">
        <w:t xml:space="preserve"> cm</w:t>
      </w:r>
      <w:r w:rsidR="00F91B8D" w:rsidRPr="007C4102">
        <w:rPr>
          <w:vertAlign w:val="superscript"/>
        </w:rPr>
        <w:t xml:space="preserve">3 </w:t>
      </w:r>
      <w:r w:rsidR="00F91B8D" w:rsidRPr="007C4102">
        <w:t>g</w:t>
      </w:r>
      <w:r w:rsidR="00F91B8D" w:rsidRPr="007C4102">
        <w:rPr>
          <w:vertAlign w:val="superscript"/>
        </w:rPr>
        <w:t>-1</w:t>
      </w:r>
      <w:r w:rsidR="00F91B8D" w:rsidRPr="007C4102">
        <w:t xml:space="preserve"> e diâmetro médio de poros 34 </w:t>
      </w:r>
      <w:proofErr w:type="spellStart"/>
      <w:r w:rsidR="00F91B8D" w:rsidRPr="007C4102">
        <w:t>nm</w:t>
      </w:r>
      <w:proofErr w:type="spellEnd"/>
      <w:r w:rsidR="00F91B8D" w:rsidRPr="007C4102">
        <w:t>.</w:t>
      </w:r>
    </w:p>
    <w:p w14:paraId="0EBE9A1B" w14:textId="711EB47B" w:rsidR="00E92C87" w:rsidRPr="007C4102" w:rsidRDefault="00305450" w:rsidP="0065578B">
      <w:pPr>
        <w:pStyle w:val="Caption"/>
        <w:rPr>
          <w:rFonts w:ascii="Times New Roman" w:hAnsi="Times New Roman" w:cs="Times New Roman"/>
          <w:color w:val="auto"/>
        </w:rPr>
      </w:pPr>
      <w:r w:rsidRPr="007C4102">
        <w:rPr>
          <w:noProof/>
          <w:color w:val="auto"/>
        </w:rPr>
        <w:drawing>
          <wp:inline distT="0" distB="0" distL="0" distR="0" wp14:anchorId="51461BFB" wp14:editId="764F5641">
            <wp:extent cx="3027680" cy="1816735"/>
            <wp:effectExtent l="0" t="0" r="1270" b="0"/>
            <wp:docPr id="14" name="Chart 14">
              <a:extLst xmlns:a="http://schemas.openxmlformats.org/drawingml/2006/main">
                <a:ext uri="{FF2B5EF4-FFF2-40B4-BE49-F238E27FC236}">
                  <a16:creationId xmlns:a16="http://schemas.microsoft.com/office/drawing/2014/main" id="{70A90280-8DC9-4F54-B632-9A5A71555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 w:name="_Hlk132193555"/>
      <w:r w:rsidR="0065578B" w:rsidRPr="00EC6407">
        <w:rPr>
          <w:rStyle w:val="FiguraChar"/>
          <w:rFonts w:eastAsiaTheme="minorEastAsia"/>
          <w:b/>
          <w:bCs w:val="0"/>
          <w:color w:val="auto"/>
          <w:lang w:val="pt-BR"/>
        </w:rPr>
        <w:t xml:space="preserve">Figura </w:t>
      </w:r>
      <w:r w:rsidR="0065578B" w:rsidRPr="007C4102">
        <w:rPr>
          <w:rStyle w:val="FiguraChar"/>
          <w:rFonts w:eastAsiaTheme="minorEastAsia"/>
          <w:b/>
          <w:bCs w:val="0"/>
          <w:color w:val="auto"/>
        </w:rPr>
        <w:fldChar w:fldCharType="begin"/>
      </w:r>
      <w:r w:rsidR="0065578B" w:rsidRPr="00EC6407">
        <w:rPr>
          <w:rStyle w:val="FiguraChar"/>
          <w:rFonts w:eastAsiaTheme="minorEastAsia"/>
          <w:b/>
          <w:bCs w:val="0"/>
          <w:color w:val="auto"/>
          <w:lang w:val="pt-BR"/>
        </w:rPr>
        <w:instrText xml:space="preserve"> SEQ Figura \* ARABIC </w:instrText>
      </w:r>
      <w:r w:rsidR="0065578B" w:rsidRPr="007C4102">
        <w:rPr>
          <w:rStyle w:val="FiguraChar"/>
          <w:rFonts w:eastAsiaTheme="minorEastAsia"/>
          <w:b/>
          <w:bCs w:val="0"/>
          <w:color w:val="auto"/>
        </w:rPr>
        <w:fldChar w:fldCharType="separate"/>
      </w:r>
      <w:r w:rsidR="0065578B" w:rsidRPr="00EC6407">
        <w:rPr>
          <w:rStyle w:val="FiguraChar"/>
          <w:rFonts w:eastAsiaTheme="minorEastAsia"/>
          <w:b/>
          <w:bCs w:val="0"/>
          <w:color w:val="auto"/>
          <w:lang w:val="pt-BR"/>
        </w:rPr>
        <w:t>3</w:t>
      </w:r>
      <w:r w:rsidR="0065578B" w:rsidRPr="007C4102">
        <w:rPr>
          <w:rStyle w:val="FiguraChar"/>
          <w:rFonts w:eastAsiaTheme="minorEastAsia"/>
          <w:b/>
          <w:bCs w:val="0"/>
          <w:color w:val="auto"/>
        </w:rPr>
        <w:fldChar w:fldCharType="end"/>
      </w:r>
      <w:r w:rsidR="00E92C87" w:rsidRPr="00EC6407">
        <w:rPr>
          <w:rStyle w:val="FiguraChar"/>
          <w:rFonts w:eastAsiaTheme="minorEastAsia"/>
          <w:b/>
          <w:bCs w:val="0"/>
          <w:color w:val="auto"/>
          <w:lang w:val="pt-BR"/>
        </w:rPr>
        <w:t>.</w:t>
      </w:r>
      <w:r w:rsidR="00E92C87" w:rsidRPr="007C4102">
        <w:rPr>
          <w:rFonts w:ascii="Times New Roman" w:hAnsi="Times New Roman"/>
          <w:color w:val="auto"/>
        </w:rPr>
        <w:t xml:space="preserve"> </w:t>
      </w:r>
      <w:r w:rsidR="00E92C87" w:rsidRPr="00EC6407">
        <w:rPr>
          <w:rStyle w:val="CBCatChar"/>
          <w:rFonts w:eastAsiaTheme="minorEastAsia"/>
          <w:b w:val="0"/>
          <w:bCs w:val="0"/>
          <w:color w:val="auto"/>
          <w:sz w:val="18"/>
          <w:szCs w:val="18"/>
          <w:lang w:val="pt-BR"/>
        </w:rPr>
        <w:t>Isotermas de adsorção-dessorção de N</w:t>
      </w:r>
      <w:r w:rsidR="00E92C87" w:rsidRPr="00EC6407">
        <w:rPr>
          <w:rStyle w:val="CBCatChar"/>
          <w:rFonts w:eastAsiaTheme="minorEastAsia"/>
          <w:b w:val="0"/>
          <w:bCs w:val="0"/>
          <w:color w:val="auto"/>
          <w:sz w:val="18"/>
          <w:szCs w:val="18"/>
          <w:vertAlign w:val="subscript"/>
          <w:lang w:val="pt-BR"/>
        </w:rPr>
        <w:t>2</w:t>
      </w:r>
      <w:r w:rsidR="00E92C87" w:rsidRPr="007C4102">
        <w:rPr>
          <w:rStyle w:val="FiguraTtuloChar"/>
          <w:rFonts w:eastAsiaTheme="minorEastAsia"/>
          <w:color w:val="auto"/>
          <w:sz w:val="16"/>
          <w:szCs w:val="18"/>
          <w:lang w:val="pt-BR"/>
        </w:rPr>
        <w:t xml:space="preserve"> </w:t>
      </w:r>
      <w:bookmarkEnd w:id="2"/>
    </w:p>
    <w:p w14:paraId="6FDCDED5" w14:textId="3B243566" w:rsidR="00717AF5" w:rsidRPr="007C4102" w:rsidRDefault="00717AF5" w:rsidP="00717AF5">
      <w:pPr>
        <w:pStyle w:val="CBCat"/>
      </w:pPr>
      <w:r w:rsidRPr="007C4102">
        <w:t>A distribuição de sítios ácidos e básicos na superfície do catalisador HAP é ilustrada na Tabela 1. Foram considerados sítios fracos até 230 °C, médios de 230 a 400 °C e fortes acima de 400 °C</w:t>
      </w:r>
      <w:r w:rsidR="0004151A">
        <w:t xml:space="preserve"> </w:t>
      </w:r>
      <w:r w:rsidR="0004151A">
        <w:fldChar w:fldCharType="begin"/>
      </w:r>
      <w:r w:rsidR="0004151A">
        <w:instrText xml:space="preserve"> ADDIN ZOTERO_ITEM CSL_CITATION {"citationID":"n6ogA6Mf","properties":{"formattedCitation":"(14)","plainCitation":"(14)","noteIndex":0},"citationItems":[{"id":2702,"uris":["http://zotero.org/users/11372031/items/ZC7IN8B7"],"itemData":{"id":2702,"type":"article-journal","abstract":"Four preparation methods have been developed for the synthesis of lanthanum orthophosphate catalysts, which are shown to be active and selective catalysts for the dehydration of light alcohols (C2 to C4). Their crystallinity, surface area, surface composition and acid-base properties appear to differ according to the preparation method used. The most important parameter influencing their catalytic properties appears to be their surface composition since this has a direct influence on their surface acidity. All of the solids presented weak and moderately strong Brønsted and Lewis acid sites, and only weak basic sites in low quantities. These acid-base properties resulted in the prevalence of an E1-type mechanism for 1-butanol dehydration. Brønsted acid sites, which appear as the most efficient sites, are associated with the presence of an excess of phosphorus at their surface and from spectroscopic data this is attributed to (H2PO4)-3+n (n=1 or 2) species from spectroscopic data. The prevalence of these species and their optimum surface distribution make them extraordinarily efficient and ultra-selective for the dehydration of several alcohols.","container-title":"Applied Catalysis B: Environmental","DOI":"10.1016/j.apcatb.2014.12.004","ISSN":"09263373","note":"publisher: Elsevier B.V.","page":"432-444","title":"Synthesis, characterization and study of lanthanum phosphates as light alcohols dehydration catalysts","volume":"166-167","author":[{"family":"Nguyen","given":"T. T.N."},{"family":"Ruaux","given":"V."},{"family":"Massin","given":"L."},{"family":"Lorentz","given":"C."},{"family":"Afanasiev","given":"P."},{"family":"Maugé","given":"F."},{"family":"Bellière-Baca","given":"V."},{"family":"Rey","given":"P."},{"family":"Millet","given":"J. M.M."}],"issued":{"date-parts":[["2015"]]}}}],"schema":"https://github.com/citation-style-language/schema/raw/master/csl-citation.json"} </w:instrText>
      </w:r>
      <w:r w:rsidR="0004151A">
        <w:fldChar w:fldCharType="separate"/>
      </w:r>
      <w:r w:rsidR="0004151A" w:rsidRPr="0004151A">
        <w:t>(14)</w:t>
      </w:r>
      <w:r w:rsidR="0004151A">
        <w:fldChar w:fldCharType="end"/>
      </w:r>
      <w:r w:rsidRPr="007C4102">
        <w:t>. A partir d</w:t>
      </w:r>
      <w:r w:rsidR="00DA4DC6" w:rsidRPr="007C4102">
        <w:t>o perfil de dessorção de NH</w:t>
      </w:r>
      <w:r w:rsidR="00DA4DC6" w:rsidRPr="007C4102">
        <w:rPr>
          <w:vertAlign w:val="subscript"/>
        </w:rPr>
        <w:t>3</w:t>
      </w:r>
      <w:r w:rsidR="00DA4DC6" w:rsidRPr="007C4102">
        <w:t xml:space="preserve"> e CO</w:t>
      </w:r>
      <w:r w:rsidR="00DA4DC6" w:rsidRPr="007C4102">
        <w:rPr>
          <w:vertAlign w:val="subscript"/>
        </w:rPr>
        <w:t>2</w:t>
      </w:r>
      <w:r w:rsidR="00DA4DC6" w:rsidRPr="007C4102">
        <w:t xml:space="preserve"> </w:t>
      </w:r>
      <w:r w:rsidRPr="007C4102">
        <w:t xml:space="preserve">é possível identificar três regiões de dessorção </w:t>
      </w:r>
      <w:r w:rsidR="00683EE0">
        <w:t>n</w:t>
      </w:r>
      <w:r w:rsidRPr="007C4102">
        <w:t>a medida que a temperatura da análise é aumentada</w:t>
      </w:r>
      <w:r w:rsidR="00DA4DC6" w:rsidRPr="007C4102">
        <w:t xml:space="preserve"> (não ilustrado)</w:t>
      </w:r>
      <w:r w:rsidRPr="007C4102">
        <w:t xml:space="preserve">. </w:t>
      </w:r>
      <w:r w:rsidR="00CD730B">
        <w:t>A</w:t>
      </w:r>
      <w:r w:rsidR="00F91B8D" w:rsidRPr="007C4102">
        <w:t xml:space="preserve"> razão de sítios básicos/ácidos totais </w:t>
      </w:r>
      <w:r w:rsidR="00CD730B">
        <w:t>foi de</w:t>
      </w:r>
      <w:r w:rsidR="00CD730B" w:rsidRPr="007C4102">
        <w:t xml:space="preserve"> </w:t>
      </w:r>
      <w:r w:rsidR="00F91B8D" w:rsidRPr="007C4102">
        <w:t xml:space="preserve">~1,6, indicando que há uma maior quantidade de sítios básicos, porém, a razão de sítios básicos/ácidos médios e fracos </w:t>
      </w:r>
      <w:r w:rsidR="00CD730B">
        <w:t>foi próximo de</w:t>
      </w:r>
      <w:r w:rsidR="00F91B8D" w:rsidRPr="007C4102">
        <w:t xml:space="preserve"> 1, indicando um</w:t>
      </w:r>
      <w:r w:rsidR="00CD730B">
        <w:t>a maior predominância de sítios básicos fortes</w:t>
      </w:r>
      <w:r w:rsidR="00F91B8D" w:rsidRPr="007C4102">
        <w:t xml:space="preserve"> na superfície do catalisador.</w:t>
      </w:r>
    </w:p>
    <w:p w14:paraId="3E769384" w14:textId="77777777" w:rsidR="00C451BA" w:rsidRPr="007C4102" w:rsidRDefault="00C451BA" w:rsidP="00717AF5">
      <w:pPr>
        <w:pStyle w:val="CBCat"/>
      </w:pPr>
    </w:p>
    <w:p w14:paraId="32498847" w14:textId="05B7A193" w:rsidR="0095199B" w:rsidRPr="007C4102" w:rsidRDefault="0065578B" w:rsidP="0065578B">
      <w:pPr>
        <w:pStyle w:val="Caption"/>
        <w:rPr>
          <w:color w:val="auto"/>
        </w:rPr>
      </w:pPr>
      <w:r w:rsidRPr="00EC6407">
        <w:rPr>
          <w:rStyle w:val="FiguraChar"/>
          <w:rFonts w:eastAsiaTheme="minorEastAsia"/>
          <w:b/>
          <w:bCs w:val="0"/>
          <w:color w:val="auto"/>
          <w:lang w:val="pt-BR"/>
        </w:rPr>
        <w:t xml:space="preserve">Tabela </w:t>
      </w:r>
      <w:r w:rsidRPr="007C4102">
        <w:rPr>
          <w:rStyle w:val="FiguraChar"/>
          <w:rFonts w:eastAsiaTheme="minorEastAsia"/>
          <w:b/>
          <w:bCs w:val="0"/>
          <w:color w:val="auto"/>
        </w:rPr>
        <w:fldChar w:fldCharType="begin"/>
      </w:r>
      <w:r w:rsidRPr="00EC6407">
        <w:rPr>
          <w:rStyle w:val="FiguraChar"/>
          <w:rFonts w:eastAsiaTheme="minorEastAsia"/>
          <w:b/>
          <w:bCs w:val="0"/>
          <w:color w:val="auto"/>
          <w:lang w:val="pt-BR"/>
        </w:rPr>
        <w:instrText xml:space="preserve"> SEQ Tabela \* ARABIC </w:instrText>
      </w:r>
      <w:r w:rsidRPr="007C4102">
        <w:rPr>
          <w:rStyle w:val="FiguraChar"/>
          <w:rFonts w:eastAsiaTheme="minorEastAsia"/>
          <w:b/>
          <w:bCs w:val="0"/>
          <w:color w:val="auto"/>
        </w:rPr>
        <w:fldChar w:fldCharType="separate"/>
      </w:r>
      <w:r w:rsidRPr="00EC6407">
        <w:rPr>
          <w:rStyle w:val="FiguraChar"/>
          <w:rFonts w:eastAsiaTheme="minorEastAsia"/>
          <w:b/>
          <w:bCs w:val="0"/>
          <w:color w:val="auto"/>
          <w:lang w:val="pt-BR"/>
        </w:rPr>
        <w:t>1</w:t>
      </w:r>
      <w:r w:rsidRPr="007C4102">
        <w:rPr>
          <w:rStyle w:val="FiguraChar"/>
          <w:rFonts w:eastAsiaTheme="minorEastAsia"/>
          <w:b/>
          <w:bCs w:val="0"/>
          <w:color w:val="auto"/>
        </w:rPr>
        <w:fldChar w:fldCharType="end"/>
      </w:r>
      <w:r w:rsidRPr="00EC6407">
        <w:rPr>
          <w:rStyle w:val="FiguraChar"/>
          <w:rFonts w:eastAsiaTheme="minorEastAsia"/>
          <w:b/>
          <w:bCs w:val="0"/>
          <w:color w:val="auto"/>
          <w:lang w:val="pt-BR"/>
        </w:rPr>
        <w:t>.</w:t>
      </w:r>
      <w:r w:rsidRPr="007C4102">
        <w:rPr>
          <w:color w:val="auto"/>
        </w:rPr>
        <w:t xml:space="preserve"> </w:t>
      </w:r>
      <w:r w:rsidR="00F91B8D" w:rsidRPr="00EC6407">
        <w:rPr>
          <w:rStyle w:val="FiguraChar"/>
          <w:rFonts w:eastAsiaTheme="minorEastAsia"/>
          <w:color w:val="auto"/>
          <w:lang w:val="pt-BR"/>
        </w:rPr>
        <w:t>Propriedades texturais e distribuição dos sítios ácidos e básicos na HAP</w:t>
      </w:r>
      <w:r w:rsidR="00F91B8D" w:rsidRPr="007C4102">
        <w:rPr>
          <w:rFonts w:ascii="Times New Roman" w:hAnsi="Times New Roman"/>
          <w:color w:val="auto"/>
        </w:rPr>
        <w:t xml:space="preserve"> </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00"/>
        <w:gridCol w:w="598"/>
        <w:gridCol w:w="598"/>
        <w:gridCol w:w="596"/>
        <w:gridCol w:w="596"/>
        <w:gridCol w:w="597"/>
        <w:gridCol w:w="597"/>
        <w:gridCol w:w="586"/>
      </w:tblGrid>
      <w:tr w:rsidR="007C4102" w:rsidRPr="007C4102" w14:paraId="48FE9B33" w14:textId="77777777" w:rsidTr="00CB2C54">
        <w:trPr>
          <w:jc w:val="center"/>
        </w:trPr>
        <w:tc>
          <w:tcPr>
            <w:tcW w:w="1884" w:type="pct"/>
            <w:gridSpan w:val="3"/>
            <w:tcBorders>
              <w:top w:val="single" w:sz="4" w:space="0" w:color="auto"/>
              <w:bottom w:val="nil"/>
            </w:tcBorders>
            <w:vAlign w:val="center"/>
          </w:tcPr>
          <w:p w14:paraId="599114DD" w14:textId="52F65845" w:rsidR="00DA4DC6" w:rsidRPr="007C4102" w:rsidRDefault="00DA4DC6" w:rsidP="00DA4DC6">
            <w:pPr>
              <w:pStyle w:val="TCTableBody"/>
              <w:spacing w:after="0"/>
              <w:jc w:val="center"/>
              <w:rPr>
                <w:lang w:val="pt-BR"/>
              </w:rPr>
            </w:pPr>
            <w:r w:rsidRPr="007C4102">
              <w:rPr>
                <w:lang w:val="pt-BR"/>
              </w:rPr>
              <w:t>Sítios básicos</w:t>
            </w:r>
          </w:p>
        </w:tc>
        <w:tc>
          <w:tcPr>
            <w:tcW w:w="1875" w:type="pct"/>
            <w:gridSpan w:val="3"/>
            <w:tcBorders>
              <w:top w:val="single" w:sz="4" w:space="0" w:color="auto"/>
              <w:bottom w:val="nil"/>
            </w:tcBorders>
            <w:vAlign w:val="center"/>
          </w:tcPr>
          <w:p w14:paraId="4CA0DE76" w14:textId="3C50C9F6" w:rsidR="00DA4DC6" w:rsidRPr="007C4102" w:rsidRDefault="00DA4DC6" w:rsidP="00DA4DC6">
            <w:pPr>
              <w:pStyle w:val="TCTableBody"/>
              <w:spacing w:after="0"/>
              <w:jc w:val="center"/>
              <w:rPr>
                <w:lang w:val="pt-BR"/>
              </w:rPr>
            </w:pPr>
            <w:r w:rsidRPr="007C4102">
              <w:rPr>
                <w:lang w:val="pt-BR"/>
              </w:rPr>
              <w:t>Sítios ácidos</w:t>
            </w:r>
          </w:p>
        </w:tc>
        <w:tc>
          <w:tcPr>
            <w:tcW w:w="626" w:type="pct"/>
            <w:tcBorders>
              <w:top w:val="single" w:sz="4" w:space="0" w:color="auto"/>
              <w:bottom w:val="nil"/>
            </w:tcBorders>
            <w:vAlign w:val="center"/>
          </w:tcPr>
          <w:p w14:paraId="5283202B" w14:textId="60BAE16F" w:rsidR="00DA4DC6" w:rsidRPr="007C4102" w:rsidRDefault="00DA4DC6" w:rsidP="00DA4DC6">
            <w:pPr>
              <w:pStyle w:val="TCTableBody"/>
              <w:spacing w:after="0"/>
              <w:jc w:val="center"/>
            </w:pPr>
            <w:r w:rsidRPr="007C4102">
              <w:t>B/A</w:t>
            </w:r>
          </w:p>
        </w:tc>
        <w:tc>
          <w:tcPr>
            <w:tcW w:w="616" w:type="pct"/>
            <w:tcBorders>
              <w:top w:val="single" w:sz="4" w:space="0" w:color="auto"/>
              <w:bottom w:val="nil"/>
            </w:tcBorders>
            <w:vAlign w:val="center"/>
          </w:tcPr>
          <w:p w14:paraId="0B760085" w14:textId="7F6227E8" w:rsidR="00DA4DC6" w:rsidRPr="007C4102" w:rsidRDefault="00DA4DC6" w:rsidP="00DA4DC6">
            <w:pPr>
              <w:pStyle w:val="TCTableBody"/>
              <w:spacing w:after="0"/>
              <w:jc w:val="center"/>
            </w:pPr>
            <w:r w:rsidRPr="007C4102">
              <w:t>B//A</w:t>
            </w:r>
          </w:p>
        </w:tc>
      </w:tr>
      <w:tr w:rsidR="007C4102" w:rsidRPr="007C4102" w14:paraId="4C234B22" w14:textId="77777777" w:rsidTr="00CB2C54">
        <w:trPr>
          <w:jc w:val="center"/>
        </w:trPr>
        <w:tc>
          <w:tcPr>
            <w:tcW w:w="630" w:type="pct"/>
            <w:tcBorders>
              <w:top w:val="nil"/>
              <w:bottom w:val="single" w:sz="4" w:space="0" w:color="auto"/>
            </w:tcBorders>
            <w:vAlign w:val="center"/>
          </w:tcPr>
          <w:p w14:paraId="1EA6B6E1" w14:textId="1F12CC3F" w:rsidR="00DA4DC6" w:rsidRPr="007C4102" w:rsidRDefault="00DA4DC6" w:rsidP="00DA4DC6">
            <w:pPr>
              <w:pStyle w:val="TCTableBody"/>
              <w:spacing w:after="0"/>
              <w:jc w:val="center"/>
              <w:rPr>
                <w:lang w:val="pt-BR"/>
              </w:rPr>
            </w:pPr>
            <w:r w:rsidRPr="007C4102">
              <w:rPr>
                <w:lang w:val="pt-BR"/>
              </w:rPr>
              <w:t>W</w:t>
            </w:r>
          </w:p>
        </w:tc>
        <w:tc>
          <w:tcPr>
            <w:tcW w:w="627" w:type="pct"/>
            <w:tcBorders>
              <w:top w:val="nil"/>
              <w:bottom w:val="single" w:sz="4" w:space="0" w:color="auto"/>
            </w:tcBorders>
            <w:vAlign w:val="center"/>
          </w:tcPr>
          <w:p w14:paraId="7CC2A409" w14:textId="2B79F71F" w:rsidR="00DA4DC6" w:rsidRPr="007C4102" w:rsidRDefault="00DA4DC6" w:rsidP="00DA4DC6">
            <w:pPr>
              <w:pStyle w:val="TCTableBody"/>
              <w:spacing w:after="0"/>
              <w:jc w:val="center"/>
              <w:rPr>
                <w:lang w:val="pt-BR"/>
              </w:rPr>
            </w:pPr>
            <w:r w:rsidRPr="007C4102">
              <w:rPr>
                <w:lang w:val="pt-BR"/>
              </w:rPr>
              <w:t>M</w:t>
            </w:r>
          </w:p>
        </w:tc>
        <w:tc>
          <w:tcPr>
            <w:tcW w:w="627" w:type="pct"/>
            <w:tcBorders>
              <w:top w:val="nil"/>
              <w:bottom w:val="single" w:sz="4" w:space="0" w:color="auto"/>
            </w:tcBorders>
            <w:vAlign w:val="center"/>
          </w:tcPr>
          <w:p w14:paraId="521BE65A" w14:textId="372242C8" w:rsidR="00DA4DC6" w:rsidRPr="007C4102" w:rsidRDefault="00DA4DC6" w:rsidP="00DA4DC6">
            <w:pPr>
              <w:pStyle w:val="TCTableBody"/>
              <w:spacing w:after="0"/>
              <w:jc w:val="center"/>
              <w:rPr>
                <w:lang w:val="pt-BR"/>
              </w:rPr>
            </w:pPr>
            <w:r w:rsidRPr="007C4102">
              <w:rPr>
                <w:lang w:val="pt-BR"/>
              </w:rPr>
              <w:t>S</w:t>
            </w:r>
          </w:p>
        </w:tc>
        <w:tc>
          <w:tcPr>
            <w:tcW w:w="625" w:type="pct"/>
            <w:tcBorders>
              <w:top w:val="nil"/>
              <w:bottom w:val="single" w:sz="4" w:space="0" w:color="auto"/>
            </w:tcBorders>
            <w:vAlign w:val="center"/>
          </w:tcPr>
          <w:p w14:paraId="0A3A0A45" w14:textId="38EA6856" w:rsidR="00DA4DC6" w:rsidRPr="007C4102" w:rsidRDefault="00DA4DC6" w:rsidP="00DA4DC6">
            <w:pPr>
              <w:pStyle w:val="TCTableBody"/>
              <w:spacing w:after="0"/>
              <w:jc w:val="center"/>
            </w:pPr>
            <w:r w:rsidRPr="007C4102">
              <w:rPr>
                <w:lang w:val="pt-BR"/>
              </w:rPr>
              <w:t>W</w:t>
            </w:r>
          </w:p>
        </w:tc>
        <w:tc>
          <w:tcPr>
            <w:tcW w:w="625" w:type="pct"/>
            <w:tcBorders>
              <w:top w:val="nil"/>
              <w:bottom w:val="single" w:sz="4" w:space="0" w:color="auto"/>
            </w:tcBorders>
            <w:vAlign w:val="center"/>
          </w:tcPr>
          <w:p w14:paraId="339CF16E" w14:textId="1965A9AB" w:rsidR="00DA4DC6" w:rsidRPr="007C4102" w:rsidRDefault="00DA4DC6" w:rsidP="00DA4DC6">
            <w:pPr>
              <w:pStyle w:val="TCTableBody"/>
              <w:spacing w:after="0"/>
              <w:jc w:val="center"/>
            </w:pPr>
            <w:r w:rsidRPr="007C4102">
              <w:rPr>
                <w:lang w:val="pt-BR"/>
              </w:rPr>
              <w:t>M</w:t>
            </w:r>
          </w:p>
        </w:tc>
        <w:tc>
          <w:tcPr>
            <w:tcW w:w="626" w:type="pct"/>
            <w:tcBorders>
              <w:top w:val="nil"/>
              <w:bottom w:val="single" w:sz="4" w:space="0" w:color="auto"/>
            </w:tcBorders>
            <w:vAlign w:val="center"/>
          </w:tcPr>
          <w:p w14:paraId="26E6D5EA" w14:textId="420368B2" w:rsidR="00DA4DC6" w:rsidRPr="007C4102" w:rsidRDefault="00DA4DC6" w:rsidP="00DA4DC6">
            <w:pPr>
              <w:pStyle w:val="TCTableBody"/>
              <w:spacing w:after="0"/>
              <w:jc w:val="center"/>
            </w:pPr>
            <w:r w:rsidRPr="007C4102">
              <w:rPr>
                <w:lang w:val="pt-BR"/>
              </w:rPr>
              <w:t>S</w:t>
            </w:r>
          </w:p>
        </w:tc>
        <w:tc>
          <w:tcPr>
            <w:tcW w:w="626" w:type="pct"/>
            <w:tcBorders>
              <w:top w:val="nil"/>
              <w:bottom w:val="single" w:sz="4" w:space="0" w:color="auto"/>
            </w:tcBorders>
            <w:vAlign w:val="center"/>
          </w:tcPr>
          <w:p w14:paraId="22AAFB5B" w14:textId="77777777" w:rsidR="00DA4DC6" w:rsidRPr="007C4102" w:rsidRDefault="00DA4DC6" w:rsidP="00DA4DC6">
            <w:pPr>
              <w:pStyle w:val="TCTableBody"/>
              <w:spacing w:after="0"/>
              <w:jc w:val="center"/>
            </w:pPr>
          </w:p>
        </w:tc>
        <w:tc>
          <w:tcPr>
            <w:tcW w:w="616" w:type="pct"/>
            <w:tcBorders>
              <w:top w:val="nil"/>
              <w:bottom w:val="single" w:sz="4" w:space="0" w:color="auto"/>
            </w:tcBorders>
            <w:vAlign w:val="center"/>
          </w:tcPr>
          <w:p w14:paraId="7731D3A2" w14:textId="7C354528" w:rsidR="00DA4DC6" w:rsidRPr="007C4102" w:rsidRDefault="00DA4DC6" w:rsidP="00DA4DC6">
            <w:pPr>
              <w:pStyle w:val="TCTableBody"/>
              <w:spacing w:after="0"/>
              <w:jc w:val="center"/>
            </w:pPr>
          </w:p>
        </w:tc>
      </w:tr>
      <w:tr w:rsidR="007C4102" w:rsidRPr="007C4102" w14:paraId="19494BEC" w14:textId="4DCD2056" w:rsidTr="00CB2C54">
        <w:trPr>
          <w:trHeight w:val="454"/>
          <w:jc w:val="center"/>
        </w:trPr>
        <w:tc>
          <w:tcPr>
            <w:tcW w:w="630" w:type="pct"/>
            <w:tcBorders>
              <w:top w:val="single" w:sz="4" w:space="0" w:color="auto"/>
            </w:tcBorders>
            <w:vAlign w:val="center"/>
          </w:tcPr>
          <w:p w14:paraId="4779D46B" w14:textId="36B8302F" w:rsidR="00DA4DC6" w:rsidRPr="007C4102" w:rsidRDefault="00DA4DC6" w:rsidP="00DA4DC6">
            <w:pPr>
              <w:pStyle w:val="TCTableBody"/>
              <w:spacing w:after="0"/>
              <w:jc w:val="center"/>
              <w:rPr>
                <w:lang w:val="pt-BR"/>
              </w:rPr>
            </w:pPr>
            <w:r w:rsidRPr="007C4102">
              <w:rPr>
                <w:lang w:val="pt-BR"/>
              </w:rPr>
              <w:t>40,8</w:t>
            </w:r>
          </w:p>
        </w:tc>
        <w:tc>
          <w:tcPr>
            <w:tcW w:w="627" w:type="pct"/>
            <w:tcBorders>
              <w:top w:val="single" w:sz="4" w:space="0" w:color="auto"/>
            </w:tcBorders>
            <w:vAlign w:val="center"/>
          </w:tcPr>
          <w:p w14:paraId="27D6E058" w14:textId="26A00E92" w:rsidR="00DA4DC6" w:rsidRPr="007C4102" w:rsidRDefault="00DA4DC6" w:rsidP="00DA4DC6">
            <w:pPr>
              <w:pStyle w:val="TCTableBody"/>
              <w:spacing w:after="0"/>
              <w:jc w:val="center"/>
              <w:rPr>
                <w:lang w:val="pt-BR"/>
              </w:rPr>
            </w:pPr>
            <w:r w:rsidRPr="007C4102">
              <w:rPr>
                <w:lang w:val="pt-BR"/>
              </w:rPr>
              <w:t>15,5</w:t>
            </w:r>
          </w:p>
        </w:tc>
        <w:tc>
          <w:tcPr>
            <w:tcW w:w="627" w:type="pct"/>
            <w:tcBorders>
              <w:top w:val="single" w:sz="4" w:space="0" w:color="auto"/>
            </w:tcBorders>
            <w:vAlign w:val="center"/>
          </w:tcPr>
          <w:p w14:paraId="796950C7" w14:textId="655BBF45" w:rsidR="00DA4DC6" w:rsidRPr="007C4102" w:rsidRDefault="00DA4DC6" w:rsidP="00DA4DC6">
            <w:pPr>
              <w:pStyle w:val="TCTableBody"/>
              <w:spacing w:after="0"/>
              <w:jc w:val="center"/>
              <w:rPr>
                <w:lang w:val="pt-BR"/>
              </w:rPr>
            </w:pPr>
            <w:r w:rsidRPr="007C4102">
              <w:rPr>
                <w:lang w:val="pt-BR"/>
              </w:rPr>
              <w:t>43,7</w:t>
            </w:r>
          </w:p>
        </w:tc>
        <w:tc>
          <w:tcPr>
            <w:tcW w:w="625" w:type="pct"/>
            <w:tcBorders>
              <w:top w:val="single" w:sz="4" w:space="0" w:color="auto"/>
            </w:tcBorders>
            <w:vAlign w:val="center"/>
          </w:tcPr>
          <w:p w14:paraId="2764E5D1" w14:textId="3A8D7858" w:rsidR="00DA4DC6" w:rsidRPr="007C4102" w:rsidRDefault="00DA4DC6" w:rsidP="00DA4DC6">
            <w:pPr>
              <w:pStyle w:val="TCTableBody"/>
              <w:spacing w:after="0"/>
              <w:jc w:val="center"/>
              <w:rPr>
                <w:lang w:val="pt-BR"/>
              </w:rPr>
            </w:pPr>
            <w:r w:rsidRPr="007C4102">
              <w:rPr>
                <w:lang w:val="pt-BR"/>
              </w:rPr>
              <w:t>46,2</w:t>
            </w:r>
          </w:p>
        </w:tc>
        <w:tc>
          <w:tcPr>
            <w:tcW w:w="625" w:type="pct"/>
            <w:tcBorders>
              <w:top w:val="single" w:sz="4" w:space="0" w:color="auto"/>
            </w:tcBorders>
            <w:vAlign w:val="center"/>
          </w:tcPr>
          <w:p w14:paraId="378B7503" w14:textId="604EA9AC" w:rsidR="00DA4DC6" w:rsidRPr="007C4102" w:rsidRDefault="00DA4DC6" w:rsidP="00DA4DC6">
            <w:pPr>
              <w:pStyle w:val="TCTableBody"/>
              <w:spacing w:after="0"/>
              <w:jc w:val="center"/>
            </w:pPr>
            <w:r w:rsidRPr="007C4102">
              <w:t>30,4</w:t>
            </w:r>
          </w:p>
        </w:tc>
        <w:tc>
          <w:tcPr>
            <w:tcW w:w="626" w:type="pct"/>
            <w:tcBorders>
              <w:top w:val="single" w:sz="4" w:space="0" w:color="auto"/>
            </w:tcBorders>
            <w:vAlign w:val="center"/>
          </w:tcPr>
          <w:p w14:paraId="3812CC70" w14:textId="6B5B4FEF" w:rsidR="00DA4DC6" w:rsidRPr="007C4102" w:rsidRDefault="00DA4DC6" w:rsidP="00DA4DC6">
            <w:pPr>
              <w:pStyle w:val="TCTableBody"/>
              <w:spacing w:after="0"/>
              <w:jc w:val="center"/>
            </w:pPr>
            <w:r w:rsidRPr="007C4102">
              <w:t>23,3</w:t>
            </w:r>
          </w:p>
        </w:tc>
        <w:tc>
          <w:tcPr>
            <w:tcW w:w="626" w:type="pct"/>
            <w:tcBorders>
              <w:top w:val="single" w:sz="4" w:space="0" w:color="auto"/>
            </w:tcBorders>
            <w:vAlign w:val="center"/>
          </w:tcPr>
          <w:p w14:paraId="17381119" w14:textId="359DCD93" w:rsidR="00DA4DC6" w:rsidRPr="007C4102" w:rsidRDefault="00DA4DC6" w:rsidP="00DA4DC6">
            <w:pPr>
              <w:pStyle w:val="TCTableBody"/>
              <w:spacing w:after="0"/>
              <w:jc w:val="center"/>
            </w:pPr>
            <w:r w:rsidRPr="007C4102">
              <w:t>1,59</w:t>
            </w:r>
          </w:p>
        </w:tc>
        <w:tc>
          <w:tcPr>
            <w:tcW w:w="616" w:type="pct"/>
            <w:tcBorders>
              <w:top w:val="single" w:sz="4" w:space="0" w:color="auto"/>
            </w:tcBorders>
            <w:vAlign w:val="center"/>
          </w:tcPr>
          <w:p w14:paraId="515CEF9F" w14:textId="3DDC215F" w:rsidR="00DA4DC6" w:rsidRPr="007C4102" w:rsidRDefault="00DA4DC6" w:rsidP="00DA4DC6">
            <w:pPr>
              <w:pStyle w:val="TCTableBody"/>
              <w:spacing w:after="0"/>
              <w:jc w:val="center"/>
            </w:pPr>
            <w:r w:rsidRPr="007C4102">
              <w:t>1,16</w:t>
            </w:r>
          </w:p>
        </w:tc>
      </w:tr>
    </w:tbl>
    <w:p w14:paraId="41802EF6" w14:textId="64B7F053" w:rsidR="00F91B8D" w:rsidRPr="007C4102" w:rsidRDefault="00E37C32" w:rsidP="00E37C32">
      <w:pPr>
        <w:pStyle w:val="TCTableBody"/>
        <w:spacing w:after="0" w:line="240" w:lineRule="auto"/>
        <w:ind w:left="90"/>
        <w:rPr>
          <w:rFonts w:ascii="Times New Roman" w:hAnsi="Times New Roman"/>
          <w:lang w:val="pt-BR"/>
        </w:rPr>
      </w:pPr>
      <w:r w:rsidRPr="007C4102">
        <w:rPr>
          <w:rFonts w:ascii="Times New Roman" w:hAnsi="Times New Roman"/>
          <w:lang w:val="pt-BR"/>
        </w:rPr>
        <w:t>W: sítios fracos, M: sítios médios, S: sítios fortes, B/A: razão sítios básicos por ácidos totais, B//A: razão sítios básicos por ácidos fracos + médios</w:t>
      </w:r>
    </w:p>
    <w:p w14:paraId="3CAF15CF" w14:textId="77777777" w:rsidR="00E37C32" w:rsidRPr="007C4102" w:rsidRDefault="00E37C32" w:rsidP="001866E1">
      <w:pPr>
        <w:pStyle w:val="TAMainText"/>
        <w:ind w:firstLine="0"/>
        <w:rPr>
          <w:rFonts w:ascii="Times New Roman" w:hAnsi="Times New Roman"/>
          <w:i/>
          <w:lang w:val="pt-BR"/>
        </w:rPr>
      </w:pPr>
    </w:p>
    <w:p w14:paraId="671E41E0" w14:textId="65DBEF82" w:rsidR="001866E1" w:rsidRPr="007C4102" w:rsidRDefault="001866E1" w:rsidP="001866E1">
      <w:pPr>
        <w:pStyle w:val="TAMainText"/>
        <w:ind w:firstLine="0"/>
        <w:rPr>
          <w:rFonts w:ascii="Times New Roman" w:hAnsi="Times New Roman"/>
          <w:i/>
          <w:lang w:val="pt-BR"/>
        </w:rPr>
      </w:pPr>
      <w:r w:rsidRPr="007C4102">
        <w:rPr>
          <w:rFonts w:ascii="Times New Roman" w:hAnsi="Times New Roman"/>
          <w:i/>
          <w:lang w:val="pt-BR"/>
        </w:rPr>
        <w:t>Testes catalíticos</w:t>
      </w:r>
    </w:p>
    <w:p w14:paraId="6FEB8AA7" w14:textId="712948F5" w:rsidR="00920334" w:rsidRPr="007C4102" w:rsidRDefault="003528A7" w:rsidP="00920334">
      <w:pPr>
        <w:pStyle w:val="CBCat"/>
        <w:rPr>
          <w:rStyle w:val="Style1Char"/>
          <w:lang w:val="pt-BR"/>
        </w:rPr>
      </w:pPr>
      <w:r w:rsidRPr="007C4102">
        <w:t xml:space="preserve">Os testes catalíticos foram realizados em diferentes temperaturas (250, 300 e 350 °C) e pressões parciais de etanol (15, 20 e 25 kPa). </w:t>
      </w:r>
      <w:r w:rsidR="0095199B" w:rsidRPr="007C4102">
        <w:t>A temperatura constante, a conversão não apresentou variações significativas com o aumento da pressão parcial</w:t>
      </w:r>
      <w:r w:rsidR="00622B93">
        <w:t xml:space="preserve"> de etanol</w:t>
      </w:r>
      <w:r w:rsidR="0095199B" w:rsidRPr="007C4102">
        <w:t xml:space="preserve">. </w:t>
      </w:r>
      <w:r w:rsidR="00CD730B">
        <w:t>Na temperatura de</w:t>
      </w:r>
      <w:r w:rsidR="0095199B" w:rsidRPr="007C4102">
        <w:t xml:space="preserve"> 250 °C, a conversão de etanol variou de 4,41 a 4,63 % com a pressão parcial de etanol </w:t>
      </w:r>
      <w:r w:rsidR="00CD730B">
        <w:t xml:space="preserve">variando entre </w:t>
      </w:r>
      <w:r w:rsidR="00E37C32" w:rsidRPr="007C4102">
        <w:t xml:space="preserve">15 </w:t>
      </w:r>
      <w:r w:rsidR="00CD730B">
        <w:t>e</w:t>
      </w:r>
      <w:r w:rsidR="00CD730B" w:rsidRPr="007C4102">
        <w:t xml:space="preserve"> </w:t>
      </w:r>
      <w:r w:rsidR="00E37C32" w:rsidRPr="007C4102">
        <w:t>25</w:t>
      </w:r>
      <w:r w:rsidR="0095199B" w:rsidRPr="007C4102">
        <w:t xml:space="preserve"> </w:t>
      </w:r>
      <w:r w:rsidR="00E37C32" w:rsidRPr="007C4102">
        <w:t>kPa</w:t>
      </w:r>
      <w:r w:rsidR="0095199B" w:rsidRPr="007C4102">
        <w:t xml:space="preserve">. Já a 300 °C, a conversão foi de 5,89 a 6,16 %, </w:t>
      </w:r>
      <w:r w:rsidR="00101156" w:rsidRPr="007C4102">
        <w:t>enquanto</w:t>
      </w:r>
      <w:r w:rsidR="0095199B" w:rsidRPr="007C4102">
        <w:t xml:space="preserve"> a 350 °C, a conversão variou de 8,00 a 9,70%. Como a variação da conversão </w:t>
      </w:r>
      <w:r w:rsidR="000A48B6">
        <w:t xml:space="preserve">de etanol não </w:t>
      </w:r>
      <w:r w:rsidR="0095199B" w:rsidRPr="007C4102">
        <w:t>aumento</w:t>
      </w:r>
      <w:r w:rsidR="000A48B6">
        <w:t>u</w:t>
      </w:r>
      <w:r w:rsidR="0095199B" w:rsidRPr="007C4102">
        <w:t xml:space="preserve"> </w:t>
      </w:r>
      <w:r w:rsidR="000A48B6">
        <w:t>significativamente com a</w:t>
      </w:r>
      <w:r w:rsidR="0095199B" w:rsidRPr="007C4102">
        <w:t xml:space="preserve"> </w:t>
      </w:r>
      <w:r w:rsidR="000A48B6">
        <w:t xml:space="preserve">mudança da pressão parcial de </w:t>
      </w:r>
      <w:r w:rsidR="001D3D5C">
        <w:t>etanol</w:t>
      </w:r>
      <w:r w:rsidR="001D3D5C" w:rsidRPr="007C4102">
        <w:t xml:space="preserve">, </w:t>
      </w:r>
      <w:r w:rsidR="001D3D5C">
        <w:t>é</w:t>
      </w:r>
      <w:r w:rsidR="000A48B6">
        <w:t xml:space="preserve"> </w:t>
      </w:r>
      <w:r w:rsidR="001D3D5C">
        <w:t xml:space="preserve">provável </w:t>
      </w:r>
      <w:r w:rsidR="001D3D5C" w:rsidRPr="007C4102">
        <w:t>de</w:t>
      </w:r>
      <w:r w:rsidR="0095199B" w:rsidRPr="007C4102">
        <w:t xml:space="preserve"> que a ordem de reação é </w:t>
      </w:r>
      <w:r w:rsidR="001D3D5C">
        <w:t>próxima</w:t>
      </w:r>
      <w:r w:rsidR="00CD730B">
        <w:t xml:space="preserve"> de</w:t>
      </w:r>
      <w:r w:rsidR="00CD730B" w:rsidRPr="007C4102">
        <w:t xml:space="preserve"> </w:t>
      </w:r>
      <w:r w:rsidR="0095199B" w:rsidRPr="007C4102">
        <w:t xml:space="preserve">um. </w:t>
      </w:r>
      <w:r w:rsidR="00AD3F1E">
        <w:t xml:space="preserve">Para se evitar gradientes de temperatura e pressão trabalha-se com reator em conversões diferenciais (normalmente com a conversão dos reagentes menor que 5%), que também é comumente referido como reator diferencial </w:t>
      </w:r>
      <w:r w:rsidR="00AD3F1E">
        <w:fldChar w:fldCharType="begin"/>
      </w:r>
      <w:r w:rsidR="00DD197A">
        <w:instrText xml:space="preserve"> ADDIN ZOTERO_ITEM CSL_CITATION {"citationID":"aOwZdNH9","properties":{"unsorted":true,"formattedCitation":"(15)","plainCitation":"(15)","noteIndex":0},"citationItems":[{"id":3460,"uris":["http://zotero.org/users/11372031/items/9PNLD4ZK"],"itemData":{"id":3460,"type":"document","title":"Zhang et al. - 2019 - How to Measure the Reaction Performance of Heterog.pdf"}}],"schema":"https://github.com/citation-style-language/schema/raw/master/csl-citation.json"} </w:instrText>
      </w:r>
      <w:r w:rsidR="00AD3F1E">
        <w:fldChar w:fldCharType="separate"/>
      </w:r>
      <w:r w:rsidR="00AD3F1E" w:rsidRPr="00AD3F1E">
        <w:t>(15)</w:t>
      </w:r>
      <w:r w:rsidR="00AD3F1E">
        <w:fldChar w:fldCharType="end"/>
      </w:r>
      <w:r w:rsidR="00AD3F1E">
        <w:t>. Na Figura 4 observa-se que as conversões obtidas variam entre 4 a 10%</w:t>
      </w:r>
      <w:r w:rsidR="00D818D3">
        <w:t xml:space="preserve">, mas como os valores </w:t>
      </w:r>
      <w:r w:rsidR="005C3BDC">
        <w:t>para critério</w:t>
      </w:r>
      <w:r w:rsidR="00D818D3">
        <w:t xml:space="preserve"> de Weisz-</w:t>
      </w:r>
      <w:proofErr w:type="spellStart"/>
      <w:r w:rsidR="00D818D3">
        <w:t>Prater</w:t>
      </w:r>
      <w:proofErr w:type="spellEnd"/>
      <w:r w:rsidR="00D818D3">
        <w:t xml:space="preserve"> (</w:t>
      </w:r>
      <w:proofErr w:type="spellStart"/>
      <w:r w:rsidR="00D818D3">
        <w:t>C</w:t>
      </w:r>
      <w:r w:rsidR="00D818D3">
        <w:rPr>
          <w:vertAlign w:val="subscript"/>
        </w:rPr>
        <w:t>wp</w:t>
      </w:r>
      <w:proofErr w:type="spellEnd"/>
      <w:r w:rsidR="00D818D3">
        <w:t>) obtidos em todas as reações condicionais foram menores do que um</w:t>
      </w:r>
      <w:r w:rsidR="005C3BDC">
        <w:t xml:space="preserve">  podemos afirmar que não existem limitações </w:t>
      </w:r>
      <w:proofErr w:type="spellStart"/>
      <w:r w:rsidR="005C3BDC">
        <w:t>difusionais</w:t>
      </w:r>
      <w:proofErr w:type="spellEnd"/>
      <w:r w:rsidR="005C3BDC">
        <w:t xml:space="preserve"> nas reações estudas</w:t>
      </w:r>
      <w:r w:rsidR="005C3BDC">
        <w:fldChar w:fldCharType="begin"/>
      </w:r>
      <w:r w:rsidR="001E3EB2">
        <w:instrText xml:space="preserve"> ADDIN ZOTERO_ITEM CSL_CITATION {"citationID":"91ifFSlg","properties":{"formattedCitation":"(16)","plainCitation":"(16)","noteIndex":0},"citationItems":[{"id":2728,"uris":["http://zotero.org/users/11372031/items/WTXAQLZE"],"itemData":{"id":2728,"type":"article-journal","abstract":"Several studies have investigated the acidic/basic sites of the hydroxyapatite (HAP) surface. However, their specific role in the catalytic properties of HAP is still discussed. Here, we investigated different preparation methods (ultrasound, microwave, and autoclave) of HAP and how they affect the catalytic activity for ethanol conversion. The synthesis methods changed the number and distribution of acidic/basic sites, affecting the product selectivity. The best performance toward condensation products was observed for the microwave-treated catalyst. We also report a density functional theory (DFT) investigation on the reaction pathways of twelve steps of ethanol conversion on the HAP(0001) surface. Our DFT results suggest that the availability of basic sites can facilitate acetaldehyde formation. Furthermore, our theoretical insights indicate that the balance of acidic/basic sites contributes to the C−C bond formation, which is consistent with our experimental observations.","container-title":"Journal of Catalysis","DOI":"10.1016/j.jcat.2021.08.050","ISSN":"10902694","note":"publisher: Elsevier Inc.","page":"802-813","title":"Synthesis modification of hydroxyapatite surface for ethanol conversion: The role of the acidic/basic sites ratio","volume":"404","author":[{"family":"Brasil","given":"Henrique"},{"family":"Bittencourt","given":"Albert F.B."},{"family":"Yokoo","given":"Kathlen C.E.S."},{"family":"Mendes","given":"Paulo C.D."},{"family":"Verga","given":"Lucas G."},{"family":"Andriani","given":"Karla F."},{"family":"Landers","given":"Richard"},{"family":"Da Silva","given":"Juarez L.F."},{"family":"Valença","given":"Gustavo P."}],"issued":{"date-parts":[["2021"]]}}}],"schema":"https://github.com/citation-style-language/schema/raw/master/csl-citation.json"} </w:instrText>
      </w:r>
      <w:r w:rsidR="005C3BDC">
        <w:fldChar w:fldCharType="separate"/>
      </w:r>
      <w:r w:rsidR="001E3EB2" w:rsidRPr="001E3EB2">
        <w:t>(16)</w:t>
      </w:r>
      <w:r w:rsidR="005C3BDC">
        <w:fldChar w:fldCharType="end"/>
      </w:r>
      <w:r w:rsidR="005C3BDC">
        <w:t xml:space="preserve">. </w:t>
      </w:r>
    </w:p>
    <w:p w14:paraId="3A332247" w14:textId="55ECE494" w:rsidR="00920334" w:rsidRPr="007C4102" w:rsidRDefault="00920334" w:rsidP="00920334">
      <w:pPr>
        <w:jc w:val="center"/>
        <w:rPr>
          <w:rFonts w:ascii="Times New Roman" w:hAnsi="Times New Roman" w:cs="Times New Roman"/>
        </w:rPr>
      </w:pPr>
      <w:r w:rsidRPr="007C4102">
        <w:rPr>
          <w:noProof/>
        </w:rPr>
        <w:drawing>
          <wp:inline distT="0" distB="0" distL="0" distR="0" wp14:anchorId="38040974" wp14:editId="5CADA8F5">
            <wp:extent cx="3027680" cy="2084070"/>
            <wp:effectExtent l="0" t="0" r="1270" b="0"/>
            <wp:docPr id="17" name="Chart 17">
              <a:extLst xmlns:a="http://schemas.openxmlformats.org/drawingml/2006/main">
                <a:ext uri="{FF2B5EF4-FFF2-40B4-BE49-F238E27FC236}">
                  <a16:creationId xmlns:a16="http://schemas.microsoft.com/office/drawing/2014/main" id="{C2CDD2C7-8CD9-03B0-9DE9-F2821BA73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A9F264" w14:textId="64EA5670" w:rsidR="00920334" w:rsidRPr="007C4102" w:rsidRDefault="0065578B" w:rsidP="0065578B">
      <w:pPr>
        <w:pStyle w:val="Caption"/>
        <w:jc w:val="center"/>
        <w:rPr>
          <w:rFonts w:ascii="Times New Roman" w:hAnsi="Times New Roman" w:cs="Times New Roman"/>
          <w:color w:val="auto"/>
        </w:rPr>
      </w:pPr>
      <w:r w:rsidRPr="00EC6407">
        <w:rPr>
          <w:rStyle w:val="FiguraChar"/>
          <w:rFonts w:eastAsiaTheme="minorEastAsia"/>
          <w:b/>
          <w:bCs w:val="0"/>
          <w:color w:val="auto"/>
          <w:lang w:val="pt-BR"/>
        </w:rPr>
        <w:t xml:space="preserve">Figura </w:t>
      </w:r>
      <w:r w:rsidRPr="007C4102">
        <w:rPr>
          <w:rStyle w:val="FiguraChar"/>
          <w:rFonts w:eastAsiaTheme="minorEastAsia"/>
          <w:b/>
          <w:bCs w:val="0"/>
          <w:color w:val="auto"/>
        </w:rPr>
        <w:fldChar w:fldCharType="begin"/>
      </w:r>
      <w:r w:rsidRPr="00EC6407">
        <w:rPr>
          <w:rStyle w:val="FiguraChar"/>
          <w:rFonts w:eastAsiaTheme="minorEastAsia"/>
          <w:b/>
          <w:bCs w:val="0"/>
          <w:color w:val="auto"/>
          <w:lang w:val="pt-BR"/>
        </w:rPr>
        <w:instrText xml:space="preserve"> SEQ Figura \* ARABIC </w:instrText>
      </w:r>
      <w:r w:rsidRPr="007C4102">
        <w:rPr>
          <w:rStyle w:val="FiguraChar"/>
          <w:rFonts w:eastAsiaTheme="minorEastAsia"/>
          <w:b/>
          <w:bCs w:val="0"/>
          <w:color w:val="auto"/>
        </w:rPr>
        <w:fldChar w:fldCharType="separate"/>
      </w:r>
      <w:r w:rsidRPr="00EC6407">
        <w:rPr>
          <w:rStyle w:val="FiguraChar"/>
          <w:rFonts w:eastAsiaTheme="minorEastAsia"/>
          <w:b/>
          <w:bCs w:val="0"/>
          <w:color w:val="auto"/>
          <w:lang w:val="pt-BR"/>
        </w:rPr>
        <w:t>4</w:t>
      </w:r>
      <w:r w:rsidRPr="007C4102">
        <w:rPr>
          <w:rStyle w:val="FiguraChar"/>
          <w:rFonts w:eastAsiaTheme="minorEastAsia"/>
          <w:b/>
          <w:bCs w:val="0"/>
          <w:color w:val="auto"/>
        </w:rPr>
        <w:fldChar w:fldCharType="end"/>
      </w:r>
      <w:r w:rsidRPr="00EC6407">
        <w:rPr>
          <w:rStyle w:val="FiguraChar"/>
          <w:rFonts w:eastAsiaTheme="minorEastAsia"/>
          <w:b/>
          <w:bCs w:val="0"/>
          <w:color w:val="auto"/>
          <w:lang w:val="pt-BR"/>
        </w:rPr>
        <w:t>.</w:t>
      </w:r>
      <w:r w:rsidRPr="007C4102">
        <w:rPr>
          <w:color w:val="auto"/>
        </w:rPr>
        <w:t xml:space="preserve"> </w:t>
      </w:r>
      <w:r w:rsidR="00920334" w:rsidRPr="00EC6407">
        <w:rPr>
          <w:rStyle w:val="FiguraChar"/>
          <w:rFonts w:eastAsiaTheme="minorEastAsia"/>
          <w:color w:val="auto"/>
          <w:lang w:val="pt-BR"/>
        </w:rPr>
        <w:t>Isotermas de adsorção-dessorção de N2</w:t>
      </w:r>
    </w:p>
    <w:p w14:paraId="66BB862E" w14:textId="7721544E" w:rsidR="00920334" w:rsidRPr="007C4102" w:rsidRDefault="00605DB2" w:rsidP="00920334">
      <w:pPr>
        <w:pStyle w:val="CBCat"/>
        <w:rPr>
          <w:rFonts w:ascii="Times" w:hAnsi="Times"/>
        </w:rPr>
      </w:pPr>
      <w:r>
        <w:rPr>
          <w:rStyle w:val="Style1Char"/>
          <w:lang w:val="pt-BR"/>
        </w:rPr>
        <w:t>A</w:t>
      </w:r>
      <w:r w:rsidRPr="007C4102">
        <w:rPr>
          <w:rStyle w:val="Style1Char"/>
          <w:lang w:val="pt-BR"/>
        </w:rPr>
        <w:t xml:space="preserve"> </w:t>
      </w:r>
      <w:r w:rsidR="00920334" w:rsidRPr="007C4102">
        <w:rPr>
          <w:rStyle w:val="Style1Char"/>
          <w:lang w:val="pt-BR"/>
        </w:rPr>
        <w:t xml:space="preserve">estabilidade </w:t>
      </w:r>
      <w:r>
        <w:rPr>
          <w:rStyle w:val="Style1Char"/>
          <w:lang w:val="pt-BR"/>
        </w:rPr>
        <w:t>da reação foi avaliada</w:t>
      </w:r>
      <w:r w:rsidR="00920334" w:rsidRPr="007C4102">
        <w:rPr>
          <w:rStyle w:val="Style1Char"/>
          <w:lang w:val="pt-BR"/>
        </w:rPr>
        <w:t xml:space="preserve"> por meio da conversão e a seletividade dos produtos durante 6</w:t>
      </w:r>
      <w:r>
        <w:rPr>
          <w:rStyle w:val="Style1Char"/>
          <w:lang w:val="pt-BR"/>
        </w:rPr>
        <w:t xml:space="preserve"> </w:t>
      </w:r>
      <w:r w:rsidR="00920334" w:rsidRPr="007C4102">
        <w:rPr>
          <w:rStyle w:val="Style1Char"/>
          <w:lang w:val="pt-BR"/>
        </w:rPr>
        <w:t xml:space="preserve">h </w:t>
      </w:r>
      <w:r w:rsidR="00B82126">
        <w:rPr>
          <w:rStyle w:val="Style1Char"/>
          <w:lang w:val="pt-BR"/>
        </w:rPr>
        <w:t>contínuas</w:t>
      </w:r>
      <w:r>
        <w:rPr>
          <w:rStyle w:val="Style1Char"/>
          <w:lang w:val="pt-BR"/>
        </w:rPr>
        <w:t xml:space="preserve"> </w:t>
      </w:r>
      <w:r w:rsidR="00920334" w:rsidRPr="007C4102">
        <w:rPr>
          <w:rStyle w:val="Style1Char"/>
          <w:lang w:val="pt-BR"/>
        </w:rPr>
        <w:t>de reação. Como mostrado</w:t>
      </w:r>
      <w:r w:rsidR="00920334" w:rsidRPr="007C4102">
        <w:rPr>
          <w:rFonts w:ascii="Times" w:hAnsi="Times"/>
        </w:rPr>
        <w:t xml:space="preserve"> na</w:t>
      </w:r>
      <w:r w:rsidR="00E5421C" w:rsidRPr="007C4102">
        <w:rPr>
          <w:rFonts w:ascii="Times" w:hAnsi="Times"/>
        </w:rPr>
        <w:t xml:space="preserve"> Figura 5, </w:t>
      </w:r>
      <w:r w:rsidR="001D3D5C">
        <w:rPr>
          <w:rFonts w:ascii="Times" w:hAnsi="Times"/>
        </w:rPr>
        <w:t>n</w:t>
      </w:r>
      <w:r w:rsidR="001D3D5C" w:rsidRPr="007C4102">
        <w:rPr>
          <w:rFonts w:ascii="Times" w:hAnsi="Times"/>
        </w:rPr>
        <w:t>as temperaturas</w:t>
      </w:r>
      <w:r w:rsidR="00F70C8B" w:rsidRPr="007C4102">
        <w:rPr>
          <w:rFonts w:ascii="Times" w:hAnsi="Times"/>
        </w:rPr>
        <w:t xml:space="preserve"> de 350 °C</w:t>
      </w:r>
      <w:r w:rsidR="00F70C8B">
        <w:rPr>
          <w:rFonts w:ascii="Times" w:hAnsi="Times"/>
        </w:rPr>
        <w:t>,</w:t>
      </w:r>
      <w:r w:rsidR="00F70C8B" w:rsidRPr="007C4102">
        <w:rPr>
          <w:rFonts w:ascii="Times" w:hAnsi="Times"/>
        </w:rPr>
        <w:t xml:space="preserve"> </w:t>
      </w:r>
      <w:r w:rsidR="00F70C8B">
        <w:rPr>
          <w:rFonts w:ascii="Times" w:hAnsi="Times"/>
        </w:rPr>
        <w:t>a atividade do</w:t>
      </w:r>
      <w:r w:rsidR="00F70C8B" w:rsidRPr="007C4102">
        <w:rPr>
          <w:rFonts w:ascii="Times" w:hAnsi="Times"/>
        </w:rPr>
        <w:t xml:space="preserve"> </w:t>
      </w:r>
      <w:r w:rsidR="00920334" w:rsidRPr="007C4102">
        <w:rPr>
          <w:rFonts w:ascii="Times" w:hAnsi="Times"/>
        </w:rPr>
        <w:t>catalisador</w:t>
      </w:r>
      <w:r w:rsidR="00F70C8B">
        <w:rPr>
          <w:rFonts w:ascii="Times" w:hAnsi="Times"/>
        </w:rPr>
        <w:t xml:space="preserve"> permaneceu</w:t>
      </w:r>
      <w:r w:rsidR="00920334" w:rsidRPr="007C4102">
        <w:rPr>
          <w:rFonts w:ascii="Times" w:hAnsi="Times"/>
        </w:rPr>
        <w:t xml:space="preserve"> </w:t>
      </w:r>
      <w:r w:rsidR="00F70C8B">
        <w:rPr>
          <w:rFonts w:ascii="Times" w:hAnsi="Times"/>
        </w:rPr>
        <w:t>estável.</w:t>
      </w:r>
      <w:r w:rsidR="00920334" w:rsidRPr="007C4102">
        <w:rPr>
          <w:rFonts w:ascii="Times" w:hAnsi="Times"/>
        </w:rPr>
        <w:t xml:space="preserve"> </w:t>
      </w:r>
    </w:p>
    <w:p w14:paraId="07137FF6" w14:textId="712442FB" w:rsidR="0065578B" w:rsidRPr="007C4102" w:rsidRDefault="0065578B" w:rsidP="0065578B">
      <w:pPr>
        <w:jc w:val="center"/>
        <w:rPr>
          <w:rFonts w:ascii="Times New Roman" w:hAnsi="Times New Roman" w:cs="Times New Roman"/>
        </w:rPr>
      </w:pPr>
      <w:r w:rsidRPr="007C4102">
        <w:rPr>
          <w:noProof/>
        </w:rPr>
        <w:lastRenderedPageBreak/>
        <w:drawing>
          <wp:inline distT="0" distB="0" distL="0" distR="0" wp14:anchorId="55306CC2" wp14:editId="003E746A">
            <wp:extent cx="3027680" cy="2069465"/>
            <wp:effectExtent l="0" t="0" r="1270" b="6985"/>
            <wp:docPr id="1" name="Chart 1">
              <a:extLst xmlns:a="http://schemas.openxmlformats.org/drawingml/2006/main">
                <a:ext uri="{FF2B5EF4-FFF2-40B4-BE49-F238E27FC236}">
                  <a16:creationId xmlns:a16="http://schemas.microsoft.com/office/drawing/2014/main" id="{50637015-A289-466D-910F-3E7ED134D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CC7D50" w14:textId="6A2D44E2" w:rsidR="0065578B" w:rsidRPr="007C4102" w:rsidRDefault="0065578B" w:rsidP="0065578B">
      <w:pPr>
        <w:pStyle w:val="Caption"/>
        <w:rPr>
          <w:rFonts w:ascii="Times New Roman" w:hAnsi="Times New Roman" w:cs="Times New Roman"/>
          <w:color w:val="auto"/>
          <w:sz w:val="18"/>
          <w:szCs w:val="18"/>
        </w:rPr>
      </w:pPr>
      <w:r w:rsidRPr="007C4102">
        <w:rPr>
          <w:rFonts w:ascii="Times New Roman" w:hAnsi="Times New Roman" w:cs="Times New Roman"/>
          <w:color w:val="auto"/>
          <w:sz w:val="18"/>
          <w:szCs w:val="18"/>
        </w:rPr>
        <w:t xml:space="preserve">Figura </w:t>
      </w:r>
      <w:r w:rsidRPr="007C4102">
        <w:rPr>
          <w:rFonts w:ascii="Times New Roman" w:hAnsi="Times New Roman" w:cs="Times New Roman"/>
          <w:color w:val="auto"/>
          <w:sz w:val="18"/>
          <w:szCs w:val="18"/>
        </w:rPr>
        <w:fldChar w:fldCharType="begin"/>
      </w:r>
      <w:r w:rsidRPr="007C4102">
        <w:rPr>
          <w:rFonts w:ascii="Times New Roman" w:hAnsi="Times New Roman" w:cs="Times New Roman"/>
          <w:color w:val="auto"/>
          <w:sz w:val="18"/>
          <w:szCs w:val="18"/>
        </w:rPr>
        <w:instrText xml:space="preserve"> SEQ Figura \* ARABIC </w:instrText>
      </w:r>
      <w:r w:rsidRPr="007C4102">
        <w:rPr>
          <w:rFonts w:ascii="Times New Roman" w:hAnsi="Times New Roman" w:cs="Times New Roman"/>
          <w:color w:val="auto"/>
          <w:sz w:val="18"/>
          <w:szCs w:val="18"/>
        </w:rPr>
        <w:fldChar w:fldCharType="separate"/>
      </w:r>
      <w:r w:rsidRPr="007C4102">
        <w:rPr>
          <w:rFonts w:ascii="Times New Roman" w:hAnsi="Times New Roman" w:cs="Times New Roman"/>
          <w:noProof/>
          <w:color w:val="auto"/>
          <w:sz w:val="18"/>
          <w:szCs w:val="18"/>
        </w:rPr>
        <w:t>5</w:t>
      </w:r>
      <w:r w:rsidRPr="007C4102">
        <w:rPr>
          <w:rFonts w:ascii="Times New Roman" w:hAnsi="Times New Roman" w:cs="Times New Roman"/>
          <w:color w:val="auto"/>
          <w:sz w:val="18"/>
          <w:szCs w:val="18"/>
        </w:rPr>
        <w:fldChar w:fldCharType="end"/>
      </w:r>
      <w:r w:rsidR="008F4990" w:rsidRPr="00650121">
        <w:rPr>
          <w:rFonts w:ascii="Times New Roman" w:hAnsi="Times New Roman" w:cs="Times New Roman"/>
          <w:b w:val="0"/>
          <w:bCs w:val="0"/>
          <w:color w:val="auto"/>
          <w:sz w:val="18"/>
          <w:szCs w:val="18"/>
        </w:rPr>
        <w:t xml:space="preserve">. </w:t>
      </w:r>
      <w:r w:rsidR="00650121" w:rsidRPr="00650121">
        <w:rPr>
          <w:rFonts w:ascii="Times New Roman" w:hAnsi="Times New Roman" w:cs="Times New Roman"/>
          <w:b w:val="0"/>
          <w:bCs w:val="0"/>
          <w:color w:val="auto"/>
          <w:sz w:val="18"/>
          <w:szCs w:val="18"/>
        </w:rPr>
        <w:t>Seletividade dos produtos obtidos 350 °C</w:t>
      </w:r>
    </w:p>
    <w:p w14:paraId="31FF35D5" w14:textId="452BF460" w:rsidR="000F3C3B" w:rsidRDefault="00E64D7D" w:rsidP="00EE48D0">
      <w:pPr>
        <w:pStyle w:val="CBCat"/>
      </w:pPr>
      <w:r w:rsidRPr="007C4102">
        <w:t xml:space="preserve">Os produtos C2 obtidos foram etileno e acetaldeído. </w:t>
      </w:r>
      <w:r w:rsidR="00F15E1B">
        <w:t xml:space="preserve">A formação de </w:t>
      </w:r>
      <w:r w:rsidRPr="007C4102">
        <w:t xml:space="preserve">etileno </w:t>
      </w:r>
      <w:r w:rsidR="00F15E1B">
        <w:t xml:space="preserve">foi </w:t>
      </w:r>
      <w:r w:rsidR="001D3D5C">
        <w:t>atribuída</w:t>
      </w:r>
      <w:r w:rsidR="00F15E1B">
        <w:t xml:space="preserve"> a reações de </w:t>
      </w:r>
      <w:r w:rsidRPr="007C4102">
        <w:t xml:space="preserve">desidratação </w:t>
      </w:r>
      <w:r w:rsidR="00F15E1B" w:rsidRPr="007C4102">
        <w:t>d</w:t>
      </w:r>
      <w:r w:rsidR="00F15E1B">
        <w:t>e</w:t>
      </w:r>
      <w:r w:rsidR="00F15E1B" w:rsidRPr="007C4102">
        <w:t xml:space="preserve"> </w:t>
      </w:r>
      <w:r w:rsidRPr="007C4102">
        <w:t xml:space="preserve">etanol nos sítios ácidos </w:t>
      </w:r>
      <w:r w:rsidR="00F15E1B">
        <w:t>da</w:t>
      </w:r>
      <w:r w:rsidR="00F15E1B" w:rsidRPr="007C4102">
        <w:t xml:space="preserve"> </w:t>
      </w:r>
      <w:r w:rsidRPr="007C4102">
        <w:t>HAP</w:t>
      </w:r>
      <w:r w:rsidR="00F15E1B">
        <w:t xml:space="preserve"> e</w:t>
      </w:r>
      <w:r w:rsidRPr="007C4102">
        <w:t xml:space="preserve"> o acetaldeído </w:t>
      </w:r>
      <w:r w:rsidR="00F15E1B">
        <w:t>a reações de</w:t>
      </w:r>
      <w:r w:rsidRPr="007C4102">
        <w:t xml:space="preserve"> desidrogenação </w:t>
      </w:r>
      <w:r w:rsidR="00F15E1B" w:rsidRPr="007C4102">
        <w:t>d</w:t>
      </w:r>
      <w:r w:rsidR="00F15E1B">
        <w:t>e</w:t>
      </w:r>
      <w:r w:rsidR="00F15E1B" w:rsidRPr="007C4102">
        <w:t xml:space="preserve"> </w:t>
      </w:r>
      <w:r w:rsidRPr="007C4102">
        <w:t xml:space="preserve">etanol </w:t>
      </w:r>
      <w:r w:rsidR="00F15E1B">
        <w:t>nos</w:t>
      </w:r>
      <w:r w:rsidR="00F15E1B" w:rsidRPr="007C4102">
        <w:t xml:space="preserve"> </w:t>
      </w:r>
      <w:r w:rsidRPr="007C4102">
        <w:t>sítios básicos da HAP</w:t>
      </w:r>
      <w:r w:rsidR="00DC7279">
        <w:t xml:space="preserve"> </w:t>
      </w:r>
      <w:r w:rsidR="00DC7279">
        <w:fldChar w:fldCharType="begin"/>
      </w:r>
      <w:r w:rsidR="001E3EB2">
        <w:instrText xml:space="preserve"> ADDIN ZOTERO_ITEM CSL_CITATION {"citationID":"IgFAeG1l","properties":{"formattedCitation":"(17,18)","plainCitation":"(17,18)","noteIndex":0},"citationItems":[{"id":721,"uris":["http://zotero.org/users/11372031/items/45AZSADU"],"itemData":{"id":721,"type":"article-journal","abstract":"n-Butanol is an important industrial chemical usually produced by the oxo process, an expensive, energy- consuming set of reactions over metal catalysts, using petrochemical raw materials at high pressure. We developed nonstoichiometric hydroxyapatite (HAP), a highly active calcium phosphate compound and found it catalyzed selective conversion of ethanol to n-butanol in a single reaction at atmospheric pressure and low temperature, with maximum selectivity of 76%. Higher alcohols were also formed. We postulate that ethanol is adsorbed and activated on HAP as CH3CH2OH(a) and that a C-C bond was formed between ?-C in the CH3CH2OH(a) and R-C in n-CnH2n+1OH to produce n-CnH2n+1CH2CH2OH. We further postulate that, by successive propagation, part of this n-CnH2n+1CH2CH2OH is then adsorbed and activated on HAP as n-CnH2n+1CH2CH2OH(a) and that C-C bond was formed between ?-C in the n-CnH2n+1CHCH2OH(a) and R-C in n-alcohol to produce branched alcohols. Reaction simulation supported this hypothesis, suggesting that efficient, environmentally friendly production of n-butanol might be possible in future using bioethanol as raw material.","container-title":"Industrial &amp; Engineering Chemistry Research","DOI":"10.1021/ie0606082","ISSN":"0888-5885","note":"ISBN: 0888-5885","page":"8634-8642","title":"Direct Synthesis of n -Butanol from Ethanol over Nonstoichiometric Hydroxyapatite","volume":"45","author":[{"family":"Tsuchida","given":"Takashi"},{"family":"Sakuma","given":"Shuji"},{"family":"Takeguchi","given":"Tatsuya"},{"family":"Ueda","given":"Wataru"}],"issued":{"date-parts":[["2006"]]}}},{"id":503,"uris":["http://zotero.org/users/11372031/items/9HZWFIRH"],"itemData":{"id":503,"type":"article-journal","container-title":"Journal of Catalysis","DOI":"10.1016/j.jcat.2008.08.005","ISSN":"0021-9517","issue":"2","note":"publisher: Elsevier Inc.","page":"183-189","title":"Reaction of ethanol over hydroxyapatite affected by Ca / P ratio of catalyst","volume":"259","author":[{"family":"Tsuchida","given":"Takashi"},{"family":"Kubo","given":"Jun"},{"family":"Yoshioka","given":"Tetsuya"},{"family":"Sakuma","given":"Shuji"},{"family":"Takeguchi","given":"Tatsuya"},{"family":"Ueda","given":"Wataru"}],"issued":{"date-parts":[["2008"]]}}}],"schema":"https://github.com/citation-style-language/schema/raw/master/csl-citation.json"} </w:instrText>
      </w:r>
      <w:r w:rsidR="00DC7279">
        <w:fldChar w:fldCharType="separate"/>
      </w:r>
      <w:r w:rsidR="001E3EB2" w:rsidRPr="001E3EB2">
        <w:t>(17,18)</w:t>
      </w:r>
      <w:r w:rsidR="00DC7279">
        <w:fldChar w:fldCharType="end"/>
      </w:r>
      <w:r w:rsidR="00DC7279">
        <w:t>.</w:t>
      </w:r>
    </w:p>
    <w:p w14:paraId="15201EFD" w14:textId="0AF394A9" w:rsidR="002324FA" w:rsidRDefault="000F3C3B" w:rsidP="00DC7279">
      <w:pPr>
        <w:pStyle w:val="CBCat"/>
      </w:pPr>
      <w:r w:rsidRPr="007C4102">
        <w:t xml:space="preserve">A 250 °C acetaldeído </w:t>
      </w:r>
      <w:r>
        <w:t>foi</w:t>
      </w:r>
      <w:r w:rsidRPr="007C4102">
        <w:t xml:space="preserve"> o único produto formado em todas as pressões parciais de etanol estudadas conforme ilustrado na Tabela 2. A formação de acetaldeído é o primeiro passo do mecanismo de acoplamento de </w:t>
      </w:r>
      <w:proofErr w:type="spellStart"/>
      <w:r w:rsidRPr="007C4102">
        <w:t>Guerbet</w:t>
      </w:r>
      <w:proofErr w:type="spellEnd"/>
      <w:r w:rsidRPr="007C4102">
        <w:t xml:space="preserve">. Nesse mecanismo, o etanol é inicialmente desidrogenado nos sítios básicos da hidroxiapatita do tipo </w:t>
      </w:r>
      <w:proofErr w:type="spellStart"/>
      <w:r w:rsidRPr="007C4102">
        <w:t>Ca-O</w:t>
      </w:r>
      <w:proofErr w:type="spellEnd"/>
      <w:r w:rsidRPr="007C4102">
        <w:t xml:space="preserve"> </w:t>
      </w:r>
      <w:r w:rsidR="00DC7279">
        <w:fldChar w:fldCharType="begin"/>
      </w:r>
      <w:r w:rsidR="001E3EB2">
        <w:instrText xml:space="preserve"> ADDIN ZOTERO_ITEM CSL_CITATION {"citationID":"VZFa8Yn0","properties":{"formattedCitation":"(19)","plainCitation":"(19)","noteIndex":0},"citationItems":[{"id":1102,"uris":["http://zotero.org/users/11372031/items/43PUK2MQ"],"itemData":{"id":1102,"type":"article-journal","abstract":"The mechanism and kinetics for ethanol coupling to n-butanol over hydroxyapatite (HAP) were investi- gated at 573−613 K. In situ titration experiments show that the active sites for acetaldehyde and butanol formation are different. In combination with FTIR studies, it was found that ethanol dehydrogenation is catalyzed by Ca−O sites, whereas con- densation of acetaldehyde is catalyzed by CaO/PO4 3− pairs. Measurements of the reaction kinetics at various ethanol (3.5− 9.4 kPa) and acetaldehyde (0.055−0.12 kPa) partial pressures reveal that direct condensation involving two ethanol molecules does not play a significant role in butanol formation; instead, n-butanol is formed via a Guerbet pathway. At a constant acetaldehyde pressure, enolate formation is rate-limiting, and ethanol inhibits acetaldehyde condensation rates by competitive adsorption. A model of the reaction kinetics consistent with all experimental observations is developed.","container-title":"ACS Catalysis","DOI":"10.1021/acscatal.5b02672","ISSN":"21555435","issue":"2","note":"ISBN: 2155-5435","page":"939-948","title":"Mechanism and Kinetics of Ethanol Coupling to Butanol over Hydroxyapatite","volume":"6","author":[{"family":"Ho","given":"Christopher R."},{"family":"Shylesh","given":"Sankaranarayanapillai"},{"family":"Bell","given":"Alexis T."}],"issued":{"date-parts":[["2016"]]}}}],"schema":"https://github.com/citation-style-language/schema/raw/master/csl-citation.json"} </w:instrText>
      </w:r>
      <w:r w:rsidR="00DC7279">
        <w:fldChar w:fldCharType="separate"/>
      </w:r>
      <w:r w:rsidR="001E3EB2" w:rsidRPr="001E3EB2">
        <w:t>(19)</w:t>
      </w:r>
      <w:r w:rsidR="00DC7279">
        <w:fldChar w:fldCharType="end"/>
      </w:r>
      <w:r w:rsidRPr="007C4102">
        <w:t xml:space="preserve">. Para uma mesma pressão parcial de etanol verifica-se que a seletividade do acetaldeído diminui com o aumento da conversão de etanol, devido a formação de outros produtos da sequência de </w:t>
      </w:r>
      <w:proofErr w:type="spellStart"/>
      <w:r w:rsidRPr="007C4102">
        <w:t>Guerbet</w:t>
      </w:r>
      <w:proofErr w:type="spellEnd"/>
      <w:r w:rsidRPr="007C4102">
        <w:t>. Nas temperaturas de 300 e 350 °C, em todas as pressões parciais, os principais produtos</w:t>
      </w:r>
      <w:r>
        <w:t xml:space="preserve"> C4</w:t>
      </w:r>
      <w:r w:rsidRPr="007C4102">
        <w:t xml:space="preserve"> detectados foram 1-butanol, 2-buten-1-ol e acetaldeído</w:t>
      </w:r>
      <w:r w:rsidR="001D3D5C">
        <w:t xml:space="preserve">. </w:t>
      </w:r>
    </w:p>
    <w:p w14:paraId="56E6AE9E" w14:textId="77777777" w:rsidR="001D3D5C" w:rsidRDefault="001D3D5C" w:rsidP="00C534B5">
      <w:pPr>
        <w:pStyle w:val="CBCat"/>
        <w:rPr>
          <w:sz w:val="18"/>
          <w:szCs w:val="18"/>
        </w:rPr>
      </w:pPr>
    </w:p>
    <w:p w14:paraId="1D9420F0" w14:textId="072CA5F0" w:rsidR="00654451" w:rsidRPr="007C4102" w:rsidRDefault="0065578B" w:rsidP="0065578B">
      <w:pPr>
        <w:pStyle w:val="Caption"/>
        <w:rPr>
          <w:color w:val="auto"/>
        </w:rPr>
      </w:pPr>
      <w:r w:rsidRPr="007C4102">
        <w:rPr>
          <w:rFonts w:ascii="Times New Roman" w:hAnsi="Times New Roman" w:cs="Times New Roman"/>
          <w:color w:val="auto"/>
          <w:sz w:val="18"/>
          <w:szCs w:val="18"/>
        </w:rPr>
        <w:t xml:space="preserve">Tabela </w:t>
      </w:r>
      <w:r w:rsidRPr="007C4102">
        <w:rPr>
          <w:rFonts w:ascii="Times New Roman" w:hAnsi="Times New Roman" w:cs="Times New Roman"/>
          <w:color w:val="auto"/>
          <w:sz w:val="18"/>
          <w:szCs w:val="18"/>
        </w:rPr>
        <w:fldChar w:fldCharType="begin"/>
      </w:r>
      <w:r w:rsidRPr="007C4102">
        <w:rPr>
          <w:rFonts w:ascii="Times New Roman" w:hAnsi="Times New Roman" w:cs="Times New Roman"/>
          <w:color w:val="auto"/>
          <w:sz w:val="18"/>
          <w:szCs w:val="18"/>
        </w:rPr>
        <w:instrText xml:space="preserve"> SEQ Tabela \* ARABIC </w:instrText>
      </w:r>
      <w:r w:rsidRPr="007C4102">
        <w:rPr>
          <w:rFonts w:ascii="Times New Roman" w:hAnsi="Times New Roman" w:cs="Times New Roman"/>
          <w:color w:val="auto"/>
          <w:sz w:val="18"/>
          <w:szCs w:val="18"/>
        </w:rPr>
        <w:fldChar w:fldCharType="separate"/>
      </w:r>
      <w:r w:rsidRPr="007C4102">
        <w:rPr>
          <w:rFonts w:ascii="Times New Roman" w:hAnsi="Times New Roman" w:cs="Times New Roman"/>
          <w:noProof/>
          <w:color w:val="auto"/>
          <w:sz w:val="18"/>
          <w:szCs w:val="18"/>
        </w:rPr>
        <w:t>2</w:t>
      </w:r>
      <w:r w:rsidRPr="007C4102">
        <w:rPr>
          <w:rFonts w:ascii="Times New Roman" w:hAnsi="Times New Roman" w:cs="Times New Roman"/>
          <w:color w:val="auto"/>
          <w:sz w:val="18"/>
          <w:szCs w:val="18"/>
        </w:rPr>
        <w:fldChar w:fldCharType="end"/>
      </w:r>
      <w:r w:rsidR="00654451" w:rsidRPr="007C4102">
        <w:rPr>
          <w:rFonts w:ascii="Times New Roman" w:hAnsi="Times New Roman" w:cs="Times New Roman"/>
          <w:color w:val="auto"/>
          <w:sz w:val="18"/>
          <w:szCs w:val="18"/>
        </w:rPr>
        <w:t>.</w:t>
      </w:r>
      <w:r w:rsidR="00654451" w:rsidRPr="007C4102">
        <w:rPr>
          <w:rFonts w:ascii="Times New Roman" w:hAnsi="Times New Roman"/>
          <w:color w:val="auto"/>
          <w:sz w:val="14"/>
          <w:szCs w:val="14"/>
        </w:rPr>
        <w:t xml:space="preserve"> </w:t>
      </w:r>
      <w:r w:rsidR="00654451" w:rsidRPr="007C4102">
        <w:rPr>
          <w:rFonts w:ascii="Times New Roman" w:hAnsi="Times New Roman"/>
          <w:b w:val="0"/>
          <w:bCs w:val="0"/>
          <w:color w:val="auto"/>
          <w:sz w:val="18"/>
          <w:szCs w:val="18"/>
        </w:rPr>
        <w:t>Propriedades texturais e distribuição dos sítios ácidos e básicos na HAP</w:t>
      </w:r>
      <w:r w:rsidR="00654451" w:rsidRPr="007C4102">
        <w:rPr>
          <w:rFonts w:ascii="Times New Roman" w:hAnsi="Times New Roman"/>
          <w:color w:val="auto"/>
        </w:rPr>
        <w:t xml:space="preserve"> </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94"/>
        <w:gridCol w:w="516"/>
        <w:gridCol w:w="436"/>
        <w:gridCol w:w="439"/>
        <w:gridCol w:w="519"/>
        <w:gridCol w:w="436"/>
        <w:gridCol w:w="438"/>
        <w:gridCol w:w="519"/>
        <w:gridCol w:w="436"/>
        <w:gridCol w:w="435"/>
      </w:tblGrid>
      <w:tr w:rsidR="007C4102" w:rsidRPr="007C4102" w14:paraId="0E6C7CF1" w14:textId="3135C0CA" w:rsidTr="00CB2C54">
        <w:tc>
          <w:tcPr>
            <w:tcW w:w="624" w:type="pct"/>
            <w:tcBorders>
              <w:top w:val="single" w:sz="4" w:space="0" w:color="auto"/>
              <w:bottom w:val="nil"/>
            </w:tcBorders>
            <w:vAlign w:val="center"/>
          </w:tcPr>
          <w:p w14:paraId="2ACCDBF6" w14:textId="5B86C66C" w:rsidR="00CB2C54" w:rsidRPr="007C4102" w:rsidRDefault="00CB2C54" w:rsidP="000B0954">
            <w:pPr>
              <w:pStyle w:val="TCTableBody"/>
              <w:spacing w:after="0" w:line="360" w:lineRule="auto"/>
              <w:jc w:val="center"/>
              <w:rPr>
                <w:rFonts w:ascii="Times New Roman" w:hAnsi="Times New Roman"/>
                <w:sz w:val="16"/>
                <w:szCs w:val="16"/>
                <w:vertAlign w:val="subscript"/>
                <w:lang w:val="pt-BR"/>
              </w:rPr>
            </w:pPr>
            <w:proofErr w:type="spellStart"/>
            <w:r w:rsidRPr="007C4102">
              <w:rPr>
                <w:rFonts w:ascii="Times New Roman" w:hAnsi="Times New Roman"/>
                <w:sz w:val="16"/>
                <w:szCs w:val="16"/>
                <w:lang w:val="pt-BR"/>
              </w:rPr>
              <w:t>P</w:t>
            </w:r>
            <w:r w:rsidRPr="007C4102">
              <w:rPr>
                <w:rFonts w:ascii="Times New Roman" w:hAnsi="Times New Roman"/>
                <w:sz w:val="16"/>
                <w:szCs w:val="16"/>
                <w:vertAlign w:val="subscript"/>
                <w:lang w:val="pt-BR"/>
              </w:rPr>
              <w:t>EtOH</w:t>
            </w:r>
            <w:proofErr w:type="spellEnd"/>
          </w:p>
        </w:tc>
        <w:tc>
          <w:tcPr>
            <w:tcW w:w="1459" w:type="pct"/>
            <w:gridSpan w:val="3"/>
            <w:tcBorders>
              <w:top w:val="single" w:sz="4" w:space="0" w:color="auto"/>
              <w:bottom w:val="nil"/>
            </w:tcBorders>
            <w:vAlign w:val="center"/>
          </w:tcPr>
          <w:p w14:paraId="255797E1" w14:textId="61A9A0D9" w:rsidR="00CB2C54" w:rsidRPr="007C4102" w:rsidRDefault="00CB2C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15%v/v</w:t>
            </w:r>
          </w:p>
        </w:tc>
        <w:tc>
          <w:tcPr>
            <w:tcW w:w="1460" w:type="pct"/>
            <w:gridSpan w:val="3"/>
            <w:tcBorders>
              <w:top w:val="single" w:sz="4" w:space="0" w:color="auto"/>
              <w:bottom w:val="nil"/>
            </w:tcBorders>
            <w:vAlign w:val="center"/>
          </w:tcPr>
          <w:p w14:paraId="078D6766" w14:textId="1FE69C1F" w:rsidR="00CB2C54" w:rsidRPr="007C4102" w:rsidRDefault="00CB2C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20% v/v</w:t>
            </w:r>
          </w:p>
        </w:tc>
        <w:tc>
          <w:tcPr>
            <w:tcW w:w="1458" w:type="pct"/>
            <w:gridSpan w:val="3"/>
            <w:tcBorders>
              <w:top w:val="single" w:sz="4" w:space="0" w:color="auto"/>
              <w:bottom w:val="nil"/>
            </w:tcBorders>
            <w:vAlign w:val="center"/>
          </w:tcPr>
          <w:p w14:paraId="7631E2AA" w14:textId="34C58F35" w:rsidR="00CB2C54" w:rsidRPr="007C4102" w:rsidRDefault="00CB2C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25% v/v</w:t>
            </w:r>
          </w:p>
        </w:tc>
      </w:tr>
      <w:tr w:rsidR="007C4102" w:rsidRPr="007C4102" w14:paraId="1F403F4D" w14:textId="72D1996D" w:rsidTr="00CB2C54">
        <w:tc>
          <w:tcPr>
            <w:tcW w:w="624" w:type="pct"/>
            <w:tcBorders>
              <w:top w:val="nil"/>
              <w:bottom w:val="nil"/>
            </w:tcBorders>
            <w:vAlign w:val="center"/>
          </w:tcPr>
          <w:p w14:paraId="43B9B69A" w14:textId="120C489D" w:rsidR="006A2256" w:rsidRPr="007C4102" w:rsidRDefault="00CB2C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lang w:val="pt-BR"/>
              </w:rPr>
              <w:t>T (°C)</w:t>
            </w:r>
          </w:p>
        </w:tc>
        <w:tc>
          <w:tcPr>
            <w:tcW w:w="542" w:type="pct"/>
            <w:tcBorders>
              <w:top w:val="nil"/>
              <w:bottom w:val="nil"/>
            </w:tcBorders>
            <w:vAlign w:val="center"/>
          </w:tcPr>
          <w:p w14:paraId="469F003F" w14:textId="420A469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250</w:t>
            </w:r>
          </w:p>
        </w:tc>
        <w:tc>
          <w:tcPr>
            <w:tcW w:w="457" w:type="pct"/>
            <w:tcBorders>
              <w:top w:val="nil"/>
              <w:bottom w:val="nil"/>
            </w:tcBorders>
            <w:vAlign w:val="center"/>
          </w:tcPr>
          <w:p w14:paraId="5CD9439B" w14:textId="1F4251C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300</w:t>
            </w:r>
          </w:p>
        </w:tc>
        <w:tc>
          <w:tcPr>
            <w:tcW w:w="459" w:type="pct"/>
            <w:tcBorders>
              <w:top w:val="nil"/>
              <w:bottom w:val="nil"/>
            </w:tcBorders>
            <w:vAlign w:val="center"/>
          </w:tcPr>
          <w:p w14:paraId="065083EC" w14:textId="4E488AC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350</w:t>
            </w:r>
          </w:p>
        </w:tc>
        <w:tc>
          <w:tcPr>
            <w:tcW w:w="544" w:type="pct"/>
            <w:tcBorders>
              <w:top w:val="nil"/>
              <w:bottom w:val="nil"/>
            </w:tcBorders>
            <w:vAlign w:val="center"/>
          </w:tcPr>
          <w:p w14:paraId="15F81F01" w14:textId="50019AD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250</w:t>
            </w:r>
          </w:p>
        </w:tc>
        <w:tc>
          <w:tcPr>
            <w:tcW w:w="457" w:type="pct"/>
            <w:tcBorders>
              <w:top w:val="nil"/>
              <w:bottom w:val="nil"/>
            </w:tcBorders>
            <w:vAlign w:val="center"/>
          </w:tcPr>
          <w:p w14:paraId="03126FA7" w14:textId="689DDEB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300</w:t>
            </w:r>
          </w:p>
        </w:tc>
        <w:tc>
          <w:tcPr>
            <w:tcW w:w="458" w:type="pct"/>
            <w:tcBorders>
              <w:top w:val="nil"/>
              <w:bottom w:val="nil"/>
            </w:tcBorders>
            <w:vAlign w:val="center"/>
          </w:tcPr>
          <w:p w14:paraId="46D328F1" w14:textId="0B758CD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350</w:t>
            </w:r>
          </w:p>
        </w:tc>
        <w:tc>
          <w:tcPr>
            <w:tcW w:w="544" w:type="pct"/>
            <w:tcBorders>
              <w:top w:val="nil"/>
              <w:bottom w:val="nil"/>
            </w:tcBorders>
            <w:vAlign w:val="center"/>
          </w:tcPr>
          <w:p w14:paraId="16037F88" w14:textId="37A9BC3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250</w:t>
            </w:r>
          </w:p>
        </w:tc>
        <w:tc>
          <w:tcPr>
            <w:tcW w:w="457" w:type="pct"/>
            <w:tcBorders>
              <w:top w:val="nil"/>
              <w:bottom w:val="nil"/>
            </w:tcBorders>
            <w:vAlign w:val="center"/>
          </w:tcPr>
          <w:p w14:paraId="65D45ACC" w14:textId="05A6AA8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300</w:t>
            </w:r>
          </w:p>
        </w:tc>
        <w:tc>
          <w:tcPr>
            <w:tcW w:w="456" w:type="pct"/>
            <w:tcBorders>
              <w:top w:val="nil"/>
              <w:bottom w:val="nil"/>
            </w:tcBorders>
            <w:vAlign w:val="center"/>
          </w:tcPr>
          <w:p w14:paraId="6DF7EC99" w14:textId="65E9C6E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350</w:t>
            </w:r>
          </w:p>
        </w:tc>
      </w:tr>
      <w:tr w:rsidR="007C4102" w:rsidRPr="007C4102" w14:paraId="07D2016F" w14:textId="5B3C891D" w:rsidTr="00CB2C54">
        <w:trPr>
          <w:trHeight w:val="454"/>
        </w:trPr>
        <w:tc>
          <w:tcPr>
            <w:tcW w:w="624" w:type="pct"/>
            <w:tcBorders>
              <w:top w:val="nil"/>
              <w:bottom w:val="single" w:sz="4" w:space="0" w:color="auto"/>
            </w:tcBorders>
            <w:vAlign w:val="center"/>
          </w:tcPr>
          <w:p w14:paraId="7301EE7B" w14:textId="0E89D7A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X</w:t>
            </w:r>
          </w:p>
        </w:tc>
        <w:tc>
          <w:tcPr>
            <w:tcW w:w="542" w:type="pct"/>
            <w:tcBorders>
              <w:top w:val="nil"/>
              <w:bottom w:val="single" w:sz="4" w:space="0" w:color="auto"/>
            </w:tcBorders>
            <w:vAlign w:val="center"/>
          </w:tcPr>
          <w:p w14:paraId="2C26E915" w14:textId="63112DB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6</w:t>
            </w:r>
          </w:p>
        </w:tc>
        <w:tc>
          <w:tcPr>
            <w:tcW w:w="457" w:type="pct"/>
            <w:tcBorders>
              <w:top w:val="nil"/>
              <w:bottom w:val="single" w:sz="4" w:space="0" w:color="auto"/>
            </w:tcBorders>
            <w:vAlign w:val="center"/>
          </w:tcPr>
          <w:p w14:paraId="6BC8A2F8" w14:textId="2514069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6</w:t>
            </w:r>
            <w:r w:rsidR="00D15C64">
              <w:rPr>
                <w:rFonts w:ascii="Times New Roman" w:hAnsi="Times New Roman"/>
                <w:sz w:val="16"/>
                <w:szCs w:val="16"/>
              </w:rPr>
              <w:t>,</w:t>
            </w:r>
            <w:r w:rsidRPr="007C4102">
              <w:rPr>
                <w:rFonts w:ascii="Times New Roman" w:hAnsi="Times New Roman"/>
                <w:sz w:val="16"/>
                <w:szCs w:val="16"/>
              </w:rPr>
              <w:t>1</w:t>
            </w:r>
          </w:p>
        </w:tc>
        <w:tc>
          <w:tcPr>
            <w:tcW w:w="459" w:type="pct"/>
            <w:tcBorders>
              <w:top w:val="nil"/>
              <w:bottom w:val="single" w:sz="4" w:space="0" w:color="auto"/>
            </w:tcBorders>
            <w:vAlign w:val="center"/>
          </w:tcPr>
          <w:p w14:paraId="3EC2EB06" w14:textId="0C4CEC4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9</w:t>
            </w:r>
            <w:r w:rsidR="00D15C64">
              <w:rPr>
                <w:rFonts w:ascii="Times New Roman" w:hAnsi="Times New Roman"/>
                <w:sz w:val="16"/>
                <w:szCs w:val="16"/>
              </w:rPr>
              <w:t>,</w:t>
            </w:r>
            <w:r w:rsidRPr="007C4102">
              <w:rPr>
                <w:rFonts w:ascii="Times New Roman" w:hAnsi="Times New Roman"/>
                <w:sz w:val="16"/>
                <w:szCs w:val="16"/>
              </w:rPr>
              <w:t>7</w:t>
            </w:r>
          </w:p>
        </w:tc>
        <w:tc>
          <w:tcPr>
            <w:tcW w:w="544" w:type="pct"/>
            <w:tcBorders>
              <w:top w:val="nil"/>
              <w:bottom w:val="single" w:sz="4" w:space="0" w:color="auto"/>
            </w:tcBorders>
            <w:vAlign w:val="center"/>
          </w:tcPr>
          <w:p w14:paraId="699E34CC" w14:textId="7E102B9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4</w:t>
            </w:r>
          </w:p>
        </w:tc>
        <w:tc>
          <w:tcPr>
            <w:tcW w:w="457" w:type="pct"/>
            <w:tcBorders>
              <w:top w:val="nil"/>
              <w:bottom w:val="single" w:sz="4" w:space="0" w:color="auto"/>
            </w:tcBorders>
            <w:vAlign w:val="center"/>
          </w:tcPr>
          <w:p w14:paraId="6562320C" w14:textId="4D651F9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w:t>
            </w:r>
            <w:r w:rsidR="00D15C64">
              <w:rPr>
                <w:rFonts w:ascii="Times New Roman" w:hAnsi="Times New Roman"/>
                <w:sz w:val="16"/>
                <w:szCs w:val="16"/>
              </w:rPr>
              <w:t>,</w:t>
            </w:r>
            <w:r w:rsidR="000B0954" w:rsidRPr="007C4102">
              <w:rPr>
                <w:rFonts w:ascii="Times New Roman" w:hAnsi="Times New Roman"/>
                <w:sz w:val="16"/>
                <w:szCs w:val="16"/>
              </w:rPr>
              <w:t>9</w:t>
            </w:r>
          </w:p>
        </w:tc>
        <w:tc>
          <w:tcPr>
            <w:tcW w:w="458" w:type="pct"/>
            <w:tcBorders>
              <w:top w:val="nil"/>
              <w:bottom w:val="single" w:sz="4" w:space="0" w:color="auto"/>
            </w:tcBorders>
            <w:vAlign w:val="center"/>
          </w:tcPr>
          <w:p w14:paraId="18F3303A" w14:textId="3B7AA94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8</w:t>
            </w:r>
            <w:r w:rsidR="00D15C64">
              <w:rPr>
                <w:rFonts w:ascii="Times New Roman" w:hAnsi="Times New Roman"/>
                <w:sz w:val="16"/>
                <w:szCs w:val="16"/>
              </w:rPr>
              <w:t>,</w:t>
            </w:r>
            <w:r w:rsidR="000B0954" w:rsidRPr="007C4102">
              <w:rPr>
                <w:rFonts w:ascii="Times New Roman" w:hAnsi="Times New Roman"/>
                <w:sz w:val="16"/>
                <w:szCs w:val="16"/>
              </w:rPr>
              <w:t>1</w:t>
            </w:r>
          </w:p>
        </w:tc>
        <w:tc>
          <w:tcPr>
            <w:tcW w:w="544" w:type="pct"/>
            <w:tcBorders>
              <w:top w:val="nil"/>
              <w:bottom w:val="single" w:sz="4" w:space="0" w:color="auto"/>
            </w:tcBorders>
            <w:vAlign w:val="center"/>
          </w:tcPr>
          <w:p w14:paraId="0B20E3DB" w14:textId="6BBC90B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6</w:t>
            </w:r>
          </w:p>
        </w:tc>
        <w:tc>
          <w:tcPr>
            <w:tcW w:w="457" w:type="pct"/>
            <w:tcBorders>
              <w:top w:val="nil"/>
              <w:bottom w:val="single" w:sz="4" w:space="0" w:color="auto"/>
            </w:tcBorders>
            <w:vAlign w:val="center"/>
          </w:tcPr>
          <w:p w14:paraId="503BB474" w14:textId="3C095FE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6</w:t>
            </w:r>
            <w:r w:rsidR="00D15C64">
              <w:rPr>
                <w:rFonts w:ascii="Times New Roman" w:hAnsi="Times New Roman"/>
                <w:sz w:val="16"/>
                <w:szCs w:val="16"/>
              </w:rPr>
              <w:t>,</w:t>
            </w:r>
            <w:r w:rsidR="000B0954" w:rsidRPr="007C4102">
              <w:rPr>
                <w:rFonts w:ascii="Times New Roman" w:hAnsi="Times New Roman"/>
                <w:sz w:val="16"/>
                <w:szCs w:val="16"/>
              </w:rPr>
              <w:t>2</w:t>
            </w:r>
          </w:p>
        </w:tc>
        <w:tc>
          <w:tcPr>
            <w:tcW w:w="456" w:type="pct"/>
            <w:tcBorders>
              <w:top w:val="nil"/>
              <w:bottom w:val="single" w:sz="4" w:space="0" w:color="auto"/>
            </w:tcBorders>
            <w:vAlign w:val="center"/>
          </w:tcPr>
          <w:p w14:paraId="3C650E27" w14:textId="4EAFFDA6" w:rsidR="000B0954" w:rsidRPr="007C4102" w:rsidRDefault="000B0954" w:rsidP="000B0954">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8</w:t>
            </w:r>
            <w:r w:rsidR="00D15C64">
              <w:rPr>
                <w:rFonts w:ascii="Times New Roman" w:hAnsi="Times New Roman"/>
                <w:sz w:val="16"/>
                <w:szCs w:val="16"/>
              </w:rPr>
              <w:t>,</w:t>
            </w:r>
            <w:r w:rsidRPr="007C4102">
              <w:rPr>
                <w:rFonts w:ascii="Times New Roman" w:hAnsi="Times New Roman"/>
                <w:sz w:val="16"/>
                <w:szCs w:val="16"/>
              </w:rPr>
              <w:t>0</w:t>
            </w:r>
          </w:p>
        </w:tc>
      </w:tr>
      <w:tr w:rsidR="007C4102" w:rsidRPr="007C4102" w14:paraId="15409F4C" w14:textId="0BDCC83C" w:rsidTr="00CB2C54">
        <w:trPr>
          <w:trHeight w:val="454"/>
        </w:trPr>
        <w:tc>
          <w:tcPr>
            <w:tcW w:w="624" w:type="pct"/>
            <w:tcBorders>
              <w:top w:val="single" w:sz="4" w:space="0" w:color="auto"/>
            </w:tcBorders>
            <w:vAlign w:val="center"/>
          </w:tcPr>
          <w:p w14:paraId="65836055" w14:textId="6C6E596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ET</w:t>
            </w:r>
          </w:p>
        </w:tc>
        <w:tc>
          <w:tcPr>
            <w:tcW w:w="542" w:type="pct"/>
            <w:tcBorders>
              <w:top w:val="single" w:sz="4" w:space="0" w:color="auto"/>
            </w:tcBorders>
            <w:vAlign w:val="center"/>
          </w:tcPr>
          <w:p w14:paraId="7C13778A" w14:textId="3CF2F3E6" w:rsidR="006A2256" w:rsidRPr="007C4102" w:rsidRDefault="00F360B9"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tcBorders>
              <w:top w:val="single" w:sz="4" w:space="0" w:color="auto"/>
            </w:tcBorders>
            <w:vAlign w:val="center"/>
          </w:tcPr>
          <w:p w14:paraId="11DDE119" w14:textId="50A2AB0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4</w:t>
            </w:r>
          </w:p>
        </w:tc>
        <w:tc>
          <w:tcPr>
            <w:tcW w:w="459" w:type="pct"/>
            <w:tcBorders>
              <w:top w:val="single" w:sz="4" w:space="0" w:color="auto"/>
            </w:tcBorders>
            <w:vAlign w:val="center"/>
          </w:tcPr>
          <w:p w14:paraId="7F2F5C4D" w14:textId="0B87668A"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4</w:t>
            </w:r>
          </w:p>
        </w:tc>
        <w:tc>
          <w:tcPr>
            <w:tcW w:w="544" w:type="pct"/>
            <w:tcBorders>
              <w:top w:val="single" w:sz="4" w:space="0" w:color="auto"/>
            </w:tcBorders>
            <w:vAlign w:val="center"/>
          </w:tcPr>
          <w:p w14:paraId="74E3875F" w14:textId="1D3232B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tcBorders>
              <w:top w:val="single" w:sz="4" w:space="0" w:color="auto"/>
            </w:tcBorders>
            <w:vAlign w:val="center"/>
          </w:tcPr>
          <w:p w14:paraId="079D11B2" w14:textId="6475647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000B0954" w:rsidRPr="007C4102">
              <w:rPr>
                <w:rFonts w:ascii="Times New Roman" w:hAnsi="Times New Roman"/>
                <w:sz w:val="16"/>
                <w:szCs w:val="16"/>
              </w:rPr>
              <w:t>3</w:t>
            </w:r>
          </w:p>
        </w:tc>
        <w:tc>
          <w:tcPr>
            <w:tcW w:w="458" w:type="pct"/>
            <w:tcBorders>
              <w:top w:val="single" w:sz="4" w:space="0" w:color="auto"/>
            </w:tcBorders>
            <w:vAlign w:val="center"/>
          </w:tcPr>
          <w:p w14:paraId="1219B9C6" w14:textId="069B389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000B0954" w:rsidRPr="007C4102">
              <w:rPr>
                <w:rFonts w:ascii="Times New Roman" w:hAnsi="Times New Roman"/>
                <w:sz w:val="16"/>
                <w:szCs w:val="16"/>
              </w:rPr>
              <w:t>6</w:t>
            </w:r>
          </w:p>
        </w:tc>
        <w:tc>
          <w:tcPr>
            <w:tcW w:w="544" w:type="pct"/>
            <w:tcBorders>
              <w:top w:val="single" w:sz="4" w:space="0" w:color="auto"/>
            </w:tcBorders>
            <w:vAlign w:val="center"/>
          </w:tcPr>
          <w:p w14:paraId="08112838" w14:textId="1DAAF03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tcBorders>
              <w:top w:val="single" w:sz="4" w:space="0" w:color="auto"/>
            </w:tcBorders>
            <w:vAlign w:val="center"/>
          </w:tcPr>
          <w:p w14:paraId="4F022562" w14:textId="0BD7B8A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6</w:t>
            </w:r>
          </w:p>
        </w:tc>
        <w:tc>
          <w:tcPr>
            <w:tcW w:w="456" w:type="pct"/>
            <w:tcBorders>
              <w:top w:val="single" w:sz="4" w:space="0" w:color="auto"/>
            </w:tcBorders>
            <w:vAlign w:val="bottom"/>
          </w:tcPr>
          <w:p w14:paraId="2FFA6603" w14:textId="6DD39B6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000B0954" w:rsidRPr="007C4102">
              <w:rPr>
                <w:rFonts w:ascii="Times New Roman" w:hAnsi="Times New Roman"/>
                <w:sz w:val="16"/>
                <w:szCs w:val="16"/>
              </w:rPr>
              <w:t>6</w:t>
            </w:r>
          </w:p>
        </w:tc>
      </w:tr>
      <w:tr w:rsidR="007C4102" w:rsidRPr="007C4102" w14:paraId="663DF732" w14:textId="34284E1E" w:rsidTr="00CB2C54">
        <w:trPr>
          <w:trHeight w:val="454"/>
        </w:trPr>
        <w:tc>
          <w:tcPr>
            <w:tcW w:w="624" w:type="pct"/>
            <w:vAlign w:val="center"/>
          </w:tcPr>
          <w:p w14:paraId="540B21DB" w14:textId="5A47029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AA</w:t>
            </w:r>
          </w:p>
        </w:tc>
        <w:tc>
          <w:tcPr>
            <w:tcW w:w="542" w:type="pct"/>
            <w:vAlign w:val="center"/>
          </w:tcPr>
          <w:p w14:paraId="4A1EA314" w14:textId="69FED71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100</w:t>
            </w:r>
            <w:r w:rsidR="00D15C64">
              <w:rPr>
                <w:rFonts w:ascii="Times New Roman" w:hAnsi="Times New Roman"/>
                <w:sz w:val="16"/>
                <w:szCs w:val="16"/>
              </w:rPr>
              <w:t>,</w:t>
            </w:r>
            <w:r w:rsidRPr="007C4102">
              <w:rPr>
                <w:rFonts w:ascii="Times New Roman" w:hAnsi="Times New Roman"/>
                <w:sz w:val="16"/>
                <w:szCs w:val="16"/>
              </w:rPr>
              <w:t>0</w:t>
            </w:r>
          </w:p>
        </w:tc>
        <w:tc>
          <w:tcPr>
            <w:tcW w:w="457" w:type="pct"/>
            <w:vAlign w:val="center"/>
          </w:tcPr>
          <w:p w14:paraId="14630BE9" w14:textId="708DE78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52</w:t>
            </w:r>
            <w:r w:rsidR="00D15C64">
              <w:rPr>
                <w:rFonts w:ascii="Times New Roman" w:hAnsi="Times New Roman"/>
                <w:sz w:val="16"/>
                <w:szCs w:val="16"/>
              </w:rPr>
              <w:t>,</w:t>
            </w:r>
            <w:r w:rsidRPr="007C4102">
              <w:rPr>
                <w:rFonts w:ascii="Times New Roman" w:hAnsi="Times New Roman"/>
                <w:sz w:val="16"/>
                <w:szCs w:val="16"/>
              </w:rPr>
              <w:t>6</w:t>
            </w:r>
          </w:p>
        </w:tc>
        <w:tc>
          <w:tcPr>
            <w:tcW w:w="459" w:type="pct"/>
            <w:vAlign w:val="center"/>
          </w:tcPr>
          <w:p w14:paraId="0E02549E" w14:textId="0EF7973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16</w:t>
            </w:r>
            <w:r w:rsidR="00D15C64">
              <w:rPr>
                <w:rFonts w:ascii="Times New Roman" w:hAnsi="Times New Roman"/>
                <w:sz w:val="16"/>
                <w:szCs w:val="16"/>
              </w:rPr>
              <w:t>,</w:t>
            </w:r>
            <w:r w:rsidRPr="007C4102">
              <w:rPr>
                <w:rFonts w:ascii="Times New Roman" w:hAnsi="Times New Roman"/>
                <w:sz w:val="16"/>
                <w:szCs w:val="16"/>
              </w:rPr>
              <w:t>7</w:t>
            </w:r>
          </w:p>
        </w:tc>
        <w:tc>
          <w:tcPr>
            <w:tcW w:w="544" w:type="pct"/>
            <w:vAlign w:val="center"/>
          </w:tcPr>
          <w:p w14:paraId="79F18177" w14:textId="4B70A79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100</w:t>
            </w:r>
            <w:r w:rsidR="00D15C64">
              <w:rPr>
                <w:rFonts w:ascii="Times New Roman" w:hAnsi="Times New Roman"/>
                <w:sz w:val="16"/>
                <w:szCs w:val="16"/>
              </w:rPr>
              <w:t>,</w:t>
            </w:r>
            <w:r w:rsidRPr="007C4102">
              <w:rPr>
                <w:rFonts w:ascii="Times New Roman" w:hAnsi="Times New Roman"/>
                <w:sz w:val="16"/>
                <w:szCs w:val="16"/>
              </w:rPr>
              <w:t>0</w:t>
            </w:r>
          </w:p>
        </w:tc>
        <w:tc>
          <w:tcPr>
            <w:tcW w:w="457" w:type="pct"/>
            <w:vAlign w:val="center"/>
          </w:tcPr>
          <w:p w14:paraId="71A76DE9" w14:textId="3BDA35C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50</w:t>
            </w:r>
            <w:r w:rsidR="00D15C64">
              <w:rPr>
                <w:rFonts w:ascii="Times New Roman" w:hAnsi="Times New Roman"/>
                <w:sz w:val="16"/>
                <w:szCs w:val="16"/>
              </w:rPr>
              <w:t>,</w:t>
            </w:r>
            <w:r w:rsidRPr="007C4102">
              <w:rPr>
                <w:rFonts w:ascii="Times New Roman" w:hAnsi="Times New Roman"/>
                <w:sz w:val="16"/>
                <w:szCs w:val="16"/>
              </w:rPr>
              <w:t>8</w:t>
            </w:r>
          </w:p>
        </w:tc>
        <w:tc>
          <w:tcPr>
            <w:tcW w:w="458" w:type="pct"/>
            <w:vAlign w:val="center"/>
          </w:tcPr>
          <w:p w14:paraId="7EDAE605" w14:textId="3D4EF38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20</w:t>
            </w:r>
            <w:r w:rsidR="00D15C64">
              <w:rPr>
                <w:rFonts w:ascii="Times New Roman" w:hAnsi="Times New Roman"/>
                <w:sz w:val="16"/>
                <w:szCs w:val="16"/>
              </w:rPr>
              <w:t>,</w:t>
            </w:r>
            <w:r w:rsidRPr="007C4102">
              <w:rPr>
                <w:rFonts w:ascii="Times New Roman" w:hAnsi="Times New Roman"/>
                <w:sz w:val="16"/>
                <w:szCs w:val="16"/>
              </w:rPr>
              <w:t>7</w:t>
            </w:r>
          </w:p>
        </w:tc>
        <w:tc>
          <w:tcPr>
            <w:tcW w:w="544" w:type="pct"/>
            <w:vAlign w:val="center"/>
          </w:tcPr>
          <w:p w14:paraId="36CCB4B9" w14:textId="18E17E2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100</w:t>
            </w:r>
            <w:r w:rsidR="00D15C64">
              <w:rPr>
                <w:rFonts w:ascii="Times New Roman" w:hAnsi="Times New Roman"/>
                <w:sz w:val="16"/>
                <w:szCs w:val="16"/>
              </w:rPr>
              <w:t>,</w:t>
            </w:r>
            <w:r w:rsidRPr="007C4102">
              <w:rPr>
                <w:rFonts w:ascii="Times New Roman" w:hAnsi="Times New Roman"/>
                <w:sz w:val="16"/>
                <w:szCs w:val="16"/>
              </w:rPr>
              <w:t>0</w:t>
            </w:r>
          </w:p>
        </w:tc>
        <w:tc>
          <w:tcPr>
            <w:tcW w:w="457" w:type="pct"/>
            <w:vAlign w:val="center"/>
          </w:tcPr>
          <w:p w14:paraId="44A824E3" w14:textId="1DB063A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75</w:t>
            </w:r>
            <w:r w:rsidR="00D15C64">
              <w:rPr>
                <w:rFonts w:ascii="Times New Roman" w:hAnsi="Times New Roman"/>
                <w:sz w:val="16"/>
                <w:szCs w:val="16"/>
              </w:rPr>
              <w:t>,</w:t>
            </w:r>
            <w:r w:rsidR="000B0954" w:rsidRPr="007C4102">
              <w:rPr>
                <w:rFonts w:ascii="Times New Roman" w:hAnsi="Times New Roman"/>
                <w:sz w:val="16"/>
                <w:szCs w:val="16"/>
              </w:rPr>
              <w:t>3</w:t>
            </w:r>
          </w:p>
        </w:tc>
        <w:tc>
          <w:tcPr>
            <w:tcW w:w="456" w:type="pct"/>
            <w:vAlign w:val="center"/>
          </w:tcPr>
          <w:p w14:paraId="0949A440" w14:textId="12EC935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27</w:t>
            </w:r>
            <w:r w:rsidR="00D15C64">
              <w:rPr>
                <w:rFonts w:ascii="Times New Roman" w:hAnsi="Times New Roman"/>
                <w:sz w:val="16"/>
                <w:szCs w:val="16"/>
              </w:rPr>
              <w:t>,</w:t>
            </w:r>
            <w:r w:rsidR="000B0954" w:rsidRPr="007C4102">
              <w:rPr>
                <w:rFonts w:ascii="Times New Roman" w:hAnsi="Times New Roman"/>
                <w:sz w:val="16"/>
                <w:szCs w:val="16"/>
              </w:rPr>
              <w:t>6</w:t>
            </w:r>
          </w:p>
        </w:tc>
      </w:tr>
      <w:tr w:rsidR="007C4102" w:rsidRPr="007C4102" w14:paraId="242DF129" w14:textId="692EEC6F" w:rsidTr="00CB2C54">
        <w:trPr>
          <w:trHeight w:val="454"/>
        </w:trPr>
        <w:tc>
          <w:tcPr>
            <w:tcW w:w="624" w:type="pct"/>
            <w:vAlign w:val="center"/>
          </w:tcPr>
          <w:p w14:paraId="7B616AF7" w14:textId="619A4BCA"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BD</w:t>
            </w:r>
          </w:p>
        </w:tc>
        <w:tc>
          <w:tcPr>
            <w:tcW w:w="542" w:type="pct"/>
            <w:vAlign w:val="center"/>
          </w:tcPr>
          <w:p w14:paraId="635178AB" w14:textId="0765E1C3" w:rsidR="006A2256" w:rsidRPr="007C4102" w:rsidRDefault="00F360B9"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78F2A89" w14:textId="18DDC3A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w:t>
            </w:r>
            <w:r w:rsidR="00D15C64">
              <w:rPr>
                <w:rFonts w:ascii="Times New Roman" w:hAnsi="Times New Roman"/>
                <w:sz w:val="16"/>
                <w:szCs w:val="16"/>
              </w:rPr>
              <w:t>,</w:t>
            </w:r>
            <w:r w:rsidRPr="007C4102">
              <w:rPr>
                <w:rFonts w:ascii="Times New Roman" w:hAnsi="Times New Roman"/>
                <w:sz w:val="16"/>
                <w:szCs w:val="16"/>
              </w:rPr>
              <w:t>8</w:t>
            </w:r>
          </w:p>
        </w:tc>
        <w:tc>
          <w:tcPr>
            <w:tcW w:w="459" w:type="pct"/>
            <w:vAlign w:val="center"/>
          </w:tcPr>
          <w:p w14:paraId="442C3823" w14:textId="0EA8B7D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2</w:t>
            </w:r>
          </w:p>
        </w:tc>
        <w:tc>
          <w:tcPr>
            <w:tcW w:w="544" w:type="pct"/>
            <w:vAlign w:val="center"/>
          </w:tcPr>
          <w:p w14:paraId="5134D061" w14:textId="093A987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1B0CF87" w14:textId="79A16D7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w:t>
            </w:r>
            <w:r w:rsidR="00D15C64">
              <w:rPr>
                <w:rFonts w:ascii="Times New Roman" w:hAnsi="Times New Roman"/>
                <w:sz w:val="16"/>
                <w:szCs w:val="16"/>
              </w:rPr>
              <w:t>,</w:t>
            </w:r>
            <w:r w:rsidR="000B0954" w:rsidRPr="007C4102">
              <w:rPr>
                <w:rFonts w:ascii="Times New Roman" w:hAnsi="Times New Roman"/>
                <w:sz w:val="16"/>
                <w:szCs w:val="16"/>
              </w:rPr>
              <w:t>5</w:t>
            </w:r>
          </w:p>
        </w:tc>
        <w:tc>
          <w:tcPr>
            <w:tcW w:w="458" w:type="pct"/>
            <w:vAlign w:val="center"/>
          </w:tcPr>
          <w:p w14:paraId="46368A39" w14:textId="40F1A7E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000B0954" w:rsidRPr="007C4102">
              <w:rPr>
                <w:rFonts w:ascii="Times New Roman" w:hAnsi="Times New Roman"/>
                <w:sz w:val="16"/>
                <w:szCs w:val="16"/>
              </w:rPr>
              <w:t>4</w:t>
            </w:r>
          </w:p>
        </w:tc>
        <w:tc>
          <w:tcPr>
            <w:tcW w:w="544" w:type="pct"/>
            <w:vAlign w:val="center"/>
          </w:tcPr>
          <w:p w14:paraId="5A5FB19E" w14:textId="0209669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53C2ED81" w14:textId="3DB23D1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48315F93" w14:textId="11C326F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1</w:t>
            </w:r>
          </w:p>
        </w:tc>
      </w:tr>
      <w:tr w:rsidR="007C4102" w:rsidRPr="007C4102" w14:paraId="6F92E7DC" w14:textId="292C70E8" w:rsidTr="00CB2C54">
        <w:trPr>
          <w:trHeight w:val="454"/>
        </w:trPr>
        <w:tc>
          <w:tcPr>
            <w:tcW w:w="624" w:type="pct"/>
            <w:vAlign w:val="center"/>
          </w:tcPr>
          <w:p w14:paraId="6C4D1F5C" w14:textId="349A4A1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DE</w:t>
            </w:r>
          </w:p>
        </w:tc>
        <w:tc>
          <w:tcPr>
            <w:tcW w:w="542" w:type="pct"/>
            <w:vAlign w:val="center"/>
          </w:tcPr>
          <w:p w14:paraId="65B90DD2" w14:textId="496AD7A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75425CE" w14:textId="22DF52F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9" w:type="pct"/>
            <w:vAlign w:val="center"/>
          </w:tcPr>
          <w:p w14:paraId="16239470" w14:textId="06BA36E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5</w:t>
            </w:r>
          </w:p>
        </w:tc>
        <w:tc>
          <w:tcPr>
            <w:tcW w:w="544" w:type="pct"/>
            <w:vAlign w:val="center"/>
          </w:tcPr>
          <w:p w14:paraId="779916F5" w14:textId="7BC5BBD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6D9C9197" w14:textId="6BC41D1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8" w:type="pct"/>
            <w:vAlign w:val="center"/>
          </w:tcPr>
          <w:p w14:paraId="79371D3E" w14:textId="30D93B1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000B0954" w:rsidRPr="007C4102">
              <w:rPr>
                <w:rFonts w:ascii="Times New Roman" w:hAnsi="Times New Roman"/>
                <w:sz w:val="16"/>
                <w:szCs w:val="16"/>
              </w:rPr>
              <w:t>9</w:t>
            </w:r>
          </w:p>
        </w:tc>
        <w:tc>
          <w:tcPr>
            <w:tcW w:w="544" w:type="pct"/>
            <w:vAlign w:val="center"/>
          </w:tcPr>
          <w:p w14:paraId="423B149F" w14:textId="0D685BB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3B9ACE12" w14:textId="7793665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28F43A57" w14:textId="18BC04B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000B0954" w:rsidRPr="007C4102">
              <w:rPr>
                <w:rFonts w:ascii="Times New Roman" w:hAnsi="Times New Roman"/>
                <w:sz w:val="16"/>
                <w:szCs w:val="16"/>
              </w:rPr>
              <w:t>1</w:t>
            </w:r>
          </w:p>
        </w:tc>
      </w:tr>
      <w:tr w:rsidR="007C4102" w:rsidRPr="007C4102" w14:paraId="1A2855F6" w14:textId="3C6EEF13" w:rsidTr="00CB2C54">
        <w:trPr>
          <w:trHeight w:val="454"/>
        </w:trPr>
        <w:tc>
          <w:tcPr>
            <w:tcW w:w="624" w:type="pct"/>
            <w:vAlign w:val="center"/>
          </w:tcPr>
          <w:p w14:paraId="0CD728C8" w14:textId="17D0019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BA</w:t>
            </w:r>
          </w:p>
        </w:tc>
        <w:tc>
          <w:tcPr>
            <w:tcW w:w="542" w:type="pct"/>
            <w:vAlign w:val="center"/>
          </w:tcPr>
          <w:p w14:paraId="35443C26" w14:textId="5DF9F42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5C46030" w14:textId="5919372A"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9" w:type="pct"/>
            <w:vAlign w:val="center"/>
          </w:tcPr>
          <w:p w14:paraId="6B63AEE3" w14:textId="000ED9C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0</w:t>
            </w:r>
          </w:p>
        </w:tc>
        <w:tc>
          <w:tcPr>
            <w:tcW w:w="544" w:type="pct"/>
            <w:vAlign w:val="center"/>
          </w:tcPr>
          <w:p w14:paraId="316E5EA5" w14:textId="677687E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335716A" w14:textId="4947EAF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8" w:type="pct"/>
            <w:vAlign w:val="center"/>
          </w:tcPr>
          <w:p w14:paraId="4253A814" w14:textId="54C43D5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7</w:t>
            </w:r>
          </w:p>
        </w:tc>
        <w:tc>
          <w:tcPr>
            <w:tcW w:w="544" w:type="pct"/>
            <w:vAlign w:val="center"/>
          </w:tcPr>
          <w:p w14:paraId="29AAD7DF" w14:textId="07C86AB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855E777" w14:textId="2EB29E9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06D69315" w14:textId="077315D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5</w:t>
            </w:r>
          </w:p>
        </w:tc>
      </w:tr>
      <w:tr w:rsidR="007C4102" w:rsidRPr="007C4102" w14:paraId="7B47235D" w14:textId="70D544AC" w:rsidTr="00CB2C54">
        <w:trPr>
          <w:trHeight w:val="454"/>
        </w:trPr>
        <w:tc>
          <w:tcPr>
            <w:tcW w:w="624" w:type="pct"/>
            <w:vAlign w:val="center"/>
          </w:tcPr>
          <w:p w14:paraId="66924A2C" w14:textId="24FBF1B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CA</w:t>
            </w:r>
          </w:p>
        </w:tc>
        <w:tc>
          <w:tcPr>
            <w:tcW w:w="542" w:type="pct"/>
            <w:vAlign w:val="center"/>
          </w:tcPr>
          <w:p w14:paraId="15347026" w14:textId="32B6B44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7BF2671" w14:textId="6519C6A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w:t>
            </w:r>
            <w:r w:rsidR="00D15C64">
              <w:rPr>
                <w:rFonts w:ascii="Times New Roman" w:hAnsi="Times New Roman"/>
                <w:sz w:val="16"/>
                <w:szCs w:val="16"/>
              </w:rPr>
              <w:t>,</w:t>
            </w:r>
            <w:r w:rsidRPr="007C4102">
              <w:rPr>
                <w:rFonts w:ascii="Times New Roman" w:hAnsi="Times New Roman"/>
                <w:sz w:val="16"/>
                <w:szCs w:val="16"/>
              </w:rPr>
              <w:t>6</w:t>
            </w:r>
          </w:p>
        </w:tc>
        <w:tc>
          <w:tcPr>
            <w:tcW w:w="459" w:type="pct"/>
            <w:vAlign w:val="center"/>
          </w:tcPr>
          <w:p w14:paraId="2F1C946C" w14:textId="28E6BD9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w:t>
            </w:r>
            <w:r w:rsidR="00D15C64">
              <w:rPr>
                <w:rFonts w:ascii="Times New Roman" w:hAnsi="Times New Roman"/>
                <w:sz w:val="16"/>
                <w:szCs w:val="16"/>
              </w:rPr>
              <w:t>,</w:t>
            </w:r>
            <w:r w:rsidRPr="007C4102">
              <w:rPr>
                <w:rFonts w:ascii="Times New Roman" w:hAnsi="Times New Roman"/>
                <w:sz w:val="16"/>
                <w:szCs w:val="16"/>
              </w:rPr>
              <w:t>1</w:t>
            </w:r>
          </w:p>
        </w:tc>
        <w:tc>
          <w:tcPr>
            <w:tcW w:w="544" w:type="pct"/>
            <w:vAlign w:val="center"/>
          </w:tcPr>
          <w:p w14:paraId="74A90DC1" w14:textId="1C7F223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BBF0798" w14:textId="3703802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w:t>
            </w:r>
            <w:r w:rsidR="00D15C64">
              <w:rPr>
                <w:rFonts w:ascii="Times New Roman" w:hAnsi="Times New Roman"/>
                <w:sz w:val="16"/>
                <w:szCs w:val="16"/>
              </w:rPr>
              <w:t>,</w:t>
            </w:r>
            <w:r w:rsidRPr="007C4102">
              <w:rPr>
                <w:rFonts w:ascii="Times New Roman" w:hAnsi="Times New Roman"/>
                <w:sz w:val="16"/>
                <w:szCs w:val="16"/>
              </w:rPr>
              <w:t>7</w:t>
            </w:r>
          </w:p>
        </w:tc>
        <w:tc>
          <w:tcPr>
            <w:tcW w:w="458" w:type="pct"/>
            <w:vAlign w:val="center"/>
          </w:tcPr>
          <w:p w14:paraId="7638D793" w14:textId="1C572FA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w:t>
            </w:r>
            <w:r w:rsidR="00D15C64">
              <w:rPr>
                <w:rFonts w:ascii="Times New Roman" w:hAnsi="Times New Roman"/>
                <w:sz w:val="16"/>
                <w:szCs w:val="16"/>
              </w:rPr>
              <w:t>,</w:t>
            </w:r>
            <w:r w:rsidR="000B0954" w:rsidRPr="007C4102">
              <w:rPr>
                <w:rFonts w:ascii="Times New Roman" w:hAnsi="Times New Roman"/>
                <w:sz w:val="16"/>
                <w:szCs w:val="16"/>
              </w:rPr>
              <w:t>7</w:t>
            </w:r>
          </w:p>
        </w:tc>
        <w:tc>
          <w:tcPr>
            <w:tcW w:w="544" w:type="pct"/>
            <w:vAlign w:val="center"/>
          </w:tcPr>
          <w:p w14:paraId="1B327F37" w14:textId="3824EFE9"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C5E8495" w14:textId="7C14A20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40B87598" w14:textId="57CC065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4</w:t>
            </w:r>
          </w:p>
        </w:tc>
      </w:tr>
      <w:tr w:rsidR="007C4102" w:rsidRPr="007C4102" w14:paraId="7FC0297C" w14:textId="7F840C7A" w:rsidTr="00CB2C54">
        <w:trPr>
          <w:trHeight w:val="454"/>
        </w:trPr>
        <w:tc>
          <w:tcPr>
            <w:tcW w:w="624" w:type="pct"/>
            <w:vAlign w:val="center"/>
          </w:tcPr>
          <w:p w14:paraId="06C68DCD" w14:textId="6146F4F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BOH</w:t>
            </w:r>
          </w:p>
        </w:tc>
        <w:tc>
          <w:tcPr>
            <w:tcW w:w="542" w:type="pct"/>
            <w:vAlign w:val="center"/>
          </w:tcPr>
          <w:p w14:paraId="0A3A9DFC" w14:textId="552C1D7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5CB7BFB" w14:textId="491B137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18</w:t>
            </w:r>
            <w:r w:rsidR="00D15C64">
              <w:rPr>
                <w:rFonts w:ascii="Times New Roman" w:hAnsi="Times New Roman"/>
                <w:sz w:val="16"/>
                <w:szCs w:val="16"/>
              </w:rPr>
              <w:t>,</w:t>
            </w:r>
            <w:r w:rsidRPr="007C4102">
              <w:rPr>
                <w:rFonts w:ascii="Times New Roman" w:hAnsi="Times New Roman"/>
                <w:sz w:val="16"/>
                <w:szCs w:val="16"/>
              </w:rPr>
              <w:t>7</w:t>
            </w:r>
          </w:p>
        </w:tc>
        <w:tc>
          <w:tcPr>
            <w:tcW w:w="459" w:type="pct"/>
            <w:vAlign w:val="center"/>
          </w:tcPr>
          <w:p w14:paraId="463048E0" w14:textId="2EC58A8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50</w:t>
            </w:r>
            <w:r w:rsidR="00D15C64">
              <w:rPr>
                <w:rFonts w:ascii="Times New Roman" w:hAnsi="Times New Roman"/>
                <w:sz w:val="16"/>
                <w:szCs w:val="16"/>
              </w:rPr>
              <w:t>,</w:t>
            </w:r>
            <w:r w:rsidRPr="007C4102">
              <w:rPr>
                <w:rFonts w:ascii="Times New Roman" w:hAnsi="Times New Roman"/>
                <w:sz w:val="16"/>
                <w:szCs w:val="16"/>
              </w:rPr>
              <w:t>0</w:t>
            </w:r>
          </w:p>
        </w:tc>
        <w:tc>
          <w:tcPr>
            <w:tcW w:w="544" w:type="pct"/>
            <w:vAlign w:val="center"/>
          </w:tcPr>
          <w:p w14:paraId="4A2083A9" w14:textId="5965408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334BC67D" w14:textId="6B5F3008" w:rsidR="006A2256" w:rsidRPr="007C4102" w:rsidRDefault="000B09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18</w:t>
            </w:r>
            <w:r w:rsidR="00D15C64">
              <w:rPr>
                <w:rFonts w:ascii="Times New Roman" w:hAnsi="Times New Roman"/>
                <w:sz w:val="16"/>
                <w:szCs w:val="16"/>
              </w:rPr>
              <w:t>,</w:t>
            </w:r>
            <w:r w:rsidRPr="007C4102">
              <w:rPr>
                <w:rFonts w:ascii="Times New Roman" w:hAnsi="Times New Roman"/>
                <w:sz w:val="16"/>
                <w:szCs w:val="16"/>
              </w:rPr>
              <w:t>0</w:t>
            </w:r>
          </w:p>
        </w:tc>
        <w:tc>
          <w:tcPr>
            <w:tcW w:w="458" w:type="pct"/>
            <w:vAlign w:val="center"/>
          </w:tcPr>
          <w:p w14:paraId="5D2C3B81" w14:textId="3DC2937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48</w:t>
            </w:r>
            <w:r w:rsidR="00D15C64">
              <w:rPr>
                <w:rFonts w:ascii="Times New Roman" w:hAnsi="Times New Roman"/>
                <w:sz w:val="16"/>
                <w:szCs w:val="16"/>
              </w:rPr>
              <w:t>,</w:t>
            </w:r>
            <w:r w:rsidRPr="007C4102">
              <w:rPr>
                <w:rFonts w:ascii="Times New Roman" w:hAnsi="Times New Roman"/>
                <w:sz w:val="16"/>
                <w:szCs w:val="16"/>
              </w:rPr>
              <w:t>2</w:t>
            </w:r>
          </w:p>
        </w:tc>
        <w:tc>
          <w:tcPr>
            <w:tcW w:w="544" w:type="pct"/>
            <w:vAlign w:val="center"/>
          </w:tcPr>
          <w:p w14:paraId="6A5FFED5" w14:textId="4491382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69CF7313" w14:textId="6C9F760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8</w:t>
            </w:r>
            <w:r w:rsidR="00D15C64">
              <w:rPr>
                <w:rFonts w:ascii="Times New Roman" w:hAnsi="Times New Roman"/>
                <w:sz w:val="16"/>
                <w:szCs w:val="16"/>
              </w:rPr>
              <w:t>,</w:t>
            </w:r>
            <w:r w:rsidRPr="007C4102">
              <w:rPr>
                <w:rFonts w:ascii="Times New Roman" w:hAnsi="Times New Roman"/>
                <w:sz w:val="16"/>
                <w:szCs w:val="16"/>
              </w:rPr>
              <w:t>35</w:t>
            </w:r>
          </w:p>
        </w:tc>
        <w:tc>
          <w:tcPr>
            <w:tcW w:w="456" w:type="pct"/>
            <w:vAlign w:val="center"/>
          </w:tcPr>
          <w:p w14:paraId="07DF905F" w14:textId="3C7F967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32</w:t>
            </w:r>
            <w:r w:rsidR="00D15C64">
              <w:rPr>
                <w:rFonts w:ascii="Times New Roman" w:hAnsi="Times New Roman"/>
                <w:sz w:val="16"/>
                <w:szCs w:val="16"/>
              </w:rPr>
              <w:t>,</w:t>
            </w:r>
            <w:r w:rsidR="000B0954" w:rsidRPr="007C4102">
              <w:rPr>
                <w:rFonts w:ascii="Times New Roman" w:hAnsi="Times New Roman"/>
                <w:sz w:val="16"/>
                <w:szCs w:val="16"/>
              </w:rPr>
              <w:t>8</w:t>
            </w:r>
          </w:p>
        </w:tc>
      </w:tr>
      <w:tr w:rsidR="007C4102" w:rsidRPr="007C4102" w14:paraId="2696D02C" w14:textId="26B23D4B" w:rsidTr="00CB2C54">
        <w:trPr>
          <w:trHeight w:val="454"/>
        </w:trPr>
        <w:tc>
          <w:tcPr>
            <w:tcW w:w="624" w:type="pct"/>
            <w:vAlign w:val="center"/>
          </w:tcPr>
          <w:p w14:paraId="4A6DAE88" w14:textId="766D646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COH</w:t>
            </w:r>
          </w:p>
        </w:tc>
        <w:tc>
          <w:tcPr>
            <w:tcW w:w="542" w:type="pct"/>
            <w:vAlign w:val="center"/>
          </w:tcPr>
          <w:p w14:paraId="6CCD6DB9" w14:textId="1C3138C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FF735A4" w14:textId="05BBA4B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17</w:t>
            </w:r>
            <w:r w:rsidR="00D15C64">
              <w:rPr>
                <w:rFonts w:ascii="Times New Roman" w:hAnsi="Times New Roman"/>
                <w:sz w:val="16"/>
                <w:szCs w:val="16"/>
              </w:rPr>
              <w:t>,</w:t>
            </w:r>
            <w:r w:rsidRPr="007C4102">
              <w:rPr>
                <w:rFonts w:ascii="Times New Roman" w:hAnsi="Times New Roman"/>
                <w:sz w:val="16"/>
                <w:szCs w:val="16"/>
              </w:rPr>
              <w:t>3</w:t>
            </w:r>
          </w:p>
        </w:tc>
        <w:tc>
          <w:tcPr>
            <w:tcW w:w="459" w:type="pct"/>
            <w:vAlign w:val="center"/>
          </w:tcPr>
          <w:p w14:paraId="5A291C87" w14:textId="0AAA489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19</w:t>
            </w:r>
            <w:r w:rsidR="00D15C64">
              <w:rPr>
                <w:rFonts w:ascii="Times New Roman" w:hAnsi="Times New Roman"/>
                <w:sz w:val="16"/>
                <w:szCs w:val="16"/>
              </w:rPr>
              <w:t>,</w:t>
            </w:r>
            <w:r w:rsidRPr="007C4102">
              <w:rPr>
                <w:rFonts w:ascii="Times New Roman" w:hAnsi="Times New Roman"/>
                <w:sz w:val="16"/>
                <w:szCs w:val="16"/>
              </w:rPr>
              <w:t>5</w:t>
            </w:r>
          </w:p>
        </w:tc>
        <w:tc>
          <w:tcPr>
            <w:tcW w:w="544" w:type="pct"/>
            <w:vAlign w:val="center"/>
          </w:tcPr>
          <w:p w14:paraId="11EEB9D8" w14:textId="43FFB702"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2D953C9" w14:textId="41AF6900" w:rsidR="006A2256" w:rsidRPr="007C4102" w:rsidRDefault="000B09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19</w:t>
            </w:r>
            <w:r w:rsidR="00D15C64">
              <w:rPr>
                <w:rFonts w:ascii="Times New Roman" w:hAnsi="Times New Roman"/>
                <w:sz w:val="16"/>
                <w:szCs w:val="16"/>
              </w:rPr>
              <w:t>,</w:t>
            </w:r>
            <w:r w:rsidRPr="007C4102">
              <w:rPr>
                <w:rFonts w:ascii="Times New Roman" w:hAnsi="Times New Roman"/>
                <w:sz w:val="16"/>
                <w:szCs w:val="16"/>
              </w:rPr>
              <w:t>0</w:t>
            </w:r>
          </w:p>
        </w:tc>
        <w:tc>
          <w:tcPr>
            <w:tcW w:w="458" w:type="pct"/>
            <w:vAlign w:val="center"/>
          </w:tcPr>
          <w:p w14:paraId="129F40ED" w14:textId="015BFBE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17</w:t>
            </w:r>
            <w:r w:rsidR="00D15C64">
              <w:rPr>
                <w:rFonts w:ascii="Times New Roman" w:hAnsi="Times New Roman"/>
                <w:sz w:val="16"/>
                <w:szCs w:val="16"/>
              </w:rPr>
              <w:t>,</w:t>
            </w:r>
            <w:r w:rsidRPr="007C4102">
              <w:rPr>
                <w:rFonts w:ascii="Times New Roman" w:hAnsi="Times New Roman"/>
                <w:sz w:val="16"/>
                <w:szCs w:val="16"/>
              </w:rPr>
              <w:t>2</w:t>
            </w:r>
          </w:p>
        </w:tc>
        <w:tc>
          <w:tcPr>
            <w:tcW w:w="544" w:type="pct"/>
            <w:vAlign w:val="center"/>
          </w:tcPr>
          <w:p w14:paraId="69D1898D" w14:textId="49A86ED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E926E5D" w14:textId="40DC34D2"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15</w:t>
            </w:r>
            <w:r w:rsidR="00D15C64">
              <w:rPr>
                <w:rFonts w:ascii="Times New Roman" w:hAnsi="Times New Roman"/>
                <w:sz w:val="16"/>
                <w:szCs w:val="16"/>
              </w:rPr>
              <w:t>,</w:t>
            </w:r>
            <w:r w:rsidRPr="007C4102">
              <w:rPr>
                <w:rFonts w:ascii="Times New Roman" w:hAnsi="Times New Roman"/>
                <w:sz w:val="16"/>
                <w:szCs w:val="16"/>
              </w:rPr>
              <w:t>7</w:t>
            </w:r>
          </w:p>
        </w:tc>
        <w:tc>
          <w:tcPr>
            <w:tcW w:w="456" w:type="pct"/>
            <w:vAlign w:val="center"/>
          </w:tcPr>
          <w:p w14:paraId="1EE6233D" w14:textId="5AE33CF2"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26</w:t>
            </w:r>
            <w:r w:rsidR="00D15C64">
              <w:rPr>
                <w:rFonts w:ascii="Times New Roman" w:hAnsi="Times New Roman"/>
                <w:sz w:val="16"/>
                <w:szCs w:val="16"/>
              </w:rPr>
              <w:t>,</w:t>
            </w:r>
            <w:r w:rsidRPr="007C4102">
              <w:rPr>
                <w:rFonts w:ascii="Times New Roman" w:hAnsi="Times New Roman"/>
                <w:sz w:val="16"/>
                <w:szCs w:val="16"/>
              </w:rPr>
              <w:t>1</w:t>
            </w:r>
          </w:p>
        </w:tc>
      </w:tr>
      <w:tr w:rsidR="007C4102" w:rsidRPr="007C4102" w14:paraId="54AE92FA" w14:textId="7DE2AF73" w:rsidTr="00CB2C54">
        <w:trPr>
          <w:trHeight w:val="454"/>
        </w:trPr>
        <w:tc>
          <w:tcPr>
            <w:tcW w:w="624" w:type="pct"/>
            <w:vAlign w:val="center"/>
          </w:tcPr>
          <w:p w14:paraId="382C2D00" w14:textId="73503DC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EBOH</w:t>
            </w:r>
          </w:p>
        </w:tc>
        <w:tc>
          <w:tcPr>
            <w:tcW w:w="542" w:type="pct"/>
            <w:vAlign w:val="center"/>
          </w:tcPr>
          <w:p w14:paraId="11C72774" w14:textId="48FA75C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20414770" w14:textId="4B861F2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9" w:type="pct"/>
            <w:vAlign w:val="center"/>
          </w:tcPr>
          <w:p w14:paraId="68C75CA2" w14:textId="5AA6015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4</w:t>
            </w:r>
          </w:p>
        </w:tc>
        <w:tc>
          <w:tcPr>
            <w:tcW w:w="544" w:type="pct"/>
            <w:vAlign w:val="center"/>
          </w:tcPr>
          <w:p w14:paraId="0864BDB2" w14:textId="2681216A"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1250A6A" w14:textId="42EB9C46"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8" w:type="pct"/>
            <w:vAlign w:val="center"/>
          </w:tcPr>
          <w:p w14:paraId="159E4E21" w14:textId="2D8EDA0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000B0954" w:rsidRPr="007C4102">
              <w:rPr>
                <w:rFonts w:ascii="Times New Roman" w:hAnsi="Times New Roman"/>
                <w:sz w:val="16"/>
                <w:szCs w:val="16"/>
              </w:rPr>
              <w:t>1</w:t>
            </w:r>
          </w:p>
        </w:tc>
        <w:tc>
          <w:tcPr>
            <w:tcW w:w="544" w:type="pct"/>
            <w:vAlign w:val="center"/>
          </w:tcPr>
          <w:p w14:paraId="035E534E" w14:textId="4C6E4B2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F4E077B" w14:textId="3E46D3AA"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7C71DC3D" w14:textId="5C4FDDF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000B0954" w:rsidRPr="007C4102">
              <w:rPr>
                <w:rFonts w:ascii="Times New Roman" w:hAnsi="Times New Roman"/>
                <w:sz w:val="16"/>
                <w:szCs w:val="16"/>
              </w:rPr>
              <w:t>5</w:t>
            </w:r>
          </w:p>
        </w:tc>
      </w:tr>
      <w:tr w:rsidR="007C4102" w:rsidRPr="007C4102" w14:paraId="0E344185" w14:textId="77777777" w:rsidTr="00CB2C54">
        <w:trPr>
          <w:trHeight w:val="454"/>
        </w:trPr>
        <w:tc>
          <w:tcPr>
            <w:tcW w:w="624" w:type="pct"/>
            <w:vAlign w:val="center"/>
          </w:tcPr>
          <w:p w14:paraId="5F477512" w14:textId="1BE51B48"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HOH</w:t>
            </w:r>
          </w:p>
        </w:tc>
        <w:tc>
          <w:tcPr>
            <w:tcW w:w="542" w:type="pct"/>
            <w:vAlign w:val="center"/>
          </w:tcPr>
          <w:p w14:paraId="53630D74" w14:textId="673A3601"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1A07F3C9" w14:textId="3F36C28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9" w:type="pct"/>
            <w:vAlign w:val="center"/>
          </w:tcPr>
          <w:p w14:paraId="3E2014ED" w14:textId="7F03443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8</w:t>
            </w:r>
          </w:p>
        </w:tc>
        <w:tc>
          <w:tcPr>
            <w:tcW w:w="544" w:type="pct"/>
            <w:vAlign w:val="center"/>
          </w:tcPr>
          <w:p w14:paraId="6FCF96B2" w14:textId="42B5C4A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09D51943" w14:textId="5246E4F5"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8" w:type="pct"/>
            <w:vAlign w:val="center"/>
          </w:tcPr>
          <w:p w14:paraId="4F36D6B6" w14:textId="3B5DCD80"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1</w:t>
            </w:r>
            <w:r w:rsidR="00D15C64">
              <w:rPr>
                <w:rFonts w:ascii="Times New Roman" w:hAnsi="Times New Roman"/>
                <w:sz w:val="16"/>
                <w:szCs w:val="16"/>
              </w:rPr>
              <w:t>,</w:t>
            </w:r>
            <w:r w:rsidRPr="007C4102">
              <w:rPr>
                <w:rFonts w:ascii="Times New Roman" w:hAnsi="Times New Roman"/>
                <w:sz w:val="16"/>
                <w:szCs w:val="16"/>
              </w:rPr>
              <w:t>1</w:t>
            </w:r>
          </w:p>
        </w:tc>
        <w:tc>
          <w:tcPr>
            <w:tcW w:w="544" w:type="pct"/>
            <w:vAlign w:val="center"/>
          </w:tcPr>
          <w:p w14:paraId="05D7E6E0" w14:textId="642F5CC4"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46C0E249" w14:textId="0806C63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70B5EC39" w14:textId="18A16C5D"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0</w:t>
            </w:r>
            <w:r w:rsidR="00D15C64">
              <w:rPr>
                <w:rFonts w:ascii="Times New Roman" w:hAnsi="Times New Roman"/>
                <w:sz w:val="16"/>
                <w:szCs w:val="16"/>
              </w:rPr>
              <w:t>,</w:t>
            </w:r>
            <w:r w:rsidRPr="007C4102">
              <w:rPr>
                <w:rFonts w:ascii="Times New Roman" w:hAnsi="Times New Roman"/>
                <w:sz w:val="16"/>
                <w:szCs w:val="16"/>
              </w:rPr>
              <w:t>5</w:t>
            </w:r>
          </w:p>
        </w:tc>
      </w:tr>
      <w:tr w:rsidR="007C4102" w:rsidRPr="007C4102" w14:paraId="0AC79C7A" w14:textId="77777777" w:rsidTr="00CB2C54">
        <w:trPr>
          <w:trHeight w:val="454"/>
        </w:trPr>
        <w:tc>
          <w:tcPr>
            <w:tcW w:w="624" w:type="pct"/>
            <w:vAlign w:val="center"/>
          </w:tcPr>
          <w:p w14:paraId="6403F6ED" w14:textId="7B109249" w:rsidR="006A2256" w:rsidRPr="007C4102" w:rsidRDefault="00CB2C54"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Outros</w:t>
            </w:r>
          </w:p>
        </w:tc>
        <w:tc>
          <w:tcPr>
            <w:tcW w:w="542" w:type="pct"/>
            <w:vAlign w:val="center"/>
          </w:tcPr>
          <w:p w14:paraId="0724CA8D" w14:textId="705ED6A3"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297B3EA4" w14:textId="03C6DC7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w:t>
            </w:r>
            <w:r w:rsidR="00D15C64">
              <w:rPr>
                <w:rFonts w:ascii="Times New Roman" w:hAnsi="Times New Roman"/>
                <w:sz w:val="16"/>
                <w:szCs w:val="16"/>
              </w:rPr>
              <w:t>,</w:t>
            </w:r>
            <w:r w:rsidRPr="007C4102">
              <w:rPr>
                <w:rFonts w:ascii="Times New Roman" w:hAnsi="Times New Roman"/>
                <w:sz w:val="16"/>
                <w:szCs w:val="16"/>
              </w:rPr>
              <w:t>6</w:t>
            </w:r>
          </w:p>
        </w:tc>
        <w:tc>
          <w:tcPr>
            <w:tcW w:w="459" w:type="pct"/>
            <w:vAlign w:val="center"/>
          </w:tcPr>
          <w:p w14:paraId="781EF4FD" w14:textId="7F0583CB"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4</w:t>
            </w:r>
          </w:p>
        </w:tc>
        <w:tc>
          <w:tcPr>
            <w:tcW w:w="544" w:type="pct"/>
            <w:vAlign w:val="center"/>
          </w:tcPr>
          <w:p w14:paraId="56A97ED3" w14:textId="5A375A7C"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3F735AAA" w14:textId="119E018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5</w:t>
            </w:r>
            <w:r w:rsidR="00D15C64">
              <w:rPr>
                <w:rFonts w:ascii="Times New Roman" w:hAnsi="Times New Roman"/>
                <w:sz w:val="16"/>
                <w:szCs w:val="16"/>
              </w:rPr>
              <w:t>,</w:t>
            </w:r>
            <w:r w:rsidR="000B0954" w:rsidRPr="007C4102">
              <w:rPr>
                <w:rFonts w:ascii="Times New Roman" w:hAnsi="Times New Roman"/>
                <w:sz w:val="16"/>
                <w:szCs w:val="16"/>
              </w:rPr>
              <w:t>9</w:t>
            </w:r>
          </w:p>
        </w:tc>
        <w:tc>
          <w:tcPr>
            <w:tcW w:w="458" w:type="pct"/>
            <w:vAlign w:val="center"/>
          </w:tcPr>
          <w:p w14:paraId="476A08D2" w14:textId="75AD5867"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4</w:t>
            </w:r>
          </w:p>
        </w:tc>
        <w:tc>
          <w:tcPr>
            <w:tcW w:w="544" w:type="pct"/>
            <w:vAlign w:val="center"/>
          </w:tcPr>
          <w:p w14:paraId="49E12AB1" w14:textId="4F0CAB8E"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7" w:type="pct"/>
            <w:vAlign w:val="center"/>
          </w:tcPr>
          <w:p w14:paraId="5E2FB04D" w14:textId="341E382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w:t>
            </w:r>
          </w:p>
        </w:tc>
        <w:tc>
          <w:tcPr>
            <w:tcW w:w="456" w:type="pct"/>
            <w:vAlign w:val="center"/>
          </w:tcPr>
          <w:p w14:paraId="668B584E" w14:textId="162568BF" w:rsidR="006A2256" w:rsidRPr="007C4102" w:rsidRDefault="006A2256" w:rsidP="000B0954">
            <w:pPr>
              <w:pStyle w:val="TCTableBody"/>
              <w:spacing w:after="0" w:line="360" w:lineRule="auto"/>
              <w:jc w:val="center"/>
              <w:rPr>
                <w:rFonts w:ascii="Times New Roman" w:hAnsi="Times New Roman"/>
                <w:sz w:val="16"/>
                <w:szCs w:val="16"/>
                <w:lang w:val="pt-BR"/>
              </w:rPr>
            </w:pPr>
            <w:r w:rsidRPr="007C4102">
              <w:rPr>
                <w:rFonts w:ascii="Times New Roman" w:hAnsi="Times New Roman"/>
                <w:sz w:val="16"/>
                <w:szCs w:val="16"/>
              </w:rPr>
              <w:t>4</w:t>
            </w:r>
            <w:r w:rsidR="00D15C64">
              <w:rPr>
                <w:rFonts w:ascii="Times New Roman" w:hAnsi="Times New Roman"/>
                <w:sz w:val="16"/>
                <w:szCs w:val="16"/>
              </w:rPr>
              <w:t>,</w:t>
            </w:r>
            <w:r w:rsidRPr="007C4102">
              <w:rPr>
                <w:rFonts w:ascii="Times New Roman" w:hAnsi="Times New Roman"/>
                <w:sz w:val="16"/>
                <w:szCs w:val="16"/>
              </w:rPr>
              <w:t>8</w:t>
            </w:r>
          </w:p>
        </w:tc>
      </w:tr>
    </w:tbl>
    <w:p w14:paraId="436068FB" w14:textId="48F3E07A" w:rsidR="00432195" w:rsidRPr="007C4102" w:rsidRDefault="000B0954" w:rsidP="00E5421C">
      <w:pPr>
        <w:pStyle w:val="CBCat"/>
        <w:ind w:firstLine="0"/>
        <w:rPr>
          <w:sz w:val="18"/>
          <w:szCs w:val="18"/>
        </w:rPr>
      </w:pPr>
      <w:r w:rsidRPr="007C4102">
        <w:rPr>
          <w:sz w:val="18"/>
          <w:szCs w:val="18"/>
        </w:rPr>
        <w:t>X: conversão, ET: et</w:t>
      </w:r>
      <w:r w:rsidR="00B83340" w:rsidRPr="007C4102">
        <w:rPr>
          <w:sz w:val="18"/>
          <w:szCs w:val="18"/>
        </w:rPr>
        <w:t>ileno</w:t>
      </w:r>
      <w:r w:rsidRPr="007C4102">
        <w:rPr>
          <w:sz w:val="18"/>
          <w:szCs w:val="18"/>
        </w:rPr>
        <w:t>, AA: acetaldeído, B</w:t>
      </w:r>
      <w:r w:rsidR="009B5A62" w:rsidRPr="007C4102">
        <w:rPr>
          <w:sz w:val="18"/>
          <w:szCs w:val="18"/>
        </w:rPr>
        <w:t>D</w:t>
      </w:r>
      <w:r w:rsidRPr="007C4102">
        <w:rPr>
          <w:sz w:val="18"/>
          <w:szCs w:val="18"/>
        </w:rPr>
        <w:t xml:space="preserve">:1,3-butadieno, DE: </w:t>
      </w:r>
      <w:proofErr w:type="spellStart"/>
      <w:r w:rsidRPr="007C4102">
        <w:rPr>
          <w:sz w:val="18"/>
          <w:szCs w:val="18"/>
        </w:rPr>
        <w:t>dietil</w:t>
      </w:r>
      <w:proofErr w:type="spellEnd"/>
      <w:r w:rsidRPr="007C4102">
        <w:rPr>
          <w:sz w:val="18"/>
          <w:szCs w:val="18"/>
        </w:rPr>
        <w:t xml:space="preserve">-éter, BA: </w:t>
      </w:r>
      <w:proofErr w:type="spellStart"/>
      <w:r w:rsidR="00CB2C54" w:rsidRPr="007C4102">
        <w:rPr>
          <w:sz w:val="18"/>
          <w:szCs w:val="18"/>
        </w:rPr>
        <w:t>butiraldeído</w:t>
      </w:r>
      <w:proofErr w:type="spellEnd"/>
      <w:r w:rsidRPr="007C4102">
        <w:rPr>
          <w:sz w:val="18"/>
          <w:szCs w:val="18"/>
        </w:rPr>
        <w:t xml:space="preserve">, CA: </w:t>
      </w:r>
      <w:proofErr w:type="spellStart"/>
      <w:r w:rsidRPr="007C4102">
        <w:rPr>
          <w:sz w:val="18"/>
          <w:szCs w:val="18"/>
        </w:rPr>
        <w:t>crotonaldeído</w:t>
      </w:r>
      <w:proofErr w:type="spellEnd"/>
      <w:r w:rsidRPr="007C4102">
        <w:rPr>
          <w:sz w:val="18"/>
          <w:szCs w:val="18"/>
        </w:rPr>
        <w:t xml:space="preserve">, BOH: butanol, COH: álcool </w:t>
      </w:r>
      <w:proofErr w:type="spellStart"/>
      <w:r w:rsidRPr="007C4102">
        <w:rPr>
          <w:sz w:val="18"/>
          <w:szCs w:val="18"/>
        </w:rPr>
        <w:t>crot</w:t>
      </w:r>
      <w:r w:rsidR="00CB2C54" w:rsidRPr="007C4102">
        <w:rPr>
          <w:sz w:val="18"/>
          <w:szCs w:val="18"/>
        </w:rPr>
        <w:t>í</w:t>
      </w:r>
      <w:r w:rsidRPr="007C4102">
        <w:rPr>
          <w:sz w:val="18"/>
          <w:szCs w:val="18"/>
        </w:rPr>
        <w:t>l</w:t>
      </w:r>
      <w:r w:rsidR="00CB2C54" w:rsidRPr="007C4102">
        <w:rPr>
          <w:sz w:val="18"/>
          <w:szCs w:val="18"/>
        </w:rPr>
        <w:t>ico</w:t>
      </w:r>
      <w:proofErr w:type="spellEnd"/>
      <w:r w:rsidRPr="007C4102">
        <w:rPr>
          <w:sz w:val="18"/>
          <w:szCs w:val="18"/>
        </w:rPr>
        <w:t xml:space="preserve">, EBOH: 2-etil-1-butanol, HOH: </w:t>
      </w:r>
      <w:r w:rsidR="00CB2C54" w:rsidRPr="007C4102">
        <w:rPr>
          <w:sz w:val="18"/>
          <w:szCs w:val="18"/>
        </w:rPr>
        <w:t>1-</w:t>
      </w:r>
      <w:r w:rsidRPr="007C4102">
        <w:rPr>
          <w:sz w:val="18"/>
          <w:szCs w:val="18"/>
        </w:rPr>
        <w:t>hexanol</w:t>
      </w:r>
      <w:r w:rsidR="00CB2C54" w:rsidRPr="007C4102">
        <w:rPr>
          <w:sz w:val="18"/>
          <w:szCs w:val="18"/>
        </w:rPr>
        <w:t>.</w:t>
      </w:r>
      <w:r w:rsidRPr="007C4102">
        <w:rPr>
          <w:sz w:val="18"/>
          <w:szCs w:val="18"/>
        </w:rPr>
        <w:t xml:space="preserve"> </w:t>
      </w:r>
    </w:p>
    <w:p w14:paraId="6BFF7BE0" w14:textId="77777777" w:rsidR="00E5421C" w:rsidRPr="007C4102" w:rsidRDefault="00E5421C" w:rsidP="00E5421C">
      <w:pPr>
        <w:pStyle w:val="CBCat"/>
        <w:ind w:firstLine="0"/>
        <w:rPr>
          <w:sz w:val="18"/>
          <w:szCs w:val="18"/>
        </w:rPr>
      </w:pPr>
    </w:p>
    <w:p w14:paraId="5B6203CE" w14:textId="57E0CB46" w:rsidR="00FE582B" w:rsidRPr="007C4102" w:rsidRDefault="00E64D7D" w:rsidP="00184859">
      <w:pPr>
        <w:pStyle w:val="CBCat"/>
      </w:pPr>
      <w:r w:rsidRPr="007C4102">
        <w:t xml:space="preserve">A partir de 300 °C, ocorre condensação </w:t>
      </w:r>
      <w:proofErr w:type="spellStart"/>
      <w:r w:rsidRPr="007C4102">
        <w:t>aldólica</w:t>
      </w:r>
      <w:proofErr w:type="spellEnd"/>
      <w:r w:rsidRPr="007C4102">
        <w:t xml:space="preserve"> do acetaldeído para formar o 1-butanol. Ademais, é possível observar a formação de produtos intermediários da reação de </w:t>
      </w:r>
      <w:proofErr w:type="spellStart"/>
      <w:r w:rsidRPr="007C4102">
        <w:t>Guerbet</w:t>
      </w:r>
      <w:proofErr w:type="spellEnd"/>
      <w:r w:rsidRPr="007C4102">
        <w:t xml:space="preserve">, como 2-butenal e 2-buten-1-ol. </w:t>
      </w:r>
      <w:r w:rsidR="00FE582B">
        <w:t xml:space="preserve">De acordo com as </w:t>
      </w:r>
      <w:r w:rsidR="00FE582B" w:rsidRPr="00A61307">
        <w:t>reações</w:t>
      </w:r>
      <w:r w:rsidR="00FE582B" w:rsidRPr="007C4102">
        <w:t xml:space="preserve"> de acoplamento de </w:t>
      </w:r>
      <w:proofErr w:type="spellStart"/>
      <w:r w:rsidR="00FE582B" w:rsidRPr="007C4102">
        <w:t>Guerbet</w:t>
      </w:r>
      <w:proofErr w:type="spellEnd"/>
      <w:r w:rsidR="00FE582B">
        <w:t>, a formação do</w:t>
      </w:r>
      <w:r w:rsidR="00FE582B" w:rsidRPr="007C4102">
        <w:t xml:space="preserve"> 2-butenal </w:t>
      </w:r>
      <w:r w:rsidR="00184859">
        <w:t>acontece pela</w:t>
      </w:r>
      <w:r w:rsidR="00FE582B" w:rsidRPr="007C4102">
        <w:t xml:space="preserve"> </w:t>
      </w:r>
      <w:proofErr w:type="spellStart"/>
      <w:r w:rsidR="00FE582B" w:rsidRPr="007C4102">
        <w:t>auto-condensação</w:t>
      </w:r>
      <w:proofErr w:type="spellEnd"/>
      <w:r w:rsidR="00FE582B" w:rsidRPr="007C4102">
        <w:t xml:space="preserve"> </w:t>
      </w:r>
      <w:proofErr w:type="spellStart"/>
      <w:r w:rsidR="00FE582B" w:rsidRPr="007C4102">
        <w:t>aldólica</w:t>
      </w:r>
      <w:proofErr w:type="spellEnd"/>
      <w:r w:rsidR="00FE582B" w:rsidRPr="007C4102">
        <w:t xml:space="preserve"> do acetaldeído. </w:t>
      </w:r>
      <w:r w:rsidR="00FE582B">
        <w:t xml:space="preserve">Porém, </w:t>
      </w:r>
      <w:r w:rsidR="00184859">
        <w:t>a concentração de</w:t>
      </w:r>
      <w:r w:rsidR="00FE582B" w:rsidRPr="007C4102">
        <w:t xml:space="preserve"> 2-butenal </w:t>
      </w:r>
      <w:r w:rsidR="00184859">
        <w:t xml:space="preserve">diminui </w:t>
      </w:r>
      <w:r w:rsidR="00FE582B" w:rsidRPr="007C4102">
        <w:t>com aumento da conversão</w:t>
      </w:r>
      <w:r w:rsidR="00FE582B">
        <w:t xml:space="preserve"> de etanol</w:t>
      </w:r>
      <w:r w:rsidR="00FE582B" w:rsidRPr="007C4102">
        <w:t xml:space="preserve">, </w:t>
      </w:r>
      <w:r w:rsidR="00FE582B">
        <w:t>dando lugar a formação d</w:t>
      </w:r>
      <w:r w:rsidR="00184859">
        <w:t>e</w:t>
      </w:r>
      <w:r w:rsidR="00FE582B" w:rsidRPr="007C4102">
        <w:t xml:space="preserve"> </w:t>
      </w:r>
      <w:proofErr w:type="spellStart"/>
      <w:r w:rsidR="00FE582B" w:rsidRPr="007C4102">
        <w:t>butenal</w:t>
      </w:r>
      <w:proofErr w:type="spellEnd"/>
      <w:r w:rsidR="00FE582B">
        <w:t xml:space="preserve"> </w:t>
      </w:r>
      <w:r w:rsidR="00FE582B" w:rsidRPr="007C4102">
        <w:t>e 2-buten-1-ol</w:t>
      </w:r>
      <w:r w:rsidR="00FE582B">
        <w:t xml:space="preserve"> a partir da hidrogenação do 2-butenal</w:t>
      </w:r>
      <w:r w:rsidR="00184859">
        <w:t xml:space="preserve">, e após consecutiva </w:t>
      </w:r>
      <w:r w:rsidR="00184859" w:rsidRPr="007C4102">
        <w:t xml:space="preserve">hidrogenação </w:t>
      </w:r>
      <w:r w:rsidR="00184859">
        <w:t xml:space="preserve">desses produtos </w:t>
      </w:r>
      <w:r w:rsidR="00184859" w:rsidRPr="007C4102">
        <w:t xml:space="preserve">é </w:t>
      </w:r>
      <w:r w:rsidR="00184859">
        <w:t>obtido o</w:t>
      </w:r>
      <w:r w:rsidR="00184859" w:rsidRPr="007C4102">
        <w:t xml:space="preserve"> 1- butanol</w:t>
      </w:r>
      <w:r w:rsidR="00DC7279">
        <w:t xml:space="preserve"> </w:t>
      </w:r>
      <w:r w:rsidR="00DC7279">
        <w:fldChar w:fldCharType="begin"/>
      </w:r>
      <w:r w:rsidR="001E3EB2">
        <w:instrText xml:space="preserve"> ADDIN ZOTERO_ITEM CSL_CITATION {"citationID":"ULjwwNsF","properties":{"formattedCitation":"(7,20,21)","plainCitation":"(7,20,21)","noteIndex":0},"citationItems":[{"id":1455,"uris":["http://zotero.org/users/11372031/items/TGW2AQ4M"],"itemData":{"id":1455,"type":"article-journal","abstract":"The ethanol condensation catalyzed by mixed oxides is studied in this work, considering not only the activity but also the stability of these materials. Concerning to the activity, different weight hourly space velocities (WHSV) were tested, obtaining the highest conversion and 1-butanol selectivity with Mg-Al, mainly at 673 K and a WSHV of 7.9 h−1. On the other hand, dehydration products, observed with Mg-Zr in relevant amounts, limit the results obtained with this material. Deactivation studies were carried out by combining the measurement of reactant and products in the gas phase and in the catalytic surface using spectroscopic techniques (DRIFT). Good stability was observed with both materials at low temperatures (lower than 673 K), whereas at the highest one, Mg-Zr suffers relevant deactivation justified by the permanent adsorption of aldehydes and oxygenated oligomers on the active sites. It has been demonstrated that Mg-Al mixed oxides are promising catalyst for 1-butanol production from ethanol not only in terms of activity, but also in terms of catalyst stability.","container-title":"Applied Catalysis A: General","DOI":"10.1016/j.apcata.2017.06.001","ISSN":"0926860X","issue":"May","note":"publisher: Elsevier","page":"271-281","title":"Role of the surface intermediates in the stability of basic mixed oxides as catalyst for ethanol condensation","volume":"542","author":[{"family":"Quesada","given":"Jorge"},{"family":"Faba","given":"Laura"},{"family":"Díaz","given":"Eva"},{"family":"Ordóñez","given":"Salvador"}],"issued":{"date-parts":[["2017"]]}}},{"id":1401,"uris":["http://zotero.org/users/11372031/items/G4XYNURM"],"itemData":{"id":1401,"type":"article-journal","abstract":"The direct conversion of ethanol to higher value 1-butanol is a catalytic transformation of great interest in light of the expected wide availability of bioethanol originating from the fermentation of renewable resources. In this contribution we describe several novel compositions of porous metal oxides (PMO) as highly active and selective catalysts for the Guerbet coupling of ethanol to 1-butanol in the temperature range 180−320 °C. The novel PMO catalysts that do not contain any noble metals are obtained by calcination of a series of hydrotalcite precursors synthesized through modular proce-dures. In particular, catalyst compositions simultaneously containing Cu and Ni dopants have shown excellent catalytic activities. Up to 22% 1-butanol yield at 56% ethanol conversion was reached in a batch mode; recycling and leaching tests showed excellent robustness of the new catalysts. An extensive characterization by means of several techniques such as powder XRD, SEM, TEM, BET, and NH 3 -and CO 2 -TPD was performed in order to understand structure−activity trends.","container-title":"ACS Sustainable Chemistry and Engineering","DOI":"10.1021/acssuschemeng.6b02494","ISSN":"21680485","issue":"2","page":"1738-1746","title":"Efficient catalytic conversion of ethanol to 1-butanol via the guerbet reaction over copper- and nickel-doped porous","volume":"5","author":[{"family":"Sun","given":"Zhuohua"},{"family":"Vasconcelos","given":"Anaís Couto"},{"family":"Bottari","given":"Giovanni"},{"family":"Stuart","given":"Marc C.A."},{"family":"Bonura","given":"Giuseppe"},{"family":"Cannilla","given":"Catia"},{"family":"Frusteri","given":"Francesco"},{"family":"Barta","given":"Katalin"}],"issued":{"date-parts":[["2017"]]}}},{"id":1461,"uris":["http://zotero.org/users/11372031/items/VPMYXFF2"],"itemData":{"id":1461,"type":"article-journal","abstract":"Hydrogenation and dehydrogenation reactions were performed over hydroxyapatite (Ca 10 ĲPO 4) 6 ĲOH) 2 , HAP) and magnesia (MgO) to explore their role in the reaction network for the Guerbet coupling of ethanol to butanol. In particular, the dehydrogenation of benzyl alcohol at 633 K and the hydrogenation of ethene and acetone at 473 K using both H 2 and ethanol as a hydrogen source were studied. The H 2-D 2 exchange reaction at room temperature and the Guerbet coupling of ethanol at 613-673 K in the presence of D 2 were also performed. Although there was no consequence of adding D 2 to the Guerbet coupling of etha-nol in terms of rate or selectivity, incorporation of deuterium into product butanol was only observed over MgO. This was attributed to the rapid exchange of H 2-D 2 that can occur over MgO but not over HAP. Hy-drogenation of acetone occurred with ethanol as a sacrificial hydrogen donor via an MPV-like reaction whereas hydrogenation with H 2 was not observed. Hydrogenation of ethene with H 2 or ethanol was not observed above background. Comparing the rate of benzyl alcohol dehydrogenation to the rate of ethanol coupling over HAP and MgO suggests that the MPV-like hydrogen transfer reaction over HAP is mostly responsible for generating intermediate acetaldehyde during the Guerbet reaction instead of direct dehydrogenation.","container-title":"Catalysis Science and Technology","DOI":"10.1039/c7cy01393k","ISSN":"20444761","issue":"6","page":"1722-1729","title":"Hydrogen transfer reactions relevant to Guerbet coupling of alcohols over hydroxyapatite and magnesium oxide catalysts","volume":"8","author":[{"family":"Young","given":"Zachary D."},{"family":"Davis","given":"Robert J."}],"issued":{"date-parts":[["2018"]]}}}],"schema":"https://github.com/citation-style-language/schema/raw/master/csl-citation.json"} </w:instrText>
      </w:r>
      <w:r w:rsidR="00DC7279">
        <w:fldChar w:fldCharType="separate"/>
      </w:r>
      <w:r w:rsidR="001E3EB2" w:rsidRPr="001E3EB2">
        <w:t>(7,20,21)</w:t>
      </w:r>
      <w:r w:rsidR="00DC7279">
        <w:fldChar w:fldCharType="end"/>
      </w:r>
      <w:r w:rsidR="00DC7279">
        <w:t>.</w:t>
      </w:r>
      <w:r w:rsidR="00184859">
        <w:t xml:space="preserve"> </w:t>
      </w:r>
      <w:r w:rsidR="00650121">
        <w:t>Segundo estudos anteriores, a</w:t>
      </w:r>
      <w:r w:rsidRPr="007C4102">
        <w:t xml:space="preserve"> condensação </w:t>
      </w:r>
      <w:proofErr w:type="spellStart"/>
      <w:r w:rsidRPr="007C4102">
        <w:t>aldólica</w:t>
      </w:r>
      <w:proofErr w:type="spellEnd"/>
      <w:r w:rsidRPr="007C4102">
        <w:t xml:space="preserve"> ocorre nos sítios Ca</w:t>
      </w:r>
      <w:r w:rsidRPr="007C4102">
        <w:rPr>
          <w:vertAlign w:val="superscript"/>
        </w:rPr>
        <w:t>+2</w:t>
      </w:r>
      <w:r w:rsidR="00CB2C54" w:rsidRPr="007C4102">
        <w:t xml:space="preserve"> - </w:t>
      </w:r>
      <w:r w:rsidRPr="007C4102">
        <w:t>PO</w:t>
      </w:r>
      <w:r w:rsidRPr="007C4102">
        <w:rPr>
          <w:vertAlign w:val="subscript"/>
        </w:rPr>
        <w:t>4</w:t>
      </w:r>
      <w:r w:rsidRPr="007C4102">
        <w:rPr>
          <w:vertAlign w:val="superscript"/>
        </w:rPr>
        <w:t>-3</w:t>
      </w:r>
      <w:r w:rsidRPr="007C4102">
        <w:t xml:space="preserve"> da HAP </w:t>
      </w:r>
      <w:r w:rsidR="00DC7279">
        <w:fldChar w:fldCharType="begin"/>
      </w:r>
      <w:r w:rsidR="001E3EB2">
        <w:instrText xml:space="preserve"> ADDIN ZOTERO_ITEM CSL_CITATION {"citationID":"MEzVG3LV","properties":{"formattedCitation":"(19)","plainCitation":"(19)","noteIndex":0},"citationItems":[{"id":1102,"uris":["http://zotero.org/users/11372031/items/43PUK2MQ"],"itemData":{"id":1102,"type":"article-journal","abstract":"The mechanism and kinetics for ethanol coupling to n-butanol over hydroxyapatite (HAP) were investi- gated at 573−613 K. In situ titration experiments show that the active sites for acetaldehyde and butanol formation are different. In combination with FTIR studies, it was found that ethanol dehydrogenation is catalyzed by Ca−O sites, whereas con- densation of acetaldehyde is catalyzed by CaO/PO4 3− pairs. Measurements of the reaction kinetics at various ethanol (3.5− 9.4 kPa) and acetaldehyde (0.055−0.12 kPa) partial pressures reveal that direct condensation involving two ethanol molecules does not play a significant role in butanol formation; instead, n-butanol is formed via a Guerbet pathway. At a constant acetaldehyde pressure, enolate formation is rate-limiting, and ethanol inhibits acetaldehyde condensation rates by competitive adsorption. A model of the reaction kinetics consistent with all experimental observations is developed.","container-title":"ACS Catalysis","DOI":"10.1021/acscatal.5b02672","ISSN":"21555435","issue":"2","note":"ISBN: 2155-5435","page":"939-948","title":"Mechanism and Kinetics of Ethanol Coupling to Butanol over Hydroxyapatite","volume":"6","author":[{"family":"Ho","given":"Christopher R."},{"family":"Shylesh","given":"Sankaranarayanapillai"},{"family":"Bell","given":"Alexis T."}],"issued":{"date-parts":[["2016"]]}}}],"schema":"https://github.com/citation-style-language/schema/raw/master/csl-citation.json"} </w:instrText>
      </w:r>
      <w:r w:rsidR="00DC7279">
        <w:fldChar w:fldCharType="separate"/>
      </w:r>
      <w:r w:rsidR="001E3EB2" w:rsidRPr="001E3EB2">
        <w:t>(19)</w:t>
      </w:r>
      <w:r w:rsidR="00DC7279">
        <w:fldChar w:fldCharType="end"/>
      </w:r>
      <w:r w:rsidRPr="007C4102">
        <w:t xml:space="preserve">. A uma mesma pressão parcial de etanol, a seletividade do acetaldeído diminui, </w:t>
      </w:r>
      <w:r w:rsidR="00AD3F1E" w:rsidRPr="007C4102">
        <w:t>enquanto</w:t>
      </w:r>
      <w:r w:rsidRPr="007C4102">
        <w:t xml:space="preserve"> a seletividade do 1-butanol aumenta, reforçando a hipótese de que o 1-butanol é formado a partir da condensação do acetaldeído. Já a seletividade do 2- buten-1-ol diminui com a conversão, visto que também é um intermediário para formação do 1-butanol.</w:t>
      </w:r>
    </w:p>
    <w:p w14:paraId="29CF6CD9" w14:textId="1C9FC46F" w:rsidR="00E64D7D" w:rsidRPr="007C4102" w:rsidRDefault="00184859" w:rsidP="003528A7">
      <w:pPr>
        <w:pStyle w:val="CBCat"/>
      </w:pPr>
      <w:r>
        <w:t>N</w:t>
      </w:r>
      <w:r w:rsidR="00920334" w:rsidRPr="007C4102">
        <w:t xml:space="preserve">a temperatura de 350 °C, a seletividade de 1-butanol atinge o máximo de 50 % a 9,70 % de conversão e </w:t>
      </w:r>
      <w:r w:rsidR="00650121">
        <w:t>15%v/v</w:t>
      </w:r>
      <w:r w:rsidR="00920334" w:rsidRPr="007C4102">
        <w:t xml:space="preserve">. Além disso, nota-se a formação de produtos mais pesados </w:t>
      </w:r>
      <w:r w:rsidR="00394DA7">
        <w:t xml:space="preserve">C6 </w:t>
      </w:r>
      <w:r w:rsidR="00920334" w:rsidRPr="007C4102">
        <w:t>como 2-etil-1-butanol</w:t>
      </w:r>
      <w:r w:rsidR="00394DA7">
        <w:t xml:space="preserve"> e 1-</w:t>
      </w:r>
      <w:r w:rsidR="00394DA7" w:rsidRPr="007C4102">
        <w:t>hexanol</w:t>
      </w:r>
      <w:r w:rsidR="00920334" w:rsidRPr="007C4102">
        <w:t>. Observa-se que a seletividade para produtos C6 aumenta com a temperatura e a conversão</w:t>
      </w:r>
      <w:r w:rsidR="00394DA7">
        <w:t xml:space="preserve"> </w:t>
      </w:r>
      <w:r w:rsidR="001D3D5C">
        <w:fldChar w:fldCharType="begin"/>
      </w:r>
      <w:r w:rsidR="001E3EB2">
        <w:instrText xml:space="preserve"> ADDIN ZOTERO_ITEM CSL_CITATION {"citationID":"xWhhtxGc","properties":{"formattedCitation":"(17,22)","plainCitation":"(17,22)","noteIndex":0},"citationItems":[{"id":1414,"uris":["http://zotero.org/users/11372031/items/F7AYIUMI"],"itemData":{"id":1414,"type":"article-journal","abstract":"Higher alcohols (C 4 +) can be formed from ethanol via condensation pathways collectively known as Guerbet reactions. Most prior Guerbet reaction studies involve vapor-phase reactions, with n-butanol yields typically no higher than 30% of theoretical. We report here condensed-phase Guerbet reactions of ethanol over Ni/γ-Al 2 O 3 catalysts modified by La 2 O 3 . Higher alcohol selectivities in excess of 80% at 230 °C and autogenous pressures are obtained in batch autoclave reactions. At these conditions, which are near the critical temperature of ethanol, the liquid phase is significantly expanded, byproduct gases (CH 4 and CO 2) are significantly dissolved in the liquid phase, and the vapor phase contains significant quantities of alcohols. To accurately compute ethanol conversion and product yields, both composition and quantity of each phase present at reaction conditions must be determined. To do this, the SR-Polar equation of state is combined with chromatographic analysis of liquid-phase samples taken during reaction to model the phase equilibrium in the reactor at reaction conditions. Composition, density, and total number of moles of the vapor and liquid phases in the reactor are determined from the model and analysis, and they are used to calculate more accurate values of conversion and product yield than those calculated by liquid-phase samples alone.","container-title":"Industrial and Engineering Chemistry Research","DOI":"10.1021/acs.iecr.5b02409","ISSN":"15205045","issue":"44","note":"ISBN: 0888-5885","page":"10991-11000","title":"Condensed-Phase Ethanol Conversion to Higher Alcohols","volume":"54","author":[{"family":"Jordison","given":"Tyler L."},{"family":"Lira","given":"Carl T."},{"family":"Miller","given":"Dennis J."}],"issued":{"date-parts":[["2015"]]}}},{"id":721,"uris":["http://zotero.org/users/11372031/items/45AZSADU"],"itemData":{"id":721,"type":"article-journal","abstract":"n-Butanol is an important industrial chemical usually produced by the oxo process, an expensive, energy- consuming set of reactions over metal catalysts, using petrochemical raw materials at high pressure. We developed nonstoichiometric hydroxyapatite (HAP), a highly active calcium phosphate compound and found it catalyzed selective conversion of ethanol to n-butanol in a single reaction at atmospheric pressure and low temperature, with maximum selectivity of 76%. Higher alcohols were also formed. We postulate that ethanol is adsorbed and activated on HAP as CH3CH2OH(a) and that a C-C bond was formed between ?-C in the CH3CH2OH(a) and R-C in n-CnH2n+1OH to produce n-CnH2n+1CH2CH2OH. We further postulate that, by successive propagation, part of this n-CnH2n+1CH2CH2OH is then adsorbed and activated on HAP as n-CnH2n+1CH2CH2OH(a) and that C-C bond was formed between ?-C in the n-CnH2n+1CHCH2OH(a) and R-C in n-alcohol to produce branched alcohols. Reaction simulation supported this hypothesis, suggesting that efficient, environmentally friendly production of n-butanol might be possible in future using bioethanol as raw material.","container-title":"Industrial &amp; Engineering Chemistry Research","DOI":"10.1021/ie0606082","ISSN":"0888-5885","note":"ISBN: 0888-5885","page":"8634-8642","title":"Direct Synthesis of n -Butanol from Ethanol over Nonstoichiometric Hydroxyapatite","volume":"45","author":[{"family":"Tsuchida","given":"Takashi"},{"family":"Sakuma","given":"Shuji"},{"family":"Takeguchi","given":"Tatsuya"},{"family":"Ueda","given":"Wataru"}],"issued":{"date-parts":[["2006"]]}}}],"schema":"https://github.com/citation-style-language/schema/raw/master/csl-citation.json"} </w:instrText>
      </w:r>
      <w:r w:rsidR="001D3D5C">
        <w:fldChar w:fldCharType="separate"/>
      </w:r>
      <w:r w:rsidR="001E3EB2" w:rsidRPr="001E3EB2">
        <w:t>(17,22)</w:t>
      </w:r>
      <w:r w:rsidR="001D3D5C">
        <w:fldChar w:fldCharType="end"/>
      </w:r>
      <w:r w:rsidR="001D3D5C">
        <w:t>.</w:t>
      </w:r>
      <w:r w:rsidR="00920334" w:rsidRPr="007C4102">
        <w:t xml:space="preserve"> Verificou-se também a presença de </w:t>
      </w:r>
      <w:proofErr w:type="spellStart"/>
      <w:r w:rsidR="00920334" w:rsidRPr="007C4102">
        <w:t>dietil</w:t>
      </w:r>
      <w:proofErr w:type="spellEnd"/>
      <w:r w:rsidR="00920334" w:rsidRPr="007C4102">
        <w:t xml:space="preserve">-éter e </w:t>
      </w:r>
      <w:proofErr w:type="spellStart"/>
      <w:r w:rsidR="00920334" w:rsidRPr="007C4102">
        <w:t>butanal</w:t>
      </w:r>
      <w:proofErr w:type="spellEnd"/>
      <w:r w:rsidR="00920334" w:rsidRPr="007C4102">
        <w:t xml:space="preserve"> a 350 °C. As seletividades de etileno e </w:t>
      </w:r>
      <w:proofErr w:type="spellStart"/>
      <w:r w:rsidR="00920334" w:rsidRPr="007C4102">
        <w:t>dietil</w:t>
      </w:r>
      <w:proofErr w:type="spellEnd"/>
      <w:r w:rsidR="00920334" w:rsidRPr="007C4102">
        <w:t xml:space="preserve">-éter são baixas (≤ 1 %), o que está </w:t>
      </w:r>
      <w:r w:rsidR="00E64D7D" w:rsidRPr="007C4102">
        <w:t>em conformidade com a análise de TPD/NH</w:t>
      </w:r>
      <w:r w:rsidR="00E64D7D" w:rsidRPr="00C534B5">
        <w:rPr>
          <w:vertAlign w:val="subscript"/>
        </w:rPr>
        <w:t>3</w:t>
      </w:r>
      <w:r w:rsidR="00E64D7D" w:rsidRPr="007C4102">
        <w:t xml:space="preserve">, que mostrou </w:t>
      </w:r>
      <w:r w:rsidR="00394DA7">
        <w:t>uma menor</w:t>
      </w:r>
      <w:r w:rsidR="00394DA7" w:rsidRPr="007C4102">
        <w:t xml:space="preserve"> </w:t>
      </w:r>
      <w:r w:rsidR="00E64D7D" w:rsidRPr="007C4102">
        <w:t>concentração de sítios ácidos fortes (~23%</w:t>
      </w:r>
      <w:r w:rsidR="000F1376" w:rsidRPr="007C4102">
        <w:t>)</w:t>
      </w:r>
      <w:r w:rsidR="00394DA7">
        <w:t xml:space="preserve"> em relação aos sítios básicos fortes </w:t>
      </w:r>
      <w:r w:rsidR="00394DA7" w:rsidRPr="007C4102">
        <w:t>(~</w:t>
      </w:r>
      <w:r w:rsidR="00394DA7">
        <w:t>44</w:t>
      </w:r>
      <w:r w:rsidR="00394DA7" w:rsidRPr="007C4102">
        <w:t>%)</w:t>
      </w:r>
      <w:r w:rsidR="00650121">
        <w:t>, já que u</w:t>
      </w:r>
      <w:r w:rsidR="00920334" w:rsidRPr="007C4102">
        <w:t xml:space="preserve">ma quantidade excessiva de sítios ácidos fortes leva a formação de elevadas quantidades de etileno e </w:t>
      </w:r>
      <w:proofErr w:type="spellStart"/>
      <w:r w:rsidR="00920334" w:rsidRPr="007C4102">
        <w:t>dietil</w:t>
      </w:r>
      <w:proofErr w:type="spellEnd"/>
      <w:r w:rsidR="00920334" w:rsidRPr="007C4102">
        <w:t xml:space="preserve">-éter </w:t>
      </w:r>
      <w:r w:rsidR="001D3D5C">
        <w:fldChar w:fldCharType="begin"/>
      </w:r>
      <w:r w:rsidR="001D3D5C">
        <w:instrText xml:space="preserve"> ADDIN ZOTERO_ITEM CSL_CITATION {"citationID":"EXbanHkC","properties":{"formattedCitation":"(6)","plainCitation":"(6)","noteIndex":0},"citationItems":[{"id":1228,"uris":["http://zotero.org/users/11372031/items/93MXVNJK"],"itemData":{"id":1228,"type":"article-journal","abstract":"Silica-magnesia (Si/Mg=1:1) catalysts were studied in the one-pot conversion of ethanol to butadiene. The catalyst synthesis method was found to greatly influence morphology and performance, with materials prepared through wet-kneading performing best both in terms of ethanol conversion and butadiene yield. Detailed characterization of the catalysts synthesized through co-precipitation or wet-kneading allowed correlation of activity and selectivity with morphology, textural properties, crystallinity, and acidity/basicity. The higher yields achieved with the wet-kneaded catalysts were attributed to a morphology consisting of SiO2 spheres embedded in a thin layer of MgO. The particle size of the SiO2 catalysts also influenced performance, with catalysts with smaller SiO2 spheres showing higher activity. Temperature-programmed desorption (TPD) measurements showed that best butadiene yields were obtained with SiO2 -MgO catalysts characterized by an intermediate amount of acidic and basic sites. A Hammett indicator study showed the catalysts' pKa value to be inversely correlated with the amount of dehydration by-products formed. Butadiene yields could be further improved by the addition of 1 wt % of CuO as promoter to give butadiene yields and selectivities as high as 40 % and 53 %, respectively. The copper promoter boosts the production of the acetaldehyde intermediate changing the rate-determining step of the process. TEM-energy-dispersive X-ray (EDX) analyses showed CuO to be present on both the SiO2 and MgO components. UV/Vis spectra of promoted catalysts in turn pointed at the presence of cluster-like CuO species, which are proposed to be responsible for the increased butadiene production.","container-title":"ChemSusChem","DOI":"10.1002/cssc.201402361","ISSN":"1864564X","issue":"9","note":"PMID: 25045112\nISBN: 1864-5631","page":"2505-2515","title":"Effect of Preparation Method and CuO Promotion in the Conversion of Ethanol into 1,3-Butadiene over SiO2–MgO Catalysts","volume":"7","author":[{"family":"Angelici","given":"Carlo"},{"family":"Velthoen","given":"Marjolein E.Z."},{"family":"Weckhuysen","given":"Bert M."},{"family":"Bruijnincx","given":"Pieter C.A."}],"issued":{"date-parts":[["2014"]]}}}],"schema":"https://github.com/citation-style-language/schema/raw/master/csl-citation.json"} </w:instrText>
      </w:r>
      <w:r w:rsidR="001D3D5C">
        <w:fldChar w:fldCharType="separate"/>
      </w:r>
      <w:r w:rsidR="001D3D5C" w:rsidRPr="001D3D5C">
        <w:t>(6)</w:t>
      </w:r>
      <w:r w:rsidR="001D3D5C">
        <w:fldChar w:fldCharType="end"/>
      </w:r>
      <w:r w:rsidR="00920334" w:rsidRPr="007C4102">
        <w:t xml:space="preserve">. A alta seletividade para 1-butanol obtido na reação de etanol com a HAP é resultado do equilíbrio adequado de pares de sítios ácidos básicos na superfície do catalisador. </w:t>
      </w:r>
      <w:r w:rsidR="00E64D7D" w:rsidRPr="007C4102">
        <w:t xml:space="preserve">Pela análise de TPD, vimos que a razão de sítios ácidos e básicos fracos e médios é ~1. </w:t>
      </w:r>
      <w:r w:rsidR="00920334" w:rsidRPr="007C4102">
        <w:t xml:space="preserve">Este equilíbrio permite todas as etapas da sequência de </w:t>
      </w:r>
      <w:proofErr w:type="spellStart"/>
      <w:r w:rsidR="000F1376" w:rsidRPr="007C4102">
        <w:t>Guerbet</w:t>
      </w:r>
      <w:proofErr w:type="spellEnd"/>
      <w:r w:rsidR="000F1376" w:rsidRPr="007C4102">
        <w:t>, incluindo</w:t>
      </w:r>
      <w:r w:rsidR="00920334" w:rsidRPr="007C4102">
        <w:t xml:space="preserve"> desidrogenação de etanol, condensação de </w:t>
      </w:r>
      <w:proofErr w:type="spellStart"/>
      <w:r w:rsidR="00920334" w:rsidRPr="007C4102">
        <w:t>aldol</w:t>
      </w:r>
      <w:proofErr w:type="spellEnd"/>
      <w:r w:rsidR="00920334" w:rsidRPr="007C4102">
        <w:t xml:space="preserve"> e hidrogenação de aldeído. Isto é consistente com a </w:t>
      </w:r>
      <w:r w:rsidR="00E64D7D" w:rsidRPr="007C4102">
        <w:t>suposição</w:t>
      </w:r>
      <w:r w:rsidR="00920334" w:rsidRPr="007C4102">
        <w:t xml:space="preserve"> de que o acoplamento da </w:t>
      </w:r>
      <w:proofErr w:type="spellStart"/>
      <w:r w:rsidR="00920334" w:rsidRPr="007C4102">
        <w:t>Guerbet</w:t>
      </w:r>
      <w:proofErr w:type="spellEnd"/>
      <w:r w:rsidR="00920334" w:rsidRPr="007C4102">
        <w:t xml:space="preserve"> é facilitado por catalisadores bifuncionais ácido-base fracos.</w:t>
      </w:r>
    </w:p>
    <w:p w14:paraId="0391C768" w14:textId="6497F98A" w:rsidR="000F1376" w:rsidRPr="007C4102" w:rsidRDefault="00F91B8D" w:rsidP="003528A7">
      <w:pPr>
        <w:pStyle w:val="CBCat"/>
      </w:pPr>
      <w:r w:rsidRPr="007C4102">
        <w:lastRenderedPageBreak/>
        <w:t xml:space="preserve">Sabe-se que o acoplamento de etanol via mecanismo de </w:t>
      </w:r>
      <w:proofErr w:type="spellStart"/>
      <w:r w:rsidRPr="007C4102">
        <w:t>Guerbet</w:t>
      </w:r>
      <w:proofErr w:type="spellEnd"/>
      <w:r w:rsidRPr="007C4102">
        <w:t xml:space="preserve"> é facilitado por catalisadores bifuncionais de ácido-base fracos </w:t>
      </w:r>
      <w:r w:rsidR="001D3D5C">
        <w:fldChar w:fldCharType="begin"/>
      </w:r>
      <w:r w:rsidR="001D3D5C">
        <w:instrText xml:space="preserve"> ADDIN ZOTERO_ITEM CSL_CITATION {"citationID":"JdepHxvd","properties":{"formattedCitation":"(11)","plainCitation":"(11)","noteIndex":0},"citationItems":[{"id":1509,"uris":["http://www.mendeley.com/documents/?uuid=daf5fe27-7fba-4f84-8757-4105d8e28e34","http://zotero.org/users/11372031/items/LSDD2HMH"],"itemData":{"id":1509,"type":"article-journal","abstract":"The Guerbet coupling of ethanol into butanol was investigated using multiproduct steady-state isotopic transient kinetic analysis (SSITKA) in a comparative study between stoichiometric hydroxyapatite (HAP) and magnesia (MgO) catalysts at 613 and 653 K, respectively. The steady-state catalytic reactions were conducted in a gas-phase, fixed-bed, differential reactor at 1.3 atm total system pressure. Multiproduct SSITKA results showed that the mean surface residence time of reactive intermediates leading to acetaldehyde was significantly shorter than that of intermediates leading to butanol on both HAP and MgO. This finding may suggest that the dehydrogenation of ethanol to acetaldehyde is fast on these surfaces compared with C?C bond formation. If adsorbed acetaldehyde is a key reaction intermediate in the Guerbet coupling of ethanol into butanol, then SSITKA revealed that the majority of adsorbed acetaldehyde produced on the surface of MgO desorbs into the gas-phase, whereas the majority of adsorbed acetaldehyde on HAP likely undergoes sequential aldol-type reactions required for butanol formation. Adsorption microcalorimetry of triethylamine and CO2 showed a significantly higher number of acid and base sites on the surface of HAP compared with those on MgO. Diffuse reflectance infrared Fourier transform spectroscopy of adsorbed ethanol followed by stepwise temperature-programmed desorption revealed that ethoxide is more weakly bound to the HAP surface compared with MgO. A high surface density of acid?base site pairs along with a weak binding affinity for ethanol on HAP may provide a possible explanation for the increased activity and high butanol selectivity observed with HAP compared with MgO catalysts in the ethanol coupling reaction. The Guerbet coupling of ethanol into butanol was investigated using multiproduct steady-state isotopic transient kinetic analysis (SSITKA) in a comparative study between stoichiometric hydroxyapatite (HAP) and magnesia (MgO) catalysts at 613 and 653 K, respectively. The steady-state catalytic reactions were conducted in a gas-phase, fixed-bed, differential reactor at 1.3 atm total system pressure. Multiproduct SSITKA results showed that the mean surface residence time of reactive intermediates leading to acetaldehyde was significantly shorter than that of intermediates leading to butanol on both HAP and MgO. This finding may suggest that the dehydrogenation of ethanol to acetaldehyde is fast on these surfaces compared with C?C bond formation. If adsorbed acetaldehyde is a key reaction intermediate in the Guerbet coupling of ethanol into butanol, then SSITKA revealed that the majority of adsorbed acetaldehyde produced on the surface of MgO desorbs into the gas-phase, whereas the majority of adsorbed acetaldehyde on HAP likely undergoes sequential aldol-type reactions required for butanol formation. Adsorption microcalorimetry of triethylamine and CO2 showed a significantly higher number of acid and base sites on the surface of HAP compared with those on MgO. Diffuse reflectance infrared Fourier transform spectroscopy of adsorbed ethanol followed by stepwise temperature-programmed desorption revealed that ethoxide is more weakly bound to the HAP surface compared with MgO. A high surface density of acid?base site pairs along with a weak binding affinity for ethanol on HAP may provide a possible explanation for the increased activity and high butanol selectivity observed with HAP compared with MgO catalysts in the ethanol coupling reaction.","container-title":"ACS Catalysis","DOI":"10.1021/cs502023g","ISSN":"21555435","issue":"3","note":"ISBN: 2155-5435","page":"1737-1746","title":"Multiproduct steady-state isotopic transient kinetic analysis of the ethanol coupling reaction over hydroxyapatite and magnesia","volume":"5","author":[{"family":"Hanspal","given":"Sabra"},{"family":"Young","given":"Zachary D."},{"family":"Shou","given":"Heng"},{"family":"Davis","given":"Robert J."}],"issued":{"date-parts":[["2015"]]}}}],"schema":"https://github.com/citation-style-language/schema/raw/master/csl-citation.json"} </w:instrText>
      </w:r>
      <w:r w:rsidR="001D3D5C">
        <w:fldChar w:fldCharType="separate"/>
      </w:r>
      <w:r w:rsidR="001D3D5C" w:rsidRPr="001D3D5C">
        <w:t>(11)</w:t>
      </w:r>
      <w:r w:rsidR="001D3D5C">
        <w:fldChar w:fldCharType="end"/>
      </w:r>
      <w:r w:rsidRPr="007C4102">
        <w:t>.</w:t>
      </w:r>
      <w:r w:rsidR="00650121">
        <w:t xml:space="preserve"> </w:t>
      </w:r>
      <w:r w:rsidR="002114C5" w:rsidRPr="007C4102">
        <w:t>Com intuito de aumentar as reações de hidrogenação e formação de n-butanol, foi realizado testes catalíticos com alimentação de hidrogênio na corrente de alimentação.</w:t>
      </w:r>
    </w:p>
    <w:p w14:paraId="1039DB21" w14:textId="77777777" w:rsidR="000F1376" w:rsidRPr="007C4102" w:rsidRDefault="000F1376" w:rsidP="003528A7">
      <w:pPr>
        <w:pStyle w:val="CBCat"/>
      </w:pPr>
    </w:p>
    <w:p w14:paraId="097096B1" w14:textId="390B5537" w:rsidR="002114C5" w:rsidRPr="00F01599" w:rsidRDefault="0065578B" w:rsidP="0065578B">
      <w:pPr>
        <w:pStyle w:val="Caption"/>
        <w:rPr>
          <w:color w:val="auto"/>
        </w:rPr>
      </w:pPr>
      <w:r w:rsidRPr="00C534B5">
        <w:rPr>
          <w:rStyle w:val="CBCatChar"/>
          <w:rFonts w:eastAsiaTheme="minorEastAsia"/>
          <w:color w:val="auto"/>
          <w:sz w:val="18"/>
          <w:szCs w:val="18"/>
          <w:lang w:val="pt-BR"/>
        </w:rPr>
        <w:t xml:space="preserve">Tabela </w:t>
      </w:r>
      <w:r w:rsidRPr="00C534B5">
        <w:rPr>
          <w:rStyle w:val="CBCatChar"/>
          <w:rFonts w:eastAsiaTheme="minorEastAsia"/>
          <w:color w:val="auto"/>
          <w:sz w:val="18"/>
          <w:szCs w:val="18"/>
        </w:rPr>
        <w:fldChar w:fldCharType="begin"/>
      </w:r>
      <w:r w:rsidRPr="00C534B5">
        <w:rPr>
          <w:rStyle w:val="CBCatChar"/>
          <w:rFonts w:eastAsiaTheme="minorEastAsia"/>
          <w:color w:val="auto"/>
          <w:sz w:val="18"/>
          <w:szCs w:val="18"/>
          <w:lang w:val="pt-BR"/>
        </w:rPr>
        <w:instrText xml:space="preserve"> SEQ Tabela \* ARABIC </w:instrText>
      </w:r>
      <w:r w:rsidRPr="00C534B5">
        <w:rPr>
          <w:rStyle w:val="CBCatChar"/>
          <w:rFonts w:eastAsiaTheme="minorEastAsia"/>
          <w:color w:val="auto"/>
          <w:sz w:val="18"/>
          <w:szCs w:val="18"/>
        </w:rPr>
        <w:fldChar w:fldCharType="separate"/>
      </w:r>
      <w:r w:rsidRPr="00C534B5">
        <w:rPr>
          <w:rStyle w:val="CBCatChar"/>
          <w:rFonts w:eastAsiaTheme="minorEastAsia"/>
          <w:color w:val="auto"/>
          <w:sz w:val="18"/>
          <w:szCs w:val="18"/>
          <w:lang w:val="pt-BR"/>
        </w:rPr>
        <w:t>3</w:t>
      </w:r>
      <w:r w:rsidRPr="00C534B5">
        <w:rPr>
          <w:rStyle w:val="CBCatChar"/>
          <w:rFonts w:eastAsiaTheme="minorEastAsia"/>
          <w:color w:val="auto"/>
          <w:sz w:val="18"/>
          <w:szCs w:val="18"/>
        </w:rPr>
        <w:fldChar w:fldCharType="end"/>
      </w:r>
      <w:r w:rsidR="000F1376" w:rsidRPr="00C534B5">
        <w:rPr>
          <w:rStyle w:val="CBCatChar"/>
          <w:rFonts w:eastAsiaTheme="minorEastAsia"/>
          <w:color w:val="auto"/>
          <w:sz w:val="18"/>
          <w:szCs w:val="18"/>
          <w:lang w:val="pt-BR"/>
        </w:rPr>
        <w:t>.</w:t>
      </w:r>
      <w:r w:rsidR="000F1376" w:rsidRPr="00F01599">
        <w:rPr>
          <w:rFonts w:ascii="Times New Roman" w:eastAsia="Times New Roman" w:hAnsi="Times New Roman" w:cs="Times New Roman"/>
          <w:color w:val="auto"/>
          <w:sz w:val="18"/>
          <w:szCs w:val="18"/>
        </w:rPr>
        <w:t xml:space="preserve"> </w:t>
      </w:r>
      <w:r w:rsidR="000F1376" w:rsidRPr="00C534B5">
        <w:rPr>
          <w:rStyle w:val="CBCatChar"/>
          <w:rFonts w:eastAsiaTheme="minorEastAsia"/>
          <w:b w:val="0"/>
          <w:bCs w:val="0"/>
          <w:color w:val="auto"/>
          <w:sz w:val="18"/>
          <w:szCs w:val="18"/>
          <w:lang w:val="pt-BR"/>
        </w:rPr>
        <w:t>Distribuição dos produtos reacionais da conversão de etanol a 350 ºC e W/</w:t>
      </w:r>
      <w:proofErr w:type="spellStart"/>
      <w:r w:rsidR="000F1376" w:rsidRPr="00C534B5">
        <w:rPr>
          <w:rStyle w:val="CBCatChar"/>
          <w:rFonts w:eastAsiaTheme="minorEastAsia"/>
          <w:b w:val="0"/>
          <w:bCs w:val="0"/>
          <w:color w:val="auto"/>
          <w:sz w:val="18"/>
          <w:szCs w:val="18"/>
          <w:lang w:val="pt-BR"/>
        </w:rPr>
        <w:t>FEtOH</w:t>
      </w:r>
      <w:proofErr w:type="spellEnd"/>
      <w:r w:rsidR="000F1376" w:rsidRPr="00C534B5">
        <w:rPr>
          <w:rStyle w:val="CBCatChar"/>
          <w:rFonts w:eastAsiaTheme="minorEastAsia"/>
          <w:b w:val="0"/>
          <w:bCs w:val="0"/>
          <w:color w:val="auto"/>
          <w:sz w:val="18"/>
          <w:szCs w:val="18"/>
          <w:lang w:val="pt-BR"/>
        </w:rPr>
        <w:t>=0,0185 g min mL</w:t>
      </w:r>
      <w:r w:rsidR="000F1376" w:rsidRPr="00322B2A">
        <w:rPr>
          <w:rStyle w:val="CBCatChar"/>
          <w:rFonts w:eastAsiaTheme="minorEastAsia"/>
          <w:b w:val="0"/>
          <w:bCs w:val="0"/>
          <w:color w:val="auto"/>
          <w:sz w:val="18"/>
          <w:szCs w:val="18"/>
          <w:vertAlign w:val="superscript"/>
          <w:lang w:val="pt-BR"/>
        </w:rPr>
        <w:t>-1</w:t>
      </w:r>
      <w:r w:rsidR="000F1376" w:rsidRPr="00C534B5">
        <w:rPr>
          <w:rStyle w:val="CBCatChar"/>
          <w:rFonts w:eastAsiaTheme="minorEastAsia"/>
          <w:b w:val="0"/>
          <w:bCs w:val="0"/>
          <w:color w:val="auto"/>
          <w:sz w:val="18"/>
          <w:szCs w:val="18"/>
          <w:lang w:val="pt-BR"/>
        </w:rPr>
        <w:t xml:space="preserve"> em atmosfera inerte ou redutora sobre catalisadores HAP</w:t>
      </w:r>
      <w:r w:rsidR="002114C5" w:rsidRPr="00F01599">
        <w:rPr>
          <w:color w:val="auto"/>
        </w:rPr>
        <w:t xml:space="preserve"> </w:t>
      </w:r>
    </w:p>
    <w:tbl>
      <w:tblPr>
        <w:tblW w:w="4051" w:type="pct"/>
        <w:jc w:val="center"/>
        <w:tblBorders>
          <w:top w:val="single" w:sz="4" w:space="0" w:color="auto"/>
          <w:bottom w:val="single" w:sz="4" w:space="0" w:color="auto"/>
        </w:tblBorders>
        <w:tblLook w:val="04A0" w:firstRow="1" w:lastRow="0" w:firstColumn="1" w:lastColumn="0" w:noHBand="0" w:noVBand="1"/>
      </w:tblPr>
      <w:tblGrid>
        <w:gridCol w:w="1878"/>
        <w:gridCol w:w="905"/>
        <w:gridCol w:w="1080"/>
      </w:tblGrid>
      <w:tr w:rsidR="007C4102" w:rsidRPr="007C4102" w14:paraId="69E9A999" w14:textId="77777777" w:rsidTr="002114C5">
        <w:trPr>
          <w:trHeight w:val="300"/>
          <w:jc w:val="center"/>
        </w:trPr>
        <w:tc>
          <w:tcPr>
            <w:tcW w:w="2431" w:type="pct"/>
            <w:tcBorders>
              <w:top w:val="single" w:sz="4" w:space="0" w:color="auto"/>
              <w:bottom w:val="single" w:sz="4" w:space="0" w:color="auto"/>
            </w:tcBorders>
            <w:shd w:val="clear" w:color="auto" w:fill="auto"/>
            <w:noWrap/>
            <w:vAlign w:val="center"/>
          </w:tcPr>
          <w:p w14:paraId="6B3CACDF" w14:textId="77777777" w:rsidR="002114C5" w:rsidRPr="007C4102" w:rsidRDefault="002114C5"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Seletividade</w:t>
            </w:r>
            <w:proofErr w:type="spellEnd"/>
            <w:r w:rsidRPr="007C4102">
              <w:rPr>
                <w:rFonts w:ascii="Times New Roman" w:hAnsi="Times New Roman"/>
                <w:sz w:val="16"/>
                <w:szCs w:val="16"/>
              </w:rPr>
              <w:t xml:space="preserve"> (%)</w:t>
            </w:r>
          </w:p>
        </w:tc>
        <w:tc>
          <w:tcPr>
            <w:tcW w:w="1171" w:type="pct"/>
            <w:tcBorders>
              <w:top w:val="single" w:sz="4" w:space="0" w:color="auto"/>
              <w:bottom w:val="single" w:sz="4" w:space="0" w:color="auto"/>
            </w:tcBorders>
            <w:shd w:val="clear" w:color="auto" w:fill="auto"/>
            <w:noWrap/>
            <w:vAlign w:val="center"/>
          </w:tcPr>
          <w:p w14:paraId="11C0D289"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HAP</w:t>
            </w:r>
          </w:p>
        </w:tc>
        <w:tc>
          <w:tcPr>
            <w:tcW w:w="1398" w:type="pct"/>
            <w:tcBorders>
              <w:top w:val="single" w:sz="4" w:space="0" w:color="auto"/>
              <w:bottom w:val="single" w:sz="4" w:space="0" w:color="auto"/>
            </w:tcBorders>
            <w:shd w:val="clear" w:color="auto" w:fill="auto"/>
            <w:noWrap/>
            <w:vAlign w:val="center"/>
          </w:tcPr>
          <w:p w14:paraId="2D599E6C"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HAP+H</w:t>
            </w:r>
            <w:r w:rsidRPr="007C4102">
              <w:rPr>
                <w:rFonts w:ascii="Times New Roman" w:hAnsi="Times New Roman"/>
                <w:sz w:val="16"/>
                <w:szCs w:val="16"/>
                <w:vertAlign w:val="subscript"/>
              </w:rPr>
              <w:t>2</w:t>
            </w:r>
          </w:p>
        </w:tc>
      </w:tr>
      <w:tr w:rsidR="007C4102" w:rsidRPr="007C4102" w14:paraId="6D7982BC" w14:textId="77777777" w:rsidTr="002114C5">
        <w:trPr>
          <w:trHeight w:val="300"/>
          <w:jc w:val="center"/>
        </w:trPr>
        <w:tc>
          <w:tcPr>
            <w:tcW w:w="2431" w:type="pct"/>
            <w:tcBorders>
              <w:top w:val="single" w:sz="4" w:space="0" w:color="auto"/>
            </w:tcBorders>
            <w:shd w:val="clear" w:color="auto" w:fill="auto"/>
            <w:noWrap/>
            <w:vAlign w:val="center"/>
          </w:tcPr>
          <w:p w14:paraId="441C51F6" w14:textId="77777777" w:rsidR="002114C5" w:rsidRPr="007C4102" w:rsidRDefault="002114C5"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Conversão</w:t>
            </w:r>
            <w:proofErr w:type="spellEnd"/>
            <w:r w:rsidRPr="007C4102">
              <w:rPr>
                <w:rFonts w:ascii="Times New Roman" w:hAnsi="Times New Roman"/>
                <w:sz w:val="16"/>
                <w:szCs w:val="16"/>
              </w:rPr>
              <w:t xml:space="preserve"> (%)</w:t>
            </w:r>
          </w:p>
        </w:tc>
        <w:tc>
          <w:tcPr>
            <w:tcW w:w="1171" w:type="pct"/>
            <w:tcBorders>
              <w:top w:val="single" w:sz="4" w:space="0" w:color="auto"/>
            </w:tcBorders>
            <w:shd w:val="clear" w:color="auto" w:fill="auto"/>
            <w:noWrap/>
            <w:vAlign w:val="center"/>
          </w:tcPr>
          <w:p w14:paraId="0D811C1E"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7</w:t>
            </w:r>
          </w:p>
        </w:tc>
        <w:tc>
          <w:tcPr>
            <w:tcW w:w="1398" w:type="pct"/>
            <w:tcBorders>
              <w:top w:val="single" w:sz="4" w:space="0" w:color="auto"/>
            </w:tcBorders>
            <w:shd w:val="clear" w:color="auto" w:fill="auto"/>
            <w:noWrap/>
            <w:vAlign w:val="center"/>
          </w:tcPr>
          <w:p w14:paraId="2D2064E5"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6</w:t>
            </w:r>
          </w:p>
        </w:tc>
      </w:tr>
      <w:tr w:rsidR="007C4102" w:rsidRPr="007C4102" w14:paraId="20579FCC" w14:textId="77777777" w:rsidTr="002114C5">
        <w:trPr>
          <w:trHeight w:val="300"/>
          <w:jc w:val="center"/>
        </w:trPr>
        <w:tc>
          <w:tcPr>
            <w:tcW w:w="2431" w:type="pct"/>
            <w:tcBorders>
              <w:top w:val="single" w:sz="4" w:space="0" w:color="auto"/>
            </w:tcBorders>
            <w:shd w:val="clear" w:color="auto" w:fill="auto"/>
            <w:noWrap/>
            <w:vAlign w:val="center"/>
            <w:hideMark/>
          </w:tcPr>
          <w:p w14:paraId="6999551D" w14:textId="77777777" w:rsidR="002114C5" w:rsidRPr="007C4102" w:rsidRDefault="002114C5"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Etileno</w:t>
            </w:r>
            <w:proofErr w:type="spellEnd"/>
          </w:p>
        </w:tc>
        <w:tc>
          <w:tcPr>
            <w:tcW w:w="1171" w:type="pct"/>
            <w:tcBorders>
              <w:top w:val="single" w:sz="4" w:space="0" w:color="auto"/>
            </w:tcBorders>
            <w:shd w:val="clear" w:color="auto" w:fill="auto"/>
            <w:noWrap/>
            <w:vAlign w:val="center"/>
            <w:hideMark/>
          </w:tcPr>
          <w:p w14:paraId="3A632C40" w14:textId="22187AA2"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0</w:t>
            </w:r>
            <w:r w:rsidR="001240CC">
              <w:rPr>
                <w:rFonts w:ascii="Times New Roman" w:hAnsi="Times New Roman"/>
                <w:sz w:val="16"/>
                <w:szCs w:val="16"/>
              </w:rPr>
              <w:t>,</w:t>
            </w:r>
            <w:r w:rsidRPr="007C4102">
              <w:rPr>
                <w:rFonts w:ascii="Times New Roman" w:hAnsi="Times New Roman"/>
                <w:sz w:val="16"/>
                <w:szCs w:val="16"/>
              </w:rPr>
              <w:t>80</w:t>
            </w:r>
          </w:p>
        </w:tc>
        <w:tc>
          <w:tcPr>
            <w:tcW w:w="1398" w:type="pct"/>
            <w:tcBorders>
              <w:top w:val="single" w:sz="4" w:space="0" w:color="auto"/>
            </w:tcBorders>
            <w:shd w:val="clear" w:color="auto" w:fill="auto"/>
            <w:noWrap/>
            <w:vAlign w:val="center"/>
            <w:hideMark/>
          </w:tcPr>
          <w:p w14:paraId="09A5709D" w14:textId="1118647B"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0</w:t>
            </w:r>
            <w:r w:rsidR="001240CC">
              <w:rPr>
                <w:rFonts w:ascii="Times New Roman" w:hAnsi="Times New Roman"/>
                <w:sz w:val="16"/>
                <w:szCs w:val="16"/>
              </w:rPr>
              <w:t>,</w:t>
            </w:r>
            <w:r w:rsidRPr="007C4102">
              <w:rPr>
                <w:rFonts w:ascii="Times New Roman" w:hAnsi="Times New Roman"/>
                <w:sz w:val="16"/>
                <w:szCs w:val="16"/>
              </w:rPr>
              <w:t>50</w:t>
            </w:r>
          </w:p>
        </w:tc>
      </w:tr>
      <w:tr w:rsidR="007C4102" w:rsidRPr="007C4102" w14:paraId="338CF8AE" w14:textId="77777777" w:rsidTr="002114C5">
        <w:trPr>
          <w:trHeight w:val="300"/>
          <w:jc w:val="center"/>
        </w:trPr>
        <w:tc>
          <w:tcPr>
            <w:tcW w:w="2431" w:type="pct"/>
            <w:shd w:val="clear" w:color="auto" w:fill="auto"/>
            <w:noWrap/>
            <w:vAlign w:val="center"/>
            <w:hideMark/>
          </w:tcPr>
          <w:p w14:paraId="5C9A0E94" w14:textId="77777777" w:rsidR="002114C5" w:rsidRPr="007C4102" w:rsidRDefault="002114C5"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Acetaldeído</w:t>
            </w:r>
            <w:proofErr w:type="spellEnd"/>
          </w:p>
        </w:tc>
        <w:tc>
          <w:tcPr>
            <w:tcW w:w="1171" w:type="pct"/>
            <w:shd w:val="clear" w:color="auto" w:fill="auto"/>
            <w:noWrap/>
            <w:vAlign w:val="center"/>
            <w:hideMark/>
          </w:tcPr>
          <w:p w14:paraId="1D2E29D2"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17</w:t>
            </w:r>
          </w:p>
        </w:tc>
        <w:tc>
          <w:tcPr>
            <w:tcW w:w="1398" w:type="pct"/>
            <w:shd w:val="clear" w:color="auto" w:fill="auto"/>
            <w:noWrap/>
            <w:vAlign w:val="center"/>
            <w:hideMark/>
          </w:tcPr>
          <w:p w14:paraId="0F071FE7"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23</w:t>
            </w:r>
          </w:p>
        </w:tc>
      </w:tr>
      <w:tr w:rsidR="007C4102" w:rsidRPr="007C4102" w14:paraId="440F7BF3" w14:textId="77777777" w:rsidTr="002114C5">
        <w:trPr>
          <w:trHeight w:val="300"/>
          <w:jc w:val="center"/>
        </w:trPr>
        <w:tc>
          <w:tcPr>
            <w:tcW w:w="2431" w:type="pct"/>
            <w:shd w:val="clear" w:color="auto" w:fill="auto"/>
            <w:noWrap/>
            <w:vAlign w:val="center"/>
            <w:hideMark/>
          </w:tcPr>
          <w:p w14:paraId="422CF863" w14:textId="77777777" w:rsidR="002114C5" w:rsidRPr="007C4102" w:rsidRDefault="002114C5"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Crotonaldeído</w:t>
            </w:r>
            <w:proofErr w:type="spellEnd"/>
          </w:p>
        </w:tc>
        <w:tc>
          <w:tcPr>
            <w:tcW w:w="1171" w:type="pct"/>
            <w:shd w:val="clear" w:color="auto" w:fill="auto"/>
            <w:noWrap/>
            <w:vAlign w:val="center"/>
            <w:hideMark/>
          </w:tcPr>
          <w:p w14:paraId="5241CB40"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2</w:t>
            </w:r>
          </w:p>
        </w:tc>
        <w:tc>
          <w:tcPr>
            <w:tcW w:w="1398" w:type="pct"/>
            <w:shd w:val="clear" w:color="auto" w:fill="auto"/>
            <w:noWrap/>
            <w:vAlign w:val="center"/>
            <w:hideMark/>
          </w:tcPr>
          <w:p w14:paraId="411F358F"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3</w:t>
            </w:r>
          </w:p>
        </w:tc>
      </w:tr>
      <w:tr w:rsidR="007C4102" w:rsidRPr="007C4102" w14:paraId="7351678C" w14:textId="77777777" w:rsidTr="002114C5">
        <w:trPr>
          <w:trHeight w:val="300"/>
          <w:jc w:val="center"/>
        </w:trPr>
        <w:tc>
          <w:tcPr>
            <w:tcW w:w="2431" w:type="pct"/>
            <w:shd w:val="clear" w:color="auto" w:fill="auto"/>
            <w:noWrap/>
            <w:vAlign w:val="center"/>
            <w:hideMark/>
          </w:tcPr>
          <w:p w14:paraId="211302DB"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1-butanol</w:t>
            </w:r>
          </w:p>
        </w:tc>
        <w:tc>
          <w:tcPr>
            <w:tcW w:w="1171" w:type="pct"/>
            <w:shd w:val="clear" w:color="auto" w:fill="auto"/>
            <w:noWrap/>
            <w:vAlign w:val="center"/>
            <w:hideMark/>
          </w:tcPr>
          <w:p w14:paraId="71613C69"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49</w:t>
            </w:r>
          </w:p>
        </w:tc>
        <w:tc>
          <w:tcPr>
            <w:tcW w:w="1398" w:type="pct"/>
            <w:shd w:val="clear" w:color="auto" w:fill="auto"/>
            <w:noWrap/>
            <w:vAlign w:val="center"/>
            <w:hideMark/>
          </w:tcPr>
          <w:p w14:paraId="3A577278"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47</w:t>
            </w:r>
          </w:p>
        </w:tc>
      </w:tr>
      <w:tr w:rsidR="007C4102" w:rsidRPr="007C4102" w14:paraId="7431A684" w14:textId="77777777" w:rsidTr="002114C5">
        <w:trPr>
          <w:trHeight w:val="300"/>
          <w:jc w:val="center"/>
        </w:trPr>
        <w:tc>
          <w:tcPr>
            <w:tcW w:w="2431" w:type="pct"/>
            <w:shd w:val="clear" w:color="auto" w:fill="auto"/>
            <w:noWrap/>
            <w:vAlign w:val="center"/>
            <w:hideMark/>
          </w:tcPr>
          <w:p w14:paraId="14FE5C06" w14:textId="44BA7EDF" w:rsidR="002114C5" w:rsidRPr="007C4102" w:rsidRDefault="00CB2C54" w:rsidP="002114C5">
            <w:pPr>
              <w:pStyle w:val="TCTableBody"/>
              <w:spacing w:after="0" w:line="360" w:lineRule="auto"/>
              <w:jc w:val="center"/>
              <w:rPr>
                <w:rFonts w:ascii="Times New Roman" w:hAnsi="Times New Roman"/>
                <w:sz w:val="16"/>
                <w:szCs w:val="16"/>
              </w:rPr>
            </w:pPr>
            <w:proofErr w:type="spellStart"/>
            <w:r w:rsidRPr="007C4102">
              <w:rPr>
                <w:rFonts w:ascii="Times New Roman" w:hAnsi="Times New Roman"/>
                <w:sz w:val="16"/>
                <w:szCs w:val="16"/>
              </w:rPr>
              <w:t>Álcool</w:t>
            </w:r>
            <w:proofErr w:type="spellEnd"/>
            <w:r w:rsidRPr="007C4102">
              <w:rPr>
                <w:rFonts w:ascii="Times New Roman" w:hAnsi="Times New Roman"/>
                <w:sz w:val="16"/>
                <w:szCs w:val="16"/>
              </w:rPr>
              <w:t xml:space="preserve"> </w:t>
            </w:r>
            <w:proofErr w:type="spellStart"/>
            <w:r w:rsidRPr="007C4102">
              <w:rPr>
                <w:rFonts w:ascii="Times New Roman" w:hAnsi="Times New Roman"/>
                <w:sz w:val="16"/>
                <w:szCs w:val="16"/>
              </w:rPr>
              <w:t>crotílico</w:t>
            </w:r>
            <w:proofErr w:type="spellEnd"/>
            <w:r w:rsidRPr="007C4102">
              <w:rPr>
                <w:rFonts w:ascii="Times New Roman" w:hAnsi="Times New Roman"/>
                <w:sz w:val="16"/>
                <w:szCs w:val="16"/>
              </w:rPr>
              <w:t xml:space="preserve"> </w:t>
            </w:r>
          </w:p>
        </w:tc>
        <w:tc>
          <w:tcPr>
            <w:tcW w:w="1171" w:type="pct"/>
            <w:shd w:val="clear" w:color="auto" w:fill="auto"/>
            <w:noWrap/>
            <w:vAlign w:val="center"/>
            <w:hideMark/>
          </w:tcPr>
          <w:p w14:paraId="7D1D16E3"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11</w:t>
            </w:r>
          </w:p>
        </w:tc>
        <w:tc>
          <w:tcPr>
            <w:tcW w:w="1398" w:type="pct"/>
            <w:shd w:val="clear" w:color="auto" w:fill="auto"/>
            <w:noWrap/>
            <w:vAlign w:val="center"/>
            <w:hideMark/>
          </w:tcPr>
          <w:p w14:paraId="6003F1F5"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13</w:t>
            </w:r>
          </w:p>
        </w:tc>
      </w:tr>
      <w:tr w:rsidR="007C4102" w:rsidRPr="007C4102" w14:paraId="503BD8C9" w14:textId="77777777" w:rsidTr="002114C5">
        <w:trPr>
          <w:trHeight w:val="300"/>
          <w:jc w:val="center"/>
        </w:trPr>
        <w:tc>
          <w:tcPr>
            <w:tcW w:w="2431" w:type="pct"/>
            <w:shd w:val="clear" w:color="auto" w:fill="auto"/>
            <w:noWrap/>
            <w:vAlign w:val="center"/>
            <w:hideMark/>
          </w:tcPr>
          <w:p w14:paraId="2FCE03B9"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1-hexanol</w:t>
            </w:r>
          </w:p>
        </w:tc>
        <w:tc>
          <w:tcPr>
            <w:tcW w:w="1171" w:type="pct"/>
            <w:shd w:val="clear" w:color="auto" w:fill="auto"/>
            <w:noWrap/>
            <w:vAlign w:val="center"/>
            <w:hideMark/>
          </w:tcPr>
          <w:p w14:paraId="0D71AE18"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5</w:t>
            </w:r>
          </w:p>
        </w:tc>
        <w:tc>
          <w:tcPr>
            <w:tcW w:w="1398" w:type="pct"/>
            <w:shd w:val="clear" w:color="auto" w:fill="auto"/>
            <w:noWrap/>
            <w:vAlign w:val="center"/>
            <w:hideMark/>
          </w:tcPr>
          <w:p w14:paraId="5D30990C"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2</w:t>
            </w:r>
          </w:p>
        </w:tc>
      </w:tr>
      <w:tr w:rsidR="007C4102" w:rsidRPr="007C4102" w14:paraId="7FC54F0D" w14:textId="77777777" w:rsidTr="002114C5">
        <w:trPr>
          <w:trHeight w:val="300"/>
          <w:jc w:val="center"/>
        </w:trPr>
        <w:tc>
          <w:tcPr>
            <w:tcW w:w="2431" w:type="pct"/>
            <w:shd w:val="clear" w:color="auto" w:fill="auto"/>
            <w:noWrap/>
            <w:vAlign w:val="center"/>
            <w:hideMark/>
          </w:tcPr>
          <w:p w14:paraId="22F8646C"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2-etil-1-butanol</w:t>
            </w:r>
          </w:p>
        </w:tc>
        <w:tc>
          <w:tcPr>
            <w:tcW w:w="1171" w:type="pct"/>
            <w:shd w:val="clear" w:color="auto" w:fill="auto"/>
            <w:noWrap/>
            <w:vAlign w:val="center"/>
            <w:hideMark/>
          </w:tcPr>
          <w:p w14:paraId="2E314F10"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4</w:t>
            </w:r>
          </w:p>
        </w:tc>
        <w:tc>
          <w:tcPr>
            <w:tcW w:w="1398" w:type="pct"/>
            <w:shd w:val="clear" w:color="auto" w:fill="auto"/>
            <w:noWrap/>
            <w:vAlign w:val="center"/>
            <w:hideMark/>
          </w:tcPr>
          <w:p w14:paraId="34B2EBC2"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3</w:t>
            </w:r>
          </w:p>
        </w:tc>
      </w:tr>
      <w:tr w:rsidR="007C4102" w:rsidRPr="007C4102" w14:paraId="7E5D792D" w14:textId="77777777" w:rsidTr="002114C5">
        <w:trPr>
          <w:trHeight w:val="300"/>
          <w:jc w:val="center"/>
        </w:trPr>
        <w:tc>
          <w:tcPr>
            <w:tcW w:w="2431" w:type="pct"/>
            <w:shd w:val="clear" w:color="auto" w:fill="auto"/>
            <w:noWrap/>
            <w:vAlign w:val="center"/>
            <w:hideMark/>
          </w:tcPr>
          <w:p w14:paraId="4F769E35"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Outros</w:t>
            </w:r>
          </w:p>
        </w:tc>
        <w:tc>
          <w:tcPr>
            <w:tcW w:w="1171" w:type="pct"/>
            <w:shd w:val="clear" w:color="auto" w:fill="auto"/>
            <w:noWrap/>
            <w:vAlign w:val="center"/>
            <w:hideMark/>
          </w:tcPr>
          <w:p w14:paraId="14A03418"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11</w:t>
            </w:r>
          </w:p>
        </w:tc>
        <w:tc>
          <w:tcPr>
            <w:tcW w:w="1398" w:type="pct"/>
            <w:shd w:val="clear" w:color="auto" w:fill="auto"/>
            <w:noWrap/>
            <w:vAlign w:val="center"/>
            <w:hideMark/>
          </w:tcPr>
          <w:p w14:paraId="60FB3237" w14:textId="77777777" w:rsidR="002114C5" w:rsidRPr="007C4102" w:rsidRDefault="002114C5" w:rsidP="002114C5">
            <w:pPr>
              <w:pStyle w:val="TCTableBody"/>
              <w:spacing w:after="0" w:line="360" w:lineRule="auto"/>
              <w:jc w:val="center"/>
              <w:rPr>
                <w:rFonts w:ascii="Times New Roman" w:hAnsi="Times New Roman"/>
                <w:sz w:val="16"/>
                <w:szCs w:val="16"/>
              </w:rPr>
            </w:pPr>
            <w:r w:rsidRPr="007C4102">
              <w:rPr>
                <w:rFonts w:ascii="Times New Roman" w:hAnsi="Times New Roman"/>
                <w:sz w:val="16"/>
                <w:szCs w:val="16"/>
              </w:rPr>
              <w:t>8</w:t>
            </w:r>
          </w:p>
        </w:tc>
      </w:tr>
    </w:tbl>
    <w:p w14:paraId="479987DB" w14:textId="77777777" w:rsidR="002114C5" w:rsidRPr="007C4102" w:rsidRDefault="002114C5" w:rsidP="003528A7">
      <w:pPr>
        <w:pStyle w:val="CBCat"/>
      </w:pPr>
    </w:p>
    <w:p w14:paraId="4C9EC95A" w14:textId="0C474F1B" w:rsidR="000F1376" w:rsidRPr="007C4102" w:rsidRDefault="000F1376" w:rsidP="003528A7">
      <w:pPr>
        <w:pStyle w:val="CBCat"/>
      </w:pPr>
      <w:r w:rsidRPr="007C4102">
        <w:t xml:space="preserve">As seletividades dos produtos obtidos nas reações com atmosfera inerte e redutora sobre catalisadores HAP redutora foram </w:t>
      </w:r>
      <w:r w:rsidRPr="007C4102">
        <w:rPr>
          <w:rStyle w:val="CBCatChar"/>
          <w:rFonts w:eastAsiaTheme="minorEastAsia"/>
          <w:lang w:val="pt-BR"/>
        </w:rPr>
        <w:t>muito próximas, indicando que a presença de H</w:t>
      </w:r>
      <w:r w:rsidRPr="007C4102">
        <w:rPr>
          <w:rStyle w:val="CBCatChar"/>
          <w:rFonts w:eastAsiaTheme="minorEastAsia"/>
          <w:vertAlign w:val="subscript"/>
          <w:lang w:val="pt-BR"/>
        </w:rPr>
        <w:t>2</w:t>
      </w:r>
      <w:r w:rsidRPr="007C4102">
        <w:rPr>
          <w:rStyle w:val="CBCatChar"/>
          <w:rFonts w:eastAsiaTheme="minorEastAsia"/>
          <w:lang w:val="pt-BR"/>
        </w:rPr>
        <w:t xml:space="preserve"> no fluxo de alimentação ao reator não tem efeito na conversão de etanol ou na seletividade de butanol. </w:t>
      </w:r>
      <w:r w:rsidR="00A620FB" w:rsidRPr="007C4102">
        <w:rPr>
          <w:rStyle w:val="CBCatChar"/>
          <w:rFonts w:eastAsiaTheme="minorEastAsia"/>
          <w:lang w:val="pt-BR"/>
        </w:rPr>
        <w:t>Podemos observar que o</w:t>
      </w:r>
      <w:r w:rsidRPr="007C4102">
        <w:rPr>
          <w:rStyle w:val="CBCatChar"/>
          <w:rFonts w:eastAsiaTheme="minorEastAsia"/>
          <w:lang w:val="pt-BR"/>
        </w:rPr>
        <w:t xml:space="preserve"> hidrogênio gasoso não é a fonte de átomos de H introduzidos nas etapas de hidrogenação na sequência de reação de acoplamento de </w:t>
      </w:r>
      <w:proofErr w:type="spellStart"/>
      <w:r w:rsidRPr="007C4102">
        <w:rPr>
          <w:rStyle w:val="CBCatChar"/>
          <w:rFonts w:eastAsiaTheme="minorEastAsia"/>
          <w:lang w:val="pt-BR"/>
        </w:rPr>
        <w:t>Guerbet</w:t>
      </w:r>
      <w:proofErr w:type="spellEnd"/>
      <w:r w:rsidRPr="007C4102">
        <w:rPr>
          <w:rStyle w:val="CBCatChar"/>
          <w:rFonts w:eastAsiaTheme="minorEastAsia"/>
          <w:lang w:val="pt-BR"/>
        </w:rPr>
        <w:t xml:space="preserve"> sobre HAP. </w:t>
      </w:r>
      <w:r w:rsidR="007A7BB2" w:rsidRPr="007C4102">
        <w:rPr>
          <w:rStyle w:val="CBCatChar"/>
          <w:rFonts w:eastAsiaTheme="minorEastAsia"/>
          <w:lang w:val="pt-BR"/>
        </w:rPr>
        <w:t xml:space="preserve">O etanol adsorvido na superfície da HAP forma intermediários, como espécies de </w:t>
      </w:r>
      <w:r w:rsidR="00A620FB" w:rsidRPr="007C4102">
        <w:rPr>
          <w:rStyle w:val="CBCatChar"/>
          <w:rFonts w:eastAsiaTheme="minorEastAsia"/>
          <w:lang w:val="pt-BR"/>
        </w:rPr>
        <w:t>aldeídos (</w:t>
      </w:r>
      <w:r w:rsidR="007A7BB2" w:rsidRPr="007C4102">
        <w:rPr>
          <w:rStyle w:val="CBCatChar"/>
          <w:rFonts w:eastAsiaTheme="minorEastAsia"/>
          <w:lang w:val="pt-BR"/>
        </w:rPr>
        <w:t>CH</w:t>
      </w:r>
      <w:r w:rsidR="007A7BB2" w:rsidRPr="007C4102">
        <w:rPr>
          <w:rStyle w:val="CBCatChar"/>
          <w:rFonts w:eastAsiaTheme="minorEastAsia"/>
          <w:vertAlign w:val="subscript"/>
          <w:lang w:val="pt-BR"/>
        </w:rPr>
        <w:t>3</w:t>
      </w:r>
      <w:r w:rsidR="007A7BB2" w:rsidRPr="007C4102">
        <w:rPr>
          <w:rStyle w:val="CBCatChar"/>
          <w:rFonts w:eastAsiaTheme="minorEastAsia"/>
          <w:lang w:val="pt-BR"/>
        </w:rPr>
        <w:t>CH</w:t>
      </w:r>
      <w:r w:rsidR="00A620FB" w:rsidRPr="007C4102">
        <w:rPr>
          <w:rStyle w:val="CBCatChar"/>
          <w:rFonts w:eastAsiaTheme="minorEastAsia"/>
          <w:vertAlign w:val="subscript"/>
          <w:lang w:val="pt-BR"/>
        </w:rPr>
        <w:t>2</w:t>
      </w:r>
      <w:r w:rsidR="007A7BB2" w:rsidRPr="007C4102">
        <w:rPr>
          <w:rStyle w:val="CBCatChar"/>
          <w:rFonts w:eastAsiaTheme="minorEastAsia"/>
          <w:lang w:val="pt-BR"/>
        </w:rPr>
        <w:t xml:space="preserve">O*) e espécies de hidrogênio (H*).  E as espécies de hidrogênio de superfície aumentariam com o aumento de adsorvatos desidrogenados, como as espécies de aldeído e enol, e isso levaria à hidrogenação </w:t>
      </w:r>
      <w:r w:rsidR="00A620FB" w:rsidRPr="007C4102">
        <w:rPr>
          <w:rStyle w:val="CBCatChar"/>
          <w:rFonts w:eastAsiaTheme="minorEastAsia"/>
          <w:lang w:val="pt-BR"/>
        </w:rPr>
        <w:t xml:space="preserve">dos produtos de condensação </w:t>
      </w:r>
      <w:proofErr w:type="spellStart"/>
      <w:r w:rsidR="00A620FB" w:rsidRPr="007C4102">
        <w:rPr>
          <w:rStyle w:val="CBCatChar"/>
          <w:rFonts w:eastAsiaTheme="minorEastAsia"/>
          <w:lang w:val="pt-BR"/>
        </w:rPr>
        <w:t>aldólica</w:t>
      </w:r>
      <w:proofErr w:type="spellEnd"/>
      <w:r w:rsidR="00A620FB" w:rsidRPr="007C4102">
        <w:rPr>
          <w:rStyle w:val="CBCatChar"/>
          <w:rFonts w:eastAsiaTheme="minorEastAsia"/>
          <w:lang w:val="pt-BR"/>
        </w:rPr>
        <w:t>, como o</w:t>
      </w:r>
      <w:r w:rsidR="00F37243">
        <w:rPr>
          <w:rStyle w:val="CBCatChar"/>
          <w:rFonts w:eastAsiaTheme="minorEastAsia"/>
          <w:lang w:val="pt-BR"/>
        </w:rPr>
        <w:t xml:space="preserve"> 2-butenal</w:t>
      </w:r>
      <w:r w:rsidR="00A620FB" w:rsidRPr="007C4102">
        <w:rPr>
          <w:rStyle w:val="CBCatChar"/>
          <w:rFonts w:eastAsiaTheme="minorEastAsia"/>
          <w:lang w:val="pt-BR"/>
        </w:rPr>
        <w:t>, assim como pode ser observado em trabalhos anteriores</w:t>
      </w:r>
      <w:r w:rsidR="00F37243">
        <w:rPr>
          <w:rStyle w:val="CBCatChar"/>
          <w:rFonts w:eastAsiaTheme="minorEastAsia"/>
          <w:lang w:val="pt-BR"/>
        </w:rPr>
        <w:t xml:space="preserve"> </w:t>
      </w:r>
      <w:r w:rsidR="001D3D5C">
        <w:rPr>
          <w:rStyle w:val="CBCatChar"/>
          <w:rFonts w:eastAsiaTheme="minorEastAsia"/>
          <w:lang w:val="pt-BR"/>
        </w:rPr>
        <w:fldChar w:fldCharType="begin"/>
      </w:r>
      <w:r w:rsidR="001E3EB2">
        <w:rPr>
          <w:rStyle w:val="CBCatChar"/>
          <w:rFonts w:eastAsiaTheme="minorEastAsia"/>
          <w:lang w:val="pt-BR"/>
        </w:rPr>
        <w:instrText xml:space="preserve"> ADDIN ZOTERO_ITEM CSL_CITATION {"citationID":"Qzkfk5s3","properties":{"formattedCitation":"(18,23,24)","plainCitation":"(18,23,24)","noteIndex":0},"citationItems":[{"id":1429,"uris":["http://zotero.org/users/11372031/items/8KMVF84T"],"itemData":{"id":1429,"type":"article-journal","abstract":"We previously reported the ability of strontium hydroxyapatite to catalyze the conversion of ethanol into 1-butanol with higher selectivity than that reported for calcium hydroxyapatite catalysts. In the present study, we investigated the catalytic conversions of ethanol over substituted hydroxyapatites, such as Sr10(PO4)6(OH)2, Ca10(VO4)6(OH)2, Sr10(VO4)6(OH)2, and Ca10(PO4)6(OH)2, and their solid solutions, such as Ca10 - zSrz(PO4)6(OH)2, Ca10(PO4)6 - x(VO4)6 - x(OH)2, and Sr10(PO4)6 - x(VO4)6 - x(OH)2, were investigated. The strontium phosphate hydroxyapatite [Sr10(PO4)6(OH)2: Sr-P] exhibited the highest 1-butanol selectivity among the tested catalysts in the region of the ethanol conversions between 1 and 24%. The reaction mechanism of 1-butanol formation over the Sr-P hydroxyapatite catalyst includes the dehydrogenation of ethanol into acetaldehyde, the aldol condensation of acetaldehyde into crotonaldehyde, and the hydrogenations of crotonaldehyde, 2-buten-1-ol, and/or butyraldehyde into 1-butanol. The Sr-P hydroxyapatite catalyst showed high selectivity into crotonaldehyde in the aldol condensation of acetaldehyde and inhibited the coking in the hydrogen transfer reaction of 2-buten-1-ol into 1-butanol, which might be reasons why the Sr-P hydroxyapatite catalyst showed the high 1-butanol selectivity in the catalytic conversion of ethanol. © 2011 Elsevier B.V. All rights reserved.","container-title":"Applied Catalysis A: General","DOI":"10.1016/j.apcata.2011.06.006","ISSN":"0926860X","issue":"1-2","note":"ISBN: 0926-860X","page":"188-195","title":"Selective synthesis of 1-butanol from ethanol over strontium phosphate hydroxyapatite catalysts","volume":"402","author":[{"family":"Ogo","given":"Shuhei"},{"family":"Onda","given":"Ayumu"},{"family":"Yanagisawa","given":"Kazumichi"}],"issued":{"date-parts":[["2011"]]}}},{"id":1079,"uris":["http://zotero.org/users/11372031/items/4DUHTAYZ"],"itemData":{"id":1079,"type":"article-journal","abstract":"Hydroxyapatite (HAP; Ca10(PO4)6(OH)2) is a well-recognized catalyst for the Guerbet coupling of ethanol to butanol. In an effort to explore the role of the anion components of the catalyst, steady-state, gas phase catalytic coupling of ethanol to butanol was investigated at 633 K and atmospheric pressure over beta tricalcium phosphate (β-TCP; β-Ca3(PO4)2) and fluorine-substituted hydroxyapatite (FAP; Ca10(PO4)6F2). Both β-TCP and FAP catalysts were catalytically active for butanol formation, leading to </w:instrText>
      </w:r>
      <w:r w:rsidR="001E3EB2">
        <w:rPr>
          <w:rStyle w:val="CBCatChar"/>
          <w:rFonts w:ascii="Cambria Math" w:eastAsiaTheme="minorEastAsia" w:hAnsi="Cambria Math" w:cs="Cambria Math"/>
          <w:lang w:val="pt-BR"/>
        </w:rPr>
        <w:instrText>∼</w:instrText>
      </w:r>
      <w:r w:rsidR="001E3EB2">
        <w:rPr>
          <w:rStyle w:val="CBCatChar"/>
          <w:rFonts w:eastAsiaTheme="minorEastAsia"/>
          <w:lang w:val="pt-BR"/>
        </w:rPr>
        <w:instrText xml:space="preserve">35% selectivity at low conversion, suggesting that the PO43− group contributes to the active acid-base site pair for butanol formation during ethanol coupling over HAP. Co-feeding water, a product of ethanol coupling, revealed weaker inhibition of the rate over HAP relative to MgO, confirming the potential negative influence of strong base sites on coupling catalysts. Catalytic reactions of ethanol over Mg3(PO4)2, β-TCP, and Sr3(PO4)2 catalysts demonstrated the importance of Lewis acidity of the metal phosphates on the reaction. Relatively strong Lewis acid sites on the Mg3(PO4)2 surface (Mg2+ cations) favored undesired ethanol dehydration to ethene (36% selectivity) and diethyl ether (52% selectivity) whereas the Sr3(PO4)2 catalyst predominantly catalyzed ethanol dehydrogenation to acetaldehyde (91% selectivity) at a rate significantly higher than that observed over the other catalysts. Evidently, the β-TCP exposes intermediate-strength Lewis acid sites provided by surface Ca2+ cations that enable the material to effectively convert ethanol to butanol with 35% selectivity.","container-title":"Journal of Catalysis","DOI":"10.1016/j.jcat.2017.04.036","ISSN":"10902694","note":"publisher: Elsevier Inc.","page":"182-190","title":"Influence of surface acid and base sites on the Guerbet coupling of ethanol to butanol over metal phosphate catalysts","volume":"352","author":[{"family":"Hanspal","given":"Sabra"},{"family":"Young","given":"Zachary D."},{"family":"Prillaman","given":"J. Tyler"},{"family":"Davis","given":"Robert J."}],"issued":{"date-parts":[["2017"]]}}},{"id":503,"uris":["http://zotero.org/users/11372031/items/9HZWFIRH"],"itemData":{"id":503,"type":"article-journal","container-title":"Journal of Catalysis","DOI":"10.1016/j.jcat.2008.08.005","ISSN":"0021-9517","issue":"2","note":"publisher: Elsevier Inc.","page":"183-189","title":"Reaction of ethanol over hydroxyapatite affected by Ca / P ratio of catalyst","volume":"259","author":[{"family":"Tsuchida","given":"Takashi"},{"family":"Kubo","given":"Jun"},{"family":"Yoshioka","given":"Tetsuya"},{"family":"Sakuma","given":"Shuji"},{"family":"Takeguchi","given":"Tatsuya"},{"family":"Ueda","given":"Wataru"}],"issued":{"date-parts":[["2008"]]}}}],"schema":"https://github.com/citation-style-language/schema/raw/master/csl-citation.json"} </w:instrText>
      </w:r>
      <w:r w:rsidR="001D3D5C">
        <w:rPr>
          <w:rStyle w:val="CBCatChar"/>
          <w:rFonts w:eastAsiaTheme="minorEastAsia"/>
          <w:lang w:val="pt-BR"/>
        </w:rPr>
        <w:fldChar w:fldCharType="separate"/>
      </w:r>
      <w:r w:rsidR="001E3EB2" w:rsidRPr="001E3EB2">
        <w:t>(18,23,24)</w:t>
      </w:r>
      <w:r w:rsidR="001D3D5C">
        <w:rPr>
          <w:rStyle w:val="CBCatChar"/>
          <w:rFonts w:eastAsiaTheme="minorEastAsia"/>
          <w:lang w:val="pt-BR"/>
        </w:rPr>
        <w:fldChar w:fldCharType="end"/>
      </w:r>
      <w:r w:rsidR="00A620FB" w:rsidRPr="007C4102">
        <w:rPr>
          <w:rStyle w:val="CBCatChar"/>
          <w:rFonts w:eastAsiaTheme="minorEastAsia"/>
          <w:lang w:val="pt-BR"/>
        </w:rPr>
        <w:t xml:space="preserve">. </w:t>
      </w:r>
      <w:r w:rsidR="00650121">
        <w:rPr>
          <w:rStyle w:val="CBCatChar"/>
          <w:rFonts w:eastAsiaTheme="minorEastAsia"/>
          <w:lang w:val="pt-BR"/>
        </w:rPr>
        <w:t>Dessa forma, a</w:t>
      </w:r>
      <w:r w:rsidR="006B381F" w:rsidRPr="007C4102">
        <w:rPr>
          <w:rStyle w:val="CBCatChar"/>
          <w:rFonts w:eastAsiaTheme="minorEastAsia"/>
          <w:lang w:val="pt-BR"/>
        </w:rPr>
        <w:t xml:space="preserve">s reações de hidrogenação podem ser </w:t>
      </w:r>
      <w:r w:rsidR="002D6A1F" w:rsidRPr="007C4102">
        <w:rPr>
          <w:rStyle w:val="CBCatChar"/>
          <w:rFonts w:eastAsiaTheme="minorEastAsia"/>
          <w:lang w:val="pt-BR"/>
        </w:rPr>
        <w:t>atribuídas</w:t>
      </w:r>
      <w:r w:rsidR="006B381F" w:rsidRPr="007C4102">
        <w:rPr>
          <w:rStyle w:val="CBCatChar"/>
          <w:rFonts w:eastAsiaTheme="minorEastAsia"/>
          <w:lang w:val="pt-BR"/>
        </w:rPr>
        <w:t xml:space="preserve"> a formação de adsorvatos de etanol desidrogenados e adsorvatos de hidrogênio na superfície do catalisador HAP.</w:t>
      </w:r>
    </w:p>
    <w:p w14:paraId="39166D12" w14:textId="77777777" w:rsidR="002114C5" w:rsidRPr="007C4102" w:rsidRDefault="002114C5" w:rsidP="003528A7">
      <w:pPr>
        <w:pStyle w:val="CBCat"/>
        <w:rPr>
          <w:rFonts w:ascii="Times" w:hAnsi="Times"/>
          <w:sz w:val="18"/>
          <w:szCs w:val="18"/>
        </w:rPr>
      </w:pPr>
    </w:p>
    <w:p w14:paraId="20AA905D" w14:textId="09EB3D13" w:rsidR="00EA4E1B" w:rsidRPr="007C4102" w:rsidRDefault="00EA4E1B" w:rsidP="00EA4E1B">
      <w:pPr>
        <w:pStyle w:val="Heading2"/>
        <w:rPr>
          <w:rFonts w:ascii="Helvetica" w:hAnsi="Helvetica" w:cs="Helvetica"/>
          <w:sz w:val="24"/>
          <w:szCs w:val="24"/>
        </w:rPr>
      </w:pPr>
      <w:r w:rsidRPr="007C4102">
        <w:rPr>
          <w:rFonts w:ascii="Helvetica" w:hAnsi="Helvetica" w:cs="Helvetica"/>
          <w:sz w:val="24"/>
          <w:szCs w:val="24"/>
        </w:rPr>
        <w:t>Conclusões</w:t>
      </w:r>
    </w:p>
    <w:p w14:paraId="4117903A" w14:textId="1E092CBD" w:rsidR="00505561" w:rsidRPr="007C4102" w:rsidRDefault="006B381F" w:rsidP="00505561">
      <w:pPr>
        <w:spacing w:after="0" w:line="240" w:lineRule="exact"/>
        <w:ind w:firstLine="204"/>
        <w:jc w:val="both"/>
      </w:pPr>
      <w:r w:rsidRPr="007C4102">
        <w:rPr>
          <w:rStyle w:val="CBCatChar"/>
          <w:rFonts w:eastAsiaTheme="minorEastAsia"/>
          <w:lang w:val="pt-BR"/>
        </w:rPr>
        <w:t xml:space="preserve">A HAP é um material </w:t>
      </w:r>
      <w:proofErr w:type="spellStart"/>
      <w:r w:rsidRPr="007C4102">
        <w:rPr>
          <w:rStyle w:val="CBCatChar"/>
          <w:rFonts w:eastAsiaTheme="minorEastAsia"/>
          <w:lang w:val="pt-BR"/>
        </w:rPr>
        <w:t>mesoporoso</w:t>
      </w:r>
      <w:proofErr w:type="spellEnd"/>
      <w:r w:rsidRPr="007C4102">
        <w:rPr>
          <w:rStyle w:val="CBCatChar"/>
          <w:rFonts w:eastAsiaTheme="minorEastAsia"/>
          <w:lang w:val="pt-BR"/>
        </w:rPr>
        <w:t xml:space="preserve"> </w:t>
      </w:r>
      <w:r w:rsidR="00F37243">
        <w:rPr>
          <w:rStyle w:val="CBCatChar"/>
          <w:rFonts w:eastAsiaTheme="minorEastAsia"/>
          <w:lang w:val="pt-BR"/>
        </w:rPr>
        <w:t xml:space="preserve">que possui na sua superfície </w:t>
      </w:r>
      <w:r w:rsidRPr="007C4102">
        <w:rPr>
          <w:rStyle w:val="CBCatChar"/>
          <w:rFonts w:eastAsiaTheme="minorEastAsia"/>
          <w:lang w:val="pt-BR"/>
        </w:rPr>
        <w:t xml:space="preserve">uma combinação de sítios ácidos e básicos. </w:t>
      </w:r>
      <w:r w:rsidR="00F37243">
        <w:rPr>
          <w:rStyle w:val="CBCatChar"/>
          <w:rFonts w:eastAsiaTheme="minorEastAsia"/>
          <w:lang w:val="pt-BR"/>
        </w:rPr>
        <w:t>N</w:t>
      </w:r>
      <w:r w:rsidRPr="007C4102">
        <w:rPr>
          <w:rStyle w:val="CBCatChar"/>
          <w:rFonts w:eastAsiaTheme="minorEastAsia"/>
          <w:lang w:val="pt-BR"/>
        </w:rPr>
        <w:t>a conversão de etanol</w:t>
      </w:r>
      <w:r w:rsidR="00F37243">
        <w:rPr>
          <w:rStyle w:val="CBCatChar"/>
          <w:rFonts w:eastAsiaTheme="minorEastAsia"/>
          <w:lang w:val="pt-BR"/>
        </w:rPr>
        <w:t xml:space="preserve"> não apresentou desativação</w:t>
      </w:r>
      <w:r w:rsidRPr="007C4102">
        <w:rPr>
          <w:rStyle w:val="CBCatChar"/>
          <w:rFonts w:eastAsiaTheme="minorEastAsia"/>
          <w:lang w:val="pt-BR"/>
        </w:rPr>
        <w:t xml:space="preserve"> na </w:t>
      </w:r>
      <w:r w:rsidR="00F37243">
        <w:rPr>
          <w:rStyle w:val="CBCatChar"/>
          <w:rFonts w:eastAsiaTheme="minorEastAsia"/>
          <w:lang w:val="pt-BR"/>
        </w:rPr>
        <w:t xml:space="preserve">faixa de </w:t>
      </w:r>
      <w:r w:rsidRPr="007C4102">
        <w:rPr>
          <w:rStyle w:val="CBCatChar"/>
          <w:rFonts w:eastAsiaTheme="minorEastAsia"/>
          <w:lang w:val="pt-BR"/>
        </w:rPr>
        <w:t>temperatura</w:t>
      </w:r>
      <w:r w:rsidR="00F37243">
        <w:rPr>
          <w:rStyle w:val="CBCatChar"/>
          <w:rFonts w:eastAsiaTheme="minorEastAsia"/>
          <w:lang w:val="pt-BR"/>
        </w:rPr>
        <w:t>s</w:t>
      </w:r>
      <w:r w:rsidRPr="007C4102">
        <w:rPr>
          <w:rStyle w:val="CBCatChar"/>
          <w:rFonts w:eastAsiaTheme="minorEastAsia"/>
          <w:lang w:val="pt-BR"/>
        </w:rPr>
        <w:t xml:space="preserve"> de 250 a 350 °C por </w:t>
      </w:r>
      <w:r w:rsidR="00F37243">
        <w:rPr>
          <w:rStyle w:val="CBCatChar"/>
          <w:rFonts w:eastAsiaTheme="minorEastAsia"/>
          <w:lang w:val="pt-BR"/>
        </w:rPr>
        <w:t xml:space="preserve">um período de </w:t>
      </w:r>
      <w:r w:rsidRPr="007C4102">
        <w:rPr>
          <w:rStyle w:val="CBCatChar"/>
          <w:rFonts w:eastAsiaTheme="minorEastAsia"/>
          <w:lang w:val="pt-BR"/>
        </w:rPr>
        <w:t>6</w:t>
      </w:r>
      <w:r w:rsidR="00F37243">
        <w:rPr>
          <w:rStyle w:val="CBCatChar"/>
          <w:rFonts w:eastAsiaTheme="minorEastAsia"/>
          <w:lang w:val="pt-BR"/>
        </w:rPr>
        <w:t xml:space="preserve"> </w:t>
      </w:r>
      <w:r w:rsidRPr="007C4102">
        <w:rPr>
          <w:rStyle w:val="CBCatChar"/>
          <w:rFonts w:eastAsiaTheme="minorEastAsia"/>
          <w:lang w:val="pt-BR"/>
        </w:rPr>
        <w:t>h. Além disso, a</w:t>
      </w:r>
      <w:r w:rsidR="00A620FB" w:rsidRPr="007C4102">
        <w:rPr>
          <w:rStyle w:val="CBCatChar"/>
          <w:rFonts w:eastAsiaTheme="minorEastAsia"/>
          <w:lang w:val="pt-BR"/>
        </w:rPr>
        <w:t xml:space="preserve"> conversão de etanol a n-butanol com uso de catalisador HAP foi estudada em diferentes </w:t>
      </w:r>
      <w:r w:rsidR="00F37243">
        <w:rPr>
          <w:rStyle w:val="CBCatChar"/>
          <w:rFonts w:eastAsiaTheme="minorEastAsia"/>
          <w:lang w:val="pt-BR"/>
        </w:rPr>
        <w:t xml:space="preserve">condições </w:t>
      </w:r>
      <w:r w:rsidR="00A620FB" w:rsidRPr="007C4102">
        <w:rPr>
          <w:rStyle w:val="CBCatChar"/>
          <w:rFonts w:eastAsiaTheme="minorEastAsia"/>
          <w:lang w:val="pt-BR"/>
        </w:rPr>
        <w:t>reações</w:t>
      </w:r>
      <w:r w:rsidR="00732B10" w:rsidRPr="007C4102">
        <w:rPr>
          <w:rStyle w:val="CBCatChar"/>
          <w:rFonts w:eastAsiaTheme="minorEastAsia"/>
          <w:lang w:val="pt-BR"/>
        </w:rPr>
        <w:t>.</w:t>
      </w:r>
      <w:r w:rsidR="00A620FB" w:rsidRPr="007C4102">
        <w:rPr>
          <w:rStyle w:val="CBCatChar"/>
          <w:rFonts w:eastAsiaTheme="minorEastAsia"/>
          <w:lang w:val="pt-BR"/>
        </w:rPr>
        <w:t xml:space="preserve"> A maior seletivida</w:t>
      </w:r>
      <w:r w:rsidR="00505561" w:rsidRPr="007C4102">
        <w:rPr>
          <w:rStyle w:val="CBCatChar"/>
          <w:rFonts w:eastAsiaTheme="minorEastAsia"/>
          <w:lang w:val="pt-BR"/>
        </w:rPr>
        <w:t>de</w:t>
      </w:r>
      <w:r w:rsidR="00A620FB" w:rsidRPr="007C4102">
        <w:rPr>
          <w:rStyle w:val="CBCatChar"/>
          <w:rFonts w:eastAsiaTheme="minorEastAsia"/>
          <w:lang w:val="pt-BR"/>
        </w:rPr>
        <w:t xml:space="preserve"> de n-butanol </w:t>
      </w:r>
      <w:r w:rsidR="00505561" w:rsidRPr="007C4102">
        <w:rPr>
          <w:rStyle w:val="CBCatChar"/>
          <w:rFonts w:eastAsiaTheme="minorEastAsia"/>
          <w:lang w:val="pt-BR"/>
        </w:rPr>
        <w:t xml:space="preserve">obtida </w:t>
      </w:r>
      <w:r w:rsidR="00A620FB" w:rsidRPr="007C4102">
        <w:rPr>
          <w:rStyle w:val="CBCatChar"/>
          <w:rFonts w:eastAsiaTheme="minorEastAsia"/>
          <w:lang w:val="pt-BR"/>
        </w:rPr>
        <w:t>foi de 50% a 350 °C</w:t>
      </w:r>
      <w:r w:rsidRPr="007C4102">
        <w:rPr>
          <w:rStyle w:val="CBCatChar"/>
          <w:rFonts w:eastAsiaTheme="minorEastAsia"/>
          <w:lang w:val="pt-BR"/>
        </w:rPr>
        <w:t xml:space="preserve"> e</w:t>
      </w:r>
      <w:r w:rsidR="00A620FB" w:rsidRPr="007C4102">
        <w:rPr>
          <w:rStyle w:val="CBCatChar"/>
          <w:rFonts w:eastAsiaTheme="minorEastAsia"/>
          <w:lang w:val="pt-BR"/>
        </w:rPr>
        <w:t xml:space="preserve"> </w:t>
      </w:r>
      <w:r w:rsidRPr="007C4102">
        <w:rPr>
          <w:rFonts w:ascii="Times New Roman" w:eastAsia="Times New Roman" w:hAnsi="Times New Roman" w:cs="Times New Roman"/>
          <w:sz w:val="20"/>
          <w:szCs w:val="20"/>
          <w:lang w:eastAsia="pt-BR"/>
        </w:rPr>
        <w:t>W/</w:t>
      </w:r>
      <w:proofErr w:type="spellStart"/>
      <w:r w:rsidRPr="007C4102">
        <w:rPr>
          <w:rFonts w:ascii="Times New Roman" w:eastAsia="Times New Roman" w:hAnsi="Times New Roman" w:cs="Times New Roman"/>
          <w:sz w:val="20"/>
          <w:szCs w:val="20"/>
          <w:lang w:eastAsia="pt-BR"/>
        </w:rPr>
        <w:t>F</w:t>
      </w:r>
      <w:r w:rsidRPr="007C4102">
        <w:rPr>
          <w:rFonts w:ascii="Times New Roman" w:eastAsia="Times New Roman" w:hAnsi="Times New Roman" w:cs="Times New Roman"/>
          <w:sz w:val="20"/>
          <w:szCs w:val="20"/>
          <w:vertAlign w:val="subscript"/>
          <w:lang w:eastAsia="pt-BR"/>
        </w:rPr>
        <w:t>EtOH</w:t>
      </w:r>
      <w:proofErr w:type="spellEnd"/>
      <w:r w:rsidRPr="007C4102">
        <w:rPr>
          <w:rFonts w:ascii="Times New Roman" w:eastAsia="Times New Roman" w:hAnsi="Times New Roman" w:cs="Times New Roman"/>
          <w:sz w:val="20"/>
          <w:szCs w:val="20"/>
          <w:lang w:eastAsia="pt-BR"/>
        </w:rPr>
        <w:t>=</w:t>
      </w:r>
      <w:r w:rsidR="002D6A1F" w:rsidRPr="007C4102">
        <w:rPr>
          <w:rFonts w:ascii="Times New Roman" w:eastAsia="Times New Roman" w:hAnsi="Times New Roman" w:cs="Times New Roman"/>
          <w:sz w:val="20"/>
          <w:szCs w:val="20"/>
          <w:lang w:eastAsia="pt-BR"/>
        </w:rPr>
        <w:t xml:space="preserve"> </w:t>
      </w:r>
      <w:r w:rsidRPr="007C4102">
        <w:rPr>
          <w:rFonts w:ascii="Times New Roman" w:eastAsia="Times New Roman" w:hAnsi="Times New Roman" w:cs="Times New Roman"/>
          <w:sz w:val="20"/>
          <w:szCs w:val="20"/>
          <w:lang w:eastAsia="pt-BR"/>
        </w:rPr>
        <w:t>0,0185 g min mL</w:t>
      </w:r>
      <w:r w:rsidRPr="007C4102">
        <w:rPr>
          <w:rFonts w:ascii="Times New Roman" w:eastAsia="Times New Roman" w:hAnsi="Times New Roman" w:cs="Times New Roman"/>
          <w:sz w:val="20"/>
          <w:szCs w:val="20"/>
          <w:vertAlign w:val="superscript"/>
          <w:lang w:eastAsia="pt-BR"/>
        </w:rPr>
        <w:t>-1</w:t>
      </w:r>
      <w:r w:rsidR="00A620FB" w:rsidRPr="007C4102">
        <w:rPr>
          <w:rStyle w:val="CBCatChar"/>
          <w:rFonts w:eastAsiaTheme="minorEastAsia"/>
          <w:lang w:val="pt-BR"/>
        </w:rPr>
        <w:t xml:space="preserve">. </w:t>
      </w:r>
      <w:r w:rsidRPr="007C4102">
        <w:rPr>
          <w:rStyle w:val="CBCatChar"/>
          <w:rFonts w:eastAsiaTheme="minorEastAsia"/>
          <w:lang w:val="pt-BR"/>
        </w:rPr>
        <w:t xml:space="preserve">A </w:t>
      </w:r>
      <w:r w:rsidR="00505561" w:rsidRPr="007C4102">
        <w:rPr>
          <w:rStyle w:val="CBCatChar"/>
          <w:rFonts w:eastAsiaTheme="minorEastAsia"/>
          <w:lang w:val="pt-BR"/>
        </w:rPr>
        <w:t xml:space="preserve">conversão </w:t>
      </w:r>
      <w:r w:rsidR="00505561" w:rsidRPr="007C4102">
        <w:rPr>
          <w:rStyle w:val="CBCatChar"/>
          <w:rFonts w:eastAsiaTheme="minorEastAsia"/>
          <w:lang w:val="pt-BR"/>
        </w:rPr>
        <w:t>de etanol</w:t>
      </w:r>
      <w:r w:rsidRPr="007C4102">
        <w:rPr>
          <w:rStyle w:val="CBCatChar"/>
          <w:rFonts w:eastAsiaTheme="minorEastAsia"/>
          <w:lang w:val="pt-BR"/>
        </w:rPr>
        <w:t xml:space="preserve"> e as seletividades dos produtos e</w:t>
      </w:r>
      <w:r w:rsidR="00505561" w:rsidRPr="007C4102">
        <w:rPr>
          <w:rStyle w:val="CBCatChar"/>
          <w:rFonts w:eastAsiaTheme="minorEastAsia"/>
          <w:lang w:val="pt-BR"/>
        </w:rPr>
        <w:t>m atmosfera inserte e redutora não mostraram diferenças significativas</w:t>
      </w:r>
      <w:r w:rsidR="00F8292B">
        <w:rPr>
          <w:rStyle w:val="CBCatChar"/>
          <w:rFonts w:eastAsiaTheme="minorEastAsia"/>
          <w:lang w:val="pt-BR"/>
        </w:rPr>
        <w:t>, i</w:t>
      </w:r>
      <w:r w:rsidR="00505561" w:rsidRPr="007C4102">
        <w:rPr>
          <w:rStyle w:val="CBCatChar"/>
          <w:rFonts w:eastAsiaTheme="minorEastAsia"/>
          <w:lang w:val="pt-BR"/>
        </w:rPr>
        <w:t>ndicando que o hidrogênio gasoso</w:t>
      </w:r>
      <w:r w:rsidR="00F8292B">
        <w:rPr>
          <w:rStyle w:val="CBCatChar"/>
          <w:rFonts w:eastAsiaTheme="minorEastAsia"/>
          <w:lang w:val="pt-BR"/>
        </w:rPr>
        <w:t>,</w:t>
      </w:r>
      <w:r w:rsidR="00505561" w:rsidRPr="007C4102">
        <w:rPr>
          <w:rStyle w:val="CBCatChar"/>
          <w:rFonts w:eastAsiaTheme="minorEastAsia"/>
          <w:lang w:val="pt-BR"/>
        </w:rPr>
        <w:t xml:space="preserve"> </w:t>
      </w:r>
      <w:r w:rsidR="00F8292B" w:rsidRPr="007C4102">
        <w:rPr>
          <w:rStyle w:val="CBCatChar"/>
          <w:rFonts w:eastAsiaTheme="minorEastAsia"/>
          <w:lang w:val="pt-BR"/>
        </w:rPr>
        <w:t>introduzidos nas etapas de hidrogenação</w:t>
      </w:r>
      <w:r w:rsidR="00F8292B">
        <w:rPr>
          <w:rStyle w:val="CBCatChar"/>
          <w:rFonts w:eastAsiaTheme="minorEastAsia"/>
          <w:lang w:val="pt-BR"/>
        </w:rPr>
        <w:t xml:space="preserve">, </w:t>
      </w:r>
      <w:r w:rsidR="00505561" w:rsidRPr="007C4102">
        <w:rPr>
          <w:rStyle w:val="CBCatChar"/>
          <w:rFonts w:eastAsiaTheme="minorEastAsia"/>
          <w:lang w:val="pt-BR"/>
        </w:rPr>
        <w:t xml:space="preserve">não </w:t>
      </w:r>
      <w:r w:rsidR="00F8292B">
        <w:rPr>
          <w:rStyle w:val="CBCatChar"/>
          <w:rFonts w:eastAsiaTheme="minorEastAsia"/>
          <w:lang w:val="pt-BR"/>
        </w:rPr>
        <w:t>atua como</w:t>
      </w:r>
      <w:r w:rsidR="00505561" w:rsidRPr="007C4102">
        <w:rPr>
          <w:rStyle w:val="CBCatChar"/>
          <w:rFonts w:eastAsiaTheme="minorEastAsia"/>
          <w:lang w:val="pt-BR"/>
        </w:rPr>
        <w:t xml:space="preserve"> fonte de átomos de H na sequência de </w:t>
      </w:r>
      <w:r w:rsidR="00F8292B">
        <w:rPr>
          <w:rStyle w:val="CBCatChar"/>
          <w:rFonts w:eastAsiaTheme="minorEastAsia"/>
          <w:lang w:val="pt-BR"/>
        </w:rPr>
        <w:t>reações</w:t>
      </w:r>
      <w:r w:rsidR="00505561" w:rsidRPr="007C4102">
        <w:rPr>
          <w:rStyle w:val="CBCatChar"/>
          <w:rFonts w:eastAsiaTheme="minorEastAsia"/>
          <w:lang w:val="pt-BR"/>
        </w:rPr>
        <w:t xml:space="preserve"> de acoplamento de </w:t>
      </w:r>
      <w:proofErr w:type="spellStart"/>
      <w:r w:rsidR="00505561" w:rsidRPr="007C4102">
        <w:rPr>
          <w:rStyle w:val="CBCatChar"/>
          <w:rFonts w:eastAsiaTheme="minorEastAsia"/>
          <w:lang w:val="pt-BR"/>
        </w:rPr>
        <w:t>Guerbet</w:t>
      </w:r>
      <w:proofErr w:type="spellEnd"/>
      <w:r w:rsidR="00505561" w:rsidRPr="007C4102">
        <w:rPr>
          <w:rStyle w:val="CBCatChar"/>
          <w:rFonts w:eastAsiaTheme="minorEastAsia"/>
          <w:lang w:val="pt-BR"/>
        </w:rPr>
        <w:t xml:space="preserve"> sobre HAP.</w:t>
      </w:r>
    </w:p>
    <w:p w14:paraId="1A476C6F" w14:textId="77777777" w:rsidR="00505561" w:rsidRPr="007C4102" w:rsidRDefault="00505561" w:rsidP="00732B10">
      <w:pPr>
        <w:spacing w:after="0" w:line="240" w:lineRule="exact"/>
        <w:ind w:firstLine="204"/>
        <w:jc w:val="both"/>
        <w:rPr>
          <w:rStyle w:val="CBCatChar"/>
          <w:rFonts w:eastAsiaTheme="minorEastAsia"/>
          <w:lang w:val="pt-BR"/>
        </w:rPr>
      </w:pPr>
    </w:p>
    <w:p w14:paraId="6BE32F7B" w14:textId="4F456A38" w:rsidR="00EA4E1B" w:rsidRPr="007C4102" w:rsidRDefault="00EA4E1B" w:rsidP="00EA4E1B">
      <w:pPr>
        <w:pStyle w:val="Heading2"/>
        <w:rPr>
          <w:rFonts w:ascii="Helvetica" w:hAnsi="Helvetica" w:cs="Helvetica"/>
          <w:sz w:val="24"/>
          <w:szCs w:val="24"/>
        </w:rPr>
      </w:pPr>
      <w:r w:rsidRPr="007C4102">
        <w:rPr>
          <w:rFonts w:ascii="Helvetica" w:hAnsi="Helvetica" w:cs="Helvetica"/>
          <w:sz w:val="24"/>
          <w:szCs w:val="24"/>
        </w:rPr>
        <w:t>Agradecimentos</w:t>
      </w:r>
    </w:p>
    <w:p w14:paraId="05A178F9" w14:textId="3376CEBD" w:rsidR="00EA4E1B" w:rsidRPr="007C4102" w:rsidRDefault="00732B10" w:rsidP="00EA4E1B">
      <w:pPr>
        <w:pStyle w:val="TAMainText"/>
        <w:rPr>
          <w:rFonts w:ascii="Times New Roman" w:hAnsi="Times New Roman"/>
          <w:lang w:val="pt-BR"/>
        </w:rPr>
      </w:pPr>
      <w:r w:rsidRPr="007C4102">
        <w:rPr>
          <w:lang w:val="pt-BR"/>
        </w:rPr>
        <w:t>Ao CNPq pelo auxílio financeiro</w:t>
      </w:r>
      <w:r w:rsidR="00CB2C54" w:rsidRPr="007C4102">
        <w:rPr>
          <w:lang w:val="pt-BR"/>
        </w:rPr>
        <w:t>.</w:t>
      </w:r>
    </w:p>
    <w:p w14:paraId="1EAAA287" w14:textId="77777777" w:rsidR="00EA4E1B" w:rsidRPr="00A93292" w:rsidRDefault="00EA4E1B" w:rsidP="00EA4E1B">
      <w:pPr>
        <w:pStyle w:val="Heading2"/>
        <w:rPr>
          <w:rFonts w:ascii="Helvetica" w:hAnsi="Helvetica" w:cs="Helvetica"/>
          <w:sz w:val="24"/>
          <w:szCs w:val="24"/>
          <w:lang w:val="en-US"/>
        </w:rPr>
      </w:pPr>
      <w:r w:rsidRPr="00A93292">
        <w:rPr>
          <w:rFonts w:ascii="Helvetica" w:hAnsi="Helvetica" w:cs="Helvetica"/>
          <w:sz w:val="24"/>
          <w:szCs w:val="24"/>
          <w:lang w:val="en-US"/>
        </w:rPr>
        <w:t>Referências</w:t>
      </w:r>
    </w:p>
    <w:p w14:paraId="3371FE77"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w:t>
      </w:r>
      <w:r w:rsidRPr="0000533A">
        <w:rPr>
          <w:rFonts w:ascii="Times New Roman" w:hAnsi="Times New Roman" w:cs="Times New Roman"/>
          <w:sz w:val="20"/>
          <w:szCs w:val="20"/>
          <w:lang w:val="en-US"/>
        </w:rPr>
        <w:tab/>
        <w:t xml:space="preserve">E.J. Cho; </w:t>
      </w:r>
      <w:proofErr w:type="spellStart"/>
      <w:r w:rsidRPr="0000533A">
        <w:rPr>
          <w:rFonts w:ascii="Times New Roman" w:hAnsi="Times New Roman" w:cs="Times New Roman"/>
          <w:sz w:val="20"/>
          <w:szCs w:val="20"/>
          <w:lang w:val="en-US"/>
        </w:rPr>
        <w:t>L.T.</w:t>
      </w:r>
      <w:proofErr w:type="gramStart"/>
      <w:r w:rsidRPr="0000533A">
        <w:rPr>
          <w:rFonts w:ascii="Times New Roman" w:hAnsi="Times New Roman" w:cs="Times New Roman"/>
          <w:sz w:val="20"/>
          <w:szCs w:val="20"/>
          <w:lang w:val="en-US"/>
        </w:rPr>
        <w:t>P.Trinh</w:t>
      </w:r>
      <w:proofErr w:type="spellEnd"/>
      <w:proofErr w:type="gramEnd"/>
      <w:r w:rsidRPr="0000533A">
        <w:rPr>
          <w:rFonts w:ascii="Times New Roman" w:hAnsi="Times New Roman" w:cs="Times New Roman"/>
          <w:sz w:val="20"/>
          <w:szCs w:val="20"/>
          <w:lang w:val="en-US"/>
        </w:rPr>
        <w:t xml:space="preserve">, Y. Song; Y.G. Lee; H.J. Bae, </w:t>
      </w:r>
      <w:r w:rsidRPr="0000533A">
        <w:rPr>
          <w:rFonts w:ascii="Times New Roman" w:hAnsi="Times New Roman" w:cs="Times New Roman"/>
          <w:i/>
          <w:iCs/>
          <w:sz w:val="20"/>
          <w:szCs w:val="20"/>
          <w:lang w:val="en-US"/>
        </w:rPr>
        <w:t>Bioresource Technology</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2020</w:t>
      </w:r>
      <w:r w:rsidRPr="0000533A">
        <w:rPr>
          <w:rFonts w:ascii="Times New Roman" w:hAnsi="Times New Roman" w:cs="Times New Roman"/>
          <w:sz w:val="20"/>
          <w:szCs w:val="20"/>
          <w:lang w:val="en-US"/>
        </w:rPr>
        <w:t>, 298, 122386.</w:t>
      </w:r>
    </w:p>
    <w:p w14:paraId="373BDD8B"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2.</w:t>
      </w:r>
      <w:r w:rsidRPr="0000533A">
        <w:rPr>
          <w:rFonts w:ascii="Times New Roman" w:hAnsi="Times New Roman" w:cs="Times New Roman"/>
          <w:sz w:val="20"/>
          <w:szCs w:val="20"/>
          <w:lang w:val="en-US"/>
        </w:rPr>
        <w:tab/>
        <w:t xml:space="preserve">L.R.A. Ferreira; R.B. Otto; F.P. Silva; S.N.M. De Souza; S.S. De Souza SS; O.H. Ando Junior, </w:t>
      </w:r>
      <w:r w:rsidRPr="0000533A">
        <w:rPr>
          <w:rFonts w:ascii="Times New Roman" w:hAnsi="Times New Roman" w:cs="Times New Roman"/>
          <w:i/>
          <w:iCs/>
          <w:sz w:val="20"/>
          <w:szCs w:val="20"/>
          <w:lang w:val="en-US"/>
        </w:rPr>
        <w:t>Renewable and Sustainable Energy Reviews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2018</w:t>
      </w:r>
      <w:r w:rsidRPr="0000533A">
        <w:rPr>
          <w:rFonts w:ascii="Times New Roman" w:hAnsi="Times New Roman" w:cs="Times New Roman"/>
          <w:sz w:val="20"/>
          <w:szCs w:val="20"/>
          <w:lang w:val="en-US"/>
        </w:rPr>
        <w:t xml:space="preserve">, 94, 440–55. </w:t>
      </w:r>
    </w:p>
    <w:p w14:paraId="0EAEEDD3"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3.</w:t>
      </w:r>
      <w:r w:rsidRPr="0000533A">
        <w:rPr>
          <w:rFonts w:ascii="Times New Roman" w:hAnsi="Times New Roman" w:cs="Times New Roman"/>
          <w:sz w:val="20"/>
          <w:szCs w:val="20"/>
          <w:lang w:val="en-US"/>
        </w:rPr>
        <w:tab/>
        <w:t xml:space="preserve">S. Herrmann; E. Iglesia, </w:t>
      </w:r>
      <w:r w:rsidRPr="0000533A">
        <w:rPr>
          <w:rFonts w:ascii="Times New Roman" w:hAnsi="Times New Roman" w:cs="Times New Roman"/>
          <w:i/>
          <w:iCs/>
          <w:sz w:val="20"/>
          <w:szCs w:val="20"/>
          <w:lang w:val="en-US"/>
        </w:rPr>
        <w:t>Journal of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2017</w:t>
      </w:r>
      <w:r w:rsidRPr="0000533A">
        <w:rPr>
          <w:rFonts w:ascii="Times New Roman" w:hAnsi="Times New Roman" w:cs="Times New Roman"/>
          <w:sz w:val="20"/>
          <w:szCs w:val="20"/>
          <w:lang w:val="en-US"/>
        </w:rPr>
        <w:t>, 346,134–53.</w:t>
      </w:r>
    </w:p>
    <w:p w14:paraId="67E66056" w14:textId="77777777" w:rsidR="00A93292" w:rsidRPr="0000533A" w:rsidRDefault="00A93292" w:rsidP="00A93292">
      <w:pPr>
        <w:pStyle w:val="Bibliography"/>
        <w:spacing w:after="0" w:line="240" w:lineRule="exact"/>
        <w:jc w:val="both"/>
        <w:rPr>
          <w:rFonts w:ascii="Times New Roman" w:hAnsi="Times New Roman" w:cs="Times New Roman"/>
          <w:sz w:val="20"/>
          <w:szCs w:val="20"/>
        </w:rPr>
      </w:pPr>
      <w:r w:rsidRPr="0000533A">
        <w:rPr>
          <w:rFonts w:ascii="Times New Roman" w:hAnsi="Times New Roman" w:cs="Times New Roman"/>
          <w:sz w:val="20"/>
          <w:szCs w:val="20"/>
          <w:lang w:val="en-US"/>
        </w:rPr>
        <w:t>4.</w:t>
      </w:r>
      <w:r w:rsidRPr="0000533A">
        <w:rPr>
          <w:rFonts w:ascii="Times New Roman" w:hAnsi="Times New Roman" w:cs="Times New Roman"/>
          <w:sz w:val="20"/>
          <w:szCs w:val="20"/>
          <w:lang w:val="en-US"/>
        </w:rPr>
        <w:tab/>
        <w:t xml:space="preserve">H. Aitchison; R.L. </w:t>
      </w:r>
      <w:proofErr w:type="spellStart"/>
      <w:r w:rsidRPr="0000533A">
        <w:rPr>
          <w:rFonts w:ascii="Times New Roman" w:hAnsi="Times New Roman" w:cs="Times New Roman"/>
          <w:sz w:val="20"/>
          <w:szCs w:val="20"/>
          <w:lang w:val="en-US"/>
        </w:rPr>
        <w:t>Wingad</w:t>
      </w:r>
      <w:proofErr w:type="spellEnd"/>
      <w:r w:rsidRPr="0000533A">
        <w:rPr>
          <w:rFonts w:ascii="Times New Roman" w:hAnsi="Times New Roman" w:cs="Times New Roman"/>
          <w:sz w:val="20"/>
          <w:szCs w:val="20"/>
          <w:lang w:val="en-US"/>
        </w:rPr>
        <w:t xml:space="preserve">; D.F Wass, </w:t>
      </w:r>
      <w:r w:rsidRPr="0000533A">
        <w:rPr>
          <w:rFonts w:ascii="Times New Roman" w:hAnsi="Times New Roman" w:cs="Times New Roman"/>
          <w:i/>
          <w:iCs/>
          <w:sz w:val="20"/>
          <w:szCs w:val="20"/>
          <w:lang w:val="en-US"/>
        </w:rPr>
        <w:t>ACS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rPr>
        <w:t>2016</w:t>
      </w:r>
      <w:r w:rsidRPr="0000533A">
        <w:rPr>
          <w:rFonts w:ascii="Times New Roman" w:hAnsi="Times New Roman" w:cs="Times New Roman"/>
          <w:sz w:val="20"/>
          <w:szCs w:val="20"/>
        </w:rPr>
        <w:t xml:space="preserve">, 6, 7125–32. </w:t>
      </w:r>
    </w:p>
    <w:p w14:paraId="0C0AB549" w14:textId="77777777" w:rsidR="00A93292" w:rsidRPr="0000533A" w:rsidRDefault="00A93292" w:rsidP="00A93292">
      <w:pPr>
        <w:pStyle w:val="Bibliography"/>
        <w:spacing w:after="0" w:line="240" w:lineRule="exact"/>
        <w:jc w:val="both"/>
        <w:rPr>
          <w:rFonts w:ascii="Times New Roman" w:hAnsi="Times New Roman" w:cs="Times New Roman"/>
          <w:sz w:val="20"/>
          <w:szCs w:val="20"/>
        </w:rPr>
      </w:pPr>
      <w:r w:rsidRPr="0000533A">
        <w:rPr>
          <w:rFonts w:ascii="Times New Roman" w:hAnsi="Times New Roman" w:cs="Times New Roman"/>
          <w:sz w:val="20"/>
          <w:szCs w:val="20"/>
        </w:rPr>
        <w:t>5.</w:t>
      </w:r>
      <w:r w:rsidRPr="0000533A">
        <w:rPr>
          <w:rFonts w:ascii="Times New Roman" w:hAnsi="Times New Roman" w:cs="Times New Roman"/>
          <w:sz w:val="20"/>
          <w:szCs w:val="20"/>
        </w:rPr>
        <w:tab/>
        <w:t xml:space="preserve">M. </w:t>
      </w:r>
      <w:proofErr w:type="spellStart"/>
      <w:r w:rsidRPr="0000533A">
        <w:rPr>
          <w:rFonts w:ascii="Times New Roman" w:hAnsi="Times New Roman" w:cs="Times New Roman"/>
          <w:sz w:val="20"/>
          <w:szCs w:val="20"/>
        </w:rPr>
        <w:t>Rechi</w:t>
      </w:r>
      <w:proofErr w:type="spellEnd"/>
      <w:r w:rsidRPr="0000533A">
        <w:rPr>
          <w:rFonts w:ascii="Times New Roman" w:hAnsi="Times New Roman" w:cs="Times New Roman"/>
          <w:sz w:val="20"/>
          <w:szCs w:val="20"/>
        </w:rPr>
        <w:t xml:space="preserve"> Siqueira; O. </w:t>
      </w:r>
      <w:proofErr w:type="spellStart"/>
      <w:r w:rsidRPr="0000533A">
        <w:rPr>
          <w:rFonts w:ascii="Times New Roman" w:hAnsi="Times New Roman" w:cs="Times New Roman"/>
          <w:sz w:val="20"/>
          <w:szCs w:val="20"/>
        </w:rPr>
        <w:t>Micali</w:t>
      </w:r>
      <w:proofErr w:type="spellEnd"/>
      <w:r w:rsidRPr="0000533A">
        <w:rPr>
          <w:rFonts w:ascii="Times New Roman" w:hAnsi="Times New Roman" w:cs="Times New Roman"/>
          <w:sz w:val="20"/>
          <w:szCs w:val="20"/>
        </w:rPr>
        <w:t xml:space="preserve"> Perrone; G. </w:t>
      </w:r>
      <w:proofErr w:type="spellStart"/>
      <w:r w:rsidRPr="0000533A">
        <w:rPr>
          <w:rFonts w:ascii="Times New Roman" w:hAnsi="Times New Roman" w:cs="Times New Roman"/>
          <w:sz w:val="20"/>
          <w:szCs w:val="20"/>
        </w:rPr>
        <w:t>Metzker</w:t>
      </w:r>
      <w:proofErr w:type="spellEnd"/>
      <w:r w:rsidRPr="0000533A">
        <w:rPr>
          <w:rFonts w:ascii="Times New Roman" w:hAnsi="Times New Roman" w:cs="Times New Roman"/>
          <w:sz w:val="20"/>
          <w:szCs w:val="20"/>
        </w:rPr>
        <w:t xml:space="preserve">; D.C. de Oliveira Lisboa; J.C. </w:t>
      </w:r>
      <w:proofErr w:type="spellStart"/>
      <w:r w:rsidRPr="0000533A">
        <w:rPr>
          <w:rFonts w:ascii="Times New Roman" w:hAnsi="Times New Roman" w:cs="Times New Roman"/>
          <w:sz w:val="20"/>
          <w:szCs w:val="20"/>
        </w:rPr>
        <w:t>Thoméo</w:t>
      </w:r>
      <w:proofErr w:type="spellEnd"/>
      <w:r w:rsidRPr="0000533A">
        <w:rPr>
          <w:rFonts w:ascii="Times New Roman" w:hAnsi="Times New Roman" w:cs="Times New Roman"/>
          <w:sz w:val="20"/>
          <w:szCs w:val="20"/>
        </w:rPr>
        <w:t xml:space="preserve">; </w:t>
      </w:r>
      <w:proofErr w:type="spellStart"/>
      <w:proofErr w:type="gramStart"/>
      <w:r w:rsidRPr="0000533A">
        <w:rPr>
          <w:rFonts w:ascii="Times New Roman" w:hAnsi="Times New Roman" w:cs="Times New Roman"/>
          <w:sz w:val="20"/>
          <w:szCs w:val="20"/>
        </w:rPr>
        <w:t>M.Boscolo</w:t>
      </w:r>
      <w:proofErr w:type="spellEnd"/>
      <w:proofErr w:type="gramEnd"/>
      <w:r w:rsidRPr="0000533A">
        <w:rPr>
          <w:rFonts w:ascii="Times New Roman" w:hAnsi="Times New Roman" w:cs="Times New Roman"/>
          <w:sz w:val="20"/>
          <w:szCs w:val="20"/>
        </w:rPr>
        <w:t xml:space="preserve">, </w:t>
      </w:r>
      <w:r w:rsidRPr="0000533A">
        <w:rPr>
          <w:rFonts w:ascii="Times New Roman" w:hAnsi="Times New Roman" w:cs="Times New Roman"/>
          <w:i/>
          <w:iCs/>
          <w:sz w:val="20"/>
          <w:szCs w:val="20"/>
        </w:rPr>
        <w:t xml:space="preserve">Molecular </w:t>
      </w:r>
      <w:proofErr w:type="spellStart"/>
      <w:r w:rsidRPr="0000533A">
        <w:rPr>
          <w:rFonts w:ascii="Times New Roman" w:hAnsi="Times New Roman" w:cs="Times New Roman"/>
          <w:i/>
          <w:iCs/>
          <w:sz w:val="20"/>
          <w:szCs w:val="20"/>
        </w:rPr>
        <w:t>Catalysis</w:t>
      </w:r>
      <w:proofErr w:type="spellEnd"/>
      <w:r w:rsidRPr="0000533A">
        <w:rPr>
          <w:rFonts w:ascii="Times New Roman" w:hAnsi="Times New Roman" w:cs="Times New Roman"/>
          <w:sz w:val="20"/>
          <w:szCs w:val="20"/>
        </w:rPr>
        <w:t xml:space="preserve">. </w:t>
      </w:r>
      <w:r w:rsidRPr="0000533A">
        <w:rPr>
          <w:rFonts w:ascii="Times New Roman" w:hAnsi="Times New Roman" w:cs="Times New Roman"/>
          <w:b/>
          <w:bCs/>
          <w:sz w:val="20"/>
          <w:szCs w:val="20"/>
        </w:rPr>
        <w:t>2019</w:t>
      </w:r>
      <w:r w:rsidRPr="0000533A">
        <w:rPr>
          <w:rFonts w:ascii="Times New Roman" w:hAnsi="Times New Roman" w:cs="Times New Roman"/>
          <w:sz w:val="20"/>
          <w:szCs w:val="20"/>
        </w:rPr>
        <w:t xml:space="preserve">, 476, 110516.  </w:t>
      </w:r>
    </w:p>
    <w:p w14:paraId="11D97688" w14:textId="77777777" w:rsidR="00A93292" w:rsidRPr="0000533A" w:rsidRDefault="00A93292" w:rsidP="00A93292">
      <w:pPr>
        <w:pStyle w:val="Bibliography"/>
        <w:spacing w:after="0" w:line="240" w:lineRule="exact"/>
        <w:jc w:val="both"/>
        <w:rPr>
          <w:rFonts w:ascii="Times New Roman" w:hAnsi="Times New Roman" w:cs="Times New Roman"/>
          <w:sz w:val="20"/>
          <w:szCs w:val="20"/>
        </w:rPr>
      </w:pPr>
      <w:r w:rsidRPr="0000533A">
        <w:rPr>
          <w:rFonts w:ascii="Times New Roman" w:hAnsi="Times New Roman" w:cs="Times New Roman"/>
          <w:sz w:val="20"/>
          <w:szCs w:val="20"/>
        </w:rPr>
        <w:t>6.</w:t>
      </w:r>
      <w:r w:rsidRPr="0000533A">
        <w:rPr>
          <w:rFonts w:ascii="Times New Roman" w:hAnsi="Times New Roman" w:cs="Times New Roman"/>
          <w:sz w:val="20"/>
          <w:szCs w:val="20"/>
        </w:rPr>
        <w:tab/>
        <w:t xml:space="preserve">C. </w:t>
      </w:r>
      <w:proofErr w:type="spellStart"/>
      <w:r w:rsidRPr="0000533A">
        <w:rPr>
          <w:rFonts w:ascii="Times New Roman" w:hAnsi="Times New Roman" w:cs="Times New Roman"/>
          <w:sz w:val="20"/>
          <w:szCs w:val="20"/>
        </w:rPr>
        <w:t>Angelici</w:t>
      </w:r>
      <w:proofErr w:type="spellEnd"/>
      <w:r w:rsidRPr="0000533A">
        <w:rPr>
          <w:rFonts w:ascii="Times New Roman" w:hAnsi="Times New Roman" w:cs="Times New Roman"/>
          <w:sz w:val="20"/>
          <w:szCs w:val="20"/>
        </w:rPr>
        <w:t xml:space="preserve">; M.E.Z. </w:t>
      </w:r>
      <w:proofErr w:type="spellStart"/>
      <w:r w:rsidRPr="0000533A">
        <w:rPr>
          <w:rFonts w:ascii="Times New Roman" w:hAnsi="Times New Roman" w:cs="Times New Roman"/>
          <w:sz w:val="20"/>
          <w:szCs w:val="20"/>
        </w:rPr>
        <w:t>Velthoen</w:t>
      </w:r>
      <w:proofErr w:type="spellEnd"/>
      <w:r w:rsidRPr="0000533A">
        <w:rPr>
          <w:rFonts w:ascii="Times New Roman" w:hAnsi="Times New Roman" w:cs="Times New Roman"/>
          <w:sz w:val="20"/>
          <w:szCs w:val="20"/>
        </w:rPr>
        <w:t xml:space="preserve">; </w:t>
      </w:r>
      <w:proofErr w:type="spellStart"/>
      <w:r w:rsidRPr="0000533A">
        <w:rPr>
          <w:rFonts w:ascii="Times New Roman" w:hAnsi="Times New Roman" w:cs="Times New Roman"/>
          <w:sz w:val="20"/>
          <w:szCs w:val="20"/>
        </w:rPr>
        <w:t>B.</w:t>
      </w:r>
      <w:proofErr w:type="gramStart"/>
      <w:r w:rsidRPr="0000533A">
        <w:rPr>
          <w:rFonts w:ascii="Times New Roman" w:hAnsi="Times New Roman" w:cs="Times New Roman"/>
          <w:sz w:val="20"/>
          <w:szCs w:val="20"/>
        </w:rPr>
        <w:t>M.Weckhuysen</w:t>
      </w:r>
      <w:proofErr w:type="spellEnd"/>
      <w:proofErr w:type="gramEnd"/>
      <w:r w:rsidRPr="0000533A">
        <w:rPr>
          <w:rFonts w:ascii="Times New Roman" w:hAnsi="Times New Roman" w:cs="Times New Roman"/>
          <w:sz w:val="20"/>
          <w:szCs w:val="20"/>
        </w:rPr>
        <w:t xml:space="preserve">; P.C.A. </w:t>
      </w:r>
      <w:proofErr w:type="spellStart"/>
      <w:r w:rsidRPr="0000533A">
        <w:rPr>
          <w:rFonts w:ascii="Times New Roman" w:hAnsi="Times New Roman" w:cs="Times New Roman"/>
          <w:sz w:val="20"/>
          <w:szCs w:val="20"/>
        </w:rPr>
        <w:t>Bruijnincx</w:t>
      </w:r>
      <w:proofErr w:type="spellEnd"/>
      <w:r w:rsidRPr="0000533A">
        <w:rPr>
          <w:rFonts w:ascii="Times New Roman" w:hAnsi="Times New Roman" w:cs="Times New Roman"/>
          <w:sz w:val="20"/>
          <w:szCs w:val="20"/>
        </w:rPr>
        <w:t xml:space="preserve">, </w:t>
      </w:r>
      <w:proofErr w:type="spellStart"/>
      <w:r w:rsidRPr="0000533A">
        <w:rPr>
          <w:rFonts w:ascii="Times New Roman" w:hAnsi="Times New Roman" w:cs="Times New Roman"/>
          <w:i/>
          <w:iCs/>
          <w:sz w:val="20"/>
          <w:szCs w:val="20"/>
        </w:rPr>
        <w:t>ChemSusChem</w:t>
      </w:r>
      <w:proofErr w:type="spellEnd"/>
      <w:r w:rsidRPr="0000533A">
        <w:rPr>
          <w:rFonts w:ascii="Times New Roman" w:hAnsi="Times New Roman" w:cs="Times New Roman"/>
          <w:sz w:val="20"/>
          <w:szCs w:val="20"/>
        </w:rPr>
        <w:t xml:space="preserve">. </w:t>
      </w:r>
      <w:r w:rsidRPr="0000533A">
        <w:rPr>
          <w:rFonts w:ascii="Times New Roman" w:hAnsi="Times New Roman" w:cs="Times New Roman"/>
          <w:b/>
          <w:bCs/>
          <w:sz w:val="20"/>
          <w:szCs w:val="20"/>
        </w:rPr>
        <w:t>2014</w:t>
      </w:r>
      <w:r w:rsidRPr="0000533A">
        <w:rPr>
          <w:rFonts w:ascii="Times New Roman" w:hAnsi="Times New Roman" w:cs="Times New Roman"/>
          <w:sz w:val="20"/>
          <w:szCs w:val="20"/>
        </w:rPr>
        <w:t>, 7, 2505–15.</w:t>
      </w:r>
    </w:p>
    <w:p w14:paraId="5EA4FE0B"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rPr>
        <w:t>7.</w:t>
      </w:r>
      <w:r w:rsidRPr="0000533A">
        <w:rPr>
          <w:rFonts w:ascii="Times New Roman" w:hAnsi="Times New Roman" w:cs="Times New Roman"/>
          <w:sz w:val="20"/>
          <w:szCs w:val="20"/>
        </w:rPr>
        <w:tab/>
        <w:t xml:space="preserve">J. Quesada; L. </w:t>
      </w:r>
      <w:proofErr w:type="spellStart"/>
      <w:r w:rsidRPr="0000533A">
        <w:rPr>
          <w:rFonts w:ascii="Times New Roman" w:hAnsi="Times New Roman" w:cs="Times New Roman"/>
          <w:sz w:val="20"/>
          <w:szCs w:val="20"/>
        </w:rPr>
        <w:t>Faba</w:t>
      </w:r>
      <w:proofErr w:type="spellEnd"/>
      <w:r w:rsidRPr="0000533A">
        <w:rPr>
          <w:rFonts w:ascii="Times New Roman" w:hAnsi="Times New Roman" w:cs="Times New Roman"/>
          <w:sz w:val="20"/>
          <w:szCs w:val="20"/>
        </w:rPr>
        <w:t xml:space="preserve">; E. Díaz; S. </w:t>
      </w:r>
      <w:proofErr w:type="spellStart"/>
      <w:r w:rsidRPr="0000533A">
        <w:rPr>
          <w:rFonts w:ascii="Times New Roman" w:hAnsi="Times New Roman" w:cs="Times New Roman"/>
          <w:sz w:val="20"/>
          <w:szCs w:val="20"/>
        </w:rPr>
        <w:t>Ordóñez</w:t>
      </w:r>
      <w:proofErr w:type="spellEnd"/>
      <w:r w:rsidRPr="0000533A">
        <w:rPr>
          <w:rFonts w:ascii="Times New Roman" w:hAnsi="Times New Roman" w:cs="Times New Roman"/>
          <w:sz w:val="20"/>
          <w:szCs w:val="20"/>
        </w:rPr>
        <w:t xml:space="preserve">, </w:t>
      </w:r>
      <w:r w:rsidRPr="0000533A">
        <w:rPr>
          <w:rFonts w:ascii="Times New Roman" w:hAnsi="Times New Roman" w:cs="Times New Roman"/>
          <w:i/>
          <w:iCs/>
          <w:sz w:val="20"/>
          <w:szCs w:val="20"/>
        </w:rPr>
        <w:t xml:space="preserve">Applied </w:t>
      </w:r>
      <w:proofErr w:type="spellStart"/>
      <w:r w:rsidRPr="0000533A">
        <w:rPr>
          <w:rFonts w:ascii="Times New Roman" w:hAnsi="Times New Roman" w:cs="Times New Roman"/>
          <w:i/>
          <w:iCs/>
          <w:sz w:val="20"/>
          <w:szCs w:val="20"/>
        </w:rPr>
        <w:t>Catalysis</w:t>
      </w:r>
      <w:proofErr w:type="spellEnd"/>
      <w:r w:rsidRPr="0000533A">
        <w:rPr>
          <w:rFonts w:ascii="Times New Roman" w:hAnsi="Times New Roman" w:cs="Times New Roman"/>
          <w:i/>
          <w:iCs/>
          <w:sz w:val="20"/>
          <w:szCs w:val="20"/>
        </w:rPr>
        <w:t xml:space="preserve"> A: General</w:t>
      </w:r>
      <w:r w:rsidRPr="0000533A">
        <w:rPr>
          <w:rFonts w:ascii="Times New Roman" w:hAnsi="Times New Roman" w:cs="Times New Roman"/>
          <w:sz w:val="20"/>
          <w:szCs w:val="20"/>
        </w:rPr>
        <w:t xml:space="preserve">. </w:t>
      </w:r>
      <w:r w:rsidRPr="0000533A">
        <w:rPr>
          <w:rFonts w:ascii="Times New Roman" w:hAnsi="Times New Roman" w:cs="Times New Roman"/>
          <w:b/>
          <w:bCs/>
          <w:sz w:val="20"/>
          <w:szCs w:val="20"/>
          <w:lang w:val="en-US"/>
        </w:rPr>
        <w:t>2017</w:t>
      </w:r>
      <w:r w:rsidRPr="0000533A">
        <w:rPr>
          <w:rFonts w:ascii="Times New Roman" w:hAnsi="Times New Roman" w:cs="Times New Roman"/>
          <w:sz w:val="20"/>
          <w:szCs w:val="20"/>
          <w:lang w:val="en-US"/>
        </w:rPr>
        <w:t xml:space="preserve">, 542, 271–81. </w:t>
      </w:r>
    </w:p>
    <w:p w14:paraId="7AB2E680"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proofErr w:type="gramStart"/>
      <w:r w:rsidRPr="0000533A">
        <w:rPr>
          <w:rFonts w:ascii="Times New Roman" w:hAnsi="Times New Roman" w:cs="Times New Roman"/>
          <w:sz w:val="20"/>
          <w:szCs w:val="20"/>
          <w:lang w:val="en-US"/>
        </w:rPr>
        <w:t>8.</w:t>
      </w:r>
      <w:r w:rsidRPr="0000533A">
        <w:rPr>
          <w:rFonts w:ascii="Times New Roman" w:hAnsi="Times New Roman" w:cs="Times New Roman"/>
          <w:sz w:val="20"/>
          <w:szCs w:val="20"/>
          <w:lang w:val="en-US"/>
        </w:rPr>
        <w:tab/>
      </w:r>
      <w:proofErr w:type="spellStart"/>
      <w:r w:rsidRPr="0000533A">
        <w:rPr>
          <w:rFonts w:ascii="Times New Roman" w:hAnsi="Times New Roman" w:cs="Times New Roman"/>
          <w:sz w:val="20"/>
          <w:szCs w:val="20"/>
          <w:lang w:val="en-US"/>
        </w:rPr>
        <w:t>W.R.Trindade</w:t>
      </w:r>
      <w:proofErr w:type="spellEnd"/>
      <w:proofErr w:type="gramEnd"/>
      <w:r w:rsidRPr="0000533A">
        <w:rPr>
          <w:rFonts w:ascii="Times New Roman" w:hAnsi="Times New Roman" w:cs="Times New Roman"/>
          <w:sz w:val="20"/>
          <w:szCs w:val="20"/>
          <w:lang w:val="en-US"/>
        </w:rPr>
        <w:t xml:space="preserve">; R.G. Santos, </w:t>
      </w:r>
      <w:r w:rsidRPr="0000533A">
        <w:rPr>
          <w:rFonts w:ascii="Times New Roman" w:hAnsi="Times New Roman" w:cs="Times New Roman"/>
          <w:i/>
          <w:iCs/>
          <w:sz w:val="20"/>
          <w:szCs w:val="20"/>
          <w:lang w:val="en-US"/>
        </w:rPr>
        <w:t>Renewable and Sustainable Energy Reviews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2017</w:t>
      </w:r>
      <w:r w:rsidRPr="0000533A">
        <w:rPr>
          <w:rFonts w:ascii="Times New Roman" w:hAnsi="Times New Roman" w:cs="Times New Roman"/>
          <w:sz w:val="20"/>
          <w:szCs w:val="20"/>
          <w:lang w:val="en-US"/>
        </w:rPr>
        <w:t xml:space="preserve">, 69, 642–51. </w:t>
      </w:r>
    </w:p>
    <w:p w14:paraId="3C41BC07"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9.</w:t>
      </w:r>
      <w:r w:rsidRPr="0000533A">
        <w:rPr>
          <w:rFonts w:ascii="Times New Roman" w:hAnsi="Times New Roman" w:cs="Times New Roman"/>
          <w:sz w:val="20"/>
          <w:szCs w:val="20"/>
          <w:lang w:val="en-US"/>
        </w:rPr>
        <w:tab/>
        <w:t>US Department of Agriculture, &amp; USDA Foreign Agricultural Service. (March 20, 2023). Market volume of n-Butanol worldwide from 2015 to 2021, with a forecast for 2022 to 2029. In Statista. Access on April 10, 2023, from https://www.statista.com/statistics/1245211/n-butanol-market-volume-worldwide/</w:t>
      </w:r>
    </w:p>
    <w:p w14:paraId="40D73860"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10.</w:t>
      </w:r>
      <w:r w:rsidRPr="0000533A">
        <w:rPr>
          <w:rFonts w:ascii="Times New Roman" w:hAnsi="Times New Roman" w:cs="Times New Roman"/>
          <w:sz w:val="20"/>
          <w:szCs w:val="20"/>
          <w:lang w:val="en-US"/>
        </w:rPr>
        <w:tab/>
        <w:t xml:space="preserve">J.T. Kozlowski; R.J. Davis, </w:t>
      </w:r>
      <w:r w:rsidRPr="0000533A">
        <w:rPr>
          <w:rFonts w:ascii="Times New Roman" w:hAnsi="Times New Roman" w:cs="Times New Roman"/>
          <w:i/>
          <w:iCs/>
          <w:sz w:val="20"/>
          <w:szCs w:val="20"/>
          <w:lang w:val="en-US"/>
        </w:rPr>
        <w:t>ACS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2013</w:t>
      </w:r>
      <w:r w:rsidRPr="0000533A">
        <w:rPr>
          <w:rFonts w:ascii="Times New Roman" w:hAnsi="Times New Roman" w:cs="Times New Roman"/>
          <w:sz w:val="20"/>
          <w:szCs w:val="20"/>
          <w:lang w:val="en-US"/>
        </w:rPr>
        <w:t xml:space="preserve">, 3, 1588–600. </w:t>
      </w:r>
    </w:p>
    <w:p w14:paraId="1B9AA0EE" w14:textId="77777777" w:rsidR="00A93292" w:rsidRPr="0000533A" w:rsidRDefault="00A93292" w:rsidP="00A93292">
      <w:pPr>
        <w:pStyle w:val="Bibliography"/>
        <w:spacing w:after="0" w:line="240" w:lineRule="exact"/>
        <w:jc w:val="both"/>
        <w:rPr>
          <w:rFonts w:ascii="Times New Roman" w:hAnsi="Times New Roman" w:cs="Times New Roman"/>
          <w:sz w:val="20"/>
          <w:szCs w:val="20"/>
        </w:rPr>
      </w:pPr>
      <w:r w:rsidRPr="0000533A">
        <w:rPr>
          <w:rFonts w:ascii="Times New Roman" w:hAnsi="Times New Roman" w:cs="Times New Roman"/>
          <w:sz w:val="20"/>
          <w:szCs w:val="20"/>
          <w:lang w:val="en-US"/>
        </w:rPr>
        <w:t>11.</w:t>
      </w:r>
      <w:r w:rsidRPr="0000533A">
        <w:rPr>
          <w:rFonts w:ascii="Times New Roman" w:hAnsi="Times New Roman" w:cs="Times New Roman"/>
          <w:sz w:val="20"/>
          <w:szCs w:val="20"/>
          <w:lang w:val="en-US"/>
        </w:rPr>
        <w:tab/>
        <w:t xml:space="preserve">S. Hanspal; Z.D. Young; H. Shou; R.J. Davis, </w:t>
      </w:r>
      <w:r w:rsidRPr="0000533A">
        <w:rPr>
          <w:rFonts w:ascii="Times New Roman" w:hAnsi="Times New Roman" w:cs="Times New Roman"/>
          <w:i/>
          <w:iCs/>
          <w:sz w:val="20"/>
          <w:szCs w:val="20"/>
          <w:lang w:val="en-US"/>
        </w:rPr>
        <w:t>ACS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rPr>
        <w:t>2015</w:t>
      </w:r>
      <w:r w:rsidRPr="0000533A">
        <w:rPr>
          <w:rFonts w:ascii="Times New Roman" w:hAnsi="Times New Roman" w:cs="Times New Roman"/>
          <w:sz w:val="20"/>
          <w:szCs w:val="20"/>
        </w:rPr>
        <w:t xml:space="preserve">, 5,1737–46. </w:t>
      </w:r>
    </w:p>
    <w:p w14:paraId="161C8D13" w14:textId="77777777" w:rsidR="00A93292" w:rsidRPr="0000533A" w:rsidRDefault="00A93292" w:rsidP="00A93292">
      <w:pPr>
        <w:pStyle w:val="Bibliography"/>
        <w:spacing w:after="0" w:line="240" w:lineRule="exact"/>
        <w:jc w:val="both"/>
        <w:rPr>
          <w:rFonts w:ascii="Times New Roman" w:hAnsi="Times New Roman" w:cs="Times New Roman"/>
          <w:sz w:val="20"/>
          <w:szCs w:val="20"/>
        </w:rPr>
      </w:pPr>
      <w:r w:rsidRPr="0000533A">
        <w:rPr>
          <w:rFonts w:ascii="Times New Roman" w:hAnsi="Times New Roman" w:cs="Times New Roman"/>
          <w:sz w:val="20"/>
          <w:szCs w:val="20"/>
        </w:rPr>
        <w:t>12.</w:t>
      </w:r>
      <w:r w:rsidRPr="0000533A">
        <w:rPr>
          <w:rFonts w:ascii="Times New Roman" w:hAnsi="Times New Roman" w:cs="Times New Roman"/>
          <w:sz w:val="20"/>
          <w:szCs w:val="20"/>
        </w:rPr>
        <w:tab/>
        <w:t xml:space="preserve">J.J. </w:t>
      </w:r>
      <w:proofErr w:type="spellStart"/>
      <w:r w:rsidRPr="0000533A">
        <w:rPr>
          <w:rFonts w:ascii="Times New Roman" w:hAnsi="Times New Roman" w:cs="Times New Roman"/>
          <w:sz w:val="20"/>
          <w:szCs w:val="20"/>
        </w:rPr>
        <w:t>Lovon</w:t>
      </w:r>
      <w:proofErr w:type="spellEnd"/>
      <w:r w:rsidRPr="0000533A">
        <w:rPr>
          <w:rFonts w:ascii="Times New Roman" w:hAnsi="Times New Roman" w:cs="Times New Roman"/>
          <w:sz w:val="20"/>
          <w:szCs w:val="20"/>
        </w:rPr>
        <w:t xml:space="preserve">-Quintana; </w:t>
      </w:r>
      <w:proofErr w:type="spellStart"/>
      <w:r w:rsidRPr="0000533A">
        <w:rPr>
          <w:rFonts w:ascii="Times New Roman" w:hAnsi="Times New Roman" w:cs="Times New Roman"/>
          <w:sz w:val="20"/>
          <w:szCs w:val="20"/>
        </w:rPr>
        <w:t>J.</w:t>
      </w:r>
      <w:proofErr w:type="gramStart"/>
      <w:r w:rsidRPr="0000533A">
        <w:rPr>
          <w:rFonts w:ascii="Times New Roman" w:hAnsi="Times New Roman" w:cs="Times New Roman"/>
          <w:sz w:val="20"/>
          <w:szCs w:val="20"/>
        </w:rPr>
        <w:t>K.Rodrigues</w:t>
      </w:r>
      <w:proofErr w:type="spellEnd"/>
      <w:proofErr w:type="gramEnd"/>
      <w:r w:rsidRPr="0000533A">
        <w:rPr>
          <w:rFonts w:ascii="Times New Roman" w:hAnsi="Times New Roman" w:cs="Times New Roman"/>
          <w:sz w:val="20"/>
          <w:szCs w:val="20"/>
        </w:rPr>
        <w:t xml:space="preserve">-Guerrero; G.P. Valença,  INPI: BR-10-2015-009832-4 e PCT: 2015-000200, </w:t>
      </w:r>
      <w:r w:rsidRPr="0000533A">
        <w:rPr>
          <w:rFonts w:ascii="Times New Roman" w:hAnsi="Times New Roman" w:cs="Times New Roman"/>
          <w:b/>
          <w:bCs/>
          <w:sz w:val="20"/>
          <w:szCs w:val="20"/>
        </w:rPr>
        <w:t>2015</w:t>
      </w:r>
      <w:r w:rsidRPr="0000533A">
        <w:rPr>
          <w:rFonts w:ascii="Times New Roman" w:hAnsi="Times New Roman" w:cs="Times New Roman"/>
          <w:sz w:val="20"/>
          <w:szCs w:val="20"/>
        </w:rPr>
        <w:t>.</w:t>
      </w:r>
    </w:p>
    <w:p w14:paraId="605CD7BC"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13.</w:t>
      </w:r>
      <w:r w:rsidRPr="0000533A">
        <w:rPr>
          <w:rFonts w:ascii="Times New Roman" w:hAnsi="Times New Roman" w:cs="Times New Roman"/>
          <w:sz w:val="20"/>
          <w:szCs w:val="20"/>
          <w:lang w:val="en-US"/>
        </w:rPr>
        <w:tab/>
      </w:r>
      <w:proofErr w:type="spellStart"/>
      <w:r w:rsidRPr="0000533A">
        <w:rPr>
          <w:rFonts w:ascii="Times New Roman" w:hAnsi="Times New Roman" w:cs="Times New Roman"/>
          <w:sz w:val="20"/>
          <w:szCs w:val="20"/>
          <w:lang w:val="en-US"/>
        </w:rPr>
        <w:t>K.S.</w:t>
      </w:r>
      <w:proofErr w:type="gramStart"/>
      <w:r w:rsidRPr="0000533A">
        <w:rPr>
          <w:rFonts w:ascii="Times New Roman" w:hAnsi="Times New Roman" w:cs="Times New Roman"/>
          <w:sz w:val="20"/>
          <w:szCs w:val="20"/>
          <w:lang w:val="en-US"/>
        </w:rPr>
        <w:t>W.Sing</w:t>
      </w:r>
      <w:proofErr w:type="spellEnd"/>
      <w:proofErr w:type="gramEnd"/>
      <w:r w:rsidRPr="0000533A">
        <w:rPr>
          <w:rFonts w:ascii="Times New Roman" w:hAnsi="Times New Roman" w:cs="Times New Roman"/>
          <w:sz w:val="20"/>
          <w:szCs w:val="20"/>
          <w:lang w:val="en-US"/>
        </w:rPr>
        <w:t xml:space="preserve">; </w:t>
      </w:r>
      <w:proofErr w:type="spellStart"/>
      <w:r w:rsidRPr="0000533A">
        <w:rPr>
          <w:rFonts w:ascii="Times New Roman" w:hAnsi="Times New Roman" w:cs="Times New Roman"/>
          <w:sz w:val="20"/>
          <w:szCs w:val="20"/>
          <w:lang w:val="en-US"/>
        </w:rPr>
        <w:t>D.H.Everett</w:t>
      </w:r>
      <w:proofErr w:type="spellEnd"/>
      <w:r w:rsidRPr="0000533A">
        <w:rPr>
          <w:rFonts w:ascii="Times New Roman" w:hAnsi="Times New Roman" w:cs="Times New Roman"/>
          <w:sz w:val="20"/>
          <w:szCs w:val="20"/>
          <w:lang w:val="en-US"/>
        </w:rPr>
        <w:t xml:space="preserve">; R.A.W. Haul; L. </w:t>
      </w:r>
      <w:proofErr w:type="spellStart"/>
      <w:r w:rsidRPr="0000533A">
        <w:rPr>
          <w:rFonts w:ascii="Times New Roman" w:hAnsi="Times New Roman" w:cs="Times New Roman"/>
          <w:sz w:val="20"/>
          <w:szCs w:val="20"/>
          <w:lang w:val="en-US"/>
        </w:rPr>
        <w:t>Moscou</w:t>
      </w:r>
      <w:proofErr w:type="spellEnd"/>
      <w:r w:rsidRPr="0000533A">
        <w:rPr>
          <w:rFonts w:ascii="Times New Roman" w:hAnsi="Times New Roman" w:cs="Times New Roman"/>
          <w:sz w:val="20"/>
          <w:szCs w:val="20"/>
          <w:lang w:val="en-US"/>
        </w:rPr>
        <w:t xml:space="preserve"> ; R.A. Pierotti; J. </w:t>
      </w:r>
      <w:proofErr w:type="spellStart"/>
      <w:r w:rsidRPr="0000533A">
        <w:rPr>
          <w:rFonts w:ascii="Times New Roman" w:hAnsi="Times New Roman" w:cs="Times New Roman"/>
          <w:sz w:val="20"/>
          <w:szCs w:val="20"/>
          <w:lang w:val="en-US"/>
        </w:rPr>
        <w:t>Rouquerol</w:t>
      </w:r>
      <w:proofErr w:type="spellEnd"/>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Pure and Applied Chemistry</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1985</w:t>
      </w:r>
      <w:r w:rsidRPr="0000533A">
        <w:rPr>
          <w:rFonts w:ascii="Times New Roman" w:hAnsi="Times New Roman" w:cs="Times New Roman"/>
          <w:sz w:val="20"/>
          <w:szCs w:val="20"/>
          <w:lang w:val="en-US"/>
        </w:rPr>
        <w:t xml:space="preserve">, 57, 603–19. </w:t>
      </w:r>
    </w:p>
    <w:p w14:paraId="64CD2C39"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14.</w:t>
      </w:r>
      <w:r w:rsidRPr="0000533A">
        <w:rPr>
          <w:rFonts w:ascii="Times New Roman" w:hAnsi="Times New Roman" w:cs="Times New Roman"/>
          <w:sz w:val="20"/>
          <w:szCs w:val="20"/>
          <w:lang w:val="en-US"/>
        </w:rPr>
        <w:tab/>
        <w:t xml:space="preserve">T.T.N. Nguyen; V. </w:t>
      </w:r>
      <w:proofErr w:type="spellStart"/>
      <w:r w:rsidRPr="0000533A">
        <w:rPr>
          <w:rFonts w:ascii="Times New Roman" w:hAnsi="Times New Roman" w:cs="Times New Roman"/>
          <w:sz w:val="20"/>
          <w:szCs w:val="20"/>
          <w:lang w:val="en-US"/>
        </w:rPr>
        <w:t>Ruaux</w:t>
      </w:r>
      <w:proofErr w:type="spellEnd"/>
      <w:r w:rsidRPr="0000533A">
        <w:rPr>
          <w:rFonts w:ascii="Times New Roman" w:hAnsi="Times New Roman" w:cs="Times New Roman"/>
          <w:sz w:val="20"/>
          <w:szCs w:val="20"/>
          <w:lang w:val="en-US"/>
        </w:rPr>
        <w:t xml:space="preserve">; </w:t>
      </w:r>
      <w:proofErr w:type="spellStart"/>
      <w:proofErr w:type="gramStart"/>
      <w:r w:rsidRPr="0000533A">
        <w:rPr>
          <w:rFonts w:ascii="Times New Roman" w:hAnsi="Times New Roman" w:cs="Times New Roman"/>
          <w:sz w:val="20"/>
          <w:szCs w:val="20"/>
          <w:lang w:val="en-US"/>
        </w:rPr>
        <w:t>L.Massin</w:t>
      </w:r>
      <w:proofErr w:type="spellEnd"/>
      <w:proofErr w:type="gramEnd"/>
      <w:r w:rsidRPr="0000533A">
        <w:rPr>
          <w:rFonts w:ascii="Times New Roman" w:hAnsi="Times New Roman" w:cs="Times New Roman"/>
          <w:sz w:val="20"/>
          <w:szCs w:val="20"/>
          <w:lang w:val="en-US"/>
        </w:rPr>
        <w:t xml:space="preserve">; C. Lorentz; P. Afanasiev; </w:t>
      </w:r>
      <w:proofErr w:type="spellStart"/>
      <w:r w:rsidRPr="0000533A">
        <w:rPr>
          <w:rFonts w:ascii="Times New Roman" w:hAnsi="Times New Roman" w:cs="Times New Roman"/>
          <w:sz w:val="20"/>
          <w:szCs w:val="20"/>
          <w:lang w:val="en-US"/>
        </w:rPr>
        <w:t>Maugé</w:t>
      </w:r>
      <w:proofErr w:type="spellEnd"/>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Applied Catalysis B: Environmental</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2015</w:t>
      </w:r>
      <w:r w:rsidRPr="0000533A">
        <w:rPr>
          <w:rFonts w:ascii="Times New Roman" w:hAnsi="Times New Roman" w:cs="Times New Roman"/>
          <w:sz w:val="20"/>
          <w:szCs w:val="20"/>
          <w:lang w:val="en-US"/>
        </w:rPr>
        <w:t xml:space="preserve">;166–167:432–44. </w:t>
      </w:r>
    </w:p>
    <w:p w14:paraId="2E267A3F"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15.</w:t>
      </w:r>
      <w:r w:rsidRPr="0000533A">
        <w:rPr>
          <w:rFonts w:ascii="Times New Roman" w:hAnsi="Times New Roman" w:cs="Times New Roman"/>
          <w:sz w:val="20"/>
          <w:szCs w:val="20"/>
          <w:lang w:val="en-US"/>
        </w:rPr>
        <w:tab/>
        <w:t xml:space="preserve">M. Zhang; M. Wang; B. Xu; D. Ma1, </w:t>
      </w:r>
      <w:r w:rsidRPr="0000533A">
        <w:rPr>
          <w:rFonts w:ascii="Times New Roman" w:hAnsi="Times New Roman" w:cs="Times New Roman"/>
          <w:i/>
          <w:iCs/>
          <w:sz w:val="20"/>
          <w:szCs w:val="20"/>
          <w:lang w:val="en-US"/>
        </w:rPr>
        <w:t>Joule</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2019</w:t>
      </w:r>
      <w:r w:rsidRPr="0000533A">
        <w:rPr>
          <w:rFonts w:ascii="Times New Roman" w:hAnsi="Times New Roman" w:cs="Times New Roman"/>
          <w:sz w:val="20"/>
          <w:szCs w:val="20"/>
          <w:lang w:val="en-US"/>
        </w:rPr>
        <w:t>; 2871-2883</w:t>
      </w:r>
    </w:p>
    <w:p w14:paraId="152CA02D"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lastRenderedPageBreak/>
        <w:t>16.</w:t>
      </w:r>
      <w:r w:rsidRPr="0000533A">
        <w:rPr>
          <w:rFonts w:ascii="Times New Roman" w:hAnsi="Times New Roman" w:cs="Times New Roman"/>
          <w:sz w:val="20"/>
          <w:szCs w:val="20"/>
          <w:lang w:val="en-US"/>
        </w:rPr>
        <w:tab/>
        <w:t xml:space="preserve">H. </w:t>
      </w:r>
      <w:proofErr w:type="spellStart"/>
      <w:r w:rsidRPr="0000533A">
        <w:rPr>
          <w:rFonts w:ascii="Times New Roman" w:hAnsi="Times New Roman" w:cs="Times New Roman"/>
          <w:sz w:val="20"/>
          <w:szCs w:val="20"/>
          <w:lang w:val="en-US"/>
        </w:rPr>
        <w:t>Brasil</w:t>
      </w:r>
      <w:proofErr w:type="spellEnd"/>
      <w:r w:rsidRPr="0000533A">
        <w:rPr>
          <w:rFonts w:ascii="Times New Roman" w:hAnsi="Times New Roman" w:cs="Times New Roman"/>
          <w:sz w:val="20"/>
          <w:szCs w:val="20"/>
          <w:lang w:val="en-US"/>
        </w:rPr>
        <w:t xml:space="preserve">; A.F.B. Bittencourt; </w:t>
      </w:r>
      <w:proofErr w:type="spellStart"/>
      <w:r w:rsidRPr="0000533A">
        <w:rPr>
          <w:rFonts w:ascii="Times New Roman" w:hAnsi="Times New Roman" w:cs="Times New Roman"/>
          <w:sz w:val="20"/>
          <w:szCs w:val="20"/>
          <w:lang w:val="en-US"/>
        </w:rPr>
        <w:t>K.C.E.</w:t>
      </w:r>
      <w:proofErr w:type="gramStart"/>
      <w:r w:rsidRPr="0000533A">
        <w:rPr>
          <w:rFonts w:ascii="Times New Roman" w:hAnsi="Times New Roman" w:cs="Times New Roman"/>
          <w:sz w:val="20"/>
          <w:szCs w:val="20"/>
          <w:lang w:val="en-US"/>
        </w:rPr>
        <w:t>S.Yokoo</w:t>
      </w:r>
      <w:proofErr w:type="spellEnd"/>
      <w:proofErr w:type="gramEnd"/>
      <w:r w:rsidRPr="0000533A">
        <w:rPr>
          <w:rFonts w:ascii="Times New Roman" w:hAnsi="Times New Roman" w:cs="Times New Roman"/>
          <w:sz w:val="20"/>
          <w:szCs w:val="20"/>
          <w:lang w:val="en-US"/>
        </w:rPr>
        <w:t xml:space="preserve">; P.C.D. Mendes; </w:t>
      </w:r>
      <w:proofErr w:type="spellStart"/>
      <w:r w:rsidRPr="0000533A">
        <w:rPr>
          <w:rFonts w:ascii="Times New Roman" w:hAnsi="Times New Roman" w:cs="Times New Roman"/>
          <w:sz w:val="20"/>
          <w:szCs w:val="20"/>
          <w:lang w:val="en-US"/>
        </w:rPr>
        <w:t>L.G.Verga</w:t>
      </w:r>
      <w:proofErr w:type="spellEnd"/>
      <w:r w:rsidRPr="0000533A">
        <w:rPr>
          <w:rFonts w:ascii="Times New Roman" w:hAnsi="Times New Roman" w:cs="Times New Roman"/>
          <w:sz w:val="20"/>
          <w:szCs w:val="20"/>
          <w:lang w:val="en-US"/>
        </w:rPr>
        <w:t>; K.F. Andriani,</w:t>
      </w:r>
      <w:r>
        <w:rPr>
          <w:rFonts w:ascii="Times New Roman" w:hAnsi="Times New Roman" w:cs="Times New Roman"/>
          <w:sz w:val="20"/>
          <w:szCs w:val="20"/>
          <w:lang w:val="en-US"/>
        </w:rPr>
        <w:t xml:space="preserve"> R. Landers; </w:t>
      </w:r>
      <w:proofErr w:type="spellStart"/>
      <w:r>
        <w:rPr>
          <w:rFonts w:ascii="Times New Roman" w:hAnsi="Times New Roman" w:cs="Times New Roman"/>
          <w:sz w:val="20"/>
          <w:szCs w:val="20"/>
          <w:lang w:val="en-US"/>
        </w:rPr>
        <w:t>J.L.F.Silva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G.P.Valenca</w:t>
      </w:r>
      <w:proofErr w:type="spellEnd"/>
      <w:r>
        <w:rPr>
          <w:rFonts w:ascii="Times New Roman" w:hAnsi="Times New Roman" w:cs="Times New Roman"/>
          <w:sz w:val="20"/>
          <w:szCs w:val="20"/>
          <w:lang w:val="en-US"/>
        </w:rPr>
        <w:t>,</w:t>
      </w:r>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Journal of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2021</w:t>
      </w:r>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404</w:t>
      </w:r>
      <w:r w:rsidRPr="0000533A">
        <w:rPr>
          <w:rFonts w:ascii="Times New Roman" w:hAnsi="Times New Roman" w:cs="Times New Roman"/>
          <w:sz w:val="20"/>
          <w:szCs w:val="20"/>
          <w:lang w:val="en-US"/>
        </w:rPr>
        <w:t xml:space="preserve">, 802–813. </w:t>
      </w:r>
    </w:p>
    <w:p w14:paraId="6C09974A"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17.</w:t>
      </w:r>
      <w:r w:rsidRPr="0000533A">
        <w:rPr>
          <w:rFonts w:ascii="Times New Roman" w:hAnsi="Times New Roman" w:cs="Times New Roman"/>
          <w:sz w:val="20"/>
          <w:szCs w:val="20"/>
          <w:lang w:val="en-US"/>
        </w:rPr>
        <w:tab/>
        <w:t xml:space="preserve">T. Tsuchida; S. Sakuma; T. </w:t>
      </w:r>
      <w:proofErr w:type="spellStart"/>
      <w:r w:rsidRPr="0000533A">
        <w:rPr>
          <w:rFonts w:ascii="Times New Roman" w:hAnsi="Times New Roman" w:cs="Times New Roman"/>
          <w:sz w:val="20"/>
          <w:szCs w:val="20"/>
          <w:lang w:val="en-US"/>
        </w:rPr>
        <w:t>Takeguchi</w:t>
      </w:r>
      <w:proofErr w:type="spellEnd"/>
      <w:r w:rsidRPr="0000533A">
        <w:rPr>
          <w:rFonts w:ascii="Times New Roman" w:hAnsi="Times New Roman" w:cs="Times New Roman"/>
          <w:sz w:val="20"/>
          <w:szCs w:val="20"/>
          <w:lang w:val="en-US"/>
        </w:rPr>
        <w:t xml:space="preserve">; W. Ueda, </w:t>
      </w:r>
      <w:r w:rsidRPr="0000533A">
        <w:rPr>
          <w:rFonts w:ascii="Times New Roman" w:hAnsi="Times New Roman" w:cs="Times New Roman"/>
          <w:i/>
          <w:iCs/>
          <w:sz w:val="20"/>
          <w:szCs w:val="20"/>
          <w:lang w:val="en-US"/>
        </w:rPr>
        <w:t>Industrial &amp; Engineering Chemistry Research</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2006</w:t>
      </w:r>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45</w:t>
      </w:r>
      <w:r w:rsidRPr="0000533A">
        <w:rPr>
          <w:rFonts w:ascii="Times New Roman" w:hAnsi="Times New Roman" w:cs="Times New Roman"/>
          <w:sz w:val="20"/>
          <w:szCs w:val="20"/>
          <w:lang w:val="en-US"/>
        </w:rPr>
        <w:t xml:space="preserve">, 8634–42. </w:t>
      </w:r>
    </w:p>
    <w:p w14:paraId="46FDF3E2"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18.</w:t>
      </w:r>
      <w:r w:rsidRPr="0000533A">
        <w:rPr>
          <w:rFonts w:ascii="Times New Roman" w:hAnsi="Times New Roman" w:cs="Times New Roman"/>
          <w:sz w:val="20"/>
          <w:szCs w:val="20"/>
          <w:lang w:val="en-US"/>
        </w:rPr>
        <w:tab/>
        <w:t xml:space="preserve">T. Tsuchida; J. Kubo; T. Yoshioka; S. Sakuma; T. </w:t>
      </w:r>
      <w:proofErr w:type="spellStart"/>
      <w:r w:rsidRPr="0000533A">
        <w:rPr>
          <w:rFonts w:ascii="Times New Roman" w:hAnsi="Times New Roman" w:cs="Times New Roman"/>
          <w:sz w:val="20"/>
          <w:szCs w:val="20"/>
          <w:lang w:val="en-US"/>
        </w:rPr>
        <w:t>Takeguchi</w:t>
      </w:r>
      <w:proofErr w:type="spellEnd"/>
      <w:r w:rsidRPr="0000533A">
        <w:rPr>
          <w:rFonts w:ascii="Times New Roman" w:hAnsi="Times New Roman" w:cs="Times New Roman"/>
          <w:sz w:val="20"/>
          <w:szCs w:val="20"/>
          <w:lang w:val="en-US"/>
        </w:rPr>
        <w:t xml:space="preserve">; W. Ueda, </w:t>
      </w:r>
      <w:r w:rsidRPr="0000533A">
        <w:rPr>
          <w:rFonts w:ascii="Times New Roman" w:hAnsi="Times New Roman" w:cs="Times New Roman"/>
          <w:i/>
          <w:iCs/>
          <w:sz w:val="20"/>
          <w:szCs w:val="20"/>
          <w:lang w:val="en-US"/>
        </w:rPr>
        <w:t>Journal of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2008</w:t>
      </w:r>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259</w:t>
      </w:r>
      <w:r w:rsidRPr="0000533A">
        <w:rPr>
          <w:rFonts w:ascii="Times New Roman" w:hAnsi="Times New Roman" w:cs="Times New Roman"/>
          <w:sz w:val="20"/>
          <w:szCs w:val="20"/>
          <w:lang w:val="en-US"/>
        </w:rPr>
        <w:t xml:space="preserve">, 183–9. </w:t>
      </w:r>
    </w:p>
    <w:p w14:paraId="178204A3"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19.</w:t>
      </w:r>
      <w:r w:rsidRPr="0000533A">
        <w:rPr>
          <w:rFonts w:ascii="Times New Roman" w:hAnsi="Times New Roman" w:cs="Times New Roman"/>
          <w:sz w:val="20"/>
          <w:szCs w:val="20"/>
          <w:lang w:val="en-US"/>
        </w:rPr>
        <w:tab/>
        <w:t xml:space="preserve">C.R. Ho; S. Shylesh; A.T. Bell. </w:t>
      </w:r>
      <w:r w:rsidRPr="0000533A">
        <w:rPr>
          <w:rFonts w:ascii="Times New Roman" w:hAnsi="Times New Roman" w:cs="Times New Roman"/>
          <w:i/>
          <w:iCs/>
          <w:sz w:val="20"/>
          <w:szCs w:val="20"/>
          <w:lang w:val="en-US"/>
        </w:rPr>
        <w:t>ACS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2016</w:t>
      </w:r>
      <w:r w:rsidRPr="0000533A">
        <w:rPr>
          <w:rFonts w:ascii="Times New Roman" w:hAnsi="Times New Roman" w:cs="Times New Roman"/>
          <w:sz w:val="20"/>
          <w:szCs w:val="20"/>
          <w:lang w:val="en-US"/>
        </w:rPr>
        <w:t xml:space="preserve">, </w:t>
      </w:r>
      <w:r w:rsidRPr="0000533A">
        <w:rPr>
          <w:rFonts w:ascii="Times New Roman" w:hAnsi="Times New Roman" w:cs="Times New Roman"/>
          <w:i/>
          <w:iCs/>
          <w:sz w:val="20"/>
          <w:szCs w:val="20"/>
          <w:lang w:val="en-US"/>
        </w:rPr>
        <w:t>2</w:t>
      </w:r>
      <w:r w:rsidRPr="0000533A">
        <w:rPr>
          <w:rFonts w:ascii="Times New Roman" w:hAnsi="Times New Roman" w:cs="Times New Roman"/>
          <w:sz w:val="20"/>
          <w:szCs w:val="20"/>
          <w:lang w:val="en-US"/>
        </w:rPr>
        <w:t xml:space="preserve">, 939–48. </w:t>
      </w:r>
    </w:p>
    <w:p w14:paraId="71F8AB64"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20.</w:t>
      </w:r>
      <w:r w:rsidRPr="0000533A">
        <w:rPr>
          <w:rFonts w:ascii="Times New Roman" w:hAnsi="Times New Roman" w:cs="Times New Roman"/>
          <w:sz w:val="20"/>
          <w:szCs w:val="20"/>
          <w:lang w:val="en-US"/>
        </w:rPr>
        <w:tab/>
        <w:t xml:space="preserve">Z. Sun; A.C. Vasconcelos; G. Bottari; M.C.A. Stuart; G. Bonura; C. </w:t>
      </w:r>
      <w:proofErr w:type="spellStart"/>
      <w:r w:rsidRPr="0000533A">
        <w:rPr>
          <w:rFonts w:ascii="Times New Roman" w:hAnsi="Times New Roman" w:cs="Times New Roman"/>
          <w:sz w:val="20"/>
          <w:szCs w:val="20"/>
          <w:lang w:val="en-US"/>
        </w:rPr>
        <w:t>Cannilla</w:t>
      </w:r>
      <w:proofErr w:type="spellEnd"/>
      <w:r w:rsidRPr="0000533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F. </w:t>
      </w:r>
      <w:proofErr w:type="spellStart"/>
      <w:r>
        <w:rPr>
          <w:rFonts w:ascii="Times New Roman" w:hAnsi="Times New Roman" w:cs="Times New Roman"/>
          <w:sz w:val="20"/>
          <w:szCs w:val="20"/>
          <w:lang w:val="en-US"/>
        </w:rPr>
        <w:t>Fruteri</w:t>
      </w:r>
      <w:proofErr w:type="spellEnd"/>
      <w:r>
        <w:rPr>
          <w:rFonts w:ascii="Times New Roman" w:hAnsi="Times New Roman" w:cs="Times New Roman"/>
          <w:sz w:val="20"/>
          <w:szCs w:val="20"/>
          <w:lang w:val="en-US"/>
        </w:rPr>
        <w:t xml:space="preserve">; K. Barta, </w:t>
      </w:r>
      <w:r w:rsidRPr="0000533A">
        <w:rPr>
          <w:rFonts w:ascii="Times New Roman" w:hAnsi="Times New Roman" w:cs="Times New Roman"/>
          <w:i/>
          <w:iCs/>
          <w:sz w:val="20"/>
          <w:szCs w:val="20"/>
          <w:lang w:val="en-US"/>
        </w:rPr>
        <w:t>ACS Sustainable Chemistry and Engineering</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2017</w:t>
      </w:r>
      <w:r>
        <w:rPr>
          <w:rFonts w:ascii="Times New Roman" w:hAnsi="Times New Roman" w:cs="Times New Roman"/>
          <w:sz w:val="20"/>
          <w:szCs w:val="20"/>
          <w:lang w:val="en-US"/>
        </w:rPr>
        <w:t xml:space="preserve">, </w:t>
      </w:r>
      <w:r w:rsidRPr="00DD53C2">
        <w:rPr>
          <w:rFonts w:ascii="Times New Roman" w:hAnsi="Times New Roman" w:cs="Times New Roman"/>
          <w:i/>
          <w:iCs/>
          <w:sz w:val="20"/>
          <w:szCs w:val="20"/>
          <w:lang w:val="en-US"/>
        </w:rPr>
        <w:t>5</w:t>
      </w:r>
      <w:r>
        <w:rPr>
          <w:rFonts w:ascii="Times New Roman" w:hAnsi="Times New Roman" w:cs="Times New Roman"/>
          <w:sz w:val="20"/>
          <w:szCs w:val="20"/>
          <w:lang w:val="en-US"/>
        </w:rPr>
        <w:t>,</w:t>
      </w:r>
      <w:r w:rsidRPr="0000533A">
        <w:rPr>
          <w:rFonts w:ascii="Times New Roman" w:hAnsi="Times New Roman" w:cs="Times New Roman"/>
          <w:sz w:val="20"/>
          <w:szCs w:val="20"/>
          <w:lang w:val="en-US"/>
        </w:rPr>
        <w:t xml:space="preserve">1738–46. </w:t>
      </w:r>
    </w:p>
    <w:p w14:paraId="6BD414C9"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21.</w:t>
      </w:r>
      <w:r w:rsidRPr="0000533A">
        <w:rPr>
          <w:rFonts w:ascii="Times New Roman" w:hAnsi="Times New Roman" w:cs="Times New Roman"/>
          <w:sz w:val="20"/>
          <w:szCs w:val="20"/>
          <w:lang w:val="en-US"/>
        </w:rPr>
        <w:tab/>
        <w:t xml:space="preserve">Z.D. Young; R.J. Davis, </w:t>
      </w:r>
      <w:r w:rsidRPr="0000533A">
        <w:rPr>
          <w:rFonts w:ascii="Times New Roman" w:hAnsi="Times New Roman" w:cs="Times New Roman"/>
          <w:i/>
          <w:iCs/>
          <w:sz w:val="20"/>
          <w:szCs w:val="20"/>
          <w:lang w:val="en-US"/>
        </w:rPr>
        <w:t>Catalysis Science and Technology</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2018</w:t>
      </w:r>
      <w:r>
        <w:rPr>
          <w:rFonts w:ascii="Times New Roman" w:hAnsi="Times New Roman" w:cs="Times New Roman"/>
          <w:sz w:val="20"/>
          <w:szCs w:val="20"/>
          <w:lang w:val="en-US"/>
        </w:rPr>
        <w:t xml:space="preserve">, </w:t>
      </w:r>
      <w:r w:rsidRPr="00DD53C2">
        <w:rPr>
          <w:rFonts w:ascii="Times New Roman" w:hAnsi="Times New Roman" w:cs="Times New Roman"/>
          <w:i/>
          <w:iCs/>
          <w:sz w:val="20"/>
          <w:szCs w:val="20"/>
          <w:lang w:val="en-US"/>
        </w:rPr>
        <w:t>8</w:t>
      </w:r>
      <w:r>
        <w:rPr>
          <w:rFonts w:ascii="Times New Roman" w:hAnsi="Times New Roman" w:cs="Times New Roman"/>
          <w:sz w:val="20"/>
          <w:szCs w:val="20"/>
          <w:lang w:val="en-US"/>
        </w:rPr>
        <w:t xml:space="preserve">, </w:t>
      </w:r>
      <w:r w:rsidRPr="0000533A">
        <w:rPr>
          <w:rFonts w:ascii="Times New Roman" w:hAnsi="Times New Roman" w:cs="Times New Roman"/>
          <w:sz w:val="20"/>
          <w:szCs w:val="20"/>
          <w:lang w:val="en-US"/>
        </w:rPr>
        <w:t xml:space="preserve">1722–9. </w:t>
      </w:r>
    </w:p>
    <w:p w14:paraId="422E4DCB"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proofErr w:type="gramStart"/>
      <w:r w:rsidRPr="0000533A">
        <w:rPr>
          <w:rFonts w:ascii="Times New Roman" w:hAnsi="Times New Roman" w:cs="Times New Roman"/>
          <w:sz w:val="20"/>
          <w:szCs w:val="20"/>
          <w:lang w:val="en-US"/>
        </w:rPr>
        <w:t>22.</w:t>
      </w:r>
      <w:r w:rsidRPr="0000533A">
        <w:rPr>
          <w:rFonts w:ascii="Times New Roman" w:hAnsi="Times New Roman" w:cs="Times New Roman"/>
          <w:sz w:val="20"/>
          <w:szCs w:val="20"/>
          <w:lang w:val="en-US"/>
        </w:rPr>
        <w:tab/>
      </w:r>
      <w:proofErr w:type="spellStart"/>
      <w:r w:rsidRPr="0000533A">
        <w:rPr>
          <w:rFonts w:ascii="Times New Roman" w:hAnsi="Times New Roman" w:cs="Times New Roman"/>
          <w:sz w:val="20"/>
          <w:szCs w:val="20"/>
          <w:lang w:val="en-US"/>
        </w:rPr>
        <w:t>T.L.Jordison</w:t>
      </w:r>
      <w:proofErr w:type="spellEnd"/>
      <w:proofErr w:type="gramEnd"/>
      <w:r w:rsidRPr="0000533A">
        <w:rPr>
          <w:rFonts w:ascii="Times New Roman" w:hAnsi="Times New Roman" w:cs="Times New Roman"/>
          <w:sz w:val="20"/>
          <w:szCs w:val="20"/>
          <w:lang w:val="en-US"/>
        </w:rPr>
        <w:t xml:space="preserve">; C.T. Lira; D.J. Miller, </w:t>
      </w:r>
      <w:r w:rsidRPr="0000533A">
        <w:rPr>
          <w:rFonts w:ascii="Times New Roman" w:hAnsi="Times New Roman" w:cs="Times New Roman"/>
          <w:i/>
          <w:iCs/>
          <w:sz w:val="20"/>
          <w:szCs w:val="20"/>
          <w:lang w:val="en-US"/>
        </w:rPr>
        <w:t>Industrial and Engineering Chemistry Research</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2015</w:t>
      </w:r>
      <w:r>
        <w:rPr>
          <w:rFonts w:ascii="Times New Roman" w:hAnsi="Times New Roman" w:cs="Times New Roman"/>
          <w:sz w:val="20"/>
          <w:szCs w:val="20"/>
          <w:lang w:val="en-US"/>
        </w:rPr>
        <w:t xml:space="preserve">, </w:t>
      </w:r>
      <w:r w:rsidRPr="00DD53C2">
        <w:rPr>
          <w:rFonts w:ascii="Times New Roman" w:hAnsi="Times New Roman" w:cs="Times New Roman"/>
          <w:i/>
          <w:iCs/>
          <w:sz w:val="20"/>
          <w:szCs w:val="20"/>
          <w:lang w:val="en-US"/>
        </w:rPr>
        <w:t>54</w:t>
      </w:r>
      <w:r>
        <w:rPr>
          <w:rFonts w:ascii="Times New Roman" w:hAnsi="Times New Roman" w:cs="Times New Roman"/>
          <w:sz w:val="20"/>
          <w:szCs w:val="20"/>
          <w:lang w:val="en-US"/>
        </w:rPr>
        <w:t xml:space="preserve">, </w:t>
      </w:r>
      <w:r w:rsidRPr="0000533A">
        <w:rPr>
          <w:rFonts w:ascii="Times New Roman" w:hAnsi="Times New Roman" w:cs="Times New Roman"/>
          <w:sz w:val="20"/>
          <w:szCs w:val="20"/>
          <w:lang w:val="en-US"/>
        </w:rPr>
        <w:t xml:space="preserve">10991–1000. </w:t>
      </w:r>
    </w:p>
    <w:p w14:paraId="056B3872"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23.</w:t>
      </w:r>
      <w:r w:rsidRPr="0000533A">
        <w:rPr>
          <w:rFonts w:ascii="Times New Roman" w:hAnsi="Times New Roman" w:cs="Times New Roman"/>
          <w:sz w:val="20"/>
          <w:szCs w:val="20"/>
          <w:lang w:val="en-US"/>
        </w:rPr>
        <w:tab/>
        <w:t xml:space="preserve">S. Ogo; A. Onda; K. Yanagisawa, </w:t>
      </w:r>
      <w:r w:rsidRPr="0000533A">
        <w:rPr>
          <w:rFonts w:ascii="Times New Roman" w:hAnsi="Times New Roman" w:cs="Times New Roman"/>
          <w:i/>
          <w:iCs/>
          <w:sz w:val="20"/>
          <w:szCs w:val="20"/>
          <w:lang w:val="en-US"/>
        </w:rPr>
        <w:t>Applied Catalysis A: General</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2011</w:t>
      </w:r>
      <w:r>
        <w:rPr>
          <w:rFonts w:ascii="Times New Roman" w:hAnsi="Times New Roman" w:cs="Times New Roman"/>
          <w:sz w:val="20"/>
          <w:szCs w:val="20"/>
          <w:lang w:val="en-US"/>
        </w:rPr>
        <w:t xml:space="preserve">, </w:t>
      </w:r>
      <w:r w:rsidRPr="00DD53C2">
        <w:rPr>
          <w:rFonts w:ascii="Times New Roman" w:hAnsi="Times New Roman" w:cs="Times New Roman"/>
          <w:i/>
          <w:iCs/>
          <w:sz w:val="20"/>
          <w:szCs w:val="20"/>
          <w:lang w:val="en-US"/>
        </w:rPr>
        <w:t>402</w:t>
      </w:r>
      <w:r>
        <w:rPr>
          <w:rFonts w:ascii="Times New Roman" w:hAnsi="Times New Roman" w:cs="Times New Roman"/>
          <w:sz w:val="20"/>
          <w:szCs w:val="20"/>
          <w:lang w:val="en-US"/>
        </w:rPr>
        <w:t>,</w:t>
      </w:r>
      <w:r w:rsidRPr="0000533A">
        <w:rPr>
          <w:rFonts w:ascii="Times New Roman" w:hAnsi="Times New Roman" w:cs="Times New Roman"/>
          <w:sz w:val="20"/>
          <w:szCs w:val="20"/>
          <w:lang w:val="en-US"/>
        </w:rPr>
        <w:t xml:space="preserve">188–95. </w:t>
      </w:r>
    </w:p>
    <w:p w14:paraId="7D611CC4" w14:textId="77777777" w:rsidR="00A93292" w:rsidRPr="0000533A" w:rsidRDefault="00A93292" w:rsidP="00A93292">
      <w:pPr>
        <w:pStyle w:val="Bibliography"/>
        <w:spacing w:after="0" w:line="240" w:lineRule="exact"/>
        <w:jc w:val="both"/>
        <w:rPr>
          <w:rFonts w:ascii="Times New Roman" w:hAnsi="Times New Roman" w:cs="Times New Roman"/>
          <w:sz w:val="20"/>
          <w:szCs w:val="20"/>
          <w:lang w:val="en-US"/>
        </w:rPr>
      </w:pPr>
      <w:r w:rsidRPr="0000533A">
        <w:rPr>
          <w:rFonts w:ascii="Times New Roman" w:hAnsi="Times New Roman" w:cs="Times New Roman"/>
          <w:sz w:val="20"/>
          <w:szCs w:val="20"/>
          <w:lang w:val="en-US"/>
        </w:rPr>
        <w:t>24.</w:t>
      </w:r>
      <w:r w:rsidRPr="0000533A">
        <w:rPr>
          <w:rFonts w:ascii="Times New Roman" w:hAnsi="Times New Roman" w:cs="Times New Roman"/>
          <w:sz w:val="20"/>
          <w:szCs w:val="20"/>
          <w:lang w:val="en-US"/>
        </w:rPr>
        <w:tab/>
        <w:t xml:space="preserve">S. Hanspal; Z.D. Young; J.T. Prillaman; R.J. Davis, </w:t>
      </w:r>
      <w:r w:rsidRPr="0000533A">
        <w:rPr>
          <w:rFonts w:ascii="Times New Roman" w:hAnsi="Times New Roman" w:cs="Times New Roman"/>
          <w:i/>
          <w:iCs/>
          <w:sz w:val="20"/>
          <w:szCs w:val="20"/>
          <w:lang w:val="en-US"/>
        </w:rPr>
        <w:t>Journal of Catalysis</w:t>
      </w:r>
      <w:r w:rsidRPr="0000533A">
        <w:rPr>
          <w:rFonts w:ascii="Times New Roman" w:hAnsi="Times New Roman" w:cs="Times New Roman"/>
          <w:sz w:val="20"/>
          <w:szCs w:val="20"/>
          <w:lang w:val="en-US"/>
        </w:rPr>
        <w:t xml:space="preserve">. </w:t>
      </w:r>
      <w:r w:rsidRPr="0000533A">
        <w:rPr>
          <w:rFonts w:ascii="Times New Roman" w:hAnsi="Times New Roman" w:cs="Times New Roman"/>
          <w:b/>
          <w:bCs/>
          <w:sz w:val="20"/>
          <w:szCs w:val="20"/>
          <w:lang w:val="en-US"/>
        </w:rPr>
        <w:t>2017</w:t>
      </w:r>
      <w:r>
        <w:rPr>
          <w:rFonts w:ascii="Times New Roman" w:hAnsi="Times New Roman" w:cs="Times New Roman"/>
          <w:sz w:val="20"/>
          <w:szCs w:val="20"/>
          <w:lang w:val="en-US"/>
        </w:rPr>
        <w:t xml:space="preserve">, </w:t>
      </w:r>
      <w:r w:rsidRPr="00DD53C2">
        <w:rPr>
          <w:rFonts w:ascii="Times New Roman" w:hAnsi="Times New Roman" w:cs="Times New Roman"/>
          <w:i/>
          <w:iCs/>
          <w:sz w:val="20"/>
          <w:szCs w:val="20"/>
          <w:lang w:val="en-US"/>
        </w:rPr>
        <w:t>352</w:t>
      </w:r>
      <w:r>
        <w:rPr>
          <w:rFonts w:ascii="Times New Roman" w:hAnsi="Times New Roman" w:cs="Times New Roman"/>
          <w:sz w:val="20"/>
          <w:szCs w:val="20"/>
          <w:lang w:val="en-US"/>
        </w:rPr>
        <w:t xml:space="preserve">, </w:t>
      </w:r>
      <w:r w:rsidRPr="0000533A">
        <w:rPr>
          <w:rFonts w:ascii="Times New Roman" w:hAnsi="Times New Roman" w:cs="Times New Roman"/>
          <w:sz w:val="20"/>
          <w:szCs w:val="20"/>
          <w:lang w:val="en-US"/>
        </w:rPr>
        <w:t xml:space="preserve">182–90. </w:t>
      </w:r>
    </w:p>
    <w:p w14:paraId="5A9DE0DD" w14:textId="77777777" w:rsidR="00A93292" w:rsidRPr="00A93292" w:rsidRDefault="00A93292" w:rsidP="00A93292"/>
    <w:p w14:paraId="50DE5EE4" w14:textId="77777777" w:rsidR="0012137E" w:rsidRPr="00C534B5" w:rsidRDefault="0012137E" w:rsidP="00DD197A">
      <w:pPr>
        <w:pStyle w:val="Referencias"/>
        <w:numPr>
          <w:ilvl w:val="0"/>
          <w:numId w:val="0"/>
        </w:numPr>
        <w:ind w:left="360"/>
      </w:pPr>
    </w:p>
    <w:p w14:paraId="58716424" w14:textId="65E32866" w:rsidR="007B4B2B" w:rsidRPr="003528A7" w:rsidRDefault="007B4B2B" w:rsidP="00DD197A">
      <w:pPr>
        <w:pStyle w:val="Bibliography"/>
        <w:spacing w:after="0" w:line="240" w:lineRule="exact"/>
        <w:jc w:val="both"/>
      </w:pPr>
    </w:p>
    <w:sectPr w:rsidR="007B4B2B" w:rsidRPr="003528A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D35A" w14:textId="77777777" w:rsidR="00DF52D9" w:rsidRDefault="00DF52D9" w:rsidP="00EA4E1B">
      <w:pPr>
        <w:spacing w:after="0" w:line="240" w:lineRule="auto"/>
      </w:pPr>
      <w:r>
        <w:separator/>
      </w:r>
    </w:p>
  </w:endnote>
  <w:endnote w:type="continuationSeparator" w:id="0">
    <w:p w14:paraId="35D00A84" w14:textId="77777777" w:rsidR="00DF52D9" w:rsidRDefault="00DF52D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A0A4" w14:textId="77777777" w:rsidR="00DF52D9" w:rsidRDefault="00DF52D9" w:rsidP="00EA4E1B">
      <w:pPr>
        <w:spacing w:after="0" w:line="240" w:lineRule="auto"/>
      </w:pPr>
      <w:r>
        <w:separator/>
      </w:r>
    </w:p>
  </w:footnote>
  <w:footnote w:type="continuationSeparator" w:id="0">
    <w:p w14:paraId="320AA8B2" w14:textId="77777777" w:rsidR="00DF52D9" w:rsidRDefault="00DF52D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3" name="Picture 13"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848EE3FE"/>
    <w:lvl w:ilvl="0">
      <w:start w:val="1"/>
      <w:numFmt w:val="decimal"/>
      <w:pStyle w:val="Referencias"/>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578B"/>
    <w:rsid w:val="00034327"/>
    <w:rsid w:val="0004151A"/>
    <w:rsid w:val="00061A72"/>
    <w:rsid w:val="000740C0"/>
    <w:rsid w:val="0008322C"/>
    <w:rsid w:val="000866C8"/>
    <w:rsid w:val="00097105"/>
    <w:rsid w:val="000A48B6"/>
    <w:rsid w:val="000B0954"/>
    <w:rsid w:val="000B186D"/>
    <w:rsid w:val="000C2EB6"/>
    <w:rsid w:val="000F1376"/>
    <w:rsid w:val="000F1D24"/>
    <w:rsid w:val="000F3C3B"/>
    <w:rsid w:val="00101156"/>
    <w:rsid w:val="001147AB"/>
    <w:rsid w:val="0012137E"/>
    <w:rsid w:val="001240CC"/>
    <w:rsid w:val="00136B47"/>
    <w:rsid w:val="00184859"/>
    <w:rsid w:val="001866E1"/>
    <w:rsid w:val="001A074C"/>
    <w:rsid w:val="001B3F5B"/>
    <w:rsid w:val="001D3D5C"/>
    <w:rsid w:val="001E3EB2"/>
    <w:rsid w:val="001E58A9"/>
    <w:rsid w:val="001E5D15"/>
    <w:rsid w:val="001E78B1"/>
    <w:rsid w:val="001F25B2"/>
    <w:rsid w:val="002114C5"/>
    <w:rsid w:val="0021373A"/>
    <w:rsid w:val="00222230"/>
    <w:rsid w:val="002259BF"/>
    <w:rsid w:val="002324FA"/>
    <w:rsid w:val="00232FA2"/>
    <w:rsid w:val="002D6A1F"/>
    <w:rsid w:val="002E6275"/>
    <w:rsid w:val="00305450"/>
    <w:rsid w:val="00322B2A"/>
    <w:rsid w:val="00322E7F"/>
    <w:rsid w:val="00340B1E"/>
    <w:rsid w:val="003528A7"/>
    <w:rsid w:val="00370282"/>
    <w:rsid w:val="00382006"/>
    <w:rsid w:val="00392683"/>
    <w:rsid w:val="00392982"/>
    <w:rsid w:val="00394DA7"/>
    <w:rsid w:val="003A1F4E"/>
    <w:rsid w:val="003B2C7C"/>
    <w:rsid w:val="00402F3E"/>
    <w:rsid w:val="0040656F"/>
    <w:rsid w:val="00410DF2"/>
    <w:rsid w:val="00422F86"/>
    <w:rsid w:val="00432195"/>
    <w:rsid w:val="00433E2C"/>
    <w:rsid w:val="004642A7"/>
    <w:rsid w:val="004C5625"/>
    <w:rsid w:val="004E4CB8"/>
    <w:rsid w:val="004F3F42"/>
    <w:rsid w:val="00505561"/>
    <w:rsid w:val="0052112E"/>
    <w:rsid w:val="00552939"/>
    <w:rsid w:val="00562860"/>
    <w:rsid w:val="00565EC1"/>
    <w:rsid w:val="005A3BC2"/>
    <w:rsid w:val="005C2775"/>
    <w:rsid w:val="005C3BDC"/>
    <w:rsid w:val="005C4DF2"/>
    <w:rsid w:val="005D65EB"/>
    <w:rsid w:val="00604718"/>
    <w:rsid w:val="00605DB2"/>
    <w:rsid w:val="00620A8C"/>
    <w:rsid w:val="00622B93"/>
    <w:rsid w:val="00650121"/>
    <w:rsid w:val="00652815"/>
    <w:rsid w:val="00654451"/>
    <w:rsid w:val="0065578B"/>
    <w:rsid w:val="00683EE0"/>
    <w:rsid w:val="006A2256"/>
    <w:rsid w:val="006B381F"/>
    <w:rsid w:val="006F483D"/>
    <w:rsid w:val="006F599B"/>
    <w:rsid w:val="00710ED3"/>
    <w:rsid w:val="007123C4"/>
    <w:rsid w:val="00717AF5"/>
    <w:rsid w:val="00720F39"/>
    <w:rsid w:val="00732B10"/>
    <w:rsid w:val="0074228F"/>
    <w:rsid w:val="007670A0"/>
    <w:rsid w:val="00781685"/>
    <w:rsid w:val="00783D57"/>
    <w:rsid w:val="00795470"/>
    <w:rsid w:val="007A7BB2"/>
    <w:rsid w:val="007B4B2B"/>
    <w:rsid w:val="007C4102"/>
    <w:rsid w:val="00866822"/>
    <w:rsid w:val="00876408"/>
    <w:rsid w:val="008B1683"/>
    <w:rsid w:val="008C1B30"/>
    <w:rsid w:val="008D65BE"/>
    <w:rsid w:val="008F2B60"/>
    <w:rsid w:val="008F4990"/>
    <w:rsid w:val="00902F3D"/>
    <w:rsid w:val="00906E1E"/>
    <w:rsid w:val="009074A0"/>
    <w:rsid w:val="009134AA"/>
    <w:rsid w:val="00920334"/>
    <w:rsid w:val="00921AB1"/>
    <w:rsid w:val="0093213D"/>
    <w:rsid w:val="0095199B"/>
    <w:rsid w:val="009656D9"/>
    <w:rsid w:val="0099062A"/>
    <w:rsid w:val="009A1299"/>
    <w:rsid w:val="009A1334"/>
    <w:rsid w:val="009B5A62"/>
    <w:rsid w:val="009C7CB0"/>
    <w:rsid w:val="00A17D85"/>
    <w:rsid w:val="00A34B25"/>
    <w:rsid w:val="00A34E6B"/>
    <w:rsid w:val="00A4122D"/>
    <w:rsid w:val="00A620FB"/>
    <w:rsid w:val="00A87CE8"/>
    <w:rsid w:val="00A93292"/>
    <w:rsid w:val="00AA182E"/>
    <w:rsid w:val="00AD3F1E"/>
    <w:rsid w:val="00AF0400"/>
    <w:rsid w:val="00B14A05"/>
    <w:rsid w:val="00B30AEB"/>
    <w:rsid w:val="00B3682E"/>
    <w:rsid w:val="00B62729"/>
    <w:rsid w:val="00B82126"/>
    <w:rsid w:val="00B83340"/>
    <w:rsid w:val="00B95B57"/>
    <w:rsid w:val="00BA6A6E"/>
    <w:rsid w:val="00BC57EF"/>
    <w:rsid w:val="00BD5B77"/>
    <w:rsid w:val="00BE6289"/>
    <w:rsid w:val="00C353C7"/>
    <w:rsid w:val="00C3585B"/>
    <w:rsid w:val="00C451BA"/>
    <w:rsid w:val="00C534B5"/>
    <w:rsid w:val="00C625BE"/>
    <w:rsid w:val="00C70B64"/>
    <w:rsid w:val="00C76E54"/>
    <w:rsid w:val="00CB2C54"/>
    <w:rsid w:val="00CD5684"/>
    <w:rsid w:val="00CD730B"/>
    <w:rsid w:val="00D15C64"/>
    <w:rsid w:val="00D2003E"/>
    <w:rsid w:val="00D31809"/>
    <w:rsid w:val="00D36B6F"/>
    <w:rsid w:val="00D5635E"/>
    <w:rsid w:val="00D818D3"/>
    <w:rsid w:val="00D96135"/>
    <w:rsid w:val="00DA4DC6"/>
    <w:rsid w:val="00DC7279"/>
    <w:rsid w:val="00DD197A"/>
    <w:rsid w:val="00DF1477"/>
    <w:rsid w:val="00DF52D9"/>
    <w:rsid w:val="00E02A21"/>
    <w:rsid w:val="00E038AF"/>
    <w:rsid w:val="00E37C32"/>
    <w:rsid w:val="00E5052E"/>
    <w:rsid w:val="00E5421C"/>
    <w:rsid w:val="00E64D7D"/>
    <w:rsid w:val="00E92C87"/>
    <w:rsid w:val="00EA4E1B"/>
    <w:rsid w:val="00EC6407"/>
    <w:rsid w:val="00EE48D0"/>
    <w:rsid w:val="00F01599"/>
    <w:rsid w:val="00F15E1B"/>
    <w:rsid w:val="00F2222D"/>
    <w:rsid w:val="00F30661"/>
    <w:rsid w:val="00F360B9"/>
    <w:rsid w:val="00F37243"/>
    <w:rsid w:val="00F70C8B"/>
    <w:rsid w:val="00F73277"/>
    <w:rsid w:val="00F8034D"/>
    <w:rsid w:val="00F8292B"/>
    <w:rsid w:val="00F917DA"/>
    <w:rsid w:val="00F91B8D"/>
    <w:rsid w:val="00FA564B"/>
    <w:rsid w:val="00FC10E9"/>
    <w:rsid w:val="00FD2593"/>
    <w:rsid w:val="00FE2FFA"/>
    <w:rsid w:val="00FE582B"/>
    <w:rsid w:val="00FF1E4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link w:val="TAMainTextChar"/>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link w:val="VAFigureCaptionChar"/>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paragraph" w:customStyle="1" w:styleId="Style1">
    <w:name w:val="Style1"/>
    <w:basedOn w:val="TAMainText"/>
    <w:link w:val="Style1Char"/>
    <w:rsid w:val="00432195"/>
    <w:rPr>
      <w:rFonts w:ascii="Times New Roman" w:hAnsi="Times New Roman"/>
      <w:lang w:val="pt-BR"/>
    </w:rPr>
  </w:style>
  <w:style w:type="paragraph" w:customStyle="1" w:styleId="Style2">
    <w:name w:val="Style2"/>
    <w:basedOn w:val="TAMainText"/>
    <w:link w:val="Style2Char"/>
    <w:rsid w:val="00432195"/>
    <w:rPr>
      <w:rFonts w:ascii="Times New Roman" w:hAnsi="Times New Roman"/>
      <w:lang w:val="pt-BR"/>
    </w:rPr>
  </w:style>
  <w:style w:type="character" w:customStyle="1" w:styleId="TAMainTextChar">
    <w:name w:val="TA_Main_Text Char"/>
    <w:basedOn w:val="DefaultParagraphFont"/>
    <w:link w:val="TAMainText"/>
    <w:rsid w:val="00432195"/>
    <w:rPr>
      <w:rFonts w:ascii="Times" w:eastAsia="Times New Roman" w:hAnsi="Times" w:cs="Times New Roman"/>
      <w:sz w:val="20"/>
      <w:szCs w:val="20"/>
      <w:lang w:val="en-US" w:eastAsia="pt-BR"/>
    </w:rPr>
  </w:style>
  <w:style w:type="character" w:customStyle="1" w:styleId="Style1Char">
    <w:name w:val="Style1 Char"/>
    <w:basedOn w:val="TAMainTextChar"/>
    <w:link w:val="Style1"/>
    <w:rsid w:val="00432195"/>
    <w:rPr>
      <w:rFonts w:ascii="Times New Roman" w:eastAsia="Times New Roman" w:hAnsi="Times New Roman" w:cs="Times New Roman"/>
      <w:sz w:val="20"/>
      <w:szCs w:val="20"/>
      <w:lang w:val="en-US" w:eastAsia="pt-BR"/>
    </w:rPr>
  </w:style>
  <w:style w:type="paragraph" w:customStyle="1" w:styleId="CBCat">
    <w:name w:val="CBCat"/>
    <w:basedOn w:val="TAMainText"/>
    <w:link w:val="CBCatChar"/>
    <w:qFormat/>
    <w:rsid w:val="00432195"/>
    <w:rPr>
      <w:rFonts w:ascii="Times New Roman" w:hAnsi="Times New Roman"/>
      <w:lang w:val="pt-BR"/>
    </w:rPr>
  </w:style>
  <w:style w:type="character" w:customStyle="1" w:styleId="Style2Char">
    <w:name w:val="Style2 Char"/>
    <w:basedOn w:val="TAMainTextChar"/>
    <w:link w:val="Style2"/>
    <w:rsid w:val="00432195"/>
    <w:rPr>
      <w:rFonts w:ascii="Times New Roman" w:eastAsia="Times New Roman" w:hAnsi="Times New Roman" w:cs="Times New Roman"/>
      <w:sz w:val="20"/>
      <w:szCs w:val="20"/>
      <w:lang w:val="en-US" w:eastAsia="pt-BR"/>
    </w:rPr>
  </w:style>
  <w:style w:type="character" w:customStyle="1" w:styleId="CBCatChar">
    <w:name w:val="CBCat Char"/>
    <w:basedOn w:val="TAMainTextChar"/>
    <w:link w:val="CBCat"/>
    <w:rsid w:val="00432195"/>
    <w:rPr>
      <w:rFonts w:ascii="Times New Roman" w:eastAsia="Times New Roman" w:hAnsi="Times New Roman" w:cs="Times New Roman"/>
      <w:sz w:val="20"/>
      <w:szCs w:val="20"/>
      <w:lang w:val="en-US" w:eastAsia="pt-BR"/>
    </w:rPr>
  </w:style>
  <w:style w:type="character" w:styleId="CommentReference">
    <w:name w:val="annotation reference"/>
    <w:basedOn w:val="DefaultParagraphFont"/>
    <w:uiPriority w:val="99"/>
    <w:semiHidden/>
    <w:unhideWhenUsed/>
    <w:rsid w:val="003A1F4E"/>
    <w:rPr>
      <w:sz w:val="16"/>
      <w:szCs w:val="16"/>
    </w:rPr>
  </w:style>
  <w:style w:type="paragraph" w:styleId="CommentText">
    <w:name w:val="annotation text"/>
    <w:basedOn w:val="Normal"/>
    <w:link w:val="CommentTextChar"/>
    <w:uiPriority w:val="99"/>
    <w:semiHidden/>
    <w:unhideWhenUsed/>
    <w:rsid w:val="003A1F4E"/>
    <w:pPr>
      <w:spacing w:line="240" w:lineRule="auto"/>
    </w:pPr>
    <w:rPr>
      <w:sz w:val="20"/>
      <w:szCs w:val="20"/>
    </w:rPr>
  </w:style>
  <w:style w:type="character" w:customStyle="1" w:styleId="CommentTextChar">
    <w:name w:val="Comment Text Char"/>
    <w:basedOn w:val="DefaultParagraphFont"/>
    <w:link w:val="CommentText"/>
    <w:uiPriority w:val="99"/>
    <w:semiHidden/>
    <w:rsid w:val="003A1F4E"/>
    <w:rPr>
      <w:sz w:val="20"/>
      <w:szCs w:val="20"/>
    </w:rPr>
  </w:style>
  <w:style w:type="paragraph" w:styleId="CommentSubject">
    <w:name w:val="annotation subject"/>
    <w:basedOn w:val="CommentText"/>
    <w:next w:val="CommentText"/>
    <w:link w:val="CommentSubjectChar"/>
    <w:uiPriority w:val="99"/>
    <w:semiHidden/>
    <w:unhideWhenUsed/>
    <w:rsid w:val="003A1F4E"/>
    <w:rPr>
      <w:b/>
      <w:bCs/>
    </w:rPr>
  </w:style>
  <w:style w:type="character" w:customStyle="1" w:styleId="CommentSubjectChar">
    <w:name w:val="Comment Subject Char"/>
    <w:basedOn w:val="CommentTextChar"/>
    <w:link w:val="CommentSubject"/>
    <w:uiPriority w:val="99"/>
    <w:semiHidden/>
    <w:rsid w:val="003A1F4E"/>
    <w:rPr>
      <w:b/>
      <w:bCs/>
      <w:sz w:val="20"/>
      <w:szCs w:val="20"/>
    </w:rPr>
  </w:style>
  <w:style w:type="paragraph" w:customStyle="1" w:styleId="Figura">
    <w:name w:val="Figura"/>
    <w:basedOn w:val="VAFigureCaption"/>
    <w:link w:val="FiguraChar"/>
    <w:qFormat/>
    <w:rsid w:val="008F4990"/>
    <w:pPr>
      <w:spacing w:before="0"/>
    </w:pPr>
    <w:rPr>
      <w:rFonts w:ascii="Times New Roman" w:hAnsi="Times New Roman"/>
      <w:b/>
      <w:lang w:val="pt-BR"/>
    </w:rPr>
  </w:style>
  <w:style w:type="paragraph" w:customStyle="1" w:styleId="FiguraTtulo">
    <w:name w:val="Figura Título"/>
    <w:basedOn w:val="VAFigureCaption"/>
    <w:link w:val="FiguraTtuloChar"/>
    <w:qFormat/>
    <w:rsid w:val="00732B10"/>
    <w:pPr>
      <w:spacing w:before="0"/>
    </w:pPr>
    <w:rPr>
      <w:rFonts w:ascii="Times New Roman" w:hAnsi="Times New Roman"/>
      <w:lang w:val="pt-BR"/>
    </w:rPr>
  </w:style>
  <w:style w:type="character" w:customStyle="1" w:styleId="VAFigureCaptionChar">
    <w:name w:val="VA_Figure_Caption Char"/>
    <w:basedOn w:val="DefaultParagraphFont"/>
    <w:link w:val="VAFigureCaption"/>
    <w:rsid w:val="00732B10"/>
    <w:rPr>
      <w:rFonts w:ascii="Times" w:eastAsia="Times New Roman" w:hAnsi="Times" w:cs="Times New Roman"/>
      <w:sz w:val="18"/>
      <w:szCs w:val="20"/>
      <w:lang w:val="en-US" w:eastAsia="pt-BR"/>
    </w:rPr>
  </w:style>
  <w:style w:type="character" w:customStyle="1" w:styleId="FiguraChar">
    <w:name w:val="Figura Char"/>
    <w:basedOn w:val="VAFigureCaptionChar"/>
    <w:link w:val="Figura"/>
    <w:rsid w:val="008F4990"/>
    <w:rPr>
      <w:rFonts w:ascii="Times New Roman" w:eastAsia="Times New Roman" w:hAnsi="Times New Roman" w:cs="Times New Roman"/>
      <w:b/>
      <w:sz w:val="18"/>
      <w:szCs w:val="20"/>
      <w:lang w:val="en-US" w:eastAsia="pt-BR"/>
    </w:rPr>
  </w:style>
  <w:style w:type="paragraph" w:customStyle="1" w:styleId="Referencias">
    <w:name w:val="Referencias"/>
    <w:basedOn w:val="TAMainText"/>
    <w:link w:val="ReferenciasChar"/>
    <w:qFormat/>
    <w:rsid w:val="0012137E"/>
    <w:pPr>
      <w:numPr>
        <w:numId w:val="1"/>
      </w:numPr>
    </w:pPr>
    <w:rPr>
      <w:rFonts w:ascii="Times New Roman" w:hAnsi="Times New Roman"/>
      <w:lang w:val="pt-BR"/>
    </w:rPr>
  </w:style>
  <w:style w:type="character" w:customStyle="1" w:styleId="FiguraTtuloChar">
    <w:name w:val="Figura Título Char"/>
    <w:basedOn w:val="VAFigureCaptionChar"/>
    <w:link w:val="FiguraTtulo"/>
    <w:rsid w:val="00732B10"/>
    <w:rPr>
      <w:rFonts w:ascii="Times New Roman" w:eastAsia="Times New Roman" w:hAnsi="Times New Roman" w:cs="Times New Roman"/>
      <w:sz w:val="18"/>
      <w:szCs w:val="20"/>
      <w:lang w:val="en-US" w:eastAsia="pt-BR"/>
    </w:rPr>
  </w:style>
  <w:style w:type="character" w:customStyle="1" w:styleId="ReferenciasChar">
    <w:name w:val="Referencias Char"/>
    <w:basedOn w:val="TAMainTextChar"/>
    <w:link w:val="Referencias"/>
    <w:rsid w:val="0012137E"/>
    <w:rPr>
      <w:rFonts w:ascii="Times New Roman" w:eastAsia="Times New Roman" w:hAnsi="Times New Roman" w:cs="Times New Roman"/>
      <w:sz w:val="20"/>
      <w:szCs w:val="20"/>
      <w:lang w:val="en-US" w:eastAsia="pt-BR"/>
    </w:rPr>
  </w:style>
  <w:style w:type="paragraph" w:styleId="Bibliography">
    <w:name w:val="Bibliography"/>
    <w:basedOn w:val="Normal"/>
    <w:next w:val="Normal"/>
    <w:uiPriority w:val="37"/>
    <w:unhideWhenUsed/>
    <w:rsid w:val="001147AB"/>
    <w:pPr>
      <w:tabs>
        <w:tab w:val="left" w:pos="384"/>
      </w:tabs>
      <w:spacing w:after="240" w:line="240" w:lineRule="auto"/>
      <w:ind w:left="384" w:hanging="384"/>
    </w:pPr>
  </w:style>
  <w:style w:type="character" w:styleId="Hyperlink">
    <w:name w:val="Hyperlink"/>
    <w:basedOn w:val="DefaultParagraphFont"/>
    <w:uiPriority w:val="99"/>
    <w:unhideWhenUsed/>
    <w:rsid w:val="001147AB"/>
    <w:rPr>
      <w:color w:val="0563C1" w:themeColor="hyperlink"/>
      <w:u w:val="single"/>
    </w:rPr>
  </w:style>
  <w:style w:type="character" w:styleId="UnresolvedMention">
    <w:name w:val="Unresolved Mention"/>
    <w:basedOn w:val="DefaultParagraphFont"/>
    <w:uiPriority w:val="99"/>
    <w:semiHidden/>
    <w:unhideWhenUsed/>
    <w:rsid w:val="001147AB"/>
    <w:rPr>
      <w:color w:val="605E5C"/>
      <w:shd w:val="clear" w:color="auto" w:fill="E1DFDD"/>
    </w:rPr>
  </w:style>
  <w:style w:type="paragraph" w:styleId="Revision">
    <w:name w:val="Revision"/>
    <w:hidden/>
    <w:uiPriority w:val="99"/>
    <w:semiHidden/>
    <w:rsid w:val="00083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G:\Other%20computers\My%20Computer\UNICAMP\Mestrado\HAP\BET\BET-HAP-KA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Other%20computers\My%20Computer\UNICAMP\Doutorado\Congressos\2023%20CBCat\Tratamento_dados_EtanolCBCa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Other%20computers\My%20Computer\UNICAMP\Doutorado\Congressos\2023%20CBCat\Tratamento_dados_EtanolCBCat_rev%200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11577181208053"/>
          <c:y val="7.6896190143306536E-2"/>
          <c:w val="0.76723927231411515"/>
          <c:h val="0.66163364497298727"/>
        </c:manualLayout>
      </c:layout>
      <c:scatterChart>
        <c:scatterStyle val="smoothMarker"/>
        <c:varyColors val="0"/>
        <c:ser>
          <c:idx val="0"/>
          <c:order val="0"/>
          <c:tx>
            <c:v>Adsorção</c:v>
          </c:tx>
          <c:spPr>
            <a:ln w="3175" cap="rnd">
              <a:solidFill>
                <a:schemeClr val="accent1"/>
              </a:solidFill>
              <a:round/>
            </a:ln>
            <a:effectLst/>
          </c:spPr>
          <c:marker>
            <c:symbol val="square"/>
            <c:size val="5"/>
            <c:spPr>
              <a:solidFill>
                <a:schemeClr val="accent1"/>
              </a:solidFill>
              <a:ln w="3175">
                <a:solidFill>
                  <a:schemeClr val="accent1"/>
                </a:solidFill>
              </a:ln>
              <a:effectLst/>
            </c:spPr>
          </c:marker>
          <c:xVal>
            <c:numRef>
              <c:f>'HAP-KAT'!$L$29:$L$60</c:f>
              <c:numCache>
                <c:formatCode>General</c:formatCode>
                <c:ptCount val="32"/>
                <c:pt idx="0">
                  <c:v>9.8716031861928091E-3</c:v>
                </c:pt>
                <c:pt idx="1">
                  <c:v>3.2460391679100399E-2</c:v>
                </c:pt>
                <c:pt idx="2">
                  <c:v>6.7711880720541726E-2</c:v>
                </c:pt>
                <c:pt idx="3">
                  <c:v>8.00660277168187E-2</c:v>
                </c:pt>
                <c:pt idx="4">
                  <c:v>0.10025697740343911</c:v>
                </c:pt>
                <c:pt idx="5">
                  <c:v>0.12029103671787295</c:v>
                </c:pt>
                <c:pt idx="6">
                  <c:v>0.14025280359509376</c:v>
                </c:pt>
                <c:pt idx="7">
                  <c:v>0.15985350365000556</c:v>
                </c:pt>
                <c:pt idx="8">
                  <c:v>0.18026219900654059</c:v>
                </c:pt>
                <c:pt idx="9">
                  <c:v>0.19983112124760766</c:v>
                </c:pt>
                <c:pt idx="10">
                  <c:v>0.24970230747195707</c:v>
                </c:pt>
                <c:pt idx="11">
                  <c:v>0.30044862617363144</c:v>
                </c:pt>
                <c:pt idx="12">
                  <c:v>0.3504673100181645</c:v>
                </c:pt>
                <c:pt idx="13">
                  <c:v>0.40010425305408215</c:v>
                </c:pt>
                <c:pt idx="14">
                  <c:v>0.44994362194418636</c:v>
                </c:pt>
                <c:pt idx="15">
                  <c:v>0.49977003838672956</c:v>
                </c:pt>
                <c:pt idx="16">
                  <c:v>0.54985306449724369</c:v>
                </c:pt>
                <c:pt idx="17">
                  <c:v>0.59969121704267792</c:v>
                </c:pt>
                <c:pt idx="18">
                  <c:v>0.64958803147731936</c:v>
                </c:pt>
                <c:pt idx="19">
                  <c:v>0.69961163196666998</c:v>
                </c:pt>
                <c:pt idx="20">
                  <c:v>0.74949170375136975</c:v>
                </c:pt>
                <c:pt idx="21">
                  <c:v>0.79915486844956174</c:v>
                </c:pt>
                <c:pt idx="22">
                  <c:v>0.81988957311220334</c:v>
                </c:pt>
                <c:pt idx="23">
                  <c:v>0.84934061304694686</c:v>
                </c:pt>
                <c:pt idx="24">
                  <c:v>0.87413670619001949</c:v>
                </c:pt>
                <c:pt idx="25">
                  <c:v>0.89883776530544124</c:v>
                </c:pt>
                <c:pt idx="26">
                  <c:v>0.92286178093264104</c:v>
                </c:pt>
                <c:pt idx="27">
                  <c:v>0.94518169221075965</c:v>
                </c:pt>
                <c:pt idx="28">
                  <c:v>0.96855630525849179</c:v>
                </c:pt>
                <c:pt idx="29">
                  <c:v>0.97599394836648512</c:v>
                </c:pt>
                <c:pt idx="30">
                  <c:v>0.98478280636658289</c:v>
                </c:pt>
                <c:pt idx="31">
                  <c:v>0.98793826010099373</c:v>
                </c:pt>
              </c:numCache>
            </c:numRef>
          </c:xVal>
          <c:yVal>
            <c:numRef>
              <c:f>'HAP-KAT'!$M$29:$M$60</c:f>
              <c:numCache>
                <c:formatCode>General</c:formatCode>
                <c:ptCount val="32"/>
                <c:pt idx="0">
                  <c:v>4.7971981433418938</c:v>
                </c:pt>
                <c:pt idx="1">
                  <c:v>5.9069310840884404</c:v>
                </c:pt>
                <c:pt idx="2">
                  <c:v>6.7265225201574292</c:v>
                </c:pt>
                <c:pt idx="3">
                  <c:v>6.9458951336857542</c:v>
                </c:pt>
                <c:pt idx="4">
                  <c:v>7.260507645147122</c:v>
                </c:pt>
                <c:pt idx="5">
                  <c:v>7.5432568166921756</c:v>
                </c:pt>
                <c:pt idx="6">
                  <c:v>7.8089750296790461</c:v>
                </c:pt>
                <c:pt idx="7">
                  <c:v>8.0526994299867276</c:v>
                </c:pt>
                <c:pt idx="8">
                  <c:v>8.3024260061696822</c:v>
                </c:pt>
                <c:pt idx="9">
                  <c:v>8.5410011082917929</c:v>
                </c:pt>
                <c:pt idx="10">
                  <c:v>9.1440249365748265</c:v>
                </c:pt>
                <c:pt idx="11">
                  <c:v>9.7500515052454677</c:v>
                </c:pt>
                <c:pt idx="12">
                  <c:v>10.365697189378578</c:v>
                </c:pt>
                <c:pt idx="13">
                  <c:v>10.992261028567743</c:v>
                </c:pt>
                <c:pt idx="14">
                  <c:v>11.645935473050717</c:v>
                </c:pt>
                <c:pt idx="15">
                  <c:v>12.339250429285695</c:v>
                </c:pt>
                <c:pt idx="16">
                  <c:v>13.06158045016261</c:v>
                </c:pt>
                <c:pt idx="17">
                  <c:v>13.855816855927527</c:v>
                </c:pt>
                <c:pt idx="18">
                  <c:v>14.746828898047251</c:v>
                </c:pt>
                <c:pt idx="19">
                  <c:v>15.782016191490628</c:v>
                </c:pt>
                <c:pt idx="20">
                  <c:v>17.037764858595331</c:v>
                </c:pt>
                <c:pt idx="21">
                  <c:v>18.693725761303135</c:v>
                </c:pt>
                <c:pt idx="22">
                  <c:v>19.531506488662576</c:v>
                </c:pt>
                <c:pt idx="23">
                  <c:v>21.018849936851581</c:v>
                </c:pt>
                <c:pt idx="24">
                  <c:v>22.669630830167506</c:v>
                </c:pt>
                <c:pt idx="25">
                  <c:v>24.994190912450247</c:v>
                </c:pt>
                <c:pt idx="26">
                  <c:v>28.763497349514651</c:v>
                </c:pt>
                <c:pt idx="27">
                  <c:v>36.430981916748877</c:v>
                </c:pt>
                <c:pt idx="28">
                  <c:v>65.227930900747211</c:v>
                </c:pt>
                <c:pt idx="29">
                  <c:v>84.96764377781723</c:v>
                </c:pt>
                <c:pt idx="30">
                  <c:v>135.44891635562021</c:v>
                </c:pt>
                <c:pt idx="31">
                  <c:v>180.99627628842623</c:v>
                </c:pt>
              </c:numCache>
            </c:numRef>
          </c:yVal>
          <c:smooth val="1"/>
          <c:extLst>
            <c:ext xmlns:c16="http://schemas.microsoft.com/office/drawing/2014/chart" uri="{C3380CC4-5D6E-409C-BE32-E72D297353CC}">
              <c16:uniqueId val="{00000000-5FE9-4E98-AF4C-B13DAE2C3EB6}"/>
            </c:ext>
          </c:extLst>
        </c:ser>
        <c:ser>
          <c:idx val="1"/>
          <c:order val="1"/>
          <c:tx>
            <c:v>Dessorção</c:v>
          </c:tx>
          <c:spPr>
            <a:ln w="3175" cap="rnd">
              <a:solidFill>
                <a:srgbClr val="C00000"/>
              </a:solidFill>
              <a:round/>
            </a:ln>
            <a:effectLst/>
          </c:spPr>
          <c:marker>
            <c:symbol val="circle"/>
            <c:size val="5"/>
            <c:spPr>
              <a:solidFill>
                <a:srgbClr val="C00000"/>
              </a:solidFill>
              <a:ln w="3175">
                <a:solidFill>
                  <a:srgbClr val="C00000"/>
                </a:solidFill>
              </a:ln>
              <a:effectLst/>
            </c:spPr>
          </c:marker>
          <c:xVal>
            <c:numRef>
              <c:f>'HAP-KAT'!$N$29:$N$52</c:f>
              <c:numCache>
                <c:formatCode>General</c:formatCode>
                <c:ptCount val="24"/>
                <c:pt idx="0">
                  <c:v>0.98793826010099373</c:v>
                </c:pt>
                <c:pt idx="1">
                  <c:v>0.98423394571519163</c:v>
                </c:pt>
                <c:pt idx="2">
                  <c:v>0.9814207549060735</c:v>
                </c:pt>
                <c:pt idx="3">
                  <c:v>0.97889221881685085</c:v>
                </c:pt>
                <c:pt idx="4">
                  <c:v>0.95418744863632854</c:v>
                </c:pt>
                <c:pt idx="5">
                  <c:v>0.92579089669248105</c:v>
                </c:pt>
                <c:pt idx="6">
                  <c:v>0.89741427217710146</c:v>
                </c:pt>
                <c:pt idx="7">
                  <c:v>0.86470245546713798</c:v>
                </c:pt>
                <c:pt idx="8">
                  <c:v>0.83580349844745561</c:v>
                </c:pt>
                <c:pt idx="9">
                  <c:v>0.80945884191262119</c:v>
                </c:pt>
                <c:pt idx="10">
                  <c:v>0.78390025453521017</c:v>
                </c:pt>
                <c:pt idx="11">
                  <c:v>0.75077287800669523</c:v>
                </c:pt>
                <c:pt idx="12">
                  <c:v>0.70098407527256312</c:v>
                </c:pt>
                <c:pt idx="13">
                  <c:v>0.65088616762049234</c:v>
                </c:pt>
                <c:pt idx="14">
                  <c:v>0.60100109262841472</c:v>
                </c:pt>
                <c:pt idx="15">
                  <c:v>0.55117356499565384</c:v>
                </c:pt>
                <c:pt idx="16">
                  <c:v>0.50121690293997578</c:v>
                </c:pt>
                <c:pt idx="17">
                  <c:v>0.45127092494497517</c:v>
                </c:pt>
                <c:pt idx="18">
                  <c:v>0.40136506039078512</c:v>
                </c:pt>
                <c:pt idx="19">
                  <c:v>0.35067825657112162</c:v>
                </c:pt>
                <c:pt idx="20">
                  <c:v>0.30095768525698369</c:v>
                </c:pt>
                <c:pt idx="21">
                  <c:v>0.25094814288654471</c:v>
                </c:pt>
                <c:pt idx="22">
                  <c:v>0.2010382862735817</c:v>
                </c:pt>
                <c:pt idx="23">
                  <c:v>0.14117121295948018</c:v>
                </c:pt>
              </c:numCache>
            </c:numRef>
          </c:xVal>
          <c:yVal>
            <c:numRef>
              <c:f>'HAP-KAT'!$O$29:$O$52</c:f>
              <c:numCache>
                <c:formatCode>General</c:formatCode>
                <c:ptCount val="24"/>
                <c:pt idx="0">
                  <c:v>180.99627628842623</c:v>
                </c:pt>
                <c:pt idx="1">
                  <c:v>173.94583938916756</c:v>
                </c:pt>
                <c:pt idx="2">
                  <c:v>163.08668764636406</c:v>
                </c:pt>
                <c:pt idx="3">
                  <c:v>150.76154300937293</c:v>
                </c:pt>
                <c:pt idx="4">
                  <c:v>63.796186610680671</c:v>
                </c:pt>
                <c:pt idx="5">
                  <c:v>35.334078486681463</c:v>
                </c:pt>
                <c:pt idx="6">
                  <c:v>26.13520859146881</c:v>
                </c:pt>
                <c:pt idx="7">
                  <c:v>22.165806077339827</c:v>
                </c:pt>
                <c:pt idx="8">
                  <c:v>20.143169738219584</c:v>
                </c:pt>
                <c:pt idx="9">
                  <c:v>18.841823743856004</c:v>
                </c:pt>
                <c:pt idx="10">
                  <c:v>17.829250574882572</c:v>
                </c:pt>
                <c:pt idx="11">
                  <c:v>16.73399820554986</c:v>
                </c:pt>
                <c:pt idx="12">
                  <c:v>15.42040410732656</c:v>
                </c:pt>
                <c:pt idx="13">
                  <c:v>14.357741053447977</c:v>
                </c:pt>
                <c:pt idx="14">
                  <c:v>13.45378889666555</c:v>
                </c:pt>
                <c:pt idx="15">
                  <c:v>12.635490300784754</c:v>
                </c:pt>
                <c:pt idx="16">
                  <c:v>11.889242601294049</c:v>
                </c:pt>
                <c:pt idx="17">
                  <c:v>11.143254937402936</c:v>
                </c:pt>
                <c:pt idx="18">
                  <c:v>10.46376785757362</c:v>
                </c:pt>
                <c:pt idx="19">
                  <c:v>9.8238316568836499</c:v>
                </c:pt>
                <c:pt idx="20">
                  <c:v>9.2057403118542531</c:v>
                </c:pt>
                <c:pt idx="21">
                  <c:v>8.5957085590713316</c:v>
                </c:pt>
                <c:pt idx="22">
                  <c:v>7.9986282842359291</c:v>
                </c:pt>
                <c:pt idx="23">
                  <c:v>7.2534123279739022</c:v>
                </c:pt>
              </c:numCache>
            </c:numRef>
          </c:yVal>
          <c:smooth val="1"/>
          <c:extLst>
            <c:ext xmlns:c16="http://schemas.microsoft.com/office/drawing/2014/chart" uri="{C3380CC4-5D6E-409C-BE32-E72D297353CC}">
              <c16:uniqueId val="{00000001-5FE9-4E98-AF4C-B13DAE2C3EB6}"/>
            </c:ext>
          </c:extLst>
        </c:ser>
        <c:dLbls>
          <c:showLegendKey val="0"/>
          <c:showVal val="0"/>
          <c:showCatName val="0"/>
          <c:showSerName val="0"/>
          <c:showPercent val="0"/>
          <c:showBubbleSize val="0"/>
        </c:dLbls>
        <c:axId val="1093375455"/>
        <c:axId val="1094250479"/>
      </c:scatterChart>
      <c:valAx>
        <c:axId val="1093375455"/>
        <c:scaling>
          <c:orientation val="minMax"/>
          <c:max val="1"/>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Pressão relativa (</a:t>
                </a:r>
                <a:r>
                  <a:rPr lang="pt-BR" sz="900"/>
                  <a:t>P/P0</a:t>
                </a:r>
                <a:r>
                  <a:rPr lang="en-US" sz="900"/>
                  <a: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4250479"/>
        <c:crosses val="autoZero"/>
        <c:crossBetween val="midCat"/>
        <c:majorUnit val="0.1"/>
      </c:valAx>
      <c:valAx>
        <c:axId val="1094250479"/>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Quantidade </a:t>
                </a:r>
              </a:p>
              <a:p>
                <a:pPr>
                  <a:defRPr sz="900"/>
                </a:pPr>
                <a:r>
                  <a:rPr lang="en-US" sz="900">
                    <a:solidFill>
                      <a:sysClr val="windowText" lastClr="000000"/>
                    </a:solidFill>
                  </a:rPr>
                  <a:t>adsorvida (u.a.)</a:t>
                </a:r>
              </a:p>
            </c:rich>
          </c:tx>
          <c:layout>
            <c:manualLayout>
              <c:xMode val="edge"/>
              <c:yMode val="edge"/>
              <c:x val="4.2218794588595891E-2"/>
              <c:y val="0.188745193988116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3375455"/>
        <c:crosses val="autoZero"/>
        <c:crossBetween val="midCat"/>
      </c:valAx>
      <c:spPr>
        <a:noFill/>
        <a:ln>
          <a:noFill/>
        </a:ln>
        <a:effectLst/>
      </c:spPr>
    </c:plotArea>
    <c:legend>
      <c:legendPos val="r"/>
      <c:layout>
        <c:manualLayout>
          <c:xMode val="edge"/>
          <c:yMode val="edge"/>
          <c:x val="0.23322081593827618"/>
          <c:y val="0.17231627067238753"/>
          <c:w val="0.28439663372615337"/>
          <c:h val="0.235933143799178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58920361464883"/>
          <c:y val="7.6896190143306536E-2"/>
          <c:w val="0.64982858162025048"/>
          <c:h val="0.71928211874599213"/>
        </c:manualLayout>
      </c:layout>
      <c:scatterChart>
        <c:scatterStyle val="smoothMarker"/>
        <c:varyColors val="0"/>
        <c:ser>
          <c:idx val="0"/>
          <c:order val="0"/>
          <c:tx>
            <c:strRef>
              <c:f>'Geral  (2)'!$D$26</c:f>
              <c:strCache>
                <c:ptCount val="1"/>
                <c:pt idx="0">
                  <c:v>250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'Geral  (2)'!$C$27:$C$29</c:f>
              <c:numCache>
                <c:formatCode>0.00</c:formatCode>
                <c:ptCount val="3"/>
                <c:pt idx="0">
                  <c:v>3.2259838159903884</c:v>
                </c:pt>
                <c:pt idx="1">
                  <c:v>2.2011102378044822</c:v>
                </c:pt>
                <c:pt idx="2">
                  <c:v>1.6603238108955851</c:v>
                </c:pt>
              </c:numCache>
            </c:numRef>
          </c:xVal>
          <c:yVal>
            <c:numRef>
              <c:f>'Geral  (2)'!$D$27:$D$29</c:f>
              <c:numCache>
                <c:formatCode>0.0000</c:formatCode>
                <c:ptCount val="3"/>
                <c:pt idx="0">
                  <c:v>4.6349056271926356E-2</c:v>
                </c:pt>
                <c:pt idx="1">
                  <c:v>4.4127242465568754E-2</c:v>
                </c:pt>
                <c:pt idx="2">
                  <c:v>4.6307894308795602E-2</c:v>
                </c:pt>
              </c:numCache>
            </c:numRef>
          </c:yVal>
          <c:smooth val="1"/>
          <c:extLst>
            <c:ext xmlns:c16="http://schemas.microsoft.com/office/drawing/2014/chart" uri="{C3380CC4-5D6E-409C-BE32-E72D297353CC}">
              <c16:uniqueId val="{00000000-ABC5-4D52-8932-69B67F59932A}"/>
            </c:ext>
          </c:extLst>
        </c:ser>
        <c:ser>
          <c:idx val="1"/>
          <c:order val="1"/>
          <c:tx>
            <c:strRef>
              <c:f>'Geral  (2)'!$E$26</c:f>
              <c:strCache>
                <c:ptCount val="1"/>
                <c:pt idx="0">
                  <c:v>300 °C</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'Geral  (2)'!$C$27:$C$29</c:f>
              <c:numCache>
                <c:formatCode>0.00</c:formatCode>
                <c:ptCount val="3"/>
                <c:pt idx="0">
                  <c:v>3.2259838159903884</c:v>
                </c:pt>
                <c:pt idx="1">
                  <c:v>2.2011102378044822</c:v>
                </c:pt>
                <c:pt idx="2">
                  <c:v>1.6603238108955851</c:v>
                </c:pt>
              </c:numCache>
            </c:numRef>
          </c:xVal>
          <c:yVal>
            <c:numRef>
              <c:f>'Geral  (2)'!$E$27:$E$29</c:f>
              <c:numCache>
                <c:formatCode>0.0000</c:formatCode>
                <c:ptCount val="3"/>
                <c:pt idx="0">
                  <c:v>6.0764900771884942E-2</c:v>
                </c:pt>
                <c:pt idx="1">
                  <c:v>5.886856344939502E-2</c:v>
                </c:pt>
                <c:pt idx="2">
                  <c:v>6.1598923352082433E-2</c:v>
                </c:pt>
              </c:numCache>
            </c:numRef>
          </c:yVal>
          <c:smooth val="1"/>
          <c:extLst>
            <c:ext xmlns:c16="http://schemas.microsoft.com/office/drawing/2014/chart" uri="{C3380CC4-5D6E-409C-BE32-E72D297353CC}">
              <c16:uniqueId val="{00000001-ABC5-4D52-8932-69B67F59932A}"/>
            </c:ext>
          </c:extLst>
        </c:ser>
        <c:ser>
          <c:idx val="2"/>
          <c:order val="2"/>
          <c:tx>
            <c:strRef>
              <c:f>'Geral  (2)'!$F$26</c:f>
              <c:strCache>
                <c:ptCount val="1"/>
                <c:pt idx="0">
                  <c:v>350 °C</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'Geral  (2)'!$C$27:$C$29</c:f>
              <c:numCache>
                <c:formatCode>0.00</c:formatCode>
                <c:ptCount val="3"/>
                <c:pt idx="0">
                  <c:v>3.2259838159903884</c:v>
                </c:pt>
                <c:pt idx="1">
                  <c:v>2.2011102378044822</c:v>
                </c:pt>
                <c:pt idx="2">
                  <c:v>1.6603238108955851</c:v>
                </c:pt>
              </c:numCache>
            </c:numRef>
          </c:xVal>
          <c:yVal>
            <c:numRef>
              <c:f>'Geral  (2)'!$F$27:$F$29</c:f>
              <c:numCache>
                <c:formatCode>0.0000</c:formatCode>
                <c:ptCount val="3"/>
                <c:pt idx="0">
                  <c:v>9.7018522237390714E-2</c:v>
                </c:pt>
                <c:pt idx="1">
                  <c:v>8.0824477088404484E-2</c:v>
                </c:pt>
                <c:pt idx="2">
                  <c:v>7.9898416732163413E-2</c:v>
                </c:pt>
              </c:numCache>
            </c:numRef>
          </c:yVal>
          <c:smooth val="1"/>
          <c:extLst>
            <c:ext xmlns:c16="http://schemas.microsoft.com/office/drawing/2014/chart" uri="{C3380CC4-5D6E-409C-BE32-E72D297353CC}">
              <c16:uniqueId val="{00000002-ABC5-4D52-8932-69B67F59932A}"/>
            </c:ext>
          </c:extLst>
        </c:ser>
        <c:dLbls>
          <c:showLegendKey val="0"/>
          <c:showVal val="0"/>
          <c:showCatName val="0"/>
          <c:showSerName val="0"/>
          <c:showPercent val="0"/>
          <c:showBubbleSize val="0"/>
        </c:dLbls>
        <c:axId val="674403336"/>
        <c:axId val="674400456"/>
      </c:scatterChart>
      <c:valAx>
        <c:axId val="674403336"/>
        <c:scaling>
          <c:orientation val="minMax"/>
          <c:max val="3.5"/>
          <c:min val="1.5"/>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W/F</a:t>
                </a:r>
                <a:r>
                  <a:rPr lang="en-US" baseline="-25000"/>
                  <a:t>A0</a:t>
                </a:r>
                <a:r>
                  <a:rPr lang="en-US"/>
                  <a:t> ( g h mol</a:t>
                </a:r>
                <a:r>
                  <a:rPr lang="en-US" baseline="30000"/>
                  <a:t>-1</a:t>
                </a:r>
                <a:r>
                  <a:rPr lang="en-US"/>
                  <a: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4400456"/>
        <c:crosses val="autoZero"/>
        <c:crossBetween val="midCat"/>
      </c:valAx>
      <c:valAx>
        <c:axId val="674400456"/>
        <c:scaling>
          <c:orientation val="minMax"/>
          <c:max val="0.15000000000000002"/>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Conversão</a:t>
                </a:r>
                <a:r>
                  <a:rPr lang="en-US" baseline="0"/>
                  <a:t> de etanol</a:t>
                </a:r>
                <a:r>
                  <a:rPr lang="en-US"/>
                  <a:t>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4403336"/>
        <c:crosses val="autoZero"/>
        <c:crossBetween val="midCat"/>
      </c:valAx>
      <c:spPr>
        <a:noFill/>
        <a:ln>
          <a:noFill/>
        </a:ln>
        <a:effectLst/>
      </c:spPr>
    </c:plotArea>
    <c:legend>
      <c:legendPos val="r"/>
      <c:layout>
        <c:manualLayout>
          <c:xMode val="edge"/>
          <c:yMode val="edge"/>
          <c:x val="0.74683288854832741"/>
          <c:y val="5.081883046154886E-3"/>
          <c:w val="0.24897248057918936"/>
          <c:h val="0.246146242688585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7611372403955"/>
          <c:y val="6.7505369745320648E-2"/>
          <c:w val="0.79238294667864506"/>
          <c:h val="0.64015772192329901"/>
        </c:manualLayout>
      </c:layout>
      <c:barChart>
        <c:barDir val="col"/>
        <c:grouping val="stacked"/>
        <c:varyColors val="0"/>
        <c:ser>
          <c:idx val="1"/>
          <c:order val="0"/>
          <c:tx>
            <c:v>ET</c:v>
          </c:tx>
          <c:spPr>
            <a:solidFill>
              <a:schemeClr val="accent2"/>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15%-350°C'!$L$18,'Etanol 15%-350°C'!$L$34,'Etanol 15%-350°C'!$L$50,'Etanol 15%-350°C'!$L$66,'Etanol 15%-350°C'!$L$82,'Etanol 15%-350°C'!$L$98,'Etanol 15%-350°C'!$L$114,'Etanol 15%-350°C'!$L$130,'Etanol 15%-350°C'!$L$146,'Etanol 15%-350°C'!$L$162,'Etanol 15%-350°C'!$L$178,'Etanol 15%-350°C'!$L$194,'Etanol 15%-350°C'!$L$210,'Etanol 15%-350°C'!$L$226,'Etanol 15%-350°C'!$L$242,'Etanol 15%-350°C'!$L$258,'Etanol 15%-350°C'!$L$274,'Etanol 15%-350°C'!$L$290)</c:f>
              <c:numCache>
                <c:formatCode>0.00%</c:formatCode>
                <c:ptCount val="18"/>
                <c:pt idx="0">
                  <c:v>3.9254805862010923E-3</c:v>
                </c:pt>
                <c:pt idx="1">
                  <c:v>3.6239505053108131E-3</c:v>
                </c:pt>
                <c:pt idx="2">
                  <c:v>3.7104075118852627E-3</c:v>
                </c:pt>
                <c:pt idx="3">
                  <c:v>3.677632665397842E-3</c:v>
                </c:pt>
                <c:pt idx="4">
                  <c:v>3.6092463678991304E-3</c:v>
                </c:pt>
                <c:pt idx="5">
                  <c:v>3.6922847582140815E-3</c:v>
                </c:pt>
                <c:pt idx="6">
                  <c:v>3.6529127695984673E-3</c:v>
                </c:pt>
                <c:pt idx="7">
                  <c:v>3.66597624468421E-3</c:v>
                </c:pt>
                <c:pt idx="8">
                  <c:v>3.537969144983485E-3</c:v>
                </c:pt>
                <c:pt idx="9">
                  <c:v>3.483594112918249E-3</c:v>
                </c:pt>
                <c:pt idx="10">
                  <c:v>3.4911101578129333E-3</c:v>
                </c:pt>
                <c:pt idx="11">
                  <c:v>3.5319428635921992E-3</c:v>
                </c:pt>
                <c:pt idx="12">
                  <c:v>3.7529334345663781E-3</c:v>
                </c:pt>
                <c:pt idx="13">
                  <c:v>3.6696024524130069E-3</c:v>
                </c:pt>
                <c:pt idx="14">
                  <c:v>3.7601297561514545E-3</c:v>
                </c:pt>
                <c:pt idx="15">
                  <c:v>3.776258448738419E-3</c:v>
                </c:pt>
                <c:pt idx="16">
                  <c:v>3.7315358643362469E-3</c:v>
                </c:pt>
                <c:pt idx="17">
                  <c:v>3.8182048337192468E-3</c:v>
                </c:pt>
              </c:numCache>
            </c:numRef>
          </c:val>
          <c:extLst>
            <c:ext xmlns:c16="http://schemas.microsoft.com/office/drawing/2014/chart" uri="{C3380CC4-5D6E-409C-BE32-E72D297353CC}">
              <c16:uniqueId val="{00000000-FB9B-4372-9AAD-2D2F2B1D1A87}"/>
            </c:ext>
          </c:extLst>
        </c:ser>
        <c:ser>
          <c:idx val="2"/>
          <c:order val="1"/>
          <c:tx>
            <c:v>AA</c:v>
          </c:tx>
          <c:spPr>
            <a:solidFill>
              <a:schemeClr val="accent6"/>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15%-350°C'!$L$19,'Etanol 15%-350°C'!$L$35,'Etanol 15%-350°C'!$L$51,'Etanol 15%-350°C'!$L$67,'Etanol 15%-350°C'!$L$83,'Etanol 15%-350°C'!$L$99,'Etanol 15%-350°C'!$L$115,'Etanol 15%-350°C'!$L$131,'Etanol 15%-350°C'!$L$147,'Etanol 15%-350°C'!$L$163,'Etanol 15%-350°C'!$L$179,'Etanol 15%-350°C'!$L$195,'Etanol 15%-350°C'!$L$211,'Etanol 15%-350°C'!$L$227,'Etanol 15%-350°C'!$L$243,'Etanol 15%-350°C'!$L$259,'Etanol 15%-350°C'!$L$275,'Etanol 15%-350°C'!$L$291)</c:f>
              <c:numCache>
                <c:formatCode>0.00%</c:formatCode>
                <c:ptCount val="18"/>
                <c:pt idx="0">
                  <c:v>0.1645653280628859</c:v>
                </c:pt>
                <c:pt idx="1">
                  <c:v>0.15771349210343183</c:v>
                </c:pt>
                <c:pt idx="2">
                  <c:v>0.16326605580569589</c:v>
                </c:pt>
                <c:pt idx="3">
                  <c:v>0.16261964514340818</c:v>
                </c:pt>
                <c:pt idx="4">
                  <c:v>0.16136810995008335</c:v>
                </c:pt>
                <c:pt idx="5">
                  <c:v>0.1653453851143071</c:v>
                </c:pt>
                <c:pt idx="6">
                  <c:v>0.16475923094009545</c:v>
                </c:pt>
                <c:pt idx="7">
                  <c:v>0.16530438445091614</c:v>
                </c:pt>
                <c:pt idx="8">
                  <c:v>0.16046644534572641</c:v>
                </c:pt>
                <c:pt idx="9">
                  <c:v>0.15694151623721814</c:v>
                </c:pt>
                <c:pt idx="10">
                  <c:v>0.15745864830135395</c:v>
                </c:pt>
                <c:pt idx="11">
                  <c:v>0.15944663787252217</c:v>
                </c:pt>
                <c:pt idx="12">
                  <c:v>0.16935461302215032</c:v>
                </c:pt>
                <c:pt idx="13">
                  <c:v>0.16365989313242796</c:v>
                </c:pt>
                <c:pt idx="14">
                  <c:v>0.16825530809301911</c:v>
                </c:pt>
                <c:pt idx="15">
                  <c:v>0.16807410485792243</c:v>
                </c:pt>
                <c:pt idx="16">
                  <c:v>0.16619649013578636</c:v>
                </c:pt>
                <c:pt idx="17">
                  <c:v>0.16948615844245113</c:v>
                </c:pt>
              </c:numCache>
            </c:numRef>
          </c:val>
          <c:extLst>
            <c:ext xmlns:c16="http://schemas.microsoft.com/office/drawing/2014/chart" uri="{C3380CC4-5D6E-409C-BE32-E72D297353CC}">
              <c16:uniqueId val="{00000001-FB9B-4372-9AAD-2D2F2B1D1A87}"/>
            </c:ext>
          </c:extLst>
        </c:ser>
        <c:ser>
          <c:idx val="3"/>
          <c:order val="2"/>
          <c:tx>
            <c:v>BD</c:v>
          </c:tx>
          <c:spPr>
            <a:solidFill>
              <a:schemeClr val="accent4"/>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15%-350°C'!$L$20,'Etanol 15%-350°C'!$L$36,'Etanol 15%-350°C'!$L$52,'Etanol 15%-350°C'!$L$68,'Etanol 15%-350°C'!$L$84,'Etanol 15%-350°C'!$L$100,'Etanol 15%-350°C'!$L$116,'Etanol 15%-350°C'!$L$132,'Etanol 15%-350°C'!$L$148,'Etanol 15%-350°C'!$L$164,'Etanol 15%-350°C'!$L$180,'Etanol 15%-350°C'!$L$196,'Etanol 15%-350°C'!$L$212,'Etanol 15%-350°C'!$L$228,'Etanol 15%-350°C'!$L$244,'Etanol 15%-350°C'!$L$260,'Etanol 15%-350°C'!$L$276,'Etanol 15%-350°C'!$L$292)</c:f>
              <c:numCache>
                <c:formatCode>0.00%</c:formatCode>
                <c:ptCount val="18"/>
                <c:pt idx="0">
                  <c:v>1.262483753005284E-2</c:v>
                </c:pt>
                <c:pt idx="1">
                  <c:v>1.1777547828824304E-2</c:v>
                </c:pt>
                <c:pt idx="2">
                  <c:v>1.2299886036571733E-2</c:v>
                </c:pt>
                <c:pt idx="3">
                  <c:v>1.2069296153657049E-2</c:v>
                </c:pt>
                <c:pt idx="4">
                  <c:v>1.1872812298216004E-2</c:v>
                </c:pt>
                <c:pt idx="5">
                  <c:v>1.2067637523142643E-2</c:v>
                </c:pt>
                <c:pt idx="6">
                  <c:v>1.1985275280866587E-2</c:v>
                </c:pt>
                <c:pt idx="7">
                  <c:v>1.1949642674276281E-2</c:v>
                </c:pt>
                <c:pt idx="8">
                  <c:v>1.1602374000243427E-2</c:v>
                </c:pt>
                <c:pt idx="9">
                  <c:v>1.1228533386543721E-2</c:v>
                </c:pt>
                <c:pt idx="10">
                  <c:v>1.1353870043085763E-2</c:v>
                </c:pt>
                <c:pt idx="11">
                  <c:v>1.1406930131830247E-2</c:v>
                </c:pt>
                <c:pt idx="12">
                  <c:v>1.1999646063449356E-2</c:v>
                </c:pt>
                <c:pt idx="13">
                  <c:v>1.1693607251405823E-2</c:v>
                </c:pt>
                <c:pt idx="14">
                  <c:v>1.1907517771940167E-2</c:v>
                </c:pt>
                <c:pt idx="15">
                  <c:v>1.1958400627069009E-2</c:v>
                </c:pt>
                <c:pt idx="16">
                  <c:v>1.1707967071668107E-2</c:v>
                </c:pt>
                <c:pt idx="17">
                  <c:v>1.20183119385878E-2</c:v>
                </c:pt>
              </c:numCache>
            </c:numRef>
          </c:val>
          <c:extLst>
            <c:ext xmlns:c16="http://schemas.microsoft.com/office/drawing/2014/chart" uri="{C3380CC4-5D6E-409C-BE32-E72D297353CC}">
              <c16:uniqueId val="{00000002-FB9B-4372-9AAD-2D2F2B1D1A87}"/>
            </c:ext>
          </c:extLst>
        </c:ser>
        <c:ser>
          <c:idx val="4"/>
          <c:order val="3"/>
          <c:tx>
            <c:v>DE</c:v>
          </c:tx>
          <c:spPr>
            <a:solidFill>
              <a:schemeClr val="accent5"/>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15%-350°C'!$L$22,'Etanol 15%-350°C'!$L$38,'Etanol 15%-350°C'!$L$54,'Etanol 15%-350°C'!$L$70,'Etanol 15%-350°C'!$L$86,'Etanol 15%-350°C'!$L$102,'Etanol 15%-350°C'!$L$118,'Etanol 15%-350°C'!$L$134,'Etanol 15%-350°C'!$L$150,'Etanol 15%-350°C'!$L$166,'Etanol 15%-350°C'!$L$182,'Etanol 15%-350°C'!$L$198,'Etanol 15%-350°C'!$L$214,'Etanol 15%-350°C'!$L$230,'Etanol 15%-350°C'!$L$246,'Etanol 15%-350°C'!$L$262,'Etanol 15%-350°C'!$L$278,'Etanol 15%-350°C'!$L$294)</c:f>
              <c:numCache>
                <c:formatCode>0.00%</c:formatCode>
                <c:ptCount val="18"/>
                <c:pt idx="0">
                  <c:v>4.740367098305236E-3</c:v>
                </c:pt>
                <c:pt idx="1">
                  <c:v>3.9007277888816055E-3</c:v>
                </c:pt>
                <c:pt idx="2">
                  <c:v>4.5033571437351171E-3</c:v>
                </c:pt>
                <c:pt idx="3">
                  <c:v>4.3967407301567334E-3</c:v>
                </c:pt>
                <c:pt idx="4">
                  <c:v>4.3780216238395063E-3</c:v>
                </c:pt>
                <c:pt idx="5">
                  <c:v>4.5197493127076506E-3</c:v>
                </c:pt>
                <c:pt idx="6">
                  <c:v>4.5691329515580711E-3</c:v>
                </c:pt>
                <c:pt idx="7">
                  <c:v>4.5755566541810806E-3</c:v>
                </c:pt>
                <c:pt idx="8">
                  <c:v>4.4234037993607055E-3</c:v>
                </c:pt>
                <c:pt idx="9">
                  <c:v>3.9294019660512372E-3</c:v>
                </c:pt>
                <c:pt idx="10">
                  <c:v>4.0597444371235055E-3</c:v>
                </c:pt>
                <c:pt idx="11">
                  <c:v>4.5524251037603247E-3</c:v>
                </c:pt>
                <c:pt idx="12">
                  <c:v>4.8467650460174245E-3</c:v>
                </c:pt>
                <c:pt idx="13">
                  <c:v>4.6513335415089736E-3</c:v>
                </c:pt>
                <c:pt idx="14">
                  <c:v>4.8810911132722793E-3</c:v>
                </c:pt>
                <c:pt idx="15">
                  <c:v>4.7673618753055315E-3</c:v>
                </c:pt>
                <c:pt idx="16">
                  <c:v>4.7727381890517234E-3</c:v>
                </c:pt>
                <c:pt idx="17">
                  <c:v>4.9585371511981736E-3</c:v>
                </c:pt>
              </c:numCache>
            </c:numRef>
          </c:val>
          <c:extLst>
            <c:ext xmlns:c16="http://schemas.microsoft.com/office/drawing/2014/chart" uri="{C3380CC4-5D6E-409C-BE32-E72D297353CC}">
              <c16:uniqueId val="{00000003-FB9B-4372-9AAD-2D2F2B1D1A87}"/>
            </c:ext>
          </c:extLst>
        </c:ser>
        <c:ser>
          <c:idx val="5"/>
          <c:order val="4"/>
          <c:tx>
            <c:v>BA</c:v>
          </c:tx>
          <c:spPr>
            <a:solidFill>
              <a:schemeClr val="accent6"/>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15%-350°C'!$L$23,'Etanol 15%-350°C'!$L$39,'Etanol 15%-350°C'!$L$55,'Etanol 15%-350°C'!$L$71,'Etanol 15%-350°C'!$L$87,'Etanol 15%-350°C'!$L$103,'Etanol 15%-350°C'!$L$119,'Etanol 15%-350°C'!$L$135,'Etanol 15%-350°C'!$L$151,'Etanol 15%-350°C'!$L$167,'Etanol 15%-350°C'!$L$183,'Etanol 15%-350°C'!$L$199,'Etanol 15%-350°C'!$L$215,'Etanol 15%-350°C'!$L$231,'Etanol 15%-350°C'!$L$247,'Etanol 15%-350°C'!$L$263,'Etanol 15%-350°C'!$L$279,'Etanol 15%-350°C'!$L$295)</c:f>
              <c:numCache>
                <c:formatCode>0.00%</c:formatCode>
                <c:ptCount val="18"/>
                <c:pt idx="0">
                  <c:v>1.2300485966635346E-2</c:v>
                </c:pt>
                <c:pt idx="1">
                  <c:v>1.159293447409409E-2</c:v>
                </c:pt>
                <c:pt idx="2">
                  <c:v>1.1893550414845135E-2</c:v>
                </c:pt>
                <c:pt idx="3">
                  <c:v>1.1751092011753807E-2</c:v>
                </c:pt>
                <c:pt idx="4">
                  <c:v>1.1390873898287494E-2</c:v>
                </c:pt>
                <c:pt idx="5">
                  <c:v>1.128392615466442E-2</c:v>
                </c:pt>
                <c:pt idx="6">
                  <c:v>1.1181820283019854E-2</c:v>
                </c:pt>
                <c:pt idx="7">
                  <c:v>1.0919368393061235E-2</c:v>
                </c:pt>
                <c:pt idx="8">
                  <c:v>1.0643242501635078E-2</c:v>
                </c:pt>
                <c:pt idx="9">
                  <c:v>1.044341269084403E-2</c:v>
                </c:pt>
                <c:pt idx="10">
                  <c:v>1.0338255836341216E-2</c:v>
                </c:pt>
                <c:pt idx="11">
                  <c:v>1.0246613690479443E-2</c:v>
                </c:pt>
                <c:pt idx="12">
                  <c:v>1.0398247615578816E-2</c:v>
                </c:pt>
                <c:pt idx="13">
                  <c:v>1.0360265212612506E-2</c:v>
                </c:pt>
                <c:pt idx="14">
                  <c:v>1.0362159623931179E-2</c:v>
                </c:pt>
                <c:pt idx="15">
                  <c:v>1.0341261154312482E-2</c:v>
                </c:pt>
                <c:pt idx="16">
                  <c:v>1.0056341501638205E-2</c:v>
                </c:pt>
                <c:pt idx="17">
                  <c:v>1.0180055078225538E-2</c:v>
                </c:pt>
              </c:numCache>
            </c:numRef>
          </c:val>
          <c:extLst>
            <c:ext xmlns:c16="http://schemas.microsoft.com/office/drawing/2014/chart" uri="{C3380CC4-5D6E-409C-BE32-E72D297353CC}">
              <c16:uniqueId val="{00000004-FB9B-4372-9AAD-2D2F2B1D1A87}"/>
            </c:ext>
          </c:extLst>
        </c:ser>
        <c:ser>
          <c:idx val="6"/>
          <c:order val="5"/>
          <c:tx>
            <c:v>CA</c:v>
          </c:tx>
          <c:spPr>
            <a:solidFill>
              <a:schemeClr val="accent1">
                <a:lumMod val="60000"/>
              </a:schemeClr>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15%-350°C'!$L$24,'Etanol 15%-350°C'!$L$40,'Etanol 15%-350°C'!$L$56,'Etanol 15%-350°C'!$L$72,'Etanol 15%-350°C'!$L$88,'Etanol 15%-350°C'!$L$104,'Etanol 15%-350°C'!$L$120,'Etanol 15%-350°C'!$L$136,'Etanol 15%-350°C'!$L$152,'Etanol 15%-350°C'!$L$168,'Etanol 15%-350°C'!$L$184,'Etanol 15%-350°C'!$L$200,'Etanol 15%-350°C'!$L$216,'Etanol 15%-350°C'!$L$232,'Etanol 15%-350°C'!$L$248,'Etanol 15%-350°C'!$L$264,'Etanol 15%-350°C'!$L$280,'Etanol 15%-350°C'!$L$296)</c:f>
              <c:numCache>
                <c:formatCode>0.00%</c:formatCode>
                <c:ptCount val="18"/>
                <c:pt idx="0">
                  <c:v>2.9369973740880507E-2</c:v>
                </c:pt>
                <c:pt idx="1">
                  <c:v>3.5205394698872856E-2</c:v>
                </c:pt>
                <c:pt idx="2">
                  <c:v>3.1053220649726876E-2</c:v>
                </c:pt>
                <c:pt idx="3">
                  <c:v>3.1279687189447208E-2</c:v>
                </c:pt>
                <c:pt idx="4">
                  <c:v>3.3047620869242421E-2</c:v>
                </c:pt>
                <c:pt idx="5">
                  <c:v>3.0226394626406854E-2</c:v>
                </c:pt>
                <c:pt idx="6">
                  <c:v>3.0898030944379113E-2</c:v>
                </c:pt>
                <c:pt idx="7">
                  <c:v>3.0579514030526011E-2</c:v>
                </c:pt>
                <c:pt idx="8">
                  <c:v>3.281631345114136E-2</c:v>
                </c:pt>
                <c:pt idx="9">
                  <c:v>3.4150917645029644E-2</c:v>
                </c:pt>
                <c:pt idx="10">
                  <c:v>3.4085573020816377E-2</c:v>
                </c:pt>
                <c:pt idx="11">
                  <c:v>3.3641070450068651E-2</c:v>
                </c:pt>
                <c:pt idx="12">
                  <c:v>2.9452786640599499E-2</c:v>
                </c:pt>
                <c:pt idx="13">
                  <c:v>3.1991878591242265E-2</c:v>
                </c:pt>
                <c:pt idx="14">
                  <c:v>3.122290193581892E-2</c:v>
                </c:pt>
                <c:pt idx="15">
                  <c:v>3.0020558732996697E-2</c:v>
                </c:pt>
                <c:pt idx="16">
                  <c:v>3.2259325188539981E-2</c:v>
                </c:pt>
                <c:pt idx="17">
                  <c:v>2.9521065303865803E-2</c:v>
                </c:pt>
              </c:numCache>
            </c:numRef>
          </c:val>
          <c:extLst>
            <c:ext xmlns:c16="http://schemas.microsoft.com/office/drawing/2014/chart" uri="{C3380CC4-5D6E-409C-BE32-E72D297353CC}">
              <c16:uniqueId val="{00000005-FB9B-4372-9AAD-2D2F2B1D1A87}"/>
            </c:ext>
          </c:extLst>
        </c:ser>
        <c:ser>
          <c:idx val="7"/>
          <c:order val="6"/>
          <c:tx>
            <c:v>BOH</c:v>
          </c:tx>
          <c:spPr>
            <a:solidFill>
              <a:srgbClr val="C00000"/>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15%-350°C'!$L$25,'Etanol 15%-350°C'!$L$41,'Etanol 15%-350°C'!$L$57,'Etanol 15%-350°C'!$L$73,'Etanol 15%-350°C'!$L$89,'Etanol 15%-350°C'!$L$105,'Etanol 15%-350°C'!$L$121,'Etanol 15%-350°C'!$L$137,'Etanol 15%-350°C'!$L$153,'Etanol 15%-350°C'!$L$169,'Etanol 15%-350°C'!$L$185,'Etanol 15%-350°C'!$L$201,'Etanol 15%-350°C'!$L$217,'Etanol 15%-350°C'!$L$233,'Etanol 15%-350°C'!$L$249,'Etanol 15%-350°C'!$L$265,'Etanol 15%-350°C'!$L$281,'Etanol 15%-350°C'!$L$297)</c:f>
              <c:numCache>
                <c:formatCode>0.00%</c:formatCode>
                <c:ptCount val="18"/>
                <c:pt idx="0">
                  <c:v>0.46819643753093065</c:v>
                </c:pt>
                <c:pt idx="1">
                  <c:v>0.53731130900605639</c:v>
                </c:pt>
                <c:pt idx="2">
                  <c:v>0.48727328779360146</c:v>
                </c:pt>
                <c:pt idx="3">
                  <c:v>0.4937204069146961</c:v>
                </c:pt>
                <c:pt idx="4">
                  <c:v>0.5197779773379575</c:v>
                </c:pt>
                <c:pt idx="5">
                  <c:v>0.48026569965859439</c:v>
                </c:pt>
                <c:pt idx="6">
                  <c:v>0.49039883105807108</c:v>
                </c:pt>
                <c:pt idx="7">
                  <c:v>0.48770122954619416</c:v>
                </c:pt>
                <c:pt idx="8">
                  <c:v>0.52543423176888759</c:v>
                </c:pt>
                <c:pt idx="9">
                  <c:v>0.5481726356379949</c:v>
                </c:pt>
                <c:pt idx="10">
                  <c:v>0.54728837036294553</c:v>
                </c:pt>
                <c:pt idx="11">
                  <c:v>0.54003066488119045</c:v>
                </c:pt>
                <c:pt idx="12">
                  <c:v>0.4734430343469615</c:v>
                </c:pt>
                <c:pt idx="13">
                  <c:v>0.51766441906066951</c:v>
                </c:pt>
                <c:pt idx="14">
                  <c:v>0.50012635510029346</c:v>
                </c:pt>
                <c:pt idx="15">
                  <c:v>0.48570081342059612</c:v>
                </c:pt>
                <c:pt idx="16">
                  <c:v>0.5179206933213194</c:v>
                </c:pt>
                <c:pt idx="17">
                  <c:v>0.47744879319170153</c:v>
                </c:pt>
              </c:numCache>
            </c:numRef>
          </c:val>
          <c:extLst>
            <c:ext xmlns:c16="http://schemas.microsoft.com/office/drawing/2014/chart" uri="{C3380CC4-5D6E-409C-BE32-E72D297353CC}">
              <c16:uniqueId val="{00000006-FB9B-4372-9AAD-2D2F2B1D1A87}"/>
            </c:ext>
          </c:extLst>
        </c:ser>
        <c:ser>
          <c:idx val="8"/>
          <c:order val="7"/>
          <c:tx>
            <c:v>COH</c:v>
          </c:tx>
          <c:spPr>
            <a:solidFill>
              <a:schemeClr val="accent5">
                <a:lumMod val="60000"/>
                <a:lumOff val="40000"/>
              </a:schemeClr>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15%-350°C'!$L$26,'Etanol 15%-350°C'!$L$42,'Etanol 15%-350°C'!$L$58,'Etanol 15%-350°C'!$L$74,'Etanol 15%-350°C'!$L$90,'Etanol 15%-350°C'!$L$106,'Etanol 15%-350°C'!$L$122,'Etanol 15%-350°C'!$L$138,'Etanol 15%-350°C'!$L$154,'Etanol 15%-350°C'!$L$170,'Etanol 15%-350°C'!$L$186,'Etanol 15%-350°C'!$L$202,'Etanol 15%-350°C'!$L$218,'Etanol 15%-350°C'!$L$234,'Etanol 15%-350°C'!$L$250,'Etanol 15%-350°C'!$L$266,'Etanol 15%-350°C'!$L$282,'Etanol 15%-350°C'!$L$298)</c:f>
              <c:numCache>
                <c:formatCode>0.00%</c:formatCode>
                <c:ptCount val="18"/>
                <c:pt idx="0">
                  <c:v>0.21971368094763827</c:v>
                </c:pt>
                <c:pt idx="1">
                  <c:v>0.1548269338045703</c:v>
                </c:pt>
                <c:pt idx="2">
                  <c:v>0.20343877525690515</c:v>
                </c:pt>
                <c:pt idx="3">
                  <c:v>0.1993834411418661</c:v>
                </c:pt>
                <c:pt idx="4">
                  <c:v>0.17364090668237517</c:v>
                </c:pt>
                <c:pt idx="5">
                  <c:v>0.21083286231633575</c:v>
                </c:pt>
                <c:pt idx="6">
                  <c:v>0.20257784867655354</c:v>
                </c:pt>
                <c:pt idx="7">
                  <c:v>0.20525257629009724</c:v>
                </c:pt>
                <c:pt idx="8">
                  <c:v>0.17193041492910288</c:v>
                </c:pt>
                <c:pt idx="9">
                  <c:v>0.15201698614225373</c:v>
                </c:pt>
                <c:pt idx="10">
                  <c:v>0.15288535411249402</c:v>
                </c:pt>
                <c:pt idx="11">
                  <c:v>0.15841264917454145</c:v>
                </c:pt>
                <c:pt idx="12">
                  <c:v>0.21981214392439227</c:v>
                </c:pt>
                <c:pt idx="13">
                  <c:v>0.17895491651731646</c:v>
                </c:pt>
                <c:pt idx="14">
                  <c:v>0.19397184041665055</c:v>
                </c:pt>
                <c:pt idx="15">
                  <c:v>0.20901665921799881</c:v>
                </c:pt>
                <c:pt idx="16">
                  <c:v>0.17748131586964999</c:v>
                </c:pt>
                <c:pt idx="17">
                  <c:v>0.21811139469589352</c:v>
                </c:pt>
              </c:numCache>
            </c:numRef>
          </c:val>
          <c:extLst>
            <c:ext xmlns:c16="http://schemas.microsoft.com/office/drawing/2014/chart" uri="{C3380CC4-5D6E-409C-BE32-E72D297353CC}">
              <c16:uniqueId val="{00000007-FB9B-4372-9AAD-2D2F2B1D1A87}"/>
            </c:ext>
          </c:extLst>
        </c:ser>
        <c:ser>
          <c:idx val="9"/>
          <c:order val="8"/>
          <c:tx>
            <c:v>EBOH</c:v>
          </c:tx>
          <c:spPr>
            <a:solidFill>
              <a:schemeClr val="accent4">
                <a:lumMod val="60000"/>
              </a:schemeClr>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15%-350°C'!$L$27,'Etanol 15%-350°C'!$L$43,'Etanol 15%-350°C'!$L$59,'Etanol 15%-350°C'!$L$75,'Etanol 15%-350°C'!$L$91,'Etanol 15%-350°C'!$L$107,'Etanol 15%-350°C'!$L$123,'Etanol 15%-350°C'!$L$139,'Etanol 15%-350°C'!$L$155,'Etanol 15%-350°C'!$L$171,'Etanol 15%-350°C'!$L$187,'Etanol 15%-350°C'!$L$203,'Etanol 15%-350°C'!$L$219,'Etanol 15%-350°C'!$L$235,'Etanol 15%-350°C'!$L$251,'Etanol 15%-350°C'!$L$267,'Etanol 15%-350°C'!$L$283,'Etanol 15%-350°C'!$L$299)</c:f>
              <c:numCache>
                <c:formatCode>0.00%</c:formatCode>
                <c:ptCount val="18"/>
                <c:pt idx="0">
                  <c:v>1.4682502907689091E-2</c:v>
                </c:pt>
                <c:pt idx="1">
                  <c:v>1.7176745099775098E-2</c:v>
                </c:pt>
                <c:pt idx="2">
                  <c:v>1.5157039011472744E-2</c:v>
                </c:pt>
                <c:pt idx="3">
                  <c:v>1.5148662106644903E-2</c:v>
                </c:pt>
                <c:pt idx="4">
                  <c:v>1.588317743193195E-2</c:v>
                </c:pt>
                <c:pt idx="5">
                  <c:v>1.4293093830684099E-2</c:v>
                </c:pt>
                <c:pt idx="6">
                  <c:v>1.4353688578559285E-2</c:v>
                </c:pt>
                <c:pt idx="7">
                  <c:v>1.444969291209346E-2</c:v>
                </c:pt>
                <c:pt idx="8">
                  <c:v>1.5706350257190763E-2</c:v>
                </c:pt>
                <c:pt idx="9">
                  <c:v>1.6493675826865863E-2</c:v>
                </c:pt>
                <c:pt idx="10">
                  <c:v>1.6303753451182436E-2</c:v>
                </c:pt>
                <c:pt idx="11">
                  <c:v>1.5967056568231306E-2</c:v>
                </c:pt>
                <c:pt idx="12">
                  <c:v>1.2709668055493445E-2</c:v>
                </c:pt>
                <c:pt idx="13">
                  <c:v>1.4970716155537755E-2</c:v>
                </c:pt>
                <c:pt idx="14">
                  <c:v>1.4012805392198728E-2</c:v>
                </c:pt>
                <c:pt idx="15">
                  <c:v>1.367923319745586E-2</c:v>
                </c:pt>
                <c:pt idx="16">
                  <c:v>1.4619020936018726E-2</c:v>
                </c:pt>
                <c:pt idx="17">
                  <c:v>1.2371186911037526E-2</c:v>
                </c:pt>
              </c:numCache>
            </c:numRef>
          </c:val>
          <c:extLst>
            <c:ext xmlns:c16="http://schemas.microsoft.com/office/drawing/2014/chart" uri="{C3380CC4-5D6E-409C-BE32-E72D297353CC}">
              <c16:uniqueId val="{00000008-FB9B-4372-9AAD-2D2F2B1D1A87}"/>
            </c:ext>
          </c:extLst>
        </c:ser>
        <c:ser>
          <c:idx val="10"/>
          <c:order val="9"/>
          <c:tx>
            <c:v>HOH</c:v>
          </c:tx>
          <c:spPr>
            <a:solidFill>
              <a:schemeClr val="accent5">
                <a:lumMod val="60000"/>
              </a:schemeClr>
            </a:solidFill>
            <a:ln>
              <a:noFill/>
            </a:ln>
            <a:effectLst/>
          </c:spPr>
          <c:invertIfNegative val="0"/>
          <c:cat>
            <c:numRef>
              <c:f>'Etanol 15%-350°C'!$P$12:$AG$12</c:f>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f>('Etanol 15%-350°C'!$L$28,'Etanol 15%-350°C'!$L$44,'Etanol 15%-350°C'!$L$60,'Etanol 15%-350°C'!$L$76,'Etanol 15%-350°C'!$L$92,'Etanol 15%-350°C'!$L$108,'Etanol 15%-350°C'!$L$124,'Etanol 15%-350°C'!$L$140,'Etanol 15%-350°C'!$L$156,'Etanol 15%-350°C'!$L$172,'Etanol 15%-350°C'!$L$188,'Etanol 15%-350°C'!$L$204,'Etanol 15%-350°C'!$L$220,'Etanol 15%-350°C'!$L$236,'Etanol 15%-350°C'!$L$252,'Etanol 15%-350°C'!$L$268,'Etanol 15%-350°C'!$L$284,'Etanol 15%-350°C'!$L$300)</c:f>
              <c:numCache>
                <c:formatCode>0.00%</c:formatCode>
                <c:ptCount val="18"/>
                <c:pt idx="0">
                  <c:v>1.987833347355402E-2</c:v>
                </c:pt>
                <c:pt idx="1">
                  <c:v>2.0668594175040314E-2</c:v>
                </c:pt>
                <c:pt idx="2">
                  <c:v>1.9319918250591546E-2</c:v>
                </c:pt>
                <c:pt idx="3">
                  <c:v>1.8892321181718304E-2</c:v>
                </c:pt>
                <c:pt idx="4">
                  <c:v>1.9832762477735584E-2</c:v>
                </c:pt>
                <c:pt idx="5">
                  <c:v>1.8857466112877082E-2</c:v>
                </c:pt>
                <c:pt idx="6">
                  <c:v>1.8647265218226929E-2</c:v>
                </c:pt>
                <c:pt idx="7">
                  <c:v>1.892647026406603E-2</c:v>
                </c:pt>
                <c:pt idx="8">
                  <c:v>1.9641598430517913E-2</c:v>
                </c:pt>
                <c:pt idx="9">
                  <c:v>1.9583108817238494E-2</c:v>
                </c:pt>
                <c:pt idx="10">
                  <c:v>1.9409442809963231E-2</c:v>
                </c:pt>
                <c:pt idx="11">
                  <c:v>1.9150071702458131E-2</c:v>
                </c:pt>
                <c:pt idx="12">
                  <c:v>1.6803154060318723E-2</c:v>
                </c:pt>
                <c:pt idx="13">
                  <c:v>1.9224094673788328E-2</c:v>
                </c:pt>
                <c:pt idx="14">
                  <c:v>1.8031105730708041E-2</c:v>
                </c:pt>
                <c:pt idx="15">
                  <c:v>1.7446022399981286E-2</c:v>
                </c:pt>
                <c:pt idx="16">
                  <c:v>1.835435500580869E-2</c:v>
                </c:pt>
                <c:pt idx="17">
                  <c:v>1.6042351743610718E-2</c:v>
                </c:pt>
              </c:numCache>
            </c:numRef>
          </c:val>
          <c:extLst>
            <c:ext xmlns:c16="http://schemas.microsoft.com/office/drawing/2014/chart" uri="{C3380CC4-5D6E-409C-BE32-E72D297353CC}">
              <c16:uniqueId val="{00000009-FB9B-4372-9AAD-2D2F2B1D1A87}"/>
            </c:ext>
          </c:extLst>
        </c:ser>
        <c:dLbls>
          <c:showLegendKey val="0"/>
          <c:showVal val="0"/>
          <c:showCatName val="0"/>
          <c:showSerName val="0"/>
          <c:showPercent val="0"/>
          <c:showBubbleSize val="0"/>
        </c:dLbls>
        <c:gapWidth val="150"/>
        <c:overlap val="100"/>
        <c:axId val="93379584"/>
        <c:axId val="93484544"/>
        <c:extLst>
          <c:ext xmlns:c15="http://schemas.microsoft.com/office/drawing/2012/chart" uri="{02D57815-91ED-43cb-92C2-25804820EDAC}">
            <c15:filteredBarSeries>
              <c15:ser>
                <c:idx val="11"/>
                <c:order val="10"/>
                <c:tx>
                  <c:strRef>
                    <c:extLst>
                      <c:ext uri="{02D57815-91ED-43cb-92C2-25804820EDAC}">
                        <c15:formulaRef>
                          <c15:sqref>'Etanol 15%-350°C'!$A$29</c15:sqref>
                        </c15:formulaRef>
                      </c:ext>
                    </c:extLst>
                    <c:strCache>
                      <c:ptCount val="1"/>
                      <c:pt idx="0">
                        <c:v>Não identificado</c:v>
                      </c:pt>
                    </c:strCache>
                  </c:strRef>
                </c:tx>
                <c:spPr>
                  <a:solidFill>
                    <a:schemeClr val="accent6">
                      <a:lumMod val="60000"/>
                    </a:schemeClr>
                  </a:solidFill>
                  <a:ln>
                    <a:noFill/>
                  </a:ln>
                  <a:effectLst/>
                </c:spPr>
                <c:invertIfNegative val="0"/>
                <c:cat>
                  <c:numRef>
                    <c:extLst>
                      <c:ext uri="{02D57815-91ED-43cb-92C2-25804820EDAC}">
                        <c15:formulaRef>
                          <c15:sqref>'Etanol 15%-350°C'!$P$12:$AG$12</c15:sqref>
                        </c15:formulaRef>
                      </c:ext>
                    </c:extLst>
                    <c:numCache>
                      <c:formatCode>General</c:formatCode>
                      <c:ptCount val="18"/>
                      <c:pt idx="0">
                        <c:v>0.5</c:v>
                      </c:pt>
                      <c:pt idx="1">
                        <c:v>0.8</c:v>
                      </c:pt>
                      <c:pt idx="2">
                        <c:v>1.1000000000000001</c:v>
                      </c:pt>
                      <c:pt idx="3">
                        <c:v>1.4</c:v>
                      </c:pt>
                      <c:pt idx="4">
                        <c:v>1.7</c:v>
                      </c:pt>
                      <c:pt idx="5">
                        <c:v>2</c:v>
                      </c:pt>
                      <c:pt idx="6">
                        <c:v>2.2999999999999998</c:v>
                      </c:pt>
                      <c:pt idx="7">
                        <c:v>2.6</c:v>
                      </c:pt>
                      <c:pt idx="8">
                        <c:v>2.9</c:v>
                      </c:pt>
                      <c:pt idx="9">
                        <c:v>3.2</c:v>
                      </c:pt>
                      <c:pt idx="10">
                        <c:v>3.5</c:v>
                      </c:pt>
                      <c:pt idx="11">
                        <c:v>3.8</c:v>
                      </c:pt>
                      <c:pt idx="12">
                        <c:v>4.0999999999999996</c:v>
                      </c:pt>
                      <c:pt idx="13">
                        <c:v>4.4000000000000004</c:v>
                      </c:pt>
                      <c:pt idx="14">
                        <c:v>4.7</c:v>
                      </c:pt>
                      <c:pt idx="15">
                        <c:v>5</c:v>
                      </c:pt>
                      <c:pt idx="16">
                        <c:v>5.3</c:v>
                      </c:pt>
                      <c:pt idx="17">
                        <c:v>5.6</c:v>
                      </c:pt>
                    </c:numCache>
                  </c:numRef>
                </c:cat>
                <c:val>
                  <c:numRef>
                    <c:extLst>
                      <c:ext uri="{02D57815-91ED-43cb-92C2-25804820EDAC}">
                        <c15:formulaRef>
                          <c15:sqref>('Etanol 15%-350°C'!$L$29,'Etanol 15%-350°C'!$L$45,'Etanol 15%-350°C'!$L$61,'Etanol 15%-350°C'!$L$77,'Etanol 15%-350°C'!$L$93,'Etanol 15%-350°C'!$L$109,'Etanol 15%-350°C'!$L$125,'Etanol 15%-350°C'!$L$141,'Etanol 15%-350°C'!$L$157,'Etanol 15%-350°C'!$L$173,'Etanol 15%-350°C'!$L$189,'Etanol 15%-350°C'!$L$205,'Etanol 15%-350°C'!$L$221,'Etanol 15%-350°C'!$L$237,'Etanol 15%-350°C'!$L$253,'Etanol 15%-350°C'!$L$269,'Etanol 15%-350°C'!$L$285,'Etanol 15%-350°C'!$L$301)</c15:sqref>
                        </c15:formulaRef>
                      </c:ext>
                    </c:extLst>
                    <c:numCache>
                      <c:formatCode>0.00%</c:formatCode>
                      <c:ptCount val="18"/>
                      <c:pt idx="0">
                        <c:v>5.000257215522718E-2</c:v>
                      </c:pt>
                      <c:pt idx="1">
                        <c:v>4.6202370515142435E-2</c:v>
                      </c:pt>
                      <c:pt idx="2">
                        <c:v>4.8084502124969113E-2</c:v>
                      </c:pt>
                      <c:pt idx="3">
                        <c:v>4.7061074761253832E-2</c:v>
                      </c:pt>
                      <c:pt idx="4">
                        <c:v>4.5198491062431914E-2</c:v>
                      </c:pt>
                      <c:pt idx="5">
                        <c:v>4.8615500592066048E-2</c:v>
                      </c:pt>
                      <c:pt idx="6">
                        <c:v>4.6975963299071756E-2</c:v>
                      </c:pt>
                      <c:pt idx="7">
                        <c:v>4.6675588539904236E-2</c:v>
                      </c:pt>
                      <c:pt idx="8">
                        <c:v>4.3797656371210199E-2</c:v>
                      </c:pt>
                      <c:pt idx="9">
                        <c:v>4.3556217537042037E-2</c:v>
                      </c:pt>
                      <c:pt idx="10">
                        <c:v>4.3325877466880887E-2</c:v>
                      </c:pt>
                      <c:pt idx="11">
                        <c:v>4.3613937561325741E-2</c:v>
                      </c:pt>
                      <c:pt idx="12">
                        <c:v>4.742700779047241E-2</c:v>
                      </c:pt>
                      <c:pt idx="13">
                        <c:v>4.3159273411077427E-2</c:v>
                      </c:pt>
                      <c:pt idx="14">
                        <c:v>4.3468785066016043E-2</c:v>
                      </c:pt>
                      <c:pt idx="15">
                        <c:v>4.5219326067623314E-2</c:v>
                      </c:pt>
                      <c:pt idx="16">
                        <c:v>4.2900216916182433E-2</c:v>
                      </c:pt>
                      <c:pt idx="17">
                        <c:v>4.6043940709708971E-2</c:v>
                      </c:pt>
                    </c:numCache>
                  </c:numRef>
                </c:val>
                <c:extLst>
                  <c:ext xmlns:c16="http://schemas.microsoft.com/office/drawing/2014/chart" uri="{C3380CC4-5D6E-409C-BE32-E72D297353CC}">
                    <c16:uniqueId val="{0000000A-FB9B-4372-9AAD-2D2F2B1D1A87}"/>
                  </c:ext>
                </c:extLst>
              </c15:ser>
            </c15:filteredBarSeries>
          </c:ext>
        </c:extLst>
      </c:barChart>
      <c:catAx>
        <c:axId val="933795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Tempo (h)</a:t>
                </a:r>
              </a:p>
            </c:rich>
          </c:tx>
          <c:layout>
            <c:manualLayout>
              <c:xMode val="edge"/>
              <c:yMode val="edge"/>
              <c:x val="0.4648925910267927"/>
              <c:y val="0.780149458918126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484544"/>
        <c:crosses val="autoZero"/>
        <c:auto val="1"/>
        <c:lblAlgn val="ctr"/>
        <c:lblOffset val="100"/>
        <c:tickMarkSkip val="1"/>
        <c:noMultiLvlLbl val="1"/>
      </c:catAx>
      <c:valAx>
        <c:axId val="93484544"/>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Seletividade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379584"/>
        <c:crosses val="autoZero"/>
        <c:crossBetween val="between"/>
      </c:valAx>
      <c:spPr>
        <a:noFill/>
        <a:ln>
          <a:noFill/>
        </a:ln>
        <a:effectLst/>
      </c:spPr>
    </c:plotArea>
    <c:legend>
      <c:legendPos val="b"/>
      <c:layout>
        <c:manualLayout>
          <c:xMode val="edge"/>
          <c:yMode val="edge"/>
          <c:x val="4.7037005231728587E-2"/>
          <c:y val="0.87012053840002124"/>
          <c:w val="0.89220228029382231"/>
          <c:h val="0.116813765876687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11510</Words>
  <Characters>65613</Characters>
  <Application>Microsoft Office Word</Application>
  <DocSecurity>0</DocSecurity>
  <Lines>546</Lines>
  <Paragraphs>153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Kathlen Carla Eiko Saito Yokoo</cp:lastModifiedBy>
  <cp:revision>3</cp:revision>
  <dcterms:created xsi:type="dcterms:W3CDTF">2023-06-29T11:11:00Z</dcterms:created>
  <dcterms:modified xsi:type="dcterms:W3CDTF">2023-06-29T11:12:00Z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http://www.zotero.org/styles/academic-medicine</vt:lpwstr>
  </property>
  <property fmtid="{D5CDD505-2E9C-101B-9397-08002B2CF9AE}" pid="3" name="Mendeley Recent Style Name 0_1">
    <vt:lpwstr>Academic Medicine</vt:lpwstr>
  </property>
  <property fmtid="{D5CDD505-2E9C-101B-9397-08002B2CF9AE}" pid="4" name="Mendeley Recent Style Id 1_1">
    <vt:lpwstr>http://www.zotero.org/styles/advances-in-medical-sciences</vt:lpwstr>
  </property>
  <property fmtid="{D5CDD505-2E9C-101B-9397-08002B2CF9AE}" pid="5" name="Mendeley Recent Style Name 1_1">
    <vt:lpwstr>Advances in Medical Sciences</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http://www.zotero.org/styles/begell-house-chicago-author-date</vt:lpwstr>
  </property>
  <property fmtid="{D5CDD505-2E9C-101B-9397-08002B2CF9AE}" pid="9" name="Mendeley Recent Style Name 3_1">
    <vt:lpwstr>Begell House - Chicago Manual of Style</vt:lpwstr>
  </property>
  <property fmtid="{D5CDD505-2E9C-101B-9397-08002B2CF9AE}" pid="10" name="Mendeley Recent Style Id 4_1">
    <vt:lpwstr>http://www.zotero.org/styles/chemistry-letters</vt:lpwstr>
  </property>
  <property fmtid="{D5CDD505-2E9C-101B-9397-08002B2CF9AE}" pid="11" name="Mendeley Recent Style Name 4_1">
    <vt:lpwstr>Chemistry Letters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http://www.zotero.org/styles/chicago-note-bibliography</vt:lpwstr>
  </property>
  <property fmtid="{D5CDD505-2E9C-101B-9397-08002B2CF9AE}" pid="17" name="Mendeley Recent Style Name 7_1">
    <vt:lpwstr>Chicago Manual of Style 17th edition (note)</vt:lpwstr>
  </property>
  <property fmtid="{D5CDD505-2E9C-101B-9397-08002B2CF9AE}" pid="18" name="Mendeley Recent Style Id 8_1">
    <vt:lpwstr>http://www.zotero.org/styles/harvard-cite-them-right</vt:lpwstr>
  </property>
  <property fmtid="{D5CDD505-2E9C-101B-9397-08002B2CF9AE}" pid="19" name="Mendeley Recent Style Name 8_1">
    <vt:lpwstr>Cite Them Right 10th edition - Harvard</vt:lpwstr>
  </property>
  <property fmtid="{D5CDD505-2E9C-101B-9397-08002B2CF9AE}" pid="20" name="Mendeley Recent Style Id 9_1">
    <vt:lpwstr>http://www.zotero.org/styles/journal-of-catalysis</vt:lpwstr>
  </property>
  <property fmtid="{D5CDD505-2E9C-101B-9397-08002B2CF9AE}" pid="21" name="Mendeley Recent Style Name 9_1">
    <vt:lpwstr>Journal of Catalysis</vt:lpwstr>
  </property>
  <property fmtid="{D5CDD505-2E9C-101B-9397-08002B2CF9AE}" pid="22" name="GrammarlyDocumentId">
    <vt:lpwstr>2ad26093ccda79592697057402c76bbeb9a070661b96cc68121cd2ea1f6e3467</vt:lpwstr>
  </property>
  <property fmtid="{D5CDD505-2E9C-101B-9397-08002B2CF9AE}" pid="23" name="Mendeley Document_1">
    <vt:lpwstr>True</vt:lpwstr>
  </property>
  <property fmtid="{D5CDD505-2E9C-101B-9397-08002B2CF9AE}" pid="24" name="Mendeley Unique User Id_1">
    <vt:lpwstr>7fa90f3a-d2d6-3eee-8a3f-81deecb973d2</vt:lpwstr>
  </property>
  <property fmtid="{D5CDD505-2E9C-101B-9397-08002B2CF9AE}" pid="25" name="Mendeley Citation Style_1">
    <vt:lpwstr>http://www.zotero.org/styles/chicago-note-bibliography</vt:lpwstr>
  </property>
  <property fmtid="{D5CDD505-2E9C-101B-9397-08002B2CF9AE}" pid="26" name="ZOTERO_PREF_1">
    <vt:lpwstr>&lt;data data-version="3" zotero-version="6.0.26"&gt;&lt;session id="4oqiIBPM"/&gt;&lt;style id="http://www.zotero.org/styles/vancouver" locale="en-US" hasBibliography="1" bibliographyStyleHasBeenSet="1"/&gt;&lt;prefs&gt;&lt;pref name="fieldType" value="Field"/&gt;&lt;/prefs&gt;&lt;/data&gt;</vt:lpwstr>
  </property>
  <property fmtid="{D5CDD505-2E9C-101B-9397-08002B2CF9AE}" pid="27" name="MSIP_Label_4044bd30-2ed7-4c9d-9d12-46200872a97b_Enabled">
    <vt:lpwstr>true</vt:lpwstr>
  </property>
  <property fmtid="{D5CDD505-2E9C-101B-9397-08002B2CF9AE}" pid="28" name="MSIP_Label_4044bd30-2ed7-4c9d-9d12-46200872a97b_SetDate">
    <vt:lpwstr>2023-06-13T19:17:18Z</vt:lpwstr>
  </property>
  <property fmtid="{D5CDD505-2E9C-101B-9397-08002B2CF9AE}" pid="29" name="MSIP_Label_4044bd30-2ed7-4c9d-9d12-46200872a97b_Method">
    <vt:lpwstr>Standard</vt:lpwstr>
  </property>
  <property fmtid="{D5CDD505-2E9C-101B-9397-08002B2CF9AE}" pid="30" name="MSIP_Label_4044bd30-2ed7-4c9d-9d12-46200872a97b_Name">
    <vt:lpwstr>defa4170-0d19-0005-0004-bc88714345d2</vt:lpwstr>
  </property>
  <property fmtid="{D5CDD505-2E9C-101B-9397-08002B2CF9AE}" pid="31" name="MSIP_Label_4044bd30-2ed7-4c9d-9d12-46200872a97b_SiteId">
    <vt:lpwstr>4130bd39-7c53-419c-b1e5-8758d6d63f21</vt:lpwstr>
  </property>
  <property fmtid="{D5CDD505-2E9C-101B-9397-08002B2CF9AE}" pid="32" name="MSIP_Label_4044bd30-2ed7-4c9d-9d12-46200872a97b_ActionId">
    <vt:lpwstr>a64dffb7-a734-4a71-a473-e0fcf7e42fb0</vt:lpwstr>
  </property>
  <property fmtid="{D5CDD505-2E9C-101B-9397-08002B2CF9AE}" pid="33" name="MSIP_Label_4044bd30-2ed7-4c9d-9d12-46200872a97b_ContentBits">
    <vt:lpwstr>0</vt:lpwstr>
  </property>
</Properties>
</file>