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FE2134" w14:textId="25D0BD41" w:rsidR="00C961DD" w:rsidRDefault="00C961DD" w:rsidP="00C961DD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 xml:space="preserve">Efeito da Temperatura sobre o Desempenho Catalítico de perovskitas aplicadas na </w:t>
      </w:r>
      <w:r>
        <w:rPr>
          <w:sz w:val="32"/>
          <w:lang w:val="pt-BR"/>
        </w:rPr>
        <w:t>Ox</w:t>
      </w:r>
      <w:r w:rsidR="00B97C9F">
        <w:rPr>
          <w:sz w:val="32"/>
          <w:lang w:val="pt-BR"/>
        </w:rPr>
        <w:t>i</w:t>
      </w:r>
      <w:r>
        <w:rPr>
          <w:sz w:val="32"/>
          <w:lang w:val="pt-BR"/>
        </w:rPr>
        <w:t>-</w:t>
      </w:r>
      <w:r w:rsidR="00B97C9F">
        <w:rPr>
          <w:sz w:val="32"/>
          <w:lang w:val="pt-BR"/>
        </w:rPr>
        <w:t>CO</w:t>
      </w:r>
      <w:r w:rsidR="00B97C9F" w:rsidRPr="00B97C9F">
        <w:rPr>
          <w:sz w:val="32"/>
          <w:vertAlign w:val="subscript"/>
          <w:lang w:val="pt-BR"/>
        </w:rPr>
        <w:t>2</w:t>
      </w:r>
    </w:p>
    <w:p w14:paraId="0015F1D2" w14:textId="77777777" w:rsidR="00C961DD" w:rsidRPr="00C961DD" w:rsidRDefault="00C961DD" w:rsidP="00C961DD">
      <w:pPr>
        <w:pStyle w:val="BBAuthorName"/>
        <w:rPr>
          <w:lang w:val="pt-BR"/>
        </w:rPr>
      </w:pPr>
    </w:p>
    <w:p w14:paraId="22246A6F" w14:textId="77777777" w:rsidR="00C961DD" w:rsidRPr="00C961DD" w:rsidRDefault="00C961DD" w:rsidP="00C961DD">
      <w:pPr>
        <w:pStyle w:val="BATitle"/>
        <w:spacing w:before="0" w:after="0" w:line="276" w:lineRule="auto"/>
        <w:ind w:right="0"/>
        <w:jc w:val="both"/>
        <w:rPr>
          <w:rFonts w:ascii="Times New Roman" w:hAnsi="Times New Roman"/>
          <w:sz w:val="20"/>
          <w:lang w:val="pt-BR"/>
        </w:rPr>
      </w:pPr>
      <w:r w:rsidRPr="00C961DD">
        <w:rPr>
          <w:rFonts w:ascii="Times New Roman" w:hAnsi="Times New Roman"/>
          <w:sz w:val="20"/>
          <w:lang w:val="pt-BR"/>
        </w:rPr>
        <w:t>Thiago A. da Silva*</w:t>
      </w:r>
      <w:r w:rsidRPr="00C961DD">
        <w:rPr>
          <w:rFonts w:ascii="Times New Roman" w:hAnsi="Times New Roman"/>
          <w:sz w:val="20"/>
          <w:vertAlign w:val="superscript"/>
          <w:lang w:val="pt-BR"/>
        </w:rPr>
        <w:t>1</w:t>
      </w:r>
      <w:r w:rsidRPr="00C961DD">
        <w:rPr>
          <w:rFonts w:ascii="Times New Roman" w:hAnsi="Times New Roman"/>
          <w:sz w:val="20"/>
          <w:lang w:val="pt-BR"/>
        </w:rPr>
        <w:t>, Lílian M. T. S. Rodrigues e Soraia T. Brandão</w:t>
      </w:r>
    </w:p>
    <w:p w14:paraId="6330995B" w14:textId="77777777" w:rsidR="00C961DD" w:rsidRPr="00C961DD" w:rsidRDefault="00C961DD" w:rsidP="00C961DD">
      <w:pPr>
        <w:pStyle w:val="BCAuthorAddress"/>
        <w:spacing w:after="0" w:line="276" w:lineRule="auto"/>
        <w:rPr>
          <w:rFonts w:ascii="Times New Roman" w:hAnsi="Times New Roman"/>
          <w:lang w:val="pt-BR"/>
        </w:rPr>
      </w:pPr>
      <w:r w:rsidRPr="00C961DD">
        <w:rPr>
          <w:rFonts w:ascii="Times New Roman" w:hAnsi="Times New Roman"/>
          <w:vertAlign w:val="superscript"/>
          <w:lang w:val="pt-BR"/>
        </w:rPr>
        <w:t>1</w:t>
      </w:r>
      <w:r w:rsidRPr="00C961DD">
        <w:rPr>
          <w:rFonts w:ascii="Times New Roman" w:hAnsi="Times New Roman"/>
          <w:lang w:val="pt-BR"/>
        </w:rPr>
        <w:t>Universidade Federal da Bahia– UFBA, Instituto de Química, Grupo de Catálise e Polímeros, Rua Barão de Geremoabo s/n, Ondina, Salvador – BA.  CEP.40170290</w:t>
      </w:r>
    </w:p>
    <w:p w14:paraId="5A781B7D" w14:textId="77777777" w:rsidR="00C961DD" w:rsidRPr="00C961DD" w:rsidRDefault="00C961DD" w:rsidP="00C961DD">
      <w:pPr>
        <w:pStyle w:val="BCAuthorAddress"/>
        <w:spacing w:after="0" w:line="240" w:lineRule="auto"/>
        <w:rPr>
          <w:rFonts w:ascii="Times New Roman" w:hAnsi="Times New Roman"/>
          <w:lang w:val="pt-BR"/>
        </w:rPr>
      </w:pPr>
      <w:r w:rsidRPr="00C961DD">
        <w:rPr>
          <w:rFonts w:ascii="Times New Roman" w:hAnsi="Times New Roman"/>
          <w:lang w:val="pt-BR"/>
        </w:rPr>
        <w:t xml:space="preserve">*E –mail: </w:t>
      </w:r>
      <w:hyperlink r:id="rId8" w:history="1">
        <w:r w:rsidRPr="00C961DD">
          <w:rPr>
            <w:rStyle w:val="Hyperlink"/>
            <w:rFonts w:ascii="Times New Roman" w:eastAsiaTheme="majorEastAsia" w:hAnsi="Times New Roman"/>
            <w:lang w:val="pt-BR"/>
          </w:rPr>
          <w:t>thiago.anastacio1@hotmail.com</w:t>
        </w:r>
      </w:hyperlink>
    </w:p>
    <w:bookmarkEnd w:id="0"/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7BF025EF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Resumo/Abstract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7BF025EF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Resumo/Abstract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3861F174" w14:textId="77777777" w:rsidR="00623F28" w:rsidRDefault="00EA4E1B" w:rsidP="00623F28">
      <w:pPr>
        <w:pStyle w:val="BDAbstract"/>
        <w:pBdr>
          <w:bottom w:val="single" w:sz="6" w:space="8" w:color="auto"/>
        </w:pBdr>
        <w:spacing w:line="276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RESUMO - </w:t>
      </w:r>
      <w:r w:rsidR="00623F28">
        <w:rPr>
          <w:rFonts w:ascii="Times New Roman" w:hAnsi="Times New Roman"/>
          <w:b w:val="0"/>
          <w:sz w:val="20"/>
          <w:lang w:val="pt-BR"/>
        </w:rPr>
        <w:t>P</w:t>
      </w:r>
      <w:r w:rsidR="00623F28" w:rsidRPr="00A27B6A">
        <w:rPr>
          <w:rFonts w:ascii="Times New Roman" w:hAnsi="Times New Roman"/>
          <w:b w:val="0"/>
          <w:sz w:val="20"/>
          <w:lang w:val="pt-BR"/>
        </w:rPr>
        <w:t>erovskita</w:t>
      </w:r>
      <w:r w:rsidR="00623F28">
        <w:rPr>
          <w:rFonts w:ascii="Times New Roman" w:hAnsi="Times New Roman"/>
          <w:b w:val="0"/>
          <w:sz w:val="20"/>
          <w:lang w:val="pt-BR"/>
        </w:rPr>
        <w:t>s do tipo LaNiO</w:t>
      </w:r>
      <w:r w:rsidR="00623F28" w:rsidRPr="001B77DC">
        <w:rPr>
          <w:rFonts w:ascii="Times New Roman" w:hAnsi="Times New Roman"/>
          <w:b w:val="0"/>
          <w:sz w:val="20"/>
          <w:vertAlign w:val="subscript"/>
          <w:lang w:val="pt-BR"/>
        </w:rPr>
        <w:t>3</w:t>
      </w:r>
      <w:r w:rsidR="00623F28">
        <w:rPr>
          <w:rFonts w:ascii="Times New Roman" w:hAnsi="Times New Roman"/>
          <w:b w:val="0"/>
          <w:sz w:val="20"/>
          <w:lang w:val="pt-BR"/>
        </w:rPr>
        <w:t xml:space="preserve"> foram</w:t>
      </w:r>
      <w:r w:rsidR="00623F28" w:rsidRPr="00A27B6A">
        <w:rPr>
          <w:rFonts w:ascii="Times New Roman" w:hAnsi="Times New Roman"/>
          <w:b w:val="0"/>
          <w:sz w:val="20"/>
          <w:lang w:val="pt-BR"/>
        </w:rPr>
        <w:t xml:space="preserve"> sintetizad</w:t>
      </w:r>
      <w:r w:rsidR="00623F28">
        <w:rPr>
          <w:rFonts w:ascii="Times New Roman" w:hAnsi="Times New Roman"/>
          <w:b w:val="0"/>
          <w:sz w:val="20"/>
          <w:lang w:val="pt-BR"/>
        </w:rPr>
        <w:t>as</w:t>
      </w:r>
      <w:r w:rsidR="00623F28" w:rsidRPr="00A27B6A">
        <w:rPr>
          <w:rFonts w:ascii="Times New Roman" w:hAnsi="Times New Roman"/>
          <w:b w:val="0"/>
          <w:sz w:val="20"/>
          <w:lang w:val="pt-BR"/>
        </w:rPr>
        <w:t xml:space="preserve"> pela rota dos</w:t>
      </w:r>
      <w:r w:rsidR="00623F28">
        <w:rPr>
          <w:rFonts w:ascii="Times New Roman" w:hAnsi="Times New Roman"/>
          <w:b w:val="0"/>
          <w:sz w:val="20"/>
          <w:lang w:val="pt-BR"/>
        </w:rPr>
        <w:t xml:space="preserve"> citratos e caracterizadas por difração de raios X</w:t>
      </w:r>
      <w:r w:rsidR="00623F28" w:rsidRPr="00A27B6A">
        <w:rPr>
          <w:rFonts w:ascii="Times New Roman" w:hAnsi="Times New Roman"/>
          <w:b w:val="0"/>
          <w:sz w:val="20"/>
          <w:lang w:val="pt-BR"/>
        </w:rPr>
        <w:t>, redução com hidrogênio à temperatura programada e área superfi</w:t>
      </w:r>
      <w:r w:rsidR="00623F28">
        <w:rPr>
          <w:rFonts w:ascii="Times New Roman" w:hAnsi="Times New Roman"/>
          <w:b w:val="0"/>
          <w:sz w:val="20"/>
          <w:lang w:val="pt-BR"/>
        </w:rPr>
        <w:t>cial específica (Método B.E.T.). A avaliação catalítica</w:t>
      </w:r>
      <w:r w:rsidR="00623F28" w:rsidRPr="00A27B6A">
        <w:rPr>
          <w:rFonts w:ascii="Times New Roman" w:hAnsi="Times New Roman"/>
          <w:b w:val="0"/>
          <w:sz w:val="20"/>
          <w:lang w:val="pt-BR"/>
        </w:rPr>
        <w:t xml:space="preserve"> </w:t>
      </w:r>
      <w:r w:rsidR="00623F28">
        <w:rPr>
          <w:rFonts w:ascii="Times New Roman" w:hAnsi="Times New Roman"/>
          <w:b w:val="0"/>
          <w:sz w:val="20"/>
          <w:lang w:val="pt-BR"/>
        </w:rPr>
        <w:t xml:space="preserve">dos materiais foi realizada na reação da </w:t>
      </w:r>
      <w:r w:rsidR="00623F28" w:rsidRPr="00A27B6A">
        <w:rPr>
          <w:rFonts w:ascii="Times New Roman" w:hAnsi="Times New Roman"/>
          <w:b w:val="0"/>
          <w:sz w:val="20"/>
          <w:lang w:val="pt-BR"/>
        </w:rPr>
        <w:t>reforma seca do metano em presença de O</w:t>
      </w:r>
      <w:r w:rsidR="00623F28" w:rsidRPr="001B77DC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623F28" w:rsidRPr="00A27B6A">
        <w:rPr>
          <w:rFonts w:ascii="Times New Roman" w:hAnsi="Times New Roman"/>
          <w:b w:val="0"/>
          <w:sz w:val="20"/>
          <w:lang w:val="pt-BR"/>
        </w:rPr>
        <w:t xml:space="preserve">, </w:t>
      </w:r>
      <w:r w:rsidR="00623F28">
        <w:rPr>
          <w:rFonts w:ascii="Times New Roman" w:hAnsi="Times New Roman"/>
          <w:b w:val="0"/>
          <w:sz w:val="20"/>
          <w:lang w:val="pt-BR"/>
        </w:rPr>
        <w:t xml:space="preserve">em três temperaturas distintas 600, 700 e 800°C, </w:t>
      </w:r>
      <w:r w:rsidR="00623F28" w:rsidRPr="00A27B6A">
        <w:rPr>
          <w:rFonts w:ascii="Times New Roman" w:hAnsi="Times New Roman"/>
          <w:b w:val="0"/>
          <w:sz w:val="20"/>
          <w:lang w:val="pt-BR"/>
        </w:rPr>
        <w:t xml:space="preserve">com o objetivo de verificar o efeito </w:t>
      </w:r>
      <w:r w:rsidR="00623F28">
        <w:rPr>
          <w:rFonts w:ascii="Times New Roman" w:hAnsi="Times New Roman"/>
          <w:b w:val="0"/>
          <w:sz w:val="20"/>
          <w:lang w:val="pt-BR"/>
        </w:rPr>
        <w:t>da temperatura</w:t>
      </w:r>
      <w:r w:rsidR="00623F28" w:rsidRPr="00A27B6A">
        <w:rPr>
          <w:rFonts w:ascii="Times New Roman" w:hAnsi="Times New Roman"/>
          <w:b w:val="0"/>
          <w:sz w:val="20"/>
          <w:lang w:val="pt-BR"/>
        </w:rPr>
        <w:t xml:space="preserve"> sobre </w:t>
      </w:r>
      <w:r w:rsidR="00623F28">
        <w:rPr>
          <w:rFonts w:ascii="Times New Roman" w:hAnsi="Times New Roman"/>
          <w:b w:val="0"/>
          <w:sz w:val="20"/>
          <w:lang w:val="pt-BR"/>
        </w:rPr>
        <w:t>a atividade, seletividade e</w:t>
      </w:r>
      <w:r w:rsidR="00623F28" w:rsidRPr="00A27B6A">
        <w:rPr>
          <w:rFonts w:ascii="Times New Roman" w:hAnsi="Times New Roman"/>
          <w:b w:val="0"/>
          <w:sz w:val="20"/>
          <w:lang w:val="pt-BR"/>
        </w:rPr>
        <w:t xml:space="preserve"> resistência à</w:t>
      </w:r>
      <w:r w:rsidR="00623F28" w:rsidRPr="00AF438F">
        <w:rPr>
          <w:rFonts w:ascii="Times New Roman" w:hAnsi="Times New Roman"/>
          <w:b w:val="0"/>
          <w:sz w:val="20"/>
          <w:lang w:val="pt-BR"/>
        </w:rPr>
        <w:t xml:space="preserve"> desativação por deposição de coque. Os resultados obtidos indicaram que o sistema catalítico se mostrou sensível </w:t>
      </w:r>
      <w:r w:rsidR="00623F28">
        <w:rPr>
          <w:rFonts w:ascii="Times New Roman" w:hAnsi="Times New Roman"/>
          <w:b w:val="0"/>
          <w:sz w:val="20"/>
          <w:lang w:val="pt-BR"/>
        </w:rPr>
        <w:t>à</w:t>
      </w:r>
      <w:r w:rsidR="00623F28" w:rsidRPr="00AF438F">
        <w:rPr>
          <w:rFonts w:ascii="Times New Roman" w:hAnsi="Times New Roman"/>
          <w:b w:val="0"/>
          <w:sz w:val="20"/>
          <w:lang w:val="pt-BR"/>
        </w:rPr>
        <w:t xml:space="preserve"> variação de temperatura</w:t>
      </w:r>
      <w:r w:rsidR="00623F28">
        <w:rPr>
          <w:rFonts w:ascii="Times New Roman" w:hAnsi="Times New Roman"/>
          <w:b w:val="0"/>
          <w:sz w:val="20"/>
          <w:lang w:val="pt-BR"/>
        </w:rPr>
        <w:t xml:space="preserve"> e</w:t>
      </w:r>
      <w:r w:rsidR="00623F28" w:rsidRPr="00AF438F">
        <w:rPr>
          <w:rFonts w:ascii="Times New Roman" w:hAnsi="Times New Roman"/>
          <w:b w:val="0"/>
          <w:sz w:val="20"/>
          <w:lang w:val="pt-BR"/>
        </w:rPr>
        <w:t xml:space="preserve"> que </w:t>
      </w:r>
      <w:r w:rsidR="00623F28">
        <w:rPr>
          <w:rFonts w:ascii="Times New Roman" w:hAnsi="Times New Roman"/>
          <w:b w:val="0"/>
          <w:sz w:val="20"/>
          <w:lang w:val="pt-BR"/>
        </w:rPr>
        <w:t>a</w:t>
      </w:r>
      <w:r w:rsidR="00623F28" w:rsidRPr="00AF438F">
        <w:rPr>
          <w:rFonts w:ascii="Times New Roman" w:hAnsi="Times New Roman"/>
          <w:b w:val="0"/>
          <w:sz w:val="20"/>
          <w:lang w:val="pt-BR"/>
        </w:rPr>
        <w:t xml:space="preserve"> temperatura de 800°C é a melhor para se trabalhar </w:t>
      </w:r>
      <w:r w:rsidR="00623F28">
        <w:rPr>
          <w:rFonts w:ascii="Times New Roman" w:hAnsi="Times New Roman"/>
          <w:b w:val="0"/>
          <w:sz w:val="20"/>
          <w:lang w:val="pt-BR"/>
        </w:rPr>
        <w:t>com estes materiais, tendo apresentado os melhores dados de conversão, seletividade e resistência à deposição de coque. A</w:t>
      </w:r>
      <w:r w:rsidR="00623F28" w:rsidRPr="00C66079">
        <w:rPr>
          <w:rFonts w:ascii="Times New Roman" w:hAnsi="Times New Roman"/>
          <w:b w:val="0"/>
          <w:sz w:val="20"/>
          <w:lang w:val="pt-BR"/>
        </w:rPr>
        <w:t xml:space="preserve"> La</w:t>
      </w:r>
      <w:r w:rsidR="00623F28" w:rsidRPr="00C66079">
        <w:rPr>
          <w:rFonts w:ascii="Times New Roman" w:hAnsi="Times New Roman"/>
          <w:b w:val="0"/>
          <w:sz w:val="20"/>
          <w:vertAlign w:val="subscript"/>
          <w:lang w:val="pt-BR"/>
        </w:rPr>
        <w:t>0,7</w:t>
      </w:r>
      <w:r w:rsidR="00623F28" w:rsidRPr="00C66079">
        <w:rPr>
          <w:rFonts w:ascii="Times New Roman" w:hAnsi="Times New Roman"/>
          <w:b w:val="0"/>
          <w:sz w:val="20"/>
          <w:lang w:val="pt-BR"/>
        </w:rPr>
        <w:t>Ce</w:t>
      </w:r>
      <w:r w:rsidR="00623F28" w:rsidRPr="00C66079">
        <w:rPr>
          <w:rFonts w:ascii="Times New Roman" w:hAnsi="Times New Roman"/>
          <w:b w:val="0"/>
          <w:sz w:val="20"/>
          <w:vertAlign w:val="subscript"/>
          <w:lang w:val="pt-BR"/>
        </w:rPr>
        <w:t>0,3</w:t>
      </w:r>
      <w:r w:rsidR="00623F28" w:rsidRPr="00C66079">
        <w:rPr>
          <w:rFonts w:ascii="Times New Roman" w:hAnsi="Times New Roman"/>
          <w:b w:val="0"/>
          <w:sz w:val="20"/>
          <w:lang w:val="pt-BR"/>
        </w:rPr>
        <w:t>NiO</w:t>
      </w:r>
      <w:r w:rsidR="00623F28" w:rsidRPr="00C66079">
        <w:rPr>
          <w:rFonts w:ascii="Times New Roman" w:hAnsi="Times New Roman"/>
          <w:b w:val="0"/>
          <w:sz w:val="20"/>
          <w:vertAlign w:val="subscript"/>
          <w:lang w:val="pt-BR"/>
        </w:rPr>
        <w:t>3</w:t>
      </w:r>
      <w:r w:rsidR="00623F28" w:rsidRPr="00C66079">
        <w:rPr>
          <w:rFonts w:ascii="Times New Roman" w:hAnsi="Times New Roman"/>
          <w:b w:val="0"/>
          <w:sz w:val="20"/>
          <w:lang w:val="pt-BR"/>
        </w:rPr>
        <w:t xml:space="preserve"> </w:t>
      </w:r>
      <w:r w:rsidR="00623F28">
        <w:rPr>
          <w:rFonts w:ascii="Times New Roman" w:hAnsi="Times New Roman"/>
          <w:b w:val="0"/>
          <w:sz w:val="20"/>
          <w:lang w:val="pt-BR"/>
        </w:rPr>
        <w:t>apresenta</w:t>
      </w:r>
      <w:r w:rsidR="00623F28" w:rsidRPr="00C66079">
        <w:rPr>
          <w:rFonts w:ascii="Times New Roman" w:hAnsi="Times New Roman"/>
          <w:b w:val="0"/>
          <w:sz w:val="20"/>
          <w:lang w:val="pt-BR"/>
        </w:rPr>
        <w:t xml:space="preserve"> </w:t>
      </w:r>
      <w:r w:rsidR="00623F28">
        <w:rPr>
          <w:rFonts w:ascii="Times New Roman" w:hAnsi="Times New Roman"/>
          <w:b w:val="0"/>
          <w:sz w:val="20"/>
          <w:lang w:val="pt-BR"/>
        </w:rPr>
        <w:t xml:space="preserve">de forma mais acentuada a </w:t>
      </w:r>
      <w:r w:rsidR="00623F28" w:rsidRPr="00C66079">
        <w:rPr>
          <w:rFonts w:ascii="Times New Roman" w:hAnsi="Times New Roman"/>
          <w:b w:val="0"/>
          <w:sz w:val="20"/>
          <w:lang w:val="pt-BR"/>
        </w:rPr>
        <w:t>melhora nas taxas de conversão e seletividade ao se aumentar a temperatura</w:t>
      </w:r>
      <w:r w:rsidR="00623F28">
        <w:rPr>
          <w:rFonts w:ascii="Times New Roman" w:hAnsi="Times New Roman"/>
          <w:b w:val="0"/>
          <w:sz w:val="20"/>
          <w:lang w:val="pt-BR"/>
        </w:rPr>
        <w:t>, por conta da maior estabilidade da estrutura, proveniente da adição de cério.</w:t>
      </w:r>
    </w:p>
    <w:p w14:paraId="2A52083E" w14:textId="77777777" w:rsidR="00E169EF" w:rsidRDefault="00E169EF" w:rsidP="00E169EF">
      <w:pPr>
        <w:pStyle w:val="BDAbstract"/>
        <w:pBdr>
          <w:bottom w:val="single" w:sz="6" w:space="8" w:color="auto"/>
        </w:pBdr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>
        <w:rPr>
          <w:rFonts w:ascii="Times New Roman" w:hAnsi="Times New Roman"/>
          <w:b w:val="0"/>
          <w:i/>
          <w:sz w:val="20"/>
          <w:lang w:val="pt-BR"/>
        </w:rPr>
        <w:t>Perovskita, Hidrogênio, Temperatura, Metano.</w:t>
      </w:r>
    </w:p>
    <w:p w14:paraId="5D8D4445" w14:textId="2078C203" w:rsidR="00EA4E1B" w:rsidRPr="00DA4DFC" w:rsidRDefault="00EA4E1B" w:rsidP="00623F28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12A94292" w14:textId="35625525" w:rsidR="00E169EF" w:rsidRDefault="00EA4E1B" w:rsidP="00E169EF">
      <w:pPr>
        <w:pStyle w:val="BDAbstract"/>
        <w:pBdr>
          <w:bottom w:val="single" w:sz="6" w:space="8" w:color="auto"/>
        </w:pBdr>
        <w:spacing w:before="0" w:after="0" w:line="276" w:lineRule="auto"/>
        <w:rPr>
          <w:rFonts w:ascii="Times New Roman" w:hAnsi="Times New Roman"/>
          <w:b w:val="0"/>
          <w:sz w:val="20"/>
        </w:rPr>
      </w:pPr>
      <w:r w:rsidRPr="00E169EF">
        <w:rPr>
          <w:rFonts w:ascii="Times New Roman" w:hAnsi="Times New Roman"/>
          <w:b w:val="0"/>
          <w:sz w:val="20"/>
        </w:rPr>
        <w:t>ABSTRACT -</w:t>
      </w:r>
      <w:r w:rsidR="00E169EF" w:rsidRPr="00E169EF">
        <w:rPr>
          <w:rFonts w:ascii="Times New Roman" w:hAnsi="Times New Roman"/>
          <w:b w:val="0"/>
          <w:sz w:val="20"/>
        </w:rPr>
        <w:t xml:space="preserve"> LaNiO</w:t>
      </w:r>
      <w:r w:rsidR="00E169EF" w:rsidRPr="00E169EF">
        <w:rPr>
          <w:rFonts w:ascii="Times New Roman" w:hAnsi="Times New Roman"/>
          <w:b w:val="0"/>
          <w:sz w:val="20"/>
          <w:vertAlign w:val="subscript"/>
        </w:rPr>
        <w:t>3</w:t>
      </w:r>
      <w:r w:rsidR="00E169EF" w:rsidRPr="00E169EF">
        <w:rPr>
          <w:rFonts w:ascii="Times New Roman" w:hAnsi="Times New Roman"/>
          <w:b w:val="0"/>
          <w:sz w:val="20"/>
        </w:rPr>
        <w:t>-based perovskite catalysts</w:t>
      </w:r>
      <w:r w:rsidR="00E169EF" w:rsidRPr="00230D39">
        <w:rPr>
          <w:rFonts w:ascii="Times New Roman" w:hAnsi="Times New Roman"/>
          <w:b w:val="0"/>
          <w:sz w:val="20"/>
        </w:rPr>
        <w:t>, w</w:t>
      </w:r>
      <w:r w:rsidR="00E169EF">
        <w:rPr>
          <w:rFonts w:ascii="Times New Roman" w:hAnsi="Times New Roman"/>
          <w:b w:val="0"/>
          <w:sz w:val="20"/>
        </w:rPr>
        <w:t>as</w:t>
      </w:r>
      <w:r w:rsidR="00E169EF" w:rsidRPr="00230D39">
        <w:rPr>
          <w:rFonts w:ascii="Times New Roman" w:hAnsi="Times New Roman"/>
          <w:b w:val="0"/>
          <w:sz w:val="20"/>
        </w:rPr>
        <w:t xml:space="preserve"> synthesized by the citrate route and char</w:t>
      </w:r>
      <w:r w:rsidR="00E169EF">
        <w:rPr>
          <w:rFonts w:ascii="Times New Roman" w:hAnsi="Times New Roman"/>
          <w:b w:val="0"/>
          <w:sz w:val="20"/>
        </w:rPr>
        <w:t>acterized by X-ray diffraction</w:t>
      </w:r>
      <w:r w:rsidR="00E169EF" w:rsidRPr="00230D39">
        <w:rPr>
          <w:rFonts w:ascii="Times New Roman" w:hAnsi="Times New Roman"/>
          <w:b w:val="0"/>
          <w:sz w:val="20"/>
        </w:rPr>
        <w:t xml:space="preserve">, </w:t>
      </w:r>
      <w:r w:rsidR="00E169EF">
        <w:rPr>
          <w:rFonts w:ascii="Times New Roman" w:hAnsi="Times New Roman"/>
          <w:b w:val="0"/>
          <w:sz w:val="20"/>
        </w:rPr>
        <w:t xml:space="preserve">temperature programmed hydrogen </w:t>
      </w:r>
      <w:r w:rsidR="00E169EF" w:rsidRPr="00230D39">
        <w:rPr>
          <w:rFonts w:ascii="Times New Roman" w:hAnsi="Times New Roman"/>
          <w:b w:val="0"/>
          <w:sz w:val="20"/>
        </w:rPr>
        <w:t xml:space="preserve">reduction and </w:t>
      </w:r>
      <w:r w:rsidR="00E169EF">
        <w:rPr>
          <w:rFonts w:ascii="Times New Roman" w:hAnsi="Times New Roman"/>
          <w:b w:val="0"/>
          <w:sz w:val="20"/>
        </w:rPr>
        <w:t xml:space="preserve">surface area measurement by the </w:t>
      </w:r>
      <w:r w:rsidR="00E169EF" w:rsidRPr="00230D39">
        <w:rPr>
          <w:rFonts w:ascii="Times New Roman" w:hAnsi="Times New Roman"/>
          <w:b w:val="0"/>
          <w:sz w:val="20"/>
        </w:rPr>
        <w:t xml:space="preserve">BET </w:t>
      </w:r>
      <w:r w:rsidR="00E169EF">
        <w:rPr>
          <w:rFonts w:ascii="Times New Roman" w:hAnsi="Times New Roman"/>
          <w:b w:val="0"/>
          <w:sz w:val="20"/>
        </w:rPr>
        <w:t>m</w:t>
      </w:r>
      <w:r w:rsidR="00E169EF" w:rsidRPr="00230D39">
        <w:rPr>
          <w:rFonts w:ascii="Times New Roman" w:hAnsi="Times New Roman"/>
          <w:b w:val="0"/>
          <w:sz w:val="20"/>
        </w:rPr>
        <w:t xml:space="preserve">ethod. </w:t>
      </w:r>
      <w:r w:rsidR="00E169EF">
        <w:rPr>
          <w:rFonts w:ascii="Times New Roman" w:hAnsi="Times New Roman"/>
          <w:b w:val="0"/>
          <w:sz w:val="20"/>
        </w:rPr>
        <w:t xml:space="preserve">The </w:t>
      </w:r>
      <w:r w:rsidR="00E169EF" w:rsidRPr="00230D39">
        <w:rPr>
          <w:rFonts w:ascii="Times New Roman" w:hAnsi="Times New Roman"/>
          <w:b w:val="0"/>
          <w:sz w:val="20"/>
        </w:rPr>
        <w:t xml:space="preserve">catalytic activity </w:t>
      </w:r>
      <w:r w:rsidR="00E169EF">
        <w:rPr>
          <w:rFonts w:ascii="Times New Roman" w:hAnsi="Times New Roman"/>
          <w:b w:val="0"/>
          <w:sz w:val="20"/>
        </w:rPr>
        <w:t>testes</w:t>
      </w:r>
      <w:r w:rsidR="00E169EF" w:rsidRPr="00230D39">
        <w:rPr>
          <w:rFonts w:ascii="Times New Roman" w:hAnsi="Times New Roman"/>
          <w:b w:val="0"/>
          <w:sz w:val="20"/>
        </w:rPr>
        <w:t xml:space="preserve"> w</w:t>
      </w:r>
      <w:r w:rsidR="00E169EF">
        <w:rPr>
          <w:rFonts w:ascii="Times New Roman" w:hAnsi="Times New Roman"/>
          <w:b w:val="0"/>
          <w:sz w:val="20"/>
        </w:rPr>
        <w:t>ere carried out in</w:t>
      </w:r>
      <w:r w:rsidR="00E169EF" w:rsidRPr="00230D39">
        <w:rPr>
          <w:rFonts w:ascii="Times New Roman" w:hAnsi="Times New Roman"/>
          <w:b w:val="0"/>
          <w:sz w:val="20"/>
        </w:rPr>
        <w:t xml:space="preserve"> </w:t>
      </w:r>
      <w:r w:rsidR="00E169EF">
        <w:rPr>
          <w:rFonts w:ascii="Times New Roman" w:hAnsi="Times New Roman"/>
          <w:b w:val="0"/>
          <w:sz w:val="20"/>
        </w:rPr>
        <w:t xml:space="preserve">the methane </w:t>
      </w:r>
      <w:r w:rsidR="00E169EF" w:rsidRPr="00230D39">
        <w:rPr>
          <w:rFonts w:ascii="Times New Roman" w:hAnsi="Times New Roman"/>
          <w:b w:val="0"/>
          <w:sz w:val="20"/>
        </w:rPr>
        <w:t>dry reform</w:t>
      </w:r>
      <w:r w:rsidR="00E169EF">
        <w:rPr>
          <w:rFonts w:ascii="Times New Roman" w:hAnsi="Times New Roman"/>
          <w:b w:val="0"/>
          <w:sz w:val="20"/>
        </w:rPr>
        <w:t>ing</w:t>
      </w:r>
      <w:r w:rsidR="00E169EF" w:rsidRPr="00230D39">
        <w:rPr>
          <w:rFonts w:ascii="Times New Roman" w:hAnsi="Times New Roman"/>
          <w:b w:val="0"/>
          <w:sz w:val="20"/>
        </w:rPr>
        <w:t xml:space="preserve"> </w:t>
      </w:r>
      <w:r w:rsidR="00E169EF">
        <w:rPr>
          <w:rFonts w:ascii="Times New Roman" w:hAnsi="Times New Roman"/>
          <w:b w:val="0"/>
          <w:sz w:val="20"/>
        </w:rPr>
        <w:t>i</w:t>
      </w:r>
      <w:r w:rsidR="00E169EF" w:rsidRPr="00230D39">
        <w:rPr>
          <w:rFonts w:ascii="Times New Roman" w:hAnsi="Times New Roman"/>
          <w:b w:val="0"/>
          <w:sz w:val="20"/>
        </w:rPr>
        <w:t>n the presence of O</w:t>
      </w:r>
      <w:r w:rsidR="00E169EF" w:rsidRPr="001B77DC">
        <w:rPr>
          <w:rFonts w:ascii="Times New Roman" w:hAnsi="Times New Roman"/>
          <w:b w:val="0"/>
          <w:sz w:val="20"/>
          <w:vertAlign w:val="subscript"/>
        </w:rPr>
        <w:t>2</w:t>
      </w:r>
      <w:r w:rsidR="00E169EF" w:rsidRPr="00230D39">
        <w:rPr>
          <w:rFonts w:ascii="Times New Roman" w:hAnsi="Times New Roman"/>
          <w:b w:val="0"/>
          <w:sz w:val="20"/>
        </w:rPr>
        <w:t>, in three differen</w:t>
      </w:r>
      <w:r w:rsidR="00E169EF">
        <w:rPr>
          <w:rFonts w:ascii="Times New Roman" w:hAnsi="Times New Roman"/>
          <w:b w:val="0"/>
          <w:sz w:val="20"/>
        </w:rPr>
        <w:t>t temperatures 600, 700 and 800</w:t>
      </w:r>
      <w:r w:rsidR="00E169EF" w:rsidRPr="00230D39">
        <w:rPr>
          <w:rFonts w:ascii="Times New Roman" w:hAnsi="Times New Roman"/>
          <w:b w:val="0"/>
          <w:sz w:val="20"/>
        </w:rPr>
        <w:t xml:space="preserve">°C, </w:t>
      </w:r>
      <w:r w:rsidR="00E169EF">
        <w:rPr>
          <w:rFonts w:ascii="Times New Roman" w:hAnsi="Times New Roman"/>
          <w:b w:val="0"/>
          <w:sz w:val="20"/>
        </w:rPr>
        <w:t>in order to investigate</w:t>
      </w:r>
      <w:r w:rsidR="00E169EF" w:rsidRPr="00230D39">
        <w:rPr>
          <w:rFonts w:ascii="Times New Roman" w:hAnsi="Times New Roman"/>
          <w:b w:val="0"/>
          <w:sz w:val="20"/>
        </w:rPr>
        <w:t xml:space="preserve"> the effect of</w:t>
      </w:r>
      <w:r w:rsidR="00E169EF">
        <w:rPr>
          <w:rFonts w:ascii="Times New Roman" w:hAnsi="Times New Roman"/>
          <w:b w:val="0"/>
          <w:sz w:val="20"/>
        </w:rPr>
        <w:t xml:space="preserve"> </w:t>
      </w:r>
      <w:r w:rsidR="00E169EF" w:rsidRPr="00230D39">
        <w:rPr>
          <w:rFonts w:ascii="Times New Roman" w:hAnsi="Times New Roman"/>
          <w:b w:val="0"/>
          <w:sz w:val="20"/>
        </w:rPr>
        <w:t xml:space="preserve">temperature </w:t>
      </w:r>
      <w:r w:rsidR="00E169EF">
        <w:rPr>
          <w:rFonts w:ascii="Times New Roman" w:hAnsi="Times New Roman"/>
          <w:b w:val="0"/>
          <w:sz w:val="20"/>
        </w:rPr>
        <w:t>in methane conversion, selectivity and resistance to coke deposition</w:t>
      </w:r>
      <w:r w:rsidR="00E169EF" w:rsidRPr="00230D39">
        <w:rPr>
          <w:rFonts w:ascii="Times New Roman" w:hAnsi="Times New Roman"/>
          <w:b w:val="0"/>
          <w:sz w:val="20"/>
        </w:rPr>
        <w:t xml:space="preserve"> of this material</w:t>
      </w:r>
      <w:r w:rsidR="00E169EF">
        <w:rPr>
          <w:rFonts w:ascii="Times New Roman" w:hAnsi="Times New Roman"/>
          <w:b w:val="0"/>
          <w:sz w:val="20"/>
        </w:rPr>
        <w:t>.</w:t>
      </w:r>
      <w:r w:rsidR="00E169EF" w:rsidRPr="00230D39">
        <w:rPr>
          <w:rFonts w:ascii="Times New Roman" w:hAnsi="Times New Roman"/>
          <w:b w:val="0"/>
          <w:sz w:val="20"/>
        </w:rPr>
        <w:t xml:space="preserve"> </w:t>
      </w:r>
      <w:r w:rsidR="00E169EF">
        <w:rPr>
          <w:rFonts w:ascii="Times New Roman" w:hAnsi="Times New Roman"/>
          <w:b w:val="0"/>
          <w:sz w:val="20"/>
        </w:rPr>
        <w:t>The results indicated that temperature direct influences the catalytic activity and at 800</w:t>
      </w:r>
      <w:r w:rsidR="00E169EF" w:rsidRPr="00E169EF">
        <w:rPr>
          <w:rFonts w:ascii="Times New Roman" w:hAnsi="Times New Roman"/>
          <w:b w:val="0"/>
          <w:sz w:val="20"/>
        </w:rPr>
        <w:t>°</w:t>
      </w:r>
      <w:r w:rsidR="00E169EF">
        <w:rPr>
          <w:rFonts w:ascii="Times New Roman" w:hAnsi="Times New Roman"/>
          <w:b w:val="0"/>
          <w:sz w:val="20"/>
        </w:rPr>
        <w:t xml:space="preserve">C, the material presented the highest conversion and selectivity values, and also presented the highest resistance to coke deactivation. </w:t>
      </w:r>
      <w:r w:rsidR="00E169EF" w:rsidRPr="00C66079">
        <w:rPr>
          <w:rFonts w:ascii="Times New Roman" w:hAnsi="Times New Roman"/>
          <w:b w:val="0"/>
          <w:sz w:val="20"/>
        </w:rPr>
        <w:t>The La</w:t>
      </w:r>
      <w:r w:rsidR="00E169EF" w:rsidRPr="00C66079">
        <w:rPr>
          <w:rFonts w:ascii="Times New Roman" w:hAnsi="Times New Roman"/>
          <w:b w:val="0"/>
          <w:sz w:val="20"/>
          <w:vertAlign w:val="subscript"/>
        </w:rPr>
        <w:t>0.7</w:t>
      </w:r>
      <w:r w:rsidR="00E169EF" w:rsidRPr="00C66079">
        <w:rPr>
          <w:rFonts w:ascii="Times New Roman" w:hAnsi="Times New Roman"/>
          <w:b w:val="0"/>
          <w:sz w:val="20"/>
        </w:rPr>
        <w:t>Ce</w:t>
      </w:r>
      <w:r w:rsidR="00E169EF" w:rsidRPr="00C66079">
        <w:rPr>
          <w:rFonts w:ascii="Times New Roman" w:hAnsi="Times New Roman"/>
          <w:b w:val="0"/>
          <w:sz w:val="20"/>
          <w:vertAlign w:val="subscript"/>
        </w:rPr>
        <w:t>0.3</w:t>
      </w:r>
      <w:r w:rsidR="00E169EF" w:rsidRPr="00C66079">
        <w:rPr>
          <w:rFonts w:ascii="Times New Roman" w:hAnsi="Times New Roman"/>
          <w:b w:val="0"/>
          <w:sz w:val="20"/>
        </w:rPr>
        <w:t>NiO</w:t>
      </w:r>
      <w:r w:rsidR="00E169EF" w:rsidRPr="00C66079">
        <w:rPr>
          <w:rFonts w:ascii="Times New Roman" w:hAnsi="Times New Roman"/>
          <w:b w:val="0"/>
          <w:sz w:val="20"/>
          <w:vertAlign w:val="subscript"/>
        </w:rPr>
        <w:t>3</w:t>
      </w:r>
      <w:r w:rsidR="00E169EF" w:rsidRPr="00C66079">
        <w:rPr>
          <w:rFonts w:ascii="Times New Roman" w:hAnsi="Times New Roman"/>
          <w:b w:val="0"/>
          <w:sz w:val="20"/>
        </w:rPr>
        <w:t xml:space="preserve"> shows more pronounced improvement in the conversion rates and selectivity when increasing the temperature, due to the greater stability of the structure, from the addition of cerium.</w:t>
      </w:r>
    </w:p>
    <w:p w14:paraId="026BA632" w14:textId="77777777" w:rsidR="00E169EF" w:rsidRPr="00230D39" w:rsidRDefault="00E169EF" w:rsidP="00E169EF">
      <w:pPr>
        <w:pStyle w:val="BDAbstract"/>
        <w:pBdr>
          <w:bottom w:val="single" w:sz="6" w:space="8" w:color="auto"/>
        </w:pBdr>
        <w:spacing w:before="0" w:after="0" w:line="240" w:lineRule="auto"/>
        <w:rPr>
          <w:rFonts w:ascii="Times New Roman" w:hAnsi="Times New Roman"/>
          <w:b w:val="0"/>
          <w:sz w:val="20"/>
        </w:rPr>
      </w:pPr>
    </w:p>
    <w:p w14:paraId="76D386C1" w14:textId="77777777" w:rsidR="00E169EF" w:rsidRPr="00E169EF" w:rsidRDefault="00E169EF" w:rsidP="00E169EF">
      <w:pPr>
        <w:pStyle w:val="BDAbstract"/>
        <w:pBdr>
          <w:bottom w:val="single" w:sz="6" w:space="8" w:color="auto"/>
        </w:pBdr>
        <w:spacing w:before="0" w:after="0" w:line="240" w:lineRule="auto"/>
        <w:rPr>
          <w:rFonts w:ascii="Times New Roman" w:hAnsi="Times New Roman"/>
          <w:b w:val="0"/>
          <w:i/>
          <w:sz w:val="20"/>
        </w:rPr>
      </w:pPr>
      <w:r w:rsidRPr="00E169EF">
        <w:rPr>
          <w:rFonts w:ascii="Times New Roman" w:hAnsi="Times New Roman"/>
          <w:b w:val="0"/>
          <w:i/>
          <w:sz w:val="20"/>
        </w:rPr>
        <w:t>Keywords: Perovskite, Hydrogen, Temperature, Methane.</w:t>
      </w:r>
    </w:p>
    <w:p w14:paraId="5F4A84E8" w14:textId="2BE59BF8" w:rsidR="00EA4E1B" w:rsidRPr="00E169EF" w:rsidRDefault="00EA4E1B" w:rsidP="00E169EF">
      <w:pPr>
        <w:pStyle w:val="BDAbstract"/>
        <w:spacing w:before="0" w:after="0" w:line="240" w:lineRule="auto"/>
        <w:rPr>
          <w:rFonts w:ascii="Times New Roman" w:hAnsi="Times New Roman"/>
          <w:b w:val="0"/>
          <w:i/>
          <w:sz w:val="20"/>
        </w:rPr>
      </w:pPr>
    </w:p>
    <w:bookmarkEnd w:id="1"/>
    <w:p w14:paraId="48D9B0C4" w14:textId="77777777" w:rsidR="00EA4E1B" w:rsidRPr="00E169EF" w:rsidRDefault="00EA4E1B" w:rsidP="00EA4E1B">
      <w:pPr>
        <w:rPr>
          <w:lang w:val="en-US"/>
        </w:rPr>
        <w:sectPr w:rsidR="00EA4E1B" w:rsidRPr="00E169EF" w:rsidSect="00EA4E1B">
          <w:headerReference w:type="default" r:id="rId9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77777777" w:rsidR="00EA4E1B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18BBC0F1" w14:textId="1B236E53" w:rsidR="009E3CCE" w:rsidRDefault="004E2E77" w:rsidP="009E3CCE">
      <w:pPr>
        <w:pStyle w:val="TAMainText"/>
        <w:spacing w:line="276" w:lineRule="auto"/>
        <w:rPr>
          <w:lang w:val="pt-BR"/>
        </w:rPr>
      </w:pPr>
      <w:r>
        <w:rPr>
          <w:lang w:val="pt-BR"/>
        </w:rPr>
        <w:t>R</w:t>
      </w:r>
      <w:r w:rsidR="009E3CCE" w:rsidRPr="000B757A">
        <w:rPr>
          <w:lang w:val="pt-BR"/>
        </w:rPr>
        <w:t xml:space="preserve">eações envolvendo metano para a produção de </w:t>
      </w:r>
      <w:r w:rsidR="009E3CCE">
        <w:rPr>
          <w:lang w:val="pt-BR"/>
        </w:rPr>
        <w:t>gás de síntese</w:t>
      </w:r>
      <w:r w:rsidR="009E3CCE" w:rsidRPr="000B757A">
        <w:rPr>
          <w:lang w:val="pt-BR"/>
        </w:rPr>
        <w:t xml:space="preserve">, são </w:t>
      </w:r>
      <w:r w:rsidR="009E3CCE">
        <w:rPr>
          <w:lang w:val="pt-BR"/>
        </w:rPr>
        <w:t>promissoras</w:t>
      </w:r>
      <w:r w:rsidR="009E3CCE" w:rsidRPr="000B757A">
        <w:rPr>
          <w:lang w:val="pt-BR"/>
        </w:rPr>
        <w:t xml:space="preserve">, </w:t>
      </w:r>
      <w:r>
        <w:rPr>
          <w:lang w:val="pt-BR"/>
        </w:rPr>
        <w:t>tendo em vista a sua</w:t>
      </w:r>
      <w:r w:rsidR="009E3CCE" w:rsidRPr="000B757A">
        <w:rPr>
          <w:lang w:val="pt-BR"/>
        </w:rPr>
        <w:t xml:space="preserve"> abundância na natur</w:t>
      </w:r>
      <w:r w:rsidR="009E3CCE">
        <w:rPr>
          <w:lang w:val="pt-BR"/>
        </w:rPr>
        <w:t>eza (1,</w:t>
      </w:r>
      <w:r w:rsidR="009E3CCE" w:rsidRPr="000B757A">
        <w:rPr>
          <w:lang w:val="pt-BR"/>
        </w:rPr>
        <w:t>2</w:t>
      </w:r>
      <w:r w:rsidR="009E3CCE">
        <w:rPr>
          <w:lang w:val="pt-BR"/>
        </w:rPr>
        <w:t>)</w:t>
      </w:r>
      <w:r w:rsidR="009E3CCE" w:rsidRPr="000B757A">
        <w:rPr>
          <w:lang w:val="pt-BR"/>
        </w:rPr>
        <w:t>.</w:t>
      </w:r>
      <w:r w:rsidR="009E3CCE">
        <w:rPr>
          <w:lang w:val="pt-BR"/>
        </w:rPr>
        <w:t xml:space="preserve"> O</w:t>
      </w:r>
      <w:r w:rsidR="009E3CCE" w:rsidRPr="000B757A">
        <w:rPr>
          <w:lang w:val="pt-BR"/>
        </w:rPr>
        <w:t xml:space="preserve"> grande desafio da reforma de biocombustíveis é desenvolver um </w:t>
      </w:r>
      <w:r w:rsidR="009E3CCE">
        <w:rPr>
          <w:lang w:val="pt-BR"/>
        </w:rPr>
        <w:t>sistema</w:t>
      </w:r>
      <w:r w:rsidR="009E3CCE" w:rsidRPr="000B757A">
        <w:rPr>
          <w:lang w:val="pt-BR"/>
        </w:rPr>
        <w:t xml:space="preserve"> que resista a desativação </w:t>
      </w:r>
      <w:r w:rsidR="009E3CCE">
        <w:rPr>
          <w:lang w:val="pt-BR"/>
        </w:rPr>
        <w:t>po</w:t>
      </w:r>
      <w:r w:rsidR="009E3CCE" w:rsidRPr="000B757A">
        <w:rPr>
          <w:lang w:val="pt-BR"/>
        </w:rPr>
        <w:t>r deposição de coque</w:t>
      </w:r>
      <w:r w:rsidR="009E3CCE">
        <w:rPr>
          <w:lang w:val="pt-BR"/>
        </w:rPr>
        <w:t>. Neste cenário,</w:t>
      </w:r>
      <w:r w:rsidR="009E3CCE" w:rsidRPr="000B757A">
        <w:rPr>
          <w:lang w:val="pt-BR"/>
        </w:rPr>
        <w:t xml:space="preserve"> a combinação d</w:t>
      </w:r>
      <w:r w:rsidR="009E3CCE">
        <w:rPr>
          <w:lang w:val="pt-BR"/>
        </w:rPr>
        <w:t>e</w:t>
      </w:r>
      <w:r w:rsidR="009E3CCE" w:rsidRPr="000B757A">
        <w:rPr>
          <w:lang w:val="pt-BR"/>
        </w:rPr>
        <w:t xml:space="preserve"> duas rotas </w:t>
      </w:r>
      <w:r w:rsidR="009E3CCE">
        <w:rPr>
          <w:lang w:val="pt-BR"/>
        </w:rPr>
        <w:t>já estabelecidas (reforma seca e oxidação parcial</w:t>
      </w:r>
      <w:r w:rsidR="009E3CCE" w:rsidRPr="000B757A">
        <w:rPr>
          <w:lang w:val="pt-BR"/>
        </w:rPr>
        <w:t xml:space="preserve">) </w:t>
      </w:r>
      <w:r w:rsidR="009E3CCE">
        <w:rPr>
          <w:lang w:val="pt-BR"/>
        </w:rPr>
        <w:t>para</w:t>
      </w:r>
      <w:r w:rsidR="009E3CCE" w:rsidRPr="000B757A">
        <w:rPr>
          <w:lang w:val="pt-BR"/>
        </w:rPr>
        <w:t xml:space="preserve"> obtenção de gás de síntese,</w:t>
      </w:r>
      <w:r w:rsidR="009E3CCE">
        <w:rPr>
          <w:lang w:val="pt-BR"/>
        </w:rPr>
        <w:t xml:space="preserve"> produz uma reação mais eficiente em termos energéticos,</w:t>
      </w:r>
      <w:r w:rsidR="009E3CCE" w:rsidRPr="000B757A">
        <w:rPr>
          <w:lang w:val="pt-BR"/>
        </w:rPr>
        <w:t xml:space="preserve"> já que o calor liberado na oxidação parcial alimenta a reforma seca,</w:t>
      </w:r>
      <w:r w:rsidR="009E3CCE">
        <w:rPr>
          <w:lang w:val="pt-BR"/>
        </w:rPr>
        <w:t xml:space="preserve"> aumenta</w:t>
      </w:r>
      <w:r w:rsidR="009E3CCE" w:rsidRPr="000B757A">
        <w:rPr>
          <w:lang w:val="pt-BR"/>
        </w:rPr>
        <w:t xml:space="preserve"> a conversão do metano</w:t>
      </w:r>
      <w:r w:rsidR="009E3CCE">
        <w:rPr>
          <w:lang w:val="pt-BR"/>
        </w:rPr>
        <w:t>,</w:t>
      </w:r>
      <w:r w:rsidR="009E3CCE" w:rsidRPr="000B757A">
        <w:rPr>
          <w:lang w:val="pt-BR"/>
        </w:rPr>
        <w:t xml:space="preserve"> </w:t>
      </w:r>
      <w:r w:rsidR="009E3CCE">
        <w:rPr>
          <w:lang w:val="pt-BR"/>
        </w:rPr>
        <w:t>além de</w:t>
      </w:r>
      <w:r w:rsidR="009E3CCE" w:rsidRPr="000B757A">
        <w:rPr>
          <w:lang w:val="pt-BR"/>
        </w:rPr>
        <w:t xml:space="preserve"> d</w:t>
      </w:r>
      <w:r w:rsidR="009E3CCE">
        <w:rPr>
          <w:lang w:val="pt-BR"/>
        </w:rPr>
        <w:t>iminuir</w:t>
      </w:r>
      <w:r w:rsidR="009E3CCE" w:rsidRPr="000B757A">
        <w:rPr>
          <w:lang w:val="pt-BR"/>
        </w:rPr>
        <w:t xml:space="preserve"> a </w:t>
      </w:r>
      <w:r w:rsidR="009E3CCE" w:rsidRPr="000B757A">
        <w:rPr>
          <w:lang w:val="pt-BR"/>
        </w:rPr>
        <w:t>formação de coque n</w:t>
      </w:r>
      <w:r w:rsidR="009E3CCE">
        <w:rPr>
          <w:lang w:val="pt-BR"/>
        </w:rPr>
        <w:t>a superfície do catalisador (3,4)</w:t>
      </w:r>
      <w:r w:rsidR="009E3CCE" w:rsidRPr="000B757A">
        <w:rPr>
          <w:lang w:val="pt-BR"/>
        </w:rPr>
        <w:t xml:space="preserve">. Esta reação </w:t>
      </w:r>
      <w:r w:rsidR="009E3CCE">
        <w:rPr>
          <w:lang w:val="pt-BR"/>
        </w:rPr>
        <w:t xml:space="preserve">é a </w:t>
      </w:r>
      <w:r w:rsidR="009E3CCE" w:rsidRPr="000B757A">
        <w:rPr>
          <w:lang w:val="pt-BR"/>
        </w:rPr>
        <w:t>reforma seca do metano em presença de O</w:t>
      </w:r>
      <w:r w:rsidR="009E3CCE" w:rsidRPr="000860F1">
        <w:rPr>
          <w:vertAlign w:val="subscript"/>
          <w:lang w:val="pt-BR"/>
        </w:rPr>
        <w:t>2</w:t>
      </w:r>
      <w:r w:rsidR="009E3CCE">
        <w:rPr>
          <w:vertAlign w:val="subscript"/>
          <w:lang w:val="pt-BR"/>
        </w:rPr>
        <w:t xml:space="preserve"> </w:t>
      </w:r>
      <w:r w:rsidR="009E3CCE">
        <w:rPr>
          <w:lang w:val="pt-BR"/>
        </w:rPr>
        <w:t>(</w:t>
      </w:r>
      <w:r w:rsidR="009E3CCE" w:rsidRPr="00B862CA">
        <w:rPr>
          <w:lang w:val="pt-BR"/>
        </w:rPr>
        <w:t>Oxi-CO</w:t>
      </w:r>
      <w:r w:rsidR="009E3CCE" w:rsidRPr="00B862CA">
        <w:rPr>
          <w:vertAlign w:val="subscript"/>
          <w:lang w:val="pt-BR"/>
        </w:rPr>
        <w:t>2</w:t>
      </w:r>
      <w:r w:rsidR="009E3CCE">
        <w:rPr>
          <w:lang w:val="pt-BR"/>
        </w:rPr>
        <w:t xml:space="preserve">), e </w:t>
      </w:r>
      <w:r w:rsidR="009E3CCE" w:rsidRPr="000B757A">
        <w:rPr>
          <w:lang w:val="pt-BR"/>
        </w:rPr>
        <w:t>pode ser representada pela equação 1</w:t>
      </w:r>
      <w:r w:rsidR="009E3CCE">
        <w:rPr>
          <w:lang w:val="pt-BR"/>
        </w:rPr>
        <w:t xml:space="preserve"> abaixo</w:t>
      </w:r>
      <w:r w:rsidR="009E3CCE" w:rsidRPr="000B757A">
        <w:rPr>
          <w:lang w:val="pt-BR"/>
        </w:rPr>
        <w:t>:</w:t>
      </w:r>
    </w:p>
    <w:p w14:paraId="75E58F00" w14:textId="77777777" w:rsidR="009E3CCE" w:rsidRPr="000B757A" w:rsidRDefault="009E3CCE" w:rsidP="009E3CCE">
      <w:pPr>
        <w:pStyle w:val="TAMainText"/>
        <w:spacing w:line="276" w:lineRule="auto"/>
        <w:rPr>
          <w:lang w:val="pt-BR"/>
        </w:rPr>
      </w:pPr>
    </w:p>
    <w:p w14:paraId="02ABEEB6" w14:textId="77777777" w:rsidR="009E3CCE" w:rsidRPr="00C64818" w:rsidRDefault="009E3CCE" w:rsidP="009E3CCE">
      <w:pPr>
        <w:pStyle w:val="TAMainText"/>
        <w:spacing w:line="276" w:lineRule="auto"/>
        <w:jc w:val="center"/>
      </w:pPr>
      <w:r w:rsidRPr="00C64818">
        <w:t>2CH</w:t>
      </w:r>
      <w:r w:rsidRPr="00C64818">
        <w:rPr>
          <w:vertAlign w:val="subscript"/>
        </w:rPr>
        <w:t>4</w:t>
      </w:r>
      <w:r w:rsidRPr="00C64818">
        <w:t>(g) + CO</w:t>
      </w:r>
      <w:r w:rsidRPr="00C64818">
        <w:rPr>
          <w:vertAlign w:val="subscript"/>
        </w:rPr>
        <w:t>2</w:t>
      </w:r>
      <w:r w:rsidRPr="00C64818">
        <w:t>(g) + ½ O</w:t>
      </w:r>
      <w:r w:rsidRPr="00C64818">
        <w:rPr>
          <w:vertAlign w:val="subscript"/>
        </w:rPr>
        <w:t>2</w:t>
      </w:r>
      <w:r w:rsidRPr="00C64818">
        <w:t>(g) → 4H</w:t>
      </w:r>
      <w:r w:rsidRPr="00C64818">
        <w:rPr>
          <w:vertAlign w:val="subscript"/>
        </w:rPr>
        <w:t>2</w:t>
      </w:r>
      <w:r w:rsidRPr="00C64818">
        <w:t>(g) + 3CO(g)         equação 1</w:t>
      </w:r>
    </w:p>
    <w:p w14:paraId="18F16B66" w14:textId="77777777" w:rsidR="009E3CCE" w:rsidRPr="00C64818" w:rsidRDefault="009E3CCE" w:rsidP="009E3CCE">
      <w:pPr>
        <w:pStyle w:val="TAMainText"/>
        <w:spacing w:line="276" w:lineRule="auto"/>
        <w:jc w:val="center"/>
        <w:rPr>
          <w:sz w:val="16"/>
        </w:rPr>
      </w:pPr>
    </w:p>
    <w:p w14:paraId="00B1F324" w14:textId="20B7450A" w:rsidR="009E3CCE" w:rsidRPr="000B757A" w:rsidRDefault="009E3CCE" w:rsidP="009E3CCE">
      <w:pPr>
        <w:pStyle w:val="TAMainText"/>
        <w:spacing w:line="276" w:lineRule="auto"/>
        <w:rPr>
          <w:lang w:val="pt-BR"/>
        </w:rPr>
      </w:pPr>
      <w:r w:rsidRPr="000B757A">
        <w:rPr>
          <w:lang w:val="pt-BR"/>
        </w:rPr>
        <w:t xml:space="preserve">O sistema catalítico proposto para ser utilizado </w:t>
      </w:r>
      <w:r>
        <w:rPr>
          <w:lang w:val="pt-BR"/>
        </w:rPr>
        <w:t>é</w:t>
      </w:r>
      <w:r w:rsidRPr="000B757A">
        <w:rPr>
          <w:lang w:val="pt-BR"/>
        </w:rPr>
        <w:t xml:space="preserve"> baseado em ó</w:t>
      </w:r>
      <w:r>
        <w:rPr>
          <w:lang w:val="pt-BR"/>
        </w:rPr>
        <w:t xml:space="preserve">xidos do tipo perovskitas </w:t>
      </w:r>
      <w:r w:rsidRPr="00FE4D8D">
        <w:rPr>
          <w:lang w:val="pt-BR"/>
        </w:rPr>
        <w:t>(ABO</w:t>
      </w:r>
      <w:r w:rsidRPr="00DE547D">
        <w:rPr>
          <w:vertAlign w:val="subscript"/>
          <w:lang w:val="pt-BR"/>
        </w:rPr>
        <w:t>3</w:t>
      </w:r>
      <w:r w:rsidRPr="00FE4D8D">
        <w:rPr>
          <w:lang w:val="pt-BR"/>
        </w:rPr>
        <w:t xml:space="preserve">) </w:t>
      </w:r>
      <w:r>
        <w:rPr>
          <w:lang w:val="pt-BR"/>
        </w:rPr>
        <w:t xml:space="preserve">que </w:t>
      </w:r>
      <w:r w:rsidRPr="00FE4D8D">
        <w:rPr>
          <w:lang w:val="pt-BR"/>
        </w:rPr>
        <w:t>têm sido descritos na literatura como ativos para reações de reforma do metano</w:t>
      </w:r>
      <w:r w:rsidR="007C2592">
        <w:rPr>
          <w:lang w:val="pt-BR"/>
        </w:rPr>
        <w:t xml:space="preserve">, com destaque para </w:t>
      </w:r>
      <w:r w:rsidRPr="00FE4D8D">
        <w:rPr>
          <w:lang w:val="pt-BR"/>
        </w:rPr>
        <w:t xml:space="preserve">aquelas </w:t>
      </w:r>
      <w:r w:rsidR="007C2592" w:rsidRPr="00FE4D8D">
        <w:rPr>
          <w:lang w:val="pt-BR"/>
        </w:rPr>
        <w:t>à</w:t>
      </w:r>
      <w:r w:rsidRPr="00FE4D8D">
        <w:rPr>
          <w:lang w:val="pt-BR"/>
        </w:rPr>
        <w:t xml:space="preserve"> base de níquel </w:t>
      </w:r>
      <w:r w:rsidR="007C2592">
        <w:rPr>
          <w:lang w:val="pt-BR"/>
        </w:rPr>
        <w:t>que</w:t>
      </w:r>
      <w:r w:rsidRPr="00FE4D8D">
        <w:rPr>
          <w:lang w:val="pt-BR"/>
        </w:rPr>
        <w:t xml:space="preserve"> apresenta</w:t>
      </w:r>
      <w:r w:rsidR="007C2592">
        <w:rPr>
          <w:lang w:val="pt-BR"/>
        </w:rPr>
        <w:t>m</w:t>
      </w:r>
      <w:r w:rsidRPr="00FE4D8D">
        <w:rPr>
          <w:lang w:val="pt-BR"/>
        </w:rPr>
        <w:t xml:space="preserve"> uma baixa tendência à sinterização, formação de </w:t>
      </w:r>
      <w:r w:rsidRPr="00FE4D8D">
        <w:rPr>
          <w:lang w:val="pt-BR"/>
        </w:rPr>
        <w:lastRenderedPageBreak/>
        <w:t>coque e,</w:t>
      </w:r>
      <w:r>
        <w:rPr>
          <w:lang w:val="pt-BR"/>
        </w:rPr>
        <w:t xml:space="preserve"> consequentemente, desativação. </w:t>
      </w:r>
      <w:r w:rsidRPr="00C50DE6">
        <w:rPr>
          <w:lang w:val="pt-BR"/>
        </w:rPr>
        <w:t>Outr</w:t>
      </w:r>
      <w:r>
        <w:rPr>
          <w:lang w:val="pt-BR"/>
        </w:rPr>
        <w:t>o</w:t>
      </w:r>
      <w:r w:rsidRPr="00C50DE6">
        <w:rPr>
          <w:lang w:val="pt-BR"/>
        </w:rPr>
        <w:t xml:space="preserve"> fator interessante vinculado ao uso de perovskitas é a possibilidade de substituições totais ou parciais</w:t>
      </w:r>
      <w:r w:rsidR="00ED4537">
        <w:rPr>
          <w:lang w:val="pt-BR"/>
        </w:rPr>
        <w:t>, n</w:t>
      </w:r>
      <w:r w:rsidR="00ED4537" w:rsidRPr="002A4659">
        <w:rPr>
          <w:rFonts w:ascii="Times New Roman" w:hAnsi="Times New Roman"/>
          <w:lang w:val="pt-BR"/>
        </w:rPr>
        <w:t>os sítios A e B da estrutura perovskita</w:t>
      </w:r>
      <w:r w:rsidR="00ED4537">
        <w:rPr>
          <w:rFonts w:ascii="Times New Roman" w:hAnsi="Times New Roman"/>
          <w:lang w:val="pt-BR"/>
        </w:rPr>
        <w:t xml:space="preserve">, utilizando </w:t>
      </w:r>
      <w:r w:rsidR="00ED4537" w:rsidRPr="002A4659">
        <w:rPr>
          <w:rFonts w:ascii="Times New Roman" w:hAnsi="Times New Roman"/>
          <w:lang w:val="pt-BR"/>
        </w:rPr>
        <w:t xml:space="preserve">metais de transição. Dentre estes metais o </w:t>
      </w:r>
      <w:r w:rsidR="00ED4537">
        <w:rPr>
          <w:rFonts w:ascii="Times New Roman" w:hAnsi="Times New Roman"/>
          <w:lang w:val="pt-BR"/>
        </w:rPr>
        <w:t xml:space="preserve">Ce e </w:t>
      </w:r>
      <w:r w:rsidR="00ED4537" w:rsidRPr="002A4659">
        <w:rPr>
          <w:rFonts w:ascii="Times New Roman" w:hAnsi="Times New Roman"/>
          <w:lang w:val="pt-BR"/>
        </w:rPr>
        <w:t xml:space="preserve">Fe tem sido reportado </w:t>
      </w:r>
      <w:r w:rsidR="00ED4537">
        <w:rPr>
          <w:rFonts w:ascii="Times New Roman" w:hAnsi="Times New Roman"/>
          <w:lang w:val="pt-BR"/>
        </w:rPr>
        <w:t>na literatura pelo fato de proporcionar uma maior</w:t>
      </w:r>
      <w:r w:rsidR="00ED4537" w:rsidRPr="002A4659">
        <w:rPr>
          <w:rFonts w:ascii="Times New Roman" w:hAnsi="Times New Roman"/>
          <w:lang w:val="pt-BR"/>
        </w:rPr>
        <w:t xml:space="preserve"> estabilização da estrutura e </w:t>
      </w:r>
      <w:r w:rsidR="00ED4537">
        <w:rPr>
          <w:rFonts w:ascii="Times New Roman" w:hAnsi="Times New Roman"/>
          <w:lang w:val="pt-BR"/>
        </w:rPr>
        <w:t xml:space="preserve">maior </w:t>
      </w:r>
      <w:r w:rsidR="00ED4537" w:rsidRPr="002A4659">
        <w:rPr>
          <w:rFonts w:ascii="Times New Roman" w:hAnsi="Times New Roman"/>
          <w:lang w:val="pt-BR"/>
        </w:rPr>
        <w:t>estabilidade térmica</w:t>
      </w:r>
      <w:r w:rsidR="00ED4537">
        <w:rPr>
          <w:rFonts w:ascii="Times New Roman" w:hAnsi="Times New Roman"/>
          <w:lang w:val="pt-BR"/>
        </w:rPr>
        <w:t xml:space="preserve"> </w:t>
      </w:r>
      <w:r w:rsidR="00ED4537" w:rsidRPr="002A4659">
        <w:rPr>
          <w:rFonts w:ascii="Times New Roman" w:hAnsi="Times New Roman"/>
          <w:lang w:val="pt-BR"/>
        </w:rPr>
        <w:t>(</w:t>
      </w:r>
      <w:r w:rsidR="00772541">
        <w:rPr>
          <w:rFonts w:ascii="Times New Roman" w:hAnsi="Times New Roman"/>
          <w:lang w:val="pt-BR"/>
        </w:rPr>
        <w:t>6,</w:t>
      </w:r>
      <w:r w:rsidR="00ED4537">
        <w:rPr>
          <w:rFonts w:ascii="Times New Roman" w:hAnsi="Times New Roman"/>
          <w:lang w:val="pt-BR"/>
        </w:rPr>
        <w:t>7</w:t>
      </w:r>
      <w:r w:rsidR="00ED4537" w:rsidRPr="002A4659">
        <w:rPr>
          <w:rFonts w:ascii="Times New Roman" w:hAnsi="Times New Roman"/>
          <w:lang w:val="pt-BR"/>
        </w:rPr>
        <w:t xml:space="preserve">). </w:t>
      </w:r>
    </w:p>
    <w:p w14:paraId="45C95058" w14:textId="3C71F7A7" w:rsidR="009E3CCE" w:rsidRDefault="00BF2A25" w:rsidP="009E3CCE">
      <w:pPr>
        <w:pStyle w:val="TAMainText"/>
        <w:spacing w:line="276" w:lineRule="auto"/>
        <w:rPr>
          <w:lang w:val="pt-BR"/>
        </w:rPr>
      </w:pPr>
      <w:r w:rsidRPr="002A4659">
        <w:rPr>
          <w:rFonts w:ascii="Times New Roman" w:hAnsi="Times New Roman"/>
          <w:lang w:val="pt-BR"/>
        </w:rPr>
        <w:t>Assim sendo, o trabalho tem como objetivo sintetizar o</w:t>
      </w:r>
      <w:r>
        <w:rPr>
          <w:rFonts w:ascii="Times New Roman" w:hAnsi="Times New Roman"/>
          <w:lang w:val="pt-BR"/>
        </w:rPr>
        <w:t>s</w:t>
      </w:r>
      <w:r w:rsidRPr="002A4659">
        <w:rPr>
          <w:rFonts w:ascii="Times New Roman" w:hAnsi="Times New Roman"/>
          <w:lang w:val="pt-BR"/>
        </w:rPr>
        <w:t xml:space="preserve"> catalisador</w:t>
      </w:r>
      <w:r>
        <w:rPr>
          <w:rFonts w:ascii="Times New Roman" w:hAnsi="Times New Roman"/>
          <w:lang w:val="pt-BR"/>
        </w:rPr>
        <w:t>es</w:t>
      </w:r>
      <w:r w:rsidRPr="002A4659">
        <w:rPr>
          <w:rFonts w:ascii="Times New Roman" w:hAnsi="Times New Roman"/>
          <w:lang w:val="pt-BR"/>
        </w:rPr>
        <w:t xml:space="preserve"> LaNiO</w:t>
      </w:r>
      <w:r w:rsidRPr="002A4659">
        <w:rPr>
          <w:rFonts w:ascii="Times New Roman" w:hAnsi="Times New Roman"/>
          <w:vertAlign w:val="subscript"/>
          <w:lang w:val="pt-BR"/>
        </w:rPr>
        <w:t>3</w:t>
      </w:r>
      <w:r w:rsidRPr="002A4659">
        <w:rPr>
          <w:rFonts w:ascii="Times New Roman" w:hAnsi="Times New Roman"/>
          <w:lang w:val="pt-BR"/>
        </w:rPr>
        <w:t xml:space="preserve">, </w:t>
      </w:r>
      <w:r w:rsidRPr="00BF2A25">
        <w:rPr>
          <w:lang w:val="pt-BR"/>
        </w:rPr>
        <w:t>La</w:t>
      </w:r>
      <w:r w:rsidRPr="00BF2A25">
        <w:rPr>
          <w:vertAlign w:val="subscript"/>
          <w:lang w:val="pt-BR"/>
        </w:rPr>
        <w:t>0,7</w:t>
      </w:r>
      <w:r w:rsidRPr="00BF2A25">
        <w:rPr>
          <w:lang w:val="pt-BR"/>
        </w:rPr>
        <w:t>Ce</w:t>
      </w:r>
      <w:r w:rsidRPr="00BF2A25">
        <w:rPr>
          <w:vertAlign w:val="subscript"/>
          <w:lang w:val="pt-BR"/>
        </w:rPr>
        <w:t>0,3</w:t>
      </w:r>
      <w:r w:rsidRPr="00BF2A25">
        <w:rPr>
          <w:lang w:val="pt-BR"/>
        </w:rPr>
        <w:t>NiO</w:t>
      </w:r>
      <w:r w:rsidRPr="00BF2A25">
        <w:rPr>
          <w:vertAlign w:val="subscript"/>
          <w:lang w:val="pt-BR"/>
        </w:rPr>
        <w:t>3</w:t>
      </w:r>
      <w:r w:rsidRPr="00BF2A25">
        <w:rPr>
          <w:lang w:val="pt-BR"/>
        </w:rPr>
        <w:t xml:space="preserve"> e LaNi</w:t>
      </w:r>
      <w:r w:rsidRPr="00BF2A25">
        <w:rPr>
          <w:vertAlign w:val="subscript"/>
          <w:lang w:val="pt-BR"/>
        </w:rPr>
        <w:t>0,7</w:t>
      </w:r>
      <w:r w:rsidRPr="00BF2A25">
        <w:rPr>
          <w:lang w:val="pt-BR"/>
        </w:rPr>
        <w:t>Fe</w:t>
      </w:r>
      <w:r w:rsidRPr="00BF2A25">
        <w:rPr>
          <w:vertAlign w:val="subscript"/>
          <w:lang w:val="pt-BR"/>
        </w:rPr>
        <w:t>0,3</w:t>
      </w:r>
      <w:r w:rsidRPr="00BF2A25">
        <w:rPr>
          <w:lang w:val="pt-BR"/>
        </w:rPr>
        <w:t>O</w:t>
      </w:r>
      <w:r w:rsidRPr="00BF2A25">
        <w:rPr>
          <w:vertAlign w:val="subscript"/>
          <w:lang w:val="pt-BR"/>
        </w:rPr>
        <w:t>3</w:t>
      </w:r>
      <w:r w:rsidRPr="00BF2A25">
        <w:rPr>
          <w:lang w:val="pt-BR"/>
        </w:rPr>
        <w:t>,</w:t>
      </w:r>
      <w:r w:rsidRPr="00BF2A25">
        <w:rPr>
          <w:vertAlign w:val="subscript"/>
          <w:lang w:val="pt-BR"/>
        </w:rPr>
        <w:t xml:space="preserve"> </w:t>
      </w:r>
      <w:r w:rsidRPr="002A4659">
        <w:rPr>
          <w:rFonts w:ascii="Times New Roman" w:hAnsi="Times New Roman"/>
          <w:lang w:val="pt-BR"/>
        </w:rPr>
        <w:t>caracterizá-lo</w:t>
      </w:r>
      <w:r>
        <w:rPr>
          <w:rFonts w:ascii="Times New Roman" w:hAnsi="Times New Roman"/>
          <w:lang w:val="pt-BR"/>
        </w:rPr>
        <w:t>s</w:t>
      </w:r>
      <w:r w:rsidRPr="002A4659">
        <w:rPr>
          <w:rFonts w:ascii="Times New Roman" w:hAnsi="Times New Roman"/>
          <w:lang w:val="pt-BR"/>
        </w:rPr>
        <w:t xml:space="preserve"> e estudar o efeito da parcial substituição </w:t>
      </w:r>
      <w:r w:rsidR="00772541" w:rsidRPr="002A4659">
        <w:rPr>
          <w:rFonts w:ascii="Times New Roman" w:hAnsi="Times New Roman"/>
          <w:lang w:val="pt-BR"/>
        </w:rPr>
        <w:t>dos sítios</w:t>
      </w:r>
      <w:r w:rsidR="00466371">
        <w:rPr>
          <w:rFonts w:ascii="Times New Roman" w:hAnsi="Times New Roman"/>
          <w:lang w:val="pt-BR"/>
        </w:rPr>
        <w:t xml:space="preserve"> </w:t>
      </w:r>
      <w:r w:rsidRPr="002A4659">
        <w:rPr>
          <w:rFonts w:ascii="Times New Roman" w:hAnsi="Times New Roman"/>
          <w:lang w:val="pt-BR"/>
        </w:rPr>
        <w:t xml:space="preserve">por cério ou ferro, </w:t>
      </w:r>
      <w:r>
        <w:rPr>
          <w:rFonts w:ascii="Times New Roman" w:hAnsi="Times New Roman"/>
          <w:lang w:val="pt-BR"/>
        </w:rPr>
        <w:t xml:space="preserve">e o efeito da </w:t>
      </w:r>
      <w:r w:rsidR="009E3CCE">
        <w:rPr>
          <w:lang w:val="pt-BR"/>
        </w:rPr>
        <w:t>temperatura sobre</w:t>
      </w:r>
      <w:r w:rsidR="009E3CCE" w:rsidRPr="000B757A">
        <w:rPr>
          <w:lang w:val="pt-BR"/>
        </w:rPr>
        <w:t xml:space="preserve"> a atividade catalítica</w:t>
      </w:r>
      <w:r w:rsidR="009E3CCE">
        <w:rPr>
          <w:lang w:val="pt-BR"/>
        </w:rPr>
        <w:t>, seletividade</w:t>
      </w:r>
      <w:r w:rsidR="009E3CCE" w:rsidRPr="000B757A">
        <w:rPr>
          <w:lang w:val="pt-BR"/>
        </w:rPr>
        <w:t xml:space="preserve"> e resistência </w:t>
      </w:r>
      <w:r w:rsidR="009E3CCE">
        <w:rPr>
          <w:lang w:val="pt-BR"/>
        </w:rPr>
        <w:t>à</w:t>
      </w:r>
      <w:r w:rsidR="009E3CCE" w:rsidRPr="000B757A">
        <w:rPr>
          <w:lang w:val="pt-BR"/>
        </w:rPr>
        <w:t xml:space="preserve"> desativação por deposição de coque, </w:t>
      </w:r>
      <w:r w:rsidR="009E3CCE">
        <w:rPr>
          <w:lang w:val="pt-BR"/>
        </w:rPr>
        <w:t>quando aplicado</w:t>
      </w:r>
      <w:r w:rsidR="009E3CCE" w:rsidRPr="000B757A">
        <w:rPr>
          <w:lang w:val="pt-BR"/>
        </w:rPr>
        <w:t xml:space="preserve"> na </w:t>
      </w:r>
      <w:r w:rsidR="009E3CCE" w:rsidRPr="00B862CA">
        <w:rPr>
          <w:lang w:val="pt-BR"/>
        </w:rPr>
        <w:t>Oxi-CO</w:t>
      </w:r>
      <w:r w:rsidR="009E3CCE" w:rsidRPr="00B862CA">
        <w:rPr>
          <w:vertAlign w:val="subscript"/>
          <w:lang w:val="pt-BR"/>
        </w:rPr>
        <w:t>2</w:t>
      </w:r>
      <w:r w:rsidR="009E3CCE" w:rsidRPr="00B862CA">
        <w:rPr>
          <w:lang w:val="pt-BR"/>
        </w:rPr>
        <w:t>.</w:t>
      </w:r>
    </w:p>
    <w:p w14:paraId="414BEC79" w14:textId="77777777" w:rsidR="009E3CCE" w:rsidRPr="009E3CCE" w:rsidRDefault="009E3CCE" w:rsidP="009E3CCE"/>
    <w:p w14:paraId="52FFAC79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2D3FB7BA" w14:textId="77777777" w:rsidR="00D33DAD" w:rsidRDefault="00D33DAD" w:rsidP="00D33DAD">
      <w:pPr>
        <w:pStyle w:val="TAMainText"/>
        <w:numPr>
          <w:ilvl w:val="0"/>
          <w:numId w:val="2"/>
        </w:numPr>
        <w:spacing w:line="276" w:lineRule="auto"/>
        <w:rPr>
          <w:i/>
          <w:lang w:val="pt-BR"/>
        </w:rPr>
      </w:pPr>
      <w:r>
        <w:rPr>
          <w:i/>
          <w:lang w:val="pt-BR"/>
        </w:rPr>
        <w:t>Síntese dos catalisadores</w:t>
      </w:r>
    </w:p>
    <w:p w14:paraId="0078220E" w14:textId="77777777" w:rsidR="00D33DAD" w:rsidRDefault="00D33DAD" w:rsidP="00D33DAD">
      <w:pPr>
        <w:pStyle w:val="TAMainText"/>
        <w:spacing w:line="276" w:lineRule="auto"/>
        <w:rPr>
          <w:lang w:val="pt-BR"/>
        </w:rPr>
      </w:pPr>
      <w:r w:rsidRPr="00105C96">
        <w:rPr>
          <w:lang w:val="pt-BR"/>
        </w:rPr>
        <w:t>A partir do método citrato, foram sintetizadas amostras da série La</w:t>
      </w:r>
      <w:r w:rsidRPr="00105C96">
        <w:rPr>
          <w:vertAlign w:val="subscript"/>
          <w:lang w:val="pt-BR"/>
        </w:rPr>
        <w:t>1-x</w:t>
      </w:r>
      <w:r w:rsidRPr="00105C96">
        <w:rPr>
          <w:lang w:val="pt-BR"/>
        </w:rPr>
        <w:t>Ce</w:t>
      </w:r>
      <w:r w:rsidRPr="00105C96">
        <w:rPr>
          <w:vertAlign w:val="subscript"/>
          <w:lang w:val="pt-BR"/>
        </w:rPr>
        <w:t>x</w:t>
      </w:r>
      <w:r w:rsidRPr="00105C96">
        <w:rPr>
          <w:lang w:val="pt-BR"/>
        </w:rPr>
        <w:t>NiO</w:t>
      </w:r>
      <w:r w:rsidRPr="00105C96">
        <w:rPr>
          <w:vertAlign w:val="subscript"/>
          <w:lang w:val="pt-BR"/>
        </w:rPr>
        <w:t>3</w:t>
      </w:r>
      <w:r w:rsidRPr="00105C96">
        <w:rPr>
          <w:lang w:val="pt-BR"/>
        </w:rPr>
        <w:t xml:space="preserve"> (x= 0,0; 0,3), no qual foram utilizadas soluções aquosas dos sais e ácido cítrico, com razão metal/ácido cítrico 1:1,2. A solução aquosa de ácido cítrico foi mantida sob agitação e aquecimento à 40ºC até a completa dissolução do ácido e, posteriormente, acrescentou-se solução aquosa de nitrato de níquel com agitação entre 60-70ºC por 1 hora</w:t>
      </w:r>
      <w:r>
        <w:rPr>
          <w:lang w:val="pt-BR"/>
        </w:rPr>
        <w:t xml:space="preserve">. Após esta etapa foi adicionada a </w:t>
      </w:r>
      <w:r w:rsidRPr="00105C96">
        <w:rPr>
          <w:lang w:val="pt-BR"/>
        </w:rPr>
        <w:t>solução aquosa de nitrato de lantânio</w:t>
      </w:r>
      <w:r>
        <w:rPr>
          <w:lang w:val="pt-BR"/>
        </w:rPr>
        <w:t>, e em seguida o</w:t>
      </w:r>
      <w:r w:rsidRPr="00105C96">
        <w:rPr>
          <w:lang w:val="pt-BR"/>
        </w:rPr>
        <w:t xml:space="preserve"> nitrato de </w:t>
      </w:r>
      <w:r>
        <w:rPr>
          <w:lang w:val="pt-BR"/>
        </w:rPr>
        <w:t>céri</w:t>
      </w:r>
      <w:r w:rsidRPr="00105C96">
        <w:rPr>
          <w:lang w:val="pt-BR"/>
        </w:rPr>
        <w:t xml:space="preserve">o à mesma. O sistema foi mantido a 80-90ºC por 1 hora e obteve-se uma resina que foi pré-calcinada a 300ºC por 2 horas, para eliminação da matéria orgânica. O material </w:t>
      </w:r>
      <w:r>
        <w:rPr>
          <w:lang w:val="pt-BR"/>
        </w:rPr>
        <w:t xml:space="preserve">então </w:t>
      </w:r>
      <w:r w:rsidRPr="00105C96">
        <w:rPr>
          <w:lang w:val="pt-BR"/>
        </w:rPr>
        <w:t>obtido foi macerado e calcinado a 800ºC, sob fluxo de ar sintético de 50 mL.min</w:t>
      </w:r>
      <w:r w:rsidRPr="00105C96">
        <w:rPr>
          <w:vertAlign w:val="superscript"/>
          <w:lang w:val="pt-BR"/>
        </w:rPr>
        <w:t>-1</w:t>
      </w:r>
      <w:r w:rsidRPr="00105C96">
        <w:rPr>
          <w:lang w:val="pt-BR"/>
        </w:rPr>
        <w:t xml:space="preserve"> para a formação da estrututra perovskita.</w:t>
      </w:r>
    </w:p>
    <w:p w14:paraId="1BBF3181" w14:textId="77777777" w:rsidR="00D33DAD" w:rsidRDefault="00D33DAD" w:rsidP="00D33DAD">
      <w:pPr>
        <w:pStyle w:val="TAMainText"/>
        <w:spacing w:line="276" w:lineRule="auto"/>
        <w:rPr>
          <w:lang w:val="pt-BR"/>
        </w:rPr>
      </w:pPr>
    </w:p>
    <w:p w14:paraId="10DAE11B" w14:textId="77777777" w:rsidR="00D33DAD" w:rsidRDefault="00D33DAD" w:rsidP="00D33DAD">
      <w:pPr>
        <w:pStyle w:val="TAMainText"/>
        <w:numPr>
          <w:ilvl w:val="0"/>
          <w:numId w:val="2"/>
        </w:numPr>
        <w:spacing w:line="276" w:lineRule="auto"/>
        <w:rPr>
          <w:i/>
          <w:lang w:val="pt-BR"/>
        </w:rPr>
      </w:pPr>
      <w:r>
        <w:rPr>
          <w:i/>
          <w:lang w:val="pt-BR"/>
        </w:rPr>
        <w:t>Caracterização dos catalisadores</w:t>
      </w:r>
    </w:p>
    <w:p w14:paraId="37FA937A" w14:textId="77777777" w:rsidR="00D33DAD" w:rsidRDefault="00D33DAD" w:rsidP="00D33DAD">
      <w:pPr>
        <w:pStyle w:val="TAMainText"/>
        <w:spacing w:line="276" w:lineRule="auto"/>
        <w:rPr>
          <w:lang w:val="pt-BR"/>
        </w:rPr>
      </w:pPr>
      <w:r w:rsidRPr="00E6140B">
        <w:rPr>
          <w:lang w:val="pt-BR"/>
        </w:rPr>
        <w:t>Caracterização por DRX (Difração de raios X):</w:t>
      </w:r>
      <w:r>
        <w:rPr>
          <w:lang w:val="pt-BR"/>
        </w:rPr>
        <w:t xml:space="preserve"> </w:t>
      </w:r>
      <w:r w:rsidRPr="00E6140B">
        <w:rPr>
          <w:lang w:val="pt-BR"/>
        </w:rPr>
        <w:t>Foram realizadas medidas de difração de raio X a fim de determinar as fases cristalinas presentes nas amostras sintetizadas. Foi utilizada radiação Kα do Cu, na faixa de 10° a 80° e com velocidade de varredura de 0,25°min</w:t>
      </w:r>
      <w:r w:rsidRPr="000860F1">
        <w:rPr>
          <w:vertAlign w:val="superscript"/>
          <w:lang w:val="pt-BR"/>
        </w:rPr>
        <w:t>-1</w:t>
      </w:r>
      <w:r w:rsidRPr="00E6140B">
        <w:rPr>
          <w:lang w:val="pt-BR"/>
        </w:rPr>
        <w:t xml:space="preserve">. Não foi realizado nenhum pré-tratamento. </w:t>
      </w:r>
    </w:p>
    <w:p w14:paraId="22F8762B" w14:textId="77777777" w:rsidR="00D33DAD" w:rsidRDefault="00D33DAD" w:rsidP="00D33DAD">
      <w:pPr>
        <w:pStyle w:val="TAMainText"/>
        <w:spacing w:line="276" w:lineRule="auto"/>
        <w:rPr>
          <w:lang w:val="pt-BR"/>
        </w:rPr>
      </w:pPr>
      <w:r w:rsidRPr="00E6140B">
        <w:rPr>
          <w:lang w:val="pt-BR"/>
        </w:rPr>
        <w:t>Caracterização por TPR-H</w:t>
      </w:r>
      <w:r w:rsidRPr="000860F1">
        <w:rPr>
          <w:vertAlign w:val="subscript"/>
          <w:lang w:val="pt-BR"/>
        </w:rPr>
        <w:t>2</w:t>
      </w:r>
      <w:r w:rsidRPr="00E6140B">
        <w:rPr>
          <w:lang w:val="pt-BR"/>
        </w:rPr>
        <w:t xml:space="preserve"> (Redução com hidrogênio à temperatura programada)</w:t>
      </w:r>
      <w:r>
        <w:rPr>
          <w:lang w:val="pt-BR"/>
        </w:rPr>
        <w:t xml:space="preserve"> e </w:t>
      </w:r>
      <w:r w:rsidRPr="00F36FFD">
        <w:rPr>
          <w:lang w:val="pt-BR"/>
        </w:rPr>
        <w:t>TPO (Oxidação a temperatura programada)</w:t>
      </w:r>
      <w:r w:rsidRPr="00E6140B">
        <w:rPr>
          <w:lang w:val="pt-BR"/>
        </w:rPr>
        <w:t>:</w:t>
      </w:r>
      <w:r>
        <w:rPr>
          <w:lang w:val="pt-BR"/>
        </w:rPr>
        <w:t xml:space="preserve"> Essas técnicas foram</w:t>
      </w:r>
      <w:r w:rsidRPr="00E6140B">
        <w:rPr>
          <w:lang w:val="pt-BR"/>
        </w:rPr>
        <w:t xml:space="preserve"> realizad</w:t>
      </w:r>
      <w:r>
        <w:rPr>
          <w:lang w:val="pt-BR"/>
        </w:rPr>
        <w:t>as</w:t>
      </w:r>
      <w:r w:rsidRPr="00E6140B">
        <w:rPr>
          <w:lang w:val="pt-BR"/>
        </w:rPr>
        <w:t xml:space="preserve"> em uma unidade multipropósito acoplada a um espectrômetro de massas quadrupolar da Balzers, modelo QMS 200, no qual a saída do reator foi monitorada através do sinal d</w:t>
      </w:r>
      <w:r>
        <w:rPr>
          <w:lang w:val="pt-BR"/>
        </w:rPr>
        <w:t>e</w:t>
      </w:r>
      <w:r w:rsidRPr="00E6140B">
        <w:rPr>
          <w:lang w:val="pt-BR"/>
        </w:rPr>
        <w:t xml:space="preserve"> fragmento</w:t>
      </w:r>
      <w:r>
        <w:rPr>
          <w:lang w:val="pt-BR"/>
        </w:rPr>
        <w:t>s</w:t>
      </w:r>
      <w:r w:rsidRPr="00E6140B">
        <w:rPr>
          <w:lang w:val="pt-BR"/>
        </w:rPr>
        <w:t xml:space="preserve"> de massa. Durante a análise, as amostras foram submetidas a aquecimento sob fluxo de uma mistura 5% de H</w:t>
      </w:r>
      <w:r w:rsidRPr="000860F1">
        <w:rPr>
          <w:vertAlign w:val="subscript"/>
          <w:lang w:val="pt-BR"/>
        </w:rPr>
        <w:t>2</w:t>
      </w:r>
      <w:r w:rsidRPr="00E6140B">
        <w:rPr>
          <w:lang w:val="pt-BR"/>
        </w:rPr>
        <w:t xml:space="preserve"> em He (25 mL</w:t>
      </w:r>
      <w:r>
        <w:rPr>
          <w:lang w:val="pt-BR"/>
        </w:rPr>
        <w:t>/</w:t>
      </w:r>
      <w:r w:rsidRPr="00E6140B">
        <w:rPr>
          <w:lang w:val="pt-BR"/>
        </w:rPr>
        <w:t>min)</w:t>
      </w:r>
      <w:r>
        <w:rPr>
          <w:lang w:val="pt-BR"/>
        </w:rPr>
        <w:t xml:space="preserve"> para o TPR</w:t>
      </w:r>
      <w:r w:rsidRPr="00E6140B">
        <w:rPr>
          <w:lang w:val="pt-BR"/>
        </w:rPr>
        <w:t>,</w:t>
      </w:r>
      <w:r>
        <w:rPr>
          <w:lang w:val="pt-BR"/>
        </w:rPr>
        <w:t xml:space="preserve"> e </w:t>
      </w:r>
      <w:r w:rsidRPr="00F36FFD">
        <w:rPr>
          <w:lang w:val="pt-BR"/>
        </w:rPr>
        <w:t>5% de O</w:t>
      </w:r>
      <w:r w:rsidRPr="000860F1">
        <w:rPr>
          <w:vertAlign w:val="subscript"/>
          <w:lang w:val="pt-BR"/>
        </w:rPr>
        <w:t>2</w:t>
      </w:r>
      <w:r w:rsidRPr="00F36FFD">
        <w:rPr>
          <w:lang w:val="pt-BR"/>
        </w:rPr>
        <w:t xml:space="preserve"> em He</w:t>
      </w:r>
      <w:r w:rsidRPr="00E6140B">
        <w:rPr>
          <w:lang w:val="pt-BR"/>
        </w:rPr>
        <w:t xml:space="preserve"> </w:t>
      </w:r>
      <w:r>
        <w:rPr>
          <w:lang w:val="pt-BR"/>
        </w:rPr>
        <w:t xml:space="preserve">(30mL/min) para o TPO, </w:t>
      </w:r>
      <w:r w:rsidRPr="00E6140B">
        <w:rPr>
          <w:lang w:val="pt-BR"/>
        </w:rPr>
        <w:t>numa taxa de 10°C</w:t>
      </w:r>
      <w:r>
        <w:rPr>
          <w:lang w:val="pt-BR"/>
        </w:rPr>
        <w:t>/</w:t>
      </w:r>
      <w:r w:rsidRPr="00E6140B">
        <w:rPr>
          <w:lang w:val="pt-BR"/>
        </w:rPr>
        <w:t>min até 1000°C.</w:t>
      </w:r>
    </w:p>
    <w:p w14:paraId="30DA0C50" w14:textId="77777777" w:rsidR="00D33DAD" w:rsidRDefault="00D33DAD" w:rsidP="00D33DAD">
      <w:pPr>
        <w:pStyle w:val="TAMainText"/>
        <w:spacing w:line="276" w:lineRule="auto"/>
        <w:rPr>
          <w:lang w:val="pt-BR"/>
        </w:rPr>
      </w:pPr>
      <w:r w:rsidRPr="00BD2619">
        <w:rPr>
          <w:lang w:val="pt-BR"/>
        </w:rPr>
        <w:t>Caracterização por Área Superfi</w:t>
      </w:r>
      <w:r>
        <w:rPr>
          <w:lang w:val="pt-BR"/>
        </w:rPr>
        <w:t xml:space="preserve">cial Específica (Método B.E.T.): Foi medida pelo método BET, </w:t>
      </w:r>
      <w:r w:rsidRPr="00BD2619">
        <w:rPr>
          <w:lang w:val="pt-BR"/>
        </w:rPr>
        <w:t>determina</w:t>
      </w:r>
      <w:r>
        <w:rPr>
          <w:lang w:val="pt-BR"/>
        </w:rPr>
        <w:t>ndo</w:t>
      </w:r>
      <w:r w:rsidRPr="00BD2619">
        <w:rPr>
          <w:lang w:val="pt-BR"/>
        </w:rPr>
        <w:t xml:space="preserve"> o volume de N</w:t>
      </w:r>
      <w:r w:rsidRPr="000860F1">
        <w:rPr>
          <w:vertAlign w:val="subscript"/>
          <w:lang w:val="pt-BR"/>
        </w:rPr>
        <w:t>2</w:t>
      </w:r>
      <w:r w:rsidRPr="00BD2619">
        <w:rPr>
          <w:lang w:val="pt-BR"/>
        </w:rPr>
        <w:t xml:space="preserve"> adsorvido a diversas pressões relativas, na temperatura do N</w:t>
      </w:r>
      <w:r w:rsidRPr="000860F1">
        <w:rPr>
          <w:vertAlign w:val="subscript"/>
          <w:lang w:val="pt-BR"/>
        </w:rPr>
        <w:t>2</w:t>
      </w:r>
      <w:r>
        <w:rPr>
          <w:lang w:val="pt-BR"/>
        </w:rPr>
        <w:t xml:space="preserve"> líquido (T= 196ºC). Análise </w:t>
      </w:r>
      <w:r w:rsidRPr="00BD2619">
        <w:rPr>
          <w:lang w:val="pt-BR"/>
        </w:rPr>
        <w:t xml:space="preserve">realizada em equipamento Quantachrome Instruments, modelo Nova 2200e (Surface Area and Pore Size Analyser), no CATAM, Laboratório de Catálise e Ambiente – Escola Politécnica (UFBA). </w:t>
      </w:r>
    </w:p>
    <w:p w14:paraId="381737D9" w14:textId="77777777" w:rsidR="00D33DAD" w:rsidRPr="00E6140B" w:rsidRDefault="00D33DAD" w:rsidP="00D33DAD">
      <w:pPr>
        <w:pStyle w:val="TAMainText"/>
        <w:spacing w:line="276" w:lineRule="auto"/>
        <w:rPr>
          <w:lang w:val="pt-BR"/>
        </w:rPr>
      </w:pPr>
    </w:p>
    <w:p w14:paraId="6DC6510D" w14:textId="77777777" w:rsidR="00D33DAD" w:rsidRDefault="00D33DAD" w:rsidP="00D33DAD">
      <w:pPr>
        <w:pStyle w:val="TAMainText"/>
        <w:numPr>
          <w:ilvl w:val="0"/>
          <w:numId w:val="2"/>
        </w:numPr>
        <w:spacing w:line="276" w:lineRule="auto"/>
        <w:rPr>
          <w:i/>
          <w:lang w:val="pt-BR"/>
        </w:rPr>
      </w:pPr>
      <w:r>
        <w:rPr>
          <w:i/>
          <w:lang w:val="pt-BR"/>
        </w:rPr>
        <w:t>Avaliação catalítica</w:t>
      </w:r>
    </w:p>
    <w:p w14:paraId="6C205C07" w14:textId="77777777" w:rsidR="00D33DAD" w:rsidRPr="00F36FFD" w:rsidRDefault="00D33DAD" w:rsidP="00D33DAD">
      <w:pPr>
        <w:pStyle w:val="TAMainText"/>
        <w:spacing w:line="276" w:lineRule="auto"/>
        <w:ind w:firstLine="284"/>
        <w:rPr>
          <w:lang w:val="pt-BR"/>
        </w:rPr>
      </w:pPr>
      <w:r w:rsidRPr="00F36FFD">
        <w:rPr>
          <w:lang w:val="pt-BR"/>
        </w:rPr>
        <w:t>TPSR (Reação superficial a temperatura programada):</w:t>
      </w:r>
      <w:r>
        <w:rPr>
          <w:lang w:val="pt-BR"/>
        </w:rPr>
        <w:t xml:space="preserve"> 20 mg de amostra foi</w:t>
      </w:r>
      <w:r w:rsidRPr="00F36FFD">
        <w:rPr>
          <w:lang w:val="pt-BR"/>
        </w:rPr>
        <w:t xml:space="preserve"> aquecida até 1000°C, a uma taxa de 10</w:t>
      </w:r>
      <w:r>
        <w:rPr>
          <w:lang w:val="pt-BR"/>
        </w:rPr>
        <w:t>°</w:t>
      </w:r>
      <w:r w:rsidRPr="00F36FFD">
        <w:rPr>
          <w:lang w:val="pt-BR"/>
        </w:rPr>
        <w:t>C</w:t>
      </w:r>
      <w:r>
        <w:rPr>
          <w:lang w:val="pt-BR"/>
        </w:rPr>
        <w:t>/</w:t>
      </w:r>
      <w:r w:rsidRPr="00F36FFD">
        <w:rPr>
          <w:lang w:val="pt-BR"/>
        </w:rPr>
        <w:t>min, sob um fluxo de 70 mL</w:t>
      </w:r>
      <w:r>
        <w:rPr>
          <w:lang w:val="pt-BR"/>
        </w:rPr>
        <w:t>/</w:t>
      </w:r>
      <w:r w:rsidRPr="00F36FFD">
        <w:rPr>
          <w:lang w:val="pt-BR"/>
        </w:rPr>
        <w:t>min de uma mistura 57% CH</w:t>
      </w:r>
      <w:r w:rsidRPr="000860F1">
        <w:rPr>
          <w:vertAlign w:val="subscript"/>
          <w:lang w:val="pt-BR"/>
        </w:rPr>
        <w:t>4</w:t>
      </w:r>
      <w:r w:rsidRPr="00F36FFD">
        <w:rPr>
          <w:lang w:val="pt-BR"/>
        </w:rPr>
        <w:t>, 15% O</w:t>
      </w:r>
      <w:r w:rsidRPr="000860F1">
        <w:rPr>
          <w:vertAlign w:val="subscript"/>
          <w:lang w:val="pt-BR"/>
        </w:rPr>
        <w:t>2</w:t>
      </w:r>
      <w:r w:rsidRPr="00F36FFD">
        <w:rPr>
          <w:lang w:val="pt-BR"/>
        </w:rPr>
        <w:t xml:space="preserve"> e 28% CO</w:t>
      </w:r>
      <w:r w:rsidRPr="000860F1">
        <w:rPr>
          <w:vertAlign w:val="subscript"/>
          <w:lang w:val="pt-BR"/>
        </w:rPr>
        <w:t>2</w:t>
      </w:r>
      <w:r w:rsidRPr="00F36FFD">
        <w:rPr>
          <w:lang w:val="pt-BR"/>
        </w:rPr>
        <w:t>. Os gases efluentes foram detectados utilizando-se um espectrômetro de massas quadrupolar, Balzers QMS-200</w:t>
      </w:r>
      <w:r>
        <w:rPr>
          <w:lang w:val="pt-BR"/>
        </w:rPr>
        <w:t>, conectado na saída de reator.</w:t>
      </w:r>
    </w:p>
    <w:p w14:paraId="30775F92" w14:textId="40360918" w:rsidR="00D33DAD" w:rsidRDefault="00D33DAD" w:rsidP="00D33DAD">
      <w:pPr>
        <w:pStyle w:val="TAMainText"/>
        <w:spacing w:line="276" w:lineRule="auto"/>
        <w:rPr>
          <w:lang w:val="pt-BR"/>
        </w:rPr>
      </w:pPr>
      <w:r w:rsidRPr="00816BE7">
        <w:rPr>
          <w:lang w:val="pt-BR"/>
        </w:rPr>
        <w:t>Testes Catalíticos:</w:t>
      </w:r>
      <w:r>
        <w:rPr>
          <w:lang w:val="pt-BR"/>
        </w:rPr>
        <w:t xml:space="preserve"> </w:t>
      </w:r>
      <w:r w:rsidRPr="00816BE7">
        <w:rPr>
          <w:lang w:val="pt-BR"/>
        </w:rPr>
        <w:t>Os testes catalíticos foram realizados na unidade</w:t>
      </w:r>
      <w:r>
        <w:rPr>
          <w:lang w:val="pt-BR"/>
        </w:rPr>
        <w:t xml:space="preserve"> de microatividade PID</w:t>
      </w:r>
      <w:r w:rsidRPr="00816BE7">
        <w:rPr>
          <w:lang w:val="pt-BR"/>
        </w:rPr>
        <w:t xml:space="preserve">, utilizando 20 mg de amostra diluído em 80 mg de quartzo em pó. Antes do teste catalítico, as amostras foram </w:t>
      </w:r>
      <w:r w:rsidR="00312FD4" w:rsidRPr="00816BE7">
        <w:rPr>
          <w:lang w:val="pt-BR"/>
        </w:rPr>
        <w:t>aquecidas</w:t>
      </w:r>
      <w:r w:rsidRPr="00816BE7">
        <w:rPr>
          <w:lang w:val="pt-BR"/>
        </w:rPr>
        <w:t xml:space="preserve"> em atmosfera redutora H</w:t>
      </w:r>
      <w:r w:rsidRPr="000860F1">
        <w:rPr>
          <w:vertAlign w:val="subscript"/>
          <w:lang w:val="pt-BR"/>
        </w:rPr>
        <w:t>2</w:t>
      </w:r>
      <w:r w:rsidRPr="00816BE7">
        <w:rPr>
          <w:lang w:val="pt-BR"/>
        </w:rPr>
        <w:t>/He (10% H</w:t>
      </w:r>
      <w:r w:rsidRPr="000860F1">
        <w:rPr>
          <w:vertAlign w:val="subscript"/>
          <w:lang w:val="pt-BR"/>
        </w:rPr>
        <w:t>2</w:t>
      </w:r>
      <w:r w:rsidRPr="00816BE7">
        <w:rPr>
          <w:lang w:val="pt-BR"/>
        </w:rPr>
        <w:t xml:space="preserve"> em mol) com fluxo de 30 mL/min, a uma taxa de 10°C/min da t</w:t>
      </w:r>
      <w:r>
        <w:rPr>
          <w:lang w:val="pt-BR"/>
        </w:rPr>
        <w:t xml:space="preserve">emperatura ambiente até 800°C, </w:t>
      </w:r>
      <w:r w:rsidRPr="00816BE7">
        <w:rPr>
          <w:lang w:val="pt-BR"/>
        </w:rPr>
        <w:t>por 1 hora. A reação foi conduzida a 800ºC</w:t>
      </w:r>
      <w:r>
        <w:rPr>
          <w:lang w:val="pt-BR"/>
        </w:rPr>
        <w:t>, 700°C e 600°C por 2</w:t>
      </w:r>
      <w:r w:rsidRPr="00816BE7">
        <w:rPr>
          <w:lang w:val="pt-BR"/>
        </w:rPr>
        <w:t>0 h, sob a condição fluxo de 40 mL</w:t>
      </w:r>
      <w:r>
        <w:rPr>
          <w:lang w:val="pt-BR"/>
        </w:rPr>
        <w:t>/</w:t>
      </w:r>
      <w:r w:rsidRPr="00816BE7">
        <w:rPr>
          <w:lang w:val="pt-BR"/>
        </w:rPr>
        <w:t>min de CH</w:t>
      </w:r>
      <w:r w:rsidRPr="000860F1">
        <w:rPr>
          <w:vertAlign w:val="subscript"/>
          <w:lang w:val="pt-BR"/>
        </w:rPr>
        <w:t>4</w:t>
      </w:r>
      <w:r w:rsidRPr="00816BE7">
        <w:rPr>
          <w:lang w:val="pt-BR"/>
        </w:rPr>
        <w:t>, 20 mL</w:t>
      </w:r>
      <w:r>
        <w:rPr>
          <w:lang w:val="pt-BR"/>
        </w:rPr>
        <w:t>/</w:t>
      </w:r>
      <w:r w:rsidRPr="00816BE7">
        <w:rPr>
          <w:lang w:val="pt-BR"/>
        </w:rPr>
        <w:t>min de CO</w:t>
      </w:r>
      <w:r w:rsidRPr="000860F1">
        <w:rPr>
          <w:vertAlign w:val="subscript"/>
          <w:lang w:val="pt-BR"/>
        </w:rPr>
        <w:t>2</w:t>
      </w:r>
      <w:r w:rsidRPr="00816BE7">
        <w:rPr>
          <w:lang w:val="pt-BR"/>
        </w:rPr>
        <w:t xml:space="preserve"> e 10 mL</w:t>
      </w:r>
      <w:r>
        <w:rPr>
          <w:lang w:val="pt-BR"/>
        </w:rPr>
        <w:t>/</w:t>
      </w:r>
      <w:r w:rsidRPr="00816BE7">
        <w:rPr>
          <w:lang w:val="pt-BR"/>
        </w:rPr>
        <w:t>min de O</w:t>
      </w:r>
      <w:r w:rsidRPr="000860F1">
        <w:rPr>
          <w:vertAlign w:val="subscript"/>
          <w:lang w:val="pt-BR"/>
        </w:rPr>
        <w:t>2</w:t>
      </w:r>
      <w:r>
        <w:rPr>
          <w:lang w:val="pt-BR"/>
        </w:rPr>
        <w:t>.</w:t>
      </w:r>
      <w:r w:rsidRPr="00816BE7">
        <w:rPr>
          <w:lang w:val="pt-BR"/>
        </w:rPr>
        <w:t xml:space="preserve"> Os gases na saída do reator foram detectados utilizando-se um cromatógrafo a gás equipado com um detector de condutividade térmica.</w:t>
      </w:r>
      <w:r w:rsidRPr="00E012DB">
        <w:rPr>
          <w:sz w:val="14"/>
          <w:szCs w:val="16"/>
          <w:lang w:val="pt-BR"/>
        </w:rPr>
        <w:t xml:space="preserve">                  </w:t>
      </w:r>
    </w:p>
    <w:p w14:paraId="136BD1AC" w14:textId="731A63B1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09290F25" w14:textId="5FFB82EB" w:rsidR="00892353" w:rsidRDefault="00892353" w:rsidP="00892353">
      <w:pPr>
        <w:spacing w:line="276" w:lineRule="auto"/>
        <w:ind w:firstLine="284"/>
        <w:jc w:val="both"/>
        <w:rPr>
          <w:rFonts w:ascii="Times" w:eastAsia="Times New Roman" w:hAnsi="Times" w:cs="Times New Roman"/>
          <w:sz w:val="20"/>
          <w:szCs w:val="20"/>
          <w:lang w:eastAsia="pt-BR"/>
        </w:rPr>
      </w:pPr>
      <w:r w:rsidRPr="00FA50C4">
        <w:rPr>
          <w:rFonts w:ascii="Times" w:eastAsia="Times New Roman" w:hAnsi="Times" w:cs="Times New Roman"/>
          <w:sz w:val="20"/>
          <w:szCs w:val="20"/>
          <w:lang w:eastAsia="pt-BR"/>
        </w:rPr>
        <w:t>A partir dos perfis de DRX</w:t>
      </w:r>
      <w:r>
        <w:rPr>
          <w:rFonts w:ascii="Times" w:eastAsia="Times New Roman" w:hAnsi="Times" w:cs="Times New Roman"/>
          <w:sz w:val="20"/>
          <w:szCs w:val="20"/>
          <w:lang w:eastAsia="pt-BR"/>
        </w:rPr>
        <w:t xml:space="preserve"> (figura 1)</w:t>
      </w:r>
      <w:r w:rsidRPr="00FA50C4">
        <w:rPr>
          <w:rFonts w:ascii="Times" w:eastAsia="Times New Roman" w:hAnsi="Times" w:cs="Times New Roman"/>
          <w:sz w:val="20"/>
          <w:szCs w:val="20"/>
          <w:lang w:eastAsia="pt-BR"/>
        </w:rPr>
        <w:t xml:space="preserve"> obtidos foi comprovada a formação da fase perovskita nas amostras através da identificação dos picos característicos da fase nos valores de 2θ igual a 26,3◦; 30◦; 39,3◦; 44,4◦; 46,1◦, desta maneira pode-se concluir que o método de síntese descrito e utilizado foi eficiente</w:t>
      </w:r>
      <w:r w:rsidR="00D84E26">
        <w:rPr>
          <w:rFonts w:ascii="Times" w:eastAsia="Times New Roman" w:hAnsi="Times" w:cs="Times New Roman"/>
          <w:sz w:val="20"/>
          <w:szCs w:val="20"/>
          <w:lang w:eastAsia="pt-BR"/>
        </w:rPr>
        <w:t xml:space="preserve">, comprovando </w:t>
      </w:r>
      <w:r w:rsidRPr="00FA50C4">
        <w:rPr>
          <w:rFonts w:ascii="Times" w:eastAsia="Times New Roman" w:hAnsi="Times" w:cs="Times New Roman"/>
          <w:sz w:val="20"/>
          <w:szCs w:val="20"/>
          <w:lang w:eastAsia="pt-BR"/>
        </w:rPr>
        <w:t>as condições de síntese e calcinação</w:t>
      </w:r>
      <w:r>
        <w:rPr>
          <w:rFonts w:ascii="Times" w:eastAsia="Times New Roman" w:hAnsi="Times" w:cs="Times New Roman"/>
          <w:sz w:val="20"/>
          <w:szCs w:val="20"/>
          <w:lang w:eastAsia="pt-BR"/>
        </w:rPr>
        <w:t>. Para as amostras parcialmente substituídas, a</w:t>
      </w:r>
      <w:r w:rsidRPr="00FA50C4">
        <w:rPr>
          <w:rFonts w:ascii="Times" w:eastAsia="Times New Roman" w:hAnsi="Times" w:cs="Times New Roman"/>
          <w:sz w:val="20"/>
          <w:szCs w:val="20"/>
          <w:lang w:eastAsia="pt-BR"/>
        </w:rPr>
        <w:t>lém da fase perovskita também foram observados picos relativos à formação de fases secundárias atri</w:t>
      </w:r>
      <w:r>
        <w:rPr>
          <w:rFonts w:ascii="Times" w:eastAsia="Times New Roman" w:hAnsi="Times" w:cs="Times New Roman"/>
          <w:sz w:val="20"/>
          <w:szCs w:val="20"/>
          <w:lang w:eastAsia="pt-BR"/>
        </w:rPr>
        <w:t xml:space="preserve">buídas a NiO, </w:t>
      </w:r>
      <w:r w:rsidRPr="00FA50C4">
        <w:rPr>
          <w:rFonts w:ascii="Times" w:eastAsia="Times New Roman" w:hAnsi="Times" w:cs="Times New Roman"/>
          <w:sz w:val="20"/>
          <w:szCs w:val="20"/>
          <w:lang w:eastAsia="pt-BR"/>
        </w:rPr>
        <w:t>La</w:t>
      </w:r>
      <w:r w:rsidRPr="00907D14">
        <w:rPr>
          <w:rFonts w:ascii="Times" w:eastAsia="Times New Roman" w:hAnsi="Times" w:cs="Times New Roman"/>
          <w:sz w:val="20"/>
          <w:szCs w:val="20"/>
          <w:vertAlign w:val="subscript"/>
          <w:lang w:eastAsia="pt-BR"/>
        </w:rPr>
        <w:t>2</w:t>
      </w:r>
      <w:r w:rsidRPr="00FA50C4">
        <w:rPr>
          <w:rFonts w:ascii="Times" w:eastAsia="Times New Roman" w:hAnsi="Times" w:cs="Times New Roman"/>
          <w:sz w:val="20"/>
          <w:szCs w:val="20"/>
          <w:lang w:eastAsia="pt-BR"/>
        </w:rPr>
        <w:t>O</w:t>
      </w:r>
      <w:r w:rsidRPr="00907D14">
        <w:rPr>
          <w:rFonts w:ascii="Times" w:eastAsia="Times New Roman" w:hAnsi="Times" w:cs="Times New Roman"/>
          <w:sz w:val="20"/>
          <w:szCs w:val="20"/>
          <w:vertAlign w:val="subscript"/>
          <w:lang w:eastAsia="pt-BR"/>
        </w:rPr>
        <w:t>3</w:t>
      </w:r>
      <w:r w:rsidRPr="00FA50C4">
        <w:rPr>
          <w:rFonts w:ascii="Times" w:eastAsia="Times New Roman" w:hAnsi="Times" w:cs="Times New Roman"/>
          <w:sz w:val="20"/>
          <w:szCs w:val="20"/>
          <w:lang w:eastAsia="pt-BR"/>
        </w:rPr>
        <w:t xml:space="preserve">, </w:t>
      </w:r>
      <w:r>
        <w:rPr>
          <w:rFonts w:ascii="Times" w:eastAsia="Times New Roman" w:hAnsi="Times" w:cs="Times New Roman"/>
          <w:sz w:val="20"/>
          <w:szCs w:val="20"/>
          <w:lang w:eastAsia="pt-BR"/>
        </w:rPr>
        <w:t>CeO</w:t>
      </w:r>
      <w:r w:rsidRPr="00907D14">
        <w:rPr>
          <w:rFonts w:ascii="Times" w:eastAsia="Times New Roman" w:hAnsi="Times" w:cs="Times New Roman"/>
          <w:sz w:val="20"/>
          <w:szCs w:val="20"/>
          <w:vertAlign w:val="subscript"/>
          <w:lang w:eastAsia="pt-BR"/>
        </w:rPr>
        <w:t>2</w:t>
      </w:r>
      <w:r>
        <w:rPr>
          <w:rFonts w:ascii="Times" w:eastAsia="Times New Roman" w:hAnsi="Times" w:cs="Times New Roman"/>
          <w:sz w:val="20"/>
          <w:szCs w:val="20"/>
          <w:lang w:eastAsia="pt-BR"/>
        </w:rPr>
        <w:t xml:space="preserve"> e Fe</w:t>
      </w:r>
      <w:r w:rsidRPr="00907D14">
        <w:rPr>
          <w:rFonts w:ascii="Times" w:eastAsia="Times New Roman" w:hAnsi="Times" w:cs="Times New Roman"/>
          <w:sz w:val="20"/>
          <w:szCs w:val="20"/>
          <w:vertAlign w:val="subscript"/>
          <w:lang w:eastAsia="pt-BR"/>
        </w:rPr>
        <w:t>3</w:t>
      </w:r>
      <w:r>
        <w:rPr>
          <w:rFonts w:ascii="Times" w:eastAsia="Times New Roman" w:hAnsi="Times" w:cs="Times New Roman"/>
          <w:sz w:val="20"/>
          <w:szCs w:val="20"/>
          <w:lang w:eastAsia="pt-BR"/>
        </w:rPr>
        <w:t>O</w:t>
      </w:r>
      <w:r w:rsidRPr="00907D14">
        <w:rPr>
          <w:rFonts w:ascii="Times" w:eastAsia="Times New Roman" w:hAnsi="Times" w:cs="Times New Roman"/>
          <w:sz w:val="20"/>
          <w:szCs w:val="20"/>
          <w:vertAlign w:val="subscript"/>
          <w:lang w:eastAsia="pt-BR"/>
        </w:rPr>
        <w:t>4</w:t>
      </w:r>
      <w:r>
        <w:rPr>
          <w:rFonts w:ascii="Times" w:eastAsia="Times New Roman" w:hAnsi="Times" w:cs="Times New Roman"/>
          <w:sz w:val="20"/>
          <w:szCs w:val="20"/>
          <w:lang w:eastAsia="pt-BR"/>
        </w:rPr>
        <w:t xml:space="preserve">. Esta verificação comprova o fato de que ao se substituir um metal na perovskita ocorre uma </w:t>
      </w:r>
      <w:r w:rsidRPr="00C63655">
        <w:rPr>
          <w:rFonts w:ascii="Times" w:eastAsia="Times New Roman" w:hAnsi="Times" w:cs="Times New Roman"/>
          <w:sz w:val="20"/>
          <w:szCs w:val="20"/>
          <w:lang w:eastAsia="pt-BR"/>
        </w:rPr>
        <w:t>desorganiza</w:t>
      </w:r>
      <w:r>
        <w:rPr>
          <w:rFonts w:ascii="Times" w:eastAsia="Times New Roman" w:hAnsi="Times" w:cs="Times New Roman"/>
          <w:sz w:val="20"/>
          <w:szCs w:val="20"/>
          <w:lang w:eastAsia="pt-BR"/>
        </w:rPr>
        <w:t xml:space="preserve">ção estrutural </w:t>
      </w:r>
      <w:r w:rsidRPr="00C63655">
        <w:rPr>
          <w:rFonts w:ascii="Times" w:eastAsia="Times New Roman" w:hAnsi="Times" w:cs="Times New Roman"/>
          <w:sz w:val="20"/>
          <w:szCs w:val="20"/>
          <w:lang w:eastAsia="pt-BR"/>
        </w:rPr>
        <w:t xml:space="preserve">possibilitando </w:t>
      </w:r>
      <w:r>
        <w:rPr>
          <w:rFonts w:ascii="Times" w:eastAsia="Times New Roman" w:hAnsi="Times" w:cs="Times New Roman"/>
          <w:sz w:val="20"/>
          <w:szCs w:val="20"/>
          <w:lang w:eastAsia="pt-BR"/>
        </w:rPr>
        <w:t xml:space="preserve">a </w:t>
      </w:r>
      <w:r w:rsidRPr="00C63655">
        <w:rPr>
          <w:rFonts w:ascii="Times" w:eastAsia="Times New Roman" w:hAnsi="Times" w:cs="Times New Roman"/>
          <w:sz w:val="20"/>
          <w:szCs w:val="20"/>
          <w:lang w:eastAsia="pt-BR"/>
        </w:rPr>
        <w:t>segregação de fases (</w:t>
      </w:r>
      <w:r>
        <w:rPr>
          <w:rFonts w:ascii="Times" w:eastAsia="Times New Roman" w:hAnsi="Times" w:cs="Times New Roman"/>
          <w:sz w:val="20"/>
          <w:szCs w:val="20"/>
          <w:lang w:eastAsia="pt-BR"/>
        </w:rPr>
        <w:t>10</w:t>
      </w:r>
      <w:r w:rsidRPr="00C63655">
        <w:rPr>
          <w:rFonts w:ascii="Times" w:eastAsia="Times New Roman" w:hAnsi="Times" w:cs="Times New Roman"/>
          <w:sz w:val="20"/>
          <w:szCs w:val="20"/>
          <w:lang w:eastAsia="pt-BR"/>
        </w:rPr>
        <w:t>).</w:t>
      </w:r>
    </w:p>
    <w:p w14:paraId="44663C7A" w14:textId="77777777" w:rsidR="00892353" w:rsidRDefault="00892353" w:rsidP="00EA4E1B">
      <w:pPr>
        <w:jc w:val="center"/>
        <w:rPr>
          <w:rFonts w:ascii="Times New Roman" w:hAnsi="Times New Roman" w:cs="Times New Roman"/>
        </w:rPr>
      </w:pPr>
      <w:r w:rsidRPr="00975FAE">
        <w:rPr>
          <w:noProof/>
        </w:rPr>
        <w:lastRenderedPageBreak/>
        <w:drawing>
          <wp:inline distT="0" distB="0" distL="0" distR="0" wp14:anchorId="019EDF91" wp14:editId="416C3319">
            <wp:extent cx="2518012" cy="2024613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30" b="4791"/>
                    <a:stretch/>
                  </pic:blipFill>
                  <pic:spPr bwMode="auto">
                    <a:xfrm>
                      <a:off x="0" y="0"/>
                      <a:ext cx="2545199" cy="2046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3E2436" w14:textId="77777777" w:rsidR="00892353" w:rsidRDefault="00892353" w:rsidP="00892353">
      <w:pPr>
        <w:pStyle w:val="TAMainText"/>
        <w:spacing w:line="276" w:lineRule="auto"/>
        <w:ind w:firstLine="187"/>
        <w:jc w:val="center"/>
        <w:rPr>
          <w:sz w:val="18"/>
          <w:lang w:val="pt-BR"/>
        </w:rPr>
      </w:pPr>
      <w:r>
        <w:rPr>
          <w:b/>
          <w:sz w:val="18"/>
          <w:lang w:val="pt-BR"/>
        </w:rPr>
        <w:t>Figura 1</w:t>
      </w:r>
      <w:r w:rsidRPr="000E0E20">
        <w:rPr>
          <w:b/>
          <w:sz w:val="18"/>
          <w:lang w:val="pt-BR"/>
        </w:rPr>
        <w:t>.</w:t>
      </w:r>
      <w:r w:rsidRPr="000E0E20">
        <w:rPr>
          <w:sz w:val="18"/>
          <w:lang w:val="pt-BR"/>
        </w:rPr>
        <w:t xml:space="preserve"> Perfil de DRX das amostras</w:t>
      </w:r>
      <w:r>
        <w:rPr>
          <w:sz w:val="18"/>
          <w:lang w:val="pt-BR"/>
        </w:rPr>
        <w:t>.</w:t>
      </w:r>
    </w:p>
    <w:p w14:paraId="522944C0" w14:textId="77777777" w:rsidR="000551F8" w:rsidRDefault="000551F8" w:rsidP="00892353">
      <w:pPr>
        <w:pStyle w:val="TAMainText"/>
        <w:spacing w:line="276" w:lineRule="auto"/>
        <w:ind w:firstLine="187"/>
        <w:jc w:val="center"/>
        <w:rPr>
          <w:sz w:val="18"/>
          <w:lang w:val="pt-BR"/>
        </w:rPr>
      </w:pPr>
    </w:p>
    <w:p w14:paraId="5D6754AB" w14:textId="06834DED" w:rsidR="000551F8" w:rsidRDefault="000551F8" w:rsidP="000551F8">
      <w:pPr>
        <w:pStyle w:val="TAMainText"/>
        <w:spacing w:line="276" w:lineRule="auto"/>
        <w:ind w:firstLine="187"/>
        <w:rPr>
          <w:lang w:val="pt-BR"/>
        </w:rPr>
      </w:pPr>
      <w:r>
        <w:rPr>
          <w:lang w:val="pt-BR"/>
        </w:rPr>
        <w:t xml:space="preserve">Os perfis de TPR das amostras são mostrados na Figura 2 e observa-se que </w:t>
      </w:r>
      <w:r w:rsidRPr="003748A4">
        <w:rPr>
          <w:lang w:val="pt-BR"/>
        </w:rPr>
        <w:t>para a amostra LaNiO</w:t>
      </w:r>
      <w:r w:rsidRPr="00836F1D">
        <w:rPr>
          <w:vertAlign w:val="subscript"/>
          <w:lang w:val="pt-BR"/>
        </w:rPr>
        <w:t>3</w:t>
      </w:r>
      <w:r w:rsidRPr="003748A4">
        <w:rPr>
          <w:lang w:val="pt-BR"/>
        </w:rPr>
        <w:t xml:space="preserve">, o processo de redução ocorre em </w:t>
      </w:r>
      <w:r>
        <w:rPr>
          <w:lang w:val="pt-BR"/>
        </w:rPr>
        <w:t>trê</w:t>
      </w:r>
      <w:r w:rsidRPr="003748A4">
        <w:rPr>
          <w:lang w:val="pt-BR"/>
        </w:rPr>
        <w:t xml:space="preserve">s etapas, sendo </w:t>
      </w:r>
      <w:r>
        <w:rPr>
          <w:lang w:val="pt-BR"/>
        </w:rPr>
        <w:t xml:space="preserve">a primeira </w:t>
      </w:r>
      <w:r w:rsidRPr="00D32DF9">
        <w:rPr>
          <w:lang w:val="pt-BR"/>
        </w:rPr>
        <w:t>em 330°C referente à redução do Ni</w:t>
      </w:r>
      <w:r w:rsidRPr="00536EB6">
        <w:rPr>
          <w:vertAlign w:val="superscript"/>
          <w:lang w:val="pt-BR"/>
        </w:rPr>
        <w:t>3+</w:t>
      </w:r>
      <w:r w:rsidRPr="00D32DF9">
        <w:rPr>
          <w:lang w:val="pt-BR"/>
        </w:rPr>
        <w:t xml:space="preserve"> para Ni</w:t>
      </w:r>
      <w:r w:rsidRPr="00536EB6">
        <w:rPr>
          <w:vertAlign w:val="superscript"/>
          <w:lang w:val="pt-BR"/>
        </w:rPr>
        <w:t xml:space="preserve">2+ </w:t>
      </w:r>
      <w:r>
        <w:rPr>
          <w:lang w:val="pt-BR"/>
        </w:rPr>
        <w:t>proveniente da perovskita</w:t>
      </w:r>
      <w:r w:rsidRPr="00D32DF9">
        <w:rPr>
          <w:lang w:val="pt-BR"/>
        </w:rPr>
        <w:t xml:space="preserve">, </w:t>
      </w:r>
      <w:r>
        <w:rPr>
          <w:lang w:val="pt-BR"/>
        </w:rPr>
        <w:t>seguida por um pico</w:t>
      </w:r>
      <w:r w:rsidRPr="00D32DF9">
        <w:rPr>
          <w:lang w:val="pt-BR"/>
        </w:rPr>
        <w:t xml:space="preserve"> em 380°C referente a redução do Ni</w:t>
      </w:r>
      <w:r w:rsidRPr="00536EB6">
        <w:rPr>
          <w:vertAlign w:val="superscript"/>
          <w:lang w:val="pt-BR"/>
        </w:rPr>
        <w:t>2+</w:t>
      </w:r>
      <w:r w:rsidRPr="00D32DF9">
        <w:rPr>
          <w:lang w:val="pt-BR"/>
        </w:rPr>
        <w:t xml:space="preserve"> para Ni</w:t>
      </w:r>
      <w:r w:rsidRPr="00536EB6">
        <w:rPr>
          <w:vertAlign w:val="superscript"/>
          <w:lang w:val="pt-BR"/>
        </w:rPr>
        <w:t>0</w:t>
      </w:r>
      <w:r w:rsidRPr="00D32DF9">
        <w:rPr>
          <w:lang w:val="pt-BR"/>
        </w:rPr>
        <w:t>, onde a espécie de níquel é pertencente a fase segregada óxido de níquel (NiO)</w:t>
      </w:r>
      <w:r>
        <w:rPr>
          <w:lang w:val="pt-BR"/>
        </w:rPr>
        <w:t xml:space="preserve">, e por último a etapa </w:t>
      </w:r>
      <w:r w:rsidRPr="00D32DF9">
        <w:rPr>
          <w:lang w:val="pt-BR"/>
        </w:rPr>
        <w:t>em 500°C referente a redução completa do Ni</w:t>
      </w:r>
      <w:r w:rsidRPr="00536EB6">
        <w:rPr>
          <w:vertAlign w:val="superscript"/>
          <w:lang w:val="pt-BR"/>
        </w:rPr>
        <w:t>2+</w:t>
      </w:r>
      <w:r w:rsidRPr="00D32DF9">
        <w:rPr>
          <w:lang w:val="pt-BR"/>
        </w:rPr>
        <w:t xml:space="preserve"> para Ni</w:t>
      </w:r>
      <w:r w:rsidRPr="00536EB6">
        <w:rPr>
          <w:vertAlign w:val="superscript"/>
          <w:lang w:val="pt-BR"/>
        </w:rPr>
        <w:t>0</w:t>
      </w:r>
      <w:r w:rsidRPr="003748A4">
        <w:rPr>
          <w:lang w:val="pt-BR"/>
        </w:rPr>
        <w:t>.</w:t>
      </w:r>
      <w:r>
        <w:rPr>
          <w:lang w:val="pt-BR"/>
        </w:rPr>
        <w:t xml:space="preserve"> </w:t>
      </w:r>
      <w:r w:rsidRPr="00D32DF9">
        <w:rPr>
          <w:lang w:val="pt-BR"/>
        </w:rPr>
        <w:t xml:space="preserve">Este resultado </w:t>
      </w:r>
      <w:r>
        <w:rPr>
          <w:lang w:val="pt-BR"/>
        </w:rPr>
        <w:t>permite a afirmação de</w:t>
      </w:r>
      <w:r w:rsidRPr="00D32DF9">
        <w:rPr>
          <w:lang w:val="pt-BR"/>
        </w:rPr>
        <w:t xml:space="preserve"> que a estrutura de perovskita LaNiO</w:t>
      </w:r>
      <w:r w:rsidRPr="00536EB6">
        <w:rPr>
          <w:vertAlign w:val="subscript"/>
          <w:lang w:val="pt-BR"/>
        </w:rPr>
        <w:t>3</w:t>
      </w:r>
      <w:r w:rsidRPr="00D32DF9">
        <w:rPr>
          <w:lang w:val="pt-BR"/>
        </w:rPr>
        <w:t>, após redução com hidrogênio a 800°C, é destruída para formar partículas de níq</w:t>
      </w:r>
      <w:r>
        <w:rPr>
          <w:lang w:val="pt-BR"/>
        </w:rPr>
        <w:t>uel metálico suportado em La</w:t>
      </w:r>
      <w:r w:rsidRPr="00536EB6">
        <w:rPr>
          <w:vertAlign w:val="subscript"/>
          <w:lang w:val="pt-BR"/>
        </w:rPr>
        <w:t>2</w:t>
      </w:r>
      <w:r>
        <w:rPr>
          <w:lang w:val="pt-BR"/>
        </w:rPr>
        <w:t>O</w:t>
      </w:r>
      <w:r w:rsidRPr="00536EB6">
        <w:rPr>
          <w:vertAlign w:val="subscript"/>
          <w:lang w:val="pt-BR"/>
        </w:rPr>
        <w:t>3</w:t>
      </w:r>
      <w:r>
        <w:rPr>
          <w:lang w:val="pt-BR"/>
        </w:rPr>
        <w:t xml:space="preserve">. </w:t>
      </w:r>
      <w:r w:rsidRPr="00D32DF9">
        <w:rPr>
          <w:lang w:val="pt-BR"/>
        </w:rPr>
        <w:t>A amostra La</w:t>
      </w:r>
      <w:r w:rsidRPr="00536EB6">
        <w:rPr>
          <w:vertAlign w:val="subscript"/>
          <w:lang w:val="pt-BR"/>
        </w:rPr>
        <w:t>0.7</w:t>
      </w:r>
      <w:r w:rsidRPr="00D32DF9">
        <w:rPr>
          <w:lang w:val="pt-BR"/>
        </w:rPr>
        <w:t>Ce</w:t>
      </w:r>
      <w:r w:rsidRPr="00536EB6">
        <w:rPr>
          <w:vertAlign w:val="subscript"/>
          <w:lang w:val="pt-BR"/>
        </w:rPr>
        <w:t>0.3</w:t>
      </w:r>
      <w:r w:rsidRPr="00D32DF9">
        <w:rPr>
          <w:lang w:val="pt-BR"/>
        </w:rPr>
        <w:t>NiO</w:t>
      </w:r>
      <w:r w:rsidRPr="00536EB6">
        <w:rPr>
          <w:vertAlign w:val="subscript"/>
          <w:lang w:val="pt-BR"/>
        </w:rPr>
        <w:t>3</w:t>
      </w:r>
      <w:r w:rsidRPr="00D32DF9">
        <w:rPr>
          <w:lang w:val="pt-BR"/>
        </w:rPr>
        <w:t xml:space="preserve"> </w:t>
      </w:r>
      <w:r>
        <w:rPr>
          <w:lang w:val="pt-BR"/>
        </w:rPr>
        <w:t>se</w:t>
      </w:r>
      <w:r w:rsidRPr="00D32DF9">
        <w:rPr>
          <w:lang w:val="pt-BR"/>
        </w:rPr>
        <w:t xml:space="preserve"> redu</w:t>
      </w:r>
      <w:r>
        <w:rPr>
          <w:lang w:val="pt-BR"/>
        </w:rPr>
        <w:t>z</w:t>
      </w:r>
      <w:r w:rsidRPr="00D32DF9">
        <w:rPr>
          <w:lang w:val="pt-BR"/>
        </w:rPr>
        <w:t xml:space="preserve"> </w:t>
      </w:r>
      <w:r>
        <w:rPr>
          <w:lang w:val="pt-BR"/>
        </w:rPr>
        <w:t>de forma similar, no entanto os picos são deslocados para temperatura maiores. E</w:t>
      </w:r>
      <w:r w:rsidRPr="00D32DF9">
        <w:rPr>
          <w:lang w:val="pt-BR"/>
        </w:rPr>
        <w:t xml:space="preserve">m </w:t>
      </w:r>
      <w:r>
        <w:rPr>
          <w:lang w:val="pt-BR"/>
        </w:rPr>
        <w:t>torno de 650°C, têm-se a redução das espécies de níquel provenientes da NiO, além da</w:t>
      </w:r>
      <w:r w:rsidRPr="00D32DF9">
        <w:rPr>
          <w:lang w:val="pt-BR"/>
        </w:rPr>
        <w:t xml:space="preserve"> redução do Ce</w:t>
      </w:r>
      <w:r w:rsidRPr="00E90312">
        <w:rPr>
          <w:vertAlign w:val="superscript"/>
          <w:lang w:val="pt-BR"/>
        </w:rPr>
        <w:t>4+</w:t>
      </w:r>
      <w:r w:rsidRPr="00D32DF9">
        <w:rPr>
          <w:lang w:val="pt-BR"/>
        </w:rPr>
        <w:t xml:space="preserve"> para Ce</w:t>
      </w:r>
      <w:r w:rsidRPr="00E90312">
        <w:rPr>
          <w:vertAlign w:val="superscript"/>
          <w:lang w:val="pt-BR"/>
        </w:rPr>
        <w:t>3+</w:t>
      </w:r>
      <w:r>
        <w:rPr>
          <w:lang w:val="pt-BR"/>
        </w:rPr>
        <w:t xml:space="preserve">. </w:t>
      </w:r>
      <w:r w:rsidRPr="00AB2599">
        <w:rPr>
          <w:lang w:val="pt-BR"/>
        </w:rPr>
        <w:t>A</w:t>
      </w:r>
      <w:r>
        <w:rPr>
          <w:lang w:val="pt-BR"/>
        </w:rPr>
        <w:t xml:space="preserve"> amostra com teor de ferro sofre redução desta espécie também</w:t>
      </w:r>
      <w:r w:rsidRPr="00AB2599">
        <w:rPr>
          <w:lang w:val="pt-BR"/>
        </w:rPr>
        <w:t xml:space="preserve"> em dois estágios: Inicialmente</w:t>
      </w:r>
      <w:r>
        <w:rPr>
          <w:lang w:val="pt-BR"/>
        </w:rPr>
        <w:t xml:space="preserve"> Fe</w:t>
      </w:r>
      <w:r w:rsidRPr="000860F1">
        <w:rPr>
          <w:vertAlign w:val="subscript"/>
          <w:lang w:val="pt-BR"/>
        </w:rPr>
        <w:t>2</w:t>
      </w:r>
      <w:r>
        <w:rPr>
          <w:lang w:val="pt-BR"/>
        </w:rPr>
        <w:t>O</w:t>
      </w:r>
      <w:r w:rsidRPr="000860F1">
        <w:rPr>
          <w:vertAlign w:val="subscript"/>
          <w:lang w:val="pt-BR"/>
        </w:rPr>
        <w:t>3</w:t>
      </w:r>
      <w:r>
        <w:rPr>
          <w:lang w:val="pt-BR"/>
        </w:rPr>
        <w:t xml:space="preserve"> é reduzido para Fe</w:t>
      </w:r>
      <w:r w:rsidRPr="000860F1">
        <w:rPr>
          <w:vertAlign w:val="subscript"/>
          <w:lang w:val="pt-BR"/>
        </w:rPr>
        <w:t>3</w:t>
      </w:r>
      <w:r>
        <w:rPr>
          <w:lang w:val="pt-BR"/>
        </w:rPr>
        <w:t>O</w:t>
      </w:r>
      <w:r w:rsidRPr="000860F1">
        <w:rPr>
          <w:vertAlign w:val="subscript"/>
          <w:lang w:val="pt-BR"/>
        </w:rPr>
        <w:t>4</w:t>
      </w:r>
      <w:r>
        <w:rPr>
          <w:lang w:val="pt-BR"/>
        </w:rPr>
        <w:t xml:space="preserve"> onde </w:t>
      </w:r>
      <w:r w:rsidRPr="00AB2599">
        <w:rPr>
          <w:lang w:val="pt-BR"/>
        </w:rPr>
        <w:t>o p</w:t>
      </w:r>
      <w:r>
        <w:rPr>
          <w:lang w:val="pt-BR"/>
        </w:rPr>
        <w:t xml:space="preserve">ico relacionado a essa redução </w:t>
      </w:r>
      <w:r w:rsidRPr="00AB2599">
        <w:rPr>
          <w:lang w:val="pt-BR"/>
        </w:rPr>
        <w:t xml:space="preserve">pode ser observado em torno de 360°C, seguido por redução </w:t>
      </w:r>
      <w:r>
        <w:rPr>
          <w:lang w:val="pt-BR"/>
        </w:rPr>
        <w:t>de Fe</w:t>
      </w:r>
      <w:r w:rsidRPr="000860F1">
        <w:rPr>
          <w:vertAlign w:val="subscript"/>
          <w:lang w:val="pt-BR"/>
        </w:rPr>
        <w:t>3</w:t>
      </w:r>
      <w:r>
        <w:rPr>
          <w:lang w:val="pt-BR"/>
        </w:rPr>
        <w:t>O</w:t>
      </w:r>
      <w:r w:rsidRPr="000860F1">
        <w:rPr>
          <w:vertAlign w:val="subscript"/>
          <w:lang w:val="pt-BR"/>
        </w:rPr>
        <w:t>4</w:t>
      </w:r>
      <w:r>
        <w:rPr>
          <w:lang w:val="pt-BR"/>
        </w:rPr>
        <w:t xml:space="preserve"> para Fe metálico onde </w:t>
      </w:r>
      <w:r w:rsidRPr="00AB2599">
        <w:rPr>
          <w:lang w:val="pt-BR"/>
        </w:rPr>
        <w:t>o cons</w:t>
      </w:r>
      <w:r>
        <w:rPr>
          <w:lang w:val="pt-BR"/>
        </w:rPr>
        <w:t>umo é observado após 900°</w:t>
      </w:r>
      <w:r w:rsidR="001D0718">
        <w:rPr>
          <w:lang w:val="pt-BR"/>
        </w:rPr>
        <w:t>C</w:t>
      </w:r>
      <w:r w:rsidR="008D572A">
        <w:rPr>
          <w:lang w:val="pt-BR"/>
        </w:rPr>
        <w:t xml:space="preserve"> </w:t>
      </w:r>
      <w:r w:rsidRPr="001B2AFB">
        <w:rPr>
          <w:lang w:val="pt-BR"/>
        </w:rPr>
        <w:t>(</w:t>
      </w:r>
      <w:r w:rsidR="00605CF4">
        <w:rPr>
          <w:lang w:val="pt-BR"/>
        </w:rPr>
        <w:t xml:space="preserve">6, </w:t>
      </w:r>
      <w:r w:rsidRPr="001B2AFB">
        <w:rPr>
          <w:lang w:val="pt-BR"/>
        </w:rPr>
        <w:t>1</w:t>
      </w:r>
      <w:r>
        <w:rPr>
          <w:lang w:val="pt-BR"/>
        </w:rPr>
        <w:t>1</w:t>
      </w:r>
      <w:r w:rsidRPr="001B2AFB">
        <w:rPr>
          <w:lang w:val="pt-BR"/>
        </w:rPr>
        <w:t>)</w:t>
      </w:r>
      <w:r>
        <w:rPr>
          <w:lang w:val="pt-BR"/>
        </w:rPr>
        <w:t>.</w:t>
      </w:r>
    </w:p>
    <w:p w14:paraId="60280FF1" w14:textId="77777777" w:rsidR="000551F8" w:rsidRDefault="000551F8" w:rsidP="000551F8">
      <w:pPr>
        <w:jc w:val="center"/>
      </w:pPr>
      <w:r w:rsidRPr="00975FAE">
        <w:rPr>
          <w:noProof/>
        </w:rPr>
        <w:drawing>
          <wp:inline distT="0" distB="0" distL="0" distR="0" wp14:anchorId="0E1FD152" wp14:editId="3DD35BDF">
            <wp:extent cx="2519604" cy="201600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04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878FF" w14:textId="77777777" w:rsidR="000551F8" w:rsidRPr="000E0E20" w:rsidRDefault="000551F8" w:rsidP="000551F8">
      <w:pPr>
        <w:pStyle w:val="TAMainText"/>
        <w:spacing w:line="276" w:lineRule="auto"/>
        <w:ind w:firstLine="187"/>
        <w:jc w:val="center"/>
        <w:rPr>
          <w:sz w:val="18"/>
          <w:lang w:val="pt-BR"/>
        </w:rPr>
      </w:pPr>
      <w:r>
        <w:rPr>
          <w:b/>
          <w:sz w:val="18"/>
          <w:lang w:val="pt-BR"/>
        </w:rPr>
        <w:t>Figura 2</w:t>
      </w:r>
      <w:r w:rsidRPr="000E0E20">
        <w:rPr>
          <w:b/>
          <w:sz w:val="18"/>
          <w:lang w:val="pt-BR"/>
        </w:rPr>
        <w:t>.</w:t>
      </w:r>
      <w:r w:rsidRPr="000E0E20">
        <w:rPr>
          <w:sz w:val="18"/>
          <w:lang w:val="pt-BR"/>
        </w:rPr>
        <w:t xml:space="preserve"> Perfil de TPR-H</w:t>
      </w:r>
      <w:r w:rsidRPr="000E0E20">
        <w:rPr>
          <w:sz w:val="18"/>
          <w:vertAlign w:val="subscript"/>
          <w:lang w:val="pt-BR"/>
        </w:rPr>
        <w:t>2</w:t>
      </w:r>
      <w:r>
        <w:rPr>
          <w:sz w:val="18"/>
          <w:vertAlign w:val="subscript"/>
          <w:lang w:val="pt-BR"/>
        </w:rPr>
        <w:t>.</w:t>
      </w:r>
    </w:p>
    <w:p w14:paraId="0646D6C9" w14:textId="77777777" w:rsidR="000551F8" w:rsidRDefault="000551F8" w:rsidP="000551F8">
      <w:pPr>
        <w:pStyle w:val="TAMainText"/>
        <w:spacing w:line="276" w:lineRule="auto"/>
        <w:ind w:firstLine="187"/>
        <w:rPr>
          <w:lang w:val="pt-BR"/>
        </w:rPr>
      </w:pPr>
    </w:p>
    <w:p w14:paraId="66AA9224" w14:textId="77777777" w:rsidR="000551F8" w:rsidRDefault="000551F8" w:rsidP="000551F8">
      <w:pPr>
        <w:pStyle w:val="TAMainText"/>
        <w:spacing w:line="276" w:lineRule="auto"/>
        <w:ind w:firstLine="187"/>
        <w:rPr>
          <w:lang w:val="pt-BR"/>
        </w:rPr>
      </w:pPr>
      <w:r w:rsidRPr="00E546EC">
        <w:rPr>
          <w:lang w:val="pt-BR"/>
        </w:rPr>
        <w:t>A área superficial especifica calculada pelo método BET</w:t>
      </w:r>
      <w:r>
        <w:rPr>
          <w:lang w:val="pt-BR"/>
        </w:rPr>
        <w:t xml:space="preserve"> está apresentada na tabela 1, e está de acordo com </w:t>
      </w:r>
      <w:r w:rsidRPr="00E546EC">
        <w:rPr>
          <w:lang w:val="pt-BR"/>
        </w:rPr>
        <w:t>a literatura já que a área de superfície BET de todos os óxidos do tipo perovskita é muito baixa (&lt;10,0 m</w:t>
      </w:r>
      <w:r w:rsidRPr="00B034FA">
        <w:rPr>
          <w:vertAlign w:val="superscript"/>
          <w:lang w:val="pt-BR"/>
        </w:rPr>
        <w:t>2</w:t>
      </w:r>
      <w:r w:rsidRPr="00E546EC">
        <w:rPr>
          <w:lang w:val="pt-BR"/>
        </w:rPr>
        <w:t>/g), sendo isso uma caracterís</w:t>
      </w:r>
      <w:r>
        <w:rPr>
          <w:lang w:val="pt-BR"/>
        </w:rPr>
        <w:t>tica inerente desses materiais (12)</w:t>
      </w:r>
      <w:r w:rsidRPr="00E546EC">
        <w:rPr>
          <w:lang w:val="pt-BR"/>
        </w:rPr>
        <w:t xml:space="preserve">. </w:t>
      </w:r>
    </w:p>
    <w:p w14:paraId="223BDD2F" w14:textId="77777777" w:rsidR="000551F8" w:rsidRDefault="000551F8" w:rsidP="000551F8">
      <w:pPr>
        <w:pStyle w:val="TAMainText"/>
        <w:spacing w:line="276" w:lineRule="auto"/>
        <w:ind w:firstLine="187"/>
        <w:rPr>
          <w:lang w:val="pt-BR"/>
        </w:rPr>
      </w:pPr>
    </w:p>
    <w:p w14:paraId="6DA12A8A" w14:textId="77777777" w:rsidR="000551F8" w:rsidRDefault="000551F8" w:rsidP="000551F8">
      <w:pPr>
        <w:pStyle w:val="VDTableTitle"/>
        <w:spacing w:after="120" w:line="276" w:lineRule="auto"/>
        <w:jc w:val="center"/>
        <w:rPr>
          <w:lang w:val="pt-BR"/>
        </w:rPr>
      </w:pPr>
      <w:r w:rsidRPr="00BB64D4">
        <w:rPr>
          <w:b/>
          <w:lang w:val="pt-BR"/>
        </w:rPr>
        <w:t>Tabela 1.</w:t>
      </w:r>
      <w:r>
        <w:rPr>
          <w:b/>
          <w:lang w:val="pt-BR"/>
        </w:rPr>
        <w:t xml:space="preserve"> </w:t>
      </w:r>
      <w:r w:rsidRPr="000E0E20">
        <w:rPr>
          <w:lang w:val="pt-BR"/>
        </w:rPr>
        <w:t>Áreas superficiais específicas das amostras</w:t>
      </w:r>
      <w:r>
        <w:rPr>
          <w:lang w:val="pt-BR"/>
        </w:rPr>
        <w:t>.</w:t>
      </w:r>
    </w:p>
    <w:tbl>
      <w:tblPr>
        <w:tblStyle w:val="SombreamentoClaro"/>
        <w:tblW w:w="2817" w:type="dxa"/>
        <w:jc w:val="center"/>
        <w:tblLook w:val="04A0" w:firstRow="1" w:lastRow="0" w:firstColumn="1" w:lastColumn="0" w:noHBand="0" w:noVBand="1"/>
      </w:tblPr>
      <w:tblGrid>
        <w:gridCol w:w="1429"/>
        <w:gridCol w:w="1388"/>
      </w:tblGrid>
      <w:tr w:rsidR="000551F8" w:rsidRPr="00E148DA" w14:paraId="21A8B7EB" w14:textId="77777777" w:rsidTr="00510C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  <w:noWrap/>
            <w:vAlign w:val="center"/>
            <w:hideMark/>
          </w:tcPr>
          <w:p w14:paraId="5AE9E17F" w14:textId="77777777" w:rsidR="000551F8" w:rsidRPr="00E148DA" w:rsidRDefault="000551F8" w:rsidP="00510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148D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Amostra</w:t>
            </w:r>
          </w:p>
        </w:tc>
        <w:tc>
          <w:tcPr>
            <w:tcW w:w="1388" w:type="dxa"/>
            <w:noWrap/>
            <w:vAlign w:val="center"/>
            <w:hideMark/>
          </w:tcPr>
          <w:p w14:paraId="597CBE98" w14:textId="77777777" w:rsidR="000551F8" w:rsidRPr="00E148DA" w:rsidRDefault="000551F8" w:rsidP="00510C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148D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Área BET (m</w:t>
            </w:r>
            <w:r w:rsidRPr="00E148D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vertAlign w:val="superscript"/>
                <w:lang w:eastAsia="pt-BR"/>
              </w:rPr>
              <w:t>2</w:t>
            </w:r>
            <w:r w:rsidRPr="00E148D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/g)</w:t>
            </w:r>
          </w:p>
        </w:tc>
      </w:tr>
      <w:tr w:rsidR="000551F8" w:rsidRPr="00E148DA" w14:paraId="0C6BB485" w14:textId="77777777" w:rsidTr="00510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  <w:noWrap/>
            <w:vAlign w:val="center"/>
            <w:hideMark/>
          </w:tcPr>
          <w:p w14:paraId="60A47F05" w14:textId="77777777" w:rsidR="000551F8" w:rsidRPr="00E148DA" w:rsidRDefault="000551F8" w:rsidP="00510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t-BR"/>
              </w:rPr>
            </w:pPr>
            <w:r w:rsidRPr="00E148DA">
              <w:rPr>
                <w:rFonts w:ascii="Times New Roman" w:eastAsia="Times New Roman" w:hAnsi="Times New Roman" w:cs="Times New Roman"/>
                <w:color w:val="000000"/>
                <w:sz w:val="20"/>
                <w:lang w:eastAsia="pt-BR"/>
              </w:rPr>
              <w:t>LaNiO</w:t>
            </w:r>
            <w:r w:rsidRPr="00E148DA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eastAsia="pt-BR"/>
              </w:rPr>
              <w:t>3</w:t>
            </w:r>
          </w:p>
        </w:tc>
        <w:tc>
          <w:tcPr>
            <w:tcW w:w="1388" w:type="dxa"/>
            <w:noWrap/>
            <w:vAlign w:val="center"/>
            <w:hideMark/>
          </w:tcPr>
          <w:p w14:paraId="21A9DC0D" w14:textId="77777777" w:rsidR="000551F8" w:rsidRPr="00E148DA" w:rsidRDefault="000551F8" w:rsidP="00510C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lang w:eastAsia="pt-BR"/>
              </w:rPr>
            </w:pPr>
            <w:r w:rsidRPr="00E148DA">
              <w:rPr>
                <w:rFonts w:ascii="Times New Roman" w:eastAsia="Times New Roman" w:hAnsi="Times New Roman" w:cs="Times New Roman"/>
                <w:color w:val="000000"/>
                <w:sz w:val="20"/>
                <w:lang w:eastAsia="pt-BR"/>
              </w:rPr>
              <w:t>7.2</w:t>
            </w:r>
          </w:p>
        </w:tc>
      </w:tr>
      <w:tr w:rsidR="000551F8" w:rsidRPr="00E148DA" w14:paraId="690F6B76" w14:textId="77777777" w:rsidTr="00510C26">
        <w:trPr>
          <w:trHeight w:val="1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  <w:noWrap/>
            <w:vAlign w:val="center"/>
            <w:hideMark/>
          </w:tcPr>
          <w:p w14:paraId="1AF904F8" w14:textId="77777777" w:rsidR="000551F8" w:rsidRPr="00E148DA" w:rsidRDefault="000551F8" w:rsidP="00510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t-BR"/>
              </w:rPr>
            </w:pPr>
            <w:r w:rsidRPr="00E148DA">
              <w:rPr>
                <w:rFonts w:ascii="Times New Roman" w:eastAsia="Times New Roman" w:hAnsi="Times New Roman" w:cs="Times New Roman"/>
                <w:color w:val="000000"/>
                <w:sz w:val="20"/>
                <w:lang w:eastAsia="pt-BR"/>
              </w:rPr>
              <w:t>LaNi</w:t>
            </w:r>
            <w:r w:rsidRPr="00E148DA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eastAsia="pt-BR"/>
              </w:rPr>
              <w:t>0,7</w:t>
            </w:r>
            <w:r w:rsidRPr="00E148DA">
              <w:rPr>
                <w:rFonts w:ascii="Times New Roman" w:eastAsia="Times New Roman" w:hAnsi="Times New Roman" w:cs="Times New Roman"/>
                <w:color w:val="000000"/>
                <w:sz w:val="20"/>
                <w:lang w:eastAsia="pt-BR"/>
              </w:rPr>
              <w:t>Fe</w:t>
            </w:r>
            <w:r w:rsidRPr="00E148DA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eastAsia="pt-BR"/>
              </w:rPr>
              <w:t>0,3</w:t>
            </w:r>
            <w:r w:rsidRPr="00E148DA">
              <w:rPr>
                <w:rFonts w:ascii="Times New Roman" w:eastAsia="Times New Roman" w:hAnsi="Times New Roman" w:cs="Times New Roman"/>
                <w:color w:val="000000"/>
                <w:sz w:val="20"/>
                <w:lang w:eastAsia="pt-BR"/>
              </w:rPr>
              <w:t>O</w:t>
            </w:r>
            <w:r w:rsidRPr="00E148DA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eastAsia="pt-BR"/>
              </w:rPr>
              <w:t>3</w:t>
            </w:r>
          </w:p>
        </w:tc>
        <w:tc>
          <w:tcPr>
            <w:tcW w:w="1388" w:type="dxa"/>
            <w:noWrap/>
            <w:vAlign w:val="center"/>
            <w:hideMark/>
          </w:tcPr>
          <w:p w14:paraId="5E406FD7" w14:textId="77777777" w:rsidR="000551F8" w:rsidRPr="00E148DA" w:rsidRDefault="000551F8" w:rsidP="00510C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lang w:eastAsia="pt-BR"/>
              </w:rPr>
            </w:pPr>
            <w:r w:rsidRPr="00E148DA">
              <w:rPr>
                <w:rFonts w:ascii="Times New Roman" w:eastAsia="Times New Roman" w:hAnsi="Times New Roman" w:cs="Times New Roman"/>
                <w:color w:val="000000"/>
                <w:sz w:val="20"/>
                <w:lang w:eastAsia="pt-BR"/>
              </w:rPr>
              <w:t>8.2</w:t>
            </w:r>
          </w:p>
        </w:tc>
      </w:tr>
      <w:tr w:rsidR="000551F8" w:rsidRPr="00E148DA" w14:paraId="14BC85F8" w14:textId="77777777" w:rsidTr="00510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  <w:noWrap/>
            <w:vAlign w:val="center"/>
            <w:hideMark/>
          </w:tcPr>
          <w:p w14:paraId="0F9A7E56" w14:textId="77777777" w:rsidR="000551F8" w:rsidRPr="00E148DA" w:rsidRDefault="000551F8" w:rsidP="00510C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t-BR"/>
              </w:rPr>
            </w:pPr>
            <w:r w:rsidRPr="00E148DA">
              <w:rPr>
                <w:rFonts w:ascii="Times New Roman" w:eastAsia="Times New Roman" w:hAnsi="Times New Roman" w:cs="Times New Roman"/>
                <w:color w:val="000000"/>
                <w:sz w:val="20"/>
                <w:lang w:eastAsia="pt-BR"/>
              </w:rPr>
              <w:t>La</w:t>
            </w:r>
            <w:r w:rsidRPr="00E148DA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eastAsia="pt-BR"/>
              </w:rPr>
              <w:t>0,7</w:t>
            </w:r>
            <w:r w:rsidRPr="00E148DA">
              <w:rPr>
                <w:rFonts w:ascii="Times New Roman" w:eastAsia="Times New Roman" w:hAnsi="Times New Roman" w:cs="Times New Roman"/>
                <w:color w:val="000000"/>
                <w:sz w:val="20"/>
                <w:lang w:eastAsia="pt-BR"/>
              </w:rPr>
              <w:t>Ce</w:t>
            </w:r>
            <w:r w:rsidRPr="00E148DA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eastAsia="pt-BR"/>
              </w:rPr>
              <w:t>0,3</w:t>
            </w:r>
            <w:r w:rsidRPr="00E148DA">
              <w:rPr>
                <w:rFonts w:ascii="Times New Roman" w:eastAsia="Times New Roman" w:hAnsi="Times New Roman" w:cs="Times New Roman"/>
                <w:color w:val="000000"/>
                <w:sz w:val="20"/>
                <w:lang w:eastAsia="pt-BR"/>
              </w:rPr>
              <w:t>NiO</w:t>
            </w:r>
            <w:r w:rsidRPr="00E148DA">
              <w:rPr>
                <w:rFonts w:ascii="Times New Roman" w:eastAsia="Times New Roman" w:hAnsi="Times New Roman" w:cs="Times New Roman"/>
                <w:color w:val="000000"/>
                <w:sz w:val="20"/>
                <w:vertAlign w:val="subscript"/>
                <w:lang w:eastAsia="pt-BR"/>
              </w:rPr>
              <w:t>3</w:t>
            </w:r>
          </w:p>
        </w:tc>
        <w:tc>
          <w:tcPr>
            <w:tcW w:w="1388" w:type="dxa"/>
            <w:noWrap/>
            <w:vAlign w:val="center"/>
            <w:hideMark/>
          </w:tcPr>
          <w:p w14:paraId="34ED755F" w14:textId="77777777" w:rsidR="000551F8" w:rsidRPr="00E148DA" w:rsidRDefault="000551F8" w:rsidP="00510C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lang w:eastAsia="pt-BR"/>
              </w:rPr>
            </w:pPr>
            <w:r w:rsidRPr="00E148DA">
              <w:rPr>
                <w:rFonts w:ascii="Times New Roman" w:eastAsia="Times New Roman" w:hAnsi="Times New Roman" w:cs="Times New Roman"/>
                <w:color w:val="000000"/>
                <w:sz w:val="20"/>
                <w:lang w:eastAsia="pt-BR"/>
              </w:rPr>
              <w:t>8.5</w:t>
            </w:r>
          </w:p>
        </w:tc>
      </w:tr>
    </w:tbl>
    <w:p w14:paraId="17FADDE8" w14:textId="1AA368DD" w:rsidR="000551F8" w:rsidRDefault="00ED4CD7" w:rsidP="00632189">
      <w:pPr>
        <w:pStyle w:val="TAMainText"/>
        <w:spacing w:before="240" w:line="276" w:lineRule="auto"/>
        <w:ind w:firstLine="187"/>
        <w:rPr>
          <w:lang w:val="pt-BR"/>
        </w:rPr>
      </w:pPr>
      <w:r>
        <w:rPr>
          <w:lang w:val="pt-BR"/>
        </w:rPr>
        <w:t>O</w:t>
      </w:r>
      <w:r w:rsidR="000551F8" w:rsidRPr="00A01CDC">
        <w:rPr>
          <w:lang w:val="pt-BR"/>
        </w:rPr>
        <w:t xml:space="preserve">s </w:t>
      </w:r>
      <w:r w:rsidR="000551F8" w:rsidRPr="00F63405">
        <w:rPr>
          <w:lang w:val="pt-BR"/>
        </w:rPr>
        <w:t>testes de reação superficial a temperatura programada</w:t>
      </w:r>
      <w:r w:rsidR="00746A61">
        <w:rPr>
          <w:lang w:val="pt-BR"/>
        </w:rPr>
        <w:t xml:space="preserve"> (TPSR)</w:t>
      </w:r>
      <w:r w:rsidR="000551F8" w:rsidRPr="00F63405">
        <w:rPr>
          <w:lang w:val="pt-BR"/>
        </w:rPr>
        <w:t xml:space="preserve"> </w:t>
      </w:r>
      <w:r>
        <w:rPr>
          <w:lang w:val="pt-BR"/>
        </w:rPr>
        <w:t xml:space="preserve">foram conduzidos </w:t>
      </w:r>
      <w:r w:rsidR="000551F8" w:rsidRPr="00F63405">
        <w:rPr>
          <w:lang w:val="pt-BR"/>
        </w:rPr>
        <w:t>aplicando os catalisadores sintetizados</w:t>
      </w:r>
      <w:r>
        <w:rPr>
          <w:lang w:val="pt-BR"/>
        </w:rPr>
        <w:t xml:space="preserve">. </w:t>
      </w:r>
      <w:r w:rsidR="000551F8" w:rsidRPr="00A01CDC">
        <w:rPr>
          <w:lang w:val="pt-BR"/>
        </w:rPr>
        <w:t xml:space="preserve">Observa-se nas figuras 3 e 4, </w:t>
      </w:r>
      <w:r w:rsidR="000551F8" w:rsidRPr="00F63405">
        <w:rPr>
          <w:lang w:val="pt-BR"/>
        </w:rPr>
        <w:t>que os dados obtidos indicam a ocorrência da reforma do metano em duas etapas: A primeira de combustão do metano, em temperaturas mais baixas, com formação de CO</w:t>
      </w:r>
      <w:r w:rsidR="000551F8" w:rsidRPr="00F63405">
        <w:rPr>
          <w:vertAlign w:val="subscript"/>
          <w:lang w:val="pt-BR"/>
        </w:rPr>
        <w:t>2</w:t>
      </w:r>
      <w:r w:rsidR="000551F8" w:rsidRPr="00F63405">
        <w:rPr>
          <w:lang w:val="pt-BR"/>
        </w:rPr>
        <w:t>, CO e H</w:t>
      </w:r>
      <w:r w:rsidR="000551F8" w:rsidRPr="00F63405">
        <w:rPr>
          <w:vertAlign w:val="subscript"/>
          <w:lang w:val="pt-BR"/>
        </w:rPr>
        <w:t>2</w:t>
      </w:r>
      <w:r w:rsidR="000551F8" w:rsidRPr="00F63405">
        <w:rPr>
          <w:lang w:val="pt-BR"/>
        </w:rPr>
        <w:t>O. A etapa seguinte é a reforma, em temperaturas mais altas e com formação de H</w:t>
      </w:r>
      <w:r w:rsidR="000551F8" w:rsidRPr="00F63405">
        <w:rPr>
          <w:vertAlign w:val="subscript"/>
          <w:lang w:val="pt-BR"/>
        </w:rPr>
        <w:t>2</w:t>
      </w:r>
      <w:r w:rsidR="000551F8" w:rsidRPr="00F63405">
        <w:rPr>
          <w:lang w:val="pt-BR"/>
        </w:rPr>
        <w:t xml:space="preserve"> e CO. O mecanismo se mantém para as amostras substituídas</w:t>
      </w:r>
      <w:r w:rsidR="000551F8">
        <w:rPr>
          <w:lang w:val="pt-BR"/>
        </w:rPr>
        <w:t>, porém, a substituição por cério na estrutura contribui para a formação do gás de síntese em temperaturas mais baixas (580°C) do que a para a amostra LaNiO</w:t>
      </w:r>
      <w:r w:rsidR="000551F8">
        <w:rPr>
          <w:vertAlign w:val="subscript"/>
          <w:lang w:val="pt-BR"/>
        </w:rPr>
        <w:t xml:space="preserve">3 </w:t>
      </w:r>
      <w:r w:rsidR="000551F8" w:rsidRPr="00B2365F">
        <w:rPr>
          <w:lang w:val="pt-BR"/>
        </w:rPr>
        <w:t>(600°C)</w:t>
      </w:r>
      <w:r w:rsidR="000551F8">
        <w:rPr>
          <w:lang w:val="pt-BR"/>
        </w:rPr>
        <w:t>, indicando a influência positiva da adição do cério, o qual aparenta aumentar a atividade catalítica desses sistemas. Já para a amostra substituída por ferro essa produção de H</w:t>
      </w:r>
      <w:r w:rsidR="000551F8" w:rsidRPr="00586AE3">
        <w:rPr>
          <w:vertAlign w:val="subscript"/>
          <w:lang w:val="pt-BR"/>
        </w:rPr>
        <w:t>2</w:t>
      </w:r>
      <w:r w:rsidR="000551F8">
        <w:rPr>
          <w:lang w:val="pt-BR"/>
        </w:rPr>
        <w:t>/CO ocorre a temperaturas mais elevadas (700°C) do que as reportadas anteriormente, fato este que permite afirmar que a adição de ferro a estrutura perovskita diminui a atividade do sistema. No entanto todos os catalisadores testados se mostram ativos para a reforma em estudo.</w:t>
      </w:r>
    </w:p>
    <w:p w14:paraId="06FF6C92" w14:textId="5A9E2EB0" w:rsidR="00892353" w:rsidRDefault="006C36B0" w:rsidP="00EA4E1B">
      <w:pPr>
        <w:jc w:val="center"/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inline distT="0" distB="0" distL="0" distR="0" wp14:anchorId="0171FD58" wp14:editId="204BA03C">
            <wp:extent cx="2527976" cy="169200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647" b="4942"/>
                    <a:stretch/>
                  </pic:blipFill>
                  <pic:spPr bwMode="auto">
                    <a:xfrm>
                      <a:off x="0" y="0"/>
                      <a:ext cx="2527976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7A01FB" w14:textId="441824A5" w:rsidR="006C36B0" w:rsidRPr="00A412D9" w:rsidRDefault="006C36B0" w:rsidP="006C36B0">
      <w:pPr>
        <w:pStyle w:val="VDTableTitle"/>
        <w:spacing w:after="120" w:line="276" w:lineRule="auto"/>
        <w:jc w:val="center"/>
        <w:rPr>
          <w:b/>
          <w:lang w:val="pt-BR"/>
        </w:rPr>
      </w:pPr>
      <w:r>
        <w:rPr>
          <w:b/>
          <w:lang w:val="pt-BR"/>
        </w:rPr>
        <w:t>Figura 3</w:t>
      </w:r>
      <w:r w:rsidRPr="00A412D9">
        <w:rPr>
          <w:b/>
          <w:lang w:val="pt-BR"/>
        </w:rPr>
        <w:t>.</w:t>
      </w:r>
      <w:r w:rsidRPr="00A412D9">
        <w:rPr>
          <w:lang w:val="pt-BR"/>
        </w:rPr>
        <w:t xml:space="preserve"> Perfil de TPSR da LaNiO</w:t>
      </w:r>
      <w:r w:rsidRPr="00A412D9">
        <w:rPr>
          <w:vertAlign w:val="subscript"/>
          <w:lang w:val="pt-BR"/>
        </w:rPr>
        <w:t>3</w:t>
      </w:r>
      <w:r>
        <w:rPr>
          <w:vertAlign w:val="subscript"/>
          <w:lang w:val="pt-BR"/>
        </w:rPr>
        <w:t>.</w:t>
      </w:r>
    </w:p>
    <w:p w14:paraId="2685221A" w14:textId="0F190ECE" w:rsidR="006C36B0" w:rsidRDefault="006C36B0" w:rsidP="00EA4E1B">
      <w:pPr>
        <w:jc w:val="center"/>
        <w:rPr>
          <w:rFonts w:ascii="Times New Roman" w:hAnsi="Times New Roman" w:cs="Times New Roman"/>
        </w:rPr>
      </w:pPr>
      <w:r>
        <w:rPr>
          <w:noProof/>
          <w:lang w:eastAsia="pt-BR"/>
        </w:rPr>
        <w:lastRenderedPageBreak/>
        <w:drawing>
          <wp:inline distT="0" distB="0" distL="0" distR="0" wp14:anchorId="4F59ACE2" wp14:editId="398F0DBC">
            <wp:extent cx="2161029" cy="28080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40" b="4564"/>
                    <a:stretch/>
                  </pic:blipFill>
                  <pic:spPr bwMode="auto">
                    <a:xfrm>
                      <a:off x="0" y="0"/>
                      <a:ext cx="2161029" cy="28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00F491" w14:textId="77777777" w:rsidR="006C36B0" w:rsidRDefault="006C36B0" w:rsidP="00890944">
      <w:pPr>
        <w:pStyle w:val="VDTableTitle"/>
        <w:spacing w:line="276" w:lineRule="auto"/>
        <w:jc w:val="center"/>
        <w:rPr>
          <w:vertAlign w:val="subscript"/>
          <w:lang w:val="pt-BR"/>
        </w:rPr>
      </w:pPr>
      <w:r>
        <w:rPr>
          <w:b/>
          <w:lang w:val="pt-BR"/>
        </w:rPr>
        <w:t>Figura 4.</w:t>
      </w:r>
      <w:r w:rsidRPr="00A412D9">
        <w:rPr>
          <w:b/>
          <w:lang w:val="pt-BR"/>
        </w:rPr>
        <w:t xml:space="preserve"> </w:t>
      </w:r>
      <w:r w:rsidRPr="00A412D9">
        <w:rPr>
          <w:lang w:val="pt-BR"/>
        </w:rPr>
        <w:t>Perfil de TPSR da LaNi</w:t>
      </w:r>
      <w:r w:rsidRPr="00114D60">
        <w:rPr>
          <w:vertAlign w:val="subscript"/>
          <w:lang w:val="pt-BR"/>
        </w:rPr>
        <w:t>0,7</w:t>
      </w:r>
      <w:r>
        <w:rPr>
          <w:lang w:val="pt-BR"/>
        </w:rPr>
        <w:t>Fe</w:t>
      </w:r>
      <w:r w:rsidRPr="00114D60">
        <w:rPr>
          <w:vertAlign w:val="subscript"/>
          <w:lang w:val="pt-BR"/>
        </w:rPr>
        <w:t>0,3</w:t>
      </w:r>
      <w:r w:rsidRPr="00A412D9">
        <w:rPr>
          <w:lang w:val="pt-BR"/>
        </w:rPr>
        <w:t>O</w:t>
      </w:r>
      <w:r w:rsidRPr="00A412D9">
        <w:rPr>
          <w:vertAlign w:val="subscript"/>
          <w:lang w:val="pt-BR"/>
        </w:rPr>
        <w:t>3</w:t>
      </w:r>
      <w:r>
        <w:rPr>
          <w:vertAlign w:val="subscript"/>
          <w:lang w:val="pt-BR"/>
        </w:rPr>
        <w:t xml:space="preserve"> </w:t>
      </w:r>
      <w:r w:rsidRPr="00114D60">
        <w:rPr>
          <w:lang w:val="pt-BR"/>
        </w:rPr>
        <w:t>e</w:t>
      </w:r>
      <w:r>
        <w:rPr>
          <w:vertAlign w:val="subscript"/>
          <w:lang w:val="pt-BR"/>
        </w:rPr>
        <w:t xml:space="preserve"> </w:t>
      </w:r>
      <w:r w:rsidRPr="00A412D9">
        <w:rPr>
          <w:lang w:val="pt-BR"/>
        </w:rPr>
        <w:t>da La</w:t>
      </w:r>
      <w:r w:rsidRPr="00A412D9">
        <w:rPr>
          <w:vertAlign w:val="subscript"/>
          <w:lang w:val="pt-BR"/>
        </w:rPr>
        <w:t>0,7</w:t>
      </w:r>
      <w:r>
        <w:rPr>
          <w:lang w:val="pt-BR"/>
        </w:rPr>
        <w:t>Ce</w:t>
      </w:r>
      <w:r w:rsidRPr="00A412D9">
        <w:rPr>
          <w:vertAlign w:val="subscript"/>
          <w:lang w:val="pt-BR"/>
        </w:rPr>
        <w:t>0,3</w:t>
      </w:r>
      <w:r w:rsidRPr="00A412D9">
        <w:rPr>
          <w:lang w:val="pt-BR"/>
        </w:rPr>
        <w:t>NiO</w:t>
      </w:r>
      <w:r w:rsidRPr="00A412D9">
        <w:rPr>
          <w:vertAlign w:val="subscript"/>
          <w:lang w:val="pt-BR"/>
        </w:rPr>
        <w:t>3</w:t>
      </w:r>
      <w:r>
        <w:rPr>
          <w:vertAlign w:val="subscript"/>
          <w:lang w:val="pt-BR"/>
        </w:rPr>
        <w:t>.</w:t>
      </w:r>
    </w:p>
    <w:p w14:paraId="05E61A19" w14:textId="64B1AF0F" w:rsidR="00411C9E" w:rsidRDefault="00411C9E" w:rsidP="00411C9E">
      <w:pPr>
        <w:pStyle w:val="TAMainText"/>
        <w:spacing w:line="276" w:lineRule="auto"/>
        <w:ind w:firstLine="187"/>
        <w:rPr>
          <w:lang w:val="pt-BR"/>
        </w:rPr>
      </w:pPr>
      <w:r w:rsidRPr="00B509F0">
        <w:rPr>
          <w:lang w:val="pt-BR"/>
        </w:rPr>
        <w:t xml:space="preserve">Os resultados dos testes catalíticos de </w:t>
      </w:r>
      <w:r>
        <w:rPr>
          <w:lang w:val="pt-BR"/>
        </w:rPr>
        <w:t>20</w:t>
      </w:r>
      <w:r w:rsidRPr="00B509F0">
        <w:rPr>
          <w:lang w:val="pt-BR"/>
        </w:rPr>
        <w:t>h</w:t>
      </w:r>
      <w:r w:rsidR="00190FF1">
        <w:rPr>
          <w:lang w:val="pt-BR"/>
        </w:rPr>
        <w:t xml:space="preserve"> conduzidos </w:t>
      </w:r>
      <w:r w:rsidR="00190FF1" w:rsidRPr="00190FF1">
        <w:rPr>
          <w:lang w:val="pt-BR"/>
        </w:rPr>
        <w:t>700°C</w:t>
      </w:r>
      <w:r w:rsidR="00190FF1">
        <w:rPr>
          <w:lang w:val="pt-BR"/>
        </w:rPr>
        <w:t xml:space="preserve"> são</w:t>
      </w:r>
      <w:r w:rsidR="00F15F35">
        <w:rPr>
          <w:lang w:val="pt-BR"/>
        </w:rPr>
        <w:t xml:space="preserve"> apresentado</w:t>
      </w:r>
      <w:r w:rsidR="000B4A8E">
        <w:rPr>
          <w:lang w:val="pt-BR"/>
        </w:rPr>
        <w:t>s</w:t>
      </w:r>
      <w:r w:rsidR="00F15F35">
        <w:rPr>
          <w:lang w:val="pt-BR"/>
        </w:rPr>
        <w:t xml:space="preserve"> </w:t>
      </w:r>
      <w:r w:rsidR="00F15F35">
        <w:rPr>
          <w:lang w:val="pt-BR"/>
        </w:rPr>
        <w:t xml:space="preserve">nas </w:t>
      </w:r>
      <w:r w:rsidR="00F15F35">
        <w:rPr>
          <w:lang w:val="pt-BR"/>
        </w:rPr>
        <w:t>f</w:t>
      </w:r>
      <w:r w:rsidR="00F15F35">
        <w:rPr>
          <w:lang w:val="pt-BR"/>
        </w:rPr>
        <w:t>iguras 5</w:t>
      </w:r>
      <w:r w:rsidR="00F15F35" w:rsidRPr="00B509F0">
        <w:rPr>
          <w:lang w:val="pt-BR"/>
        </w:rPr>
        <w:t xml:space="preserve"> </w:t>
      </w:r>
      <w:r w:rsidR="00F15F35">
        <w:rPr>
          <w:lang w:val="pt-BR"/>
        </w:rPr>
        <w:t>e</w:t>
      </w:r>
      <w:r w:rsidR="00F15F35" w:rsidRPr="00B509F0">
        <w:rPr>
          <w:lang w:val="pt-BR"/>
        </w:rPr>
        <w:t xml:space="preserve"> </w:t>
      </w:r>
      <w:r w:rsidR="00F15F35">
        <w:rPr>
          <w:lang w:val="pt-BR"/>
        </w:rPr>
        <w:t>6</w:t>
      </w:r>
      <w:r w:rsidR="00F15F35">
        <w:rPr>
          <w:lang w:val="pt-BR"/>
        </w:rPr>
        <w:t>,</w:t>
      </w:r>
      <w:r w:rsidRPr="00B509F0">
        <w:rPr>
          <w:lang w:val="pt-BR"/>
        </w:rPr>
        <w:t xml:space="preserve"> utilizando a relação CH</w:t>
      </w:r>
      <w:r w:rsidRPr="00E33BFA">
        <w:rPr>
          <w:vertAlign w:val="subscript"/>
          <w:lang w:val="pt-BR"/>
        </w:rPr>
        <w:t>4</w:t>
      </w:r>
      <w:r w:rsidRPr="00B509F0">
        <w:rPr>
          <w:lang w:val="pt-BR"/>
        </w:rPr>
        <w:t>:CO</w:t>
      </w:r>
      <w:r w:rsidRPr="00E33BFA">
        <w:rPr>
          <w:vertAlign w:val="subscript"/>
          <w:lang w:val="pt-BR"/>
        </w:rPr>
        <w:t>2</w:t>
      </w:r>
      <w:r w:rsidRPr="00B509F0">
        <w:rPr>
          <w:lang w:val="pt-BR"/>
        </w:rPr>
        <w:t>:O</w:t>
      </w:r>
      <w:r w:rsidRPr="00E33BFA">
        <w:rPr>
          <w:vertAlign w:val="subscript"/>
          <w:lang w:val="pt-BR"/>
        </w:rPr>
        <w:t>2</w:t>
      </w:r>
      <w:r w:rsidRPr="00B509F0">
        <w:rPr>
          <w:lang w:val="pt-BR"/>
        </w:rPr>
        <w:t xml:space="preserve"> igual a 4:2:1 comprovam que as amostras são ativas. A amostra LaNiO</w:t>
      </w:r>
      <w:r w:rsidRPr="00AF0407">
        <w:rPr>
          <w:vertAlign w:val="subscript"/>
          <w:lang w:val="pt-BR"/>
        </w:rPr>
        <w:t>3</w:t>
      </w:r>
      <w:r>
        <w:rPr>
          <w:lang w:val="pt-BR"/>
        </w:rPr>
        <w:t>, apresentou conversões de CH</w:t>
      </w:r>
      <w:r w:rsidRPr="00517DEE">
        <w:rPr>
          <w:vertAlign w:val="subscript"/>
          <w:lang w:val="pt-BR"/>
        </w:rPr>
        <w:t>4</w:t>
      </w:r>
      <w:r>
        <w:rPr>
          <w:lang w:val="pt-BR"/>
        </w:rPr>
        <w:t xml:space="preserve"> e CO</w:t>
      </w:r>
      <w:r w:rsidRPr="00517DEE">
        <w:rPr>
          <w:vertAlign w:val="subscript"/>
          <w:lang w:val="pt-BR"/>
        </w:rPr>
        <w:t>2</w:t>
      </w:r>
      <w:r>
        <w:rPr>
          <w:lang w:val="pt-BR"/>
        </w:rPr>
        <w:t xml:space="preserve"> </w:t>
      </w:r>
      <w:r w:rsidRPr="00B509F0">
        <w:rPr>
          <w:lang w:val="pt-BR"/>
        </w:rPr>
        <w:t>e</w:t>
      </w:r>
      <w:r>
        <w:rPr>
          <w:lang w:val="pt-BR"/>
        </w:rPr>
        <w:t>ntre 80-90%,</w:t>
      </w:r>
      <w:r w:rsidRPr="00B509F0">
        <w:rPr>
          <w:lang w:val="pt-BR"/>
        </w:rPr>
        <w:t xml:space="preserve"> indican</w:t>
      </w:r>
      <w:r>
        <w:rPr>
          <w:lang w:val="pt-BR"/>
        </w:rPr>
        <w:t xml:space="preserve">do ser um catalisador promissor. Já a </w:t>
      </w:r>
      <w:r w:rsidRPr="00B509F0">
        <w:rPr>
          <w:lang w:val="pt-BR"/>
        </w:rPr>
        <w:t>amostra La</w:t>
      </w:r>
      <w:r>
        <w:rPr>
          <w:vertAlign w:val="subscript"/>
          <w:lang w:val="pt-BR"/>
        </w:rPr>
        <w:t>0,7</w:t>
      </w:r>
      <w:r w:rsidRPr="00B509F0">
        <w:rPr>
          <w:lang w:val="pt-BR"/>
        </w:rPr>
        <w:t>Ce</w:t>
      </w:r>
      <w:r w:rsidRPr="008D1487">
        <w:rPr>
          <w:vertAlign w:val="subscript"/>
          <w:lang w:val="pt-BR"/>
        </w:rPr>
        <w:t>0,</w:t>
      </w:r>
      <w:r>
        <w:rPr>
          <w:vertAlign w:val="subscript"/>
          <w:lang w:val="pt-BR"/>
        </w:rPr>
        <w:t>3</w:t>
      </w:r>
      <w:r w:rsidRPr="00B509F0">
        <w:rPr>
          <w:lang w:val="pt-BR"/>
        </w:rPr>
        <w:t>NiO</w:t>
      </w:r>
      <w:r w:rsidRPr="008D1487">
        <w:rPr>
          <w:vertAlign w:val="subscript"/>
          <w:lang w:val="pt-BR"/>
        </w:rPr>
        <w:t>3</w:t>
      </w:r>
      <w:r w:rsidRPr="00B509F0">
        <w:rPr>
          <w:lang w:val="pt-BR"/>
        </w:rPr>
        <w:t xml:space="preserve"> teve conversão do CH</w:t>
      </w:r>
      <w:r w:rsidRPr="00517DEE">
        <w:rPr>
          <w:vertAlign w:val="subscript"/>
          <w:lang w:val="pt-BR"/>
        </w:rPr>
        <w:t>4</w:t>
      </w:r>
      <w:r>
        <w:rPr>
          <w:lang w:val="pt-BR"/>
        </w:rPr>
        <w:t xml:space="preserve"> entre 60-70% e de CO</w:t>
      </w:r>
      <w:r w:rsidRPr="00517DEE">
        <w:rPr>
          <w:vertAlign w:val="subscript"/>
          <w:lang w:val="pt-BR"/>
        </w:rPr>
        <w:t>2</w:t>
      </w:r>
      <w:r>
        <w:rPr>
          <w:lang w:val="pt-BR"/>
        </w:rPr>
        <w:t xml:space="preserve"> entre 50-60%</w:t>
      </w:r>
      <w:r w:rsidRPr="00B509F0">
        <w:rPr>
          <w:lang w:val="pt-BR"/>
        </w:rPr>
        <w:t>.</w:t>
      </w:r>
      <w:r>
        <w:rPr>
          <w:lang w:val="pt-BR"/>
        </w:rPr>
        <w:t xml:space="preserve"> A amostra </w:t>
      </w:r>
      <w:r w:rsidRPr="00B509F0">
        <w:rPr>
          <w:lang w:val="pt-BR"/>
        </w:rPr>
        <w:t>LaNi</w:t>
      </w:r>
      <w:r w:rsidRPr="00517DEE">
        <w:rPr>
          <w:vertAlign w:val="subscript"/>
          <w:lang w:val="pt-BR"/>
        </w:rPr>
        <w:t>0,7</w:t>
      </w:r>
      <w:r>
        <w:rPr>
          <w:lang w:val="pt-BR"/>
        </w:rPr>
        <w:t>Fe</w:t>
      </w:r>
      <w:r w:rsidRPr="00517DEE">
        <w:rPr>
          <w:vertAlign w:val="subscript"/>
          <w:lang w:val="pt-BR"/>
        </w:rPr>
        <w:t>0,3</w:t>
      </w:r>
      <w:r w:rsidRPr="00B509F0">
        <w:rPr>
          <w:lang w:val="pt-BR"/>
        </w:rPr>
        <w:t>O</w:t>
      </w:r>
      <w:r w:rsidRPr="008D1487">
        <w:rPr>
          <w:vertAlign w:val="subscript"/>
          <w:lang w:val="pt-BR"/>
        </w:rPr>
        <w:t>3</w:t>
      </w:r>
      <w:r>
        <w:rPr>
          <w:vertAlign w:val="subscript"/>
          <w:lang w:val="pt-BR"/>
        </w:rPr>
        <w:t xml:space="preserve"> </w:t>
      </w:r>
      <w:r>
        <w:rPr>
          <w:lang w:val="pt-BR"/>
        </w:rPr>
        <w:t>apresentou os piores resultados de conversão como já era esperado pela análise de TPSR, com resultados de conversões de CH</w:t>
      </w:r>
      <w:r w:rsidRPr="00517DEE">
        <w:rPr>
          <w:vertAlign w:val="subscript"/>
          <w:lang w:val="pt-BR"/>
        </w:rPr>
        <w:t>4</w:t>
      </w:r>
      <w:r>
        <w:rPr>
          <w:lang w:val="pt-BR"/>
        </w:rPr>
        <w:t xml:space="preserve"> e CO</w:t>
      </w:r>
      <w:r w:rsidRPr="00517DEE">
        <w:rPr>
          <w:vertAlign w:val="subscript"/>
          <w:lang w:val="pt-BR"/>
        </w:rPr>
        <w:t>2</w:t>
      </w:r>
      <w:r>
        <w:rPr>
          <w:lang w:val="pt-BR"/>
        </w:rPr>
        <w:t xml:space="preserve"> entre 40-50%</w:t>
      </w:r>
      <w:r w:rsidR="00D22286">
        <w:rPr>
          <w:lang w:val="pt-BR"/>
        </w:rPr>
        <w:t xml:space="preserve">, </w:t>
      </w:r>
      <w:r>
        <w:rPr>
          <w:lang w:val="pt-BR"/>
        </w:rPr>
        <w:t>fato que já vem sendo reportado na literatura</w:t>
      </w:r>
      <w:r w:rsidR="00D22286">
        <w:rPr>
          <w:lang w:val="pt-BR"/>
        </w:rPr>
        <w:t xml:space="preserve">, </w:t>
      </w:r>
      <w:r w:rsidR="00E52F1E">
        <w:rPr>
          <w:lang w:val="pt-BR"/>
        </w:rPr>
        <w:t>pois</w:t>
      </w:r>
      <w:r>
        <w:rPr>
          <w:lang w:val="pt-BR"/>
        </w:rPr>
        <w:t xml:space="preserve"> a adição de</w:t>
      </w:r>
      <w:r w:rsidR="00D22286">
        <w:rPr>
          <w:lang w:val="pt-BR"/>
        </w:rPr>
        <w:t>ste</w:t>
      </w:r>
      <w:r>
        <w:rPr>
          <w:lang w:val="pt-BR"/>
        </w:rPr>
        <w:t xml:space="preserve"> metal na estrutura perovskita desordena a rede cristalina, proporcionando a possível segregação de espécies que possam não ser tão ativas para o processo estudado (6,11). </w:t>
      </w:r>
    </w:p>
    <w:p w14:paraId="4C429855" w14:textId="1D8A6FE7" w:rsidR="00411C9E" w:rsidRDefault="00411C9E" w:rsidP="00E52F1E">
      <w:pPr>
        <w:pStyle w:val="TAMainText"/>
        <w:spacing w:line="276" w:lineRule="auto"/>
        <w:ind w:firstLine="187"/>
        <w:rPr>
          <w:lang w:val="pt-BR"/>
        </w:rPr>
      </w:pPr>
      <w:r>
        <w:rPr>
          <w:lang w:val="pt-BR"/>
        </w:rPr>
        <w:t>A LaNiO</w:t>
      </w:r>
      <w:r w:rsidRPr="00517DEE">
        <w:rPr>
          <w:vertAlign w:val="subscript"/>
          <w:lang w:val="pt-BR"/>
        </w:rPr>
        <w:t>3</w:t>
      </w:r>
      <w:r>
        <w:rPr>
          <w:lang w:val="pt-BR"/>
        </w:rPr>
        <w:t xml:space="preserve"> foi então a espécie mais ativa a reação em discussão, por conta d</w:t>
      </w:r>
      <w:r w:rsidRPr="006F4F02">
        <w:rPr>
          <w:lang w:val="pt-BR"/>
        </w:rPr>
        <w:t>a formação de pequenas partículas de níquel no tratamento redutivo, o que proporciona uma interação adequada entre a fase La</w:t>
      </w:r>
      <w:r w:rsidRPr="000860F1">
        <w:rPr>
          <w:vertAlign w:val="subscript"/>
          <w:lang w:val="pt-BR"/>
        </w:rPr>
        <w:t>2</w:t>
      </w:r>
      <w:r w:rsidRPr="006F4F02">
        <w:rPr>
          <w:lang w:val="pt-BR"/>
        </w:rPr>
        <w:t>O</w:t>
      </w:r>
      <w:r w:rsidRPr="000860F1">
        <w:rPr>
          <w:vertAlign w:val="subscript"/>
          <w:lang w:val="pt-BR"/>
        </w:rPr>
        <w:t>3</w:t>
      </w:r>
      <w:r w:rsidRPr="006F4F02">
        <w:rPr>
          <w:lang w:val="pt-BR"/>
        </w:rPr>
        <w:t xml:space="preserve"> e a fase ativa (Ni)</w:t>
      </w:r>
      <w:r w:rsidR="004E57DD">
        <w:rPr>
          <w:lang w:val="pt-BR"/>
        </w:rPr>
        <w:t xml:space="preserve">. </w:t>
      </w:r>
      <w:r w:rsidR="00196D06" w:rsidRPr="000F4893">
        <w:rPr>
          <w:lang w:val="pt-BR"/>
        </w:rPr>
        <w:t>A ocorrência de reações consecutivas é</w:t>
      </w:r>
      <w:r w:rsidRPr="000F4893">
        <w:rPr>
          <w:lang w:val="pt-BR"/>
        </w:rPr>
        <w:t xml:space="preserve"> </w:t>
      </w:r>
      <w:r w:rsidR="00196D06" w:rsidRPr="000F4893">
        <w:rPr>
          <w:lang w:val="pt-BR"/>
        </w:rPr>
        <w:t>capaz</w:t>
      </w:r>
      <w:r w:rsidRPr="000F4893">
        <w:rPr>
          <w:lang w:val="pt-BR"/>
        </w:rPr>
        <w:t xml:space="preserve"> de criar períodos de indução, onde uma espécie surge após o consumo de um reagente em outra reação, sendo assim, tempo de indução é o tempo necessário para a amostra demostrar atividade. Todas as amostras apresentaram basicamente o mesmo tempo de indução, no período inicial dos testes, estabilizando o sinal de conversão apenas depois de 3h de teste</w:t>
      </w:r>
      <w:r>
        <w:rPr>
          <w:lang w:val="pt-BR"/>
        </w:rPr>
        <w:t xml:space="preserve"> (15)</w:t>
      </w:r>
      <w:r w:rsidRPr="000F4893">
        <w:rPr>
          <w:lang w:val="pt-BR"/>
        </w:rPr>
        <w:t>.</w:t>
      </w:r>
    </w:p>
    <w:p w14:paraId="31DADB15" w14:textId="686E9B4C" w:rsidR="00411C9E" w:rsidRDefault="00411C9E" w:rsidP="00411C9E">
      <w:pPr>
        <w:pStyle w:val="TAMainText"/>
        <w:spacing w:line="276" w:lineRule="auto"/>
        <w:ind w:firstLine="187"/>
        <w:rPr>
          <w:lang w:val="pt-BR"/>
        </w:rPr>
      </w:pPr>
      <w:r>
        <w:rPr>
          <w:lang w:val="pt-BR"/>
        </w:rPr>
        <w:t>A amostra LaNiO</w:t>
      </w:r>
      <w:r w:rsidRPr="00517DEE">
        <w:rPr>
          <w:vertAlign w:val="subscript"/>
          <w:lang w:val="pt-BR"/>
        </w:rPr>
        <w:t>3</w:t>
      </w:r>
      <w:r>
        <w:rPr>
          <w:lang w:val="pt-BR"/>
        </w:rPr>
        <w:t xml:space="preserve"> também apresentou os maiores dados de </w:t>
      </w:r>
      <w:r w:rsidRPr="00E546EC">
        <w:rPr>
          <w:lang w:val="pt-BR"/>
        </w:rPr>
        <w:t>seletividades à H</w:t>
      </w:r>
      <w:r w:rsidRPr="003E10ED">
        <w:rPr>
          <w:vertAlign w:val="subscript"/>
          <w:lang w:val="pt-BR"/>
        </w:rPr>
        <w:t>2</w:t>
      </w:r>
      <w:r>
        <w:rPr>
          <w:vertAlign w:val="subscript"/>
          <w:lang w:val="pt-BR"/>
        </w:rPr>
        <w:t xml:space="preserve"> </w:t>
      </w:r>
      <w:r>
        <w:rPr>
          <w:lang w:val="pt-BR"/>
        </w:rPr>
        <w:t>(69%)</w:t>
      </w:r>
      <w:r w:rsidRPr="00E546EC">
        <w:rPr>
          <w:lang w:val="pt-BR"/>
        </w:rPr>
        <w:t xml:space="preserve"> e CO</w:t>
      </w:r>
      <w:r>
        <w:rPr>
          <w:lang w:val="pt-BR"/>
        </w:rPr>
        <w:t xml:space="preserve"> (20%) entre as amostras testadas. No entanto a </w:t>
      </w:r>
      <w:r w:rsidRPr="00B509F0">
        <w:rPr>
          <w:lang w:val="pt-BR"/>
        </w:rPr>
        <w:t>La</w:t>
      </w:r>
      <w:r>
        <w:rPr>
          <w:vertAlign w:val="subscript"/>
          <w:lang w:val="pt-BR"/>
        </w:rPr>
        <w:t>0,7</w:t>
      </w:r>
      <w:r w:rsidRPr="00B509F0">
        <w:rPr>
          <w:lang w:val="pt-BR"/>
        </w:rPr>
        <w:t>Ce</w:t>
      </w:r>
      <w:r w:rsidRPr="008D1487">
        <w:rPr>
          <w:vertAlign w:val="subscript"/>
          <w:lang w:val="pt-BR"/>
        </w:rPr>
        <w:t>0,</w:t>
      </w:r>
      <w:r>
        <w:rPr>
          <w:vertAlign w:val="subscript"/>
          <w:lang w:val="pt-BR"/>
        </w:rPr>
        <w:t>3</w:t>
      </w:r>
      <w:r w:rsidRPr="00B509F0">
        <w:rPr>
          <w:lang w:val="pt-BR"/>
        </w:rPr>
        <w:t>NiO</w:t>
      </w:r>
      <w:r w:rsidRPr="008D1487">
        <w:rPr>
          <w:vertAlign w:val="subscript"/>
          <w:lang w:val="pt-BR"/>
        </w:rPr>
        <w:t>3</w:t>
      </w:r>
      <w:r w:rsidRPr="00B509F0">
        <w:rPr>
          <w:lang w:val="pt-BR"/>
        </w:rPr>
        <w:t xml:space="preserve"> </w:t>
      </w:r>
      <w:r>
        <w:rPr>
          <w:lang w:val="pt-BR"/>
        </w:rPr>
        <w:t xml:space="preserve">apresentou a maior estabilidade das curvas obtidas para seletividade de </w:t>
      </w:r>
      <w:r>
        <w:rPr>
          <w:lang w:val="pt-BR"/>
        </w:rPr>
        <w:t>hidrogênio se mostrando mais estável do que as demais</w:t>
      </w:r>
      <w:r w:rsidR="00F015AE">
        <w:rPr>
          <w:lang w:val="pt-BR"/>
        </w:rPr>
        <w:t xml:space="preserve"> (6)</w:t>
      </w:r>
      <w:r>
        <w:rPr>
          <w:lang w:val="pt-BR"/>
        </w:rPr>
        <w:t xml:space="preserve">. </w:t>
      </w:r>
      <w:r w:rsidRPr="00E546EC">
        <w:rPr>
          <w:lang w:val="pt-BR"/>
        </w:rPr>
        <w:t>O rendimento de H</w:t>
      </w:r>
      <w:r w:rsidRPr="003E10ED">
        <w:rPr>
          <w:vertAlign w:val="subscript"/>
          <w:lang w:val="pt-BR"/>
        </w:rPr>
        <w:t>2</w:t>
      </w:r>
      <w:r w:rsidRPr="00E546EC">
        <w:rPr>
          <w:lang w:val="pt-BR"/>
        </w:rPr>
        <w:t xml:space="preserve"> foi maior do que o rendimento de CO em todos os catalisadores, fato que pode ser um indício da oco</w:t>
      </w:r>
      <w:r>
        <w:rPr>
          <w:lang w:val="pt-BR"/>
        </w:rPr>
        <w:t>rrência da reação de Boudouard (13).</w:t>
      </w:r>
    </w:p>
    <w:p w14:paraId="3085643E" w14:textId="326F007B" w:rsidR="006C36B0" w:rsidRDefault="00411C9E" w:rsidP="00EA4E1B">
      <w:pPr>
        <w:jc w:val="center"/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inline distT="0" distB="0" distL="0" distR="0" wp14:anchorId="677249F2" wp14:editId="686D3C09">
            <wp:extent cx="2387817" cy="2988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26" b="5911"/>
                    <a:stretch/>
                  </pic:blipFill>
                  <pic:spPr bwMode="auto">
                    <a:xfrm>
                      <a:off x="0" y="0"/>
                      <a:ext cx="2387817" cy="29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B852A7" w14:textId="77777777" w:rsidR="00411C9E" w:rsidRDefault="00411C9E" w:rsidP="00411C9E">
      <w:pPr>
        <w:pStyle w:val="VDTableTitle"/>
        <w:spacing w:after="120" w:line="276" w:lineRule="auto"/>
        <w:jc w:val="center"/>
        <w:rPr>
          <w:lang w:val="pt-BR"/>
        </w:rPr>
      </w:pPr>
      <w:r>
        <w:rPr>
          <w:b/>
          <w:lang w:val="pt-BR"/>
        </w:rPr>
        <w:t>Figura 5.</w:t>
      </w:r>
      <w:r w:rsidRPr="00A412D9">
        <w:rPr>
          <w:b/>
          <w:lang w:val="pt-BR"/>
        </w:rPr>
        <w:t xml:space="preserve"> </w:t>
      </w:r>
      <w:r w:rsidRPr="001577F1">
        <w:rPr>
          <w:lang w:val="pt-BR"/>
        </w:rPr>
        <w:t>Conversões de CH</w:t>
      </w:r>
      <w:r w:rsidRPr="001577F1">
        <w:rPr>
          <w:vertAlign w:val="subscript"/>
          <w:lang w:val="pt-BR"/>
        </w:rPr>
        <w:t>4</w:t>
      </w:r>
      <w:r w:rsidRPr="001577F1">
        <w:rPr>
          <w:lang w:val="pt-BR"/>
        </w:rPr>
        <w:t xml:space="preserve"> e CO</w:t>
      </w:r>
      <w:r w:rsidRPr="001577F1">
        <w:rPr>
          <w:vertAlign w:val="subscript"/>
          <w:lang w:val="pt-BR"/>
        </w:rPr>
        <w:t>2</w:t>
      </w:r>
      <w:r w:rsidRPr="001577F1">
        <w:rPr>
          <w:lang w:val="pt-BR"/>
        </w:rPr>
        <w:t xml:space="preserve"> das amostras no</w:t>
      </w:r>
      <w:r>
        <w:rPr>
          <w:b/>
          <w:lang w:val="pt-BR"/>
        </w:rPr>
        <w:t xml:space="preserve"> </w:t>
      </w:r>
      <w:r w:rsidRPr="00D61C53">
        <w:rPr>
          <w:lang w:val="pt-BR"/>
        </w:rPr>
        <w:t xml:space="preserve">Teste Catalítico </w:t>
      </w:r>
      <w:r>
        <w:rPr>
          <w:lang w:val="pt-BR"/>
        </w:rPr>
        <w:t xml:space="preserve">de </w:t>
      </w:r>
      <w:r w:rsidRPr="00D61C53">
        <w:rPr>
          <w:lang w:val="pt-BR"/>
        </w:rPr>
        <w:t xml:space="preserve">20h </w:t>
      </w:r>
    </w:p>
    <w:p w14:paraId="54E4E184" w14:textId="14A833BB" w:rsidR="001849BD" w:rsidRDefault="001849BD" w:rsidP="001849BD">
      <w:pPr>
        <w:spacing w:after="0"/>
        <w:jc w:val="center"/>
        <w:rPr>
          <w:lang w:eastAsia="pt-BR"/>
        </w:rPr>
      </w:pPr>
      <w:r>
        <w:rPr>
          <w:noProof/>
          <w:lang w:eastAsia="pt-BR"/>
        </w:rPr>
        <w:drawing>
          <wp:inline distT="0" distB="0" distL="0" distR="0" wp14:anchorId="13D54522" wp14:editId="0763B870">
            <wp:extent cx="1877330" cy="1440000"/>
            <wp:effectExtent l="0" t="0" r="889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4" t="4967" r="4344" b="5629"/>
                    <a:stretch/>
                  </pic:blipFill>
                  <pic:spPr bwMode="auto">
                    <a:xfrm>
                      <a:off x="0" y="0"/>
                      <a:ext cx="187733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166031" w14:textId="7CC54BB8" w:rsidR="00411C9E" w:rsidRDefault="00411C9E" w:rsidP="00EA4E1B">
      <w:pPr>
        <w:jc w:val="center"/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inline distT="0" distB="0" distL="0" distR="0" wp14:anchorId="468F66B5" wp14:editId="18686DA8">
            <wp:extent cx="1880730" cy="1404000"/>
            <wp:effectExtent l="0" t="0" r="5715" b="571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1" t="5618" r="4134" b="5809"/>
                    <a:stretch/>
                  </pic:blipFill>
                  <pic:spPr bwMode="auto">
                    <a:xfrm>
                      <a:off x="0" y="0"/>
                      <a:ext cx="1880730" cy="14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FC42A5" w14:textId="77777777" w:rsidR="00411C9E" w:rsidRDefault="00411C9E" w:rsidP="00411C9E">
      <w:pPr>
        <w:pStyle w:val="VDTableTitle"/>
        <w:spacing w:after="120" w:line="276" w:lineRule="auto"/>
        <w:jc w:val="center"/>
        <w:rPr>
          <w:vertAlign w:val="subscript"/>
          <w:lang w:val="pt-BR"/>
        </w:rPr>
      </w:pPr>
      <w:r>
        <w:rPr>
          <w:b/>
          <w:lang w:val="pt-BR"/>
        </w:rPr>
        <w:t>Figura 6.</w:t>
      </w:r>
      <w:r w:rsidRPr="00A412D9">
        <w:rPr>
          <w:b/>
          <w:lang w:val="pt-BR"/>
        </w:rPr>
        <w:t xml:space="preserve"> </w:t>
      </w:r>
      <w:r>
        <w:rPr>
          <w:lang w:val="pt-BR"/>
        </w:rPr>
        <w:t>Seletividad</w:t>
      </w:r>
      <w:r w:rsidRPr="001577F1">
        <w:rPr>
          <w:lang w:val="pt-BR"/>
        </w:rPr>
        <w:t>es de H</w:t>
      </w:r>
      <w:r w:rsidRPr="001577F1">
        <w:rPr>
          <w:vertAlign w:val="subscript"/>
          <w:lang w:val="pt-BR"/>
        </w:rPr>
        <w:t>2</w:t>
      </w:r>
      <w:r>
        <w:rPr>
          <w:lang w:val="pt-BR"/>
        </w:rPr>
        <w:t xml:space="preserve"> </w:t>
      </w:r>
      <w:r w:rsidRPr="001577F1">
        <w:rPr>
          <w:lang w:val="pt-BR"/>
        </w:rPr>
        <w:t>e CO das amostras no</w:t>
      </w:r>
      <w:r>
        <w:rPr>
          <w:b/>
          <w:lang w:val="pt-BR"/>
        </w:rPr>
        <w:t xml:space="preserve"> </w:t>
      </w:r>
      <w:r w:rsidRPr="00D61C53">
        <w:rPr>
          <w:lang w:val="pt-BR"/>
        </w:rPr>
        <w:t xml:space="preserve">Teste Catalítico </w:t>
      </w:r>
      <w:r>
        <w:rPr>
          <w:lang w:val="pt-BR"/>
        </w:rPr>
        <w:t xml:space="preserve">de </w:t>
      </w:r>
      <w:r w:rsidRPr="00D61C53">
        <w:rPr>
          <w:lang w:val="pt-BR"/>
        </w:rPr>
        <w:t xml:space="preserve">20h </w:t>
      </w:r>
    </w:p>
    <w:p w14:paraId="1795AEFA" w14:textId="77777777" w:rsidR="00411C9E" w:rsidRDefault="00411C9E" w:rsidP="00411C9E">
      <w:pPr>
        <w:pStyle w:val="Recuodecorpodetexto"/>
        <w:spacing w:after="0"/>
        <w:ind w:left="0" w:right="-33" w:firstLine="284"/>
        <w:jc w:val="both"/>
        <w:outlineLvl w:val="0"/>
        <w:rPr>
          <w:rFonts w:ascii="Times" w:hAnsi="Times"/>
          <w:sz w:val="18"/>
          <w:lang w:val="pt-BR"/>
        </w:rPr>
      </w:pPr>
    </w:p>
    <w:p w14:paraId="648DE401" w14:textId="14CBF6B7" w:rsidR="00D22286" w:rsidRDefault="00D22286" w:rsidP="00D22286">
      <w:pPr>
        <w:pStyle w:val="TAMainText"/>
        <w:spacing w:line="276" w:lineRule="auto"/>
        <w:ind w:firstLine="187"/>
        <w:rPr>
          <w:lang w:val="pt-BR"/>
        </w:rPr>
      </w:pPr>
      <w:r w:rsidRPr="00E37972">
        <w:rPr>
          <w:lang w:val="pt-BR"/>
        </w:rPr>
        <w:t>Com o objetivo de compre</w:t>
      </w:r>
      <w:r>
        <w:rPr>
          <w:lang w:val="pt-BR"/>
        </w:rPr>
        <w:t>ender o efeito da temperatura reacional nas conversões e na seletividade,</w:t>
      </w:r>
      <w:r w:rsidRPr="00E37972">
        <w:rPr>
          <w:lang w:val="pt-BR"/>
        </w:rPr>
        <w:t xml:space="preserve"> o</w:t>
      </w:r>
      <w:r>
        <w:rPr>
          <w:lang w:val="pt-BR"/>
        </w:rPr>
        <w:t>s</w:t>
      </w:r>
      <w:r w:rsidRPr="00E37972">
        <w:rPr>
          <w:lang w:val="pt-BR"/>
        </w:rPr>
        <w:t xml:space="preserve"> catalisador</w:t>
      </w:r>
      <w:r>
        <w:rPr>
          <w:lang w:val="pt-BR"/>
        </w:rPr>
        <w:t>es</w:t>
      </w:r>
      <w:r>
        <w:rPr>
          <w:lang w:val="pt-BR"/>
        </w:rPr>
        <w:t xml:space="preserve"> </w:t>
      </w:r>
      <w:r>
        <w:rPr>
          <w:lang w:val="pt-BR"/>
        </w:rPr>
        <w:lastRenderedPageBreak/>
        <w:t>que apresentaram os melhores resultados</w:t>
      </w:r>
      <w:r>
        <w:rPr>
          <w:lang w:val="pt-BR"/>
        </w:rPr>
        <w:t xml:space="preserve"> foram</w:t>
      </w:r>
      <w:r w:rsidRPr="00E37972">
        <w:rPr>
          <w:lang w:val="pt-BR"/>
        </w:rPr>
        <w:t xml:space="preserve"> testado</w:t>
      </w:r>
      <w:r>
        <w:rPr>
          <w:lang w:val="pt-BR"/>
        </w:rPr>
        <w:t>s</w:t>
      </w:r>
      <w:r w:rsidRPr="00E37972">
        <w:rPr>
          <w:lang w:val="pt-BR"/>
        </w:rPr>
        <w:t xml:space="preserve"> por 2</w:t>
      </w:r>
      <w:r>
        <w:rPr>
          <w:lang w:val="pt-BR"/>
        </w:rPr>
        <w:t>0</w:t>
      </w:r>
      <w:r w:rsidRPr="00E37972">
        <w:rPr>
          <w:lang w:val="pt-BR"/>
        </w:rPr>
        <w:t xml:space="preserve">h </w:t>
      </w:r>
      <w:r>
        <w:rPr>
          <w:lang w:val="pt-BR"/>
        </w:rPr>
        <w:t>na faixa de 600-8</w:t>
      </w:r>
      <w:r w:rsidRPr="00E37972">
        <w:rPr>
          <w:lang w:val="pt-BR"/>
        </w:rPr>
        <w:t>00ºC, com incrementos de 100ºC.</w:t>
      </w:r>
    </w:p>
    <w:p w14:paraId="42237009" w14:textId="1E853E3D" w:rsidR="00D22286" w:rsidRDefault="00B15462" w:rsidP="00D06F85">
      <w:pPr>
        <w:pStyle w:val="VAFigureCaption"/>
        <w:spacing w:before="0" w:line="276" w:lineRule="auto"/>
        <w:ind w:firstLine="187"/>
        <w:rPr>
          <w:sz w:val="20"/>
          <w:lang w:val="pt-BR"/>
        </w:rPr>
      </w:pPr>
      <w:r>
        <w:rPr>
          <w:noProof/>
          <w:lang w:val="pt-BR"/>
        </w:rPr>
        <w:drawing>
          <wp:inline distT="0" distB="0" distL="0" distR="0" wp14:anchorId="524E933F" wp14:editId="257296CC">
            <wp:extent cx="3045188" cy="2160000"/>
            <wp:effectExtent l="0" t="0" r="3175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30" t="7984" r="5101" b="5114"/>
                    <a:stretch/>
                  </pic:blipFill>
                  <pic:spPr bwMode="auto">
                    <a:xfrm>
                      <a:off x="0" y="0"/>
                      <a:ext cx="304518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D16AC1" w14:textId="1FAE4C0F" w:rsidR="00B15462" w:rsidRDefault="00B15462" w:rsidP="00B15462">
      <w:pPr>
        <w:pStyle w:val="VDTableTitle"/>
        <w:spacing w:after="120" w:line="276" w:lineRule="auto"/>
        <w:jc w:val="center"/>
        <w:rPr>
          <w:vertAlign w:val="subscript"/>
          <w:lang w:val="pt-BR"/>
        </w:rPr>
      </w:pPr>
      <w:r>
        <w:rPr>
          <w:b/>
          <w:lang w:val="pt-BR"/>
        </w:rPr>
        <w:t xml:space="preserve">Figura </w:t>
      </w:r>
      <w:r w:rsidR="007F1CFF">
        <w:rPr>
          <w:b/>
          <w:lang w:val="pt-BR"/>
        </w:rPr>
        <w:t>7</w:t>
      </w:r>
      <w:r>
        <w:rPr>
          <w:b/>
          <w:lang w:val="pt-BR"/>
        </w:rPr>
        <w:t>.</w:t>
      </w:r>
      <w:r w:rsidRPr="00A412D9">
        <w:rPr>
          <w:b/>
          <w:lang w:val="pt-BR"/>
        </w:rPr>
        <w:t xml:space="preserve"> </w:t>
      </w:r>
      <w:r w:rsidRPr="00D61C53">
        <w:rPr>
          <w:lang w:val="pt-BR"/>
        </w:rPr>
        <w:t>Teste Catalítico 20h da LaNiO</w:t>
      </w:r>
      <w:r w:rsidRPr="00423B89">
        <w:rPr>
          <w:vertAlign w:val="subscript"/>
          <w:lang w:val="pt-BR"/>
        </w:rPr>
        <w:t>3</w:t>
      </w:r>
    </w:p>
    <w:p w14:paraId="00D2F5DF" w14:textId="1924A41E" w:rsidR="00B15462" w:rsidRDefault="00B15462" w:rsidP="00DB1D28">
      <w:pPr>
        <w:spacing w:after="0"/>
        <w:rPr>
          <w:lang w:eastAsia="pt-BR"/>
        </w:rPr>
      </w:pPr>
      <w:r>
        <w:rPr>
          <w:noProof/>
        </w:rPr>
        <w:drawing>
          <wp:inline distT="0" distB="0" distL="0" distR="0" wp14:anchorId="2DB8CEC5" wp14:editId="51099430">
            <wp:extent cx="3195755" cy="2304000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1" t="6587" r="4471" b="5987"/>
                    <a:stretch/>
                  </pic:blipFill>
                  <pic:spPr bwMode="auto">
                    <a:xfrm>
                      <a:off x="0" y="0"/>
                      <a:ext cx="3195755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5491D3" w14:textId="6C098E8A" w:rsidR="00B15462" w:rsidRDefault="00B15462" w:rsidP="00B15462">
      <w:pPr>
        <w:pStyle w:val="TAMainText"/>
        <w:spacing w:line="276" w:lineRule="auto"/>
        <w:ind w:firstLine="0"/>
        <w:jc w:val="center"/>
        <w:rPr>
          <w:sz w:val="18"/>
          <w:lang w:val="pt-BR"/>
        </w:rPr>
      </w:pPr>
      <w:r w:rsidRPr="00FC3544">
        <w:rPr>
          <w:b/>
          <w:sz w:val="18"/>
          <w:lang w:val="pt-BR"/>
        </w:rPr>
        <w:t xml:space="preserve">Figura </w:t>
      </w:r>
      <w:r w:rsidR="007F1CFF">
        <w:rPr>
          <w:b/>
          <w:sz w:val="18"/>
          <w:lang w:val="pt-BR"/>
        </w:rPr>
        <w:t>8</w:t>
      </w:r>
      <w:r w:rsidRPr="00FC3544">
        <w:rPr>
          <w:b/>
          <w:sz w:val="18"/>
          <w:lang w:val="pt-BR"/>
        </w:rPr>
        <w:t xml:space="preserve">. </w:t>
      </w:r>
      <w:r w:rsidRPr="00FC3544">
        <w:rPr>
          <w:sz w:val="18"/>
          <w:lang w:val="pt-BR"/>
        </w:rPr>
        <w:t>Teste Catalítico 20h da La</w:t>
      </w:r>
      <w:r w:rsidRPr="00FC3544">
        <w:rPr>
          <w:sz w:val="18"/>
          <w:vertAlign w:val="subscript"/>
          <w:lang w:val="pt-BR"/>
        </w:rPr>
        <w:t>0,7</w:t>
      </w:r>
      <w:r w:rsidRPr="00FC3544">
        <w:rPr>
          <w:sz w:val="18"/>
          <w:lang w:val="pt-BR"/>
        </w:rPr>
        <w:t>Ce</w:t>
      </w:r>
      <w:r w:rsidRPr="00FC3544">
        <w:rPr>
          <w:sz w:val="18"/>
          <w:vertAlign w:val="subscript"/>
          <w:lang w:val="pt-BR"/>
        </w:rPr>
        <w:t>0,3</w:t>
      </w:r>
      <w:r w:rsidRPr="00FC3544">
        <w:rPr>
          <w:sz w:val="18"/>
          <w:lang w:val="pt-BR"/>
        </w:rPr>
        <w:t>NiO</w:t>
      </w:r>
      <w:r w:rsidRPr="00FC3544">
        <w:rPr>
          <w:sz w:val="18"/>
          <w:vertAlign w:val="subscript"/>
          <w:lang w:val="pt-BR"/>
        </w:rPr>
        <w:t>3</w:t>
      </w:r>
      <w:r>
        <w:rPr>
          <w:sz w:val="18"/>
          <w:lang w:val="pt-BR"/>
        </w:rPr>
        <w:t>.</w:t>
      </w:r>
    </w:p>
    <w:p w14:paraId="3A2173EF" w14:textId="77777777" w:rsidR="00963F6D" w:rsidRPr="003949A1" w:rsidRDefault="00963F6D" w:rsidP="00B15462">
      <w:pPr>
        <w:pStyle w:val="TAMainText"/>
        <w:spacing w:line="276" w:lineRule="auto"/>
        <w:ind w:firstLine="0"/>
        <w:jc w:val="center"/>
        <w:rPr>
          <w:sz w:val="18"/>
          <w:lang w:val="pt-BR"/>
        </w:rPr>
      </w:pPr>
    </w:p>
    <w:p w14:paraId="42F0A2AE" w14:textId="3CA0BF47" w:rsidR="00166BFE" w:rsidRDefault="007F1CFF" w:rsidP="00632189">
      <w:pPr>
        <w:pStyle w:val="TAMainText"/>
        <w:spacing w:line="276" w:lineRule="auto"/>
        <w:ind w:firstLine="187"/>
        <w:rPr>
          <w:lang w:val="pt-BR"/>
        </w:rPr>
      </w:pPr>
      <w:r>
        <w:rPr>
          <w:lang w:val="pt-BR"/>
        </w:rPr>
        <w:t>A partir d</w:t>
      </w:r>
      <w:r w:rsidR="00B15462" w:rsidRPr="00655651">
        <w:rPr>
          <w:lang w:val="pt-BR"/>
        </w:rPr>
        <w:t>as</w:t>
      </w:r>
      <w:r w:rsidR="00B15462" w:rsidRPr="00B15462">
        <w:rPr>
          <w:lang w:val="pt-BR"/>
        </w:rPr>
        <w:t xml:space="preserve"> </w:t>
      </w:r>
      <w:r w:rsidR="00B15462" w:rsidRPr="00655651">
        <w:rPr>
          <w:lang w:val="pt-BR"/>
        </w:rPr>
        <w:t xml:space="preserve">figuras </w:t>
      </w:r>
      <w:r>
        <w:rPr>
          <w:lang w:val="pt-BR"/>
        </w:rPr>
        <w:t>7</w:t>
      </w:r>
      <w:r w:rsidR="00B15462" w:rsidRPr="00655651">
        <w:rPr>
          <w:lang w:val="pt-BR"/>
        </w:rPr>
        <w:t xml:space="preserve"> e </w:t>
      </w:r>
      <w:r>
        <w:rPr>
          <w:lang w:val="pt-BR"/>
        </w:rPr>
        <w:t>8</w:t>
      </w:r>
      <w:r w:rsidR="00CA16D3">
        <w:rPr>
          <w:lang w:val="pt-BR"/>
        </w:rPr>
        <w:t>,</w:t>
      </w:r>
      <w:r>
        <w:rPr>
          <w:lang w:val="pt-BR"/>
        </w:rPr>
        <w:t xml:space="preserve"> </w:t>
      </w:r>
      <w:r w:rsidR="00B15462" w:rsidRPr="00655651">
        <w:rPr>
          <w:lang w:val="pt-BR"/>
        </w:rPr>
        <w:t xml:space="preserve">é possível perceber que as amostras são ativas em todas as temperaturas testadas, indicando serem catalisadores promissores (10). </w:t>
      </w:r>
      <w:r w:rsidR="00166BFE">
        <w:rPr>
          <w:lang w:val="pt-BR"/>
        </w:rPr>
        <w:t>O</w:t>
      </w:r>
      <w:r w:rsidR="00B15462" w:rsidRPr="00655651">
        <w:rPr>
          <w:lang w:val="pt-BR"/>
        </w:rPr>
        <w:t xml:space="preserve"> teste em branco (reação sem a presença do catalisador) </w:t>
      </w:r>
      <w:r w:rsidR="00166BFE">
        <w:rPr>
          <w:lang w:val="pt-BR"/>
        </w:rPr>
        <w:t>n</w:t>
      </w:r>
      <w:r w:rsidR="00B15462" w:rsidRPr="00655651">
        <w:rPr>
          <w:lang w:val="pt-BR"/>
        </w:rPr>
        <w:t>a temperatura de 800°C</w:t>
      </w:r>
      <w:r w:rsidR="00B15462">
        <w:rPr>
          <w:lang w:val="pt-BR"/>
        </w:rPr>
        <w:t xml:space="preserve"> </w:t>
      </w:r>
      <w:r w:rsidR="00B15462" w:rsidRPr="00655651">
        <w:rPr>
          <w:lang w:val="pt-BR"/>
        </w:rPr>
        <w:t>comprov</w:t>
      </w:r>
      <w:r w:rsidR="00166BFE">
        <w:rPr>
          <w:lang w:val="pt-BR"/>
        </w:rPr>
        <w:t>ou</w:t>
      </w:r>
      <w:r w:rsidR="00B15462" w:rsidRPr="00655651">
        <w:rPr>
          <w:lang w:val="pt-BR"/>
        </w:rPr>
        <w:t xml:space="preserve"> que a reação Oxi-CO</w:t>
      </w:r>
      <w:r w:rsidR="00B15462" w:rsidRPr="003E10ED">
        <w:rPr>
          <w:vertAlign w:val="subscript"/>
          <w:lang w:val="pt-BR"/>
        </w:rPr>
        <w:t>2</w:t>
      </w:r>
      <w:r w:rsidR="00B15462" w:rsidRPr="00655651">
        <w:rPr>
          <w:lang w:val="pt-BR"/>
        </w:rPr>
        <w:t xml:space="preserve"> necessita de um catalisador ativo e seletivo para que o processo se torne viável economicamente. </w:t>
      </w:r>
    </w:p>
    <w:p w14:paraId="79BDD66F" w14:textId="36CAEAA1" w:rsidR="00B15462" w:rsidRPr="00655651" w:rsidRDefault="00166BFE" w:rsidP="00B15462">
      <w:pPr>
        <w:pStyle w:val="TAMainText"/>
        <w:spacing w:line="276" w:lineRule="auto"/>
        <w:ind w:firstLine="187"/>
        <w:rPr>
          <w:lang w:val="pt-BR"/>
        </w:rPr>
      </w:pPr>
      <w:r>
        <w:rPr>
          <w:lang w:val="pt-BR"/>
        </w:rPr>
        <w:t>É</w:t>
      </w:r>
      <w:r w:rsidR="00B15462" w:rsidRPr="00655651">
        <w:rPr>
          <w:lang w:val="pt-BR"/>
        </w:rPr>
        <w:t xml:space="preserve"> perceptível que as conversões aumentam com o aumento da temperatura e também se tornam mais estáveis, o que comprova a previsão teórica das leis da termodinâmica, </w:t>
      </w:r>
      <w:r w:rsidR="006D254A">
        <w:rPr>
          <w:lang w:val="pt-BR"/>
        </w:rPr>
        <w:t>visto que esta</w:t>
      </w:r>
      <w:r w:rsidR="00B15462" w:rsidRPr="00655651">
        <w:rPr>
          <w:lang w:val="pt-BR"/>
        </w:rPr>
        <w:t xml:space="preserve"> reação é endotérmica. A amostra </w:t>
      </w:r>
      <w:r w:rsidR="00B15462" w:rsidRPr="003E10ED">
        <w:rPr>
          <w:lang w:val="pt-BR"/>
        </w:rPr>
        <w:t>La</w:t>
      </w:r>
      <w:r w:rsidR="00B15462" w:rsidRPr="003E10ED">
        <w:rPr>
          <w:vertAlign w:val="subscript"/>
          <w:lang w:val="pt-BR"/>
        </w:rPr>
        <w:t>0,7</w:t>
      </w:r>
      <w:r w:rsidR="00B15462" w:rsidRPr="003E10ED">
        <w:rPr>
          <w:lang w:val="pt-BR"/>
        </w:rPr>
        <w:t>Ce</w:t>
      </w:r>
      <w:r w:rsidR="00B15462" w:rsidRPr="003E10ED">
        <w:rPr>
          <w:vertAlign w:val="subscript"/>
          <w:lang w:val="pt-BR"/>
        </w:rPr>
        <w:t>0,3</w:t>
      </w:r>
      <w:r w:rsidR="00B15462" w:rsidRPr="003E10ED">
        <w:rPr>
          <w:lang w:val="pt-BR"/>
        </w:rPr>
        <w:t>NiO</w:t>
      </w:r>
      <w:r w:rsidR="00B15462" w:rsidRPr="003E10ED">
        <w:rPr>
          <w:vertAlign w:val="subscript"/>
          <w:lang w:val="pt-BR"/>
        </w:rPr>
        <w:t xml:space="preserve">3 </w:t>
      </w:r>
      <w:r w:rsidR="00B15462" w:rsidRPr="00655651">
        <w:rPr>
          <w:lang w:val="pt-BR"/>
        </w:rPr>
        <w:t xml:space="preserve">apresenta taxas de conversão de </w:t>
      </w:r>
      <w:r>
        <w:rPr>
          <w:lang w:val="pt-BR"/>
        </w:rPr>
        <w:t>CH</w:t>
      </w:r>
      <w:r w:rsidRPr="00166BFE">
        <w:rPr>
          <w:vertAlign w:val="subscript"/>
          <w:lang w:val="pt-BR"/>
        </w:rPr>
        <w:t>4</w:t>
      </w:r>
      <w:r w:rsidR="00B15462" w:rsidRPr="00655651">
        <w:rPr>
          <w:lang w:val="pt-BR"/>
        </w:rPr>
        <w:t xml:space="preserve"> em 86% e de </w:t>
      </w:r>
      <w:r>
        <w:rPr>
          <w:lang w:val="pt-BR"/>
        </w:rPr>
        <w:t>CO</w:t>
      </w:r>
      <w:r w:rsidRPr="00166BFE">
        <w:rPr>
          <w:vertAlign w:val="subscript"/>
          <w:lang w:val="pt-BR"/>
        </w:rPr>
        <w:t>2</w:t>
      </w:r>
      <w:r w:rsidR="00B15462" w:rsidRPr="00655651">
        <w:rPr>
          <w:lang w:val="pt-BR"/>
        </w:rPr>
        <w:t xml:space="preserve"> em 84%, enquanto que a LaNiO</w:t>
      </w:r>
      <w:r w:rsidR="00B15462" w:rsidRPr="003E10ED">
        <w:rPr>
          <w:vertAlign w:val="subscript"/>
          <w:lang w:val="pt-BR"/>
        </w:rPr>
        <w:t>3</w:t>
      </w:r>
      <w:r w:rsidR="00B15462" w:rsidRPr="00655651">
        <w:rPr>
          <w:lang w:val="pt-BR"/>
        </w:rPr>
        <w:t xml:space="preserve"> tem 88% de conversão, de </w:t>
      </w:r>
      <w:r w:rsidR="003C2825">
        <w:rPr>
          <w:lang w:val="pt-BR"/>
        </w:rPr>
        <w:t>ambos</w:t>
      </w:r>
      <w:r w:rsidR="00B15462" w:rsidRPr="00655651">
        <w:rPr>
          <w:lang w:val="pt-BR"/>
        </w:rPr>
        <w:t xml:space="preserve">. Do ponto de vista analítico essas taxas de conversão não podem ser diferenciadas, não podendo garantir uma escolha de qual catalisador foi melhor analisando apenas este parâmetro. No entanto, é sabido que </w:t>
      </w:r>
      <w:r w:rsidR="00B15462" w:rsidRPr="00655651">
        <w:rPr>
          <w:lang w:val="pt-BR"/>
        </w:rPr>
        <w:t>em situações reacionais deste tipo de reforma, o CeO</w:t>
      </w:r>
      <w:r w:rsidR="00B15462" w:rsidRPr="003E10ED">
        <w:rPr>
          <w:vertAlign w:val="subscript"/>
          <w:lang w:val="pt-BR"/>
        </w:rPr>
        <w:t>2</w:t>
      </w:r>
      <w:r w:rsidR="00B15462" w:rsidRPr="00655651">
        <w:rPr>
          <w:lang w:val="pt-BR"/>
        </w:rPr>
        <w:t xml:space="preserve"> auxilia o aumento da conversão dos reagentes passando por um mecanismo redox, decompondo o CH</w:t>
      </w:r>
      <w:r w:rsidR="00B15462" w:rsidRPr="003E10ED">
        <w:rPr>
          <w:vertAlign w:val="subscript"/>
          <w:lang w:val="pt-BR"/>
        </w:rPr>
        <w:t>4</w:t>
      </w:r>
      <w:r w:rsidR="00B15462" w:rsidRPr="00655651">
        <w:rPr>
          <w:lang w:val="pt-BR"/>
        </w:rPr>
        <w:t xml:space="preserve"> em CO e H</w:t>
      </w:r>
      <w:r w:rsidR="00B15462" w:rsidRPr="003E10ED">
        <w:rPr>
          <w:vertAlign w:val="subscript"/>
          <w:lang w:val="pt-BR"/>
        </w:rPr>
        <w:t>2</w:t>
      </w:r>
      <w:r w:rsidR="00B15462" w:rsidRPr="00655651">
        <w:rPr>
          <w:lang w:val="pt-BR"/>
        </w:rPr>
        <w:t>, sendo reduzido a uma espécie CeO</w:t>
      </w:r>
      <w:r w:rsidR="00B15462" w:rsidRPr="003E10ED">
        <w:rPr>
          <w:vertAlign w:val="subscript"/>
          <w:lang w:val="pt-BR"/>
        </w:rPr>
        <w:t>2-x</w:t>
      </w:r>
      <w:r w:rsidR="00B15462" w:rsidRPr="00655651">
        <w:rPr>
          <w:lang w:val="pt-BR"/>
        </w:rPr>
        <w:t>. Este óxido não estequiométrico</w:t>
      </w:r>
      <w:r w:rsidR="00551BA0">
        <w:rPr>
          <w:lang w:val="pt-BR"/>
        </w:rPr>
        <w:t>,</w:t>
      </w:r>
      <w:r w:rsidR="00B15462" w:rsidRPr="00655651">
        <w:rPr>
          <w:lang w:val="pt-BR"/>
        </w:rPr>
        <w:t xml:space="preserve"> reagiria com o CO</w:t>
      </w:r>
      <w:r w:rsidR="00B15462" w:rsidRPr="003E10ED">
        <w:rPr>
          <w:vertAlign w:val="subscript"/>
          <w:lang w:val="pt-BR"/>
        </w:rPr>
        <w:t>2</w:t>
      </w:r>
      <w:r w:rsidR="00B15462" w:rsidRPr="00655651">
        <w:rPr>
          <w:lang w:val="pt-BR"/>
        </w:rPr>
        <w:t xml:space="preserve"> produzindo CO, sendo oxidado a CeO</w:t>
      </w:r>
      <w:r w:rsidR="00B15462" w:rsidRPr="003E10ED">
        <w:rPr>
          <w:vertAlign w:val="subscript"/>
          <w:lang w:val="pt-BR"/>
        </w:rPr>
        <w:t>2</w:t>
      </w:r>
      <w:r w:rsidR="00B15462" w:rsidRPr="00655651">
        <w:rPr>
          <w:lang w:val="pt-BR"/>
        </w:rPr>
        <w:t xml:space="preserve"> novamente, além de oxidar os átomos de carbono remanescentes que depositarem na superfície do catalisador (6). </w:t>
      </w:r>
    </w:p>
    <w:p w14:paraId="02D85E22" w14:textId="35D5DB8C" w:rsidR="00B15462" w:rsidRPr="00655651" w:rsidRDefault="00B15462" w:rsidP="00B15462">
      <w:pPr>
        <w:pStyle w:val="TAMainText"/>
        <w:spacing w:line="276" w:lineRule="auto"/>
        <w:ind w:firstLine="187"/>
        <w:rPr>
          <w:lang w:val="pt-BR"/>
        </w:rPr>
      </w:pPr>
      <w:r w:rsidRPr="00655651">
        <w:rPr>
          <w:lang w:val="pt-BR"/>
        </w:rPr>
        <w:t xml:space="preserve">Percebe-se também que a amostra </w:t>
      </w:r>
      <w:r w:rsidRPr="003E10ED">
        <w:rPr>
          <w:lang w:val="pt-BR"/>
        </w:rPr>
        <w:t>La</w:t>
      </w:r>
      <w:r w:rsidRPr="003E10ED">
        <w:rPr>
          <w:vertAlign w:val="subscript"/>
          <w:lang w:val="pt-BR"/>
        </w:rPr>
        <w:t>0,7</w:t>
      </w:r>
      <w:r w:rsidRPr="003E10ED">
        <w:rPr>
          <w:lang w:val="pt-BR"/>
        </w:rPr>
        <w:t>Ce</w:t>
      </w:r>
      <w:r w:rsidRPr="003E10ED">
        <w:rPr>
          <w:vertAlign w:val="subscript"/>
          <w:lang w:val="pt-BR"/>
        </w:rPr>
        <w:t>0,3</w:t>
      </w:r>
      <w:r w:rsidRPr="003E10ED">
        <w:rPr>
          <w:lang w:val="pt-BR"/>
        </w:rPr>
        <w:t>NiO</w:t>
      </w:r>
      <w:r w:rsidR="00506306" w:rsidRPr="003E10ED">
        <w:rPr>
          <w:vertAlign w:val="subscript"/>
          <w:lang w:val="pt-BR"/>
        </w:rPr>
        <w:t xml:space="preserve">3 </w:t>
      </w:r>
      <w:r w:rsidR="00506306" w:rsidRPr="00655651">
        <w:rPr>
          <w:lang w:val="pt-BR"/>
        </w:rPr>
        <w:t>apresenta</w:t>
      </w:r>
      <w:r w:rsidRPr="00655651">
        <w:rPr>
          <w:lang w:val="pt-BR"/>
        </w:rPr>
        <w:t xml:space="preserve"> menor tempo de indução em comparação a LaNiO</w:t>
      </w:r>
      <w:r w:rsidRPr="003E10ED">
        <w:rPr>
          <w:vertAlign w:val="subscript"/>
          <w:lang w:val="pt-BR"/>
        </w:rPr>
        <w:t>3</w:t>
      </w:r>
      <w:r w:rsidRPr="00655651">
        <w:rPr>
          <w:lang w:val="pt-BR"/>
        </w:rPr>
        <w:t>. Praticamente em cerca de 10h a variação na conversão dos reagentes é pequena, enquanto a LaNiO</w:t>
      </w:r>
      <w:r w:rsidRPr="003E10ED">
        <w:rPr>
          <w:vertAlign w:val="subscript"/>
          <w:lang w:val="pt-BR"/>
        </w:rPr>
        <w:t>3</w:t>
      </w:r>
      <w:r w:rsidRPr="00655651">
        <w:rPr>
          <w:lang w:val="pt-BR"/>
        </w:rPr>
        <w:t xml:space="preserve"> apresenta estabilidade similares somente após 15h. </w:t>
      </w:r>
    </w:p>
    <w:p w14:paraId="419FF0EE" w14:textId="081A205C" w:rsidR="00B15462" w:rsidRPr="00E546EC" w:rsidRDefault="00B15462" w:rsidP="00B15462">
      <w:pPr>
        <w:pStyle w:val="TAMainText"/>
        <w:spacing w:line="276" w:lineRule="auto"/>
        <w:ind w:firstLine="187"/>
        <w:rPr>
          <w:lang w:val="pt-BR"/>
        </w:rPr>
      </w:pPr>
      <w:r>
        <w:rPr>
          <w:lang w:val="pt-BR"/>
        </w:rPr>
        <w:t>Outro fator importante é</w:t>
      </w:r>
      <w:r w:rsidRPr="00E546EC">
        <w:rPr>
          <w:lang w:val="pt-BR"/>
        </w:rPr>
        <w:t xml:space="preserve"> que a conversão de </w:t>
      </w:r>
      <w:r w:rsidR="00551BA0">
        <w:rPr>
          <w:lang w:val="pt-BR"/>
        </w:rPr>
        <w:t>CH</w:t>
      </w:r>
      <w:r w:rsidR="00551BA0" w:rsidRPr="00551BA0">
        <w:rPr>
          <w:vertAlign w:val="subscript"/>
          <w:lang w:val="pt-BR"/>
        </w:rPr>
        <w:t>4</w:t>
      </w:r>
      <w:r w:rsidRPr="00E546EC">
        <w:rPr>
          <w:lang w:val="pt-BR"/>
        </w:rPr>
        <w:t xml:space="preserve"> é maior</w:t>
      </w:r>
      <w:r>
        <w:rPr>
          <w:lang w:val="pt-BR"/>
        </w:rPr>
        <w:t xml:space="preserve"> do que a de </w:t>
      </w:r>
      <w:r w:rsidR="00551BA0">
        <w:rPr>
          <w:lang w:val="pt-BR"/>
        </w:rPr>
        <w:t>CO</w:t>
      </w:r>
      <w:r w:rsidR="00551BA0" w:rsidRPr="00551BA0">
        <w:rPr>
          <w:vertAlign w:val="subscript"/>
          <w:lang w:val="pt-BR"/>
        </w:rPr>
        <w:t>2</w:t>
      </w:r>
      <w:r>
        <w:rPr>
          <w:lang w:val="pt-BR"/>
        </w:rPr>
        <w:t xml:space="preserve">, </w:t>
      </w:r>
      <w:r w:rsidR="00551BA0">
        <w:rPr>
          <w:lang w:val="pt-BR"/>
        </w:rPr>
        <w:t>pois</w:t>
      </w:r>
      <w:r w:rsidRPr="00E546EC">
        <w:rPr>
          <w:lang w:val="pt-BR"/>
        </w:rPr>
        <w:t xml:space="preserve"> apesar de ocorrer a dissociação </w:t>
      </w:r>
      <w:r w:rsidR="00551BA0">
        <w:rPr>
          <w:lang w:val="pt-BR"/>
        </w:rPr>
        <w:t>de ambos</w:t>
      </w:r>
      <w:r w:rsidRPr="00E546EC">
        <w:rPr>
          <w:lang w:val="pt-BR"/>
        </w:rPr>
        <w:t>, as espécies de oxigênio adsorvidas podem favorecer ainda mais o pro</w:t>
      </w:r>
      <w:r>
        <w:rPr>
          <w:lang w:val="pt-BR"/>
        </w:rPr>
        <w:t>cesso de dissociação do metano (</w:t>
      </w:r>
      <w:r w:rsidRPr="00E546EC">
        <w:rPr>
          <w:lang w:val="pt-BR"/>
        </w:rPr>
        <w:t>10</w:t>
      </w:r>
      <w:r>
        <w:rPr>
          <w:lang w:val="pt-BR"/>
        </w:rPr>
        <w:t>)</w:t>
      </w:r>
      <w:r w:rsidRPr="00E546EC">
        <w:rPr>
          <w:lang w:val="pt-BR"/>
        </w:rPr>
        <w:t>. No entanto, o aumento de temperatura promove um aumento mais acentuado na conversão do CO</w:t>
      </w:r>
      <w:r w:rsidRPr="003E10ED">
        <w:rPr>
          <w:vertAlign w:val="subscript"/>
          <w:lang w:val="pt-BR"/>
        </w:rPr>
        <w:t>2</w:t>
      </w:r>
      <w:r w:rsidRPr="00E546EC">
        <w:rPr>
          <w:lang w:val="pt-BR"/>
        </w:rPr>
        <w:t>, indicando que a combustão de metano é mais dominante do que outras reações possíveis às baixas temperaturas, por ser exotérmica. As taxas mais elevadas de H</w:t>
      </w:r>
      <w:r w:rsidRPr="003E10ED">
        <w:rPr>
          <w:vertAlign w:val="subscript"/>
          <w:lang w:val="pt-BR"/>
        </w:rPr>
        <w:t>2</w:t>
      </w:r>
      <w:r w:rsidRPr="00E546EC">
        <w:rPr>
          <w:lang w:val="pt-BR"/>
        </w:rPr>
        <w:t xml:space="preserve">/CO observadas na </w:t>
      </w:r>
      <w:r>
        <w:rPr>
          <w:lang w:val="pt-BR"/>
        </w:rPr>
        <w:t xml:space="preserve">tabela </w:t>
      </w:r>
      <w:r w:rsidR="00506306">
        <w:rPr>
          <w:lang w:val="pt-BR"/>
        </w:rPr>
        <w:t>2</w:t>
      </w:r>
      <w:r w:rsidRPr="00E546EC">
        <w:rPr>
          <w:lang w:val="pt-BR"/>
        </w:rPr>
        <w:t xml:space="preserve"> para o</w:t>
      </w:r>
      <w:r>
        <w:rPr>
          <w:lang w:val="pt-BR"/>
        </w:rPr>
        <w:t>s</w:t>
      </w:r>
      <w:r w:rsidRPr="00E546EC">
        <w:rPr>
          <w:lang w:val="pt-BR"/>
        </w:rPr>
        <w:t xml:space="preserve"> teste</w:t>
      </w:r>
      <w:r>
        <w:rPr>
          <w:lang w:val="pt-BR"/>
        </w:rPr>
        <w:t>s conduzidos a</w:t>
      </w:r>
      <w:r w:rsidRPr="00E546EC">
        <w:rPr>
          <w:lang w:val="pt-BR"/>
        </w:rPr>
        <w:t xml:space="preserve"> 600°C ta</w:t>
      </w:r>
      <w:r>
        <w:rPr>
          <w:lang w:val="pt-BR"/>
        </w:rPr>
        <w:t>mbém confirmam essa explicação (</w:t>
      </w:r>
      <w:r w:rsidRPr="00E546EC">
        <w:rPr>
          <w:lang w:val="pt-BR"/>
        </w:rPr>
        <w:t>13</w:t>
      </w:r>
      <w:r>
        <w:rPr>
          <w:lang w:val="pt-BR"/>
        </w:rPr>
        <w:t>)</w:t>
      </w:r>
      <w:r w:rsidR="00434C1C">
        <w:rPr>
          <w:lang w:val="pt-BR"/>
        </w:rPr>
        <w:t>.</w:t>
      </w:r>
      <w:r w:rsidRPr="00E546EC">
        <w:rPr>
          <w:lang w:val="pt-BR"/>
        </w:rPr>
        <w:t xml:space="preserve"> </w:t>
      </w:r>
    </w:p>
    <w:p w14:paraId="75363741" w14:textId="533E728C" w:rsidR="00B15462" w:rsidRDefault="00B15462" w:rsidP="00B15462">
      <w:pPr>
        <w:pStyle w:val="TAMainText"/>
        <w:spacing w:line="276" w:lineRule="auto"/>
        <w:ind w:firstLine="187"/>
        <w:rPr>
          <w:lang w:val="pt-BR"/>
        </w:rPr>
      </w:pPr>
      <w:r w:rsidRPr="00E546EC">
        <w:rPr>
          <w:lang w:val="pt-BR"/>
        </w:rPr>
        <w:t xml:space="preserve">Os resultados </w:t>
      </w:r>
      <w:r>
        <w:rPr>
          <w:lang w:val="pt-BR"/>
        </w:rPr>
        <w:t>das</w:t>
      </w:r>
      <w:r w:rsidRPr="00E546EC">
        <w:rPr>
          <w:lang w:val="pt-BR"/>
        </w:rPr>
        <w:t xml:space="preserve"> seletividades à H</w:t>
      </w:r>
      <w:r w:rsidRPr="003E10ED">
        <w:rPr>
          <w:vertAlign w:val="subscript"/>
          <w:lang w:val="pt-BR"/>
        </w:rPr>
        <w:t>2</w:t>
      </w:r>
      <w:r w:rsidRPr="00E546EC">
        <w:rPr>
          <w:lang w:val="pt-BR"/>
        </w:rPr>
        <w:t xml:space="preserve"> e CO</w:t>
      </w:r>
      <w:r>
        <w:rPr>
          <w:lang w:val="pt-BR"/>
        </w:rPr>
        <w:t xml:space="preserve"> das amostras testadas, não seguem um padrão</w:t>
      </w:r>
      <w:r w:rsidR="00A254B5">
        <w:rPr>
          <w:lang w:val="pt-BR"/>
        </w:rPr>
        <w:t xml:space="preserve"> n</w:t>
      </w:r>
      <w:r>
        <w:rPr>
          <w:lang w:val="pt-BR"/>
        </w:rPr>
        <w:t>os parâmetros de conversão, pois as diferentes temperaturas favorecem mais ou menos algumas das reações paralelas</w:t>
      </w:r>
      <w:r w:rsidR="00FC7184">
        <w:rPr>
          <w:lang w:val="pt-BR"/>
        </w:rPr>
        <w:t>,</w:t>
      </w:r>
      <w:r>
        <w:rPr>
          <w:lang w:val="pt-BR"/>
        </w:rPr>
        <w:t xml:space="preserve"> que consomem ou produzem estes produtos, assim o que pode ser afirmado neste caso é que o aumento da temperatura</w:t>
      </w:r>
      <w:r w:rsidRPr="00E546EC">
        <w:rPr>
          <w:lang w:val="pt-BR"/>
        </w:rPr>
        <w:t xml:space="preserve"> </w:t>
      </w:r>
      <w:r>
        <w:rPr>
          <w:lang w:val="pt-BR"/>
        </w:rPr>
        <w:t>proporciona uma maior estabilidade das curvas, tanto de H</w:t>
      </w:r>
      <w:r w:rsidRPr="003E10ED">
        <w:rPr>
          <w:vertAlign w:val="subscript"/>
          <w:lang w:val="pt-BR"/>
        </w:rPr>
        <w:t>2</w:t>
      </w:r>
      <w:r>
        <w:rPr>
          <w:lang w:val="pt-BR"/>
        </w:rPr>
        <w:t xml:space="preserve"> quanto de</w:t>
      </w:r>
      <w:r w:rsidRPr="00B15462">
        <w:rPr>
          <w:lang w:val="pt-BR"/>
        </w:rPr>
        <w:t xml:space="preserve"> </w:t>
      </w:r>
      <w:r>
        <w:rPr>
          <w:lang w:val="pt-BR"/>
        </w:rPr>
        <w:t>CO</w:t>
      </w:r>
      <w:r w:rsidRPr="00E546EC">
        <w:rPr>
          <w:lang w:val="pt-BR"/>
        </w:rPr>
        <w:t xml:space="preserve">. O </w:t>
      </w:r>
      <w:r w:rsidR="00FC7184">
        <w:rPr>
          <w:lang w:val="pt-BR"/>
        </w:rPr>
        <w:t xml:space="preserve">fato do </w:t>
      </w:r>
      <w:r w:rsidRPr="00E546EC">
        <w:rPr>
          <w:lang w:val="pt-BR"/>
        </w:rPr>
        <w:t>rendimento de H</w:t>
      </w:r>
      <w:r w:rsidRPr="003E10ED">
        <w:rPr>
          <w:vertAlign w:val="subscript"/>
          <w:lang w:val="pt-BR"/>
        </w:rPr>
        <w:t>2</w:t>
      </w:r>
      <w:r w:rsidRPr="00E546EC">
        <w:rPr>
          <w:lang w:val="pt-BR"/>
        </w:rPr>
        <w:t xml:space="preserve"> </w:t>
      </w:r>
      <w:r w:rsidR="00FC7184">
        <w:rPr>
          <w:lang w:val="pt-BR"/>
        </w:rPr>
        <w:t>ser</w:t>
      </w:r>
      <w:r w:rsidRPr="00E546EC">
        <w:rPr>
          <w:lang w:val="pt-BR"/>
        </w:rPr>
        <w:t xml:space="preserve"> maior do que o rendimento de </w:t>
      </w:r>
      <w:r w:rsidR="00C62F1D" w:rsidRPr="00E546EC">
        <w:rPr>
          <w:lang w:val="pt-BR"/>
        </w:rPr>
        <w:t>CO pode</w:t>
      </w:r>
      <w:r w:rsidRPr="00E546EC">
        <w:rPr>
          <w:lang w:val="pt-BR"/>
        </w:rPr>
        <w:t xml:space="preserve"> ser um indício da oco</w:t>
      </w:r>
      <w:r>
        <w:rPr>
          <w:lang w:val="pt-BR"/>
        </w:rPr>
        <w:t>rrência da reação de Boudouard (</w:t>
      </w:r>
      <w:r w:rsidRPr="00E546EC">
        <w:rPr>
          <w:lang w:val="pt-BR"/>
        </w:rPr>
        <w:t>11</w:t>
      </w:r>
      <w:r>
        <w:rPr>
          <w:lang w:val="pt-BR"/>
        </w:rPr>
        <w:t>)</w:t>
      </w:r>
      <w:r w:rsidRPr="00E546EC">
        <w:rPr>
          <w:lang w:val="pt-BR"/>
        </w:rPr>
        <w:t>. Temperaturas mais altas desfavorecem a reação paralela de desproporcionamento de CO, umas das responsáveis pela formação de carbono residual, aumentando de forma razoáve</w:t>
      </w:r>
      <w:r>
        <w:rPr>
          <w:lang w:val="pt-BR"/>
        </w:rPr>
        <w:t>l a quantidade de CO produzido (</w:t>
      </w:r>
      <w:r w:rsidRPr="00E546EC">
        <w:rPr>
          <w:lang w:val="pt-BR"/>
        </w:rPr>
        <w:t>14</w:t>
      </w:r>
      <w:r>
        <w:rPr>
          <w:lang w:val="pt-BR"/>
        </w:rPr>
        <w:t>)</w:t>
      </w:r>
      <w:r w:rsidRPr="00E546EC">
        <w:rPr>
          <w:lang w:val="pt-BR"/>
        </w:rPr>
        <w:t>. Este fato é comprovado pelos dados de razão H</w:t>
      </w:r>
      <w:r w:rsidRPr="003E10ED">
        <w:rPr>
          <w:vertAlign w:val="subscript"/>
          <w:lang w:val="pt-BR"/>
        </w:rPr>
        <w:t>2</w:t>
      </w:r>
      <w:r w:rsidRPr="00E546EC">
        <w:rPr>
          <w:lang w:val="pt-BR"/>
        </w:rPr>
        <w:t xml:space="preserve">/CO obtidos na </w:t>
      </w:r>
      <w:r>
        <w:rPr>
          <w:lang w:val="pt-BR"/>
        </w:rPr>
        <w:t>tabela</w:t>
      </w:r>
      <w:r w:rsidR="00506306">
        <w:rPr>
          <w:lang w:val="pt-BR"/>
        </w:rPr>
        <w:t xml:space="preserve"> 2</w:t>
      </w:r>
      <w:r w:rsidR="009D765D">
        <w:rPr>
          <w:lang w:val="pt-BR"/>
        </w:rPr>
        <w:t>, que também confirmam</w:t>
      </w:r>
      <w:r w:rsidR="00290A10">
        <w:rPr>
          <w:lang w:val="pt-BR"/>
        </w:rPr>
        <w:t xml:space="preserve"> </w:t>
      </w:r>
      <w:r w:rsidR="009D765D" w:rsidRPr="0046580A">
        <w:rPr>
          <w:lang w:val="pt-BR"/>
        </w:rPr>
        <w:t>que este é um processo intermediário entre a reforma seca e a oxidação parcial</w:t>
      </w:r>
      <w:r w:rsidR="009D765D">
        <w:rPr>
          <w:lang w:val="pt-BR"/>
        </w:rPr>
        <w:t>, já que</w:t>
      </w:r>
      <w:r w:rsidR="009D765D">
        <w:rPr>
          <w:lang w:val="pt-BR"/>
        </w:rPr>
        <w:t xml:space="preserve"> os valores </w:t>
      </w:r>
      <w:r w:rsidR="009D765D" w:rsidRPr="006F4F02">
        <w:rPr>
          <w:lang w:val="pt-BR"/>
        </w:rPr>
        <w:t>estão entre 2 e 1</w:t>
      </w:r>
      <w:r w:rsidRPr="00E546EC">
        <w:rPr>
          <w:lang w:val="pt-BR"/>
        </w:rPr>
        <w:t xml:space="preserve"> </w:t>
      </w:r>
      <w:r>
        <w:rPr>
          <w:lang w:val="pt-BR"/>
        </w:rPr>
        <w:t>(</w:t>
      </w:r>
      <w:r w:rsidRPr="00E546EC">
        <w:rPr>
          <w:lang w:val="pt-BR"/>
        </w:rPr>
        <w:t>12</w:t>
      </w:r>
      <w:r>
        <w:rPr>
          <w:lang w:val="pt-BR"/>
        </w:rPr>
        <w:t>)</w:t>
      </w:r>
      <w:r w:rsidRPr="00E546EC">
        <w:rPr>
          <w:lang w:val="pt-BR"/>
        </w:rPr>
        <w:t>.</w:t>
      </w:r>
    </w:p>
    <w:p w14:paraId="42C9E1FA" w14:textId="77777777" w:rsidR="00A254B5" w:rsidRDefault="00A254B5" w:rsidP="00B15462">
      <w:pPr>
        <w:pStyle w:val="TAMainText"/>
        <w:spacing w:line="276" w:lineRule="auto"/>
        <w:ind w:firstLine="187"/>
        <w:rPr>
          <w:lang w:val="pt-BR"/>
        </w:rPr>
      </w:pPr>
    </w:p>
    <w:p w14:paraId="7DF15983" w14:textId="6784BECB" w:rsidR="00A254B5" w:rsidRDefault="00A254B5" w:rsidP="00A254B5">
      <w:pPr>
        <w:pStyle w:val="VDTableTitle"/>
        <w:spacing w:after="120" w:line="276" w:lineRule="auto"/>
        <w:jc w:val="center"/>
        <w:rPr>
          <w:lang w:val="pt-BR"/>
        </w:rPr>
      </w:pPr>
      <w:r>
        <w:rPr>
          <w:b/>
          <w:lang w:val="pt-BR"/>
        </w:rPr>
        <w:t xml:space="preserve">Tabela </w:t>
      </w:r>
      <w:r w:rsidR="00506306">
        <w:rPr>
          <w:b/>
          <w:lang w:val="pt-BR"/>
        </w:rPr>
        <w:t>2</w:t>
      </w:r>
      <w:r w:rsidRPr="00BB64D4">
        <w:rPr>
          <w:b/>
          <w:lang w:val="pt-BR"/>
        </w:rPr>
        <w:t>.</w:t>
      </w:r>
      <w:r>
        <w:rPr>
          <w:b/>
          <w:lang w:val="pt-BR"/>
        </w:rPr>
        <w:t xml:space="preserve"> </w:t>
      </w:r>
      <w:r>
        <w:rPr>
          <w:lang w:val="pt-BR"/>
        </w:rPr>
        <w:t>Razão H</w:t>
      </w:r>
      <w:r w:rsidRPr="004D329D">
        <w:rPr>
          <w:vertAlign w:val="subscript"/>
          <w:lang w:val="pt-BR"/>
        </w:rPr>
        <w:t>2</w:t>
      </w:r>
      <w:r>
        <w:rPr>
          <w:lang w:val="pt-BR"/>
        </w:rPr>
        <w:t>/CO obtido nos testes de 20h</w:t>
      </w:r>
      <w:r w:rsidRPr="000E0E20">
        <w:rPr>
          <w:lang w:val="pt-BR"/>
        </w:rPr>
        <w:t xml:space="preserve"> das amostras</w:t>
      </w:r>
    </w:p>
    <w:tbl>
      <w:tblPr>
        <w:tblStyle w:val="SombreamentoClaro-nfase3"/>
        <w:tblW w:w="3766" w:type="dxa"/>
        <w:jc w:val="center"/>
        <w:tblLook w:val="04A0" w:firstRow="1" w:lastRow="0" w:firstColumn="1" w:lastColumn="0" w:noHBand="0" w:noVBand="1"/>
      </w:tblPr>
      <w:tblGrid>
        <w:gridCol w:w="741"/>
        <w:gridCol w:w="1269"/>
        <w:gridCol w:w="1756"/>
      </w:tblGrid>
      <w:tr w:rsidR="00B15462" w:rsidRPr="00C57E83" w14:paraId="26A08B1C" w14:textId="77777777" w:rsidTr="00B154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6" w:type="dxa"/>
            <w:gridSpan w:val="3"/>
            <w:noWrap/>
            <w:vAlign w:val="center"/>
            <w:hideMark/>
          </w:tcPr>
          <w:p w14:paraId="4C81B243" w14:textId="77777777" w:rsidR="00B15462" w:rsidRPr="00C57E83" w:rsidRDefault="00B15462" w:rsidP="00510C26">
            <w:pPr>
              <w:jc w:val="center"/>
              <w:rPr>
                <w:rFonts w:ascii="Times" w:eastAsia="Times New Roman" w:hAnsi="Times" w:cs="Times New Roman"/>
                <w:color w:val="auto"/>
                <w:sz w:val="20"/>
                <w:szCs w:val="20"/>
                <w:lang w:eastAsia="pt-BR"/>
              </w:rPr>
            </w:pPr>
            <w:r w:rsidRPr="00C57E83">
              <w:rPr>
                <w:rFonts w:ascii="Times" w:eastAsia="Times New Roman" w:hAnsi="Times" w:cs="Times New Roman"/>
                <w:color w:val="auto"/>
                <w:sz w:val="20"/>
                <w:szCs w:val="20"/>
                <w:lang w:eastAsia="pt-BR"/>
              </w:rPr>
              <w:t>Razão H</w:t>
            </w:r>
            <w:r w:rsidRPr="00C57E83">
              <w:rPr>
                <w:rFonts w:ascii="Times" w:eastAsia="Times New Roman" w:hAnsi="Times" w:cs="Times New Roman"/>
                <w:color w:val="auto"/>
                <w:sz w:val="20"/>
                <w:szCs w:val="20"/>
                <w:vertAlign w:val="subscript"/>
                <w:lang w:eastAsia="pt-BR"/>
              </w:rPr>
              <w:t>2</w:t>
            </w:r>
            <w:r w:rsidRPr="00C57E83">
              <w:rPr>
                <w:rFonts w:ascii="Times" w:eastAsia="Times New Roman" w:hAnsi="Times" w:cs="Times New Roman"/>
                <w:color w:val="auto"/>
                <w:sz w:val="20"/>
                <w:szCs w:val="20"/>
                <w:lang w:eastAsia="pt-BR"/>
              </w:rPr>
              <w:t>/CO</w:t>
            </w:r>
          </w:p>
        </w:tc>
      </w:tr>
      <w:tr w:rsidR="00B15462" w:rsidRPr="00C57E83" w14:paraId="03E72F7A" w14:textId="77777777" w:rsidTr="00B15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6" w:type="dxa"/>
            <w:gridSpan w:val="3"/>
            <w:noWrap/>
            <w:vAlign w:val="center"/>
            <w:hideMark/>
          </w:tcPr>
          <w:p w14:paraId="780571AF" w14:textId="77777777" w:rsidR="00B15462" w:rsidRPr="00C57E83" w:rsidRDefault="00B15462" w:rsidP="00510C26">
            <w:pPr>
              <w:jc w:val="center"/>
              <w:rPr>
                <w:rFonts w:ascii="Times" w:eastAsia="Times New Roman" w:hAnsi="Times" w:cs="Times New Roman"/>
                <w:color w:val="auto"/>
                <w:sz w:val="20"/>
                <w:szCs w:val="20"/>
                <w:lang w:eastAsia="pt-BR"/>
              </w:rPr>
            </w:pPr>
            <w:r w:rsidRPr="00C57E83">
              <w:rPr>
                <w:rFonts w:ascii="Times" w:eastAsia="Times New Roman" w:hAnsi="Times" w:cs="Times New Roman"/>
                <w:color w:val="auto"/>
                <w:sz w:val="20"/>
                <w:szCs w:val="20"/>
                <w:lang w:eastAsia="pt-BR"/>
              </w:rPr>
              <w:t>Branco (800°C): 0,84 - 0,96</w:t>
            </w:r>
          </w:p>
        </w:tc>
      </w:tr>
      <w:tr w:rsidR="00B15462" w:rsidRPr="00C57E83" w14:paraId="34998468" w14:textId="77777777" w:rsidTr="00B15462">
        <w:trPr>
          <w:trHeight w:val="1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noWrap/>
            <w:vAlign w:val="center"/>
            <w:hideMark/>
          </w:tcPr>
          <w:p w14:paraId="57151A2F" w14:textId="77777777" w:rsidR="00B15462" w:rsidRPr="00C57E83" w:rsidRDefault="00B15462" w:rsidP="00510C26">
            <w:pPr>
              <w:jc w:val="center"/>
              <w:rPr>
                <w:rFonts w:ascii="Times" w:eastAsia="Times New Roman" w:hAnsi="Times" w:cs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noWrap/>
            <w:vAlign w:val="center"/>
            <w:hideMark/>
          </w:tcPr>
          <w:p w14:paraId="5F9A661F" w14:textId="77777777" w:rsidR="00B15462" w:rsidRPr="00C57E83" w:rsidRDefault="00B15462" w:rsidP="00510C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auto"/>
                <w:sz w:val="20"/>
                <w:szCs w:val="20"/>
                <w:lang w:eastAsia="pt-BR"/>
              </w:rPr>
            </w:pPr>
            <w:r w:rsidRPr="00C57E83">
              <w:rPr>
                <w:rFonts w:ascii="Times" w:eastAsia="Times New Roman" w:hAnsi="Times" w:cs="Times New Roman"/>
                <w:color w:val="auto"/>
                <w:sz w:val="20"/>
                <w:szCs w:val="20"/>
                <w:lang w:eastAsia="pt-BR"/>
              </w:rPr>
              <w:t>LaNiO</w:t>
            </w:r>
            <w:r w:rsidRPr="00C57E83">
              <w:rPr>
                <w:rFonts w:ascii="Times" w:eastAsia="Times New Roman" w:hAnsi="Times" w:cs="Times New Roman"/>
                <w:color w:val="auto"/>
                <w:sz w:val="20"/>
                <w:szCs w:val="20"/>
                <w:vertAlign w:val="subscript"/>
                <w:lang w:eastAsia="pt-BR"/>
              </w:rPr>
              <w:t>3</w:t>
            </w:r>
          </w:p>
        </w:tc>
        <w:tc>
          <w:tcPr>
            <w:tcW w:w="1756" w:type="dxa"/>
            <w:noWrap/>
            <w:vAlign w:val="center"/>
            <w:hideMark/>
          </w:tcPr>
          <w:p w14:paraId="414CA66D" w14:textId="77777777" w:rsidR="00B15462" w:rsidRPr="00C57E83" w:rsidRDefault="00B15462" w:rsidP="00510C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auto"/>
                <w:sz w:val="20"/>
                <w:szCs w:val="20"/>
                <w:lang w:eastAsia="pt-BR"/>
              </w:rPr>
            </w:pPr>
            <w:r w:rsidRPr="00C57E83">
              <w:rPr>
                <w:rFonts w:ascii="Times" w:eastAsia="Times New Roman" w:hAnsi="Times" w:cs="Times New Roman"/>
                <w:color w:val="auto"/>
                <w:sz w:val="20"/>
                <w:szCs w:val="20"/>
                <w:lang w:eastAsia="pt-BR"/>
              </w:rPr>
              <w:t>La</w:t>
            </w:r>
            <w:r w:rsidRPr="00C57E83">
              <w:rPr>
                <w:rFonts w:ascii="Times" w:eastAsia="Times New Roman" w:hAnsi="Times" w:cs="Times New Roman"/>
                <w:color w:val="auto"/>
                <w:sz w:val="20"/>
                <w:szCs w:val="20"/>
                <w:vertAlign w:val="subscript"/>
                <w:lang w:eastAsia="pt-BR"/>
              </w:rPr>
              <w:t>0,7</w:t>
            </w:r>
            <w:r w:rsidRPr="00C57E83">
              <w:rPr>
                <w:rFonts w:ascii="Times" w:eastAsia="Times New Roman" w:hAnsi="Times" w:cs="Times New Roman"/>
                <w:color w:val="auto"/>
                <w:sz w:val="20"/>
                <w:szCs w:val="20"/>
                <w:lang w:eastAsia="pt-BR"/>
              </w:rPr>
              <w:t>Ce</w:t>
            </w:r>
            <w:r w:rsidRPr="00C57E83">
              <w:rPr>
                <w:rFonts w:ascii="Times" w:eastAsia="Times New Roman" w:hAnsi="Times" w:cs="Times New Roman"/>
                <w:color w:val="auto"/>
                <w:sz w:val="20"/>
                <w:szCs w:val="20"/>
                <w:vertAlign w:val="subscript"/>
                <w:lang w:eastAsia="pt-BR"/>
              </w:rPr>
              <w:t>0,3</w:t>
            </w:r>
            <w:r w:rsidRPr="00C57E83">
              <w:rPr>
                <w:rFonts w:ascii="Times" w:eastAsia="Times New Roman" w:hAnsi="Times" w:cs="Times New Roman"/>
                <w:color w:val="auto"/>
                <w:sz w:val="20"/>
                <w:szCs w:val="20"/>
                <w:lang w:eastAsia="pt-BR"/>
              </w:rPr>
              <w:t>NiO</w:t>
            </w:r>
            <w:r w:rsidRPr="00C57E83">
              <w:rPr>
                <w:rFonts w:ascii="Times" w:eastAsia="Times New Roman" w:hAnsi="Times" w:cs="Times New Roman"/>
                <w:color w:val="auto"/>
                <w:sz w:val="20"/>
                <w:szCs w:val="20"/>
                <w:vertAlign w:val="subscript"/>
                <w:lang w:eastAsia="pt-BR"/>
              </w:rPr>
              <w:t>3</w:t>
            </w:r>
          </w:p>
        </w:tc>
      </w:tr>
      <w:tr w:rsidR="00B15462" w:rsidRPr="00C57E83" w14:paraId="218A0FEB" w14:textId="77777777" w:rsidTr="00B15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noWrap/>
            <w:vAlign w:val="center"/>
            <w:hideMark/>
          </w:tcPr>
          <w:p w14:paraId="00795756" w14:textId="77777777" w:rsidR="00B15462" w:rsidRPr="00C57E83" w:rsidRDefault="00B15462" w:rsidP="00510C26">
            <w:pPr>
              <w:jc w:val="center"/>
              <w:rPr>
                <w:rFonts w:ascii="Times" w:eastAsia="Times New Roman" w:hAnsi="Times" w:cs="Times New Roman"/>
                <w:color w:val="auto"/>
                <w:sz w:val="20"/>
                <w:szCs w:val="20"/>
                <w:lang w:eastAsia="pt-BR"/>
              </w:rPr>
            </w:pPr>
            <w:r w:rsidRPr="00C57E83">
              <w:rPr>
                <w:rFonts w:ascii="Times" w:eastAsia="Times New Roman" w:hAnsi="Times" w:cs="Times New Roman"/>
                <w:color w:val="auto"/>
                <w:sz w:val="20"/>
                <w:szCs w:val="20"/>
                <w:lang w:eastAsia="pt-BR"/>
              </w:rPr>
              <w:t>600°C</w:t>
            </w:r>
          </w:p>
        </w:tc>
        <w:tc>
          <w:tcPr>
            <w:tcW w:w="1269" w:type="dxa"/>
            <w:noWrap/>
            <w:vAlign w:val="center"/>
            <w:hideMark/>
          </w:tcPr>
          <w:p w14:paraId="4A1831A5" w14:textId="77777777" w:rsidR="00B15462" w:rsidRPr="00E2559D" w:rsidRDefault="00B15462" w:rsidP="00510C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auto"/>
                <w:sz w:val="18"/>
                <w:szCs w:val="20"/>
                <w:lang w:eastAsia="pt-BR"/>
              </w:rPr>
            </w:pPr>
            <w:r w:rsidRPr="00E2559D">
              <w:rPr>
                <w:rFonts w:ascii="Times" w:eastAsia="Times New Roman" w:hAnsi="Times" w:cs="Times New Roman"/>
                <w:color w:val="auto"/>
                <w:sz w:val="18"/>
                <w:szCs w:val="20"/>
                <w:lang w:eastAsia="pt-BR"/>
              </w:rPr>
              <w:t>1,47 - 1,54</w:t>
            </w:r>
          </w:p>
        </w:tc>
        <w:tc>
          <w:tcPr>
            <w:tcW w:w="1756" w:type="dxa"/>
            <w:noWrap/>
            <w:vAlign w:val="center"/>
            <w:hideMark/>
          </w:tcPr>
          <w:p w14:paraId="1D3551A6" w14:textId="77777777" w:rsidR="00B15462" w:rsidRPr="00E2559D" w:rsidRDefault="00B15462" w:rsidP="00510C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auto"/>
                <w:sz w:val="18"/>
                <w:szCs w:val="20"/>
                <w:lang w:eastAsia="pt-BR"/>
              </w:rPr>
            </w:pPr>
            <w:r w:rsidRPr="00E2559D">
              <w:rPr>
                <w:rFonts w:ascii="Times" w:eastAsia="Times New Roman" w:hAnsi="Times" w:cs="Times New Roman"/>
                <w:color w:val="auto"/>
                <w:sz w:val="18"/>
                <w:szCs w:val="20"/>
                <w:lang w:eastAsia="pt-BR"/>
              </w:rPr>
              <w:t>1,36 - 1,55</w:t>
            </w:r>
          </w:p>
        </w:tc>
      </w:tr>
      <w:tr w:rsidR="00B15462" w:rsidRPr="00C57E83" w14:paraId="00395A85" w14:textId="77777777" w:rsidTr="00B15462">
        <w:trPr>
          <w:trHeight w:val="2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noWrap/>
            <w:vAlign w:val="center"/>
            <w:hideMark/>
          </w:tcPr>
          <w:p w14:paraId="48917034" w14:textId="77777777" w:rsidR="00B15462" w:rsidRPr="00C57E83" w:rsidRDefault="00B15462" w:rsidP="00510C26">
            <w:pPr>
              <w:jc w:val="center"/>
              <w:rPr>
                <w:rFonts w:ascii="Times" w:eastAsia="Times New Roman" w:hAnsi="Times" w:cs="Times New Roman"/>
                <w:color w:val="auto"/>
                <w:sz w:val="20"/>
                <w:szCs w:val="20"/>
                <w:lang w:eastAsia="pt-BR"/>
              </w:rPr>
            </w:pPr>
            <w:r w:rsidRPr="00C57E83">
              <w:rPr>
                <w:rFonts w:ascii="Times" w:eastAsia="Times New Roman" w:hAnsi="Times" w:cs="Times New Roman"/>
                <w:color w:val="auto"/>
                <w:sz w:val="20"/>
                <w:szCs w:val="20"/>
                <w:lang w:eastAsia="pt-BR"/>
              </w:rPr>
              <w:t>700°C</w:t>
            </w:r>
          </w:p>
        </w:tc>
        <w:tc>
          <w:tcPr>
            <w:tcW w:w="1269" w:type="dxa"/>
            <w:noWrap/>
            <w:vAlign w:val="center"/>
            <w:hideMark/>
          </w:tcPr>
          <w:p w14:paraId="0E8A5FD3" w14:textId="77777777" w:rsidR="00B15462" w:rsidRPr="00E2559D" w:rsidRDefault="00B15462" w:rsidP="00510C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auto"/>
                <w:sz w:val="18"/>
                <w:szCs w:val="20"/>
                <w:lang w:eastAsia="pt-BR"/>
              </w:rPr>
            </w:pPr>
            <w:r w:rsidRPr="00E2559D">
              <w:rPr>
                <w:rFonts w:ascii="Times" w:eastAsia="Times New Roman" w:hAnsi="Times" w:cs="Times New Roman"/>
                <w:color w:val="auto"/>
                <w:sz w:val="18"/>
                <w:szCs w:val="20"/>
                <w:lang w:eastAsia="pt-BR"/>
              </w:rPr>
              <w:t>1,31 - 1,48</w:t>
            </w:r>
          </w:p>
        </w:tc>
        <w:tc>
          <w:tcPr>
            <w:tcW w:w="1756" w:type="dxa"/>
            <w:noWrap/>
            <w:vAlign w:val="center"/>
            <w:hideMark/>
          </w:tcPr>
          <w:p w14:paraId="6D8AC876" w14:textId="77777777" w:rsidR="00B15462" w:rsidRPr="00E2559D" w:rsidRDefault="00B15462" w:rsidP="00510C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auto"/>
                <w:sz w:val="18"/>
                <w:szCs w:val="20"/>
                <w:lang w:eastAsia="pt-BR"/>
              </w:rPr>
            </w:pPr>
            <w:r w:rsidRPr="00E2559D">
              <w:rPr>
                <w:rFonts w:ascii="Times" w:eastAsia="Times New Roman" w:hAnsi="Times" w:cs="Times New Roman"/>
                <w:color w:val="auto"/>
                <w:sz w:val="18"/>
                <w:szCs w:val="20"/>
                <w:lang w:eastAsia="pt-BR"/>
              </w:rPr>
              <w:t>1,21 - 1,45</w:t>
            </w:r>
          </w:p>
        </w:tc>
      </w:tr>
      <w:tr w:rsidR="00B15462" w:rsidRPr="00C57E83" w14:paraId="32C78CD1" w14:textId="77777777" w:rsidTr="00B15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noWrap/>
            <w:vAlign w:val="center"/>
            <w:hideMark/>
          </w:tcPr>
          <w:p w14:paraId="33525957" w14:textId="77777777" w:rsidR="00B15462" w:rsidRPr="00C57E83" w:rsidRDefault="00B15462" w:rsidP="00510C26">
            <w:pPr>
              <w:jc w:val="center"/>
              <w:rPr>
                <w:rFonts w:ascii="Times" w:eastAsia="Times New Roman" w:hAnsi="Times" w:cs="Times New Roman"/>
                <w:color w:val="auto"/>
                <w:sz w:val="20"/>
                <w:szCs w:val="20"/>
                <w:lang w:eastAsia="pt-BR"/>
              </w:rPr>
            </w:pPr>
            <w:r w:rsidRPr="00C57E83">
              <w:rPr>
                <w:rFonts w:ascii="Times" w:eastAsia="Times New Roman" w:hAnsi="Times" w:cs="Times New Roman"/>
                <w:color w:val="auto"/>
                <w:sz w:val="20"/>
                <w:szCs w:val="20"/>
                <w:lang w:eastAsia="pt-BR"/>
              </w:rPr>
              <w:t>800°C</w:t>
            </w:r>
          </w:p>
        </w:tc>
        <w:tc>
          <w:tcPr>
            <w:tcW w:w="1269" w:type="dxa"/>
            <w:noWrap/>
            <w:vAlign w:val="center"/>
            <w:hideMark/>
          </w:tcPr>
          <w:p w14:paraId="793A1AD9" w14:textId="77777777" w:rsidR="00B15462" w:rsidRPr="00E2559D" w:rsidRDefault="00B15462" w:rsidP="00510C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auto"/>
                <w:sz w:val="18"/>
                <w:szCs w:val="20"/>
                <w:lang w:eastAsia="pt-BR"/>
              </w:rPr>
            </w:pPr>
            <w:r w:rsidRPr="00E2559D">
              <w:rPr>
                <w:rFonts w:ascii="Times" w:eastAsia="Times New Roman" w:hAnsi="Times" w:cs="Times New Roman"/>
                <w:color w:val="auto"/>
                <w:sz w:val="18"/>
                <w:szCs w:val="20"/>
                <w:lang w:eastAsia="pt-BR"/>
              </w:rPr>
              <w:t>1,36 - 1,47</w:t>
            </w:r>
          </w:p>
        </w:tc>
        <w:tc>
          <w:tcPr>
            <w:tcW w:w="1756" w:type="dxa"/>
            <w:noWrap/>
            <w:vAlign w:val="center"/>
            <w:hideMark/>
          </w:tcPr>
          <w:p w14:paraId="4524E08E" w14:textId="77777777" w:rsidR="00B15462" w:rsidRPr="00E2559D" w:rsidRDefault="00B15462" w:rsidP="00510C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auto"/>
                <w:sz w:val="18"/>
                <w:szCs w:val="20"/>
                <w:lang w:eastAsia="pt-BR"/>
              </w:rPr>
            </w:pPr>
            <w:r w:rsidRPr="00E2559D">
              <w:rPr>
                <w:rFonts w:ascii="Times" w:eastAsia="Times New Roman" w:hAnsi="Times" w:cs="Times New Roman"/>
                <w:color w:val="auto"/>
                <w:sz w:val="18"/>
                <w:szCs w:val="20"/>
                <w:lang w:eastAsia="pt-BR"/>
              </w:rPr>
              <w:t>1,37 - 1,50</w:t>
            </w:r>
          </w:p>
        </w:tc>
      </w:tr>
    </w:tbl>
    <w:p w14:paraId="5D53403C" w14:textId="4092BAD5" w:rsidR="00EA3B4C" w:rsidRPr="00D165D4" w:rsidRDefault="00EA3B4C" w:rsidP="00EA3B4C">
      <w:pPr>
        <w:pStyle w:val="TAMainText"/>
        <w:spacing w:line="276" w:lineRule="auto"/>
        <w:ind w:firstLine="187"/>
        <w:rPr>
          <w:lang w:val="pt-BR"/>
        </w:rPr>
      </w:pPr>
      <w:r w:rsidRPr="00E546EC">
        <w:rPr>
          <w:lang w:val="pt-BR"/>
        </w:rPr>
        <w:lastRenderedPageBreak/>
        <w:t>É possível observar pelo</w:t>
      </w:r>
      <w:r>
        <w:rPr>
          <w:lang w:val="pt-BR"/>
        </w:rPr>
        <w:t>s perfis</w:t>
      </w:r>
      <w:r w:rsidRPr="00E546EC">
        <w:rPr>
          <w:lang w:val="pt-BR"/>
        </w:rPr>
        <w:t xml:space="preserve"> de TPO pós teste catalítico (Figura </w:t>
      </w:r>
      <w:r>
        <w:rPr>
          <w:lang w:val="pt-BR"/>
        </w:rPr>
        <w:t>9</w:t>
      </w:r>
      <w:r>
        <w:rPr>
          <w:lang w:val="pt-BR"/>
        </w:rPr>
        <w:t xml:space="preserve"> e </w:t>
      </w:r>
      <w:r>
        <w:rPr>
          <w:lang w:val="pt-BR"/>
        </w:rPr>
        <w:t>10</w:t>
      </w:r>
      <w:r w:rsidRPr="00E546EC">
        <w:rPr>
          <w:lang w:val="pt-BR"/>
        </w:rPr>
        <w:t xml:space="preserve">) </w:t>
      </w:r>
      <w:r>
        <w:rPr>
          <w:lang w:val="pt-BR"/>
        </w:rPr>
        <w:t xml:space="preserve">apresentados, que são possíveis o aparecimento de </w:t>
      </w:r>
      <w:r w:rsidRPr="00E546EC">
        <w:rPr>
          <w:lang w:val="pt-BR"/>
        </w:rPr>
        <w:t>três picos de CO</w:t>
      </w:r>
      <w:r w:rsidRPr="003E10C5">
        <w:rPr>
          <w:vertAlign w:val="subscript"/>
          <w:lang w:val="pt-BR"/>
        </w:rPr>
        <w:t>2</w:t>
      </w:r>
      <w:r w:rsidRPr="00E546EC">
        <w:rPr>
          <w:lang w:val="pt-BR"/>
        </w:rPr>
        <w:t xml:space="preserve">, referentes a três tipos diferentes de carbono. O primeiro pico é referente à formação de carbono amorfo, o segundo pico está </w:t>
      </w:r>
      <w:r w:rsidR="006114D0" w:rsidRPr="00E546EC">
        <w:rPr>
          <w:lang w:val="pt-BR"/>
        </w:rPr>
        <w:t>relacionado</w:t>
      </w:r>
      <w:r w:rsidRPr="00E546EC">
        <w:rPr>
          <w:lang w:val="pt-BR"/>
        </w:rPr>
        <w:t xml:space="preserve"> à presença de filamentos de carbono, e o terceiro pico a temperaturas mais altas é referente ao carbono grafite. No entanto, quando a reação é processada a temperatura de 800°C,</w:t>
      </w:r>
      <w:r>
        <w:rPr>
          <w:lang w:val="pt-BR"/>
        </w:rPr>
        <w:t xml:space="preserve"> tanto para a LaNiO</w:t>
      </w:r>
      <w:r w:rsidRPr="003E10C5">
        <w:rPr>
          <w:vertAlign w:val="subscript"/>
          <w:lang w:val="pt-BR"/>
        </w:rPr>
        <w:t>3</w:t>
      </w:r>
      <w:r>
        <w:rPr>
          <w:lang w:val="pt-BR"/>
        </w:rPr>
        <w:t xml:space="preserve"> quanto para a </w:t>
      </w:r>
      <w:r w:rsidRPr="003E10ED">
        <w:rPr>
          <w:lang w:val="pt-BR"/>
        </w:rPr>
        <w:t>La</w:t>
      </w:r>
      <w:r w:rsidRPr="003E10ED">
        <w:rPr>
          <w:vertAlign w:val="subscript"/>
          <w:lang w:val="pt-BR"/>
        </w:rPr>
        <w:t>0,7</w:t>
      </w:r>
      <w:r w:rsidRPr="003E10ED">
        <w:rPr>
          <w:lang w:val="pt-BR"/>
        </w:rPr>
        <w:t>Ce</w:t>
      </w:r>
      <w:r w:rsidRPr="003E10ED">
        <w:rPr>
          <w:vertAlign w:val="subscript"/>
          <w:lang w:val="pt-BR"/>
        </w:rPr>
        <w:t>0,3</w:t>
      </w:r>
      <w:r w:rsidRPr="003E10ED">
        <w:rPr>
          <w:lang w:val="pt-BR"/>
        </w:rPr>
        <w:t>NiO</w:t>
      </w:r>
      <w:r w:rsidRPr="003E10ED">
        <w:rPr>
          <w:vertAlign w:val="subscript"/>
          <w:lang w:val="pt-BR"/>
        </w:rPr>
        <w:t>3</w:t>
      </w:r>
      <w:r w:rsidRPr="00120BD6">
        <w:rPr>
          <w:sz w:val="18"/>
          <w:lang w:val="pt-BR"/>
        </w:rPr>
        <w:t>,</w:t>
      </w:r>
      <w:r w:rsidRPr="00E546EC">
        <w:rPr>
          <w:lang w:val="pt-BR"/>
        </w:rPr>
        <w:t xml:space="preserve"> existe apenas um único ombro, entre 370-590°C, englobando </w:t>
      </w:r>
      <w:r>
        <w:rPr>
          <w:lang w:val="pt-BR"/>
        </w:rPr>
        <w:t xml:space="preserve">um único tipo </w:t>
      </w:r>
      <w:r w:rsidR="006114D0">
        <w:rPr>
          <w:lang w:val="pt-BR"/>
        </w:rPr>
        <w:t>de o</w:t>
      </w:r>
      <w:r w:rsidRPr="00E546EC">
        <w:rPr>
          <w:lang w:val="pt-BR"/>
        </w:rPr>
        <w:t xml:space="preserve"> carbono amorfo e</w:t>
      </w:r>
      <w:r>
        <w:rPr>
          <w:lang w:val="pt-BR"/>
        </w:rPr>
        <w:t xml:space="preserve"> possivelmente</w:t>
      </w:r>
      <w:r w:rsidRPr="00E546EC">
        <w:rPr>
          <w:lang w:val="pt-BR"/>
        </w:rPr>
        <w:t xml:space="preserve"> filamentos de carbono, comprovando que menos coque é formado a esta temperatura quando comparado com a</w:t>
      </w:r>
      <w:r>
        <w:rPr>
          <w:lang w:val="pt-BR"/>
        </w:rPr>
        <w:t>s outras temperaturas testadas (</w:t>
      </w:r>
      <w:r w:rsidRPr="00E546EC">
        <w:rPr>
          <w:lang w:val="pt-BR"/>
        </w:rPr>
        <w:t>11</w:t>
      </w:r>
      <w:r>
        <w:rPr>
          <w:lang w:val="pt-BR"/>
        </w:rPr>
        <w:t xml:space="preserve">). Além disso, percebe-se que uma menor quantidade de coque foi formada para a amostra de </w:t>
      </w:r>
      <w:r w:rsidRPr="003E10ED">
        <w:rPr>
          <w:lang w:val="pt-BR"/>
        </w:rPr>
        <w:t>La</w:t>
      </w:r>
      <w:r w:rsidRPr="003E10ED">
        <w:rPr>
          <w:vertAlign w:val="subscript"/>
          <w:lang w:val="pt-BR"/>
        </w:rPr>
        <w:t>0,7</w:t>
      </w:r>
      <w:r w:rsidRPr="003E10ED">
        <w:rPr>
          <w:lang w:val="pt-BR"/>
        </w:rPr>
        <w:t>Ce</w:t>
      </w:r>
      <w:r w:rsidRPr="003E10ED">
        <w:rPr>
          <w:vertAlign w:val="subscript"/>
          <w:lang w:val="pt-BR"/>
        </w:rPr>
        <w:t>0,3</w:t>
      </w:r>
      <w:r w:rsidRPr="003E10ED">
        <w:rPr>
          <w:lang w:val="pt-BR"/>
        </w:rPr>
        <w:t>NiO</w:t>
      </w:r>
      <w:r w:rsidRPr="003E10ED">
        <w:rPr>
          <w:vertAlign w:val="subscript"/>
          <w:lang w:val="pt-BR"/>
        </w:rPr>
        <w:t>3</w:t>
      </w:r>
      <w:r>
        <w:rPr>
          <w:sz w:val="18"/>
          <w:lang w:val="pt-BR"/>
        </w:rPr>
        <w:t xml:space="preserve">, </w:t>
      </w:r>
      <w:r w:rsidRPr="00264E3A">
        <w:rPr>
          <w:lang w:val="pt-BR"/>
        </w:rPr>
        <w:t xml:space="preserve">sendo </w:t>
      </w:r>
      <w:r w:rsidRPr="00EA5D83">
        <w:rPr>
          <w:lang w:val="pt-BR"/>
        </w:rPr>
        <w:t>este fato explicado pela</w:t>
      </w:r>
      <w:r w:rsidRPr="00D165D4">
        <w:rPr>
          <w:lang w:val="pt-BR"/>
        </w:rPr>
        <w:t xml:space="preserve"> presença d</w:t>
      </w:r>
      <w:r>
        <w:rPr>
          <w:lang w:val="pt-BR"/>
        </w:rPr>
        <w:t>as</w:t>
      </w:r>
      <w:r w:rsidRPr="00D165D4">
        <w:rPr>
          <w:lang w:val="pt-BR"/>
        </w:rPr>
        <w:t xml:space="preserve"> variações </w:t>
      </w:r>
      <w:r>
        <w:rPr>
          <w:lang w:val="pt-BR"/>
        </w:rPr>
        <w:t xml:space="preserve">de </w:t>
      </w:r>
      <w:r w:rsidRPr="00D165D4">
        <w:rPr>
          <w:lang w:val="pt-BR"/>
        </w:rPr>
        <w:t xml:space="preserve">óxido de cério </w:t>
      </w:r>
      <w:r>
        <w:rPr>
          <w:lang w:val="pt-BR"/>
        </w:rPr>
        <w:t xml:space="preserve">presentes, </w:t>
      </w:r>
      <w:r w:rsidRPr="00D165D4">
        <w:rPr>
          <w:lang w:val="pt-BR"/>
        </w:rPr>
        <w:t>como CeO</w:t>
      </w:r>
      <w:r w:rsidRPr="003E10ED">
        <w:rPr>
          <w:vertAlign w:val="subscript"/>
          <w:lang w:val="pt-BR"/>
        </w:rPr>
        <w:t>2</w:t>
      </w:r>
      <w:r w:rsidRPr="00D165D4">
        <w:rPr>
          <w:lang w:val="pt-BR"/>
        </w:rPr>
        <w:t xml:space="preserve"> e Ce</w:t>
      </w:r>
      <w:r w:rsidRPr="003E10ED">
        <w:rPr>
          <w:vertAlign w:val="subscript"/>
          <w:lang w:val="pt-BR"/>
        </w:rPr>
        <w:t>2</w:t>
      </w:r>
      <w:r w:rsidRPr="00D165D4">
        <w:rPr>
          <w:lang w:val="pt-BR"/>
        </w:rPr>
        <w:t>O</w:t>
      </w:r>
      <w:r w:rsidRPr="003E10ED">
        <w:rPr>
          <w:vertAlign w:val="subscript"/>
          <w:lang w:val="pt-BR"/>
        </w:rPr>
        <w:t>3</w:t>
      </w:r>
      <w:r>
        <w:rPr>
          <w:lang w:val="pt-BR"/>
        </w:rPr>
        <w:t>,</w:t>
      </w:r>
      <w:r w:rsidRPr="00D165D4">
        <w:rPr>
          <w:lang w:val="pt-BR"/>
        </w:rPr>
        <w:t xml:space="preserve"> atuando como armazenadores e liberadores de oxigênio</w:t>
      </w:r>
      <w:r>
        <w:rPr>
          <w:lang w:val="pt-BR"/>
        </w:rPr>
        <w:t>, e</w:t>
      </w:r>
      <w:r w:rsidRPr="00D165D4">
        <w:rPr>
          <w:lang w:val="pt-BR"/>
        </w:rPr>
        <w:t xml:space="preserve"> auxilia</w:t>
      </w:r>
      <w:r>
        <w:rPr>
          <w:lang w:val="pt-BR"/>
        </w:rPr>
        <w:t>ndo</w:t>
      </w:r>
      <w:r w:rsidRPr="00D165D4">
        <w:rPr>
          <w:lang w:val="pt-BR"/>
        </w:rPr>
        <w:t xml:space="preserve"> o sequestro de carbono da superfície do catalisador</w:t>
      </w:r>
      <w:r>
        <w:rPr>
          <w:lang w:val="pt-BR"/>
        </w:rPr>
        <w:t xml:space="preserve"> (6). </w:t>
      </w:r>
    </w:p>
    <w:p w14:paraId="11E2A159" w14:textId="1114E7D0" w:rsidR="00B15462" w:rsidRDefault="00B15462" w:rsidP="009D765D">
      <w:pPr>
        <w:spacing w:after="0"/>
        <w:jc w:val="center"/>
        <w:rPr>
          <w:lang w:eastAsia="pt-BR"/>
        </w:rPr>
      </w:pPr>
      <w:r>
        <w:rPr>
          <w:noProof/>
        </w:rPr>
        <w:drawing>
          <wp:inline distT="0" distB="0" distL="0" distR="0" wp14:anchorId="7F73385F" wp14:editId="26AF0665">
            <wp:extent cx="2373778" cy="1692000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26" b="3449"/>
                    <a:stretch/>
                  </pic:blipFill>
                  <pic:spPr bwMode="auto">
                    <a:xfrm>
                      <a:off x="0" y="0"/>
                      <a:ext cx="2373778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59CFCE" w14:textId="5890C243" w:rsidR="00B15462" w:rsidRPr="00FC3544" w:rsidRDefault="00B15462" w:rsidP="00B15462">
      <w:pPr>
        <w:pStyle w:val="TAMainText"/>
        <w:spacing w:line="276" w:lineRule="auto"/>
        <w:ind w:firstLine="187"/>
        <w:jc w:val="center"/>
        <w:rPr>
          <w:sz w:val="18"/>
          <w:vertAlign w:val="subscript"/>
          <w:lang w:val="pt-BR"/>
        </w:rPr>
      </w:pPr>
      <w:r w:rsidRPr="00FC3544">
        <w:rPr>
          <w:b/>
          <w:sz w:val="18"/>
          <w:lang w:val="pt-BR"/>
        </w:rPr>
        <w:t xml:space="preserve">Figura </w:t>
      </w:r>
      <w:r w:rsidR="000E0C8E">
        <w:rPr>
          <w:b/>
          <w:sz w:val="18"/>
          <w:lang w:val="pt-BR"/>
        </w:rPr>
        <w:t>9</w:t>
      </w:r>
      <w:r w:rsidRPr="00FC3544">
        <w:rPr>
          <w:b/>
          <w:sz w:val="18"/>
          <w:lang w:val="pt-BR"/>
        </w:rPr>
        <w:t xml:space="preserve">. </w:t>
      </w:r>
      <w:r w:rsidRPr="00FC3544">
        <w:rPr>
          <w:sz w:val="18"/>
          <w:lang w:val="pt-BR"/>
        </w:rPr>
        <w:t>Perfil de TPO pós teste catalítico da LaNiO</w:t>
      </w:r>
      <w:r w:rsidRPr="00FC3544">
        <w:rPr>
          <w:sz w:val="18"/>
          <w:vertAlign w:val="subscript"/>
          <w:lang w:val="pt-BR"/>
        </w:rPr>
        <w:t>3</w:t>
      </w:r>
    </w:p>
    <w:p w14:paraId="527FA7B2" w14:textId="77777777" w:rsidR="00EA3B4C" w:rsidRDefault="00B15462" w:rsidP="00B15462">
      <w:pPr>
        <w:pStyle w:val="TAMainText"/>
        <w:spacing w:line="276" w:lineRule="auto"/>
        <w:ind w:firstLine="187"/>
        <w:jc w:val="center"/>
        <w:rPr>
          <w:b/>
          <w:sz w:val="18"/>
          <w:lang w:val="pt-BR"/>
        </w:rPr>
      </w:pPr>
      <w:r>
        <w:rPr>
          <w:noProof/>
          <w:lang w:val="pt-BR"/>
        </w:rPr>
        <w:drawing>
          <wp:inline distT="0" distB="0" distL="0" distR="0" wp14:anchorId="6D8A37C5" wp14:editId="09C30812">
            <wp:extent cx="2364072" cy="1692000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5" b="4644"/>
                    <a:stretch/>
                  </pic:blipFill>
                  <pic:spPr bwMode="auto">
                    <a:xfrm>
                      <a:off x="0" y="0"/>
                      <a:ext cx="2364072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15462">
        <w:rPr>
          <w:b/>
          <w:sz w:val="18"/>
          <w:lang w:val="pt-BR"/>
        </w:rPr>
        <w:t xml:space="preserve"> </w:t>
      </w:r>
    </w:p>
    <w:p w14:paraId="35A51421" w14:textId="08AADA26" w:rsidR="00B15462" w:rsidRPr="00FC3544" w:rsidRDefault="00B15462" w:rsidP="00B15462">
      <w:pPr>
        <w:pStyle w:val="TAMainText"/>
        <w:spacing w:line="276" w:lineRule="auto"/>
        <w:ind w:firstLine="187"/>
        <w:jc w:val="center"/>
        <w:rPr>
          <w:sz w:val="18"/>
          <w:vertAlign w:val="subscript"/>
          <w:lang w:val="pt-BR"/>
        </w:rPr>
      </w:pPr>
      <w:r w:rsidRPr="00FC3544">
        <w:rPr>
          <w:b/>
          <w:sz w:val="18"/>
          <w:lang w:val="pt-BR"/>
        </w:rPr>
        <w:t xml:space="preserve">Figura </w:t>
      </w:r>
      <w:r w:rsidR="000E0C8E">
        <w:rPr>
          <w:b/>
          <w:sz w:val="18"/>
          <w:lang w:val="pt-BR"/>
        </w:rPr>
        <w:t>10</w:t>
      </w:r>
      <w:r w:rsidRPr="00FC3544">
        <w:rPr>
          <w:b/>
          <w:sz w:val="18"/>
          <w:lang w:val="pt-BR"/>
        </w:rPr>
        <w:t xml:space="preserve">. </w:t>
      </w:r>
      <w:r w:rsidRPr="00FC3544">
        <w:rPr>
          <w:sz w:val="18"/>
          <w:lang w:val="pt-BR"/>
        </w:rPr>
        <w:t>Perfil de TPO pós teste catalítico da La</w:t>
      </w:r>
      <w:r w:rsidRPr="00FC3544">
        <w:rPr>
          <w:sz w:val="18"/>
          <w:vertAlign w:val="subscript"/>
          <w:lang w:val="pt-BR"/>
        </w:rPr>
        <w:t>0,7</w:t>
      </w:r>
      <w:r w:rsidRPr="00FC3544">
        <w:rPr>
          <w:sz w:val="18"/>
          <w:lang w:val="pt-BR"/>
        </w:rPr>
        <w:t>Ce</w:t>
      </w:r>
      <w:r w:rsidRPr="00FC3544">
        <w:rPr>
          <w:sz w:val="18"/>
          <w:vertAlign w:val="subscript"/>
          <w:lang w:val="pt-BR"/>
        </w:rPr>
        <w:t>0,3</w:t>
      </w:r>
      <w:r w:rsidRPr="00FC3544">
        <w:rPr>
          <w:sz w:val="18"/>
          <w:lang w:val="pt-BR"/>
        </w:rPr>
        <w:t>NiO</w:t>
      </w:r>
      <w:r w:rsidRPr="00FC3544">
        <w:rPr>
          <w:sz w:val="18"/>
          <w:vertAlign w:val="subscript"/>
          <w:lang w:val="pt-BR"/>
        </w:rPr>
        <w:t>3</w:t>
      </w:r>
    </w:p>
    <w:p w14:paraId="20AA905D" w14:textId="09EB3D13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030DCECC" w14:textId="6D9ED0F6" w:rsidR="00B15462" w:rsidRPr="00BF5552" w:rsidRDefault="00411C9E" w:rsidP="00BF5552">
      <w:pPr>
        <w:spacing w:line="276" w:lineRule="auto"/>
        <w:ind w:firstLine="284"/>
        <w:jc w:val="both"/>
        <w:rPr>
          <w:rFonts w:ascii="Times" w:eastAsia="Times New Roman" w:hAnsi="Times" w:cs="Times New Roman"/>
          <w:sz w:val="20"/>
          <w:szCs w:val="20"/>
          <w:lang w:eastAsia="pt-BR"/>
        </w:rPr>
      </w:pPr>
      <w:r w:rsidRPr="00276814">
        <w:rPr>
          <w:rFonts w:ascii="Times" w:eastAsia="Times New Roman" w:hAnsi="Times" w:cs="Times New Roman"/>
          <w:sz w:val="20"/>
          <w:szCs w:val="20"/>
          <w:lang w:eastAsia="pt-BR"/>
        </w:rPr>
        <w:t xml:space="preserve">Os resultados encontrados </w:t>
      </w:r>
      <w:r w:rsidR="00A75315">
        <w:rPr>
          <w:rFonts w:ascii="Times" w:eastAsia="Times New Roman" w:hAnsi="Times" w:cs="Times New Roman"/>
          <w:sz w:val="20"/>
          <w:szCs w:val="20"/>
          <w:lang w:eastAsia="pt-BR"/>
        </w:rPr>
        <w:t>comprovam</w:t>
      </w:r>
      <w:r w:rsidRPr="00276814">
        <w:rPr>
          <w:rFonts w:ascii="Times" w:eastAsia="Times New Roman" w:hAnsi="Times" w:cs="Times New Roman"/>
          <w:sz w:val="20"/>
          <w:szCs w:val="20"/>
          <w:lang w:eastAsia="pt-BR"/>
        </w:rPr>
        <w:t xml:space="preserve"> que o método de síntese proposto </w:t>
      </w:r>
      <w:r w:rsidR="00A75315">
        <w:rPr>
          <w:rFonts w:ascii="Times" w:eastAsia="Times New Roman" w:hAnsi="Times" w:cs="Times New Roman"/>
          <w:sz w:val="20"/>
          <w:szCs w:val="20"/>
          <w:lang w:eastAsia="pt-BR"/>
        </w:rPr>
        <w:t>é</w:t>
      </w:r>
      <w:r w:rsidRPr="00276814">
        <w:rPr>
          <w:rFonts w:ascii="Times" w:eastAsia="Times New Roman" w:hAnsi="Times" w:cs="Times New Roman"/>
          <w:sz w:val="20"/>
          <w:szCs w:val="20"/>
          <w:lang w:eastAsia="pt-BR"/>
        </w:rPr>
        <w:t xml:space="preserve"> eficiente para obtenção da perovskita. </w:t>
      </w:r>
      <w:r w:rsidR="00A75315">
        <w:rPr>
          <w:rFonts w:ascii="Times" w:eastAsia="Times New Roman" w:hAnsi="Times" w:cs="Times New Roman"/>
          <w:sz w:val="20"/>
          <w:szCs w:val="20"/>
          <w:lang w:eastAsia="pt-BR"/>
        </w:rPr>
        <w:t>D</w:t>
      </w:r>
      <w:r w:rsidRPr="00276814">
        <w:rPr>
          <w:rFonts w:ascii="Times" w:eastAsia="Times New Roman" w:hAnsi="Times" w:cs="Times New Roman"/>
          <w:sz w:val="20"/>
          <w:szCs w:val="20"/>
          <w:lang w:eastAsia="pt-BR"/>
        </w:rPr>
        <w:t>entre os catalisadores avaliados na reação de reforma seca do</w:t>
      </w:r>
      <w:r>
        <w:rPr>
          <w:rFonts w:ascii="Times" w:eastAsia="Times New Roman" w:hAnsi="Times" w:cs="Times New Roman"/>
          <w:sz w:val="20"/>
          <w:szCs w:val="20"/>
          <w:lang w:eastAsia="pt-BR"/>
        </w:rPr>
        <w:t xml:space="preserve"> metano em presença de oxigênio, </w:t>
      </w:r>
      <w:r w:rsidRPr="00276814">
        <w:rPr>
          <w:rFonts w:ascii="Times" w:eastAsia="Times New Roman" w:hAnsi="Times" w:cs="Times New Roman"/>
          <w:sz w:val="20"/>
          <w:szCs w:val="20"/>
          <w:lang w:eastAsia="pt-BR"/>
        </w:rPr>
        <w:t>a La</w:t>
      </w:r>
      <w:r w:rsidRPr="00517DEE">
        <w:rPr>
          <w:rFonts w:ascii="Times" w:eastAsia="Times New Roman" w:hAnsi="Times" w:cs="Times New Roman"/>
          <w:sz w:val="20"/>
          <w:szCs w:val="20"/>
          <w:vertAlign w:val="subscript"/>
          <w:lang w:eastAsia="pt-BR"/>
        </w:rPr>
        <w:t>0,7</w:t>
      </w:r>
      <w:r w:rsidRPr="00276814">
        <w:rPr>
          <w:rFonts w:ascii="Times" w:eastAsia="Times New Roman" w:hAnsi="Times" w:cs="Times New Roman"/>
          <w:sz w:val="20"/>
          <w:szCs w:val="20"/>
          <w:lang w:eastAsia="pt-BR"/>
        </w:rPr>
        <w:t>Ce</w:t>
      </w:r>
      <w:r w:rsidRPr="00517DEE">
        <w:rPr>
          <w:rFonts w:ascii="Times" w:eastAsia="Times New Roman" w:hAnsi="Times" w:cs="Times New Roman"/>
          <w:sz w:val="20"/>
          <w:szCs w:val="20"/>
          <w:vertAlign w:val="subscript"/>
          <w:lang w:eastAsia="pt-BR"/>
        </w:rPr>
        <w:t>0,3</w:t>
      </w:r>
      <w:r w:rsidRPr="00276814">
        <w:rPr>
          <w:rFonts w:ascii="Times" w:eastAsia="Times New Roman" w:hAnsi="Times" w:cs="Times New Roman"/>
          <w:sz w:val="20"/>
          <w:szCs w:val="20"/>
          <w:lang w:eastAsia="pt-BR"/>
        </w:rPr>
        <w:t>NiO</w:t>
      </w:r>
      <w:r w:rsidRPr="00517DEE">
        <w:rPr>
          <w:rFonts w:ascii="Times" w:eastAsia="Times New Roman" w:hAnsi="Times" w:cs="Times New Roman"/>
          <w:sz w:val="20"/>
          <w:szCs w:val="20"/>
          <w:vertAlign w:val="subscript"/>
          <w:lang w:eastAsia="pt-BR"/>
        </w:rPr>
        <w:t>3</w:t>
      </w:r>
      <w:r>
        <w:rPr>
          <w:rFonts w:ascii="Times" w:eastAsia="Times New Roman" w:hAnsi="Times" w:cs="Times New Roman"/>
          <w:sz w:val="20"/>
          <w:szCs w:val="20"/>
          <w:lang w:eastAsia="pt-BR"/>
        </w:rPr>
        <w:t xml:space="preserve"> foi o</w:t>
      </w:r>
      <w:r w:rsidRPr="00276814">
        <w:rPr>
          <w:rFonts w:ascii="Times" w:eastAsia="Times New Roman" w:hAnsi="Times" w:cs="Times New Roman"/>
          <w:sz w:val="20"/>
          <w:szCs w:val="20"/>
          <w:lang w:eastAsia="pt-BR"/>
        </w:rPr>
        <w:t xml:space="preserve"> material no qual foram alcançados </w:t>
      </w:r>
      <w:r>
        <w:rPr>
          <w:rFonts w:ascii="Times" w:eastAsia="Times New Roman" w:hAnsi="Times" w:cs="Times New Roman"/>
          <w:sz w:val="20"/>
          <w:szCs w:val="20"/>
          <w:lang w:eastAsia="pt-BR"/>
        </w:rPr>
        <w:t xml:space="preserve">um balanço positivo </w:t>
      </w:r>
      <w:r>
        <w:rPr>
          <w:rFonts w:ascii="Times" w:eastAsia="Times New Roman" w:hAnsi="Times" w:cs="Times New Roman"/>
          <w:sz w:val="20"/>
          <w:szCs w:val="20"/>
          <w:lang w:eastAsia="pt-BR"/>
        </w:rPr>
        <w:t xml:space="preserve">entre </w:t>
      </w:r>
      <w:r w:rsidRPr="00276814">
        <w:rPr>
          <w:rFonts w:ascii="Times" w:eastAsia="Times New Roman" w:hAnsi="Times" w:cs="Times New Roman"/>
          <w:sz w:val="20"/>
          <w:szCs w:val="20"/>
          <w:lang w:eastAsia="pt-BR"/>
        </w:rPr>
        <w:t>os m</w:t>
      </w:r>
      <w:r>
        <w:rPr>
          <w:rFonts w:ascii="Times" w:eastAsia="Times New Roman" w:hAnsi="Times" w:cs="Times New Roman"/>
          <w:sz w:val="20"/>
          <w:szCs w:val="20"/>
          <w:lang w:eastAsia="pt-BR"/>
        </w:rPr>
        <w:t>elhor</w:t>
      </w:r>
      <w:r w:rsidRPr="00276814">
        <w:rPr>
          <w:rFonts w:ascii="Times" w:eastAsia="Times New Roman" w:hAnsi="Times" w:cs="Times New Roman"/>
          <w:sz w:val="20"/>
          <w:szCs w:val="20"/>
          <w:lang w:eastAsia="pt-BR"/>
        </w:rPr>
        <w:t xml:space="preserve">es valores de conversão, seletividade e resistência à desativação de coque. </w:t>
      </w:r>
      <w:r w:rsidR="00BF5552">
        <w:rPr>
          <w:rFonts w:ascii="Times" w:eastAsia="Times New Roman" w:hAnsi="Times" w:cs="Times New Roman"/>
          <w:sz w:val="20"/>
          <w:szCs w:val="20"/>
          <w:lang w:eastAsia="pt-BR"/>
        </w:rPr>
        <w:t xml:space="preserve">As análises de temperatura permitiram afirmar que a reação </w:t>
      </w:r>
      <w:r w:rsidR="00B15462" w:rsidRPr="004F2C3B">
        <w:rPr>
          <w:rFonts w:ascii="Times" w:eastAsia="Times New Roman" w:hAnsi="Times" w:cs="Times New Roman"/>
          <w:sz w:val="20"/>
          <w:szCs w:val="20"/>
          <w:lang w:eastAsia="pt-BR"/>
        </w:rPr>
        <w:t>é termodinamicamente mais favorecida em temperaturas mais altas, sendo o melhor resultado obtido a 800°C, mostrando a menor tendência à ocorrência de reações paralelas.</w:t>
      </w:r>
      <w:r w:rsidR="00B15462">
        <w:rPr>
          <w:rFonts w:ascii="Times" w:eastAsia="Times New Roman" w:hAnsi="Times" w:cs="Times New Roman"/>
          <w:sz w:val="20"/>
          <w:szCs w:val="20"/>
          <w:lang w:eastAsia="pt-BR"/>
        </w:rPr>
        <w:t xml:space="preserve"> </w:t>
      </w:r>
      <w:r w:rsidR="005C5869">
        <w:rPr>
          <w:rFonts w:ascii="Times" w:eastAsia="Times New Roman" w:hAnsi="Times" w:cs="Times New Roman"/>
          <w:sz w:val="20"/>
          <w:szCs w:val="20"/>
          <w:lang w:eastAsia="pt-BR"/>
        </w:rPr>
        <w:t>Nesta análise</w:t>
      </w:r>
      <w:r w:rsidR="00B15462">
        <w:rPr>
          <w:rFonts w:ascii="Times" w:eastAsia="Times New Roman" w:hAnsi="Times" w:cs="Times New Roman"/>
          <w:sz w:val="20"/>
          <w:szCs w:val="20"/>
          <w:lang w:eastAsia="pt-BR"/>
        </w:rPr>
        <w:t xml:space="preserve"> a amostra que contêm cério sofre um efeito de melhora nas taxas de conversão e seletividade muito mais acentuado do que a LaNiO</w:t>
      </w:r>
      <w:r w:rsidR="00B15462" w:rsidRPr="009B7EB0">
        <w:rPr>
          <w:rFonts w:ascii="Times" w:eastAsia="Times New Roman" w:hAnsi="Times" w:cs="Times New Roman"/>
          <w:sz w:val="20"/>
          <w:szCs w:val="20"/>
          <w:vertAlign w:val="subscript"/>
          <w:lang w:eastAsia="pt-BR"/>
        </w:rPr>
        <w:t>3</w:t>
      </w:r>
      <w:r w:rsidR="0052021E" w:rsidRPr="0052021E">
        <w:rPr>
          <w:rFonts w:ascii="Times" w:eastAsia="Times New Roman" w:hAnsi="Times" w:cs="Times New Roman"/>
          <w:sz w:val="20"/>
          <w:szCs w:val="20"/>
          <w:lang w:eastAsia="pt-BR"/>
        </w:rPr>
        <w:t>,</w:t>
      </w:r>
      <w:r w:rsidR="00B15462">
        <w:rPr>
          <w:rFonts w:ascii="Times" w:eastAsia="Times New Roman" w:hAnsi="Times" w:cs="Times New Roman"/>
          <w:sz w:val="20"/>
          <w:szCs w:val="20"/>
          <w:lang w:eastAsia="pt-BR"/>
        </w:rPr>
        <w:t xml:space="preserve"> ao se aumentar a temperatura, comprovando </w:t>
      </w:r>
      <w:r w:rsidR="005C5869">
        <w:rPr>
          <w:rFonts w:ascii="Times" w:eastAsia="Times New Roman" w:hAnsi="Times" w:cs="Times New Roman"/>
          <w:sz w:val="20"/>
          <w:szCs w:val="20"/>
          <w:lang w:eastAsia="pt-BR"/>
        </w:rPr>
        <w:t xml:space="preserve">mais uma vez </w:t>
      </w:r>
      <w:r w:rsidR="00B15462">
        <w:rPr>
          <w:rFonts w:ascii="Times" w:eastAsia="Times New Roman" w:hAnsi="Times" w:cs="Times New Roman"/>
          <w:sz w:val="20"/>
          <w:szCs w:val="20"/>
          <w:lang w:eastAsia="pt-BR"/>
        </w:rPr>
        <w:t>que a</w:t>
      </w:r>
      <w:r w:rsidR="00B15462">
        <w:rPr>
          <w:rFonts w:ascii="Times" w:eastAsia="Times New Roman" w:hAnsi="Times" w:cs="Times New Roman"/>
          <w:sz w:val="20"/>
          <w:szCs w:val="20"/>
          <w:lang w:eastAsia="pt-BR"/>
        </w:rPr>
        <w:t xml:space="preserve"> </w:t>
      </w:r>
      <w:r w:rsidR="00B15462">
        <w:rPr>
          <w:rFonts w:ascii="Times" w:eastAsia="Times New Roman" w:hAnsi="Times" w:cs="Times New Roman"/>
          <w:sz w:val="20"/>
          <w:szCs w:val="20"/>
          <w:lang w:eastAsia="pt-BR"/>
        </w:rPr>
        <w:t>adição deste metal na estrutura favorece uma maior estabilidade e por consequência</w:t>
      </w:r>
      <w:r w:rsidR="000E12E1">
        <w:rPr>
          <w:rFonts w:ascii="Times" w:eastAsia="Times New Roman" w:hAnsi="Times" w:cs="Times New Roman"/>
          <w:sz w:val="20"/>
          <w:szCs w:val="20"/>
          <w:lang w:eastAsia="pt-BR"/>
        </w:rPr>
        <w:t>,</w:t>
      </w:r>
      <w:r w:rsidR="00B15462">
        <w:rPr>
          <w:rFonts w:ascii="Times" w:eastAsia="Times New Roman" w:hAnsi="Times" w:cs="Times New Roman"/>
          <w:sz w:val="20"/>
          <w:szCs w:val="20"/>
          <w:lang w:eastAsia="pt-BR"/>
        </w:rPr>
        <w:t xml:space="preserve"> uma menor formação de coque.</w:t>
      </w:r>
    </w:p>
    <w:p w14:paraId="6BE32F7B" w14:textId="4F456A38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61069493" w14:textId="7D8C82FE" w:rsidR="00411C9E" w:rsidRPr="00EA18FA" w:rsidRDefault="00411C9E" w:rsidP="00411C9E">
      <w:pPr>
        <w:pStyle w:val="Ttulo2"/>
        <w:spacing w:line="276" w:lineRule="auto"/>
        <w:jc w:val="left"/>
        <w:rPr>
          <w:rFonts w:ascii="Times" w:hAnsi="Times"/>
          <w:b/>
          <w:i/>
          <w:sz w:val="20"/>
        </w:rPr>
      </w:pPr>
      <w:r w:rsidRPr="00A36F62">
        <w:rPr>
          <w:rFonts w:ascii="Times" w:hAnsi="Times"/>
          <w:sz w:val="20"/>
        </w:rPr>
        <w:t>A C</w:t>
      </w:r>
      <w:r>
        <w:rPr>
          <w:rFonts w:ascii="Times" w:hAnsi="Times"/>
          <w:sz w:val="20"/>
        </w:rPr>
        <w:t>APES</w:t>
      </w:r>
      <w:r w:rsidRPr="00A36F62">
        <w:rPr>
          <w:rFonts w:ascii="Times" w:hAnsi="Times"/>
          <w:sz w:val="20"/>
        </w:rPr>
        <w:t xml:space="preserve"> pelo auxílio financeiro.</w:t>
      </w:r>
    </w:p>
    <w:p w14:paraId="158D911D" w14:textId="09B98ADC" w:rsidR="00EA4E1B" w:rsidRPr="00F339C9" w:rsidRDefault="00EA4E1B" w:rsidP="00F339C9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07D2CD2B" w14:textId="78ACF7B5" w:rsidR="00730C7F" w:rsidRDefault="00F339C9" w:rsidP="00F339C9">
      <w:pPr>
        <w:pStyle w:val="TAMainText"/>
        <w:ind w:firstLine="0"/>
      </w:pPr>
      <w:r w:rsidRPr="00CD2749">
        <w:t xml:space="preserve">1. </w:t>
      </w:r>
      <w:r w:rsidR="00730C7F" w:rsidRPr="00730C7F">
        <w:t xml:space="preserve">MA Salaev, LF Liotta,OV Vodyankina. Hydrogen Energy. v 47, ed 7, </w:t>
      </w:r>
      <w:r w:rsidR="00730C7F" w:rsidRPr="00730C7F">
        <w:rPr>
          <w:b/>
          <w:bCs/>
        </w:rPr>
        <w:t>2022</w:t>
      </w:r>
      <w:r w:rsidR="00730C7F" w:rsidRPr="00730C7F">
        <w:t>, 4489-4535.</w:t>
      </w:r>
    </w:p>
    <w:p w14:paraId="51F04591" w14:textId="367319AE" w:rsidR="00CD2749" w:rsidRPr="00CD2749" w:rsidRDefault="00730C7F" w:rsidP="00F339C9">
      <w:pPr>
        <w:pStyle w:val="TAMainText"/>
        <w:ind w:firstLine="0"/>
      </w:pPr>
      <w:r w:rsidRPr="00D529B5">
        <w:t>2</w:t>
      </w:r>
      <w:r>
        <w:t>.</w:t>
      </w:r>
      <w:r>
        <w:t xml:space="preserve"> </w:t>
      </w:r>
      <w:r w:rsidR="00CD2749" w:rsidRPr="00CD2749">
        <w:t xml:space="preserve">M.E. Juan et al. JES, m7;January 28, </w:t>
      </w:r>
      <w:r w:rsidR="00CD2749" w:rsidRPr="00CD2749">
        <w:rPr>
          <w:b/>
          <w:bCs/>
        </w:rPr>
        <w:t>2023</w:t>
      </w:r>
      <w:r w:rsidR="00CD2749" w:rsidRPr="00CD2749">
        <w:t>. https://doi.org/10.1016/j.jes.2023.01.022</w:t>
      </w:r>
      <w:r w:rsidR="00CD2749">
        <w:t>.</w:t>
      </w:r>
    </w:p>
    <w:p w14:paraId="72DF1707" w14:textId="264496DD" w:rsidR="00F339C9" w:rsidRDefault="00F339C9" w:rsidP="00F339C9">
      <w:pPr>
        <w:pStyle w:val="TAMainText"/>
        <w:ind w:firstLine="0"/>
      </w:pPr>
      <w:r w:rsidRPr="00D529B5">
        <w:t>3</w:t>
      </w:r>
      <w:r>
        <w:t>.</w:t>
      </w:r>
      <w:r w:rsidRPr="00D529B5">
        <w:t xml:space="preserve"> R.C. Rabelo-Neto, H.B.E. Sales, C.V.M. Inocencio, E. Varga, A. Oszko, A. Erdohelyi,F.B. Noronha, L.V. Matt</w:t>
      </w:r>
      <w:r>
        <w:t xml:space="preserve">os, App. Catal. B Environ. 221 </w:t>
      </w:r>
      <w:r w:rsidRPr="00D529B5">
        <w:rPr>
          <w:b/>
        </w:rPr>
        <w:t>2018</w:t>
      </w:r>
      <w:r w:rsidRPr="00D529B5">
        <w:t xml:space="preserve"> 349–361.</w:t>
      </w:r>
    </w:p>
    <w:p w14:paraId="546C4FFB" w14:textId="3427F1AF" w:rsidR="00A67A72" w:rsidRPr="00D529B5" w:rsidRDefault="00A67A72" w:rsidP="00F339C9">
      <w:pPr>
        <w:pStyle w:val="TAMainText"/>
        <w:ind w:firstLine="0"/>
      </w:pPr>
      <w:r w:rsidRPr="00D529B5">
        <w:t>4</w:t>
      </w:r>
      <w:r>
        <w:t>.</w:t>
      </w:r>
      <w:r>
        <w:t xml:space="preserve"> </w:t>
      </w:r>
      <w:r w:rsidRPr="00D529B5">
        <w:t xml:space="preserve">J.W. Thybaut, G.B. Marin, C. Mirodatos, Y. Schuurman, A.C. van Veen, V.A.Sadykov, H. Pennemann, R. Bellinghausen, L. Mleczko, Chem. Ing. </w:t>
      </w:r>
      <w:r>
        <w:t xml:space="preserve">Tech. 86 </w:t>
      </w:r>
      <w:r w:rsidRPr="00D529B5">
        <w:rPr>
          <w:b/>
        </w:rPr>
        <w:t>2014</w:t>
      </w:r>
      <w:r w:rsidRPr="00D529B5">
        <w:t xml:space="preserve"> 1855–1870</w:t>
      </w:r>
      <w:r w:rsidR="00185279">
        <w:t>.</w:t>
      </w:r>
    </w:p>
    <w:p w14:paraId="73834C78" w14:textId="77777777" w:rsidR="00F339C9" w:rsidRPr="00D529B5" w:rsidRDefault="00F339C9" w:rsidP="00F339C9">
      <w:pPr>
        <w:pStyle w:val="TAMainText"/>
        <w:ind w:firstLine="0"/>
      </w:pPr>
      <w:r w:rsidRPr="00D529B5">
        <w:t>5</w:t>
      </w:r>
      <w:r>
        <w:t>.</w:t>
      </w:r>
      <w:r w:rsidRPr="00D529B5">
        <w:t xml:space="preserve"> A.A.S. Oliveira, R.L.B.A. Medeiros, G.P. Figueredo, H.P. Macedo, R.M. Braga,</w:t>
      </w:r>
      <w:r>
        <w:t xml:space="preserve"> </w:t>
      </w:r>
      <w:r w:rsidRPr="00D529B5">
        <w:t>F.V. Maziviero, M.A.F. Melo, D.M.A. Melo, M.M. Vieira, Int. J. Hydrogen Energy 43</w:t>
      </w:r>
    </w:p>
    <w:p w14:paraId="0F198B36" w14:textId="77777777" w:rsidR="00F339C9" w:rsidRPr="00D529B5" w:rsidRDefault="00F339C9" w:rsidP="00F339C9">
      <w:pPr>
        <w:pStyle w:val="TAMainText"/>
        <w:ind w:firstLine="0"/>
      </w:pPr>
      <w:r w:rsidRPr="00D529B5">
        <w:rPr>
          <w:b/>
        </w:rPr>
        <w:t>2018</w:t>
      </w:r>
      <w:r w:rsidRPr="00D529B5">
        <w:t xml:space="preserve"> 9696–9704.</w:t>
      </w:r>
    </w:p>
    <w:p w14:paraId="61FE5495" w14:textId="3A6D458F" w:rsidR="00F339C9" w:rsidRPr="00D529B5" w:rsidRDefault="00F339C9" w:rsidP="00F339C9">
      <w:pPr>
        <w:pStyle w:val="TAMainText"/>
        <w:ind w:firstLine="0"/>
      </w:pPr>
      <w:r w:rsidRPr="003F3F94">
        <w:rPr>
          <w:lang w:val="pt-BR"/>
        </w:rPr>
        <w:t xml:space="preserve">6. </w:t>
      </w:r>
      <w:r w:rsidR="003F3F94" w:rsidRPr="003F3F94">
        <w:rPr>
          <w:lang w:val="pt-BR"/>
        </w:rPr>
        <w:t xml:space="preserve">S. Elena, R. Paola, G. Gabriella. </w:t>
      </w:r>
      <w:r w:rsidR="003F3F94" w:rsidRPr="003F3F94">
        <w:t xml:space="preserve">Catalysis Today. </w:t>
      </w:r>
      <w:r w:rsidR="003F3F94" w:rsidRPr="003F3F94">
        <w:rPr>
          <w:b/>
          <w:bCs/>
        </w:rPr>
        <w:t>2023</w:t>
      </w:r>
      <w:r w:rsidR="003F3F94" w:rsidRPr="003F3F94">
        <w:t>. v 418, 114131.</w:t>
      </w:r>
      <w:r w:rsidRPr="00D529B5">
        <w:t>.</w:t>
      </w:r>
    </w:p>
    <w:p w14:paraId="74FFBA48" w14:textId="77777777" w:rsidR="00F339C9" w:rsidRPr="00D529B5" w:rsidRDefault="00F339C9" w:rsidP="00F339C9">
      <w:pPr>
        <w:pStyle w:val="TAMainText"/>
        <w:ind w:firstLine="0"/>
      </w:pPr>
      <w:r w:rsidRPr="00D529B5">
        <w:t>7</w:t>
      </w:r>
      <w:r>
        <w:t>.</w:t>
      </w:r>
      <w:r w:rsidRPr="00D529B5">
        <w:t xml:space="preserve"> X. Song, X. Dong, S. Yin, M. Wang, M. Li, H. Wang, Appl. Catal. A Gen. 526 </w:t>
      </w:r>
      <w:r w:rsidRPr="00276B4B">
        <w:rPr>
          <w:b/>
        </w:rPr>
        <w:t>201</w:t>
      </w:r>
      <w:r w:rsidRPr="00305595">
        <w:rPr>
          <w:b/>
        </w:rPr>
        <w:t>6</w:t>
      </w:r>
      <w:r>
        <w:t xml:space="preserve"> </w:t>
      </w:r>
      <w:r w:rsidRPr="00D529B5">
        <w:t>132–138.</w:t>
      </w:r>
    </w:p>
    <w:p w14:paraId="119A5A6A" w14:textId="77777777" w:rsidR="00F339C9" w:rsidRDefault="00F339C9" w:rsidP="00F339C9">
      <w:pPr>
        <w:pStyle w:val="TAMainText"/>
        <w:ind w:firstLine="0"/>
      </w:pPr>
      <w:r w:rsidRPr="00D529B5">
        <w:t>8</w:t>
      </w:r>
      <w:r>
        <w:t>.</w:t>
      </w:r>
      <w:r w:rsidRPr="00D529B5">
        <w:t xml:space="preserve"> Pa</w:t>
      </w:r>
      <w:r>
        <w:t>ksoya, a.i.; Caglayana, s. B.; A</w:t>
      </w:r>
      <w:r w:rsidRPr="00D529B5">
        <w:t xml:space="preserve">ksoylu, b.a.e.. Applied Catalysis B: Environmental. </w:t>
      </w:r>
      <w:r w:rsidRPr="00276B4B">
        <w:rPr>
          <w:b/>
        </w:rPr>
        <w:t xml:space="preserve">2015 </w:t>
      </w:r>
      <w:r w:rsidRPr="00D529B5">
        <w:t>v. 168–169, p. 164–174</w:t>
      </w:r>
      <w:r>
        <w:t>.</w:t>
      </w:r>
    </w:p>
    <w:p w14:paraId="698B4A87" w14:textId="03B315DA" w:rsidR="00F339C9" w:rsidRPr="00D529B5" w:rsidRDefault="00F339C9" w:rsidP="00F339C9">
      <w:pPr>
        <w:pStyle w:val="TAMainText"/>
        <w:ind w:firstLine="0"/>
      </w:pPr>
      <w:r w:rsidRPr="00D529B5">
        <w:t>9</w:t>
      </w:r>
      <w:r>
        <w:t xml:space="preserve">. </w:t>
      </w:r>
      <w:r w:rsidRPr="00D529B5">
        <w:t>Y.K.</w:t>
      </w:r>
      <w:r w:rsidR="00CA07A2">
        <w:t xml:space="preserve"> </w:t>
      </w:r>
      <w:r w:rsidR="00CA07A2" w:rsidRPr="00D529B5">
        <w:t>K</w:t>
      </w:r>
      <w:r w:rsidR="00CA07A2">
        <w:t>oo et al</w:t>
      </w:r>
      <w:r w:rsidRPr="00D529B5">
        <w:t xml:space="preserve">. Fuel Processing Technology. </w:t>
      </w:r>
      <w:r w:rsidRPr="00276B4B">
        <w:rPr>
          <w:b/>
        </w:rPr>
        <w:t>2014</w:t>
      </w:r>
      <w:r>
        <w:t xml:space="preserve"> </w:t>
      </w:r>
      <w:r w:rsidRPr="00D529B5">
        <w:t>v. 119, p.151–157.</w:t>
      </w:r>
    </w:p>
    <w:p w14:paraId="1FB71BD3" w14:textId="23AEC0B6" w:rsidR="00F339C9" w:rsidRDefault="00F339C9" w:rsidP="00F339C9">
      <w:pPr>
        <w:pStyle w:val="TAMainText"/>
        <w:ind w:firstLine="0"/>
      </w:pPr>
      <w:r w:rsidRPr="005E10DD">
        <w:rPr>
          <w:lang w:val="pt-BR"/>
        </w:rPr>
        <w:t>10. S.M.</w:t>
      </w:r>
      <w:r w:rsidR="005E10DD" w:rsidRPr="005E10DD">
        <w:rPr>
          <w:lang w:val="pt-BR"/>
        </w:rPr>
        <w:t xml:space="preserve"> Lima et al. </w:t>
      </w:r>
      <w:r w:rsidRPr="001500DF">
        <w:t>Applied Catalysis B: Env</w:t>
      </w:r>
      <w:r>
        <w:t xml:space="preserve">ironmental., </w:t>
      </w:r>
      <w:r w:rsidRPr="00305595">
        <w:rPr>
          <w:b/>
        </w:rPr>
        <w:t>2012</w:t>
      </w:r>
      <w:r>
        <w:t xml:space="preserve">, </w:t>
      </w:r>
      <w:r w:rsidRPr="005735C4">
        <w:t>v</w:t>
      </w:r>
      <w:r>
        <w:t>. 121– 122, p.1– 9</w:t>
      </w:r>
      <w:r w:rsidRPr="001500DF">
        <w:t xml:space="preserve">.  </w:t>
      </w:r>
    </w:p>
    <w:p w14:paraId="4EB32E04" w14:textId="220D5007" w:rsidR="00F339C9" w:rsidRPr="00F339C9" w:rsidRDefault="00F339C9" w:rsidP="00F339C9">
      <w:pPr>
        <w:pStyle w:val="TAMainText"/>
        <w:ind w:firstLine="0"/>
        <w:rPr>
          <w:lang w:val="pt-BR"/>
        </w:rPr>
      </w:pPr>
      <w:r w:rsidRPr="00D529B5">
        <w:t>11.</w:t>
      </w:r>
      <w:r w:rsidRPr="00350A41">
        <w:t xml:space="preserve"> </w:t>
      </w:r>
      <w:r w:rsidR="00B63F2E">
        <w:t xml:space="preserve">U. </w:t>
      </w:r>
      <w:r w:rsidR="00B63F2E" w:rsidRPr="00350A41">
        <w:t>Oemar</w:t>
      </w:r>
      <w:r w:rsidRPr="00350A41">
        <w:t xml:space="preserve"> </w:t>
      </w:r>
      <w:r w:rsidR="00B63F2E">
        <w:t>et al</w:t>
      </w:r>
      <w:r w:rsidRPr="00350A41">
        <w:t xml:space="preserve"> J. Hyd. </w:t>
      </w:r>
      <w:r w:rsidRPr="00F339C9">
        <w:rPr>
          <w:lang w:val="pt-BR"/>
        </w:rPr>
        <w:t xml:space="preserve">Energy. </w:t>
      </w:r>
      <w:r w:rsidRPr="00F339C9">
        <w:rPr>
          <w:b/>
          <w:lang w:val="pt-BR"/>
        </w:rPr>
        <w:t>2013</w:t>
      </w:r>
      <w:r w:rsidRPr="00F339C9">
        <w:rPr>
          <w:lang w:val="pt-BR"/>
        </w:rPr>
        <w:t xml:space="preserve">, 38, 5525 -5534.  </w:t>
      </w:r>
    </w:p>
    <w:p w14:paraId="4AF92A6A" w14:textId="77777777" w:rsidR="00F339C9" w:rsidRPr="00F339C9" w:rsidRDefault="00F339C9" w:rsidP="00F339C9">
      <w:pPr>
        <w:pStyle w:val="TAMainText"/>
        <w:ind w:firstLine="0"/>
        <w:rPr>
          <w:lang w:val="pt-BR"/>
        </w:rPr>
      </w:pPr>
      <w:r w:rsidRPr="00F339C9">
        <w:rPr>
          <w:lang w:val="pt-BR"/>
        </w:rPr>
        <w:t xml:space="preserve">12. H. Sales in anais do 20° Congresso Brasileiro de Engenharia Química, Florianópolis/SC, </w:t>
      </w:r>
      <w:r w:rsidRPr="00F339C9">
        <w:rPr>
          <w:b/>
          <w:lang w:val="pt-BR"/>
        </w:rPr>
        <w:t>2014</w:t>
      </w:r>
      <w:r w:rsidRPr="00F339C9">
        <w:rPr>
          <w:lang w:val="pt-BR"/>
        </w:rPr>
        <w:t>.</w:t>
      </w:r>
    </w:p>
    <w:p w14:paraId="53DD11FA" w14:textId="0E7A8EDE" w:rsidR="00F339C9" w:rsidRPr="00F339C9" w:rsidRDefault="00F339C9" w:rsidP="00F339C9">
      <w:pPr>
        <w:pStyle w:val="TAMainText"/>
        <w:ind w:firstLine="0"/>
      </w:pPr>
      <w:r w:rsidRPr="00F339C9">
        <w:t xml:space="preserve">13. </w:t>
      </w:r>
      <w:r w:rsidR="00B63F2E">
        <w:t xml:space="preserve">H. </w:t>
      </w:r>
      <w:r w:rsidR="00B63F2E" w:rsidRPr="00350A41">
        <w:t>Arandiyan</w:t>
      </w:r>
      <w:r w:rsidRPr="00350A41">
        <w:t xml:space="preserve">. et al. Journal of Industrial and Engineering Chemistry. </w:t>
      </w:r>
      <w:r w:rsidRPr="00F339C9">
        <w:rPr>
          <w:b/>
        </w:rPr>
        <w:t>2012</w:t>
      </w:r>
      <w:r w:rsidRPr="00F339C9">
        <w:t>, 18, 2103–2114.</w:t>
      </w:r>
    </w:p>
    <w:p w14:paraId="63078C1E" w14:textId="77777777" w:rsidR="00F339C9" w:rsidRPr="00B63F2E" w:rsidRDefault="00F339C9" w:rsidP="00B63F2E">
      <w:pPr>
        <w:pStyle w:val="TAMainText"/>
        <w:ind w:firstLine="0"/>
      </w:pPr>
      <w:r w:rsidRPr="00F339C9">
        <w:t xml:space="preserve">14. B. Nematollahi, M. Rezaei, N.E. LAY, M, Khajenoori. Journal of Natural Gas Chemistry. </w:t>
      </w:r>
      <w:r w:rsidRPr="004C75E9">
        <w:rPr>
          <w:b/>
          <w:bCs/>
        </w:rPr>
        <w:t>2012</w:t>
      </w:r>
      <w:r w:rsidRPr="00B63F2E">
        <w:t>, 21, 694–702.</w:t>
      </w:r>
    </w:p>
    <w:p w14:paraId="58716424" w14:textId="57016F13" w:rsidR="007B4B2B" w:rsidRPr="00B63F2E" w:rsidRDefault="00F339C9" w:rsidP="00C31CC0">
      <w:pPr>
        <w:spacing w:line="240" w:lineRule="auto"/>
        <w:jc w:val="both"/>
        <w:rPr>
          <w:rFonts w:ascii="Times" w:eastAsia="Times New Roman" w:hAnsi="Times" w:cs="Times New Roman"/>
          <w:sz w:val="20"/>
          <w:szCs w:val="20"/>
          <w:lang w:val="en-US" w:eastAsia="pt-BR"/>
        </w:rPr>
      </w:pPr>
      <w:r w:rsidRPr="00C31CC0">
        <w:rPr>
          <w:rFonts w:ascii="Times" w:eastAsia="Times New Roman" w:hAnsi="Times" w:cs="Times New Roman"/>
          <w:sz w:val="20"/>
          <w:szCs w:val="20"/>
          <w:lang w:val="en-US" w:eastAsia="pt-BR"/>
        </w:rPr>
        <w:t>15.</w:t>
      </w:r>
      <w:r w:rsidR="00B63F2E" w:rsidRPr="00C31CC0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</w:t>
      </w:r>
      <w:r w:rsidR="00B63F2E" w:rsidRPr="00B63F2E">
        <w:rPr>
          <w:rFonts w:ascii="Times" w:eastAsia="Times New Roman" w:hAnsi="Times" w:cs="Times New Roman"/>
          <w:sz w:val="20"/>
          <w:szCs w:val="20"/>
          <w:lang w:val="en-US" w:eastAsia="pt-BR"/>
        </w:rPr>
        <w:t>A. Jahangiri;</w:t>
      </w:r>
      <w:r w:rsidRPr="00B63F2E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A. </w:t>
      </w:r>
      <w:r w:rsidR="00B63F2E" w:rsidRPr="00B63F2E">
        <w:rPr>
          <w:rFonts w:ascii="Times" w:eastAsia="Times New Roman" w:hAnsi="Times" w:cs="Times New Roman"/>
          <w:sz w:val="20"/>
          <w:szCs w:val="20"/>
          <w:lang w:val="en-US" w:eastAsia="pt-BR"/>
        </w:rPr>
        <w:t>Aghabozorg</w:t>
      </w:r>
      <w:r w:rsidRPr="00B63F2E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; </w:t>
      </w:r>
      <w:r w:rsidR="00B63F2E" w:rsidRPr="00B63F2E">
        <w:rPr>
          <w:rFonts w:ascii="Times" w:eastAsia="Times New Roman" w:hAnsi="Times" w:cs="Times New Roman"/>
          <w:sz w:val="20"/>
          <w:szCs w:val="20"/>
          <w:lang w:val="en-US" w:eastAsia="pt-BR"/>
        </w:rPr>
        <w:t>H.</w:t>
      </w:r>
      <w:r w:rsidR="00B63F2E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</w:t>
      </w:r>
      <w:r w:rsidR="00B63F2E" w:rsidRPr="00B63F2E">
        <w:rPr>
          <w:rFonts w:ascii="Times" w:eastAsia="Times New Roman" w:hAnsi="Times" w:cs="Times New Roman"/>
          <w:sz w:val="20"/>
          <w:szCs w:val="20"/>
          <w:lang w:val="en-US" w:eastAsia="pt-BR"/>
        </w:rPr>
        <w:t>Pahlavanzade</w:t>
      </w:r>
      <w:r w:rsidRPr="00B63F2E">
        <w:rPr>
          <w:rFonts w:ascii="Times" w:eastAsia="Times New Roman" w:hAnsi="Times" w:cs="Times New Roman"/>
          <w:sz w:val="20"/>
          <w:szCs w:val="20"/>
          <w:lang w:val="en-US" w:eastAsia="pt-BR"/>
        </w:rPr>
        <w:t>. International Journal of Hydrogen Energy.</w:t>
      </w:r>
      <w:r w:rsidR="00B63F2E" w:rsidRPr="00B63F2E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</w:t>
      </w:r>
      <w:r w:rsidR="00B63F2E" w:rsidRPr="00C31CC0">
        <w:rPr>
          <w:rFonts w:ascii="Times" w:eastAsia="Times New Roman" w:hAnsi="Times" w:cs="Times New Roman"/>
          <w:b/>
          <w:bCs/>
          <w:sz w:val="20"/>
          <w:szCs w:val="20"/>
          <w:lang w:val="en-US" w:eastAsia="pt-BR"/>
        </w:rPr>
        <w:t>2013</w:t>
      </w:r>
      <w:r w:rsidR="00B63F2E" w:rsidRPr="00B63F2E">
        <w:rPr>
          <w:rFonts w:ascii="Times" w:eastAsia="Times New Roman" w:hAnsi="Times" w:cs="Times New Roman"/>
          <w:sz w:val="20"/>
          <w:szCs w:val="20"/>
          <w:lang w:val="en-US" w:eastAsia="pt-BR"/>
        </w:rPr>
        <w:t>,</w:t>
      </w:r>
      <w:r w:rsidRPr="00B63F2E">
        <w:rPr>
          <w:rFonts w:ascii="Times" w:eastAsia="Times New Roman" w:hAnsi="Times" w:cs="Times New Roman"/>
          <w:sz w:val="20"/>
          <w:szCs w:val="20"/>
          <w:lang w:val="en-US" w:eastAsia="pt-BR"/>
        </w:rPr>
        <w:t xml:space="preserve"> v. 38, p. 10407– 10416.</w:t>
      </w:r>
    </w:p>
    <w:sectPr w:rsidR="007B4B2B" w:rsidRPr="00B63F2E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13403" w14:textId="77777777" w:rsidR="00765E4E" w:rsidRDefault="00765E4E" w:rsidP="00EA4E1B">
      <w:pPr>
        <w:spacing w:after="0" w:line="240" w:lineRule="auto"/>
      </w:pPr>
      <w:r>
        <w:separator/>
      </w:r>
    </w:p>
  </w:endnote>
  <w:endnote w:type="continuationSeparator" w:id="0">
    <w:p w14:paraId="5AE28AB5" w14:textId="77777777" w:rsidR="00765E4E" w:rsidRDefault="00765E4E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97965" w14:textId="77777777" w:rsidR="00765E4E" w:rsidRDefault="00765E4E" w:rsidP="00EA4E1B">
      <w:pPr>
        <w:spacing w:after="0" w:line="240" w:lineRule="auto"/>
      </w:pPr>
      <w:r>
        <w:separator/>
      </w:r>
    </w:p>
  </w:footnote>
  <w:footnote w:type="continuationSeparator" w:id="0">
    <w:p w14:paraId="606AFE36" w14:textId="77777777" w:rsidR="00765E4E" w:rsidRDefault="00765E4E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33566"/>
    <w:multiLevelType w:val="hybridMultilevel"/>
    <w:tmpl w:val="98765A46"/>
    <w:lvl w:ilvl="0" w:tplc="3B546D10">
      <w:start w:val="1"/>
      <w:numFmt w:val="lowerLetter"/>
      <w:lvlText w:val="%1."/>
      <w:lvlJc w:val="left"/>
      <w:pPr>
        <w:ind w:left="5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82" w:hanging="360"/>
      </w:pPr>
    </w:lvl>
    <w:lvl w:ilvl="2" w:tplc="0416001B" w:tentative="1">
      <w:start w:val="1"/>
      <w:numFmt w:val="lowerRoman"/>
      <w:lvlText w:val="%3."/>
      <w:lvlJc w:val="right"/>
      <w:pPr>
        <w:ind w:left="2002" w:hanging="180"/>
      </w:pPr>
    </w:lvl>
    <w:lvl w:ilvl="3" w:tplc="0416000F" w:tentative="1">
      <w:start w:val="1"/>
      <w:numFmt w:val="decimal"/>
      <w:lvlText w:val="%4."/>
      <w:lvlJc w:val="left"/>
      <w:pPr>
        <w:ind w:left="2722" w:hanging="360"/>
      </w:pPr>
    </w:lvl>
    <w:lvl w:ilvl="4" w:tplc="04160019" w:tentative="1">
      <w:start w:val="1"/>
      <w:numFmt w:val="lowerLetter"/>
      <w:lvlText w:val="%5."/>
      <w:lvlJc w:val="left"/>
      <w:pPr>
        <w:ind w:left="3442" w:hanging="360"/>
      </w:pPr>
    </w:lvl>
    <w:lvl w:ilvl="5" w:tplc="0416001B" w:tentative="1">
      <w:start w:val="1"/>
      <w:numFmt w:val="lowerRoman"/>
      <w:lvlText w:val="%6."/>
      <w:lvlJc w:val="right"/>
      <w:pPr>
        <w:ind w:left="4162" w:hanging="180"/>
      </w:pPr>
    </w:lvl>
    <w:lvl w:ilvl="6" w:tplc="0416000F" w:tentative="1">
      <w:start w:val="1"/>
      <w:numFmt w:val="decimal"/>
      <w:lvlText w:val="%7."/>
      <w:lvlJc w:val="left"/>
      <w:pPr>
        <w:ind w:left="4882" w:hanging="360"/>
      </w:pPr>
    </w:lvl>
    <w:lvl w:ilvl="7" w:tplc="04160019" w:tentative="1">
      <w:start w:val="1"/>
      <w:numFmt w:val="lowerLetter"/>
      <w:lvlText w:val="%8."/>
      <w:lvlJc w:val="left"/>
      <w:pPr>
        <w:ind w:left="5602" w:hanging="360"/>
      </w:pPr>
    </w:lvl>
    <w:lvl w:ilvl="8" w:tplc="0416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11439884">
    <w:abstractNumId w:val="1"/>
  </w:num>
  <w:num w:numId="2" w16cid:durableId="26739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264A"/>
    <w:rsid w:val="0002667E"/>
    <w:rsid w:val="0004662C"/>
    <w:rsid w:val="000551F8"/>
    <w:rsid w:val="00061A72"/>
    <w:rsid w:val="000B4A8E"/>
    <w:rsid w:val="000E0C8E"/>
    <w:rsid w:val="000E12E1"/>
    <w:rsid w:val="000F1D24"/>
    <w:rsid w:val="000F304C"/>
    <w:rsid w:val="0013597E"/>
    <w:rsid w:val="00166BFE"/>
    <w:rsid w:val="001849BD"/>
    <w:rsid w:val="00185279"/>
    <w:rsid w:val="00190FF1"/>
    <w:rsid w:val="00196D06"/>
    <w:rsid w:val="001C4586"/>
    <w:rsid w:val="001D0718"/>
    <w:rsid w:val="001E58A9"/>
    <w:rsid w:val="001F25B2"/>
    <w:rsid w:val="00222230"/>
    <w:rsid w:val="00290A10"/>
    <w:rsid w:val="00295241"/>
    <w:rsid w:val="00312FD4"/>
    <w:rsid w:val="00340B1E"/>
    <w:rsid w:val="003913F2"/>
    <w:rsid w:val="003C2825"/>
    <w:rsid w:val="003F1E46"/>
    <w:rsid w:val="003F3F94"/>
    <w:rsid w:val="003F4839"/>
    <w:rsid w:val="00402F3E"/>
    <w:rsid w:val="00411C9E"/>
    <w:rsid w:val="00434C1C"/>
    <w:rsid w:val="00466371"/>
    <w:rsid w:val="004803CA"/>
    <w:rsid w:val="004C75E9"/>
    <w:rsid w:val="004E2E77"/>
    <w:rsid w:val="004E57DD"/>
    <w:rsid w:val="004F3F42"/>
    <w:rsid w:val="00506306"/>
    <w:rsid w:val="0052021E"/>
    <w:rsid w:val="0052112E"/>
    <w:rsid w:val="00551BA0"/>
    <w:rsid w:val="005C2775"/>
    <w:rsid w:val="005C5869"/>
    <w:rsid w:val="005D65EB"/>
    <w:rsid w:val="005E10DD"/>
    <w:rsid w:val="005E3706"/>
    <w:rsid w:val="00602E7C"/>
    <w:rsid w:val="00603C8D"/>
    <w:rsid w:val="00604718"/>
    <w:rsid w:val="00605CF4"/>
    <w:rsid w:val="006114D0"/>
    <w:rsid w:val="00623F28"/>
    <w:rsid w:val="00632189"/>
    <w:rsid w:val="00645B85"/>
    <w:rsid w:val="00652815"/>
    <w:rsid w:val="006B297C"/>
    <w:rsid w:val="006C36B0"/>
    <w:rsid w:val="006D254A"/>
    <w:rsid w:val="006F599B"/>
    <w:rsid w:val="00700745"/>
    <w:rsid w:val="00730C7F"/>
    <w:rsid w:val="00746A61"/>
    <w:rsid w:val="00765E4E"/>
    <w:rsid w:val="007670A0"/>
    <w:rsid w:val="00772541"/>
    <w:rsid w:val="00777C51"/>
    <w:rsid w:val="00781685"/>
    <w:rsid w:val="0079162E"/>
    <w:rsid w:val="007B4B2B"/>
    <w:rsid w:val="007B5925"/>
    <w:rsid w:val="007C2592"/>
    <w:rsid w:val="007F1CFF"/>
    <w:rsid w:val="00855491"/>
    <w:rsid w:val="00866822"/>
    <w:rsid w:val="0087035D"/>
    <w:rsid w:val="00890944"/>
    <w:rsid w:val="00892353"/>
    <w:rsid w:val="00895EDF"/>
    <w:rsid w:val="008B1683"/>
    <w:rsid w:val="008C1B30"/>
    <w:rsid w:val="008C7C4E"/>
    <w:rsid w:val="008D146B"/>
    <w:rsid w:val="008D45E4"/>
    <w:rsid w:val="008D572A"/>
    <w:rsid w:val="00963F6D"/>
    <w:rsid w:val="009656D9"/>
    <w:rsid w:val="00983538"/>
    <w:rsid w:val="009C7CB0"/>
    <w:rsid w:val="009D765D"/>
    <w:rsid w:val="009E3CCE"/>
    <w:rsid w:val="00A1228B"/>
    <w:rsid w:val="00A17D85"/>
    <w:rsid w:val="00A254B5"/>
    <w:rsid w:val="00A278CC"/>
    <w:rsid w:val="00A67A72"/>
    <w:rsid w:val="00A75315"/>
    <w:rsid w:val="00A87CE8"/>
    <w:rsid w:val="00AA182E"/>
    <w:rsid w:val="00AF0400"/>
    <w:rsid w:val="00B15462"/>
    <w:rsid w:val="00B157C4"/>
    <w:rsid w:val="00B30AEB"/>
    <w:rsid w:val="00B63F2E"/>
    <w:rsid w:val="00B97C9F"/>
    <w:rsid w:val="00BA6A6E"/>
    <w:rsid w:val="00BF0D39"/>
    <w:rsid w:val="00BF2A25"/>
    <w:rsid w:val="00BF5552"/>
    <w:rsid w:val="00C27CD1"/>
    <w:rsid w:val="00C31CC0"/>
    <w:rsid w:val="00C62F1D"/>
    <w:rsid w:val="00C76E54"/>
    <w:rsid w:val="00C961DD"/>
    <w:rsid w:val="00C96596"/>
    <w:rsid w:val="00CA07A2"/>
    <w:rsid w:val="00CA16D3"/>
    <w:rsid w:val="00CD1DF5"/>
    <w:rsid w:val="00CD2749"/>
    <w:rsid w:val="00D06F85"/>
    <w:rsid w:val="00D22286"/>
    <w:rsid w:val="00D33DAD"/>
    <w:rsid w:val="00D84E26"/>
    <w:rsid w:val="00D85947"/>
    <w:rsid w:val="00D96135"/>
    <w:rsid w:val="00DB1D28"/>
    <w:rsid w:val="00E02A21"/>
    <w:rsid w:val="00E038AF"/>
    <w:rsid w:val="00E169EF"/>
    <w:rsid w:val="00E52F1E"/>
    <w:rsid w:val="00EA3B4C"/>
    <w:rsid w:val="00EA4E1B"/>
    <w:rsid w:val="00ED4537"/>
    <w:rsid w:val="00ED4CD7"/>
    <w:rsid w:val="00F015AE"/>
    <w:rsid w:val="00F15F35"/>
    <w:rsid w:val="00F30661"/>
    <w:rsid w:val="00F339C9"/>
    <w:rsid w:val="00F917DA"/>
    <w:rsid w:val="00FC7184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Hyperlink">
    <w:name w:val="Hyperlink"/>
    <w:basedOn w:val="Fontepargpadro"/>
    <w:uiPriority w:val="99"/>
    <w:unhideWhenUsed/>
    <w:rsid w:val="00C961DD"/>
    <w:rPr>
      <w:color w:val="0563C1" w:themeColor="hyperlink"/>
      <w:u w:val="single"/>
    </w:rPr>
  </w:style>
  <w:style w:type="table" w:styleId="SombreamentoClaro">
    <w:name w:val="Light Shading"/>
    <w:basedOn w:val="Tabelanormal"/>
    <w:uiPriority w:val="60"/>
    <w:rsid w:val="000551F8"/>
    <w:pPr>
      <w:spacing w:after="0" w:line="240" w:lineRule="auto"/>
    </w:pPr>
    <w:rPr>
      <w:rFonts w:eastAsiaTheme="minorHAns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ecuodecorpodetexto">
    <w:name w:val="Body Text Indent"/>
    <w:basedOn w:val="Normal"/>
    <w:link w:val="RecuodecorpodetextoChar"/>
    <w:rsid w:val="00411C9E"/>
    <w:pPr>
      <w:spacing w:after="120" w:line="240" w:lineRule="auto"/>
      <w:ind w:left="283"/>
    </w:pPr>
    <w:rPr>
      <w:rFonts w:ascii="Helvetica" w:eastAsia="Times New Roman" w:hAnsi="Helvetica" w:cs="Times New Roman"/>
      <w:sz w:val="20"/>
      <w:szCs w:val="20"/>
      <w:lang w:val="en-US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11C9E"/>
    <w:rPr>
      <w:rFonts w:ascii="Helvetica" w:eastAsia="Times New Roman" w:hAnsi="Helvetica" w:cs="Times New Roman"/>
      <w:sz w:val="20"/>
      <w:szCs w:val="20"/>
      <w:lang w:val="en-US" w:eastAsia="pt-BR"/>
    </w:rPr>
  </w:style>
  <w:style w:type="table" w:styleId="SombreamentoClaro-nfase3">
    <w:name w:val="Light Shading Accent 3"/>
    <w:basedOn w:val="Tabelanormal"/>
    <w:uiPriority w:val="60"/>
    <w:rsid w:val="00B15462"/>
    <w:pPr>
      <w:spacing w:after="0" w:line="240" w:lineRule="auto"/>
    </w:pPr>
    <w:rPr>
      <w:rFonts w:eastAsiaTheme="minorHAnsi"/>
      <w:color w:val="7B7B7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iago.anastacio1@hotmail.com" TargetMode="External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6</Pages>
  <Words>3182</Words>
  <Characters>17184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Thiago Anastacio</cp:lastModifiedBy>
  <cp:revision>170</cp:revision>
  <dcterms:created xsi:type="dcterms:W3CDTF">2022-12-12T17:08:00Z</dcterms:created>
  <dcterms:modified xsi:type="dcterms:W3CDTF">2023-04-30T15:10:00Z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