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2D8EAAC3" w14:textId="77777777" w:rsidR="00700524" w:rsidRPr="004D4B3A" w:rsidRDefault="00866822" w:rsidP="00700524">
      <w:pPr>
        <w:pStyle w:val="BATitle"/>
        <w:spacing w:before="0" w:after="0" w:line="240" w:lineRule="auto"/>
        <w:ind w:right="0"/>
        <w:jc w:val="both"/>
        <w:rPr>
          <w:sz w:val="32"/>
          <w:lang w:val="pt-BR"/>
        </w:rPr>
      </w:pPr>
      <w:r w:rsidRPr="004D4B3A">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72753C" w:rsidRPr="008C1B30" w:rsidRDefault="0072753C" w:rsidP="00866822">
                            <w:pPr>
                              <w:pStyle w:val="BDAbstract"/>
                              <w:spacing w:before="0" w:after="0" w:line="240" w:lineRule="auto"/>
                              <w:rPr>
                                <w:rFonts w:cs="Helvetica"/>
                                <w:bCs/>
                                <w:sz w:val="20"/>
                                <w:lang w:val="pt-BR"/>
                              </w:rPr>
                            </w:pPr>
                          </w:p>
                          <w:p w14:paraId="72B95604" w14:textId="77777777" w:rsidR="0072753C" w:rsidRPr="008C1B30" w:rsidRDefault="0072753C"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72753C" w:rsidRPr="008C1B30" w:rsidRDefault="0072753C" w:rsidP="00866822">
                      <w:pPr>
                        <w:pStyle w:val="BDAbstract"/>
                        <w:spacing w:before="0" w:after="0" w:line="240" w:lineRule="auto"/>
                        <w:rPr>
                          <w:rFonts w:cs="Helvetica"/>
                          <w:bCs/>
                          <w:sz w:val="20"/>
                          <w:lang w:val="pt-BR"/>
                        </w:rPr>
                      </w:pPr>
                    </w:p>
                    <w:p w14:paraId="72B95604" w14:textId="77777777" w:rsidR="0072753C" w:rsidRPr="008C1B30" w:rsidRDefault="0072753C" w:rsidP="00866822">
                      <w:pPr>
                        <w:pStyle w:val="SemEspaamento"/>
                      </w:pPr>
                    </w:p>
                  </w:txbxContent>
                </v:textbox>
                <w10:wrap anchorx="margin"/>
              </v:rect>
            </w:pict>
          </mc:Fallback>
        </mc:AlternateContent>
      </w:r>
    </w:p>
    <w:p w14:paraId="050D20D3" w14:textId="05D0E5CC" w:rsidR="00EA4E1B" w:rsidRPr="004D4B3A" w:rsidRDefault="0031112D" w:rsidP="004C6215">
      <w:pPr>
        <w:pStyle w:val="BATitle"/>
        <w:spacing w:before="0" w:after="200" w:line="240" w:lineRule="auto"/>
        <w:ind w:right="0"/>
        <w:jc w:val="both"/>
        <w:rPr>
          <w:sz w:val="32"/>
          <w:lang w:val="pt-BR"/>
        </w:rPr>
      </w:pPr>
      <w:r w:rsidRPr="00635F99">
        <w:rPr>
          <w:sz w:val="32"/>
          <w:lang w:val="pt-BR"/>
        </w:rPr>
        <w:t xml:space="preserve">Acetilação de </w:t>
      </w:r>
      <w:r w:rsidR="004C6215" w:rsidRPr="00ED5396">
        <w:rPr>
          <w:rFonts w:cs="Helvetica"/>
          <w:bCs/>
          <w:iCs/>
          <w:sz w:val="32"/>
          <w:szCs w:val="32"/>
          <w:lang w:val="pt-BR"/>
        </w:rPr>
        <w:t>1,4-cineol e 1,8-cineol</w:t>
      </w:r>
      <w:r w:rsidRPr="00635F99">
        <w:rPr>
          <w:sz w:val="32"/>
          <w:lang w:val="pt-BR"/>
        </w:rPr>
        <w:t xml:space="preserve"> </w:t>
      </w:r>
      <w:r w:rsidR="004C6215">
        <w:rPr>
          <w:sz w:val="32"/>
          <w:lang w:val="pt-BR"/>
        </w:rPr>
        <w:t xml:space="preserve">catalisada por </w:t>
      </w:r>
      <w:r w:rsidR="004C6215" w:rsidRPr="00ED5396">
        <w:rPr>
          <w:rFonts w:cs="Helvetica"/>
          <w:bCs/>
          <w:iCs/>
          <w:sz w:val="32"/>
          <w:szCs w:val="32"/>
          <w:lang w:val="pt-BR"/>
        </w:rPr>
        <w:t>Cs</w:t>
      </w:r>
      <w:r w:rsidR="004C6215" w:rsidRPr="00ED5396">
        <w:rPr>
          <w:rFonts w:cs="Helvetica"/>
          <w:bCs/>
          <w:iCs/>
          <w:sz w:val="32"/>
          <w:szCs w:val="32"/>
          <w:vertAlign w:val="subscript"/>
          <w:lang w:val="pt-BR"/>
        </w:rPr>
        <w:t>2,5</w:t>
      </w:r>
      <w:r w:rsidR="004C6215" w:rsidRPr="00ED5396">
        <w:rPr>
          <w:rFonts w:cs="Helvetica"/>
          <w:bCs/>
          <w:iCs/>
          <w:sz w:val="32"/>
          <w:szCs w:val="32"/>
          <w:lang w:val="pt-BR"/>
        </w:rPr>
        <w:t>H</w:t>
      </w:r>
      <w:r w:rsidR="004C6215" w:rsidRPr="00ED5396">
        <w:rPr>
          <w:rFonts w:cs="Helvetica"/>
          <w:bCs/>
          <w:iCs/>
          <w:sz w:val="32"/>
          <w:szCs w:val="32"/>
          <w:vertAlign w:val="subscript"/>
          <w:lang w:val="pt-BR"/>
        </w:rPr>
        <w:t>0,5</w:t>
      </w:r>
      <w:r w:rsidR="004C6215" w:rsidRPr="00ED5396">
        <w:rPr>
          <w:rFonts w:cs="Helvetica"/>
          <w:bCs/>
          <w:iCs/>
          <w:sz w:val="32"/>
          <w:szCs w:val="32"/>
          <w:lang w:val="pt-BR"/>
        </w:rPr>
        <w:t>PW</w:t>
      </w:r>
      <w:r w:rsidR="004C6215" w:rsidRPr="00ED5396">
        <w:rPr>
          <w:rFonts w:cs="Helvetica"/>
          <w:bCs/>
          <w:iCs/>
          <w:sz w:val="32"/>
          <w:szCs w:val="32"/>
          <w:vertAlign w:val="subscript"/>
          <w:lang w:val="pt-BR"/>
        </w:rPr>
        <w:t>12</w:t>
      </w:r>
      <w:r w:rsidR="004C6215" w:rsidRPr="00ED5396">
        <w:rPr>
          <w:rFonts w:cs="Helvetica"/>
          <w:bCs/>
          <w:iCs/>
          <w:sz w:val="32"/>
          <w:szCs w:val="32"/>
          <w:lang w:val="pt-BR"/>
        </w:rPr>
        <w:t>O</w:t>
      </w:r>
      <w:r w:rsidR="004C6215" w:rsidRPr="00ED5396">
        <w:rPr>
          <w:rFonts w:cs="Helvetica"/>
          <w:bCs/>
          <w:iCs/>
          <w:sz w:val="32"/>
          <w:szCs w:val="32"/>
          <w:vertAlign w:val="subscript"/>
          <w:lang w:val="pt-BR"/>
        </w:rPr>
        <w:t>40</w:t>
      </w:r>
      <w:r w:rsidR="004C6215" w:rsidRPr="006B7C36">
        <w:rPr>
          <w:rFonts w:ascii="Times New Roman" w:hAnsi="Times New Roman"/>
          <w:b w:val="0"/>
          <w:iCs/>
          <w:sz w:val="20"/>
          <w:lang w:val="pt-BR"/>
        </w:rPr>
        <w:t xml:space="preserve"> </w:t>
      </w:r>
      <w:r w:rsidR="004C6215">
        <w:rPr>
          <w:sz w:val="32"/>
          <w:lang w:val="pt-BR"/>
        </w:rPr>
        <w:t xml:space="preserve">em </w:t>
      </w:r>
      <w:r w:rsidRPr="00635F99">
        <w:rPr>
          <w:sz w:val="32"/>
          <w:lang w:val="pt-BR"/>
        </w:rPr>
        <w:t xml:space="preserve">solventes </w:t>
      </w:r>
      <w:r w:rsidR="004C6215">
        <w:rPr>
          <w:sz w:val="32"/>
          <w:lang w:val="pt-BR"/>
        </w:rPr>
        <w:t>verdes</w:t>
      </w:r>
    </w:p>
    <w:p w14:paraId="18735493" w14:textId="43B1C9E0" w:rsidR="00EA4E1B" w:rsidRPr="004D4B3A" w:rsidRDefault="00700524" w:rsidP="00EA4E1B">
      <w:pPr>
        <w:pStyle w:val="BBAuthorName"/>
        <w:spacing w:after="120"/>
        <w:ind w:right="0"/>
        <w:jc w:val="both"/>
        <w:rPr>
          <w:rFonts w:ascii="Times New Roman" w:hAnsi="Times New Roman"/>
          <w:sz w:val="20"/>
          <w:lang w:val="pt-BR"/>
        </w:rPr>
      </w:pPr>
      <w:r w:rsidRPr="004D4B3A">
        <w:rPr>
          <w:rFonts w:ascii="Times New Roman" w:hAnsi="Times New Roman"/>
          <w:sz w:val="20"/>
          <w:lang w:val="pt-BR"/>
        </w:rPr>
        <w:t>Núbia L. Lataliza-Carvalho</w:t>
      </w:r>
      <w:r w:rsidRPr="004D4B3A">
        <w:rPr>
          <w:rFonts w:ascii="Times New Roman" w:hAnsi="Times New Roman"/>
          <w:sz w:val="20"/>
          <w:vertAlign w:val="superscript"/>
          <w:lang w:val="pt-BR"/>
        </w:rPr>
        <w:t>1</w:t>
      </w:r>
      <w:r w:rsidR="00C55185">
        <w:rPr>
          <w:rFonts w:ascii="Times New Roman" w:hAnsi="Times New Roman"/>
          <w:sz w:val="20"/>
          <w:vertAlign w:val="superscript"/>
          <w:lang w:val="pt-BR"/>
        </w:rPr>
        <w:t>*</w:t>
      </w:r>
      <w:r w:rsidRPr="004D4B3A">
        <w:rPr>
          <w:rFonts w:ascii="Times New Roman" w:hAnsi="Times New Roman"/>
          <w:sz w:val="20"/>
          <w:lang w:val="pt-BR"/>
        </w:rPr>
        <w:t>, Rafaela F. Cotta</w:t>
      </w:r>
      <w:r w:rsidRPr="004D4B3A">
        <w:rPr>
          <w:rFonts w:ascii="Times New Roman" w:hAnsi="Times New Roman"/>
          <w:sz w:val="20"/>
          <w:vertAlign w:val="superscript"/>
          <w:lang w:val="pt-BR"/>
        </w:rPr>
        <w:t>1</w:t>
      </w:r>
      <w:r w:rsidRPr="004D4B3A">
        <w:rPr>
          <w:rFonts w:ascii="Times New Roman" w:hAnsi="Times New Roman"/>
          <w:sz w:val="20"/>
          <w:lang w:val="pt-BR"/>
        </w:rPr>
        <w:t>, Rafael A. Martins</w:t>
      </w:r>
      <w:r w:rsidRPr="004D4B3A">
        <w:rPr>
          <w:rFonts w:ascii="Times New Roman" w:hAnsi="Times New Roman"/>
          <w:sz w:val="20"/>
          <w:vertAlign w:val="superscript"/>
          <w:lang w:val="pt-BR"/>
        </w:rPr>
        <w:t>1</w:t>
      </w:r>
      <w:r w:rsidRPr="004D4B3A">
        <w:rPr>
          <w:rFonts w:ascii="Times New Roman" w:hAnsi="Times New Roman"/>
          <w:sz w:val="20"/>
          <w:lang w:val="pt-BR"/>
        </w:rPr>
        <w:t>, Kelly A. da Silva Rocha</w:t>
      </w:r>
      <w:r w:rsidRPr="004D4B3A">
        <w:rPr>
          <w:rFonts w:ascii="Times New Roman" w:hAnsi="Times New Roman"/>
          <w:sz w:val="20"/>
          <w:vertAlign w:val="superscript"/>
          <w:lang w:val="pt-BR"/>
        </w:rPr>
        <w:t>2</w:t>
      </w:r>
      <w:r w:rsidRPr="004D4B3A">
        <w:rPr>
          <w:rFonts w:ascii="Times New Roman" w:hAnsi="Times New Roman"/>
          <w:sz w:val="20"/>
          <w:lang w:val="pt-BR"/>
        </w:rPr>
        <w:t>, Elena F. Kozhevnikova</w:t>
      </w:r>
      <w:r w:rsidRPr="004D4B3A">
        <w:rPr>
          <w:rFonts w:ascii="Times New Roman" w:hAnsi="Times New Roman"/>
          <w:sz w:val="20"/>
          <w:vertAlign w:val="superscript"/>
          <w:lang w:val="pt-BR"/>
        </w:rPr>
        <w:t>3</w:t>
      </w:r>
      <w:r w:rsidRPr="004D4B3A">
        <w:rPr>
          <w:rFonts w:ascii="Times New Roman" w:hAnsi="Times New Roman"/>
          <w:sz w:val="20"/>
          <w:lang w:val="pt-BR"/>
        </w:rPr>
        <w:t>, Ivan V. Kozhevnikov</w:t>
      </w:r>
      <w:r w:rsidRPr="004D4B3A">
        <w:rPr>
          <w:rFonts w:ascii="Times New Roman" w:hAnsi="Times New Roman"/>
          <w:sz w:val="20"/>
          <w:vertAlign w:val="superscript"/>
          <w:lang w:val="pt-BR"/>
        </w:rPr>
        <w:t>3</w:t>
      </w:r>
      <w:r w:rsidRPr="004D4B3A">
        <w:rPr>
          <w:rFonts w:ascii="Times New Roman" w:hAnsi="Times New Roman"/>
          <w:sz w:val="20"/>
          <w:lang w:val="pt-BR"/>
        </w:rPr>
        <w:t xml:space="preserve"> e Elena V. Gusevskaya</w:t>
      </w:r>
      <w:r w:rsidRPr="004D4B3A">
        <w:rPr>
          <w:rFonts w:ascii="Times New Roman" w:hAnsi="Times New Roman"/>
          <w:sz w:val="20"/>
          <w:vertAlign w:val="superscript"/>
          <w:lang w:val="pt-BR"/>
        </w:rPr>
        <w:t>1</w:t>
      </w:r>
      <w:r w:rsidRPr="004D4B3A">
        <w:rPr>
          <w:rFonts w:ascii="Times New Roman" w:hAnsi="Times New Roman"/>
          <w:sz w:val="20"/>
          <w:lang w:val="pt-BR"/>
        </w:rPr>
        <w:t>.</w:t>
      </w:r>
    </w:p>
    <w:p w14:paraId="102855F8" w14:textId="2E3E69D6" w:rsidR="00700524" w:rsidRPr="004D4B3A" w:rsidRDefault="00700524" w:rsidP="00700524">
      <w:pPr>
        <w:pStyle w:val="BCAuthorAddress"/>
        <w:spacing w:after="0"/>
        <w:ind w:right="-2"/>
        <w:jc w:val="both"/>
        <w:rPr>
          <w:lang w:val="pt-BR"/>
        </w:rPr>
      </w:pPr>
      <w:r w:rsidRPr="004D4B3A">
        <w:rPr>
          <w:vertAlign w:val="superscript"/>
          <w:lang w:val="pt-BR"/>
        </w:rPr>
        <w:t>1</w:t>
      </w:r>
      <w:r w:rsidRPr="004D4B3A">
        <w:rPr>
          <w:lang w:val="pt-BR"/>
        </w:rPr>
        <w:t>Departamento de Química, Universidade Federal de Minas Gerais, 31270-901, Belo Horizonte, MG, Brasil.</w:t>
      </w:r>
    </w:p>
    <w:p w14:paraId="7676B8DF" w14:textId="77777777" w:rsidR="00700524" w:rsidRPr="004D4B3A" w:rsidRDefault="00700524" w:rsidP="00700524">
      <w:pPr>
        <w:pStyle w:val="BCAuthorAddress"/>
        <w:spacing w:after="0"/>
        <w:ind w:right="-2"/>
        <w:jc w:val="both"/>
        <w:rPr>
          <w:lang w:val="pt-BR"/>
        </w:rPr>
      </w:pPr>
      <w:r w:rsidRPr="004D4B3A">
        <w:rPr>
          <w:vertAlign w:val="superscript"/>
          <w:lang w:val="pt-BR"/>
        </w:rPr>
        <w:t>2</w:t>
      </w:r>
      <w:r w:rsidRPr="004D4B3A">
        <w:rPr>
          <w:lang w:val="pt-BR"/>
        </w:rPr>
        <w:t>Departamento de Química, Universidade Federal de Ouro Preto, 35400-000, Ouro Preto, MG, Brasil.</w:t>
      </w:r>
    </w:p>
    <w:p w14:paraId="439F428A" w14:textId="77777777" w:rsidR="00700524" w:rsidRPr="00B268E5" w:rsidRDefault="00700524" w:rsidP="00700524">
      <w:pPr>
        <w:pStyle w:val="BCAuthorAddress"/>
        <w:spacing w:after="0"/>
        <w:ind w:right="-2"/>
        <w:jc w:val="both"/>
      </w:pPr>
      <w:r w:rsidRPr="00B268E5">
        <w:rPr>
          <w:vertAlign w:val="superscript"/>
        </w:rPr>
        <w:t>3</w:t>
      </w:r>
      <w:r w:rsidRPr="00B268E5">
        <w:t>Department of Chemistry, University of Liverpool, Liverpool L69 7ZD, UK.</w:t>
      </w:r>
    </w:p>
    <w:p w14:paraId="4B5E7AA6" w14:textId="02940900" w:rsidR="0072251E" w:rsidRPr="004D4B3A" w:rsidRDefault="00700524" w:rsidP="00571C97">
      <w:pPr>
        <w:pStyle w:val="BCAuthorAddress"/>
        <w:spacing w:after="200"/>
        <w:ind w:right="-2"/>
        <w:jc w:val="both"/>
        <w:rPr>
          <w:color w:val="0563C1" w:themeColor="hyperlink"/>
          <w:u w:val="single"/>
          <w:lang w:val="pt-BR"/>
        </w:rPr>
      </w:pPr>
      <w:r w:rsidRPr="004D4B3A">
        <w:rPr>
          <w:lang w:val="pt-BR"/>
        </w:rPr>
        <w:t xml:space="preserve">* Autor para correspondência: </w:t>
      </w:r>
      <w:hyperlink r:id="rId8" w:history="1">
        <w:r w:rsidRPr="004D4B3A">
          <w:rPr>
            <w:rStyle w:val="Hyperlink"/>
            <w:lang w:val="pt-BR"/>
          </w:rPr>
          <w:t>nubialataliza@hotmail.com</w:t>
        </w:r>
      </w:hyperlink>
    </w:p>
    <w:bookmarkEnd w:id="0"/>
    <w:p w14:paraId="238E7EC1" w14:textId="461E13C3" w:rsidR="00AF0400" w:rsidRPr="004D4B3A" w:rsidRDefault="00AF0400" w:rsidP="00EA4E1B">
      <w:pPr>
        <w:pStyle w:val="BDAbstract"/>
        <w:spacing w:before="0" w:after="0" w:line="240" w:lineRule="auto"/>
        <w:rPr>
          <w:rFonts w:ascii="Times New Roman" w:hAnsi="Times New Roman"/>
          <w:b w:val="0"/>
          <w:sz w:val="20"/>
          <w:lang w:val="pt-BR"/>
        </w:rPr>
      </w:pPr>
      <w:r w:rsidRPr="004D4B3A">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4BB64DCD" w:rsidR="0072753C" w:rsidRPr="008C1B30" w:rsidRDefault="0072753C"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255FB7">
                              <w:rPr>
                                <w:rFonts w:cs="Helvetica"/>
                                <w:bCs/>
                                <w:sz w:val="20"/>
                                <w:lang w:val="pt-BR"/>
                              </w:rPr>
                              <w:t xml:space="preserve"> | </w:t>
                            </w:r>
                            <w:r w:rsidRPr="008C1B30">
                              <w:rPr>
                                <w:rFonts w:cs="Helvetica"/>
                                <w:bCs/>
                                <w:sz w:val="20"/>
                                <w:lang w:val="pt-BR"/>
                              </w:rPr>
                              <w:t xml:space="preserve">Abstract </w:t>
                            </w:r>
                          </w:p>
                          <w:p w14:paraId="7638102C" w14:textId="04A73240" w:rsidR="0072753C" w:rsidRPr="008C1B30" w:rsidRDefault="0072753C"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" fillcolor="#9a0000" stroked="f" strokeweight="1pt">
                <v:textbox inset=",0,,0">
                  <w:txbxContent>
                    <w:p w14:paraId="3D0F07B3" w14:textId="4BB64DCD" w:rsidR="0072753C" w:rsidRPr="008C1B30" w:rsidRDefault="0072753C" w:rsidP="008C1B30">
                      <w:pPr>
                        <w:pStyle w:val="BDAbstract"/>
                        <w:spacing w:before="0" w:after="0" w:line="240" w:lineRule="auto"/>
                        <w:jc w:val="center"/>
                        <w:rPr>
                          <w:rFonts w:cs="Helvetica"/>
                          <w:bCs/>
                          <w:sz w:val="20"/>
                          <w:lang w:val="pt-BR"/>
                        </w:rPr>
                      </w:pPr>
                      <w:r w:rsidRPr="008C1B30">
                        <w:rPr>
                          <w:rFonts w:cs="Helvetica"/>
                          <w:bCs/>
                          <w:sz w:val="20"/>
                          <w:lang w:val="pt-BR"/>
                        </w:rPr>
                        <w:t>Resumo</w:t>
                      </w:r>
                      <w:r w:rsidR="00255FB7">
                        <w:rPr>
                          <w:rFonts w:cs="Helvetica"/>
                          <w:bCs/>
                          <w:sz w:val="20"/>
                          <w:lang w:val="pt-BR"/>
                        </w:rPr>
                        <w:t xml:space="preserve"> | </w:t>
                      </w:r>
                      <w:r w:rsidRPr="008C1B30">
                        <w:rPr>
                          <w:rFonts w:cs="Helvetica"/>
                          <w:bCs/>
                          <w:sz w:val="20"/>
                          <w:lang w:val="pt-BR"/>
                        </w:rPr>
                        <w:t xml:space="preserve">Abstract </w:t>
                      </w:r>
                    </w:p>
                    <w:p w14:paraId="7638102C" w14:textId="04A73240" w:rsidR="0072753C" w:rsidRPr="008C1B30" w:rsidRDefault="0072753C" w:rsidP="008C1B30">
                      <w:pPr>
                        <w:pStyle w:val="SemEspaamento"/>
                      </w:pPr>
                    </w:p>
                  </w:txbxContent>
                </v:textbox>
                <w10:wrap anchorx="margin"/>
              </v:rect>
            </w:pict>
          </mc:Fallback>
        </mc:AlternateContent>
      </w:r>
    </w:p>
    <w:p w14:paraId="4A5DDA03" w14:textId="738EF898" w:rsidR="00AF0400" w:rsidRPr="004D4B3A" w:rsidRDefault="00AF0400" w:rsidP="00EA4E1B">
      <w:pPr>
        <w:pStyle w:val="BDAbstract"/>
        <w:spacing w:before="0" w:after="0" w:line="240" w:lineRule="auto"/>
        <w:rPr>
          <w:rFonts w:ascii="Times New Roman" w:hAnsi="Times New Roman"/>
          <w:b w:val="0"/>
          <w:sz w:val="20"/>
          <w:lang w:val="pt-BR"/>
        </w:rPr>
      </w:pPr>
    </w:p>
    <w:p w14:paraId="1023082E" w14:textId="54C8966B" w:rsidR="004F1D89" w:rsidRPr="008F11D9" w:rsidRDefault="00EA4E1B" w:rsidP="008D1533">
      <w:pPr>
        <w:pStyle w:val="BDAbstract"/>
        <w:spacing w:before="0" w:after="0" w:line="240" w:lineRule="auto"/>
        <w:rPr>
          <w:rFonts w:ascii="Times New Roman" w:hAnsi="Times New Roman"/>
          <w:b w:val="0"/>
          <w:iCs/>
          <w:sz w:val="20"/>
          <w:lang w:val="pt-BR"/>
        </w:rPr>
      </w:pPr>
      <w:r w:rsidRPr="008F11D9">
        <w:rPr>
          <w:rFonts w:ascii="Times New Roman" w:hAnsi="Times New Roman"/>
          <w:bCs/>
          <w:sz w:val="20"/>
          <w:lang w:val="pt-BR"/>
        </w:rPr>
        <w:t>RESUMO</w:t>
      </w:r>
      <w:r w:rsidR="00DB744B" w:rsidRPr="008F11D9">
        <w:rPr>
          <w:rFonts w:ascii="Times New Roman" w:hAnsi="Times New Roman"/>
          <w:b w:val="0"/>
          <w:sz w:val="20"/>
          <w:lang w:val="pt-BR"/>
        </w:rPr>
        <w:t xml:space="preserve"> | </w:t>
      </w:r>
      <w:r w:rsidR="008D1533" w:rsidRPr="008F11D9">
        <w:rPr>
          <w:rFonts w:ascii="Times New Roman" w:hAnsi="Times New Roman"/>
          <w:b w:val="0"/>
          <w:iCs/>
          <w:sz w:val="20"/>
          <w:lang w:val="pt-BR"/>
        </w:rPr>
        <w:t xml:space="preserve">Os óleos essenciais de eucalipto são </w:t>
      </w:r>
      <w:r w:rsidR="00134B0F">
        <w:rPr>
          <w:rFonts w:ascii="Times New Roman" w:hAnsi="Times New Roman"/>
          <w:b w:val="0"/>
          <w:iCs/>
          <w:sz w:val="20"/>
          <w:lang w:val="pt-BR"/>
        </w:rPr>
        <w:t>fonte</w:t>
      </w:r>
      <w:r w:rsidR="008D1533" w:rsidRPr="008F11D9">
        <w:rPr>
          <w:rFonts w:ascii="Times New Roman" w:hAnsi="Times New Roman"/>
          <w:b w:val="0"/>
          <w:iCs/>
          <w:sz w:val="20"/>
          <w:lang w:val="pt-BR"/>
        </w:rPr>
        <w:t xml:space="preserve"> barata</w:t>
      </w:r>
      <w:r w:rsidR="00134B0F">
        <w:rPr>
          <w:rFonts w:ascii="Times New Roman" w:hAnsi="Times New Roman"/>
          <w:b w:val="0"/>
          <w:iCs/>
          <w:sz w:val="20"/>
          <w:lang w:val="pt-BR"/>
        </w:rPr>
        <w:t>,</w:t>
      </w:r>
      <w:r w:rsidR="008D1533" w:rsidRPr="008F11D9">
        <w:rPr>
          <w:rFonts w:ascii="Times New Roman" w:hAnsi="Times New Roman"/>
          <w:b w:val="0"/>
          <w:iCs/>
          <w:sz w:val="20"/>
          <w:lang w:val="pt-BR"/>
        </w:rPr>
        <w:t xml:space="preserve"> abundante e de baixo custo de monoterpenos cíclicos</w:t>
      </w:r>
      <w:r w:rsidR="00134B0F">
        <w:rPr>
          <w:rFonts w:ascii="Times New Roman" w:hAnsi="Times New Roman"/>
          <w:b w:val="0"/>
          <w:iCs/>
          <w:sz w:val="20"/>
          <w:lang w:val="pt-BR"/>
        </w:rPr>
        <w:t>, tais</w:t>
      </w:r>
      <w:r w:rsidR="008D1533" w:rsidRPr="008F11D9">
        <w:rPr>
          <w:rFonts w:ascii="Times New Roman" w:hAnsi="Times New Roman"/>
          <w:b w:val="0"/>
          <w:iCs/>
          <w:sz w:val="20"/>
          <w:lang w:val="pt-BR"/>
        </w:rPr>
        <w:t xml:space="preserve"> como 1,4-cineol e 1,8-cineol, </w:t>
      </w:r>
      <w:r w:rsidR="004C6215">
        <w:rPr>
          <w:rFonts w:ascii="Times New Roman" w:hAnsi="Times New Roman"/>
          <w:b w:val="0"/>
          <w:iCs/>
          <w:sz w:val="20"/>
          <w:lang w:val="pt-BR"/>
        </w:rPr>
        <w:t>os quais</w:t>
      </w:r>
      <w:r w:rsidR="008D1533" w:rsidRPr="008F11D9">
        <w:rPr>
          <w:rFonts w:ascii="Times New Roman" w:hAnsi="Times New Roman"/>
          <w:b w:val="0"/>
          <w:iCs/>
          <w:sz w:val="20"/>
          <w:lang w:val="pt-BR"/>
        </w:rPr>
        <w:t xml:space="preserve"> podem ser utilizados na obtenção de compostos terpênicos de maior valor agregado. Neste trabalho, foi investigada a acetilação desses substratos utilizando anidrido acético </w:t>
      </w:r>
      <w:r w:rsidR="00D37BD0">
        <w:rPr>
          <w:rFonts w:ascii="Times New Roman" w:hAnsi="Times New Roman"/>
          <w:b w:val="0"/>
          <w:iCs/>
          <w:sz w:val="20"/>
          <w:lang w:val="pt-BR"/>
        </w:rPr>
        <w:t xml:space="preserve">como agente acetilante </w:t>
      </w:r>
      <w:r w:rsidR="008D1533" w:rsidRPr="008F11D9">
        <w:rPr>
          <w:rFonts w:ascii="Times New Roman" w:hAnsi="Times New Roman"/>
          <w:b w:val="0"/>
          <w:iCs/>
          <w:sz w:val="20"/>
          <w:lang w:val="pt-BR"/>
        </w:rPr>
        <w:t xml:space="preserve">e o sal de heteropoliácido </w:t>
      </w:r>
      <w:r w:rsidR="00255FB7" w:rsidRPr="00ED5396">
        <w:rPr>
          <w:rFonts w:ascii="Times New Roman" w:hAnsi="Times New Roman"/>
          <w:b w:val="0"/>
          <w:iCs/>
          <w:sz w:val="20"/>
          <w:lang w:val="pt-BR"/>
        </w:rPr>
        <w:t>Cs</w:t>
      </w:r>
      <w:r w:rsidR="00255FB7" w:rsidRPr="00ED5396">
        <w:rPr>
          <w:rFonts w:ascii="Times New Roman" w:hAnsi="Times New Roman"/>
          <w:b w:val="0"/>
          <w:iCs/>
          <w:sz w:val="20"/>
          <w:vertAlign w:val="subscript"/>
          <w:lang w:val="pt-BR"/>
        </w:rPr>
        <w:t>2,5</w:t>
      </w:r>
      <w:r w:rsidR="00255FB7" w:rsidRPr="00ED5396">
        <w:rPr>
          <w:rFonts w:ascii="Times New Roman" w:hAnsi="Times New Roman"/>
          <w:b w:val="0"/>
          <w:iCs/>
          <w:sz w:val="20"/>
          <w:lang w:val="pt-BR"/>
        </w:rPr>
        <w:t>H</w:t>
      </w:r>
      <w:r w:rsidR="00255FB7" w:rsidRPr="00ED5396">
        <w:rPr>
          <w:rFonts w:ascii="Times New Roman" w:hAnsi="Times New Roman"/>
          <w:b w:val="0"/>
          <w:iCs/>
          <w:sz w:val="20"/>
          <w:vertAlign w:val="subscript"/>
          <w:lang w:val="pt-BR"/>
        </w:rPr>
        <w:t>0,5</w:t>
      </w:r>
      <w:r w:rsidR="00255FB7" w:rsidRPr="00ED5396">
        <w:rPr>
          <w:rFonts w:ascii="Times New Roman" w:hAnsi="Times New Roman"/>
          <w:b w:val="0"/>
          <w:iCs/>
          <w:sz w:val="20"/>
          <w:lang w:val="pt-BR"/>
        </w:rPr>
        <w:t>PW</w:t>
      </w:r>
      <w:r w:rsidR="00255FB7" w:rsidRPr="00ED5396">
        <w:rPr>
          <w:rFonts w:ascii="Times New Roman" w:hAnsi="Times New Roman"/>
          <w:b w:val="0"/>
          <w:iCs/>
          <w:sz w:val="20"/>
          <w:vertAlign w:val="subscript"/>
          <w:lang w:val="pt-BR"/>
        </w:rPr>
        <w:t>12</w:t>
      </w:r>
      <w:r w:rsidR="00255FB7" w:rsidRPr="00ED5396">
        <w:rPr>
          <w:rFonts w:ascii="Times New Roman" w:hAnsi="Times New Roman"/>
          <w:b w:val="0"/>
          <w:iCs/>
          <w:sz w:val="20"/>
          <w:lang w:val="pt-BR"/>
        </w:rPr>
        <w:t>O</w:t>
      </w:r>
      <w:r w:rsidR="00255FB7" w:rsidRPr="00ED5396">
        <w:rPr>
          <w:rFonts w:ascii="Times New Roman" w:hAnsi="Times New Roman"/>
          <w:b w:val="0"/>
          <w:iCs/>
          <w:sz w:val="20"/>
          <w:vertAlign w:val="subscript"/>
          <w:lang w:val="pt-BR"/>
        </w:rPr>
        <w:t>40</w:t>
      </w:r>
      <w:r w:rsidR="00255FB7" w:rsidRPr="00ED5396">
        <w:rPr>
          <w:rFonts w:ascii="Times New Roman" w:hAnsi="Times New Roman"/>
          <w:b w:val="0"/>
          <w:iCs/>
          <w:sz w:val="20"/>
          <w:lang w:val="pt-BR"/>
        </w:rPr>
        <w:t xml:space="preserve"> (CsPW) </w:t>
      </w:r>
      <w:r w:rsidR="008D1533" w:rsidRPr="008F11D9">
        <w:rPr>
          <w:rFonts w:ascii="Times New Roman" w:hAnsi="Times New Roman"/>
          <w:b w:val="0"/>
          <w:iCs/>
          <w:sz w:val="20"/>
          <w:lang w:val="pt-BR"/>
        </w:rPr>
        <w:t xml:space="preserve">como catalisador heterogêneo. </w:t>
      </w:r>
      <w:r w:rsidR="008D1533" w:rsidRPr="008F11D9">
        <w:rPr>
          <w:rFonts w:ascii="Times New Roman" w:hAnsi="Times New Roman"/>
          <w:b w:val="0"/>
          <w:sz w:val="20"/>
          <w:lang w:val="pt-BR"/>
        </w:rPr>
        <w:t xml:space="preserve">Os testes catalíticos conduzidos em diferentes solventes </w:t>
      </w:r>
      <w:r w:rsidR="00AE4396">
        <w:rPr>
          <w:rFonts w:ascii="Times New Roman" w:hAnsi="Times New Roman"/>
          <w:b w:val="0"/>
          <w:sz w:val="20"/>
          <w:lang w:val="pt-BR"/>
        </w:rPr>
        <w:t>verdes</w:t>
      </w:r>
      <w:r w:rsidR="008D1533" w:rsidRPr="008F11D9">
        <w:rPr>
          <w:rFonts w:ascii="Times New Roman" w:hAnsi="Times New Roman"/>
          <w:b w:val="0"/>
          <w:sz w:val="20"/>
          <w:lang w:val="pt-BR"/>
        </w:rPr>
        <w:t xml:space="preserve"> de</w:t>
      </w:r>
      <w:r w:rsidR="008D1533" w:rsidRPr="008F11D9">
        <w:rPr>
          <w:rFonts w:ascii="Times New Roman" w:hAnsi="Times New Roman"/>
          <w:b w:val="0"/>
          <w:iCs/>
          <w:sz w:val="20"/>
          <w:lang w:val="pt-BR"/>
        </w:rPr>
        <w:t xml:space="preserve">monstraram </w:t>
      </w:r>
      <w:r w:rsidR="008D1533" w:rsidRPr="008F11D9">
        <w:rPr>
          <w:rFonts w:ascii="Times New Roman" w:hAnsi="Times New Roman"/>
          <w:b w:val="0"/>
          <w:sz w:val="20"/>
          <w:lang w:val="pt-BR"/>
        </w:rPr>
        <w:t>que é possível a obtenção de misturas</w:t>
      </w:r>
      <w:r w:rsidR="008D1533" w:rsidRPr="00635F99">
        <w:rPr>
          <w:rFonts w:ascii="Times New Roman" w:hAnsi="Times New Roman"/>
          <w:b w:val="0"/>
          <w:sz w:val="20"/>
          <w:lang w:val="pt-BR"/>
        </w:rPr>
        <w:t xml:space="preserve"> de isômeros do </w:t>
      </w:r>
      <w:r w:rsidR="008F11D9" w:rsidRPr="00635F99">
        <w:rPr>
          <w:rFonts w:ascii="Times New Roman" w:hAnsi="Times New Roman"/>
          <w:b w:val="0"/>
          <w:sz w:val="20"/>
          <w:lang w:val="pt-BR"/>
        </w:rPr>
        <w:t>acetato de terpenila</w:t>
      </w:r>
      <w:r w:rsidR="004C6215">
        <w:rPr>
          <w:rFonts w:ascii="Times New Roman" w:hAnsi="Times New Roman"/>
          <w:b w:val="0"/>
          <w:sz w:val="20"/>
          <w:lang w:val="pt-BR"/>
        </w:rPr>
        <w:t xml:space="preserve"> em bons rendimentos</w:t>
      </w:r>
      <w:r w:rsidR="008D1533" w:rsidRPr="00635F99">
        <w:rPr>
          <w:rFonts w:ascii="Times New Roman" w:hAnsi="Times New Roman"/>
          <w:b w:val="0"/>
          <w:sz w:val="20"/>
          <w:lang w:val="pt-BR"/>
        </w:rPr>
        <w:t xml:space="preserve">. </w:t>
      </w:r>
      <w:r w:rsidR="008D1533" w:rsidRPr="00635F99">
        <w:rPr>
          <w:rFonts w:ascii="Times New Roman" w:hAnsi="Times New Roman"/>
          <w:b w:val="0"/>
          <w:iCs/>
          <w:sz w:val="20"/>
          <w:lang w:val="pt-BR"/>
        </w:rPr>
        <w:t>O</w:t>
      </w:r>
      <w:r w:rsidR="008D1533" w:rsidRPr="008F11D9">
        <w:rPr>
          <w:rFonts w:ascii="Times New Roman" w:hAnsi="Times New Roman"/>
          <w:b w:val="0"/>
          <w:iCs/>
          <w:sz w:val="20"/>
          <w:lang w:val="pt-BR"/>
        </w:rPr>
        <w:t xml:space="preserve"> uso de solventes cetônicos</w:t>
      </w:r>
      <w:r w:rsidR="00134B0F">
        <w:rPr>
          <w:rFonts w:ascii="Times New Roman" w:hAnsi="Times New Roman"/>
          <w:b w:val="0"/>
          <w:iCs/>
          <w:sz w:val="20"/>
          <w:lang w:val="pt-BR"/>
        </w:rPr>
        <w:t xml:space="preserve"> e </w:t>
      </w:r>
      <w:r w:rsidR="008D1533" w:rsidRPr="008F11D9">
        <w:rPr>
          <w:rFonts w:ascii="Times New Roman" w:hAnsi="Times New Roman"/>
          <w:b w:val="0"/>
          <w:iCs/>
          <w:sz w:val="20"/>
          <w:lang w:val="pt-BR"/>
        </w:rPr>
        <w:t xml:space="preserve">temperaturas mais baixas, </w:t>
      </w:r>
      <w:r w:rsidR="00134B0F">
        <w:rPr>
          <w:rFonts w:ascii="Times New Roman" w:hAnsi="Times New Roman"/>
          <w:b w:val="0"/>
          <w:iCs/>
          <w:sz w:val="20"/>
          <w:lang w:val="pt-BR"/>
        </w:rPr>
        <w:t xml:space="preserve">permite </w:t>
      </w:r>
      <w:r w:rsidR="008D1533" w:rsidRPr="008F11D9">
        <w:rPr>
          <w:rFonts w:ascii="Times New Roman" w:hAnsi="Times New Roman"/>
          <w:b w:val="0"/>
          <w:iCs/>
          <w:sz w:val="20"/>
          <w:lang w:val="pt-BR"/>
        </w:rPr>
        <w:t xml:space="preserve">inibir a formação de produtos secundários, como isômeros de limoneno e diacetatos de </w:t>
      </w:r>
      <w:r w:rsidR="004A22D2">
        <w:rPr>
          <w:rFonts w:ascii="Times New Roman" w:hAnsi="Times New Roman"/>
          <w:b w:val="0"/>
          <w:iCs/>
          <w:sz w:val="20"/>
          <w:lang w:val="pt-BR"/>
        </w:rPr>
        <w:t>terpenila</w:t>
      </w:r>
      <w:r w:rsidR="008D1533" w:rsidRPr="008F11D9">
        <w:rPr>
          <w:rFonts w:ascii="Times New Roman" w:hAnsi="Times New Roman"/>
          <w:b w:val="0"/>
          <w:iCs/>
          <w:sz w:val="20"/>
          <w:lang w:val="pt-BR"/>
        </w:rPr>
        <w:t xml:space="preserve">. </w:t>
      </w:r>
      <w:r w:rsidR="00134B0F">
        <w:rPr>
          <w:rFonts w:ascii="Times New Roman" w:hAnsi="Times New Roman"/>
          <w:b w:val="0"/>
          <w:iCs/>
          <w:sz w:val="20"/>
          <w:lang w:val="pt-BR"/>
        </w:rPr>
        <w:t xml:space="preserve">Foi demostrado que </w:t>
      </w:r>
      <w:r w:rsidR="008D1533" w:rsidRPr="008F11D9">
        <w:rPr>
          <w:rFonts w:ascii="Times New Roman" w:hAnsi="Times New Roman"/>
          <w:b w:val="0"/>
          <w:iCs/>
          <w:sz w:val="20"/>
          <w:lang w:val="pt-BR"/>
        </w:rPr>
        <w:t xml:space="preserve">a acetilação dos cineois oferece uma via promissora para valorização destes terpenos, </w:t>
      </w:r>
      <w:r w:rsidR="00134B0F">
        <w:rPr>
          <w:rFonts w:ascii="Times New Roman" w:hAnsi="Times New Roman"/>
          <w:b w:val="0"/>
          <w:iCs/>
          <w:sz w:val="20"/>
          <w:lang w:val="pt-BR"/>
        </w:rPr>
        <w:t xml:space="preserve">sendo </w:t>
      </w:r>
      <w:r w:rsidR="008D1533" w:rsidRPr="008F11D9">
        <w:rPr>
          <w:rFonts w:ascii="Times New Roman" w:hAnsi="Times New Roman"/>
          <w:b w:val="0"/>
          <w:iCs/>
          <w:sz w:val="20"/>
          <w:lang w:val="pt-BR"/>
        </w:rPr>
        <w:t>que</w:t>
      </w:r>
      <w:r w:rsidR="00134B0F">
        <w:rPr>
          <w:rFonts w:ascii="Times New Roman" w:hAnsi="Times New Roman"/>
          <w:b w:val="0"/>
          <w:iCs/>
          <w:sz w:val="20"/>
          <w:lang w:val="pt-BR"/>
        </w:rPr>
        <w:t xml:space="preserve"> </w:t>
      </w:r>
      <w:r w:rsidR="008D1533" w:rsidRPr="008F11D9">
        <w:rPr>
          <w:rFonts w:ascii="Times New Roman" w:hAnsi="Times New Roman"/>
          <w:b w:val="0"/>
          <w:iCs/>
          <w:sz w:val="20"/>
          <w:lang w:val="pt-BR"/>
        </w:rPr>
        <w:t xml:space="preserve">o uso de solventes </w:t>
      </w:r>
      <w:r w:rsidR="00AE4396">
        <w:rPr>
          <w:rFonts w:ascii="Times New Roman" w:hAnsi="Times New Roman"/>
          <w:b w:val="0"/>
          <w:iCs/>
          <w:sz w:val="20"/>
          <w:lang w:val="pt-BR"/>
        </w:rPr>
        <w:t>verdes</w:t>
      </w:r>
      <w:r w:rsidR="008D1533" w:rsidRPr="008F11D9">
        <w:rPr>
          <w:rFonts w:ascii="Times New Roman" w:hAnsi="Times New Roman"/>
          <w:b w:val="0"/>
          <w:iCs/>
          <w:sz w:val="20"/>
          <w:lang w:val="pt-BR"/>
        </w:rPr>
        <w:t xml:space="preserve"> e CsPW como catalisador</w:t>
      </w:r>
      <w:r w:rsidR="00134B0F">
        <w:rPr>
          <w:rFonts w:ascii="Times New Roman" w:hAnsi="Times New Roman"/>
          <w:b w:val="0"/>
          <w:iCs/>
          <w:sz w:val="20"/>
          <w:lang w:val="pt-BR"/>
        </w:rPr>
        <w:t xml:space="preserve"> heterogêneo </w:t>
      </w:r>
      <w:r w:rsidR="008D1533" w:rsidRPr="008F11D9">
        <w:rPr>
          <w:rFonts w:ascii="Times New Roman" w:hAnsi="Times New Roman"/>
          <w:b w:val="0"/>
          <w:iCs/>
          <w:sz w:val="20"/>
          <w:lang w:val="pt-BR"/>
        </w:rPr>
        <w:t>torna o processo mais sustentável.</w:t>
      </w:r>
    </w:p>
    <w:p w14:paraId="5D8D4445" w14:textId="2F252327" w:rsidR="00EA4E1B" w:rsidRDefault="00EA4E1B" w:rsidP="008D1533">
      <w:pPr>
        <w:pStyle w:val="BDAbstract"/>
        <w:spacing w:before="0" w:after="100" w:line="240" w:lineRule="auto"/>
        <w:rPr>
          <w:rFonts w:ascii="Times New Roman" w:hAnsi="Times New Roman"/>
          <w:b w:val="0"/>
          <w:i/>
          <w:sz w:val="20"/>
          <w:lang w:val="pt-BR"/>
        </w:rPr>
      </w:pPr>
      <w:r w:rsidRPr="008F11D9">
        <w:rPr>
          <w:rFonts w:ascii="Times New Roman" w:hAnsi="Times New Roman"/>
          <w:bCs/>
          <w:i/>
          <w:sz w:val="20"/>
          <w:lang w:val="pt-BR"/>
        </w:rPr>
        <w:t>Palavras-chave:</w:t>
      </w:r>
      <w:r w:rsidRPr="008F11D9">
        <w:rPr>
          <w:rFonts w:ascii="Times New Roman" w:hAnsi="Times New Roman"/>
          <w:b w:val="0"/>
          <w:i/>
          <w:sz w:val="20"/>
          <w:lang w:val="pt-BR"/>
        </w:rPr>
        <w:t xml:space="preserve"> </w:t>
      </w:r>
      <w:r w:rsidR="00DB744B" w:rsidRPr="008F11D9">
        <w:rPr>
          <w:rFonts w:ascii="Times New Roman" w:hAnsi="Times New Roman"/>
          <w:b w:val="0"/>
          <w:i/>
          <w:sz w:val="20"/>
          <w:lang w:val="pt-BR"/>
        </w:rPr>
        <w:t>cineol, acetilação, heteropoliácidos, acetatos d</w:t>
      </w:r>
      <w:r w:rsidR="004A22D2">
        <w:rPr>
          <w:rFonts w:ascii="Times New Roman" w:hAnsi="Times New Roman"/>
          <w:b w:val="0"/>
          <w:i/>
          <w:sz w:val="20"/>
          <w:lang w:val="pt-BR"/>
        </w:rPr>
        <w:t>e</w:t>
      </w:r>
      <w:r w:rsidR="00DB744B" w:rsidRPr="008F11D9">
        <w:rPr>
          <w:rFonts w:ascii="Times New Roman" w:hAnsi="Times New Roman"/>
          <w:b w:val="0"/>
          <w:i/>
          <w:sz w:val="20"/>
          <w:lang w:val="pt-BR"/>
        </w:rPr>
        <w:t xml:space="preserve"> </w:t>
      </w:r>
      <w:r w:rsidR="004A22D2">
        <w:rPr>
          <w:rFonts w:ascii="Times New Roman" w:hAnsi="Times New Roman"/>
          <w:b w:val="0"/>
          <w:i/>
          <w:sz w:val="20"/>
          <w:lang w:val="pt-BR"/>
        </w:rPr>
        <w:t>terpenila</w:t>
      </w:r>
      <w:r w:rsidR="00DB744B" w:rsidRPr="008F11D9">
        <w:rPr>
          <w:rFonts w:ascii="Times New Roman" w:hAnsi="Times New Roman"/>
          <w:b w:val="0"/>
          <w:i/>
          <w:sz w:val="20"/>
          <w:lang w:val="pt-BR"/>
        </w:rPr>
        <w:t xml:space="preserve">, solventes </w:t>
      </w:r>
      <w:r w:rsidR="00AE4396">
        <w:rPr>
          <w:rFonts w:ascii="Times New Roman" w:hAnsi="Times New Roman"/>
          <w:b w:val="0"/>
          <w:i/>
          <w:sz w:val="20"/>
          <w:lang w:val="pt-BR"/>
        </w:rPr>
        <w:t>verdes</w:t>
      </w:r>
      <w:r w:rsidR="00DB744B" w:rsidRPr="008F11D9">
        <w:rPr>
          <w:rFonts w:ascii="Times New Roman" w:hAnsi="Times New Roman"/>
          <w:b w:val="0"/>
          <w:i/>
          <w:sz w:val="20"/>
          <w:lang w:val="pt-BR"/>
        </w:rPr>
        <w:t>.</w:t>
      </w:r>
    </w:p>
    <w:p w14:paraId="0F80E7D5" w14:textId="22A624AC" w:rsidR="00EA4E1B" w:rsidRPr="008F11D9" w:rsidRDefault="00EA4E1B" w:rsidP="008D1533">
      <w:pPr>
        <w:pStyle w:val="BDAbstract"/>
        <w:spacing w:before="0" w:after="0" w:line="240" w:lineRule="auto"/>
        <w:rPr>
          <w:rFonts w:ascii="Times New Roman" w:hAnsi="Times New Roman"/>
          <w:b w:val="0"/>
          <w:iCs/>
          <w:sz w:val="20"/>
        </w:rPr>
      </w:pPr>
      <w:r w:rsidRPr="008F11D9">
        <w:rPr>
          <w:rFonts w:ascii="Times New Roman" w:hAnsi="Times New Roman"/>
          <w:bCs/>
          <w:sz w:val="20"/>
        </w:rPr>
        <w:t>ABSTRACT</w:t>
      </w:r>
      <w:r w:rsidRPr="008F11D9">
        <w:rPr>
          <w:rFonts w:ascii="Times New Roman" w:hAnsi="Times New Roman"/>
          <w:b w:val="0"/>
          <w:sz w:val="20"/>
        </w:rPr>
        <w:t xml:space="preserve"> </w:t>
      </w:r>
      <w:r w:rsidR="000D6582" w:rsidRPr="008F11D9">
        <w:rPr>
          <w:rFonts w:ascii="Times New Roman" w:hAnsi="Times New Roman"/>
          <w:b w:val="0"/>
          <w:sz w:val="20"/>
        </w:rPr>
        <w:t xml:space="preserve">| </w:t>
      </w:r>
      <w:r w:rsidR="00FB224F" w:rsidRPr="008F11D9">
        <w:rPr>
          <w:rFonts w:ascii="Times New Roman" w:hAnsi="Times New Roman"/>
          <w:b w:val="0"/>
          <w:iCs/>
          <w:sz w:val="20"/>
        </w:rPr>
        <w:t>Eucalyptus essential oils are a cost-effective and abundant source of cyclic monoterpenes such as 1,4-cineol and 1,8-cineol, which can be converted into value</w:t>
      </w:r>
      <w:r w:rsidR="00134B0F">
        <w:rPr>
          <w:rFonts w:ascii="Times New Roman" w:hAnsi="Times New Roman"/>
          <w:b w:val="0"/>
          <w:iCs/>
          <w:sz w:val="20"/>
        </w:rPr>
        <w:t>-added</w:t>
      </w:r>
      <w:r w:rsidR="00FB224F" w:rsidRPr="008F11D9">
        <w:rPr>
          <w:rFonts w:ascii="Times New Roman" w:hAnsi="Times New Roman"/>
          <w:b w:val="0"/>
          <w:iCs/>
          <w:sz w:val="20"/>
        </w:rPr>
        <w:t xml:space="preserve"> terpene compounds. In this study, we investigated the acetylation of these substrates using acetic anhydride </w:t>
      </w:r>
      <w:r w:rsidR="00D37BD0">
        <w:rPr>
          <w:rFonts w:ascii="Times New Roman" w:hAnsi="Times New Roman"/>
          <w:b w:val="0"/>
          <w:iCs/>
          <w:sz w:val="20"/>
        </w:rPr>
        <w:t xml:space="preserve">as the acetylating agent </w:t>
      </w:r>
      <w:r w:rsidR="00FB224F" w:rsidRPr="008F11D9">
        <w:rPr>
          <w:rFonts w:ascii="Times New Roman" w:hAnsi="Times New Roman"/>
          <w:b w:val="0"/>
          <w:iCs/>
          <w:sz w:val="20"/>
        </w:rPr>
        <w:t>and Cs</w:t>
      </w:r>
      <w:r w:rsidR="00FB224F" w:rsidRPr="00255FB7">
        <w:rPr>
          <w:rFonts w:ascii="Times New Roman" w:hAnsi="Times New Roman"/>
          <w:b w:val="0"/>
          <w:iCs/>
          <w:sz w:val="20"/>
          <w:vertAlign w:val="subscript"/>
        </w:rPr>
        <w:t>2,5</w:t>
      </w:r>
      <w:r w:rsidR="00FB224F" w:rsidRPr="008F11D9">
        <w:rPr>
          <w:rFonts w:ascii="Times New Roman" w:hAnsi="Times New Roman"/>
          <w:b w:val="0"/>
          <w:iCs/>
          <w:sz w:val="20"/>
        </w:rPr>
        <w:t>H</w:t>
      </w:r>
      <w:r w:rsidR="00FB224F" w:rsidRPr="00255FB7">
        <w:rPr>
          <w:rFonts w:ascii="Times New Roman" w:hAnsi="Times New Roman"/>
          <w:b w:val="0"/>
          <w:iCs/>
          <w:sz w:val="20"/>
          <w:vertAlign w:val="subscript"/>
        </w:rPr>
        <w:t>0,5</w:t>
      </w:r>
      <w:r w:rsidR="00FB224F" w:rsidRPr="008F11D9">
        <w:rPr>
          <w:rFonts w:ascii="Times New Roman" w:hAnsi="Times New Roman"/>
          <w:b w:val="0"/>
          <w:iCs/>
          <w:sz w:val="20"/>
        </w:rPr>
        <w:t>PW</w:t>
      </w:r>
      <w:r w:rsidR="00FB224F" w:rsidRPr="00255FB7">
        <w:rPr>
          <w:rFonts w:ascii="Times New Roman" w:hAnsi="Times New Roman"/>
          <w:b w:val="0"/>
          <w:iCs/>
          <w:sz w:val="20"/>
          <w:vertAlign w:val="subscript"/>
        </w:rPr>
        <w:t>12</w:t>
      </w:r>
      <w:r w:rsidR="00FB224F" w:rsidRPr="008F11D9">
        <w:rPr>
          <w:rFonts w:ascii="Times New Roman" w:hAnsi="Times New Roman"/>
          <w:b w:val="0"/>
          <w:iCs/>
          <w:sz w:val="20"/>
        </w:rPr>
        <w:t>O</w:t>
      </w:r>
      <w:r w:rsidR="00FB224F" w:rsidRPr="00255FB7">
        <w:rPr>
          <w:rFonts w:ascii="Times New Roman" w:hAnsi="Times New Roman"/>
          <w:b w:val="0"/>
          <w:iCs/>
          <w:sz w:val="20"/>
          <w:vertAlign w:val="subscript"/>
        </w:rPr>
        <w:t>40</w:t>
      </w:r>
      <w:r w:rsidR="00FB224F" w:rsidRPr="008F11D9">
        <w:rPr>
          <w:rFonts w:ascii="Times New Roman" w:hAnsi="Times New Roman"/>
          <w:b w:val="0"/>
          <w:iCs/>
          <w:sz w:val="20"/>
        </w:rPr>
        <w:t xml:space="preserve"> (CsPW)</w:t>
      </w:r>
      <w:r w:rsidR="00134B0F">
        <w:rPr>
          <w:rFonts w:ascii="Times New Roman" w:hAnsi="Times New Roman"/>
          <w:b w:val="0"/>
          <w:iCs/>
          <w:sz w:val="20"/>
        </w:rPr>
        <w:t>,</w:t>
      </w:r>
      <w:r w:rsidR="00D37BD0">
        <w:rPr>
          <w:rFonts w:ascii="Times New Roman" w:hAnsi="Times New Roman"/>
          <w:b w:val="0"/>
          <w:iCs/>
          <w:sz w:val="20"/>
        </w:rPr>
        <w:t xml:space="preserve"> </w:t>
      </w:r>
      <w:r w:rsidR="00134B0F">
        <w:rPr>
          <w:rFonts w:ascii="Times New Roman" w:hAnsi="Times New Roman"/>
          <w:b w:val="0"/>
          <w:iCs/>
          <w:sz w:val="20"/>
        </w:rPr>
        <w:t>a</w:t>
      </w:r>
      <w:r w:rsidR="00FB224F" w:rsidRPr="008F11D9">
        <w:rPr>
          <w:rFonts w:ascii="Times New Roman" w:hAnsi="Times New Roman"/>
          <w:b w:val="0"/>
          <w:iCs/>
          <w:sz w:val="20"/>
        </w:rPr>
        <w:t xml:space="preserve"> heteropolyacid salt</w:t>
      </w:r>
      <w:r w:rsidR="00134B0F">
        <w:rPr>
          <w:rFonts w:ascii="Times New Roman" w:hAnsi="Times New Roman"/>
          <w:b w:val="0"/>
          <w:iCs/>
          <w:sz w:val="20"/>
        </w:rPr>
        <w:t>,</w:t>
      </w:r>
      <w:r w:rsidR="00FB224F" w:rsidRPr="008F11D9">
        <w:rPr>
          <w:rFonts w:ascii="Times New Roman" w:hAnsi="Times New Roman"/>
          <w:b w:val="0"/>
          <w:iCs/>
          <w:sz w:val="20"/>
        </w:rPr>
        <w:t xml:space="preserve"> as </w:t>
      </w:r>
      <w:r w:rsidR="00D37BD0">
        <w:rPr>
          <w:rFonts w:ascii="Times New Roman" w:hAnsi="Times New Roman"/>
          <w:b w:val="0"/>
          <w:iCs/>
          <w:sz w:val="20"/>
        </w:rPr>
        <w:t>the</w:t>
      </w:r>
      <w:r w:rsidR="00FB224F" w:rsidRPr="008F11D9">
        <w:rPr>
          <w:rFonts w:ascii="Times New Roman" w:hAnsi="Times New Roman"/>
          <w:b w:val="0"/>
          <w:iCs/>
          <w:sz w:val="20"/>
        </w:rPr>
        <w:t xml:space="preserve"> catalyst. </w:t>
      </w:r>
      <w:r w:rsidR="00134B0F">
        <w:rPr>
          <w:rFonts w:ascii="Times New Roman" w:hAnsi="Times New Roman"/>
          <w:b w:val="0"/>
          <w:iCs/>
          <w:sz w:val="20"/>
        </w:rPr>
        <w:t>The runs performed in</w:t>
      </w:r>
      <w:r w:rsidR="00FB224F" w:rsidRPr="008F11D9">
        <w:rPr>
          <w:rFonts w:ascii="Times New Roman" w:hAnsi="Times New Roman"/>
          <w:b w:val="0"/>
          <w:iCs/>
          <w:sz w:val="20"/>
        </w:rPr>
        <w:t xml:space="preserve"> various </w:t>
      </w:r>
      <w:r w:rsidR="00AE4396">
        <w:rPr>
          <w:rFonts w:ascii="Times New Roman" w:hAnsi="Times New Roman"/>
          <w:b w:val="0"/>
          <w:iCs/>
          <w:sz w:val="20"/>
        </w:rPr>
        <w:t xml:space="preserve">green </w:t>
      </w:r>
      <w:r w:rsidR="00FB224F" w:rsidRPr="008F11D9">
        <w:rPr>
          <w:rFonts w:ascii="Times New Roman" w:hAnsi="Times New Roman"/>
          <w:b w:val="0"/>
          <w:iCs/>
          <w:sz w:val="20"/>
        </w:rPr>
        <w:t xml:space="preserve">solvents showed that </w:t>
      </w:r>
      <w:r w:rsidR="007A75FD">
        <w:rPr>
          <w:rFonts w:ascii="Times New Roman" w:hAnsi="Times New Roman"/>
          <w:b w:val="0"/>
          <w:iCs/>
          <w:sz w:val="20"/>
        </w:rPr>
        <w:t>a</w:t>
      </w:r>
      <w:r w:rsidR="00134B0F">
        <w:rPr>
          <w:rFonts w:ascii="Times New Roman" w:hAnsi="Times New Roman"/>
          <w:b w:val="0"/>
          <w:iCs/>
          <w:sz w:val="20"/>
        </w:rPr>
        <w:t xml:space="preserve"> mixture of isomeric </w:t>
      </w:r>
      <w:r w:rsidR="00FB224F" w:rsidRPr="008F11D9">
        <w:rPr>
          <w:rFonts w:ascii="Times New Roman" w:hAnsi="Times New Roman"/>
          <w:b w:val="0"/>
          <w:iCs/>
          <w:sz w:val="20"/>
        </w:rPr>
        <w:t>terp</w:t>
      </w:r>
      <w:r w:rsidR="004A22D2">
        <w:rPr>
          <w:rFonts w:ascii="Times New Roman" w:hAnsi="Times New Roman"/>
          <w:b w:val="0"/>
          <w:iCs/>
          <w:sz w:val="20"/>
        </w:rPr>
        <w:t>e</w:t>
      </w:r>
      <w:r w:rsidR="00FB224F" w:rsidRPr="008F11D9">
        <w:rPr>
          <w:rFonts w:ascii="Times New Roman" w:hAnsi="Times New Roman"/>
          <w:b w:val="0"/>
          <w:iCs/>
          <w:sz w:val="20"/>
        </w:rPr>
        <w:t>n</w:t>
      </w:r>
      <w:r w:rsidR="004A22D2">
        <w:rPr>
          <w:rFonts w:ascii="Times New Roman" w:hAnsi="Times New Roman"/>
          <w:b w:val="0"/>
          <w:iCs/>
          <w:sz w:val="20"/>
        </w:rPr>
        <w:t>yl</w:t>
      </w:r>
      <w:r w:rsidR="00FB224F" w:rsidRPr="008F11D9">
        <w:rPr>
          <w:rFonts w:ascii="Times New Roman" w:hAnsi="Times New Roman"/>
          <w:b w:val="0"/>
          <w:iCs/>
          <w:sz w:val="20"/>
        </w:rPr>
        <w:t xml:space="preserve"> acetate</w:t>
      </w:r>
      <w:r w:rsidR="00134B0F">
        <w:rPr>
          <w:rFonts w:ascii="Times New Roman" w:hAnsi="Times New Roman"/>
          <w:b w:val="0"/>
          <w:iCs/>
          <w:sz w:val="20"/>
        </w:rPr>
        <w:t>s</w:t>
      </w:r>
      <w:r w:rsidR="00FB224F" w:rsidRPr="008F11D9">
        <w:rPr>
          <w:rFonts w:ascii="Times New Roman" w:hAnsi="Times New Roman"/>
          <w:b w:val="0"/>
          <w:iCs/>
          <w:sz w:val="20"/>
        </w:rPr>
        <w:t xml:space="preserve"> could be obtained</w:t>
      </w:r>
      <w:r w:rsidR="00134B0F">
        <w:rPr>
          <w:rFonts w:ascii="Times New Roman" w:hAnsi="Times New Roman"/>
          <w:b w:val="0"/>
          <w:iCs/>
          <w:sz w:val="20"/>
        </w:rPr>
        <w:t xml:space="preserve"> in good yields</w:t>
      </w:r>
      <w:r w:rsidR="007A75FD">
        <w:rPr>
          <w:rFonts w:ascii="Times New Roman" w:hAnsi="Times New Roman"/>
          <w:b w:val="0"/>
          <w:iCs/>
          <w:sz w:val="20"/>
        </w:rPr>
        <w:t xml:space="preserve"> in these reactions.</w:t>
      </w:r>
      <w:r w:rsidR="00FB224F" w:rsidRPr="008F11D9">
        <w:rPr>
          <w:rFonts w:ascii="Times New Roman" w:hAnsi="Times New Roman"/>
          <w:b w:val="0"/>
          <w:iCs/>
          <w:sz w:val="20"/>
        </w:rPr>
        <w:t xml:space="preserve"> </w:t>
      </w:r>
      <w:r w:rsidR="007A75FD">
        <w:rPr>
          <w:rFonts w:ascii="Times New Roman" w:hAnsi="Times New Roman"/>
          <w:b w:val="0"/>
          <w:iCs/>
          <w:sz w:val="20"/>
        </w:rPr>
        <w:t xml:space="preserve">The </w:t>
      </w:r>
      <w:r w:rsidR="00FB224F" w:rsidRPr="008F11D9">
        <w:rPr>
          <w:rFonts w:ascii="Times New Roman" w:hAnsi="Times New Roman"/>
          <w:b w:val="0"/>
          <w:iCs/>
          <w:sz w:val="20"/>
        </w:rPr>
        <w:t>us</w:t>
      </w:r>
      <w:r w:rsidR="007A75FD">
        <w:rPr>
          <w:rFonts w:ascii="Times New Roman" w:hAnsi="Times New Roman"/>
          <w:b w:val="0"/>
          <w:iCs/>
          <w:sz w:val="20"/>
        </w:rPr>
        <w:t>e of</w:t>
      </w:r>
      <w:r w:rsidR="00FB224F" w:rsidRPr="008F11D9">
        <w:rPr>
          <w:rFonts w:ascii="Times New Roman" w:hAnsi="Times New Roman"/>
          <w:b w:val="0"/>
          <w:iCs/>
          <w:sz w:val="20"/>
        </w:rPr>
        <w:t xml:space="preserve"> keton</w:t>
      </w:r>
      <w:r w:rsidR="008076D3">
        <w:rPr>
          <w:rFonts w:ascii="Times New Roman" w:hAnsi="Times New Roman"/>
          <w:b w:val="0"/>
          <w:iCs/>
          <w:sz w:val="20"/>
        </w:rPr>
        <w:t>ic</w:t>
      </w:r>
      <w:r w:rsidR="00FB224F" w:rsidRPr="008F11D9">
        <w:rPr>
          <w:rFonts w:ascii="Times New Roman" w:hAnsi="Times New Roman"/>
          <w:b w:val="0"/>
          <w:iCs/>
          <w:sz w:val="20"/>
        </w:rPr>
        <w:t xml:space="preserve"> solvent</w:t>
      </w:r>
      <w:r w:rsidR="007E60EF">
        <w:rPr>
          <w:rFonts w:ascii="Times New Roman" w:hAnsi="Times New Roman"/>
          <w:b w:val="0"/>
          <w:iCs/>
          <w:sz w:val="20"/>
        </w:rPr>
        <w:t>s</w:t>
      </w:r>
      <w:r w:rsidR="007A75FD">
        <w:rPr>
          <w:rFonts w:ascii="Times New Roman" w:hAnsi="Times New Roman"/>
          <w:b w:val="0"/>
          <w:iCs/>
          <w:sz w:val="20"/>
        </w:rPr>
        <w:t xml:space="preserve"> and lowing the reaction </w:t>
      </w:r>
      <w:r w:rsidR="00FB224F" w:rsidRPr="008F11D9">
        <w:rPr>
          <w:rFonts w:ascii="Times New Roman" w:hAnsi="Times New Roman"/>
          <w:b w:val="0"/>
          <w:iCs/>
          <w:sz w:val="20"/>
        </w:rPr>
        <w:t>temperature</w:t>
      </w:r>
      <w:r w:rsidR="007A75FD">
        <w:rPr>
          <w:rFonts w:ascii="Times New Roman" w:hAnsi="Times New Roman"/>
          <w:b w:val="0"/>
          <w:iCs/>
          <w:sz w:val="20"/>
        </w:rPr>
        <w:t xml:space="preserve"> could</w:t>
      </w:r>
      <w:r w:rsidR="00FB224F" w:rsidRPr="008F11D9">
        <w:rPr>
          <w:rFonts w:ascii="Times New Roman" w:hAnsi="Times New Roman"/>
          <w:b w:val="0"/>
          <w:iCs/>
          <w:sz w:val="20"/>
        </w:rPr>
        <w:t xml:space="preserve"> help to inhibit the formation of undesirable byproducts such as </w:t>
      </w:r>
      <w:r w:rsidR="00B46BA6" w:rsidRPr="008F11D9">
        <w:rPr>
          <w:rFonts w:ascii="Times New Roman" w:hAnsi="Times New Roman"/>
          <w:b w:val="0"/>
          <w:iCs/>
          <w:sz w:val="20"/>
        </w:rPr>
        <w:t>isomers</w:t>
      </w:r>
      <w:r w:rsidR="00B46BA6">
        <w:rPr>
          <w:rFonts w:ascii="Times New Roman" w:hAnsi="Times New Roman"/>
          <w:b w:val="0"/>
          <w:iCs/>
          <w:sz w:val="20"/>
        </w:rPr>
        <w:t xml:space="preserve"> of</w:t>
      </w:r>
      <w:r w:rsidR="00B46BA6" w:rsidRPr="008F11D9">
        <w:rPr>
          <w:rFonts w:ascii="Times New Roman" w:hAnsi="Times New Roman"/>
          <w:b w:val="0"/>
          <w:iCs/>
          <w:sz w:val="20"/>
        </w:rPr>
        <w:t xml:space="preserve"> </w:t>
      </w:r>
      <w:r w:rsidR="00FB224F" w:rsidRPr="008F11D9">
        <w:rPr>
          <w:rFonts w:ascii="Times New Roman" w:hAnsi="Times New Roman"/>
          <w:b w:val="0"/>
          <w:iCs/>
          <w:sz w:val="20"/>
        </w:rPr>
        <w:t>limonene and terp</w:t>
      </w:r>
      <w:r w:rsidR="004A22D2">
        <w:rPr>
          <w:rFonts w:ascii="Times New Roman" w:hAnsi="Times New Roman"/>
          <w:b w:val="0"/>
          <w:iCs/>
          <w:sz w:val="20"/>
        </w:rPr>
        <w:t>e</w:t>
      </w:r>
      <w:r w:rsidR="00FB224F" w:rsidRPr="008F11D9">
        <w:rPr>
          <w:rFonts w:ascii="Times New Roman" w:hAnsi="Times New Roman"/>
          <w:b w:val="0"/>
          <w:iCs/>
          <w:sz w:val="20"/>
        </w:rPr>
        <w:t>n</w:t>
      </w:r>
      <w:r w:rsidR="004A22D2">
        <w:rPr>
          <w:rFonts w:ascii="Times New Roman" w:hAnsi="Times New Roman"/>
          <w:b w:val="0"/>
          <w:iCs/>
          <w:sz w:val="20"/>
        </w:rPr>
        <w:t>y</w:t>
      </w:r>
      <w:r w:rsidR="00FB224F" w:rsidRPr="008F11D9">
        <w:rPr>
          <w:rFonts w:ascii="Times New Roman" w:hAnsi="Times New Roman"/>
          <w:b w:val="0"/>
          <w:iCs/>
          <w:sz w:val="20"/>
        </w:rPr>
        <w:t xml:space="preserve">l diacetates. </w:t>
      </w:r>
      <w:r w:rsidR="005D5C71">
        <w:rPr>
          <w:rFonts w:ascii="Times New Roman" w:hAnsi="Times New Roman"/>
          <w:b w:val="0"/>
          <w:iCs/>
          <w:sz w:val="20"/>
        </w:rPr>
        <w:t>It</w:t>
      </w:r>
      <w:r w:rsidR="007E60EF">
        <w:rPr>
          <w:rFonts w:ascii="Times New Roman" w:hAnsi="Times New Roman"/>
          <w:b w:val="0"/>
          <w:iCs/>
          <w:sz w:val="20"/>
        </w:rPr>
        <w:t xml:space="preserve"> has been demonstrated that </w:t>
      </w:r>
      <w:r w:rsidR="00FB224F" w:rsidRPr="008F11D9">
        <w:rPr>
          <w:rFonts w:ascii="Times New Roman" w:hAnsi="Times New Roman"/>
          <w:b w:val="0"/>
          <w:iCs/>
          <w:sz w:val="20"/>
        </w:rPr>
        <w:t>the acetylation of cineols offers a promising pathway for adding value to these terpenes</w:t>
      </w:r>
      <w:r w:rsidR="007E60EF">
        <w:rPr>
          <w:rFonts w:ascii="Times New Roman" w:hAnsi="Times New Roman"/>
          <w:b w:val="0"/>
          <w:iCs/>
          <w:sz w:val="20"/>
        </w:rPr>
        <w:t xml:space="preserve"> </w:t>
      </w:r>
      <w:r w:rsidR="00FB224F" w:rsidRPr="008F11D9">
        <w:rPr>
          <w:rFonts w:ascii="Times New Roman" w:hAnsi="Times New Roman"/>
          <w:b w:val="0"/>
          <w:iCs/>
          <w:sz w:val="20"/>
        </w:rPr>
        <w:t>using</w:t>
      </w:r>
      <w:r w:rsidR="007E60EF">
        <w:rPr>
          <w:rFonts w:ascii="Times New Roman" w:hAnsi="Times New Roman"/>
          <w:b w:val="0"/>
          <w:iCs/>
          <w:sz w:val="20"/>
        </w:rPr>
        <w:t xml:space="preserve"> </w:t>
      </w:r>
      <w:r w:rsidR="00AE4396">
        <w:rPr>
          <w:rFonts w:ascii="Times New Roman" w:hAnsi="Times New Roman"/>
          <w:b w:val="0"/>
          <w:iCs/>
          <w:sz w:val="20"/>
        </w:rPr>
        <w:t>green</w:t>
      </w:r>
      <w:r w:rsidR="00FB224F" w:rsidRPr="008F11D9">
        <w:rPr>
          <w:rFonts w:ascii="Times New Roman" w:hAnsi="Times New Roman"/>
          <w:b w:val="0"/>
          <w:iCs/>
          <w:sz w:val="20"/>
        </w:rPr>
        <w:t xml:space="preserve"> solvents and CsPW as </w:t>
      </w:r>
      <w:r w:rsidR="007E60EF">
        <w:rPr>
          <w:rFonts w:ascii="Times New Roman" w:hAnsi="Times New Roman"/>
          <w:b w:val="0"/>
          <w:iCs/>
          <w:sz w:val="20"/>
        </w:rPr>
        <w:t xml:space="preserve">the </w:t>
      </w:r>
      <w:r w:rsidR="00FB224F" w:rsidRPr="008F11D9">
        <w:rPr>
          <w:rFonts w:ascii="Times New Roman" w:hAnsi="Times New Roman"/>
          <w:b w:val="0"/>
          <w:iCs/>
          <w:sz w:val="20"/>
        </w:rPr>
        <w:t xml:space="preserve">heterogeneous catalyst </w:t>
      </w:r>
      <w:r w:rsidR="007E60EF">
        <w:rPr>
          <w:rFonts w:ascii="Times New Roman" w:hAnsi="Times New Roman"/>
          <w:b w:val="0"/>
          <w:iCs/>
          <w:sz w:val="20"/>
        </w:rPr>
        <w:t xml:space="preserve">which </w:t>
      </w:r>
      <w:r w:rsidR="00FB224F" w:rsidRPr="008F11D9">
        <w:rPr>
          <w:rFonts w:ascii="Times New Roman" w:hAnsi="Times New Roman"/>
          <w:b w:val="0"/>
          <w:iCs/>
          <w:sz w:val="20"/>
        </w:rPr>
        <w:t xml:space="preserve">makes the process more sustainable. </w:t>
      </w:r>
    </w:p>
    <w:p w14:paraId="3657E03E" w14:textId="282C715C" w:rsidR="00EA4E1B" w:rsidRPr="008F11D9" w:rsidRDefault="00EA4E1B" w:rsidP="008D1533">
      <w:pPr>
        <w:pStyle w:val="BDAbstract"/>
        <w:spacing w:before="0" w:after="100" w:line="240" w:lineRule="auto"/>
        <w:rPr>
          <w:rFonts w:ascii="Times New Roman" w:hAnsi="Times New Roman"/>
          <w:b w:val="0"/>
          <w:i/>
          <w:sz w:val="20"/>
        </w:rPr>
      </w:pPr>
      <w:r w:rsidRPr="008F11D9">
        <w:rPr>
          <w:rFonts w:ascii="Times New Roman" w:hAnsi="Times New Roman"/>
          <w:bCs/>
          <w:i/>
          <w:sz w:val="20"/>
        </w:rPr>
        <w:t>Keywords:</w:t>
      </w:r>
      <w:bookmarkEnd w:id="1"/>
      <w:r w:rsidR="004C1ED7" w:rsidRPr="008F11D9">
        <w:rPr>
          <w:rFonts w:ascii="Times New Roman" w:hAnsi="Times New Roman"/>
          <w:b w:val="0"/>
          <w:i/>
          <w:sz w:val="20"/>
        </w:rPr>
        <w:t xml:space="preserve"> cineole, acetylation, heteropolyacids, terpin</w:t>
      </w:r>
      <w:r w:rsidR="004A22D2">
        <w:rPr>
          <w:rFonts w:ascii="Times New Roman" w:hAnsi="Times New Roman"/>
          <w:b w:val="0"/>
          <w:i/>
          <w:sz w:val="20"/>
        </w:rPr>
        <w:t>yl</w:t>
      </w:r>
      <w:r w:rsidR="004C1ED7" w:rsidRPr="008F11D9">
        <w:rPr>
          <w:rFonts w:ascii="Times New Roman" w:hAnsi="Times New Roman"/>
          <w:b w:val="0"/>
          <w:i/>
          <w:sz w:val="20"/>
        </w:rPr>
        <w:t xml:space="preserve"> acetates, </w:t>
      </w:r>
      <w:r w:rsidR="00AE4396">
        <w:rPr>
          <w:rFonts w:ascii="Times New Roman" w:hAnsi="Times New Roman"/>
          <w:b w:val="0"/>
          <w:i/>
          <w:sz w:val="20"/>
        </w:rPr>
        <w:t>green</w:t>
      </w:r>
      <w:r w:rsidR="004C1ED7" w:rsidRPr="008F11D9">
        <w:rPr>
          <w:rFonts w:ascii="Times New Roman" w:hAnsi="Times New Roman"/>
          <w:b w:val="0"/>
          <w:i/>
          <w:sz w:val="20"/>
        </w:rPr>
        <w:t xml:space="preserve"> solvents.</w:t>
      </w:r>
    </w:p>
    <w:p w14:paraId="48D9B0C4" w14:textId="1E3D4B8B" w:rsidR="000D70F8" w:rsidRPr="000D70F8" w:rsidRDefault="000D70F8" w:rsidP="004C1ED7">
      <w:pPr>
        <w:pStyle w:val="BDAbstract"/>
        <w:spacing w:before="0" w:after="120" w:line="240" w:lineRule="auto"/>
        <w:rPr>
          <w:rFonts w:ascii="Times New Roman" w:hAnsi="Times New Roman"/>
          <w:b w:val="0"/>
          <w:iCs/>
          <w:sz w:val="20"/>
        </w:rPr>
        <w:sectPr w:rsidR="000D70F8" w:rsidRPr="000D70F8" w:rsidSect="0031112D">
          <w:headerReference w:type="default" r:id="rId9"/>
          <w:endnotePr>
            <w:numFmt w:val="decimal"/>
          </w:endnotePr>
          <w:pgSz w:w="11906" w:h="16838"/>
          <w:pgMar w:top="1134" w:right="851" w:bottom="851" w:left="851" w:header="709" w:footer="709" w:gutter="0"/>
          <w:cols w:space="708"/>
          <w:docGrid w:linePitch="360"/>
        </w:sectPr>
      </w:pPr>
    </w:p>
    <w:p w14:paraId="625F2C0A" w14:textId="77777777" w:rsidR="00EA4E1B" w:rsidRPr="004D4B3A" w:rsidRDefault="00EA4E1B" w:rsidP="00571C97">
      <w:pPr>
        <w:pStyle w:val="Ttulo2"/>
        <w:spacing w:before="0" w:after="100"/>
        <w:rPr>
          <w:rFonts w:ascii="Helvetica" w:hAnsi="Helvetica" w:cs="Helvetica"/>
          <w:b/>
          <w:bCs/>
          <w:sz w:val="24"/>
          <w:szCs w:val="24"/>
        </w:rPr>
      </w:pPr>
      <w:r w:rsidRPr="004D4B3A">
        <w:rPr>
          <w:rFonts w:ascii="Helvetica" w:hAnsi="Helvetica" w:cs="Helvetica"/>
          <w:b/>
          <w:bCs/>
          <w:sz w:val="24"/>
          <w:szCs w:val="24"/>
        </w:rPr>
        <w:t>Introdução</w:t>
      </w:r>
    </w:p>
    <w:p w14:paraId="52E8BF67" w14:textId="574AA1D3" w:rsidR="00700524" w:rsidRPr="00977CD5" w:rsidRDefault="00700524" w:rsidP="00700524">
      <w:pPr>
        <w:pStyle w:val="TAMainText"/>
        <w:rPr>
          <w:rFonts w:ascii="Times New Roman" w:hAnsi="Times New Roman"/>
          <w:lang w:val="pt-BR"/>
        </w:rPr>
      </w:pPr>
      <w:r w:rsidRPr="00977CD5">
        <w:rPr>
          <w:rFonts w:ascii="Times New Roman" w:hAnsi="Times New Roman"/>
          <w:lang w:val="pt-BR"/>
        </w:rPr>
        <w:t>Os terpenos constituem uma importante classe de produtos naturais que, além de serem uma matéria-prima abundante e renovável, possuem uma variabilidade estrutural que possibilita que esses compostos sejam amplamente utilizados na obtenção de intermediários ou de produtos que apresentam um elevado valor comercial, principalmente na indústria de aromas e fragrâncias</w:t>
      </w:r>
      <w:r w:rsidR="0076121F" w:rsidRPr="00977CD5">
        <w:rPr>
          <w:rFonts w:ascii="Times New Roman" w:hAnsi="Times New Roman"/>
          <w:lang w:val="pt-BR"/>
        </w:rPr>
        <w:t xml:space="preserve"> </w:t>
      </w:r>
      <w:r w:rsidR="00DC4170" w:rsidRPr="00977CD5">
        <w:rPr>
          <w:rFonts w:ascii="Times New Roman" w:hAnsi="Times New Roman"/>
          <w:lang w:val="pt-BR"/>
        </w:rPr>
        <w:fldChar w:fldCharType="begin"/>
      </w:r>
      <w:r w:rsidR="0076121F" w:rsidRPr="00977CD5">
        <w:rPr>
          <w:rFonts w:ascii="Times New Roman" w:hAnsi="Times New Roman"/>
          <w:lang w:val="pt-BR"/>
        </w:rPr>
        <w:instrText xml:space="preserve"> ADDIN ZOTERO_ITEM CSL_CITATION {"citationID":"mDqEEm99","properties":{"formattedCitation":"{\\i{}(1,2)}","plainCitation":"(1,2)","noteIndex":0},"citationItems":[{"id":1,"uris":["http://zotero.org/users/local/U1a32NfM/items/YJJ6VTXL"],"itemData":{"id":1,"type":"article-journal","abstract":"This work reviews the use of terpenes available from renewable resources in the fine chemicals industry. Different products and processes are discussed. Transformations of terpenes involving isomerization, hydration, condensation, hydroformylation, hydrogenation, cyclization, oxidation, rearrangement, and ring contraction/enlargement are routes to produce a variety of compounds of interest to the pharmaceutical, agrochemical, and flavors and fragrances industries.","container-title":"Topics in Catalysis","DOI":"10.1023/B:TOCA.0000013551.99872.8d","ISSN":"1572-9028","issue":"1","journalAbbreviation":"Topics in Catalysis","language":"en","page":"169-180","source":"Springer Link","title":"Catalytic Conversion of Terpenes into Fine Chemicals","volume":"27","author":[{"family":"Monteiro","given":"José Luiz F."},{"family":"Veloso","given":"Cláudia O."}],"issued":{"date-parts":[["2004",2,1]]}}},{"id":3,"uris":["http://zotero.org/users/local/U1a32NfM/items/Z9P7UYY8"],"itemData":{"id":3,"type":"article-journal","abstract":"Heteropoly compounds (HPCs) have already proved their high potential for the clean synthesis of commercially valuable chemicals. However, the use of HPCs for the transformations of terpenic substrates became a research topic only about 20 years ago. Terpenes, natural products available from essential oils, are an important biomass-based feedstock for the pharmaceutical, flavor, and fragrance industries.","container-title":"ChemCatChem","DOI":"10.1002/cctc.201400052","ISSN":"1867-3899","issue":"6","language":"en","note":"_eprint: https://onlinelibrary.wiley.com/doi/pdf/10.1002/cctc.201400052","page":"1506-1515","source":"Wiley Online Library","title":"Reactions of Terpenes Catalyzed by Heteropoly Compounds: Valorization of Biorenewables","title-short":"Reactions of Terpenes Catalyzed by Heteropoly Compounds","volume":"6","author":[{"family":"Gusevskaya","given":"Elena V."}],"issued":{"date-parts":[["2014"]]}}}],"schema":"https://github.com/citation-style-language/schema/raw/master/csl-citation.json"} </w:instrText>
      </w:r>
      <w:r w:rsidR="00DC4170" w:rsidRPr="00977CD5">
        <w:rPr>
          <w:rFonts w:ascii="Times New Roman" w:hAnsi="Times New Roman"/>
          <w:lang w:val="pt-BR"/>
        </w:rPr>
        <w:fldChar w:fldCharType="separate"/>
      </w:r>
      <w:r w:rsidR="0076121F" w:rsidRPr="00977CD5">
        <w:rPr>
          <w:rFonts w:ascii="Times New Roman" w:hAnsi="Times New Roman"/>
          <w:szCs w:val="24"/>
          <w:lang w:val="pt-BR"/>
        </w:rPr>
        <w:t>(1,2)</w:t>
      </w:r>
      <w:r w:rsidR="00DC4170" w:rsidRPr="00977CD5">
        <w:rPr>
          <w:rFonts w:ascii="Times New Roman" w:hAnsi="Times New Roman"/>
          <w:lang w:val="pt-BR"/>
        </w:rPr>
        <w:fldChar w:fldCharType="end"/>
      </w:r>
      <w:r w:rsidR="0076121F" w:rsidRPr="00977CD5">
        <w:rPr>
          <w:rFonts w:ascii="Times New Roman" w:hAnsi="Times New Roman"/>
          <w:lang w:val="pt-BR"/>
        </w:rPr>
        <w:t>.</w:t>
      </w:r>
    </w:p>
    <w:p w14:paraId="4603A2AB" w14:textId="1116587A" w:rsidR="00700524" w:rsidRPr="004D4B3A" w:rsidRDefault="00700524" w:rsidP="00700524">
      <w:pPr>
        <w:pStyle w:val="TAMainText"/>
        <w:rPr>
          <w:rFonts w:ascii="Times New Roman" w:hAnsi="Times New Roman"/>
          <w:lang w:val="pt-BR"/>
        </w:rPr>
      </w:pPr>
      <w:r w:rsidRPr="00977CD5">
        <w:rPr>
          <w:rFonts w:ascii="Times New Roman" w:hAnsi="Times New Roman"/>
          <w:lang w:val="pt-BR"/>
        </w:rPr>
        <w:t>O 1,4-cineol e o 1,8-cineol são</w:t>
      </w:r>
      <w:r w:rsidR="00156F14" w:rsidRPr="00977CD5">
        <w:rPr>
          <w:rFonts w:ascii="Times New Roman" w:hAnsi="Times New Roman"/>
          <w:lang w:val="pt-BR"/>
        </w:rPr>
        <w:t xml:space="preserve"> compostos </w:t>
      </w:r>
      <w:r w:rsidR="00DB744B" w:rsidRPr="00977CD5">
        <w:rPr>
          <w:rFonts w:ascii="Times New Roman" w:hAnsi="Times New Roman"/>
          <w:lang w:val="pt-BR"/>
        </w:rPr>
        <w:t>monoterpenos</w:t>
      </w:r>
      <w:r w:rsidR="00156F14" w:rsidRPr="00977CD5">
        <w:rPr>
          <w:rFonts w:ascii="Times New Roman" w:hAnsi="Times New Roman"/>
          <w:lang w:val="pt-BR"/>
        </w:rPr>
        <w:t xml:space="preserve"> </w:t>
      </w:r>
      <w:r w:rsidR="00156F14" w:rsidRPr="004D4B3A">
        <w:rPr>
          <w:rFonts w:ascii="Times New Roman" w:hAnsi="Times New Roman"/>
          <w:lang w:val="pt-BR"/>
        </w:rPr>
        <w:t xml:space="preserve">cíclicos </w:t>
      </w:r>
      <w:r w:rsidRPr="004D4B3A">
        <w:rPr>
          <w:rFonts w:ascii="Times New Roman" w:hAnsi="Times New Roman"/>
          <w:lang w:val="pt-BR"/>
        </w:rPr>
        <w:t>encontrados em diferentes óleos essenciais, principalmente nos óleos de eucalipto. Esses compostos apresentam um odor característico, com fragrância fresca e canforada, que permite a sua aplicação como aromatizante em alimentos, fragrâncias e cosméticos. Por serem um dos poucos terpenos obtidos exclusivamente por isolamento de óleos essenciais, em particular dos óleos de eucalipto, o 1,4-cineol e o 1,8-cineol também se apresentam como uma matéria-prima barata e abundante, que pode ser utilizada como</w:t>
      </w:r>
      <w:r w:rsidRPr="0076121F">
        <w:rPr>
          <w:rFonts w:ascii="Times New Roman" w:hAnsi="Times New Roman"/>
          <w:lang w:val="pt-BR"/>
        </w:rPr>
        <w:t xml:space="preserve"> reagente de partida para obtenção de outros compostos terpênicos</w:t>
      </w:r>
      <w:r w:rsidR="0076121F" w:rsidRPr="0076121F">
        <w:rPr>
          <w:rFonts w:ascii="Times New Roman" w:hAnsi="Times New Roman"/>
          <w:lang w:val="pt-BR"/>
        </w:rPr>
        <w:t xml:space="preserve"> </w:t>
      </w:r>
      <w:r w:rsidR="0019670E"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{"citationID":"DFiEN9LD","properties":{"formattedCitation":"{\\i{}(3,4)}","plainCitation":"(3,4)","noteIndex":0},"citationItems":[{"id":6,"uris":["http://zotero.org/users/local/U1a32NfM/items/B5BBL6X9"],"itemData":{"id":6,"type":"article-journal","abstract":"The isomerization of α-terpineol (1) catalyzed by heteropoly acid H3PW12O40 (PW) in homogeneous and heterogeneous systems yields 1,8-cineole (2) and 1,4-cineole (3), both useful for flavoring and pharmaceutical applications. In the homogeneous system, 2 and 3 were obtained with 25% and 23–27% selectivity, respectively, at 50–90% α-terpineol conversion (in a nitrobenzene solution, 40°C). In the heterogeneous system, 35% of 2 and 25% of 3 were obtained at 70–100% conversion in a cyclohexane solution at 60°C using silica-supported PW as a solid acid catalyst, and the catalyst could be recycled. PW showed a higher catalytic activity and selectivity than conventional acid catalysts such as H2SO4 and Amberlyst-15.","container-title":"Journal of Molecular Catalysis A: Chemical","DOI":"10.1016/j.molcata.2006.05.064","ISSN":"1381-1169","issue":"1","journalAbbreviation":"Journal of Molecular Catalysis A: Chemical","language":"en","page":"99-102","source":"ScienceDirect","title":"Synthesis of 1,8-cineole and 1,4-cineole by isomerization of α-terpineol catalyzed by heteropoly acid","volume":"259","author":[{"family":"Leão Lana","given":"Enio J."},{"family":"Silva Rocha","given":"Kelly A.","non-dropping-particle":"da"},{"family":"Kozhevnikov","given":"Ivan V."},{"family":"Gusevskaya","given":"Elena V."}],"issued":{"date-parts":[["2006",11,15]]}}},{"id":9,"uris":["http://zotero.org/users/local/U1a32NfM/items/F9PMALNZ"],"itemData":{"id":9,"type":"chapter","abstract":"This chapter contains sections titled: Introduction Isolation of Natural Fragrance and Flavor Concentrates Essential Oils Extracts Survey of Natural Raw Materials","container-title":"Common Fragrance and Flavor Materials","ISBN":"978-3-527-60821-8","language":"en","note":"section: 3\n_eprint: https://onlinelibrary.wiley.com/doi/pdf/10.1002/3527608214.ch3\nDOI: 10.1002/3527608214.ch3","page":"177-238","publisher":"John Wiley &amp; Sons, Ltd","source":"Wiley Online Library","title":"Natural Raw Materials in the Flavor and Fragrance Industry","URL":"https://onlinelibrary.wiley.com/doi/abs/10.1002/3527608214.ch3","accessed":{"date-parts":[["2023",3,28]]},"issued":{"date-parts":[["2006"]]}}}],"schema":"https://github.com/citation-style-language/schema/raw/master/csl-citation.json"} </w:instrText>
      </w:r>
      <w:r w:rsidR="0019670E" w:rsidRPr="0076121F">
        <w:rPr>
          <w:rFonts w:ascii="Times New Roman" w:hAnsi="Times New Roman"/>
          <w:lang w:val="pt-BR"/>
        </w:rPr>
        <w:fldChar w:fldCharType="separate"/>
      </w:r>
      <w:r w:rsidR="0076121F" w:rsidRPr="00B268E5">
        <w:rPr>
          <w:rFonts w:ascii="Times New Roman" w:hAnsi="Times New Roman"/>
          <w:szCs w:val="24"/>
          <w:lang w:val="pt-BR"/>
        </w:rPr>
        <w:t>(3,4)</w:t>
      </w:r>
      <w:r w:rsidR="0019670E" w:rsidRPr="0076121F">
        <w:rPr>
          <w:rFonts w:ascii="Times New Roman" w:hAnsi="Times New Roman"/>
          <w:lang w:val="pt-BR"/>
        </w:rPr>
        <w:fldChar w:fldCharType="end"/>
      </w:r>
      <w:r w:rsidR="0076121F" w:rsidRPr="0076121F">
        <w:rPr>
          <w:rFonts w:ascii="Times New Roman" w:hAnsi="Times New Roman"/>
          <w:lang w:val="pt-BR"/>
        </w:rPr>
        <w:t>.</w:t>
      </w:r>
    </w:p>
    <w:p w14:paraId="14844235" w14:textId="1D06AB89" w:rsidR="00700524" w:rsidRPr="004D4B3A" w:rsidRDefault="00156F14" w:rsidP="00700524">
      <w:pPr>
        <w:pStyle w:val="TAMainText"/>
        <w:rPr>
          <w:rFonts w:ascii="Times New Roman" w:hAnsi="Times New Roman"/>
          <w:lang w:val="pt-BR"/>
        </w:rPr>
      </w:pPr>
      <w:r w:rsidRPr="004D4B3A">
        <w:rPr>
          <w:lang w:val="pt-BR"/>
        </w:rPr>
        <w:t xml:space="preserve">A valorização econômica e a ampliação do escopo de utilização </w:t>
      </w:r>
      <w:r w:rsidR="00700524" w:rsidRPr="004D4B3A">
        <w:rPr>
          <w:rFonts w:ascii="Times New Roman" w:hAnsi="Times New Roman"/>
          <w:lang w:val="pt-BR"/>
        </w:rPr>
        <w:t xml:space="preserve">dos compostos terpênicos é muitas vezes </w:t>
      </w:r>
      <w:r w:rsidR="00700524" w:rsidRPr="004D4B3A">
        <w:rPr>
          <w:rFonts w:ascii="Times New Roman" w:hAnsi="Times New Roman"/>
          <w:lang w:val="pt-BR"/>
        </w:rPr>
        <w:t>realizada a partir de modificações químicas em suas estruturas, com o objetivo de se obter compostos com estruturas químicas que permitam sua utilização em diferentes segmentos da indústria química.</w:t>
      </w:r>
      <w:r w:rsidRPr="004D4B3A">
        <w:rPr>
          <w:rFonts w:ascii="Times New Roman" w:hAnsi="Times New Roman"/>
          <w:lang w:val="pt-BR"/>
        </w:rPr>
        <w:t xml:space="preserve"> Dentre as rotas sintéticas a partir de processos catalíticos que envolvem os mais diversos tipos de reações químicas, podemos citar a acetilação,</w:t>
      </w:r>
      <w:r w:rsidR="00700524" w:rsidRPr="004D4B3A">
        <w:rPr>
          <w:rFonts w:ascii="Times New Roman" w:hAnsi="Times New Roman"/>
          <w:lang w:val="pt-BR"/>
        </w:rPr>
        <w:t xml:space="preserve"> que possibilita a obtenção de diferentes acetatos terpênicos. Os produtos obtidos nesses processos podem apresentar maior valor agregado ou podem ser interessantes para diversas aplicações, principalmente na indústria de a</w:t>
      </w:r>
      <w:r w:rsidRPr="004D4B3A">
        <w:rPr>
          <w:rFonts w:ascii="Times New Roman" w:hAnsi="Times New Roman"/>
          <w:lang w:val="pt-BR"/>
        </w:rPr>
        <w:t>r</w:t>
      </w:r>
      <w:r w:rsidR="00700524" w:rsidRPr="004D4B3A">
        <w:rPr>
          <w:rFonts w:ascii="Times New Roman" w:hAnsi="Times New Roman"/>
          <w:lang w:val="pt-BR"/>
        </w:rPr>
        <w:t>omas e frag</w:t>
      </w:r>
      <w:r w:rsidR="00700524" w:rsidRPr="0076121F">
        <w:rPr>
          <w:rFonts w:ascii="Times New Roman" w:hAnsi="Times New Roman"/>
          <w:lang w:val="pt-BR"/>
        </w:rPr>
        <w:t>râncias</w:t>
      </w:r>
      <w:r w:rsidR="0076121F" w:rsidRPr="0076121F">
        <w:rPr>
          <w:rFonts w:ascii="Times New Roman" w:hAnsi="Times New Roman"/>
          <w:lang w:val="pt-BR"/>
        </w:rPr>
        <w:t xml:space="preserve"> </w:t>
      </w:r>
      <w:r w:rsidR="0019670E"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{"citationID":"D5SdKW6z","properties":{"formattedCitation":"{\\i{}(1,5,6)}","plainCitation":"(1,5,6)","noteIndex":0},"citationItems":[{"id":1,"uris":["http://zotero.org/users/local/U1a32NfM/items/YJJ6VTXL"],"itemData":{"id":1,"type":"article-journal","abstract":"This work reviews the use of terpenes available from renewable resources in the fine chemicals industry. Different products and processes are discussed. Transformations of terpenes involving isomerization, hydration, condensation, hydroformylation, hydrogenation, cyclization, oxidation, rearrangement, and ring contraction/enlargement are routes to produce a variety of compounds of interest to the pharmaceutical, agrochemical, and flavors and fragrances industries.","container-title":"Topics in Catalysis","DOI":"10.1023/B:TOCA.0000013551.99872.8d","ISSN":"1572-9028","issue":"1","journalAbbreviation":"Topics in Catalysis","language":"en","page":"169-180","source":"Springer Link","title":"Catalytic Conversion of Terpenes into Fine Chemicals","volume":"27","author":[{"family":"Monteiro","given":"José Luiz F."},{"family":"Veloso","given":"Cláudia O."}],"issued":{"date-parts":[["2004",2,1]]}}},{"id":11,"uris":["http://zotero.org/users/local/U1a32NfM/items/EDY82RIP"],"itemData":{"id":11,"type":"article-journal","abstract":"A review covering some of the key catalytic transformations of the major monoterpene feedstocks. Monoterpenes are key ingredients in the flavor and fragrance industry, with α- and β-pinene (obtained from turpentine) being some of the most important. The review focuses on the hydrocarbons; pinene, limonene, carene, and the interconversion of the monooxygenates; geraniol/nerol, citronellol, citral, and citronellal. The major areas covered are catalytic hydrogenation/hydrogenolysis, dehydrogenation, rearrangement/isomerization/aromatization, reactions with carbon monoxide, epoxidation, and the addition of alcohols and acids.","container-title":"Topics in Catalysis","DOI":"10.1023/B:TOCA.0000013549.60930.da","ISSN":"1572-9028","issue":"1","journalAbbreviation":"Topics in Catalysis","language":"en","page":"143-155","source":"Springer Link","title":"Catalytic Transformations of the Major Terpene Feedstocks","volume":"27","author":[{"family":"Swift","given":"Karl A.D."}],"issued":{"date-parts":[["2004",2,1]]}}},{"id":13,"uris":["http://zotero.org/users/local/U1a32NfM/items/ERRJ5UY9"],"itemData":{"id":13,"type":"article-journal","abstract":"Background: In this review, different heterogeneous catalysts based on acid, base, metal\nand enzymes are discussed for the synthesis of industrially relevant perfumes and flavor compounds.\nThese molecules are mainly produced by a variety of reaction pathways such as esterification, isomerization,\nhydration, alkylation, hydrogenation, oxidation, etc. All these reactions are discussed thoroughly\nfor the synthesis of vital aromatic compounds. The review also summarizes various recent\ntechnologies applied for designing new catalysts to obtain the maximum yield of the desired product.\nOverall, this review highlights the green, clean and eco-friendly processes which can be industrially\naccepted for the synthesis of perfumes, flavors and fragrances.\n\nObjective: The objective of the current review was to emphasize on the synthesis of industrially important\nperfumes and flavor molecules such as α-terpineol, cyclohexyl esters, thymol, raspberry ketone,\netc. using heterogeneous catalysts.\n\nResults: Three hundred and eight papers are reported in this review, the majority of which are on heterogeneous\ncatalysis for the synthesis of molecules which impart flavor or possess perfumery characteristics.\nAmong all, the preparation of esters is highlighted as they represent an imperative functional\ngroup in aroma chemicals.\n\nConclusion: The review confirms the need for heterogeneous catalysis in pollution-free and costeffective\nsynthesis of flavor and perfumery compounds.","container-title":"Current Catalysis","issue":"1","language":"en","page":"32-58","source":"www.eurekaselect.com","title":"Development of Green and Clean Processes for Perfumes and Flavors Using Heterogeneous Chemical Catalysis","volume":"9","author":[{"family":"Malkar","given":"Radhika S."},{"family":"Yadav","given":"Ganapati D."}]}}],"schema":"https://github.com/citation-style-language/schema/raw/master/csl-citation.json"} </w:instrText>
      </w:r>
      <w:r w:rsidR="0019670E" w:rsidRPr="0076121F">
        <w:rPr>
          <w:rFonts w:ascii="Times New Roman" w:hAnsi="Times New Roman"/>
          <w:lang w:val="pt-BR"/>
        </w:rPr>
        <w:fldChar w:fldCharType="separate"/>
      </w:r>
      <w:r w:rsidR="0076121F" w:rsidRPr="00B268E5">
        <w:rPr>
          <w:rFonts w:ascii="Times New Roman" w:hAnsi="Times New Roman"/>
          <w:szCs w:val="24"/>
          <w:lang w:val="pt-BR"/>
        </w:rPr>
        <w:t>(1,5,6)</w:t>
      </w:r>
      <w:r w:rsidR="0019670E" w:rsidRPr="0076121F">
        <w:rPr>
          <w:rFonts w:ascii="Times New Roman" w:hAnsi="Times New Roman"/>
          <w:lang w:val="pt-BR"/>
        </w:rPr>
        <w:fldChar w:fldCharType="end"/>
      </w:r>
      <w:r w:rsidR="0076121F" w:rsidRPr="0076121F">
        <w:rPr>
          <w:rFonts w:ascii="Times New Roman" w:hAnsi="Times New Roman"/>
          <w:lang w:val="pt-BR"/>
        </w:rPr>
        <w:t>.</w:t>
      </w:r>
    </w:p>
    <w:p w14:paraId="30EC94B1" w14:textId="165EBA57" w:rsidR="00700524" w:rsidRPr="004D4B3A" w:rsidRDefault="00156F14" w:rsidP="00700524">
      <w:pPr>
        <w:pStyle w:val="TAMainText"/>
        <w:rPr>
          <w:rFonts w:ascii="Times New Roman" w:hAnsi="Times New Roman"/>
          <w:lang w:val="pt-BR"/>
        </w:rPr>
      </w:pPr>
      <w:r w:rsidRPr="004D4B3A">
        <w:rPr>
          <w:rFonts w:ascii="Times New Roman" w:hAnsi="Times New Roman"/>
          <w:lang w:val="pt-BR"/>
        </w:rPr>
        <w:t>A</w:t>
      </w:r>
      <w:r w:rsidR="00700524" w:rsidRPr="004D4B3A">
        <w:rPr>
          <w:rFonts w:ascii="Times New Roman" w:hAnsi="Times New Roman"/>
          <w:lang w:val="pt-BR"/>
        </w:rPr>
        <w:t xml:space="preserve"> maioria dos processos catalíticos de valorização de compostos naturais faz uso de catalisadores homogêneos, que embora ofereçam altos rendimentos, apresentam diversas desvantagens, principalmente em relação a impactos ambientais relacionados com a geração de grandes quantidades de resíduos. Dessa forma,</w:t>
      </w:r>
      <w:r w:rsidRPr="004D4B3A">
        <w:rPr>
          <w:rFonts w:ascii="Times New Roman" w:hAnsi="Times New Roman"/>
          <w:lang w:val="pt-BR"/>
        </w:rPr>
        <w:t xml:space="preserve"> a substituição dos catalisadores convencionais por materiais que atuam em sistemas heterogêneos na valorização de substratos terpênicos é um importante aspecto a ser avaliado</w:t>
      </w:r>
      <w:r w:rsidR="00700524" w:rsidRPr="004D4B3A">
        <w:rPr>
          <w:rFonts w:ascii="Times New Roman" w:hAnsi="Times New Roman"/>
          <w:lang w:val="pt-BR"/>
        </w:rPr>
        <w:t>, pois possibilitam processos com menor geração de resíduos,</w:t>
      </w:r>
      <w:r w:rsidR="00F30178">
        <w:rPr>
          <w:rFonts w:ascii="Times New Roman" w:hAnsi="Times New Roman"/>
          <w:lang w:val="pt-BR"/>
        </w:rPr>
        <w:t xml:space="preserve"> </w:t>
      </w:r>
      <w:r w:rsidR="00700524" w:rsidRPr="004D4B3A">
        <w:rPr>
          <w:rFonts w:ascii="Times New Roman" w:hAnsi="Times New Roman"/>
          <w:lang w:val="pt-BR"/>
        </w:rPr>
        <w:t>além da fácil separação e reutilização do catalisador</w:t>
      </w:r>
      <w:r w:rsidR="0076121F">
        <w:rPr>
          <w:rFonts w:ascii="Times New Roman" w:hAnsi="Times New Roman"/>
          <w:lang w:val="pt-BR"/>
        </w:rPr>
        <w:t xml:space="preserve"> </w:t>
      </w:r>
      <w:r w:rsidR="0019670E" w:rsidRPr="004D4B3A">
        <w:rPr>
          <w:rFonts w:ascii="Times New Roman" w:hAnsi="Times New Roman"/>
          <w:lang w:val="pt-BR"/>
        </w:rPr>
        <w:fldChar w:fldCharType="begin"/>
      </w:r>
      <w:r w:rsidR="0076121F">
        <w:rPr>
          <w:rFonts w:ascii="Times New Roman" w:hAnsi="Times New Roman"/>
          <w:lang w:val="pt-BR"/>
        </w:rPr>
        <w:instrText xml:space="preserve"> ADDIN ZOTERO_ITEM CSL_CITATION {"citationID":"NkHK5Frt","properties":{"formattedCitation":"{\\i{}(6)}","plainCitation":"(6)","noteIndex":0},"citationItems":[{"id":13,"uris":["http://zotero.org/users/local/U1a32NfM/items/ERRJ5UY9"],"itemData":{"id":13,"type":"article-journal","abstract":"Background: In this review, different heterogeneous catalysts based on acid, base, metal\nand enzymes are discussed for the synthesis of industrially relevant perfumes and flavor compounds.\nThese molecules are mainly produced by a variety of reaction pathways such as esterification, isomerization,\nhydration, alkylation, hydrogenation, oxidation, etc. All these reactions are discussed thoroughly\nfor the synthesis of vital aromatic compounds. The review also summarizes various recent\ntechnologies applied for designing new catalysts to obtain the maximum yield of the desired product.\nOverall, this review highlights the green, clean and eco-friendly processes which can be industrially\naccepted for the synthesis of perfumes, flavors and fragrances.\n\nObjective: The objective of the current review was to emphasize on the synthesis of industrially important\nperfumes and flavor molecules such as α-terpineol, cyclohexyl esters, thymol, raspberry ketone,\netc. using heterogeneous catalysts.\n\nResults: Three hundred and eight papers are reported in this review, the majority of which are on heterogeneous\ncatalysis for the synthesis of molecules which impart flavor or possess perfumery characteristics.\nAmong all, the preparation of esters is highlighted as they represent an imperative functional\ngroup in aroma chemicals.\n\nConclusion: The review confirms the need for heterogeneous catalysis in pollution-free and costeffective\nsynthesis of flavor and perfumery compounds.","container-title":"Current Catalysis","issue":"1","language":"en","page":"32-58","source":"www.eurekaselect.com","title":"Development of Green and Clean Processes for Perfumes and Flavors Using Heterogeneous Chemical Catalysis","volume":"9","author":[{"family":"Malkar","given":"Radhika S."},{"family":"Yadav","given":"Ganapati D."}]}}],"schema":"https://github.com/citation-style-language/schema/raw/master/csl-citation.json"} </w:instrText>
      </w:r>
      <w:r w:rsidR="0019670E" w:rsidRPr="004D4B3A">
        <w:rPr>
          <w:rFonts w:ascii="Times New Roman" w:hAnsi="Times New Roman"/>
          <w:lang w:val="pt-BR"/>
        </w:rPr>
        <w:fldChar w:fldCharType="separate"/>
      </w:r>
      <w:r w:rsidR="0076121F" w:rsidRPr="00B268E5">
        <w:rPr>
          <w:rFonts w:ascii="Times New Roman" w:hAnsi="Times New Roman"/>
          <w:i/>
          <w:iCs/>
          <w:szCs w:val="24"/>
          <w:lang w:val="pt-BR"/>
        </w:rPr>
        <w:t>(6)</w:t>
      </w:r>
      <w:r w:rsidR="0019670E" w:rsidRPr="004D4B3A">
        <w:rPr>
          <w:rFonts w:ascii="Times New Roman" w:hAnsi="Times New Roman"/>
          <w:lang w:val="pt-BR"/>
        </w:rPr>
        <w:fldChar w:fldCharType="end"/>
      </w:r>
      <w:r w:rsidR="0076121F">
        <w:rPr>
          <w:rFonts w:ascii="Times New Roman" w:hAnsi="Times New Roman"/>
          <w:lang w:val="pt-BR"/>
        </w:rPr>
        <w:t>.</w:t>
      </w:r>
    </w:p>
    <w:p w14:paraId="7F110EEE" w14:textId="71D848A2" w:rsidR="00700524" w:rsidRPr="004D4B3A" w:rsidRDefault="00700524" w:rsidP="00700524">
      <w:pPr>
        <w:pStyle w:val="TAMainText"/>
        <w:rPr>
          <w:rFonts w:ascii="Times New Roman" w:hAnsi="Times New Roman"/>
          <w:lang w:val="pt-BR"/>
        </w:rPr>
      </w:pPr>
      <w:r w:rsidRPr="004D4B3A">
        <w:rPr>
          <w:rFonts w:ascii="Times New Roman" w:hAnsi="Times New Roman"/>
          <w:lang w:val="pt-BR"/>
        </w:rPr>
        <w:lastRenderedPageBreak/>
        <w:t xml:space="preserve">Entre os diversos catalisadores </w:t>
      </w:r>
      <w:r w:rsidR="008076D3">
        <w:rPr>
          <w:rFonts w:ascii="Times New Roman" w:hAnsi="Times New Roman"/>
          <w:lang w:val="pt-BR"/>
        </w:rPr>
        <w:t xml:space="preserve">ácidos </w:t>
      </w:r>
      <w:r w:rsidRPr="004D4B3A">
        <w:rPr>
          <w:rFonts w:ascii="Times New Roman" w:hAnsi="Times New Roman"/>
          <w:lang w:val="pt-BR"/>
        </w:rPr>
        <w:t>disponíveis atualmente, os heteropoliácidos (HPA’s) tem sido muito utilizado devido a sua elevada da acidez e boa estabilidade térmica. Os HPA’s da série de Keggin vem substituindo os catalisadores ácidos convencionais, uma vez que são materiais não tóxicos e</w:t>
      </w:r>
      <w:r w:rsidR="00156F14" w:rsidRPr="004D4B3A">
        <w:rPr>
          <w:rFonts w:ascii="Times New Roman" w:hAnsi="Times New Roman"/>
          <w:lang w:val="pt-BR"/>
        </w:rPr>
        <w:t xml:space="preserve"> pouco </w:t>
      </w:r>
      <w:r w:rsidRPr="004D4B3A">
        <w:rPr>
          <w:rFonts w:ascii="Times New Roman" w:hAnsi="Times New Roman"/>
          <w:lang w:val="pt-BR"/>
        </w:rPr>
        <w:t>corrosivos. Enquanto os HPA’s são insolúveis em solventes de baixa polaridade, alguns de seus sais, como o sal de césio Cs</w:t>
      </w:r>
      <w:r w:rsidRPr="004D4B3A">
        <w:rPr>
          <w:rFonts w:ascii="Times New Roman" w:hAnsi="Times New Roman"/>
          <w:vertAlign w:val="subscript"/>
          <w:lang w:val="pt-BR"/>
        </w:rPr>
        <w:t>2,5</w:t>
      </w:r>
      <w:r w:rsidRPr="004D4B3A">
        <w:rPr>
          <w:rFonts w:ascii="Times New Roman" w:hAnsi="Times New Roman"/>
          <w:lang w:val="pt-BR"/>
        </w:rPr>
        <w:t>H</w:t>
      </w:r>
      <w:r w:rsidRPr="004D4B3A">
        <w:rPr>
          <w:rFonts w:ascii="Times New Roman" w:hAnsi="Times New Roman"/>
          <w:vertAlign w:val="subscript"/>
          <w:lang w:val="pt-BR"/>
        </w:rPr>
        <w:t>0,5</w:t>
      </w:r>
      <w:r w:rsidRPr="004D4B3A">
        <w:rPr>
          <w:rFonts w:ascii="Times New Roman" w:hAnsi="Times New Roman"/>
          <w:lang w:val="pt-BR"/>
        </w:rPr>
        <w:t>PW</w:t>
      </w:r>
      <w:r w:rsidRPr="004D4B3A">
        <w:rPr>
          <w:rFonts w:ascii="Times New Roman" w:hAnsi="Times New Roman"/>
          <w:vertAlign w:val="subscript"/>
          <w:lang w:val="pt-BR"/>
        </w:rPr>
        <w:t>12</w:t>
      </w:r>
      <w:r w:rsidRPr="004D4B3A">
        <w:rPr>
          <w:rFonts w:ascii="Times New Roman" w:hAnsi="Times New Roman"/>
          <w:lang w:val="pt-BR"/>
        </w:rPr>
        <w:t>O</w:t>
      </w:r>
      <w:r w:rsidRPr="004D4B3A">
        <w:rPr>
          <w:rFonts w:ascii="Times New Roman" w:hAnsi="Times New Roman"/>
          <w:vertAlign w:val="subscript"/>
          <w:lang w:val="pt-BR"/>
        </w:rPr>
        <w:t>40</w:t>
      </w:r>
      <w:r w:rsidRPr="004D4B3A">
        <w:rPr>
          <w:rFonts w:ascii="Times New Roman" w:hAnsi="Times New Roman"/>
          <w:lang w:val="pt-BR"/>
        </w:rPr>
        <w:t xml:space="preserve"> (CsPW), são insolúveis em solventes polares. Estes sais, além de apresentar alta acidez, tem também apresenta uma elevada área superficial e, portanto, vem sendo aplicados como catalisadores heterogêneos em diferentes tipos de reações químicas envolvendo substratos </w:t>
      </w:r>
      <w:r w:rsidR="0019670E" w:rsidRPr="004D4B3A">
        <w:rPr>
          <w:rFonts w:ascii="Times New Roman" w:hAnsi="Times New Roman"/>
          <w:lang w:val="pt-BR"/>
        </w:rPr>
        <w:t>terpênicos</w:t>
      </w:r>
      <w:r w:rsidR="0076121F">
        <w:rPr>
          <w:rFonts w:ascii="Times New Roman" w:hAnsi="Times New Roman"/>
          <w:lang w:val="pt-BR"/>
        </w:rPr>
        <w:t xml:space="preserve"> </w:t>
      </w:r>
      <w:r w:rsidR="00C078DC"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{"citationID":"1ZOVOaMd","properties":{"formattedCitation":"{\\i{}(2,7,8)}","plainCitation":"(2,7,8)","noteIndex":0},"citationItems":[{"id":3,"uris":["http://zotero.org/users/local/U1a32NfM/items/Z9P7UYY8"],"itemData":{"id":3,"type":"article-journal","abstract":"Heteropoly compounds (HPCs) have already proved their high potential for the clean synthesis of commercially valuable chemicals. However, the use of HPCs for the transformations of terpenic substrates became a research topic only about 20 years ago. Terpenes, natural products available from essential oils, are an important biomass-based feedstock for the pharmaceutical, flavor, and fragrance industries.","container-title":"ChemCatChem","DOI":"10.1002/cctc.201400052","ISSN":"1867-3899","issue":"6","language":"en","note":"_eprint: https://onlinelibrary.wiley.com/doi/pdf/10.1002/cctc.201400052","page":"1506-1515","source":"Wiley Online Library","title":"Reactions of Terpenes Catalyzed by Heteropoly Compounds: Valorization of Biorenewables","title-short":"Reactions of Terpenes Catalyzed by Heteropoly Compounds","volume":"6","author":[{"family":"Gusevskaya","given":"Elena V."}],"issued":{"date-parts":[["2014"]]}}},{"id":14,"uris":["http://zotero.org/users/local/U1a32NfM/items/IA8UEG22"],"itemData":{"id":14,"type":"article-journal","abstract":"Heterogeneous acid catalysis by heteropoly acids (HPAs) has the potential of substantial economic and green benefits. Its application, however, has been limited because of the difficulty of catalyst regeneration due to a relatively low thermal stability of HPAs. The aim of this paper is to discuss the perspectives of acid catalysis by solid HPAs, in particular focusing on several approaches that could help overcome the deactivation of HPA catalysts to achieve sustainable catalyst performance. These approaches include: developing novel HPA catalysts possessing high thermal stability, modification of HPA catalysts to enhance coke combustion, inhibition of coke formation on HPA catalysts during operation, reactions in supercritical fluids and cascade reactions using multifunctional HPA catalysis.","collection-title":"Polyoxometalates in Catalysis","container-title":"Journal of Molecular Catalysis A: Chemical","DOI":"10.1016/j.molcata.2006.08.072","ISSN":"1381-1169","issue":"1","journalAbbreviation":"Journal of Molecular Catalysis A: Chemical","language":"en","page":"86-92","source":"ScienceDirect","title":"Sustainable heterogeneous acid catalysis by heteropoly acids","volume":"262","author":[{"family":"Kozhevnikov","given":"I. V."}],"issued":{"date-parts":[["2007",2,1]]}}},{"id":17,"uris":["http://zotero.org/users/local/U1a32NfM/items/3ESXZX2L"],"itemData":{"id":17,"type":"article-journal","abstract":"Biodiesel has developed attraction of most researchers recently because of its renewable resources and environmental benefits. Transesterification process in the presence of catalysts is the most common way, which is used for biodiesel production. Heterogeneous acid catalysts are considered more reliable than any other catalysts to carry out most vital reactions related to green chemistry (biodiesel production), because the production of biodiesel from solid acid catalysts is considered economically favorable. Nowadays, biodiesel is preparing from low quality feedstock by using solid acids catalysts in many research laboratory throughout the world. This article discusses how much catalyst shapes affect the efficiency of catalyst during catalysis. Different types of supports (zinc oxide, alumina, zirconia, and silica) are used to increase the efficiency of catalysts. Supported Lewis acid, Brønsted acid, and heteropoly acid catalysts show good efficiency for the catalytic transesterification of oil with alcohol. Heteropoly acid catalysts are tremendous and environment friendly acid catalyst and have ability to tolerate contaminations of oil resources such as water contents and free fatty acids (FFAs) contents. Keggin-type heteropoly acids are easily available and having stable structure while Wells–Dawson-type heteropoly acids are included in super acid class, due to these reasons heteropoly acids are considered as best acidic catalysts for biodiesel production by catalytic transesterification process. Therefore, this review also focused on the deactivation, regeneration and advantages of supported solid acid catalysts used for the catalytic production of biodiesel through transesterification.","container-title":"Catalysis Reviews","DOI":"10.1080/01614940.2017.1321452","ISSN":"0161-4940","issue":"2","note":"publisher: Taylor &amp; Francis\n_eprint: https://doi.org/10.1080/01614940.2017.1321452","page":"165-188","source":"Taylor and Francis+NEJM","title":"Supported solid and heteropoly acid catalysts for production of biodiesel","volume":"59","author":[{"family":"Hanif","given":"Muhammad Asif"},{"family":"Nisar","given":"Shafaq"},{"family":"Rashid","given":"Umer"}],"issued":{"date-parts":[["2017",4,3]]}}}],"schema":"https://github.com/citation-style-language/schema/raw/master/csl-citation.json"} </w:instrText>
      </w:r>
      <w:r w:rsidR="00C078DC" w:rsidRPr="0076121F">
        <w:rPr>
          <w:rFonts w:ascii="Times New Roman" w:hAnsi="Times New Roman"/>
          <w:lang w:val="pt-BR"/>
        </w:rPr>
        <w:fldChar w:fldCharType="separate"/>
      </w:r>
      <w:r w:rsidR="0076121F" w:rsidRPr="00B268E5">
        <w:rPr>
          <w:rFonts w:ascii="Times New Roman" w:hAnsi="Times New Roman"/>
          <w:szCs w:val="24"/>
          <w:lang w:val="pt-BR"/>
        </w:rPr>
        <w:t>(2,7,8)</w:t>
      </w:r>
      <w:r w:rsidR="00C078DC" w:rsidRPr="0076121F">
        <w:rPr>
          <w:rFonts w:ascii="Times New Roman" w:hAnsi="Times New Roman"/>
          <w:lang w:val="pt-BR"/>
        </w:rPr>
        <w:fldChar w:fldCharType="end"/>
      </w:r>
      <w:r w:rsidR="0076121F">
        <w:rPr>
          <w:rFonts w:ascii="Times New Roman" w:hAnsi="Times New Roman"/>
          <w:lang w:val="pt-BR"/>
        </w:rPr>
        <w:t>.</w:t>
      </w:r>
      <w:r w:rsidRPr="004D4B3A">
        <w:rPr>
          <w:rFonts w:ascii="Times New Roman" w:hAnsi="Times New Roman"/>
          <w:lang w:val="pt-BR"/>
        </w:rPr>
        <w:t xml:space="preserve"> </w:t>
      </w:r>
    </w:p>
    <w:p w14:paraId="4C76CF59" w14:textId="69FB063C" w:rsidR="00700524" w:rsidRPr="004D4B3A" w:rsidRDefault="00700524" w:rsidP="00700524">
      <w:pPr>
        <w:pStyle w:val="TAMainText"/>
        <w:rPr>
          <w:rFonts w:ascii="Times New Roman" w:hAnsi="Times New Roman"/>
          <w:lang w:val="pt-BR"/>
        </w:rPr>
      </w:pPr>
      <w:r w:rsidRPr="004D4B3A">
        <w:rPr>
          <w:rFonts w:ascii="Times New Roman" w:hAnsi="Times New Roman"/>
          <w:lang w:val="pt-BR"/>
        </w:rPr>
        <w:t>Outro aspecto de extrema relevância na valorização dos compostos terpênicos</w:t>
      </w:r>
      <w:r w:rsidR="00BB56A2" w:rsidRPr="004D4B3A">
        <w:rPr>
          <w:rFonts w:ascii="Times New Roman" w:hAnsi="Times New Roman"/>
          <w:lang w:val="pt-BR"/>
        </w:rPr>
        <w:t xml:space="preserve"> empregando-se a catálise por ácidos</w:t>
      </w:r>
      <w:r w:rsidRPr="004D4B3A">
        <w:rPr>
          <w:rFonts w:ascii="Times New Roman" w:hAnsi="Times New Roman"/>
          <w:lang w:val="pt-BR"/>
        </w:rPr>
        <w:t xml:space="preserve"> é a escolha do solvente. Além de influenciarem no desempenho da reação química, os solventes também podem trazer impactos ambientais, principalmente em relação à geração de resíduos e toxicidade. Assim</w:t>
      </w:r>
      <w:r w:rsidR="00BB56A2" w:rsidRPr="004D4B3A">
        <w:rPr>
          <w:lang w:val="pt-BR"/>
        </w:rPr>
        <w:t xml:space="preserve">, no desenvolvimento de processos catalíticos, busca-se a </w:t>
      </w:r>
      <w:r w:rsidRPr="004D4B3A">
        <w:rPr>
          <w:rFonts w:ascii="Times New Roman" w:hAnsi="Times New Roman"/>
          <w:lang w:val="pt-BR"/>
        </w:rPr>
        <w:t xml:space="preserve">aplicação de solventes </w:t>
      </w:r>
      <w:r w:rsidR="00AE4396">
        <w:rPr>
          <w:rFonts w:ascii="Times New Roman" w:hAnsi="Times New Roman"/>
          <w:lang w:val="pt-BR"/>
        </w:rPr>
        <w:t>verdes</w:t>
      </w:r>
      <w:r w:rsidR="00BB56A2" w:rsidRPr="004D4B3A">
        <w:rPr>
          <w:rFonts w:ascii="Times New Roman" w:hAnsi="Times New Roman"/>
          <w:lang w:val="pt-BR"/>
        </w:rPr>
        <w:t xml:space="preserve">, em substituição aos </w:t>
      </w:r>
      <w:r w:rsidRPr="004D4B3A">
        <w:rPr>
          <w:rFonts w:ascii="Times New Roman" w:hAnsi="Times New Roman"/>
          <w:lang w:val="pt-BR"/>
        </w:rPr>
        <w:t>solventes convencionais,</w:t>
      </w:r>
      <w:r w:rsidR="00BB56A2" w:rsidRPr="004D4B3A">
        <w:rPr>
          <w:rFonts w:ascii="Times New Roman" w:hAnsi="Times New Roman"/>
          <w:lang w:val="pt-BR"/>
        </w:rPr>
        <w:t xml:space="preserve"> com o intuito de</w:t>
      </w:r>
      <w:r w:rsidRPr="004D4B3A">
        <w:rPr>
          <w:rFonts w:ascii="Times New Roman" w:hAnsi="Times New Roman"/>
          <w:lang w:val="pt-BR"/>
        </w:rPr>
        <w:t xml:space="preserve"> auxiliar no desempenho da reação e reduzir os impactos causados na natureza e saúde humana</w:t>
      </w:r>
      <w:r w:rsidR="0076121F">
        <w:rPr>
          <w:rFonts w:ascii="Times New Roman" w:hAnsi="Times New Roman"/>
          <w:lang w:val="pt-BR"/>
        </w:rPr>
        <w:t xml:space="preserve"> </w:t>
      </w:r>
      <w:r w:rsidR="009E18D1"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{"citationID":"17R502ld","properties":{"formattedCitation":"{\\i{}(9,10)}","plainCitation":"(9,10)","noteIndex":0},"citationItems":[{"id":19,"uris":["http://zotero.org/users/local/U1a32NfM/items/85GA5X2R"],"itemData":{"id":19,"type":"article-journal","abstract":"Driven by legislation and evolving attitudes towards environmental issues, establishing green solvents for extractions, separations, formulations and reaction chemistry has become an increasingly important area of research. Several general purpose solvent selection guides have now been published with the aim to reduce use of the most hazardous solvents. This review serves the purpose of explaining the role of these guides, highlighting their similarities and differences. How they can be used most effectively to enhance the greenness of chemical processes, particularly in laboratory organic synthesis and the pharmaceutical industry, is addressed in detail.Graphical abstractThis review assesses the advances made in green solvent selection using tabular guides and related tools.","container-title":"Sustainable Chemical Processes","DOI":"10.1186/s40508-016-0051-z","ISSN":"2043-7129","issue":"1","journalAbbreviation":"Sustainable Chemical Processes","page":"7","source":"BioMed Central","title":"Tools and techniques for solvent selection: green solvent selection guides","title-short":"Tools and techniques for solvent selection","volume":"4","author":[{"family":"Byrne","given":"Fergal P."},{"family":"Jin","given":"Saimeng"},{"family":"Paggiola","given":"Giulia"},{"family":"Petchey","given":"Tabitha H. M."},{"family":"Clark","given":"James H."},{"family":"Farmer","given":"Thomas J."},{"family":"Hunt","given":"Andrew J."},{"family":"Robert McElroy","given":"C."},{"family":"Sherwood","given":"James"}],"issued":{"date-parts":[["2016",5,23]]}}},{"id":21,"uris":["http://zotero.org/users/local/U1a32NfM/items/SJJDQ7FR"],"itemData":{"id":21,"type":"article-journal","abstract":"Solvents define a major part of the environmental performance of processes in chemical industry and also impact on cost, safety and health issues. The idea of “green” solvents expresses the goal to minimize the environmental impact resulting from the use of solvents in chemical production. Here the question is raised of how to measure how “green” a solvent is. We propose a comprehensive framework for the environmental assessment of solvents that covers major aspects of the environmental performance of solvents in chemical production, as well as important health and safety issues. The framework combines the assessment of substance-specific hazards with the quantification of emissions and resource use over the full life-cycle of a solvent. The proposed framework is demonstrated on 26 organic solvents. Results show that simple alcohols (methanol, ethanol) or alkanes (heptane, hexane) are environmentally preferable solvents, whereas the use of dioxane, acetonitrile, acids, formaldehyde, and tetrahydrofuran is not recommendable from an environmental perspective. Additionally, a case study is presented in which the framework is applied for the assessment of various alcohol–water or pure alcohol mixtures used for solvolysis of p-methoxybenzoyl chloride. The results of this case study indicate that methanol–water or ethanol–water mixtures are environmentally favourable compared to pure alcohol or propanol–water mixtures. The two applications demonstrate that the presented framework is a useful instrument to select green solvents or environmentally sound solvent mixtures for processes in chemical industry. The same framework can also be used for a comprehensive assessment of new solvent technologies as soon as the present lack of data can be overcome.","container-title":"Green Chemistry","DOI":"10.1039/B617536H","ISSN":"1463-9270","issue":"9","journalAbbreviation":"Green Chem.","language":"en","note":"publisher: The Royal Society of Chemistry","page":"927-934","source":"pubs.rsc.org","title":"What is a green solvent? A comprehensive framework for the environmental assessment of solvents","title-short":"What is a green solvent?","volume":"9","author":[{"family":"Capello","given":"Christian"},{"family":"Fischer","given":"Ulrich"},{"family":"Hungerbühler","given":"Konrad"}],"issued":{"date-parts":[["2007",8,28]]}}}],"schema":"https://github.com/citation-style-language/schema/raw/master/csl-citation.json"} </w:instrText>
      </w:r>
      <w:r w:rsidR="009E18D1" w:rsidRPr="0076121F">
        <w:rPr>
          <w:rFonts w:ascii="Times New Roman" w:hAnsi="Times New Roman"/>
          <w:lang w:val="pt-BR"/>
        </w:rPr>
        <w:fldChar w:fldCharType="separate"/>
      </w:r>
      <w:r w:rsidR="0076121F" w:rsidRPr="00B268E5">
        <w:rPr>
          <w:rFonts w:ascii="Times New Roman" w:hAnsi="Times New Roman"/>
          <w:szCs w:val="24"/>
          <w:lang w:val="pt-BR"/>
        </w:rPr>
        <w:t>(9,10)</w:t>
      </w:r>
      <w:r w:rsidR="009E18D1" w:rsidRPr="0076121F">
        <w:rPr>
          <w:rFonts w:ascii="Times New Roman" w:hAnsi="Times New Roman"/>
          <w:lang w:val="pt-BR"/>
        </w:rPr>
        <w:fldChar w:fldCharType="end"/>
      </w:r>
      <w:r w:rsidR="0076121F">
        <w:rPr>
          <w:rFonts w:ascii="Times New Roman" w:hAnsi="Times New Roman"/>
          <w:lang w:val="pt-BR"/>
        </w:rPr>
        <w:t>.</w:t>
      </w:r>
      <w:r w:rsidR="009E18D1" w:rsidRPr="004D4B3A">
        <w:rPr>
          <w:rFonts w:ascii="Times New Roman" w:hAnsi="Times New Roman"/>
          <w:lang w:val="pt-BR"/>
        </w:rPr>
        <w:t xml:space="preserve"> </w:t>
      </w:r>
      <w:r w:rsidRPr="004D4B3A">
        <w:rPr>
          <w:rFonts w:ascii="Times New Roman" w:hAnsi="Times New Roman"/>
          <w:lang w:val="pt-BR"/>
        </w:rPr>
        <w:t xml:space="preserve">Dentre os solventes classificados como </w:t>
      </w:r>
      <w:r w:rsidR="00AE4396">
        <w:rPr>
          <w:rFonts w:ascii="Times New Roman" w:hAnsi="Times New Roman"/>
          <w:lang w:val="pt-BR"/>
        </w:rPr>
        <w:t>verdes</w:t>
      </w:r>
      <w:r w:rsidRPr="004D4B3A">
        <w:rPr>
          <w:rFonts w:ascii="Times New Roman" w:hAnsi="Times New Roman"/>
          <w:lang w:val="pt-BR"/>
        </w:rPr>
        <w:t xml:space="preserve"> estão o anisol, o carbonato de propileno, o </w:t>
      </w:r>
      <w:r w:rsidR="00BD1FCC">
        <w:rPr>
          <w:rFonts w:ascii="Times New Roman" w:hAnsi="Times New Roman"/>
          <w:lang w:val="pt-BR"/>
        </w:rPr>
        <w:t>carbonato de dietila</w:t>
      </w:r>
      <w:r w:rsidRPr="004D4B3A">
        <w:rPr>
          <w:rFonts w:ascii="Times New Roman" w:hAnsi="Times New Roman"/>
          <w:lang w:val="pt-BR"/>
        </w:rPr>
        <w:t xml:space="preserve">, o </w:t>
      </w:r>
      <w:r w:rsidR="00BD1FCC">
        <w:rPr>
          <w:rFonts w:ascii="Times New Roman" w:hAnsi="Times New Roman"/>
          <w:lang w:val="pt-BR"/>
        </w:rPr>
        <w:t>carbonato de dimetila</w:t>
      </w:r>
      <w:r w:rsidRPr="004D4B3A">
        <w:rPr>
          <w:rFonts w:ascii="Times New Roman" w:hAnsi="Times New Roman"/>
          <w:lang w:val="pt-BR"/>
        </w:rPr>
        <w:t xml:space="preserve">, metiletilcetona e a metilisobutilcetona, que podem ser utilizados em diferentes processos </w:t>
      </w:r>
      <w:r w:rsidRPr="0076121F">
        <w:rPr>
          <w:rFonts w:ascii="Times New Roman" w:hAnsi="Times New Roman"/>
          <w:lang w:val="pt-BR"/>
        </w:rPr>
        <w:t>químicos</w:t>
      </w:r>
      <w:r w:rsidR="0076121F" w:rsidRPr="0076121F">
        <w:rPr>
          <w:rFonts w:ascii="Times New Roman" w:hAnsi="Times New Roman"/>
          <w:lang w:val="pt-BR"/>
        </w:rPr>
        <w:t xml:space="preserve"> </w:t>
      </w:r>
      <w:r w:rsidR="009E18D1"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{"citationID":"aWOiQ1Sz","properties":{"formattedCitation":"{\\i{}(11)}","plainCitation":"(11)","noteIndex":0},"citationItems":[{"id":24,"uris":["http://zotero.org/users/local/U1a32NfM/items/YZG3NUWY"],"itemData":{"id":24,"type":"article-journal","abstract":"GlaxoSmithKline (GSK) has previously reported on the development of a GSK solvent guide, the incorporation of lifecycle impact and the expansion of the guide including a customisable version intended for posting in different business areas. This guide has recently been enhanced by: (1) adding 44 additional solvents, many of which have literature claims to be “green”; (2) adjusting the way in which multiple health, environment, safety, and waste categories are combined to reach a single composite score and colour assignment; (3) updating the data behind all scores, especially toxicology and health hazard assessment, and revising the methodology to reflect current guidelines and data. The full methodology behind this work is hereby shared. The new GSK Solvent Sustainability Guide enables GSK scientists to objectively assess solvents. It facilitates both comparison of individual sustainability criteria, and a composite score and colour for rank ordering, incorporating multiple facets of sustainability.","container-title":"Green Chemistry","DOI":"10.1039/C6GC00611F","ISSN":"1463-9270","issue":"13","journalAbbreviation":"Green Chem.","language":"en","note":"publisher: The Royal Society of Chemistry","page":"3879-3890","source":"pubs.rsc.org","title":"Updating and further expanding GSK's solvent sustainability guide","volume":"18","author":[{"family":"Alder","given":"Catherine M."},{"family":"Hayler","given":"John D."},{"family":"Henderson","given":"Richard K."},{"family":"Redman","given":"Anikó M."},{"family":"Shukla","given":"Lena"},{"family":"Shuster","given":"Leanna E."},{"family":"Sneddon","given":"Helen F."}],"issued":{"date-parts":[["2016",6,27]]}}}],"schema":"https://github.com/citation-style-language/schema/raw/master/csl-citation.json"} </w:instrText>
      </w:r>
      <w:r w:rsidR="009E18D1" w:rsidRPr="0076121F">
        <w:rPr>
          <w:rFonts w:ascii="Times New Roman" w:hAnsi="Times New Roman"/>
          <w:lang w:val="pt-BR"/>
        </w:rPr>
        <w:fldChar w:fldCharType="separate"/>
      </w:r>
      <w:r w:rsidR="0076121F" w:rsidRPr="00B268E5">
        <w:rPr>
          <w:rFonts w:ascii="Times New Roman" w:hAnsi="Times New Roman"/>
          <w:szCs w:val="24"/>
          <w:lang w:val="pt-BR"/>
        </w:rPr>
        <w:t>(11)</w:t>
      </w:r>
      <w:r w:rsidR="009E18D1" w:rsidRPr="0076121F">
        <w:rPr>
          <w:rFonts w:ascii="Times New Roman" w:hAnsi="Times New Roman"/>
          <w:lang w:val="pt-BR"/>
        </w:rPr>
        <w:fldChar w:fldCharType="end"/>
      </w:r>
      <w:r w:rsidR="0076121F" w:rsidRPr="0076121F">
        <w:rPr>
          <w:rFonts w:ascii="Times New Roman" w:hAnsi="Times New Roman"/>
          <w:lang w:val="pt-BR"/>
        </w:rPr>
        <w:t>.</w:t>
      </w:r>
    </w:p>
    <w:p w14:paraId="390673B8" w14:textId="304E3E01" w:rsidR="00700524" w:rsidRDefault="00700524" w:rsidP="004D4B3A">
      <w:pPr>
        <w:pStyle w:val="TAMainText"/>
        <w:rPr>
          <w:rFonts w:ascii="Times New Roman" w:hAnsi="Times New Roman"/>
          <w:lang w:val="pt-BR"/>
        </w:rPr>
      </w:pPr>
      <w:r w:rsidRPr="004D4B3A">
        <w:rPr>
          <w:rFonts w:ascii="Times New Roman" w:hAnsi="Times New Roman"/>
          <w:lang w:val="pt-BR"/>
        </w:rPr>
        <w:t>Assim, o objetivo deste trabalho foi a valorização de substratos cineólicos (1,4-cineol e 1,8-cineol), a partir de reações de acetilação catalisadas pelo sal de heteropoliácido Cs</w:t>
      </w:r>
      <w:r w:rsidRPr="004D4B3A">
        <w:rPr>
          <w:rFonts w:ascii="Times New Roman" w:hAnsi="Times New Roman"/>
          <w:vertAlign w:val="subscript"/>
          <w:lang w:val="pt-BR"/>
        </w:rPr>
        <w:t>2.5</w:t>
      </w:r>
      <w:r w:rsidRPr="004D4B3A">
        <w:rPr>
          <w:rFonts w:ascii="Times New Roman" w:hAnsi="Times New Roman"/>
          <w:lang w:val="pt-BR"/>
        </w:rPr>
        <w:t>H</w:t>
      </w:r>
      <w:r w:rsidRPr="004D4B3A">
        <w:rPr>
          <w:rFonts w:ascii="Times New Roman" w:hAnsi="Times New Roman"/>
          <w:vertAlign w:val="subscript"/>
          <w:lang w:val="pt-BR"/>
        </w:rPr>
        <w:t>0.5</w:t>
      </w:r>
      <w:r w:rsidRPr="004D4B3A">
        <w:rPr>
          <w:rFonts w:ascii="Times New Roman" w:hAnsi="Times New Roman"/>
          <w:lang w:val="pt-BR"/>
        </w:rPr>
        <w:t>PW</w:t>
      </w:r>
      <w:r w:rsidRPr="004D4B3A">
        <w:rPr>
          <w:rFonts w:ascii="Times New Roman" w:hAnsi="Times New Roman"/>
          <w:vertAlign w:val="subscript"/>
          <w:lang w:val="pt-BR"/>
        </w:rPr>
        <w:t>12</w:t>
      </w:r>
      <w:r w:rsidRPr="004D4B3A">
        <w:rPr>
          <w:rFonts w:ascii="Times New Roman" w:hAnsi="Times New Roman"/>
          <w:lang w:val="pt-BR"/>
        </w:rPr>
        <w:t>O</w:t>
      </w:r>
      <w:r w:rsidRPr="004D4B3A">
        <w:rPr>
          <w:rFonts w:ascii="Times New Roman" w:hAnsi="Times New Roman"/>
          <w:vertAlign w:val="subscript"/>
          <w:lang w:val="pt-BR"/>
        </w:rPr>
        <w:t>40</w:t>
      </w:r>
      <w:r w:rsidRPr="004D4B3A">
        <w:rPr>
          <w:rFonts w:ascii="Times New Roman" w:hAnsi="Times New Roman"/>
          <w:lang w:val="pt-BR"/>
        </w:rPr>
        <w:t xml:space="preserve"> (CsPW), utilizando solventes </w:t>
      </w:r>
      <w:r w:rsidR="00AE4396">
        <w:rPr>
          <w:rFonts w:ascii="Times New Roman" w:hAnsi="Times New Roman"/>
          <w:lang w:val="pt-BR"/>
        </w:rPr>
        <w:t>verdes</w:t>
      </w:r>
      <w:r w:rsidRPr="004D4B3A">
        <w:rPr>
          <w:rFonts w:ascii="Times New Roman" w:hAnsi="Times New Roman"/>
          <w:lang w:val="pt-BR"/>
        </w:rPr>
        <w:t>, a fim de se obter produtos de maior valor agregado que possam ser utilizados na indústria de Química Fina.</w:t>
      </w:r>
    </w:p>
    <w:p w14:paraId="44AD8860" w14:textId="77777777" w:rsidR="00A84828" w:rsidRPr="004D4B3A" w:rsidRDefault="00A84828" w:rsidP="004D4B3A">
      <w:pPr>
        <w:pStyle w:val="TAMainText"/>
        <w:rPr>
          <w:rFonts w:ascii="Times New Roman" w:hAnsi="Times New Roman"/>
          <w:lang w:val="pt-BR"/>
        </w:rPr>
      </w:pPr>
    </w:p>
    <w:p w14:paraId="1CF8C3EC" w14:textId="4D46F634" w:rsidR="00700524" w:rsidRPr="004D4B3A" w:rsidRDefault="00EA4E1B" w:rsidP="004D4B3A">
      <w:pPr>
        <w:pStyle w:val="Ttulo2"/>
        <w:spacing w:before="200" w:after="200"/>
        <w:rPr>
          <w:rFonts w:ascii="Helvetica" w:hAnsi="Helvetica" w:cs="Helvetica"/>
          <w:b/>
          <w:bCs/>
          <w:sz w:val="24"/>
          <w:szCs w:val="24"/>
        </w:rPr>
      </w:pPr>
      <w:r w:rsidRPr="004D4B3A">
        <w:rPr>
          <w:rFonts w:ascii="Helvetica" w:hAnsi="Helvetica" w:cs="Helvetica"/>
          <w:b/>
          <w:bCs/>
          <w:sz w:val="24"/>
          <w:szCs w:val="24"/>
        </w:rPr>
        <w:t>Experimental</w:t>
      </w:r>
    </w:p>
    <w:p w14:paraId="2DC16EBB" w14:textId="28E3552E" w:rsidR="00700524" w:rsidRPr="00365751" w:rsidRDefault="00700524" w:rsidP="004D4B3A">
      <w:pPr>
        <w:pStyle w:val="TAMainText"/>
        <w:spacing w:after="100"/>
        <w:ind w:firstLine="0"/>
        <w:rPr>
          <w:rFonts w:ascii="Times New Roman" w:hAnsi="Times New Roman"/>
          <w:b/>
          <w:bCs/>
          <w:i/>
          <w:iCs/>
          <w:lang w:val="pt-BR"/>
        </w:rPr>
      </w:pPr>
      <w:r w:rsidRPr="00365751">
        <w:rPr>
          <w:rFonts w:ascii="Times New Roman" w:hAnsi="Times New Roman"/>
          <w:b/>
          <w:bCs/>
          <w:i/>
          <w:iCs/>
          <w:lang w:val="pt-BR"/>
        </w:rPr>
        <w:t>Síntese e Caracterização do Catalisador</w:t>
      </w:r>
    </w:p>
    <w:p w14:paraId="70C1D6BE" w14:textId="459DD1EB" w:rsidR="00700524" w:rsidRPr="004D4B3A" w:rsidRDefault="00700524" w:rsidP="00700524">
      <w:pPr>
        <w:pStyle w:val="TAMainText"/>
        <w:rPr>
          <w:rFonts w:ascii="Times New Roman" w:hAnsi="Times New Roman"/>
          <w:lang w:val="pt-BR"/>
        </w:rPr>
      </w:pPr>
      <w:r w:rsidRPr="004D4B3A">
        <w:rPr>
          <w:rFonts w:ascii="Times New Roman" w:hAnsi="Times New Roman"/>
          <w:lang w:val="pt-BR"/>
        </w:rPr>
        <w:t>O catalisador Cs</w:t>
      </w:r>
      <w:r w:rsidRPr="00BD615D">
        <w:rPr>
          <w:rFonts w:ascii="Times New Roman" w:hAnsi="Times New Roman"/>
          <w:vertAlign w:val="subscript"/>
          <w:lang w:val="pt-BR"/>
        </w:rPr>
        <w:t>2</w:t>
      </w:r>
      <w:r w:rsidR="00BD615D" w:rsidRPr="00BD615D">
        <w:rPr>
          <w:rFonts w:ascii="Times New Roman" w:hAnsi="Times New Roman"/>
          <w:vertAlign w:val="subscript"/>
          <w:lang w:val="pt-BR"/>
        </w:rPr>
        <w:t>,</w:t>
      </w:r>
      <w:r w:rsidRPr="00BD615D">
        <w:rPr>
          <w:rFonts w:ascii="Times New Roman" w:hAnsi="Times New Roman"/>
          <w:vertAlign w:val="subscript"/>
          <w:lang w:val="pt-BR"/>
        </w:rPr>
        <w:t>5</w:t>
      </w:r>
      <w:r w:rsidRPr="004D4B3A">
        <w:rPr>
          <w:rFonts w:ascii="Times New Roman" w:hAnsi="Times New Roman"/>
          <w:lang w:val="pt-BR"/>
        </w:rPr>
        <w:t>H</w:t>
      </w:r>
      <w:r w:rsidRPr="00BD615D">
        <w:rPr>
          <w:rFonts w:ascii="Times New Roman" w:hAnsi="Times New Roman"/>
          <w:vertAlign w:val="subscript"/>
          <w:lang w:val="pt-BR"/>
        </w:rPr>
        <w:t>0</w:t>
      </w:r>
      <w:r w:rsidR="00BD615D" w:rsidRPr="00BD615D">
        <w:rPr>
          <w:rFonts w:ascii="Times New Roman" w:hAnsi="Times New Roman"/>
          <w:vertAlign w:val="subscript"/>
          <w:lang w:val="pt-BR"/>
        </w:rPr>
        <w:t>,</w:t>
      </w:r>
      <w:r w:rsidRPr="00BD615D">
        <w:rPr>
          <w:rFonts w:ascii="Times New Roman" w:hAnsi="Times New Roman"/>
          <w:vertAlign w:val="subscript"/>
          <w:lang w:val="pt-BR"/>
        </w:rPr>
        <w:t>5</w:t>
      </w:r>
      <w:r w:rsidRPr="004D4B3A">
        <w:rPr>
          <w:rFonts w:ascii="Times New Roman" w:hAnsi="Times New Roman"/>
          <w:lang w:val="pt-BR"/>
        </w:rPr>
        <w:t>PW</w:t>
      </w:r>
      <w:r w:rsidRPr="00BD615D">
        <w:rPr>
          <w:rFonts w:ascii="Times New Roman" w:hAnsi="Times New Roman"/>
          <w:vertAlign w:val="subscript"/>
          <w:lang w:val="pt-BR"/>
        </w:rPr>
        <w:t>12</w:t>
      </w:r>
      <w:r w:rsidRPr="004D4B3A">
        <w:rPr>
          <w:rFonts w:ascii="Times New Roman" w:hAnsi="Times New Roman"/>
          <w:lang w:val="pt-BR"/>
        </w:rPr>
        <w:t>O</w:t>
      </w:r>
      <w:r w:rsidRPr="00BD615D">
        <w:rPr>
          <w:rFonts w:ascii="Times New Roman" w:hAnsi="Times New Roman"/>
          <w:vertAlign w:val="subscript"/>
          <w:lang w:val="pt-BR"/>
        </w:rPr>
        <w:t>40</w:t>
      </w:r>
      <w:r w:rsidRPr="004D4B3A">
        <w:rPr>
          <w:rFonts w:ascii="Times New Roman" w:hAnsi="Times New Roman"/>
          <w:lang w:val="pt-BR"/>
        </w:rPr>
        <w:t xml:space="preserve"> (CsPW) foi preparado de acordo com o procedimento descrito </w:t>
      </w:r>
      <w:r w:rsidRPr="0076121F">
        <w:rPr>
          <w:rFonts w:ascii="Times New Roman" w:hAnsi="Times New Roman"/>
          <w:lang w:val="pt-BR"/>
        </w:rPr>
        <w:t>anteriormente</w:t>
      </w:r>
      <w:r w:rsidR="0076121F">
        <w:rPr>
          <w:rFonts w:ascii="Times New Roman" w:hAnsi="Times New Roman"/>
          <w:lang w:val="pt-BR"/>
        </w:rPr>
        <w:t xml:space="preserve"> </w:t>
      </w:r>
      <w:r w:rsidR="009E18D1" w:rsidRPr="0076121F">
        <w:rPr>
          <w:rFonts w:ascii="Times New Roman" w:hAnsi="Times New Roman"/>
          <w:lang w:val="pt-BR"/>
        </w:rPr>
        <w:fldChar w:fldCharType="begin"/>
      </w:r>
      <w:r w:rsidR="0076121F" w:rsidRPr="0076121F">
        <w:rPr>
          <w:rFonts w:ascii="Times New Roman" w:hAnsi="Times New Roman"/>
          <w:lang w:val="pt-BR"/>
        </w:rPr>
        <w:instrText xml:space="preserve"> ADDIN ZOTERO_ITEM CSL_CITATION {"citationID":"KzDZm2Ex","properties":{"formattedCitation":"{\\i{}(12)}","plainCitation":"(12)","noteIndex":0},"citationItems":[{"id":27,"uris":["http://zotero.org/users/local/U1a32NfM/items/IUSX8PK2"],"itemData":{"id":27,"type":"article-journal","abstract":"12-Tungstophosphoric acid (H3PW12O40) and its acidic cesium salt (Cs2.5H0.5PW12O40), which readily dissolve or disperse as a colloid in water or in highly polar organic media, could be immobilized into a silica matrix by means of a sol-gel technique. This involves the hydrolysis of ethyl orthosilicate to afford insoluble and easily separable solid acid catalysts. The silica-included heteropoly compounds thus obtained were porous materials with mesopores and large surface areas, and were thermally more stable than the acidic ion-exchange resin Amberlyst-15. They effectively catalyzed the hydrolysis of ethyl acetate in the liquid phase owing to their strong acidity. Their turnover frequencies were larger than those of Amberlyst-15 and H-ZSM-5. H3PW12O40, when included in a silica matrix, showed higher catalytic activity than as an aqueous solution.","container-title":"Microporous Materials","DOI":"10.1016/0927-6513(95)00059-3","ISSN":"0927-6513","issue":"4","journalAbbreviation":"Microporous Materials","language":"en","page":"255-262","source":"ScienceDirect","title":"Silica-included heteropoly compounds as solid acid catalysts","volume":"5","author":[{"family":"Izumi","given":"Yusuke"},{"family":"Ono","given":"Mchiyoshi"},{"family":"Kitagawa","given":"Masanori"},{"family":"Yoshida","given":"Michiaki"},{"family":"Urabe","given":"Kazuo"}],"issued":{"date-parts":[["1995",12,1]]}}}],"schema":"https://github.com/citation-style-language/schema/raw/master/csl-citation.json"} </w:instrText>
      </w:r>
      <w:r w:rsidR="009E18D1" w:rsidRPr="0076121F">
        <w:rPr>
          <w:rFonts w:ascii="Times New Roman" w:hAnsi="Times New Roman"/>
          <w:lang w:val="pt-BR"/>
        </w:rPr>
        <w:fldChar w:fldCharType="separate"/>
      </w:r>
      <w:r w:rsidR="0076121F" w:rsidRPr="0076121F">
        <w:rPr>
          <w:rFonts w:ascii="Times New Roman" w:hAnsi="Times New Roman"/>
          <w:lang w:val="pt-BR"/>
        </w:rPr>
        <w:t>(12)</w:t>
      </w:r>
      <w:r w:rsidR="009E18D1" w:rsidRPr="0076121F">
        <w:rPr>
          <w:rFonts w:ascii="Times New Roman" w:hAnsi="Times New Roman"/>
          <w:lang w:val="pt-BR"/>
        </w:rPr>
        <w:fldChar w:fldCharType="end"/>
      </w:r>
      <w:r w:rsidRPr="0076121F">
        <w:rPr>
          <w:rFonts w:ascii="Times New Roman" w:hAnsi="Times New Roman"/>
          <w:lang w:val="pt-BR"/>
        </w:rPr>
        <w:t>,</w:t>
      </w:r>
      <w:r w:rsidRPr="004D4B3A">
        <w:rPr>
          <w:rFonts w:ascii="Times New Roman" w:hAnsi="Times New Roman"/>
          <w:lang w:val="pt-BR"/>
        </w:rPr>
        <w:t xml:space="preserve"> a partir da adição gota a gota de uma solução aquosa de carbonato de césio (0.47 mol.L</w:t>
      </w:r>
      <w:r w:rsidRPr="00635F99">
        <w:rPr>
          <w:rFonts w:ascii="Times New Roman" w:hAnsi="Times New Roman"/>
          <w:vertAlign w:val="superscript"/>
          <w:lang w:val="pt-BR"/>
        </w:rPr>
        <w:t>-1</w:t>
      </w:r>
      <w:r w:rsidRPr="004D4B3A">
        <w:rPr>
          <w:rFonts w:ascii="Times New Roman" w:hAnsi="Times New Roman"/>
          <w:lang w:val="pt-BR"/>
        </w:rPr>
        <w:t>) a uma solução aquosa de HPW (0.75 mol.L</w:t>
      </w:r>
      <w:r w:rsidRPr="00635F99">
        <w:rPr>
          <w:rFonts w:ascii="Times New Roman" w:hAnsi="Times New Roman"/>
          <w:vertAlign w:val="superscript"/>
          <w:lang w:val="pt-BR"/>
        </w:rPr>
        <w:t>-1</w:t>
      </w:r>
      <w:r w:rsidRPr="004D4B3A">
        <w:rPr>
          <w:rFonts w:ascii="Times New Roman" w:hAnsi="Times New Roman"/>
          <w:lang w:val="pt-BR"/>
        </w:rPr>
        <w:t>), mantida sob agitação constante em temperatura ambiente. O precipitado obtido foi mantido sob agitação constante, em temperatura ambiente, durante 48 horas e após, uma secagem foi realizada em um rotaevaporador a 45 °C/3 KPa, seguida da secagem em estufa a 150 °C/0,1 KPa por 1,5 h. O catalisador obtido apresentou área superficial equivalente a 111 m</w:t>
      </w:r>
      <w:r w:rsidRPr="00635F99">
        <w:rPr>
          <w:rFonts w:ascii="Times New Roman" w:hAnsi="Times New Roman"/>
          <w:vertAlign w:val="superscript"/>
          <w:lang w:val="pt-BR"/>
        </w:rPr>
        <w:t>2</w:t>
      </w:r>
      <w:r w:rsidRPr="004D4B3A">
        <w:rPr>
          <w:rFonts w:ascii="Times New Roman" w:hAnsi="Times New Roman"/>
          <w:lang w:val="pt-BR"/>
        </w:rPr>
        <w:t>.g</w:t>
      </w:r>
      <w:r w:rsidRPr="00635F99">
        <w:rPr>
          <w:rFonts w:ascii="Times New Roman" w:hAnsi="Times New Roman"/>
          <w:vertAlign w:val="superscript"/>
          <w:lang w:val="pt-BR"/>
        </w:rPr>
        <w:t>-1</w:t>
      </w:r>
      <w:r w:rsidRPr="004D4B3A">
        <w:rPr>
          <w:rFonts w:ascii="Times New Roman" w:hAnsi="Times New Roman"/>
          <w:lang w:val="pt-BR"/>
        </w:rPr>
        <w:t>, com volume e diâmetro médio do poro iguais a 0.07 cm</w:t>
      </w:r>
      <w:r w:rsidRPr="00635F99">
        <w:rPr>
          <w:rFonts w:ascii="Times New Roman" w:hAnsi="Times New Roman"/>
          <w:vertAlign w:val="superscript"/>
          <w:lang w:val="pt-BR"/>
        </w:rPr>
        <w:t>3</w:t>
      </w:r>
      <w:r w:rsidRPr="004D4B3A">
        <w:rPr>
          <w:rFonts w:ascii="Times New Roman" w:hAnsi="Times New Roman"/>
          <w:lang w:val="pt-BR"/>
        </w:rPr>
        <w:t>.g</w:t>
      </w:r>
      <w:r w:rsidRPr="00635F99">
        <w:rPr>
          <w:rFonts w:ascii="Times New Roman" w:hAnsi="Times New Roman"/>
          <w:vertAlign w:val="superscript"/>
          <w:lang w:val="pt-BR"/>
        </w:rPr>
        <w:t xml:space="preserve">-1 </w:t>
      </w:r>
      <w:r w:rsidRPr="004D4B3A">
        <w:rPr>
          <w:rFonts w:ascii="Times New Roman" w:hAnsi="Times New Roman"/>
          <w:lang w:val="pt-BR"/>
        </w:rPr>
        <w:t>e 24Å, respectivamente.</w:t>
      </w:r>
    </w:p>
    <w:p w14:paraId="0857C7BB" w14:textId="77777777" w:rsidR="00700524" w:rsidRPr="004D4B3A" w:rsidRDefault="00700524" w:rsidP="00700524">
      <w:pPr>
        <w:pStyle w:val="TAMainText"/>
        <w:ind w:firstLine="0"/>
        <w:rPr>
          <w:rFonts w:ascii="Times New Roman" w:hAnsi="Times New Roman"/>
          <w:b/>
          <w:bCs/>
          <w:i/>
          <w:iCs/>
          <w:lang w:val="pt-BR"/>
        </w:rPr>
      </w:pPr>
    </w:p>
    <w:p w14:paraId="6F25F3FC" w14:textId="7F41549B" w:rsidR="00700524" w:rsidRPr="00365751" w:rsidRDefault="00700524" w:rsidP="004D4B3A">
      <w:pPr>
        <w:pStyle w:val="TAMainText"/>
        <w:spacing w:after="100"/>
        <w:ind w:firstLine="0"/>
        <w:rPr>
          <w:rFonts w:ascii="Times New Roman" w:hAnsi="Times New Roman"/>
          <w:b/>
          <w:bCs/>
          <w:i/>
          <w:iCs/>
          <w:lang w:val="pt-BR"/>
        </w:rPr>
      </w:pPr>
      <w:r w:rsidRPr="00365751">
        <w:rPr>
          <w:rFonts w:ascii="Times New Roman" w:hAnsi="Times New Roman"/>
          <w:b/>
          <w:bCs/>
          <w:i/>
          <w:iCs/>
          <w:lang w:val="pt-BR"/>
        </w:rPr>
        <w:t>Testes Catalíticos</w:t>
      </w:r>
    </w:p>
    <w:p w14:paraId="1E0E0AFA" w14:textId="775A8A27" w:rsidR="00700524" w:rsidRPr="004D4B3A" w:rsidRDefault="00700524" w:rsidP="009B6233">
      <w:pPr>
        <w:pStyle w:val="TAMainText"/>
        <w:rPr>
          <w:rFonts w:ascii="Times New Roman" w:hAnsi="Times New Roman"/>
          <w:lang w:val="pt-BR"/>
        </w:rPr>
      </w:pPr>
      <w:r w:rsidRPr="004D4B3A">
        <w:rPr>
          <w:rFonts w:ascii="Times New Roman" w:hAnsi="Times New Roman"/>
          <w:lang w:val="pt-BR"/>
        </w:rPr>
        <w:t xml:space="preserve">Os testes catalíticos foram realizados em reatores de vidro de 10 mL, imersos em banho de silicone e alocados </w:t>
      </w:r>
      <w:r w:rsidRPr="004D4B3A">
        <w:rPr>
          <w:rFonts w:ascii="Times New Roman" w:hAnsi="Times New Roman"/>
          <w:lang w:val="pt-BR"/>
        </w:rPr>
        <w:t>sobre uma chapa de aquecimento com agitador magnético. Em um experimento típico, a mistura reacional contendo undecano (</w:t>
      </w:r>
      <w:r w:rsidR="004D4B3A" w:rsidRPr="004D4B3A">
        <w:rPr>
          <w:rFonts w:ascii="Times New Roman" w:hAnsi="Times New Roman"/>
          <w:lang w:val="pt-BR"/>
        </w:rPr>
        <w:t>0,30 mmol</w:t>
      </w:r>
      <w:r w:rsidRPr="004D4B3A">
        <w:rPr>
          <w:rFonts w:ascii="Times New Roman" w:hAnsi="Times New Roman"/>
          <w:lang w:val="pt-BR"/>
        </w:rPr>
        <w:t>, padrão interno), 1,8-cineol ou 1,4-cineol (</w:t>
      </w:r>
      <w:r w:rsidR="004D4B3A" w:rsidRPr="004D4B3A">
        <w:rPr>
          <w:rFonts w:ascii="Times New Roman" w:hAnsi="Times New Roman"/>
          <w:lang w:val="pt-BR"/>
        </w:rPr>
        <w:t>0,45 mmol</w:t>
      </w:r>
      <w:r w:rsidRPr="004D4B3A">
        <w:rPr>
          <w:rFonts w:ascii="Times New Roman" w:hAnsi="Times New Roman"/>
          <w:lang w:val="pt-BR"/>
        </w:rPr>
        <w:t>), anidrido acético (</w:t>
      </w:r>
      <w:r w:rsidR="004D4B3A" w:rsidRPr="004D4B3A">
        <w:rPr>
          <w:rFonts w:ascii="Times New Roman" w:hAnsi="Times New Roman"/>
          <w:lang w:val="pt-BR"/>
        </w:rPr>
        <w:t>3</w:t>
      </w:r>
      <w:r w:rsidRPr="004D4B3A">
        <w:rPr>
          <w:rFonts w:ascii="Times New Roman" w:hAnsi="Times New Roman"/>
          <w:lang w:val="pt-BR"/>
        </w:rPr>
        <w:t>-</w:t>
      </w:r>
      <w:r w:rsidR="004D4B3A" w:rsidRPr="004D4B3A">
        <w:rPr>
          <w:rFonts w:ascii="Times New Roman" w:hAnsi="Times New Roman"/>
          <w:lang w:val="pt-BR"/>
        </w:rPr>
        <w:t>12 mmol</w:t>
      </w:r>
      <w:r w:rsidRPr="004D4B3A">
        <w:rPr>
          <w:rFonts w:ascii="Times New Roman" w:hAnsi="Times New Roman"/>
          <w:lang w:val="pt-BR"/>
        </w:rPr>
        <w:t>), CsPW (</w:t>
      </w:r>
      <w:r w:rsidR="004D4B3A" w:rsidRPr="004D4B3A">
        <w:rPr>
          <w:rFonts w:ascii="Times New Roman" w:hAnsi="Times New Roman"/>
          <w:lang w:val="pt-BR"/>
        </w:rPr>
        <w:t>5</w:t>
      </w:r>
      <w:r w:rsidRPr="004D4B3A">
        <w:rPr>
          <w:rFonts w:ascii="Times New Roman" w:hAnsi="Times New Roman"/>
          <w:lang w:val="pt-BR"/>
        </w:rPr>
        <w:t xml:space="preserve">-20 mg) e o solvente de reação (volume total = 3,0 mL), à </w:t>
      </w:r>
      <w:r w:rsidR="004D4B3A" w:rsidRPr="004D4B3A">
        <w:rPr>
          <w:rFonts w:ascii="Times New Roman" w:hAnsi="Times New Roman"/>
          <w:lang w:val="pt-BR"/>
        </w:rPr>
        <w:t>2</w:t>
      </w:r>
      <w:r w:rsidRPr="004D4B3A">
        <w:rPr>
          <w:rFonts w:ascii="Times New Roman" w:hAnsi="Times New Roman"/>
          <w:lang w:val="pt-BR"/>
        </w:rPr>
        <w:t>5-80 ºC, foi mantida sob agitação e temperatura constantes por tempo determinado. O progresso das reações foi monitorado via Cromatografia a Gás</w:t>
      </w:r>
      <w:r w:rsidR="009B6233">
        <w:rPr>
          <w:rFonts w:ascii="Times New Roman" w:hAnsi="Times New Roman"/>
          <w:lang w:val="pt-BR"/>
        </w:rPr>
        <w:t xml:space="preserve"> </w:t>
      </w:r>
      <w:r w:rsidRPr="004D4B3A">
        <w:rPr>
          <w:rFonts w:ascii="Times New Roman" w:hAnsi="Times New Roman"/>
          <w:lang w:val="pt-BR"/>
        </w:rPr>
        <w:t>(</w:t>
      </w:r>
      <w:r w:rsidR="009B6233">
        <w:rPr>
          <w:rFonts w:ascii="Times New Roman" w:hAnsi="Times New Roman"/>
          <w:lang w:val="pt-BR"/>
        </w:rPr>
        <w:t xml:space="preserve">CG, </w:t>
      </w:r>
      <w:r w:rsidR="009B6233" w:rsidRPr="009B6233">
        <w:rPr>
          <w:rFonts w:ascii="Times New Roman" w:hAnsi="Times New Roman"/>
          <w:lang w:val="pt-BR"/>
        </w:rPr>
        <w:t>Shimadzu</w:t>
      </w:r>
      <w:r w:rsidR="00205B7D">
        <w:rPr>
          <w:rFonts w:ascii="Times New Roman" w:hAnsi="Times New Roman"/>
          <w:lang w:val="pt-BR"/>
        </w:rPr>
        <w:t xml:space="preserve"> </w:t>
      </w:r>
      <w:r w:rsidR="009B6233" w:rsidRPr="009B6233">
        <w:rPr>
          <w:rFonts w:ascii="Times New Roman" w:hAnsi="Times New Roman"/>
          <w:lang w:val="pt-BR"/>
        </w:rPr>
        <w:t>1</w:t>
      </w:r>
      <w:r w:rsidR="00205B7D">
        <w:rPr>
          <w:rFonts w:ascii="Times New Roman" w:hAnsi="Times New Roman"/>
          <w:lang w:val="pt-BR"/>
        </w:rPr>
        <w:t>7</w:t>
      </w:r>
      <w:r w:rsidR="009B6233" w:rsidRPr="009B6233">
        <w:rPr>
          <w:rFonts w:ascii="Times New Roman" w:hAnsi="Times New Roman"/>
          <w:lang w:val="pt-BR"/>
        </w:rPr>
        <w:t>A, coluna capilar Carbowax 20M</w:t>
      </w:r>
      <w:r w:rsidR="009B6233">
        <w:rPr>
          <w:rFonts w:ascii="Times New Roman" w:hAnsi="Times New Roman"/>
          <w:lang w:val="pt-BR"/>
        </w:rPr>
        <w:t xml:space="preserve">, </w:t>
      </w:r>
      <w:r w:rsidR="009B6233" w:rsidRPr="009B6233">
        <w:rPr>
          <w:rFonts w:ascii="Times New Roman" w:hAnsi="Times New Roman"/>
          <w:lang w:val="pt-BR"/>
        </w:rPr>
        <w:t>detector por ionização em chama</w:t>
      </w:r>
      <w:r w:rsidR="009B6233">
        <w:rPr>
          <w:rFonts w:ascii="Times New Roman" w:hAnsi="Times New Roman"/>
          <w:lang w:val="pt-BR"/>
        </w:rPr>
        <w:t xml:space="preserve">) </w:t>
      </w:r>
      <w:r w:rsidRPr="004D4B3A">
        <w:rPr>
          <w:rFonts w:ascii="Times New Roman" w:hAnsi="Times New Roman"/>
          <w:lang w:val="pt-BR"/>
        </w:rPr>
        <w:t xml:space="preserve">por meio da retirada de alíquotas no decorrer das reações e a conversão do substrato e seletividade dos produtos foram calculadas em relação aos substratos. </w:t>
      </w:r>
    </w:p>
    <w:p w14:paraId="58F77905" w14:textId="77777777" w:rsidR="00700524" w:rsidRPr="004D4B3A" w:rsidRDefault="00700524" w:rsidP="00700524">
      <w:pPr>
        <w:pStyle w:val="TAMainText"/>
        <w:rPr>
          <w:rFonts w:ascii="Times New Roman" w:hAnsi="Times New Roman"/>
          <w:b/>
          <w:bCs/>
          <w:lang w:val="pt-BR"/>
        </w:rPr>
      </w:pPr>
    </w:p>
    <w:p w14:paraId="5CE3BB09" w14:textId="2A960982" w:rsidR="00700524" w:rsidRPr="00365751" w:rsidRDefault="00700524" w:rsidP="004D4B3A">
      <w:pPr>
        <w:pStyle w:val="TAMainText"/>
        <w:spacing w:after="100"/>
        <w:ind w:firstLine="0"/>
        <w:rPr>
          <w:rFonts w:ascii="Times New Roman" w:hAnsi="Times New Roman"/>
          <w:b/>
          <w:bCs/>
          <w:i/>
          <w:iCs/>
          <w:lang w:val="pt-BR"/>
        </w:rPr>
      </w:pPr>
      <w:r w:rsidRPr="00365751">
        <w:rPr>
          <w:rFonts w:ascii="Times New Roman" w:hAnsi="Times New Roman"/>
          <w:b/>
          <w:bCs/>
          <w:i/>
          <w:iCs/>
          <w:lang w:val="pt-BR"/>
        </w:rPr>
        <w:t>Caracterização dos Produtos</w:t>
      </w:r>
    </w:p>
    <w:p w14:paraId="223E1721" w14:textId="63AC24C9" w:rsidR="009B5497" w:rsidRDefault="00700524" w:rsidP="00205B7D">
      <w:pPr>
        <w:pStyle w:val="TAMainText"/>
        <w:rPr>
          <w:rFonts w:ascii="Times New Roman" w:hAnsi="Times New Roman"/>
          <w:lang w:val="pt-BR"/>
        </w:rPr>
      </w:pPr>
      <w:r w:rsidRPr="004D4B3A">
        <w:rPr>
          <w:rFonts w:ascii="Times New Roman" w:hAnsi="Times New Roman"/>
          <w:lang w:val="pt-BR"/>
        </w:rPr>
        <w:t>Os produtos obtidos nas reações foram separados por meio de cromatografia em coluna, utilizando solventes orgânicos como eluentes. A identificação e caracterização foi realizada por meio das técnicas de Cromatografia a Gás acoplada à Espectrometria de Massas (</w:t>
      </w:r>
      <w:r w:rsidR="009B6233">
        <w:rPr>
          <w:rFonts w:ascii="Times New Roman" w:hAnsi="Times New Roman"/>
          <w:lang w:val="pt-BR"/>
        </w:rPr>
        <w:t>CG-EM,</w:t>
      </w:r>
      <w:r w:rsidR="00205B7D">
        <w:rPr>
          <w:rFonts w:ascii="Times New Roman" w:hAnsi="Times New Roman"/>
          <w:lang w:val="pt-BR"/>
        </w:rPr>
        <w:t xml:space="preserve"> </w:t>
      </w:r>
      <w:r w:rsidR="009B6233" w:rsidRPr="009B6233">
        <w:rPr>
          <w:rFonts w:ascii="Times New Roman" w:hAnsi="Times New Roman"/>
          <w:lang w:val="pt-BR"/>
        </w:rPr>
        <w:t xml:space="preserve">Shimadzu QP 2010-PLUS, modo </w:t>
      </w:r>
      <w:r w:rsidR="009B6233">
        <w:rPr>
          <w:rFonts w:ascii="Times New Roman" w:hAnsi="Times New Roman"/>
          <w:lang w:val="pt-BR"/>
        </w:rPr>
        <w:t>i</w:t>
      </w:r>
      <w:r w:rsidR="009B6233" w:rsidRPr="009B6233">
        <w:rPr>
          <w:rFonts w:ascii="Times New Roman" w:hAnsi="Times New Roman"/>
          <w:lang w:val="pt-BR"/>
        </w:rPr>
        <w:t xml:space="preserve">mpacto </w:t>
      </w:r>
      <w:r w:rsidR="009B6233">
        <w:rPr>
          <w:rFonts w:ascii="Times New Roman" w:hAnsi="Times New Roman"/>
          <w:lang w:val="pt-BR"/>
        </w:rPr>
        <w:t>e</w:t>
      </w:r>
      <w:r w:rsidR="009B6233" w:rsidRPr="009B6233">
        <w:rPr>
          <w:rFonts w:ascii="Times New Roman" w:hAnsi="Times New Roman"/>
          <w:lang w:val="pt-BR"/>
        </w:rPr>
        <w:t>letrônico</w:t>
      </w:r>
      <w:r w:rsidR="009B6233">
        <w:rPr>
          <w:rFonts w:ascii="Times New Roman" w:hAnsi="Times New Roman"/>
          <w:lang w:val="pt-BR"/>
        </w:rPr>
        <w:t xml:space="preserve">, </w:t>
      </w:r>
      <w:r w:rsidR="009B6233" w:rsidRPr="009B6233">
        <w:rPr>
          <w:rFonts w:ascii="Times New Roman" w:hAnsi="Times New Roman"/>
          <w:lang w:val="pt-BR"/>
        </w:rPr>
        <w:t>70 e</w:t>
      </w:r>
      <w:r w:rsidR="009B6233">
        <w:rPr>
          <w:rFonts w:ascii="Times New Roman" w:hAnsi="Times New Roman"/>
          <w:lang w:val="pt-BR"/>
        </w:rPr>
        <w:t xml:space="preserve">V) </w:t>
      </w:r>
      <w:r w:rsidRPr="004D4B3A">
        <w:rPr>
          <w:rFonts w:ascii="Times New Roman" w:hAnsi="Times New Roman"/>
          <w:lang w:val="pt-BR"/>
        </w:rPr>
        <w:t>e de Ressonância Magnética Nuclear (</w:t>
      </w:r>
      <w:r w:rsidR="00205B7D" w:rsidRPr="00205B7D">
        <w:rPr>
          <w:rFonts w:ascii="Times New Roman" w:hAnsi="Times New Roman"/>
          <w:lang w:val="pt-BR"/>
        </w:rPr>
        <w:t xml:space="preserve">RMN, </w:t>
      </w:r>
      <w:r w:rsidR="009B6233" w:rsidRPr="009B6233">
        <w:rPr>
          <w:rFonts w:ascii="Times New Roman" w:hAnsi="Times New Roman"/>
          <w:lang w:val="pt-BR"/>
        </w:rPr>
        <w:t>Bruker 400 MHz,</w:t>
      </w:r>
      <w:r w:rsidR="009B6233">
        <w:rPr>
          <w:rFonts w:ascii="Times New Roman" w:hAnsi="Times New Roman"/>
          <w:lang w:val="pt-BR"/>
        </w:rPr>
        <w:t xml:space="preserve"> </w:t>
      </w:r>
      <w:r w:rsidR="009B6233" w:rsidRPr="009B6233">
        <w:rPr>
          <w:rFonts w:ascii="Times New Roman" w:hAnsi="Times New Roman"/>
          <w:lang w:val="pt-BR"/>
        </w:rPr>
        <w:t>TMS</w:t>
      </w:r>
      <w:r w:rsidR="009B6233">
        <w:rPr>
          <w:rFonts w:ascii="Times New Roman" w:hAnsi="Times New Roman"/>
          <w:lang w:val="pt-BR"/>
        </w:rPr>
        <w:t xml:space="preserve">, </w:t>
      </w:r>
      <w:r w:rsidR="009B6233" w:rsidRPr="009B6233">
        <w:rPr>
          <w:rFonts w:ascii="Times New Roman" w:hAnsi="Times New Roman"/>
          <w:lang w:val="pt-BR"/>
        </w:rPr>
        <w:t>CDCl</w:t>
      </w:r>
      <w:r w:rsidR="00205B7D" w:rsidRPr="00205B7D">
        <w:rPr>
          <w:rFonts w:ascii="Times New Roman" w:hAnsi="Times New Roman"/>
          <w:vertAlign w:val="subscript"/>
          <w:lang w:val="pt-BR"/>
        </w:rPr>
        <w:t>3</w:t>
      </w:r>
      <w:r w:rsidR="00205B7D">
        <w:rPr>
          <w:rFonts w:ascii="Times New Roman" w:hAnsi="Times New Roman"/>
          <w:lang w:val="pt-BR"/>
        </w:rPr>
        <w:t xml:space="preserve">), </w:t>
      </w:r>
      <w:r w:rsidRPr="004D4B3A">
        <w:rPr>
          <w:rFonts w:ascii="Times New Roman" w:hAnsi="Times New Roman"/>
          <w:lang w:val="pt-BR"/>
        </w:rPr>
        <w:t xml:space="preserve">pelos experimentos de </w:t>
      </w:r>
      <w:r w:rsidRPr="00635F99">
        <w:rPr>
          <w:rFonts w:ascii="Times New Roman" w:hAnsi="Times New Roman"/>
          <w:vertAlign w:val="superscript"/>
          <w:lang w:val="pt-BR"/>
        </w:rPr>
        <w:t>1</w:t>
      </w:r>
      <w:r w:rsidRPr="004D4B3A">
        <w:rPr>
          <w:rFonts w:ascii="Times New Roman" w:hAnsi="Times New Roman"/>
          <w:lang w:val="pt-BR"/>
        </w:rPr>
        <w:t xml:space="preserve">H, </w:t>
      </w:r>
      <w:r w:rsidRPr="00635F99">
        <w:rPr>
          <w:rFonts w:ascii="Times New Roman" w:hAnsi="Times New Roman"/>
          <w:vertAlign w:val="superscript"/>
          <w:lang w:val="pt-BR"/>
        </w:rPr>
        <w:t>13</w:t>
      </w:r>
      <w:r w:rsidRPr="004D4B3A">
        <w:rPr>
          <w:rFonts w:ascii="Times New Roman" w:hAnsi="Times New Roman"/>
          <w:lang w:val="pt-BR"/>
        </w:rPr>
        <w:t>C, DEPT, COSY, HMQC, HMBC e NOESY</w:t>
      </w:r>
      <w:r w:rsidR="009B5497" w:rsidRPr="004D4B3A">
        <w:rPr>
          <w:rFonts w:ascii="Times New Roman" w:hAnsi="Times New Roman"/>
          <w:lang w:val="pt-BR"/>
        </w:rPr>
        <w:t>.</w:t>
      </w:r>
    </w:p>
    <w:p w14:paraId="2BBA2F27" w14:textId="77777777" w:rsidR="00363ADB" w:rsidRDefault="00363ADB" w:rsidP="00365751">
      <w:pPr>
        <w:pStyle w:val="TAMainText"/>
        <w:ind w:firstLine="0"/>
        <w:rPr>
          <w:rFonts w:ascii="Times New Roman" w:hAnsi="Times New Roman"/>
          <w:i/>
          <w:iCs/>
          <w:highlight w:val="cyan"/>
          <w:lang w:val="pt-BR"/>
        </w:rPr>
      </w:pPr>
    </w:p>
    <w:p w14:paraId="04B19DD5" w14:textId="25A7A6E4" w:rsidR="00365751" w:rsidRPr="00977CD5" w:rsidRDefault="00365751" w:rsidP="00363ADB">
      <w:pPr>
        <w:pStyle w:val="TAMainText"/>
        <w:ind w:firstLine="0"/>
        <w:rPr>
          <w:rFonts w:ascii="Times New Roman" w:hAnsi="Times New Roman"/>
          <w:i/>
          <w:iCs/>
          <w:lang w:val="pt-BR"/>
        </w:rPr>
      </w:pPr>
      <w:r w:rsidRPr="00635F99">
        <w:rPr>
          <w:rFonts w:ascii="Times New Roman" w:hAnsi="Times New Roman"/>
          <w:i/>
          <w:iCs/>
          <w:lang w:val="pt-BR"/>
        </w:rPr>
        <w:t>Dados espectroscópicos dos produtos</w:t>
      </w:r>
    </w:p>
    <w:p w14:paraId="3C6FB956" w14:textId="11AA0AFD" w:rsidR="00365751" w:rsidRPr="00ED5396" w:rsidRDefault="00365751" w:rsidP="00977CD5">
      <w:pPr>
        <w:pStyle w:val="TAMainText"/>
        <w:ind w:firstLine="142"/>
        <w:rPr>
          <w:rFonts w:ascii="Times New Roman" w:hAnsi="Times New Roman"/>
          <w:lang w:val="es-ES"/>
        </w:rPr>
      </w:pPr>
      <w:r w:rsidRPr="00977CD5">
        <w:rPr>
          <w:rFonts w:ascii="Times New Roman" w:hAnsi="Times New Roman"/>
          <w:lang w:val="pt-BR"/>
        </w:rPr>
        <w:t>- Acetato de 1-</w:t>
      </w:r>
      <w:r w:rsidR="004A22D2" w:rsidRPr="00977CD5">
        <w:rPr>
          <w:rFonts w:ascii="Times New Roman" w:hAnsi="Times New Roman"/>
          <w:lang w:val="pt-BR"/>
        </w:rPr>
        <w:t>terpenila</w:t>
      </w:r>
      <w:r w:rsidR="00A54C6A">
        <w:rPr>
          <w:rFonts w:ascii="Times New Roman" w:hAnsi="Times New Roman"/>
          <w:lang w:val="pt-BR"/>
        </w:rPr>
        <w:t xml:space="preserve"> (</w:t>
      </w:r>
      <w:r w:rsidR="00A54C6A" w:rsidRPr="00A54C6A">
        <w:rPr>
          <w:rFonts w:ascii="Times New Roman" w:hAnsi="Times New Roman"/>
          <w:b/>
          <w:bCs/>
          <w:lang w:val="pt-BR"/>
        </w:rPr>
        <w:t>3a</w:t>
      </w:r>
      <w:r w:rsidR="00A54C6A">
        <w:rPr>
          <w:rFonts w:ascii="Times New Roman" w:hAnsi="Times New Roman"/>
          <w:lang w:val="pt-BR"/>
        </w:rPr>
        <w:t>)</w:t>
      </w:r>
      <w:r w:rsidRPr="00977CD5">
        <w:rPr>
          <w:rFonts w:ascii="Times New Roman" w:hAnsi="Times New Roman"/>
          <w:lang w:val="pt-BR"/>
        </w:rPr>
        <w:t xml:space="preserve">: </w:t>
      </w:r>
      <w:r w:rsidR="00977CD5" w:rsidRPr="00977CD5">
        <w:rPr>
          <w:rFonts w:ascii="Times New Roman" w:hAnsi="Times New Roman"/>
          <w:lang w:val="pt-BR"/>
        </w:rPr>
        <w:t xml:space="preserve">EM (70 eV, EI): m/z (%) 93 (100), 121 (95), 136 (50), 91 (35), 79 (29). </w:t>
      </w:r>
      <w:r w:rsidRPr="00977CD5">
        <w:rPr>
          <w:rFonts w:ascii="Times New Roman" w:hAnsi="Times New Roman"/>
          <w:vertAlign w:val="superscript"/>
          <w:lang w:val="pt-BR"/>
        </w:rPr>
        <w:t>1</w:t>
      </w:r>
      <w:r w:rsidRPr="00977CD5">
        <w:rPr>
          <w:rFonts w:ascii="Times New Roman" w:hAnsi="Times New Roman"/>
          <w:lang w:val="pt-BR"/>
        </w:rPr>
        <w:t>H RMN (400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xml:space="preserve">): δ=0,98 (d, </w:t>
      </w:r>
      <w:r w:rsidRPr="00977CD5">
        <w:rPr>
          <w:rFonts w:ascii="Times New Roman" w:hAnsi="Times New Roman"/>
          <w:vertAlign w:val="superscript"/>
          <w:lang w:val="pt-BR"/>
        </w:rPr>
        <w:t>3</w:t>
      </w:r>
      <w:r w:rsidRPr="00977CD5">
        <w:rPr>
          <w:rFonts w:ascii="Times New Roman" w:hAnsi="Times New Roman"/>
          <w:lang w:val="pt-BR"/>
        </w:rPr>
        <w:t>J</w:t>
      </w:r>
      <w:r w:rsidR="00F30178" w:rsidRPr="00977CD5">
        <w:rPr>
          <w:rFonts w:ascii="Times New Roman" w:hAnsi="Times New Roman"/>
          <w:lang w:val="pt-BR"/>
        </w:rPr>
        <w:t xml:space="preserve"> </w:t>
      </w:r>
      <w:r w:rsidRPr="00977CD5">
        <w:rPr>
          <w:rFonts w:ascii="Times New Roman" w:hAnsi="Times New Roman"/>
          <w:lang w:val="pt-BR"/>
        </w:rPr>
        <w:t>=6,8 Hz, 6H; C</w:t>
      </w:r>
      <w:r w:rsidRPr="00977CD5">
        <w:rPr>
          <w:rFonts w:ascii="Times New Roman" w:hAnsi="Times New Roman"/>
          <w:vertAlign w:val="superscript"/>
          <w:lang w:val="pt-BR"/>
        </w:rPr>
        <w:t>9</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10</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1,47 (s, 3H; C</w:t>
      </w:r>
      <w:r w:rsidRPr="00977CD5">
        <w:rPr>
          <w:rFonts w:ascii="Times New Roman" w:hAnsi="Times New Roman"/>
          <w:vertAlign w:val="superscript"/>
          <w:lang w:val="pt-BR"/>
        </w:rPr>
        <w:t>7</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1,94 (s, 3H; OCOCH</w:t>
      </w:r>
      <w:r w:rsidRPr="00977CD5">
        <w:rPr>
          <w:rFonts w:ascii="Times New Roman" w:hAnsi="Times New Roman"/>
          <w:vertAlign w:val="subscript"/>
          <w:lang w:val="pt-BR"/>
        </w:rPr>
        <w:t>3</w:t>
      </w:r>
      <w:r w:rsidRPr="00977CD5">
        <w:rPr>
          <w:rFonts w:ascii="Times New Roman" w:hAnsi="Times New Roman"/>
          <w:lang w:val="pt-BR"/>
        </w:rPr>
        <w:t>), 1,65-1,75 (m, 1H; C</w:t>
      </w:r>
      <w:r w:rsidRPr="00977CD5">
        <w:rPr>
          <w:rFonts w:ascii="Times New Roman" w:hAnsi="Times New Roman"/>
          <w:vertAlign w:val="superscript"/>
          <w:lang w:val="pt-BR"/>
        </w:rPr>
        <w:t>5</w:t>
      </w:r>
      <w:r w:rsidRPr="00977CD5">
        <w:rPr>
          <w:rFonts w:ascii="Times New Roman" w:hAnsi="Times New Roman"/>
          <w:lang w:val="pt-BR"/>
        </w:rPr>
        <w:t xml:space="preserve">HH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6</w:t>
      </w:r>
      <w:r w:rsidRPr="00977CD5">
        <w:rPr>
          <w:rFonts w:ascii="Times New Roman" w:hAnsi="Times New Roman"/>
          <w:lang w:val="pt-BR"/>
        </w:rPr>
        <w:t>HH), 1,90-2,10 (m, 1H; C</w:t>
      </w:r>
      <w:r w:rsidRPr="00977CD5">
        <w:rPr>
          <w:rFonts w:ascii="Times New Roman" w:hAnsi="Times New Roman"/>
          <w:vertAlign w:val="superscript"/>
          <w:lang w:val="pt-BR"/>
        </w:rPr>
        <w:t>5</w:t>
      </w:r>
      <w:r w:rsidRPr="00977CD5">
        <w:rPr>
          <w:rFonts w:ascii="Times New Roman" w:hAnsi="Times New Roman"/>
          <w:lang w:val="pt-BR"/>
        </w:rPr>
        <w:t>HH), 2,20-2,30 (m, 1H; C</w:t>
      </w:r>
      <w:r w:rsidRPr="00977CD5">
        <w:rPr>
          <w:rFonts w:ascii="Times New Roman" w:hAnsi="Times New Roman"/>
          <w:vertAlign w:val="superscript"/>
          <w:lang w:val="pt-BR"/>
        </w:rPr>
        <w:t>6</w:t>
      </w:r>
      <w:r w:rsidRPr="00977CD5">
        <w:rPr>
          <w:rFonts w:ascii="Times New Roman" w:hAnsi="Times New Roman"/>
          <w:lang w:val="pt-BR"/>
        </w:rPr>
        <w:t>HH), 2,05-2,20 (m, 1H; C</w:t>
      </w:r>
      <w:r w:rsidRPr="00977CD5">
        <w:rPr>
          <w:rFonts w:ascii="Times New Roman" w:hAnsi="Times New Roman"/>
          <w:vertAlign w:val="superscript"/>
          <w:lang w:val="pt-BR"/>
        </w:rPr>
        <w:t>8</w:t>
      </w:r>
      <w:r w:rsidRPr="00977CD5">
        <w:rPr>
          <w:rFonts w:ascii="Times New Roman" w:hAnsi="Times New Roman"/>
          <w:lang w:val="pt-BR"/>
        </w:rPr>
        <w:t>H), 2,20-2,40 (m, 2H; C</w:t>
      </w:r>
      <w:r w:rsidRPr="00977CD5">
        <w:rPr>
          <w:rFonts w:ascii="Times New Roman" w:hAnsi="Times New Roman"/>
          <w:vertAlign w:val="superscript"/>
          <w:lang w:val="pt-BR"/>
        </w:rPr>
        <w:t>2</w:t>
      </w:r>
      <w:r w:rsidRPr="00977CD5">
        <w:rPr>
          <w:rFonts w:ascii="Times New Roman" w:hAnsi="Times New Roman"/>
          <w:lang w:val="pt-BR"/>
        </w:rPr>
        <w:t xml:space="preserve">HH). </w:t>
      </w:r>
      <w:r w:rsidRPr="00ED5396">
        <w:rPr>
          <w:rFonts w:ascii="Times New Roman" w:hAnsi="Times New Roman"/>
          <w:vertAlign w:val="superscript"/>
          <w:lang w:val="es-ES"/>
        </w:rPr>
        <w:t>13</w:t>
      </w:r>
      <w:r w:rsidRPr="00ED5396">
        <w:rPr>
          <w:rFonts w:ascii="Times New Roman" w:hAnsi="Times New Roman"/>
          <w:lang w:val="es-ES"/>
        </w:rPr>
        <w:t>C RMN (100 MHz, CDCl</w:t>
      </w:r>
      <w:r w:rsidRPr="00ED5396">
        <w:rPr>
          <w:rFonts w:ascii="Times New Roman" w:hAnsi="Times New Roman"/>
          <w:vertAlign w:val="subscript"/>
          <w:lang w:val="es-ES"/>
        </w:rPr>
        <w:t>3</w:t>
      </w:r>
      <w:r w:rsidRPr="00ED5396">
        <w:rPr>
          <w:rFonts w:ascii="Times New Roman" w:hAnsi="Times New Roman"/>
          <w:lang w:val="es-ES"/>
        </w:rPr>
        <w:t xml:space="preserve">, 25°C, </w:t>
      </w:r>
      <w:r w:rsidR="00205B7D" w:rsidRPr="009B6233">
        <w:rPr>
          <w:rFonts w:ascii="Times New Roman" w:hAnsi="Times New Roman"/>
          <w:lang w:val="pt-BR"/>
        </w:rPr>
        <w:t>TMS</w:t>
      </w:r>
      <w:r w:rsidRPr="00ED5396">
        <w:rPr>
          <w:rFonts w:ascii="Times New Roman" w:hAnsi="Times New Roman"/>
          <w:lang w:val="es-ES"/>
        </w:rPr>
        <w:t xml:space="preserve">): </w:t>
      </w:r>
      <w:r w:rsidRPr="00977CD5">
        <w:rPr>
          <w:rFonts w:ascii="Times New Roman" w:hAnsi="Times New Roman"/>
          <w:lang w:val="pt-BR"/>
        </w:rPr>
        <w:t>δ</w:t>
      </w:r>
      <w:r w:rsidRPr="00ED5396">
        <w:rPr>
          <w:rFonts w:ascii="Times New Roman" w:hAnsi="Times New Roman"/>
          <w:lang w:val="es-ES"/>
        </w:rPr>
        <w:t>= 21,55 (C</w:t>
      </w:r>
      <w:r w:rsidRPr="00ED5396">
        <w:rPr>
          <w:rFonts w:ascii="Times New Roman" w:hAnsi="Times New Roman"/>
          <w:vertAlign w:val="superscript"/>
          <w:lang w:val="es-ES"/>
        </w:rPr>
        <w:t>10</w:t>
      </w:r>
      <w:r w:rsidRPr="00ED5396">
        <w:rPr>
          <w:rFonts w:ascii="Times New Roman" w:hAnsi="Times New Roman"/>
          <w:lang w:val="es-ES"/>
        </w:rPr>
        <w:t>), 21,65 (C</w:t>
      </w:r>
      <w:r w:rsidRPr="00ED5396">
        <w:rPr>
          <w:rFonts w:ascii="Times New Roman" w:hAnsi="Times New Roman"/>
          <w:vertAlign w:val="superscript"/>
          <w:lang w:val="es-ES"/>
        </w:rPr>
        <w:t>9</w:t>
      </w:r>
      <w:r w:rsidRPr="00ED5396">
        <w:rPr>
          <w:rFonts w:ascii="Times New Roman" w:hAnsi="Times New Roman"/>
          <w:lang w:val="es-ES"/>
        </w:rPr>
        <w:t>), 22,69 (OCOCH</w:t>
      </w:r>
      <w:r w:rsidRPr="00ED5396">
        <w:rPr>
          <w:rFonts w:ascii="Times New Roman" w:hAnsi="Times New Roman"/>
          <w:vertAlign w:val="subscript"/>
          <w:lang w:val="es-ES"/>
        </w:rPr>
        <w:t>3</w:t>
      </w:r>
      <w:r w:rsidRPr="00ED5396">
        <w:rPr>
          <w:rFonts w:ascii="Times New Roman" w:hAnsi="Times New Roman"/>
          <w:lang w:val="es-ES"/>
        </w:rPr>
        <w:t>), 23,82 (C</w:t>
      </w:r>
      <w:r w:rsidRPr="00ED5396">
        <w:rPr>
          <w:rFonts w:ascii="Times New Roman" w:hAnsi="Times New Roman"/>
          <w:vertAlign w:val="superscript"/>
          <w:lang w:val="es-ES"/>
        </w:rPr>
        <w:t>5</w:t>
      </w:r>
      <w:r w:rsidRPr="00ED5396">
        <w:rPr>
          <w:rFonts w:ascii="Times New Roman" w:hAnsi="Times New Roman"/>
          <w:lang w:val="es-ES"/>
        </w:rPr>
        <w:t>), 24,03 (C</w:t>
      </w:r>
      <w:r w:rsidRPr="00ED5396">
        <w:rPr>
          <w:rFonts w:ascii="Times New Roman" w:hAnsi="Times New Roman"/>
          <w:vertAlign w:val="superscript"/>
          <w:lang w:val="es-ES"/>
        </w:rPr>
        <w:t>7</w:t>
      </w:r>
      <w:r w:rsidRPr="00ED5396">
        <w:rPr>
          <w:rFonts w:ascii="Times New Roman" w:hAnsi="Times New Roman"/>
          <w:lang w:val="es-ES"/>
        </w:rPr>
        <w:t>), 33,05 (C</w:t>
      </w:r>
      <w:r w:rsidRPr="00ED5396">
        <w:rPr>
          <w:rFonts w:ascii="Times New Roman" w:hAnsi="Times New Roman"/>
          <w:vertAlign w:val="superscript"/>
          <w:lang w:val="es-ES"/>
        </w:rPr>
        <w:t>6</w:t>
      </w:r>
      <w:r w:rsidRPr="00ED5396">
        <w:rPr>
          <w:rFonts w:ascii="Times New Roman" w:hAnsi="Times New Roman"/>
          <w:lang w:val="es-ES"/>
        </w:rPr>
        <w:t>), 34,84 (C</w:t>
      </w:r>
      <w:r w:rsidRPr="00ED5396">
        <w:rPr>
          <w:rFonts w:ascii="Times New Roman" w:hAnsi="Times New Roman"/>
          <w:vertAlign w:val="superscript"/>
          <w:lang w:val="es-ES"/>
        </w:rPr>
        <w:t>8</w:t>
      </w:r>
      <w:r w:rsidRPr="00ED5396">
        <w:rPr>
          <w:rFonts w:ascii="Times New Roman" w:hAnsi="Times New Roman"/>
          <w:lang w:val="es-ES"/>
        </w:rPr>
        <w:t>), 37,43 (C</w:t>
      </w:r>
      <w:r w:rsidRPr="00ED5396">
        <w:rPr>
          <w:rFonts w:ascii="Times New Roman" w:hAnsi="Times New Roman"/>
          <w:vertAlign w:val="superscript"/>
          <w:lang w:val="es-ES"/>
        </w:rPr>
        <w:t>2</w:t>
      </w:r>
      <w:r w:rsidRPr="00ED5396">
        <w:rPr>
          <w:rFonts w:ascii="Times New Roman" w:hAnsi="Times New Roman"/>
          <w:lang w:val="es-ES"/>
        </w:rPr>
        <w:t>), 80,74 (C</w:t>
      </w:r>
      <w:r w:rsidRPr="00ED5396">
        <w:rPr>
          <w:rFonts w:ascii="Times New Roman" w:hAnsi="Times New Roman"/>
          <w:vertAlign w:val="superscript"/>
          <w:lang w:val="es-ES"/>
        </w:rPr>
        <w:t>1</w:t>
      </w:r>
      <w:r w:rsidRPr="00ED5396">
        <w:rPr>
          <w:rFonts w:ascii="Times New Roman" w:hAnsi="Times New Roman"/>
          <w:lang w:val="es-ES"/>
        </w:rPr>
        <w:t>), 115,51 (C</w:t>
      </w:r>
      <w:r w:rsidRPr="00ED5396">
        <w:rPr>
          <w:rFonts w:ascii="Times New Roman" w:hAnsi="Times New Roman"/>
          <w:vertAlign w:val="superscript"/>
          <w:lang w:val="es-ES"/>
        </w:rPr>
        <w:t>3</w:t>
      </w:r>
      <w:r w:rsidRPr="00ED5396">
        <w:rPr>
          <w:rFonts w:ascii="Times New Roman" w:hAnsi="Times New Roman"/>
          <w:lang w:val="es-ES"/>
        </w:rPr>
        <w:t>), 142,75 (C</w:t>
      </w:r>
      <w:r w:rsidRPr="00ED5396">
        <w:rPr>
          <w:rFonts w:ascii="Times New Roman" w:hAnsi="Times New Roman"/>
          <w:vertAlign w:val="superscript"/>
          <w:lang w:val="es-ES"/>
        </w:rPr>
        <w:t>4</w:t>
      </w:r>
      <w:r w:rsidRPr="00ED5396">
        <w:rPr>
          <w:rFonts w:ascii="Times New Roman" w:hAnsi="Times New Roman"/>
          <w:lang w:val="es-ES"/>
        </w:rPr>
        <w:t>), 170,20 (OCOCH</w:t>
      </w:r>
      <w:r w:rsidRPr="00ED5396">
        <w:rPr>
          <w:rFonts w:ascii="Times New Roman" w:hAnsi="Times New Roman"/>
          <w:vertAlign w:val="subscript"/>
          <w:lang w:val="es-ES"/>
        </w:rPr>
        <w:t>3</w:t>
      </w:r>
      <w:r w:rsidRPr="00ED5396">
        <w:rPr>
          <w:rFonts w:ascii="Times New Roman" w:hAnsi="Times New Roman"/>
          <w:lang w:val="es-ES"/>
        </w:rPr>
        <w:t>).</w:t>
      </w:r>
    </w:p>
    <w:p w14:paraId="6F4F57A7" w14:textId="6257693B" w:rsidR="00365751" w:rsidRPr="00977CD5" w:rsidRDefault="00365751" w:rsidP="00363ADB">
      <w:pPr>
        <w:pStyle w:val="TAMainText"/>
        <w:ind w:firstLine="142"/>
        <w:rPr>
          <w:rFonts w:ascii="Times New Roman" w:hAnsi="Times New Roman"/>
          <w:lang w:val="pt-BR"/>
        </w:rPr>
      </w:pPr>
      <w:r w:rsidRPr="00977CD5">
        <w:rPr>
          <w:rFonts w:ascii="Times New Roman" w:hAnsi="Times New Roman"/>
          <w:lang w:val="pt-BR"/>
        </w:rPr>
        <w:t>- Acetato de β -</w:t>
      </w:r>
      <w:r w:rsidR="004A22D2" w:rsidRPr="00977CD5">
        <w:rPr>
          <w:rFonts w:ascii="Times New Roman" w:hAnsi="Times New Roman"/>
          <w:lang w:val="pt-BR"/>
        </w:rPr>
        <w:t>terpenila</w:t>
      </w:r>
      <w:r w:rsidR="00A54C6A">
        <w:rPr>
          <w:rFonts w:ascii="Times New Roman" w:hAnsi="Times New Roman"/>
          <w:lang w:val="pt-BR"/>
        </w:rPr>
        <w:t xml:space="preserve"> (</w:t>
      </w:r>
      <w:r w:rsidR="00A54C6A" w:rsidRPr="00A54C6A">
        <w:rPr>
          <w:rFonts w:ascii="Times New Roman" w:hAnsi="Times New Roman"/>
          <w:b/>
          <w:bCs/>
          <w:lang w:val="pt-BR"/>
        </w:rPr>
        <w:t>3b</w:t>
      </w:r>
      <w:r w:rsidR="00A54C6A">
        <w:rPr>
          <w:rFonts w:ascii="Times New Roman" w:hAnsi="Times New Roman"/>
          <w:lang w:val="pt-BR"/>
        </w:rPr>
        <w:t>)</w:t>
      </w:r>
      <w:r w:rsidRPr="00977CD5">
        <w:rPr>
          <w:rFonts w:ascii="Times New Roman" w:hAnsi="Times New Roman"/>
          <w:lang w:val="pt-BR"/>
        </w:rPr>
        <w:t>:</w:t>
      </w:r>
      <w:r w:rsidR="00977CD5" w:rsidRPr="00977CD5">
        <w:rPr>
          <w:rFonts w:ascii="Times New Roman" w:hAnsi="Times New Roman"/>
          <w:lang w:val="pt-BR"/>
        </w:rPr>
        <w:t xml:space="preserve"> EM (70 eV, EI): m/z (%) 93 (100), 68 (70), 67 (53), 79 (46), 94 (46).</w:t>
      </w:r>
    </w:p>
    <w:p w14:paraId="647AE076" w14:textId="5380F2DB" w:rsidR="00365751" w:rsidRPr="00977CD5" w:rsidRDefault="00365751" w:rsidP="00365751">
      <w:pPr>
        <w:pStyle w:val="TAMainText"/>
        <w:ind w:firstLine="0"/>
        <w:rPr>
          <w:rFonts w:ascii="Times New Roman" w:hAnsi="Times New Roman"/>
          <w:lang w:val="pt-BR"/>
        </w:rPr>
      </w:pPr>
      <w:r w:rsidRPr="00977CD5">
        <w:rPr>
          <w:rFonts w:ascii="Times New Roman" w:hAnsi="Times New Roman"/>
          <w:vertAlign w:val="superscript"/>
          <w:lang w:val="pt-BR"/>
        </w:rPr>
        <w:t>1</w:t>
      </w:r>
      <w:r w:rsidRPr="00977CD5">
        <w:rPr>
          <w:rFonts w:ascii="Times New Roman" w:hAnsi="Times New Roman"/>
          <w:lang w:val="pt-BR"/>
        </w:rPr>
        <w:t>H RMN (400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 4,67 (s, 2H; C</w:t>
      </w:r>
      <w:r w:rsidRPr="00977CD5">
        <w:rPr>
          <w:rFonts w:ascii="Times New Roman" w:hAnsi="Times New Roman"/>
          <w:vertAlign w:val="superscript"/>
          <w:lang w:val="pt-BR"/>
        </w:rPr>
        <w:t>9</w:t>
      </w:r>
      <w:r w:rsidRPr="00977CD5">
        <w:rPr>
          <w:rFonts w:ascii="Times New Roman" w:hAnsi="Times New Roman"/>
          <w:lang w:val="pt-BR"/>
        </w:rPr>
        <w:t>HH), 1,46 (s, 3H; C</w:t>
      </w:r>
      <w:r w:rsidRPr="00977CD5">
        <w:rPr>
          <w:rFonts w:ascii="Times New Roman" w:hAnsi="Times New Roman"/>
          <w:vertAlign w:val="superscript"/>
          <w:lang w:val="pt-BR"/>
        </w:rPr>
        <w:t>7</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1,64 (s, 3H, C</w:t>
      </w:r>
      <w:r w:rsidRPr="00977CD5">
        <w:rPr>
          <w:rFonts w:ascii="Times New Roman" w:hAnsi="Times New Roman"/>
          <w:vertAlign w:val="superscript"/>
          <w:lang w:val="pt-BR"/>
        </w:rPr>
        <w:t>10</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1,70-1,80 (m, 1H, C</w:t>
      </w:r>
      <w:r w:rsidRPr="00977CD5">
        <w:rPr>
          <w:rFonts w:ascii="Times New Roman" w:hAnsi="Times New Roman"/>
          <w:vertAlign w:val="superscript"/>
          <w:lang w:val="pt-BR"/>
        </w:rPr>
        <w:t>4</w:t>
      </w:r>
      <w:r w:rsidRPr="00977CD5">
        <w:rPr>
          <w:rFonts w:ascii="Times New Roman" w:hAnsi="Times New Roman"/>
          <w:lang w:val="pt-BR"/>
        </w:rPr>
        <w:t>H), 1,96 (s, 3H; OCOCH</w:t>
      </w:r>
      <w:r w:rsidRPr="00977CD5">
        <w:rPr>
          <w:rFonts w:ascii="Times New Roman" w:hAnsi="Times New Roman"/>
          <w:vertAlign w:val="subscript"/>
          <w:lang w:val="pt-BR"/>
        </w:rPr>
        <w:t>3</w:t>
      </w:r>
      <w:r w:rsidRPr="00977CD5">
        <w:rPr>
          <w:rFonts w:ascii="Times New Roman" w:hAnsi="Times New Roman"/>
          <w:lang w:val="pt-BR"/>
        </w:rPr>
        <w:t xml:space="preserve">). </w:t>
      </w:r>
      <w:r w:rsidRPr="00977CD5">
        <w:rPr>
          <w:rFonts w:ascii="Times New Roman" w:hAnsi="Times New Roman"/>
          <w:vertAlign w:val="superscript"/>
          <w:lang w:val="pt-BR"/>
        </w:rPr>
        <w:t>13</w:t>
      </w:r>
      <w:r w:rsidRPr="00977CD5">
        <w:rPr>
          <w:rFonts w:ascii="Times New Roman" w:hAnsi="Times New Roman"/>
          <w:lang w:val="pt-BR"/>
        </w:rPr>
        <w:t>C RMN (100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21,14 (C</w:t>
      </w:r>
      <w:r w:rsidRPr="00977CD5">
        <w:rPr>
          <w:rFonts w:ascii="Times New Roman" w:hAnsi="Times New Roman"/>
          <w:vertAlign w:val="superscript"/>
          <w:lang w:val="pt-BR"/>
        </w:rPr>
        <w:t>10</w:t>
      </w:r>
      <w:r w:rsidRPr="00977CD5">
        <w:rPr>
          <w:rFonts w:ascii="Times New Roman" w:hAnsi="Times New Roman"/>
          <w:lang w:val="pt-BR"/>
        </w:rPr>
        <w:t>), 23,32 (C</w:t>
      </w:r>
      <w:r w:rsidRPr="00977CD5">
        <w:rPr>
          <w:rFonts w:ascii="Times New Roman" w:hAnsi="Times New Roman"/>
          <w:vertAlign w:val="superscript"/>
          <w:lang w:val="pt-BR"/>
        </w:rPr>
        <w:t>7</w:t>
      </w:r>
      <w:r w:rsidRPr="00977CD5">
        <w:rPr>
          <w:rFonts w:ascii="Times New Roman" w:hAnsi="Times New Roman"/>
          <w:lang w:val="pt-BR"/>
        </w:rPr>
        <w:t>), 21,30 (OCOCH</w:t>
      </w:r>
      <w:r w:rsidRPr="00977CD5">
        <w:rPr>
          <w:rFonts w:ascii="Times New Roman" w:hAnsi="Times New Roman"/>
          <w:vertAlign w:val="subscript"/>
          <w:lang w:val="pt-BR"/>
        </w:rPr>
        <w:t>3</w:t>
      </w:r>
      <w:r w:rsidRPr="00977CD5">
        <w:rPr>
          <w:rFonts w:ascii="Times New Roman" w:hAnsi="Times New Roman"/>
          <w:lang w:val="pt-BR"/>
        </w:rPr>
        <w:t>), 26,99 (C</w:t>
      </w:r>
      <w:r w:rsidRPr="00977CD5">
        <w:rPr>
          <w:rFonts w:ascii="Times New Roman" w:hAnsi="Times New Roman"/>
          <w:vertAlign w:val="superscript"/>
          <w:lang w:val="pt-BR"/>
        </w:rPr>
        <w:t>3</w:t>
      </w:r>
      <w:r w:rsidR="00363ADB" w:rsidRPr="00977CD5">
        <w:rPr>
          <w:rFonts w:ascii="Times New Roman" w:hAnsi="Times New Roman"/>
          <w:lang w:val="pt-BR"/>
        </w:rPr>
        <w:t xml:space="preserve"> e</w:t>
      </w:r>
      <w:r w:rsidRPr="00977CD5">
        <w:rPr>
          <w:rFonts w:ascii="Times New Roman" w:hAnsi="Times New Roman"/>
          <w:lang w:val="pt-BR"/>
        </w:rPr>
        <w:t xml:space="preserve"> C</w:t>
      </w:r>
      <w:r w:rsidRPr="00977CD5">
        <w:rPr>
          <w:rFonts w:ascii="Times New Roman" w:hAnsi="Times New Roman"/>
          <w:vertAlign w:val="superscript"/>
          <w:lang w:val="pt-BR"/>
        </w:rPr>
        <w:t>5</w:t>
      </w:r>
      <w:r w:rsidRPr="00977CD5">
        <w:rPr>
          <w:rFonts w:ascii="Times New Roman" w:hAnsi="Times New Roman"/>
          <w:lang w:val="pt-BR"/>
        </w:rPr>
        <w:t>), 36,66 (C</w:t>
      </w:r>
      <w:r w:rsidRPr="00977CD5">
        <w:rPr>
          <w:rFonts w:ascii="Times New Roman" w:hAnsi="Times New Roman"/>
          <w:vertAlign w:val="superscript"/>
          <w:lang w:val="pt-BR"/>
        </w:rPr>
        <w:t>2</w:t>
      </w:r>
      <w:r w:rsidRPr="00977CD5">
        <w:rPr>
          <w:rFonts w:ascii="Times New Roman" w:hAnsi="Times New Roman"/>
          <w:lang w:val="pt-BR"/>
        </w:rPr>
        <w:t xml:space="preserve"> </w:t>
      </w:r>
      <w:r w:rsidR="00363ADB" w:rsidRPr="00977CD5">
        <w:rPr>
          <w:rFonts w:ascii="Times New Roman" w:hAnsi="Times New Roman"/>
          <w:lang w:val="pt-BR"/>
        </w:rPr>
        <w:t xml:space="preserve">e </w:t>
      </w:r>
      <w:r w:rsidRPr="00977CD5">
        <w:rPr>
          <w:rFonts w:ascii="Times New Roman" w:hAnsi="Times New Roman"/>
          <w:lang w:val="pt-BR"/>
        </w:rPr>
        <w:t>C</w:t>
      </w:r>
      <w:r w:rsidRPr="00977CD5">
        <w:rPr>
          <w:rFonts w:ascii="Times New Roman" w:hAnsi="Times New Roman"/>
          <w:vertAlign w:val="superscript"/>
          <w:lang w:val="pt-BR"/>
        </w:rPr>
        <w:t>6</w:t>
      </w:r>
      <w:r w:rsidRPr="00977CD5">
        <w:rPr>
          <w:rFonts w:ascii="Times New Roman" w:hAnsi="Times New Roman"/>
          <w:lang w:val="pt-BR"/>
        </w:rPr>
        <w:t>), 44,46 (C</w:t>
      </w:r>
      <w:r w:rsidRPr="00977CD5">
        <w:rPr>
          <w:rFonts w:ascii="Times New Roman" w:hAnsi="Times New Roman"/>
          <w:vertAlign w:val="superscript"/>
          <w:lang w:val="pt-BR"/>
        </w:rPr>
        <w:t>4</w:t>
      </w:r>
      <w:r w:rsidRPr="00977CD5">
        <w:rPr>
          <w:rFonts w:ascii="Times New Roman" w:hAnsi="Times New Roman"/>
          <w:lang w:val="pt-BR"/>
        </w:rPr>
        <w:t>), 80,80 (C</w:t>
      </w:r>
      <w:r w:rsidRPr="00977CD5">
        <w:rPr>
          <w:rFonts w:ascii="Times New Roman" w:hAnsi="Times New Roman"/>
          <w:vertAlign w:val="superscript"/>
          <w:lang w:val="pt-BR"/>
        </w:rPr>
        <w:t>1</w:t>
      </w:r>
      <w:r w:rsidRPr="00977CD5">
        <w:rPr>
          <w:rFonts w:ascii="Times New Roman" w:hAnsi="Times New Roman"/>
          <w:lang w:val="pt-BR"/>
        </w:rPr>
        <w:t>), 108,57 (C</w:t>
      </w:r>
      <w:r w:rsidRPr="00977CD5">
        <w:rPr>
          <w:rFonts w:ascii="Times New Roman" w:hAnsi="Times New Roman"/>
          <w:vertAlign w:val="superscript"/>
          <w:lang w:val="pt-BR"/>
        </w:rPr>
        <w:t>9</w:t>
      </w:r>
      <w:r w:rsidRPr="00977CD5">
        <w:rPr>
          <w:rFonts w:ascii="Times New Roman" w:hAnsi="Times New Roman"/>
          <w:lang w:val="pt-BR"/>
        </w:rPr>
        <w:t>), 150,38 (C</w:t>
      </w:r>
      <w:r w:rsidRPr="00977CD5">
        <w:rPr>
          <w:rFonts w:ascii="Times New Roman" w:hAnsi="Times New Roman"/>
          <w:vertAlign w:val="superscript"/>
          <w:lang w:val="pt-BR"/>
        </w:rPr>
        <w:t>8</w:t>
      </w:r>
      <w:r w:rsidRPr="00977CD5">
        <w:rPr>
          <w:rFonts w:ascii="Times New Roman" w:hAnsi="Times New Roman"/>
          <w:lang w:val="pt-BR"/>
        </w:rPr>
        <w:t>), 170,20 (OCOCH</w:t>
      </w:r>
      <w:r w:rsidRPr="00977CD5">
        <w:rPr>
          <w:rFonts w:ascii="Times New Roman" w:hAnsi="Times New Roman"/>
          <w:vertAlign w:val="subscript"/>
          <w:lang w:val="pt-BR"/>
        </w:rPr>
        <w:t>3</w:t>
      </w:r>
      <w:r w:rsidRPr="00977CD5">
        <w:rPr>
          <w:rFonts w:ascii="Times New Roman" w:hAnsi="Times New Roman"/>
          <w:lang w:val="pt-BR"/>
        </w:rPr>
        <w:t>).</w:t>
      </w:r>
    </w:p>
    <w:p w14:paraId="31D3FC22" w14:textId="3CEB557A" w:rsidR="00365751" w:rsidRPr="00ED5396" w:rsidRDefault="00365751" w:rsidP="00A54C6A">
      <w:pPr>
        <w:pStyle w:val="TAMainText"/>
        <w:ind w:firstLine="142"/>
        <w:rPr>
          <w:rFonts w:ascii="Times New Roman" w:hAnsi="Times New Roman"/>
          <w:lang w:val="es-ES"/>
        </w:rPr>
      </w:pPr>
      <w:r w:rsidRPr="00977CD5">
        <w:rPr>
          <w:rFonts w:ascii="Times New Roman" w:hAnsi="Times New Roman"/>
          <w:lang w:val="pt-BR"/>
        </w:rPr>
        <w:t>- Acetato de 4-</w:t>
      </w:r>
      <w:r w:rsidR="004A22D2" w:rsidRPr="00977CD5">
        <w:rPr>
          <w:rFonts w:ascii="Times New Roman" w:hAnsi="Times New Roman"/>
          <w:lang w:val="pt-BR"/>
        </w:rPr>
        <w:t>terpenila</w:t>
      </w:r>
      <w:r w:rsidR="00A54C6A">
        <w:rPr>
          <w:rFonts w:ascii="Times New Roman" w:hAnsi="Times New Roman"/>
          <w:lang w:val="pt-BR"/>
        </w:rPr>
        <w:t xml:space="preserve"> (</w:t>
      </w:r>
      <w:r w:rsidR="00A54C6A" w:rsidRPr="00A54C6A">
        <w:rPr>
          <w:rFonts w:ascii="Times New Roman" w:hAnsi="Times New Roman"/>
          <w:b/>
          <w:bCs/>
          <w:lang w:val="pt-BR"/>
        </w:rPr>
        <w:t>3c</w:t>
      </w:r>
      <w:r w:rsidR="00A54C6A">
        <w:rPr>
          <w:rFonts w:ascii="Times New Roman" w:hAnsi="Times New Roman"/>
          <w:lang w:val="pt-BR"/>
        </w:rPr>
        <w:t>)</w:t>
      </w:r>
      <w:r w:rsidRPr="00977CD5">
        <w:rPr>
          <w:rFonts w:ascii="Times New Roman" w:hAnsi="Times New Roman"/>
          <w:lang w:val="pt-BR"/>
        </w:rPr>
        <w:t xml:space="preserve">: </w:t>
      </w:r>
      <w:r w:rsidR="00977CD5" w:rsidRPr="00977CD5">
        <w:rPr>
          <w:rFonts w:ascii="Times New Roman" w:hAnsi="Times New Roman"/>
          <w:lang w:val="pt-BR"/>
        </w:rPr>
        <w:t>EM (70 eV, EI): m/z (%) 93 (100), 121 (55), 136 (36), 91 (33), 77 (23).</w:t>
      </w:r>
      <w:r w:rsidR="00A54C6A">
        <w:rPr>
          <w:rFonts w:ascii="Times New Roman" w:hAnsi="Times New Roman"/>
          <w:lang w:val="pt-BR"/>
        </w:rPr>
        <w:t xml:space="preserve"> </w:t>
      </w:r>
      <w:r w:rsidRPr="00977CD5">
        <w:rPr>
          <w:rFonts w:ascii="Times New Roman" w:hAnsi="Times New Roman"/>
          <w:vertAlign w:val="superscript"/>
          <w:lang w:val="pt-BR"/>
        </w:rPr>
        <w:t>1</w:t>
      </w:r>
      <w:r w:rsidRPr="00977CD5">
        <w:rPr>
          <w:rFonts w:ascii="Times New Roman" w:hAnsi="Times New Roman"/>
          <w:lang w:val="pt-BR"/>
        </w:rPr>
        <w:t>H RMN (400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xml:space="preserve">): δ = 0,86 (d, </w:t>
      </w:r>
      <w:r w:rsidRPr="00977CD5">
        <w:rPr>
          <w:rFonts w:ascii="Times New Roman" w:hAnsi="Times New Roman"/>
          <w:vertAlign w:val="superscript"/>
          <w:lang w:val="pt-BR"/>
        </w:rPr>
        <w:t>3</w:t>
      </w:r>
      <w:r w:rsidRPr="00977CD5">
        <w:rPr>
          <w:rFonts w:ascii="Times New Roman" w:hAnsi="Times New Roman"/>
          <w:lang w:val="pt-BR"/>
        </w:rPr>
        <w:t>J=8,2 Hz, 6H; C</w:t>
      </w:r>
      <w:r w:rsidRPr="00977CD5">
        <w:rPr>
          <w:rFonts w:ascii="Times New Roman" w:hAnsi="Times New Roman"/>
          <w:vertAlign w:val="superscript"/>
          <w:lang w:val="pt-BR"/>
        </w:rPr>
        <w:t>9</w:t>
      </w:r>
      <w:r w:rsidRPr="00977CD5">
        <w:rPr>
          <w:rFonts w:ascii="Times New Roman" w:hAnsi="Times New Roman"/>
          <w:lang w:val="pt-BR"/>
        </w:rPr>
        <w:t>H</w:t>
      </w:r>
      <w:r w:rsidRPr="00977CD5">
        <w:rPr>
          <w:rFonts w:ascii="Times New Roman" w:hAnsi="Times New Roman"/>
          <w:vertAlign w:val="subscript"/>
          <w:lang w:val="pt-BR"/>
        </w:rPr>
        <w:t>3</w:t>
      </w:r>
      <w:r w:rsidR="00363ADB" w:rsidRPr="00977CD5">
        <w:rPr>
          <w:rFonts w:ascii="Times New Roman" w:hAnsi="Times New Roman"/>
          <w:lang w:val="pt-BR"/>
        </w:rPr>
        <w:t xml:space="preserve"> e </w:t>
      </w:r>
      <w:r w:rsidRPr="00977CD5">
        <w:rPr>
          <w:rFonts w:ascii="Times New Roman" w:hAnsi="Times New Roman"/>
          <w:lang w:val="pt-BR"/>
        </w:rPr>
        <w:t>C</w:t>
      </w:r>
      <w:r w:rsidRPr="00977CD5">
        <w:rPr>
          <w:rFonts w:ascii="Times New Roman" w:hAnsi="Times New Roman"/>
          <w:vertAlign w:val="superscript"/>
          <w:lang w:val="pt-BR"/>
        </w:rPr>
        <w:t>10</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1,63 (s, 3H; C</w:t>
      </w:r>
      <w:r w:rsidRPr="00977CD5">
        <w:rPr>
          <w:rFonts w:ascii="Times New Roman" w:hAnsi="Times New Roman"/>
          <w:vertAlign w:val="superscript"/>
          <w:lang w:val="pt-BR"/>
        </w:rPr>
        <w:t>7</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1,98 (s, 3H; OCOCH</w:t>
      </w:r>
      <w:r w:rsidRPr="00977CD5">
        <w:rPr>
          <w:rFonts w:ascii="Times New Roman" w:hAnsi="Times New Roman"/>
          <w:vertAlign w:val="subscript"/>
          <w:lang w:val="pt-BR"/>
        </w:rPr>
        <w:t>3</w:t>
      </w:r>
      <w:r w:rsidRPr="00977CD5">
        <w:rPr>
          <w:rFonts w:ascii="Times New Roman" w:hAnsi="Times New Roman"/>
          <w:lang w:val="pt-BR"/>
        </w:rPr>
        <w:t>), 2,10-2,30 (m, 2H; C</w:t>
      </w:r>
      <w:r w:rsidRPr="00977CD5">
        <w:rPr>
          <w:rFonts w:ascii="Times New Roman" w:hAnsi="Times New Roman"/>
          <w:vertAlign w:val="superscript"/>
          <w:lang w:val="pt-BR"/>
        </w:rPr>
        <w:t>3</w:t>
      </w:r>
      <w:r w:rsidRPr="00977CD5">
        <w:rPr>
          <w:rFonts w:ascii="Times New Roman" w:hAnsi="Times New Roman"/>
          <w:lang w:val="pt-BR"/>
        </w:rPr>
        <w:t>HH), 2,00 (m, 2H; C</w:t>
      </w:r>
      <w:r w:rsidRPr="00977CD5">
        <w:rPr>
          <w:rFonts w:ascii="Times New Roman" w:hAnsi="Times New Roman"/>
          <w:vertAlign w:val="superscript"/>
          <w:lang w:val="pt-BR"/>
        </w:rPr>
        <w:t>5</w:t>
      </w:r>
      <w:r w:rsidRPr="00977CD5">
        <w:rPr>
          <w:rFonts w:ascii="Times New Roman" w:hAnsi="Times New Roman"/>
          <w:lang w:val="pt-BR"/>
        </w:rPr>
        <w:t xml:space="preserve">HH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6</w:t>
      </w:r>
      <w:r w:rsidRPr="00977CD5">
        <w:rPr>
          <w:rFonts w:ascii="Times New Roman" w:hAnsi="Times New Roman"/>
          <w:lang w:val="pt-BR"/>
        </w:rPr>
        <w:t>HH), 2,65-2,70 (m, 1H; C</w:t>
      </w:r>
      <w:r w:rsidRPr="00977CD5">
        <w:rPr>
          <w:rFonts w:ascii="Times New Roman" w:hAnsi="Times New Roman"/>
          <w:vertAlign w:val="superscript"/>
          <w:lang w:val="pt-BR"/>
        </w:rPr>
        <w:t>8</w:t>
      </w:r>
      <w:r w:rsidRPr="00977CD5">
        <w:rPr>
          <w:rFonts w:ascii="Times New Roman" w:hAnsi="Times New Roman"/>
          <w:lang w:val="pt-BR"/>
        </w:rPr>
        <w:t>H), 5,22 (m, 2H; C</w:t>
      </w:r>
      <w:r w:rsidRPr="00977CD5">
        <w:rPr>
          <w:rFonts w:ascii="Times New Roman" w:hAnsi="Times New Roman"/>
          <w:vertAlign w:val="superscript"/>
          <w:lang w:val="pt-BR"/>
        </w:rPr>
        <w:t>2</w:t>
      </w:r>
      <w:r w:rsidRPr="00977CD5">
        <w:rPr>
          <w:rFonts w:ascii="Times New Roman" w:hAnsi="Times New Roman"/>
          <w:lang w:val="pt-BR"/>
        </w:rPr>
        <w:t xml:space="preserve">HH). </w:t>
      </w:r>
      <w:r w:rsidRPr="00ED5396">
        <w:rPr>
          <w:rFonts w:ascii="Times New Roman" w:hAnsi="Times New Roman"/>
          <w:vertAlign w:val="superscript"/>
          <w:lang w:val="es-ES"/>
        </w:rPr>
        <w:t>13</w:t>
      </w:r>
      <w:r w:rsidRPr="00ED5396">
        <w:rPr>
          <w:rFonts w:ascii="Times New Roman" w:hAnsi="Times New Roman"/>
          <w:lang w:val="es-ES"/>
        </w:rPr>
        <w:t>C RMN (100 MHz, CDCl</w:t>
      </w:r>
      <w:r w:rsidRPr="00ED5396">
        <w:rPr>
          <w:rFonts w:ascii="Times New Roman" w:hAnsi="Times New Roman"/>
          <w:vertAlign w:val="subscript"/>
          <w:lang w:val="es-ES"/>
        </w:rPr>
        <w:t>3</w:t>
      </w:r>
      <w:r w:rsidRPr="00ED5396">
        <w:rPr>
          <w:rFonts w:ascii="Times New Roman" w:hAnsi="Times New Roman"/>
          <w:lang w:val="es-ES"/>
        </w:rPr>
        <w:t xml:space="preserve">, 25°C, </w:t>
      </w:r>
      <w:r w:rsidR="00205B7D" w:rsidRPr="009B6233">
        <w:rPr>
          <w:rFonts w:ascii="Times New Roman" w:hAnsi="Times New Roman"/>
          <w:lang w:val="pt-BR"/>
        </w:rPr>
        <w:t>TMS</w:t>
      </w:r>
      <w:r w:rsidRPr="00ED5396">
        <w:rPr>
          <w:rFonts w:ascii="Times New Roman" w:hAnsi="Times New Roman"/>
          <w:lang w:val="es-ES"/>
        </w:rPr>
        <w:t xml:space="preserve">): </w:t>
      </w:r>
      <w:r w:rsidRPr="00977CD5">
        <w:rPr>
          <w:rFonts w:ascii="Times New Roman" w:hAnsi="Times New Roman"/>
          <w:lang w:val="pt-BR"/>
        </w:rPr>
        <w:t>δ</w:t>
      </w:r>
      <w:r w:rsidRPr="00ED5396">
        <w:rPr>
          <w:rFonts w:ascii="Times New Roman" w:hAnsi="Times New Roman"/>
          <w:lang w:val="es-ES"/>
        </w:rPr>
        <w:t xml:space="preserve"> = 17,22 (C</w:t>
      </w:r>
      <w:r w:rsidRPr="00ED5396">
        <w:rPr>
          <w:rFonts w:ascii="Times New Roman" w:hAnsi="Times New Roman"/>
          <w:vertAlign w:val="superscript"/>
          <w:lang w:val="es-ES"/>
        </w:rPr>
        <w:t>9</w:t>
      </w:r>
      <w:r w:rsidRPr="00ED5396">
        <w:rPr>
          <w:rFonts w:ascii="Times New Roman" w:hAnsi="Times New Roman"/>
          <w:lang w:val="es-ES"/>
        </w:rPr>
        <w:t>), 17,82 (C</w:t>
      </w:r>
      <w:r w:rsidRPr="00ED5396">
        <w:rPr>
          <w:rFonts w:ascii="Times New Roman" w:hAnsi="Times New Roman"/>
          <w:vertAlign w:val="superscript"/>
          <w:lang w:val="es-ES"/>
        </w:rPr>
        <w:t>10</w:t>
      </w:r>
      <w:r w:rsidRPr="00ED5396">
        <w:rPr>
          <w:rFonts w:ascii="Times New Roman" w:hAnsi="Times New Roman"/>
          <w:lang w:val="es-ES"/>
        </w:rPr>
        <w:t>), 22,52 (OCOCH</w:t>
      </w:r>
      <w:r w:rsidRPr="00ED5396">
        <w:rPr>
          <w:rFonts w:ascii="Times New Roman" w:hAnsi="Times New Roman"/>
          <w:vertAlign w:val="subscript"/>
          <w:lang w:val="es-ES"/>
        </w:rPr>
        <w:t>3</w:t>
      </w:r>
      <w:r w:rsidRPr="00ED5396">
        <w:rPr>
          <w:rFonts w:ascii="Times New Roman" w:hAnsi="Times New Roman"/>
          <w:lang w:val="es-ES"/>
        </w:rPr>
        <w:t>), 27,99 (C</w:t>
      </w:r>
      <w:r w:rsidRPr="00ED5396">
        <w:rPr>
          <w:rFonts w:ascii="Times New Roman" w:hAnsi="Times New Roman"/>
          <w:vertAlign w:val="superscript"/>
          <w:lang w:val="es-ES"/>
        </w:rPr>
        <w:t>5</w:t>
      </w:r>
      <w:r w:rsidRPr="00ED5396">
        <w:rPr>
          <w:rFonts w:ascii="Times New Roman" w:hAnsi="Times New Roman"/>
          <w:lang w:val="es-ES"/>
        </w:rPr>
        <w:t>), 20,21(C</w:t>
      </w:r>
      <w:r w:rsidRPr="00ED5396">
        <w:rPr>
          <w:rFonts w:ascii="Times New Roman" w:hAnsi="Times New Roman"/>
          <w:vertAlign w:val="superscript"/>
          <w:lang w:val="es-ES"/>
        </w:rPr>
        <w:t>7</w:t>
      </w:r>
      <w:r w:rsidRPr="00ED5396">
        <w:rPr>
          <w:rFonts w:ascii="Times New Roman" w:hAnsi="Times New Roman"/>
          <w:lang w:val="es-ES"/>
        </w:rPr>
        <w:t>), 27,59 (C</w:t>
      </w:r>
      <w:r w:rsidRPr="00ED5396">
        <w:rPr>
          <w:rFonts w:ascii="Times New Roman" w:hAnsi="Times New Roman"/>
          <w:vertAlign w:val="superscript"/>
          <w:lang w:val="es-ES"/>
        </w:rPr>
        <w:t>6</w:t>
      </w:r>
      <w:r w:rsidRPr="00ED5396">
        <w:rPr>
          <w:rFonts w:ascii="Times New Roman" w:hAnsi="Times New Roman"/>
          <w:lang w:val="es-ES"/>
        </w:rPr>
        <w:t>), 32,46 (C</w:t>
      </w:r>
      <w:r w:rsidRPr="00ED5396">
        <w:rPr>
          <w:rFonts w:ascii="Times New Roman" w:hAnsi="Times New Roman"/>
          <w:vertAlign w:val="superscript"/>
          <w:lang w:val="es-ES"/>
        </w:rPr>
        <w:t>8</w:t>
      </w:r>
      <w:r w:rsidRPr="00ED5396">
        <w:rPr>
          <w:rFonts w:ascii="Times New Roman" w:hAnsi="Times New Roman"/>
          <w:lang w:val="es-ES"/>
        </w:rPr>
        <w:t>), 117,82 (C</w:t>
      </w:r>
      <w:r w:rsidRPr="00ED5396">
        <w:rPr>
          <w:rFonts w:ascii="Times New Roman" w:hAnsi="Times New Roman"/>
          <w:vertAlign w:val="superscript"/>
          <w:lang w:val="es-ES"/>
        </w:rPr>
        <w:t>2</w:t>
      </w:r>
      <w:r w:rsidRPr="00ED5396">
        <w:rPr>
          <w:rFonts w:ascii="Times New Roman" w:hAnsi="Times New Roman"/>
          <w:lang w:val="es-ES"/>
        </w:rPr>
        <w:t>), 133,86 (C</w:t>
      </w:r>
      <w:r w:rsidRPr="00ED5396">
        <w:rPr>
          <w:rFonts w:ascii="Times New Roman" w:hAnsi="Times New Roman"/>
          <w:vertAlign w:val="superscript"/>
          <w:lang w:val="es-ES"/>
        </w:rPr>
        <w:t>1</w:t>
      </w:r>
      <w:r w:rsidRPr="00ED5396">
        <w:rPr>
          <w:rFonts w:ascii="Times New Roman" w:hAnsi="Times New Roman"/>
          <w:lang w:val="es-ES"/>
        </w:rPr>
        <w:t>), 30,08 (C</w:t>
      </w:r>
      <w:r w:rsidRPr="00ED5396">
        <w:rPr>
          <w:rFonts w:ascii="Times New Roman" w:hAnsi="Times New Roman"/>
          <w:vertAlign w:val="superscript"/>
          <w:lang w:val="es-ES"/>
        </w:rPr>
        <w:t>3</w:t>
      </w:r>
      <w:r w:rsidRPr="00ED5396">
        <w:rPr>
          <w:rFonts w:ascii="Times New Roman" w:hAnsi="Times New Roman"/>
          <w:lang w:val="es-ES"/>
        </w:rPr>
        <w:t>), 86,28 (C</w:t>
      </w:r>
      <w:r w:rsidRPr="00ED5396">
        <w:rPr>
          <w:rFonts w:ascii="Times New Roman" w:hAnsi="Times New Roman"/>
          <w:vertAlign w:val="superscript"/>
          <w:lang w:val="es-ES"/>
        </w:rPr>
        <w:t>4</w:t>
      </w:r>
      <w:r w:rsidRPr="00ED5396">
        <w:rPr>
          <w:rFonts w:ascii="Times New Roman" w:hAnsi="Times New Roman"/>
          <w:lang w:val="es-ES"/>
        </w:rPr>
        <w:t>), 170,20 (OCOCH</w:t>
      </w:r>
      <w:r w:rsidRPr="00ED5396">
        <w:rPr>
          <w:rFonts w:ascii="Times New Roman" w:hAnsi="Times New Roman"/>
          <w:vertAlign w:val="subscript"/>
          <w:lang w:val="es-ES"/>
        </w:rPr>
        <w:t>3</w:t>
      </w:r>
      <w:r w:rsidRPr="00ED5396">
        <w:rPr>
          <w:rFonts w:ascii="Times New Roman" w:hAnsi="Times New Roman"/>
          <w:lang w:val="es-ES"/>
        </w:rPr>
        <w:t>).</w:t>
      </w:r>
    </w:p>
    <w:p w14:paraId="0329B743" w14:textId="7F5A9761" w:rsidR="00365751" w:rsidRPr="00977CD5" w:rsidRDefault="00365751" w:rsidP="00977CD5">
      <w:pPr>
        <w:pStyle w:val="TAMainText"/>
        <w:ind w:firstLine="142"/>
        <w:rPr>
          <w:rFonts w:ascii="Times New Roman" w:hAnsi="Times New Roman"/>
          <w:lang w:val="pt-BR"/>
        </w:rPr>
      </w:pPr>
      <w:r w:rsidRPr="00977CD5">
        <w:rPr>
          <w:rFonts w:ascii="Times New Roman" w:hAnsi="Times New Roman"/>
          <w:lang w:val="pt-BR"/>
        </w:rPr>
        <w:t>- Acetato de γ-</w:t>
      </w:r>
      <w:r w:rsidR="004A22D2" w:rsidRPr="00977CD5">
        <w:rPr>
          <w:rFonts w:ascii="Times New Roman" w:hAnsi="Times New Roman"/>
          <w:lang w:val="pt-BR"/>
        </w:rPr>
        <w:t>terpenila</w:t>
      </w:r>
      <w:r w:rsidR="00A54C6A">
        <w:rPr>
          <w:rFonts w:ascii="Times New Roman" w:hAnsi="Times New Roman"/>
          <w:lang w:val="pt-BR"/>
        </w:rPr>
        <w:t xml:space="preserve"> (</w:t>
      </w:r>
      <w:r w:rsidR="00A54C6A" w:rsidRPr="00A54C6A">
        <w:rPr>
          <w:rFonts w:ascii="Times New Roman" w:hAnsi="Times New Roman"/>
          <w:b/>
          <w:bCs/>
          <w:lang w:val="pt-BR"/>
        </w:rPr>
        <w:t>3d</w:t>
      </w:r>
      <w:r w:rsidR="00A54C6A">
        <w:rPr>
          <w:rFonts w:ascii="Times New Roman" w:hAnsi="Times New Roman"/>
          <w:lang w:val="pt-BR"/>
        </w:rPr>
        <w:t>)</w:t>
      </w:r>
      <w:r w:rsidRPr="00977CD5">
        <w:rPr>
          <w:rFonts w:ascii="Times New Roman" w:hAnsi="Times New Roman"/>
          <w:lang w:val="pt-BR"/>
        </w:rPr>
        <w:t xml:space="preserve">: </w:t>
      </w:r>
      <w:r w:rsidR="00977CD5" w:rsidRPr="00977CD5">
        <w:rPr>
          <w:rFonts w:ascii="Times New Roman" w:hAnsi="Times New Roman"/>
          <w:lang w:val="pt-BR"/>
        </w:rPr>
        <w:t xml:space="preserve">EM (70 eV, EI): m/z (%) 43 (100), 93 (95), 121 (90). </w:t>
      </w:r>
      <w:r w:rsidRPr="00977CD5">
        <w:rPr>
          <w:rFonts w:ascii="Times New Roman" w:hAnsi="Times New Roman"/>
          <w:vertAlign w:val="superscript"/>
          <w:lang w:val="pt-BR"/>
        </w:rPr>
        <w:t>1</w:t>
      </w:r>
      <w:r w:rsidRPr="00977CD5">
        <w:rPr>
          <w:rFonts w:ascii="Times New Roman" w:hAnsi="Times New Roman"/>
          <w:lang w:val="pt-BR"/>
        </w:rPr>
        <w:t>H RMN (400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 1,59 (s, 6H; C</w:t>
      </w:r>
      <w:r w:rsidRPr="00977CD5">
        <w:rPr>
          <w:rFonts w:ascii="Times New Roman" w:hAnsi="Times New Roman"/>
          <w:vertAlign w:val="superscript"/>
          <w:lang w:val="pt-BR"/>
        </w:rPr>
        <w:t>9</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10</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1,43 (s, 3H; C</w:t>
      </w:r>
      <w:r w:rsidRPr="00977CD5">
        <w:rPr>
          <w:rFonts w:ascii="Times New Roman" w:hAnsi="Times New Roman"/>
          <w:vertAlign w:val="superscript"/>
          <w:lang w:val="pt-BR"/>
        </w:rPr>
        <w:t>7</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xml:space="preserve">), </w:t>
      </w:r>
      <w:r w:rsidRPr="00977CD5">
        <w:rPr>
          <w:rFonts w:ascii="Times New Roman" w:hAnsi="Times New Roman"/>
          <w:lang w:val="pt-BR"/>
        </w:rPr>
        <w:lastRenderedPageBreak/>
        <w:t>1,96 (s, 3H; OCOCH</w:t>
      </w:r>
      <w:r w:rsidRPr="00977CD5">
        <w:rPr>
          <w:rFonts w:ascii="Times New Roman" w:hAnsi="Times New Roman"/>
          <w:vertAlign w:val="subscript"/>
          <w:lang w:val="pt-BR"/>
        </w:rPr>
        <w:t>3</w:t>
      </w:r>
      <w:r w:rsidRPr="00977CD5">
        <w:rPr>
          <w:rFonts w:ascii="Times New Roman" w:hAnsi="Times New Roman"/>
          <w:lang w:val="pt-BR"/>
        </w:rPr>
        <w:t>), 2,30-2,40 (m, 2H; C</w:t>
      </w:r>
      <w:r w:rsidRPr="00977CD5">
        <w:rPr>
          <w:rFonts w:ascii="Times New Roman" w:hAnsi="Times New Roman"/>
          <w:vertAlign w:val="superscript"/>
          <w:lang w:val="pt-BR"/>
        </w:rPr>
        <w:t>3</w:t>
      </w:r>
      <w:r w:rsidRPr="00977CD5">
        <w:rPr>
          <w:rFonts w:ascii="Times New Roman" w:hAnsi="Times New Roman"/>
          <w:lang w:val="pt-BR"/>
        </w:rPr>
        <w:t xml:space="preserve">HH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5</w:t>
      </w:r>
      <w:r w:rsidRPr="00977CD5">
        <w:rPr>
          <w:rFonts w:ascii="Times New Roman" w:hAnsi="Times New Roman"/>
          <w:lang w:val="pt-BR"/>
        </w:rPr>
        <w:t xml:space="preserve">HH). </w:t>
      </w:r>
      <w:r w:rsidRPr="00977CD5">
        <w:rPr>
          <w:rFonts w:ascii="Times New Roman" w:hAnsi="Times New Roman"/>
          <w:vertAlign w:val="superscript"/>
          <w:lang w:val="pt-BR"/>
        </w:rPr>
        <w:t>13</w:t>
      </w:r>
      <w:r w:rsidRPr="00977CD5">
        <w:rPr>
          <w:rFonts w:ascii="Times New Roman" w:hAnsi="Times New Roman"/>
          <w:lang w:val="pt-BR"/>
        </w:rPr>
        <w:t>C RMN (100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 23,43 (C</w:t>
      </w:r>
      <w:r w:rsidRPr="00977CD5">
        <w:rPr>
          <w:rFonts w:ascii="Times New Roman" w:hAnsi="Times New Roman"/>
          <w:vertAlign w:val="superscript"/>
          <w:lang w:val="pt-BR"/>
        </w:rPr>
        <w:t>9</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10</w:t>
      </w:r>
      <w:r w:rsidRPr="00977CD5">
        <w:rPr>
          <w:rFonts w:ascii="Times New Roman" w:hAnsi="Times New Roman"/>
          <w:lang w:val="pt-BR"/>
        </w:rPr>
        <w:t>), 21,3 (OCOCH</w:t>
      </w:r>
      <w:r w:rsidRPr="00977CD5">
        <w:rPr>
          <w:rFonts w:ascii="Times New Roman" w:hAnsi="Times New Roman"/>
          <w:vertAlign w:val="subscript"/>
          <w:lang w:val="pt-BR"/>
        </w:rPr>
        <w:t>3</w:t>
      </w:r>
      <w:r w:rsidRPr="00977CD5">
        <w:rPr>
          <w:rFonts w:ascii="Times New Roman" w:hAnsi="Times New Roman"/>
          <w:lang w:val="pt-BR"/>
        </w:rPr>
        <w:t>), 25,41 (C</w:t>
      </w:r>
      <w:r w:rsidRPr="00977CD5">
        <w:rPr>
          <w:rFonts w:ascii="Times New Roman" w:hAnsi="Times New Roman"/>
          <w:vertAlign w:val="superscript"/>
          <w:lang w:val="pt-BR"/>
        </w:rPr>
        <w:t>3</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5</w:t>
      </w:r>
      <w:r w:rsidRPr="00977CD5">
        <w:rPr>
          <w:rFonts w:ascii="Times New Roman" w:hAnsi="Times New Roman"/>
          <w:lang w:val="pt-BR"/>
        </w:rPr>
        <w:t>), 25,25 (C</w:t>
      </w:r>
      <w:r w:rsidRPr="00977CD5">
        <w:rPr>
          <w:rFonts w:ascii="Times New Roman" w:hAnsi="Times New Roman"/>
          <w:vertAlign w:val="superscript"/>
          <w:lang w:val="pt-BR"/>
        </w:rPr>
        <w:t>7</w:t>
      </w:r>
      <w:r w:rsidRPr="00977CD5">
        <w:rPr>
          <w:rFonts w:ascii="Times New Roman" w:hAnsi="Times New Roman"/>
          <w:lang w:val="pt-BR"/>
        </w:rPr>
        <w:t>), 37,55 (C</w:t>
      </w:r>
      <w:r w:rsidRPr="00977CD5">
        <w:rPr>
          <w:rFonts w:ascii="Times New Roman" w:hAnsi="Times New Roman"/>
          <w:vertAlign w:val="superscript"/>
          <w:lang w:val="pt-BR"/>
        </w:rPr>
        <w:t>2</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6</w:t>
      </w:r>
      <w:r w:rsidRPr="00977CD5">
        <w:rPr>
          <w:rFonts w:ascii="Times New Roman" w:hAnsi="Times New Roman"/>
          <w:lang w:val="pt-BR"/>
        </w:rPr>
        <w:t>), 121,66 (C</w:t>
      </w:r>
      <w:r w:rsidRPr="00977CD5">
        <w:rPr>
          <w:rFonts w:ascii="Times New Roman" w:hAnsi="Times New Roman"/>
          <w:vertAlign w:val="superscript"/>
          <w:lang w:val="pt-BR"/>
        </w:rPr>
        <w:t>8</w:t>
      </w:r>
      <w:r w:rsidRPr="00977CD5">
        <w:rPr>
          <w:rFonts w:ascii="Times New Roman" w:hAnsi="Times New Roman"/>
          <w:lang w:val="pt-BR"/>
        </w:rPr>
        <w:t>), 129,75 (C</w:t>
      </w:r>
      <w:r w:rsidRPr="00977CD5">
        <w:rPr>
          <w:rFonts w:ascii="Times New Roman" w:hAnsi="Times New Roman"/>
          <w:vertAlign w:val="superscript"/>
          <w:lang w:val="pt-BR"/>
        </w:rPr>
        <w:t>4</w:t>
      </w:r>
      <w:r w:rsidRPr="00977CD5">
        <w:rPr>
          <w:rFonts w:ascii="Times New Roman" w:hAnsi="Times New Roman"/>
          <w:lang w:val="pt-BR"/>
        </w:rPr>
        <w:t>), 170,20 (OCOCH</w:t>
      </w:r>
      <w:r w:rsidRPr="00977CD5">
        <w:rPr>
          <w:rFonts w:ascii="Times New Roman" w:hAnsi="Times New Roman"/>
          <w:vertAlign w:val="subscript"/>
          <w:lang w:val="pt-BR"/>
        </w:rPr>
        <w:t>3</w:t>
      </w:r>
      <w:r w:rsidRPr="00977CD5">
        <w:rPr>
          <w:rFonts w:ascii="Times New Roman" w:hAnsi="Times New Roman"/>
          <w:lang w:val="pt-BR"/>
        </w:rPr>
        <w:t>).</w:t>
      </w:r>
    </w:p>
    <w:p w14:paraId="0A460FFD" w14:textId="5055A6D0" w:rsidR="00365751" w:rsidRDefault="00365751" w:rsidP="00977CD5">
      <w:pPr>
        <w:pStyle w:val="TAMainText"/>
        <w:ind w:firstLine="142"/>
        <w:rPr>
          <w:rFonts w:ascii="Times New Roman" w:hAnsi="Times New Roman"/>
          <w:lang w:val="pt-BR"/>
        </w:rPr>
      </w:pPr>
      <w:r w:rsidRPr="00977CD5">
        <w:rPr>
          <w:rFonts w:ascii="Times New Roman" w:hAnsi="Times New Roman"/>
          <w:lang w:val="pt-BR"/>
        </w:rPr>
        <w:t>- Acetato de α-</w:t>
      </w:r>
      <w:r w:rsidR="004A22D2" w:rsidRPr="00977CD5">
        <w:rPr>
          <w:rFonts w:ascii="Times New Roman" w:hAnsi="Times New Roman"/>
          <w:lang w:val="pt-BR"/>
        </w:rPr>
        <w:t>terpenila</w:t>
      </w:r>
      <w:r w:rsidR="00A54C6A">
        <w:rPr>
          <w:rFonts w:ascii="Times New Roman" w:hAnsi="Times New Roman"/>
          <w:lang w:val="pt-BR"/>
        </w:rPr>
        <w:t xml:space="preserve"> (</w:t>
      </w:r>
      <w:r w:rsidR="00A54C6A" w:rsidRPr="00A54C6A">
        <w:rPr>
          <w:rFonts w:ascii="Times New Roman" w:hAnsi="Times New Roman"/>
          <w:b/>
          <w:bCs/>
          <w:lang w:val="pt-BR"/>
        </w:rPr>
        <w:t>3e</w:t>
      </w:r>
      <w:r w:rsidR="00A54C6A">
        <w:rPr>
          <w:rFonts w:ascii="Times New Roman" w:hAnsi="Times New Roman"/>
          <w:lang w:val="pt-BR"/>
        </w:rPr>
        <w:t>)</w:t>
      </w:r>
      <w:r w:rsidRPr="00977CD5">
        <w:rPr>
          <w:rFonts w:ascii="Times New Roman" w:hAnsi="Times New Roman"/>
          <w:lang w:val="pt-BR"/>
        </w:rPr>
        <w:t xml:space="preserve">: </w:t>
      </w:r>
      <w:r w:rsidR="00977CD5" w:rsidRPr="00977CD5">
        <w:rPr>
          <w:rFonts w:ascii="Times New Roman" w:hAnsi="Times New Roman"/>
          <w:lang w:val="pt-BR"/>
        </w:rPr>
        <w:t>EM (70 eV, EI): m/z (%) 93 (100), 121 (97), 136 (44), 67 (40), 79 (35), 91 (28).</w:t>
      </w:r>
      <w:r w:rsidRPr="00977CD5">
        <w:rPr>
          <w:rFonts w:ascii="Times New Roman" w:hAnsi="Times New Roman"/>
          <w:vertAlign w:val="superscript"/>
          <w:lang w:val="pt-BR"/>
        </w:rPr>
        <w:t>1</w:t>
      </w:r>
      <w:r w:rsidRPr="00977CD5">
        <w:rPr>
          <w:rFonts w:ascii="Times New Roman" w:hAnsi="Times New Roman"/>
          <w:lang w:val="pt-BR"/>
        </w:rPr>
        <w:t>H RMN (400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 1,34 (m, 1H; C</w:t>
      </w:r>
      <w:r w:rsidRPr="00977CD5">
        <w:rPr>
          <w:rFonts w:ascii="Times New Roman" w:hAnsi="Times New Roman"/>
          <w:vertAlign w:val="superscript"/>
          <w:lang w:val="pt-BR"/>
        </w:rPr>
        <w:t>5</w:t>
      </w:r>
      <w:r w:rsidRPr="00977CD5">
        <w:rPr>
          <w:rFonts w:ascii="Times New Roman" w:hAnsi="Times New Roman"/>
          <w:lang w:val="pt-BR"/>
        </w:rPr>
        <w:t xml:space="preserve">HH), 1,39 (d, </w:t>
      </w:r>
      <w:r w:rsidRPr="00977CD5">
        <w:rPr>
          <w:rFonts w:ascii="Times New Roman" w:hAnsi="Times New Roman"/>
          <w:vertAlign w:val="superscript"/>
          <w:lang w:val="pt-BR"/>
        </w:rPr>
        <w:t>3</w:t>
      </w:r>
      <w:r w:rsidRPr="00977CD5">
        <w:rPr>
          <w:rFonts w:ascii="Times New Roman" w:hAnsi="Times New Roman"/>
          <w:lang w:val="pt-BR"/>
        </w:rPr>
        <w:t>J=6,2 Hz, 6H; C</w:t>
      </w:r>
      <w:r w:rsidRPr="00977CD5">
        <w:rPr>
          <w:rFonts w:ascii="Times New Roman" w:hAnsi="Times New Roman"/>
          <w:vertAlign w:val="superscript"/>
          <w:lang w:val="pt-BR"/>
        </w:rPr>
        <w:t>9</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10</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1,59 (m, 1H; C</w:t>
      </w:r>
      <w:r w:rsidRPr="00977CD5">
        <w:rPr>
          <w:rFonts w:ascii="Times New Roman" w:hAnsi="Times New Roman"/>
          <w:vertAlign w:val="superscript"/>
          <w:lang w:val="pt-BR"/>
        </w:rPr>
        <w:t>5</w:t>
      </w:r>
      <w:r w:rsidRPr="00977CD5">
        <w:rPr>
          <w:rFonts w:ascii="Times New Roman" w:hAnsi="Times New Roman"/>
          <w:lang w:val="pt-BR"/>
        </w:rPr>
        <w:t>HH), 1,65 (s, 3H; C</w:t>
      </w:r>
      <w:r w:rsidRPr="00977CD5">
        <w:rPr>
          <w:rFonts w:ascii="Times New Roman" w:hAnsi="Times New Roman"/>
          <w:vertAlign w:val="superscript"/>
          <w:lang w:val="pt-BR"/>
        </w:rPr>
        <w:t>7</w:t>
      </w:r>
      <w:r w:rsidRPr="00977CD5">
        <w:rPr>
          <w:rFonts w:ascii="Times New Roman" w:hAnsi="Times New Roman"/>
          <w:lang w:val="pt-BR"/>
        </w:rPr>
        <w:t>H</w:t>
      </w:r>
      <w:r w:rsidRPr="00977CD5">
        <w:rPr>
          <w:rFonts w:ascii="Times New Roman" w:hAnsi="Times New Roman"/>
          <w:vertAlign w:val="subscript"/>
          <w:lang w:val="pt-BR"/>
        </w:rPr>
        <w:t>3</w:t>
      </w:r>
      <w:r w:rsidRPr="00977CD5">
        <w:rPr>
          <w:rFonts w:ascii="Times New Roman" w:hAnsi="Times New Roman"/>
          <w:lang w:val="pt-BR"/>
        </w:rPr>
        <w:t>), 1,89 (m, 1H; C</w:t>
      </w:r>
      <w:r w:rsidRPr="00977CD5">
        <w:rPr>
          <w:rFonts w:ascii="Times New Roman" w:hAnsi="Times New Roman"/>
          <w:vertAlign w:val="superscript"/>
          <w:lang w:val="pt-BR"/>
        </w:rPr>
        <w:t>6</w:t>
      </w:r>
      <w:r w:rsidRPr="00977CD5">
        <w:rPr>
          <w:rFonts w:ascii="Times New Roman" w:hAnsi="Times New Roman"/>
          <w:lang w:val="pt-BR"/>
        </w:rPr>
        <w:t>HH), 1,94 (m, 1H; C</w:t>
      </w:r>
      <w:r w:rsidRPr="00977CD5">
        <w:rPr>
          <w:rFonts w:ascii="Times New Roman" w:hAnsi="Times New Roman"/>
          <w:vertAlign w:val="superscript"/>
          <w:lang w:val="pt-BR"/>
        </w:rPr>
        <w:t>3</w:t>
      </w:r>
      <w:r w:rsidRPr="00977CD5">
        <w:rPr>
          <w:rFonts w:ascii="Times New Roman" w:hAnsi="Times New Roman"/>
          <w:lang w:val="pt-BR"/>
        </w:rPr>
        <w:t>HH), 1,99 (m, 1H; C</w:t>
      </w:r>
      <w:r w:rsidRPr="00977CD5">
        <w:rPr>
          <w:rFonts w:ascii="Times New Roman" w:hAnsi="Times New Roman"/>
          <w:vertAlign w:val="superscript"/>
          <w:lang w:val="pt-BR"/>
        </w:rPr>
        <w:t>6</w:t>
      </w:r>
      <w:r w:rsidRPr="00977CD5">
        <w:rPr>
          <w:rFonts w:ascii="Times New Roman" w:hAnsi="Times New Roman"/>
          <w:lang w:val="pt-BR"/>
        </w:rPr>
        <w:t>HH), 2,04 (m, 1H; C</w:t>
      </w:r>
      <w:r w:rsidRPr="00977CD5">
        <w:rPr>
          <w:rFonts w:ascii="Times New Roman" w:hAnsi="Times New Roman"/>
          <w:vertAlign w:val="superscript"/>
          <w:lang w:val="pt-BR"/>
        </w:rPr>
        <w:t>4</w:t>
      </w:r>
      <w:r w:rsidRPr="00977CD5">
        <w:rPr>
          <w:rFonts w:ascii="Times New Roman" w:hAnsi="Times New Roman"/>
          <w:lang w:val="pt-BR"/>
        </w:rPr>
        <w:t>H), 2,19 (m, 1H; C</w:t>
      </w:r>
      <w:r w:rsidRPr="00977CD5">
        <w:rPr>
          <w:rFonts w:ascii="Times New Roman" w:hAnsi="Times New Roman"/>
          <w:vertAlign w:val="superscript"/>
          <w:lang w:val="pt-BR"/>
        </w:rPr>
        <w:t>3</w:t>
      </w:r>
      <w:r w:rsidRPr="00977CD5">
        <w:rPr>
          <w:rFonts w:ascii="Times New Roman" w:hAnsi="Times New Roman"/>
          <w:lang w:val="pt-BR"/>
        </w:rPr>
        <w:t>HH), 2,19 (s, 3H; OCOCH</w:t>
      </w:r>
      <w:r w:rsidRPr="00977CD5">
        <w:rPr>
          <w:rFonts w:ascii="Times New Roman" w:hAnsi="Times New Roman"/>
          <w:vertAlign w:val="subscript"/>
          <w:lang w:val="pt-BR"/>
        </w:rPr>
        <w:t>3</w:t>
      </w:r>
      <w:r w:rsidRPr="00977CD5">
        <w:rPr>
          <w:rFonts w:ascii="Times New Roman" w:hAnsi="Times New Roman"/>
          <w:lang w:val="pt-BR"/>
        </w:rPr>
        <w:t>), 5,35 (m, 1H; C</w:t>
      </w:r>
      <w:r w:rsidRPr="00977CD5">
        <w:rPr>
          <w:rFonts w:ascii="Times New Roman" w:hAnsi="Times New Roman"/>
          <w:vertAlign w:val="superscript"/>
          <w:lang w:val="pt-BR"/>
        </w:rPr>
        <w:t>2</w:t>
      </w:r>
      <w:r w:rsidRPr="00977CD5">
        <w:rPr>
          <w:rFonts w:ascii="Times New Roman" w:hAnsi="Times New Roman"/>
          <w:lang w:val="pt-BR"/>
        </w:rPr>
        <w:t xml:space="preserve">H). </w:t>
      </w:r>
      <w:r w:rsidRPr="00977CD5">
        <w:rPr>
          <w:rFonts w:ascii="Times New Roman" w:hAnsi="Times New Roman"/>
          <w:vertAlign w:val="superscript"/>
          <w:lang w:val="pt-BR"/>
        </w:rPr>
        <w:t>13</w:t>
      </w:r>
      <w:r w:rsidRPr="00977CD5">
        <w:rPr>
          <w:rFonts w:ascii="Times New Roman" w:hAnsi="Times New Roman"/>
          <w:lang w:val="pt-BR"/>
        </w:rPr>
        <w:t>C RMN (100 MHz, CDCl</w:t>
      </w:r>
      <w:r w:rsidRPr="00977CD5">
        <w:rPr>
          <w:rFonts w:ascii="Times New Roman" w:hAnsi="Times New Roman"/>
          <w:vertAlign w:val="subscript"/>
          <w:lang w:val="pt-BR"/>
        </w:rPr>
        <w:t>3</w:t>
      </w:r>
      <w:r w:rsidRPr="00977CD5">
        <w:rPr>
          <w:rFonts w:ascii="Times New Roman" w:hAnsi="Times New Roman"/>
          <w:lang w:val="pt-BR"/>
        </w:rPr>
        <w:t xml:space="preserve">, 25°C, </w:t>
      </w:r>
      <w:r w:rsidR="00205B7D" w:rsidRPr="009B6233">
        <w:rPr>
          <w:rFonts w:ascii="Times New Roman" w:hAnsi="Times New Roman"/>
          <w:lang w:val="pt-BR"/>
        </w:rPr>
        <w:t>TMS</w:t>
      </w:r>
      <w:r w:rsidRPr="00977CD5">
        <w:rPr>
          <w:rFonts w:ascii="Times New Roman" w:hAnsi="Times New Roman"/>
          <w:lang w:val="pt-BR"/>
        </w:rPr>
        <w:t>): δ = 24,40 (C</w:t>
      </w:r>
      <w:r w:rsidRPr="00977CD5">
        <w:rPr>
          <w:rFonts w:ascii="Times New Roman" w:hAnsi="Times New Roman"/>
          <w:vertAlign w:val="superscript"/>
          <w:lang w:val="pt-BR"/>
        </w:rPr>
        <w:t>9</w:t>
      </w:r>
      <w:r w:rsidRPr="00977CD5">
        <w:rPr>
          <w:rFonts w:ascii="Times New Roman" w:hAnsi="Times New Roman"/>
          <w:lang w:val="pt-BR"/>
        </w:rPr>
        <w:t xml:space="preserve"> </w:t>
      </w:r>
      <w:r w:rsidR="00363ADB" w:rsidRPr="00977CD5">
        <w:rPr>
          <w:rFonts w:ascii="Times New Roman" w:hAnsi="Times New Roman"/>
          <w:lang w:val="pt-BR"/>
        </w:rPr>
        <w:t>e</w:t>
      </w:r>
      <w:r w:rsidRPr="00977CD5">
        <w:rPr>
          <w:rFonts w:ascii="Times New Roman" w:hAnsi="Times New Roman"/>
          <w:lang w:val="pt-BR"/>
        </w:rPr>
        <w:t xml:space="preserve"> C</w:t>
      </w:r>
      <w:r w:rsidRPr="00977CD5">
        <w:rPr>
          <w:rFonts w:ascii="Times New Roman" w:hAnsi="Times New Roman"/>
          <w:vertAlign w:val="superscript"/>
          <w:lang w:val="pt-BR"/>
        </w:rPr>
        <w:t>10</w:t>
      </w:r>
      <w:r w:rsidRPr="00977CD5">
        <w:rPr>
          <w:rFonts w:ascii="Times New Roman" w:hAnsi="Times New Roman"/>
          <w:lang w:val="pt-BR"/>
        </w:rPr>
        <w:t>), 21,30 (OCOCH</w:t>
      </w:r>
      <w:r w:rsidRPr="00977CD5">
        <w:rPr>
          <w:rFonts w:ascii="Times New Roman" w:hAnsi="Times New Roman"/>
          <w:vertAlign w:val="subscript"/>
          <w:lang w:val="pt-BR"/>
        </w:rPr>
        <w:t>3</w:t>
      </w:r>
      <w:r w:rsidRPr="00977CD5">
        <w:rPr>
          <w:rFonts w:ascii="Times New Roman" w:hAnsi="Times New Roman"/>
          <w:lang w:val="pt-BR"/>
        </w:rPr>
        <w:t>), 26,50 (C</w:t>
      </w:r>
      <w:r w:rsidRPr="00977CD5">
        <w:rPr>
          <w:rFonts w:ascii="Times New Roman" w:hAnsi="Times New Roman"/>
          <w:vertAlign w:val="superscript"/>
          <w:lang w:val="pt-BR"/>
        </w:rPr>
        <w:t>3</w:t>
      </w:r>
      <w:r w:rsidRPr="00977CD5">
        <w:rPr>
          <w:rFonts w:ascii="Times New Roman" w:hAnsi="Times New Roman"/>
          <w:lang w:val="pt-BR"/>
        </w:rPr>
        <w:t>), 23,50 (C</w:t>
      </w:r>
      <w:r w:rsidRPr="00977CD5">
        <w:rPr>
          <w:rFonts w:ascii="Times New Roman" w:hAnsi="Times New Roman"/>
          <w:vertAlign w:val="superscript"/>
          <w:lang w:val="pt-BR"/>
        </w:rPr>
        <w:t>5</w:t>
      </w:r>
      <w:r w:rsidRPr="00977CD5">
        <w:rPr>
          <w:rFonts w:ascii="Times New Roman" w:hAnsi="Times New Roman"/>
          <w:lang w:val="pt-BR"/>
        </w:rPr>
        <w:t>), 22,00 (C</w:t>
      </w:r>
      <w:r w:rsidRPr="00977CD5">
        <w:rPr>
          <w:rFonts w:ascii="Times New Roman" w:hAnsi="Times New Roman"/>
          <w:vertAlign w:val="superscript"/>
          <w:lang w:val="pt-BR"/>
        </w:rPr>
        <w:t>7</w:t>
      </w:r>
      <w:r w:rsidRPr="00977CD5">
        <w:rPr>
          <w:rFonts w:ascii="Times New Roman" w:hAnsi="Times New Roman"/>
          <w:lang w:val="pt-BR"/>
        </w:rPr>
        <w:t>), 120,1 (C</w:t>
      </w:r>
      <w:r w:rsidRPr="00977CD5">
        <w:rPr>
          <w:rFonts w:ascii="Times New Roman" w:hAnsi="Times New Roman"/>
          <w:vertAlign w:val="superscript"/>
          <w:lang w:val="pt-BR"/>
        </w:rPr>
        <w:t>2</w:t>
      </w:r>
      <w:r w:rsidRPr="00977CD5">
        <w:rPr>
          <w:rFonts w:ascii="Times New Roman" w:hAnsi="Times New Roman"/>
          <w:lang w:val="pt-BR"/>
        </w:rPr>
        <w:t>), 30,90 (C</w:t>
      </w:r>
      <w:r w:rsidRPr="00977CD5">
        <w:rPr>
          <w:rFonts w:ascii="Times New Roman" w:hAnsi="Times New Roman"/>
          <w:vertAlign w:val="superscript"/>
          <w:lang w:val="pt-BR"/>
        </w:rPr>
        <w:t>6</w:t>
      </w:r>
      <w:r w:rsidRPr="00977CD5">
        <w:rPr>
          <w:rFonts w:ascii="Times New Roman" w:hAnsi="Times New Roman"/>
          <w:lang w:val="pt-BR"/>
        </w:rPr>
        <w:t>), 84,70 (C</w:t>
      </w:r>
      <w:r w:rsidRPr="00977CD5">
        <w:rPr>
          <w:rFonts w:ascii="Times New Roman" w:hAnsi="Times New Roman"/>
          <w:vertAlign w:val="superscript"/>
          <w:lang w:val="pt-BR"/>
        </w:rPr>
        <w:t>8</w:t>
      </w:r>
      <w:r w:rsidRPr="00977CD5">
        <w:rPr>
          <w:rFonts w:ascii="Times New Roman" w:hAnsi="Times New Roman"/>
          <w:lang w:val="pt-BR"/>
        </w:rPr>
        <w:t>), 43,20 (C</w:t>
      </w:r>
      <w:r w:rsidRPr="00977CD5">
        <w:rPr>
          <w:rFonts w:ascii="Times New Roman" w:hAnsi="Times New Roman"/>
          <w:vertAlign w:val="superscript"/>
          <w:lang w:val="pt-BR"/>
        </w:rPr>
        <w:t>4</w:t>
      </w:r>
      <w:r w:rsidRPr="00977CD5">
        <w:rPr>
          <w:rFonts w:ascii="Times New Roman" w:hAnsi="Times New Roman"/>
          <w:lang w:val="pt-BR"/>
        </w:rPr>
        <w:t>), 170,20 (OCOCH</w:t>
      </w:r>
      <w:r w:rsidRPr="00977CD5">
        <w:rPr>
          <w:rFonts w:ascii="Times New Roman" w:hAnsi="Times New Roman"/>
          <w:vertAlign w:val="subscript"/>
          <w:lang w:val="pt-BR"/>
        </w:rPr>
        <w:t>3</w:t>
      </w:r>
      <w:r w:rsidRPr="00977CD5">
        <w:rPr>
          <w:rFonts w:ascii="Times New Roman" w:hAnsi="Times New Roman"/>
          <w:lang w:val="pt-BR"/>
        </w:rPr>
        <w:t>).</w:t>
      </w:r>
    </w:p>
    <w:p w14:paraId="00ED4E89" w14:textId="77777777" w:rsidR="00A84828" w:rsidRPr="00363ADB" w:rsidRDefault="00A84828" w:rsidP="00977CD5">
      <w:pPr>
        <w:pStyle w:val="TAMainText"/>
        <w:ind w:firstLine="142"/>
        <w:rPr>
          <w:rFonts w:ascii="Times New Roman" w:hAnsi="Times New Roman"/>
          <w:lang w:val="pt-BR"/>
        </w:rPr>
      </w:pPr>
    </w:p>
    <w:p w14:paraId="62CD9633" w14:textId="7A6E7168" w:rsidR="009B5497" w:rsidRPr="004D4B3A" w:rsidRDefault="009B5497" w:rsidP="004D4B3A">
      <w:pPr>
        <w:pStyle w:val="Ttulo2"/>
        <w:spacing w:before="200" w:after="200"/>
        <w:rPr>
          <w:rFonts w:ascii="Helvetica" w:hAnsi="Helvetica" w:cs="Helvetica"/>
          <w:b/>
          <w:bCs/>
          <w:sz w:val="24"/>
          <w:szCs w:val="24"/>
        </w:rPr>
      </w:pPr>
      <w:r w:rsidRPr="004D4B3A">
        <w:rPr>
          <w:rFonts w:ascii="Helvetica" w:hAnsi="Helvetica" w:cs="Helvetica"/>
          <w:b/>
          <w:bCs/>
          <w:sz w:val="24"/>
          <w:szCs w:val="24"/>
        </w:rPr>
        <w:t>Resultados e Discussão</w:t>
      </w:r>
    </w:p>
    <w:p w14:paraId="533D9C24" w14:textId="77777777" w:rsidR="00756C99" w:rsidRDefault="00BB56A2" w:rsidP="00B005AA">
      <w:pPr>
        <w:pStyle w:val="TAMainText"/>
        <w:ind w:firstLine="187"/>
        <w:rPr>
          <w:rFonts w:ascii="Times New Roman" w:hAnsi="Times New Roman"/>
          <w:lang w:val="pt-BR"/>
        </w:rPr>
      </w:pPr>
      <w:r w:rsidRPr="00FA022D">
        <w:rPr>
          <w:rFonts w:ascii="Times New Roman" w:hAnsi="Times New Roman"/>
          <w:lang w:val="pt-BR"/>
        </w:rPr>
        <w:t>Resultados</w:t>
      </w:r>
      <w:r w:rsidR="0072251E" w:rsidRPr="00FA022D">
        <w:rPr>
          <w:rFonts w:ascii="Times New Roman" w:hAnsi="Times New Roman"/>
          <w:lang w:val="pt-BR"/>
        </w:rPr>
        <w:t xml:space="preserve"> representativos </w:t>
      </w:r>
      <w:r w:rsidR="00B005AA">
        <w:rPr>
          <w:rFonts w:ascii="Times New Roman" w:hAnsi="Times New Roman"/>
          <w:lang w:val="pt-BR"/>
        </w:rPr>
        <w:t>obtidos no estud</w:t>
      </w:r>
      <w:r w:rsidR="00756C99">
        <w:rPr>
          <w:rFonts w:ascii="Times New Roman" w:hAnsi="Times New Roman"/>
          <w:lang w:val="pt-BR"/>
        </w:rPr>
        <w:t>o</w:t>
      </w:r>
      <w:r w:rsidR="00B005AA">
        <w:rPr>
          <w:rFonts w:ascii="Times New Roman" w:hAnsi="Times New Roman"/>
          <w:lang w:val="pt-BR"/>
        </w:rPr>
        <w:t xml:space="preserve"> </w:t>
      </w:r>
      <w:r w:rsidR="0072251E" w:rsidRPr="00FA022D">
        <w:rPr>
          <w:rFonts w:ascii="Times New Roman" w:hAnsi="Times New Roman"/>
          <w:lang w:val="pt-BR"/>
        </w:rPr>
        <w:t>da</w:t>
      </w:r>
      <w:r w:rsidR="00B005AA">
        <w:rPr>
          <w:rFonts w:ascii="Times New Roman" w:hAnsi="Times New Roman"/>
          <w:lang w:val="pt-BR"/>
        </w:rPr>
        <w:t>s</w:t>
      </w:r>
      <w:r w:rsidRPr="00FA022D">
        <w:rPr>
          <w:rFonts w:ascii="Times New Roman" w:hAnsi="Times New Roman"/>
          <w:lang w:val="pt-BR"/>
        </w:rPr>
        <w:t xml:space="preserve"> </w:t>
      </w:r>
      <w:r w:rsidR="00B005AA" w:rsidRPr="00FA022D">
        <w:rPr>
          <w:rFonts w:ascii="Times New Roman" w:hAnsi="Times New Roman"/>
          <w:lang w:val="pt-BR"/>
        </w:rPr>
        <w:t>reaç</w:t>
      </w:r>
      <w:r w:rsidR="00B005AA">
        <w:rPr>
          <w:rFonts w:ascii="Times New Roman" w:hAnsi="Times New Roman"/>
          <w:lang w:val="pt-BR"/>
        </w:rPr>
        <w:t>ões</w:t>
      </w:r>
      <w:r w:rsidR="0072251E" w:rsidRPr="00FA022D">
        <w:rPr>
          <w:rFonts w:ascii="Times New Roman" w:hAnsi="Times New Roman"/>
          <w:lang w:val="pt-BR"/>
        </w:rPr>
        <w:t xml:space="preserve"> de acetilação do 1,4-cineol (</w:t>
      </w:r>
      <w:r w:rsidR="0072251E" w:rsidRPr="00497DD1">
        <w:rPr>
          <w:rFonts w:ascii="Times New Roman" w:hAnsi="Times New Roman"/>
          <w:b/>
          <w:lang w:val="pt-BR"/>
        </w:rPr>
        <w:t>1a</w:t>
      </w:r>
      <w:r w:rsidR="0072251E" w:rsidRPr="00FA022D">
        <w:rPr>
          <w:rFonts w:ascii="Times New Roman" w:hAnsi="Times New Roman"/>
          <w:lang w:val="pt-BR"/>
        </w:rPr>
        <w:t>) e do 1,8-cineol (</w:t>
      </w:r>
      <w:r w:rsidR="0072251E" w:rsidRPr="00497DD1">
        <w:rPr>
          <w:rFonts w:ascii="Times New Roman" w:hAnsi="Times New Roman"/>
          <w:b/>
          <w:lang w:val="pt-BR"/>
        </w:rPr>
        <w:t>1b</w:t>
      </w:r>
      <w:r w:rsidR="0072251E" w:rsidRPr="00FA022D">
        <w:rPr>
          <w:rFonts w:ascii="Times New Roman" w:hAnsi="Times New Roman"/>
          <w:lang w:val="pt-BR"/>
        </w:rPr>
        <w:t>) utilizando anidrido acético (</w:t>
      </w:r>
      <w:r w:rsidR="0072251E" w:rsidRPr="00497DD1">
        <w:rPr>
          <w:rFonts w:ascii="Times New Roman" w:hAnsi="Times New Roman"/>
          <w:b/>
          <w:lang w:val="pt-BR"/>
        </w:rPr>
        <w:t>2</w:t>
      </w:r>
      <w:r w:rsidR="0072251E" w:rsidRPr="00FA022D">
        <w:rPr>
          <w:rFonts w:ascii="Times New Roman" w:hAnsi="Times New Roman"/>
          <w:lang w:val="pt-BR"/>
        </w:rPr>
        <w:t>)</w:t>
      </w:r>
      <w:r w:rsidR="00B005AA">
        <w:rPr>
          <w:rFonts w:ascii="Times New Roman" w:hAnsi="Times New Roman"/>
          <w:lang w:val="pt-BR"/>
        </w:rPr>
        <w:t xml:space="preserve"> como agente ac</w:t>
      </w:r>
      <w:r w:rsidR="00FC45D1">
        <w:rPr>
          <w:rFonts w:ascii="Times New Roman" w:hAnsi="Times New Roman"/>
          <w:lang w:val="pt-BR"/>
        </w:rPr>
        <w:t>et</w:t>
      </w:r>
      <w:r w:rsidR="00B005AA">
        <w:rPr>
          <w:rFonts w:ascii="Times New Roman" w:hAnsi="Times New Roman"/>
          <w:lang w:val="pt-BR"/>
        </w:rPr>
        <w:t>ilante,</w:t>
      </w:r>
      <w:r w:rsidR="0072251E" w:rsidRPr="00FA022D">
        <w:rPr>
          <w:rFonts w:ascii="Times New Roman" w:hAnsi="Times New Roman"/>
          <w:lang w:val="pt-BR"/>
        </w:rPr>
        <w:t xml:space="preserve"> CsPW como catalisador e metilisobutilcetona como solvente</w:t>
      </w:r>
      <w:r w:rsidRPr="00FA022D">
        <w:rPr>
          <w:rFonts w:ascii="Times New Roman" w:hAnsi="Times New Roman"/>
          <w:lang w:val="pt-BR"/>
        </w:rPr>
        <w:t xml:space="preserve"> </w:t>
      </w:r>
      <w:r w:rsidR="0072251E" w:rsidRPr="00FA022D">
        <w:rPr>
          <w:rFonts w:ascii="Times New Roman" w:hAnsi="Times New Roman"/>
          <w:lang w:val="pt-BR"/>
        </w:rPr>
        <w:t>estão apresentados na</w:t>
      </w:r>
      <w:r w:rsidR="00B005AA">
        <w:rPr>
          <w:rFonts w:ascii="Times New Roman" w:hAnsi="Times New Roman"/>
          <w:lang w:val="pt-BR"/>
        </w:rPr>
        <w:t>s</w:t>
      </w:r>
      <w:r w:rsidR="0072251E" w:rsidRPr="00FA022D">
        <w:rPr>
          <w:rFonts w:ascii="Times New Roman" w:hAnsi="Times New Roman"/>
          <w:lang w:val="pt-BR"/>
        </w:rPr>
        <w:t xml:space="preserve"> Tabela</w:t>
      </w:r>
      <w:r w:rsidR="00B005AA">
        <w:rPr>
          <w:rFonts w:ascii="Times New Roman" w:hAnsi="Times New Roman"/>
          <w:lang w:val="pt-BR"/>
        </w:rPr>
        <w:t>s</w:t>
      </w:r>
      <w:r w:rsidR="0072251E" w:rsidRPr="00FA022D">
        <w:rPr>
          <w:rFonts w:ascii="Times New Roman" w:hAnsi="Times New Roman"/>
          <w:lang w:val="pt-BR"/>
        </w:rPr>
        <w:t xml:space="preserve"> 1 e 2, respectivamente.</w:t>
      </w:r>
      <w:r w:rsidR="00B005AA">
        <w:rPr>
          <w:rFonts w:ascii="Times New Roman" w:hAnsi="Times New Roman"/>
          <w:lang w:val="pt-BR"/>
        </w:rPr>
        <w:t xml:space="preserve"> </w:t>
      </w:r>
    </w:p>
    <w:p w14:paraId="01FD9CEF" w14:textId="3B129728" w:rsidR="0072251E" w:rsidRDefault="00B005AA" w:rsidP="00B005AA">
      <w:pPr>
        <w:pStyle w:val="TAMainText"/>
        <w:ind w:firstLine="187"/>
        <w:rPr>
          <w:rFonts w:ascii="Times New Roman" w:hAnsi="Times New Roman"/>
          <w:lang w:val="pt-BR"/>
        </w:rPr>
      </w:pPr>
      <w:r>
        <w:rPr>
          <w:rFonts w:ascii="Times New Roman" w:hAnsi="Times New Roman"/>
          <w:lang w:val="pt-BR"/>
        </w:rPr>
        <w:t>C</w:t>
      </w:r>
      <w:r w:rsidR="00497DD1" w:rsidRPr="000D6582">
        <w:rPr>
          <w:rFonts w:ascii="Times New Roman" w:hAnsi="Times New Roman"/>
          <w:lang w:val="pt-BR"/>
        </w:rPr>
        <w:t>omo produtos principais</w:t>
      </w:r>
      <w:r w:rsidR="0072251E" w:rsidRPr="000D6582">
        <w:rPr>
          <w:rFonts w:ascii="Times New Roman" w:hAnsi="Times New Roman"/>
          <w:lang w:val="pt-BR"/>
        </w:rPr>
        <w:t xml:space="preserve"> </w:t>
      </w:r>
      <w:r>
        <w:rPr>
          <w:rFonts w:ascii="Times New Roman" w:hAnsi="Times New Roman"/>
          <w:lang w:val="pt-BR"/>
        </w:rPr>
        <w:t>f</w:t>
      </w:r>
      <w:r w:rsidRPr="000D6582">
        <w:rPr>
          <w:rFonts w:ascii="Times New Roman" w:hAnsi="Times New Roman"/>
          <w:lang w:val="pt-BR"/>
        </w:rPr>
        <w:t xml:space="preserve">oram obtidos </w:t>
      </w:r>
      <w:r w:rsidR="00497DD1" w:rsidRPr="000D6582">
        <w:rPr>
          <w:rFonts w:ascii="Times New Roman" w:hAnsi="Times New Roman"/>
          <w:lang w:val="pt-BR"/>
        </w:rPr>
        <w:t xml:space="preserve">isômeros do </w:t>
      </w:r>
      <w:r w:rsidR="008F11D9">
        <w:rPr>
          <w:rFonts w:ascii="Times New Roman" w:hAnsi="Times New Roman"/>
          <w:lang w:val="pt-BR"/>
        </w:rPr>
        <w:t>acetato de terpenila</w:t>
      </w:r>
      <w:r>
        <w:rPr>
          <w:rFonts w:ascii="Times New Roman" w:hAnsi="Times New Roman"/>
          <w:lang w:val="pt-BR"/>
        </w:rPr>
        <w:t xml:space="preserve"> com diferentes posições da hidroxila e </w:t>
      </w:r>
      <w:r w:rsidR="00561BE9">
        <w:rPr>
          <w:rFonts w:ascii="Times New Roman" w:hAnsi="Times New Roman"/>
          <w:lang w:val="pt-BR"/>
        </w:rPr>
        <w:t>d</w:t>
      </w:r>
      <w:r>
        <w:rPr>
          <w:rFonts w:ascii="Times New Roman" w:hAnsi="Times New Roman"/>
          <w:lang w:val="pt-BR"/>
        </w:rPr>
        <w:t>a ligação dupla C-C</w:t>
      </w:r>
      <w:r w:rsidR="00497DD1" w:rsidRPr="000D6582">
        <w:rPr>
          <w:rFonts w:ascii="Times New Roman" w:hAnsi="Times New Roman"/>
          <w:lang w:val="pt-BR"/>
        </w:rPr>
        <w:t xml:space="preserve">: </w:t>
      </w:r>
      <w:r w:rsidR="0072251E" w:rsidRPr="000D6582">
        <w:rPr>
          <w:rFonts w:ascii="Times New Roman" w:hAnsi="Times New Roman"/>
          <w:lang w:val="pt-BR"/>
        </w:rPr>
        <w:t>o acetato de 1-</w:t>
      </w:r>
      <w:r w:rsidR="004A22D2">
        <w:rPr>
          <w:rFonts w:ascii="Times New Roman" w:hAnsi="Times New Roman"/>
          <w:lang w:val="pt-BR"/>
        </w:rPr>
        <w:t>terpenila</w:t>
      </w:r>
      <w:r w:rsidR="0072251E" w:rsidRPr="000D6582">
        <w:rPr>
          <w:rFonts w:ascii="Times New Roman" w:hAnsi="Times New Roman"/>
          <w:lang w:val="pt-BR"/>
        </w:rPr>
        <w:t xml:space="preserve"> (</w:t>
      </w:r>
      <w:r w:rsidR="0072251E" w:rsidRPr="000D6582">
        <w:rPr>
          <w:rFonts w:ascii="Times New Roman" w:hAnsi="Times New Roman"/>
          <w:b/>
          <w:lang w:val="pt-BR"/>
        </w:rPr>
        <w:t>3a</w:t>
      </w:r>
      <w:r w:rsidR="0072251E" w:rsidRPr="000D6582">
        <w:rPr>
          <w:rFonts w:ascii="Times New Roman" w:hAnsi="Times New Roman"/>
          <w:lang w:val="pt-BR"/>
        </w:rPr>
        <w:t>), o</w:t>
      </w:r>
      <w:r w:rsidR="0072251E" w:rsidRPr="00FA022D">
        <w:rPr>
          <w:rFonts w:ascii="Times New Roman" w:hAnsi="Times New Roman"/>
          <w:lang w:val="pt-BR"/>
        </w:rPr>
        <w:t xml:space="preserve"> acetato de β-</w:t>
      </w:r>
      <w:r w:rsidR="004A22D2">
        <w:rPr>
          <w:rFonts w:ascii="Times New Roman" w:hAnsi="Times New Roman"/>
          <w:lang w:val="pt-BR"/>
        </w:rPr>
        <w:t>terpenila</w:t>
      </w:r>
      <w:r w:rsidR="0072251E" w:rsidRPr="00FA022D">
        <w:rPr>
          <w:rFonts w:ascii="Times New Roman" w:hAnsi="Times New Roman"/>
          <w:lang w:val="pt-BR"/>
        </w:rPr>
        <w:t xml:space="preserve"> (</w:t>
      </w:r>
      <w:r w:rsidR="0072251E" w:rsidRPr="00497DD1">
        <w:rPr>
          <w:rFonts w:ascii="Times New Roman" w:hAnsi="Times New Roman"/>
          <w:b/>
          <w:lang w:val="pt-BR"/>
        </w:rPr>
        <w:t>3b</w:t>
      </w:r>
      <w:r w:rsidR="0072251E" w:rsidRPr="00FA022D">
        <w:rPr>
          <w:rFonts w:ascii="Times New Roman" w:hAnsi="Times New Roman"/>
          <w:lang w:val="pt-BR"/>
        </w:rPr>
        <w:t>), o acetato de 4-</w:t>
      </w:r>
      <w:r w:rsidR="004A22D2">
        <w:rPr>
          <w:rFonts w:ascii="Times New Roman" w:hAnsi="Times New Roman"/>
          <w:lang w:val="pt-BR"/>
        </w:rPr>
        <w:t>terpenila</w:t>
      </w:r>
      <w:r w:rsidR="0072251E" w:rsidRPr="00FA022D">
        <w:rPr>
          <w:rFonts w:ascii="Times New Roman" w:hAnsi="Times New Roman"/>
          <w:lang w:val="pt-BR"/>
        </w:rPr>
        <w:t xml:space="preserve"> (</w:t>
      </w:r>
      <w:r w:rsidR="0072251E" w:rsidRPr="00497DD1">
        <w:rPr>
          <w:rFonts w:ascii="Times New Roman" w:hAnsi="Times New Roman"/>
          <w:b/>
          <w:lang w:val="pt-BR"/>
        </w:rPr>
        <w:t>3c</w:t>
      </w:r>
      <w:r w:rsidR="0072251E" w:rsidRPr="00FA022D">
        <w:rPr>
          <w:rFonts w:ascii="Times New Roman" w:hAnsi="Times New Roman"/>
          <w:lang w:val="pt-BR"/>
        </w:rPr>
        <w:t>), o acetato de γ-</w:t>
      </w:r>
      <w:r w:rsidR="004A22D2">
        <w:rPr>
          <w:rFonts w:ascii="Times New Roman" w:hAnsi="Times New Roman"/>
          <w:lang w:val="pt-BR"/>
        </w:rPr>
        <w:t>terpenila</w:t>
      </w:r>
      <w:r w:rsidR="0072251E" w:rsidRPr="00FA022D">
        <w:rPr>
          <w:rFonts w:ascii="Times New Roman" w:hAnsi="Times New Roman"/>
          <w:lang w:val="pt-BR"/>
        </w:rPr>
        <w:t xml:space="preserve"> (</w:t>
      </w:r>
      <w:r w:rsidR="0072251E" w:rsidRPr="00497DD1">
        <w:rPr>
          <w:rFonts w:ascii="Times New Roman" w:hAnsi="Times New Roman"/>
          <w:b/>
          <w:lang w:val="pt-BR"/>
        </w:rPr>
        <w:t>3d</w:t>
      </w:r>
      <w:r w:rsidR="0072251E" w:rsidRPr="00FA022D">
        <w:rPr>
          <w:rFonts w:ascii="Times New Roman" w:hAnsi="Times New Roman"/>
          <w:lang w:val="pt-BR"/>
        </w:rPr>
        <w:t>) e o acetato de α-</w:t>
      </w:r>
      <w:r w:rsidR="004A22D2">
        <w:rPr>
          <w:rFonts w:ascii="Times New Roman" w:hAnsi="Times New Roman"/>
          <w:lang w:val="pt-BR"/>
        </w:rPr>
        <w:t>terpenila</w:t>
      </w:r>
      <w:r w:rsidR="0072251E" w:rsidRPr="00FA022D">
        <w:rPr>
          <w:rFonts w:ascii="Times New Roman" w:hAnsi="Times New Roman"/>
          <w:lang w:val="pt-BR"/>
        </w:rPr>
        <w:t xml:space="preserve"> (</w:t>
      </w:r>
      <w:r w:rsidR="0072251E" w:rsidRPr="00497DD1">
        <w:rPr>
          <w:rFonts w:ascii="Times New Roman" w:hAnsi="Times New Roman"/>
          <w:b/>
          <w:lang w:val="pt-BR"/>
        </w:rPr>
        <w:t>3e</w:t>
      </w:r>
      <w:r w:rsidR="00497DD1">
        <w:rPr>
          <w:rFonts w:ascii="Times New Roman" w:hAnsi="Times New Roman"/>
          <w:lang w:val="pt-BR"/>
        </w:rPr>
        <w:t>)</w:t>
      </w:r>
      <w:r w:rsidRPr="00B005AA">
        <w:rPr>
          <w:rFonts w:ascii="Times New Roman" w:hAnsi="Times New Roman"/>
          <w:lang w:val="pt-BR"/>
        </w:rPr>
        <w:t xml:space="preserve"> </w:t>
      </w:r>
      <w:r>
        <w:rPr>
          <w:rFonts w:ascii="Times New Roman" w:hAnsi="Times New Roman"/>
          <w:lang w:val="pt-BR"/>
        </w:rPr>
        <w:t>(</w:t>
      </w:r>
      <w:r w:rsidRPr="000D6582">
        <w:rPr>
          <w:rFonts w:ascii="Times New Roman" w:hAnsi="Times New Roman"/>
          <w:lang w:val="pt-BR"/>
        </w:rPr>
        <w:t>Figura 1</w:t>
      </w:r>
      <w:r>
        <w:rPr>
          <w:rFonts w:ascii="Times New Roman" w:hAnsi="Times New Roman"/>
          <w:lang w:val="pt-BR"/>
        </w:rPr>
        <w:t>)</w:t>
      </w:r>
      <w:r w:rsidR="00497DD1">
        <w:rPr>
          <w:rFonts w:ascii="Times New Roman" w:hAnsi="Times New Roman"/>
          <w:lang w:val="pt-BR"/>
        </w:rPr>
        <w:t>.</w:t>
      </w:r>
      <w:r w:rsidR="0072251E" w:rsidRPr="00FA022D">
        <w:rPr>
          <w:rFonts w:ascii="Times New Roman" w:hAnsi="Times New Roman"/>
          <w:lang w:val="pt-BR"/>
        </w:rPr>
        <w:t xml:space="preserve"> </w:t>
      </w:r>
      <w:r w:rsidR="00BB56A2" w:rsidRPr="00FA022D">
        <w:rPr>
          <w:rFonts w:ascii="Times New Roman" w:hAnsi="Times New Roman"/>
          <w:lang w:val="pt-BR"/>
        </w:rPr>
        <w:t xml:space="preserve">Foi observada ainda </w:t>
      </w:r>
      <w:r w:rsidR="0072251E" w:rsidRPr="00FA022D">
        <w:rPr>
          <w:rFonts w:ascii="Times New Roman" w:hAnsi="Times New Roman"/>
          <w:lang w:val="pt-BR"/>
        </w:rPr>
        <w:t xml:space="preserve">a formação de </w:t>
      </w:r>
      <w:r w:rsidR="00342046">
        <w:rPr>
          <w:rFonts w:ascii="Times New Roman" w:hAnsi="Times New Roman"/>
          <w:lang w:val="pt-BR"/>
        </w:rPr>
        <w:t xml:space="preserve">terpenos </w:t>
      </w:r>
      <w:r w:rsidR="00342046" w:rsidRPr="00A54C6A">
        <w:rPr>
          <w:rFonts w:ascii="Times New Roman" w:hAnsi="Times New Roman"/>
          <w:i/>
          <w:iCs/>
          <w:lang w:val="pt-BR"/>
        </w:rPr>
        <w:t>p</w:t>
      </w:r>
      <w:r w:rsidR="00342046">
        <w:rPr>
          <w:rFonts w:ascii="Times New Roman" w:hAnsi="Times New Roman"/>
          <w:lang w:val="pt-BR"/>
        </w:rPr>
        <w:t>-menténicos (</w:t>
      </w:r>
      <w:r w:rsidR="0072251E" w:rsidRPr="00FA022D">
        <w:rPr>
          <w:rFonts w:ascii="Times New Roman" w:hAnsi="Times New Roman"/>
          <w:lang w:val="pt-BR"/>
        </w:rPr>
        <w:t>isômeros do limoneno</w:t>
      </w:r>
      <w:r w:rsidR="00342046">
        <w:rPr>
          <w:rFonts w:ascii="Times New Roman" w:hAnsi="Times New Roman"/>
          <w:lang w:val="pt-BR"/>
        </w:rPr>
        <w:t xml:space="preserve">, </w:t>
      </w:r>
      <w:r w:rsidR="0072251E" w:rsidRPr="00FA022D">
        <w:rPr>
          <w:rFonts w:ascii="Times New Roman" w:hAnsi="Times New Roman"/>
          <w:lang w:val="pt-BR"/>
        </w:rPr>
        <w:t>IL) e</w:t>
      </w:r>
      <w:r w:rsidR="00342046">
        <w:rPr>
          <w:rFonts w:ascii="Times New Roman" w:hAnsi="Times New Roman"/>
          <w:lang w:val="pt-BR"/>
        </w:rPr>
        <w:t xml:space="preserve"> </w:t>
      </w:r>
      <w:r w:rsidR="0072251E" w:rsidRPr="00FA022D">
        <w:rPr>
          <w:rFonts w:ascii="Times New Roman" w:hAnsi="Times New Roman"/>
          <w:lang w:val="pt-BR"/>
        </w:rPr>
        <w:t>diacetatos d</w:t>
      </w:r>
      <w:r w:rsidR="00C24870">
        <w:rPr>
          <w:rFonts w:ascii="Times New Roman" w:hAnsi="Times New Roman"/>
          <w:lang w:val="pt-BR"/>
        </w:rPr>
        <w:t>e</w:t>
      </w:r>
      <w:r w:rsidR="0072251E" w:rsidRPr="00FA022D">
        <w:rPr>
          <w:rFonts w:ascii="Times New Roman" w:hAnsi="Times New Roman"/>
          <w:lang w:val="pt-BR"/>
        </w:rPr>
        <w:t xml:space="preserve"> </w:t>
      </w:r>
      <w:r w:rsidR="004A22D2">
        <w:rPr>
          <w:rFonts w:ascii="Times New Roman" w:hAnsi="Times New Roman"/>
          <w:lang w:val="pt-BR"/>
        </w:rPr>
        <w:t>terpenila</w:t>
      </w:r>
      <w:r w:rsidR="0072251E" w:rsidRPr="00FA022D">
        <w:rPr>
          <w:rFonts w:ascii="Times New Roman" w:hAnsi="Times New Roman"/>
          <w:lang w:val="pt-BR"/>
        </w:rPr>
        <w:t xml:space="preserve"> (DA).</w:t>
      </w:r>
    </w:p>
    <w:p w14:paraId="108EB275" w14:textId="41C915D5" w:rsidR="009B5497" w:rsidRPr="004D4B3A" w:rsidRDefault="00CE5C30" w:rsidP="00E97275">
      <w:pPr>
        <w:pStyle w:val="TAMainText"/>
        <w:ind w:left="142" w:right="212" w:firstLine="0"/>
        <w:rPr>
          <w:rFonts w:ascii="Times New Roman" w:hAnsi="Times New Roman"/>
          <w:b/>
          <w:bCs/>
          <w:sz w:val="18"/>
          <w:szCs w:val="18"/>
          <w:lang w:val="pt-BR"/>
        </w:rPr>
      </w:pPr>
      <w:r w:rsidRPr="004D4B3A">
        <w:rPr>
          <w:rFonts w:ascii="Times New Roman" w:hAnsi="Times New Roman"/>
          <w:noProof/>
          <w:lang w:val="pt-BR"/>
        </w:rPr>
        <w:drawing>
          <wp:anchor distT="0" distB="0" distL="114300" distR="114300" simplePos="0" relativeHeight="251662335" behindDoc="0" locked="0" layoutInCell="1" allowOverlap="1" wp14:anchorId="3BC84974" wp14:editId="4DBADCCC">
            <wp:simplePos x="0" y="0"/>
            <wp:positionH relativeFrom="column">
              <wp:posOffset>2540</wp:posOffset>
            </wp:positionH>
            <wp:positionV relativeFrom="paragraph">
              <wp:posOffset>147320</wp:posOffset>
            </wp:positionV>
            <wp:extent cx="2901950" cy="2158365"/>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1950" cy="2158365"/>
                    </a:xfrm>
                    <a:prstGeom prst="rect">
                      <a:avLst/>
                    </a:prstGeom>
                    <a:noFill/>
                  </pic:spPr>
                </pic:pic>
              </a:graphicData>
            </a:graphic>
            <wp14:sizeRelH relativeFrom="page">
              <wp14:pctWidth>0</wp14:pctWidth>
            </wp14:sizeRelH>
            <wp14:sizeRelV relativeFrom="page">
              <wp14:pctHeight>0</wp14:pctHeight>
            </wp14:sizeRelV>
          </wp:anchor>
        </w:drawing>
      </w:r>
      <w:r w:rsidR="00BB56A2" w:rsidRPr="004D4B3A">
        <w:rPr>
          <w:rFonts w:ascii="Times New Roman" w:hAnsi="Times New Roman"/>
          <w:b/>
          <w:bCs/>
          <w:sz w:val="18"/>
          <w:szCs w:val="18"/>
          <w:lang w:val="pt-BR"/>
        </w:rPr>
        <w:t>Figura 1.</w:t>
      </w:r>
      <w:r w:rsidR="00BB56A2" w:rsidRPr="004D4B3A">
        <w:rPr>
          <w:rFonts w:ascii="Times New Roman" w:hAnsi="Times New Roman"/>
          <w:sz w:val="18"/>
          <w:szCs w:val="18"/>
          <w:lang w:val="pt-BR"/>
        </w:rPr>
        <w:t xml:space="preserve"> 1,4-cineol (1a), 1,8-cineol (1a), anidrido acético (2), </w:t>
      </w:r>
      <w:r w:rsidR="004D4B3A">
        <w:rPr>
          <w:rFonts w:ascii="Times New Roman" w:hAnsi="Times New Roman"/>
          <w:sz w:val="18"/>
          <w:szCs w:val="18"/>
          <w:lang w:val="pt-BR"/>
        </w:rPr>
        <w:t xml:space="preserve">acetato de </w:t>
      </w:r>
      <w:r w:rsidR="00BB56A2" w:rsidRPr="004D4B3A">
        <w:rPr>
          <w:rFonts w:ascii="Times New Roman" w:hAnsi="Times New Roman"/>
          <w:sz w:val="18"/>
          <w:szCs w:val="18"/>
          <w:lang w:val="pt-BR"/>
        </w:rPr>
        <w:t>1-</w:t>
      </w:r>
      <w:r w:rsidR="004A22D2">
        <w:rPr>
          <w:rFonts w:ascii="Times New Roman" w:hAnsi="Times New Roman"/>
          <w:sz w:val="18"/>
          <w:szCs w:val="18"/>
          <w:lang w:val="pt-BR"/>
        </w:rPr>
        <w:t>terpenila</w:t>
      </w:r>
      <w:r w:rsidR="00BB56A2" w:rsidRPr="004D4B3A">
        <w:rPr>
          <w:rFonts w:ascii="Times New Roman" w:hAnsi="Times New Roman"/>
          <w:sz w:val="18"/>
          <w:szCs w:val="18"/>
          <w:lang w:val="pt-BR"/>
        </w:rPr>
        <w:t xml:space="preserve"> (3a), acetato de β-</w:t>
      </w:r>
      <w:r w:rsidR="004A22D2">
        <w:rPr>
          <w:rFonts w:ascii="Times New Roman" w:hAnsi="Times New Roman"/>
          <w:sz w:val="18"/>
          <w:szCs w:val="18"/>
          <w:lang w:val="pt-BR"/>
        </w:rPr>
        <w:t>terpenila</w:t>
      </w:r>
      <w:r w:rsidR="00BB56A2" w:rsidRPr="004D4B3A">
        <w:rPr>
          <w:rFonts w:ascii="Times New Roman" w:hAnsi="Times New Roman"/>
          <w:sz w:val="18"/>
          <w:szCs w:val="18"/>
          <w:lang w:val="pt-BR"/>
        </w:rPr>
        <w:t xml:space="preserve"> (3b), acetato de 4-</w:t>
      </w:r>
      <w:r w:rsidR="004A22D2">
        <w:rPr>
          <w:rFonts w:ascii="Times New Roman" w:hAnsi="Times New Roman"/>
          <w:sz w:val="18"/>
          <w:szCs w:val="18"/>
          <w:lang w:val="pt-BR"/>
        </w:rPr>
        <w:t>terpenila</w:t>
      </w:r>
      <w:r w:rsidR="00BB56A2" w:rsidRPr="004D4B3A">
        <w:rPr>
          <w:rFonts w:ascii="Times New Roman" w:hAnsi="Times New Roman"/>
          <w:sz w:val="18"/>
          <w:szCs w:val="18"/>
          <w:lang w:val="pt-BR"/>
        </w:rPr>
        <w:t xml:space="preserve"> (3c), acetato de γ-</w:t>
      </w:r>
      <w:r w:rsidR="004A22D2">
        <w:rPr>
          <w:rFonts w:ascii="Times New Roman" w:hAnsi="Times New Roman"/>
          <w:sz w:val="18"/>
          <w:szCs w:val="18"/>
          <w:lang w:val="pt-BR"/>
        </w:rPr>
        <w:t>terpenila</w:t>
      </w:r>
      <w:r w:rsidR="00BB56A2" w:rsidRPr="004D4B3A">
        <w:rPr>
          <w:rFonts w:ascii="Times New Roman" w:hAnsi="Times New Roman"/>
          <w:sz w:val="18"/>
          <w:szCs w:val="18"/>
          <w:lang w:val="pt-BR"/>
        </w:rPr>
        <w:t xml:space="preserve"> (3d) e o acetato de α-</w:t>
      </w:r>
      <w:r w:rsidR="004A22D2">
        <w:rPr>
          <w:rFonts w:ascii="Times New Roman" w:hAnsi="Times New Roman"/>
          <w:sz w:val="18"/>
          <w:szCs w:val="18"/>
          <w:lang w:val="pt-BR"/>
        </w:rPr>
        <w:t>terpenila</w:t>
      </w:r>
      <w:r w:rsidR="00BB56A2" w:rsidRPr="004D4B3A">
        <w:rPr>
          <w:rFonts w:ascii="Times New Roman" w:hAnsi="Times New Roman"/>
          <w:sz w:val="18"/>
          <w:szCs w:val="18"/>
          <w:lang w:val="pt-BR"/>
        </w:rPr>
        <w:t xml:space="preserve"> (3e).</w:t>
      </w:r>
    </w:p>
    <w:p w14:paraId="49D1AC78" w14:textId="25E6C29D" w:rsidR="00BB56A2" w:rsidRPr="004D4B3A" w:rsidRDefault="00BB56A2" w:rsidP="000327B5">
      <w:pPr>
        <w:pStyle w:val="TAMainText"/>
        <w:ind w:firstLine="187"/>
        <w:jc w:val="center"/>
        <w:rPr>
          <w:rFonts w:ascii="Times New Roman" w:hAnsi="Times New Roman"/>
          <w:lang w:val="pt-BR"/>
        </w:rPr>
      </w:pPr>
    </w:p>
    <w:p w14:paraId="0F8AC869" w14:textId="45BB3CA6" w:rsidR="00082E91" w:rsidRPr="00C95DF7" w:rsidRDefault="00082E91" w:rsidP="0072251E">
      <w:pPr>
        <w:pStyle w:val="TAMainText"/>
        <w:ind w:firstLine="187"/>
        <w:rPr>
          <w:rFonts w:ascii="Times New Roman" w:hAnsi="Times New Roman"/>
          <w:lang w:val="pt-BR"/>
        </w:rPr>
      </w:pPr>
      <w:r w:rsidRPr="00635F99">
        <w:rPr>
          <w:rFonts w:ascii="Times New Roman" w:hAnsi="Times New Roman"/>
          <w:lang w:val="pt-BR"/>
        </w:rPr>
        <w:t xml:space="preserve">Os </w:t>
      </w:r>
      <w:r w:rsidR="008F11D9" w:rsidRPr="00635F99">
        <w:rPr>
          <w:rFonts w:ascii="Times New Roman" w:hAnsi="Times New Roman"/>
          <w:lang w:val="pt-BR"/>
        </w:rPr>
        <w:t>acetato</w:t>
      </w:r>
      <w:r w:rsidR="001E65F9">
        <w:rPr>
          <w:rFonts w:ascii="Times New Roman" w:hAnsi="Times New Roman"/>
          <w:lang w:val="pt-BR"/>
        </w:rPr>
        <w:t>s</w:t>
      </w:r>
      <w:r w:rsidR="008F11D9" w:rsidRPr="00635F99">
        <w:rPr>
          <w:rFonts w:ascii="Times New Roman" w:hAnsi="Times New Roman"/>
          <w:lang w:val="pt-BR"/>
        </w:rPr>
        <w:t xml:space="preserve"> de terpenila</w:t>
      </w:r>
      <w:r w:rsidRPr="00635F99">
        <w:rPr>
          <w:rFonts w:ascii="Times New Roman" w:hAnsi="Times New Roman"/>
          <w:lang w:val="pt-BR"/>
        </w:rPr>
        <w:t xml:space="preserve"> </w:t>
      </w:r>
      <w:r w:rsidR="00F90C27">
        <w:rPr>
          <w:rFonts w:ascii="Times New Roman" w:hAnsi="Times New Roman"/>
          <w:lang w:val="pt-BR"/>
        </w:rPr>
        <w:t xml:space="preserve">(tanto como compostos individuais quanto como mistura) </w:t>
      </w:r>
      <w:r w:rsidRPr="00635F99">
        <w:rPr>
          <w:rFonts w:ascii="Times New Roman" w:hAnsi="Times New Roman"/>
          <w:lang w:val="pt-BR"/>
        </w:rPr>
        <w:t>são de grande interesse para indústria, devido a sua estabilidade e seu aroma doce, com notas florais e herbais. Na perfumaria, eles são frequentemente utilizados como aroma de lavanda e bergamota, na produção de produtos de higiene, limpeza e em cosméticos. Esses ésteres monoterpênicos também podem ser utilizados na indústria alimentícia, como agente flavorizante de alimentos e bebidas</w:t>
      </w:r>
      <w:r w:rsidR="00C95DF7" w:rsidRPr="00635F99">
        <w:rPr>
          <w:rFonts w:ascii="Times New Roman" w:hAnsi="Times New Roman"/>
          <w:lang w:val="pt-BR"/>
        </w:rPr>
        <w:t xml:space="preserve"> </w:t>
      </w:r>
      <w:r w:rsidR="009E18D1" w:rsidRPr="00635F99">
        <w:rPr>
          <w:rFonts w:ascii="Times New Roman" w:hAnsi="Times New Roman"/>
          <w:lang w:val="pt-BR"/>
        </w:rPr>
        <w:fldChar w:fldCharType="begin"/>
      </w:r>
      <w:r w:rsidR="0076121F" w:rsidRPr="00635F99">
        <w:rPr>
          <w:rFonts w:ascii="Times New Roman" w:hAnsi="Times New Roman"/>
          <w:lang w:val="pt-BR"/>
        </w:rPr>
        <w:instrText xml:space="preserve"> ADDIN ZOTERO_ITEM CSL_CITATION {"citationID":"TXJAN4ss","properties":{"formattedCitation":"{\\i{}(4,13)}","plainCitation":"(4,13)","noteIndex":0},"citationItems":[{"id":9,"uris":["http://zotero.org/users/local/U1a32NfM/items/F9PMALNZ"],"itemData":{"id":9,"type":"chapter","abstract":"This chapter contains sections titled: Introduction Isolation of Natural Fragrance and Flavor Concentrates Essential Oils Extracts Survey of Natural Raw Materials","container-title":"Common Fragrance and Flavor Materials","ISBN":"978-3-527-60821-8","language":"en","note":"section: 3\n_eprint: https://onlinelibrary.wiley.com/doi/pdf/10.1002/3527608214.ch3\nDOI: 10.1002/3527608214.ch3","page":"177-238","publisher":"John Wiley &amp; Sons, Ltd","source":"Wiley Online Library","title":"Natural Raw Materials in the Flavor and Fragrance Industry","URL":"https://onlinelibrary.wiley.com/doi/abs/10.1002/3527608214.ch3","accessed":{"date-parts":[["2023",3,28]]},"issued":{"date-parts":[["2006"]]}}},{"id":30,"uris":["http://zotero.org/users/local/U1a32NfM/items/CQEHTK8E"],"itemData":{"id":30,"type":"article-journal","abstract":"The aim of this study was to evaluate occurrence of T. pulegioides α-terpinyl acetate chemotype, as source of natural origin α-terpinyl acetate, to determine its phytotoxic and antimicrobial features. Were investigated 131 T. pulegioides habitats. Essential oils were isolated by hydrodistillation and analyzed by GC-FID and GC-MS. Phytotoxic effect of essential oil of this chemotype on monocotyledons and dicotyledons through water and air was carried out in laboratory conditions; the broth microdilution method was used to screen essential oil effect against human pathogenic microorganisms. Results showed that α-terpinyl acetate was very rare compound in essential oil of T. pulegioides: it was found only in 35% of investigated T. pulegioides habitats. α-Terpinyl acetate (in essential oil and pure) demonstrated different behavior on investigated plants. Phytotoxic effect of α-terpinyl acetate was stronger on investigated monocotyledons than on dicotyledons. α-Terpinyl acetate essential oil inhibited seeds germination and radicles growth for high economic productivity forage grass monocotyledon Poa pratensis, but stimulated seed germination for high economic productive forage legume dicotyledon Trifolium pretense. α-Terpinyl acetate essential oil showed high antimicrobial effect against fungi and dermatophytes but lower effect against bacteria and Candida yeasts. Therefore, T. pulegioides α-terpinyl acetate chemotype could be a potential compound for developing preventive measures or/and drugs for mycosis.","container-title":"Molecules","DOI":"10.3390/molecules26041065","ISSN":"1420-3049","issue":"4","language":"en","license":"http://creativecommons.org/licenses/by/3.0/","note":"number: 4\npublisher: Multidisciplinary Digital Publishing Institute","page":"1065","source":"www.mdpi.com","title":"α-Terpinyl Acetate: Occurrence in Essential Oils Bearing Thymus pulegioides, Phytotoxicity, and Antimicrobial Effects","title-short":"α-Terpinyl Acetate","volume":"26","author":[{"family":"Vaičiulytė","given":"Vaida"},{"family":"Ložienė","given":"Kristina"},{"family":"Švedienė","given":"Jurgita"},{"family":"Raudonienė","given":"Vita"},{"family":"Paškevičius","given":"Algimantas"}],"issued":{"date-parts":[["2021",1]]}}}],"schema":"https://github.com/citation-style-language/schema/raw/master/csl-citation.json"} </w:instrText>
      </w:r>
      <w:r w:rsidR="009E18D1" w:rsidRPr="00635F99">
        <w:rPr>
          <w:rFonts w:ascii="Times New Roman" w:hAnsi="Times New Roman"/>
          <w:lang w:val="pt-BR"/>
        </w:rPr>
        <w:fldChar w:fldCharType="separate"/>
      </w:r>
      <w:r w:rsidR="0076121F" w:rsidRPr="00635F99">
        <w:rPr>
          <w:rFonts w:ascii="Times New Roman" w:hAnsi="Times New Roman"/>
          <w:szCs w:val="24"/>
          <w:lang w:val="pt-BR"/>
        </w:rPr>
        <w:t>(4,13)</w:t>
      </w:r>
      <w:r w:rsidR="009E18D1" w:rsidRPr="00635F99">
        <w:rPr>
          <w:rFonts w:ascii="Times New Roman" w:hAnsi="Times New Roman"/>
          <w:lang w:val="pt-BR"/>
        </w:rPr>
        <w:fldChar w:fldCharType="end"/>
      </w:r>
      <w:r w:rsidR="00C95DF7" w:rsidRPr="00635F99">
        <w:rPr>
          <w:rFonts w:ascii="Times New Roman" w:hAnsi="Times New Roman"/>
          <w:lang w:val="pt-BR"/>
        </w:rPr>
        <w:t>.</w:t>
      </w:r>
    </w:p>
    <w:p w14:paraId="56F45EB3" w14:textId="77777777" w:rsidR="000327B5" w:rsidRPr="004D4B3A" w:rsidRDefault="000327B5" w:rsidP="0072251E">
      <w:pPr>
        <w:pStyle w:val="TAMainText"/>
        <w:ind w:firstLine="187"/>
        <w:rPr>
          <w:rFonts w:ascii="Times New Roman" w:hAnsi="Times New Roman"/>
          <w:lang w:val="pt-BR"/>
        </w:rPr>
        <w:sectPr w:rsidR="000327B5" w:rsidRPr="004D4B3A" w:rsidSect="00A84828">
          <w:type w:val="continuous"/>
          <w:pgSz w:w="11906" w:h="16838"/>
          <w:pgMar w:top="1134" w:right="851" w:bottom="851" w:left="851" w:header="709" w:footer="709" w:gutter="0"/>
          <w:cols w:num="2" w:space="708"/>
          <w:docGrid w:linePitch="360"/>
        </w:sectPr>
      </w:pPr>
    </w:p>
    <w:p w14:paraId="3A43876D" w14:textId="25BA3BF9" w:rsidR="0072251E" w:rsidRPr="004D4B3A" w:rsidRDefault="0072251E" w:rsidP="0072251E">
      <w:pPr>
        <w:pStyle w:val="TAMainText"/>
        <w:ind w:firstLine="187"/>
        <w:rPr>
          <w:rFonts w:ascii="Times New Roman" w:hAnsi="Times New Roman"/>
          <w:lang w:val="pt-BR"/>
        </w:rPr>
      </w:pPr>
    </w:p>
    <w:p w14:paraId="749B95FF" w14:textId="0209F5B0" w:rsidR="0072251E" w:rsidRPr="00363ADB" w:rsidRDefault="0072251E" w:rsidP="00363ADB">
      <w:pPr>
        <w:pStyle w:val="TAMainText"/>
        <w:ind w:left="426" w:right="423" w:firstLine="0"/>
        <w:rPr>
          <w:rFonts w:ascii="Times New Roman" w:hAnsi="Times New Roman"/>
          <w:sz w:val="18"/>
          <w:szCs w:val="18"/>
          <w:lang w:val="pt-BR"/>
        </w:rPr>
      </w:pPr>
      <w:r w:rsidRPr="00363ADB">
        <w:rPr>
          <w:rFonts w:ascii="Times New Roman" w:hAnsi="Times New Roman"/>
          <w:b/>
          <w:bCs/>
          <w:sz w:val="18"/>
          <w:szCs w:val="18"/>
          <w:lang w:val="pt-BR"/>
        </w:rPr>
        <w:t>Tabela 1.</w:t>
      </w:r>
      <w:r w:rsidRPr="00363ADB">
        <w:rPr>
          <w:rFonts w:ascii="Times New Roman" w:hAnsi="Times New Roman"/>
          <w:sz w:val="18"/>
          <w:szCs w:val="18"/>
          <w:lang w:val="pt-BR"/>
        </w:rPr>
        <w:t xml:space="preserve"> Acetilação do 1,4-cineol (1a) utilizando anidrido acético (2), CsPW e metilisobutilcetona como solvente</w:t>
      </w:r>
      <w:r w:rsidR="00363ADB" w:rsidRPr="00363ADB">
        <w:rPr>
          <w:rFonts w:ascii="Times New Roman" w:hAnsi="Times New Roman"/>
          <w:sz w:val="18"/>
          <w:szCs w:val="18"/>
          <w:vertAlign w:val="superscript"/>
          <w:lang w:val="pt-BR"/>
        </w:rPr>
        <w:t>a</w:t>
      </w:r>
    </w:p>
    <w:tbl>
      <w:tblPr>
        <w:tblStyle w:val="Tabelacomgrade"/>
        <w:tblW w:w="96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gridCol w:w="850"/>
        <w:gridCol w:w="850"/>
        <w:gridCol w:w="850"/>
        <w:gridCol w:w="1417"/>
        <w:gridCol w:w="567"/>
        <w:gridCol w:w="567"/>
        <w:gridCol w:w="567"/>
        <w:gridCol w:w="567"/>
        <w:gridCol w:w="567"/>
        <w:gridCol w:w="567"/>
        <w:gridCol w:w="624"/>
      </w:tblGrid>
      <w:tr w:rsidR="00363ADB" w:rsidRPr="00455EA9" w14:paraId="757B5C87" w14:textId="77777777" w:rsidTr="00363ADB">
        <w:trPr>
          <w:trHeight w:val="340"/>
          <w:jc w:val="center"/>
        </w:trPr>
        <w:tc>
          <w:tcPr>
            <w:tcW w:w="850" w:type="dxa"/>
            <w:vMerge w:val="restart"/>
            <w:tcBorders>
              <w:top w:val="single" w:sz="4" w:space="0" w:color="auto"/>
            </w:tcBorders>
            <w:noWrap/>
            <w:vAlign w:val="center"/>
          </w:tcPr>
          <w:p w14:paraId="353D1FD4" w14:textId="16767314"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Exp.</w:t>
            </w:r>
          </w:p>
        </w:tc>
        <w:tc>
          <w:tcPr>
            <w:tcW w:w="850" w:type="dxa"/>
            <w:vMerge w:val="restart"/>
            <w:tcBorders>
              <w:top w:val="single" w:sz="4" w:space="0" w:color="auto"/>
            </w:tcBorders>
            <w:noWrap/>
            <w:vAlign w:val="center"/>
          </w:tcPr>
          <w:p w14:paraId="04FACFBA" w14:textId="3F58001D" w:rsidR="00363ADB" w:rsidRPr="00455EA9" w:rsidRDefault="00363ADB" w:rsidP="00363ADB">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2 (mmol)</w:t>
            </w:r>
          </w:p>
        </w:tc>
        <w:tc>
          <w:tcPr>
            <w:tcW w:w="850" w:type="dxa"/>
            <w:vMerge w:val="restart"/>
            <w:tcBorders>
              <w:top w:val="single" w:sz="4" w:space="0" w:color="auto"/>
            </w:tcBorders>
            <w:noWrap/>
            <w:vAlign w:val="center"/>
          </w:tcPr>
          <w:p w14:paraId="4C68E5DB" w14:textId="77777777"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CsPW</w:t>
            </w:r>
          </w:p>
          <w:p w14:paraId="24FFD688" w14:textId="6F46F07A"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(mg)</w:t>
            </w:r>
          </w:p>
        </w:tc>
        <w:tc>
          <w:tcPr>
            <w:tcW w:w="850" w:type="dxa"/>
            <w:vMerge w:val="restart"/>
            <w:tcBorders>
              <w:top w:val="single" w:sz="4" w:space="0" w:color="auto"/>
            </w:tcBorders>
            <w:noWrap/>
            <w:vAlign w:val="center"/>
          </w:tcPr>
          <w:p w14:paraId="3254393F" w14:textId="77777777" w:rsidR="00363ADB" w:rsidRPr="00455EA9" w:rsidRDefault="00363ADB" w:rsidP="00363ADB">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 xml:space="preserve">T </w:t>
            </w:r>
          </w:p>
          <w:p w14:paraId="05D5EF95" w14:textId="2E093573" w:rsidR="00363ADB" w:rsidRPr="00455EA9" w:rsidRDefault="00363ADB" w:rsidP="00363ADB">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(°C)</w:t>
            </w:r>
          </w:p>
        </w:tc>
        <w:tc>
          <w:tcPr>
            <w:tcW w:w="850" w:type="dxa"/>
            <w:vMerge w:val="restart"/>
            <w:tcBorders>
              <w:top w:val="single" w:sz="4" w:space="0" w:color="auto"/>
            </w:tcBorders>
            <w:noWrap/>
            <w:vAlign w:val="center"/>
          </w:tcPr>
          <w:p w14:paraId="2F111656" w14:textId="77777777"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Tempo</w:t>
            </w:r>
          </w:p>
          <w:p w14:paraId="7B54E83D" w14:textId="3D92B41D"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(h)</w:t>
            </w:r>
          </w:p>
        </w:tc>
        <w:tc>
          <w:tcPr>
            <w:tcW w:w="1417" w:type="dxa"/>
            <w:vMerge w:val="restart"/>
            <w:tcBorders>
              <w:top w:val="single" w:sz="4" w:space="0" w:color="auto"/>
            </w:tcBorders>
            <w:noWrap/>
            <w:vAlign w:val="center"/>
          </w:tcPr>
          <w:p w14:paraId="2CA4C108" w14:textId="77777777"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Conversão</w:t>
            </w:r>
          </w:p>
          <w:p w14:paraId="035E6672" w14:textId="478E0EC5"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w:t>
            </w:r>
          </w:p>
        </w:tc>
        <w:tc>
          <w:tcPr>
            <w:tcW w:w="4026" w:type="dxa"/>
            <w:gridSpan w:val="7"/>
            <w:tcBorders>
              <w:top w:val="single" w:sz="4" w:space="0" w:color="auto"/>
              <w:bottom w:val="single" w:sz="4" w:space="0" w:color="auto"/>
            </w:tcBorders>
            <w:noWrap/>
            <w:vAlign w:val="center"/>
          </w:tcPr>
          <w:p w14:paraId="2DC9671C" w14:textId="0A20A772" w:rsidR="00363ADB" w:rsidRPr="00455EA9" w:rsidRDefault="00363ADB" w:rsidP="0072251E">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Seletividade (%)</w:t>
            </w:r>
          </w:p>
        </w:tc>
      </w:tr>
      <w:tr w:rsidR="00363ADB" w:rsidRPr="00455EA9" w14:paraId="01DC748F" w14:textId="77777777" w:rsidTr="00363ADB">
        <w:trPr>
          <w:trHeight w:val="340"/>
          <w:jc w:val="center"/>
        </w:trPr>
        <w:tc>
          <w:tcPr>
            <w:tcW w:w="850" w:type="dxa"/>
            <w:vMerge/>
            <w:tcBorders>
              <w:bottom w:val="single" w:sz="4" w:space="0" w:color="auto"/>
            </w:tcBorders>
            <w:noWrap/>
            <w:vAlign w:val="center"/>
            <w:hideMark/>
          </w:tcPr>
          <w:p w14:paraId="66A5548F" w14:textId="1D7E6F09" w:rsidR="00363ADB" w:rsidRPr="00455EA9" w:rsidRDefault="00363ADB" w:rsidP="0072251E">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6545B924" w14:textId="6A990B96" w:rsidR="00363ADB" w:rsidRPr="00455EA9" w:rsidRDefault="00363ADB" w:rsidP="0072251E">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2C9C75EC" w14:textId="2C72D52D" w:rsidR="00363ADB" w:rsidRPr="00455EA9" w:rsidRDefault="00363ADB" w:rsidP="0072251E">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73F36025" w14:textId="24746293" w:rsidR="00363ADB" w:rsidRPr="00455EA9" w:rsidRDefault="00363ADB" w:rsidP="0072251E">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09FEA4BE" w14:textId="5B85977A" w:rsidR="00363ADB" w:rsidRPr="00455EA9" w:rsidRDefault="00363ADB" w:rsidP="0072251E">
            <w:pPr>
              <w:spacing w:line="276" w:lineRule="auto"/>
              <w:jc w:val="center"/>
              <w:rPr>
                <w:rFonts w:ascii="Times New Roman" w:hAnsi="Times New Roman" w:cs="Times New Roman"/>
                <w:b/>
                <w:bCs/>
                <w:sz w:val="20"/>
                <w:szCs w:val="20"/>
              </w:rPr>
            </w:pPr>
          </w:p>
        </w:tc>
        <w:tc>
          <w:tcPr>
            <w:tcW w:w="1417" w:type="dxa"/>
            <w:vMerge/>
            <w:tcBorders>
              <w:bottom w:val="single" w:sz="4" w:space="0" w:color="auto"/>
            </w:tcBorders>
            <w:noWrap/>
            <w:vAlign w:val="center"/>
            <w:hideMark/>
          </w:tcPr>
          <w:p w14:paraId="4AF0110A" w14:textId="13E75496" w:rsidR="00363ADB" w:rsidRPr="00455EA9" w:rsidRDefault="00363ADB" w:rsidP="0072251E">
            <w:pPr>
              <w:spacing w:line="276" w:lineRule="auto"/>
              <w:jc w:val="center"/>
              <w:rPr>
                <w:rFonts w:ascii="Times New Roman" w:hAnsi="Times New Roman" w:cs="Times New Roman"/>
                <w:b/>
                <w:bCs/>
                <w:sz w:val="20"/>
                <w:szCs w:val="20"/>
              </w:rPr>
            </w:pPr>
          </w:p>
        </w:tc>
        <w:tc>
          <w:tcPr>
            <w:tcW w:w="567" w:type="dxa"/>
            <w:tcBorders>
              <w:top w:val="single" w:sz="4" w:space="0" w:color="auto"/>
              <w:bottom w:val="single" w:sz="4" w:space="0" w:color="auto"/>
            </w:tcBorders>
            <w:noWrap/>
            <w:vAlign w:val="center"/>
            <w:hideMark/>
          </w:tcPr>
          <w:p w14:paraId="54FFA5D3" w14:textId="062EFF91"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IL</w:t>
            </w:r>
            <w:r w:rsidRPr="00455EA9">
              <w:rPr>
                <w:rFonts w:ascii="Times New Roman" w:hAnsi="Times New Roman" w:cs="Times New Roman"/>
                <w:b/>
                <w:bCs/>
                <w:sz w:val="20"/>
                <w:szCs w:val="20"/>
                <w:vertAlign w:val="superscript"/>
              </w:rPr>
              <w:t>b</w:t>
            </w:r>
          </w:p>
        </w:tc>
        <w:tc>
          <w:tcPr>
            <w:tcW w:w="567" w:type="dxa"/>
            <w:tcBorders>
              <w:top w:val="single" w:sz="4" w:space="0" w:color="auto"/>
              <w:bottom w:val="single" w:sz="4" w:space="0" w:color="auto"/>
            </w:tcBorders>
            <w:noWrap/>
            <w:vAlign w:val="center"/>
            <w:hideMark/>
          </w:tcPr>
          <w:p w14:paraId="28059F6E" w14:textId="2F9FF863"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3a</w:t>
            </w:r>
          </w:p>
        </w:tc>
        <w:tc>
          <w:tcPr>
            <w:tcW w:w="567" w:type="dxa"/>
            <w:tcBorders>
              <w:top w:val="single" w:sz="4" w:space="0" w:color="auto"/>
              <w:bottom w:val="single" w:sz="4" w:space="0" w:color="auto"/>
            </w:tcBorders>
            <w:noWrap/>
            <w:vAlign w:val="center"/>
            <w:hideMark/>
          </w:tcPr>
          <w:p w14:paraId="0207D01E" w14:textId="17A2480C"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3b</w:t>
            </w:r>
          </w:p>
        </w:tc>
        <w:tc>
          <w:tcPr>
            <w:tcW w:w="567" w:type="dxa"/>
            <w:tcBorders>
              <w:top w:val="single" w:sz="4" w:space="0" w:color="auto"/>
              <w:bottom w:val="single" w:sz="4" w:space="0" w:color="auto"/>
            </w:tcBorders>
            <w:noWrap/>
            <w:vAlign w:val="center"/>
            <w:hideMark/>
          </w:tcPr>
          <w:p w14:paraId="0822C974" w14:textId="15754975"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3c</w:t>
            </w:r>
          </w:p>
        </w:tc>
        <w:tc>
          <w:tcPr>
            <w:tcW w:w="567" w:type="dxa"/>
            <w:tcBorders>
              <w:top w:val="single" w:sz="4" w:space="0" w:color="auto"/>
              <w:bottom w:val="single" w:sz="4" w:space="0" w:color="auto"/>
            </w:tcBorders>
            <w:noWrap/>
            <w:vAlign w:val="center"/>
            <w:hideMark/>
          </w:tcPr>
          <w:p w14:paraId="74801C1B" w14:textId="1191E980"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3d</w:t>
            </w:r>
          </w:p>
        </w:tc>
        <w:tc>
          <w:tcPr>
            <w:tcW w:w="567" w:type="dxa"/>
            <w:tcBorders>
              <w:top w:val="single" w:sz="4" w:space="0" w:color="auto"/>
              <w:bottom w:val="single" w:sz="4" w:space="0" w:color="auto"/>
            </w:tcBorders>
            <w:noWrap/>
            <w:vAlign w:val="center"/>
            <w:hideMark/>
          </w:tcPr>
          <w:p w14:paraId="672F14F2" w14:textId="41D91B1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3e</w:t>
            </w:r>
          </w:p>
        </w:tc>
        <w:tc>
          <w:tcPr>
            <w:tcW w:w="624" w:type="dxa"/>
            <w:tcBorders>
              <w:top w:val="single" w:sz="4" w:space="0" w:color="auto"/>
              <w:bottom w:val="single" w:sz="4" w:space="0" w:color="auto"/>
            </w:tcBorders>
            <w:noWrap/>
            <w:vAlign w:val="center"/>
            <w:hideMark/>
          </w:tcPr>
          <w:p w14:paraId="787CF59C" w14:textId="1D1E0113"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DA</w:t>
            </w:r>
            <w:r w:rsidRPr="00455EA9">
              <w:rPr>
                <w:rFonts w:ascii="Times New Roman" w:hAnsi="Times New Roman" w:cs="Times New Roman"/>
                <w:b/>
                <w:bCs/>
                <w:sz w:val="20"/>
                <w:szCs w:val="20"/>
                <w:vertAlign w:val="superscript"/>
              </w:rPr>
              <w:t>c</w:t>
            </w:r>
          </w:p>
        </w:tc>
      </w:tr>
      <w:tr w:rsidR="00363ADB" w:rsidRPr="00455EA9" w14:paraId="567C31DA" w14:textId="77777777" w:rsidTr="00363ADB">
        <w:trPr>
          <w:trHeight w:val="283"/>
          <w:jc w:val="center"/>
        </w:trPr>
        <w:tc>
          <w:tcPr>
            <w:tcW w:w="850" w:type="dxa"/>
            <w:vMerge w:val="restart"/>
            <w:tcBorders>
              <w:top w:val="single" w:sz="4" w:space="0" w:color="auto"/>
            </w:tcBorders>
            <w:noWrap/>
          </w:tcPr>
          <w:p w14:paraId="4BF8EEB4" w14:textId="4A7A62F5"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850" w:type="dxa"/>
            <w:vMerge w:val="restart"/>
            <w:tcBorders>
              <w:top w:val="single" w:sz="4" w:space="0" w:color="auto"/>
            </w:tcBorders>
            <w:noWrap/>
          </w:tcPr>
          <w:p w14:paraId="27EA3B5D" w14:textId="4F24A68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850" w:type="dxa"/>
            <w:vMerge w:val="restart"/>
            <w:tcBorders>
              <w:top w:val="single" w:sz="4" w:space="0" w:color="auto"/>
            </w:tcBorders>
            <w:noWrap/>
          </w:tcPr>
          <w:p w14:paraId="5FF42C8F"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850" w:type="dxa"/>
            <w:vMerge w:val="restart"/>
            <w:tcBorders>
              <w:top w:val="single" w:sz="4" w:space="0" w:color="auto"/>
            </w:tcBorders>
            <w:noWrap/>
          </w:tcPr>
          <w:p w14:paraId="355E589F"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tcBorders>
              <w:top w:val="single" w:sz="4" w:space="0" w:color="auto"/>
            </w:tcBorders>
            <w:noWrap/>
            <w:vAlign w:val="center"/>
          </w:tcPr>
          <w:p w14:paraId="7F7A8A1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tcBorders>
              <w:top w:val="single" w:sz="4" w:space="0" w:color="auto"/>
            </w:tcBorders>
            <w:noWrap/>
            <w:vAlign w:val="center"/>
          </w:tcPr>
          <w:p w14:paraId="1B10E615"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19</w:t>
            </w:r>
          </w:p>
        </w:tc>
        <w:tc>
          <w:tcPr>
            <w:tcW w:w="567" w:type="dxa"/>
            <w:tcBorders>
              <w:top w:val="single" w:sz="4" w:space="0" w:color="auto"/>
            </w:tcBorders>
            <w:noWrap/>
            <w:vAlign w:val="center"/>
          </w:tcPr>
          <w:p w14:paraId="725776F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13</w:t>
            </w:r>
          </w:p>
        </w:tc>
        <w:tc>
          <w:tcPr>
            <w:tcW w:w="567" w:type="dxa"/>
            <w:tcBorders>
              <w:top w:val="single" w:sz="4" w:space="0" w:color="auto"/>
            </w:tcBorders>
            <w:noWrap/>
            <w:vAlign w:val="center"/>
          </w:tcPr>
          <w:p w14:paraId="207CAD11"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35</w:t>
            </w:r>
          </w:p>
        </w:tc>
        <w:tc>
          <w:tcPr>
            <w:tcW w:w="567" w:type="dxa"/>
            <w:tcBorders>
              <w:top w:val="single" w:sz="4" w:space="0" w:color="auto"/>
            </w:tcBorders>
            <w:noWrap/>
            <w:vAlign w:val="center"/>
          </w:tcPr>
          <w:p w14:paraId="6A08210B"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67" w:type="dxa"/>
            <w:tcBorders>
              <w:top w:val="single" w:sz="4" w:space="0" w:color="auto"/>
            </w:tcBorders>
            <w:noWrap/>
            <w:vAlign w:val="center"/>
          </w:tcPr>
          <w:p w14:paraId="54E881DB"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39</w:t>
            </w:r>
          </w:p>
        </w:tc>
        <w:tc>
          <w:tcPr>
            <w:tcW w:w="567" w:type="dxa"/>
            <w:tcBorders>
              <w:top w:val="single" w:sz="4" w:space="0" w:color="auto"/>
            </w:tcBorders>
            <w:noWrap/>
            <w:vAlign w:val="center"/>
          </w:tcPr>
          <w:p w14:paraId="76CA86B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9</w:t>
            </w:r>
          </w:p>
        </w:tc>
        <w:tc>
          <w:tcPr>
            <w:tcW w:w="567" w:type="dxa"/>
            <w:tcBorders>
              <w:top w:val="single" w:sz="4" w:space="0" w:color="auto"/>
            </w:tcBorders>
            <w:noWrap/>
            <w:vAlign w:val="center"/>
          </w:tcPr>
          <w:p w14:paraId="52A0459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tcBorders>
              <w:top w:val="single" w:sz="4" w:space="0" w:color="auto"/>
            </w:tcBorders>
            <w:noWrap/>
            <w:vAlign w:val="center"/>
          </w:tcPr>
          <w:p w14:paraId="6999D95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32C8B89B" w14:textId="77777777" w:rsidTr="00363ADB">
        <w:trPr>
          <w:trHeight w:val="283"/>
          <w:jc w:val="center"/>
        </w:trPr>
        <w:tc>
          <w:tcPr>
            <w:tcW w:w="850" w:type="dxa"/>
            <w:vMerge/>
            <w:noWrap/>
          </w:tcPr>
          <w:p w14:paraId="30A7439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1BD813D4"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B7D730C"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26B374B1"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4D90824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3BE24DF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55</w:t>
            </w:r>
          </w:p>
        </w:tc>
        <w:tc>
          <w:tcPr>
            <w:tcW w:w="567" w:type="dxa"/>
            <w:noWrap/>
            <w:vAlign w:val="center"/>
          </w:tcPr>
          <w:p w14:paraId="73D689D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13</w:t>
            </w:r>
          </w:p>
        </w:tc>
        <w:tc>
          <w:tcPr>
            <w:tcW w:w="567" w:type="dxa"/>
            <w:noWrap/>
            <w:vAlign w:val="center"/>
          </w:tcPr>
          <w:p w14:paraId="08741B3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32</w:t>
            </w:r>
          </w:p>
        </w:tc>
        <w:tc>
          <w:tcPr>
            <w:tcW w:w="567" w:type="dxa"/>
            <w:noWrap/>
            <w:vAlign w:val="center"/>
          </w:tcPr>
          <w:p w14:paraId="6945A3F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67" w:type="dxa"/>
            <w:noWrap/>
            <w:vAlign w:val="center"/>
          </w:tcPr>
          <w:p w14:paraId="2FAF118B"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31</w:t>
            </w:r>
          </w:p>
        </w:tc>
        <w:tc>
          <w:tcPr>
            <w:tcW w:w="567" w:type="dxa"/>
            <w:noWrap/>
            <w:vAlign w:val="center"/>
          </w:tcPr>
          <w:p w14:paraId="6A40D5C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67" w:type="dxa"/>
            <w:noWrap/>
            <w:vAlign w:val="center"/>
          </w:tcPr>
          <w:p w14:paraId="54568D7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177EA57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r>
      <w:tr w:rsidR="00363ADB" w:rsidRPr="00455EA9" w14:paraId="27C5BE5A" w14:textId="77777777" w:rsidTr="00363ADB">
        <w:trPr>
          <w:trHeight w:val="283"/>
          <w:jc w:val="center"/>
        </w:trPr>
        <w:tc>
          <w:tcPr>
            <w:tcW w:w="850" w:type="dxa"/>
            <w:vMerge w:val="restart"/>
            <w:noWrap/>
          </w:tcPr>
          <w:p w14:paraId="260FA816" w14:textId="48532569"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c>
          <w:tcPr>
            <w:tcW w:w="850" w:type="dxa"/>
            <w:vMerge w:val="restart"/>
            <w:noWrap/>
          </w:tcPr>
          <w:p w14:paraId="41B0230B" w14:textId="780F0FC9"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850" w:type="dxa"/>
            <w:vMerge w:val="restart"/>
            <w:noWrap/>
          </w:tcPr>
          <w:p w14:paraId="1D3D28AD"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4E4E39DB"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2A0E6B9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0641477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26</w:t>
            </w:r>
          </w:p>
        </w:tc>
        <w:tc>
          <w:tcPr>
            <w:tcW w:w="567" w:type="dxa"/>
            <w:noWrap/>
            <w:vAlign w:val="center"/>
          </w:tcPr>
          <w:p w14:paraId="115F2CA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67" w:type="dxa"/>
            <w:noWrap/>
            <w:vAlign w:val="center"/>
          </w:tcPr>
          <w:p w14:paraId="0B417BC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32</w:t>
            </w:r>
          </w:p>
        </w:tc>
        <w:tc>
          <w:tcPr>
            <w:tcW w:w="567" w:type="dxa"/>
            <w:noWrap/>
            <w:vAlign w:val="center"/>
          </w:tcPr>
          <w:p w14:paraId="6A3765F3"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67" w:type="dxa"/>
            <w:noWrap/>
            <w:vAlign w:val="center"/>
          </w:tcPr>
          <w:p w14:paraId="6A4F0C7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39</w:t>
            </w:r>
          </w:p>
        </w:tc>
        <w:tc>
          <w:tcPr>
            <w:tcW w:w="567" w:type="dxa"/>
            <w:noWrap/>
            <w:vAlign w:val="center"/>
          </w:tcPr>
          <w:p w14:paraId="759F293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c>
          <w:tcPr>
            <w:tcW w:w="567" w:type="dxa"/>
            <w:noWrap/>
            <w:vAlign w:val="center"/>
          </w:tcPr>
          <w:p w14:paraId="75FD355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0DF33487"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r>
      <w:tr w:rsidR="00363ADB" w:rsidRPr="00455EA9" w14:paraId="5C52EB51" w14:textId="77777777" w:rsidTr="00363ADB">
        <w:trPr>
          <w:trHeight w:val="283"/>
          <w:jc w:val="center"/>
        </w:trPr>
        <w:tc>
          <w:tcPr>
            <w:tcW w:w="850" w:type="dxa"/>
            <w:vMerge/>
            <w:noWrap/>
          </w:tcPr>
          <w:p w14:paraId="74B6617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13C55A7D"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152D1B7E"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E847F7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3C1A2DF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5362A98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81</w:t>
            </w:r>
          </w:p>
        </w:tc>
        <w:tc>
          <w:tcPr>
            <w:tcW w:w="567" w:type="dxa"/>
            <w:noWrap/>
            <w:vAlign w:val="center"/>
          </w:tcPr>
          <w:p w14:paraId="0B0DCA5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567" w:type="dxa"/>
            <w:noWrap/>
            <w:vAlign w:val="center"/>
          </w:tcPr>
          <w:p w14:paraId="2B17B3C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33</w:t>
            </w:r>
          </w:p>
        </w:tc>
        <w:tc>
          <w:tcPr>
            <w:tcW w:w="567" w:type="dxa"/>
            <w:noWrap/>
            <w:vAlign w:val="center"/>
          </w:tcPr>
          <w:p w14:paraId="4758F37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tcPr>
          <w:p w14:paraId="3A8221E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28</w:t>
            </w:r>
          </w:p>
        </w:tc>
        <w:tc>
          <w:tcPr>
            <w:tcW w:w="567" w:type="dxa"/>
            <w:noWrap/>
            <w:vAlign w:val="center"/>
          </w:tcPr>
          <w:p w14:paraId="2D5C9CA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67" w:type="dxa"/>
            <w:noWrap/>
            <w:vAlign w:val="center"/>
          </w:tcPr>
          <w:p w14:paraId="54F26971"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624" w:type="dxa"/>
            <w:noWrap/>
            <w:vAlign w:val="center"/>
          </w:tcPr>
          <w:p w14:paraId="72C3E56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13</w:t>
            </w:r>
          </w:p>
        </w:tc>
      </w:tr>
      <w:tr w:rsidR="00363ADB" w:rsidRPr="00455EA9" w14:paraId="6CEDD104" w14:textId="77777777" w:rsidTr="00363ADB">
        <w:trPr>
          <w:trHeight w:val="283"/>
          <w:jc w:val="center"/>
        </w:trPr>
        <w:tc>
          <w:tcPr>
            <w:tcW w:w="850" w:type="dxa"/>
            <w:vMerge w:val="restart"/>
            <w:noWrap/>
          </w:tcPr>
          <w:p w14:paraId="36C79B09" w14:textId="7943239B"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w:t>
            </w:r>
          </w:p>
        </w:tc>
        <w:tc>
          <w:tcPr>
            <w:tcW w:w="850" w:type="dxa"/>
            <w:vMerge w:val="restart"/>
            <w:noWrap/>
          </w:tcPr>
          <w:p w14:paraId="229368EF" w14:textId="74DD8D33"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850" w:type="dxa"/>
            <w:vMerge w:val="restart"/>
            <w:noWrap/>
          </w:tcPr>
          <w:p w14:paraId="0C2D694D"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850" w:type="dxa"/>
            <w:vMerge w:val="restart"/>
            <w:noWrap/>
          </w:tcPr>
          <w:p w14:paraId="452D6598"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799F620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72801F9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64</w:t>
            </w:r>
          </w:p>
        </w:tc>
        <w:tc>
          <w:tcPr>
            <w:tcW w:w="567" w:type="dxa"/>
            <w:noWrap/>
            <w:vAlign w:val="center"/>
          </w:tcPr>
          <w:p w14:paraId="3848287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67" w:type="dxa"/>
            <w:noWrap/>
            <w:vAlign w:val="center"/>
          </w:tcPr>
          <w:p w14:paraId="43442907"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33</w:t>
            </w:r>
          </w:p>
        </w:tc>
        <w:tc>
          <w:tcPr>
            <w:tcW w:w="567" w:type="dxa"/>
            <w:noWrap/>
            <w:vAlign w:val="center"/>
          </w:tcPr>
          <w:p w14:paraId="28E6D14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tcPr>
          <w:p w14:paraId="39F8560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26</w:t>
            </w:r>
          </w:p>
        </w:tc>
        <w:tc>
          <w:tcPr>
            <w:tcW w:w="567" w:type="dxa"/>
            <w:noWrap/>
            <w:vAlign w:val="center"/>
          </w:tcPr>
          <w:p w14:paraId="070A442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c>
          <w:tcPr>
            <w:tcW w:w="567" w:type="dxa"/>
            <w:noWrap/>
            <w:vAlign w:val="center"/>
          </w:tcPr>
          <w:p w14:paraId="2FE6848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39773DDB"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r>
      <w:tr w:rsidR="00363ADB" w:rsidRPr="00455EA9" w14:paraId="172C1677" w14:textId="77777777" w:rsidTr="00363ADB">
        <w:trPr>
          <w:trHeight w:val="283"/>
          <w:jc w:val="center"/>
        </w:trPr>
        <w:tc>
          <w:tcPr>
            <w:tcW w:w="850" w:type="dxa"/>
            <w:vMerge/>
            <w:noWrap/>
          </w:tcPr>
          <w:p w14:paraId="65AA3B13"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EA9451B"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ECD0AA7"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2B1E8D73"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4E25340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044962F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92</w:t>
            </w:r>
          </w:p>
        </w:tc>
        <w:tc>
          <w:tcPr>
            <w:tcW w:w="567" w:type="dxa"/>
            <w:noWrap/>
            <w:vAlign w:val="center"/>
          </w:tcPr>
          <w:p w14:paraId="0E6715B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24</w:t>
            </w:r>
          </w:p>
        </w:tc>
        <w:tc>
          <w:tcPr>
            <w:tcW w:w="567" w:type="dxa"/>
            <w:noWrap/>
            <w:vAlign w:val="center"/>
          </w:tcPr>
          <w:p w14:paraId="23B9FCB5"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35</w:t>
            </w:r>
          </w:p>
        </w:tc>
        <w:tc>
          <w:tcPr>
            <w:tcW w:w="567" w:type="dxa"/>
            <w:noWrap/>
            <w:vAlign w:val="center"/>
          </w:tcPr>
          <w:p w14:paraId="312067B3"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567" w:type="dxa"/>
            <w:noWrap/>
            <w:vAlign w:val="center"/>
          </w:tcPr>
          <w:p w14:paraId="4336FD7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tcPr>
          <w:p w14:paraId="2FA79ED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tcPr>
          <w:p w14:paraId="4C8596A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c>
          <w:tcPr>
            <w:tcW w:w="624" w:type="dxa"/>
            <w:noWrap/>
            <w:vAlign w:val="center"/>
          </w:tcPr>
          <w:p w14:paraId="3BF1DB9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r>
      <w:tr w:rsidR="00363ADB" w:rsidRPr="00455EA9" w14:paraId="55C064CD" w14:textId="77777777" w:rsidTr="00363ADB">
        <w:trPr>
          <w:trHeight w:val="283"/>
          <w:jc w:val="center"/>
        </w:trPr>
        <w:tc>
          <w:tcPr>
            <w:tcW w:w="850" w:type="dxa"/>
            <w:vMerge w:val="restart"/>
            <w:noWrap/>
          </w:tcPr>
          <w:p w14:paraId="2544DFB0" w14:textId="377C4E10"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850" w:type="dxa"/>
            <w:vMerge w:val="restart"/>
            <w:noWrap/>
          </w:tcPr>
          <w:p w14:paraId="5E461E34" w14:textId="727ECF0A"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850" w:type="dxa"/>
            <w:vMerge w:val="restart"/>
            <w:noWrap/>
          </w:tcPr>
          <w:p w14:paraId="4301A4BB"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31196CBB"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40</w:t>
            </w:r>
          </w:p>
        </w:tc>
        <w:tc>
          <w:tcPr>
            <w:tcW w:w="850" w:type="dxa"/>
            <w:noWrap/>
            <w:vAlign w:val="center"/>
          </w:tcPr>
          <w:p w14:paraId="376D10C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6E28BF9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37</w:t>
            </w:r>
          </w:p>
        </w:tc>
        <w:tc>
          <w:tcPr>
            <w:tcW w:w="567" w:type="dxa"/>
            <w:noWrap/>
            <w:vAlign w:val="center"/>
          </w:tcPr>
          <w:p w14:paraId="2C4BBB6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67" w:type="dxa"/>
            <w:noWrap/>
            <w:vAlign w:val="center"/>
          </w:tcPr>
          <w:p w14:paraId="706168C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35</w:t>
            </w:r>
          </w:p>
        </w:tc>
        <w:tc>
          <w:tcPr>
            <w:tcW w:w="567" w:type="dxa"/>
            <w:noWrap/>
            <w:vAlign w:val="center"/>
          </w:tcPr>
          <w:p w14:paraId="63FEB9D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tcPr>
          <w:p w14:paraId="3E2C7BF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30</w:t>
            </w:r>
          </w:p>
        </w:tc>
        <w:tc>
          <w:tcPr>
            <w:tcW w:w="567" w:type="dxa"/>
            <w:noWrap/>
            <w:vAlign w:val="center"/>
          </w:tcPr>
          <w:p w14:paraId="4B9DA80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tcPr>
          <w:p w14:paraId="7A43C57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14FB7DE3"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r>
      <w:tr w:rsidR="00363ADB" w:rsidRPr="00455EA9" w14:paraId="102FD3B9" w14:textId="77777777" w:rsidTr="00363ADB">
        <w:trPr>
          <w:trHeight w:val="283"/>
          <w:jc w:val="center"/>
        </w:trPr>
        <w:tc>
          <w:tcPr>
            <w:tcW w:w="850" w:type="dxa"/>
            <w:vMerge/>
            <w:noWrap/>
          </w:tcPr>
          <w:p w14:paraId="6CDF45B5"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C821E60"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36D418D3"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01C9293A"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1D3F4FF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20EC866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73</w:t>
            </w:r>
          </w:p>
        </w:tc>
        <w:tc>
          <w:tcPr>
            <w:tcW w:w="567" w:type="dxa"/>
            <w:noWrap/>
            <w:vAlign w:val="center"/>
          </w:tcPr>
          <w:p w14:paraId="2CED516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67" w:type="dxa"/>
            <w:noWrap/>
            <w:vAlign w:val="center"/>
          </w:tcPr>
          <w:p w14:paraId="2758751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37</w:t>
            </w:r>
          </w:p>
        </w:tc>
        <w:tc>
          <w:tcPr>
            <w:tcW w:w="567" w:type="dxa"/>
            <w:noWrap/>
            <w:vAlign w:val="center"/>
          </w:tcPr>
          <w:p w14:paraId="0790042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tcPr>
          <w:p w14:paraId="3AFC83D1"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22</w:t>
            </w:r>
          </w:p>
        </w:tc>
        <w:tc>
          <w:tcPr>
            <w:tcW w:w="567" w:type="dxa"/>
            <w:noWrap/>
            <w:vAlign w:val="center"/>
          </w:tcPr>
          <w:p w14:paraId="0459CA7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tcPr>
          <w:p w14:paraId="03B9BD8F"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624" w:type="dxa"/>
            <w:noWrap/>
            <w:vAlign w:val="center"/>
          </w:tcPr>
          <w:p w14:paraId="07A9C78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9</w:t>
            </w:r>
          </w:p>
        </w:tc>
      </w:tr>
      <w:tr w:rsidR="00363ADB" w:rsidRPr="00455EA9" w14:paraId="4A3DD462" w14:textId="77777777" w:rsidTr="00363ADB">
        <w:trPr>
          <w:trHeight w:val="283"/>
          <w:jc w:val="center"/>
        </w:trPr>
        <w:tc>
          <w:tcPr>
            <w:tcW w:w="850" w:type="dxa"/>
            <w:vMerge w:val="restart"/>
            <w:noWrap/>
          </w:tcPr>
          <w:p w14:paraId="6C039D4B" w14:textId="3CC8875D"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850" w:type="dxa"/>
            <w:vMerge w:val="restart"/>
            <w:noWrap/>
          </w:tcPr>
          <w:p w14:paraId="61B63690" w14:textId="05D9BA08"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850" w:type="dxa"/>
            <w:vMerge w:val="restart"/>
            <w:noWrap/>
          </w:tcPr>
          <w:p w14:paraId="265816F1"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1C74F338"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80</w:t>
            </w:r>
          </w:p>
        </w:tc>
        <w:tc>
          <w:tcPr>
            <w:tcW w:w="850" w:type="dxa"/>
            <w:noWrap/>
            <w:vAlign w:val="center"/>
          </w:tcPr>
          <w:p w14:paraId="4DA372C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12760D9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29</w:t>
            </w:r>
          </w:p>
        </w:tc>
        <w:tc>
          <w:tcPr>
            <w:tcW w:w="567" w:type="dxa"/>
            <w:noWrap/>
            <w:vAlign w:val="center"/>
          </w:tcPr>
          <w:p w14:paraId="55F310AC"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c>
          <w:tcPr>
            <w:tcW w:w="567" w:type="dxa"/>
            <w:noWrap/>
            <w:vAlign w:val="center"/>
          </w:tcPr>
          <w:p w14:paraId="68D37BA3"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41</w:t>
            </w:r>
          </w:p>
        </w:tc>
        <w:tc>
          <w:tcPr>
            <w:tcW w:w="567" w:type="dxa"/>
            <w:noWrap/>
            <w:vAlign w:val="center"/>
          </w:tcPr>
          <w:p w14:paraId="143AFE4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567" w:type="dxa"/>
            <w:noWrap/>
            <w:vAlign w:val="center"/>
          </w:tcPr>
          <w:p w14:paraId="363A7A8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30</w:t>
            </w:r>
          </w:p>
        </w:tc>
        <w:tc>
          <w:tcPr>
            <w:tcW w:w="567" w:type="dxa"/>
            <w:noWrap/>
            <w:vAlign w:val="center"/>
          </w:tcPr>
          <w:p w14:paraId="7C7B93D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567" w:type="dxa"/>
            <w:noWrap/>
            <w:vAlign w:val="center"/>
          </w:tcPr>
          <w:p w14:paraId="2BE3702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4F535CD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73EA47ED" w14:textId="77777777" w:rsidTr="00363ADB">
        <w:trPr>
          <w:trHeight w:val="283"/>
          <w:jc w:val="center"/>
        </w:trPr>
        <w:tc>
          <w:tcPr>
            <w:tcW w:w="850" w:type="dxa"/>
            <w:vMerge/>
            <w:noWrap/>
          </w:tcPr>
          <w:p w14:paraId="271F7A6B"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DA825DF"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36C1D565"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524676C"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20A06B02"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4535FE3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w:t>
            </w:r>
          </w:p>
        </w:tc>
        <w:tc>
          <w:tcPr>
            <w:tcW w:w="567" w:type="dxa"/>
            <w:noWrap/>
            <w:vAlign w:val="center"/>
          </w:tcPr>
          <w:p w14:paraId="4366AA0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19</w:t>
            </w:r>
          </w:p>
        </w:tc>
        <w:tc>
          <w:tcPr>
            <w:tcW w:w="567" w:type="dxa"/>
            <w:noWrap/>
            <w:vAlign w:val="center"/>
          </w:tcPr>
          <w:p w14:paraId="54956F7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40</w:t>
            </w:r>
          </w:p>
        </w:tc>
        <w:tc>
          <w:tcPr>
            <w:tcW w:w="567" w:type="dxa"/>
            <w:noWrap/>
            <w:vAlign w:val="center"/>
          </w:tcPr>
          <w:p w14:paraId="03E0EB91"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w:t>
            </w:r>
          </w:p>
        </w:tc>
        <w:tc>
          <w:tcPr>
            <w:tcW w:w="567" w:type="dxa"/>
            <w:noWrap/>
            <w:vAlign w:val="center"/>
          </w:tcPr>
          <w:p w14:paraId="66B9BEE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67" w:type="dxa"/>
            <w:noWrap/>
            <w:vAlign w:val="center"/>
          </w:tcPr>
          <w:p w14:paraId="7EDDFB6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w:t>
            </w:r>
          </w:p>
        </w:tc>
        <w:tc>
          <w:tcPr>
            <w:tcW w:w="567" w:type="dxa"/>
            <w:noWrap/>
            <w:vAlign w:val="center"/>
          </w:tcPr>
          <w:p w14:paraId="2502D445"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624" w:type="dxa"/>
            <w:noWrap/>
            <w:vAlign w:val="center"/>
          </w:tcPr>
          <w:p w14:paraId="78962EE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r>
      <w:tr w:rsidR="00363ADB" w:rsidRPr="00455EA9" w14:paraId="6FDA7DD0" w14:textId="77777777" w:rsidTr="00363ADB">
        <w:trPr>
          <w:trHeight w:val="283"/>
          <w:jc w:val="center"/>
        </w:trPr>
        <w:tc>
          <w:tcPr>
            <w:tcW w:w="850" w:type="dxa"/>
            <w:vMerge w:val="restart"/>
            <w:noWrap/>
          </w:tcPr>
          <w:p w14:paraId="1D885E85" w14:textId="6C262C0B"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w:t>
            </w:r>
          </w:p>
        </w:tc>
        <w:tc>
          <w:tcPr>
            <w:tcW w:w="850" w:type="dxa"/>
            <w:vMerge w:val="restart"/>
            <w:noWrap/>
          </w:tcPr>
          <w:p w14:paraId="139EC77F" w14:textId="0CC28114"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3,0</w:t>
            </w:r>
          </w:p>
        </w:tc>
        <w:tc>
          <w:tcPr>
            <w:tcW w:w="850" w:type="dxa"/>
            <w:vMerge w:val="restart"/>
            <w:noWrap/>
          </w:tcPr>
          <w:p w14:paraId="4D5808EF"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455BA2B3"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677D79C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53B4BAF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67" w:type="dxa"/>
            <w:noWrap/>
            <w:vAlign w:val="center"/>
          </w:tcPr>
          <w:p w14:paraId="5774F45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67" w:type="dxa"/>
            <w:noWrap/>
            <w:vAlign w:val="center"/>
          </w:tcPr>
          <w:p w14:paraId="3CCD7A74"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35</w:t>
            </w:r>
          </w:p>
        </w:tc>
        <w:tc>
          <w:tcPr>
            <w:tcW w:w="567" w:type="dxa"/>
            <w:noWrap/>
            <w:vAlign w:val="center"/>
          </w:tcPr>
          <w:p w14:paraId="31DF825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67" w:type="dxa"/>
            <w:noWrap/>
            <w:vAlign w:val="center"/>
          </w:tcPr>
          <w:p w14:paraId="66991BE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35</w:t>
            </w:r>
          </w:p>
        </w:tc>
        <w:tc>
          <w:tcPr>
            <w:tcW w:w="567" w:type="dxa"/>
            <w:noWrap/>
            <w:vAlign w:val="center"/>
          </w:tcPr>
          <w:p w14:paraId="1AD038E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67" w:type="dxa"/>
            <w:noWrap/>
            <w:vAlign w:val="center"/>
          </w:tcPr>
          <w:p w14:paraId="41238A13"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tcPr>
          <w:p w14:paraId="0B74CF6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6F40434C" w14:textId="77777777" w:rsidTr="00363ADB">
        <w:trPr>
          <w:trHeight w:val="283"/>
          <w:jc w:val="center"/>
        </w:trPr>
        <w:tc>
          <w:tcPr>
            <w:tcW w:w="850" w:type="dxa"/>
            <w:vMerge/>
            <w:noWrap/>
          </w:tcPr>
          <w:p w14:paraId="279AC52D"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78B194C"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2E568387"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4800A2E4"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5B75DE4B"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53DDB87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59</w:t>
            </w:r>
          </w:p>
        </w:tc>
        <w:tc>
          <w:tcPr>
            <w:tcW w:w="567" w:type="dxa"/>
            <w:noWrap/>
            <w:vAlign w:val="center"/>
          </w:tcPr>
          <w:p w14:paraId="7BF98EAE"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567" w:type="dxa"/>
            <w:noWrap/>
            <w:vAlign w:val="center"/>
          </w:tcPr>
          <w:p w14:paraId="2FE39BED"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36</w:t>
            </w:r>
          </w:p>
        </w:tc>
        <w:tc>
          <w:tcPr>
            <w:tcW w:w="567" w:type="dxa"/>
            <w:noWrap/>
            <w:vAlign w:val="center"/>
          </w:tcPr>
          <w:p w14:paraId="49E1B08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tcPr>
          <w:p w14:paraId="723E3EA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567" w:type="dxa"/>
            <w:noWrap/>
            <w:vAlign w:val="center"/>
          </w:tcPr>
          <w:p w14:paraId="58F6601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67" w:type="dxa"/>
            <w:noWrap/>
            <w:vAlign w:val="center"/>
          </w:tcPr>
          <w:p w14:paraId="7ED0261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c>
          <w:tcPr>
            <w:tcW w:w="624" w:type="dxa"/>
            <w:noWrap/>
            <w:vAlign w:val="center"/>
          </w:tcPr>
          <w:p w14:paraId="1252503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r>
      <w:tr w:rsidR="00363ADB" w:rsidRPr="00455EA9" w14:paraId="5168EFC4" w14:textId="77777777" w:rsidTr="00363ADB">
        <w:trPr>
          <w:trHeight w:val="283"/>
          <w:jc w:val="center"/>
        </w:trPr>
        <w:tc>
          <w:tcPr>
            <w:tcW w:w="850" w:type="dxa"/>
            <w:vMerge w:val="restart"/>
            <w:noWrap/>
            <w:hideMark/>
          </w:tcPr>
          <w:p w14:paraId="582A2061" w14:textId="07C7588E"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850" w:type="dxa"/>
            <w:vMerge w:val="restart"/>
            <w:noWrap/>
            <w:hideMark/>
          </w:tcPr>
          <w:p w14:paraId="6329107D" w14:textId="1CDE8A46"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12,0</w:t>
            </w:r>
          </w:p>
        </w:tc>
        <w:tc>
          <w:tcPr>
            <w:tcW w:w="850" w:type="dxa"/>
            <w:vMerge w:val="restart"/>
            <w:noWrap/>
            <w:hideMark/>
          </w:tcPr>
          <w:p w14:paraId="396A70CA"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hideMark/>
          </w:tcPr>
          <w:p w14:paraId="4375C601"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hideMark/>
          </w:tcPr>
          <w:p w14:paraId="1839FF4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hideMark/>
          </w:tcPr>
          <w:p w14:paraId="04037515"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37</w:t>
            </w:r>
          </w:p>
        </w:tc>
        <w:tc>
          <w:tcPr>
            <w:tcW w:w="567" w:type="dxa"/>
            <w:noWrap/>
            <w:vAlign w:val="center"/>
            <w:hideMark/>
          </w:tcPr>
          <w:p w14:paraId="13AF46C7"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hideMark/>
          </w:tcPr>
          <w:p w14:paraId="463AF0D9"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33</w:t>
            </w:r>
          </w:p>
        </w:tc>
        <w:tc>
          <w:tcPr>
            <w:tcW w:w="567" w:type="dxa"/>
            <w:noWrap/>
            <w:vAlign w:val="center"/>
            <w:hideMark/>
          </w:tcPr>
          <w:p w14:paraId="5E368348"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noWrap/>
            <w:vAlign w:val="center"/>
            <w:hideMark/>
          </w:tcPr>
          <w:p w14:paraId="6C5741D0"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31</w:t>
            </w:r>
          </w:p>
        </w:tc>
        <w:tc>
          <w:tcPr>
            <w:tcW w:w="567" w:type="dxa"/>
            <w:noWrap/>
            <w:vAlign w:val="center"/>
            <w:hideMark/>
          </w:tcPr>
          <w:p w14:paraId="6A84AE8A"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noWrap/>
            <w:vAlign w:val="center"/>
            <w:hideMark/>
          </w:tcPr>
          <w:p w14:paraId="7F28C636"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624" w:type="dxa"/>
            <w:noWrap/>
            <w:vAlign w:val="center"/>
            <w:hideMark/>
          </w:tcPr>
          <w:p w14:paraId="5A48FCE7" w14:textId="77777777" w:rsidR="00363ADB" w:rsidRPr="00255FB7" w:rsidRDefault="00363ADB" w:rsidP="0072251E">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r>
      <w:tr w:rsidR="00363ADB" w:rsidRPr="00455EA9" w14:paraId="66EE869B" w14:textId="77777777" w:rsidTr="00363ADB">
        <w:trPr>
          <w:trHeight w:val="283"/>
          <w:jc w:val="center"/>
        </w:trPr>
        <w:tc>
          <w:tcPr>
            <w:tcW w:w="850" w:type="dxa"/>
            <w:vMerge/>
            <w:tcBorders>
              <w:bottom w:val="single" w:sz="4" w:space="0" w:color="auto"/>
            </w:tcBorders>
            <w:noWrap/>
            <w:vAlign w:val="center"/>
            <w:hideMark/>
          </w:tcPr>
          <w:p w14:paraId="4B93CEF1" w14:textId="77777777" w:rsidR="00363ADB" w:rsidRPr="00455EA9" w:rsidRDefault="00363ADB" w:rsidP="0072251E">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0076CCB8" w14:textId="77777777" w:rsidR="00363ADB" w:rsidRPr="00455EA9" w:rsidRDefault="00363ADB" w:rsidP="0072251E">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68986829" w14:textId="77777777" w:rsidR="00363ADB" w:rsidRPr="00455EA9" w:rsidRDefault="00363ADB" w:rsidP="0072251E">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39E0EB60" w14:textId="77777777" w:rsidR="00363ADB" w:rsidRPr="00455EA9" w:rsidRDefault="00363ADB" w:rsidP="0072251E">
            <w:pPr>
              <w:spacing w:line="276" w:lineRule="auto"/>
              <w:jc w:val="center"/>
              <w:rPr>
                <w:rFonts w:ascii="Times New Roman" w:hAnsi="Times New Roman" w:cs="Times New Roman"/>
                <w:sz w:val="20"/>
                <w:szCs w:val="20"/>
              </w:rPr>
            </w:pPr>
          </w:p>
        </w:tc>
        <w:tc>
          <w:tcPr>
            <w:tcW w:w="850" w:type="dxa"/>
            <w:tcBorders>
              <w:bottom w:val="single" w:sz="4" w:space="0" w:color="auto"/>
            </w:tcBorders>
            <w:noWrap/>
            <w:vAlign w:val="center"/>
            <w:hideMark/>
          </w:tcPr>
          <w:p w14:paraId="04B29832"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1417" w:type="dxa"/>
            <w:tcBorders>
              <w:bottom w:val="single" w:sz="4" w:space="0" w:color="auto"/>
            </w:tcBorders>
            <w:noWrap/>
            <w:vAlign w:val="center"/>
            <w:hideMark/>
          </w:tcPr>
          <w:p w14:paraId="5285733B"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85</w:t>
            </w:r>
          </w:p>
        </w:tc>
        <w:tc>
          <w:tcPr>
            <w:tcW w:w="567" w:type="dxa"/>
            <w:tcBorders>
              <w:bottom w:val="single" w:sz="4" w:space="0" w:color="auto"/>
            </w:tcBorders>
            <w:noWrap/>
            <w:vAlign w:val="center"/>
            <w:hideMark/>
          </w:tcPr>
          <w:p w14:paraId="64A279B2"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14</w:t>
            </w:r>
          </w:p>
        </w:tc>
        <w:tc>
          <w:tcPr>
            <w:tcW w:w="567" w:type="dxa"/>
            <w:tcBorders>
              <w:bottom w:val="single" w:sz="4" w:space="0" w:color="auto"/>
            </w:tcBorders>
            <w:noWrap/>
            <w:vAlign w:val="center"/>
            <w:hideMark/>
          </w:tcPr>
          <w:p w14:paraId="482384A5"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32</w:t>
            </w:r>
          </w:p>
        </w:tc>
        <w:tc>
          <w:tcPr>
            <w:tcW w:w="567" w:type="dxa"/>
            <w:tcBorders>
              <w:bottom w:val="single" w:sz="4" w:space="0" w:color="auto"/>
            </w:tcBorders>
            <w:noWrap/>
            <w:vAlign w:val="center"/>
            <w:hideMark/>
          </w:tcPr>
          <w:p w14:paraId="15A485C3"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7</w:t>
            </w:r>
          </w:p>
        </w:tc>
        <w:tc>
          <w:tcPr>
            <w:tcW w:w="567" w:type="dxa"/>
            <w:tcBorders>
              <w:bottom w:val="single" w:sz="4" w:space="0" w:color="auto"/>
            </w:tcBorders>
            <w:noWrap/>
            <w:vAlign w:val="center"/>
            <w:hideMark/>
          </w:tcPr>
          <w:p w14:paraId="63AC38D1"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22</w:t>
            </w:r>
          </w:p>
        </w:tc>
        <w:tc>
          <w:tcPr>
            <w:tcW w:w="567" w:type="dxa"/>
            <w:tcBorders>
              <w:bottom w:val="single" w:sz="4" w:space="0" w:color="auto"/>
            </w:tcBorders>
            <w:noWrap/>
            <w:vAlign w:val="center"/>
            <w:hideMark/>
          </w:tcPr>
          <w:p w14:paraId="610CA5DB"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9</w:t>
            </w:r>
          </w:p>
        </w:tc>
        <w:tc>
          <w:tcPr>
            <w:tcW w:w="567" w:type="dxa"/>
            <w:tcBorders>
              <w:bottom w:val="single" w:sz="4" w:space="0" w:color="auto"/>
            </w:tcBorders>
            <w:noWrap/>
            <w:vAlign w:val="center"/>
            <w:hideMark/>
          </w:tcPr>
          <w:p w14:paraId="3D43AD08"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w:t>
            </w:r>
          </w:p>
        </w:tc>
        <w:tc>
          <w:tcPr>
            <w:tcW w:w="624" w:type="dxa"/>
            <w:tcBorders>
              <w:bottom w:val="single" w:sz="4" w:space="0" w:color="auto"/>
            </w:tcBorders>
            <w:noWrap/>
            <w:vAlign w:val="center"/>
            <w:hideMark/>
          </w:tcPr>
          <w:p w14:paraId="6851EA04" w14:textId="77777777" w:rsidR="00363ADB" w:rsidRPr="00455EA9" w:rsidRDefault="00363ADB" w:rsidP="0072251E">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15</w:t>
            </w:r>
          </w:p>
        </w:tc>
      </w:tr>
    </w:tbl>
    <w:p w14:paraId="47F847B4" w14:textId="6319651F" w:rsidR="0072251E" w:rsidRPr="004D4B3A" w:rsidRDefault="0072251E" w:rsidP="00363ADB">
      <w:pPr>
        <w:pStyle w:val="TAMainText"/>
        <w:ind w:left="426" w:right="423" w:firstLine="0"/>
        <w:rPr>
          <w:rFonts w:ascii="Times New Roman" w:hAnsi="Times New Roman"/>
          <w:sz w:val="18"/>
          <w:szCs w:val="18"/>
          <w:lang w:val="pt-BR"/>
        </w:rPr>
      </w:pPr>
      <w:r w:rsidRPr="004D4B3A">
        <w:rPr>
          <w:rFonts w:ascii="Times New Roman" w:hAnsi="Times New Roman"/>
          <w:sz w:val="18"/>
          <w:szCs w:val="18"/>
          <w:lang w:val="pt-BR"/>
        </w:rPr>
        <w:t xml:space="preserve">a: Condições reacionais: undecano (padrão interno) = 0,30 mmol; 1,4-cineol = </w:t>
      </w:r>
      <w:bookmarkStart w:id="2" w:name="_Hlk130902906"/>
      <w:r w:rsidRPr="004D4B3A">
        <w:rPr>
          <w:rFonts w:ascii="Times New Roman" w:hAnsi="Times New Roman"/>
          <w:sz w:val="18"/>
          <w:szCs w:val="18"/>
          <w:lang w:val="pt-BR"/>
        </w:rPr>
        <w:t>0,45 mmol</w:t>
      </w:r>
      <w:bookmarkEnd w:id="2"/>
      <w:r w:rsidRPr="004D4B3A">
        <w:rPr>
          <w:rFonts w:ascii="Times New Roman" w:hAnsi="Times New Roman"/>
          <w:sz w:val="18"/>
          <w:szCs w:val="18"/>
          <w:lang w:val="pt-BR"/>
        </w:rPr>
        <w:t xml:space="preserve">; volume reacional = 3,00 mL. Conversões e seletividades por CG. </w:t>
      </w:r>
      <w:r w:rsidR="00284E2C" w:rsidRPr="004D4B3A">
        <w:rPr>
          <w:rFonts w:ascii="Times New Roman" w:hAnsi="Times New Roman"/>
          <w:sz w:val="18"/>
          <w:szCs w:val="18"/>
          <w:lang w:val="pt-BR"/>
        </w:rPr>
        <w:t xml:space="preserve"> </w:t>
      </w:r>
      <w:r w:rsidRPr="004D4B3A">
        <w:rPr>
          <w:rFonts w:ascii="Times New Roman" w:hAnsi="Times New Roman"/>
          <w:sz w:val="18"/>
          <w:szCs w:val="18"/>
          <w:lang w:val="pt-BR"/>
        </w:rPr>
        <w:t>b: IL = isômeros do limoneno</w:t>
      </w:r>
      <w:r w:rsidR="00284E2C" w:rsidRPr="004D4B3A">
        <w:rPr>
          <w:rFonts w:ascii="Times New Roman" w:hAnsi="Times New Roman"/>
          <w:sz w:val="18"/>
          <w:szCs w:val="18"/>
          <w:lang w:val="pt-BR"/>
        </w:rPr>
        <w:t xml:space="preserve">. </w:t>
      </w:r>
      <w:r w:rsidRPr="004D4B3A">
        <w:rPr>
          <w:rFonts w:ascii="Times New Roman" w:hAnsi="Times New Roman"/>
          <w:sz w:val="18"/>
          <w:szCs w:val="18"/>
          <w:lang w:val="pt-BR"/>
        </w:rPr>
        <w:t xml:space="preserve">c: DA = diacetatos do </w:t>
      </w:r>
      <w:r w:rsidR="004A22D2">
        <w:rPr>
          <w:rFonts w:ascii="Times New Roman" w:hAnsi="Times New Roman"/>
          <w:sz w:val="18"/>
          <w:szCs w:val="18"/>
          <w:lang w:val="pt-BR"/>
        </w:rPr>
        <w:t>terpenila</w:t>
      </w:r>
      <w:r w:rsidR="00284E2C" w:rsidRPr="004D4B3A">
        <w:rPr>
          <w:rFonts w:ascii="Times New Roman" w:hAnsi="Times New Roman"/>
          <w:sz w:val="18"/>
          <w:szCs w:val="18"/>
          <w:lang w:val="pt-BR"/>
        </w:rPr>
        <w:t>.</w:t>
      </w:r>
    </w:p>
    <w:p w14:paraId="1AE3A221" w14:textId="18661AC4" w:rsidR="0072251E" w:rsidRPr="004D4B3A" w:rsidRDefault="0072251E" w:rsidP="0072251E">
      <w:pPr>
        <w:pStyle w:val="TAMainText"/>
        <w:ind w:firstLine="187"/>
        <w:rPr>
          <w:rFonts w:ascii="Times New Roman" w:hAnsi="Times New Roman"/>
          <w:lang w:val="pt-BR"/>
        </w:rPr>
      </w:pPr>
    </w:p>
    <w:p w14:paraId="77E1CF0B" w14:textId="77777777" w:rsidR="000327B5" w:rsidRPr="004D4B3A" w:rsidRDefault="000327B5" w:rsidP="000327B5">
      <w:pPr>
        <w:pStyle w:val="TAMainText"/>
        <w:ind w:firstLine="0"/>
        <w:rPr>
          <w:rFonts w:ascii="Times New Roman" w:hAnsi="Times New Roman"/>
          <w:lang w:val="pt-BR"/>
        </w:rPr>
        <w:sectPr w:rsidR="000327B5" w:rsidRPr="004D4B3A" w:rsidSect="00A84828">
          <w:type w:val="continuous"/>
          <w:pgSz w:w="11906" w:h="16838"/>
          <w:pgMar w:top="1134" w:right="851" w:bottom="851" w:left="851" w:header="709" w:footer="709" w:gutter="0"/>
          <w:cols w:space="708"/>
          <w:docGrid w:linePitch="360"/>
        </w:sectPr>
      </w:pPr>
    </w:p>
    <w:p w14:paraId="19AFDA84" w14:textId="537DB41C" w:rsidR="0072251E" w:rsidRPr="004D4B3A" w:rsidRDefault="0072251E" w:rsidP="0072251E">
      <w:pPr>
        <w:pStyle w:val="TAMainText"/>
        <w:ind w:firstLine="187"/>
        <w:rPr>
          <w:rFonts w:ascii="Times New Roman" w:hAnsi="Times New Roman"/>
          <w:lang w:val="pt-BR"/>
        </w:rPr>
      </w:pPr>
      <w:r w:rsidRPr="004D4B3A">
        <w:rPr>
          <w:rFonts w:ascii="Times New Roman" w:hAnsi="Times New Roman"/>
          <w:lang w:val="pt-BR"/>
        </w:rPr>
        <w:lastRenderedPageBreak/>
        <w:t xml:space="preserve">Os </w:t>
      </w:r>
      <w:r w:rsidR="0008766F">
        <w:rPr>
          <w:rFonts w:ascii="Times New Roman" w:hAnsi="Times New Roman"/>
          <w:lang w:val="pt-BR"/>
        </w:rPr>
        <w:t>dados da</w:t>
      </w:r>
      <w:r w:rsidRPr="004D4B3A">
        <w:rPr>
          <w:rFonts w:ascii="Times New Roman" w:hAnsi="Times New Roman"/>
          <w:lang w:val="pt-BR"/>
        </w:rPr>
        <w:t xml:space="preserve"> Tabela 1 mostram que a acetilação do 1,4-cineol tem como produtos principais o acetato de 1-</w:t>
      </w:r>
      <w:r w:rsidR="004A22D2">
        <w:rPr>
          <w:rFonts w:ascii="Times New Roman" w:hAnsi="Times New Roman"/>
          <w:lang w:val="pt-BR"/>
        </w:rPr>
        <w:t>terpenila</w:t>
      </w:r>
      <w:r w:rsidRPr="004D4B3A">
        <w:rPr>
          <w:rFonts w:ascii="Times New Roman" w:hAnsi="Times New Roman"/>
          <w:lang w:val="pt-BR"/>
        </w:rPr>
        <w:t xml:space="preserve"> (</w:t>
      </w:r>
      <w:r w:rsidR="004D4B3A" w:rsidRPr="00DF28F1">
        <w:rPr>
          <w:rFonts w:ascii="Times New Roman" w:hAnsi="Times New Roman"/>
          <w:b/>
          <w:lang w:val="pt-BR"/>
        </w:rPr>
        <w:t>3a</w:t>
      </w:r>
      <w:r w:rsidRPr="004D4B3A">
        <w:rPr>
          <w:rFonts w:ascii="Times New Roman" w:hAnsi="Times New Roman"/>
          <w:lang w:val="pt-BR"/>
        </w:rPr>
        <w:t>) e o acetato de 4-</w:t>
      </w:r>
      <w:r w:rsidR="004A22D2">
        <w:rPr>
          <w:rFonts w:ascii="Times New Roman" w:hAnsi="Times New Roman"/>
          <w:lang w:val="pt-BR"/>
        </w:rPr>
        <w:t>terpenila</w:t>
      </w:r>
      <w:r w:rsidRPr="004D4B3A">
        <w:rPr>
          <w:rFonts w:ascii="Times New Roman" w:hAnsi="Times New Roman"/>
          <w:lang w:val="pt-BR"/>
        </w:rPr>
        <w:t xml:space="preserve"> (</w:t>
      </w:r>
      <w:r w:rsidR="004D4B3A" w:rsidRPr="00DF28F1">
        <w:rPr>
          <w:rFonts w:ascii="Times New Roman" w:hAnsi="Times New Roman"/>
          <w:b/>
          <w:lang w:val="pt-BR"/>
        </w:rPr>
        <w:t>3c</w:t>
      </w:r>
      <w:r w:rsidRPr="004D4B3A">
        <w:rPr>
          <w:rFonts w:ascii="Times New Roman" w:hAnsi="Times New Roman"/>
          <w:lang w:val="pt-BR"/>
        </w:rPr>
        <w:t>). Ao considerar a influ</w:t>
      </w:r>
      <w:r w:rsidR="0007601E" w:rsidRPr="004D4B3A">
        <w:rPr>
          <w:rFonts w:ascii="Times New Roman" w:hAnsi="Times New Roman"/>
          <w:lang w:val="pt-BR"/>
        </w:rPr>
        <w:t>ê</w:t>
      </w:r>
      <w:r w:rsidRPr="004D4B3A">
        <w:rPr>
          <w:rFonts w:ascii="Times New Roman" w:hAnsi="Times New Roman"/>
          <w:lang w:val="pt-BR"/>
        </w:rPr>
        <w:t>ncia da quantidade de catalisador nas reações</w:t>
      </w:r>
      <w:r w:rsidR="0007601E" w:rsidRPr="004D4B3A">
        <w:rPr>
          <w:rFonts w:ascii="Times New Roman" w:hAnsi="Times New Roman"/>
          <w:lang w:val="pt-BR"/>
        </w:rPr>
        <w:t xml:space="preserve"> </w:t>
      </w:r>
      <w:r w:rsidRPr="004D4B3A">
        <w:rPr>
          <w:rFonts w:ascii="Times New Roman" w:hAnsi="Times New Roman"/>
          <w:lang w:val="pt-BR"/>
        </w:rPr>
        <w:t>(Tabela 1, exp. 1</w:t>
      </w:r>
      <w:r w:rsidR="0007601E" w:rsidRPr="004D4B3A">
        <w:rPr>
          <w:rFonts w:ascii="Times New Roman" w:hAnsi="Times New Roman"/>
          <w:lang w:val="pt-BR"/>
        </w:rPr>
        <w:t>-</w:t>
      </w:r>
      <w:r w:rsidRPr="004D4B3A">
        <w:rPr>
          <w:rFonts w:ascii="Times New Roman" w:hAnsi="Times New Roman"/>
          <w:lang w:val="pt-BR"/>
        </w:rPr>
        <w:t>3),</w:t>
      </w:r>
      <w:r w:rsidR="0007601E" w:rsidRPr="004D4B3A">
        <w:rPr>
          <w:rFonts w:ascii="Times New Roman" w:hAnsi="Times New Roman"/>
          <w:lang w:val="pt-BR"/>
        </w:rPr>
        <w:t xml:space="preserve"> observou-se que </w:t>
      </w:r>
      <w:r w:rsidR="0008766F">
        <w:rPr>
          <w:rFonts w:ascii="Times New Roman" w:hAnsi="Times New Roman"/>
          <w:lang w:val="pt-BR"/>
        </w:rPr>
        <w:t>o uso de</w:t>
      </w:r>
      <w:r w:rsidR="0007601E" w:rsidRPr="004D4B3A">
        <w:rPr>
          <w:lang w:val="pt-BR"/>
        </w:rPr>
        <w:t xml:space="preserve"> 5 mg (</w:t>
      </w:r>
      <w:r w:rsidR="0007601E" w:rsidRPr="004D4B3A">
        <w:rPr>
          <w:rFonts w:ascii="Times New Roman" w:hAnsi="Times New Roman"/>
          <w:lang w:val="pt-BR"/>
        </w:rPr>
        <w:t xml:space="preserve">1,50 µmol) de CsPW torna o processo lento </w:t>
      </w:r>
      <w:r w:rsidR="0008766F">
        <w:rPr>
          <w:rFonts w:ascii="Times New Roman" w:hAnsi="Times New Roman"/>
          <w:lang w:val="pt-BR"/>
        </w:rPr>
        <w:t>resultando numa</w:t>
      </w:r>
      <w:r w:rsidR="0007601E" w:rsidRPr="004D4B3A">
        <w:rPr>
          <w:rFonts w:ascii="Times New Roman" w:hAnsi="Times New Roman"/>
          <w:lang w:val="pt-BR"/>
        </w:rPr>
        <w:t xml:space="preserve"> baixa conversão do substrato</w:t>
      </w:r>
      <w:r w:rsidR="0008766F">
        <w:rPr>
          <w:rFonts w:ascii="Times New Roman" w:hAnsi="Times New Roman"/>
          <w:lang w:val="pt-BR"/>
        </w:rPr>
        <w:t xml:space="preserve"> (</w:t>
      </w:r>
      <w:r w:rsidR="0007601E" w:rsidRPr="004D4B3A">
        <w:rPr>
          <w:rFonts w:ascii="Times New Roman" w:hAnsi="Times New Roman"/>
          <w:lang w:val="pt-BR"/>
        </w:rPr>
        <w:t>55%</w:t>
      </w:r>
      <w:r w:rsidR="0008766F">
        <w:rPr>
          <w:rFonts w:ascii="Times New Roman" w:hAnsi="Times New Roman"/>
          <w:lang w:val="pt-BR"/>
        </w:rPr>
        <w:t xml:space="preserve"> </w:t>
      </w:r>
      <w:r w:rsidR="0007601E" w:rsidRPr="004D4B3A">
        <w:rPr>
          <w:rFonts w:ascii="Times New Roman" w:hAnsi="Times New Roman"/>
          <w:lang w:val="pt-BR"/>
        </w:rPr>
        <w:t>em 10 horas</w:t>
      </w:r>
      <w:r w:rsidR="0008766F">
        <w:rPr>
          <w:rFonts w:ascii="Times New Roman" w:hAnsi="Times New Roman"/>
          <w:lang w:val="pt-BR"/>
        </w:rPr>
        <w:t>)</w:t>
      </w:r>
      <w:r w:rsidR="0007601E" w:rsidRPr="004D4B3A">
        <w:rPr>
          <w:rFonts w:ascii="Times New Roman" w:hAnsi="Times New Roman"/>
          <w:lang w:val="pt-BR"/>
        </w:rPr>
        <w:t>. Por outro lado</w:t>
      </w:r>
      <w:r w:rsidR="004D4B3A">
        <w:rPr>
          <w:rFonts w:ascii="Times New Roman" w:hAnsi="Times New Roman"/>
          <w:lang w:val="pt-BR"/>
        </w:rPr>
        <w:t>,</w:t>
      </w:r>
      <w:r w:rsidR="0007601E" w:rsidRPr="004D4B3A">
        <w:rPr>
          <w:rFonts w:ascii="Times New Roman" w:hAnsi="Times New Roman"/>
          <w:lang w:val="pt-BR"/>
        </w:rPr>
        <w:t xml:space="preserve"> o emprego de quantidade maior de CsPW,</w:t>
      </w:r>
      <w:r w:rsidR="004D4B3A">
        <w:rPr>
          <w:rFonts w:ascii="Times New Roman" w:hAnsi="Times New Roman"/>
          <w:lang w:val="pt-BR"/>
        </w:rPr>
        <w:t xml:space="preserve"> </w:t>
      </w:r>
      <w:r w:rsidR="0007601E" w:rsidRPr="004D4B3A">
        <w:rPr>
          <w:rFonts w:ascii="Times New Roman" w:hAnsi="Times New Roman"/>
          <w:lang w:val="pt-BR"/>
        </w:rPr>
        <w:t>20 mg (</w:t>
      </w:r>
      <w:r w:rsidR="0091450D" w:rsidRPr="004D4B3A">
        <w:rPr>
          <w:rFonts w:ascii="Times New Roman" w:hAnsi="Times New Roman"/>
          <w:lang w:val="pt-BR"/>
        </w:rPr>
        <w:t xml:space="preserve">6,0 </w:t>
      </w:r>
      <w:r w:rsidR="0007601E" w:rsidRPr="004D4B3A">
        <w:rPr>
          <w:rFonts w:ascii="Times New Roman" w:hAnsi="Times New Roman"/>
          <w:lang w:val="pt-BR"/>
        </w:rPr>
        <w:t>µmol), promove uma maior conversão do substrato (92% em 10 horas), no entanto, há um aumento na formação de isômeros do limoneno, prejudicando a seletividade para os produto</w:t>
      </w:r>
      <w:r w:rsidR="004D4B3A">
        <w:rPr>
          <w:rFonts w:ascii="Times New Roman" w:hAnsi="Times New Roman"/>
          <w:lang w:val="pt-BR"/>
        </w:rPr>
        <w:t>s</w:t>
      </w:r>
      <w:r w:rsidR="0007601E" w:rsidRPr="004D4B3A">
        <w:rPr>
          <w:rFonts w:ascii="Times New Roman" w:hAnsi="Times New Roman"/>
          <w:lang w:val="pt-BR"/>
        </w:rPr>
        <w:t xml:space="preserve"> de interesse.</w:t>
      </w:r>
      <w:r w:rsidRPr="004D4B3A">
        <w:rPr>
          <w:rFonts w:ascii="Times New Roman" w:hAnsi="Times New Roman"/>
          <w:lang w:val="pt-BR"/>
        </w:rPr>
        <w:t xml:space="preserve"> </w:t>
      </w:r>
      <w:r w:rsidR="005A7EE2" w:rsidRPr="004D4B3A">
        <w:rPr>
          <w:rFonts w:ascii="Times New Roman" w:hAnsi="Times New Roman"/>
          <w:lang w:val="pt-BR"/>
        </w:rPr>
        <w:t xml:space="preserve">Sendo assim, verificou-se que o uso de 10 mg (3,00 µmol) </w:t>
      </w:r>
      <w:r w:rsidR="005A7EE2" w:rsidRPr="004D4B3A">
        <w:rPr>
          <w:rStyle w:val="Refdecomentrio"/>
          <w:rFonts w:ascii="Times New Roman" w:eastAsiaTheme="minorEastAsia" w:hAnsi="Times New Roman"/>
          <w:sz w:val="20"/>
          <w:szCs w:val="20"/>
          <w:lang w:val="pt-BR" w:eastAsia="en-US"/>
        </w:rPr>
        <w:t>possibilitou</w:t>
      </w:r>
      <w:r w:rsidR="005A7EE2" w:rsidRPr="004D4B3A">
        <w:rPr>
          <w:rFonts w:ascii="Times New Roman" w:hAnsi="Times New Roman"/>
          <w:lang w:val="pt-BR"/>
        </w:rPr>
        <w:t xml:space="preserve"> associar uma conversão equivalente a </w:t>
      </w:r>
      <w:r w:rsidR="0092137B">
        <w:rPr>
          <w:rFonts w:ascii="Times New Roman" w:hAnsi="Times New Roman"/>
          <w:lang w:val="pt-BR"/>
        </w:rPr>
        <w:t>81</w:t>
      </w:r>
      <w:r w:rsidR="005A7EE2" w:rsidRPr="004D4B3A">
        <w:rPr>
          <w:rFonts w:ascii="Times New Roman" w:hAnsi="Times New Roman"/>
          <w:lang w:val="pt-BR"/>
        </w:rPr>
        <w:t>% do substrato e uma baixa formação de isômeros de limoneno.</w:t>
      </w:r>
    </w:p>
    <w:p w14:paraId="235FAADF" w14:textId="02E6334D" w:rsidR="006F278C" w:rsidRPr="004D4B3A" w:rsidRDefault="0072251E" w:rsidP="006F278C">
      <w:pPr>
        <w:pStyle w:val="TAMainText"/>
        <w:ind w:firstLine="187"/>
        <w:rPr>
          <w:rFonts w:ascii="Times New Roman" w:hAnsi="Times New Roman"/>
          <w:lang w:val="pt-BR"/>
        </w:rPr>
      </w:pPr>
      <w:r w:rsidRPr="00635F99">
        <w:rPr>
          <w:rFonts w:ascii="Times New Roman" w:hAnsi="Times New Roman"/>
          <w:lang w:val="pt-BR"/>
        </w:rPr>
        <w:t xml:space="preserve">A variação da temperatura (Tabela 1, exp. </w:t>
      </w:r>
      <w:r w:rsidR="0092137B" w:rsidRPr="00635F99">
        <w:rPr>
          <w:rFonts w:ascii="Times New Roman" w:hAnsi="Times New Roman"/>
          <w:lang w:val="pt-BR"/>
        </w:rPr>
        <w:t>2,</w:t>
      </w:r>
      <w:r w:rsidRPr="00635F99">
        <w:rPr>
          <w:rFonts w:ascii="Times New Roman" w:hAnsi="Times New Roman"/>
          <w:lang w:val="pt-BR"/>
        </w:rPr>
        <w:t xml:space="preserve"> 4 e 5)</w:t>
      </w:r>
      <w:r w:rsidR="0091450D" w:rsidRPr="00635F99">
        <w:rPr>
          <w:rFonts w:ascii="Times New Roman" w:hAnsi="Times New Roman"/>
          <w:lang w:val="pt-BR"/>
        </w:rPr>
        <w:t xml:space="preserve"> </w:t>
      </w:r>
      <w:r w:rsidR="0091450D" w:rsidRPr="00635F99">
        <w:rPr>
          <w:lang w:val="pt-BR"/>
        </w:rPr>
        <w:t xml:space="preserve">não resultou em </w:t>
      </w:r>
      <w:r w:rsidR="00FC45D1">
        <w:rPr>
          <w:lang w:val="pt-BR"/>
        </w:rPr>
        <w:t>melhoria significativa</w:t>
      </w:r>
      <w:r w:rsidR="0091450D" w:rsidRPr="00635F99">
        <w:rPr>
          <w:lang w:val="pt-BR"/>
        </w:rPr>
        <w:t xml:space="preserve"> </w:t>
      </w:r>
      <w:r w:rsidR="00FC45D1">
        <w:rPr>
          <w:lang w:val="pt-BR"/>
        </w:rPr>
        <w:t>d</w:t>
      </w:r>
      <w:r w:rsidR="0091450D" w:rsidRPr="00635F99">
        <w:rPr>
          <w:lang w:val="pt-BR"/>
        </w:rPr>
        <w:t>o processo.</w:t>
      </w:r>
      <w:r w:rsidR="0091450D" w:rsidRPr="004D4B3A">
        <w:rPr>
          <w:lang w:val="pt-BR"/>
        </w:rPr>
        <w:t xml:space="preserve"> O aumento </w:t>
      </w:r>
      <w:r w:rsidR="0091450D" w:rsidRPr="004D4B3A">
        <w:rPr>
          <w:lang w:val="pt-BR"/>
        </w:rPr>
        <w:t xml:space="preserve">de temperatura não contribuiu para favorecer a conversão do substrato e ainda resultou em um aumento na quantidade de isômeros do limoneno. Observou-se, contudo, que a temperatura afeta a distribuição dos principais acetatos formados. </w:t>
      </w:r>
      <w:r w:rsidR="004D4B3A" w:rsidRPr="004D4B3A">
        <w:rPr>
          <w:lang w:val="pt-BR"/>
        </w:rPr>
        <w:t>Temperaturas</w:t>
      </w:r>
      <w:r w:rsidR="0091450D" w:rsidRPr="004D4B3A">
        <w:rPr>
          <w:lang w:val="pt-BR"/>
        </w:rPr>
        <w:t xml:space="preserve"> maiores favorecem a formação do </w:t>
      </w:r>
      <w:r w:rsidR="00CA1015">
        <w:rPr>
          <w:lang w:val="pt-BR"/>
        </w:rPr>
        <w:t xml:space="preserve">isômero </w:t>
      </w:r>
      <w:r w:rsidR="00CA1015" w:rsidRPr="00CA1015">
        <w:rPr>
          <w:b/>
          <w:bCs/>
          <w:lang w:val="pt-BR"/>
        </w:rPr>
        <w:t>3a</w:t>
      </w:r>
      <w:r w:rsidR="00CA1015">
        <w:rPr>
          <w:lang w:val="pt-BR"/>
        </w:rPr>
        <w:t xml:space="preserve"> e </w:t>
      </w:r>
      <w:r w:rsidR="0091450D" w:rsidRPr="004D4B3A">
        <w:rPr>
          <w:rFonts w:ascii="Times New Roman" w:hAnsi="Times New Roman"/>
          <w:lang w:val="pt-BR"/>
        </w:rPr>
        <w:t>e</w:t>
      </w:r>
      <w:r w:rsidR="00CA1015">
        <w:rPr>
          <w:rFonts w:ascii="Times New Roman" w:hAnsi="Times New Roman"/>
          <w:lang w:val="pt-BR"/>
        </w:rPr>
        <w:t>m</w:t>
      </w:r>
      <w:r w:rsidR="0091450D" w:rsidRPr="004D4B3A">
        <w:rPr>
          <w:rFonts w:ascii="Times New Roman" w:hAnsi="Times New Roman"/>
          <w:lang w:val="pt-BR"/>
        </w:rPr>
        <w:t xml:space="preserve"> temperaturas menores</w:t>
      </w:r>
      <w:r w:rsidR="00CA1015">
        <w:rPr>
          <w:rFonts w:ascii="Times New Roman" w:hAnsi="Times New Roman"/>
          <w:lang w:val="pt-BR"/>
        </w:rPr>
        <w:t xml:space="preserve">, </w:t>
      </w:r>
      <w:r w:rsidR="00CA1015" w:rsidRPr="00ED5396">
        <w:rPr>
          <w:rFonts w:ascii="Times New Roman" w:hAnsi="Times New Roman"/>
          <w:b/>
          <w:bCs/>
          <w:lang w:val="pt-BR"/>
        </w:rPr>
        <w:t>3a</w:t>
      </w:r>
      <w:r w:rsidR="00CA1015" w:rsidRPr="00CA1015">
        <w:rPr>
          <w:rFonts w:ascii="Times New Roman" w:hAnsi="Times New Roman"/>
          <w:lang w:val="pt-BR"/>
        </w:rPr>
        <w:t xml:space="preserve"> e </w:t>
      </w:r>
      <w:r w:rsidR="00CA1015" w:rsidRPr="00ED5396">
        <w:rPr>
          <w:rFonts w:ascii="Times New Roman" w:hAnsi="Times New Roman"/>
          <w:b/>
          <w:bCs/>
          <w:lang w:val="pt-BR"/>
        </w:rPr>
        <w:t>3b</w:t>
      </w:r>
      <w:r w:rsidR="00CA1015" w:rsidRPr="00CA1015">
        <w:rPr>
          <w:rFonts w:ascii="Times New Roman" w:hAnsi="Times New Roman"/>
          <w:lang w:val="pt-BR"/>
        </w:rPr>
        <w:t xml:space="preserve"> são formados com seletividades próxima</w:t>
      </w:r>
      <w:r w:rsidR="00CA1015">
        <w:rPr>
          <w:rFonts w:ascii="Times New Roman" w:hAnsi="Times New Roman"/>
          <w:lang w:val="pt-BR"/>
        </w:rPr>
        <w:t xml:space="preserve">. </w:t>
      </w:r>
      <w:r w:rsidR="00CA1015" w:rsidRPr="00CA1015">
        <w:rPr>
          <w:rFonts w:ascii="Times New Roman" w:hAnsi="Times New Roman"/>
          <w:lang w:val="pt-BR"/>
        </w:rPr>
        <w:t xml:space="preserve"> </w:t>
      </w:r>
      <w:r w:rsidR="0091450D" w:rsidRPr="004D4B3A">
        <w:rPr>
          <w:rFonts w:ascii="Times New Roman" w:hAnsi="Times New Roman"/>
          <w:lang w:val="pt-BR"/>
        </w:rPr>
        <w:t xml:space="preserve"> </w:t>
      </w:r>
      <w:r w:rsidRPr="004D4B3A">
        <w:rPr>
          <w:rFonts w:ascii="Times New Roman" w:hAnsi="Times New Roman"/>
          <w:lang w:val="pt-BR"/>
        </w:rPr>
        <w:t xml:space="preserve">Por fim, a utilização de diferentes quantidades de anidrido acético nas reações mostrou </w:t>
      </w:r>
      <w:r w:rsidR="00CA1015">
        <w:rPr>
          <w:rFonts w:ascii="Times New Roman" w:hAnsi="Times New Roman"/>
          <w:lang w:val="pt-BR"/>
        </w:rPr>
        <w:t xml:space="preserve">que </w:t>
      </w:r>
      <w:r w:rsidR="00CC21D0">
        <w:rPr>
          <w:rFonts w:ascii="Times New Roman" w:hAnsi="Times New Roman"/>
          <w:lang w:val="pt-BR"/>
        </w:rPr>
        <w:t xml:space="preserve">com </w:t>
      </w:r>
      <w:r w:rsidRPr="004D4B3A">
        <w:rPr>
          <w:rFonts w:ascii="Times New Roman" w:hAnsi="Times New Roman"/>
          <w:lang w:val="pt-BR"/>
        </w:rPr>
        <w:t xml:space="preserve">baixas quantidades de agente acetilante (Tabela 1, exp. 6) a reação de acetilação do substrato </w:t>
      </w:r>
      <w:r w:rsidR="00CC21D0">
        <w:rPr>
          <w:rFonts w:ascii="Times New Roman" w:hAnsi="Times New Roman"/>
          <w:lang w:val="pt-BR"/>
        </w:rPr>
        <w:t xml:space="preserve">fica </w:t>
      </w:r>
      <w:r w:rsidRPr="004D4B3A">
        <w:rPr>
          <w:rFonts w:ascii="Times New Roman" w:hAnsi="Times New Roman"/>
          <w:lang w:val="pt-BR"/>
        </w:rPr>
        <w:t>mais lenta e favorece</w:t>
      </w:r>
      <w:r w:rsidR="00CC21D0">
        <w:rPr>
          <w:rFonts w:ascii="Times New Roman" w:hAnsi="Times New Roman"/>
          <w:lang w:val="pt-BR"/>
        </w:rPr>
        <w:t>m</w:t>
      </w:r>
      <w:r w:rsidRPr="004D4B3A">
        <w:rPr>
          <w:rFonts w:ascii="Times New Roman" w:hAnsi="Times New Roman"/>
          <w:lang w:val="pt-BR"/>
        </w:rPr>
        <w:t xml:space="preserve"> a sua isomerização</w:t>
      </w:r>
      <w:r w:rsidR="00CC21D0">
        <w:rPr>
          <w:rFonts w:ascii="Times New Roman" w:hAnsi="Times New Roman"/>
          <w:lang w:val="pt-BR"/>
        </w:rPr>
        <w:t>.</w:t>
      </w:r>
      <w:r w:rsidRPr="004D4B3A">
        <w:rPr>
          <w:rFonts w:ascii="Times New Roman" w:hAnsi="Times New Roman"/>
          <w:lang w:val="pt-BR"/>
        </w:rPr>
        <w:t xml:space="preserve"> </w:t>
      </w:r>
      <w:r w:rsidR="00CC21D0">
        <w:rPr>
          <w:rFonts w:ascii="Times New Roman" w:hAnsi="Times New Roman"/>
          <w:lang w:val="pt-BR"/>
        </w:rPr>
        <w:t>Por outro lado,</w:t>
      </w:r>
      <w:r w:rsidR="00CC21D0" w:rsidRPr="004D4B3A">
        <w:rPr>
          <w:rFonts w:ascii="Times New Roman" w:hAnsi="Times New Roman"/>
          <w:lang w:val="pt-BR"/>
        </w:rPr>
        <w:t xml:space="preserve"> </w:t>
      </w:r>
      <w:r w:rsidR="00CC21D0">
        <w:rPr>
          <w:rFonts w:ascii="Times New Roman" w:hAnsi="Times New Roman"/>
          <w:lang w:val="pt-BR"/>
        </w:rPr>
        <w:t xml:space="preserve">o uso de </w:t>
      </w:r>
      <w:r w:rsidRPr="004D4B3A">
        <w:rPr>
          <w:rFonts w:ascii="Times New Roman" w:hAnsi="Times New Roman"/>
          <w:lang w:val="pt-BR"/>
        </w:rPr>
        <w:t xml:space="preserve">maiores quantidades de anidrido acético (Tabela 1, exp. 7) </w:t>
      </w:r>
      <w:r w:rsidR="00CC21D0">
        <w:rPr>
          <w:rFonts w:ascii="Times New Roman" w:hAnsi="Times New Roman"/>
          <w:lang w:val="pt-BR"/>
        </w:rPr>
        <w:t>favorece a</w:t>
      </w:r>
      <w:r w:rsidRPr="004D4B3A">
        <w:rPr>
          <w:rFonts w:ascii="Times New Roman" w:hAnsi="Times New Roman"/>
          <w:lang w:val="pt-BR"/>
        </w:rPr>
        <w:t xml:space="preserve"> conversão do substrato (85% em 10 horas), sem alterar significativamente a seletividade para os produtos de interesse.</w:t>
      </w:r>
      <w:r w:rsidR="00AA74E7" w:rsidRPr="004D4B3A">
        <w:rPr>
          <w:rFonts w:ascii="Times New Roman" w:hAnsi="Times New Roman"/>
          <w:lang w:val="pt-BR"/>
        </w:rPr>
        <w:t xml:space="preserve"> </w:t>
      </w:r>
    </w:p>
    <w:p w14:paraId="15CCDDF9" w14:textId="77777777" w:rsidR="002D79BF" w:rsidRPr="004D4B3A" w:rsidRDefault="002D79BF" w:rsidP="00CA1015">
      <w:pPr>
        <w:pStyle w:val="TAMainText"/>
        <w:ind w:firstLine="0"/>
        <w:rPr>
          <w:lang w:val="pt-BR"/>
        </w:rPr>
        <w:sectPr w:rsidR="002D79BF" w:rsidRPr="004D4B3A" w:rsidSect="00A84828">
          <w:type w:val="continuous"/>
          <w:pgSz w:w="11906" w:h="16838"/>
          <w:pgMar w:top="1134" w:right="851" w:bottom="851" w:left="851" w:header="709" w:footer="709" w:gutter="0"/>
          <w:cols w:num="2" w:space="708"/>
          <w:docGrid w:linePitch="360"/>
        </w:sectPr>
      </w:pPr>
    </w:p>
    <w:p w14:paraId="6607FF14" w14:textId="77777777" w:rsidR="00B4521D" w:rsidRDefault="00B4521D" w:rsidP="00CE5C30">
      <w:pPr>
        <w:pStyle w:val="TAMainText"/>
        <w:ind w:firstLine="0"/>
        <w:rPr>
          <w:rFonts w:ascii="Times New Roman" w:hAnsi="Times New Roman"/>
          <w:lang w:val="pt-BR"/>
        </w:rPr>
        <w:sectPr w:rsidR="00B4521D" w:rsidSect="00A84828">
          <w:type w:val="continuous"/>
          <w:pgSz w:w="11906" w:h="16838"/>
          <w:pgMar w:top="1134" w:right="851" w:bottom="851" w:left="851" w:header="709" w:footer="709" w:gutter="0"/>
          <w:cols w:space="708"/>
          <w:docGrid w:linePitch="360"/>
        </w:sectPr>
      </w:pPr>
    </w:p>
    <w:p w14:paraId="637D65F8" w14:textId="05AA62FA" w:rsidR="00284E2C" w:rsidRPr="00363ADB" w:rsidRDefault="00284E2C" w:rsidP="00363ADB">
      <w:pPr>
        <w:pStyle w:val="TAMainText"/>
        <w:ind w:left="426" w:right="423" w:firstLine="0"/>
        <w:rPr>
          <w:rFonts w:ascii="Times New Roman" w:hAnsi="Times New Roman"/>
          <w:sz w:val="18"/>
          <w:szCs w:val="18"/>
          <w:lang w:val="pt-BR"/>
        </w:rPr>
      </w:pPr>
      <w:r w:rsidRPr="00363ADB">
        <w:rPr>
          <w:rFonts w:ascii="Times New Roman" w:hAnsi="Times New Roman"/>
          <w:b/>
          <w:bCs/>
          <w:sz w:val="18"/>
          <w:szCs w:val="18"/>
          <w:lang w:val="pt-BR"/>
        </w:rPr>
        <w:t>Tabela</w:t>
      </w:r>
      <w:r w:rsidR="007D6A73" w:rsidRPr="00363ADB">
        <w:rPr>
          <w:rFonts w:ascii="Times New Roman" w:hAnsi="Times New Roman"/>
          <w:b/>
          <w:bCs/>
          <w:sz w:val="18"/>
          <w:szCs w:val="18"/>
          <w:lang w:val="pt-BR"/>
        </w:rPr>
        <w:t xml:space="preserve"> 2</w:t>
      </w:r>
      <w:r w:rsidRPr="00363ADB">
        <w:rPr>
          <w:rFonts w:ascii="Times New Roman" w:hAnsi="Times New Roman"/>
          <w:b/>
          <w:bCs/>
          <w:sz w:val="18"/>
          <w:szCs w:val="18"/>
          <w:lang w:val="pt-BR"/>
        </w:rPr>
        <w:t>.</w:t>
      </w:r>
      <w:r w:rsidRPr="00363ADB">
        <w:rPr>
          <w:rFonts w:ascii="Times New Roman" w:hAnsi="Times New Roman"/>
          <w:sz w:val="18"/>
          <w:szCs w:val="18"/>
          <w:lang w:val="pt-BR"/>
        </w:rPr>
        <w:t xml:space="preserve"> Acetilação do 1,</w:t>
      </w:r>
      <w:r w:rsidR="007D6A73" w:rsidRPr="00363ADB">
        <w:rPr>
          <w:rFonts w:ascii="Times New Roman" w:hAnsi="Times New Roman"/>
          <w:sz w:val="18"/>
          <w:szCs w:val="18"/>
          <w:lang w:val="pt-BR"/>
        </w:rPr>
        <w:t>8</w:t>
      </w:r>
      <w:r w:rsidRPr="00363ADB">
        <w:rPr>
          <w:rFonts w:ascii="Times New Roman" w:hAnsi="Times New Roman"/>
          <w:sz w:val="18"/>
          <w:szCs w:val="18"/>
          <w:lang w:val="pt-BR"/>
        </w:rPr>
        <w:t>-cineol (1a) utilizando anidrido acético (2), CsPW e metilisobutilcetona como solvente</w:t>
      </w:r>
      <w:r w:rsidR="00363ADB" w:rsidRPr="00363ADB">
        <w:rPr>
          <w:rFonts w:ascii="Times New Roman" w:hAnsi="Times New Roman"/>
          <w:sz w:val="18"/>
          <w:szCs w:val="18"/>
          <w:vertAlign w:val="superscript"/>
          <w:lang w:val="pt-BR"/>
        </w:rPr>
        <w:t>a</w:t>
      </w:r>
    </w:p>
    <w:tbl>
      <w:tblPr>
        <w:tblStyle w:val="Tabelacomgrade"/>
        <w:tblW w:w="95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0"/>
        <w:gridCol w:w="850"/>
        <w:gridCol w:w="850"/>
        <w:gridCol w:w="850"/>
        <w:gridCol w:w="1417"/>
        <w:gridCol w:w="554"/>
        <w:gridCol w:w="554"/>
        <w:gridCol w:w="554"/>
        <w:gridCol w:w="554"/>
        <w:gridCol w:w="554"/>
        <w:gridCol w:w="554"/>
        <w:gridCol w:w="563"/>
      </w:tblGrid>
      <w:tr w:rsidR="00363ADB" w:rsidRPr="00455EA9" w14:paraId="7CCABB13" w14:textId="77777777" w:rsidTr="00363ADB">
        <w:trPr>
          <w:trHeight w:val="340"/>
          <w:jc w:val="center"/>
        </w:trPr>
        <w:tc>
          <w:tcPr>
            <w:tcW w:w="850" w:type="dxa"/>
            <w:vMerge w:val="restart"/>
            <w:tcBorders>
              <w:top w:val="single" w:sz="4" w:space="0" w:color="auto"/>
            </w:tcBorders>
            <w:noWrap/>
            <w:vAlign w:val="center"/>
          </w:tcPr>
          <w:p w14:paraId="2B26745A" w14:textId="1A9F580D"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Exp.</w:t>
            </w:r>
          </w:p>
        </w:tc>
        <w:tc>
          <w:tcPr>
            <w:tcW w:w="850" w:type="dxa"/>
            <w:vMerge w:val="restart"/>
            <w:tcBorders>
              <w:top w:val="single" w:sz="4" w:space="0" w:color="auto"/>
            </w:tcBorders>
            <w:noWrap/>
            <w:vAlign w:val="center"/>
          </w:tcPr>
          <w:p w14:paraId="24DFB428" w14:textId="7777777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2</w:t>
            </w:r>
          </w:p>
          <w:p w14:paraId="7D4A6327" w14:textId="350F1E06"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(mmol)</w:t>
            </w:r>
          </w:p>
        </w:tc>
        <w:tc>
          <w:tcPr>
            <w:tcW w:w="850" w:type="dxa"/>
            <w:vMerge w:val="restart"/>
            <w:tcBorders>
              <w:top w:val="single" w:sz="4" w:space="0" w:color="auto"/>
            </w:tcBorders>
            <w:noWrap/>
            <w:vAlign w:val="center"/>
          </w:tcPr>
          <w:p w14:paraId="10E37C29" w14:textId="7777777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 xml:space="preserve">CsPW </w:t>
            </w:r>
          </w:p>
          <w:p w14:paraId="29CAD3CB" w14:textId="021EFAB4"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(mg)</w:t>
            </w:r>
          </w:p>
        </w:tc>
        <w:tc>
          <w:tcPr>
            <w:tcW w:w="850" w:type="dxa"/>
            <w:vMerge w:val="restart"/>
            <w:tcBorders>
              <w:top w:val="single" w:sz="4" w:space="0" w:color="auto"/>
            </w:tcBorders>
            <w:noWrap/>
            <w:vAlign w:val="center"/>
          </w:tcPr>
          <w:p w14:paraId="3D3D8676" w14:textId="7777777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T</w:t>
            </w:r>
          </w:p>
          <w:p w14:paraId="652BD9B4" w14:textId="7C5C361A"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(°C)</w:t>
            </w:r>
          </w:p>
        </w:tc>
        <w:tc>
          <w:tcPr>
            <w:tcW w:w="850" w:type="dxa"/>
            <w:vMerge w:val="restart"/>
            <w:tcBorders>
              <w:top w:val="single" w:sz="4" w:space="0" w:color="auto"/>
            </w:tcBorders>
            <w:noWrap/>
            <w:vAlign w:val="center"/>
          </w:tcPr>
          <w:p w14:paraId="420CEB9E" w14:textId="7777777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 xml:space="preserve">Tempo </w:t>
            </w:r>
          </w:p>
          <w:p w14:paraId="5E4BA8C1" w14:textId="04B7DD1A"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(h)</w:t>
            </w:r>
          </w:p>
        </w:tc>
        <w:tc>
          <w:tcPr>
            <w:tcW w:w="1417" w:type="dxa"/>
            <w:vMerge w:val="restart"/>
            <w:tcBorders>
              <w:top w:val="single" w:sz="4" w:space="0" w:color="auto"/>
            </w:tcBorders>
            <w:noWrap/>
            <w:vAlign w:val="center"/>
          </w:tcPr>
          <w:p w14:paraId="537E74DE" w14:textId="77777777"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 xml:space="preserve">Conversão </w:t>
            </w:r>
          </w:p>
          <w:p w14:paraId="1795D034" w14:textId="35564509"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w:t>
            </w:r>
          </w:p>
        </w:tc>
        <w:tc>
          <w:tcPr>
            <w:tcW w:w="3887" w:type="dxa"/>
            <w:gridSpan w:val="7"/>
            <w:tcBorders>
              <w:top w:val="single" w:sz="4" w:space="0" w:color="auto"/>
              <w:bottom w:val="single" w:sz="4" w:space="0" w:color="auto"/>
            </w:tcBorders>
            <w:noWrap/>
            <w:vAlign w:val="center"/>
          </w:tcPr>
          <w:p w14:paraId="5D9EA21D" w14:textId="7A99B0BE" w:rsidR="00363ADB" w:rsidRPr="00455EA9" w:rsidRDefault="00363ADB" w:rsidP="00CB0BAD">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Seletividade (%)</w:t>
            </w:r>
          </w:p>
        </w:tc>
      </w:tr>
      <w:tr w:rsidR="00363ADB" w:rsidRPr="00455EA9" w14:paraId="2E2347B7" w14:textId="77777777" w:rsidTr="00363ADB">
        <w:trPr>
          <w:trHeight w:val="340"/>
          <w:jc w:val="center"/>
        </w:trPr>
        <w:tc>
          <w:tcPr>
            <w:tcW w:w="850" w:type="dxa"/>
            <w:vMerge/>
            <w:tcBorders>
              <w:bottom w:val="single" w:sz="4" w:space="0" w:color="auto"/>
            </w:tcBorders>
            <w:noWrap/>
            <w:vAlign w:val="center"/>
            <w:hideMark/>
          </w:tcPr>
          <w:p w14:paraId="31DD55F7" w14:textId="0E84E058" w:rsidR="00363ADB" w:rsidRPr="00455EA9" w:rsidRDefault="00363ADB" w:rsidP="0076121F">
            <w:pPr>
              <w:spacing w:line="276" w:lineRule="auto"/>
              <w:jc w:val="center"/>
              <w:rPr>
                <w:rFonts w:ascii="Times New Roman" w:hAnsi="Times New Roman" w:cs="Times New Roman"/>
                <w:b/>
                <w:bCs/>
                <w:sz w:val="20"/>
                <w:szCs w:val="20"/>
              </w:rPr>
            </w:pPr>
            <w:bookmarkStart w:id="3" w:name="_Hlk130814433"/>
          </w:p>
        </w:tc>
        <w:tc>
          <w:tcPr>
            <w:tcW w:w="850" w:type="dxa"/>
            <w:vMerge/>
            <w:tcBorders>
              <w:bottom w:val="single" w:sz="4" w:space="0" w:color="auto"/>
            </w:tcBorders>
            <w:noWrap/>
            <w:vAlign w:val="center"/>
            <w:hideMark/>
          </w:tcPr>
          <w:p w14:paraId="59831C25" w14:textId="68F54833" w:rsidR="00363ADB" w:rsidRPr="00455EA9" w:rsidRDefault="00363ADB" w:rsidP="0076121F">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25CE2CE5" w14:textId="64685075" w:rsidR="00363ADB" w:rsidRPr="00455EA9" w:rsidRDefault="00363ADB" w:rsidP="0076121F">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33B2FDCE" w14:textId="61E58573" w:rsidR="00363ADB" w:rsidRPr="00455EA9" w:rsidRDefault="00363ADB" w:rsidP="0076121F">
            <w:pPr>
              <w:spacing w:line="276" w:lineRule="auto"/>
              <w:jc w:val="center"/>
              <w:rPr>
                <w:rFonts w:ascii="Times New Roman" w:hAnsi="Times New Roman" w:cs="Times New Roman"/>
                <w:b/>
                <w:bCs/>
                <w:sz w:val="20"/>
                <w:szCs w:val="20"/>
              </w:rPr>
            </w:pPr>
          </w:p>
        </w:tc>
        <w:tc>
          <w:tcPr>
            <w:tcW w:w="850" w:type="dxa"/>
            <w:vMerge/>
            <w:tcBorders>
              <w:bottom w:val="single" w:sz="4" w:space="0" w:color="auto"/>
            </w:tcBorders>
            <w:noWrap/>
            <w:vAlign w:val="center"/>
            <w:hideMark/>
          </w:tcPr>
          <w:p w14:paraId="758AC873" w14:textId="3E2F9250" w:rsidR="00363ADB" w:rsidRPr="00455EA9" w:rsidRDefault="00363ADB" w:rsidP="0076121F">
            <w:pPr>
              <w:spacing w:line="276" w:lineRule="auto"/>
              <w:jc w:val="center"/>
              <w:rPr>
                <w:rFonts w:ascii="Times New Roman" w:hAnsi="Times New Roman" w:cs="Times New Roman"/>
                <w:b/>
                <w:bCs/>
                <w:sz w:val="20"/>
                <w:szCs w:val="20"/>
              </w:rPr>
            </w:pPr>
          </w:p>
        </w:tc>
        <w:tc>
          <w:tcPr>
            <w:tcW w:w="1417" w:type="dxa"/>
            <w:vMerge/>
            <w:tcBorders>
              <w:bottom w:val="single" w:sz="4" w:space="0" w:color="auto"/>
            </w:tcBorders>
            <w:noWrap/>
            <w:vAlign w:val="center"/>
            <w:hideMark/>
          </w:tcPr>
          <w:p w14:paraId="6807F784" w14:textId="4222FE31" w:rsidR="00363ADB" w:rsidRPr="00455EA9" w:rsidRDefault="00363ADB" w:rsidP="0076121F">
            <w:pPr>
              <w:spacing w:line="276" w:lineRule="auto"/>
              <w:jc w:val="center"/>
              <w:rPr>
                <w:rFonts w:ascii="Times New Roman" w:hAnsi="Times New Roman" w:cs="Times New Roman"/>
                <w:b/>
                <w:bCs/>
                <w:sz w:val="20"/>
                <w:szCs w:val="20"/>
              </w:rPr>
            </w:pPr>
          </w:p>
        </w:tc>
        <w:tc>
          <w:tcPr>
            <w:tcW w:w="554" w:type="dxa"/>
            <w:tcBorders>
              <w:top w:val="single" w:sz="4" w:space="0" w:color="auto"/>
              <w:bottom w:val="single" w:sz="4" w:space="0" w:color="auto"/>
            </w:tcBorders>
            <w:noWrap/>
            <w:vAlign w:val="center"/>
            <w:hideMark/>
          </w:tcPr>
          <w:p w14:paraId="2B0295D2" w14:textId="3735FA31"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IL</w:t>
            </w:r>
            <w:r w:rsidRPr="00455EA9">
              <w:rPr>
                <w:rFonts w:ascii="Times New Roman" w:hAnsi="Times New Roman" w:cs="Times New Roman"/>
                <w:b/>
                <w:bCs/>
                <w:sz w:val="20"/>
                <w:szCs w:val="20"/>
                <w:vertAlign w:val="superscript"/>
              </w:rPr>
              <w:t>b</w:t>
            </w:r>
          </w:p>
        </w:tc>
        <w:tc>
          <w:tcPr>
            <w:tcW w:w="554" w:type="dxa"/>
            <w:tcBorders>
              <w:top w:val="single" w:sz="4" w:space="0" w:color="auto"/>
              <w:bottom w:val="single" w:sz="4" w:space="0" w:color="auto"/>
            </w:tcBorders>
            <w:noWrap/>
            <w:vAlign w:val="center"/>
            <w:hideMark/>
          </w:tcPr>
          <w:p w14:paraId="615AA478" w14:textId="2966DFBE"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3a</w:t>
            </w:r>
          </w:p>
        </w:tc>
        <w:tc>
          <w:tcPr>
            <w:tcW w:w="554" w:type="dxa"/>
            <w:tcBorders>
              <w:top w:val="single" w:sz="4" w:space="0" w:color="auto"/>
              <w:bottom w:val="single" w:sz="4" w:space="0" w:color="auto"/>
            </w:tcBorders>
            <w:noWrap/>
            <w:vAlign w:val="center"/>
            <w:hideMark/>
          </w:tcPr>
          <w:p w14:paraId="4036389C" w14:textId="7020F853"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3b</w:t>
            </w:r>
          </w:p>
        </w:tc>
        <w:tc>
          <w:tcPr>
            <w:tcW w:w="554" w:type="dxa"/>
            <w:tcBorders>
              <w:top w:val="single" w:sz="4" w:space="0" w:color="auto"/>
              <w:bottom w:val="single" w:sz="4" w:space="0" w:color="auto"/>
            </w:tcBorders>
            <w:noWrap/>
            <w:vAlign w:val="center"/>
            <w:hideMark/>
          </w:tcPr>
          <w:p w14:paraId="0FE6D340" w14:textId="2396B55C"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3c</w:t>
            </w:r>
          </w:p>
        </w:tc>
        <w:tc>
          <w:tcPr>
            <w:tcW w:w="554" w:type="dxa"/>
            <w:tcBorders>
              <w:top w:val="single" w:sz="4" w:space="0" w:color="auto"/>
              <w:bottom w:val="single" w:sz="4" w:space="0" w:color="auto"/>
            </w:tcBorders>
            <w:noWrap/>
            <w:vAlign w:val="center"/>
            <w:hideMark/>
          </w:tcPr>
          <w:p w14:paraId="15B02DB1" w14:textId="2724D8F0"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3d</w:t>
            </w:r>
          </w:p>
        </w:tc>
        <w:tc>
          <w:tcPr>
            <w:tcW w:w="554" w:type="dxa"/>
            <w:tcBorders>
              <w:top w:val="single" w:sz="4" w:space="0" w:color="auto"/>
              <w:bottom w:val="single" w:sz="4" w:space="0" w:color="auto"/>
            </w:tcBorders>
            <w:noWrap/>
            <w:vAlign w:val="center"/>
            <w:hideMark/>
          </w:tcPr>
          <w:p w14:paraId="77CB5E2F" w14:textId="4EC2EAEB"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3e</w:t>
            </w:r>
          </w:p>
        </w:tc>
        <w:tc>
          <w:tcPr>
            <w:tcW w:w="563" w:type="dxa"/>
            <w:tcBorders>
              <w:top w:val="single" w:sz="4" w:space="0" w:color="auto"/>
              <w:bottom w:val="single" w:sz="4" w:space="0" w:color="auto"/>
            </w:tcBorders>
            <w:noWrap/>
            <w:vAlign w:val="center"/>
            <w:hideMark/>
          </w:tcPr>
          <w:p w14:paraId="3F67CA4D" w14:textId="71ABF27C"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DA</w:t>
            </w:r>
            <w:r w:rsidRPr="00455EA9">
              <w:rPr>
                <w:rFonts w:ascii="Times New Roman" w:hAnsi="Times New Roman" w:cs="Times New Roman"/>
                <w:b/>
                <w:bCs/>
                <w:sz w:val="20"/>
                <w:szCs w:val="20"/>
                <w:vertAlign w:val="superscript"/>
              </w:rPr>
              <w:t>c</w:t>
            </w:r>
          </w:p>
        </w:tc>
      </w:tr>
      <w:bookmarkEnd w:id="3"/>
      <w:tr w:rsidR="00363ADB" w:rsidRPr="00455EA9" w14:paraId="6C5DD3D8" w14:textId="77777777" w:rsidTr="00363ADB">
        <w:trPr>
          <w:trHeight w:val="283"/>
          <w:jc w:val="center"/>
        </w:trPr>
        <w:tc>
          <w:tcPr>
            <w:tcW w:w="850" w:type="dxa"/>
            <w:vMerge w:val="restart"/>
            <w:tcBorders>
              <w:top w:val="single" w:sz="4" w:space="0" w:color="auto"/>
            </w:tcBorders>
            <w:noWrap/>
          </w:tcPr>
          <w:p w14:paraId="2C59E0B8" w14:textId="71679B82"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850" w:type="dxa"/>
            <w:vMerge w:val="restart"/>
            <w:tcBorders>
              <w:top w:val="single" w:sz="4" w:space="0" w:color="auto"/>
            </w:tcBorders>
            <w:noWrap/>
          </w:tcPr>
          <w:p w14:paraId="0F0EC1D2"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6,00</w:t>
            </w:r>
          </w:p>
        </w:tc>
        <w:tc>
          <w:tcPr>
            <w:tcW w:w="850" w:type="dxa"/>
            <w:vMerge w:val="restart"/>
            <w:tcBorders>
              <w:top w:val="single" w:sz="4" w:space="0" w:color="auto"/>
            </w:tcBorders>
            <w:noWrap/>
          </w:tcPr>
          <w:p w14:paraId="442E5A00"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850" w:type="dxa"/>
            <w:vMerge w:val="restart"/>
            <w:tcBorders>
              <w:top w:val="single" w:sz="4" w:space="0" w:color="auto"/>
            </w:tcBorders>
            <w:noWrap/>
          </w:tcPr>
          <w:p w14:paraId="413F7B21"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tcBorders>
              <w:top w:val="single" w:sz="4" w:space="0" w:color="auto"/>
            </w:tcBorders>
            <w:noWrap/>
            <w:vAlign w:val="center"/>
          </w:tcPr>
          <w:p w14:paraId="3B63859E"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tcBorders>
              <w:top w:val="single" w:sz="4" w:space="0" w:color="auto"/>
            </w:tcBorders>
            <w:noWrap/>
            <w:vAlign w:val="center"/>
          </w:tcPr>
          <w:p w14:paraId="7409D61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c>
          <w:tcPr>
            <w:tcW w:w="554" w:type="dxa"/>
            <w:tcBorders>
              <w:top w:val="single" w:sz="4" w:space="0" w:color="auto"/>
            </w:tcBorders>
            <w:noWrap/>
            <w:vAlign w:val="center"/>
          </w:tcPr>
          <w:p w14:paraId="3866119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w:t>
            </w:r>
          </w:p>
        </w:tc>
        <w:tc>
          <w:tcPr>
            <w:tcW w:w="554" w:type="dxa"/>
            <w:tcBorders>
              <w:top w:val="single" w:sz="4" w:space="0" w:color="auto"/>
            </w:tcBorders>
            <w:noWrap/>
            <w:vAlign w:val="center"/>
          </w:tcPr>
          <w:p w14:paraId="3EBD5F04" w14:textId="0E6BD89F"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tcBorders>
              <w:top w:val="single" w:sz="4" w:space="0" w:color="auto"/>
            </w:tcBorders>
            <w:noWrap/>
            <w:vAlign w:val="center"/>
          </w:tcPr>
          <w:p w14:paraId="01F2E6C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tcBorders>
              <w:top w:val="single" w:sz="4" w:space="0" w:color="auto"/>
            </w:tcBorders>
            <w:noWrap/>
            <w:vAlign w:val="center"/>
          </w:tcPr>
          <w:p w14:paraId="5E8C67B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tcBorders>
              <w:top w:val="single" w:sz="4" w:space="0" w:color="auto"/>
            </w:tcBorders>
            <w:noWrap/>
            <w:vAlign w:val="center"/>
          </w:tcPr>
          <w:p w14:paraId="4B72AD6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38</w:t>
            </w:r>
          </w:p>
        </w:tc>
        <w:tc>
          <w:tcPr>
            <w:tcW w:w="554" w:type="dxa"/>
            <w:tcBorders>
              <w:top w:val="single" w:sz="4" w:space="0" w:color="auto"/>
            </w:tcBorders>
            <w:noWrap/>
            <w:vAlign w:val="center"/>
          </w:tcPr>
          <w:p w14:paraId="0972E01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63" w:type="dxa"/>
            <w:tcBorders>
              <w:top w:val="single" w:sz="4" w:space="0" w:color="auto"/>
            </w:tcBorders>
            <w:noWrap/>
            <w:vAlign w:val="center"/>
          </w:tcPr>
          <w:p w14:paraId="170BE1D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w:t>
            </w:r>
          </w:p>
        </w:tc>
      </w:tr>
      <w:tr w:rsidR="00363ADB" w:rsidRPr="00455EA9" w14:paraId="41B6FF96" w14:textId="77777777" w:rsidTr="00363ADB">
        <w:trPr>
          <w:trHeight w:val="283"/>
          <w:jc w:val="center"/>
        </w:trPr>
        <w:tc>
          <w:tcPr>
            <w:tcW w:w="850" w:type="dxa"/>
            <w:vMerge/>
            <w:noWrap/>
          </w:tcPr>
          <w:p w14:paraId="24B2CF27"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AC1CF20"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833F529"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C510D84"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4C80893F"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7A1E1F4F"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33</w:t>
            </w:r>
          </w:p>
        </w:tc>
        <w:tc>
          <w:tcPr>
            <w:tcW w:w="554" w:type="dxa"/>
            <w:noWrap/>
            <w:vAlign w:val="center"/>
          </w:tcPr>
          <w:p w14:paraId="70A4095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54" w:type="dxa"/>
            <w:noWrap/>
            <w:vAlign w:val="center"/>
          </w:tcPr>
          <w:p w14:paraId="60074152" w14:textId="1A2B1AF2"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1161C43A"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6EB1ABF3"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311E830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29</w:t>
            </w:r>
          </w:p>
        </w:tc>
        <w:tc>
          <w:tcPr>
            <w:tcW w:w="554" w:type="dxa"/>
            <w:noWrap/>
            <w:vAlign w:val="center"/>
          </w:tcPr>
          <w:p w14:paraId="7A95D08D"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27</w:t>
            </w:r>
          </w:p>
        </w:tc>
        <w:tc>
          <w:tcPr>
            <w:tcW w:w="563" w:type="dxa"/>
            <w:noWrap/>
            <w:vAlign w:val="center"/>
          </w:tcPr>
          <w:p w14:paraId="606E9AB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r>
      <w:tr w:rsidR="00363ADB" w:rsidRPr="00455EA9" w14:paraId="02C630CA" w14:textId="77777777" w:rsidTr="00363ADB">
        <w:trPr>
          <w:trHeight w:val="283"/>
          <w:jc w:val="center"/>
        </w:trPr>
        <w:tc>
          <w:tcPr>
            <w:tcW w:w="850" w:type="dxa"/>
            <w:vMerge w:val="restart"/>
            <w:noWrap/>
          </w:tcPr>
          <w:p w14:paraId="27D71AE2" w14:textId="722DAF93"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c>
          <w:tcPr>
            <w:tcW w:w="850" w:type="dxa"/>
            <w:vMerge w:val="restart"/>
            <w:noWrap/>
          </w:tcPr>
          <w:p w14:paraId="022F1244"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6,00</w:t>
            </w:r>
          </w:p>
        </w:tc>
        <w:tc>
          <w:tcPr>
            <w:tcW w:w="850" w:type="dxa"/>
            <w:vMerge w:val="restart"/>
            <w:noWrap/>
          </w:tcPr>
          <w:p w14:paraId="62DC7D16"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3FB7B2A6"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054D6C3D"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063E2326"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21</w:t>
            </w:r>
          </w:p>
        </w:tc>
        <w:tc>
          <w:tcPr>
            <w:tcW w:w="554" w:type="dxa"/>
            <w:noWrap/>
            <w:vAlign w:val="center"/>
          </w:tcPr>
          <w:p w14:paraId="18D72B1E"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54" w:type="dxa"/>
            <w:noWrap/>
            <w:vAlign w:val="center"/>
          </w:tcPr>
          <w:p w14:paraId="119DEE3A" w14:textId="07F74C35"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54" w:type="dxa"/>
            <w:noWrap/>
            <w:vAlign w:val="center"/>
          </w:tcPr>
          <w:p w14:paraId="72C8CFC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noWrap/>
            <w:vAlign w:val="center"/>
          </w:tcPr>
          <w:p w14:paraId="1CD7112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01B9F0B2"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32</w:t>
            </w:r>
          </w:p>
        </w:tc>
        <w:tc>
          <w:tcPr>
            <w:tcW w:w="554" w:type="dxa"/>
            <w:noWrap/>
            <w:vAlign w:val="center"/>
          </w:tcPr>
          <w:p w14:paraId="555382E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28</w:t>
            </w:r>
          </w:p>
        </w:tc>
        <w:tc>
          <w:tcPr>
            <w:tcW w:w="563" w:type="dxa"/>
            <w:noWrap/>
            <w:vAlign w:val="center"/>
          </w:tcPr>
          <w:p w14:paraId="7FD0BDA4"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w:t>
            </w:r>
          </w:p>
        </w:tc>
      </w:tr>
      <w:tr w:rsidR="00363ADB" w:rsidRPr="00455EA9" w14:paraId="783B8AE9" w14:textId="77777777" w:rsidTr="00363ADB">
        <w:trPr>
          <w:trHeight w:val="283"/>
          <w:jc w:val="center"/>
        </w:trPr>
        <w:tc>
          <w:tcPr>
            <w:tcW w:w="850" w:type="dxa"/>
            <w:vMerge/>
            <w:noWrap/>
          </w:tcPr>
          <w:p w14:paraId="3ED085D6"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60AB2E31"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22180AA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0F5CB3DC"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726CAB94"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4DFF307F"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69</w:t>
            </w:r>
          </w:p>
        </w:tc>
        <w:tc>
          <w:tcPr>
            <w:tcW w:w="554" w:type="dxa"/>
            <w:noWrap/>
            <w:vAlign w:val="center"/>
          </w:tcPr>
          <w:p w14:paraId="51F448F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554" w:type="dxa"/>
            <w:noWrap/>
            <w:vAlign w:val="center"/>
          </w:tcPr>
          <w:p w14:paraId="23A0C503" w14:textId="272AE9B3"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69B2D94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0D468D2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66A1DD8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29</w:t>
            </w:r>
          </w:p>
        </w:tc>
        <w:tc>
          <w:tcPr>
            <w:tcW w:w="554" w:type="dxa"/>
            <w:noWrap/>
            <w:vAlign w:val="center"/>
          </w:tcPr>
          <w:p w14:paraId="6ABC14AD"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63" w:type="dxa"/>
            <w:noWrap/>
            <w:vAlign w:val="center"/>
          </w:tcPr>
          <w:p w14:paraId="4C72172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11</w:t>
            </w:r>
          </w:p>
        </w:tc>
      </w:tr>
      <w:tr w:rsidR="00363ADB" w:rsidRPr="00455EA9" w14:paraId="210AA6BE" w14:textId="77777777" w:rsidTr="00363ADB">
        <w:trPr>
          <w:trHeight w:val="283"/>
          <w:jc w:val="center"/>
        </w:trPr>
        <w:tc>
          <w:tcPr>
            <w:tcW w:w="850" w:type="dxa"/>
            <w:vMerge w:val="restart"/>
            <w:noWrap/>
          </w:tcPr>
          <w:p w14:paraId="66077FC9" w14:textId="1838BDD1"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w:t>
            </w:r>
          </w:p>
        </w:tc>
        <w:tc>
          <w:tcPr>
            <w:tcW w:w="850" w:type="dxa"/>
            <w:vMerge w:val="restart"/>
            <w:noWrap/>
          </w:tcPr>
          <w:p w14:paraId="48BE3C27"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6,00</w:t>
            </w:r>
          </w:p>
        </w:tc>
        <w:tc>
          <w:tcPr>
            <w:tcW w:w="850" w:type="dxa"/>
            <w:vMerge w:val="restart"/>
            <w:noWrap/>
          </w:tcPr>
          <w:p w14:paraId="451680DB"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850" w:type="dxa"/>
            <w:vMerge w:val="restart"/>
            <w:noWrap/>
          </w:tcPr>
          <w:p w14:paraId="0B5A1F7D"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1B76AE4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3309295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45</w:t>
            </w:r>
          </w:p>
        </w:tc>
        <w:tc>
          <w:tcPr>
            <w:tcW w:w="554" w:type="dxa"/>
            <w:noWrap/>
            <w:vAlign w:val="center"/>
          </w:tcPr>
          <w:p w14:paraId="0183F45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3E42034D" w14:textId="1D2C98FE"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05857C5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6CFED81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07B59C3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54" w:type="dxa"/>
            <w:noWrap/>
            <w:vAlign w:val="center"/>
          </w:tcPr>
          <w:p w14:paraId="5D36AF23"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63" w:type="dxa"/>
            <w:noWrap/>
            <w:vAlign w:val="center"/>
          </w:tcPr>
          <w:p w14:paraId="15E9C4A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r>
      <w:tr w:rsidR="00363ADB" w:rsidRPr="00455EA9" w14:paraId="64E57441" w14:textId="77777777" w:rsidTr="00363ADB">
        <w:trPr>
          <w:trHeight w:val="283"/>
          <w:jc w:val="center"/>
        </w:trPr>
        <w:tc>
          <w:tcPr>
            <w:tcW w:w="850" w:type="dxa"/>
            <w:vMerge/>
            <w:noWrap/>
          </w:tcPr>
          <w:p w14:paraId="616455A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613614B8"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2C5D41F"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2A679E14"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64281FA2"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725276C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89</w:t>
            </w:r>
          </w:p>
        </w:tc>
        <w:tc>
          <w:tcPr>
            <w:tcW w:w="554" w:type="dxa"/>
            <w:noWrap/>
            <w:vAlign w:val="center"/>
          </w:tcPr>
          <w:p w14:paraId="60A44DFE"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1A50FA0B" w14:textId="60A8515A"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54" w:type="dxa"/>
            <w:noWrap/>
            <w:vAlign w:val="center"/>
          </w:tcPr>
          <w:p w14:paraId="2F9539A2"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0AD0DA3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094F313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23</w:t>
            </w:r>
          </w:p>
        </w:tc>
        <w:tc>
          <w:tcPr>
            <w:tcW w:w="554" w:type="dxa"/>
            <w:noWrap/>
            <w:vAlign w:val="center"/>
          </w:tcPr>
          <w:p w14:paraId="3E1FD34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563" w:type="dxa"/>
            <w:noWrap/>
            <w:vAlign w:val="center"/>
          </w:tcPr>
          <w:p w14:paraId="65F97C3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458767DA" w14:textId="77777777" w:rsidTr="00363ADB">
        <w:trPr>
          <w:trHeight w:val="283"/>
          <w:jc w:val="center"/>
        </w:trPr>
        <w:tc>
          <w:tcPr>
            <w:tcW w:w="850" w:type="dxa"/>
            <w:vMerge w:val="restart"/>
            <w:noWrap/>
          </w:tcPr>
          <w:p w14:paraId="782FDB4F" w14:textId="71C76ABA"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c>
          <w:tcPr>
            <w:tcW w:w="850" w:type="dxa"/>
            <w:vMerge w:val="restart"/>
            <w:noWrap/>
          </w:tcPr>
          <w:p w14:paraId="5EFD5C9C"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6,00</w:t>
            </w:r>
          </w:p>
        </w:tc>
        <w:tc>
          <w:tcPr>
            <w:tcW w:w="850" w:type="dxa"/>
            <w:vMerge w:val="restart"/>
            <w:noWrap/>
          </w:tcPr>
          <w:p w14:paraId="38D6B0B4"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1F45AFAD"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40</w:t>
            </w:r>
          </w:p>
        </w:tc>
        <w:tc>
          <w:tcPr>
            <w:tcW w:w="850" w:type="dxa"/>
            <w:noWrap/>
            <w:vAlign w:val="center"/>
          </w:tcPr>
          <w:p w14:paraId="4F7141D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46F86FB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38</w:t>
            </w:r>
          </w:p>
        </w:tc>
        <w:tc>
          <w:tcPr>
            <w:tcW w:w="554" w:type="dxa"/>
            <w:noWrap/>
            <w:vAlign w:val="center"/>
          </w:tcPr>
          <w:p w14:paraId="43E35ED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54" w:type="dxa"/>
            <w:noWrap/>
            <w:vAlign w:val="center"/>
          </w:tcPr>
          <w:p w14:paraId="04B9DB90" w14:textId="78B52A8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54" w:type="dxa"/>
            <w:noWrap/>
            <w:vAlign w:val="center"/>
          </w:tcPr>
          <w:p w14:paraId="6928D00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54" w:type="dxa"/>
            <w:noWrap/>
            <w:vAlign w:val="center"/>
          </w:tcPr>
          <w:p w14:paraId="5DC220B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7B6D195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28</w:t>
            </w:r>
          </w:p>
        </w:tc>
        <w:tc>
          <w:tcPr>
            <w:tcW w:w="554" w:type="dxa"/>
            <w:noWrap/>
            <w:vAlign w:val="center"/>
          </w:tcPr>
          <w:p w14:paraId="23710B4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28</w:t>
            </w:r>
          </w:p>
        </w:tc>
        <w:tc>
          <w:tcPr>
            <w:tcW w:w="563" w:type="dxa"/>
            <w:noWrap/>
            <w:vAlign w:val="center"/>
          </w:tcPr>
          <w:p w14:paraId="42CB388D"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r>
      <w:tr w:rsidR="00363ADB" w:rsidRPr="00455EA9" w14:paraId="2046C63A" w14:textId="77777777" w:rsidTr="00363ADB">
        <w:trPr>
          <w:trHeight w:val="283"/>
          <w:jc w:val="center"/>
        </w:trPr>
        <w:tc>
          <w:tcPr>
            <w:tcW w:w="850" w:type="dxa"/>
            <w:vMerge/>
            <w:noWrap/>
          </w:tcPr>
          <w:p w14:paraId="5787D640"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113341C0"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66E16D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86E7FB4"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422621B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4BE73C2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68</w:t>
            </w:r>
          </w:p>
        </w:tc>
        <w:tc>
          <w:tcPr>
            <w:tcW w:w="554" w:type="dxa"/>
            <w:noWrap/>
            <w:vAlign w:val="center"/>
          </w:tcPr>
          <w:p w14:paraId="00FC38A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w:t>
            </w:r>
          </w:p>
        </w:tc>
        <w:tc>
          <w:tcPr>
            <w:tcW w:w="554" w:type="dxa"/>
            <w:noWrap/>
            <w:vAlign w:val="center"/>
          </w:tcPr>
          <w:p w14:paraId="6716423F" w14:textId="42F65FF1"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16</w:t>
            </w:r>
          </w:p>
        </w:tc>
        <w:tc>
          <w:tcPr>
            <w:tcW w:w="554" w:type="dxa"/>
            <w:noWrap/>
            <w:vAlign w:val="center"/>
          </w:tcPr>
          <w:p w14:paraId="5BF85416"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17</w:t>
            </w:r>
          </w:p>
        </w:tc>
        <w:tc>
          <w:tcPr>
            <w:tcW w:w="554" w:type="dxa"/>
            <w:noWrap/>
            <w:vAlign w:val="center"/>
          </w:tcPr>
          <w:p w14:paraId="60BEB63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0F606CB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26</w:t>
            </w:r>
          </w:p>
        </w:tc>
        <w:tc>
          <w:tcPr>
            <w:tcW w:w="554" w:type="dxa"/>
            <w:noWrap/>
            <w:vAlign w:val="center"/>
          </w:tcPr>
          <w:p w14:paraId="01376613"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63" w:type="dxa"/>
            <w:noWrap/>
            <w:vAlign w:val="center"/>
          </w:tcPr>
          <w:p w14:paraId="4553A63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r>
      <w:tr w:rsidR="00363ADB" w:rsidRPr="00455EA9" w14:paraId="67A7B780" w14:textId="77777777" w:rsidTr="00363ADB">
        <w:trPr>
          <w:trHeight w:val="283"/>
          <w:jc w:val="center"/>
        </w:trPr>
        <w:tc>
          <w:tcPr>
            <w:tcW w:w="850" w:type="dxa"/>
            <w:vMerge w:val="restart"/>
            <w:noWrap/>
          </w:tcPr>
          <w:p w14:paraId="70AC9476" w14:textId="2FC39129"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850" w:type="dxa"/>
            <w:vMerge w:val="restart"/>
            <w:noWrap/>
          </w:tcPr>
          <w:p w14:paraId="27C8570C"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6,00</w:t>
            </w:r>
          </w:p>
        </w:tc>
        <w:tc>
          <w:tcPr>
            <w:tcW w:w="850" w:type="dxa"/>
            <w:vMerge w:val="restart"/>
            <w:noWrap/>
          </w:tcPr>
          <w:p w14:paraId="4BC03BA7"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28BD5CC5"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80</w:t>
            </w:r>
          </w:p>
        </w:tc>
        <w:tc>
          <w:tcPr>
            <w:tcW w:w="850" w:type="dxa"/>
            <w:noWrap/>
            <w:vAlign w:val="center"/>
          </w:tcPr>
          <w:p w14:paraId="039CC903"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30D82A9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55</w:t>
            </w:r>
          </w:p>
        </w:tc>
        <w:tc>
          <w:tcPr>
            <w:tcW w:w="554" w:type="dxa"/>
            <w:noWrap/>
            <w:vAlign w:val="center"/>
          </w:tcPr>
          <w:p w14:paraId="6FE6CD0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04546E26" w14:textId="1ADAEC3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36124AC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18</w:t>
            </w:r>
          </w:p>
        </w:tc>
        <w:tc>
          <w:tcPr>
            <w:tcW w:w="554" w:type="dxa"/>
            <w:noWrap/>
            <w:vAlign w:val="center"/>
          </w:tcPr>
          <w:p w14:paraId="76CC4747"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15D76076"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21</w:t>
            </w:r>
          </w:p>
        </w:tc>
        <w:tc>
          <w:tcPr>
            <w:tcW w:w="554" w:type="dxa"/>
            <w:noWrap/>
            <w:vAlign w:val="center"/>
          </w:tcPr>
          <w:p w14:paraId="029C577A"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23</w:t>
            </w:r>
          </w:p>
        </w:tc>
        <w:tc>
          <w:tcPr>
            <w:tcW w:w="563" w:type="dxa"/>
            <w:noWrap/>
            <w:vAlign w:val="center"/>
          </w:tcPr>
          <w:p w14:paraId="42D4972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7F530445" w14:textId="77777777" w:rsidTr="00363ADB">
        <w:trPr>
          <w:trHeight w:val="283"/>
          <w:jc w:val="center"/>
        </w:trPr>
        <w:tc>
          <w:tcPr>
            <w:tcW w:w="850" w:type="dxa"/>
            <w:vMerge/>
            <w:noWrap/>
          </w:tcPr>
          <w:p w14:paraId="66873EC6"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6D801907"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664D1F58"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37B87246"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3A04B23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61357FB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77</w:t>
            </w:r>
          </w:p>
        </w:tc>
        <w:tc>
          <w:tcPr>
            <w:tcW w:w="554" w:type="dxa"/>
            <w:noWrap/>
            <w:vAlign w:val="center"/>
          </w:tcPr>
          <w:p w14:paraId="5C721906"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31</w:t>
            </w:r>
          </w:p>
        </w:tc>
        <w:tc>
          <w:tcPr>
            <w:tcW w:w="554" w:type="dxa"/>
            <w:noWrap/>
            <w:vAlign w:val="center"/>
          </w:tcPr>
          <w:p w14:paraId="2036F132" w14:textId="7FED9E6B"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54" w:type="dxa"/>
            <w:noWrap/>
            <w:vAlign w:val="center"/>
          </w:tcPr>
          <w:p w14:paraId="76CFC1D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21</w:t>
            </w:r>
          </w:p>
        </w:tc>
        <w:tc>
          <w:tcPr>
            <w:tcW w:w="554" w:type="dxa"/>
            <w:noWrap/>
            <w:vAlign w:val="center"/>
          </w:tcPr>
          <w:p w14:paraId="1B4D05B1"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74E01903"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14</w:t>
            </w:r>
          </w:p>
        </w:tc>
        <w:tc>
          <w:tcPr>
            <w:tcW w:w="554" w:type="dxa"/>
            <w:noWrap/>
            <w:vAlign w:val="center"/>
          </w:tcPr>
          <w:p w14:paraId="542C6D64"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c>
          <w:tcPr>
            <w:tcW w:w="563" w:type="dxa"/>
            <w:noWrap/>
            <w:vAlign w:val="center"/>
          </w:tcPr>
          <w:p w14:paraId="476D855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77</w:t>
            </w:r>
          </w:p>
        </w:tc>
      </w:tr>
      <w:tr w:rsidR="00363ADB" w:rsidRPr="00455EA9" w14:paraId="418B7D48" w14:textId="77777777" w:rsidTr="00363ADB">
        <w:trPr>
          <w:trHeight w:val="283"/>
          <w:jc w:val="center"/>
        </w:trPr>
        <w:tc>
          <w:tcPr>
            <w:tcW w:w="850" w:type="dxa"/>
            <w:vMerge w:val="restart"/>
            <w:noWrap/>
          </w:tcPr>
          <w:p w14:paraId="253F6307" w14:textId="5534B345"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6</w:t>
            </w:r>
          </w:p>
        </w:tc>
        <w:tc>
          <w:tcPr>
            <w:tcW w:w="850" w:type="dxa"/>
            <w:vMerge w:val="restart"/>
            <w:noWrap/>
          </w:tcPr>
          <w:p w14:paraId="0BC6D020"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3,00</w:t>
            </w:r>
          </w:p>
        </w:tc>
        <w:tc>
          <w:tcPr>
            <w:tcW w:w="850" w:type="dxa"/>
            <w:vMerge w:val="restart"/>
            <w:noWrap/>
          </w:tcPr>
          <w:p w14:paraId="652B012A"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850" w:type="dxa"/>
            <w:vMerge w:val="restart"/>
            <w:noWrap/>
          </w:tcPr>
          <w:p w14:paraId="3DD8822C" w14:textId="77777777"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850" w:type="dxa"/>
            <w:noWrap/>
            <w:vAlign w:val="center"/>
          </w:tcPr>
          <w:p w14:paraId="3606AAA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417" w:type="dxa"/>
            <w:noWrap/>
            <w:vAlign w:val="center"/>
          </w:tcPr>
          <w:p w14:paraId="38CC916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20</w:t>
            </w:r>
          </w:p>
        </w:tc>
        <w:tc>
          <w:tcPr>
            <w:tcW w:w="554" w:type="dxa"/>
            <w:noWrap/>
            <w:vAlign w:val="center"/>
          </w:tcPr>
          <w:p w14:paraId="1AF29E4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w:t>
            </w:r>
          </w:p>
        </w:tc>
        <w:tc>
          <w:tcPr>
            <w:tcW w:w="554" w:type="dxa"/>
            <w:noWrap/>
            <w:vAlign w:val="center"/>
          </w:tcPr>
          <w:p w14:paraId="68AF6B7A" w14:textId="02DE9809"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noWrap/>
            <w:vAlign w:val="center"/>
          </w:tcPr>
          <w:p w14:paraId="2CBB050F"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noWrap/>
            <w:vAlign w:val="center"/>
          </w:tcPr>
          <w:p w14:paraId="1DBDCCD8"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15683D62"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36</w:t>
            </w:r>
          </w:p>
        </w:tc>
        <w:tc>
          <w:tcPr>
            <w:tcW w:w="554" w:type="dxa"/>
            <w:noWrap/>
            <w:vAlign w:val="center"/>
          </w:tcPr>
          <w:p w14:paraId="5B0793F2"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28</w:t>
            </w:r>
          </w:p>
        </w:tc>
        <w:tc>
          <w:tcPr>
            <w:tcW w:w="563" w:type="dxa"/>
            <w:noWrap/>
            <w:vAlign w:val="center"/>
          </w:tcPr>
          <w:p w14:paraId="4CC37F5C"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17D67F5E" w14:textId="77777777" w:rsidTr="00363ADB">
        <w:trPr>
          <w:trHeight w:val="283"/>
          <w:jc w:val="center"/>
        </w:trPr>
        <w:tc>
          <w:tcPr>
            <w:tcW w:w="850" w:type="dxa"/>
            <w:vMerge/>
            <w:noWrap/>
          </w:tcPr>
          <w:p w14:paraId="6FA68F7E"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63DBCD42"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025E39D1"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vMerge/>
            <w:noWrap/>
          </w:tcPr>
          <w:p w14:paraId="73DCBC6C" w14:textId="77777777" w:rsidR="00363ADB" w:rsidRPr="00255FB7" w:rsidRDefault="00363ADB" w:rsidP="00C95DF7">
            <w:pPr>
              <w:spacing w:line="276" w:lineRule="auto"/>
              <w:jc w:val="center"/>
              <w:rPr>
                <w:rFonts w:ascii="Times New Roman" w:hAnsi="Times New Roman" w:cs="Times New Roman"/>
                <w:sz w:val="20"/>
                <w:szCs w:val="20"/>
              </w:rPr>
            </w:pPr>
          </w:p>
        </w:tc>
        <w:tc>
          <w:tcPr>
            <w:tcW w:w="850" w:type="dxa"/>
            <w:noWrap/>
            <w:vAlign w:val="center"/>
          </w:tcPr>
          <w:p w14:paraId="76356F9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417" w:type="dxa"/>
            <w:noWrap/>
            <w:vAlign w:val="center"/>
          </w:tcPr>
          <w:p w14:paraId="7B0734CB"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47</w:t>
            </w:r>
          </w:p>
        </w:tc>
        <w:tc>
          <w:tcPr>
            <w:tcW w:w="554" w:type="dxa"/>
            <w:noWrap/>
            <w:vAlign w:val="center"/>
          </w:tcPr>
          <w:p w14:paraId="5E814575"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noWrap/>
            <w:vAlign w:val="center"/>
          </w:tcPr>
          <w:p w14:paraId="20528122" w14:textId="44FBBC59"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c>
          <w:tcPr>
            <w:tcW w:w="554" w:type="dxa"/>
            <w:noWrap/>
            <w:vAlign w:val="center"/>
          </w:tcPr>
          <w:p w14:paraId="1830B0D9"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14</w:t>
            </w:r>
          </w:p>
        </w:tc>
        <w:tc>
          <w:tcPr>
            <w:tcW w:w="554" w:type="dxa"/>
            <w:noWrap/>
            <w:vAlign w:val="center"/>
          </w:tcPr>
          <w:p w14:paraId="1EFD30DA"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54" w:type="dxa"/>
            <w:noWrap/>
            <w:vAlign w:val="center"/>
          </w:tcPr>
          <w:p w14:paraId="7247E1A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34</w:t>
            </w:r>
          </w:p>
        </w:tc>
        <w:tc>
          <w:tcPr>
            <w:tcW w:w="554" w:type="dxa"/>
            <w:noWrap/>
            <w:vAlign w:val="center"/>
          </w:tcPr>
          <w:p w14:paraId="4AA7AD70"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24</w:t>
            </w:r>
          </w:p>
        </w:tc>
        <w:tc>
          <w:tcPr>
            <w:tcW w:w="563" w:type="dxa"/>
            <w:noWrap/>
            <w:vAlign w:val="center"/>
          </w:tcPr>
          <w:p w14:paraId="1DB57456" w14:textId="77777777" w:rsidR="00363ADB" w:rsidRPr="00255FB7" w:rsidRDefault="00363ADB" w:rsidP="00CB0BAD">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4</w:t>
            </w:r>
          </w:p>
        </w:tc>
      </w:tr>
      <w:tr w:rsidR="00363ADB" w:rsidRPr="00455EA9" w14:paraId="7FD54199" w14:textId="77777777" w:rsidTr="00363ADB">
        <w:trPr>
          <w:trHeight w:val="283"/>
          <w:jc w:val="center"/>
        </w:trPr>
        <w:tc>
          <w:tcPr>
            <w:tcW w:w="850" w:type="dxa"/>
            <w:vMerge w:val="restart"/>
            <w:noWrap/>
            <w:hideMark/>
          </w:tcPr>
          <w:p w14:paraId="4640B57D" w14:textId="3EE1D55A" w:rsidR="00363ADB" w:rsidRPr="00455EA9" w:rsidRDefault="00363ADB" w:rsidP="00C95DF7">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7</w:t>
            </w:r>
          </w:p>
        </w:tc>
        <w:tc>
          <w:tcPr>
            <w:tcW w:w="850" w:type="dxa"/>
            <w:vMerge w:val="restart"/>
            <w:noWrap/>
            <w:hideMark/>
          </w:tcPr>
          <w:p w14:paraId="3B7F5DF8" w14:textId="77777777" w:rsidR="00363ADB" w:rsidRPr="00455EA9" w:rsidRDefault="00363ADB" w:rsidP="00C95DF7">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12,00</w:t>
            </w:r>
          </w:p>
        </w:tc>
        <w:tc>
          <w:tcPr>
            <w:tcW w:w="850" w:type="dxa"/>
            <w:vMerge w:val="restart"/>
            <w:noWrap/>
            <w:hideMark/>
          </w:tcPr>
          <w:p w14:paraId="2044B99B" w14:textId="77777777" w:rsidR="00363ADB" w:rsidRPr="00455EA9" w:rsidRDefault="00363ADB" w:rsidP="00C95DF7">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850" w:type="dxa"/>
            <w:vMerge w:val="restart"/>
            <w:noWrap/>
            <w:hideMark/>
          </w:tcPr>
          <w:p w14:paraId="07911FDE" w14:textId="77777777" w:rsidR="00363ADB" w:rsidRPr="00455EA9" w:rsidRDefault="00363ADB" w:rsidP="00C95DF7">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25</w:t>
            </w:r>
          </w:p>
        </w:tc>
        <w:tc>
          <w:tcPr>
            <w:tcW w:w="850" w:type="dxa"/>
            <w:noWrap/>
            <w:vAlign w:val="center"/>
          </w:tcPr>
          <w:p w14:paraId="65802FBC"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w:t>
            </w:r>
          </w:p>
        </w:tc>
        <w:tc>
          <w:tcPr>
            <w:tcW w:w="1417" w:type="dxa"/>
            <w:noWrap/>
            <w:vAlign w:val="center"/>
          </w:tcPr>
          <w:p w14:paraId="01B41FF5"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25</w:t>
            </w:r>
          </w:p>
        </w:tc>
        <w:tc>
          <w:tcPr>
            <w:tcW w:w="554" w:type="dxa"/>
            <w:noWrap/>
            <w:vAlign w:val="center"/>
          </w:tcPr>
          <w:p w14:paraId="763AB99D"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5</w:t>
            </w:r>
          </w:p>
        </w:tc>
        <w:tc>
          <w:tcPr>
            <w:tcW w:w="554" w:type="dxa"/>
            <w:noWrap/>
            <w:vAlign w:val="center"/>
          </w:tcPr>
          <w:p w14:paraId="45EFC468" w14:textId="1C8008CD"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19</w:t>
            </w:r>
          </w:p>
        </w:tc>
        <w:tc>
          <w:tcPr>
            <w:tcW w:w="554" w:type="dxa"/>
            <w:noWrap/>
            <w:vAlign w:val="center"/>
          </w:tcPr>
          <w:p w14:paraId="1A4EAAD1"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14</w:t>
            </w:r>
          </w:p>
        </w:tc>
        <w:tc>
          <w:tcPr>
            <w:tcW w:w="554" w:type="dxa"/>
            <w:noWrap/>
            <w:vAlign w:val="center"/>
          </w:tcPr>
          <w:p w14:paraId="56FBD004"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0</w:t>
            </w:r>
          </w:p>
        </w:tc>
        <w:tc>
          <w:tcPr>
            <w:tcW w:w="554" w:type="dxa"/>
            <w:noWrap/>
            <w:vAlign w:val="center"/>
          </w:tcPr>
          <w:p w14:paraId="15681D38"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29</w:t>
            </w:r>
          </w:p>
        </w:tc>
        <w:tc>
          <w:tcPr>
            <w:tcW w:w="554" w:type="dxa"/>
            <w:noWrap/>
            <w:vAlign w:val="center"/>
          </w:tcPr>
          <w:p w14:paraId="5635B92C"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29</w:t>
            </w:r>
          </w:p>
        </w:tc>
        <w:tc>
          <w:tcPr>
            <w:tcW w:w="563" w:type="dxa"/>
            <w:noWrap/>
            <w:vAlign w:val="center"/>
          </w:tcPr>
          <w:p w14:paraId="660D9FEE"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5</w:t>
            </w:r>
          </w:p>
        </w:tc>
      </w:tr>
      <w:tr w:rsidR="00363ADB" w:rsidRPr="00455EA9" w14:paraId="301802DE" w14:textId="77777777" w:rsidTr="00363ADB">
        <w:trPr>
          <w:trHeight w:val="283"/>
          <w:jc w:val="center"/>
        </w:trPr>
        <w:tc>
          <w:tcPr>
            <w:tcW w:w="850" w:type="dxa"/>
            <w:vMerge/>
            <w:tcBorders>
              <w:bottom w:val="single" w:sz="4" w:space="0" w:color="auto"/>
            </w:tcBorders>
            <w:noWrap/>
            <w:vAlign w:val="center"/>
            <w:hideMark/>
          </w:tcPr>
          <w:p w14:paraId="6D68CB80" w14:textId="77777777" w:rsidR="00363ADB" w:rsidRPr="00455EA9" w:rsidRDefault="00363ADB" w:rsidP="00CB0BAD">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6853ECBA" w14:textId="77777777" w:rsidR="00363ADB" w:rsidRPr="00455EA9" w:rsidRDefault="00363ADB" w:rsidP="00CB0BAD">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76AD85E4" w14:textId="77777777" w:rsidR="00363ADB" w:rsidRPr="00455EA9" w:rsidRDefault="00363ADB" w:rsidP="00CB0BAD">
            <w:pPr>
              <w:spacing w:line="276" w:lineRule="auto"/>
              <w:jc w:val="center"/>
              <w:rPr>
                <w:rFonts w:ascii="Times New Roman" w:hAnsi="Times New Roman" w:cs="Times New Roman"/>
                <w:sz w:val="20"/>
                <w:szCs w:val="20"/>
              </w:rPr>
            </w:pPr>
          </w:p>
        </w:tc>
        <w:tc>
          <w:tcPr>
            <w:tcW w:w="850" w:type="dxa"/>
            <w:vMerge/>
            <w:tcBorders>
              <w:bottom w:val="single" w:sz="4" w:space="0" w:color="auto"/>
            </w:tcBorders>
            <w:noWrap/>
            <w:vAlign w:val="center"/>
          </w:tcPr>
          <w:p w14:paraId="79F6725D" w14:textId="77777777" w:rsidR="00363ADB" w:rsidRPr="00455EA9" w:rsidRDefault="00363ADB" w:rsidP="00CB0BAD">
            <w:pPr>
              <w:spacing w:line="276" w:lineRule="auto"/>
              <w:jc w:val="center"/>
              <w:rPr>
                <w:rFonts w:ascii="Times New Roman" w:hAnsi="Times New Roman" w:cs="Times New Roman"/>
                <w:sz w:val="20"/>
                <w:szCs w:val="20"/>
              </w:rPr>
            </w:pPr>
          </w:p>
        </w:tc>
        <w:tc>
          <w:tcPr>
            <w:tcW w:w="850" w:type="dxa"/>
            <w:tcBorders>
              <w:bottom w:val="single" w:sz="4" w:space="0" w:color="auto"/>
            </w:tcBorders>
            <w:noWrap/>
            <w:vAlign w:val="center"/>
          </w:tcPr>
          <w:p w14:paraId="7E8E4168"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1417" w:type="dxa"/>
            <w:tcBorders>
              <w:bottom w:val="single" w:sz="4" w:space="0" w:color="auto"/>
            </w:tcBorders>
            <w:noWrap/>
            <w:vAlign w:val="center"/>
          </w:tcPr>
          <w:p w14:paraId="32703B14"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76</w:t>
            </w:r>
          </w:p>
        </w:tc>
        <w:tc>
          <w:tcPr>
            <w:tcW w:w="554" w:type="dxa"/>
            <w:tcBorders>
              <w:bottom w:val="single" w:sz="4" w:space="0" w:color="auto"/>
            </w:tcBorders>
            <w:noWrap/>
            <w:vAlign w:val="center"/>
          </w:tcPr>
          <w:p w14:paraId="16973154"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5</w:t>
            </w:r>
          </w:p>
        </w:tc>
        <w:tc>
          <w:tcPr>
            <w:tcW w:w="554" w:type="dxa"/>
            <w:tcBorders>
              <w:bottom w:val="single" w:sz="4" w:space="0" w:color="auto"/>
            </w:tcBorders>
            <w:noWrap/>
            <w:vAlign w:val="center"/>
          </w:tcPr>
          <w:p w14:paraId="414C2CCC" w14:textId="30198B96"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18</w:t>
            </w:r>
          </w:p>
        </w:tc>
        <w:tc>
          <w:tcPr>
            <w:tcW w:w="554" w:type="dxa"/>
            <w:tcBorders>
              <w:bottom w:val="single" w:sz="4" w:space="0" w:color="auto"/>
            </w:tcBorders>
            <w:noWrap/>
            <w:vAlign w:val="center"/>
          </w:tcPr>
          <w:p w14:paraId="225F5A50"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18</w:t>
            </w:r>
          </w:p>
        </w:tc>
        <w:tc>
          <w:tcPr>
            <w:tcW w:w="554" w:type="dxa"/>
            <w:tcBorders>
              <w:bottom w:val="single" w:sz="4" w:space="0" w:color="auto"/>
            </w:tcBorders>
            <w:noWrap/>
            <w:vAlign w:val="center"/>
          </w:tcPr>
          <w:p w14:paraId="3F187E7D"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0</w:t>
            </w:r>
          </w:p>
        </w:tc>
        <w:tc>
          <w:tcPr>
            <w:tcW w:w="554" w:type="dxa"/>
            <w:tcBorders>
              <w:bottom w:val="single" w:sz="4" w:space="0" w:color="auto"/>
            </w:tcBorders>
            <w:noWrap/>
            <w:vAlign w:val="center"/>
          </w:tcPr>
          <w:p w14:paraId="29B94991"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22</w:t>
            </w:r>
          </w:p>
        </w:tc>
        <w:tc>
          <w:tcPr>
            <w:tcW w:w="554" w:type="dxa"/>
            <w:tcBorders>
              <w:bottom w:val="single" w:sz="4" w:space="0" w:color="auto"/>
            </w:tcBorders>
            <w:noWrap/>
            <w:vAlign w:val="center"/>
          </w:tcPr>
          <w:p w14:paraId="44481671"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24</w:t>
            </w:r>
          </w:p>
        </w:tc>
        <w:tc>
          <w:tcPr>
            <w:tcW w:w="563" w:type="dxa"/>
            <w:tcBorders>
              <w:bottom w:val="single" w:sz="4" w:space="0" w:color="auto"/>
            </w:tcBorders>
            <w:noWrap/>
            <w:vAlign w:val="center"/>
          </w:tcPr>
          <w:p w14:paraId="1C91D3EE" w14:textId="77777777" w:rsidR="00363ADB" w:rsidRPr="00455EA9" w:rsidRDefault="00363ADB" w:rsidP="00CB0BAD">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11</w:t>
            </w:r>
          </w:p>
        </w:tc>
      </w:tr>
    </w:tbl>
    <w:p w14:paraId="00DDB557" w14:textId="2E4055BA" w:rsidR="0072251E" w:rsidRPr="004D4B3A" w:rsidRDefault="0072251E" w:rsidP="00363ADB">
      <w:pPr>
        <w:pStyle w:val="TAMainText"/>
        <w:ind w:left="426" w:right="423" w:firstLine="0"/>
        <w:rPr>
          <w:rFonts w:ascii="Times New Roman" w:hAnsi="Times New Roman"/>
          <w:sz w:val="18"/>
          <w:szCs w:val="18"/>
          <w:lang w:val="pt-BR"/>
        </w:rPr>
      </w:pPr>
      <w:r w:rsidRPr="004D4B3A">
        <w:rPr>
          <w:rFonts w:ascii="Times New Roman" w:hAnsi="Times New Roman"/>
          <w:sz w:val="18"/>
          <w:szCs w:val="18"/>
          <w:lang w:val="pt-BR"/>
        </w:rPr>
        <w:t>a: Condições reacionais: undecano (padrão interno) = 0,30 mmol; 1,8-cineol = 0,45 mmol; volume reacional = 3,00 mL. Conversões e seletividades por CG. b: IL = isômeros do limoneno</w:t>
      </w:r>
      <w:r w:rsidR="00284E2C" w:rsidRPr="004D4B3A">
        <w:rPr>
          <w:rFonts w:ascii="Times New Roman" w:hAnsi="Times New Roman"/>
          <w:sz w:val="18"/>
          <w:szCs w:val="18"/>
          <w:lang w:val="pt-BR"/>
        </w:rPr>
        <w:t xml:space="preserve">. </w:t>
      </w:r>
      <w:r w:rsidRPr="004D4B3A">
        <w:rPr>
          <w:rFonts w:ascii="Times New Roman" w:hAnsi="Times New Roman"/>
          <w:sz w:val="18"/>
          <w:szCs w:val="18"/>
          <w:lang w:val="pt-BR"/>
        </w:rPr>
        <w:t xml:space="preserve">c: DA = diacetatos do </w:t>
      </w:r>
      <w:r w:rsidR="004A22D2">
        <w:rPr>
          <w:rFonts w:ascii="Times New Roman" w:hAnsi="Times New Roman"/>
          <w:sz w:val="18"/>
          <w:szCs w:val="18"/>
          <w:lang w:val="pt-BR"/>
        </w:rPr>
        <w:t>terpenila</w:t>
      </w:r>
      <w:r w:rsidR="00284E2C" w:rsidRPr="004D4B3A">
        <w:rPr>
          <w:rFonts w:ascii="Times New Roman" w:hAnsi="Times New Roman"/>
          <w:sz w:val="18"/>
          <w:szCs w:val="18"/>
          <w:lang w:val="pt-BR"/>
        </w:rPr>
        <w:t>.</w:t>
      </w:r>
    </w:p>
    <w:p w14:paraId="548273E4" w14:textId="77777777" w:rsidR="0072251E" w:rsidRPr="004D4B3A" w:rsidRDefault="0072251E" w:rsidP="0072251E">
      <w:pPr>
        <w:pStyle w:val="TAMainText"/>
        <w:ind w:firstLine="187"/>
        <w:rPr>
          <w:rFonts w:ascii="Times New Roman" w:hAnsi="Times New Roman"/>
          <w:lang w:val="pt-BR"/>
        </w:rPr>
      </w:pPr>
    </w:p>
    <w:p w14:paraId="606BEAD4" w14:textId="77777777" w:rsidR="000327B5" w:rsidRPr="004D4B3A" w:rsidRDefault="000327B5" w:rsidP="0072251E">
      <w:pPr>
        <w:pStyle w:val="TAMainText"/>
        <w:ind w:firstLine="187"/>
        <w:rPr>
          <w:rFonts w:ascii="Times New Roman" w:hAnsi="Times New Roman"/>
          <w:lang w:val="pt-BR"/>
        </w:rPr>
        <w:sectPr w:rsidR="000327B5" w:rsidRPr="004D4B3A" w:rsidSect="00A84828">
          <w:type w:val="continuous"/>
          <w:pgSz w:w="11906" w:h="16838"/>
          <w:pgMar w:top="1134" w:right="851" w:bottom="851" w:left="851" w:header="709" w:footer="709" w:gutter="0"/>
          <w:cols w:space="708"/>
          <w:docGrid w:linePitch="360"/>
        </w:sectPr>
      </w:pPr>
    </w:p>
    <w:p w14:paraId="4F4AC520" w14:textId="22073EFD" w:rsidR="007D6A73" w:rsidRPr="00CA1015" w:rsidRDefault="007D6A73" w:rsidP="0072251E">
      <w:pPr>
        <w:pStyle w:val="TAMainText"/>
        <w:ind w:firstLine="187"/>
        <w:rPr>
          <w:rFonts w:ascii="Times New Roman" w:hAnsi="Times New Roman"/>
          <w:lang w:val="pt-BR"/>
        </w:rPr>
      </w:pPr>
      <w:r w:rsidRPr="00CA1015">
        <w:rPr>
          <w:rFonts w:ascii="Times New Roman" w:hAnsi="Times New Roman"/>
          <w:lang w:val="pt-BR"/>
        </w:rPr>
        <w:t>Os resultados dos estudos do efeito das variações das condições de reação para o substrato 1,8-cineol foram semelhantes ao 1,4-cineol</w:t>
      </w:r>
      <w:r w:rsidR="00CF454D" w:rsidRPr="00CA1015">
        <w:rPr>
          <w:rFonts w:ascii="Times New Roman" w:hAnsi="Times New Roman"/>
          <w:lang w:val="pt-BR"/>
        </w:rPr>
        <w:t xml:space="preserve">, conforme apresentado na Tabela 2. </w:t>
      </w:r>
      <w:r w:rsidRPr="00CA1015">
        <w:rPr>
          <w:rFonts w:ascii="Times New Roman" w:hAnsi="Times New Roman"/>
          <w:lang w:val="pt-BR"/>
        </w:rPr>
        <w:t xml:space="preserve">No entanto, formou-se </w:t>
      </w:r>
      <w:r w:rsidR="00CF454D" w:rsidRPr="00CA1015">
        <w:rPr>
          <w:rFonts w:ascii="Times New Roman" w:hAnsi="Times New Roman"/>
          <w:lang w:val="pt-BR"/>
        </w:rPr>
        <w:t>com</w:t>
      </w:r>
      <w:r w:rsidR="00CA1015" w:rsidRPr="00CA1015">
        <w:rPr>
          <w:rFonts w:ascii="Times New Roman" w:hAnsi="Times New Roman"/>
          <w:lang w:val="pt-BR"/>
        </w:rPr>
        <w:t>o</w:t>
      </w:r>
      <w:r w:rsidR="00CF454D" w:rsidRPr="00CA1015">
        <w:rPr>
          <w:rFonts w:ascii="Times New Roman" w:hAnsi="Times New Roman"/>
          <w:lang w:val="pt-BR"/>
        </w:rPr>
        <w:t xml:space="preserve"> produtos principais</w:t>
      </w:r>
      <w:r w:rsidR="00CA1015" w:rsidRPr="00CA1015">
        <w:rPr>
          <w:rFonts w:ascii="Times New Roman" w:hAnsi="Times New Roman"/>
          <w:lang w:val="pt-BR"/>
        </w:rPr>
        <w:t xml:space="preserve"> o </w:t>
      </w:r>
      <w:r w:rsidRPr="00CA1015">
        <w:rPr>
          <w:rFonts w:ascii="Times New Roman" w:hAnsi="Times New Roman"/>
          <w:lang w:val="pt-BR"/>
        </w:rPr>
        <w:t>acetato de γ-</w:t>
      </w:r>
      <w:r w:rsidR="004A22D2">
        <w:rPr>
          <w:rFonts w:ascii="Times New Roman" w:hAnsi="Times New Roman"/>
          <w:lang w:val="pt-BR"/>
        </w:rPr>
        <w:t>terpenila</w:t>
      </w:r>
      <w:r w:rsidRPr="00CA1015">
        <w:rPr>
          <w:rFonts w:ascii="Times New Roman" w:hAnsi="Times New Roman"/>
          <w:lang w:val="pt-BR"/>
        </w:rPr>
        <w:t xml:space="preserve"> (</w:t>
      </w:r>
      <w:r w:rsidR="004D4B3A" w:rsidRPr="00CA1015">
        <w:rPr>
          <w:rFonts w:ascii="Times New Roman" w:hAnsi="Times New Roman"/>
          <w:b/>
          <w:lang w:val="pt-BR"/>
        </w:rPr>
        <w:t>3d</w:t>
      </w:r>
      <w:r w:rsidRPr="00CA1015">
        <w:rPr>
          <w:rFonts w:ascii="Times New Roman" w:hAnsi="Times New Roman"/>
          <w:lang w:val="pt-BR"/>
        </w:rPr>
        <w:t>) e o acetato de α-</w:t>
      </w:r>
      <w:r w:rsidR="004A22D2">
        <w:rPr>
          <w:rFonts w:ascii="Times New Roman" w:hAnsi="Times New Roman"/>
          <w:lang w:val="pt-BR"/>
        </w:rPr>
        <w:t>terpenila</w:t>
      </w:r>
      <w:r w:rsidRPr="00CA1015">
        <w:rPr>
          <w:rFonts w:ascii="Times New Roman" w:hAnsi="Times New Roman"/>
          <w:lang w:val="pt-BR"/>
        </w:rPr>
        <w:t xml:space="preserve"> (</w:t>
      </w:r>
      <w:r w:rsidR="004D4B3A" w:rsidRPr="00CA1015">
        <w:rPr>
          <w:rFonts w:ascii="Times New Roman" w:hAnsi="Times New Roman"/>
          <w:b/>
          <w:lang w:val="pt-BR"/>
        </w:rPr>
        <w:t>3e</w:t>
      </w:r>
      <w:r w:rsidRPr="00CA1015">
        <w:rPr>
          <w:rFonts w:ascii="Times New Roman" w:hAnsi="Times New Roman"/>
          <w:lang w:val="pt-BR"/>
        </w:rPr>
        <w:t>)</w:t>
      </w:r>
      <w:r w:rsidR="00CF454D" w:rsidRPr="00CA1015">
        <w:rPr>
          <w:rFonts w:ascii="Times New Roman" w:hAnsi="Times New Roman"/>
          <w:lang w:val="pt-BR"/>
        </w:rPr>
        <w:t>.</w:t>
      </w:r>
    </w:p>
    <w:p w14:paraId="2BA4CEE4" w14:textId="44EC81EE" w:rsidR="0072251E" w:rsidRPr="00635F99" w:rsidRDefault="00F64943" w:rsidP="0072251E">
      <w:pPr>
        <w:pStyle w:val="TAMainText"/>
        <w:ind w:firstLine="187"/>
        <w:rPr>
          <w:rFonts w:ascii="Times New Roman" w:hAnsi="Times New Roman"/>
          <w:lang w:val="pt-BR"/>
        </w:rPr>
      </w:pPr>
      <w:r w:rsidRPr="004D4B3A">
        <w:rPr>
          <w:rFonts w:ascii="Times New Roman" w:hAnsi="Times New Roman"/>
          <w:lang w:val="pt-BR"/>
        </w:rPr>
        <w:t>Novamente observou-se que a quantidade de catalisador CsPW mais apropriada para a realização do processo corresponde a 10 mg (3,00 µmol) (Tabela 2, exp. 1-3)</w:t>
      </w:r>
      <w:r w:rsidR="007D6A73" w:rsidRPr="004D4B3A">
        <w:rPr>
          <w:rFonts w:ascii="Times New Roman" w:hAnsi="Times New Roman"/>
          <w:lang w:val="pt-BR"/>
        </w:rPr>
        <w:t>, uma vez</w:t>
      </w:r>
      <w:r w:rsidRPr="004D4B3A">
        <w:rPr>
          <w:rFonts w:ascii="Times New Roman" w:hAnsi="Times New Roman"/>
          <w:lang w:val="pt-BR"/>
        </w:rPr>
        <w:t xml:space="preserve"> </w:t>
      </w:r>
      <w:r w:rsidR="0072251E" w:rsidRPr="004D4B3A">
        <w:rPr>
          <w:rFonts w:ascii="Times New Roman" w:hAnsi="Times New Roman"/>
          <w:lang w:val="pt-BR"/>
        </w:rPr>
        <w:t>que menores quantidades de CsPW (5 mg | 1,50 µmol) resultou em uma conversão mais lenta</w:t>
      </w:r>
      <w:r w:rsidR="00CD243C" w:rsidRPr="004D4B3A">
        <w:rPr>
          <w:rFonts w:ascii="Times New Roman" w:hAnsi="Times New Roman"/>
          <w:lang w:val="pt-BR"/>
        </w:rPr>
        <w:t xml:space="preserve"> e mais baixa</w:t>
      </w:r>
      <w:r w:rsidR="0072251E" w:rsidRPr="004D4B3A">
        <w:rPr>
          <w:rFonts w:ascii="Times New Roman" w:hAnsi="Times New Roman"/>
          <w:lang w:val="pt-BR"/>
        </w:rPr>
        <w:t xml:space="preserve"> do substrato</w:t>
      </w:r>
      <w:r w:rsidR="00CA1015">
        <w:rPr>
          <w:rFonts w:ascii="Times New Roman" w:hAnsi="Times New Roman"/>
          <w:lang w:val="pt-BR"/>
        </w:rPr>
        <w:t xml:space="preserve"> (33% em 10 horas de reação</w:t>
      </w:r>
      <w:r w:rsidR="0072251E" w:rsidRPr="004D4B3A">
        <w:rPr>
          <w:rFonts w:ascii="Times New Roman" w:hAnsi="Times New Roman"/>
          <w:lang w:val="pt-BR"/>
        </w:rPr>
        <w:t>.</w:t>
      </w:r>
      <w:r w:rsidR="00F554F6">
        <w:rPr>
          <w:rFonts w:ascii="Times New Roman" w:hAnsi="Times New Roman"/>
          <w:lang w:val="pt-BR"/>
        </w:rPr>
        <w:t xml:space="preserve"> </w:t>
      </w:r>
      <w:r w:rsidR="00F554F6" w:rsidRPr="002055B7">
        <w:rPr>
          <w:lang w:val="pt-BR"/>
        </w:rPr>
        <w:t>Por outro lado,</w:t>
      </w:r>
      <w:r w:rsidR="00F554F6" w:rsidRPr="002055B7">
        <w:rPr>
          <w:rFonts w:ascii="Times New Roman" w:hAnsi="Times New Roman"/>
          <w:lang w:val="pt-BR"/>
        </w:rPr>
        <w:t xml:space="preserve"> </w:t>
      </w:r>
      <w:r w:rsidR="00F554F6">
        <w:rPr>
          <w:rFonts w:ascii="Times New Roman" w:hAnsi="Times New Roman"/>
          <w:lang w:val="pt-BR"/>
        </w:rPr>
        <w:t xml:space="preserve">apesar do amuamento na massa de </w:t>
      </w:r>
      <w:r w:rsidR="00F554F6" w:rsidRPr="004D4B3A">
        <w:rPr>
          <w:rFonts w:ascii="Times New Roman" w:hAnsi="Times New Roman"/>
          <w:lang w:val="pt-BR"/>
        </w:rPr>
        <w:t>CsPW (</w:t>
      </w:r>
      <w:r w:rsidR="00F554F6">
        <w:rPr>
          <w:rFonts w:ascii="Times New Roman" w:hAnsi="Times New Roman"/>
          <w:lang w:val="pt-BR"/>
        </w:rPr>
        <w:t>20</w:t>
      </w:r>
      <w:r w:rsidR="00F554F6" w:rsidRPr="004D4B3A">
        <w:rPr>
          <w:rFonts w:ascii="Times New Roman" w:hAnsi="Times New Roman"/>
          <w:lang w:val="pt-BR"/>
        </w:rPr>
        <w:t xml:space="preserve"> mg | </w:t>
      </w:r>
      <w:r w:rsidR="00F554F6">
        <w:rPr>
          <w:rFonts w:ascii="Times New Roman" w:hAnsi="Times New Roman"/>
          <w:lang w:val="pt-BR"/>
        </w:rPr>
        <w:t>6,00</w:t>
      </w:r>
      <w:r w:rsidR="00F554F6" w:rsidRPr="004D4B3A">
        <w:rPr>
          <w:rFonts w:ascii="Times New Roman" w:hAnsi="Times New Roman"/>
          <w:lang w:val="pt-BR"/>
        </w:rPr>
        <w:t xml:space="preserve"> µmol) </w:t>
      </w:r>
      <w:r w:rsidR="00F554F6">
        <w:rPr>
          <w:rFonts w:ascii="Times New Roman" w:hAnsi="Times New Roman"/>
          <w:lang w:val="pt-BR"/>
        </w:rPr>
        <w:t>favorecer a</w:t>
      </w:r>
      <w:r w:rsidR="00F554F6" w:rsidRPr="004D4B3A">
        <w:rPr>
          <w:rFonts w:ascii="Times New Roman" w:hAnsi="Times New Roman"/>
          <w:lang w:val="pt-BR"/>
        </w:rPr>
        <w:t xml:space="preserve"> conversão do substrato (89% em 10 horas </w:t>
      </w:r>
      <w:r w:rsidR="00F554F6" w:rsidRPr="00255FB7">
        <w:rPr>
          <w:rFonts w:ascii="Times New Roman" w:hAnsi="Times New Roman"/>
          <w:lang w:val="pt-BR"/>
        </w:rPr>
        <w:t xml:space="preserve">de reação), é verificado um aumento da formação de </w:t>
      </w:r>
      <w:r w:rsidR="00F554F6" w:rsidRPr="00635F99">
        <w:rPr>
          <w:rFonts w:ascii="Times New Roman" w:hAnsi="Times New Roman"/>
          <w:lang w:val="pt-BR"/>
        </w:rPr>
        <w:t>isômeros do limoneno (IL), produtos não desejados.</w:t>
      </w:r>
      <w:r w:rsidR="00CD243C" w:rsidRPr="00635F99">
        <w:rPr>
          <w:rFonts w:ascii="Times New Roman" w:hAnsi="Times New Roman"/>
          <w:lang w:val="pt-BR"/>
        </w:rPr>
        <w:t xml:space="preserve"> </w:t>
      </w:r>
    </w:p>
    <w:p w14:paraId="6CA1D6B2" w14:textId="40416FE9" w:rsidR="0072251E" w:rsidRPr="004D4B3A" w:rsidRDefault="0072251E" w:rsidP="0072251E">
      <w:pPr>
        <w:pStyle w:val="TAMainText"/>
        <w:ind w:firstLine="187"/>
        <w:rPr>
          <w:rFonts w:ascii="Times New Roman" w:hAnsi="Times New Roman"/>
          <w:lang w:val="pt-BR"/>
        </w:rPr>
      </w:pPr>
      <w:r w:rsidRPr="00635F99">
        <w:rPr>
          <w:rFonts w:ascii="Times New Roman" w:hAnsi="Times New Roman"/>
          <w:lang w:val="pt-BR"/>
        </w:rPr>
        <w:t>Ao considerar a influência da temperatura</w:t>
      </w:r>
      <w:r w:rsidR="00F554F6" w:rsidRPr="00635F99">
        <w:rPr>
          <w:rFonts w:ascii="Times New Roman" w:hAnsi="Times New Roman"/>
          <w:lang w:val="pt-BR"/>
        </w:rPr>
        <w:t xml:space="preserve"> (Tabela 2, exp 2, 4 e 5)</w:t>
      </w:r>
      <w:r w:rsidRPr="00635F99">
        <w:rPr>
          <w:rFonts w:ascii="Times New Roman" w:hAnsi="Times New Roman"/>
          <w:lang w:val="pt-BR"/>
        </w:rPr>
        <w:t xml:space="preserve">, os </w:t>
      </w:r>
      <w:r w:rsidR="00F554F6" w:rsidRPr="00635F99">
        <w:rPr>
          <w:rFonts w:ascii="Times New Roman" w:hAnsi="Times New Roman"/>
          <w:lang w:val="pt-BR"/>
        </w:rPr>
        <w:t>resultados</w:t>
      </w:r>
      <w:r w:rsidRPr="00635F99">
        <w:rPr>
          <w:rFonts w:ascii="Times New Roman" w:hAnsi="Times New Roman"/>
          <w:lang w:val="pt-BR"/>
        </w:rPr>
        <w:t xml:space="preserve"> revelam que,</w:t>
      </w:r>
      <w:r w:rsidR="00CD243C" w:rsidRPr="00635F99">
        <w:rPr>
          <w:rFonts w:ascii="Times New Roman" w:hAnsi="Times New Roman"/>
          <w:lang w:val="pt-BR"/>
        </w:rPr>
        <w:t xml:space="preserve"> a 40 °C</w:t>
      </w:r>
      <w:r w:rsidR="00F554F6" w:rsidRPr="00635F99">
        <w:rPr>
          <w:rFonts w:ascii="Times New Roman" w:hAnsi="Times New Roman"/>
          <w:lang w:val="pt-BR"/>
        </w:rPr>
        <w:t>,</w:t>
      </w:r>
      <w:r w:rsidRPr="00635F99">
        <w:rPr>
          <w:rFonts w:ascii="Times New Roman" w:hAnsi="Times New Roman"/>
          <w:lang w:val="pt-BR"/>
        </w:rPr>
        <w:t xml:space="preserve"> não ocorr</w:t>
      </w:r>
      <w:r w:rsidR="00CD243C" w:rsidRPr="00635F99">
        <w:rPr>
          <w:rFonts w:ascii="Times New Roman" w:hAnsi="Times New Roman"/>
          <w:lang w:val="pt-BR"/>
        </w:rPr>
        <w:t>e</w:t>
      </w:r>
      <w:r w:rsidRPr="00635F99">
        <w:rPr>
          <w:rFonts w:ascii="Times New Roman" w:hAnsi="Times New Roman"/>
          <w:lang w:val="pt-BR"/>
        </w:rPr>
        <w:t xml:space="preserve"> alteração significativa na conversão do substrato,</w:t>
      </w:r>
      <w:r w:rsidR="00776E8A" w:rsidRPr="00635F99">
        <w:rPr>
          <w:rFonts w:ascii="Times New Roman" w:hAnsi="Times New Roman"/>
          <w:lang w:val="pt-BR"/>
        </w:rPr>
        <w:t xml:space="preserve"> e a 80ºC há um sutil aumento na conversão.</w:t>
      </w:r>
      <w:r w:rsidRPr="00255FB7">
        <w:rPr>
          <w:rFonts w:ascii="Times New Roman" w:hAnsi="Times New Roman"/>
          <w:lang w:val="pt-BR"/>
        </w:rPr>
        <w:t xml:space="preserve"> </w:t>
      </w:r>
      <w:r w:rsidR="00776E8A" w:rsidRPr="00255FB7">
        <w:rPr>
          <w:rFonts w:ascii="Times New Roman" w:hAnsi="Times New Roman"/>
          <w:lang w:val="pt-BR"/>
        </w:rPr>
        <w:t>No</w:t>
      </w:r>
      <w:r w:rsidR="00776E8A" w:rsidRPr="00F554F6">
        <w:rPr>
          <w:rFonts w:ascii="Times New Roman" w:hAnsi="Times New Roman"/>
          <w:lang w:val="pt-BR"/>
        </w:rPr>
        <w:t xml:space="preserve"> entanto, </w:t>
      </w:r>
      <w:r w:rsidRPr="00F554F6">
        <w:rPr>
          <w:rFonts w:ascii="Times New Roman" w:hAnsi="Times New Roman"/>
          <w:lang w:val="pt-BR"/>
        </w:rPr>
        <w:t xml:space="preserve">as seletividades para os produtos de interesse </w:t>
      </w:r>
      <w:r w:rsidR="00776E8A" w:rsidRPr="00F554F6">
        <w:rPr>
          <w:rFonts w:ascii="Times New Roman" w:hAnsi="Times New Roman"/>
          <w:lang w:val="pt-BR"/>
        </w:rPr>
        <w:t>(</w:t>
      </w:r>
      <w:r w:rsidR="00776E8A" w:rsidRPr="00F554F6">
        <w:rPr>
          <w:rFonts w:ascii="Times New Roman" w:hAnsi="Times New Roman"/>
          <w:b/>
          <w:lang w:val="pt-BR"/>
        </w:rPr>
        <w:t>3</w:t>
      </w:r>
      <w:r w:rsidR="005969EE" w:rsidRPr="00F554F6">
        <w:rPr>
          <w:rFonts w:ascii="Times New Roman" w:hAnsi="Times New Roman"/>
          <w:b/>
          <w:lang w:val="pt-BR"/>
        </w:rPr>
        <w:t>d</w:t>
      </w:r>
      <w:r w:rsidR="00776E8A" w:rsidRPr="00F554F6">
        <w:rPr>
          <w:rFonts w:ascii="Times New Roman" w:hAnsi="Times New Roman"/>
          <w:lang w:val="pt-BR"/>
        </w:rPr>
        <w:t xml:space="preserve"> e</w:t>
      </w:r>
      <w:r w:rsidR="005969EE" w:rsidRPr="00F554F6">
        <w:rPr>
          <w:rFonts w:ascii="Times New Roman" w:hAnsi="Times New Roman"/>
          <w:lang w:val="pt-BR"/>
        </w:rPr>
        <w:t xml:space="preserve"> </w:t>
      </w:r>
      <w:r w:rsidR="00776E8A" w:rsidRPr="00F554F6">
        <w:rPr>
          <w:rFonts w:ascii="Times New Roman" w:hAnsi="Times New Roman"/>
          <w:b/>
          <w:lang w:val="pt-BR"/>
        </w:rPr>
        <w:t>3</w:t>
      </w:r>
      <w:r w:rsidR="005969EE" w:rsidRPr="00F554F6">
        <w:rPr>
          <w:rFonts w:ascii="Times New Roman" w:hAnsi="Times New Roman"/>
          <w:b/>
          <w:lang w:val="pt-BR"/>
        </w:rPr>
        <w:t>e</w:t>
      </w:r>
      <w:r w:rsidR="00776E8A" w:rsidRPr="00F554F6">
        <w:rPr>
          <w:rFonts w:ascii="Times New Roman" w:hAnsi="Times New Roman"/>
          <w:lang w:val="pt-BR"/>
        </w:rPr>
        <w:t xml:space="preserve">) </w:t>
      </w:r>
      <w:r w:rsidRPr="00F554F6">
        <w:rPr>
          <w:rFonts w:ascii="Times New Roman" w:hAnsi="Times New Roman"/>
          <w:lang w:val="pt-BR"/>
        </w:rPr>
        <w:t>diminuem consideravelmente em temperaturas mais</w:t>
      </w:r>
      <w:r w:rsidRPr="004D4B3A">
        <w:rPr>
          <w:rFonts w:ascii="Times New Roman" w:hAnsi="Times New Roman"/>
          <w:lang w:val="pt-BR"/>
        </w:rPr>
        <w:t xml:space="preserve"> al</w:t>
      </w:r>
      <w:r w:rsidR="00CD243C" w:rsidRPr="004D4B3A">
        <w:rPr>
          <w:rFonts w:ascii="Times New Roman" w:hAnsi="Times New Roman"/>
          <w:lang w:val="pt-BR"/>
        </w:rPr>
        <w:t>t</w:t>
      </w:r>
      <w:r w:rsidRPr="004D4B3A">
        <w:rPr>
          <w:rFonts w:ascii="Times New Roman" w:hAnsi="Times New Roman"/>
          <w:lang w:val="pt-BR"/>
        </w:rPr>
        <w:t xml:space="preserve">as, devido a uma maior formação de isômeros do limoneno (IL). Por fim, a variação da quantidade de anidrido acético nas reações (Tabela 2, exp. </w:t>
      </w:r>
      <w:r w:rsidR="00CD243C" w:rsidRPr="004D4B3A">
        <w:rPr>
          <w:rFonts w:ascii="Times New Roman" w:hAnsi="Times New Roman"/>
          <w:lang w:val="pt-BR"/>
        </w:rPr>
        <w:t xml:space="preserve">2, </w:t>
      </w:r>
      <w:r w:rsidRPr="004D4B3A">
        <w:rPr>
          <w:rFonts w:ascii="Times New Roman" w:hAnsi="Times New Roman"/>
          <w:lang w:val="pt-BR"/>
        </w:rPr>
        <w:t>6 e 7) mostrou que menores quantidades de agente acetilante, além de tornar a reação mais lenta, favorece a isomerização do substrato, e</w:t>
      </w:r>
      <w:r w:rsidR="0092137B">
        <w:rPr>
          <w:rFonts w:ascii="Times New Roman" w:hAnsi="Times New Roman"/>
          <w:lang w:val="pt-BR"/>
        </w:rPr>
        <w:t xml:space="preserve"> que o aumento da </w:t>
      </w:r>
      <w:r w:rsidRPr="004D4B3A">
        <w:rPr>
          <w:rFonts w:ascii="Times New Roman" w:hAnsi="Times New Roman"/>
          <w:lang w:val="pt-BR"/>
        </w:rPr>
        <w:t>quantidade de anidrido acético,</w:t>
      </w:r>
      <w:r w:rsidR="0092137B">
        <w:rPr>
          <w:rFonts w:ascii="Times New Roman" w:hAnsi="Times New Roman"/>
          <w:lang w:val="pt-BR"/>
        </w:rPr>
        <w:t xml:space="preserve"> favorece a</w:t>
      </w:r>
      <w:r w:rsidRPr="004D4B3A">
        <w:rPr>
          <w:rFonts w:ascii="Times New Roman" w:hAnsi="Times New Roman"/>
          <w:lang w:val="pt-BR"/>
        </w:rPr>
        <w:t xml:space="preserve"> conversão do 1,8-cineol, sem alterar a seletividade</w:t>
      </w:r>
      <w:r w:rsidR="0092137B">
        <w:rPr>
          <w:rFonts w:ascii="Times New Roman" w:hAnsi="Times New Roman"/>
          <w:lang w:val="pt-BR"/>
        </w:rPr>
        <w:t xml:space="preserve"> 3d e 3e, produtos de interesse.</w:t>
      </w:r>
    </w:p>
    <w:p w14:paraId="75314942" w14:textId="7309FD92" w:rsidR="009635C7" w:rsidRPr="004D4B3A" w:rsidRDefault="0072251E" w:rsidP="0072251E">
      <w:pPr>
        <w:pStyle w:val="TAMainText"/>
        <w:ind w:firstLine="187"/>
        <w:rPr>
          <w:rFonts w:ascii="Times New Roman" w:hAnsi="Times New Roman"/>
          <w:lang w:val="pt-BR"/>
        </w:rPr>
        <w:sectPr w:rsidR="009635C7" w:rsidRPr="004D4B3A" w:rsidSect="00A84828">
          <w:type w:val="continuous"/>
          <w:pgSz w:w="11906" w:h="16838"/>
          <w:pgMar w:top="1134" w:right="851" w:bottom="851" w:left="851" w:header="709" w:footer="709" w:gutter="0"/>
          <w:cols w:num="2" w:space="708"/>
          <w:docGrid w:linePitch="360"/>
        </w:sectPr>
      </w:pPr>
      <w:r w:rsidRPr="004D4B3A">
        <w:rPr>
          <w:rFonts w:ascii="Times New Roman" w:hAnsi="Times New Roman"/>
          <w:lang w:val="pt-BR"/>
        </w:rPr>
        <w:lastRenderedPageBreak/>
        <w:t>Após a avaliação da influência dos parâmetros apresentados e definição da melhor condição</w:t>
      </w:r>
      <w:r w:rsidR="0092137B">
        <w:rPr>
          <w:rFonts w:ascii="Times New Roman" w:hAnsi="Times New Roman"/>
          <w:lang w:val="pt-BR"/>
        </w:rPr>
        <w:t xml:space="preserve"> da reação</w:t>
      </w:r>
      <w:r w:rsidRPr="004D4B3A">
        <w:rPr>
          <w:rFonts w:ascii="Times New Roman" w:hAnsi="Times New Roman"/>
          <w:lang w:val="pt-BR"/>
        </w:rPr>
        <w:t xml:space="preserve"> para obtenção dos </w:t>
      </w:r>
      <w:r w:rsidR="008F11D9">
        <w:rPr>
          <w:rFonts w:ascii="Times New Roman" w:hAnsi="Times New Roman"/>
          <w:lang w:val="pt-BR"/>
        </w:rPr>
        <w:t>acetato</w:t>
      </w:r>
      <w:r w:rsidR="00FB51BA">
        <w:rPr>
          <w:rFonts w:ascii="Times New Roman" w:hAnsi="Times New Roman"/>
          <w:lang w:val="pt-BR"/>
        </w:rPr>
        <w:t>s</w:t>
      </w:r>
      <w:r w:rsidR="008F11D9">
        <w:rPr>
          <w:rFonts w:ascii="Times New Roman" w:hAnsi="Times New Roman"/>
          <w:lang w:val="pt-BR"/>
        </w:rPr>
        <w:t xml:space="preserve"> de terpenila</w:t>
      </w:r>
      <w:r w:rsidR="00FB51BA">
        <w:rPr>
          <w:rFonts w:ascii="Times New Roman" w:hAnsi="Times New Roman"/>
          <w:lang w:val="pt-BR"/>
        </w:rPr>
        <w:t xml:space="preserve"> </w:t>
      </w:r>
      <w:r w:rsidR="00B976CE">
        <w:rPr>
          <w:rFonts w:ascii="Times New Roman" w:hAnsi="Times New Roman"/>
          <w:lang w:val="pt-BR"/>
        </w:rPr>
        <w:t>a partir de</w:t>
      </w:r>
      <w:r w:rsidR="00B976CE" w:rsidRPr="004D4B3A">
        <w:rPr>
          <w:rFonts w:ascii="Times New Roman" w:hAnsi="Times New Roman"/>
          <w:lang w:val="pt-BR"/>
        </w:rPr>
        <w:t xml:space="preserve"> 1,4 e 1,8-cineol</w:t>
      </w:r>
      <w:r w:rsidR="00B976CE">
        <w:rPr>
          <w:rFonts w:ascii="Times New Roman" w:hAnsi="Times New Roman"/>
          <w:lang w:val="pt-BR"/>
        </w:rPr>
        <w:t xml:space="preserve"> </w:t>
      </w:r>
      <w:r w:rsidR="00FB51BA">
        <w:rPr>
          <w:rFonts w:ascii="Times New Roman" w:hAnsi="Times New Roman"/>
          <w:lang w:val="pt-BR"/>
        </w:rPr>
        <w:t xml:space="preserve">em soluções de </w:t>
      </w:r>
      <w:r w:rsidR="00F554F6">
        <w:rPr>
          <w:rFonts w:ascii="Times New Roman" w:hAnsi="Times New Roman"/>
          <w:lang w:val="pt-BR"/>
        </w:rPr>
        <w:t>metilisobutilcetona,</w:t>
      </w:r>
      <w:r w:rsidRPr="004D4B3A">
        <w:rPr>
          <w:rFonts w:ascii="Times New Roman" w:hAnsi="Times New Roman"/>
          <w:lang w:val="pt-BR"/>
        </w:rPr>
        <w:t xml:space="preserve"> foi realizad</w:t>
      </w:r>
      <w:r w:rsidR="00B976CE">
        <w:rPr>
          <w:rFonts w:ascii="Times New Roman" w:hAnsi="Times New Roman"/>
          <w:lang w:val="pt-BR"/>
        </w:rPr>
        <w:t>o um estudo de possibilidade de emprego</w:t>
      </w:r>
      <w:r w:rsidRPr="004D4B3A">
        <w:rPr>
          <w:rFonts w:ascii="Times New Roman" w:hAnsi="Times New Roman"/>
          <w:lang w:val="pt-BR"/>
        </w:rPr>
        <w:t xml:space="preserve"> </w:t>
      </w:r>
      <w:r w:rsidR="007E36FC">
        <w:rPr>
          <w:rFonts w:ascii="Times New Roman" w:hAnsi="Times New Roman"/>
          <w:lang w:val="pt-BR"/>
        </w:rPr>
        <w:t xml:space="preserve">de </w:t>
      </w:r>
      <w:r w:rsidR="00402333">
        <w:rPr>
          <w:rFonts w:ascii="Times New Roman" w:hAnsi="Times New Roman"/>
          <w:lang w:val="pt-BR"/>
        </w:rPr>
        <w:t>outros</w:t>
      </w:r>
      <w:r w:rsidRPr="004D4B3A">
        <w:rPr>
          <w:rFonts w:ascii="Times New Roman" w:hAnsi="Times New Roman"/>
          <w:lang w:val="pt-BR"/>
        </w:rPr>
        <w:t xml:space="preserve"> solventes </w:t>
      </w:r>
      <w:r w:rsidR="00AE4396">
        <w:rPr>
          <w:rFonts w:ascii="Times New Roman" w:hAnsi="Times New Roman"/>
          <w:lang w:val="pt-BR"/>
        </w:rPr>
        <w:t>verdes</w:t>
      </w:r>
      <w:r w:rsidR="00402333">
        <w:rPr>
          <w:rFonts w:ascii="Times New Roman" w:hAnsi="Times New Roman"/>
          <w:lang w:val="pt-BR"/>
        </w:rPr>
        <w:t xml:space="preserve"> n</w:t>
      </w:r>
      <w:r w:rsidR="00B976CE">
        <w:rPr>
          <w:rFonts w:ascii="Times New Roman" w:hAnsi="Times New Roman"/>
          <w:lang w:val="pt-BR"/>
        </w:rPr>
        <w:t>este</w:t>
      </w:r>
      <w:r w:rsidR="00402333">
        <w:rPr>
          <w:rFonts w:ascii="Times New Roman" w:hAnsi="Times New Roman"/>
          <w:lang w:val="pt-BR"/>
        </w:rPr>
        <w:t xml:space="preserve"> process</w:t>
      </w:r>
      <w:r w:rsidR="00B976CE">
        <w:rPr>
          <w:rFonts w:ascii="Times New Roman" w:hAnsi="Times New Roman"/>
          <w:lang w:val="pt-BR"/>
        </w:rPr>
        <w:t>o</w:t>
      </w:r>
      <w:r w:rsidRPr="004D4B3A">
        <w:rPr>
          <w:rFonts w:ascii="Times New Roman" w:hAnsi="Times New Roman"/>
          <w:lang w:val="pt-BR"/>
        </w:rPr>
        <w:t xml:space="preserve">. </w:t>
      </w:r>
      <w:r w:rsidR="00776E8A" w:rsidRPr="004D4B3A">
        <w:rPr>
          <w:rFonts w:ascii="Times New Roman" w:hAnsi="Times New Roman"/>
          <w:lang w:val="pt-BR"/>
        </w:rPr>
        <w:t>Como já mencionado</w:t>
      </w:r>
      <w:r w:rsidR="00CD243C" w:rsidRPr="004D4B3A">
        <w:rPr>
          <w:rFonts w:ascii="Times New Roman" w:hAnsi="Times New Roman"/>
          <w:lang w:val="pt-BR"/>
        </w:rPr>
        <w:t>,</w:t>
      </w:r>
      <w:r w:rsidR="00776E8A" w:rsidRPr="004D4B3A">
        <w:rPr>
          <w:rFonts w:ascii="Times New Roman" w:hAnsi="Times New Roman"/>
          <w:lang w:val="pt-BR"/>
        </w:rPr>
        <w:t xml:space="preserve"> o papel do </w:t>
      </w:r>
      <w:r w:rsidR="00776E8A" w:rsidRPr="004D4B3A">
        <w:rPr>
          <w:rFonts w:ascii="Times New Roman" w:hAnsi="Times New Roman"/>
          <w:lang w:val="pt-BR"/>
        </w:rPr>
        <w:t>solvente é importante em processos envolvendo a catálise por ácidos, sendo assim, a</w:t>
      </w:r>
      <w:r w:rsidRPr="004D4B3A">
        <w:rPr>
          <w:rFonts w:ascii="Times New Roman" w:hAnsi="Times New Roman"/>
          <w:lang w:val="pt-BR"/>
        </w:rPr>
        <w:t>lém da metil</w:t>
      </w:r>
      <w:r w:rsidR="004D4B3A">
        <w:rPr>
          <w:rFonts w:ascii="Times New Roman" w:hAnsi="Times New Roman"/>
          <w:lang w:val="pt-BR"/>
        </w:rPr>
        <w:t>i</w:t>
      </w:r>
      <w:r w:rsidRPr="004D4B3A">
        <w:rPr>
          <w:rFonts w:ascii="Times New Roman" w:hAnsi="Times New Roman"/>
          <w:lang w:val="pt-BR"/>
        </w:rPr>
        <w:t>sobuti</w:t>
      </w:r>
      <w:r w:rsidR="004D4B3A">
        <w:rPr>
          <w:rFonts w:ascii="Times New Roman" w:hAnsi="Times New Roman"/>
          <w:lang w:val="pt-BR"/>
        </w:rPr>
        <w:t>l</w:t>
      </w:r>
      <w:r w:rsidRPr="004D4B3A">
        <w:rPr>
          <w:rFonts w:ascii="Times New Roman" w:hAnsi="Times New Roman"/>
          <w:lang w:val="pt-BR"/>
        </w:rPr>
        <w:t xml:space="preserve">cetona, foram </w:t>
      </w:r>
      <w:r w:rsidR="00CD243C" w:rsidRPr="004D4B3A">
        <w:rPr>
          <w:rFonts w:ascii="Times New Roman" w:hAnsi="Times New Roman"/>
          <w:lang w:val="pt-BR"/>
        </w:rPr>
        <w:t>avaliados</w:t>
      </w:r>
      <w:r w:rsidRPr="004D4B3A">
        <w:rPr>
          <w:rFonts w:ascii="Times New Roman" w:hAnsi="Times New Roman"/>
          <w:lang w:val="pt-BR"/>
        </w:rPr>
        <w:t xml:space="preserve"> a metiletilcetona, o </w:t>
      </w:r>
      <w:r w:rsidR="00BD1FCC">
        <w:rPr>
          <w:rFonts w:ascii="Times New Roman" w:hAnsi="Times New Roman"/>
          <w:lang w:val="pt-BR"/>
        </w:rPr>
        <w:t>carbonato de dimetila</w:t>
      </w:r>
      <w:r w:rsidRPr="004D4B3A">
        <w:rPr>
          <w:rFonts w:ascii="Times New Roman" w:hAnsi="Times New Roman"/>
          <w:lang w:val="pt-BR"/>
        </w:rPr>
        <w:t xml:space="preserve">, o </w:t>
      </w:r>
      <w:r w:rsidR="00BD1FCC">
        <w:rPr>
          <w:rFonts w:ascii="Times New Roman" w:hAnsi="Times New Roman"/>
          <w:lang w:val="pt-BR"/>
        </w:rPr>
        <w:t>carbonato de dietila</w:t>
      </w:r>
      <w:r w:rsidRPr="004D4B3A">
        <w:rPr>
          <w:rFonts w:ascii="Times New Roman" w:hAnsi="Times New Roman"/>
          <w:lang w:val="pt-BR"/>
        </w:rPr>
        <w:t xml:space="preserve"> e o carbonato de propileno</w:t>
      </w:r>
      <w:r w:rsidR="004D4B3A">
        <w:rPr>
          <w:rFonts w:ascii="Times New Roman" w:hAnsi="Times New Roman"/>
          <w:lang w:val="pt-BR"/>
        </w:rPr>
        <w:t>,</w:t>
      </w:r>
      <w:r w:rsidR="00CD243C" w:rsidRPr="004D4B3A">
        <w:rPr>
          <w:rFonts w:ascii="Times New Roman" w:hAnsi="Times New Roman"/>
          <w:lang w:val="pt-BR"/>
        </w:rPr>
        <w:t xml:space="preserve"> </w:t>
      </w:r>
      <w:r w:rsidR="00CD243C" w:rsidRPr="004D4B3A">
        <w:rPr>
          <w:lang w:val="pt-BR"/>
        </w:rPr>
        <w:t>conforme apresentado na Tabela 3</w:t>
      </w:r>
      <w:r w:rsidR="00CD243C" w:rsidRPr="004D4B3A">
        <w:rPr>
          <w:rFonts w:ascii="Times New Roman" w:hAnsi="Times New Roman"/>
          <w:lang w:val="pt-BR"/>
        </w:rPr>
        <w:t>.</w:t>
      </w:r>
    </w:p>
    <w:p w14:paraId="77B008F4" w14:textId="77777777" w:rsidR="00B4521D" w:rsidRDefault="00B4521D" w:rsidP="00284E2C">
      <w:pPr>
        <w:pStyle w:val="TAMainText"/>
        <w:ind w:left="284" w:right="281" w:firstLine="0"/>
        <w:rPr>
          <w:rFonts w:ascii="Times New Roman" w:hAnsi="Times New Roman"/>
          <w:b/>
          <w:bCs/>
          <w:lang w:val="pt-BR"/>
        </w:rPr>
        <w:sectPr w:rsidR="00B4521D" w:rsidSect="00A84828">
          <w:type w:val="continuous"/>
          <w:pgSz w:w="11906" w:h="16838"/>
          <w:pgMar w:top="1134" w:right="851" w:bottom="851" w:left="851" w:header="709" w:footer="709" w:gutter="0"/>
          <w:cols w:num="2" w:space="708"/>
          <w:docGrid w:linePitch="360"/>
        </w:sectPr>
      </w:pPr>
    </w:p>
    <w:p w14:paraId="6692FF05" w14:textId="77777777" w:rsidR="00A84828" w:rsidRDefault="00A84828" w:rsidP="00363ADB">
      <w:pPr>
        <w:pStyle w:val="TAMainText"/>
        <w:ind w:left="851" w:right="848" w:firstLine="0"/>
        <w:rPr>
          <w:rFonts w:ascii="Times New Roman" w:hAnsi="Times New Roman"/>
          <w:b/>
          <w:bCs/>
          <w:sz w:val="18"/>
          <w:szCs w:val="18"/>
          <w:lang w:val="pt-BR"/>
        </w:rPr>
        <w:sectPr w:rsidR="00A84828" w:rsidSect="00A84828">
          <w:type w:val="continuous"/>
          <w:pgSz w:w="11906" w:h="16838"/>
          <w:pgMar w:top="1134" w:right="851" w:bottom="851" w:left="851" w:header="709" w:footer="709" w:gutter="0"/>
          <w:cols w:space="708"/>
          <w:docGrid w:linePitch="360"/>
        </w:sectPr>
      </w:pPr>
    </w:p>
    <w:p w14:paraId="475A9001" w14:textId="1647A69F" w:rsidR="0072251E" w:rsidRPr="00363ADB" w:rsidRDefault="00284E2C" w:rsidP="00363ADB">
      <w:pPr>
        <w:pStyle w:val="TAMainText"/>
        <w:ind w:left="851" w:right="848" w:firstLine="0"/>
        <w:rPr>
          <w:rFonts w:ascii="Times New Roman" w:hAnsi="Times New Roman"/>
          <w:sz w:val="18"/>
          <w:szCs w:val="18"/>
          <w:lang w:val="pt-BR"/>
        </w:rPr>
      </w:pPr>
      <w:r w:rsidRPr="00363ADB">
        <w:rPr>
          <w:rFonts w:ascii="Times New Roman" w:hAnsi="Times New Roman"/>
          <w:b/>
          <w:bCs/>
          <w:sz w:val="18"/>
          <w:szCs w:val="18"/>
          <w:lang w:val="pt-BR"/>
        </w:rPr>
        <w:t>Tabela 3.</w:t>
      </w:r>
      <w:r w:rsidRPr="00363ADB">
        <w:rPr>
          <w:rFonts w:ascii="Times New Roman" w:hAnsi="Times New Roman"/>
          <w:sz w:val="18"/>
          <w:szCs w:val="18"/>
          <w:lang w:val="pt-BR"/>
        </w:rPr>
        <w:t xml:space="preserve"> Acetilação do 1,4-cineol (1a) e 1,8-cineol </w:t>
      </w:r>
      <w:r w:rsidR="00B60248" w:rsidRPr="00363ADB">
        <w:rPr>
          <w:rFonts w:ascii="Times New Roman" w:hAnsi="Times New Roman"/>
          <w:sz w:val="18"/>
          <w:szCs w:val="18"/>
          <w:lang w:val="pt-BR"/>
        </w:rPr>
        <w:t xml:space="preserve">(1b) </w:t>
      </w:r>
      <w:r w:rsidRPr="00363ADB">
        <w:rPr>
          <w:rFonts w:ascii="Times New Roman" w:hAnsi="Times New Roman"/>
          <w:sz w:val="18"/>
          <w:szCs w:val="18"/>
          <w:lang w:val="pt-BR"/>
        </w:rPr>
        <w:t xml:space="preserve">em diferentes solventes </w:t>
      </w:r>
      <w:r w:rsidR="00AE4396">
        <w:rPr>
          <w:rFonts w:ascii="Times New Roman" w:hAnsi="Times New Roman"/>
          <w:sz w:val="18"/>
          <w:szCs w:val="18"/>
          <w:lang w:val="pt-BR"/>
        </w:rPr>
        <w:t>verdes</w:t>
      </w:r>
      <w:r w:rsidRPr="00363ADB">
        <w:rPr>
          <w:rFonts w:ascii="Times New Roman" w:hAnsi="Times New Roman"/>
          <w:sz w:val="18"/>
          <w:szCs w:val="18"/>
          <w:lang w:val="pt-BR"/>
        </w:rPr>
        <w:t>.</w:t>
      </w:r>
    </w:p>
    <w:tbl>
      <w:tblPr>
        <w:tblStyle w:val="Tabelacomgrade"/>
        <w:tblW w:w="88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050"/>
        <w:gridCol w:w="1134"/>
        <w:gridCol w:w="1701"/>
        <w:gridCol w:w="585"/>
        <w:gridCol w:w="567"/>
        <w:gridCol w:w="567"/>
        <w:gridCol w:w="567"/>
        <w:gridCol w:w="567"/>
        <w:gridCol w:w="567"/>
        <w:gridCol w:w="567"/>
      </w:tblGrid>
      <w:tr w:rsidR="00363ADB" w:rsidRPr="00455EA9" w14:paraId="5E2ACEF2" w14:textId="77777777" w:rsidTr="00363ADB">
        <w:trPr>
          <w:trHeight w:val="340"/>
          <w:jc w:val="center"/>
        </w:trPr>
        <w:tc>
          <w:tcPr>
            <w:tcW w:w="993" w:type="dxa"/>
            <w:vMerge w:val="restart"/>
            <w:tcBorders>
              <w:top w:val="single" w:sz="4" w:space="0" w:color="auto"/>
            </w:tcBorders>
            <w:noWrap/>
            <w:vAlign w:val="center"/>
          </w:tcPr>
          <w:p w14:paraId="3BF29809" w14:textId="708BB57C"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Exp.</w:t>
            </w:r>
          </w:p>
        </w:tc>
        <w:tc>
          <w:tcPr>
            <w:tcW w:w="992" w:type="dxa"/>
            <w:vMerge w:val="restart"/>
            <w:tcBorders>
              <w:top w:val="single" w:sz="4" w:space="0" w:color="auto"/>
            </w:tcBorders>
            <w:noWrap/>
            <w:vAlign w:val="center"/>
          </w:tcPr>
          <w:p w14:paraId="64BF57C6" w14:textId="4E9C3F98"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Substrato</w:t>
            </w:r>
          </w:p>
        </w:tc>
        <w:tc>
          <w:tcPr>
            <w:tcW w:w="1134" w:type="dxa"/>
            <w:vMerge w:val="restart"/>
            <w:tcBorders>
              <w:top w:val="single" w:sz="4" w:space="0" w:color="auto"/>
            </w:tcBorders>
            <w:noWrap/>
            <w:vAlign w:val="center"/>
          </w:tcPr>
          <w:p w14:paraId="1B974436" w14:textId="77B5DD15"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Tempo (h)</w:t>
            </w:r>
          </w:p>
        </w:tc>
        <w:tc>
          <w:tcPr>
            <w:tcW w:w="1701" w:type="dxa"/>
            <w:vMerge w:val="restart"/>
            <w:tcBorders>
              <w:top w:val="single" w:sz="4" w:space="0" w:color="auto"/>
            </w:tcBorders>
            <w:noWrap/>
            <w:vAlign w:val="center"/>
          </w:tcPr>
          <w:p w14:paraId="15209A12" w14:textId="32A0FA36"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Conversão (%)</w:t>
            </w:r>
          </w:p>
        </w:tc>
        <w:tc>
          <w:tcPr>
            <w:tcW w:w="3987" w:type="dxa"/>
            <w:gridSpan w:val="7"/>
            <w:tcBorders>
              <w:top w:val="single" w:sz="4" w:space="0" w:color="auto"/>
              <w:bottom w:val="single" w:sz="4" w:space="0" w:color="auto"/>
            </w:tcBorders>
            <w:noWrap/>
            <w:vAlign w:val="center"/>
          </w:tcPr>
          <w:p w14:paraId="0EE3EE70" w14:textId="34A59B3D" w:rsidR="00363ADB" w:rsidRPr="00455EA9" w:rsidRDefault="00363ADB" w:rsidP="004D4B3A">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Seletividade (%)</w:t>
            </w:r>
          </w:p>
        </w:tc>
      </w:tr>
      <w:tr w:rsidR="00363ADB" w:rsidRPr="00455EA9" w14:paraId="05D6E108" w14:textId="77777777" w:rsidTr="00363ADB">
        <w:trPr>
          <w:trHeight w:val="340"/>
          <w:jc w:val="center"/>
        </w:trPr>
        <w:tc>
          <w:tcPr>
            <w:tcW w:w="993" w:type="dxa"/>
            <w:vMerge/>
            <w:tcBorders>
              <w:bottom w:val="single" w:sz="4" w:space="0" w:color="auto"/>
            </w:tcBorders>
            <w:noWrap/>
            <w:vAlign w:val="center"/>
            <w:hideMark/>
          </w:tcPr>
          <w:p w14:paraId="70381FB6" w14:textId="472EFC23" w:rsidR="00363ADB" w:rsidRPr="00455EA9" w:rsidRDefault="00363ADB" w:rsidP="0076121F">
            <w:pPr>
              <w:spacing w:line="276" w:lineRule="auto"/>
              <w:jc w:val="center"/>
              <w:rPr>
                <w:rFonts w:ascii="Times New Roman" w:hAnsi="Times New Roman" w:cs="Times New Roman"/>
                <w:b/>
                <w:bCs/>
                <w:sz w:val="20"/>
                <w:szCs w:val="20"/>
              </w:rPr>
            </w:pPr>
          </w:p>
        </w:tc>
        <w:tc>
          <w:tcPr>
            <w:tcW w:w="992" w:type="dxa"/>
            <w:vMerge/>
            <w:tcBorders>
              <w:bottom w:val="single" w:sz="4" w:space="0" w:color="auto"/>
            </w:tcBorders>
            <w:noWrap/>
            <w:vAlign w:val="center"/>
            <w:hideMark/>
          </w:tcPr>
          <w:p w14:paraId="34258127" w14:textId="2CD6FC5D" w:rsidR="00363ADB" w:rsidRPr="00455EA9" w:rsidRDefault="00363ADB" w:rsidP="0076121F">
            <w:pPr>
              <w:spacing w:line="276" w:lineRule="auto"/>
              <w:jc w:val="center"/>
              <w:rPr>
                <w:rFonts w:ascii="Times New Roman" w:hAnsi="Times New Roman" w:cs="Times New Roman"/>
                <w:b/>
                <w:bCs/>
                <w:sz w:val="20"/>
                <w:szCs w:val="20"/>
              </w:rPr>
            </w:pPr>
          </w:p>
        </w:tc>
        <w:tc>
          <w:tcPr>
            <w:tcW w:w="1134" w:type="dxa"/>
            <w:vMerge/>
            <w:tcBorders>
              <w:bottom w:val="single" w:sz="4" w:space="0" w:color="auto"/>
            </w:tcBorders>
            <w:noWrap/>
            <w:vAlign w:val="center"/>
            <w:hideMark/>
          </w:tcPr>
          <w:p w14:paraId="29D5A7E2" w14:textId="6D0A54D1" w:rsidR="00363ADB" w:rsidRPr="00455EA9" w:rsidRDefault="00363ADB" w:rsidP="0076121F">
            <w:pPr>
              <w:spacing w:line="276" w:lineRule="auto"/>
              <w:jc w:val="center"/>
              <w:rPr>
                <w:rFonts w:ascii="Times New Roman" w:hAnsi="Times New Roman" w:cs="Times New Roman"/>
                <w:b/>
                <w:bCs/>
                <w:sz w:val="20"/>
                <w:szCs w:val="20"/>
              </w:rPr>
            </w:pPr>
          </w:p>
        </w:tc>
        <w:tc>
          <w:tcPr>
            <w:tcW w:w="1701" w:type="dxa"/>
            <w:vMerge/>
            <w:tcBorders>
              <w:bottom w:val="single" w:sz="4" w:space="0" w:color="auto"/>
            </w:tcBorders>
            <w:noWrap/>
            <w:vAlign w:val="center"/>
            <w:hideMark/>
          </w:tcPr>
          <w:p w14:paraId="16677FDC" w14:textId="3055307F" w:rsidR="00363ADB" w:rsidRPr="00455EA9" w:rsidRDefault="00363ADB" w:rsidP="0076121F">
            <w:pPr>
              <w:spacing w:line="276" w:lineRule="auto"/>
              <w:jc w:val="center"/>
              <w:rPr>
                <w:rFonts w:ascii="Times New Roman" w:hAnsi="Times New Roman" w:cs="Times New Roman"/>
                <w:b/>
                <w:bCs/>
                <w:sz w:val="20"/>
                <w:szCs w:val="20"/>
              </w:rPr>
            </w:pPr>
          </w:p>
        </w:tc>
        <w:tc>
          <w:tcPr>
            <w:tcW w:w="585" w:type="dxa"/>
            <w:tcBorders>
              <w:top w:val="single" w:sz="4" w:space="0" w:color="auto"/>
              <w:bottom w:val="single" w:sz="4" w:space="0" w:color="auto"/>
            </w:tcBorders>
            <w:noWrap/>
            <w:vAlign w:val="center"/>
            <w:hideMark/>
          </w:tcPr>
          <w:p w14:paraId="01E19ED4" w14:textId="2E5AC82A"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IL</w:t>
            </w:r>
            <w:r w:rsidRPr="00455EA9">
              <w:rPr>
                <w:rFonts w:ascii="Times New Roman" w:hAnsi="Times New Roman" w:cs="Times New Roman"/>
                <w:b/>
                <w:bCs/>
                <w:sz w:val="20"/>
                <w:szCs w:val="20"/>
                <w:vertAlign w:val="superscript"/>
              </w:rPr>
              <w:t>b</w:t>
            </w:r>
          </w:p>
        </w:tc>
        <w:tc>
          <w:tcPr>
            <w:tcW w:w="567" w:type="dxa"/>
            <w:tcBorders>
              <w:top w:val="single" w:sz="4" w:space="0" w:color="auto"/>
              <w:bottom w:val="single" w:sz="4" w:space="0" w:color="auto"/>
            </w:tcBorders>
            <w:noWrap/>
            <w:vAlign w:val="center"/>
            <w:hideMark/>
          </w:tcPr>
          <w:p w14:paraId="0024CD7F" w14:textId="6852EDB4"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3a</w:t>
            </w:r>
          </w:p>
        </w:tc>
        <w:tc>
          <w:tcPr>
            <w:tcW w:w="567" w:type="dxa"/>
            <w:tcBorders>
              <w:top w:val="single" w:sz="4" w:space="0" w:color="auto"/>
              <w:bottom w:val="single" w:sz="4" w:space="0" w:color="auto"/>
            </w:tcBorders>
            <w:noWrap/>
            <w:vAlign w:val="center"/>
            <w:hideMark/>
          </w:tcPr>
          <w:p w14:paraId="6809ECEE" w14:textId="5BD9ACB8"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3b</w:t>
            </w:r>
          </w:p>
        </w:tc>
        <w:tc>
          <w:tcPr>
            <w:tcW w:w="567" w:type="dxa"/>
            <w:tcBorders>
              <w:top w:val="single" w:sz="4" w:space="0" w:color="auto"/>
              <w:bottom w:val="single" w:sz="4" w:space="0" w:color="auto"/>
            </w:tcBorders>
            <w:noWrap/>
            <w:vAlign w:val="center"/>
            <w:hideMark/>
          </w:tcPr>
          <w:p w14:paraId="47D20A93" w14:textId="1FA28929"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3c</w:t>
            </w:r>
          </w:p>
        </w:tc>
        <w:tc>
          <w:tcPr>
            <w:tcW w:w="567" w:type="dxa"/>
            <w:tcBorders>
              <w:top w:val="single" w:sz="4" w:space="0" w:color="auto"/>
              <w:bottom w:val="single" w:sz="4" w:space="0" w:color="auto"/>
            </w:tcBorders>
            <w:noWrap/>
            <w:vAlign w:val="center"/>
            <w:hideMark/>
          </w:tcPr>
          <w:p w14:paraId="0E59FFDF" w14:textId="4D46EED5"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3d</w:t>
            </w:r>
          </w:p>
        </w:tc>
        <w:tc>
          <w:tcPr>
            <w:tcW w:w="567" w:type="dxa"/>
            <w:tcBorders>
              <w:top w:val="single" w:sz="4" w:space="0" w:color="auto"/>
              <w:bottom w:val="single" w:sz="4" w:space="0" w:color="auto"/>
            </w:tcBorders>
            <w:noWrap/>
            <w:vAlign w:val="center"/>
            <w:hideMark/>
          </w:tcPr>
          <w:p w14:paraId="4D3787F1" w14:textId="3EB545B8"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3e</w:t>
            </w:r>
          </w:p>
        </w:tc>
        <w:tc>
          <w:tcPr>
            <w:tcW w:w="567" w:type="dxa"/>
            <w:tcBorders>
              <w:top w:val="single" w:sz="4" w:space="0" w:color="auto"/>
              <w:bottom w:val="single" w:sz="4" w:space="0" w:color="auto"/>
            </w:tcBorders>
            <w:noWrap/>
            <w:vAlign w:val="center"/>
            <w:hideMark/>
          </w:tcPr>
          <w:p w14:paraId="16B16093" w14:textId="0416F4C4" w:rsidR="00363ADB" w:rsidRPr="00455EA9" w:rsidRDefault="00363ADB" w:rsidP="0076121F">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DA</w:t>
            </w:r>
            <w:r w:rsidRPr="00455EA9">
              <w:rPr>
                <w:rFonts w:ascii="Times New Roman" w:hAnsi="Times New Roman" w:cs="Times New Roman"/>
                <w:b/>
                <w:bCs/>
                <w:sz w:val="20"/>
                <w:szCs w:val="20"/>
                <w:vertAlign w:val="superscript"/>
              </w:rPr>
              <w:t>c</w:t>
            </w:r>
          </w:p>
        </w:tc>
      </w:tr>
      <w:tr w:rsidR="00363ADB" w:rsidRPr="00455EA9" w14:paraId="1F1183A4" w14:textId="77777777" w:rsidTr="00363ADB">
        <w:trPr>
          <w:trHeight w:val="283"/>
          <w:jc w:val="center"/>
        </w:trPr>
        <w:tc>
          <w:tcPr>
            <w:tcW w:w="8807" w:type="dxa"/>
            <w:gridSpan w:val="11"/>
            <w:tcBorders>
              <w:top w:val="single" w:sz="4" w:space="0" w:color="auto"/>
              <w:bottom w:val="single" w:sz="4" w:space="0" w:color="auto"/>
            </w:tcBorders>
            <w:noWrap/>
            <w:vAlign w:val="center"/>
          </w:tcPr>
          <w:p w14:paraId="730DCE8F" w14:textId="77777777" w:rsidR="00363ADB" w:rsidRPr="00455EA9" w:rsidRDefault="00363ADB" w:rsidP="00CC431C">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Metilisobutilcetona</w:t>
            </w:r>
          </w:p>
        </w:tc>
      </w:tr>
      <w:tr w:rsidR="00363ADB" w:rsidRPr="00455EA9" w14:paraId="53B119C8" w14:textId="77777777" w:rsidTr="00363ADB">
        <w:trPr>
          <w:trHeight w:val="283"/>
          <w:jc w:val="center"/>
        </w:trPr>
        <w:tc>
          <w:tcPr>
            <w:tcW w:w="993" w:type="dxa"/>
            <w:vMerge w:val="restart"/>
            <w:tcBorders>
              <w:top w:val="single" w:sz="4" w:space="0" w:color="auto"/>
            </w:tcBorders>
            <w:shd w:val="clear" w:color="auto" w:fill="auto"/>
            <w:noWrap/>
          </w:tcPr>
          <w:p w14:paraId="188CF35D" w14:textId="5EF6EC3C"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992" w:type="dxa"/>
            <w:vMerge w:val="restart"/>
            <w:shd w:val="clear" w:color="auto" w:fill="auto"/>
            <w:noWrap/>
          </w:tcPr>
          <w:p w14:paraId="7260E6A9" w14:textId="03683B8F"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1a</w:t>
            </w:r>
          </w:p>
        </w:tc>
        <w:tc>
          <w:tcPr>
            <w:tcW w:w="1134" w:type="dxa"/>
            <w:shd w:val="clear" w:color="auto" w:fill="auto"/>
            <w:noWrap/>
            <w:vAlign w:val="center"/>
          </w:tcPr>
          <w:p w14:paraId="1AA917E1"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701" w:type="dxa"/>
            <w:shd w:val="clear" w:color="auto" w:fill="auto"/>
            <w:noWrap/>
            <w:vAlign w:val="center"/>
          </w:tcPr>
          <w:p w14:paraId="6405DCEA"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37</w:t>
            </w:r>
          </w:p>
        </w:tc>
        <w:tc>
          <w:tcPr>
            <w:tcW w:w="585" w:type="dxa"/>
            <w:shd w:val="clear" w:color="auto" w:fill="auto"/>
            <w:noWrap/>
            <w:vAlign w:val="center"/>
          </w:tcPr>
          <w:p w14:paraId="4FF8F677"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shd w:val="clear" w:color="auto" w:fill="auto"/>
            <w:noWrap/>
            <w:vAlign w:val="center"/>
          </w:tcPr>
          <w:p w14:paraId="1D141DEE"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33</w:t>
            </w:r>
          </w:p>
        </w:tc>
        <w:tc>
          <w:tcPr>
            <w:tcW w:w="567" w:type="dxa"/>
            <w:shd w:val="clear" w:color="auto" w:fill="auto"/>
            <w:noWrap/>
            <w:vAlign w:val="center"/>
          </w:tcPr>
          <w:p w14:paraId="27CD001D"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shd w:val="clear" w:color="auto" w:fill="auto"/>
            <w:noWrap/>
            <w:vAlign w:val="center"/>
          </w:tcPr>
          <w:p w14:paraId="7E8A2B67"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31</w:t>
            </w:r>
          </w:p>
        </w:tc>
        <w:tc>
          <w:tcPr>
            <w:tcW w:w="567" w:type="dxa"/>
            <w:shd w:val="clear" w:color="auto" w:fill="auto"/>
            <w:noWrap/>
            <w:vAlign w:val="center"/>
          </w:tcPr>
          <w:p w14:paraId="15B00A94"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567" w:type="dxa"/>
            <w:shd w:val="clear" w:color="auto" w:fill="auto"/>
            <w:noWrap/>
            <w:vAlign w:val="center"/>
          </w:tcPr>
          <w:p w14:paraId="1D92827F"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67" w:type="dxa"/>
            <w:shd w:val="clear" w:color="auto" w:fill="auto"/>
            <w:noWrap/>
            <w:vAlign w:val="center"/>
          </w:tcPr>
          <w:p w14:paraId="18A4F47E"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12</w:t>
            </w:r>
          </w:p>
        </w:tc>
      </w:tr>
      <w:tr w:rsidR="00363ADB" w:rsidRPr="00455EA9" w14:paraId="6EDA8168" w14:textId="77777777" w:rsidTr="00363ADB">
        <w:trPr>
          <w:trHeight w:val="283"/>
          <w:jc w:val="center"/>
        </w:trPr>
        <w:tc>
          <w:tcPr>
            <w:tcW w:w="993" w:type="dxa"/>
            <w:vMerge/>
            <w:shd w:val="clear" w:color="auto" w:fill="auto"/>
            <w:noWrap/>
          </w:tcPr>
          <w:p w14:paraId="07392E1F" w14:textId="77777777" w:rsidR="00363ADB" w:rsidRPr="00255FB7" w:rsidRDefault="00363ADB" w:rsidP="00C95DF7">
            <w:pPr>
              <w:spacing w:line="276" w:lineRule="auto"/>
              <w:jc w:val="center"/>
              <w:rPr>
                <w:rFonts w:ascii="Times New Roman" w:hAnsi="Times New Roman" w:cs="Times New Roman"/>
                <w:sz w:val="20"/>
                <w:szCs w:val="20"/>
              </w:rPr>
            </w:pPr>
          </w:p>
        </w:tc>
        <w:tc>
          <w:tcPr>
            <w:tcW w:w="992" w:type="dxa"/>
            <w:vMerge/>
            <w:shd w:val="clear" w:color="auto" w:fill="auto"/>
            <w:noWrap/>
          </w:tcPr>
          <w:p w14:paraId="37AAFEDA" w14:textId="37836CCF" w:rsidR="00363ADB" w:rsidRPr="00255FB7" w:rsidRDefault="00363ADB" w:rsidP="00C95DF7">
            <w:pPr>
              <w:spacing w:line="276" w:lineRule="auto"/>
              <w:jc w:val="center"/>
              <w:rPr>
                <w:rFonts w:ascii="Times New Roman" w:hAnsi="Times New Roman" w:cs="Times New Roman"/>
                <w:sz w:val="20"/>
                <w:szCs w:val="20"/>
              </w:rPr>
            </w:pPr>
          </w:p>
        </w:tc>
        <w:tc>
          <w:tcPr>
            <w:tcW w:w="1134" w:type="dxa"/>
            <w:shd w:val="clear" w:color="auto" w:fill="auto"/>
            <w:noWrap/>
            <w:vAlign w:val="center"/>
          </w:tcPr>
          <w:p w14:paraId="32B7F773"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10</w:t>
            </w:r>
          </w:p>
        </w:tc>
        <w:tc>
          <w:tcPr>
            <w:tcW w:w="1701" w:type="dxa"/>
            <w:shd w:val="clear" w:color="auto" w:fill="auto"/>
            <w:noWrap/>
            <w:vAlign w:val="center"/>
          </w:tcPr>
          <w:p w14:paraId="569CC24E"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85</w:t>
            </w:r>
          </w:p>
        </w:tc>
        <w:tc>
          <w:tcPr>
            <w:tcW w:w="585" w:type="dxa"/>
            <w:shd w:val="clear" w:color="auto" w:fill="auto"/>
            <w:noWrap/>
            <w:vAlign w:val="center"/>
          </w:tcPr>
          <w:p w14:paraId="56D707C5"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14</w:t>
            </w:r>
          </w:p>
        </w:tc>
        <w:tc>
          <w:tcPr>
            <w:tcW w:w="567" w:type="dxa"/>
            <w:shd w:val="clear" w:color="auto" w:fill="auto"/>
            <w:noWrap/>
            <w:vAlign w:val="center"/>
          </w:tcPr>
          <w:p w14:paraId="1251FDD1"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32</w:t>
            </w:r>
          </w:p>
        </w:tc>
        <w:tc>
          <w:tcPr>
            <w:tcW w:w="567" w:type="dxa"/>
            <w:shd w:val="clear" w:color="auto" w:fill="auto"/>
            <w:noWrap/>
            <w:vAlign w:val="center"/>
          </w:tcPr>
          <w:p w14:paraId="6E82E7F5"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7</w:t>
            </w:r>
          </w:p>
        </w:tc>
        <w:tc>
          <w:tcPr>
            <w:tcW w:w="567" w:type="dxa"/>
            <w:shd w:val="clear" w:color="auto" w:fill="auto"/>
            <w:noWrap/>
            <w:vAlign w:val="center"/>
          </w:tcPr>
          <w:p w14:paraId="2F098237"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22</w:t>
            </w:r>
          </w:p>
        </w:tc>
        <w:tc>
          <w:tcPr>
            <w:tcW w:w="567" w:type="dxa"/>
            <w:shd w:val="clear" w:color="auto" w:fill="auto"/>
            <w:noWrap/>
            <w:vAlign w:val="center"/>
          </w:tcPr>
          <w:p w14:paraId="1AD53427"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9</w:t>
            </w:r>
          </w:p>
        </w:tc>
        <w:tc>
          <w:tcPr>
            <w:tcW w:w="567" w:type="dxa"/>
            <w:shd w:val="clear" w:color="auto" w:fill="auto"/>
            <w:noWrap/>
            <w:vAlign w:val="center"/>
          </w:tcPr>
          <w:p w14:paraId="003E6A2E"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567" w:type="dxa"/>
            <w:shd w:val="clear" w:color="auto" w:fill="auto"/>
            <w:noWrap/>
            <w:vAlign w:val="center"/>
          </w:tcPr>
          <w:p w14:paraId="757C080D" w14:textId="77777777"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15</w:t>
            </w:r>
          </w:p>
        </w:tc>
      </w:tr>
      <w:tr w:rsidR="00363ADB" w:rsidRPr="00455EA9" w14:paraId="58944690" w14:textId="77777777" w:rsidTr="00363ADB">
        <w:trPr>
          <w:trHeight w:val="283"/>
          <w:jc w:val="center"/>
        </w:trPr>
        <w:tc>
          <w:tcPr>
            <w:tcW w:w="993" w:type="dxa"/>
            <w:vMerge w:val="restart"/>
            <w:shd w:val="clear" w:color="auto" w:fill="auto"/>
            <w:noWrap/>
          </w:tcPr>
          <w:p w14:paraId="3D324E0E" w14:textId="2474F3B6" w:rsidR="00363ADB" w:rsidRPr="00255FB7" w:rsidRDefault="00363ADB" w:rsidP="00C95DF7">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2</w:t>
            </w:r>
          </w:p>
        </w:tc>
        <w:tc>
          <w:tcPr>
            <w:tcW w:w="992" w:type="dxa"/>
            <w:vMerge w:val="restart"/>
            <w:shd w:val="clear" w:color="auto" w:fill="auto"/>
            <w:noWrap/>
          </w:tcPr>
          <w:p w14:paraId="4DE948D9" w14:textId="2C213608" w:rsidR="00363ADB" w:rsidRPr="00255FB7" w:rsidRDefault="00363ADB" w:rsidP="00C95DF7">
            <w:pPr>
              <w:jc w:val="center"/>
              <w:rPr>
                <w:rFonts w:ascii="Times New Roman" w:hAnsi="Times New Roman" w:cs="Times New Roman"/>
                <w:sz w:val="20"/>
                <w:szCs w:val="20"/>
              </w:rPr>
            </w:pPr>
            <w:r w:rsidRPr="00255FB7">
              <w:rPr>
                <w:rFonts w:ascii="Times New Roman" w:hAnsi="Times New Roman" w:cs="Times New Roman"/>
                <w:sz w:val="20"/>
                <w:szCs w:val="20"/>
              </w:rPr>
              <w:t>1b</w:t>
            </w:r>
          </w:p>
        </w:tc>
        <w:tc>
          <w:tcPr>
            <w:tcW w:w="1134" w:type="dxa"/>
            <w:shd w:val="clear" w:color="auto" w:fill="auto"/>
            <w:noWrap/>
            <w:vAlign w:val="center"/>
          </w:tcPr>
          <w:p w14:paraId="58625E10" w14:textId="5F3080D4"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1</w:t>
            </w:r>
          </w:p>
        </w:tc>
        <w:tc>
          <w:tcPr>
            <w:tcW w:w="1701" w:type="dxa"/>
            <w:shd w:val="clear" w:color="auto" w:fill="auto"/>
            <w:noWrap/>
            <w:vAlign w:val="center"/>
          </w:tcPr>
          <w:p w14:paraId="50BF8007" w14:textId="62CB4092"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25</w:t>
            </w:r>
          </w:p>
        </w:tc>
        <w:tc>
          <w:tcPr>
            <w:tcW w:w="585" w:type="dxa"/>
            <w:shd w:val="clear" w:color="auto" w:fill="auto"/>
            <w:noWrap/>
            <w:vAlign w:val="center"/>
          </w:tcPr>
          <w:p w14:paraId="5D9F5BD1" w14:textId="2A790F09"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5</w:t>
            </w:r>
          </w:p>
        </w:tc>
        <w:tc>
          <w:tcPr>
            <w:tcW w:w="567" w:type="dxa"/>
            <w:shd w:val="clear" w:color="auto" w:fill="auto"/>
            <w:noWrap/>
            <w:vAlign w:val="center"/>
          </w:tcPr>
          <w:p w14:paraId="45924182" w14:textId="014298A0"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19</w:t>
            </w:r>
          </w:p>
        </w:tc>
        <w:tc>
          <w:tcPr>
            <w:tcW w:w="567" w:type="dxa"/>
            <w:shd w:val="clear" w:color="auto" w:fill="auto"/>
            <w:noWrap/>
            <w:vAlign w:val="center"/>
          </w:tcPr>
          <w:p w14:paraId="16E7F73D" w14:textId="72E5E91F"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14</w:t>
            </w:r>
          </w:p>
        </w:tc>
        <w:tc>
          <w:tcPr>
            <w:tcW w:w="567" w:type="dxa"/>
            <w:shd w:val="clear" w:color="auto" w:fill="auto"/>
            <w:noWrap/>
            <w:vAlign w:val="center"/>
          </w:tcPr>
          <w:p w14:paraId="5C049EEC" w14:textId="792D3089"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0</w:t>
            </w:r>
          </w:p>
        </w:tc>
        <w:tc>
          <w:tcPr>
            <w:tcW w:w="567" w:type="dxa"/>
            <w:shd w:val="clear" w:color="auto" w:fill="auto"/>
            <w:noWrap/>
            <w:vAlign w:val="center"/>
          </w:tcPr>
          <w:p w14:paraId="3851B3AE" w14:textId="55AC0143"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29</w:t>
            </w:r>
          </w:p>
        </w:tc>
        <w:tc>
          <w:tcPr>
            <w:tcW w:w="567" w:type="dxa"/>
            <w:shd w:val="clear" w:color="auto" w:fill="auto"/>
            <w:noWrap/>
            <w:vAlign w:val="center"/>
          </w:tcPr>
          <w:p w14:paraId="3166DBED" w14:textId="42B94D2B" w:rsidR="00363ADB" w:rsidRPr="00255FB7" w:rsidRDefault="00363ADB" w:rsidP="004D4B3A">
            <w:pPr>
              <w:jc w:val="center"/>
              <w:rPr>
                <w:rFonts w:ascii="Times New Roman" w:hAnsi="Times New Roman" w:cs="Times New Roman"/>
                <w:sz w:val="20"/>
                <w:szCs w:val="20"/>
              </w:rPr>
            </w:pPr>
            <w:r w:rsidRPr="00255FB7">
              <w:rPr>
                <w:rFonts w:ascii="Times New Roman" w:hAnsi="Times New Roman" w:cs="Times New Roman"/>
                <w:sz w:val="20"/>
                <w:szCs w:val="20"/>
              </w:rPr>
              <w:t>29</w:t>
            </w:r>
          </w:p>
        </w:tc>
        <w:tc>
          <w:tcPr>
            <w:tcW w:w="567" w:type="dxa"/>
            <w:shd w:val="clear" w:color="auto" w:fill="auto"/>
            <w:noWrap/>
            <w:vAlign w:val="center"/>
          </w:tcPr>
          <w:p w14:paraId="520FD209" w14:textId="59D23EB0" w:rsidR="00363ADB" w:rsidRPr="00255FB7" w:rsidRDefault="00363ADB" w:rsidP="004D4B3A">
            <w:pPr>
              <w:spacing w:line="276" w:lineRule="auto"/>
              <w:jc w:val="center"/>
              <w:rPr>
                <w:rFonts w:ascii="Times New Roman" w:hAnsi="Times New Roman" w:cs="Times New Roman"/>
                <w:sz w:val="20"/>
                <w:szCs w:val="20"/>
              </w:rPr>
            </w:pPr>
            <w:r w:rsidRPr="00255FB7">
              <w:rPr>
                <w:rFonts w:ascii="Times New Roman" w:hAnsi="Times New Roman" w:cs="Times New Roman"/>
                <w:sz w:val="20"/>
                <w:szCs w:val="20"/>
              </w:rPr>
              <w:t>5</w:t>
            </w:r>
          </w:p>
        </w:tc>
      </w:tr>
      <w:tr w:rsidR="00363ADB" w:rsidRPr="00455EA9" w14:paraId="60633A72" w14:textId="77777777" w:rsidTr="00363ADB">
        <w:trPr>
          <w:trHeight w:val="283"/>
          <w:jc w:val="center"/>
        </w:trPr>
        <w:tc>
          <w:tcPr>
            <w:tcW w:w="993" w:type="dxa"/>
            <w:vMerge/>
            <w:tcBorders>
              <w:bottom w:val="single" w:sz="4" w:space="0" w:color="auto"/>
            </w:tcBorders>
            <w:shd w:val="clear" w:color="auto" w:fill="auto"/>
            <w:noWrap/>
          </w:tcPr>
          <w:p w14:paraId="1D66C379" w14:textId="77777777" w:rsidR="00363ADB" w:rsidRPr="00455EA9" w:rsidRDefault="00363ADB" w:rsidP="004D4B3A">
            <w:pPr>
              <w:spacing w:line="276" w:lineRule="auto"/>
              <w:jc w:val="center"/>
              <w:rPr>
                <w:rFonts w:ascii="Times New Roman" w:hAnsi="Times New Roman" w:cs="Times New Roman"/>
                <w:sz w:val="20"/>
                <w:szCs w:val="20"/>
              </w:rPr>
            </w:pPr>
          </w:p>
        </w:tc>
        <w:tc>
          <w:tcPr>
            <w:tcW w:w="992" w:type="dxa"/>
            <w:vMerge/>
            <w:tcBorders>
              <w:bottom w:val="single" w:sz="4" w:space="0" w:color="auto"/>
            </w:tcBorders>
            <w:shd w:val="clear" w:color="auto" w:fill="auto"/>
            <w:noWrap/>
            <w:vAlign w:val="center"/>
          </w:tcPr>
          <w:p w14:paraId="0A65A8B1" w14:textId="2C0A6D0F" w:rsidR="00363ADB" w:rsidRPr="00455EA9" w:rsidRDefault="00363ADB" w:rsidP="004D4B3A">
            <w:pPr>
              <w:jc w:val="center"/>
              <w:rPr>
                <w:rFonts w:ascii="Times New Roman" w:hAnsi="Times New Roman" w:cs="Times New Roman"/>
                <w:sz w:val="20"/>
                <w:szCs w:val="20"/>
              </w:rPr>
            </w:pPr>
          </w:p>
        </w:tc>
        <w:tc>
          <w:tcPr>
            <w:tcW w:w="1134" w:type="dxa"/>
            <w:tcBorders>
              <w:bottom w:val="single" w:sz="4" w:space="0" w:color="auto"/>
            </w:tcBorders>
            <w:shd w:val="clear" w:color="auto" w:fill="auto"/>
            <w:noWrap/>
            <w:vAlign w:val="center"/>
          </w:tcPr>
          <w:p w14:paraId="5B79ACCA" w14:textId="007B9BC4" w:rsidR="00363ADB" w:rsidRPr="00455EA9" w:rsidRDefault="00363ADB" w:rsidP="004D4B3A">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1701" w:type="dxa"/>
            <w:tcBorders>
              <w:bottom w:val="single" w:sz="4" w:space="0" w:color="auto"/>
            </w:tcBorders>
            <w:shd w:val="clear" w:color="auto" w:fill="auto"/>
            <w:noWrap/>
            <w:vAlign w:val="center"/>
          </w:tcPr>
          <w:p w14:paraId="65E6A436" w14:textId="211364FA"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76</w:t>
            </w:r>
          </w:p>
        </w:tc>
        <w:tc>
          <w:tcPr>
            <w:tcW w:w="585" w:type="dxa"/>
            <w:tcBorders>
              <w:bottom w:val="single" w:sz="4" w:space="0" w:color="auto"/>
            </w:tcBorders>
            <w:shd w:val="clear" w:color="auto" w:fill="auto"/>
            <w:noWrap/>
            <w:vAlign w:val="center"/>
          </w:tcPr>
          <w:p w14:paraId="5C369BDC" w14:textId="00159C33"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5</w:t>
            </w:r>
          </w:p>
        </w:tc>
        <w:tc>
          <w:tcPr>
            <w:tcW w:w="567" w:type="dxa"/>
            <w:tcBorders>
              <w:bottom w:val="single" w:sz="4" w:space="0" w:color="auto"/>
            </w:tcBorders>
            <w:shd w:val="clear" w:color="auto" w:fill="auto"/>
            <w:noWrap/>
            <w:vAlign w:val="center"/>
          </w:tcPr>
          <w:p w14:paraId="36062482" w14:textId="5815F32E"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18</w:t>
            </w:r>
          </w:p>
        </w:tc>
        <w:tc>
          <w:tcPr>
            <w:tcW w:w="567" w:type="dxa"/>
            <w:tcBorders>
              <w:bottom w:val="single" w:sz="4" w:space="0" w:color="auto"/>
            </w:tcBorders>
            <w:shd w:val="clear" w:color="auto" w:fill="auto"/>
            <w:noWrap/>
            <w:vAlign w:val="center"/>
          </w:tcPr>
          <w:p w14:paraId="24B3640C" w14:textId="5D1F1912"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18</w:t>
            </w:r>
          </w:p>
        </w:tc>
        <w:tc>
          <w:tcPr>
            <w:tcW w:w="567" w:type="dxa"/>
            <w:tcBorders>
              <w:bottom w:val="single" w:sz="4" w:space="0" w:color="auto"/>
            </w:tcBorders>
            <w:shd w:val="clear" w:color="auto" w:fill="auto"/>
            <w:noWrap/>
            <w:vAlign w:val="center"/>
          </w:tcPr>
          <w:p w14:paraId="1111EB84" w14:textId="0D119FE2"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0</w:t>
            </w:r>
          </w:p>
        </w:tc>
        <w:tc>
          <w:tcPr>
            <w:tcW w:w="567" w:type="dxa"/>
            <w:tcBorders>
              <w:bottom w:val="single" w:sz="4" w:space="0" w:color="auto"/>
            </w:tcBorders>
            <w:shd w:val="clear" w:color="auto" w:fill="auto"/>
            <w:noWrap/>
            <w:vAlign w:val="center"/>
          </w:tcPr>
          <w:p w14:paraId="7784E18B" w14:textId="782F5A7E"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22</w:t>
            </w:r>
          </w:p>
        </w:tc>
        <w:tc>
          <w:tcPr>
            <w:tcW w:w="567" w:type="dxa"/>
            <w:tcBorders>
              <w:bottom w:val="single" w:sz="4" w:space="0" w:color="auto"/>
            </w:tcBorders>
            <w:shd w:val="clear" w:color="auto" w:fill="auto"/>
            <w:noWrap/>
            <w:vAlign w:val="center"/>
          </w:tcPr>
          <w:p w14:paraId="3FCD9359" w14:textId="4BAF9938" w:rsidR="00363ADB" w:rsidRPr="00455EA9" w:rsidRDefault="00363ADB" w:rsidP="004D4B3A">
            <w:pPr>
              <w:jc w:val="center"/>
              <w:rPr>
                <w:rFonts w:ascii="Times New Roman" w:hAnsi="Times New Roman" w:cs="Times New Roman"/>
                <w:sz w:val="20"/>
                <w:szCs w:val="20"/>
              </w:rPr>
            </w:pPr>
            <w:r w:rsidRPr="00455EA9">
              <w:rPr>
                <w:rFonts w:ascii="Times New Roman" w:hAnsi="Times New Roman" w:cs="Times New Roman"/>
                <w:sz w:val="20"/>
                <w:szCs w:val="20"/>
              </w:rPr>
              <w:t>24</w:t>
            </w:r>
          </w:p>
        </w:tc>
        <w:tc>
          <w:tcPr>
            <w:tcW w:w="567" w:type="dxa"/>
            <w:tcBorders>
              <w:bottom w:val="single" w:sz="4" w:space="0" w:color="auto"/>
            </w:tcBorders>
            <w:shd w:val="clear" w:color="auto" w:fill="auto"/>
            <w:noWrap/>
            <w:vAlign w:val="center"/>
          </w:tcPr>
          <w:p w14:paraId="4C9A8EEE" w14:textId="2A95E684" w:rsidR="00363ADB" w:rsidRPr="00455EA9" w:rsidRDefault="00363ADB" w:rsidP="004D4B3A">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11</w:t>
            </w:r>
          </w:p>
        </w:tc>
      </w:tr>
      <w:tr w:rsidR="00363ADB" w:rsidRPr="00455EA9" w14:paraId="271B5EA8" w14:textId="77777777" w:rsidTr="00363ADB">
        <w:trPr>
          <w:trHeight w:val="283"/>
          <w:jc w:val="center"/>
        </w:trPr>
        <w:tc>
          <w:tcPr>
            <w:tcW w:w="8807" w:type="dxa"/>
            <w:gridSpan w:val="11"/>
            <w:tcBorders>
              <w:top w:val="single" w:sz="4" w:space="0" w:color="auto"/>
            </w:tcBorders>
            <w:shd w:val="clear" w:color="auto" w:fill="auto"/>
            <w:noWrap/>
          </w:tcPr>
          <w:p w14:paraId="142A0A2F" w14:textId="77777777" w:rsidR="00363ADB" w:rsidRPr="00455EA9" w:rsidRDefault="00363ADB" w:rsidP="004D4B3A">
            <w:pPr>
              <w:spacing w:line="276" w:lineRule="auto"/>
              <w:jc w:val="center"/>
              <w:rPr>
                <w:rFonts w:ascii="Times New Roman" w:hAnsi="Times New Roman" w:cs="Times New Roman"/>
                <w:b/>
                <w:bCs/>
                <w:sz w:val="20"/>
                <w:szCs w:val="20"/>
              </w:rPr>
            </w:pPr>
            <w:r w:rsidRPr="00455EA9">
              <w:rPr>
                <w:rFonts w:ascii="Times New Roman" w:hAnsi="Times New Roman" w:cs="Times New Roman"/>
                <w:b/>
                <w:bCs/>
                <w:sz w:val="20"/>
                <w:szCs w:val="20"/>
              </w:rPr>
              <w:t>Metiletilcetona</w:t>
            </w:r>
          </w:p>
        </w:tc>
      </w:tr>
      <w:tr w:rsidR="00363ADB" w:rsidRPr="00455EA9" w14:paraId="7F9ECEF2" w14:textId="77777777" w:rsidTr="00363ADB">
        <w:trPr>
          <w:trHeight w:val="283"/>
          <w:jc w:val="center"/>
        </w:trPr>
        <w:tc>
          <w:tcPr>
            <w:tcW w:w="993" w:type="dxa"/>
            <w:vMerge w:val="restart"/>
            <w:tcBorders>
              <w:top w:val="single" w:sz="4" w:space="0" w:color="auto"/>
            </w:tcBorders>
            <w:shd w:val="clear" w:color="auto" w:fill="auto"/>
            <w:noWrap/>
          </w:tcPr>
          <w:p w14:paraId="47F2D3BF" w14:textId="2D9F0475"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w:t>
            </w:r>
          </w:p>
        </w:tc>
        <w:tc>
          <w:tcPr>
            <w:tcW w:w="992" w:type="dxa"/>
            <w:vMerge w:val="restart"/>
            <w:tcBorders>
              <w:top w:val="single" w:sz="4" w:space="0" w:color="auto"/>
            </w:tcBorders>
            <w:shd w:val="clear" w:color="auto" w:fill="auto"/>
            <w:noWrap/>
          </w:tcPr>
          <w:p w14:paraId="49B21AC1" w14:textId="42216A09"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1a</w:t>
            </w:r>
          </w:p>
        </w:tc>
        <w:tc>
          <w:tcPr>
            <w:tcW w:w="1134" w:type="dxa"/>
            <w:tcBorders>
              <w:top w:val="single" w:sz="4" w:space="0" w:color="auto"/>
            </w:tcBorders>
            <w:shd w:val="clear" w:color="auto" w:fill="auto"/>
            <w:noWrap/>
            <w:vAlign w:val="center"/>
          </w:tcPr>
          <w:p w14:paraId="6FAC7A64"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tcBorders>
              <w:top w:val="single" w:sz="4" w:space="0" w:color="auto"/>
            </w:tcBorders>
            <w:shd w:val="clear" w:color="auto" w:fill="auto"/>
            <w:noWrap/>
            <w:vAlign w:val="center"/>
          </w:tcPr>
          <w:p w14:paraId="46E04DEE"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31</w:t>
            </w:r>
          </w:p>
        </w:tc>
        <w:tc>
          <w:tcPr>
            <w:tcW w:w="585" w:type="dxa"/>
            <w:tcBorders>
              <w:top w:val="single" w:sz="4" w:space="0" w:color="auto"/>
            </w:tcBorders>
            <w:shd w:val="clear" w:color="auto" w:fill="auto"/>
            <w:noWrap/>
            <w:vAlign w:val="center"/>
          </w:tcPr>
          <w:p w14:paraId="261A8A31"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567" w:type="dxa"/>
            <w:tcBorders>
              <w:top w:val="single" w:sz="4" w:space="0" w:color="auto"/>
            </w:tcBorders>
            <w:shd w:val="clear" w:color="auto" w:fill="auto"/>
            <w:noWrap/>
            <w:vAlign w:val="center"/>
          </w:tcPr>
          <w:p w14:paraId="63342E66"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29</w:t>
            </w:r>
          </w:p>
        </w:tc>
        <w:tc>
          <w:tcPr>
            <w:tcW w:w="567" w:type="dxa"/>
            <w:tcBorders>
              <w:top w:val="single" w:sz="4" w:space="0" w:color="auto"/>
            </w:tcBorders>
            <w:shd w:val="clear" w:color="auto" w:fill="auto"/>
            <w:noWrap/>
            <w:vAlign w:val="center"/>
          </w:tcPr>
          <w:p w14:paraId="63E4EC86"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567" w:type="dxa"/>
            <w:tcBorders>
              <w:top w:val="single" w:sz="4" w:space="0" w:color="auto"/>
            </w:tcBorders>
            <w:shd w:val="clear" w:color="auto" w:fill="auto"/>
            <w:noWrap/>
            <w:vAlign w:val="center"/>
          </w:tcPr>
          <w:p w14:paraId="6052B8FA"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37</w:t>
            </w:r>
          </w:p>
        </w:tc>
        <w:tc>
          <w:tcPr>
            <w:tcW w:w="567" w:type="dxa"/>
            <w:tcBorders>
              <w:top w:val="single" w:sz="4" w:space="0" w:color="auto"/>
            </w:tcBorders>
            <w:shd w:val="clear" w:color="auto" w:fill="auto"/>
            <w:noWrap/>
            <w:vAlign w:val="center"/>
          </w:tcPr>
          <w:p w14:paraId="608F4907"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11</w:t>
            </w:r>
          </w:p>
        </w:tc>
        <w:tc>
          <w:tcPr>
            <w:tcW w:w="567" w:type="dxa"/>
            <w:tcBorders>
              <w:top w:val="single" w:sz="4" w:space="0" w:color="auto"/>
            </w:tcBorders>
            <w:shd w:val="clear" w:color="auto" w:fill="auto"/>
            <w:noWrap/>
            <w:vAlign w:val="center"/>
          </w:tcPr>
          <w:p w14:paraId="73F17532"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tcBorders>
              <w:top w:val="single" w:sz="4" w:space="0" w:color="auto"/>
            </w:tcBorders>
            <w:shd w:val="clear" w:color="auto" w:fill="auto"/>
            <w:noWrap/>
            <w:vAlign w:val="center"/>
          </w:tcPr>
          <w:p w14:paraId="1129EF56"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11</w:t>
            </w:r>
          </w:p>
        </w:tc>
      </w:tr>
      <w:tr w:rsidR="00363ADB" w:rsidRPr="00455EA9" w14:paraId="3D7804EA" w14:textId="77777777" w:rsidTr="00363ADB">
        <w:trPr>
          <w:trHeight w:val="283"/>
          <w:jc w:val="center"/>
        </w:trPr>
        <w:tc>
          <w:tcPr>
            <w:tcW w:w="993" w:type="dxa"/>
            <w:vMerge/>
            <w:shd w:val="clear" w:color="auto" w:fill="auto"/>
            <w:noWrap/>
          </w:tcPr>
          <w:p w14:paraId="017C5E9E" w14:textId="77777777" w:rsidR="00363ADB" w:rsidRPr="00AC7868" w:rsidRDefault="00363ADB" w:rsidP="00C95DF7">
            <w:pPr>
              <w:spacing w:line="276" w:lineRule="auto"/>
              <w:jc w:val="center"/>
              <w:rPr>
                <w:rFonts w:ascii="Times New Roman" w:hAnsi="Times New Roman" w:cs="Times New Roman"/>
                <w:sz w:val="20"/>
                <w:szCs w:val="20"/>
              </w:rPr>
            </w:pPr>
          </w:p>
        </w:tc>
        <w:tc>
          <w:tcPr>
            <w:tcW w:w="992" w:type="dxa"/>
            <w:vMerge/>
            <w:shd w:val="clear" w:color="auto" w:fill="auto"/>
            <w:noWrap/>
          </w:tcPr>
          <w:p w14:paraId="1B467245" w14:textId="0E6B3CA7" w:rsidR="00363ADB" w:rsidRPr="00AC7868" w:rsidRDefault="00363ADB" w:rsidP="00C95DF7">
            <w:pPr>
              <w:spacing w:line="276" w:lineRule="auto"/>
              <w:jc w:val="center"/>
              <w:rPr>
                <w:rFonts w:ascii="Times New Roman" w:hAnsi="Times New Roman" w:cs="Times New Roman"/>
                <w:sz w:val="20"/>
                <w:szCs w:val="20"/>
              </w:rPr>
            </w:pPr>
          </w:p>
        </w:tc>
        <w:tc>
          <w:tcPr>
            <w:tcW w:w="1134" w:type="dxa"/>
            <w:shd w:val="clear" w:color="auto" w:fill="auto"/>
            <w:noWrap/>
            <w:vAlign w:val="center"/>
          </w:tcPr>
          <w:p w14:paraId="5D441E51"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shd w:val="clear" w:color="auto" w:fill="auto"/>
            <w:noWrap/>
            <w:vAlign w:val="center"/>
          </w:tcPr>
          <w:p w14:paraId="194BF267"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55</w:t>
            </w:r>
          </w:p>
        </w:tc>
        <w:tc>
          <w:tcPr>
            <w:tcW w:w="585" w:type="dxa"/>
            <w:shd w:val="clear" w:color="auto" w:fill="auto"/>
            <w:noWrap/>
            <w:vAlign w:val="center"/>
          </w:tcPr>
          <w:p w14:paraId="119F1F41"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567" w:type="dxa"/>
            <w:shd w:val="clear" w:color="auto" w:fill="auto"/>
            <w:noWrap/>
            <w:vAlign w:val="center"/>
          </w:tcPr>
          <w:p w14:paraId="207EBF2E"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29</w:t>
            </w:r>
          </w:p>
        </w:tc>
        <w:tc>
          <w:tcPr>
            <w:tcW w:w="567" w:type="dxa"/>
            <w:shd w:val="clear" w:color="auto" w:fill="auto"/>
            <w:noWrap/>
            <w:vAlign w:val="center"/>
          </w:tcPr>
          <w:p w14:paraId="397914E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567" w:type="dxa"/>
            <w:shd w:val="clear" w:color="auto" w:fill="auto"/>
            <w:noWrap/>
            <w:vAlign w:val="center"/>
          </w:tcPr>
          <w:p w14:paraId="752325BF"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38</w:t>
            </w:r>
          </w:p>
        </w:tc>
        <w:tc>
          <w:tcPr>
            <w:tcW w:w="567" w:type="dxa"/>
            <w:shd w:val="clear" w:color="auto" w:fill="auto"/>
            <w:noWrap/>
            <w:vAlign w:val="center"/>
          </w:tcPr>
          <w:p w14:paraId="606C160F"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12</w:t>
            </w:r>
          </w:p>
        </w:tc>
        <w:tc>
          <w:tcPr>
            <w:tcW w:w="567" w:type="dxa"/>
            <w:shd w:val="clear" w:color="auto" w:fill="auto"/>
            <w:noWrap/>
            <w:vAlign w:val="center"/>
          </w:tcPr>
          <w:p w14:paraId="2D971917"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shd w:val="clear" w:color="auto" w:fill="auto"/>
            <w:noWrap/>
            <w:vAlign w:val="center"/>
          </w:tcPr>
          <w:p w14:paraId="18AA4074"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11</w:t>
            </w:r>
          </w:p>
        </w:tc>
      </w:tr>
      <w:tr w:rsidR="00363ADB" w:rsidRPr="00455EA9" w14:paraId="418588E4" w14:textId="77777777" w:rsidTr="00363ADB">
        <w:trPr>
          <w:trHeight w:val="283"/>
          <w:jc w:val="center"/>
        </w:trPr>
        <w:tc>
          <w:tcPr>
            <w:tcW w:w="993" w:type="dxa"/>
            <w:vMerge w:val="restart"/>
            <w:shd w:val="clear" w:color="auto" w:fill="auto"/>
            <w:noWrap/>
          </w:tcPr>
          <w:p w14:paraId="45655B21" w14:textId="2B94BE9C"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992" w:type="dxa"/>
            <w:vMerge w:val="restart"/>
            <w:shd w:val="clear" w:color="auto" w:fill="auto"/>
            <w:noWrap/>
          </w:tcPr>
          <w:p w14:paraId="5C65C9BE" w14:textId="543FBB56"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1b</w:t>
            </w:r>
          </w:p>
        </w:tc>
        <w:tc>
          <w:tcPr>
            <w:tcW w:w="1134" w:type="dxa"/>
            <w:shd w:val="clear" w:color="auto" w:fill="auto"/>
            <w:noWrap/>
            <w:vAlign w:val="center"/>
          </w:tcPr>
          <w:p w14:paraId="45D19241" w14:textId="6D5448C1"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shd w:val="clear" w:color="auto" w:fill="auto"/>
            <w:noWrap/>
            <w:vAlign w:val="center"/>
          </w:tcPr>
          <w:p w14:paraId="13E4B383" w14:textId="5578010F"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48</w:t>
            </w:r>
          </w:p>
        </w:tc>
        <w:tc>
          <w:tcPr>
            <w:tcW w:w="585" w:type="dxa"/>
            <w:shd w:val="clear" w:color="auto" w:fill="auto"/>
            <w:noWrap/>
            <w:vAlign w:val="center"/>
          </w:tcPr>
          <w:p w14:paraId="47C771A5" w14:textId="77CD7A7B"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w:t>
            </w:r>
          </w:p>
        </w:tc>
        <w:tc>
          <w:tcPr>
            <w:tcW w:w="567" w:type="dxa"/>
            <w:shd w:val="clear" w:color="auto" w:fill="auto"/>
            <w:noWrap/>
            <w:vAlign w:val="center"/>
          </w:tcPr>
          <w:p w14:paraId="495FA49A" w14:textId="20E0BF51"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17</w:t>
            </w:r>
          </w:p>
        </w:tc>
        <w:tc>
          <w:tcPr>
            <w:tcW w:w="567" w:type="dxa"/>
            <w:shd w:val="clear" w:color="auto" w:fill="auto"/>
            <w:noWrap/>
            <w:vAlign w:val="center"/>
          </w:tcPr>
          <w:p w14:paraId="753A83BB" w14:textId="69183900"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15</w:t>
            </w:r>
          </w:p>
        </w:tc>
        <w:tc>
          <w:tcPr>
            <w:tcW w:w="567" w:type="dxa"/>
            <w:shd w:val="clear" w:color="auto" w:fill="auto"/>
            <w:noWrap/>
            <w:vAlign w:val="center"/>
          </w:tcPr>
          <w:p w14:paraId="60DC8A54" w14:textId="614FA624"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shd w:val="clear" w:color="auto" w:fill="auto"/>
            <w:noWrap/>
            <w:vAlign w:val="center"/>
          </w:tcPr>
          <w:p w14:paraId="07B399DA" w14:textId="47A5978F"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33</w:t>
            </w:r>
          </w:p>
        </w:tc>
        <w:tc>
          <w:tcPr>
            <w:tcW w:w="567" w:type="dxa"/>
            <w:shd w:val="clear" w:color="auto" w:fill="auto"/>
            <w:noWrap/>
            <w:vAlign w:val="center"/>
          </w:tcPr>
          <w:p w14:paraId="1021F1CD" w14:textId="36B412AE"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23</w:t>
            </w:r>
          </w:p>
        </w:tc>
        <w:tc>
          <w:tcPr>
            <w:tcW w:w="567" w:type="dxa"/>
            <w:shd w:val="clear" w:color="auto" w:fill="auto"/>
            <w:noWrap/>
            <w:vAlign w:val="center"/>
          </w:tcPr>
          <w:p w14:paraId="01460265" w14:textId="353D6CDC"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r>
      <w:tr w:rsidR="00363ADB" w:rsidRPr="00455EA9" w14:paraId="27E9BDAA" w14:textId="77777777" w:rsidTr="00363ADB">
        <w:trPr>
          <w:trHeight w:val="283"/>
          <w:jc w:val="center"/>
        </w:trPr>
        <w:tc>
          <w:tcPr>
            <w:tcW w:w="993" w:type="dxa"/>
            <w:vMerge/>
            <w:tcBorders>
              <w:bottom w:val="single" w:sz="4" w:space="0" w:color="auto"/>
            </w:tcBorders>
            <w:shd w:val="clear" w:color="auto" w:fill="auto"/>
            <w:noWrap/>
          </w:tcPr>
          <w:p w14:paraId="71E5CC73" w14:textId="77777777" w:rsidR="00363ADB" w:rsidRPr="00AC7868" w:rsidRDefault="00363ADB" w:rsidP="004D4B3A">
            <w:pPr>
              <w:spacing w:line="276" w:lineRule="auto"/>
              <w:jc w:val="center"/>
              <w:rPr>
                <w:rFonts w:ascii="Times New Roman" w:hAnsi="Times New Roman" w:cs="Times New Roman"/>
                <w:sz w:val="20"/>
                <w:szCs w:val="20"/>
              </w:rPr>
            </w:pPr>
          </w:p>
        </w:tc>
        <w:tc>
          <w:tcPr>
            <w:tcW w:w="992" w:type="dxa"/>
            <w:vMerge/>
            <w:tcBorders>
              <w:bottom w:val="single" w:sz="4" w:space="0" w:color="auto"/>
            </w:tcBorders>
            <w:shd w:val="clear" w:color="auto" w:fill="auto"/>
            <w:noWrap/>
            <w:vAlign w:val="center"/>
          </w:tcPr>
          <w:p w14:paraId="17E146E6" w14:textId="541733EB" w:rsidR="00363ADB" w:rsidRPr="00AC7868" w:rsidRDefault="00363ADB" w:rsidP="004D4B3A">
            <w:pPr>
              <w:jc w:val="center"/>
              <w:rPr>
                <w:rFonts w:ascii="Times New Roman" w:hAnsi="Times New Roman" w:cs="Times New Roman"/>
                <w:sz w:val="20"/>
                <w:szCs w:val="20"/>
              </w:rPr>
            </w:pPr>
          </w:p>
        </w:tc>
        <w:tc>
          <w:tcPr>
            <w:tcW w:w="1134" w:type="dxa"/>
            <w:tcBorders>
              <w:bottom w:val="single" w:sz="4" w:space="0" w:color="auto"/>
            </w:tcBorders>
            <w:shd w:val="clear" w:color="auto" w:fill="auto"/>
            <w:noWrap/>
            <w:vAlign w:val="center"/>
          </w:tcPr>
          <w:p w14:paraId="484880BF" w14:textId="0B8E40FC"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tcBorders>
              <w:bottom w:val="single" w:sz="4" w:space="0" w:color="auto"/>
            </w:tcBorders>
            <w:shd w:val="clear" w:color="auto" w:fill="auto"/>
            <w:noWrap/>
            <w:vAlign w:val="center"/>
          </w:tcPr>
          <w:p w14:paraId="2080072A" w14:textId="6B5FAE6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76</w:t>
            </w:r>
          </w:p>
        </w:tc>
        <w:tc>
          <w:tcPr>
            <w:tcW w:w="585" w:type="dxa"/>
            <w:tcBorders>
              <w:bottom w:val="single" w:sz="4" w:space="0" w:color="auto"/>
            </w:tcBorders>
            <w:shd w:val="clear" w:color="auto" w:fill="auto"/>
            <w:noWrap/>
            <w:vAlign w:val="center"/>
          </w:tcPr>
          <w:p w14:paraId="6A9F9FAF" w14:textId="50B2A1B9"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567" w:type="dxa"/>
            <w:tcBorders>
              <w:bottom w:val="single" w:sz="4" w:space="0" w:color="auto"/>
            </w:tcBorders>
            <w:shd w:val="clear" w:color="auto" w:fill="auto"/>
            <w:noWrap/>
            <w:vAlign w:val="center"/>
          </w:tcPr>
          <w:p w14:paraId="08BDFD14" w14:textId="6FF31D3B"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16</w:t>
            </w:r>
          </w:p>
        </w:tc>
        <w:tc>
          <w:tcPr>
            <w:tcW w:w="567" w:type="dxa"/>
            <w:tcBorders>
              <w:bottom w:val="single" w:sz="4" w:space="0" w:color="auto"/>
            </w:tcBorders>
            <w:shd w:val="clear" w:color="auto" w:fill="auto"/>
            <w:noWrap/>
            <w:vAlign w:val="center"/>
          </w:tcPr>
          <w:p w14:paraId="7BA2AF72" w14:textId="5CB55745"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15</w:t>
            </w:r>
          </w:p>
        </w:tc>
        <w:tc>
          <w:tcPr>
            <w:tcW w:w="567" w:type="dxa"/>
            <w:tcBorders>
              <w:bottom w:val="single" w:sz="4" w:space="0" w:color="auto"/>
            </w:tcBorders>
            <w:shd w:val="clear" w:color="auto" w:fill="auto"/>
            <w:noWrap/>
            <w:vAlign w:val="center"/>
          </w:tcPr>
          <w:p w14:paraId="2B3197AF" w14:textId="33E1CF34"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tcBorders>
              <w:bottom w:val="single" w:sz="4" w:space="0" w:color="auto"/>
            </w:tcBorders>
            <w:shd w:val="clear" w:color="auto" w:fill="auto"/>
            <w:noWrap/>
            <w:vAlign w:val="center"/>
          </w:tcPr>
          <w:p w14:paraId="2894E460" w14:textId="78D6CF42"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31</w:t>
            </w:r>
          </w:p>
        </w:tc>
        <w:tc>
          <w:tcPr>
            <w:tcW w:w="567" w:type="dxa"/>
            <w:tcBorders>
              <w:bottom w:val="single" w:sz="4" w:space="0" w:color="auto"/>
            </w:tcBorders>
            <w:shd w:val="clear" w:color="auto" w:fill="auto"/>
            <w:noWrap/>
            <w:vAlign w:val="center"/>
          </w:tcPr>
          <w:p w14:paraId="7309FB82" w14:textId="63DA2138"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24</w:t>
            </w:r>
          </w:p>
        </w:tc>
        <w:tc>
          <w:tcPr>
            <w:tcW w:w="567" w:type="dxa"/>
            <w:tcBorders>
              <w:bottom w:val="single" w:sz="4" w:space="0" w:color="auto"/>
            </w:tcBorders>
            <w:shd w:val="clear" w:color="auto" w:fill="auto"/>
            <w:noWrap/>
            <w:vAlign w:val="center"/>
          </w:tcPr>
          <w:p w14:paraId="610292C0" w14:textId="42394021"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r>
      <w:tr w:rsidR="00363ADB" w:rsidRPr="00455EA9" w14:paraId="2DA46919" w14:textId="77777777" w:rsidTr="00363ADB">
        <w:trPr>
          <w:trHeight w:val="283"/>
          <w:jc w:val="center"/>
        </w:trPr>
        <w:tc>
          <w:tcPr>
            <w:tcW w:w="8807" w:type="dxa"/>
            <w:gridSpan w:val="11"/>
            <w:tcBorders>
              <w:top w:val="single" w:sz="4" w:space="0" w:color="auto"/>
              <w:bottom w:val="single" w:sz="4" w:space="0" w:color="auto"/>
            </w:tcBorders>
            <w:shd w:val="clear" w:color="auto" w:fill="auto"/>
            <w:noWrap/>
          </w:tcPr>
          <w:p w14:paraId="631CE003" w14:textId="77777777" w:rsidR="00363ADB" w:rsidRPr="00AC7868" w:rsidRDefault="00363ADB" w:rsidP="004D4B3A">
            <w:pPr>
              <w:spacing w:line="276" w:lineRule="auto"/>
              <w:jc w:val="center"/>
              <w:rPr>
                <w:rFonts w:ascii="Times New Roman" w:hAnsi="Times New Roman" w:cs="Times New Roman"/>
                <w:b/>
                <w:bCs/>
                <w:sz w:val="20"/>
                <w:szCs w:val="20"/>
              </w:rPr>
            </w:pPr>
            <w:r w:rsidRPr="00AC7868">
              <w:rPr>
                <w:rFonts w:ascii="Times New Roman" w:hAnsi="Times New Roman" w:cs="Times New Roman"/>
                <w:b/>
                <w:bCs/>
                <w:sz w:val="20"/>
                <w:szCs w:val="20"/>
              </w:rPr>
              <w:t>Carbonato de dimetila</w:t>
            </w:r>
          </w:p>
        </w:tc>
      </w:tr>
      <w:tr w:rsidR="00363ADB" w:rsidRPr="00455EA9" w14:paraId="724668FC" w14:textId="77777777" w:rsidTr="00363ADB">
        <w:trPr>
          <w:trHeight w:val="283"/>
          <w:jc w:val="center"/>
        </w:trPr>
        <w:tc>
          <w:tcPr>
            <w:tcW w:w="993" w:type="dxa"/>
            <w:vMerge w:val="restart"/>
            <w:tcBorders>
              <w:top w:val="single" w:sz="4" w:space="0" w:color="auto"/>
            </w:tcBorders>
            <w:noWrap/>
          </w:tcPr>
          <w:p w14:paraId="6F392244" w14:textId="1CF2ACF2"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5</w:t>
            </w:r>
          </w:p>
        </w:tc>
        <w:tc>
          <w:tcPr>
            <w:tcW w:w="992" w:type="dxa"/>
            <w:vMerge w:val="restart"/>
            <w:tcBorders>
              <w:top w:val="single" w:sz="4" w:space="0" w:color="auto"/>
            </w:tcBorders>
            <w:noWrap/>
          </w:tcPr>
          <w:p w14:paraId="7DE4722D" w14:textId="53C96BF3"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1a</w:t>
            </w:r>
          </w:p>
        </w:tc>
        <w:tc>
          <w:tcPr>
            <w:tcW w:w="1134" w:type="dxa"/>
            <w:tcBorders>
              <w:top w:val="single" w:sz="4" w:space="0" w:color="auto"/>
            </w:tcBorders>
            <w:noWrap/>
            <w:vAlign w:val="center"/>
          </w:tcPr>
          <w:p w14:paraId="6D29450E"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tcBorders>
              <w:top w:val="single" w:sz="4" w:space="0" w:color="auto"/>
            </w:tcBorders>
            <w:noWrap/>
            <w:vAlign w:val="center"/>
          </w:tcPr>
          <w:p w14:paraId="634B18FA"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76</w:t>
            </w:r>
          </w:p>
        </w:tc>
        <w:tc>
          <w:tcPr>
            <w:tcW w:w="585" w:type="dxa"/>
            <w:tcBorders>
              <w:top w:val="single" w:sz="4" w:space="0" w:color="auto"/>
            </w:tcBorders>
            <w:noWrap/>
            <w:vAlign w:val="center"/>
          </w:tcPr>
          <w:p w14:paraId="530A286E"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5</w:t>
            </w:r>
          </w:p>
        </w:tc>
        <w:tc>
          <w:tcPr>
            <w:tcW w:w="567" w:type="dxa"/>
            <w:tcBorders>
              <w:top w:val="single" w:sz="4" w:space="0" w:color="auto"/>
            </w:tcBorders>
            <w:noWrap/>
            <w:vAlign w:val="center"/>
          </w:tcPr>
          <w:p w14:paraId="47BDD63B"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31</w:t>
            </w:r>
          </w:p>
        </w:tc>
        <w:tc>
          <w:tcPr>
            <w:tcW w:w="567" w:type="dxa"/>
            <w:tcBorders>
              <w:top w:val="single" w:sz="4" w:space="0" w:color="auto"/>
            </w:tcBorders>
            <w:noWrap/>
            <w:vAlign w:val="center"/>
          </w:tcPr>
          <w:p w14:paraId="58D08035"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5</w:t>
            </w:r>
          </w:p>
        </w:tc>
        <w:tc>
          <w:tcPr>
            <w:tcW w:w="567" w:type="dxa"/>
            <w:tcBorders>
              <w:top w:val="single" w:sz="4" w:space="0" w:color="auto"/>
            </w:tcBorders>
            <w:noWrap/>
            <w:vAlign w:val="center"/>
          </w:tcPr>
          <w:p w14:paraId="51D344E0"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19</w:t>
            </w:r>
          </w:p>
        </w:tc>
        <w:tc>
          <w:tcPr>
            <w:tcW w:w="567" w:type="dxa"/>
            <w:tcBorders>
              <w:top w:val="single" w:sz="4" w:space="0" w:color="auto"/>
            </w:tcBorders>
            <w:noWrap/>
            <w:vAlign w:val="center"/>
          </w:tcPr>
          <w:p w14:paraId="31061420"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tcBorders>
              <w:top w:val="single" w:sz="4" w:space="0" w:color="auto"/>
            </w:tcBorders>
            <w:noWrap/>
            <w:vAlign w:val="center"/>
          </w:tcPr>
          <w:p w14:paraId="513EE5CB"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567" w:type="dxa"/>
            <w:tcBorders>
              <w:top w:val="single" w:sz="4" w:space="0" w:color="auto"/>
            </w:tcBorders>
            <w:noWrap/>
            <w:vAlign w:val="center"/>
          </w:tcPr>
          <w:p w14:paraId="7502723D"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32</w:t>
            </w:r>
          </w:p>
        </w:tc>
      </w:tr>
      <w:tr w:rsidR="00363ADB" w:rsidRPr="00455EA9" w14:paraId="0E9038F1" w14:textId="77777777" w:rsidTr="00363ADB">
        <w:trPr>
          <w:trHeight w:val="283"/>
          <w:jc w:val="center"/>
        </w:trPr>
        <w:tc>
          <w:tcPr>
            <w:tcW w:w="993" w:type="dxa"/>
            <w:vMerge/>
            <w:noWrap/>
          </w:tcPr>
          <w:p w14:paraId="7EEE6989" w14:textId="77777777" w:rsidR="00363ADB" w:rsidRPr="00AC7868" w:rsidRDefault="00363ADB" w:rsidP="00C95DF7">
            <w:pPr>
              <w:spacing w:line="276" w:lineRule="auto"/>
              <w:jc w:val="center"/>
              <w:rPr>
                <w:rFonts w:ascii="Times New Roman" w:hAnsi="Times New Roman" w:cs="Times New Roman"/>
                <w:sz w:val="20"/>
                <w:szCs w:val="20"/>
              </w:rPr>
            </w:pPr>
          </w:p>
        </w:tc>
        <w:tc>
          <w:tcPr>
            <w:tcW w:w="992" w:type="dxa"/>
            <w:vMerge/>
            <w:noWrap/>
          </w:tcPr>
          <w:p w14:paraId="1B53B7D7" w14:textId="76D3866D" w:rsidR="00363ADB" w:rsidRPr="00AC7868" w:rsidRDefault="00363ADB" w:rsidP="00C95DF7">
            <w:pPr>
              <w:spacing w:line="276" w:lineRule="auto"/>
              <w:jc w:val="center"/>
              <w:rPr>
                <w:rFonts w:ascii="Times New Roman" w:hAnsi="Times New Roman" w:cs="Times New Roman"/>
                <w:sz w:val="20"/>
                <w:szCs w:val="20"/>
              </w:rPr>
            </w:pPr>
          </w:p>
        </w:tc>
        <w:tc>
          <w:tcPr>
            <w:tcW w:w="1134" w:type="dxa"/>
            <w:noWrap/>
            <w:vAlign w:val="center"/>
          </w:tcPr>
          <w:p w14:paraId="71E42B85"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noWrap/>
            <w:vAlign w:val="center"/>
          </w:tcPr>
          <w:p w14:paraId="5966920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86</w:t>
            </w:r>
          </w:p>
        </w:tc>
        <w:tc>
          <w:tcPr>
            <w:tcW w:w="585" w:type="dxa"/>
            <w:noWrap/>
            <w:vAlign w:val="center"/>
          </w:tcPr>
          <w:p w14:paraId="4EFC714E"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noWrap/>
            <w:vAlign w:val="center"/>
          </w:tcPr>
          <w:p w14:paraId="45938C9C"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30</w:t>
            </w:r>
          </w:p>
        </w:tc>
        <w:tc>
          <w:tcPr>
            <w:tcW w:w="567" w:type="dxa"/>
            <w:noWrap/>
            <w:vAlign w:val="center"/>
          </w:tcPr>
          <w:p w14:paraId="48861D41"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noWrap/>
            <w:vAlign w:val="center"/>
          </w:tcPr>
          <w:p w14:paraId="5C1D259F"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15</w:t>
            </w:r>
          </w:p>
        </w:tc>
        <w:tc>
          <w:tcPr>
            <w:tcW w:w="567" w:type="dxa"/>
            <w:noWrap/>
            <w:vAlign w:val="center"/>
          </w:tcPr>
          <w:p w14:paraId="65392AE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noWrap/>
            <w:vAlign w:val="center"/>
          </w:tcPr>
          <w:p w14:paraId="5D2F3668"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w:t>
            </w:r>
          </w:p>
        </w:tc>
        <w:tc>
          <w:tcPr>
            <w:tcW w:w="567" w:type="dxa"/>
            <w:noWrap/>
            <w:vAlign w:val="center"/>
          </w:tcPr>
          <w:p w14:paraId="77471BDB"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33</w:t>
            </w:r>
          </w:p>
        </w:tc>
      </w:tr>
      <w:tr w:rsidR="00363ADB" w:rsidRPr="00455EA9" w14:paraId="568B16B7" w14:textId="77777777" w:rsidTr="00363ADB">
        <w:trPr>
          <w:trHeight w:val="283"/>
          <w:jc w:val="center"/>
        </w:trPr>
        <w:tc>
          <w:tcPr>
            <w:tcW w:w="993" w:type="dxa"/>
            <w:vMerge w:val="restart"/>
            <w:noWrap/>
          </w:tcPr>
          <w:p w14:paraId="5D88AC11" w14:textId="777F1BB9"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992" w:type="dxa"/>
            <w:vMerge w:val="restart"/>
            <w:noWrap/>
          </w:tcPr>
          <w:p w14:paraId="5F3DF14C" w14:textId="4037186D"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1b</w:t>
            </w:r>
          </w:p>
        </w:tc>
        <w:tc>
          <w:tcPr>
            <w:tcW w:w="1134" w:type="dxa"/>
            <w:noWrap/>
            <w:vAlign w:val="center"/>
          </w:tcPr>
          <w:p w14:paraId="626057B5" w14:textId="79503CF0"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noWrap/>
            <w:vAlign w:val="center"/>
          </w:tcPr>
          <w:p w14:paraId="2511AF0B" w14:textId="163ECF3B"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81</w:t>
            </w:r>
          </w:p>
        </w:tc>
        <w:tc>
          <w:tcPr>
            <w:tcW w:w="585" w:type="dxa"/>
            <w:noWrap/>
            <w:vAlign w:val="center"/>
          </w:tcPr>
          <w:p w14:paraId="32750F3D" w14:textId="02A0D0A5"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w:t>
            </w:r>
          </w:p>
        </w:tc>
        <w:tc>
          <w:tcPr>
            <w:tcW w:w="567" w:type="dxa"/>
            <w:noWrap/>
            <w:vAlign w:val="center"/>
          </w:tcPr>
          <w:p w14:paraId="4FD6739F" w14:textId="6E7104FB"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18</w:t>
            </w:r>
          </w:p>
        </w:tc>
        <w:tc>
          <w:tcPr>
            <w:tcW w:w="567" w:type="dxa"/>
            <w:noWrap/>
            <w:vAlign w:val="center"/>
          </w:tcPr>
          <w:p w14:paraId="711E7A25" w14:textId="00D9167D"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16</w:t>
            </w:r>
          </w:p>
        </w:tc>
        <w:tc>
          <w:tcPr>
            <w:tcW w:w="567" w:type="dxa"/>
            <w:noWrap/>
            <w:vAlign w:val="center"/>
          </w:tcPr>
          <w:p w14:paraId="3940C00C" w14:textId="234062D9"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noWrap/>
            <w:vAlign w:val="center"/>
          </w:tcPr>
          <w:p w14:paraId="041467B3" w14:textId="781CE3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11</w:t>
            </w:r>
          </w:p>
        </w:tc>
        <w:tc>
          <w:tcPr>
            <w:tcW w:w="567" w:type="dxa"/>
            <w:noWrap/>
            <w:vAlign w:val="center"/>
          </w:tcPr>
          <w:p w14:paraId="1DDB019D" w14:textId="074F4043"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22</w:t>
            </w:r>
          </w:p>
        </w:tc>
        <w:tc>
          <w:tcPr>
            <w:tcW w:w="567" w:type="dxa"/>
            <w:noWrap/>
            <w:vAlign w:val="center"/>
          </w:tcPr>
          <w:p w14:paraId="75D9B7BA" w14:textId="0660F521"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31</w:t>
            </w:r>
          </w:p>
        </w:tc>
      </w:tr>
      <w:tr w:rsidR="00363ADB" w:rsidRPr="00455EA9" w14:paraId="43677CE0" w14:textId="77777777" w:rsidTr="00363ADB">
        <w:trPr>
          <w:trHeight w:val="283"/>
          <w:jc w:val="center"/>
        </w:trPr>
        <w:tc>
          <w:tcPr>
            <w:tcW w:w="993" w:type="dxa"/>
            <w:vMerge/>
            <w:tcBorders>
              <w:bottom w:val="single" w:sz="4" w:space="0" w:color="auto"/>
            </w:tcBorders>
            <w:noWrap/>
          </w:tcPr>
          <w:p w14:paraId="06E99227" w14:textId="77777777" w:rsidR="00363ADB" w:rsidRPr="00AC7868" w:rsidRDefault="00363ADB" w:rsidP="004D4B3A">
            <w:pPr>
              <w:spacing w:line="276" w:lineRule="auto"/>
              <w:jc w:val="center"/>
              <w:rPr>
                <w:rFonts w:ascii="Times New Roman" w:hAnsi="Times New Roman" w:cs="Times New Roman"/>
                <w:sz w:val="20"/>
                <w:szCs w:val="20"/>
              </w:rPr>
            </w:pPr>
          </w:p>
        </w:tc>
        <w:tc>
          <w:tcPr>
            <w:tcW w:w="992" w:type="dxa"/>
            <w:vMerge/>
            <w:tcBorders>
              <w:bottom w:val="single" w:sz="4" w:space="0" w:color="auto"/>
            </w:tcBorders>
            <w:noWrap/>
            <w:vAlign w:val="center"/>
          </w:tcPr>
          <w:p w14:paraId="4998A202" w14:textId="382FA2CC" w:rsidR="00363ADB" w:rsidRPr="00AC7868" w:rsidRDefault="00363ADB" w:rsidP="004D4B3A">
            <w:pPr>
              <w:jc w:val="center"/>
              <w:rPr>
                <w:rFonts w:ascii="Times New Roman" w:hAnsi="Times New Roman" w:cs="Times New Roman"/>
                <w:sz w:val="20"/>
                <w:szCs w:val="20"/>
              </w:rPr>
            </w:pPr>
          </w:p>
        </w:tc>
        <w:tc>
          <w:tcPr>
            <w:tcW w:w="1134" w:type="dxa"/>
            <w:tcBorders>
              <w:bottom w:val="single" w:sz="4" w:space="0" w:color="auto"/>
            </w:tcBorders>
            <w:noWrap/>
            <w:vAlign w:val="center"/>
          </w:tcPr>
          <w:p w14:paraId="3B0C38AB" w14:textId="632C73D8"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tcBorders>
              <w:bottom w:val="single" w:sz="4" w:space="0" w:color="auto"/>
            </w:tcBorders>
            <w:noWrap/>
            <w:vAlign w:val="center"/>
          </w:tcPr>
          <w:p w14:paraId="5EE6DC99" w14:textId="3B651CD5"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84</w:t>
            </w:r>
          </w:p>
        </w:tc>
        <w:tc>
          <w:tcPr>
            <w:tcW w:w="585" w:type="dxa"/>
            <w:tcBorders>
              <w:bottom w:val="single" w:sz="4" w:space="0" w:color="auto"/>
            </w:tcBorders>
            <w:noWrap/>
            <w:vAlign w:val="center"/>
          </w:tcPr>
          <w:p w14:paraId="59A9C9AC" w14:textId="310FD86B"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9</w:t>
            </w:r>
          </w:p>
        </w:tc>
        <w:tc>
          <w:tcPr>
            <w:tcW w:w="567" w:type="dxa"/>
            <w:tcBorders>
              <w:bottom w:val="single" w:sz="4" w:space="0" w:color="auto"/>
            </w:tcBorders>
            <w:noWrap/>
            <w:vAlign w:val="center"/>
          </w:tcPr>
          <w:p w14:paraId="61AAC17F" w14:textId="47EE4DD3"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17</w:t>
            </w:r>
          </w:p>
        </w:tc>
        <w:tc>
          <w:tcPr>
            <w:tcW w:w="567" w:type="dxa"/>
            <w:tcBorders>
              <w:bottom w:val="single" w:sz="4" w:space="0" w:color="auto"/>
            </w:tcBorders>
            <w:noWrap/>
            <w:vAlign w:val="center"/>
          </w:tcPr>
          <w:p w14:paraId="6ECE0232" w14:textId="1C2C6009"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14</w:t>
            </w:r>
          </w:p>
        </w:tc>
        <w:tc>
          <w:tcPr>
            <w:tcW w:w="567" w:type="dxa"/>
            <w:tcBorders>
              <w:bottom w:val="single" w:sz="4" w:space="0" w:color="auto"/>
            </w:tcBorders>
            <w:noWrap/>
            <w:vAlign w:val="center"/>
          </w:tcPr>
          <w:p w14:paraId="703728EE" w14:textId="6D6CFE93"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tcBorders>
              <w:bottom w:val="single" w:sz="4" w:space="0" w:color="auto"/>
            </w:tcBorders>
            <w:noWrap/>
            <w:vAlign w:val="center"/>
          </w:tcPr>
          <w:p w14:paraId="0F2A1A8A" w14:textId="096F4E48"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567" w:type="dxa"/>
            <w:tcBorders>
              <w:bottom w:val="single" w:sz="4" w:space="0" w:color="auto"/>
            </w:tcBorders>
            <w:noWrap/>
            <w:vAlign w:val="center"/>
          </w:tcPr>
          <w:p w14:paraId="5D48DF25" w14:textId="0E1AE3D2"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19</w:t>
            </w:r>
          </w:p>
        </w:tc>
        <w:tc>
          <w:tcPr>
            <w:tcW w:w="567" w:type="dxa"/>
            <w:tcBorders>
              <w:bottom w:val="single" w:sz="4" w:space="0" w:color="auto"/>
            </w:tcBorders>
            <w:noWrap/>
            <w:vAlign w:val="center"/>
          </w:tcPr>
          <w:p w14:paraId="4FA5856D" w14:textId="38A2A39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33</w:t>
            </w:r>
          </w:p>
        </w:tc>
      </w:tr>
      <w:tr w:rsidR="00363ADB" w:rsidRPr="00455EA9" w14:paraId="076F9E17" w14:textId="77777777" w:rsidTr="00363ADB">
        <w:trPr>
          <w:trHeight w:val="283"/>
          <w:jc w:val="center"/>
        </w:trPr>
        <w:tc>
          <w:tcPr>
            <w:tcW w:w="8807" w:type="dxa"/>
            <w:gridSpan w:val="11"/>
            <w:tcBorders>
              <w:top w:val="single" w:sz="4" w:space="0" w:color="auto"/>
            </w:tcBorders>
            <w:noWrap/>
          </w:tcPr>
          <w:p w14:paraId="040FC7E5" w14:textId="77777777" w:rsidR="00363ADB" w:rsidRPr="00AC7868" w:rsidRDefault="00363ADB" w:rsidP="004D4B3A">
            <w:pPr>
              <w:spacing w:line="276" w:lineRule="auto"/>
              <w:jc w:val="center"/>
              <w:rPr>
                <w:rFonts w:ascii="Times New Roman" w:hAnsi="Times New Roman" w:cs="Times New Roman"/>
                <w:b/>
                <w:bCs/>
                <w:sz w:val="20"/>
                <w:szCs w:val="20"/>
              </w:rPr>
            </w:pPr>
            <w:r w:rsidRPr="00AC7868">
              <w:rPr>
                <w:rFonts w:ascii="Times New Roman" w:hAnsi="Times New Roman" w:cs="Times New Roman"/>
                <w:b/>
                <w:bCs/>
                <w:sz w:val="20"/>
                <w:szCs w:val="20"/>
              </w:rPr>
              <w:t>Carbonato de dietila</w:t>
            </w:r>
          </w:p>
        </w:tc>
      </w:tr>
      <w:tr w:rsidR="00363ADB" w:rsidRPr="00455EA9" w14:paraId="5C7CD01C" w14:textId="77777777" w:rsidTr="00363ADB">
        <w:trPr>
          <w:trHeight w:val="283"/>
          <w:jc w:val="center"/>
        </w:trPr>
        <w:tc>
          <w:tcPr>
            <w:tcW w:w="993" w:type="dxa"/>
            <w:vMerge w:val="restart"/>
            <w:tcBorders>
              <w:top w:val="single" w:sz="4" w:space="0" w:color="auto"/>
            </w:tcBorders>
            <w:noWrap/>
          </w:tcPr>
          <w:p w14:paraId="6E941E7C" w14:textId="50A65215"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992" w:type="dxa"/>
            <w:vMerge w:val="restart"/>
            <w:tcBorders>
              <w:top w:val="single" w:sz="4" w:space="0" w:color="auto"/>
            </w:tcBorders>
            <w:noWrap/>
          </w:tcPr>
          <w:p w14:paraId="43626752" w14:textId="11A86F27"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1a</w:t>
            </w:r>
          </w:p>
        </w:tc>
        <w:tc>
          <w:tcPr>
            <w:tcW w:w="1134" w:type="dxa"/>
            <w:tcBorders>
              <w:top w:val="single" w:sz="4" w:space="0" w:color="auto"/>
            </w:tcBorders>
            <w:noWrap/>
            <w:vAlign w:val="center"/>
          </w:tcPr>
          <w:p w14:paraId="12BE6B15"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tcBorders>
              <w:top w:val="single" w:sz="4" w:space="0" w:color="auto"/>
            </w:tcBorders>
            <w:noWrap/>
            <w:vAlign w:val="center"/>
          </w:tcPr>
          <w:p w14:paraId="2E1EB7CE"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47</w:t>
            </w:r>
          </w:p>
        </w:tc>
        <w:tc>
          <w:tcPr>
            <w:tcW w:w="585" w:type="dxa"/>
            <w:tcBorders>
              <w:top w:val="single" w:sz="4" w:space="0" w:color="auto"/>
            </w:tcBorders>
            <w:noWrap/>
            <w:vAlign w:val="center"/>
          </w:tcPr>
          <w:p w14:paraId="6B7E35FF"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567" w:type="dxa"/>
            <w:tcBorders>
              <w:top w:val="single" w:sz="4" w:space="0" w:color="auto"/>
            </w:tcBorders>
            <w:noWrap/>
            <w:vAlign w:val="center"/>
          </w:tcPr>
          <w:p w14:paraId="63EA6182"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30</w:t>
            </w:r>
          </w:p>
        </w:tc>
        <w:tc>
          <w:tcPr>
            <w:tcW w:w="567" w:type="dxa"/>
            <w:tcBorders>
              <w:top w:val="single" w:sz="4" w:space="0" w:color="auto"/>
            </w:tcBorders>
            <w:noWrap/>
            <w:vAlign w:val="center"/>
          </w:tcPr>
          <w:p w14:paraId="31ABAB64"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567" w:type="dxa"/>
            <w:tcBorders>
              <w:top w:val="single" w:sz="4" w:space="0" w:color="auto"/>
            </w:tcBorders>
            <w:noWrap/>
            <w:vAlign w:val="center"/>
          </w:tcPr>
          <w:p w14:paraId="21DAFC2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22</w:t>
            </w:r>
          </w:p>
        </w:tc>
        <w:tc>
          <w:tcPr>
            <w:tcW w:w="567" w:type="dxa"/>
            <w:tcBorders>
              <w:top w:val="single" w:sz="4" w:space="0" w:color="auto"/>
            </w:tcBorders>
            <w:noWrap/>
            <w:vAlign w:val="center"/>
          </w:tcPr>
          <w:p w14:paraId="6907984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tcBorders>
              <w:top w:val="single" w:sz="4" w:space="0" w:color="auto"/>
            </w:tcBorders>
            <w:noWrap/>
            <w:vAlign w:val="center"/>
          </w:tcPr>
          <w:p w14:paraId="63694277"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tcBorders>
              <w:top w:val="single" w:sz="4" w:space="0" w:color="auto"/>
            </w:tcBorders>
            <w:noWrap/>
            <w:vAlign w:val="center"/>
          </w:tcPr>
          <w:p w14:paraId="5827C04C"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33</w:t>
            </w:r>
          </w:p>
        </w:tc>
      </w:tr>
      <w:tr w:rsidR="00363ADB" w:rsidRPr="00455EA9" w14:paraId="4B93C3E9" w14:textId="77777777" w:rsidTr="00363ADB">
        <w:trPr>
          <w:trHeight w:val="283"/>
          <w:jc w:val="center"/>
        </w:trPr>
        <w:tc>
          <w:tcPr>
            <w:tcW w:w="993" w:type="dxa"/>
            <w:vMerge/>
            <w:noWrap/>
          </w:tcPr>
          <w:p w14:paraId="336E927F" w14:textId="77777777" w:rsidR="00363ADB" w:rsidRPr="00AC7868" w:rsidRDefault="00363ADB" w:rsidP="00C95DF7">
            <w:pPr>
              <w:spacing w:line="276" w:lineRule="auto"/>
              <w:jc w:val="center"/>
              <w:rPr>
                <w:rFonts w:ascii="Times New Roman" w:hAnsi="Times New Roman" w:cs="Times New Roman"/>
                <w:sz w:val="20"/>
                <w:szCs w:val="20"/>
              </w:rPr>
            </w:pPr>
          </w:p>
        </w:tc>
        <w:tc>
          <w:tcPr>
            <w:tcW w:w="992" w:type="dxa"/>
            <w:vMerge/>
            <w:noWrap/>
          </w:tcPr>
          <w:p w14:paraId="33F6EAC7" w14:textId="057BB990" w:rsidR="00363ADB" w:rsidRPr="00AC7868" w:rsidRDefault="00363ADB" w:rsidP="00C95DF7">
            <w:pPr>
              <w:spacing w:line="276" w:lineRule="auto"/>
              <w:jc w:val="center"/>
              <w:rPr>
                <w:rFonts w:ascii="Times New Roman" w:hAnsi="Times New Roman" w:cs="Times New Roman"/>
                <w:sz w:val="20"/>
                <w:szCs w:val="20"/>
              </w:rPr>
            </w:pPr>
          </w:p>
        </w:tc>
        <w:tc>
          <w:tcPr>
            <w:tcW w:w="1134" w:type="dxa"/>
            <w:noWrap/>
            <w:vAlign w:val="center"/>
          </w:tcPr>
          <w:p w14:paraId="7C0AC7E9"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noWrap/>
            <w:vAlign w:val="center"/>
          </w:tcPr>
          <w:p w14:paraId="44A4243D"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77</w:t>
            </w:r>
          </w:p>
        </w:tc>
        <w:tc>
          <w:tcPr>
            <w:tcW w:w="585" w:type="dxa"/>
            <w:noWrap/>
            <w:vAlign w:val="center"/>
          </w:tcPr>
          <w:p w14:paraId="680F15E5"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7</w:t>
            </w:r>
          </w:p>
        </w:tc>
        <w:tc>
          <w:tcPr>
            <w:tcW w:w="567" w:type="dxa"/>
            <w:noWrap/>
            <w:vAlign w:val="center"/>
          </w:tcPr>
          <w:p w14:paraId="25C7D4F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30</w:t>
            </w:r>
          </w:p>
        </w:tc>
        <w:tc>
          <w:tcPr>
            <w:tcW w:w="567" w:type="dxa"/>
            <w:noWrap/>
            <w:vAlign w:val="center"/>
          </w:tcPr>
          <w:p w14:paraId="7E41312F"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567" w:type="dxa"/>
            <w:noWrap/>
            <w:vAlign w:val="center"/>
          </w:tcPr>
          <w:p w14:paraId="2608E025"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16</w:t>
            </w:r>
          </w:p>
        </w:tc>
        <w:tc>
          <w:tcPr>
            <w:tcW w:w="567" w:type="dxa"/>
            <w:noWrap/>
            <w:vAlign w:val="center"/>
          </w:tcPr>
          <w:p w14:paraId="3D8BBFE3"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6</w:t>
            </w:r>
          </w:p>
        </w:tc>
        <w:tc>
          <w:tcPr>
            <w:tcW w:w="567" w:type="dxa"/>
            <w:noWrap/>
            <w:vAlign w:val="center"/>
          </w:tcPr>
          <w:p w14:paraId="354D3624" w14:textId="77777777" w:rsidR="00363ADB" w:rsidRPr="00AC7868" w:rsidRDefault="00363ADB" w:rsidP="004D4B3A">
            <w:pPr>
              <w:jc w:val="center"/>
              <w:rPr>
                <w:rFonts w:ascii="Times New Roman" w:hAnsi="Times New Roman" w:cs="Times New Roman"/>
                <w:sz w:val="20"/>
                <w:szCs w:val="20"/>
              </w:rPr>
            </w:pPr>
            <w:r w:rsidRPr="00AC7868">
              <w:rPr>
                <w:rFonts w:ascii="Times New Roman" w:hAnsi="Times New Roman" w:cs="Times New Roman"/>
                <w:sz w:val="20"/>
                <w:szCs w:val="20"/>
              </w:rPr>
              <w:t>2</w:t>
            </w:r>
          </w:p>
        </w:tc>
        <w:tc>
          <w:tcPr>
            <w:tcW w:w="567" w:type="dxa"/>
            <w:noWrap/>
            <w:vAlign w:val="center"/>
          </w:tcPr>
          <w:p w14:paraId="6E22D246" w14:textId="777777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35</w:t>
            </w:r>
          </w:p>
        </w:tc>
      </w:tr>
      <w:tr w:rsidR="00363ADB" w:rsidRPr="00455EA9" w14:paraId="32092274" w14:textId="77777777" w:rsidTr="00363ADB">
        <w:trPr>
          <w:trHeight w:val="283"/>
          <w:jc w:val="center"/>
        </w:trPr>
        <w:tc>
          <w:tcPr>
            <w:tcW w:w="993" w:type="dxa"/>
            <w:vMerge w:val="restart"/>
            <w:noWrap/>
          </w:tcPr>
          <w:p w14:paraId="27A6FC1B" w14:textId="1E4A0B57" w:rsidR="00363ADB" w:rsidRPr="00AC7868" w:rsidRDefault="00363ADB" w:rsidP="00C95DF7">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8</w:t>
            </w:r>
          </w:p>
        </w:tc>
        <w:tc>
          <w:tcPr>
            <w:tcW w:w="992" w:type="dxa"/>
            <w:vMerge w:val="restart"/>
            <w:noWrap/>
          </w:tcPr>
          <w:p w14:paraId="4C225001" w14:textId="3BEA6BA6" w:rsidR="00363ADB" w:rsidRPr="00AC7868" w:rsidRDefault="00363ADB" w:rsidP="00C95DF7">
            <w:pPr>
              <w:jc w:val="center"/>
              <w:rPr>
                <w:rFonts w:ascii="Times New Roman" w:hAnsi="Times New Roman" w:cs="Times New Roman"/>
                <w:sz w:val="20"/>
                <w:szCs w:val="20"/>
              </w:rPr>
            </w:pPr>
            <w:r w:rsidRPr="00AC7868">
              <w:rPr>
                <w:rFonts w:ascii="Times New Roman" w:hAnsi="Times New Roman" w:cs="Times New Roman"/>
                <w:sz w:val="20"/>
                <w:szCs w:val="20"/>
              </w:rPr>
              <w:t>1b</w:t>
            </w:r>
          </w:p>
        </w:tc>
        <w:tc>
          <w:tcPr>
            <w:tcW w:w="1134" w:type="dxa"/>
            <w:noWrap/>
            <w:vAlign w:val="center"/>
          </w:tcPr>
          <w:p w14:paraId="2A219D4E" w14:textId="23C5B7E1"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noWrap/>
            <w:vAlign w:val="center"/>
          </w:tcPr>
          <w:p w14:paraId="669C78CC" w14:textId="732BEF34"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68</w:t>
            </w:r>
          </w:p>
        </w:tc>
        <w:tc>
          <w:tcPr>
            <w:tcW w:w="585" w:type="dxa"/>
            <w:noWrap/>
            <w:vAlign w:val="center"/>
          </w:tcPr>
          <w:p w14:paraId="1BD3248B" w14:textId="77848E21"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567" w:type="dxa"/>
            <w:noWrap/>
            <w:vAlign w:val="center"/>
          </w:tcPr>
          <w:p w14:paraId="0E2DBAB2" w14:textId="334D8C1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17</w:t>
            </w:r>
          </w:p>
        </w:tc>
        <w:tc>
          <w:tcPr>
            <w:tcW w:w="567" w:type="dxa"/>
            <w:noWrap/>
            <w:vAlign w:val="center"/>
          </w:tcPr>
          <w:p w14:paraId="0B5FFC1C" w14:textId="41040AD3"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14</w:t>
            </w:r>
          </w:p>
        </w:tc>
        <w:tc>
          <w:tcPr>
            <w:tcW w:w="567" w:type="dxa"/>
            <w:noWrap/>
            <w:vAlign w:val="center"/>
          </w:tcPr>
          <w:p w14:paraId="7C576F8C" w14:textId="53200A88"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noWrap/>
            <w:vAlign w:val="center"/>
          </w:tcPr>
          <w:p w14:paraId="415F4299" w14:textId="0F40E0FF"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11</w:t>
            </w:r>
          </w:p>
        </w:tc>
        <w:tc>
          <w:tcPr>
            <w:tcW w:w="567" w:type="dxa"/>
            <w:noWrap/>
            <w:vAlign w:val="center"/>
          </w:tcPr>
          <w:p w14:paraId="7E8AC16B" w14:textId="47044518"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23</w:t>
            </w:r>
          </w:p>
        </w:tc>
        <w:tc>
          <w:tcPr>
            <w:tcW w:w="567" w:type="dxa"/>
            <w:noWrap/>
            <w:vAlign w:val="center"/>
          </w:tcPr>
          <w:p w14:paraId="2C2B1DE8" w14:textId="09DB74E0"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33</w:t>
            </w:r>
          </w:p>
        </w:tc>
      </w:tr>
      <w:tr w:rsidR="00363ADB" w:rsidRPr="00455EA9" w14:paraId="6B20933E" w14:textId="77777777" w:rsidTr="00363ADB">
        <w:trPr>
          <w:trHeight w:val="283"/>
          <w:jc w:val="center"/>
        </w:trPr>
        <w:tc>
          <w:tcPr>
            <w:tcW w:w="993" w:type="dxa"/>
            <w:vMerge/>
            <w:tcBorders>
              <w:bottom w:val="single" w:sz="4" w:space="0" w:color="auto"/>
            </w:tcBorders>
            <w:noWrap/>
          </w:tcPr>
          <w:p w14:paraId="0DEE4B28" w14:textId="77777777" w:rsidR="00363ADB" w:rsidRPr="00AC7868" w:rsidRDefault="00363ADB" w:rsidP="004D4B3A">
            <w:pPr>
              <w:spacing w:line="276" w:lineRule="auto"/>
              <w:jc w:val="center"/>
              <w:rPr>
                <w:rFonts w:ascii="Times New Roman" w:hAnsi="Times New Roman" w:cs="Times New Roman"/>
                <w:sz w:val="20"/>
                <w:szCs w:val="20"/>
              </w:rPr>
            </w:pPr>
          </w:p>
        </w:tc>
        <w:tc>
          <w:tcPr>
            <w:tcW w:w="992" w:type="dxa"/>
            <w:vMerge/>
            <w:tcBorders>
              <w:bottom w:val="single" w:sz="4" w:space="0" w:color="auto"/>
            </w:tcBorders>
            <w:noWrap/>
            <w:vAlign w:val="center"/>
          </w:tcPr>
          <w:p w14:paraId="09C5E9AB" w14:textId="1E1B725C" w:rsidR="00363ADB" w:rsidRPr="00AC7868" w:rsidRDefault="00363ADB" w:rsidP="004D4B3A">
            <w:pPr>
              <w:jc w:val="center"/>
              <w:rPr>
                <w:rFonts w:ascii="Times New Roman" w:hAnsi="Times New Roman" w:cs="Times New Roman"/>
                <w:sz w:val="20"/>
                <w:szCs w:val="20"/>
              </w:rPr>
            </w:pPr>
          </w:p>
        </w:tc>
        <w:tc>
          <w:tcPr>
            <w:tcW w:w="1134" w:type="dxa"/>
            <w:tcBorders>
              <w:bottom w:val="single" w:sz="4" w:space="0" w:color="auto"/>
            </w:tcBorders>
            <w:noWrap/>
            <w:vAlign w:val="center"/>
          </w:tcPr>
          <w:p w14:paraId="48B6B829" w14:textId="1B71287E"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tcBorders>
              <w:bottom w:val="single" w:sz="4" w:space="0" w:color="auto"/>
            </w:tcBorders>
            <w:noWrap/>
            <w:vAlign w:val="center"/>
          </w:tcPr>
          <w:p w14:paraId="24C3CCC5" w14:textId="5F2B195A"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81</w:t>
            </w:r>
          </w:p>
        </w:tc>
        <w:tc>
          <w:tcPr>
            <w:tcW w:w="585" w:type="dxa"/>
            <w:tcBorders>
              <w:bottom w:val="single" w:sz="4" w:space="0" w:color="auto"/>
            </w:tcBorders>
            <w:noWrap/>
            <w:vAlign w:val="center"/>
          </w:tcPr>
          <w:p w14:paraId="06936D2C" w14:textId="137878A6"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w:t>
            </w:r>
          </w:p>
        </w:tc>
        <w:tc>
          <w:tcPr>
            <w:tcW w:w="567" w:type="dxa"/>
            <w:tcBorders>
              <w:bottom w:val="single" w:sz="4" w:space="0" w:color="auto"/>
            </w:tcBorders>
            <w:noWrap/>
            <w:vAlign w:val="center"/>
          </w:tcPr>
          <w:p w14:paraId="60CFEF06" w14:textId="0FB941D0"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18</w:t>
            </w:r>
          </w:p>
        </w:tc>
        <w:tc>
          <w:tcPr>
            <w:tcW w:w="567" w:type="dxa"/>
            <w:tcBorders>
              <w:bottom w:val="single" w:sz="4" w:space="0" w:color="auto"/>
            </w:tcBorders>
            <w:noWrap/>
            <w:vAlign w:val="center"/>
          </w:tcPr>
          <w:p w14:paraId="2411A24E" w14:textId="511E834E"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15</w:t>
            </w:r>
          </w:p>
        </w:tc>
        <w:tc>
          <w:tcPr>
            <w:tcW w:w="567" w:type="dxa"/>
            <w:tcBorders>
              <w:bottom w:val="single" w:sz="4" w:space="0" w:color="auto"/>
            </w:tcBorders>
            <w:noWrap/>
            <w:vAlign w:val="center"/>
          </w:tcPr>
          <w:p w14:paraId="538C5E1B" w14:textId="1AA030C3"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0</w:t>
            </w:r>
          </w:p>
        </w:tc>
        <w:tc>
          <w:tcPr>
            <w:tcW w:w="567" w:type="dxa"/>
            <w:tcBorders>
              <w:bottom w:val="single" w:sz="4" w:space="0" w:color="auto"/>
            </w:tcBorders>
            <w:noWrap/>
            <w:vAlign w:val="center"/>
          </w:tcPr>
          <w:p w14:paraId="4B030E7F" w14:textId="0E7B7220"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567" w:type="dxa"/>
            <w:tcBorders>
              <w:bottom w:val="single" w:sz="4" w:space="0" w:color="auto"/>
            </w:tcBorders>
            <w:noWrap/>
            <w:vAlign w:val="center"/>
          </w:tcPr>
          <w:p w14:paraId="4F4FEC10" w14:textId="30D5DB77"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21</w:t>
            </w:r>
          </w:p>
        </w:tc>
        <w:tc>
          <w:tcPr>
            <w:tcW w:w="567" w:type="dxa"/>
            <w:tcBorders>
              <w:bottom w:val="single" w:sz="4" w:space="0" w:color="auto"/>
            </w:tcBorders>
            <w:noWrap/>
            <w:vAlign w:val="center"/>
          </w:tcPr>
          <w:p w14:paraId="481FF80E" w14:textId="175133A8" w:rsidR="00363ADB" w:rsidRPr="00AC7868" w:rsidRDefault="00363ADB" w:rsidP="004D4B3A">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34</w:t>
            </w:r>
          </w:p>
        </w:tc>
      </w:tr>
      <w:tr w:rsidR="00363ADB" w:rsidRPr="00455EA9" w14:paraId="553D5D40" w14:textId="77777777" w:rsidTr="00363ADB">
        <w:trPr>
          <w:trHeight w:val="283"/>
          <w:jc w:val="center"/>
        </w:trPr>
        <w:tc>
          <w:tcPr>
            <w:tcW w:w="8807" w:type="dxa"/>
            <w:gridSpan w:val="11"/>
            <w:tcBorders>
              <w:top w:val="single" w:sz="4" w:space="0" w:color="auto"/>
              <w:bottom w:val="single" w:sz="4" w:space="0" w:color="auto"/>
            </w:tcBorders>
            <w:noWrap/>
          </w:tcPr>
          <w:p w14:paraId="4627E954" w14:textId="77777777" w:rsidR="00363ADB" w:rsidRPr="00AC7868" w:rsidRDefault="00363ADB" w:rsidP="004D4B3A">
            <w:pPr>
              <w:spacing w:line="276" w:lineRule="auto"/>
              <w:jc w:val="center"/>
              <w:rPr>
                <w:rFonts w:ascii="Times New Roman" w:hAnsi="Times New Roman" w:cs="Times New Roman"/>
                <w:b/>
                <w:bCs/>
                <w:sz w:val="20"/>
                <w:szCs w:val="20"/>
              </w:rPr>
            </w:pPr>
            <w:r w:rsidRPr="00AC7868">
              <w:rPr>
                <w:rFonts w:ascii="Times New Roman" w:hAnsi="Times New Roman" w:cs="Times New Roman"/>
                <w:b/>
                <w:bCs/>
                <w:sz w:val="20"/>
                <w:szCs w:val="20"/>
              </w:rPr>
              <w:t>Carbonato de propileno</w:t>
            </w:r>
          </w:p>
        </w:tc>
      </w:tr>
      <w:tr w:rsidR="00363ADB" w:rsidRPr="00455EA9" w14:paraId="7ECEFA1A" w14:textId="77777777" w:rsidTr="00363ADB">
        <w:trPr>
          <w:trHeight w:val="283"/>
          <w:jc w:val="center"/>
        </w:trPr>
        <w:tc>
          <w:tcPr>
            <w:tcW w:w="993" w:type="dxa"/>
            <w:vMerge w:val="restart"/>
            <w:tcBorders>
              <w:top w:val="single" w:sz="4" w:space="0" w:color="auto"/>
            </w:tcBorders>
            <w:noWrap/>
          </w:tcPr>
          <w:p w14:paraId="7F55C127" w14:textId="707C37F9"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9</w:t>
            </w:r>
          </w:p>
        </w:tc>
        <w:tc>
          <w:tcPr>
            <w:tcW w:w="992" w:type="dxa"/>
            <w:vMerge w:val="restart"/>
            <w:tcBorders>
              <w:top w:val="single" w:sz="4" w:space="0" w:color="auto"/>
            </w:tcBorders>
            <w:noWrap/>
          </w:tcPr>
          <w:p w14:paraId="17DFF1ED" w14:textId="5790AFDB" w:rsidR="00363ADB" w:rsidRPr="00AC7868" w:rsidRDefault="00363ADB" w:rsidP="00D03204">
            <w:pPr>
              <w:jc w:val="center"/>
              <w:rPr>
                <w:rFonts w:ascii="Times New Roman" w:hAnsi="Times New Roman" w:cs="Times New Roman"/>
                <w:sz w:val="20"/>
                <w:szCs w:val="20"/>
              </w:rPr>
            </w:pPr>
            <w:r w:rsidRPr="00AC7868">
              <w:rPr>
                <w:rFonts w:ascii="Times New Roman" w:hAnsi="Times New Roman" w:cs="Times New Roman"/>
                <w:sz w:val="20"/>
                <w:szCs w:val="20"/>
              </w:rPr>
              <w:t>1a</w:t>
            </w:r>
          </w:p>
        </w:tc>
        <w:tc>
          <w:tcPr>
            <w:tcW w:w="1134" w:type="dxa"/>
            <w:tcBorders>
              <w:top w:val="single" w:sz="4" w:space="0" w:color="auto"/>
            </w:tcBorders>
            <w:noWrap/>
            <w:vAlign w:val="center"/>
          </w:tcPr>
          <w:p w14:paraId="0910305E" w14:textId="77777777"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w:t>
            </w:r>
          </w:p>
        </w:tc>
        <w:tc>
          <w:tcPr>
            <w:tcW w:w="1701" w:type="dxa"/>
            <w:tcBorders>
              <w:top w:val="single" w:sz="4" w:space="0" w:color="auto"/>
            </w:tcBorders>
            <w:noWrap/>
          </w:tcPr>
          <w:p w14:paraId="4D1C3F05" w14:textId="72711275"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85</w:t>
            </w:r>
          </w:p>
        </w:tc>
        <w:tc>
          <w:tcPr>
            <w:tcW w:w="585" w:type="dxa"/>
            <w:tcBorders>
              <w:top w:val="single" w:sz="4" w:space="0" w:color="auto"/>
            </w:tcBorders>
            <w:noWrap/>
          </w:tcPr>
          <w:p w14:paraId="4FAA777C" w14:textId="76DE01B2"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9</w:t>
            </w:r>
          </w:p>
        </w:tc>
        <w:tc>
          <w:tcPr>
            <w:tcW w:w="567" w:type="dxa"/>
            <w:tcBorders>
              <w:top w:val="single" w:sz="4" w:space="0" w:color="auto"/>
            </w:tcBorders>
            <w:noWrap/>
          </w:tcPr>
          <w:p w14:paraId="59B6B3A0" w14:textId="3DF3F8C8"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33</w:t>
            </w:r>
          </w:p>
        </w:tc>
        <w:tc>
          <w:tcPr>
            <w:tcW w:w="567" w:type="dxa"/>
            <w:tcBorders>
              <w:top w:val="single" w:sz="4" w:space="0" w:color="auto"/>
            </w:tcBorders>
            <w:noWrap/>
          </w:tcPr>
          <w:p w14:paraId="5115EA53" w14:textId="539BF8E1"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4</w:t>
            </w:r>
          </w:p>
        </w:tc>
        <w:tc>
          <w:tcPr>
            <w:tcW w:w="567" w:type="dxa"/>
            <w:tcBorders>
              <w:top w:val="single" w:sz="4" w:space="0" w:color="auto"/>
            </w:tcBorders>
            <w:noWrap/>
          </w:tcPr>
          <w:p w14:paraId="50CB4CE4" w14:textId="21A7C2FB"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18</w:t>
            </w:r>
          </w:p>
        </w:tc>
        <w:tc>
          <w:tcPr>
            <w:tcW w:w="567" w:type="dxa"/>
            <w:tcBorders>
              <w:top w:val="single" w:sz="4" w:space="0" w:color="auto"/>
            </w:tcBorders>
            <w:noWrap/>
          </w:tcPr>
          <w:p w14:paraId="22519F65" w14:textId="3BEFD899"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11</w:t>
            </w:r>
          </w:p>
        </w:tc>
        <w:tc>
          <w:tcPr>
            <w:tcW w:w="567" w:type="dxa"/>
            <w:tcBorders>
              <w:top w:val="single" w:sz="4" w:space="0" w:color="auto"/>
            </w:tcBorders>
            <w:noWrap/>
          </w:tcPr>
          <w:p w14:paraId="305CB3FE" w14:textId="7B552F02"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w:t>
            </w:r>
          </w:p>
        </w:tc>
        <w:tc>
          <w:tcPr>
            <w:tcW w:w="567" w:type="dxa"/>
            <w:tcBorders>
              <w:top w:val="single" w:sz="4" w:space="0" w:color="auto"/>
            </w:tcBorders>
            <w:noWrap/>
            <w:vAlign w:val="center"/>
          </w:tcPr>
          <w:p w14:paraId="6F71E9FE" w14:textId="32ED7EB1"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23</w:t>
            </w:r>
          </w:p>
        </w:tc>
      </w:tr>
      <w:tr w:rsidR="00363ADB" w:rsidRPr="00455EA9" w14:paraId="30E31E5F" w14:textId="77777777" w:rsidTr="00363ADB">
        <w:trPr>
          <w:trHeight w:val="283"/>
          <w:jc w:val="center"/>
        </w:trPr>
        <w:tc>
          <w:tcPr>
            <w:tcW w:w="993" w:type="dxa"/>
            <w:vMerge/>
            <w:noWrap/>
          </w:tcPr>
          <w:p w14:paraId="66A9E91E" w14:textId="77777777" w:rsidR="00363ADB" w:rsidRPr="00AC7868" w:rsidRDefault="00363ADB" w:rsidP="00D03204">
            <w:pPr>
              <w:spacing w:line="276" w:lineRule="auto"/>
              <w:jc w:val="center"/>
              <w:rPr>
                <w:rFonts w:ascii="Times New Roman" w:hAnsi="Times New Roman" w:cs="Times New Roman"/>
                <w:sz w:val="20"/>
                <w:szCs w:val="20"/>
              </w:rPr>
            </w:pPr>
          </w:p>
        </w:tc>
        <w:tc>
          <w:tcPr>
            <w:tcW w:w="992" w:type="dxa"/>
            <w:vMerge/>
            <w:noWrap/>
          </w:tcPr>
          <w:p w14:paraId="1F610F20" w14:textId="4901859A" w:rsidR="00363ADB" w:rsidRPr="00AC7868" w:rsidRDefault="00363ADB" w:rsidP="00D03204">
            <w:pPr>
              <w:spacing w:line="276" w:lineRule="auto"/>
              <w:jc w:val="center"/>
              <w:rPr>
                <w:rFonts w:ascii="Times New Roman" w:hAnsi="Times New Roman" w:cs="Times New Roman"/>
                <w:sz w:val="20"/>
                <w:szCs w:val="20"/>
              </w:rPr>
            </w:pPr>
          </w:p>
        </w:tc>
        <w:tc>
          <w:tcPr>
            <w:tcW w:w="1134" w:type="dxa"/>
            <w:noWrap/>
            <w:vAlign w:val="center"/>
          </w:tcPr>
          <w:p w14:paraId="052345E8" w14:textId="77777777"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10</w:t>
            </w:r>
          </w:p>
        </w:tc>
        <w:tc>
          <w:tcPr>
            <w:tcW w:w="1701" w:type="dxa"/>
            <w:noWrap/>
          </w:tcPr>
          <w:p w14:paraId="353D8756" w14:textId="3C0A8464"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95</w:t>
            </w:r>
          </w:p>
        </w:tc>
        <w:tc>
          <w:tcPr>
            <w:tcW w:w="585" w:type="dxa"/>
            <w:noWrap/>
          </w:tcPr>
          <w:p w14:paraId="147DAE9C" w14:textId="7A85C4C5"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21</w:t>
            </w:r>
          </w:p>
        </w:tc>
        <w:tc>
          <w:tcPr>
            <w:tcW w:w="567" w:type="dxa"/>
            <w:noWrap/>
          </w:tcPr>
          <w:p w14:paraId="34A04B46" w14:textId="78DAAE9A"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32</w:t>
            </w:r>
          </w:p>
        </w:tc>
        <w:tc>
          <w:tcPr>
            <w:tcW w:w="567" w:type="dxa"/>
            <w:noWrap/>
          </w:tcPr>
          <w:p w14:paraId="0474838A" w14:textId="78693FA8"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8</w:t>
            </w:r>
          </w:p>
        </w:tc>
        <w:tc>
          <w:tcPr>
            <w:tcW w:w="567" w:type="dxa"/>
            <w:noWrap/>
          </w:tcPr>
          <w:p w14:paraId="04E70713" w14:textId="78BBF7A7"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w:t>
            </w:r>
          </w:p>
        </w:tc>
        <w:tc>
          <w:tcPr>
            <w:tcW w:w="567" w:type="dxa"/>
            <w:noWrap/>
          </w:tcPr>
          <w:p w14:paraId="2E071163" w14:textId="5E18C9F6"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11</w:t>
            </w:r>
          </w:p>
        </w:tc>
        <w:tc>
          <w:tcPr>
            <w:tcW w:w="567" w:type="dxa"/>
            <w:noWrap/>
          </w:tcPr>
          <w:p w14:paraId="6032C041" w14:textId="7808CBCA"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3</w:t>
            </w:r>
          </w:p>
        </w:tc>
        <w:tc>
          <w:tcPr>
            <w:tcW w:w="567" w:type="dxa"/>
            <w:noWrap/>
            <w:vAlign w:val="center"/>
          </w:tcPr>
          <w:p w14:paraId="16066DC9" w14:textId="15647CE6" w:rsidR="00363ADB" w:rsidRPr="00AC7868" w:rsidRDefault="00363ADB" w:rsidP="00D03204">
            <w:pPr>
              <w:spacing w:line="276" w:lineRule="auto"/>
              <w:jc w:val="center"/>
              <w:rPr>
                <w:rFonts w:ascii="Times New Roman" w:hAnsi="Times New Roman" w:cs="Times New Roman"/>
                <w:sz w:val="20"/>
                <w:szCs w:val="20"/>
              </w:rPr>
            </w:pPr>
            <w:r w:rsidRPr="00AC7868">
              <w:rPr>
                <w:rFonts w:ascii="Times New Roman" w:hAnsi="Times New Roman" w:cs="Times New Roman"/>
                <w:sz w:val="20"/>
                <w:szCs w:val="20"/>
              </w:rPr>
              <w:t>23</w:t>
            </w:r>
          </w:p>
        </w:tc>
      </w:tr>
      <w:tr w:rsidR="00363ADB" w:rsidRPr="00455EA9" w14:paraId="47971C02" w14:textId="77777777" w:rsidTr="00363ADB">
        <w:trPr>
          <w:trHeight w:val="283"/>
          <w:jc w:val="center"/>
        </w:trPr>
        <w:tc>
          <w:tcPr>
            <w:tcW w:w="993" w:type="dxa"/>
            <w:vMerge w:val="restart"/>
            <w:noWrap/>
          </w:tcPr>
          <w:p w14:paraId="686C145C" w14:textId="037243F1"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992" w:type="dxa"/>
            <w:vMerge w:val="restart"/>
            <w:noWrap/>
          </w:tcPr>
          <w:p w14:paraId="1555FD84" w14:textId="789798E3" w:rsidR="00363ADB" w:rsidRPr="00455EA9" w:rsidRDefault="00363ADB" w:rsidP="00C804D4">
            <w:pPr>
              <w:jc w:val="center"/>
              <w:rPr>
                <w:rFonts w:ascii="Times New Roman" w:hAnsi="Times New Roman" w:cs="Times New Roman"/>
                <w:sz w:val="20"/>
                <w:szCs w:val="20"/>
              </w:rPr>
            </w:pPr>
            <w:r w:rsidRPr="00455EA9">
              <w:rPr>
                <w:rFonts w:ascii="Times New Roman" w:hAnsi="Times New Roman" w:cs="Times New Roman"/>
                <w:sz w:val="20"/>
                <w:szCs w:val="20"/>
              </w:rPr>
              <w:t>1b</w:t>
            </w:r>
          </w:p>
        </w:tc>
        <w:tc>
          <w:tcPr>
            <w:tcW w:w="1134" w:type="dxa"/>
            <w:noWrap/>
            <w:vAlign w:val="center"/>
          </w:tcPr>
          <w:p w14:paraId="4BB17102" w14:textId="1F9C037B"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w:t>
            </w:r>
          </w:p>
        </w:tc>
        <w:tc>
          <w:tcPr>
            <w:tcW w:w="1701" w:type="dxa"/>
            <w:noWrap/>
          </w:tcPr>
          <w:p w14:paraId="71492421" w14:textId="75BBC09A"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89</w:t>
            </w:r>
          </w:p>
        </w:tc>
        <w:tc>
          <w:tcPr>
            <w:tcW w:w="585" w:type="dxa"/>
            <w:noWrap/>
          </w:tcPr>
          <w:p w14:paraId="1DFBEDFE" w14:textId="3ED8CFCD"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7</w:t>
            </w:r>
          </w:p>
        </w:tc>
        <w:tc>
          <w:tcPr>
            <w:tcW w:w="567" w:type="dxa"/>
            <w:noWrap/>
          </w:tcPr>
          <w:p w14:paraId="64E5E13E" w14:textId="1EA8CF0E"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18</w:t>
            </w:r>
          </w:p>
        </w:tc>
        <w:tc>
          <w:tcPr>
            <w:tcW w:w="567" w:type="dxa"/>
            <w:noWrap/>
          </w:tcPr>
          <w:p w14:paraId="61FEFBA9" w14:textId="4D1C0EEC"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567" w:type="dxa"/>
            <w:noWrap/>
          </w:tcPr>
          <w:p w14:paraId="0E097111" w14:textId="48754E79"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0</w:t>
            </w:r>
          </w:p>
        </w:tc>
        <w:tc>
          <w:tcPr>
            <w:tcW w:w="567" w:type="dxa"/>
            <w:noWrap/>
          </w:tcPr>
          <w:p w14:paraId="1B435785" w14:textId="57505085"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25</w:t>
            </w:r>
          </w:p>
        </w:tc>
        <w:tc>
          <w:tcPr>
            <w:tcW w:w="567" w:type="dxa"/>
            <w:noWrap/>
          </w:tcPr>
          <w:p w14:paraId="01814197" w14:textId="3F2DF2FB"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22</w:t>
            </w:r>
          </w:p>
        </w:tc>
        <w:tc>
          <w:tcPr>
            <w:tcW w:w="567" w:type="dxa"/>
            <w:noWrap/>
            <w:vAlign w:val="center"/>
          </w:tcPr>
          <w:p w14:paraId="56BE0124" w14:textId="0DB8E124"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17</w:t>
            </w:r>
          </w:p>
        </w:tc>
      </w:tr>
      <w:tr w:rsidR="00363ADB" w:rsidRPr="00455EA9" w14:paraId="1C88F6AD" w14:textId="77777777" w:rsidTr="00363ADB">
        <w:trPr>
          <w:trHeight w:val="283"/>
          <w:jc w:val="center"/>
        </w:trPr>
        <w:tc>
          <w:tcPr>
            <w:tcW w:w="993" w:type="dxa"/>
            <w:vMerge/>
            <w:tcBorders>
              <w:bottom w:val="single" w:sz="4" w:space="0" w:color="auto"/>
            </w:tcBorders>
            <w:noWrap/>
            <w:vAlign w:val="center"/>
          </w:tcPr>
          <w:p w14:paraId="79578646" w14:textId="77777777" w:rsidR="00363ADB" w:rsidRPr="00455EA9" w:rsidRDefault="00363ADB" w:rsidP="00C804D4">
            <w:pPr>
              <w:spacing w:line="276" w:lineRule="auto"/>
              <w:jc w:val="center"/>
              <w:rPr>
                <w:rFonts w:ascii="Times New Roman" w:hAnsi="Times New Roman" w:cs="Times New Roman"/>
                <w:sz w:val="20"/>
                <w:szCs w:val="20"/>
              </w:rPr>
            </w:pPr>
          </w:p>
        </w:tc>
        <w:tc>
          <w:tcPr>
            <w:tcW w:w="992" w:type="dxa"/>
            <w:vMerge/>
            <w:tcBorders>
              <w:bottom w:val="single" w:sz="4" w:space="0" w:color="auto"/>
            </w:tcBorders>
            <w:noWrap/>
            <w:vAlign w:val="center"/>
          </w:tcPr>
          <w:p w14:paraId="2DC727AA" w14:textId="2F4B1FA0" w:rsidR="00363ADB" w:rsidRPr="00455EA9" w:rsidRDefault="00363ADB" w:rsidP="00C804D4">
            <w:pPr>
              <w:spacing w:line="276" w:lineRule="auto"/>
              <w:jc w:val="center"/>
              <w:rPr>
                <w:rFonts w:ascii="Times New Roman" w:hAnsi="Times New Roman" w:cs="Times New Roman"/>
                <w:sz w:val="20"/>
                <w:szCs w:val="20"/>
              </w:rPr>
            </w:pPr>
          </w:p>
        </w:tc>
        <w:tc>
          <w:tcPr>
            <w:tcW w:w="1134" w:type="dxa"/>
            <w:tcBorders>
              <w:bottom w:val="single" w:sz="4" w:space="0" w:color="auto"/>
            </w:tcBorders>
            <w:noWrap/>
            <w:vAlign w:val="center"/>
          </w:tcPr>
          <w:p w14:paraId="35BC3C9B" w14:textId="535FB1D4"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10</w:t>
            </w:r>
          </w:p>
        </w:tc>
        <w:tc>
          <w:tcPr>
            <w:tcW w:w="1701" w:type="dxa"/>
            <w:tcBorders>
              <w:bottom w:val="single" w:sz="4" w:space="0" w:color="auto"/>
            </w:tcBorders>
            <w:noWrap/>
          </w:tcPr>
          <w:p w14:paraId="116DDECD" w14:textId="62B4CAEC"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90</w:t>
            </w:r>
          </w:p>
        </w:tc>
        <w:tc>
          <w:tcPr>
            <w:tcW w:w="585" w:type="dxa"/>
            <w:tcBorders>
              <w:bottom w:val="single" w:sz="4" w:space="0" w:color="auto"/>
            </w:tcBorders>
            <w:noWrap/>
          </w:tcPr>
          <w:p w14:paraId="3F0925CE" w14:textId="4CD9B11A"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8</w:t>
            </w:r>
          </w:p>
        </w:tc>
        <w:tc>
          <w:tcPr>
            <w:tcW w:w="567" w:type="dxa"/>
            <w:tcBorders>
              <w:bottom w:val="single" w:sz="4" w:space="0" w:color="auto"/>
            </w:tcBorders>
            <w:noWrap/>
          </w:tcPr>
          <w:p w14:paraId="5CFC26AD" w14:textId="566C0577"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19</w:t>
            </w:r>
          </w:p>
        </w:tc>
        <w:tc>
          <w:tcPr>
            <w:tcW w:w="567" w:type="dxa"/>
            <w:tcBorders>
              <w:bottom w:val="single" w:sz="4" w:space="0" w:color="auto"/>
            </w:tcBorders>
            <w:noWrap/>
          </w:tcPr>
          <w:p w14:paraId="5064A8B1" w14:textId="091A89F7"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9</w:t>
            </w:r>
          </w:p>
        </w:tc>
        <w:tc>
          <w:tcPr>
            <w:tcW w:w="567" w:type="dxa"/>
            <w:tcBorders>
              <w:bottom w:val="single" w:sz="4" w:space="0" w:color="auto"/>
            </w:tcBorders>
            <w:noWrap/>
          </w:tcPr>
          <w:p w14:paraId="40A87314" w14:textId="5A2B7323"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0</w:t>
            </w:r>
          </w:p>
        </w:tc>
        <w:tc>
          <w:tcPr>
            <w:tcW w:w="567" w:type="dxa"/>
            <w:tcBorders>
              <w:bottom w:val="single" w:sz="4" w:space="0" w:color="auto"/>
            </w:tcBorders>
            <w:noWrap/>
          </w:tcPr>
          <w:p w14:paraId="1953ABDF" w14:textId="4FECFE93"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24</w:t>
            </w:r>
          </w:p>
        </w:tc>
        <w:tc>
          <w:tcPr>
            <w:tcW w:w="567" w:type="dxa"/>
            <w:tcBorders>
              <w:bottom w:val="single" w:sz="4" w:space="0" w:color="auto"/>
            </w:tcBorders>
            <w:noWrap/>
          </w:tcPr>
          <w:p w14:paraId="39F5492D" w14:textId="51EF26B7"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21</w:t>
            </w:r>
          </w:p>
        </w:tc>
        <w:tc>
          <w:tcPr>
            <w:tcW w:w="567" w:type="dxa"/>
            <w:tcBorders>
              <w:bottom w:val="single" w:sz="4" w:space="0" w:color="auto"/>
            </w:tcBorders>
            <w:noWrap/>
            <w:vAlign w:val="center"/>
          </w:tcPr>
          <w:p w14:paraId="120521E9" w14:textId="33E83D52" w:rsidR="00363ADB" w:rsidRPr="00455EA9" w:rsidRDefault="00363ADB" w:rsidP="00C804D4">
            <w:pPr>
              <w:spacing w:line="276" w:lineRule="auto"/>
              <w:jc w:val="center"/>
              <w:rPr>
                <w:rFonts w:ascii="Times New Roman" w:hAnsi="Times New Roman" w:cs="Times New Roman"/>
                <w:sz w:val="20"/>
                <w:szCs w:val="20"/>
              </w:rPr>
            </w:pPr>
            <w:r w:rsidRPr="00455EA9">
              <w:rPr>
                <w:rFonts w:ascii="Times New Roman" w:hAnsi="Times New Roman" w:cs="Times New Roman"/>
                <w:sz w:val="20"/>
                <w:szCs w:val="20"/>
              </w:rPr>
              <w:t>18</w:t>
            </w:r>
          </w:p>
        </w:tc>
      </w:tr>
    </w:tbl>
    <w:p w14:paraId="54750E72" w14:textId="55E5B4BC" w:rsidR="0072251E" w:rsidRPr="004D4B3A" w:rsidRDefault="0072251E" w:rsidP="00363ADB">
      <w:pPr>
        <w:pStyle w:val="TAMainText"/>
        <w:ind w:left="851" w:right="848" w:firstLine="0"/>
        <w:rPr>
          <w:rFonts w:ascii="Times New Roman" w:hAnsi="Times New Roman"/>
          <w:sz w:val="18"/>
          <w:szCs w:val="18"/>
          <w:lang w:val="pt-BR"/>
        </w:rPr>
      </w:pPr>
      <w:r w:rsidRPr="004D4B3A">
        <w:rPr>
          <w:rFonts w:ascii="Times New Roman" w:hAnsi="Times New Roman"/>
          <w:sz w:val="18"/>
          <w:szCs w:val="18"/>
          <w:lang w:val="pt-BR"/>
        </w:rPr>
        <w:t>a: Condições reacionais: undecano (padrão interno) = 0,30 mmol; substrato = 0,45 mmol; anidrido acético = 12,0 mmol; CsPW = 10 mg; temperatura = 25°C; volume reacional = 3,00 mL. Conversões e seletividades por CG.</w:t>
      </w:r>
      <w:r w:rsidR="00284E2C" w:rsidRPr="004D4B3A">
        <w:rPr>
          <w:rFonts w:ascii="Times New Roman" w:hAnsi="Times New Roman"/>
          <w:sz w:val="18"/>
          <w:szCs w:val="18"/>
          <w:lang w:val="pt-BR"/>
        </w:rPr>
        <w:t xml:space="preserve"> </w:t>
      </w:r>
      <w:r w:rsidRPr="004D4B3A">
        <w:rPr>
          <w:rFonts w:ascii="Times New Roman" w:hAnsi="Times New Roman"/>
          <w:sz w:val="18"/>
          <w:szCs w:val="18"/>
          <w:lang w:val="pt-BR"/>
        </w:rPr>
        <w:t>b: IL = isômeros do limoneno</w:t>
      </w:r>
      <w:r w:rsidR="00284E2C" w:rsidRPr="004D4B3A">
        <w:rPr>
          <w:rFonts w:ascii="Times New Roman" w:hAnsi="Times New Roman"/>
          <w:sz w:val="18"/>
          <w:szCs w:val="18"/>
          <w:lang w:val="pt-BR"/>
        </w:rPr>
        <w:t xml:space="preserve">. </w:t>
      </w:r>
      <w:r w:rsidRPr="004D4B3A">
        <w:rPr>
          <w:rFonts w:ascii="Times New Roman" w:hAnsi="Times New Roman"/>
          <w:sz w:val="18"/>
          <w:szCs w:val="18"/>
          <w:lang w:val="pt-BR"/>
        </w:rPr>
        <w:t xml:space="preserve">c: DA = diacetatos do </w:t>
      </w:r>
      <w:r w:rsidR="004A22D2">
        <w:rPr>
          <w:rFonts w:ascii="Times New Roman" w:hAnsi="Times New Roman"/>
          <w:sz w:val="18"/>
          <w:szCs w:val="18"/>
          <w:lang w:val="pt-BR"/>
        </w:rPr>
        <w:t>terpenila</w:t>
      </w:r>
      <w:r w:rsidR="00284E2C" w:rsidRPr="004D4B3A">
        <w:rPr>
          <w:rFonts w:ascii="Times New Roman" w:hAnsi="Times New Roman"/>
          <w:sz w:val="18"/>
          <w:szCs w:val="18"/>
          <w:lang w:val="pt-BR"/>
        </w:rPr>
        <w:t>.</w:t>
      </w:r>
    </w:p>
    <w:p w14:paraId="29B80FBF" w14:textId="77777777" w:rsidR="0072251E" w:rsidRPr="004D4B3A" w:rsidRDefault="0072251E" w:rsidP="0072251E">
      <w:pPr>
        <w:pStyle w:val="TAMainText"/>
        <w:ind w:firstLine="187"/>
        <w:rPr>
          <w:rFonts w:ascii="Times New Roman" w:hAnsi="Times New Roman"/>
          <w:lang w:val="pt-BR"/>
        </w:rPr>
      </w:pPr>
    </w:p>
    <w:p w14:paraId="12844A04" w14:textId="77777777" w:rsidR="000327B5" w:rsidRPr="004D4B3A" w:rsidRDefault="000327B5" w:rsidP="0072251E">
      <w:pPr>
        <w:pStyle w:val="TAMainText"/>
        <w:ind w:firstLine="187"/>
        <w:rPr>
          <w:rFonts w:ascii="Times New Roman" w:hAnsi="Times New Roman"/>
          <w:lang w:val="pt-BR"/>
        </w:rPr>
        <w:sectPr w:rsidR="000327B5" w:rsidRPr="004D4B3A" w:rsidSect="00A84828">
          <w:type w:val="continuous"/>
          <w:pgSz w:w="11906" w:h="16838"/>
          <w:pgMar w:top="1134" w:right="851" w:bottom="851" w:left="851" w:header="709" w:footer="709" w:gutter="0"/>
          <w:cols w:space="708"/>
          <w:docGrid w:linePitch="360"/>
        </w:sectPr>
      </w:pPr>
    </w:p>
    <w:p w14:paraId="5873BE4B" w14:textId="1351C9B8" w:rsidR="006C3B0C" w:rsidRPr="00C804D4" w:rsidRDefault="00B60248" w:rsidP="006C3B0C">
      <w:pPr>
        <w:pStyle w:val="TAMainText"/>
        <w:ind w:firstLine="187"/>
        <w:rPr>
          <w:rFonts w:ascii="Times New Roman" w:hAnsi="Times New Roman"/>
          <w:highlight w:val="cyan"/>
          <w:lang w:val="pt-BR"/>
        </w:rPr>
      </w:pPr>
      <w:r w:rsidRPr="00EF139A">
        <w:rPr>
          <w:rFonts w:ascii="Times New Roman" w:hAnsi="Times New Roman"/>
          <w:lang w:val="pt-BR"/>
        </w:rPr>
        <w:t>O emprego de solventes cetônicos distintos</w:t>
      </w:r>
      <w:r w:rsidR="00EF139A">
        <w:rPr>
          <w:rFonts w:ascii="Times New Roman" w:hAnsi="Times New Roman"/>
          <w:lang w:val="pt-BR"/>
        </w:rPr>
        <w:t xml:space="preserve">, </w:t>
      </w:r>
      <w:r w:rsidRPr="00EF139A">
        <w:rPr>
          <w:rFonts w:ascii="Times New Roman" w:hAnsi="Times New Roman"/>
          <w:lang w:val="pt-BR"/>
        </w:rPr>
        <w:t>metilisobutilcetona e metiletilcetona (</w:t>
      </w:r>
      <w:r w:rsidR="00FA022D" w:rsidRPr="00EF139A">
        <w:rPr>
          <w:rFonts w:ascii="Times New Roman" w:hAnsi="Times New Roman"/>
          <w:lang w:val="pt-BR"/>
        </w:rPr>
        <w:t xml:space="preserve">Tabela 3, exp. </w:t>
      </w:r>
      <w:r w:rsidR="00EF139A">
        <w:rPr>
          <w:rFonts w:ascii="Times New Roman" w:hAnsi="Times New Roman"/>
          <w:lang w:val="pt-BR"/>
        </w:rPr>
        <w:t>1-4</w:t>
      </w:r>
      <w:r w:rsidRPr="00EF139A">
        <w:rPr>
          <w:rFonts w:ascii="Times New Roman" w:hAnsi="Times New Roman"/>
          <w:lang w:val="pt-BR"/>
        </w:rPr>
        <w:t>)</w:t>
      </w:r>
      <w:r w:rsidR="00A009F4">
        <w:rPr>
          <w:rFonts w:ascii="Times New Roman" w:hAnsi="Times New Roman"/>
          <w:lang w:val="pt-BR"/>
        </w:rPr>
        <w:t>,</w:t>
      </w:r>
      <w:r w:rsidRPr="00EF139A">
        <w:rPr>
          <w:rFonts w:ascii="Times New Roman" w:hAnsi="Times New Roman"/>
          <w:lang w:val="pt-BR"/>
        </w:rPr>
        <w:t xml:space="preserve"> promoveu</w:t>
      </w:r>
      <w:r w:rsidR="00EF139A">
        <w:rPr>
          <w:rFonts w:ascii="Times New Roman" w:hAnsi="Times New Roman"/>
          <w:lang w:val="pt-BR"/>
        </w:rPr>
        <w:t xml:space="preserve"> diferentes efeitos</w:t>
      </w:r>
      <w:r w:rsidRPr="00EF139A">
        <w:rPr>
          <w:rFonts w:ascii="Times New Roman" w:hAnsi="Times New Roman"/>
          <w:lang w:val="pt-BR"/>
        </w:rPr>
        <w:t xml:space="preserve"> com relação à conversão </w:t>
      </w:r>
      <w:r w:rsidR="00A009F4">
        <w:rPr>
          <w:rFonts w:ascii="Times New Roman" w:hAnsi="Times New Roman"/>
          <w:lang w:val="pt-BR"/>
        </w:rPr>
        <w:t xml:space="preserve">do substrato </w:t>
      </w:r>
      <w:r w:rsidRPr="00EF139A">
        <w:rPr>
          <w:rFonts w:ascii="Times New Roman" w:hAnsi="Times New Roman"/>
          <w:lang w:val="pt-BR"/>
        </w:rPr>
        <w:t>máxima alcançada.</w:t>
      </w:r>
      <w:r w:rsidR="00EF139A">
        <w:rPr>
          <w:rFonts w:ascii="Times New Roman" w:hAnsi="Times New Roman"/>
          <w:lang w:val="pt-BR"/>
        </w:rPr>
        <w:t xml:space="preserve"> Para o 1</w:t>
      </w:r>
      <w:r w:rsidRPr="00EF139A">
        <w:rPr>
          <w:rFonts w:ascii="Times New Roman" w:hAnsi="Times New Roman"/>
          <w:lang w:val="pt-BR"/>
        </w:rPr>
        <w:t>,4-cineol</w:t>
      </w:r>
      <w:r w:rsidR="00082E91" w:rsidRPr="00EF139A">
        <w:rPr>
          <w:rFonts w:ascii="Times New Roman" w:hAnsi="Times New Roman"/>
          <w:lang w:val="pt-BR"/>
        </w:rPr>
        <w:t>,</w:t>
      </w:r>
      <w:r w:rsidRPr="00EF139A">
        <w:rPr>
          <w:rFonts w:ascii="Times New Roman" w:hAnsi="Times New Roman"/>
          <w:lang w:val="pt-BR"/>
        </w:rPr>
        <w:t xml:space="preserve"> foi observado uma redução significativa na conversão do substrato associado ao uso da metiletilceton</w:t>
      </w:r>
      <w:r w:rsidR="00FA022D" w:rsidRPr="00EF139A">
        <w:rPr>
          <w:rFonts w:ascii="Times New Roman" w:hAnsi="Times New Roman"/>
          <w:lang w:val="pt-BR"/>
        </w:rPr>
        <w:t xml:space="preserve">a, </w:t>
      </w:r>
      <w:r w:rsidR="00EF139A">
        <w:rPr>
          <w:rFonts w:ascii="Times New Roman" w:hAnsi="Times New Roman"/>
          <w:lang w:val="pt-BR"/>
        </w:rPr>
        <w:t xml:space="preserve">diferentemente do observado para o </w:t>
      </w:r>
      <w:r w:rsidR="00FA022D" w:rsidRPr="00EF139A">
        <w:rPr>
          <w:rFonts w:ascii="Times New Roman" w:hAnsi="Times New Roman"/>
          <w:lang w:val="pt-BR"/>
        </w:rPr>
        <w:t>1,8-cineol.</w:t>
      </w:r>
      <w:r w:rsidR="00C804D4" w:rsidRPr="00EF139A">
        <w:rPr>
          <w:rFonts w:ascii="Times New Roman" w:hAnsi="Times New Roman"/>
          <w:lang w:val="pt-BR"/>
        </w:rPr>
        <w:t xml:space="preserve"> </w:t>
      </w:r>
      <w:r w:rsidR="00901F0C">
        <w:rPr>
          <w:rFonts w:ascii="Times New Roman" w:hAnsi="Times New Roman"/>
          <w:lang w:val="pt-BR"/>
        </w:rPr>
        <w:t xml:space="preserve">A natureza do </w:t>
      </w:r>
      <w:r w:rsidR="0072251E" w:rsidRPr="00EF139A">
        <w:rPr>
          <w:rFonts w:ascii="Times New Roman" w:hAnsi="Times New Roman"/>
          <w:lang w:val="pt-BR"/>
        </w:rPr>
        <w:t xml:space="preserve">solvente cetônico </w:t>
      </w:r>
      <w:r w:rsidR="00FA022D" w:rsidRPr="00EF139A">
        <w:rPr>
          <w:rFonts w:ascii="Times New Roman" w:hAnsi="Times New Roman"/>
          <w:lang w:val="pt-BR"/>
        </w:rPr>
        <w:t>também influenci</w:t>
      </w:r>
      <w:r w:rsidR="00901F0C">
        <w:rPr>
          <w:rFonts w:ascii="Times New Roman" w:hAnsi="Times New Roman"/>
          <w:lang w:val="pt-BR"/>
        </w:rPr>
        <w:t>ou</w:t>
      </w:r>
      <w:r w:rsidR="00FA022D" w:rsidRPr="00EF139A">
        <w:rPr>
          <w:rFonts w:ascii="Times New Roman" w:hAnsi="Times New Roman"/>
          <w:lang w:val="pt-BR"/>
        </w:rPr>
        <w:t xml:space="preserve"> a distribuição dos produtos formados.</w:t>
      </w:r>
      <w:r w:rsidR="0068125C" w:rsidRPr="00EF139A">
        <w:rPr>
          <w:rFonts w:ascii="Times New Roman" w:hAnsi="Times New Roman"/>
          <w:lang w:val="pt-BR"/>
        </w:rPr>
        <w:t xml:space="preserve"> Para o 1,4-cineol, os produtos majoritários </w:t>
      </w:r>
      <w:r w:rsidR="0068125C" w:rsidRPr="00EF139A">
        <w:rPr>
          <w:rFonts w:ascii="Times New Roman" w:hAnsi="Times New Roman"/>
          <w:b/>
          <w:lang w:val="pt-BR"/>
        </w:rPr>
        <w:t>3a</w:t>
      </w:r>
      <w:r w:rsidR="0068125C" w:rsidRPr="00EF139A">
        <w:rPr>
          <w:rFonts w:ascii="Times New Roman" w:hAnsi="Times New Roman"/>
          <w:lang w:val="pt-BR"/>
        </w:rPr>
        <w:t xml:space="preserve"> e </w:t>
      </w:r>
      <w:r w:rsidR="0068125C" w:rsidRPr="00EF139A">
        <w:rPr>
          <w:rFonts w:ascii="Times New Roman" w:hAnsi="Times New Roman"/>
          <w:b/>
          <w:lang w:val="pt-BR"/>
        </w:rPr>
        <w:t>3c</w:t>
      </w:r>
      <w:r w:rsidR="0068125C" w:rsidRPr="00EF139A">
        <w:rPr>
          <w:rFonts w:ascii="Times New Roman" w:hAnsi="Times New Roman"/>
          <w:lang w:val="pt-BR"/>
        </w:rPr>
        <w:t xml:space="preserve"> permaneceram os mesmos para ambos </w:t>
      </w:r>
      <w:r w:rsidR="0068125C" w:rsidRPr="00EF139A">
        <w:rPr>
          <w:rFonts w:ascii="Times New Roman" w:hAnsi="Times New Roman"/>
          <w:lang w:val="pt-BR"/>
        </w:rPr>
        <w:t>os solventes cetônicos</w:t>
      </w:r>
      <w:r w:rsidR="006C3B0C" w:rsidRPr="00EF139A">
        <w:rPr>
          <w:rFonts w:ascii="Times New Roman" w:hAnsi="Times New Roman"/>
          <w:lang w:val="pt-BR"/>
        </w:rPr>
        <w:t xml:space="preserve"> (Tabela 3, exp. 1</w:t>
      </w:r>
      <w:r w:rsidR="00EF139A">
        <w:rPr>
          <w:rFonts w:ascii="Times New Roman" w:hAnsi="Times New Roman"/>
          <w:lang w:val="pt-BR"/>
        </w:rPr>
        <w:t xml:space="preserve"> e 3</w:t>
      </w:r>
      <w:r w:rsidR="006C3B0C" w:rsidRPr="00EF139A">
        <w:rPr>
          <w:rFonts w:ascii="Times New Roman" w:hAnsi="Times New Roman"/>
          <w:lang w:val="pt-BR"/>
        </w:rPr>
        <w:t>)</w:t>
      </w:r>
      <w:r w:rsidR="00EF139A">
        <w:rPr>
          <w:rFonts w:ascii="Times New Roman" w:hAnsi="Times New Roman"/>
          <w:lang w:val="pt-BR"/>
        </w:rPr>
        <w:t xml:space="preserve">, mas houve </w:t>
      </w:r>
      <w:r w:rsidR="00EF139A" w:rsidRPr="00EF139A">
        <w:rPr>
          <w:rFonts w:ascii="Times New Roman" w:hAnsi="Times New Roman"/>
          <w:lang w:val="pt-BR"/>
        </w:rPr>
        <w:t>um</w:t>
      </w:r>
      <w:r w:rsidR="0068125C" w:rsidRPr="00EF139A">
        <w:rPr>
          <w:rFonts w:ascii="Times New Roman" w:hAnsi="Times New Roman"/>
          <w:lang w:val="pt-BR"/>
        </w:rPr>
        <w:t xml:space="preserve"> aumento em 15% na seletividade para o isômero </w:t>
      </w:r>
      <w:r w:rsidR="0068125C" w:rsidRPr="00EF139A">
        <w:rPr>
          <w:rFonts w:ascii="Times New Roman" w:hAnsi="Times New Roman"/>
          <w:b/>
          <w:lang w:val="pt-BR"/>
        </w:rPr>
        <w:t>3c</w:t>
      </w:r>
      <w:r w:rsidR="0068125C" w:rsidRPr="00EF139A">
        <w:rPr>
          <w:rFonts w:ascii="Times New Roman" w:hAnsi="Times New Roman"/>
          <w:lang w:val="pt-BR"/>
        </w:rPr>
        <w:t>.</w:t>
      </w:r>
      <w:r w:rsidR="006C3B0C" w:rsidRPr="00EF139A">
        <w:rPr>
          <w:rFonts w:ascii="Times New Roman" w:hAnsi="Times New Roman"/>
          <w:lang w:val="pt-BR"/>
        </w:rPr>
        <w:t xml:space="preserve">  Já para o 1,8-cineol, os produtos majoritários,</w:t>
      </w:r>
      <w:r w:rsidR="00EF139A">
        <w:rPr>
          <w:rFonts w:ascii="Times New Roman" w:hAnsi="Times New Roman"/>
          <w:lang w:val="pt-BR"/>
        </w:rPr>
        <w:t xml:space="preserve"> </w:t>
      </w:r>
      <w:r w:rsidR="00EF139A">
        <w:rPr>
          <w:rFonts w:ascii="Times New Roman" w:hAnsi="Times New Roman"/>
          <w:b/>
          <w:lang w:val="pt-BR"/>
        </w:rPr>
        <w:t>3</w:t>
      </w:r>
      <w:r w:rsidR="006C3B0C" w:rsidRPr="00EF139A">
        <w:rPr>
          <w:rFonts w:ascii="Times New Roman" w:hAnsi="Times New Roman"/>
          <w:b/>
          <w:lang w:val="pt-BR"/>
        </w:rPr>
        <w:t>d</w:t>
      </w:r>
      <w:r w:rsidR="006C3B0C" w:rsidRPr="00EF139A">
        <w:rPr>
          <w:rFonts w:ascii="Times New Roman" w:hAnsi="Times New Roman"/>
          <w:lang w:val="pt-BR"/>
        </w:rPr>
        <w:t xml:space="preserve"> e </w:t>
      </w:r>
      <w:r w:rsidR="00EF139A">
        <w:rPr>
          <w:rFonts w:ascii="Times New Roman" w:hAnsi="Times New Roman"/>
          <w:b/>
          <w:lang w:val="pt-BR"/>
        </w:rPr>
        <w:t>3</w:t>
      </w:r>
      <w:r w:rsidR="006C3B0C" w:rsidRPr="00EF139A">
        <w:rPr>
          <w:rFonts w:ascii="Times New Roman" w:hAnsi="Times New Roman"/>
          <w:b/>
          <w:lang w:val="pt-BR"/>
        </w:rPr>
        <w:t>e</w:t>
      </w:r>
      <w:r w:rsidR="00601776" w:rsidRPr="00A54C6A">
        <w:rPr>
          <w:rFonts w:ascii="Times New Roman" w:hAnsi="Times New Roman"/>
          <w:bCs/>
          <w:lang w:val="pt-BR"/>
        </w:rPr>
        <w:t>,</w:t>
      </w:r>
      <w:r w:rsidR="006C3B0C" w:rsidRPr="00EF139A">
        <w:rPr>
          <w:rFonts w:ascii="Times New Roman" w:hAnsi="Times New Roman"/>
          <w:lang w:val="pt-BR"/>
        </w:rPr>
        <w:t xml:space="preserve"> se mantiveram em ambos os solventes cetônicos</w:t>
      </w:r>
      <w:r w:rsidR="00EF139A">
        <w:rPr>
          <w:rFonts w:ascii="Times New Roman" w:hAnsi="Times New Roman"/>
          <w:lang w:val="pt-BR"/>
        </w:rPr>
        <w:t xml:space="preserve"> </w:t>
      </w:r>
      <w:r w:rsidR="00EF139A" w:rsidRPr="00EF139A">
        <w:rPr>
          <w:rFonts w:ascii="Times New Roman" w:hAnsi="Times New Roman"/>
          <w:lang w:val="pt-BR"/>
        </w:rPr>
        <w:t xml:space="preserve">(Tabela 3, exp. </w:t>
      </w:r>
      <w:r w:rsidR="00EF139A">
        <w:rPr>
          <w:rFonts w:ascii="Times New Roman" w:hAnsi="Times New Roman"/>
          <w:lang w:val="pt-BR"/>
        </w:rPr>
        <w:t>2 e 4</w:t>
      </w:r>
      <w:r w:rsidR="00EF139A" w:rsidRPr="00EF139A">
        <w:rPr>
          <w:rFonts w:ascii="Times New Roman" w:hAnsi="Times New Roman"/>
          <w:lang w:val="pt-BR"/>
        </w:rPr>
        <w:t>)</w:t>
      </w:r>
      <w:r w:rsidR="00EF139A">
        <w:rPr>
          <w:rFonts w:ascii="Times New Roman" w:hAnsi="Times New Roman"/>
          <w:lang w:val="pt-BR"/>
        </w:rPr>
        <w:t>, s</w:t>
      </w:r>
      <w:r w:rsidR="006C3B0C" w:rsidRPr="00EF139A">
        <w:rPr>
          <w:rFonts w:ascii="Times New Roman" w:hAnsi="Times New Roman"/>
          <w:lang w:val="pt-BR"/>
        </w:rPr>
        <w:t xml:space="preserve">endo observado um aumento de 10% de rendimento para o produto </w:t>
      </w:r>
      <w:r w:rsidR="006C3B0C" w:rsidRPr="00EF139A">
        <w:rPr>
          <w:rFonts w:ascii="Times New Roman" w:hAnsi="Times New Roman"/>
          <w:b/>
          <w:bCs/>
          <w:lang w:val="pt-BR"/>
        </w:rPr>
        <w:t>3d</w:t>
      </w:r>
      <w:r w:rsidR="006C3B0C" w:rsidRPr="00EF139A">
        <w:rPr>
          <w:rFonts w:ascii="Times New Roman" w:hAnsi="Times New Roman"/>
          <w:lang w:val="pt-BR"/>
        </w:rPr>
        <w:t xml:space="preserve"> </w:t>
      </w:r>
      <w:r w:rsidR="00EF139A">
        <w:rPr>
          <w:rFonts w:ascii="Times New Roman" w:hAnsi="Times New Roman"/>
          <w:lang w:val="pt-BR"/>
        </w:rPr>
        <w:t>n</w:t>
      </w:r>
      <w:r w:rsidR="006C3B0C" w:rsidRPr="00EF139A">
        <w:rPr>
          <w:rFonts w:ascii="Times New Roman" w:hAnsi="Times New Roman"/>
          <w:lang w:val="pt-BR"/>
        </w:rPr>
        <w:t>a reação realizada em metiletilcetona.</w:t>
      </w:r>
    </w:p>
    <w:p w14:paraId="596F5B2B" w14:textId="313C56FF" w:rsidR="00C70C08" w:rsidRDefault="00FA022D" w:rsidP="00C70C08">
      <w:pPr>
        <w:pStyle w:val="TAMainText"/>
        <w:ind w:firstLine="187"/>
        <w:rPr>
          <w:rFonts w:ascii="Times New Roman" w:hAnsi="Times New Roman"/>
          <w:lang w:val="pt-BR"/>
        </w:rPr>
      </w:pPr>
      <w:r w:rsidRPr="00130A6F">
        <w:rPr>
          <w:rFonts w:ascii="Times New Roman" w:hAnsi="Times New Roman"/>
          <w:lang w:val="pt-BR"/>
        </w:rPr>
        <w:t>A</w:t>
      </w:r>
      <w:r w:rsidR="0072251E" w:rsidRPr="00130A6F">
        <w:rPr>
          <w:rFonts w:ascii="Times New Roman" w:hAnsi="Times New Roman"/>
          <w:lang w:val="pt-BR"/>
        </w:rPr>
        <w:t xml:space="preserve"> utilização </w:t>
      </w:r>
      <w:r w:rsidRPr="00130A6F">
        <w:rPr>
          <w:rFonts w:ascii="Times New Roman" w:hAnsi="Times New Roman"/>
          <w:lang w:val="pt-BR"/>
        </w:rPr>
        <w:t xml:space="preserve">do </w:t>
      </w:r>
      <w:r w:rsidR="00BD1FCC" w:rsidRPr="00130A6F">
        <w:rPr>
          <w:rFonts w:ascii="Times New Roman" w:hAnsi="Times New Roman"/>
          <w:lang w:val="pt-BR"/>
        </w:rPr>
        <w:t>carbonato de dimetila</w:t>
      </w:r>
      <w:r w:rsidR="0072251E" w:rsidRPr="00130A6F">
        <w:rPr>
          <w:rFonts w:ascii="Times New Roman" w:hAnsi="Times New Roman"/>
          <w:lang w:val="pt-BR"/>
        </w:rPr>
        <w:t xml:space="preserve"> e do </w:t>
      </w:r>
      <w:r w:rsidR="00BD1FCC" w:rsidRPr="00130A6F">
        <w:rPr>
          <w:rFonts w:ascii="Times New Roman" w:hAnsi="Times New Roman"/>
          <w:lang w:val="pt-BR"/>
        </w:rPr>
        <w:t>carbonato de dietila</w:t>
      </w:r>
      <w:r w:rsidR="0072251E" w:rsidRPr="00130A6F">
        <w:rPr>
          <w:rFonts w:ascii="Times New Roman" w:hAnsi="Times New Roman"/>
          <w:lang w:val="pt-BR"/>
        </w:rPr>
        <w:t xml:space="preserve"> </w:t>
      </w:r>
      <w:r w:rsidRPr="00130A6F">
        <w:rPr>
          <w:rFonts w:ascii="Times New Roman" w:hAnsi="Times New Roman"/>
          <w:lang w:val="pt-BR"/>
        </w:rPr>
        <w:t xml:space="preserve">(Tabela 3, exp. </w:t>
      </w:r>
      <w:r w:rsidR="00130A6F">
        <w:rPr>
          <w:rFonts w:ascii="Times New Roman" w:hAnsi="Times New Roman"/>
          <w:lang w:val="pt-BR"/>
        </w:rPr>
        <w:t>5-8</w:t>
      </w:r>
      <w:r w:rsidRPr="00130A6F">
        <w:rPr>
          <w:rFonts w:ascii="Times New Roman" w:hAnsi="Times New Roman"/>
          <w:lang w:val="pt-BR"/>
        </w:rPr>
        <w:t xml:space="preserve">) </w:t>
      </w:r>
      <w:r w:rsidR="0072251E" w:rsidRPr="00130A6F">
        <w:rPr>
          <w:rFonts w:ascii="Times New Roman" w:hAnsi="Times New Roman"/>
          <w:lang w:val="pt-BR"/>
        </w:rPr>
        <w:t>como solventes</w:t>
      </w:r>
      <w:r w:rsidRPr="00130A6F">
        <w:rPr>
          <w:rFonts w:ascii="Times New Roman" w:hAnsi="Times New Roman"/>
          <w:lang w:val="pt-BR"/>
        </w:rPr>
        <w:t xml:space="preserve"> também promoveu diferenças nos resultados da acetilação dos </w:t>
      </w:r>
      <w:r w:rsidRPr="00130A6F">
        <w:rPr>
          <w:rFonts w:ascii="Times New Roman" w:hAnsi="Times New Roman"/>
          <w:lang w:val="pt-BR"/>
        </w:rPr>
        <w:lastRenderedPageBreak/>
        <w:t xml:space="preserve">substratos cineólicos. </w:t>
      </w:r>
      <w:r w:rsidR="006C3B0C" w:rsidRPr="00130A6F">
        <w:rPr>
          <w:rFonts w:ascii="Times New Roman" w:hAnsi="Times New Roman"/>
          <w:lang w:val="pt-BR"/>
        </w:rPr>
        <w:t xml:space="preserve">Foi observado que em solução de </w:t>
      </w:r>
      <w:r w:rsidR="00353683" w:rsidRPr="00130A6F">
        <w:rPr>
          <w:rFonts w:ascii="Times New Roman" w:hAnsi="Times New Roman"/>
          <w:lang w:val="pt-BR"/>
        </w:rPr>
        <w:t>carbonato de dietila a reação ficou mais lenta para ambos os cineóis avaliados</w:t>
      </w:r>
      <w:r w:rsidR="00B05CC3">
        <w:rPr>
          <w:rFonts w:ascii="Times New Roman" w:hAnsi="Times New Roman"/>
          <w:lang w:val="pt-BR"/>
        </w:rPr>
        <w:t xml:space="preserve">, </w:t>
      </w:r>
      <w:r w:rsidR="007E36FC">
        <w:rPr>
          <w:rFonts w:ascii="Times New Roman" w:hAnsi="Times New Roman"/>
          <w:lang w:val="pt-BR"/>
        </w:rPr>
        <w:t xml:space="preserve">quando </w:t>
      </w:r>
      <w:r w:rsidR="00B05CC3">
        <w:rPr>
          <w:rFonts w:ascii="Times New Roman" w:hAnsi="Times New Roman"/>
          <w:lang w:val="pt-BR"/>
        </w:rPr>
        <w:t>comparado com</w:t>
      </w:r>
      <w:r w:rsidR="007E36FC">
        <w:rPr>
          <w:rFonts w:ascii="Times New Roman" w:hAnsi="Times New Roman"/>
          <w:lang w:val="pt-BR"/>
        </w:rPr>
        <w:t xml:space="preserve"> o uso dos solventes cetônicos. </w:t>
      </w:r>
      <w:r w:rsidR="00353683" w:rsidRPr="00130A6F">
        <w:rPr>
          <w:rFonts w:ascii="Times New Roman" w:hAnsi="Times New Roman"/>
          <w:lang w:val="pt-BR"/>
        </w:rPr>
        <w:t xml:space="preserve">No entanto, a distribuição de produtos não foi alterada de modo significativo, quando comparado </w:t>
      </w:r>
      <w:r w:rsidR="00DB05AC" w:rsidRPr="00130A6F">
        <w:rPr>
          <w:rFonts w:ascii="Times New Roman" w:hAnsi="Times New Roman"/>
          <w:lang w:val="pt-BR"/>
        </w:rPr>
        <w:t xml:space="preserve">a performance do CsPW nestes </w:t>
      </w:r>
      <w:r w:rsidR="00353683" w:rsidRPr="00130A6F">
        <w:rPr>
          <w:rFonts w:ascii="Times New Roman" w:hAnsi="Times New Roman"/>
          <w:lang w:val="pt-BR"/>
        </w:rPr>
        <w:t>dois solventes.</w:t>
      </w:r>
      <w:r w:rsidR="00AC7868">
        <w:rPr>
          <w:rFonts w:ascii="Times New Roman" w:hAnsi="Times New Roman"/>
          <w:lang w:val="pt-BR"/>
        </w:rPr>
        <w:t xml:space="preserve"> </w:t>
      </w:r>
    </w:p>
    <w:p w14:paraId="2760DA82" w14:textId="0636B21F" w:rsidR="00C70C08" w:rsidRDefault="00C70C08" w:rsidP="00C70C08">
      <w:pPr>
        <w:pStyle w:val="TAMainText"/>
        <w:ind w:firstLine="187"/>
        <w:rPr>
          <w:rFonts w:ascii="Times New Roman" w:hAnsi="Times New Roman"/>
          <w:lang w:val="pt-BR"/>
        </w:rPr>
      </w:pPr>
      <w:r>
        <w:rPr>
          <w:rFonts w:ascii="Times New Roman" w:hAnsi="Times New Roman"/>
          <w:lang w:val="pt-BR"/>
        </w:rPr>
        <w:t xml:space="preserve">Por fim, </w:t>
      </w:r>
      <w:r w:rsidR="00DB05AC" w:rsidRPr="00130A6F">
        <w:rPr>
          <w:rFonts w:ascii="Times New Roman" w:hAnsi="Times New Roman"/>
          <w:lang w:val="pt-BR"/>
        </w:rPr>
        <w:t>a utilização do carbonato de propileno como solvente (Tabela 3, exp. 9 e 10) possibilitou atingir significativas diferenças em relação à conversão dos substratos avaliados. A conversão do 1,4-cineol, assim como 1,8-cineol, foi maior</w:t>
      </w:r>
      <w:r w:rsidR="00402333" w:rsidRPr="00130A6F">
        <w:rPr>
          <w:rFonts w:ascii="Times New Roman" w:hAnsi="Times New Roman"/>
          <w:lang w:val="pt-BR"/>
        </w:rPr>
        <w:t xml:space="preserve"> quando comparada com os demais solventes avaliados</w:t>
      </w:r>
      <w:r w:rsidR="00DB05AC" w:rsidRPr="00130A6F">
        <w:rPr>
          <w:rFonts w:ascii="Times New Roman" w:hAnsi="Times New Roman"/>
          <w:lang w:val="pt-BR"/>
        </w:rPr>
        <w:t xml:space="preserve">. No entanto, o uso deste solvente encontrou-se associado a um </w:t>
      </w:r>
      <w:r w:rsidR="005D6E1F">
        <w:rPr>
          <w:rFonts w:ascii="Times New Roman" w:hAnsi="Times New Roman"/>
          <w:lang w:val="pt-BR"/>
        </w:rPr>
        <w:t>considerável</w:t>
      </w:r>
      <w:r w:rsidR="005D6E1F" w:rsidRPr="00130A6F">
        <w:rPr>
          <w:rFonts w:ascii="Times New Roman" w:hAnsi="Times New Roman"/>
          <w:lang w:val="pt-BR"/>
        </w:rPr>
        <w:t xml:space="preserve"> </w:t>
      </w:r>
      <w:r w:rsidR="00DB05AC" w:rsidRPr="00130A6F">
        <w:rPr>
          <w:rFonts w:ascii="Times New Roman" w:hAnsi="Times New Roman"/>
          <w:lang w:val="pt-BR"/>
        </w:rPr>
        <w:t xml:space="preserve">aumento na formação de diacetatos </w:t>
      </w:r>
      <w:r w:rsidR="005D6E1F">
        <w:rPr>
          <w:rFonts w:ascii="Times New Roman" w:hAnsi="Times New Roman"/>
          <w:lang w:val="pt-BR"/>
        </w:rPr>
        <w:t xml:space="preserve">nas reações com </w:t>
      </w:r>
      <w:r w:rsidR="00DD5646">
        <w:rPr>
          <w:rFonts w:ascii="Times New Roman" w:hAnsi="Times New Roman"/>
          <w:lang w:val="pt-BR"/>
        </w:rPr>
        <w:t>ambos os substratos, além de</w:t>
      </w:r>
      <w:r w:rsidR="00DB05AC" w:rsidRPr="00130A6F">
        <w:rPr>
          <w:rFonts w:ascii="Times New Roman" w:hAnsi="Times New Roman"/>
          <w:lang w:val="pt-BR"/>
        </w:rPr>
        <w:t xml:space="preserve"> uma redução na produção do composto </w:t>
      </w:r>
      <w:r w:rsidR="00DB05AC" w:rsidRPr="00130A6F">
        <w:rPr>
          <w:rFonts w:ascii="Times New Roman" w:hAnsi="Times New Roman"/>
          <w:b/>
          <w:lang w:val="pt-BR"/>
        </w:rPr>
        <w:t>3c</w:t>
      </w:r>
      <w:r w:rsidR="00DD5646">
        <w:rPr>
          <w:rFonts w:ascii="Times New Roman" w:hAnsi="Times New Roman"/>
          <w:lang w:val="pt-BR"/>
        </w:rPr>
        <w:t xml:space="preserve"> a partir do 1,4-cineol, quando </w:t>
      </w:r>
      <w:r w:rsidR="00DB05AC" w:rsidRPr="00130A6F">
        <w:rPr>
          <w:rFonts w:ascii="Times New Roman" w:hAnsi="Times New Roman"/>
          <w:lang w:val="pt-BR"/>
        </w:rPr>
        <w:t>comparado aos experimentos realizados em solventes cetônicos.</w:t>
      </w:r>
    </w:p>
    <w:p w14:paraId="7B5BFE04" w14:textId="77777777" w:rsidR="00A01BB1" w:rsidRDefault="00A01BB1" w:rsidP="00C70C08">
      <w:pPr>
        <w:pStyle w:val="TAMainText"/>
        <w:ind w:firstLine="187"/>
        <w:rPr>
          <w:rFonts w:ascii="Times New Roman" w:hAnsi="Times New Roman"/>
          <w:lang w:val="pt-BR"/>
        </w:rPr>
      </w:pPr>
    </w:p>
    <w:p w14:paraId="20AA905D" w14:textId="7669D0BA" w:rsidR="00EA4E1B" w:rsidRPr="00402333" w:rsidRDefault="00EA4E1B" w:rsidP="004D4B3A">
      <w:pPr>
        <w:pStyle w:val="Ttulo2"/>
        <w:spacing w:before="200" w:after="200"/>
        <w:rPr>
          <w:rFonts w:ascii="Helvetica" w:hAnsi="Helvetica" w:cs="Helvetica"/>
          <w:b/>
          <w:bCs/>
          <w:sz w:val="24"/>
          <w:szCs w:val="24"/>
        </w:rPr>
      </w:pPr>
      <w:r w:rsidRPr="00402333">
        <w:rPr>
          <w:rFonts w:ascii="Helvetica" w:hAnsi="Helvetica" w:cs="Helvetica"/>
          <w:b/>
          <w:bCs/>
          <w:sz w:val="24"/>
          <w:szCs w:val="24"/>
        </w:rPr>
        <w:t>Conclusões</w:t>
      </w:r>
    </w:p>
    <w:p w14:paraId="0C337A43" w14:textId="25254971" w:rsidR="00402333" w:rsidRPr="00C70C08" w:rsidRDefault="00BD615D" w:rsidP="00C70C08">
      <w:pPr>
        <w:pStyle w:val="TAMainText"/>
        <w:ind w:firstLine="142"/>
        <w:rPr>
          <w:rFonts w:ascii="Times New Roman" w:hAnsi="Times New Roman"/>
          <w:lang w:val="pt-BR"/>
        </w:rPr>
      </w:pPr>
      <w:r w:rsidRPr="00402333">
        <w:rPr>
          <w:rFonts w:ascii="Times New Roman" w:hAnsi="Times New Roman"/>
          <w:lang w:val="pt-BR"/>
        </w:rPr>
        <w:t xml:space="preserve">Neste trabalho foi </w:t>
      </w:r>
      <w:r w:rsidR="00EA56FF">
        <w:rPr>
          <w:rFonts w:ascii="Times New Roman" w:hAnsi="Times New Roman"/>
          <w:lang w:val="pt-BR"/>
        </w:rPr>
        <w:t>estudada a possibilidade da</w:t>
      </w:r>
      <w:r w:rsidRPr="00402333">
        <w:rPr>
          <w:rFonts w:ascii="Times New Roman" w:hAnsi="Times New Roman"/>
          <w:lang w:val="pt-BR"/>
        </w:rPr>
        <w:t xml:space="preserve"> valorização de</w:t>
      </w:r>
      <w:r w:rsidR="00402333" w:rsidRPr="00402333">
        <w:rPr>
          <w:rFonts w:ascii="Times New Roman" w:hAnsi="Times New Roman"/>
          <w:lang w:val="pt-BR"/>
        </w:rPr>
        <w:t xml:space="preserve"> </w:t>
      </w:r>
      <w:r w:rsidRPr="00402333">
        <w:rPr>
          <w:rFonts w:ascii="Times New Roman" w:hAnsi="Times New Roman"/>
          <w:lang w:val="pt-BR"/>
        </w:rPr>
        <w:t xml:space="preserve">1,4-cineol e 1,8-cineol, a partir de reações de </w:t>
      </w:r>
      <w:r w:rsidR="00EA56FF">
        <w:rPr>
          <w:rFonts w:ascii="Times New Roman" w:hAnsi="Times New Roman"/>
          <w:lang w:val="pt-BR"/>
        </w:rPr>
        <w:t xml:space="preserve">sua </w:t>
      </w:r>
      <w:r w:rsidRPr="00402333">
        <w:rPr>
          <w:rFonts w:ascii="Times New Roman" w:hAnsi="Times New Roman"/>
          <w:lang w:val="pt-BR"/>
        </w:rPr>
        <w:t>acetilação catalisadas pelo sal de heteropoliácido Cs</w:t>
      </w:r>
      <w:r w:rsidRPr="00402333">
        <w:rPr>
          <w:rFonts w:ascii="Times New Roman" w:hAnsi="Times New Roman"/>
          <w:vertAlign w:val="subscript"/>
          <w:lang w:val="pt-BR"/>
        </w:rPr>
        <w:t>2</w:t>
      </w:r>
      <w:r w:rsidR="00C95DF7" w:rsidRPr="00402333">
        <w:rPr>
          <w:rFonts w:ascii="Times New Roman" w:hAnsi="Times New Roman"/>
          <w:vertAlign w:val="subscript"/>
          <w:lang w:val="pt-BR"/>
        </w:rPr>
        <w:t>,</w:t>
      </w:r>
      <w:r w:rsidRPr="00402333">
        <w:rPr>
          <w:rFonts w:ascii="Times New Roman" w:hAnsi="Times New Roman"/>
          <w:vertAlign w:val="subscript"/>
          <w:lang w:val="pt-BR"/>
        </w:rPr>
        <w:t>5</w:t>
      </w:r>
      <w:r w:rsidRPr="00402333">
        <w:rPr>
          <w:rFonts w:ascii="Times New Roman" w:hAnsi="Times New Roman"/>
          <w:lang w:val="pt-BR"/>
        </w:rPr>
        <w:t>H</w:t>
      </w:r>
      <w:r w:rsidRPr="00402333">
        <w:rPr>
          <w:rFonts w:ascii="Times New Roman" w:hAnsi="Times New Roman"/>
          <w:vertAlign w:val="subscript"/>
          <w:lang w:val="pt-BR"/>
        </w:rPr>
        <w:t>0</w:t>
      </w:r>
      <w:r w:rsidR="00C95DF7" w:rsidRPr="00402333">
        <w:rPr>
          <w:rFonts w:ascii="Times New Roman" w:hAnsi="Times New Roman"/>
          <w:vertAlign w:val="subscript"/>
          <w:lang w:val="pt-BR"/>
        </w:rPr>
        <w:t>,</w:t>
      </w:r>
      <w:r w:rsidRPr="00402333">
        <w:rPr>
          <w:rFonts w:ascii="Times New Roman" w:hAnsi="Times New Roman"/>
          <w:vertAlign w:val="subscript"/>
          <w:lang w:val="pt-BR"/>
        </w:rPr>
        <w:t>5</w:t>
      </w:r>
      <w:r w:rsidRPr="00402333">
        <w:rPr>
          <w:rFonts w:ascii="Times New Roman" w:hAnsi="Times New Roman"/>
          <w:lang w:val="pt-BR"/>
        </w:rPr>
        <w:t>PW</w:t>
      </w:r>
      <w:r w:rsidRPr="00402333">
        <w:rPr>
          <w:rFonts w:ascii="Times New Roman" w:hAnsi="Times New Roman"/>
          <w:vertAlign w:val="subscript"/>
          <w:lang w:val="pt-BR"/>
        </w:rPr>
        <w:t>12</w:t>
      </w:r>
      <w:r w:rsidRPr="00402333">
        <w:rPr>
          <w:rFonts w:ascii="Times New Roman" w:hAnsi="Times New Roman"/>
          <w:lang w:val="pt-BR"/>
        </w:rPr>
        <w:t>O</w:t>
      </w:r>
      <w:r w:rsidRPr="00402333">
        <w:rPr>
          <w:rFonts w:ascii="Times New Roman" w:hAnsi="Times New Roman"/>
          <w:vertAlign w:val="subscript"/>
          <w:lang w:val="pt-BR"/>
        </w:rPr>
        <w:t>40</w:t>
      </w:r>
      <w:r w:rsidRPr="00402333">
        <w:rPr>
          <w:rFonts w:ascii="Times New Roman" w:hAnsi="Times New Roman"/>
          <w:lang w:val="pt-BR"/>
        </w:rPr>
        <w:t xml:space="preserve"> (CsPW), utilizando solventes </w:t>
      </w:r>
      <w:r w:rsidR="00AE4396">
        <w:rPr>
          <w:rFonts w:ascii="Times New Roman" w:hAnsi="Times New Roman"/>
          <w:lang w:val="pt-BR"/>
        </w:rPr>
        <w:t>verdes</w:t>
      </w:r>
      <w:r w:rsidRPr="00402333">
        <w:rPr>
          <w:rFonts w:ascii="Times New Roman" w:hAnsi="Times New Roman"/>
          <w:lang w:val="pt-BR"/>
        </w:rPr>
        <w:t xml:space="preserve">. Foram </w:t>
      </w:r>
      <w:r w:rsidR="00402333" w:rsidRPr="00402333">
        <w:rPr>
          <w:rFonts w:ascii="Times New Roman" w:hAnsi="Times New Roman"/>
          <w:lang w:val="pt-BR"/>
        </w:rPr>
        <w:t>obtidas</w:t>
      </w:r>
      <w:r w:rsidRPr="00402333">
        <w:rPr>
          <w:rFonts w:ascii="Times New Roman" w:hAnsi="Times New Roman"/>
          <w:lang w:val="pt-BR"/>
        </w:rPr>
        <w:t xml:space="preserve"> </w:t>
      </w:r>
      <w:r w:rsidR="00B13B1D" w:rsidRPr="00402333">
        <w:rPr>
          <w:rFonts w:ascii="Times New Roman" w:hAnsi="Times New Roman"/>
          <w:lang w:val="pt-BR"/>
        </w:rPr>
        <w:t xml:space="preserve">misturas contendo </w:t>
      </w:r>
      <w:r w:rsidR="00C70C08">
        <w:rPr>
          <w:rFonts w:ascii="Times New Roman" w:hAnsi="Times New Roman"/>
          <w:lang w:val="pt-BR"/>
        </w:rPr>
        <w:t xml:space="preserve">diferentes proporções isoméricas do </w:t>
      </w:r>
      <w:r w:rsidR="008F11D9">
        <w:rPr>
          <w:rFonts w:ascii="Times New Roman" w:hAnsi="Times New Roman"/>
          <w:lang w:val="pt-BR"/>
        </w:rPr>
        <w:t>acetato de terpenila</w:t>
      </w:r>
      <w:r w:rsidR="00C70C08">
        <w:rPr>
          <w:rFonts w:ascii="Times New Roman" w:hAnsi="Times New Roman"/>
          <w:lang w:val="pt-BR"/>
        </w:rPr>
        <w:t xml:space="preserve">, um </w:t>
      </w:r>
      <w:r w:rsidRPr="00402333">
        <w:rPr>
          <w:rFonts w:ascii="Times New Roman" w:hAnsi="Times New Roman"/>
          <w:lang w:val="pt-BR"/>
        </w:rPr>
        <w:t>éster monoterpeno de grande interesse para a indústria de fragrâncias.</w:t>
      </w:r>
      <w:r w:rsidR="00C70C08">
        <w:rPr>
          <w:rFonts w:ascii="Times New Roman" w:hAnsi="Times New Roman"/>
          <w:lang w:val="pt-BR"/>
        </w:rPr>
        <w:t xml:space="preserve"> </w:t>
      </w:r>
      <w:r w:rsidR="00596189">
        <w:rPr>
          <w:rFonts w:ascii="Times New Roman" w:hAnsi="Times New Roman"/>
          <w:lang w:val="pt-BR"/>
        </w:rPr>
        <w:t>A estrutura dos produtos obtidos correspondeu</w:t>
      </w:r>
      <w:r w:rsidR="007E36FC">
        <w:rPr>
          <w:rFonts w:ascii="Times New Roman" w:hAnsi="Times New Roman"/>
          <w:lang w:val="pt-BR"/>
        </w:rPr>
        <w:t xml:space="preserve"> </w:t>
      </w:r>
      <w:r w:rsidR="00596189">
        <w:rPr>
          <w:rFonts w:ascii="Times New Roman" w:hAnsi="Times New Roman"/>
          <w:lang w:val="pt-BR"/>
        </w:rPr>
        <w:t>a</w:t>
      </w:r>
      <w:r w:rsidR="007E36FC">
        <w:rPr>
          <w:rFonts w:ascii="Times New Roman" w:hAnsi="Times New Roman"/>
          <w:lang w:val="pt-BR"/>
        </w:rPr>
        <w:t xml:space="preserve"> </w:t>
      </w:r>
      <w:r w:rsidR="00596189" w:rsidRPr="00402333">
        <w:rPr>
          <w:rFonts w:ascii="Times New Roman" w:hAnsi="Times New Roman"/>
          <w:lang w:val="pt-BR"/>
        </w:rPr>
        <w:t>estrutura química d</w:t>
      </w:r>
      <w:r w:rsidR="00596189">
        <w:rPr>
          <w:rFonts w:ascii="Times New Roman" w:hAnsi="Times New Roman"/>
          <w:lang w:val="pt-BR"/>
        </w:rPr>
        <w:t xml:space="preserve">os </w:t>
      </w:r>
      <w:r w:rsidR="00596189" w:rsidRPr="00402333">
        <w:rPr>
          <w:rFonts w:ascii="Times New Roman" w:hAnsi="Times New Roman"/>
          <w:lang w:val="pt-BR"/>
        </w:rPr>
        <w:t>substratos.</w:t>
      </w:r>
      <w:r w:rsidR="00596189">
        <w:rPr>
          <w:rFonts w:ascii="Times New Roman" w:hAnsi="Times New Roman"/>
          <w:lang w:val="pt-BR"/>
        </w:rPr>
        <w:t xml:space="preserve"> A partir do</w:t>
      </w:r>
      <w:r w:rsidR="00962EAF" w:rsidRPr="00402333">
        <w:rPr>
          <w:rFonts w:ascii="Times New Roman" w:hAnsi="Times New Roman"/>
          <w:lang w:val="pt-BR"/>
        </w:rPr>
        <w:t xml:space="preserve"> 1,4-cineol</w:t>
      </w:r>
      <w:r w:rsidR="00596189">
        <w:rPr>
          <w:rFonts w:ascii="Times New Roman" w:hAnsi="Times New Roman"/>
          <w:lang w:val="pt-BR"/>
        </w:rPr>
        <w:t xml:space="preserve">, </w:t>
      </w:r>
      <w:r w:rsidR="007E36FC">
        <w:rPr>
          <w:rFonts w:ascii="Times New Roman" w:hAnsi="Times New Roman"/>
          <w:lang w:val="pt-BR"/>
        </w:rPr>
        <w:t xml:space="preserve">os </w:t>
      </w:r>
      <w:r w:rsidR="00596189">
        <w:rPr>
          <w:rFonts w:ascii="Times New Roman" w:hAnsi="Times New Roman"/>
          <w:lang w:val="pt-BR"/>
        </w:rPr>
        <w:t>produtos majoritários foram acetato de</w:t>
      </w:r>
      <w:r w:rsidR="00962EAF" w:rsidRPr="00402333">
        <w:rPr>
          <w:rFonts w:ascii="Times New Roman" w:hAnsi="Times New Roman"/>
          <w:lang w:val="pt-BR"/>
        </w:rPr>
        <w:t xml:space="preserve"> 1-</w:t>
      </w:r>
      <w:r w:rsidR="004A22D2">
        <w:rPr>
          <w:rFonts w:ascii="Times New Roman" w:hAnsi="Times New Roman"/>
          <w:lang w:val="pt-BR"/>
        </w:rPr>
        <w:t>terpenila</w:t>
      </w:r>
      <w:r w:rsidR="00962EAF" w:rsidRPr="00402333">
        <w:rPr>
          <w:rFonts w:ascii="Times New Roman" w:hAnsi="Times New Roman"/>
          <w:lang w:val="pt-BR"/>
        </w:rPr>
        <w:t xml:space="preserve"> (</w:t>
      </w:r>
      <w:r w:rsidR="00962EAF" w:rsidRPr="00402333">
        <w:rPr>
          <w:rFonts w:ascii="Times New Roman" w:hAnsi="Times New Roman"/>
          <w:b/>
          <w:lang w:val="pt-BR"/>
        </w:rPr>
        <w:t>3a</w:t>
      </w:r>
      <w:r w:rsidR="00962EAF" w:rsidRPr="00402333">
        <w:rPr>
          <w:rFonts w:ascii="Times New Roman" w:hAnsi="Times New Roman"/>
          <w:lang w:val="pt-BR"/>
        </w:rPr>
        <w:t>) e acetato de 4-</w:t>
      </w:r>
      <w:r w:rsidR="004A22D2">
        <w:rPr>
          <w:rFonts w:ascii="Times New Roman" w:hAnsi="Times New Roman"/>
          <w:lang w:val="pt-BR"/>
        </w:rPr>
        <w:t>terpenila</w:t>
      </w:r>
      <w:r w:rsidR="00962EAF" w:rsidRPr="00402333">
        <w:rPr>
          <w:rFonts w:ascii="Times New Roman" w:hAnsi="Times New Roman"/>
          <w:lang w:val="pt-BR"/>
        </w:rPr>
        <w:t xml:space="preserve"> (</w:t>
      </w:r>
      <w:r w:rsidR="00962EAF" w:rsidRPr="00402333">
        <w:rPr>
          <w:rFonts w:ascii="Times New Roman" w:hAnsi="Times New Roman"/>
          <w:b/>
          <w:lang w:val="pt-BR"/>
        </w:rPr>
        <w:t>3c</w:t>
      </w:r>
      <w:r w:rsidR="00962EAF" w:rsidRPr="00402333">
        <w:rPr>
          <w:rFonts w:ascii="Times New Roman" w:hAnsi="Times New Roman"/>
          <w:lang w:val="pt-BR"/>
        </w:rPr>
        <w:t>)</w:t>
      </w:r>
      <w:r w:rsidR="00596189">
        <w:rPr>
          <w:rFonts w:ascii="Times New Roman" w:hAnsi="Times New Roman"/>
          <w:lang w:val="pt-BR"/>
        </w:rPr>
        <w:t xml:space="preserve">. </w:t>
      </w:r>
      <w:r w:rsidR="00962EAF" w:rsidRPr="00402333">
        <w:rPr>
          <w:rFonts w:ascii="Times New Roman" w:hAnsi="Times New Roman"/>
          <w:lang w:val="pt-BR"/>
        </w:rPr>
        <w:t xml:space="preserve"> </w:t>
      </w:r>
      <w:r w:rsidR="00596189">
        <w:rPr>
          <w:rFonts w:ascii="Times New Roman" w:hAnsi="Times New Roman"/>
          <w:lang w:val="pt-BR"/>
        </w:rPr>
        <w:t>A acetilação do</w:t>
      </w:r>
      <w:r w:rsidR="00DD5646">
        <w:rPr>
          <w:rFonts w:ascii="Times New Roman" w:hAnsi="Times New Roman"/>
          <w:lang w:val="pt-BR"/>
        </w:rPr>
        <w:t xml:space="preserve"> </w:t>
      </w:r>
      <w:r w:rsidR="00962EAF" w:rsidRPr="00402333">
        <w:rPr>
          <w:rFonts w:ascii="Times New Roman" w:hAnsi="Times New Roman"/>
          <w:lang w:val="pt-BR"/>
        </w:rPr>
        <w:t xml:space="preserve">1,8-cineol </w:t>
      </w:r>
      <w:r w:rsidR="00596189">
        <w:rPr>
          <w:rFonts w:ascii="Times New Roman" w:hAnsi="Times New Roman"/>
          <w:lang w:val="pt-BR"/>
        </w:rPr>
        <w:t>resultou</w:t>
      </w:r>
      <w:r w:rsidR="00962EAF" w:rsidRPr="00402333">
        <w:rPr>
          <w:rFonts w:ascii="Times New Roman" w:hAnsi="Times New Roman"/>
          <w:lang w:val="pt-BR"/>
        </w:rPr>
        <w:t xml:space="preserve"> de forma majoritária </w:t>
      </w:r>
      <w:r w:rsidR="00596189">
        <w:rPr>
          <w:rFonts w:ascii="Times New Roman" w:hAnsi="Times New Roman"/>
          <w:lang w:val="pt-BR"/>
        </w:rPr>
        <w:t>n</w:t>
      </w:r>
      <w:r w:rsidR="00C70C08">
        <w:rPr>
          <w:rFonts w:ascii="Times New Roman" w:hAnsi="Times New Roman"/>
          <w:lang w:val="pt-BR"/>
        </w:rPr>
        <w:t xml:space="preserve">o </w:t>
      </w:r>
      <w:r w:rsidR="00962EAF" w:rsidRPr="00402333">
        <w:rPr>
          <w:rFonts w:ascii="Times New Roman" w:hAnsi="Times New Roman"/>
          <w:lang w:val="pt-BR"/>
        </w:rPr>
        <w:t>acetato de γ-</w:t>
      </w:r>
      <w:r w:rsidR="004A22D2">
        <w:rPr>
          <w:rFonts w:ascii="Times New Roman" w:hAnsi="Times New Roman"/>
          <w:lang w:val="pt-BR"/>
        </w:rPr>
        <w:t>terpenila</w:t>
      </w:r>
      <w:r w:rsidR="00962EAF" w:rsidRPr="00402333">
        <w:rPr>
          <w:rFonts w:ascii="Times New Roman" w:hAnsi="Times New Roman"/>
          <w:lang w:val="pt-BR"/>
        </w:rPr>
        <w:t xml:space="preserve"> (</w:t>
      </w:r>
      <w:r w:rsidR="00962EAF" w:rsidRPr="00402333">
        <w:rPr>
          <w:rFonts w:ascii="Times New Roman" w:hAnsi="Times New Roman"/>
          <w:b/>
          <w:lang w:val="pt-BR"/>
        </w:rPr>
        <w:t>3d</w:t>
      </w:r>
      <w:r w:rsidR="00962EAF" w:rsidRPr="00402333">
        <w:rPr>
          <w:rFonts w:ascii="Times New Roman" w:hAnsi="Times New Roman"/>
          <w:lang w:val="pt-BR"/>
        </w:rPr>
        <w:t xml:space="preserve">) e </w:t>
      </w:r>
      <w:r w:rsidR="00596189">
        <w:rPr>
          <w:rFonts w:ascii="Times New Roman" w:hAnsi="Times New Roman"/>
          <w:lang w:val="pt-BR"/>
        </w:rPr>
        <w:t>n</w:t>
      </w:r>
      <w:r w:rsidR="00962EAF" w:rsidRPr="00402333">
        <w:rPr>
          <w:rFonts w:ascii="Times New Roman" w:hAnsi="Times New Roman"/>
          <w:lang w:val="pt-BR"/>
        </w:rPr>
        <w:t>o acetato de α-</w:t>
      </w:r>
      <w:r w:rsidR="004A22D2">
        <w:rPr>
          <w:rFonts w:ascii="Times New Roman" w:hAnsi="Times New Roman"/>
          <w:lang w:val="pt-BR"/>
        </w:rPr>
        <w:t>terpenila</w:t>
      </w:r>
      <w:r w:rsidR="00962EAF" w:rsidRPr="00402333">
        <w:rPr>
          <w:rFonts w:ascii="Times New Roman" w:hAnsi="Times New Roman"/>
          <w:lang w:val="pt-BR"/>
        </w:rPr>
        <w:t xml:space="preserve"> (</w:t>
      </w:r>
      <w:r w:rsidR="00962EAF" w:rsidRPr="00402333">
        <w:rPr>
          <w:rFonts w:ascii="Times New Roman" w:hAnsi="Times New Roman"/>
          <w:b/>
          <w:lang w:val="pt-BR"/>
        </w:rPr>
        <w:t>3e</w:t>
      </w:r>
      <w:r w:rsidR="00962EAF" w:rsidRPr="00402333">
        <w:rPr>
          <w:rFonts w:ascii="Times New Roman" w:hAnsi="Times New Roman"/>
          <w:lang w:val="pt-BR"/>
        </w:rPr>
        <w:t>)</w:t>
      </w:r>
      <w:r w:rsidR="00596189">
        <w:rPr>
          <w:rFonts w:ascii="Times New Roman" w:hAnsi="Times New Roman"/>
          <w:lang w:val="pt-BR"/>
        </w:rPr>
        <w:t xml:space="preserve">. </w:t>
      </w:r>
    </w:p>
    <w:p w14:paraId="35426572" w14:textId="04BD04F7" w:rsidR="00D0572D" w:rsidRPr="00C70C08" w:rsidRDefault="00DD5646" w:rsidP="00C70C08">
      <w:pPr>
        <w:pStyle w:val="TAMainText"/>
        <w:ind w:firstLine="142"/>
        <w:rPr>
          <w:rFonts w:ascii="Times New Roman" w:hAnsi="Times New Roman"/>
          <w:lang w:val="pt-BR"/>
        </w:rPr>
      </w:pPr>
      <w:r w:rsidRPr="00DD5646">
        <w:rPr>
          <w:rFonts w:ascii="Times New Roman" w:hAnsi="Times New Roman"/>
          <w:lang w:val="pt-BR"/>
        </w:rPr>
        <w:t>A</w:t>
      </w:r>
      <w:r w:rsidR="00310006" w:rsidRPr="00DD5646">
        <w:rPr>
          <w:rFonts w:ascii="Times New Roman" w:hAnsi="Times New Roman"/>
          <w:lang w:val="pt-BR"/>
        </w:rPr>
        <w:t xml:space="preserve"> avaliação da influência de diferentes fatores (quantidade de catalisador, </w:t>
      </w:r>
      <w:r>
        <w:rPr>
          <w:rFonts w:ascii="Times New Roman" w:hAnsi="Times New Roman"/>
          <w:lang w:val="pt-BR"/>
        </w:rPr>
        <w:t>temperatura</w:t>
      </w:r>
      <w:r w:rsidR="00310006" w:rsidRPr="00DD5646">
        <w:rPr>
          <w:rFonts w:ascii="Times New Roman" w:hAnsi="Times New Roman"/>
          <w:lang w:val="pt-BR"/>
        </w:rPr>
        <w:t>, quantidade de agente acetilante</w:t>
      </w:r>
      <w:r w:rsidR="00962EAF" w:rsidRPr="00DD5646">
        <w:rPr>
          <w:rFonts w:ascii="Times New Roman" w:hAnsi="Times New Roman"/>
          <w:lang w:val="pt-BR"/>
        </w:rPr>
        <w:t xml:space="preserve"> e </w:t>
      </w:r>
      <w:r w:rsidR="007E18BC">
        <w:rPr>
          <w:rFonts w:ascii="Times New Roman" w:hAnsi="Times New Roman"/>
          <w:lang w:val="pt-BR"/>
        </w:rPr>
        <w:t xml:space="preserve">natureza do </w:t>
      </w:r>
      <w:r w:rsidR="00962EAF" w:rsidRPr="00DD5646">
        <w:rPr>
          <w:rFonts w:ascii="Times New Roman" w:hAnsi="Times New Roman"/>
          <w:lang w:val="pt-BR"/>
        </w:rPr>
        <w:t>solvente</w:t>
      </w:r>
      <w:r w:rsidR="00310006" w:rsidRPr="00DD5646">
        <w:rPr>
          <w:rFonts w:ascii="Times New Roman" w:hAnsi="Times New Roman"/>
          <w:lang w:val="pt-BR"/>
        </w:rPr>
        <w:t>) permitiu a otimização das condições</w:t>
      </w:r>
      <w:r w:rsidR="004F3E69" w:rsidRPr="00DD5646">
        <w:rPr>
          <w:rFonts w:ascii="Times New Roman" w:hAnsi="Times New Roman"/>
          <w:lang w:val="pt-BR"/>
        </w:rPr>
        <w:t xml:space="preserve"> de reação</w:t>
      </w:r>
      <w:r w:rsidR="00310006" w:rsidRPr="00DD5646">
        <w:rPr>
          <w:rFonts w:ascii="Times New Roman" w:hAnsi="Times New Roman"/>
          <w:lang w:val="pt-BR"/>
        </w:rPr>
        <w:t xml:space="preserve"> para a obtenção </w:t>
      </w:r>
      <w:r w:rsidR="00962EAF" w:rsidRPr="00DD5646">
        <w:rPr>
          <w:rFonts w:ascii="Times New Roman" w:hAnsi="Times New Roman"/>
          <w:lang w:val="pt-BR"/>
        </w:rPr>
        <w:t xml:space="preserve">de mistura contendo diferentes proporções </w:t>
      </w:r>
      <w:r w:rsidR="00310006" w:rsidRPr="00DD5646">
        <w:rPr>
          <w:rFonts w:ascii="Times New Roman" w:hAnsi="Times New Roman"/>
          <w:lang w:val="pt-BR"/>
        </w:rPr>
        <w:t>dos produtos de interesse.</w:t>
      </w:r>
      <w:r w:rsidR="00C70C08">
        <w:rPr>
          <w:rFonts w:ascii="Times New Roman" w:hAnsi="Times New Roman"/>
          <w:lang w:val="pt-BR"/>
        </w:rPr>
        <w:t xml:space="preserve"> </w:t>
      </w:r>
      <w:r w:rsidR="00C70C08" w:rsidRPr="00402333">
        <w:rPr>
          <w:rFonts w:ascii="Times New Roman" w:hAnsi="Times New Roman"/>
          <w:lang w:val="pt-BR"/>
        </w:rPr>
        <w:t xml:space="preserve">A aplicação e avaliação dos diferentes solventes </w:t>
      </w:r>
      <w:r w:rsidR="00AE4396">
        <w:rPr>
          <w:rFonts w:ascii="Times New Roman" w:hAnsi="Times New Roman"/>
          <w:lang w:val="pt-BR"/>
        </w:rPr>
        <w:t>verdes</w:t>
      </w:r>
      <w:r w:rsidR="00C70C08" w:rsidRPr="00402333">
        <w:rPr>
          <w:rFonts w:ascii="Times New Roman" w:hAnsi="Times New Roman"/>
          <w:lang w:val="pt-BR"/>
        </w:rPr>
        <w:t xml:space="preserve"> (metilisobutilcetona, metiletilcetona, carbonato de dimetila, carbonato de dietila e o carbonato de propileno) revelou que os solventes influenciam diretamente nos resultados da reação, principalmente na seletividade dos produtos majoritários. </w:t>
      </w:r>
      <w:r w:rsidR="00962EAF" w:rsidRPr="00DD5646">
        <w:rPr>
          <w:rFonts w:ascii="Times New Roman" w:hAnsi="Times New Roman"/>
          <w:lang w:val="pt-BR"/>
        </w:rPr>
        <w:t xml:space="preserve">Foi verificado que </w:t>
      </w:r>
      <w:r w:rsidR="00C70C08" w:rsidRPr="00DD5646">
        <w:rPr>
          <w:rFonts w:ascii="Times New Roman" w:hAnsi="Times New Roman"/>
          <w:lang w:val="pt-BR"/>
        </w:rPr>
        <w:t>o emprego de solventes cetônicos favorece</w:t>
      </w:r>
      <w:r w:rsidR="00962EAF" w:rsidRPr="00DD5646">
        <w:rPr>
          <w:rFonts w:ascii="Times New Roman" w:hAnsi="Times New Roman"/>
          <w:lang w:val="pt-BR"/>
        </w:rPr>
        <w:t xml:space="preserve"> </w:t>
      </w:r>
      <w:r w:rsidR="00350094">
        <w:rPr>
          <w:rFonts w:ascii="Times New Roman" w:hAnsi="Times New Roman"/>
          <w:lang w:val="pt-BR"/>
        </w:rPr>
        <w:t>a seletividade d</w:t>
      </w:r>
      <w:r w:rsidR="00962EAF" w:rsidRPr="00DD5646">
        <w:rPr>
          <w:rFonts w:ascii="Times New Roman" w:hAnsi="Times New Roman"/>
          <w:lang w:val="pt-BR"/>
        </w:rPr>
        <w:t>o processo</w:t>
      </w:r>
      <w:r w:rsidR="006D0B2A">
        <w:rPr>
          <w:rFonts w:ascii="Times New Roman" w:hAnsi="Times New Roman"/>
          <w:lang w:val="pt-BR"/>
        </w:rPr>
        <w:t xml:space="preserve"> </w:t>
      </w:r>
      <w:r w:rsidR="00350094">
        <w:rPr>
          <w:rFonts w:ascii="Times New Roman" w:hAnsi="Times New Roman"/>
          <w:lang w:val="pt-BR"/>
        </w:rPr>
        <w:t xml:space="preserve">para produtos de interesse </w:t>
      </w:r>
      <w:r w:rsidR="006D0B2A">
        <w:rPr>
          <w:rFonts w:ascii="Times New Roman" w:hAnsi="Times New Roman"/>
          <w:lang w:val="pt-BR"/>
        </w:rPr>
        <w:t>devido à</w:t>
      </w:r>
      <w:r w:rsidR="00962EAF" w:rsidRPr="00DD5646">
        <w:rPr>
          <w:rFonts w:ascii="Times New Roman" w:hAnsi="Times New Roman"/>
          <w:lang w:val="pt-BR"/>
        </w:rPr>
        <w:t xml:space="preserve"> redução na formação de diacetatos </w:t>
      </w:r>
      <w:r w:rsidR="009D183A">
        <w:rPr>
          <w:rFonts w:ascii="Times New Roman" w:hAnsi="Times New Roman"/>
          <w:lang w:val="pt-BR"/>
        </w:rPr>
        <w:t xml:space="preserve">de terpenila </w:t>
      </w:r>
      <w:r w:rsidR="00962EAF" w:rsidRPr="00DD5646">
        <w:rPr>
          <w:rFonts w:ascii="Times New Roman" w:hAnsi="Times New Roman"/>
          <w:lang w:val="pt-BR"/>
        </w:rPr>
        <w:t>e de isômeros do limoneno</w:t>
      </w:r>
      <w:r w:rsidR="006D0B2A">
        <w:rPr>
          <w:rFonts w:ascii="Times New Roman" w:hAnsi="Times New Roman"/>
          <w:lang w:val="pt-BR"/>
        </w:rPr>
        <w:t xml:space="preserve"> provenientes da desidratação dos substratos também catalisada por </w:t>
      </w:r>
      <w:r w:rsidR="006D0B2A" w:rsidRPr="00402333">
        <w:rPr>
          <w:rFonts w:ascii="Times New Roman" w:hAnsi="Times New Roman"/>
          <w:lang w:val="pt-BR"/>
        </w:rPr>
        <w:t>CsPW</w:t>
      </w:r>
      <w:r w:rsidR="00962EAF" w:rsidRPr="00DD5646">
        <w:rPr>
          <w:rFonts w:ascii="Times New Roman" w:hAnsi="Times New Roman"/>
          <w:lang w:val="pt-BR"/>
        </w:rPr>
        <w:t xml:space="preserve">. </w:t>
      </w:r>
    </w:p>
    <w:p w14:paraId="38E43A9E" w14:textId="132CC67C" w:rsidR="00FA022D" w:rsidRDefault="00CA7BF6" w:rsidP="00CE5C30">
      <w:pPr>
        <w:pStyle w:val="TAMainText"/>
        <w:ind w:firstLine="142"/>
        <w:rPr>
          <w:rFonts w:ascii="Times New Roman" w:hAnsi="Times New Roman"/>
          <w:lang w:val="pt-BR"/>
        </w:rPr>
      </w:pPr>
      <w:r w:rsidRPr="00747DC9">
        <w:rPr>
          <w:rFonts w:ascii="Times New Roman" w:hAnsi="Times New Roman"/>
          <w:lang w:val="pt-BR"/>
        </w:rPr>
        <w:t xml:space="preserve">Assim, a acetilação do 1,4-cineol e 1,8-cineol se mostrou uma interessante rota para valorização desses substratos, </w:t>
      </w:r>
      <w:r w:rsidR="00F65A56" w:rsidRPr="00747DC9">
        <w:rPr>
          <w:rFonts w:ascii="Times New Roman" w:hAnsi="Times New Roman"/>
          <w:lang w:val="pt-BR"/>
        </w:rPr>
        <w:t xml:space="preserve">uma vez </w:t>
      </w:r>
      <w:r w:rsidRPr="00747DC9">
        <w:rPr>
          <w:rFonts w:ascii="Times New Roman" w:hAnsi="Times New Roman"/>
          <w:lang w:val="pt-BR"/>
        </w:rPr>
        <w:t>que</w:t>
      </w:r>
      <w:r w:rsidR="00747DC9">
        <w:rPr>
          <w:rFonts w:ascii="Times New Roman" w:hAnsi="Times New Roman"/>
          <w:lang w:val="pt-BR"/>
        </w:rPr>
        <w:t xml:space="preserve"> </w:t>
      </w:r>
      <w:r w:rsidR="00F65A56" w:rsidRPr="00747DC9">
        <w:rPr>
          <w:rFonts w:ascii="Times New Roman" w:hAnsi="Times New Roman"/>
          <w:lang w:val="pt-BR"/>
        </w:rPr>
        <w:t>possibilita a transformação de</w:t>
      </w:r>
      <w:r w:rsidR="00747DC9">
        <w:rPr>
          <w:rFonts w:ascii="Times New Roman" w:hAnsi="Times New Roman"/>
          <w:lang w:val="pt-BR"/>
        </w:rPr>
        <w:t xml:space="preserve"> uma</w:t>
      </w:r>
      <w:r w:rsidR="00F65A56" w:rsidRPr="00747DC9">
        <w:rPr>
          <w:rFonts w:ascii="Times New Roman" w:hAnsi="Times New Roman"/>
          <w:lang w:val="pt-BR"/>
        </w:rPr>
        <w:t xml:space="preserve"> </w:t>
      </w:r>
      <w:r w:rsidRPr="00747DC9">
        <w:rPr>
          <w:rFonts w:ascii="Times New Roman" w:hAnsi="Times New Roman"/>
          <w:lang w:val="pt-BR"/>
        </w:rPr>
        <w:t>matéria-prima barata e abundante</w:t>
      </w:r>
      <w:r w:rsidR="00C81726">
        <w:rPr>
          <w:rFonts w:ascii="Times New Roman" w:hAnsi="Times New Roman"/>
          <w:lang w:val="pt-BR"/>
        </w:rPr>
        <w:t xml:space="preserve"> em </w:t>
      </w:r>
      <w:r w:rsidRPr="00747DC9">
        <w:rPr>
          <w:rFonts w:ascii="Times New Roman" w:hAnsi="Times New Roman"/>
          <w:lang w:val="pt-BR"/>
        </w:rPr>
        <w:t xml:space="preserve">produtos de maior valor agregado. Além disso, </w:t>
      </w:r>
      <w:r w:rsidR="002E481C">
        <w:rPr>
          <w:rFonts w:ascii="Times New Roman" w:hAnsi="Times New Roman"/>
          <w:lang w:val="pt-BR"/>
        </w:rPr>
        <w:t xml:space="preserve">a </w:t>
      </w:r>
      <w:r w:rsidRPr="00747DC9">
        <w:rPr>
          <w:rFonts w:ascii="Times New Roman" w:hAnsi="Times New Roman"/>
          <w:lang w:val="pt-BR"/>
        </w:rPr>
        <w:t xml:space="preserve">aplicação dos diferentes solventes permite </w:t>
      </w:r>
      <w:r w:rsidR="00984EDD">
        <w:rPr>
          <w:rFonts w:ascii="Times New Roman" w:hAnsi="Times New Roman"/>
          <w:lang w:val="pt-BR"/>
        </w:rPr>
        <w:t>alterar a seletividade</w:t>
      </w:r>
      <w:r w:rsidRPr="00747DC9">
        <w:rPr>
          <w:rFonts w:ascii="Times New Roman" w:hAnsi="Times New Roman"/>
          <w:lang w:val="pt-BR"/>
        </w:rPr>
        <w:t xml:space="preserve"> da reação </w:t>
      </w:r>
      <w:r w:rsidR="00747DC9">
        <w:rPr>
          <w:rFonts w:ascii="Times New Roman" w:hAnsi="Times New Roman"/>
          <w:lang w:val="pt-BR"/>
        </w:rPr>
        <w:t xml:space="preserve">e </w:t>
      </w:r>
      <w:r w:rsidR="00984EDD">
        <w:rPr>
          <w:rFonts w:ascii="Times New Roman" w:hAnsi="Times New Roman"/>
          <w:lang w:val="pt-BR"/>
        </w:rPr>
        <w:t>obter</w:t>
      </w:r>
      <w:r w:rsidR="00747DC9">
        <w:rPr>
          <w:rFonts w:ascii="Times New Roman" w:hAnsi="Times New Roman"/>
          <w:lang w:val="pt-BR"/>
        </w:rPr>
        <w:t xml:space="preserve"> </w:t>
      </w:r>
      <w:r w:rsidR="00DC6236">
        <w:rPr>
          <w:rFonts w:ascii="Times New Roman" w:hAnsi="Times New Roman"/>
          <w:lang w:val="pt-BR"/>
        </w:rPr>
        <w:t xml:space="preserve">as </w:t>
      </w:r>
      <w:r w:rsidR="00747DC9">
        <w:rPr>
          <w:rFonts w:ascii="Times New Roman" w:hAnsi="Times New Roman"/>
          <w:lang w:val="pt-BR"/>
        </w:rPr>
        <w:t xml:space="preserve">misturas </w:t>
      </w:r>
      <w:r w:rsidR="005A01D7">
        <w:rPr>
          <w:rFonts w:ascii="Times New Roman" w:hAnsi="Times New Roman"/>
          <w:lang w:val="pt-BR"/>
        </w:rPr>
        <w:t xml:space="preserve">contendo </w:t>
      </w:r>
      <w:r w:rsidR="00733D11">
        <w:rPr>
          <w:rFonts w:ascii="Times New Roman" w:hAnsi="Times New Roman"/>
          <w:lang w:val="pt-BR"/>
        </w:rPr>
        <w:t xml:space="preserve">os </w:t>
      </w:r>
      <w:r w:rsidR="00DC6236">
        <w:rPr>
          <w:rFonts w:ascii="Times New Roman" w:hAnsi="Times New Roman"/>
          <w:lang w:val="pt-BR"/>
        </w:rPr>
        <w:t xml:space="preserve">produtos (acetatos de terpenila) em </w:t>
      </w:r>
      <w:r w:rsidR="00747DC9">
        <w:rPr>
          <w:rFonts w:ascii="Times New Roman" w:hAnsi="Times New Roman"/>
          <w:lang w:val="pt-BR"/>
        </w:rPr>
        <w:t>diferentes proporções</w:t>
      </w:r>
      <w:r w:rsidR="00733D11">
        <w:rPr>
          <w:rFonts w:ascii="Times New Roman" w:hAnsi="Times New Roman"/>
          <w:lang w:val="pt-BR"/>
        </w:rPr>
        <w:t>;</w:t>
      </w:r>
      <w:r w:rsidR="00DC6236">
        <w:rPr>
          <w:rFonts w:ascii="Times New Roman" w:hAnsi="Times New Roman"/>
          <w:lang w:val="pt-BR"/>
        </w:rPr>
        <w:t xml:space="preserve"> as quais, consequentemente, terão diferentes aromas.</w:t>
      </w:r>
      <w:r w:rsidR="00747DC9">
        <w:rPr>
          <w:rFonts w:ascii="Times New Roman" w:hAnsi="Times New Roman"/>
          <w:lang w:val="pt-BR"/>
        </w:rPr>
        <w:t xml:space="preserve"> </w:t>
      </w:r>
      <w:r w:rsidR="00747DC9" w:rsidRPr="00747DC9">
        <w:rPr>
          <w:rFonts w:ascii="Times New Roman" w:hAnsi="Times New Roman"/>
          <w:lang w:val="pt-BR"/>
        </w:rPr>
        <w:t xml:space="preserve">Além disso, </w:t>
      </w:r>
      <w:r w:rsidR="00733D11">
        <w:rPr>
          <w:rFonts w:ascii="Times New Roman" w:hAnsi="Times New Roman"/>
          <w:lang w:val="pt-BR"/>
        </w:rPr>
        <w:t>a utilização do</w:t>
      </w:r>
      <w:r w:rsidR="00747DC9" w:rsidRPr="00747DC9">
        <w:rPr>
          <w:rFonts w:ascii="Times New Roman" w:hAnsi="Times New Roman"/>
          <w:lang w:val="pt-BR"/>
        </w:rPr>
        <w:t xml:space="preserve"> CsPW</w:t>
      </w:r>
      <w:r w:rsidR="00733D11">
        <w:rPr>
          <w:rFonts w:ascii="Times New Roman" w:hAnsi="Times New Roman"/>
          <w:lang w:val="pt-BR"/>
        </w:rPr>
        <w:t xml:space="preserve"> como</w:t>
      </w:r>
      <w:r w:rsidRPr="00747DC9">
        <w:rPr>
          <w:rFonts w:ascii="Times New Roman" w:hAnsi="Times New Roman"/>
          <w:lang w:val="pt-BR"/>
        </w:rPr>
        <w:t xml:space="preserve"> catalisador </w:t>
      </w:r>
      <w:r w:rsidR="00CE5C30" w:rsidRPr="00747DC9">
        <w:rPr>
          <w:rFonts w:ascii="Times New Roman" w:hAnsi="Times New Roman"/>
          <w:lang w:val="pt-BR"/>
        </w:rPr>
        <w:t xml:space="preserve">heterogêneo, </w:t>
      </w:r>
      <w:r w:rsidRPr="00747DC9">
        <w:rPr>
          <w:rFonts w:ascii="Times New Roman" w:hAnsi="Times New Roman"/>
          <w:lang w:val="pt-BR"/>
        </w:rPr>
        <w:t>não tóxico e pouco corr</w:t>
      </w:r>
      <w:r w:rsidR="00CE5C30" w:rsidRPr="00747DC9">
        <w:rPr>
          <w:rFonts w:ascii="Times New Roman" w:hAnsi="Times New Roman"/>
          <w:lang w:val="pt-BR"/>
        </w:rPr>
        <w:t>o</w:t>
      </w:r>
      <w:r w:rsidRPr="00747DC9">
        <w:rPr>
          <w:rFonts w:ascii="Times New Roman" w:hAnsi="Times New Roman"/>
          <w:lang w:val="pt-BR"/>
        </w:rPr>
        <w:t xml:space="preserve">sivo, torna o </w:t>
      </w:r>
      <w:r w:rsidR="00733D11" w:rsidRPr="00747DC9">
        <w:rPr>
          <w:rFonts w:ascii="Times New Roman" w:hAnsi="Times New Roman"/>
          <w:lang w:val="pt-BR"/>
        </w:rPr>
        <w:t>processo</w:t>
      </w:r>
      <w:r w:rsidR="00733D11">
        <w:rPr>
          <w:rFonts w:ascii="Times New Roman" w:hAnsi="Times New Roman"/>
          <w:lang w:val="pt-BR"/>
        </w:rPr>
        <w:t xml:space="preserve"> desenvolvido</w:t>
      </w:r>
      <w:r w:rsidR="00733D11" w:rsidRPr="00747DC9">
        <w:rPr>
          <w:rFonts w:ascii="Times New Roman" w:hAnsi="Times New Roman"/>
          <w:lang w:val="pt-BR"/>
        </w:rPr>
        <w:t xml:space="preserve"> </w:t>
      </w:r>
      <w:r w:rsidR="00CE5C30" w:rsidRPr="00747DC9">
        <w:rPr>
          <w:rFonts w:ascii="Times New Roman" w:hAnsi="Times New Roman"/>
          <w:lang w:val="pt-BR"/>
        </w:rPr>
        <w:t>mais interessante do ponto de vista ambiental.</w:t>
      </w:r>
    </w:p>
    <w:p w14:paraId="37C72D3B" w14:textId="77777777" w:rsidR="00A01BB1" w:rsidRPr="00747DC9" w:rsidRDefault="00A01BB1" w:rsidP="00CE5C30">
      <w:pPr>
        <w:pStyle w:val="TAMainText"/>
        <w:ind w:firstLine="142"/>
        <w:rPr>
          <w:rFonts w:ascii="Times New Roman" w:hAnsi="Times New Roman"/>
          <w:lang w:val="pt-BR"/>
        </w:rPr>
      </w:pPr>
    </w:p>
    <w:p w14:paraId="384E387B" w14:textId="59D0AF6C" w:rsidR="00700524" w:rsidRPr="004D4B3A" w:rsidRDefault="00EA4E1B" w:rsidP="004D4B3A">
      <w:pPr>
        <w:pStyle w:val="Ttulo2"/>
        <w:spacing w:before="200" w:after="200"/>
        <w:rPr>
          <w:rFonts w:ascii="Helvetica" w:hAnsi="Helvetica" w:cs="Helvetica"/>
          <w:b/>
          <w:bCs/>
          <w:sz w:val="24"/>
          <w:szCs w:val="24"/>
        </w:rPr>
      </w:pPr>
      <w:r w:rsidRPr="00747DC9">
        <w:rPr>
          <w:rFonts w:ascii="Helvetica" w:hAnsi="Helvetica" w:cs="Helvetica"/>
          <w:b/>
          <w:bCs/>
          <w:sz w:val="24"/>
          <w:szCs w:val="24"/>
        </w:rPr>
        <w:t>Agradecimentos</w:t>
      </w:r>
    </w:p>
    <w:p w14:paraId="532A31CE" w14:textId="6F1F1463" w:rsidR="00700524" w:rsidRDefault="00700524" w:rsidP="004D4B3A">
      <w:pPr>
        <w:pStyle w:val="TAMainText"/>
        <w:ind w:firstLine="0"/>
        <w:rPr>
          <w:rFonts w:ascii="Times New Roman" w:hAnsi="Times New Roman"/>
          <w:lang w:val="pt-BR"/>
        </w:rPr>
      </w:pPr>
      <w:r w:rsidRPr="00635F99">
        <w:rPr>
          <w:rFonts w:ascii="Times New Roman" w:hAnsi="Times New Roman"/>
          <w:lang w:val="pt-BR"/>
        </w:rPr>
        <w:t xml:space="preserve">CNPq, CAPES, FAPEMIG, UFMG, </w:t>
      </w:r>
      <w:r w:rsidR="008740BD" w:rsidRPr="00635F99">
        <w:rPr>
          <w:rFonts w:ascii="Times New Roman" w:hAnsi="Times New Roman"/>
          <w:lang w:val="pt-BR"/>
        </w:rPr>
        <w:t>PROPPI/UFOP</w:t>
      </w:r>
      <w:r w:rsidRPr="00635F99">
        <w:rPr>
          <w:rFonts w:ascii="Times New Roman" w:hAnsi="Times New Roman"/>
          <w:lang w:val="pt-BR"/>
        </w:rPr>
        <w:t>.</w:t>
      </w:r>
    </w:p>
    <w:p w14:paraId="165DFFA5" w14:textId="77777777" w:rsidR="00A01BB1" w:rsidRPr="00BD615D" w:rsidRDefault="00A01BB1" w:rsidP="004D4B3A">
      <w:pPr>
        <w:pStyle w:val="TAMainText"/>
        <w:ind w:firstLine="0"/>
        <w:rPr>
          <w:rFonts w:ascii="Times New Roman" w:hAnsi="Times New Roman"/>
          <w:lang w:val="pt-BR"/>
        </w:rPr>
      </w:pPr>
    </w:p>
    <w:p w14:paraId="1EAAA287" w14:textId="2A77045C" w:rsidR="00EA4E1B" w:rsidRPr="00ED5396" w:rsidRDefault="00EA4E1B" w:rsidP="004D4B3A">
      <w:pPr>
        <w:pStyle w:val="Ttulo2"/>
        <w:spacing w:before="200" w:after="200"/>
        <w:rPr>
          <w:rFonts w:ascii="Helvetica" w:hAnsi="Helvetica" w:cs="Helvetica"/>
          <w:b/>
          <w:bCs/>
          <w:sz w:val="24"/>
          <w:szCs w:val="24"/>
        </w:rPr>
      </w:pPr>
      <w:r w:rsidRPr="00ED5396">
        <w:rPr>
          <w:rFonts w:ascii="Helvetica" w:hAnsi="Helvetica" w:cs="Helvetica"/>
          <w:b/>
          <w:bCs/>
          <w:sz w:val="24"/>
          <w:szCs w:val="24"/>
        </w:rPr>
        <w:t>Referências</w:t>
      </w:r>
    </w:p>
    <w:p w14:paraId="268A24C5" w14:textId="7307F3A2" w:rsidR="0076121F" w:rsidRPr="00ED5396" w:rsidRDefault="00DC4170" w:rsidP="00FB224F">
      <w:pPr>
        <w:pStyle w:val="Bibliografia"/>
        <w:jc w:val="both"/>
        <w:rPr>
          <w:rFonts w:ascii="Times New Roman" w:hAnsi="Times New Roman" w:cs="Times New Roman"/>
          <w:sz w:val="20"/>
          <w:szCs w:val="20"/>
        </w:rPr>
      </w:pPr>
      <w:r w:rsidRPr="00363ADB">
        <w:rPr>
          <w:sz w:val="20"/>
          <w:szCs w:val="20"/>
        </w:rPr>
        <w:fldChar w:fldCharType="begin"/>
      </w:r>
      <w:r w:rsidR="0076121F" w:rsidRPr="00ED5396">
        <w:rPr>
          <w:sz w:val="20"/>
          <w:szCs w:val="20"/>
        </w:rPr>
        <w:instrText xml:space="preserve"> ADDIN ZOTERO_BIBL {"uncited":[],"omitted":[],"custom":[]} CSL_BIBLIOGRAPHY </w:instrText>
      </w:r>
      <w:r w:rsidRPr="00363ADB">
        <w:rPr>
          <w:sz w:val="20"/>
          <w:szCs w:val="20"/>
        </w:rPr>
        <w:fldChar w:fldCharType="separate"/>
      </w:r>
      <w:r w:rsidR="0076121F" w:rsidRPr="00ED5396">
        <w:rPr>
          <w:rFonts w:ascii="Times New Roman" w:hAnsi="Times New Roman" w:cs="Times New Roman"/>
          <w:sz w:val="20"/>
          <w:szCs w:val="20"/>
        </w:rPr>
        <w:t>1. Monteiro, J. L. F.; Veloso, C. O.</w:t>
      </w:r>
      <w:r w:rsidR="004F3E69" w:rsidRPr="00ED5396">
        <w:rPr>
          <w:rFonts w:ascii="Times New Roman" w:hAnsi="Times New Roman" w:cs="Times New Roman"/>
          <w:sz w:val="20"/>
          <w:szCs w:val="20"/>
        </w:rPr>
        <w:t xml:space="preserve"> </w:t>
      </w:r>
      <w:r w:rsidR="0076121F" w:rsidRPr="00ED5396">
        <w:rPr>
          <w:rFonts w:ascii="Times New Roman" w:hAnsi="Times New Roman" w:cs="Times New Roman"/>
          <w:i/>
          <w:iCs/>
          <w:sz w:val="20"/>
          <w:szCs w:val="20"/>
        </w:rPr>
        <w:t>Topics in Catalysis</w:t>
      </w:r>
      <w:r w:rsidR="0076121F" w:rsidRPr="00ED5396">
        <w:rPr>
          <w:rFonts w:ascii="Times New Roman" w:hAnsi="Times New Roman" w:cs="Times New Roman"/>
          <w:sz w:val="20"/>
          <w:szCs w:val="20"/>
        </w:rPr>
        <w:t xml:space="preserve"> </w:t>
      </w:r>
      <w:r w:rsidR="0076121F" w:rsidRPr="00ED5396">
        <w:rPr>
          <w:rFonts w:ascii="Times New Roman" w:hAnsi="Times New Roman" w:cs="Times New Roman"/>
          <w:b/>
          <w:bCs/>
          <w:sz w:val="20"/>
          <w:szCs w:val="20"/>
        </w:rPr>
        <w:t>2004</w:t>
      </w:r>
      <w:r w:rsidR="0076121F" w:rsidRPr="00ED5396">
        <w:rPr>
          <w:rFonts w:ascii="Times New Roman" w:hAnsi="Times New Roman" w:cs="Times New Roman"/>
          <w:sz w:val="20"/>
          <w:szCs w:val="20"/>
        </w:rPr>
        <w:t xml:space="preserve">, </w:t>
      </w:r>
      <w:r w:rsidR="0076121F" w:rsidRPr="00ED5396">
        <w:rPr>
          <w:rFonts w:ascii="Times New Roman" w:hAnsi="Times New Roman" w:cs="Times New Roman"/>
          <w:i/>
          <w:iCs/>
          <w:sz w:val="20"/>
          <w:szCs w:val="20"/>
        </w:rPr>
        <w:t>27</w:t>
      </w:r>
      <w:r w:rsidR="0076121F" w:rsidRPr="00ED5396">
        <w:rPr>
          <w:rFonts w:ascii="Times New Roman" w:hAnsi="Times New Roman" w:cs="Times New Roman"/>
          <w:sz w:val="20"/>
          <w:szCs w:val="20"/>
        </w:rPr>
        <w:t>(1), 169–180.</w:t>
      </w:r>
    </w:p>
    <w:p w14:paraId="1CB16A6B" w14:textId="53252441" w:rsidR="0076121F" w:rsidRPr="00ED5396" w:rsidRDefault="0076121F" w:rsidP="00FB224F">
      <w:pPr>
        <w:pStyle w:val="Bibliografia"/>
        <w:jc w:val="both"/>
        <w:rPr>
          <w:rFonts w:ascii="Times New Roman" w:hAnsi="Times New Roman" w:cs="Times New Roman"/>
          <w:sz w:val="20"/>
          <w:szCs w:val="20"/>
        </w:rPr>
      </w:pPr>
      <w:r w:rsidRPr="00ED5396">
        <w:rPr>
          <w:rFonts w:ascii="Times New Roman" w:hAnsi="Times New Roman" w:cs="Times New Roman"/>
          <w:sz w:val="20"/>
          <w:szCs w:val="20"/>
        </w:rPr>
        <w:t>2. Gusevskaya, E. V.</w:t>
      </w:r>
      <w:r w:rsidR="004F3E69" w:rsidRPr="00ED5396">
        <w:rPr>
          <w:rFonts w:ascii="Times New Roman" w:hAnsi="Times New Roman" w:cs="Times New Roman"/>
          <w:sz w:val="20"/>
          <w:szCs w:val="20"/>
        </w:rPr>
        <w:t xml:space="preserve"> </w:t>
      </w:r>
      <w:r w:rsidRPr="00ED5396">
        <w:rPr>
          <w:rFonts w:ascii="Times New Roman" w:hAnsi="Times New Roman" w:cs="Times New Roman"/>
          <w:i/>
          <w:iCs/>
          <w:sz w:val="20"/>
          <w:szCs w:val="20"/>
        </w:rPr>
        <w:t>ChemCatChem</w:t>
      </w:r>
      <w:r w:rsidRPr="00ED5396">
        <w:rPr>
          <w:rFonts w:ascii="Times New Roman" w:hAnsi="Times New Roman" w:cs="Times New Roman"/>
          <w:sz w:val="20"/>
          <w:szCs w:val="20"/>
        </w:rPr>
        <w:t xml:space="preserve"> </w:t>
      </w:r>
      <w:r w:rsidRPr="00ED5396">
        <w:rPr>
          <w:rFonts w:ascii="Times New Roman" w:hAnsi="Times New Roman" w:cs="Times New Roman"/>
          <w:b/>
          <w:bCs/>
          <w:sz w:val="20"/>
          <w:szCs w:val="20"/>
        </w:rPr>
        <w:t>2014</w:t>
      </w:r>
      <w:r w:rsidRPr="00ED5396">
        <w:rPr>
          <w:rFonts w:ascii="Times New Roman" w:hAnsi="Times New Roman" w:cs="Times New Roman"/>
          <w:sz w:val="20"/>
          <w:szCs w:val="20"/>
        </w:rPr>
        <w:t xml:space="preserve">, </w:t>
      </w:r>
      <w:r w:rsidRPr="00ED5396">
        <w:rPr>
          <w:rFonts w:ascii="Times New Roman" w:hAnsi="Times New Roman" w:cs="Times New Roman"/>
          <w:i/>
          <w:iCs/>
          <w:sz w:val="20"/>
          <w:szCs w:val="20"/>
        </w:rPr>
        <w:t>6</w:t>
      </w:r>
      <w:r w:rsidRPr="00ED5396">
        <w:rPr>
          <w:rFonts w:ascii="Times New Roman" w:hAnsi="Times New Roman" w:cs="Times New Roman"/>
          <w:sz w:val="20"/>
          <w:szCs w:val="20"/>
        </w:rPr>
        <w:t>(6), 1506–1515.</w:t>
      </w:r>
    </w:p>
    <w:p w14:paraId="5D4C3DF9" w14:textId="52ECB80A" w:rsidR="0076121F" w:rsidRPr="00ED5396" w:rsidRDefault="0076121F" w:rsidP="00FB224F">
      <w:pPr>
        <w:pStyle w:val="Bibliografia"/>
        <w:jc w:val="both"/>
        <w:rPr>
          <w:rFonts w:ascii="Times New Roman" w:hAnsi="Times New Roman" w:cs="Times New Roman"/>
          <w:sz w:val="20"/>
          <w:szCs w:val="20"/>
        </w:rPr>
      </w:pPr>
      <w:r w:rsidRPr="00ED5396">
        <w:rPr>
          <w:rFonts w:ascii="Times New Roman" w:hAnsi="Times New Roman" w:cs="Times New Roman"/>
          <w:sz w:val="20"/>
          <w:szCs w:val="20"/>
        </w:rPr>
        <w:t xml:space="preserve">3. Leão Lana, E. J.; da Silva Rocha, K. A.; Kozhevnikov, I. V.; Gusevskaya, E. V. </w:t>
      </w:r>
      <w:r w:rsidRPr="00ED5396">
        <w:rPr>
          <w:rFonts w:ascii="Times New Roman" w:hAnsi="Times New Roman" w:cs="Times New Roman"/>
          <w:i/>
          <w:iCs/>
          <w:sz w:val="20"/>
          <w:szCs w:val="20"/>
        </w:rPr>
        <w:t>Journal of Molecular Catalysis A: Chemical</w:t>
      </w:r>
      <w:r w:rsidRPr="00ED5396">
        <w:rPr>
          <w:rFonts w:ascii="Times New Roman" w:hAnsi="Times New Roman" w:cs="Times New Roman"/>
          <w:sz w:val="20"/>
          <w:szCs w:val="20"/>
        </w:rPr>
        <w:t xml:space="preserve"> </w:t>
      </w:r>
      <w:r w:rsidRPr="00ED5396">
        <w:rPr>
          <w:rFonts w:ascii="Times New Roman" w:hAnsi="Times New Roman" w:cs="Times New Roman"/>
          <w:b/>
          <w:bCs/>
          <w:sz w:val="20"/>
          <w:szCs w:val="20"/>
        </w:rPr>
        <w:t>2006</w:t>
      </w:r>
      <w:r w:rsidRPr="00ED5396">
        <w:rPr>
          <w:rFonts w:ascii="Times New Roman" w:hAnsi="Times New Roman" w:cs="Times New Roman"/>
          <w:sz w:val="20"/>
          <w:szCs w:val="20"/>
        </w:rPr>
        <w:t xml:space="preserve">, </w:t>
      </w:r>
      <w:r w:rsidRPr="00ED5396">
        <w:rPr>
          <w:rFonts w:ascii="Times New Roman" w:hAnsi="Times New Roman" w:cs="Times New Roman"/>
          <w:i/>
          <w:iCs/>
          <w:sz w:val="20"/>
          <w:szCs w:val="20"/>
        </w:rPr>
        <w:t>259</w:t>
      </w:r>
      <w:r w:rsidRPr="00ED5396">
        <w:rPr>
          <w:rFonts w:ascii="Times New Roman" w:hAnsi="Times New Roman" w:cs="Times New Roman"/>
          <w:sz w:val="20"/>
          <w:szCs w:val="20"/>
        </w:rPr>
        <w:t>(1), 99–102.</w:t>
      </w:r>
    </w:p>
    <w:p w14:paraId="50F24EA6" w14:textId="041A1163"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4. </w:t>
      </w:r>
      <w:r w:rsidR="00EC3548" w:rsidRPr="00EC3548">
        <w:rPr>
          <w:rFonts w:ascii="Times New Roman" w:hAnsi="Times New Roman" w:cs="Times New Roman"/>
          <w:sz w:val="20"/>
          <w:szCs w:val="20"/>
          <w:lang w:val="en-US"/>
        </w:rPr>
        <w:t>Surburg, H. and Panten, J.</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Common Fragrance and Flavor Materials</w:t>
      </w:r>
      <w:r w:rsidRPr="00B268E5">
        <w:rPr>
          <w:rFonts w:ascii="Times New Roman" w:hAnsi="Times New Roman" w:cs="Times New Roman"/>
          <w:sz w:val="20"/>
          <w:szCs w:val="20"/>
          <w:lang w:val="en-US"/>
        </w:rPr>
        <w:t>; John Wiley &amp; Sons, Ltd, 2006; pp 177–238.</w:t>
      </w:r>
    </w:p>
    <w:p w14:paraId="7AC0244C" w14:textId="5E5D3D16"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5. Swift, K. A. D. </w:t>
      </w:r>
      <w:r w:rsidRPr="00B268E5">
        <w:rPr>
          <w:rFonts w:ascii="Times New Roman" w:hAnsi="Times New Roman" w:cs="Times New Roman"/>
          <w:i/>
          <w:iCs/>
          <w:sz w:val="20"/>
          <w:szCs w:val="20"/>
          <w:lang w:val="en-US"/>
        </w:rPr>
        <w:t>Topics in Catalysis</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2004</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27</w:t>
      </w:r>
      <w:r w:rsidRPr="00B268E5">
        <w:rPr>
          <w:rFonts w:ascii="Times New Roman" w:hAnsi="Times New Roman" w:cs="Times New Roman"/>
          <w:sz w:val="20"/>
          <w:szCs w:val="20"/>
          <w:lang w:val="en-US"/>
        </w:rPr>
        <w:t>(1), 143–155.</w:t>
      </w:r>
    </w:p>
    <w:p w14:paraId="383D6A53" w14:textId="39FD4C96"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6. Malkar, R. S.; Yadav, G. D. </w:t>
      </w:r>
      <w:r w:rsidRPr="00B268E5">
        <w:rPr>
          <w:rFonts w:ascii="Times New Roman" w:hAnsi="Times New Roman" w:cs="Times New Roman"/>
          <w:i/>
          <w:iCs/>
          <w:sz w:val="20"/>
          <w:szCs w:val="20"/>
          <w:lang w:val="en-US"/>
        </w:rPr>
        <w:t>Current Catalysis</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9</w:t>
      </w:r>
      <w:r w:rsidRPr="00B268E5">
        <w:rPr>
          <w:rFonts w:ascii="Times New Roman" w:hAnsi="Times New Roman" w:cs="Times New Roman"/>
          <w:sz w:val="20"/>
          <w:szCs w:val="20"/>
          <w:lang w:val="en-US"/>
        </w:rPr>
        <w:t>(1), 32–58.</w:t>
      </w:r>
    </w:p>
    <w:p w14:paraId="2724CF97" w14:textId="456FD6EE"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7. Kozhevnikov, I. V. </w:t>
      </w:r>
      <w:r w:rsidRPr="00B268E5">
        <w:rPr>
          <w:rFonts w:ascii="Times New Roman" w:hAnsi="Times New Roman" w:cs="Times New Roman"/>
          <w:i/>
          <w:iCs/>
          <w:sz w:val="20"/>
          <w:szCs w:val="20"/>
          <w:lang w:val="en-US"/>
        </w:rPr>
        <w:t>Journal of Molecular Catalysis A: Chemical</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2007</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262</w:t>
      </w:r>
      <w:r w:rsidRPr="00B268E5">
        <w:rPr>
          <w:rFonts w:ascii="Times New Roman" w:hAnsi="Times New Roman" w:cs="Times New Roman"/>
          <w:sz w:val="20"/>
          <w:szCs w:val="20"/>
          <w:lang w:val="en-US"/>
        </w:rPr>
        <w:t>(1), 86–92.</w:t>
      </w:r>
    </w:p>
    <w:p w14:paraId="4A3C9ABD" w14:textId="6E954A64"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8. Hanif, M. A.; Nisar, S.; Rashid, U. </w:t>
      </w:r>
      <w:r w:rsidRPr="00B268E5">
        <w:rPr>
          <w:rFonts w:ascii="Times New Roman" w:hAnsi="Times New Roman" w:cs="Times New Roman"/>
          <w:i/>
          <w:iCs/>
          <w:sz w:val="20"/>
          <w:szCs w:val="20"/>
          <w:lang w:val="en-US"/>
        </w:rPr>
        <w:t>Catalysis Reviews</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2017</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59</w:t>
      </w:r>
      <w:r w:rsidRPr="00B268E5">
        <w:rPr>
          <w:rFonts w:ascii="Times New Roman" w:hAnsi="Times New Roman" w:cs="Times New Roman"/>
          <w:sz w:val="20"/>
          <w:szCs w:val="20"/>
          <w:lang w:val="en-US"/>
        </w:rPr>
        <w:t>(2), 165–188.</w:t>
      </w:r>
    </w:p>
    <w:p w14:paraId="1209180F" w14:textId="7053C7AD"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9. Byrne, F. P.; Jin, S.; Paggiola, G.; Petchey, T. H. M.; Clark, J. H.; Farmer, T. J.; et al. </w:t>
      </w:r>
      <w:r w:rsidRPr="00B268E5">
        <w:rPr>
          <w:rFonts w:ascii="Times New Roman" w:hAnsi="Times New Roman" w:cs="Times New Roman"/>
          <w:i/>
          <w:iCs/>
          <w:sz w:val="20"/>
          <w:szCs w:val="20"/>
          <w:lang w:val="en-US"/>
        </w:rPr>
        <w:t>Sustainable Chemical Processes</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2016</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4</w:t>
      </w:r>
      <w:r w:rsidRPr="00B268E5">
        <w:rPr>
          <w:rFonts w:ascii="Times New Roman" w:hAnsi="Times New Roman" w:cs="Times New Roman"/>
          <w:sz w:val="20"/>
          <w:szCs w:val="20"/>
          <w:lang w:val="en-US"/>
        </w:rPr>
        <w:t>(1), 7.</w:t>
      </w:r>
    </w:p>
    <w:p w14:paraId="01ECB14C" w14:textId="592020AC"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10. Capello, C.; Fischer, U.; Hungerbühler, K. </w:t>
      </w:r>
      <w:r w:rsidRPr="00B268E5">
        <w:rPr>
          <w:rFonts w:ascii="Times New Roman" w:hAnsi="Times New Roman" w:cs="Times New Roman"/>
          <w:i/>
          <w:iCs/>
          <w:sz w:val="20"/>
          <w:szCs w:val="20"/>
          <w:lang w:val="en-US"/>
        </w:rPr>
        <w:t>Green Chemistry</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2007</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9</w:t>
      </w:r>
      <w:r w:rsidRPr="00B268E5">
        <w:rPr>
          <w:rFonts w:ascii="Times New Roman" w:hAnsi="Times New Roman" w:cs="Times New Roman"/>
          <w:sz w:val="20"/>
          <w:szCs w:val="20"/>
          <w:lang w:val="en-US"/>
        </w:rPr>
        <w:t>(9), 927–934.</w:t>
      </w:r>
    </w:p>
    <w:p w14:paraId="705A6CC6" w14:textId="409244D2"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11. Alder, C. M.; Hayler, J. D.; Henderson, R. K.; Redman, A. M.; Shukla, L.; Shuster, L. E.; et al. </w:t>
      </w:r>
      <w:r w:rsidRPr="00B268E5">
        <w:rPr>
          <w:rFonts w:ascii="Times New Roman" w:hAnsi="Times New Roman" w:cs="Times New Roman"/>
          <w:i/>
          <w:iCs/>
          <w:sz w:val="20"/>
          <w:szCs w:val="20"/>
          <w:lang w:val="en-US"/>
        </w:rPr>
        <w:t>Green Chemistry</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2016</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18</w:t>
      </w:r>
      <w:r w:rsidRPr="00B268E5">
        <w:rPr>
          <w:rFonts w:ascii="Times New Roman" w:hAnsi="Times New Roman" w:cs="Times New Roman"/>
          <w:sz w:val="20"/>
          <w:szCs w:val="20"/>
          <w:lang w:val="en-US"/>
        </w:rPr>
        <w:t>(13), 3879–3890.</w:t>
      </w:r>
    </w:p>
    <w:p w14:paraId="580BE2AA" w14:textId="4666FA11" w:rsidR="0076121F" w:rsidRPr="00B268E5"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12. Izumi, Y.; Ono, M.; Kitagawa, M.; Yoshida, M.; Urabe, K. </w:t>
      </w:r>
      <w:r w:rsidRPr="00B268E5">
        <w:rPr>
          <w:rFonts w:ascii="Times New Roman" w:hAnsi="Times New Roman" w:cs="Times New Roman"/>
          <w:i/>
          <w:iCs/>
          <w:sz w:val="20"/>
          <w:szCs w:val="20"/>
          <w:lang w:val="en-US"/>
        </w:rPr>
        <w:t>Microporous Materials</w:t>
      </w:r>
      <w:r w:rsidRPr="00B268E5">
        <w:rPr>
          <w:rFonts w:ascii="Times New Roman" w:hAnsi="Times New Roman" w:cs="Times New Roman"/>
          <w:sz w:val="20"/>
          <w:szCs w:val="20"/>
          <w:lang w:val="en-US"/>
        </w:rPr>
        <w:t xml:space="preserve"> </w:t>
      </w:r>
      <w:r w:rsidRPr="00B268E5">
        <w:rPr>
          <w:rFonts w:ascii="Times New Roman" w:hAnsi="Times New Roman" w:cs="Times New Roman"/>
          <w:b/>
          <w:bCs/>
          <w:sz w:val="20"/>
          <w:szCs w:val="20"/>
          <w:lang w:val="en-US"/>
        </w:rPr>
        <w:t>1995</w:t>
      </w:r>
      <w:r w:rsidRPr="00B268E5">
        <w:rPr>
          <w:rFonts w:ascii="Times New Roman" w:hAnsi="Times New Roman" w:cs="Times New Roman"/>
          <w:sz w:val="20"/>
          <w:szCs w:val="20"/>
          <w:lang w:val="en-US"/>
        </w:rPr>
        <w:t xml:space="preserve">, </w:t>
      </w:r>
      <w:r w:rsidRPr="00B268E5">
        <w:rPr>
          <w:rFonts w:ascii="Times New Roman" w:hAnsi="Times New Roman" w:cs="Times New Roman"/>
          <w:i/>
          <w:iCs/>
          <w:sz w:val="20"/>
          <w:szCs w:val="20"/>
          <w:lang w:val="en-US"/>
        </w:rPr>
        <w:t>5</w:t>
      </w:r>
      <w:r w:rsidRPr="00B268E5">
        <w:rPr>
          <w:rFonts w:ascii="Times New Roman" w:hAnsi="Times New Roman" w:cs="Times New Roman"/>
          <w:sz w:val="20"/>
          <w:szCs w:val="20"/>
          <w:lang w:val="en-US"/>
        </w:rPr>
        <w:t>(4), 255–262.</w:t>
      </w:r>
    </w:p>
    <w:p w14:paraId="5B03728A" w14:textId="7794267B" w:rsidR="0076121F" w:rsidRPr="00ED5396" w:rsidRDefault="0076121F" w:rsidP="00FB224F">
      <w:pPr>
        <w:pStyle w:val="Bibliografia"/>
        <w:jc w:val="both"/>
        <w:rPr>
          <w:rFonts w:ascii="Times New Roman" w:hAnsi="Times New Roman" w:cs="Times New Roman"/>
          <w:sz w:val="20"/>
          <w:szCs w:val="20"/>
          <w:lang w:val="en-US"/>
        </w:rPr>
      </w:pPr>
      <w:r w:rsidRPr="00B268E5">
        <w:rPr>
          <w:rFonts w:ascii="Times New Roman" w:hAnsi="Times New Roman" w:cs="Times New Roman"/>
          <w:sz w:val="20"/>
          <w:szCs w:val="20"/>
          <w:lang w:val="en-US"/>
        </w:rPr>
        <w:t xml:space="preserve">13. Vaičiulytė, V.; Ložienė, K.; Švedienė, J.; Raudonienė, V.; Paškevičius, A. </w:t>
      </w:r>
      <w:r w:rsidRPr="00ED5396">
        <w:rPr>
          <w:rFonts w:ascii="Times New Roman" w:hAnsi="Times New Roman" w:cs="Times New Roman"/>
          <w:i/>
          <w:iCs/>
          <w:sz w:val="20"/>
          <w:szCs w:val="20"/>
          <w:lang w:val="en-US"/>
        </w:rPr>
        <w:t>Molecules</w:t>
      </w:r>
      <w:r w:rsidRPr="00ED5396">
        <w:rPr>
          <w:rFonts w:ascii="Times New Roman" w:hAnsi="Times New Roman" w:cs="Times New Roman"/>
          <w:sz w:val="20"/>
          <w:szCs w:val="20"/>
          <w:lang w:val="en-US"/>
        </w:rPr>
        <w:t xml:space="preserve"> </w:t>
      </w:r>
      <w:r w:rsidRPr="00ED5396">
        <w:rPr>
          <w:rFonts w:ascii="Times New Roman" w:hAnsi="Times New Roman" w:cs="Times New Roman"/>
          <w:b/>
          <w:bCs/>
          <w:sz w:val="20"/>
          <w:szCs w:val="20"/>
          <w:lang w:val="en-US"/>
        </w:rPr>
        <w:t>2021</w:t>
      </w:r>
      <w:r w:rsidRPr="00ED5396">
        <w:rPr>
          <w:rFonts w:ascii="Times New Roman" w:hAnsi="Times New Roman" w:cs="Times New Roman"/>
          <w:sz w:val="20"/>
          <w:szCs w:val="20"/>
          <w:lang w:val="en-US"/>
        </w:rPr>
        <w:t xml:space="preserve">, </w:t>
      </w:r>
      <w:r w:rsidRPr="00ED5396">
        <w:rPr>
          <w:rFonts w:ascii="Times New Roman" w:hAnsi="Times New Roman" w:cs="Times New Roman"/>
          <w:i/>
          <w:iCs/>
          <w:sz w:val="20"/>
          <w:szCs w:val="20"/>
          <w:lang w:val="en-US"/>
        </w:rPr>
        <w:t>26</w:t>
      </w:r>
      <w:r w:rsidRPr="00ED5396">
        <w:rPr>
          <w:rFonts w:ascii="Times New Roman" w:hAnsi="Times New Roman" w:cs="Times New Roman"/>
          <w:sz w:val="20"/>
          <w:szCs w:val="20"/>
          <w:lang w:val="en-US"/>
        </w:rPr>
        <w:t>(4), 1065.</w:t>
      </w:r>
    </w:p>
    <w:p w14:paraId="4645AC81" w14:textId="79F7AB4C" w:rsidR="000C0C2B" w:rsidRPr="00ED5396" w:rsidRDefault="000C0C2B" w:rsidP="000C0C2B">
      <w:pPr>
        <w:rPr>
          <w:sz w:val="20"/>
          <w:szCs w:val="20"/>
          <w:lang w:val="en-US"/>
        </w:rPr>
      </w:pPr>
    </w:p>
    <w:p w14:paraId="40EA2CA3" w14:textId="77777777" w:rsidR="00365751" w:rsidRPr="0045400E" w:rsidRDefault="00DC4170" w:rsidP="0076121F">
      <w:pPr>
        <w:pStyle w:val="TAMainText"/>
        <w:spacing w:after="100" w:line="240" w:lineRule="auto"/>
        <w:rPr>
          <w:rFonts w:ascii="Times New Roman" w:hAnsi="Times New Roman"/>
        </w:rPr>
        <w:sectPr w:rsidR="00365751" w:rsidRPr="0045400E" w:rsidSect="00A84828">
          <w:type w:val="continuous"/>
          <w:pgSz w:w="11906" w:h="16838"/>
          <w:pgMar w:top="1134" w:right="851" w:bottom="851" w:left="851" w:header="709" w:footer="709" w:gutter="0"/>
          <w:cols w:num="2" w:space="708"/>
          <w:docGrid w:linePitch="360"/>
        </w:sectPr>
      </w:pPr>
      <w:r w:rsidRPr="00363ADB">
        <w:rPr>
          <w:rFonts w:ascii="Times New Roman" w:hAnsi="Times New Roman"/>
          <w:lang w:val="pt-BR"/>
        </w:rPr>
        <w:fldChar w:fldCharType="end"/>
      </w:r>
    </w:p>
    <w:p w14:paraId="5EBE1C35" w14:textId="094DCB5D" w:rsidR="000C0C2B" w:rsidRPr="00ED5396" w:rsidRDefault="000C0C2B" w:rsidP="000C0C2B">
      <w:pPr>
        <w:pStyle w:val="TAMainText"/>
        <w:spacing w:after="100" w:line="240" w:lineRule="auto"/>
        <w:ind w:firstLine="0"/>
        <w:rPr>
          <w:rFonts w:ascii="Times New Roman" w:hAnsi="Times New Roman"/>
        </w:rPr>
        <w:sectPr w:rsidR="000C0C2B" w:rsidRPr="00ED5396" w:rsidSect="00A84828">
          <w:type w:val="continuous"/>
          <w:pgSz w:w="11906" w:h="16838"/>
          <w:pgMar w:top="1134" w:right="851" w:bottom="851" w:left="851" w:header="709" w:footer="709" w:gutter="0"/>
          <w:cols w:num="2" w:space="708"/>
          <w:docGrid w:linePitch="360"/>
        </w:sectPr>
      </w:pPr>
    </w:p>
    <w:p w14:paraId="58716424" w14:textId="77777777" w:rsidR="007B4B2B" w:rsidRPr="00ED5396" w:rsidRDefault="007B4B2B" w:rsidP="00A01BB1">
      <w:pPr>
        <w:rPr>
          <w:lang w:val="en-US"/>
        </w:rPr>
      </w:pPr>
    </w:p>
    <w:sectPr w:rsidR="007B4B2B" w:rsidRPr="00ED5396" w:rsidSect="00A84828">
      <w:type w:val="continuous"/>
      <w:pgSz w:w="11906" w:h="16838"/>
      <w:pgMar w:top="1134" w:right="851" w:bottom="851" w:left="85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3F24" w14:textId="77777777" w:rsidR="002F2026" w:rsidRDefault="002F2026" w:rsidP="00EA4E1B">
      <w:pPr>
        <w:spacing w:after="0" w:line="240" w:lineRule="auto"/>
      </w:pPr>
      <w:r>
        <w:separator/>
      </w:r>
    </w:p>
  </w:endnote>
  <w:endnote w:type="continuationSeparator" w:id="0">
    <w:p w14:paraId="111EEE23" w14:textId="77777777" w:rsidR="002F2026" w:rsidRDefault="002F202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774F" w14:textId="77777777" w:rsidR="002F2026" w:rsidRDefault="002F2026" w:rsidP="00EA4E1B">
      <w:pPr>
        <w:spacing w:after="0" w:line="240" w:lineRule="auto"/>
      </w:pPr>
      <w:r>
        <w:separator/>
      </w:r>
    </w:p>
  </w:footnote>
  <w:footnote w:type="continuationSeparator" w:id="0">
    <w:p w14:paraId="23B04B8E" w14:textId="77777777" w:rsidR="002F2026" w:rsidRDefault="002F202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72753C" w:rsidRDefault="0072753C" w:rsidP="00EA4E1B">
    <w:pPr>
      <w:pStyle w:val="Cabealho"/>
      <w:jc w:val="center"/>
    </w:pPr>
    <w:r>
      <w:rPr>
        <w:noProof/>
        <w:lang w:eastAsia="pt-BR"/>
      </w:rPr>
      <w:drawing>
        <wp:inline distT="0" distB="0" distL="0" distR="0" wp14:anchorId="128B8774" wp14:editId="6C5718AB">
          <wp:extent cx="1524000" cy="10493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5" name="Imagem 5"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16cid:durableId="18876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1264A"/>
    <w:rsid w:val="000205A9"/>
    <w:rsid w:val="000327B5"/>
    <w:rsid w:val="00061A72"/>
    <w:rsid w:val="0007601E"/>
    <w:rsid w:val="00082E91"/>
    <w:rsid w:val="0008766F"/>
    <w:rsid w:val="000C0C2B"/>
    <w:rsid w:val="000D6582"/>
    <w:rsid w:val="000D70F8"/>
    <w:rsid w:val="000F1D24"/>
    <w:rsid w:val="000F4726"/>
    <w:rsid w:val="001045BE"/>
    <w:rsid w:val="001218BF"/>
    <w:rsid w:val="00130A6F"/>
    <w:rsid w:val="00134B0F"/>
    <w:rsid w:val="00155E8A"/>
    <w:rsid w:val="00156F14"/>
    <w:rsid w:val="001734D5"/>
    <w:rsid w:val="0017778D"/>
    <w:rsid w:val="001959E9"/>
    <w:rsid w:val="0019670E"/>
    <w:rsid w:val="001A7C35"/>
    <w:rsid w:val="001B4467"/>
    <w:rsid w:val="001C29B8"/>
    <w:rsid w:val="001E58A9"/>
    <w:rsid w:val="001E65F9"/>
    <w:rsid w:val="001F25B2"/>
    <w:rsid w:val="002055B7"/>
    <w:rsid w:val="00205B7D"/>
    <w:rsid w:val="00222230"/>
    <w:rsid w:val="00245CC1"/>
    <w:rsid w:val="00255FB7"/>
    <w:rsid w:val="00284E2C"/>
    <w:rsid w:val="00285327"/>
    <w:rsid w:val="002908B7"/>
    <w:rsid w:val="002D08B3"/>
    <w:rsid w:val="002D79BF"/>
    <w:rsid w:val="002E481C"/>
    <w:rsid w:val="002E5241"/>
    <w:rsid w:val="002F2026"/>
    <w:rsid w:val="002F3F72"/>
    <w:rsid w:val="00310006"/>
    <w:rsid w:val="0031112D"/>
    <w:rsid w:val="00340B1E"/>
    <w:rsid w:val="00342046"/>
    <w:rsid w:val="003441D9"/>
    <w:rsid w:val="00350094"/>
    <w:rsid w:val="00353683"/>
    <w:rsid w:val="00363ADB"/>
    <w:rsid w:val="00365751"/>
    <w:rsid w:val="003B7AB8"/>
    <w:rsid w:val="00402333"/>
    <w:rsid w:val="00402F3E"/>
    <w:rsid w:val="0043191D"/>
    <w:rsid w:val="00436C2C"/>
    <w:rsid w:val="0045400E"/>
    <w:rsid w:val="00455EA9"/>
    <w:rsid w:val="00497DD1"/>
    <w:rsid w:val="004A22D2"/>
    <w:rsid w:val="004C1ED7"/>
    <w:rsid w:val="004C6215"/>
    <w:rsid w:val="004D4B3A"/>
    <w:rsid w:val="004E2E7F"/>
    <w:rsid w:val="004F1D89"/>
    <w:rsid w:val="004F3E69"/>
    <w:rsid w:val="004F3F42"/>
    <w:rsid w:val="005027E8"/>
    <w:rsid w:val="0052112E"/>
    <w:rsid w:val="00561BE9"/>
    <w:rsid w:val="00561FBA"/>
    <w:rsid w:val="00571C97"/>
    <w:rsid w:val="00574906"/>
    <w:rsid w:val="00596189"/>
    <w:rsid w:val="005969EE"/>
    <w:rsid w:val="005A01D7"/>
    <w:rsid w:val="005A35A2"/>
    <w:rsid w:val="005A7EE2"/>
    <w:rsid w:val="005B05B5"/>
    <w:rsid w:val="005C2775"/>
    <w:rsid w:val="005D5C71"/>
    <w:rsid w:val="005D65EB"/>
    <w:rsid w:val="005D6E1F"/>
    <w:rsid w:val="005F5E48"/>
    <w:rsid w:val="00601776"/>
    <w:rsid w:val="00604718"/>
    <w:rsid w:val="00610785"/>
    <w:rsid w:val="00610AC0"/>
    <w:rsid w:val="00621070"/>
    <w:rsid w:val="00635F99"/>
    <w:rsid w:val="006377AF"/>
    <w:rsid w:val="006402A6"/>
    <w:rsid w:val="00652815"/>
    <w:rsid w:val="00671E46"/>
    <w:rsid w:val="0068125C"/>
    <w:rsid w:val="006A062A"/>
    <w:rsid w:val="006C3B0C"/>
    <w:rsid w:val="006D0B2A"/>
    <w:rsid w:val="006D6E29"/>
    <w:rsid w:val="006E40B9"/>
    <w:rsid w:val="006F278C"/>
    <w:rsid w:val="006F599B"/>
    <w:rsid w:val="00700524"/>
    <w:rsid w:val="0072251E"/>
    <w:rsid w:val="0072753C"/>
    <w:rsid w:val="00733D11"/>
    <w:rsid w:val="00747DC9"/>
    <w:rsid w:val="00756C99"/>
    <w:rsid w:val="0076121F"/>
    <w:rsid w:val="007670A0"/>
    <w:rsid w:val="00776E8A"/>
    <w:rsid w:val="00781304"/>
    <w:rsid w:val="00781685"/>
    <w:rsid w:val="007A4E72"/>
    <w:rsid w:val="007A5745"/>
    <w:rsid w:val="007A75FD"/>
    <w:rsid w:val="007B4B2B"/>
    <w:rsid w:val="007D104B"/>
    <w:rsid w:val="007D6A73"/>
    <w:rsid w:val="007E0A53"/>
    <w:rsid w:val="007E18BC"/>
    <w:rsid w:val="007E36FC"/>
    <w:rsid w:val="007E60EF"/>
    <w:rsid w:val="008076D3"/>
    <w:rsid w:val="00832F77"/>
    <w:rsid w:val="00866822"/>
    <w:rsid w:val="008740BD"/>
    <w:rsid w:val="008B1683"/>
    <w:rsid w:val="008C1B30"/>
    <w:rsid w:val="008D1533"/>
    <w:rsid w:val="008D15B1"/>
    <w:rsid w:val="008F11D9"/>
    <w:rsid w:val="00901F0C"/>
    <w:rsid w:val="0091450D"/>
    <w:rsid w:val="00916E68"/>
    <w:rsid w:val="0092137B"/>
    <w:rsid w:val="00953315"/>
    <w:rsid w:val="009615F9"/>
    <w:rsid w:val="00962EAF"/>
    <w:rsid w:val="009635C7"/>
    <w:rsid w:val="00964CF0"/>
    <w:rsid w:val="009656D9"/>
    <w:rsid w:val="00976BB4"/>
    <w:rsid w:val="00977CD5"/>
    <w:rsid w:val="00984EDD"/>
    <w:rsid w:val="00995834"/>
    <w:rsid w:val="009B5497"/>
    <w:rsid w:val="009B6233"/>
    <w:rsid w:val="009C7CB0"/>
    <w:rsid w:val="009D183A"/>
    <w:rsid w:val="009E18D1"/>
    <w:rsid w:val="00A009F4"/>
    <w:rsid w:val="00A01BB1"/>
    <w:rsid w:val="00A17D85"/>
    <w:rsid w:val="00A34EE5"/>
    <w:rsid w:val="00A53C20"/>
    <w:rsid w:val="00A54C6A"/>
    <w:rsid w:val="00A74B13"/>
    <w:rsid w:val="00A84828"/>
    <w:rsid w:val="00A87CE8"/>
    <w:rsid w:val="00AA182E"/>
    <w:rsid w:val="00AA4D6D"/>
    <w:rsid w:val="00AA74E7"/>
    <w:rsid w:val="00AC7868"/>
    <w:rsid w:val="00AE4396"/>
    <w:rsid w:val="00AF0400"/>
    <w:rsid w:val="00B005AA"/>
    <w:rsid w:val="00B056BA"/>
    <w:rsid w:val="00B05CC3"/>
    <w:rsid w:val="00B13B1D"/>
    <w:rsid w:val="00B268E5"/>
    <w:rsid w:val="00B30AEB"/>
    <w:rsid w:val="00B4206E"/>
    <w:rsid w:val="00B4521D"/>
    <w:rsid w:val="00B46BA6"/>
    <w:rsid w:val="00B54EDA"/>
    <w:rsid w:val="00B572A6"/>
    <w:rsid w:val="00B60248"/>
    <w:rsid w:val="00B65C40"/>
    <w:rsid w:val="00B70571"/>
    <w:rsid w:val="00B976CE"/>
    <w:rsid w:val="00BA6A6E"/>
    <w:rsid w:val="00BB56A2"/>
    <w:rsid w:val="00BD1FCC"/>
    <w:rsid w:val="00BD615D"/>
    <w:rsid w:val="00C078DC"/>
    <w:rsid w:val="00C24870"/>
    <w:rsid w:val="00C55185"/>
    <w:rsid w:val="00C70C08"/>
    <w:rsid w:val="00C76E54"/>
    <w:rsid w:val="00C804D4"/>
    <w:rsid w:val="00C81726"/>
    <w:rsid w:val="00C81F96"/>
    <w:rsid w:val="00C95DF7"/>
    <w:rsid w:val="00CA1015"/>
    <w:rsid w:val="00CA7BF6"/>
    <w:rsid w:val="00CB0BAD"/>
    <w:rsid w:val="00CC21D0"/>
    <w:rsid w:val="00CC431C"/>
    <w:rsid w:val="00CD18C5"/>
    <w:rsid w:val="00CD243C"/>
    <w:rsid w:val="00CE5C30"/>
    <w:rsid w:val="00CF454D"/>
    <w:rsid w:val="00D03204"/>
    <w:rsid w:val="00D0572D"/>
    <w:rsid w:val="00D20804"/>
    <w:rsid w:val="00D3441D"/>
    <w:rsid w:val="00D37BD0"/>
    <w:rsid w:val="00D6782B"/>
    <w:rsid w:val="00D67C41"/>
    <w:rsid w:val="00D84848"/>
    <w:rsid w:val="00D859CB"/>
    <w:rsid w:val="00D96135"/>
    <w:rsid w:val="00DB05AC"/>
    <w:rsid w:val="00DB744B"/>
    <w:rsid w:val="00DC4170"/>
    <w:rsid w:val="00DC6236"/>
    <w:rsid w:val="00DD5646"/>
    <w:rsid w:val="00DD5D30"/>
    <w:rsid w:val="00DF28F1"/>
    <w:rsid w:val="00DF61EF"/>
    <w:rsid w:val="00E02A21"/>
    <w:rsid w:val="00E038AF"/>
    <w:rsid w:val="00E172A5"/>
    <w:rsid w:val="00E23DB8"/>
    <w:rsid w:val="00E97275"/>
    <w:rsid w:val="00EA36B3"/>
    <w:rsid w:val="00EA4E1B"/>
    <w:rsid w:val="00EA56FF"/>
    <w:rsid w:val="00EC26E4"/>
    <w:rsid w:val="00EC3548"/>
    <w:rsid w:val="00ED5396"/>
    <w:rsid w:val="00EF139A"/>
    <w:rsid w:val="00F30178"/>
    <w:rsid w:val="00F30661"/>
    <w:rsid w:val="00F554F6"/>
    <w:rsid w:val="00F64943"/>
    <w:rsid w:val="00F65A56"/>
    <w:rsid w:val="00F744FF"/>
    <w:rsid w:val="00F877AB"/>
    <w:rsid w:val="00F90C27"/>
    <w:rsid w:val="00F917DA"/>
    <w:rsid w:val="00FA022D"/>
    <w:rsid w:val="00FB224F"/>
    <w:rsid w:val="00FB51BA"/>
    <w:rsid w:val="00FC45D1"/>
    <w:rsid w:val="00FE00A2"/>
    <w:rsid w:val="00FE11C7"/>
    <w:rsid w:val="00FF1E4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700524"/>
    <w:rPr>
      <w:color w:val="0563C1" w:themeColor="hyperlink"/>
      <w:u w:val="single"/>
    </w:rPr>
  </w:style>
  <w:style w:type="character" w:customStyle="1" w:styleId="MenoPendente1">
    <w:name w:val="Menção Pendente1"/>
    <w:basedOn w:val="Fontepargpadro"/>
    <w:uiPriority w:val="99"/>
    <w:semiHidden/>
    <w:unhideWhenUsed/>
    <w:rsid w:val="00700524"/>
    <w:rPr>
      <w:color w:val="605E5C"/>
      <w:shd w:val="clear" w:color="auto" w:fill="E1DFDD"/>
    </w:rPr>
  </w:style>
  <w:style w:type="table" w:styleId="Tabelacomgrade">
    <w:name w:val="Table Grid"/>
    <w:basedOn w:val="Tabelanormal"/>
    <w:uiPriority w:val="39"/>
    <w:rsid w:val="0072251E"/>
    <w:pPr>
      <w:spacing w:after="0" w:line="240" w:lineRule="auto"/>
    </w:pPr>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B4206E"/>
    <w:rPr>
      <w:sz w:val="16"/>
      <w:szCs w:val="16"/>
    </w:rPr>
  </w:style>
  <w:style w:type="paragraph" w:styleId="Textodecomentrio">
    <w:name w:val="annotation text"/>
    <w:basedOn w:val="Normal"/>
    <w:link w:val="TextodecomentrioChar"/>
    <w:uiPriority w:val="99"/>
    <w:unhideWhenUsed/>
    <w:rsid w:val="00B4206E"/>
    <w:pPr>
      <w:spacing w:line="240" w:lineRule="auto"/>
    </w:pPr>
    <w:rPr>
      <w:sz w:val="20"/>
      <w:szCs w:val="20"/>
    </w:rPr>
  </w:style>
  <w:style w:type="character" w:customStyle="1" w:styleId="TextodecomentrioChar">
    <w:name w:val="Texto de comentário Char"/>
    <w:basedOn w:val="Fontepargpadro"/>
    <w:link w:val="Textodecomentrio"/>
    <w:uiPriority w:val="99"/>
    <w:rsid w:val="00B4206E"/>
    <w:rPr>
      <w:sz w:val="20"/>
      <w:szCs w:val="20"/>
    </w:rPr>
  </w:style>
  <w:style w:type="paragraph" w:styleId="Assuntodocomentrio">
    <w:name w:val="annotation subject"/>
    <w:basedOn w:val="Textodecomentrio"/>
    <w:next w:val="Textodecomentrio"/>
    <w:link w:val="AssuntodocomentrioChar"/>
    <w:uiPriority w:val="99"/>
    <w:semiHidden/>
    <w:unhideWhenUsed/>
    <w:rsid w:val="00B4206E"/>
    <w:rPr>
      <w:b/>
      <w:bCs/>
    </w:rPr>
  </w:style>
  <w:style w:type="character" w:customStyle="1" w:styleId="AssuntodocomentrioChar">
    <w:name w:val="Assunto do comentário Char"/>
    <w:basedOn w:val="TextodecomentrioChar"/>
    <w:link w:val="Assuntodocomentrio"/>
    <w:uiPriority w:val="99"/>
    <w:semiHidden/>
    <w:rsid w:val="00B4206E"/>
    <w:rPr>
      <w:b/>
      <w:bCs/>
      <w:sz w:val="20"/>
      <w:szCs w:val="20"/>
    </w:rPr>
  </w:style>
  <w:style w:type="paragraph" w:styleId="Bibliografia">
    <w:name w:val="Bibliography"/>
    <w:basedOn w:val="Normal"/>
    <w:next w:val="Normal"/>
    <w:uiPriority w:val="37"/>
    <w:unhideWhenUsed/>
    <w:rsid w:val="00DC4170"/>
    <w:pPr>
      <w:spacing w:after="0" w:line="240" w:lineRule="auto"/>
    </w:pPr>
  </w:style>
  <w:style w:type="paragraph" w:styleId="Reviso">
    <w:name w:val="Revision"/>
    <w:hidden/>
    <w:uiPriority w:val="99"/>
    <w:semiHidden/>
    <w:rsid w:val="004C62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638693">
      <w:bodyDiv w:val="1"/>
      <w:marLeft w:val="0"/>
      <w:marRight w:val="0"/>
      <w:marTop w:val="0"/>
      <w:marBottom w:val="0"/>
      <w:divBdr>
        <w:top w:val="none" w:sz="0" w:space="0" w:color="auto"/>
        <w:left w:val="none" w:sz="0" w:space="0" w:color="auto"/>
        <w:bottom w:val="none" w:sz="0" w:space="0" w:color="auto"/>
        <w:right w:val="none" w:sz="0" w:space="0" w:color="auto"/>
      </w:divBdr>
    </w:div>
    <w:div w:id="796948726">
      <w:bodyDiv w:val="1"/>
      <w:marLeft w:val="0"/>
      <w:marRight w:val="0"/>
      <w:marTop w:val="0"/>
      <w:marBottom w:val="0"/>
      <w:divBdr>
        <w:top w:val="none" w:sz="0" w:space="0" w:color="auto"/>
        <w:left w:val="none" w:sz="0" w:space="0" w:color="auto"/>
        <w:bottom w:val="none" w:sz="0" w:space="0" w:color="auto"/>
        <w:right w:val="none" w:sz="0" w:space="0" w:color="auto"/>
      </w:divBdr>
    </w:div>
    <w:div w:id="860555065">
      <w:bodyDiv w:val="1"/>
      <w:marLeft w:val="0"/>
      <w:marRight w:val="0"/>
      <w:marTop w:val="0"/>
      <w:marBottom w:val="0"/>
      <w:divBdr>
        <w:top w:val="none" w:sz="0" w:space="0" w:color="auto"/>
        <w:left w:val="none" w:sz="0" w:space="0" w:color="auto"/>
        <w:bottom w:val="none" w:sz="0" w:space="0" w:color="auto"/>
        <w:right w:val="none" w:sz="0" w:space="0" w:color="auto"/>
      </w:divBdr>
    </w:div>
    <w:div w:id="1044210418">
      <w:bodyDiv w:val="1"/>
      <w:marLeft w:val="0"/>
      <w:marRight w:val="0"/>
      <w:marTop w:val="0"/>
      <w:marBottom w:val="0"/>
      <w:divBdr>
        <w:top w:val="none" w:sz="0" w:space="0" w:color="auto"/>
        <w:left w:val="none" w:sz="0" w:space="0" w:color="auto"/>
        <w:bottom w:val="none" w:sz="0" w:space="0" w:color="auto"/>
        <w:right w:val="none" w:sz="0" w:space="0" w:color="auto"/>
      </w:divBdr>
    </w:div>
    <w:div w:id="1469014709">
      <w:bodyDiv w:val="1"/>
      <w:marLeft w:val="0"/>
      <w:marRight w:val="0"/>
      <w:marTop w:val="0"/>
      <w:marBottom w:val="0"/>
      <w:divBdr>
        <w:top w:val="none" w:sz="0" w:space="0" w:color="auto"/>
        <w:left w:val="none" w:sz="0" w:space="0" w:color="auto"/>
        <w:bottom w:val="none" w:sz="0" w:space="0" w:color="auto"/>
        <w:right w:val="none" w:sz="0" w:space="0" w:color="auto"/>
      </w:divBdr>
    </w:div>
    <w:div w:id="18854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bialataliza@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54FC-49D5-4AFD-8099-E69B3272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Pages>
  <Words>8370</Words>
  <Characters>45203</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Núbia Lataliza</cp:lastModifiedBy>
  <cp:revision>7</cp:revision>
  <dcterms:created xsi:type="dcterms:W3CDTF">2023-04-26T20:35:00Z</dcterms:created>
  <dcterms:modified xsi:type="dcterms:W3CDTF">2023-04-30T21:09:00Z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ZOTERO_PREF_1">
    <vt:lpwstr>&lt;data data-version="3" zotero-version="6.0.23"&gt;&lt;session id="vx5Ylabw"/&gt;&lt;style id="http://www.zotero.org/styles/elsevier-american-chemical-society" hasBibliography="1" bibliographyStyleHasBeenSet="1"/&gt;&lt;prefs&gt;&lt;pref name="fieldType" value="Field"/&gt;&lt;/prefs&gt;&lt;/</vt:lpwstr>
  </property>
  <property fmtid="{D5CDD505-2E9C-101B-9397-08002B2CF9AE}" pid="23" name="ZOTERO_PREF_2">
    <vt:lpwstr>data&gt;</vt:lpwstr>
  </property>
</Properties>
</file>