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1AD98E63" w:rsidR="00EA4E1B" w:rsidRPr="001F25B2" w:rsidRDefault="004159A3" w:rsidP="00EA4E1B">
      <w:pPr>
        <w:pStyle w:val="BATitle"/>
        <w:spacing w:before="240" w:line="240" w:lineRule="auto"/>
        <w:ind w:right="-11"/>
        <w:jc w:val="both"/>
        <w:rPr>
          <w:rFonts w:ascii="Times New Roman" w:hAnsi="Times New Roman"/>
          <w:sz w:val="20"/>
          <w:lang w:val="pt-BR"/>
        </w:rPr>
      </w:pPr>
      <w:r w:rsidRPr="004159A3">
        <w:rPr>
          <w:sz w:val="32"/>
          <w:lang w:val="pt-BR"/>
        </w:rPr>
        <w:t xml:space="preserve">Catalisadores </w:t>
      </w:r>
      <w:r w:rsidR="00633CF5">
        <w:rPr>
          <w:sz w:val="32"/>
          <w:lang w:val="pt-BR"/>
        </w:rPr>
        <w:t xml:space="preserve">de </w:t>
      </w:r>
      <w:proofErr w:type="spellStart"/>
      <w:r w:rsidR="00633CF5">
        <w:rPr>
          <w:sz w:val="32"/>
          <w:lang w:val="pt-BR"/>
        </w:rPr>
        <w:t>CaO</w:t>
      </w:r>
      <w:proofErr w:type="spellEnd"/>
      <w:r w:rsidR="00633CF5">
        <w:rPr>
          <w:sz w:val="32"/>
          <w:lang w:val="pt-BR"/>
        </w:rPr>
        <w:t xml:space="preserve"> </w:t>
      </w:r>
      <w:r w:rsidRPr="004159A3">
        <w:rPr>
          <w:sz w:val="32"/>
          <w:lang w:val="pt-BR"/>
        </w:rPr>
        <w:t xml:space="preserve">impregnados com La, Zn e Al versus catálise homogênea com </w:t>
      </w:r>
      <w:proofErr w:type="spellStart"/>
      <w:r w:rsidRPr="004159A3">
        <w:rPr>
          <w:sz w:val="32"/>
          <w:lang w:val="pt-BR"/>
        </w:rPr>
        <w:t>NaOH</w:t>
      </w:r>
      <w:proofErr w:type="spellEnd"/>
      <w:r w:rsidRPr="004159A3">
        <w:rPr>
          <w:sz w:val="32"/>
          <w:lang w:val="pt-BR"/>
        </w:rPr>
        <w:t xml:space="preserve">: uma análise comparativa para a produção de biodiesel </w:t>
      </w:r>
    </w:p>
    <w:p w14:paraId="7551349E" w14:textId="6DCFC8EA" w:rsidR="00662F0C" w:rsidRPr="001D5835" w:rsidRDefault="00662F0C" w:rsidP="00662F0C">
      <w:pPr>
        <w:pStyle w:val="BBAuthorName"/>
        <w:spacing w:after="120"/>
        <w:ind w:right="0"/>
        <w:jc w:val="both"/>
        <w:rPr>
          <w:rFonts w:ascii="Times New Roman" w:hAnsi="Times New Roman"/>
          <w:sz w:val="20"/>
          <w:lang w:val="pt-BR"/>
        </w:rPr>
      </w:pPr>
      <w:r>
        <w:rPr>
          <w:rFonts w:ascii="Times New Roman" w:hAnsi="Times New Roman"/>
          <w:sz w:val="20"/>
          <w:lang w:val="pt-BR"/>
        </w:rPr>
        <w:t>Gabriel M. Rodrigues</w:t>
      </w:r>
      <w:r w:rsidR="001D5835">
        <w:rPr>
          <w:rFonts w:ascii="Times New Roman" w:hAnsi="Times New Roman"/>
          <w:sz w:val="20"/>
          <w:vertAlign w:val="superscript"/>
          <w:lang w:val="pt-BR"/>
        </w:rPr>
        <w:t>1</w:t>
      </w:r>
      <w:r>
        <w:rPr>
          <w:rFonts w:ascii="Times New Roman" w:hAnsi="Times New Roman"/>
          <w:sz w:val="20"/>
          <w:lang w:val="pt-BR"/>
        </w:rPr>
        <w:t>, Stephanie C. Goveia</w:t>
      </w:r>
      <w:r w:rsidR="001D5835">
        <w:rPr>
          <w:rFonts w:ascii="Times New Roman" w:hAnsi="Times New Roman"/>
          <w:sz w:val="20"/>
          <w:vertAlign w:val="superscript"/>
          <w:lang w:val="pt-BR"/>
        </w:rPr>
        <w:t>1</w:t>
      </w:r>
      <w:r>
        <w:rPr>
          <w:rFonts w:ascii="Times New Roman" w:hAnsi="Times New Roman"/>
          <w:sz w:val="20"/>
          <w:lang w:val="pt-BR"/>
        </w:rPr>
        <w:t>, Giovana W. Paap</w:t>
      </w:r>
      <w:r w:rsidR="001D5835">
        <w:rPr>
          <w:rFonts w:ascii="Times New Roman" w:hAnsi="Times New Roman"/>
          <w:sz w:val="20"/>
          <w:vertAlign w:val="superscript"/>
          <w:lang w:val="pt-BR"/>
        </w:rPr>
        <w:t>1</w:t>
      </w:r>
      <w:r w:rsidR="001D5835">
        <w:rPr>
          <w:rFonts w:ascii="Times New Roman" w:hAnsi="Times New Roman"/>
          <w:sz w:val="20"/>
          <w:lang w:val="pt-BR"/>
        </w:rPr>
        <w:t>,</w:t>
      </w:r>
      <w:r w:rsidR="001D5835" w:rsidRPr="001D5835">
        <w:rPr>
          <w:rFonts w:ascii="Times New Roman" w:hAnsi="Times New Roman"/>
          <w:sz w:val="20"/>
          <w:lang w:val="pt-BR"/>
        </w:rPr>
        <w:t xml:space="preserve"> </w:t>
      </w:r>
      <w:r w:rsidR="001D5835">
        <w:rPr>
          <w:rFonts w:ascii="Times New Roman" w:hAnsi="Times New Roman"/>
          <w:sz w:val="20"/>
          <w:lang w:val="pt-BR"/>
        </w:rPr>
        <w:t>Pedro J. Sanches Filho</w:t>
      </w:r>
      <w:r w:rsidR="001D5835">
        <w:rPr>
          <w:rFonts w:ascii="Times New Roman" w:hAnsi="Times New Roman"/>
          <w:sz w:val="20"/>
          <w:vertAlign w:val="superscript"/>
          <w:lang w:val="pt-BR"/>
        </w:rPr>
        <w:t>2</w:t>
      </w:r>
      <w:r w:rsidR="001D5835">
        <w:rPr>
          <w:rFonts w:ascii="Times New Roman" w:hAnsi="Times New Roman"/>
          <w:sz w:val="20"/>
          <w:lang w:val="pt-BR"/>
        </w:rPr>
        <w:t xml:space="preserve"> e Camila O. Calgaro</w:t>
      </w:r>
      <w:proofErr w:type="gramStart"/>
      <w:r w:rsidR="001D5835" w:rsidRPr="001F25B2">
        <w:rPr>
          <w:rFonts w:ascii="Times New Roman" w:hAnsi="Times New Roman"/>
          <w:sz w:val="20"/>
          <w:vertAlign w:val="superscript"/>
          <w:lang w:val="pt-BR"/>
        </w:rPr>
        <w:t>1</w:t>
      </w:r>
      <w:r w:rsidR="001D5835">
        <w:rPr>
          <w:rFonts w:ascii="Times New Roman" w:hAnsi="Times New Roman"/>
          <w:sz w:val="20"/>
          <w:vertAlign w:val="superscript"/>
          <w:lang w:val="pt-BR"/>
        </w:rPr>
        <w:t>,*</w:t>
      </w:r>
      <w:proofErr w:type="gramEnd"/>
      <w:r w:rsidR="001D5835">
        <w:rPr>
          <w:rFonts w:ascii="Times New Roman" w:hAnsi="Times New Roman"/>
          <w:sz w:val="20"/>
          <w:lang w:val="pt-BR"/>
        </w:rPr>
        <w:t>.</w:t>
      </w:r>
    </w:p>
    <w:bookmarkEnd w:id="0"/>
    <w:p w14:paraId="0E724081" w14:textId="77777777" w:rsidR="001D5835" w:rsidRPr="00925B68" w:rsidRDefault="001D5835" w:rsidP="001D5835">
      <w:pPr>
        <w:pStyle w:val="BCAuthorAddress"/>
        <w:ind w:right="39"/>
        <w:rPr>
          <w:lang w:val="pt-BR"/>
        </w:rPr>
      </w:pPr>
      <w:r w:rsidRPr="00925B68">
        <w:rPr>
          <w:vertAlign w:val="superscript"/>
          <w:lang w:val="pt-BR"/>
        </w:rPr>
        <w:t>1</w:t>
      </w:r>
      <w:r w:rsidRPr="00925B68">
        <w:rPr>
          <w:lang w:val="pt-BR"/>
        </w:rPr>
        <w:t>Coordenação de Engenharia Química, Instituto Federal Sul-Rio-Grandense, Campus</w:t>
      </w:r>
      <w:r>
        <w:rPr>
          <w:lang w:val="pt-BR"/>
        </w:rPr>
        <w:t xml:space="preserve"> </w:t>
      </w:r>
      <w:r w:rsidRPr="00925B68">
        <w:rPr>
          <w:lang w:val="pt-BR"/>
        </w:rPr>
        <w:t>Pelotas, RS, Brasil.</w:t>
      </w:r>
    </w:p>
    <w:p w14:paraId="5021457E" w14:textId="77777777" w:rsidR="001D5835" w:rsidRDefault="001D5835" w:rsidP="001D5835">
      <w:pPr>
        <w:pStyle w:val="BCAuthorAddress"/>
        <w:ind w:right="39"/>
        <w:rPr>
          <w:rFonts w:asciiTheme="minorHAnsi" w:eastAsiaTheme="minorEastAsia" w:hAnsiTheme="minorHAnsi" w:cstheme="minorBidi"/>
          <w:i w:val="0"/>
          <w:sz w:val="21"/>
          <w:szCs w:val="21"/>
          <w:vertAlign w:val="superscript"/>
          <w:lang w:val="pt-BR" w:eastAsia="en-US"/>
        </w:rPr>
      </w:pPr>
      <w:r w:rsidRPr="00925B68">
        <w:rPr>
          <w:vertAlign w:val="superscript"/>
          <w:lang w:val="pt-BR"/>
        </w:rPr>
        <w:t>2</w:t>
      </w:r>
      <w:r w:rsidRPr="00925B68">
        <w:rPr>
          <w:lang w:val="pt-BR"/>
        </w:rPr>
        <w:t>Curso Técnico em Química, Instituto Federal Sul-Rio-Grandense, Campus Pelotas, RS, Brasil.</w:t>
      </w:r>
      <w:r w:rsidRPr="00925B68">
        <w:rPr>
          <w:rFonts w:asciiTheme="minorHAnsi" w:eastAsiaTheme="minorEastAsia" w:hAnsiTheme="minorHAnsi" w:cstheme="minorBidi"/>
          <w:i w:val="0"/>
          <w:sz w:val="21"/>
          <w:szCs w:val="21"/>
          <w:vertAlign w:val="superscript"/>
          <w:lang w:val="pt-BR" w:eastAsia="en-US"/>
        </w:rPr>
        <w:t xml:space="preserve"> </w:t>
      </w:r>
    </w:p>
    <w:p w14:paraId="2773C832" w14:textId="77777777" w:rsidR="001D5835" w:rsidRPr="00925B68" w:rsidRDefault="001D5835" w:rsidP="001D5835">
      <w:pPr>
        <w:pStyle w:val="BCAuthorAddress"/>
        <w:ind w:right="39"/>
        <w:rPr>
          <w:lang w:val="pt-BR"/>
        </w:rPr>
      </w:pPr>
      <w:r w:rsidRPr="00925B68">
        <w:rPr>
          <w:vertAlign w:val="superscript"/>
          <w:lang w:val="pt-BR"/>
        </w:rPr>
        <w:t>*</w:t>
      </w:r>
      <w:r w:rsidRPr="00925B68">
        <w:rPr>
          <w:lang w:val="pt-BR"/>
        </w:rPr>
        <w:t>camilacalgaro@ifsul.edu.br</w:t>
      </w:r>
    </w:p>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19B46DE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19B46DE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1D2F725B"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90060F" w:rsidRPr="0090060F">
        <w:rPr>
          <w:rFonts w:ascii="Times New Roman" w:hAnsi="Times New Roman"/>
          <w:b w:val="0"/>
          <w:sz w:val="20"/>
          <w:lang w:val="pt-BR"/>
        </w:rPr>
        <w:t>O biodiesel é considerado uma fonte de energia alternativa e importante para uma matriz energética menos dependente de combustíveis fósseis</w:t>
      </w:r>
      <w:r w:rsidR="0090060F">
        <w:rPr>
          <w:rFonts w:ascii="Times New Roman" w:hAnsi="Times New Roman"/>
          <w:b w:val="0"/>
          <w:sz w:val="20"/>
          <w:lang w:val="pt-BR"/>
        </w:rPr>
        <w:t xml:space="preserve">. </w:t>
      </w:r>
      <w:r w:rsidR="00801B4D" w:rsidRPr="00801B4D">
        <w:rPr>
          <w:rFonts w:ascii="Times New Roman" w:hAnsi="Times New Roman"/>
          <w:b w:val="0"/>
          <w:sz w:val="20"/>
          <w:lang w:val="pt-BR"/>
        </w:rPr>
        <w:t>Neste trabalho, investig</w:t>
      </w:r>
      <w:r w:rsidR="00F56506">
        <w:rPr>
          <w:rFonts w:ascii="Times New Roman" w:hAnsi="Times New Roman"/>
          <w:b w:val="0"/>
          <w:sz w:val="20"/>
          <w:lang w:val="pt-BR"/>
        </w:rPr>
        <w:t>ou</w:t>
      </w:r>
      <w:r w:rsidR="00801B4D" w:rsidRPr="00801B4D">
        <w:rPr>
          <w:rFonts w:ascii="Times New Roman" w:hAnsi="Times New Roman"/>
          <w:b w:val="0"/>
          <w:sz w:val="20"/>
          <w:lang w:val="pt-BR"/>
        </w:rPr>
        <w:t xml:space="preserve">-se a preparação e o desempenho de catalisadores impregnados de </w:t>
      </w:r>
      <w:proofErr w:type="spellStart"/>
      <w:r w:rsidR="00801B4D" w:rsidRPr="00801B4D">
        <w:rPr>
          <w:rFonts w:ascii="Times New Roman" w:hAnsi="Times New Roman"/>
          <w:b w:val="0"/>
          <w:sz w:val="20"/>
          <w:lang w:val="pt-BR"/>
        </w:rPr>
        <w:t>CaO</w:t>
      </w:r>
      <w:proofErr w:type="spellEnd"/>
      <w:r w:rsidR="00801B4D" w:rsidRPr="00801B4D">
        <w:rPr>
          <w:rFonts w:ascii="Times New Roman" w:hAnsi="Times New Roman"/>
          <w:b w:val="0"/>
          <w:sz w:val="20"/>
          <w:lang w:val="pt-BR"/>
        </w:rPr>
        <w:t xml:space="preserve"> com La, Zn e Al para a produção de biodiesel</w:t>
      </w:r>
      <w:r w:rsidR="00F56506">
        <w:rPr>
          <w:rFonts w:ascii="Times New Roman" w:hAnsi="Times New Roman"/>
          <w:b w:val="0"/>
          <w:sz w:val="20"/>
          <w:lang w:val="pt-BR"/>
        </w:rPr>
        <w:t xml:space="preserve">. </w:t>
      </w:r>
      <w:r w:rsidR="00801B4D" w:rsidRPr="00801B4D">
        <w:rPr>
          <w:rFonts w:ascii="Times New Roman" w:hAnsi="Times New Roman"/>
          <w:b w:val="0"/>
          <w:sz w:val="20"/>
          <w:lang w:val="pt-BR"/>
        </w:rPr>
        <w:t xml:space="preserve">Os catalisadores foram preparados pelo método de impregnação úmida e suas atividades catalíticas foram avaliadas na transesterificação de óleo vegetal de fritura. Os rendimentos </w:t>
      </w:r>
      <w:r w:rsidR="00F56506" w:rsidRPr="00801B4D">
        <w:rPr>
          <w:rFonts w:ascii="Times New Roman" w:hAnsi="Times New Roman"/>
          <w:b w:val="0"/>
          <w:sz w:val="20"/>
          <w:lang w:val="pt-BR"/>
        </w:rPr>
        <w:t>d</w:t>
      </w:r>
      <w:r w:rsidR="00F56506">
        <w:rPr>
          <w:rFonts w:ascii="Times New Roman" w:hAnsi="Times New Roman"/>
          <w:b w:val="0"/>
          <w:sz w:val="20"/>
          <w:lang w:val="pt-BR"/>
        </w:rPr>
        <w:t>o</w:t>
      </w:r>
      <w:r w:rsidR="00F56506" w:rsidRPr="00801B4D">
        <w:rPr>
          <w:rFonts w:ascii="Times New Roman" w:hAnsi="Times New Roman"/>
          <w:b w:val="0"/>
          <w:sz w:val="20"/>
          <w:lang w:val="pt-BR"/>
        </w:rPr>
        <w:t xml:space="preserve"> </w:t>
      </w:r>
      <w:r w:rsidR="00801B4D" w:rsidRPr="00801B4D">
        <w:rPr>
          <w:rFonts w:ascii="Times New Roman" w:hAnsi="Times New Roman"/>
          <w:b w:val="0"/>
          <w:sz w:val="20"/>
          <w:lang w:val="pt-BR"/>
        </w:rPr>
        <w:t xml:space="preserve">biodiesel </w:t>
      </w:r>
      <w:r w:rsidR="00F56506">
        <w:rPr>
          <w:rFonts w:ascii="Times New Roman" w:hAnsi="Times New Roman"/>
          <w:b w:val="0"/>
          <w:sz w:val="20"/>
          <w:lang w:val="pt-BR"/>
        </w:rPr>
        <w:t>a partir dos</w:t>
      </w:r>
      <w:r w:rsidR="00F56506" w:rsidRPr="00801B4D">
        <w:rPr>
          <w:rFonts w:ascii="Times New Roman" w:hAnsi="Times New Roman"/>
          <w:b w:val="0"/>
          <w:sz w:val="20"/>
          <w:lang w:val="pt-BR"/>
        </w:rPr>
        <w:t xml:space="preserve"> </w:t>
      </w:r>
      <w:r w:rsidR="00801B4D" w:rsidRPr="00801B4D">
        <w:rPr>
          <w:rFonts w:ascii="Times New Roman" w:hAnsi="Times New Roman"/>
          <w:b w:val="0"/>
          <w:sz w:val="20"/>
          <w:lang w:val="pt-BR"/>
        </w:rPr>
        <w:t xml:space="preserve">catalisadores impregnados foram comparados entre si, com o catalisador </w:t>
      </w:r>
      <w:proofErr w:type="spellStart"/>
      <w:r w:rsidR="00801B4D" w:rsidRPr="00801B4D">
        <w:rPr>
          <w:rFonts w:ascii="Times New Roman" w:hAnsi="Times New Roman"/>
          <w:b w:val="0"/>
          <w:sz w:val="20"/>
          <w:lang w:val="pt-BR"/>
        </w:rPr>
        <w:t>CaO</w:t>
      </w:r>
      <w:proofErr w:type="spellEnd"/>
      <w:r w:rsidR="00801B4D" w:rsidRPr="00801B4D">
        <w:rPr>
          <w:rFonts w:ascii="Times New Roman" w:hAnsi="Times New Roman"/>
          <w:b w:val="0"/>
          <w:sz w:val="20"/>
          <w:lang w:val="pt-BR"/>
        </w:rPr>
        <w:t xml:space="preserve"> sem impregnação e com uma síntese com </w:t>
      </w:r>
      <w:proofErr w:type="spellStart"/>
      <w:r w:rsidR="00801B4D" w:rsidRPr="00801B4D">
        <w:rPr>
          <w:rFonts w:ascii="Times New Roman" w:hAnsi="Times New Roman"/>
          <w:b w:val="0"/>
          <w:sz w:val="20"/>
          <w:lang w:val="pt-BR"/>
        </w:rPr>
        <w:t>NaOH</w:t>
      </w:r>
      <w:proofErr w:type="spellEnd"/>
      <w:r w:rsidR="00801B4D" w:rsidRPr="00801B4D">
        <w:rPr>
          <w:rFonts w:ascii="Times New Roman" w:hAnsi="Times New Roman"/>
          <w:b w:val="0"/>
          <w:sz w:val="20"/>
          <w:lang w:val="pt-BR"/>
        </w:rPr>
        <w:t xml:space="preserve">. Os resultados mostraram que a síntese com </w:t>
      </w:r>
      <w:proofErr w:type="spellStart"/>
      <w:r w:rsidR="00801B4D" w:rsidRPr="00801B4D">
        <w:rPr>
          <w:rFonts w:ascii="Times New Roman" w:hAnsi="Times New Roman"/>
          <w:b w:val="0"/>
          <w:sz w:val="20"/>
          <w:lang w:val="pt-BR"/>
        </w:rPr>
        <w:t>NaOH</w:t>
      </w:r>
      <w:proofErr w:type="spellEnd"/>
      <w:r w:rsidR="00801B4D" w:rsidRPr="00801B4D">
        <w:rPr>
          <w:rFonts w:ascii="Times New Roman" w:hAnsi="Times New Roman"/>
          <w:b w:val="0"/>
          <w:sz w:val="20"/>
          <w:lang w:val="pt-BR"/>
        </w:rPr>
        <w:t xml:space="preserve"> apresentou o maior rendimento de biodiesel</w:t>
      </w:r>
      <w:r w:rsidR="007C4495">
        <w:rPr>
          <w:rFonts w:ascii="Times New Roman" w:hAnsi="Times New Roman"/>
          <w:b w:val="0"/>
          <w:sz w:val="20"/>
          <w:lang w:val="pt-BR"/>
        </w:rPr>
        <w:t xml:space="preserve"> </w:t>
      </w:r>
      <w:r w:rsidR="00F342CF">
        <w:rPr>
          <w:rFonts w:ascii="Times New Roman" w:hAnsi="Times New Roman"/>
          <w:b w:val="0"/>
          <w:sz w:val="20"/>
          <w:lang w:val="pt-BR"/>
        </w:rPr>
        <w:t>em termos de volume (</w:t>
      </w:r>
      <w:r w:rsidR="007C4495">
        <w:rPr>
          <w:rFonts w:ascii="Times New Roman" w:hAnsi="Times New Roman"/>
          <w:b w:val="0"/>
          <w:sz w:val="20"/>
          <w:lang w:val="pt-BR"/>
        </w:rPr>
        <w:t>95%</w:t>
      </w:r>
      <w:r w:rsidR="00F342CF">
        <w:rPr>
          <w:rFonts w:ascii="Times New Roman" w:hAnsi="Times New Roman"/>
          <w:b w:val="0"/>
          <w:sz w:val="20"/>
          <w:lang w:val="pt-BR"/>
        </w:rPr>
        <w:t xml:space="preserve">) e de concentração de ésteres metílicos. Mas, os catalisadores baseados em </w:t>
      </w:r>
      <w:proofErr w:type="spellStart"/>
      <w:r w:rsidR="00F342CF">
        <w:rPr>
          <w:rFonts w:ascii="Times New Roman" w:hAnsi="Times New Roman"/>
          <w:b w:val="0"/>
          <w:sz w:val="20"/>
          <w:lang w:val="pt-BR"/>
        </w:rPr>
        <w:t>CaO</w:t>
      </w:r>
      <w:proofErr w:type="spellEnd"/>
      <w:r w:rsidR="00F342CF">
        <w:rPr>
          <w:rFonts w:ascii="Times New Roman" w:hAnsi="Times New Roman"/>
          <w:b w:val="0"/>
          <w:sz w:val="20"/>
          <w:lang w:val="pt-BR"/>
        </w:rPr>
        <w:t xml:space="preserve"> apresentaram uma concentração de ésteres metílicos próxima, sendo o </w:t>
      </w:r>
      <w:proofErr w:type="spellStart"/>
      <w:r w:rsidR="00F342CF">
        <w:rPr>
          <w:rFonts w:ascii="Times New Roman" w:hAnsi="Times New Roman"/>
          <w:b w:val="0"/>
          <w:sz w:val="20"/>
          <w:lang w:val="pt-BR"/>
        </w:rPr>
        <w:t>CaO-Al</w:t>
      </w:r>
      <w:proofErr w:type="spellEnd"/>
      <w:r w:rsidR="00F342CF">
        <w:rPr>
          <w:rFonts w:ascii="Times New Roman" w:hAnsi="Times New Roman"/>
          <w:b w:val="0"/>
          <w:sz w:val="20"/>
          <w:lang w:val="pt-BR"/>
        </w:rPr>
        <w:t xml:space="preserve"> o catalisador que aprese</w:t>
      </w:r>
      <w:r w:rsidR="00FB6662">
        <w:rPr>
          <w:rFonts w:ascii="Times New Roman" w:hAnsi="Times New Roman"/>
          <w:b w:val="0"/>
          <w:sz w:val="20"/>
          <w:lang w:val="pt-BR"/>
        </w:rPr>
        <w:t xml:space="preserve">ntou uma maior concentração. Isso indica que os catalisadores baseados em </w:t>
      </w:r>
      <w:proofErr w:type="spellStart"/>
      <w:r w:rsidR="00FB6662">
        <w:rPr>
          <w:rFonts w:ascii="Times New Roman" w:hAnsi="Times New Roman"/>
          <w:b w:val="0"/>
          <w:sz w:val="20"/>
          <w:lang w:val="pt-BR"/>
        </w:rPr>
        <w:t>CaO</w:t>
      </w:r>
      <w:proofErr w:type="spellEnd"/>
      <w:r w:rsidR="00FB6662">
        <w:rPr>
          <w:rFonts w:ascii="Times New Roman" w:hAnsi="Times New Roman"/>
          <w:b w:val="0"/>
          <w:sz w:val="20"/>
          <w:lang w:val="pt-BR"/>
        </w:rPr>
        <w:t xml:space="preserve"> apresentaram boa atividade catalítica para a síntese do biodiesel e que a impregnação do Al foi positiva para o desempenho do catalisador. E, além disso evitaram as lavagens pós reação necessárias no emprego do </w:t>
      </w:r>
      <w:proofErr w:type="spellStart"/>
      <w:r w:rsidR="00FB6662">
        <w:rPr>
          <w:rFonts w:ascii="Times New Roman" w:hAnsi="Times New Roman"/>
          <w:b w:val="0"/>
          <w:sz w:val="20"/>
          <w:lang w:val="pt-BR"/>
        </w:rPr>
        <w:t>NaOH</w:t>
      </w:r>
      <w:proofErr w:type="spellEnd"/>
      <w:r w:rsidR="00FB6662">
        <w:rPr>
          <w:rFonts w:ascii="Times New Roman" w:hAnsi="Times New Roman"/>
          <w:b w:val="0"/>
          <w:sz w:val="20"/>
          <w:lang w:val="pt-BR"/>
        </w:rPr>
        <w:t>.</w:t>
      </w:r>
    </w:p>
    <w:p w14:paraId="09B41B70" w14:textId="01FF61D0" w:rsidR="00EA4E1B" w:rsidRPr="009E0D44" w:rsidRDefault="00F56506" w:rsidP="00EA4E1B">
      <w:pPr>
        <w:pStyle w:val="BDAbstract"/>
        <w:spacing w:before="0" w:after="0" w:line="240" w:lineRule="auto"/>
        <w:rPr>
          <w:rFonts w:ascii="Times New Roman" w:hAnsi="Times New Roman"/>
          <w:b w:val="0"/>
          <w:sz w:val="20"/>
          <w:lang w:val="pt-BR"/>
        </w:rPr>
      </w:pPr>
      <w:r w:rsidRPr="009E0D44">
        <w:rPr>
          <w:rFonts w:ascii="Times New Roman" w:hAnsi="Times New Roman"/>
          <w:b w:val="0"/>
          <w:i/>
          <w:sz w:val="20"/>
          <w:lang w:val="pt-BR"/>
        </w:rPr>
        <w:t>Catálise</w:t>
      </w:r>
      <w:r w:rsidR="005E0780" w:rsidRPr="009E0D44">
        <w:rPr>
          <w:rFonts w:ascii="Times New Roman" w:hAnsi="Times New Roman"/>
          <w:b w:val="0"/>
          <w:i/>
          <w:sz w:val="20"/>
          <w:lang w:val="pt-BR"/>
        </w:rPr>
        <w:t xml:space="preserve"> </w:t>
      </w:r>
      <w:r w:rsidRPr="009E0D44">
        <w:rPr>
          <w:rFonts w:ascii="Times New Roman" w:hAnsi="Times New Roman"/>
          <w:b w:val="0"/>
          <w:i/>
          <w:sz w:val="20"/>
          <w:lang w:val="pt-BR"/>
        </w:rPr>
        <w:t>h</w:t>
      </w:r>
      <w:r w:rsidR="005E0780" w:rsidRPr="009E0D44">
        <w:rPr>
          <w:rFonts w:ascii="Times New Roman" w:hAnsi="Times New Roman"/>
          <w:b w:val="0"/>
          <w:i/>
          <w:sz w:val="20"/>
          <w:lang w:val="pt-BR"/>
        </w:rPr>
        <w:t>eterogênea, Impregnação</w:t>
      </w:r>
      <w:r w:rsidRPr="009E0D44">
        <w:rPr>
          <w:rFonts w:ascii="Times New Roman" w:hAnsi="Times New Roman"/>
          <w:b w:val="0"/>
          <w:i/>
          <w:sz w:val="20"/>
          <w:lang w:val="pt-BR"/>
        </w:rPr>
        <w:t>, Biocombustível,</w:t>
      </w:r>
      <w:r>
        <w:rPr>
          <w:rFonts w:ascii="Times New Roman" w:hAnsi="Times New Roman"/>
          <w:b w:val="0"/>
          <w:i/>
          <w:sz w:val="20"/>
          <w:lang w:val="pt-BR"/>
        </w:rPr>
        <w:t xml:space="preserve"> Óleo de fritura.</w:t>
      </w:r>
    </w:p>
    <w:p w14:paraId="5D8D4445" w14:textId="11D77547" w:rsidR="00EA4E1B" w:rsidRPr="009E0D44" w:rsidRDefault="00EA4E1B" w:rsidP="00EA4E1B">
      <w:pPr>
        <w:pStyle w:val="BDAbstract"/>
        <w:spacing w:before="0" w:after="0" w:line="240" w:lineRule="auto"/>
        <w:rPr>
          <w:rFonts w:ascii="Times New Roman" w:hAnsi="Times New Roman"/>
          <w:b w:val="0"/>
          <w:sz w:val="20"/>
          <w:lang w:val="pt-BR"/>
        </w:rPr>
      </w:pPr>
    </w:p>
    <w:p w14:paraId="0F80E7D5" w14:textId="6B179CD8" w:rsidR="00EA4E1B" w:rsidRPr="00801B4D" w:rsidRDefault="00EA4E1B" w:rsidP="00EA4E1B">
      <w:pPr>
        <w:pStyle w:val="BDAbstract"/>
        <w:spacing w:before="0" w:after="0" w:line="240" w:lineRule="auto"/>
        <w:rPr>
          <w:rFonts w:ascii="Times New Roman" w:hAnsi="Times New Roman"/>
          <w:b w:val="0"/>
          <w:sz w:val="20"/>
        </w:rPr>
      </w:pPr>
      <w:r w:rsidRPr="00801B4D">
        <w:rPr>
          <w:rFonts w:ascii="Times New Roman" w:hAnsi="Times New Roman"/>
          <w:b w:val="0"/>
          <w:sz w:val="20"/>
        </w:rPr>
        <w:t xml:space="preserve">ABSTRACT - </w:t>
      </w:r>
      <w:r w:rsidR="00543FAE" w:rsidRPr="00543FAE">
        <w:rPr>
          <w:rFonts w:ascii="Times New Roman" w:hAnsi="Times New Roman"/>
          <w:b w:val="0"/>
          <w:sz w:val="20"/>
        </w:rPr>
        <w:t xml:space="preserve">Biodiesel is considered an alternative and important energy source for an energy matrix less dependent on fossil fuels. In this work, the preparation and performance of catalysts impregnated with </w:t>
      </w:r>
      <w:proofErr w:type="spellStart"/>
      <w:r w:rsidR="00543FAE" w:rsidRPr="00543FAE">
        <w:rPr>
          <w:rFonts w:ascii="Times New Roman" w:hAnsi="Times New Roman"/>
          <w:b w:val="0"/>
          <w:sz w:val="20"/>
        </w:rPr>
        <w:t>CaO</w:t>
      </w:r>
      <w:proofErr w:type="spellEnd"/>
      <w:r w:rsidR="00543FAE" w:rsidRPr="00543FAE">
        <w:rPr>
          <w:rFonts w:ascii="Times New Roman" w:hAnsi="Times New Roman"/>
          <w:b w:val="0"/>
          <w:sz w:val="20"/>
        </w:rPr>
        <w:t xml:space="preserve"> with La, Zn and Al for the production of biodiesel were investigated. The catalysts were prepared by the wet impregnation method and their catalytic activities were evaluated in the transesterification of frying vegetable oil. The biodiesel yields from the impregnated catalysts were compared with each other, with the </w:t>
      </w:r>
      <w:proofErr w:type="spellStart"/>
      <w:r w:rsidR="00543FAE" w:rsidRPr="00543FAE">
        <w:rPr>
          <w:rFonts w:ascii="Times New Roman" w:hAnsi="Times New Roman"/>
          <w:b w:val="0"/>
          <w:sz w:val="20"/>
        </w:rPr>
        <w:t>CaO</w:t>
      </w:r>
      <w:proofErr w:type="spellEnd"/>
      <w:r w:rsidR="00543FAE" w:rsidRPr="00543FAE">
        <w:rPr>
          <w:rFonts w:ascii="Times New Roman" w:hAnsi="Times New Roman"/>
          <w:b w:val="0"/>
          <w:sz w:val="20"/>
        </w:rPr>
        <w:t xml:space="preserve"> catalyst without impregnation and with a synthesis with NaOH. The results showed that the synthesis with NaOH presented the highest biodiesel yield in terms of volume (95%) and concentration of methyl esters. However, the </w:t>
      </w:r>
      <w:proofErr w:type="spellStart"/>
      <w:r w:rsidR="00543FAE" w:rsidRPr="00543FAE">
        <w:rPr>
          <w:rFonts w:ascii="Times New Roman" w:hAnsi="Times New Roman"/>
          <w:b w:val="0"/>
          <w:sz w:val="20"/>
        </w:rPr>
        <w:t>CaO</w:t>
      </w:r>
      <w:proofErr w:type="spellEnd"/>
      <w:r w:rsidR="00543FAE" w:rsidRPr="00543FAE">
        <w:rPr>
          <w:rFonts w:ascii="Times New Roman" w:hAnsi="Times New Roman"/>
          <w:b w:val="0"/>
          <w:sz w:val="20"/>
        </w:rPr>
        <w:t xml:space="preserve">-based catalysts presented a close concentration of methyl esters, with </w:t>
      </w:r>
      <w:proofErr w:type="spellStart"/>
      <w:r w:rsidR="00543FAE" w:rsidRPr="00543FAE">
        <w:rPr>
          <w:rFonts w:ascii="Times New Roman" w:hAnsi="Times New Roman"/>
          <w:b w:val="0"/>
          <w:sz w:val="20"/>
        </w:rPr>
        <w:t>CaO</w:t>
      </w:r>
      <w:proofErr w:type="spellEnd"/>
      <w:r w:rsidR="00543FAE" w:rsidRPr="00543FAE">
        <w:rPr>
          <w:rFonts w:ascii="Times New Roman" w:hAnsi="Times New Roman"/>
          <w:b w:val="0"/>
          <w:sz w:val="20"/>
        </w:rPr>
        <w:t xml:space="preserve">-Al being the catalyst that presented the highest concentration. This indicates that </w:t>
      </w:r>
      <w:proofErr w:type="spellStart"/>
      <w:r w:rsidR="00543FAE" w:rsidRPr="00543FAE">
        <w:rPr>
          <w:rFonts w:ascii="Times New Roman" w:hAnsi="Times New Roman"/>
          <w:b w:val="0"/>
          <w:sz w:val="20"/>
        </w:rPr>
        <w:t>CaO</w:t>
      </w:r>
      <w:proofErr w:type="spellEnd"/>
      <w:r w:rsidR="00543FAE" w:rsidRPr="00543FAE">
        <w:rPr>
          <w:rFonts w:ascii="Times New Roman" w:hAnsi="Times New Roman"/>
          <w:b w:val="0"/>
          <w:sz w:val="20"/>
        </w:rPr>
        <w:t>-based catalysts showed good catalytic activity for biodiesel synthesis and that Al impregnation was positive for catalyst performance. And, in addition, they avoided the post-reaction washes necessary in the use of NaOH.</w:t>
      </w:r>
    </w:p>
    <w:p w14:paraId="48D9B0C4" w14:textId="5E6ED18E" w:rsidR="00EA4E1B" w:rsidRPr="009E0D44" w:rsidRDefault="00EA4E1B" w:rsidP="007E4687">
      <w:pPr>
        <w:pStyle w:val="BDAbstract"/>
        <w:spacing w:before="0" w:after="120" w:line="240" w:lineRule="auto"/>
        <w:sectPr w:rsidR="00EA4E1B" w:rsidRPr="009E0D44" w:rsidSect="00EA4E1B">
          <w:headerReference w:type="default" r:id="rId8"/>
          <w:endnotePr>
            <w:numFmt w:val="decimal"/>
          </w:endnotePr>
          <w:pgSz w:w="11906" w:h="16838"/>
          <w:pgMar w:top="1418" w:right="1094" w:bottom="1418" w:left="567" w:header="709" w:footer="709" w:gutter="0"/>
          <w:cols w:space="708"/>
          <w:docGrid w:linePitch="360"/>
        </w:sectPr>
      </w:pPr>
      <w:r w:rsidRPr="009E0D44">
        <w:rPr>
          <w:rFonts w:ascii="Times New Roman" w:hAnsi="Times New Roman"/>
          <w:b w:val="0"/>
          <w:i/>
          <w:sz w:val="20"/>
        </w:rPr>
        <w:t xml:space="preserve">Keywords: </w:t>
      </w:r>
      <w:bookmarkEnd w:id="1"/>
      <w:r w:rsidR="00543FAE" w:rsidRPr="009E0D44">
        <w:rPr>
          <w:rFonts w:ascii="Times New Roman" w:hAnsi="Times New Roman"/>
          <w:b w:val="0"/>
          <w:i/>
          <w:sz w:val="20"/>
        </w:rPr>
        <w:t>Heterogeneous catalysis, Impregnation, Biofuel, Frying oil.</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347BCB89" w14:textId="081765AE" w:rsidR="00613197" w:rsidRDefault="00F1021A" w:rsidP="00EA4E1B">
      <w:pPr>
        <w:pStyle w:val="TAMainText"/>
        <w:rPr>
          <w:rFonts w:ascii="Times New Roman" w:hAnsi="Times New Roman"/>
          <w:lang w:val="pt-BR"/>
        </w:rPr>
      </w:pPr>
      <w:r>
        <w:rPr>
          <w:rFonts w:ascii="Times New Roman" w:hAnsi="Times New Roman"/>
          <w:lang w:val="pt-BR"/>
        </w:rPr>
        <w:t>O aumento no consumo de energia devido ao crescimento populacional e do desenvolvimento econômico, aliado a escassez de combustíveis f</w:t>
      </w:r>
      <w:r w:rsidR="00A734B5">
        <w:rPr>
          <w:rFonts w:ascii="Times New Roman" w:hAnsi="Times New Roman"/>
          <w:lang w:val="pt-BR"/>
        </w:rPr>
        <w:t>ó</w:t>
      </w:r>
      <w:r>
        <w:rPr>
          <w:rFonts w:ascii="Times New Roman" w:hAnsi="Times New Roman"/>
          <w:lang w:val="pt-BR"/>
        </w:rPr>
        <w:t>sseis</w:t>
      </w:r>
      <w:r w:rsidR="004F2121">
        <w:rPr>
          <w:rFonts w:ascii="Times New Roman" w:hAnsi="Times New Roman"/>
          <w:lang w:val="pt-BR"/>
        </w:rPr>
        <w:t xml:space="preserve">, </w:t>
      </w:r>
      <w:r>
        <w:rPr>
          <w:rFonts w:ascii="Times New Roman" w:hAnsi="Times New Roman"/>
          <w:lang w:val="pt-BR"/>
        </w:rPr>
        <w:t>vem causando um aumento no preço da energia e afeta diretamente a economia global</w:t>
      </w:r>
      <w:r w:rsidR="004F2121">
        <w:rPr>
          <w:rFonts w:ascii="Times New Roman" w:hAnsi="Times New Roman"/>
          <w:lang w:val="pt-BR"/>
        </w:rPr>
        <w:t xml:space="preserve"> (1).</w:t>
      </w:r>
      <w:r>
        <w:rPr>
          <w:rFonts w:ascii="Times New Roman" w:hAnsi="Times New Roman"/>
          <w:lang w:val="pt-BR"/>
        </w:rPr>
        <w:t xml:space="preserve"> </w:t>
      </w:r>
      <w:r w:rsidR="007707D0">
        <w:rPr>
          <w:rFonts w:ascii="Times New Roman" w:hAnsi="Times New Roman"/>
          <w:lang w:val="pt-BR"/>
        </w:rPr>
        <w:t>Isto incentiva</w:t>
      </w:r>
      <w:r>
        <w:rPr>
          <w:rFonts w:ascii="Times New Roman" w:hAnsi="Times New Roman"/>
          <w:lang w:val="pt-BR"/>
        </w:rPr>
        <w:t xml:space="preserve"> a busca por combustíveis renováveis</w:t>
      </w:r>
      <w:r w:rsidR="007707D0">
        <w:rPr>
          <w:rFonts w:ascii="Times New Roman" w:hAnsi="Times New Roman"/>
          <w:lang w:val="pt-BR"/>
        </w:rPr>
        <w:t xml:space="preserve"> como o biodiesel e o etanol.</w:t>
      </w:r>
    </w:p>
    <w:p w14:paraId="1BFD8936" w14:textId="174B3023" w:rsidR="00F1021A" w:rsidRDefault="00613197" w:rsidP="00EA4E1B">
      <w:pPr>
        <w:pStyle w:val="TAMainText"/>
        <w:rPr>
          <w:rFonts w:ascii="Times New Roman" w:hAnsi="Times New Roman"/>
          <w:lang w:val="pt-BR"/>
        </w:rPr>
      </w:pPr>
      <w:r>
        <w:rPr>
          <w:rFonts w:ascii="Times New Roman" w:hAnsi="Times New Roman"/>
          <w:lang w:val="pt-BR"/>
        </w:rPr>
        <w:t>O biodiesel é uma boa alternativa aos combustíveis f</w:t>
      </w:r>
      <w:r w:rsidR="00A734B5">
        <w:rPr>
          <w:rFonts w:ascii="Times New Roman" w:hAnsi="Times New Roman"/>
          <w:lang w:val="pt-BR"/>
        </w:rPr>
        <w:t>ó</w:t>
      </w:r>
      <w:r>
        <w:rPr>
          <w:rFonts w:ascii="Times New Roman" w:hAnsi="Times New Roman"/>
          <w:lang w:val="pt-BR"/>
        </w:rPr>
        <w:t xml:space="preserve">sseis pois pode substituir </w:t>
      </w:r>
      <w:r w:rsidR="00564338">
        <w:rPr>
          <w:rFonts w:ascii="Times New Roman" w:hAnsi="Times New Roman"/>
          <w:lang w:val="pt-BR"/>
        </w:rPr>
        <w:t>diretamente o</w:t>
      </w:r>
      <w:r>
        <w:rPr>
          <w:rFonts w:ascii="Times New Roman" w:hAnsi="Times New Roman"/>
          <w:lang w:val="pt-BR"/>
        </w:rPr>
        <w:t xml:space="preserve"> diesel utilizado </w:t>
      </w:r>
      <w:r w:rsidR="00793F93">
        <w:rPr>
          <w:rFonts w:ascii="Times New Roman" w:hAnsi="Times New Roman"/>
          <w:lang w:val="pt-BR"/>
        </w:rPr>
        <w:t xml:space="preserve">no setor de transporte </w:t>
      </w:r>
      <w:r w:rsidR="00564338">
        <w:rPr>
          <w:rFonts w:ascii="Times New Roman" w:hAnsi="Times New Roman"/>
          <w:lang w:val="pt-BR"/>
        </w:rPr>
        <w:t xml:space="preserve">que segundo dados da EIA utiliza </w:t>
      </w:r>
      <w:r w:rsidR="00D11A3C">
        <w:rPr>
          <w:rFonts w:ascii="Times New Roman" w:hAnsi="Times New Roman"/>
          <w:lang w:val="pt-BR"/>
        </w:rPr>
        <w:t>56% da produção mundial de combustíveis f</w:t>
      </w:r>
      <w:r w:rsidR="00A734B5">
        <w:rPr>
          <w:rFonts w:ascii="Times New Roman" w:hAnsi="Times New Roman"/>
          <w:lang w:val="pt-BR"/>
        </w:rPr>
        <w:t>ó</w:t>
      </w:r>
      <w:r w:rsidR="00D11A3C">
        <w:rPr>
          <w:rFonts w:ascii="Times New Roman" w:hAnsi="Times New Roman"/>
          <w:lang w:val="pt-BR"/>
        </w:rPr>
        <w:t>sseis líquidos</w:t>
      </w:r>
      <w:r w:rsidR="00FA3695">
        <w:rPr>
          <w:rFonts w:ascii="Times New Roman" w:hAnsi="Times New Roman"/>
          <w:lang w:val="pt-BR"/>
        </w:rPr>
        <w:t xml:space="preserve">, dos quais o transporte rodoviário é responsável por 63% (2). Sem que seja </w:t>
      </w:r>
      <w:r w:rsidR="00F72C54">
        <w:rPr>
          <w:rFonts w:ascii="Times New Roman" w:hAnsi="Times New Roman"/>
          <w:lang w:val="pt-BR"/>
        </w:rPr>
        <w:t>necessária modificação</w:t>
      </w:r>
      <w:r w:rsidR="00FA3695">
        <w:rPr>
          <w:rFonts w:ascii="Times New Roman" w:hAnsi="Times New Roman"/>
          <w:lang w:val="pt-BR"/>
        </w:rPr>
        <w:t xml:space="preserve"> nas frotas existentes e com pequena redução na performance quando comparado </w:t>
      </w:r>
      <w:r w:rsidR="00FA3695">
        <w:rPr>
          <w:rFonts w:ascii="Times New Roman" w:hAnsi="Times New Roman"/>
          <w:lang w:val="pt-BR"/>
        </w:rPr>
        <w:t>ao diesel. Sendo assim</w:t>
      </w:r>
      <w:r w:rsidR="00A734B5">
        <w:rPr>
          <w:rFonts w:ascii="Times New Roman" w:hAnsi="Times New Roman"/>
          <w:lang w:val="pt-BR"/>
        </w:rPr>
        <w:t>,</w:t>
      </w:r>
      <w:r w:rsidR="00FA3695">
        <w:rPr>
          <w:rFonts w:ascii="Times New Roman" w:hAnsi="Times New Roman"/>
          <w:lang w:val="pt-BR"/>
        </w:rPr>
        <w:t xml:space="preserve"> a substituição por biodiesel tem um impacto direto na matriz energética global.</w:t>
      </w:r>
    </w:p>
    <w:p w14:paraId="260015CD" w14:textId="66DF1DBB" w:rsidR="00DA090F" w:rsidRDefault="00DA090F" w:rsidP="00DA090F">
      <w:pPr>
        <w:pStyle w:val="TAMainText"/>
        <w:rPr>
          <w:rFonts w:ascii="Times New Roman" w:hAnsi="Times New Roman"/>
          <w:lang w:val="pt-BR"/>
        </w:rPr>
      </w:pPr>
      <w:r>
        <w:rPr>
          <w:rFonts w:ascii="Times New Roman" w:hAnsi="Times New Roman"/>
          <w:lang w:val="pt-BR"/>
        </w:rPr>
        <w:t xml:space="preserve">Os </w:t>
      </w:r>
      <w:r w:rsidR="00A734B5">
        <w:rPr>
          <w:rFonts w:ascii="Times New Roman" w:hAnsi="Times New Roman"/>
          <w:lang w:val="pt-BR"/>
        </w:rPr>
        <w:t>ó</w:t>
      </w:r>
      <w:r>
        <w:rPr>
          <w:rFonts w:ascii="Times New Roman" w:hAnsi="Times New Roman"/>
          <w:lang w:val="pt-BR"/>
        </w:rPr>
        <w:t>leos vegetais não podem ser utilizados diretamente nos motores devido a sua alta viscosidade e baixa volatilidade, portanto é necessário utilizar como uma mistura em combustíveis f</w:t>
      </w:r>
      <w:r w:rsidR="00A734B5">
        <w:rPr>
          <w:rFonts w:ascii="Times New Roman" w:hAnsi="Times New Roman"/>
          <w:lang w:val="pt-BR"/>
        </w:rPr>
        <w:t>ó</w:t>
      </w:r>
      <w:r>
        <w:rPr>
          <w:rFonts w:ascii="Times New Roman" w:hAnsi="Times New Roman"/>
          <w:lang w:val="pt-BR"/>
        </w:rPr>
        <w:t>sseis (</w:t>
      </w:r>
      <w:r w:rsidR="00FA3695">
        <w:rPr>
          <w:rFonts w:ascii="Times New Roman" w:hAnsi="Times New Roman"/>
          <w:lang w:val="pt-BR"/>
        </w:rPr>
        <w:t>3</w:t>
      </w:r>
      <w:r>
        <w:rPr>
          <w:rFonts w:ascii="Times New Roman" w:hAnsi="Times New Roman"/>
          <w:lang w:val="pt-BR"/>
        </w:rPr>
        <w:t>), ou na produção de biodiesel que reduz a sua viscosidade e aumenta a volatilidade</w:t>
      </w:r>
      <w:r w:rsidR="00195DD9">
        <w:rPr>
          <w:rFonts w:ascii="Times New Roman" w:hAnsi="Times New Roman"/>
          <w:lang w:val="pt-BR"/>
        </w:rPr>
        <w:t xml:space="preserve"> (</w:t>
      </w:r>
      <w:r w:rsidR="00FA3695">
        <w:rPr>
          <w:rFonts w:ascii="Times New Roman" w:hAnsi="Times New Roman"/>
          <w:lang w:val="pt-BR"/>
        </w:rPr>
        <w:t>4</w:t>
      </w:r>
      <w:r w:rsidR="00195DD9">
        <w:rPr>
          <w:rFonts w:ascii="Times New Roman" w:hAnsi="Times New Roman"/>
          <w:lang w:val="pt-BR"/>
        </w:rPr>
        <w:t>)</w:t>
      </w:r>
      <w:r>
        <w:rPr>
          <w:rFonts w:ascii="Times New Roman" w:hAnsi="Times New Roman"/>
          <w:lang w:val="pt-BR"/>
        </w:rPr>
        <w:t>.</w:t>
      </w:r>
    </w:p>
    <w:p w14:paraId="33182362" w14:textId="166E9047" w:rsidR="007707D0" w:rsidRDefault="007707D0" w:rsidP="00EA4E1B">
      <w:pPr>
        <w:pStyle w:val="TAMainText"/>
        <w:rPr>
          <w:rFonts w:ascii="Times New Roman" w:hAnsi="Times New Roman"/>
          <w:lang w:val="pt-BR"/>
        </w:rPr>
      </w:pPr>
      <w:r w:rsidRPr="007707D0">
        <w:rPr>
          <w:rFonts w:ascii="Times New Roman" w:hAnsi="Times New Roman"/>
          <w:lang w:val="pt-BR"/>
        </w:rPr>
        <w:t xml:space="preserve">O biodiesel </w:t>
      </w:r>
      <w:r>
        <w:rPr>
          <w:rFonts w:ascii="Times New Roman" w:hAnsi="Times New Roman"/>
          <w:lang w:val="pt-BR"/>
        </w:rPr>
        <w:t xml:space="preserve">é o </w:t>
      </w:r>
      <w:r w:rsidR="00DA090F">
        <w:rPr>
          <w:rFonts w:ascii="Times New Roman" w:hAnsi="Times New Roman"/>
          <w:lang w:val="pt-BR"/>
        </w:rPr>
        <w:t>éster</w:t>
      </w:r>
      <w:r>
        <w:rPr>
          <w:rFonts w:ascii="Times New Roman" w:hAnsi="Times New Roman"/>
          <w:lang w:val="pt-BR"/>
        </w:rPr>
        <w:t xml:space="preserve"> resultante da rea</w:t>
      </w:r>
      <w:r w:rsidR="00DA090F">
        <w:rPr>
          <w:rFonts w:ascii="Times New Roman" w:hAnsi="Times New Roman"/>
          <w:lang w:val="pt-BR"/>
        </w:rPr>
        <w:t xml:space="preserve">ção entre um </w:t>
      </w:r>
      <w:r w:rsidR="00F72C54">
        <w:rPr>
          <w:rFonts w:ascii="Times New Roman" w:hAnsi="Times New Roman"/>
          <w:lang w:val="pt-BR"/>
        </w:rPr>
        <w:t>ácido</w:t>
      </w:r>
      <w:r w:rsidR="00DA090F">
        <w:rPr>
          <w:rFonts w:ascii="Times New Roman" w:hAnsi="Times New Roman"/>
          <w:lang w:val="pt-BR"/>
        </w:rPr>
        <w:t xml:space="preserve"> graxo e um álcool, geralmente metanol ou etanol, são preparados pelo processo de transesterificação onde é utilizado um triglicerídeo de origem vegetal ou animal</w:t>
      </w:r>
      <w:r w:rsidR="004160C4">
        <w:rPr>
          <w:rFonts w:ascii="Times New Roman" w:hAnsi="Times New Roman"/>
          <w:lang w:val="pt-BR"/>
        </w:rPr>
        <w:t xml:space="preserve"> </w:t>
      </w:r>
      <w:r w:rsidR="00DA090F">
        <w:rPr>
          <w:rFonts w:ascii="Times New Roman" w:hAnsi="Times New Roman"/>
          <w:lang w:val="pt-BR"/>
        </w:rPr>
        <w:t>(</w:t>
      </w:r>
      <w:r w:rsidR="00FA3695">
        <w:rPr>
          <w:rFonts w:ascii="Times New Roman" w:hAnsi="Times New Roman"/>
          <w:lang w:val="pt-BR"/>
        </w:rPr>
        <w:t>5</w:t>
      </w:r>
      <w:r w:rsidR="00DA090F">
        <w:rPr>
          <w:rFonts w:ascii="Times New Roman" w:hAnsi="Times New Roman"/>
          <w:lang w:val="pt-BR"/>
        </w:rPr>
        <w:t>).</w:t>
      </w:r>
    </w:p>
    <w:p w14:paraId="68740930" w14:textId="3F6F910B" w:rsidR="00F1021A" w:rsidRPr="00BE4421" w:rsidRDefault="00195DD9" w:rsidP="00EA4E1B">
      <w:pPr>
        <w:pStyle w:val="TAMainText"/>
        <w:rPr>
          <w:rFonts w:ascii="Times New Roman" w:hAnsi="Times New Roman"/>
          <w:lang w:val="pt-BR"/>
        </w:rPr>
      </w:pPr>
      <w:r>
        <w:rPr>
          <w:rFonts w:ascii="Times New Roman" w:hAnsi="Times New Roman"/>
          <w:lang w:val="pt-BR"/>
        </w:rPr>
        <w:t xml:space="preserve">A transesterificação </w:t>
      </w:r>
      <w:r w:rsidR="003F2BDF">
        <w:rPr>
          <w:rFonts w:ascii="Times New Roman" w:hAnsi="Times New Roman"/>
          <w:lang w:val="pt-BR"/>
        </w:rPr>
        <w:t xml:space="preserve">é geralmente catalisada por bases como o </w:t>
      </w:r>
      <w:proofErr w:type="spellStart"/>
      <w:r w:rsidR="003F2BDF">
        <w:rPr>
          <w:rFonts w:ascii="Times New Roman" w:hAnsi="Times New Roman"/>
          <w:lang w:val="pt-BR"/>
        </w:rPr>
        <w:t>NaOH</w:t>
      </w:r>
      <w:proofErr w:type="spellEnd"/>
      <w:r w:rsidR="003F2BDF">
        <w:rPr>
          <w:rFonts w:ascii="Times New Roman" w:hAnsi="Times New Roman"/>
          <w:lang w:val="pt-BR"/>
        </w:rPr>
        <w:t xml:space="preserve"> ou KOH, devido a seu baixo custo e ao curto </w:t>
      </w:r>
      <w:r w:rsidR="003F2BDF">
        <w:rPr>
          <w:rFonts w:ascii="Times New Roman" w:hAnsi="Times New Roman"/>
          <w:lang w:val="pt-BR"/>
        </w:rPr>
        <w:lastRenderedPageBreak/>
        <w:t>tempo de reação. No entanto</w:t>
      </w:r>
      <w:r w:rsidR="00A734B5">
        <w:rPr>
          <w:rFonts w:ascii="Times New Roman" w:hAnsi="Times New Roman"/>
          <w:lang w:val="pt-BR"/>
        </w:rPr>
        <w:t>,</w:t>
      </w:r>
      <w:r w:rsidR="003F2BDF">
        <w:rPr>
          <w:rFonts w:ascii="Times New Roman" w:hAnsi="Times New Roman"/>
          <w:lang w:val="pt-BR"/>
        </w:rPr>
        <w:t xml:space="preserve"> este processo necessita de grandes volumes de </w:t>
      </w:r>
      <w:r w:rsidR="001C1CD0">
        <w:rPr>
          <w:rFonts w:ascii="Times New Roman" w:hAnsi="Times New Roman"/>
          <w:lang w:val="pt-BR"/>
        </w:rPr>
        <w:t>água</w:t>
      </w:r>
      <w:r w:rsidR="003F2BDF">
        <w:rPr>
          <w:rFonts w:ascii="Times New Roman" w:hAnsi="Times New Roman"/>
          <w:lang w:val="pt-BR"/>
        </w:rPr>
        <w:t xml:space="preserve"> na lavagem do biodiesel para remoção dos resíduos básicos deixados pelo catalisador</w:t>
      </w:r>
      <w:r w:rsidR="001C1CD0">
        <w:rPr>
          <w:rFonts w:ascii="Times New Roman" w:hAnsi="Times New Roman"/>
          <w:lang w:val="pt-BR"/>
        </w:rPr>
        <w:t xml:space="preserve">. Estes catalisadores em reações com óleos com grande </w:t>
      </w:r>
      <w:r w:rsidR="001C1CD0" w:rsidRPr="00BE4421">
        <w:rPr>
          <w:rFonts w:ascii="Times New Roman" w:hAnsi="Times New Roman"/>
          <w:lang w:val="pt-BR"/>
        </w:rPr>
        <w:t>concentração de ácidos graxos livres resultam na formação de sabão</w:t>
      </w:r>
      <w:r w:rsidR="00880AA5" w:rsidRPr="00BE4421">
        <w:rPr>
          <w:rFonts w:ascii="Times New Roman" w:hAnsi="Times New Roman"/>
          <w:lang w:val="pt-BR"/>
        </w:rPr>
        <w:t xml:space="preserve"> </w:t>
      </w:r>
      <w:r w:rsidR="001C1CD0" w:rsidRPr="00BE4421">
        <w:rPr>
          <w:rFonts w:ascii="Times New Roman" w:hAnsi="Times New Roman"/>
          <w:lang w:val="pt-BR"/>
        </w:rPr>
        <w:t xml:space="preserve">que impossibilita a separação do biodiesel da glicerina devido a formação de uma emulsão </w:t>
      </w:r>
      <w:r w:rsidR="00880AA5" w:rsidRPr="00BE4421">
        <w:rPr>
          <w:rFonts w:ascii="Times New Roman" w:hAnsi="Times New Roman"/>
          <w:lang w:val="pt-BR"/>
        </w:rPr>
        <w:t>(</w:t>
      </w:r>
      <w:r w:rsidR="00FA3695" w:rsidRPr="00BE4421">
        <w:rPr>
          <w:rFonts w:ascii="Times New Roman" w:hAnsi="Times New Roman"/>
          <w:lang w:val="pt-BR"/>
        </w:rPr>
        <w:t>6</w:t>
      </w:r>
      <w:r w:rsidR="00880AA5" w:rsidRPr="00BE4421">
        <w:rPr>
          <w:rFonts w:ascii="Times New Roman" w:hAnsi="Times New Roman"/>
          <w:lang w:val="pt-BR"/>
        </w:rPr>
        <w:t>).</w:t>
      </w:r>
    </w:p>
    <w:p w14:paraId="502806EF" w14:textId="74536C5B" w:rsidR="00C02916" w:rsidRPr="00BE4421" w:rsidRDefault="004716B1" w:rsidP="000D646B">
      <w:pPr>
        <w:pStyle w:val="TAMainText"/>
        <w:rPr>
          <w:rFonts w:ascii="Times New Roman" w:hAnsi="Times New Roman"/>
          <w:lang w:val="pt-BR"/>
        </w:rPr>
      </w:pPr>
      <w:r w:rsidRPr="00BE4421">
        <w:rPr>
          <w:rFonts w:ascii="Times New Roman" w:hAnsi="Times New Roman"/>
          <w:lang w:val="pt-BR"/>
        </w:rPr>
        <w:t>Portanto</w:t>
      </w:r>
      <w:r w:rsidR="00A734B5" w:rsidRPr="00BE4421">
        <w:rPr>
          <w:rFonts w:ascii="Times New Roman" w:hAnsi="Times New Roman"/>
          <w:lang w:val="pt-BR"/>
        </w:rPr>
        <w:t>,</w:t>
      </w:r>
      <w:r w:rsidRPr="00BE4421">
        <w:rPr>
          <w:rFonts w:ascii="Times New Roman" w:hAnsi="Times New Roman"/>
          <w:lang w:val="pt-BR"/>
        </w:rPr>
        <w:t xml:space="preserve"> nos últimos anos </w:t>
      </w:r>
      <w:r w:rsidR="00A734B5" w:rsidRPr="00BE4421">
        <w:rPr>
          <w:rFonts w:ascii="Times New Roman" w:hAnsi="Times New Roman"/>
          <w:lang w:val="pt-BR"/>
        </w:rPr>
        <w:t xml:space="preserve">surgiram </w:t>
      </w:r>
      <w:r w:rsidRPr="00BE4421">
        <w:rPr>
          <w:rFonts w:ascii="Times New Roman" w:hAnsi="Times New Roman"/>
          <w:lang w:val="pt-BR"/>
        </w:rPr>
        <w:t xml:space="preserve">estudos para a utilização de catalisadores heterogêneos como óxidos de </w:t>
      </w:r>
      <w:r w:rsidR="004B1FDC" w:rsidRPr="00BE4421">
        <w:rPr>
          <w:rFonts w:ascii="Times New Roman" w:hAnsi="Times New Roman"/>
          <w:lang w:val="pt-BR"/>
        </w:rPr>
        <w:t xml:space="preserve">alumínio, </w:t>
      </w:r>
      <w:r w:rsidRPr="00BE4421">
        <w:rPr>
          <w:rFonts w:ascii="Times New Roman" w:hAnsi="Times New Roman"/>
          <w:lang w:val="pt-BR"/>
        </w:rPr>
        <w:t>cálcio</w:t>
      </w:r>
      <w:r w:rsidR="004B1FDC" w:rsidRPr="00BE4421">
        <w:rPr>
          <w:rFonts w:ascii="Times New Roman" w:hAnsi="Times New Roman"/>
          <w:lang w:val="pt-BR"/>
        </w:rPr>
        <w:t xml:space="preserve"> e silício</w:t>
      </w:r>
      <w:r w:rsidRPr="00BE4421">
        <w:rPr>
          <w:rFonts w:ascii="Times New Roman" w:hAnsi="Times New Roman"/>
          <w:lang w:val="pt-BR"/>
        </w:rPr>
        <w:t xml:space="preserve"> e como uma alternativa, pois estes são facilmente separados por filtração e podem ser reutilizados</w:t>
      </w:r>
      <w:r w:rsidR="00E211DF" w:rsidRPr="00BE4421">
        <w:rPr>
          <w:rFonts w:ascii="Times New Roman" w:hAnsi="Times New Roman"/>
          <w:lang w:val="pt-BR"/>
        </w:rPr>
        <w:t xml:space="preserve"> em mais de uma síntese</w:t>
      </w:r>
      <w:r w:rsidR="00C02916" w:rsidRPr="00BE4421">
        <w:rPr>
          <w:rFonts w:ascii="Times New Roman" w:hAnsi="Times New Roman"/>
          <w:lang w:val="pt-BR"/>
        </w:rPr>
        <w:t xml:space="preserve"> </w:t>
      </w:r>
      <w:r w:rsidR="00E211DF" w:rsidRPr="00BE4421">
        <w:rPr>
          <w:rFonts w:ascii="Times New Roman" w:hAnsi="Times New Roman"/>
          <w:lang w:val="pt-BR"/>
        </w:rPr>
        <w:t>(7</w:t>
      </w:r>
      <w:r w:rsidR="002802C5" w:rsidRPr="00BE4421">
        <w:rPr>
          <w:rFonts w:ascii="Times New Roman" w:hAnsi="Times New Roman"/>
          <w:lang w:val="pt-BR"/>
        </w:rPr>
        <w:t>,</w:t>
      </w:r>
      <w:r w:rsidR="00C02916" w:rsidRPr="00BE4421">
        <w:rPr>
          <w:rFonts w:ascii="Times New Roman" w:hAnsi="Times New Roman"/>
          <w:lang w:val="pt-BR"/>
        </w:rPr>
        <w:t xml:space="preserve"> </w:t>
      </w:r>
      <w:r w:rsidR="002802C5" w:rsidRPr="00BE4421">
        <w:rPr>
          <w:rFonts w:ascii="Times New Roman" w:hAnsi="Times New Roman"/>
          <w:lang w:val="pt-BR"/>
        </w:rPr>
        <w:t>8</w:t>
      </w:r>
      <w:r w:rsidR="00E211DF" w:rsidRPr="00BE4421">
        <w:rPr>
          <w:rFonts w:ascii="Times New Roman" w:hAnsi="Times New Roman"/>
          <w:lang w:val="pt-BR"/>
        </w:rPr>
        <w:t>).</w:t>
      </w:r>
      <w:r w:rsidR="004B1FDC" w:rsidRPr="00BE4421">
        <w:rPr>
          <w:rFonts w:ascii="Times New Roman" w:hAnsi="Times New Roman"/>
          <w:lang w:val="pt-BR"/>
        </w:rPr>
        <w:t xml:space="preserve"> </w:t>
      </w:r>
    </w:p>
    <w:p w14:paraId="155F150C" w14:textId="77777777" w:rsidR="000D646B" w:rsidRPr="00BE4421" w:rsidRDefault="00C02916" w:rsidP="00EA4E1B">
      <w:pPr>
        <w:pStyle w:val="TAMainText"/>
        <w:rPr>
          <w:rFonts w:ascii="Times New Roman" w:hAnsi="Times New Roman"/>
          <w:lang w:val="pt-BR"/>
        </w:rPr>
      </w:pPr>
      <w:r w:rsidRPr="00BE4421">
        <w:rPr>
          <w:rFonts w:ascii="Times New Roman" w:hAnsi="Times New Roman"/>
          <w:lang w:val="pt-BR"/>
        </w:rPr>
        <w:t xml:space="preserve">Na catálise heterogênea, um ou mais reagentes se dispersam na superfície do catalisador e são adsorvidos aos sítios ativos através da formação de ligações químicas. Após a reação, os produtos </w:t>
      </w:r>
      <w:proofErr w:type="spellStart"/>
      <w:r w:rsidRPr="00BE4421">
        <w:rPr>
          <w:rFonts w:ascii="Times New Roman" w:hAnsi="Times New Roman"/>
          <w:lang w:val="pt-BR"/>
        </w:rPr>
        <w:t>dessorvem</w:t>
      </w:r>
      <w:proofErr w:type="spellEnd"/>
      <w:r w:rsidRPr="00BE4421">
        <w:rPr>
          <w:rFonts w:ascii="Times New Roman" w:hAnsi="Times New Roman"/>
          <w:lang w:val="pt-BR"/>
        </w:rPr>
        <w:t xml:space="preserve"> da superfície do catalisador e se dispersam</w:t>
      </w:r>
      <w:r w:rsidR="000D646B" w:rsidRPr="00BE4421">
        <w:rPr>
          <w:rFonts w:ascii="Times New Roman" w:hAnsi="Times New Roman"/>
          <w:lang w:val="pt-BR"/>
        </w:rPr>
        <w:t>.</w:t>
      </w:r>
    </w:p>
    <w:p w14:paraId="2E37DD69" w14:textId="6C611886" w:rsidR="00C02916" w:rsidRPr="00BE4421" w:rsidRDefault="000D646B" w:rsidP="000D646B">
      <w:pPr>
        <w:pStyle w:val="TAMainText"/>
        <w:rPr>
          <w:rFonts w:ascii="Times New Roman" w:hAnsi="Times New Roman"/>
          <w:lang w:val="pt-BR"/>
        </w:rPr>
      </w:pPr>
      <w:r w:rsidRPr="00BE4421">
        <w:rPr>
          <w:rFonts w:ascii="Times New Roman" w:hAnsi="Times New Roman"/>
          <w:lang w:val="pt-BR"/>
        </w:rPr>
        <w:t xml:space="preserve">Para reações com catalisadores sólidos a área de superfície do catalisador é significativa porque determina a disponibilidade de sítios ativos. As áreas de superfície podem ser grandes através da porosidade do material catalisador ou pode ser aumentado pela impregnação do material catalítico em um substrato com grande área superficial </w:t>
      </w:r>
      <w:r w:rsidR="00C02916" w:rsidRPr="00BE4421">
        <w:rPr>
          <w:rFonts w:ascii="Times New Roman" w:hAnsi="Times New Roman"/>
          <w:lang w:val="pt-BR"/>
        </w:rPr>
        <w:t>(</w:t>
      </w:r>
      <w:r w:rsidRPr="00BE4421">
        <w:rPr>
          <w:rFonts w:ascii="Times New Roman" w:hAnsi="Times New Roman"/>
          <w:lang w:val="pt-BR"/>
        </w:rPr>
        <w:t xml:space="preserve">9 - </w:t>
      </w:r>
      <w:r w:rsidR="00C02916" w:rsidRPr="00BE4421">
        <w:rPr>
          <w:rFonts w:ascii="Times New Roman" w:hAnsi="Times New Roman"/>
          <w:lang w:val="pt-BR"/>
        </w:rPr>
        <w:t>11).</w:t>
      </w:r>
    </w:p>
    <w:p w14:paraId="2C3493C5" w14:textId="3BD9FB85" w:rsidR="008E2763" w:rsidRPr="00BE4421" w:rsidRDefault="009E0D44" w:rsidP="00EA4E1B">
      <w:pPr>
        <w:pStyle w:val="TAMainText"/>
        <w:rPr>
          <w:rFonts w:ascii="Times New Roman" w:hAnsi="Times New Roman"/>
          <w:lang w:val="pt-BR"/>
        </w:rPr>
      </w:pPr>
      <w:r w:rsidRPr="00BE4421">
        <w:rPr>
          <w:rFonts w:ascii="Times New Roman" w:hAnsi="Times New Roman"/>
          <w:lang w:val="pt-BR"/>
        </w:rPr>
        <w:t xml:space="preserve">Neste contexto, o objetivo desse estudo foi avaliar de forma comparativa o desempenho de catalisadores baseados em </w:t>
      </w:r>
      <w:proofErr w:type="spellStart"/>
      <w:r w:rsidRPr="00BE4421">
        <w:rPr>
          <w:rFonts w:ascii="Times New Roman" w:hAnsi="Times New Roman"/>
          <w:lang w:val="pt-BR"/>
        </w:rPr>
        <w:t>CaO</w:t>
      </w:r>
      <w:proofErr w:type="spellEnd"/>
      <w:r w:rsidRPr="00BE4421">
        <w:rPr>
          <w:rFonts w:ascii="Times New Roman" w:hAnsi="Times New Roman"/>
          <w:lang w:val="pt-BR"/>
        </w:rPr>
        <w:t xml:space="preserve"> obtidos de cascas de ovos e seus derivados impregnados com Al, La e Zn, com um catalisador convencionalmente empregado para a síntese de biodiesel (</w:t>
      </w:r>
      <w:proofErr w:type="spellStart"/>
      <w:r w:rsidRPr="00BE4421">
        <w:rPr>
          <w:rFonts w:ascii="Times New Roman" w:hAnsi="Times New Roman"/>
          <w:lang w:val="pt-BR"/>
        </w:rPr>
        <w:t>NaOH</w:t>
      </w:r>
      <w:proofErr w:type="spellEnd"/>
      <w:r w:rsidRPr="00BE4421">
        <w:rPr>
          <w:rFonts w:ascii="Times New Roman" w:hAnsi="Times New Roman"/>
          <w:lang w:val="pt-BR"/>
        </w:rPr>
        <w:t>).</w:t>
      </w:r>
    </w:p>
    <w:p w14:paraId="52FFAC79" w14:textId="10FA8362"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2A289CE5" w:rsidR="00EA4E1B" w:rsidRDefault="005A6F99" w:rsidP="00EA4E1B">
      <w:pPr>
        <w:pStyle w:val="TAMainText"/>
        <w:ind w:firstLine="0"/>
        <w:rPr>
          <w:rFonts w:ascii="Times New Roman" w:hAnsi="Times New Roman"/>
          <w:i/>
          <w:lang w:val="pt-BR"/>
        </w:rPr>
      </w:pPr>
      <w:r>
        <w:rPr>
          <w:rFonts w:ascii="Times New Roman" w:hAnsi="Times New Roman"/>
          <w:i/>
          <w:lang w:val="pt-BR"/>
        </w:rPr>
        <w:t>Obtenção do óleo</w:t>
      </w:r>
    </w:p>
    <w:p w14:paraId="28255578" w14:textId="3F74671F" w:rsidR="005A6F99" w:rsidRDefault="004B0FD4" w:rsidP="00EA4E1B">
      <w:pPr>
        <w:pStyle w:val="TAMainText"/>
        <w:ind w:firstLine="0"/>
        <w:rPr>
          <w:rFonts w:ascii="Times New Roman" w:hAnsi="Times New Roman"/>
          <w:lang w:val="pt-BR"/>
        </w:rPr>
      </w:pPr>
      <w:r>
        <w:rPr>
          <w:rFonts w:ascii="Times New Roman" w:hAnsi="Times New Roman"/>
          <w:lang w:val="pt-BR"/>
        </w:rPr>
        <w:t xml:space="preserve">    </w:t>
      </w:r>
      <w:r w:rsidR="005A6F99" w:rsidRPr="001F25B2">
        <w:rPr>
          <w:rFonts w:ascii="Times New Roman" w:hAnsi="Times New Roman"/>
          <w:lang w:val="pt-BR"/>
        </w:rPr>
        <w:t>O</w:t>
      </w:r>
      <w:r w:rsidR="005A6F99">
        <w:rPr>
          <w:rFonts w:ascii="Times New Roman" w:hAnsi="Times New Roman"/>
          <w:lang w:val="pt-BR"/>
        </w:rPr>
        <w:t xml:space="preserve"> óleo vegetal de fritura obtido foi filtrado para remoção de particulados sólidos residuais com um filtro de papel, após a filtração fez-se a secagem </w:t>
      </w:r>
      <w:r w:rsidR="00527607">
        <w:rPr>
          <w:rFonts w:ascii="Times New Roman" w:hAnsi="Times New Roman"/>
          <w:lang w:val="pt-BR"/>
        </w:rPr>
        <w:t>do óleo por 1,5</w:t>
      </w:r>
      <w:r w:rsidR="007C24EC">
        <w:rPr>
          <w:rFonts w:ascii="Times New Roman" w:hAnsi="Times New Roman"/>
          <w:lang w:val="pt-BR"/>
        </w:rPr>
        <w:t xml:space="preserve"> </w:t>
      </w:r>
      <w:r w:rsidR="00527607">
        <w:rPr>
          <w:rFonts w:ascii="Times New Roman" w:hAnsi="Times New Roman"/>
          <w:lang w:val="pt-BR"/>
        </w:rPr>
        <w:t>horas a 105</w:t>
      </w:r>
      <w:r w:rsidR="00527607" w:rsidRPr="00527607">
        <w:rPr>
          <w:lang w:val="pt-BR"/>
        </w:rPr>
        <w:t xml:space="preserve"> </w:t>
      </w:r>
      <w:r w:rsidR="00527607" w:rsidRPr="00527607">
        <w:rPr>
          <w:rFonts w:ascii="Times New Roman" w:hAnsi="Times New Roman"/>
          <w:lang w:val="pt-BR"/>
        </w:rPr>
        <w:t>ºC</w:t>
      </w:r>
      <w:r w:rsidR="00527607">
        <w:rPr>
          <w:rFonts w:ascii="Times New Roman" w:hAnsi="Times New Roman"/>
          <w:lang w:val="pt-BR"/>
        </w:rPr>
        <w:t xml:space="preserve">. </w:t>
      </w:r>
    </w:p>
    <w:p w14:paraId="116E4368" w14:textId="77777777" w:rsidR="005A6F99" w:rsidRDefault="005A6F99" w:rsidP="00EA4E1B">
      <w:pPr>
        <w:pStyle w:val="TAMainText"/>
        <w:ind w:firstLine="0"/>
        <w:rPr>
          <w:rFonts w:ascii="Times New Roman" w:hAnsi="Times New Roman"/>
          <w:i/>
          <w:lang w:val="pt-BR"/>
        </w:rPr>
      </w:pPr>
    </w:p>
    <w:p w14:paraId="0314D582" w14:textId="3EE42CA4" w:rsidR="005A6F99" w:rsidRPr="001F25B2" w:rsidRDefault="007C24EC" w:rsidP="005A6F99">
      <w:pPr>
        <w:pStyle w:val="TAMainText"/>
        <w:ind w:firstLine="0"/>
        <w:rPr>
          <w:rFonts w:ascii="Times New Roman" w:hAnsi="Times New Roman"/>
          <w:i/>
          <w:lang w:val="pt-BR"/>
        </w:rPr>
      </w:pPr>
      <w:r>
        <w:rPr>
          <w:rFonts w:ascii="Times New Roman" w:hAnsi="Times New Roman"/>
          <w:i/>
          <w:lang w:val="pt-BR"/>
        </w:rPr>
        <w:t xml:space="preserve">Caracterização do </w:t>
      </w:r>
      <w:r w:rsidR="00276C4B">
        <w:rPr>
          <w:rFonts w:ascii="Times New Roman" w:hAnsi="Times New Roman"/>
          <w:i/>
          <w:lang w:val="pt-BR"/>
        </w:rPr>
        <w:t>óleo e do biodiesel</w:t>
      </w:r>
      <w:r w:rsidR="005A6F99" w:rsidRPr="001F25B2">
        <w:rPr>
          <w:rFonts w:ascii="Times New Roman" w:hAnsi="Times New Roman"/>
          <w:i/>
          <w:lang w:val="pt-BR"/>
        </w:rPr>
        <w:t>.</w:t>
      </w:r>
    </w:p>
    <w:p w14:paraId="0719C7DB" w14:textId="60A81341" w:rsidR="005A6F99" w:rsidRDefault="00F72C54" w:rsidP="00EA4E1B">
      <w:pPr>
        <w:pStyle w:val="TAMainText"/>
        <w:ind w:firstLine="0"/>
        <w:rPr>
          <w:rFonts w:ascii="Times New Roman" w:hAnsi="Times New Roman"/>
          <w:lang w:val="pt-BR"/>
        </w:rPr>
      </w:pPr>
      <w:r w:rsidRPr="007C24EC">
        <w:rPr>
          <w:rFonts w:ascii="Times New Roman" w:hAnsi="Times New Roman"/>
          <w:lang w:val="pt-BR"/>
        </w:rPr>
        <w:t>Os índices de acidez</w:t>
      </w:r>
      <w:r>
        <w:rPr>
          <w:rFonts w:ascii="Times New Roman" w:hAnsi="Times New Roman"/>
          <w:lang w:val="pt-BR"/>
        </w:rPr>
        <w:t xml:space="preserve"> foram</w:t>
      </w:r>
      <w:r w:rsidR="00276C4B">
        <w:rPr>
          <w:rFonts w:ascii="Times New Roman" w:hAnsi="Times New Roman"/>
          <w:lang w:val="pt-BR"/>
        </w:rPr>
        <w:t xml:space="preserve"> </w:t>
      </w:r>
      <w:r>
        <w:rPr>
          <w:rFonts w:ascii="Times New Roman" w:hAnsi="Times New Roman"/>
          <w:lang w:val="pt-BR"/>
        </w:rPr>
        <w:t>obtidos</w:t>
      </w:r>
      <w:r w:rsidR="00276C4B">
        <w:rPr>
          <w:rFonts w:ascii="Times New Roman" w:hAnsi="Times New Roman"/>
          <w:lang w:val="pt-BR"/>
        </w:rPr>
        <w:t xml:space="preserve"> através do método</w:t>
      </w:r>
      <w:r w:rsidR="00276C4B" w:rsidRPr="00276C4B">
        <w:rPr>
          <w:rFonts w:ascii="Times New Roman" w:hAnsi="Times New Roman"/>
          <w:lang w:val="pt-BR"/>
        </w:rPr>
        <w:t xml:space="preserve"> T</w:t>
      </w:r>
      <w:r w:rsidR="001F1FB6">
        <w:rPr>
          <w:rFonts w:ascii="Times New Roman" w:hAnsi="Times New Roman"/>
          <w:lang w:val="pt-BR"/>
        </w:rPr>
        <w:t>e</w:t>
      </w:r>
      <w:r w:rsidR="00276C4B" w:rsidRPr="00276C4B">
        <w:rPr>
          <w:rFonts w:ascii="Times New Roman" w:hAnsi="Times New Roman"/>
          <w:lang w:val="pt-BR"/>
        </w:rPr>
        <w:t xml:space="preserve"> 1a-</w:t>
      </w:r>
      <w:r w:rsidRPr="00276C4B">
        <w:rPr>
          <w:rFonts w:ascii="Times New Roman" w:hAnsi="Times New Roman"/>
          <w:lang w:val="pt-BR"/>
        </w:rPr>
        <w:t>64</w:t>
      </w:r>
      <w:r w:rsidRPr="007C24EC">
        <w:rPr>
          <w:rFonts w:ascii="Times New Roman" w:hAnsi="Times New Roman"/>
          <w:lang w:val="pt-BR"/>
        </w:rPr>
        <w:t xml:space="preserve"> </w:t>
      </w:r>
      <w:r>
        <w:rPr>
          <w:rFonts w:ascii="Times New Roman" w:hAnsi="Times New Roman"/>
          <w:lang w:val="pt-BR"/>
        </w:rPr>
        <w:t>da</w:t>
      </w:r>
      <w:r w:rsidR="00276C4B">
        <w:rPr>
          <w:rFonts w:ascii="Times New Roman" w:hAnsi="Times New Roman"/>
          <w:lang w:val="pt-BR"/>
        </w:rPr>
        <w:t xml:space="preserve"> </w:t>
      </w:r>
      <w:r w:rsidR="00276C4B" w:rsidRPr="00276C4B">
        <w:rPr>
          <w:rFonts w:ascii="Times New Roman" w:hAnsi="Times New Roman"/>
          <w:lang w:val="pt-BR"/>
        </w:rPr>
        <w:t xml:space="preserve">AOCS </w:t>
      </w:r>
      <w:r w:rsidR="007C24EC" w:rsidRPr="007C24EC">
        <w:rPr>
          <w:rFonts w:ascii="Times New Roman" w:hAnsi="Times New Roman"/>
          <w:lang w:val="pt-BR"/>
        </w:rPr>
        <w:t>e</w:t>
      </w:r>
      <w:r w:rsidR="00276C4B">
        <w:rPr>
          <w:rFonts w:ascii="Times New Roman" w:hAnsi="Times New Roman"/>
          <w:lang w:val="pt-BR"/>
        </w:rPr>
        <w:t xml:space="preserve"> o índice </w:t>
      </w:r>
      <w:r w:rsidR="007C24EC" w:rsidRPr="007C24EC">
        <w:rPr>
          <w:rFonts w:ascii="Times New Roman" w:hAnsi="Times New Roman"/>
          <w:lang w:val="pt-BR"/>
        </w:rPr>
        <w:t>de iodo fo</w:t>
      </w:r>
      <w:r w:rsidR="00276C4B">
        <w:rPr>
          <w:rFonts w:ascii="Times New Roman" w:hAnsi="Times New Roman"/>
          <w:lang w:val="pt-BR"/>
        </w:rPr>
        <w:t>i</w:t>
      </w:r>
      <w:r w:rsidR="007C24EC" w:rsidRPr="007C24EC">
        <w:rPr>
          <w:rFonts w:ascii="Times New Roman" w:hAnsi="Times New Roman"/>
          <w:lang w:val="pt-BR"/>
        </w:rPr>
        <w:t xml:space="preserve"> determinado</w:t>
      </w:r>
      <w:r w:rsidR="00276C4B">
        <w:rPr>
          <w:rFonts w:ascii="Times New Roman" w:hAnsi="Times New Roman"/>
          <w:lang w:val="pt-BR"/>
        </w:rPr>
        <w:t xml:space="preserve"> utilizando</w:t>
      </w:r>
      <w:r w:rsidR="001F1FB6">
        <w:rPr>
          <w:rFonts w:ascii="Times New Roman" w:hAnsi="Times New Roman"/>
          <w:lang w:val="pt-BR"/>
        </w:rPr>
        <w:t xml:space="preserve"> o método </w:t>
      </w:r>
      <w:r w:rsidR="0024337E">
        <w:rPr>
          <w:rFonts w:ascii="Times New Roman" w:hAnsi="Times New Roman"/>
          <w:lang w:val="pt-BR"/>
        </w:rPr>
        <w:t xml:space="preserve">desenvolvido por </w:t>
      </w:r>
      <w:proofErr w:type="spellStart"/>
      <w:r w:rsidR="0024337E">
        <w:rPr>
          <w:rFonts w:ascii="Times New Roman" w:hAnsi="Times New Roman"/>
          <w:lang w:val="pt-BR"/>
        </w:rPr>
        <w:t>Hübl</w:t>
      </w:r>
      <w:proofErr w:type="spellEnd"/>
      <w:r w:rsidR="0024337E">
        <w:rPr>
          <w:rFonts w:ascii="Times New Roman" w:hAnsi="Times New Roman"/>
          <w:lang w:val="pt-BR"/>
        </w:rPr>
        <w:t xml:space="preserve"> (</w:t>
      </w:r>
      <w:r w:rsidR="009976FF">
        <w:rPr>
          <w:rFonts w:ascii="Times New Roman" w:hAnsi="Times New Roman"/>
          <w:lang w:val="pt-BR"/>
        </w:rPr>
        <w:t>1</w:t>
      </w:r>
      <w:r w:rsidR="00213725">
        <w:rPr>
          <w:rFonts w:ascii="Times New Roman" w:hAnsi="Times New Roman"/>
          <w:lang w:val="pt-BR"/>
        </w:rPr>
        <w:t>2</w:t>
      </w:r>
      <w:r w:rsidR="0024337E">
        <w:rPr>
          <w:rFonts w:ascii="Times New Roman" w:hAnsi="Times New Roman"/>
          <w:lang w:val="pt-BR"/>
        </w:rPr>
        <w:t>)</w:t>
      </w:r>
      <w:r w:rsidR="00276C4B">
        <w:rPr>
          <w:rFonts w:ascii="Times New Roman" w:hAnsi="Times New Roman"/>
          <w:lang w:val="pt-BR"/>
        </w:rPr>
        <w:t>.</w:t>
      </w:r>
      <w:r w:rsidR="0024337E">
        <w:rPr>
          <w:rFonts w:ascii="Times New Roman" w:hAnsi="Times New Roman"/>
          <w:lang w:val="pt-BR"/>
        </w:rPr>
        <w:t xml:space="preserve"> As</w:t>
      </w:r>
      <w:r w:rsidR="004E676D">
        <w:rPr>
          <w:rFonts w:ascii="Times New Roman" w:hAnsi="Times New Roman"/>
          <w:lang w:val="pt-BR"/>
        </w:rPr>
        <w:t xml:space="preserve"> </w:t>
      </w:r>
      <w:r w:rsidR="0024337E">
        <w:rPr>
          <w:rFonts w:ascii="Times New Roman" w:hAnsi="Times New Roman"/>
          <w:lang w:val="pt-BR"/>
        </w:rPr>
        <w:t>an</w:t>
      </w:r>
      <w:r w:rsidR="004E676D">
        <w:rPr>
          <w:rFonts w:ascii="Times New Roman" w:hAnsi="Times New Roman"/>
          <w:lang w:val="pt-BR"/>
        </w:rPr>
        <w:t>á</w:t>
      </w:r>
      <w:r w:rsidR="0024337E">
        <w:rPr>
          <w:rFonts w:ascii="Times New Roman" w:hAnsi="Times New Roman"/>
          <w:lang w:val="pt-BR"/>
        </w:rPr>
        <w:t xml:space="preserve">lises foram </w:t>
      </w:r>
      <w:r w:rsidR="004E676D">
        <w:rPr>
          <w:rFonts w:ascii="Times New Roman" w:hAnsi="Times New Roman"/>
          <w:lang w:val="pt-BR"/>
        </w:rPr>
        <w:t xml:space="preserve">realizadas </w:t>
      </w:r>
      <w:r w:rsidR="0024337E">
        <w:rPr>
          <w:rFonts w:ascii="Times New Roman" w:hAnsi="Times New Roman"/>
          <w:lang w:val="pt-BR"/>
        </w:rPr>
        <w:t>em triplicata</w:t>
      </w:r>
      <w:r w:rsidR="004E676D">
        <w:rPr>
          <w:rFonts w:ascii="Times New Roman" w:hAnsi="Times New Roman"/>
          <w:lang w:val="pt-BR"/>
        </w:rPr>
        <w:t>.</w:t>
      </w:r>
    </w:p>
    <w:p w14:paraId="3CB564B5" w14:textId="77777777" w:rsidR="005A6F99" w:rsidRDefault="005A6F99" w:rsidP="00EA4E1B">
      <w:pPr>
        <w:pStyle w:val="TAMainText"/>
        <w:ind w:firstLine="0"/>
        <w:rPr>
          <w:rFonts w:ascii="Times New Roman" w:hAnsi="Times New Roman"/>
          <w:i/>
          <w:lang w:val="pt-BR"/>
        </w:rPr>
      </w:pPr>
    </w:p>
    <w:p w14:paraId="7C4A4994" w14:textId="3FDABA67" w:rsidR="005A6F99" w:rsidRPr="001F25B2" w:rsidRDefault="00476DAA" w:rsidP="005A6F99">
      <w:pPr>
        <w:pStyle w:val="TAMainText"/>
        <w:ind w:firstLine="0"/>
        <w:rPr>
          <w:rFonts w:ascii="Times New Roman" w:hAnsi="Times New Roman"/>
          <w:i/>
          <w:lang w:val="pt-BR"/>
        </w:rPr>
      </w:pPr>
      <w:r>
        <w:rPr>
          <w:rFonts w:ascii="Times New Roman" w:hAnsi="Times New Roman"/>
          <w:i/>
          <w:lang w:val="pt-BR"/>
        </w:rPr>
        <w:t>Preparo do catalisador</w:t>
      </w:r>
      <w:r w:rsidR="005A6F99" w:rsidRPr="001F25B2">
        <w:rPr>
          <w:rFonts w:ascii="Times New Roman" w:hAnsi="Times New Roman"/>
          <w:i/>
          <w:lang w:val="pt-BR"/>
        </w:rPr>
        <w:t>.</w:t>
      </w:r>
    </w:p>
    <w:p w14:paraId="748DBAF5" w14:textId="18A0D765" w:rsidR="005A6F99" w:rsidRDefault="003E2333" w:rsidP="005C6976">
      <w:pPr>
        <w:pStyle w:val="Estilo1"/>
      </w:pPr>
      <w:r>
        <w:t>A</w:t>
      </w:r>
      <w:r w:rsidR="00FB0176" w:rsidRPr="00FB0176">
        <w:t xml:space="preserve"> </w:t>
      </w:r>
      <w:r w:rsidR="00FB0176">
        <w:t>matriz</w:t>
      </w:r>
      <w:r w:rsidR="00FB0176" w:rsidRPr="00FB0176">
        <w:t xml:space="preserve"> de </w:t>
      </w:r>
      <w:proofErr w:type="spellStart"/>
      <w:r w:rsidR="00FB0176" w:rsidRPr="00FB0176">
        <w:t>CaO</w:t>
      </w:r>
      <w:proofErr w:type="spellEnd"/>
      <w:r w:rsidR="00FB0176" w:rsidRPr="00FB0176">
        <w:t xml:space="preserve"> foi preparado a partir de</w:t>
      </w:r>
      <w:r w:rsidR="00FB0176">
        <w:t xml:space="preserve"> </w:t>
      </w:r>
      <w:r w:rsidR="00FB0176" w:rsidRPr="00FB0176">
        <w:t>cascas de ovos, que, incialmente, foram lavadas</w:t>
      </w:r>
      <w:r w:rsidR="00FB0176">
        <w:t xml:space="preserve"> </w:t>
      </w:r>
      <w:r w:rsidR="00FB0176" w:rsidRPr="00FB0176">
        <w:t xml:space="preserve">com água </w:t>
      </w:r>
      <w:r w:rsidR="00FB0176">
        <w:t>para</w:t>
      </w:r>
      <w:r w:rsidR="00FB0176" w:rsidRPr="00FB0176">
        <w:t xml:space="preserve"> a retirada da matéria orgânica</w:t>
      </w:r>
      <w:r w:rsidR="00FB0176">
        <w:t xml:space="preserve"> </w:t>
      </w:r>
      <w:r w:rsidR="00FB0176" w:rsidRPr="00FB0176">
        <w:t>bruta</w:t>
      </w:r>
      <w:r w:rsidR="00FB0176">
        <w:t xml:space="preserve"> solúvel</w:t>
      </w:r>
      <w:r w:rsidR="00FB0176" w:rsidRPr="00FB0176">
        <w:t>, fervidas em água durante 15 min</w:t>
      </w:r>
      <w:r w:rsidR="00F72C54">
        <w:t>utos</w:t>
      </w:r>
      <w:r w:rsidR="00FB0176" w:rsidRPr="00FB0176">
        <w:t xml:space="preserve"> e, então,</w:t>
      </w:r>
      <w:r w:rsidR="00FB0176">
        <w:t xml:space="preserve"> </w:t>
      </w:r>
      <w:r w:rsidR="00FB0176" w:rsidRPr="00FB0176">
        <w:t>colocadas em solução de ácido nítrico 6M por 10</w:t>
      </w:r>
      <w:r w:rsidR="00FB0176">
        <w:t xml:space="preserve"> </w:t>
      </w:r>
      <w:r w:rsidR="00FB0176" w:rsidRPr="00FB0176">
        <w:t>minutos. Após, foram lavadas com água destilada,</w:t>
      </w:r>
      <w:r w:rsidR="00FB0176">
        <w:t xml:space="preserve"> </w:t>
      </w:r>
      <w:r w:rsidR="00FB0176" w:rsidRPr="00FB0176">
        <w:t>secas a 105ºC durante 24h em estufa, cominuídas</w:t>
      </w:r>
      <w:r w:rsidR="00FB0176">
        <w:t xml:space="preserve"> </w:t>
      </w:r>
      <w:r w:rsidR="00FB0176" w:rsidRPr="00FB0176">
        <w:t>em almofariz com pistilo e classificadas</w:t>
      </w:r>
      <w:r w:rsidR="00FB0176">
        <w:t xml:space="preserve"> </w:t>
      </w:r>
      <w:r w:rsidR="00FB0176" w:rsidRPr="00FB0176">
        <w:t>com peneiras entre 32 e 24</w:t>
      </w:r>
      <w:r w:rsidR="00FB0176">
        <w:t xml:space="preserve"> </w:t>
      </w:r>
      <w:proofErr w:type="spellStart"/>
      <w:r w:rsidR="00FB0176" w:rsidRPr="00FB0176">
        <w:t>mesh</w:t>
      </w:r>
      <w:proofErr w:type="spellEnd"/>
      <w:r w:rsidR="00FB0176" w:rsidRPr="00FB0176">
        <w:t>. Por fim, as cascas foram calcinadas em</w:t>
      </w:r>
      <w:r w:rsidR="00FB0176">
        <w:t xml:space="preserve"> </w:t>
      </w:r>
      <w:r w:rsidR="00FB0176" w:rsidRPr="00FB0176">
        <w:t>mufla a 900ºC por 3,5h baseando-se no estudo de</w:t>
      </w:r>
      <w:r w:rsidR="00FB0176">
        <w:t xml:space="preserve"> </w:t>
      </w:r>
      <w:proofErr w:type="spellStart"/>
      <w:r w:rsidR="00FB0176" w:rsidRPr="00FB0176">
        <w:t>Birla</w:t>
      </w:r>
      <w:proofErr w:type="spellEnd"/>
      <w:r w:rsidR="00FB0176" w:rsidRPr="00FB0176">
        <w:t xml:space="preserve"> et al.</w:t>
      </w:r>
      <w:r w:rsidR="00FB0176">
        <w:t xml:space="preserve"> (</w:t>
      </w:r>
      <w:r w:rsidR="009976FF">
        <w:t>12</w:t>
      </w:r>
      <w:r w:rsidR="00FB0176">
        <w:t>).</w:t>
      </w:r>
    </w:p>
    <w:p w14:paraId="271F5BD1" w14:textId="323E84A2" w:rsidR="003130A9" w:rsidRDefault="003130A9" w:rsidP="005C6976">
      <w:pPr>
        <w:pStyle w:val="Estilo1"/>
      </w:pPr>
      <w:r w:rsidRPr="003130A9">
        <w:t xml:space="preserve">Foram sintetizados também catalisadores impregnados, utilizando o </w:t>
      </w:r>
      <w:proofErr w:type="spellStart"/>
      <w:r w:rsidRPr="003130A9">
        <w:t>CaO</w:t>
      </w:r>
      <w:proofErr w:type="spellEnd"/>
      <w:r w:rsidRPr="003130A9">
        <w:t xml:space="preserve"> obtido das cascas de ovo como suporte. A impregnação foi realizada através da via úmida, que consiste basicamente no uso de umidade em excesso. Foram preparados 3 catalisadores impregnados a partir dos nitratos metálicos: de alumínio, de </w:t>
      </w:r>
      <w:r w:rsidRPr="00BE4421">
        <w:t>zinco e de lantânio</w:t>
      </w:r>
      <w:r w:rsidR="004E676D" w:rsidRPr="00BE4421">
        <w:t>, considerando uma impregnação nominal de 10% em massa, em relação</w:t>
      </w:r>
      <w:r w:rsidR="004E676D">
        <w:t xml:space="preserve"> ao suporte</w:t>
      </w:r>
      <w:r w:rsidRPr="003130A9">
        <w:t xml:space="preserve">. Em cada síntese, o nitrato foi dissolvido em água e então o suporte foi adicionado </w:t>
      </w:r>
      <w:proofErr w:type="spellStart"/>
      <w:r w:rsidRPr="003130A9">
        <w:t>CaO</w:t>
      </w:r>
      <w:proofErr w:type="spellEnd"/>
      <w:r w:rsidRPr="003130A9">
        <w:t xml:space="preserve">, permanecendo sob agitação por 4 horas. Os catalisadores foram secos em estufa durante 24 h, separados </w:t>
      </w:r>
      <w:proofErr w:type="spellStart"/>
      <w:r w:rsidRPr="003130A9">
        <w:t>granulometricamente</w:t>
      </w:r>
      <w:proofErr w:type="spellEnd"/>
      <w:r w:rsidRPr="003130A9">
        <w:t xml:space="preserve"> e calcinados em mufla a 900ºC por 3,5h e armazenadas em dessecador.</w:t>
      </w:r>
    </w:p>
    <w:p w14:paraId="73E371D9" w14:textId="77777777" w:rsidR="00ED3CD8" w:rsidRDefault="00ED3CD8" w:rsidP="003130A9">
      <w:pPr>
        <w:pStyle w:val="TAMainText"/>
        <w:rPr>
          <w:rFonts w:ascii="Times New Roman" w:hAnsi="Times New Roman"/>
          <w:lang w:val="pt-BR"/>
        </w:rPr>
      </w:pPr>
    </w:p>
    <w:p w14:paraId="53DDCD53" w14:textId="600B086C" w:rsidR="004B0FD4" w:rsidRDefault="00ED3CD8" w:rsidP="004B0FD4">
      <w:pPr>
        <w:pStyle w:val="TAMainText"/>
        <w:ind w:firstLine="0"/>
        <w:rPr>
          <w:rFonts w:ascii="Times New Roman" w:hAnsi="Times New Roman"/>
          <w:lang w:val="pt-BR"/>
        </w:rPr>
      </w:pPr>
      <w:r>
        <w:rPr>
          <w:rFonts w:ascii="Times New Roman" w:hAnsi="Times New Roman"/>
          <w:i/>
          <w:lang w:val="pt-BR"/>
        </w:rPr>
        <w:t>Síntese Heterogênea</w:t>
      </w:r>
    </w:p>
    <w:p w14:paraId="099441A9" w14:textId="11E3394E" w:rsidR="000E7CA8" w:rsidRDefault="000E7CA8" w:rsidP="000E7CA8">
      <w:pPr>
        <w:pStyle w:val="TAMainText"/>
        <w:rPr>
          <w:rFonts w:ascii="Times New Roman" w:hAnsi="Times New Roman"/>
          <w:lang w:val="pt-BR"/>
        </w:rPr>
      </w:pPr>
      <w:r w:rsidRPr="000E7CA8">
        <w:rPr>
          <w:rFonts w:ascii="Times New Roman" w:hAnsi="Times New Roman"/>
          <w:lang w:val="pt-BR"/>
        </w:rPr>
        <w:t>As sínteses</w:t>
      </w:r>
      <w:r w:rsidR="00ED3CD8">
        <w:rPr>
          <w:rFonts w:ascii="Times New Roman" w:hAnsi="Times New Roman"/>
          <w:lang w:val="pt-BR"/>
        </w:rPr>
        <w:t xml:space="preserve"> heterogêneas</w:t>
      </w:r>
      <w:r w:rsidRPr="000E7CA8">
        <w:rPr>
          <w:rFonts w:ascii="Times New Roman" w:hAnsi="Times New Roman"/>
          <w:lang w:val="pt-BR"/>
        </w:rPr>
        <w:t xml:space="preserve"> de biodiesel foram realizadas em</w:t>
      </w:r>
      <w:r>
        <w:rPr>
          <w:rFonts w:ascii="Times New Roman" w:hAnsi="Times New Roman"/>
          <w:lang w:val="pt-BR"/>
        </w:rPr>
        <w:t xml:space="preserve"> </w:t>
      </w:r>
      <w:r w:rsidRPr="000E7CA8">
        <w:rPr>
          <w:rFonts w:ascii="Times New Roman" w:hAnsi="Times New Roman"/>
          <w:lang w:val="pt-BR"/>
        </w:rPr>
        <w:t>escala de bancada a 60ºC, sob agitação, durante 5h.</w:t>
      </w:r>
      <w:r>
        <w:rPr>
          <w:rFonts w:ascii="Times New Roman" w:hAnsi="Times New Roman"/>
          <w:lang w:val="pt-BR"/>
        </w:rPr>
        <w:t xml:space="preserve">   </w:t>
      </w:r>
      <w:r w:rsidR="00862A10" w:rsidRPr="000E7CA8">
        <w:rPr>
          <w:rFonts w:ascii="Times New Roman" w:hAnsi="Times New Roman"/>
          <w:lang w:val="pt-BR"/>
        </w:rPr>
        <w:t>Utilizou-se um balão de fundo redondo com três</w:t>
      </w:r>
      <w:r w:rsidR="00862A10">
        <w:rPr>
          <w:rFonts w:ascii="Times New Roman" w:hAnsi="Times New Roman"/>
          <w:lang w:val="pt-BR"/>
        </w:rPr>
        <w:t xml:space="preserve"> </w:t>
      </w:r>
      <w:r w:rsidR="00862A10" w:rsidRPr="000E7CA8">
        <w:rPr>
          <w:rFonts w:ascii="Times New Roman" w:hAnsi="Times New Roman"/>
          <w:lang w:val="pt-BR"/>
        </w:rPr>
        <w:t xml:space="preserve">bocas, </w:t>
      </w:r>
      <w:r w:rsidR="00862A10">
        <w:rPr>
          <w:rFonts w:ascii="Times New Roman" w:hAnsi="Times New Roman"/>
          <w:lang w:val="pt-BR"/>
        </w:rPr>
        <w:t>com um</w:t>
      </w:r>
      <w:r w:rsidR="00862A10" w:rsidRPr="000E7CA8">
        <w:rPr>
          <w:rFonts w:ascii="Times New Roman" w:hAnsi="Times New Roman"/>
          <w:lang w:val="pt-BR"/>
        </w:rPr>
        <w:t xml:space="preserve"> termômetro embutido para controle da temperatura, um condensador conectado a</w:t>
      </w:r>
      <w:r w:rsidR="00862A10">
        <w:rPr>
          <w:rFonts w:ascii="Times New Roman" w:hAnsi="Times New Roman"/>
          <w:lang w:val="pt-BR"/>
        </w:rPr>
        <w:t xml:space="preserve"> um</w:t>
      </w:r>
      <w:r w:rsidR="00862A10" w:rsidRPr="000E7CA8">
        <w:rPr>
          <w:rFonts w:ascii="Times New Roman" w:hAnsi="Times New Roman"/>
          <w:lang w:val="pt-BR"/>
        </w:rPr>
        <w:t xml:space="preserve"> banho</w:t>
      </w:r>
      <w:r w:rsidR="00862A10">
        <w:rPr>
          <w:rFonts w:ascii="Times New Roman" w:hAnsi="Times New Roman"/>
          <w:lang w:val="pt-BR"/>
        </w:rPr>
        <w:t xml:space="preserve"> </w:t>
      </w:r>
      <w:r w:rsidR="00862A10" w:rsidRPr="000E7CA8">
        <w:rPr>
          <w:rFonts w:ascii="Times New Roman" w:hAnsi="Times New Roman"/>
          <w:lang w:val="pt-BR"/>
        </w:rPr>
        <w:t>ultra termostático</w:t>
      </w:r>
      <w:r w:rsidR="00862A10">
        <w:rPr>
          <w:rFonts w:ascii="Times New Roman" w:hAnsi="Times New Roman"/>
          <w:lang w:val="pt-BR"/>
        </w:rPr>
        <w:t xml:space="preserve"> a 10</w:t>
      </w:r>
      <w:r w:rsidR="00862A10" w:rsidRPr="00ED3CD8">
        <w:rPr>
          <w:rFonts w:ascii="Times New Roman" w:hAnsi="Times New Roman"/>
          <w:lang w:val="pt-BR"/>
        </w:rPr>
        <w:t xml:space="preserve"> </w:t>
      </w:r>
      <w:r w:rsidR="00862A10" w:rsidRPr="000E7CA8">
        <w:rPr>
          <w:rFonts w:ascii="Times New Roman" w:hAnsi="Times New Roman"/>
          <w:lang w:val="pt-BR"/>
        </w:rPr>
        <w:t>ºC e</w:t>
      </w:r>
      <w:r w:rsidR="00862A10">
        <w:rPr>
          <w:rFonts w:ascii="Times New Roman" w:hAnsi="Times New Roman"/>
          <w:lang w:val="pt-BR"/>
        </w:rPr>
        <w:t xml:space="preserve"> uma das bocas utilizadas para adição dos reagen</w:t>
      </w:r>
      <w:r w:rsidR="006A6420">
        <w:rPr>
          <w:rFonts w:ascii="Times New Roman" w:hAnsi="Times New Roman"/>
          <w:lang w:val="pt-BR"/>
        </w:rPr>
        <w:t>t</w:t>
      </w:r>
      <w:r w:rsidR="00862A10">
        <w:rPr>
          <w:rFonts w:ascii="Times New Roman" w:hAnsi="Times New Roman"/>
          <w:lang w:val="pt-BR"/>
        </w:rPr>
        <w:t>es, que foi mantida hermeticamente fechada</w:t>
      </w:r>
      <w:r w:rsidR="00862A10" w:rsidRPr="000E7CA8">
        <w:rPr>
          <w:rFonts w:ascii="Times New Roman" w:hAnsi="Times New Roman"/>
          <w:lang w:val="pt-BR"/>
        </w:rPr>
        <w:t>.</w:t>
      </w:r>
    </w:p>
    <w:p w14:paraId="0267DBFF" w14:textId="20F3B05B" w:rsidR="003D3B9A" w:rsidRDefault="003D3B9A" w:rsidP="003D3B9A">
      <w:pPr>
        <w:pStyle w:val="TAMainText"/>
        <w:rPr>
          <w:rFonts w:ascii="Times New Roman" w:hAnsi="Times New Roman"/>
          <w:lang w:val="pt-BR"/>
        </w:rPr>
      </w:pPr>
      <w:r w:rsidRPr="003D3B9A">
        <w:rPr>
          <w:rFonts w:ascii="Times New Roman" w:hAnsi="Times New Roman"/>
          <w:lang w:val="pt-BR"/>
        </w:rPr>
        <w:t>Foram utilizados 100 m</w:t>
      </w:r>
      <w:r w:rsidR="00A13E4C">
        <w:rPr>
          <w:rFonts w:ascii="Times New Roman" w:hAnsi="Times New Roman"/>
          <w:lang w:val="pt-BR"/>
        </w:rPr>
        <w:t>L</w:t>
      </w:r>
      <w:r w:rsidRPr="003D3B9A">
        <w:rPr>
          <w:rFonts w:ascii="Times New Roman" w:hAnsi="Times New Roman"/>
          <w:lang w:val="pt-BR"/>
        </w:rPr>
        <w:t xml:space="preserve"> do óleo de fritura</w:t>
      </w:r>
      <w:r>
        <w:rPr>
          <w:rFonts w:ascii="Times New Roman" w:hAnsi="Times New Roman"/>
          <w:lang w:val="pt-BR"/>
        </w:rPr>
        <w:t xml:space="preserve"> </w:t>
      </w:r>
      <w:r w:rsidRPr="003D3B9A">
        <w:rPr>
          <w:rFonts w:ascii="Times New Roman" w:hAnsi="Times New Roman"/>
          <w:lang w:val="pt-BR"/>
        </w:rPr>
        <w:t xml:space="preserve">tratado, </w:t>
      </w:r>
      <w:r>
        <w:rPr>
          <w:rFonts w:ascii="Times New Roman" w:hAnsi="Times New Roman"/>
          <w:lang w:val="pt-BR"/>
        </w:rPr>
        <w:t>50</w:t>
      </w:r>
      <w:r w:rsidRPr="003D3B9A">
        <w:rPr>
          <w:rFonts w:ascii="Times New Roman" w:hAnsi="Times New Roman"/>
          <w:lang w:val="pt-BR"/>
        </w:rPr>
        <w:t xml:space="preserve"> m</w:t>
      </w:r>
      <w:r w:rsidR="00A13E4C">
        <w:rPr>
          <w:rFonts w:ascii="Times New Roman" w:hAnsi="Times New Roman"/>
          <w:lang w:val="pt-BR"/>
        </w:rPr>
        <w:t>L</w:t>
      </w:r>
      <w:r w:rsidRPr="003D3B9A">
        <w:rPr>
          <w:rFonts w:ascii="Times New Roman" w:hAnsi="Times New Roman"/>
          <w:lang w:val="pt-BR"/>
        </w:rPr>
        <w:t xml:space="preserve"> de metanol e </w:t>
      </w:r>
      <w:r>
        <w:rPr>
          <w:rFonts w:ascii="Times New Roman" w:hAnsi="Times New Roman"/>
          <w:lang w:val="pt-BR"/>
        </w:rPr>
        <w:t>6g</w:t>
      </w:r>
      <w:r w:rsidRPr="003D3B9A">
        <w:rPr>
          <w:rFonts w:ascii="Times New Roman" w:hAnsi="Times New Roman"/>
          <w:lang w:val="pt-BR"/>
        </w:rPr>
        <w:t xml:space="preserve"> de</w:t>
      </w:r>
      <w:r>
        <w:rPr>
          <w:rFonts w:ascii="Times New Roman" w:hAnsi="Times New Roman"/>
          <w:lang w:val="pt-BR"/>
        </w:rPr>
        <w:t xml:space="preserve"> </w:t>
      </w:r>
      <w:r w:rsidRPr="003D3B9A">
        <w:rPr>
          <w:rFonts w:ascii="Times New Roman" w:hAnsi="Times New Roman"/>
          <w:lang w:val="pt-BR"/>
        </w:rPr>
        <w:t>catalisador</w:t>
      </w:r>
      <w:r>
        <w:rPr>
          <w:rFonts w:ascii="Times New Roman" w:hAnsi="Times New Roman"/>
          <w:lang w:val="pt-BR"/>
        </w:rPr>
        <w:t>, para os impregnados estas quantidades foram reduzidas pela metade.</w:t>
      </w:r>
    </w:p>
    <w:p w14:paraId="4F5B6A2A" w14:textId="0C7A6B48" w:rsidR="00704B50" w:rsidRDefault="00704B50" w:rsidP="003D3B9A">
      <w:pPr>
        <w:pStyle w:val="TAMainText"/>
        <w:rPr>
          <w:rFonts w:ascii="Times New Roman" w:hAnsi="Times New Roman"/>
          <w:lang w:val="pt-BR"/>
        </w:rPr>
      </w:pPr>
      <w:r>
        <w:rPr>
          <w:rFonts w:ascii="Times New Roman" w:hAnsi="Times New Roman"/>
          <w:lang w:val="pt-BR"/>
        </w:rPr>
        <w:t>Primeiramente adicionou-se o catalisador e o metanol, estes foram aquecidos até a temperatura de 60</w:t>
      </w:r>
      <w:r w:rsidRPr="00704B50">
        <w:rPr>
          <w:rFonts w:ascii="Times New Roman" w:hAnsi="Times New Roman"/>
          <w:lang w:val="pt-BR"/>
        </w:rPr>
        <w:t xml:space="preserve"> </w:t>
      </w:r>
      <w:r w:rsidRPr="000E7CA8">
        <w:rPr>
          <w:rFonts w:ascii="Times New Roman" w:hAnsi="Times New Roman"/>
          <w:lang w:val="pt-BR"/>
        </w:rPr>
        <w:t>ºC</w:t>
      </w:r>
      <w:r>
        <w:rPr>
          <w:rFonts w:ascii="Times New Roman" w:hAnsi="Times New Roman"/>
          <w:lang w:val="pt-BR"/>
        </w:rPr>
        <w:t xml:space="preserve"> após 15 minutos foi adicionado o óleo pré-aquecido a 60</w:t>
      </w:r>
      <w:r w:rsidRPr="00704B50">
        <w:rPr>
          <w:rFonts w:ascii="Times New Roman" w:hAnsi="Times New Roman"/>
          <w:lang w:val="pt-BR"/>
        </w:rPr>
        <w:t xml:space="preserve"> </w:t>
      </w:r>
      <w:r w:rsidRPr="000E7CA8">
        <w:rPr>
          <w:rFonts w:ascii="Times New Roman" w:hAnsi="Times New Roman"/>
          <w:lang w:val="pt-BR"/>
        </w:rPr>
        <w:t>ºC</w:t>
      </w:r>
      <w:r>
        <w:rPr>
          <w:rFonts w:ascii="Times New Roman" w:hAnsi="Times New Roman"/>
          <w:lang w:val="pt-BR"/>
        </w:rPr>
        <w:t>.</w:t>
      </w:r>
    </w:p>
    <w:p w14:paraId="2FC71741" w14:textId="700A63B5" w:rsidR="00372AF7" w:rsidRDefault="00372AF7" w:rsidP="00372AF7">
      <w:pPr>
        <w:pStyle w:val="TAMainText"/>
        <w:rPr>
          <w:rFonts w:ascii="Times New Roman" w:hAnsi="Times New Roman"/>
          <w:lang w:val="pt-BR"/>
        </w:rPr>
      </w:pPr>
      <w:r>
        <w:rPr>
          <w:rFonts w:ascii="Times New Roman" w:hAnsi="Times New Roman"/>
          <w:lang w:val="pt-BR"/>
        </w:rPr>
        <w:t xml:space="preserve">Após a reação o biodiesel foi filtrado em funil de </w:t>
      </w:r>
      <w:proofErr w:type="spellStart"/>
      <w:r>
        <w:rPr>
          <w:rFonts w:ascii="Times New Roman" w:hAnsi="Times New Roman"/>
          <w:lang w:val="pt-BR"/>
        </w:rPr>
        <w:t>Büchner</w:t>
      </w:r>
      <w:proofErr w:type="spellEnd"/>
      <w:r>
        <w:rPr>
          <w:rFonts w:ascii="Times New Roman" w:hAnsi="Times New Roman"/>
          <w:lang w:val="pt-BR"/>
        </w:rPr>
        <w:t xml:space="preserve"> para a remoção do catalisador e colocado em funil de decantação por 12 horas</w:t>
      </w:r>
      <w:r w:rsidRPr="00372AF7">
        <w:rPr>
          <w:rFonts w:ascii="Times New Roman" w:hAnsi="Times New Roman"/>
          <w:lang w:val="pt-BR"/>
        </w:rPr>
        <w:t xml:space="preserve"> </w:t>
      </w:r>
      <w:r>
        <w:rPr>
          <w:rFonts w:ascii="Times New Roman" w:hAnsi="Times New Roman"/>
          <w:lang w:val="pt-BR"/>
        </w:rPr>
        <w:t>para ser separado da camada de glicerina</w:t>
      </w:r>
      <w:r w:rsidR="00D52615">
        <w:rPr>
          <w:rFonts w:ascii="Times New Roman" w:hAnsi="Times New Roman"/>
          <w:lang w:val="pt-BR"/>
        </w:rPr>
        <w:t>.</w:t>
      </w:r>
    </w:p>
    <w:p w14:paraId="7EC0A5E0" w14:textId="5061C2EC" w:rsidR="000E7CA8" w:rsidRDefault="000E7CA8" w:rsidP="004B0FD4">
      <w:pPr>
        <w:pStyle w:val="TAMainText"/>
        <w:ind w:firstLine="0"/>
        <w:rPr>
          <w:rFonts w:ascii="Times New Roman" w:hAnsi="Times New Roman"/>
          <w:lang w:val="pt-BR"/>
        </w:rPr>
      </w:pPr>
    </w:p>
    <w:p w14:paraId="01055484" w14:textId="53324D31" w:rsidR="004B0FD4" w:rsidRPr="001F25B2" w:rsidRDefault="004B0FD4" w:rsidP="004B0FD4">
      <w:pPr>
        <w:pStyle w:val="TAMainText"/>
        <w:ind w:firstLine="0"/>
        <w:rPr>
          <w:rFonts w:ascii="Times New Roman" w:hAnsi="Times New Roman"/>
          <w:i/>
          <w:lang w:val="pt-BR"/>
        </w:rPr>
      </w:pPr>
      <w:r>
        <w:rPr>
          <w:rFonts w:ascii="Times New Roman" w:hAnsi="Times New Roman"/>
          <w:i/>
          <w:lang w:val="pt-BR"/>
        </w:rPr>
        <w:t>Síntese Homogênea.</w:t>
      </w:r>
    </w:p>
    <w:p w14:paraId="59D93E95" w14:textId="5C90FC85" w:rsidR="00862A10" w:rsidRDefault="004B0FD4" w:rsidP="00862A10">
      <w:pPr>
        <w:pStyle w:val="TAMainText"/>
        <w:rPr>
          <w:rFonts w:ascii="Times New Roman" w:hAnsi="Times New Roman"/>
          <w:lang w:val="pt-BR"/>
        </w:rPr>
      </w:pPr>
      <w:r>
        <w:rPr>
          <w:rFonts w:ascii="Times New Roman" w:hAnsi="Times New Roman"/>
          <w:lang w:val="pt-BR"/>
        </w:rPr>
        <w:t xml:space="preserve">   </w:t>
      </w:r>
      <w:r w:rsidR="00862A10" w:rsidRPr="000E7CA8">
        <w:rPr>
          <w:rFonts w:ascii="Times New Roman" w:hAnsi="Times New Roman"/>
          <w:lang w:val="pt-BR"/>
        </w:rPr>
        <w:t>A síntese</w:t>
      </w:r>
      <w:r w:rsidR="00862A10">
        <w:rPr>
          <w:rFonts w:ascii="Times New Roman" w:hAnsi="Times New Roman"/>
          <w:lang w:val="pt-BR"/>
        </w:rPr>
        <w:t xml:space="preserve"> homogênea</w:t>
      </w:r>
      <w:r w:rsidR="00862A10" w:rsidRPr="000E7CA8">
        <w:rPr>
          <w:rFonts w:ascii="Times New Roman" w:hAnsi="Times New Roman"/>
          <w:lang w:val="pt-BR"/>
        </w:rPr>
        <w:t xml:space="preserve"> de biodiesel fo</w:t>
      </w:r>
      <w:r w:rsidR="00862A10">
        <w:rPr>
          <w:rFonts w:ascii="Times New Roman" w:hAnsi="Times New Roman"/>
          <w:lang w:val="pt-BR"/>
        </w:rPr>
        <w:t>i</w:t>
      </w:r>
      <w:r w:rsidR="00862A10" w:rsidRPr="000E7CA8">
        <w:rPr>
          <w:rFonts w:ascii="Times New Roman" w:hAnsi="Times New Roman"/>
          <w:lang w:val="pt-BR"/>
        </w:rPr>
        <w:t xml:space="preserve"> realizada em</w:t>
      </w:r>
      <w:r w:rsidR="00862A10">
        <w:rPr>
          <w:rFonts w:ascii="Times New Roman" w:hAnsi="Times New Roman"/>
          <w:lang w:val="pt-BR"/>
        </w:rPr>
        <w:t xml:space="preserve"> </w:t>
      </w:r>
      <w:r w:rsidR="00862A10" w:rsidRPr="000E7CA8">
        <w:rPr>
          <w:rFonts w:ascii="Times New Roman" w:hAnsi="Times New Roman"/>
          <w:lang w:val="pt-BR"/>
        </w:rPr>
        <w:t xml:space="preserve">escala de bancada a 60ºC, sob agitação, durante </w:t>
      </w:r>
      <w:r w:rsidR="00862A10">
        <w:rPr>
          <w:rFonts w:ascii="Times New Roman" w:hAnsi="Times New Roman"/>
          <w:lang w:val="pt-BR"/>
        </w:rPr>
        <w:t>1</w:t>
      </w:r>
      <w:r w:rsidR="00862A10" w:rsidRPr="000E7CA8">
        <w:rPr>
          <w:rFonts w:ascii="Times New Roman" w:hAnsi="Times New Roman"/>
          <w:lang w:val="pt-BR"/>
        </w:rPr>
        <w:t>h.</w:t>
      </w:r>
      <w:r w:rsidR="00862A10">
        <w:rPr>
          <w:rFonts w:ascii="Times New Roman" w:hAnsi="Times New Roman"/>
          <w:lang w:val="pt-BR"/>
        </w:rPr>
        <w:t xml:space="preserve">   </w:t>
      </w:r>
      <w:r w:rsidR="00862A10" w:rsidRPr="000E7CA8">
        <w:rPr>
          <w:rFonts w:ascii="Times New Roman" w:hAnsi="Times New Roman"/>
          <w:lang w:val="pt-BR"/>
        </w:rPr>
        <w:t>Utilizou-se um balão de fundo redondo com três</w:t>
      </w:r>
      <w:r w:rsidR="00862A10">
        <w:rPr>
          <w:rFonts w:ascii="Times New Roman" w:hAnsi="Times New Roman"/>
          <w:lang w:val="pt-BR"/>
        </w:rPr>
        <w:t xml:space="preserve"> </w:t>
      </w:r>
      <w:r w:rsidR="00862A10" w:rsidRPr="000E7CA8">
        <w:rPr>
          <w:rFonts w:ascii="Times New Roman" w:hAnsi="Times New Roman"/>
          <w:lang w:val="pt-BR"/>
        </w:rPr>
        <w:t xml:space="preserve">bocas, </w:t>
      </w:r>
      <w:r w:rsidR="00862A10">
        <w:rPr>
          <w:rFonts w:ascii="Times New Roman" w:hAnsi="Times New Roman"/>
          <w:lang w:val="pt-BR"/>
        </w:rPr>
        <w:t>com um</w:t>
      </w:r>
      <w:r w:rsidR="00862A10" w:rsidRPr="000E7CA8">
        <w:rPr>
          <w:rFonts w:ascii="Times New Roman" w:hAnsi="Times New Roman"/>
          <w:lang w:val="pt-BR"/>
        </w:rPr>
        <w:t xml:space="preserve"> termômetro embutido para controle da temperatura, um condensador conectado a</w:t>
      </w:r>
      <w:r w:rsidR="00862A10">
        <w:rPr>
          <w:rFonts w:ascii="Times New Roman" w:hAnsi="Times New Roman"/>
          <w:lang w:val="pt-BR"/>
        </w:rPr>
        <w:t xml:space="preserve"> um</w:t>
      </w:r>
      <w:r w:rsidR="00862A10" w:rsidRPr="000E7CA8">
        <w:rPr>
          <w:rFonts w:ascii="Times New Roman" w:hAnsi="Times New Roman"/>
          <w:lang w:val="pt-BR"/>
        </w:rPr>
        <w:t xml:space="preserve"> banho</w:t>
      </w:r>
      <w:r w:rsidR="00862A10">
        <w:rPr>
          <w:rFonts w:ascii="Times New Roman" w:hAnsi="Times New Roman"/>
          <w:lang w:val="pt-BR"/>
        </w:rPr>
        <w:t xml:space="preserve"> </w:t>
      </w:r>
      <w:r w:rsidR="00862A10" w:rsidRPr="000E7CA8">
        <w:rPr>
          <w:rFonts w:ascii="Times New Roman" w:hAnsi="Times New Roman"/>
          <w:lang w:val="pt-BR"/>
        </w:rPr>
        <w:t>ultra termostático</w:t>
      </w:r>
      <w:r w:rsidR="00862A10">
        <w:rPr>
          <w:rFonts w:ascii="Times New Roman" w:hAnsi="Times New Roman"/>
          <w:lang w:val="pt-BR"/>
        </w:rPr>
        <w:t xml:space="preserve"> a 10</w:t>
      </w:r>
      <w:r w:rsidR="00862A10" w:rsidRPr="00ED3CD8">
        <w:rPr>
          <w:rFonts w:ascii="Times New Roman" w:hAnsi="Times New Roman"/>
          <w:lang w:val="pt-BR"/>
        </w:rPr>
        <w:t xml:space="preserve"> </w:t>
      </w:r>
      <w:r w:rsidR="00862A10" w:rsidRPr="000E7CA8">
        <w:rPr>
          <w:rFonts w:ascii="Times New Roman" w:hAnsi="Times New Roman"/>
          <w:lang w:val="pt-BR"/>
        </w:rPr>
        <w:t>ºC e</w:t>
      </w:r>
      <w:r w:rsidR="00862A10">
        <w:rPr>
          <w:rFonts w:ascii="Times New Roman" w:hAnsi="Times New Roman"/>
          <w:lang w:val="pt-BR"/>
        </w:rPr>
        <w:t xml:space="preserve"> uma das bocas utilizadas para adição dos reagen</w:t>
      </w:r>
      <w:r w:rsidR="006A6420">
        <w:rPr>
          <w:rFonts w:ascii="Times New Roman" w:hAnsi="Times New Roman"/>
          <w:lang w:val="pt-BR"/>
        </w:rPr>
        <w:t>t</w:t>
      </w:r>
      <w:r w:rsidR="00862A10">
        <w:rPr>
          <w:rFonts w:ascii="Times New Roman" w:hAnsi="Times New Roman"/>
          <w:lang w:val="pt-BR"/>
        </w:rPr>
        <w:t>es, que foi mantida hermeticamente fechada</w:t>
      </w:r>
      <w:r w:rsidR="00862A10" w:rsidRPr="000E7CA8">
        <w:rPr>
          <w:rFonts w:ascii="Times New Roman" w:hAnsi="Times New Roman"/>
          <w:lang w:val="pt-BR"/>
        </w:rPr>
        <w:t>.</w:t>
      </w:r>
    </w:p>
    <w:p w14:paraId="7E42D24F" w14:textId="5EA7AB5C" w:rsidR="00862A10" w:rsidRDefault="00862A10" w:rsidP="00862A10">
      <w:pPr>
        <w:pStyle w:val="TAMainText"/>
        <w:rPr>
          <w:rFonts w:ascii="Times New Roman" w:hAnsi="Times New Roman"/>
          <w:lang w:val="pt-BR"/>
        </w:rPr>
      </w:pPr>
      <w:r w:rsidRPr="003D3B9A">
        <w:rPr>
          <w:rFonts w:ascii="Times New Roman" w:hAnsi="Times New Roman"/>
          <w:lang w:val="pt-BR"/>
        </w:rPr>
        <w:t>Foram utilizados 100 m</w:t>
      </w:r>
      <w:r w:rsidR="00A13E4C">
        <w:rPr>
          <w:rFonts w:ascii="Times New Roman" w:hAnsi="Times New Roman"/>
          <w:lang w:val="pt-BR"/>
        </w:rPr>
        <w:t>L</w:t>
      </w:r>
      <w:r w:rsidRPr="003D3B9A">
        <w:rPr>
          <w:rFonts w:ascii="Times New Roman" w:hAnsi="Times New Roman"/>
          <w:lang w:val="pt-BR"/>
        </w:rPr>
        <w:t xml:space="preserve"> do óleo de fritura</w:t>
      </w:r>
      <w:r>
        <w:rPr>
          <w:rFonts w:ascii="Times New Roman" w:hAnsi="Times New Roman"/>
          <w:lang w:val="pt-BR"/>
        </w:rPr>
        <w:t xml:space="preserve"> </w:t>
      </w:r>
      <w:r w:rsidRPr="003D3B9A">
        <w:rPr>
          <w:rFonts w:ascii="Times New Roman" w:hAnsi="Times New Roman"/>
          <w:lang w:val="pt-BR"/>
        </w:rPr>
        <w:t xml:space="preserve">tratado, </w:t>
      </w:r>
      <w:r w:rsidR="00270C67">
        <w:rPr>
          <w:rFonts w:ascii="Times New Roman" w:hAnsi="Times New Roman"/>
          <w:lang w:val="pt-BR"/>
        </w:rPr>
        <w:t xml:space="preserve">25 </w:t>
      </w:r>
      <w:r w:rsidRPr="003D3B9A">
        <w:rPr>
          <w:rFonts w:ascii="Times New Roman" w:hAnsi="Times New Roman"/>
          <w:lang w:val="pt-BR"/>
        </w:rPr>
        <w:t>m</w:t>
      </w:r>
      <w:r w:rsidR="00A13E4C">
        <w:rPr>
          <w:rFonts w:ascii="Times New Roman" w:hAnsi="Times New Roman"/>
          <w:lang w:val="pt-BR"/>
        </w:rPr>
        <w:t>L</w:t>
      </w:r>
      <w:r w:rsidRPr="003D3B9A">
        <w:rPr>
          <w:rFonts w:ascii="Times New Roman" w:hAnsi="Times New Roman"/>
          <w:lang w:val="pt-BR"/>
        </w:rPr>
        <w:t xml:space="preserve"> de metanol e </w:t>
      </w:r>
      <w:r>
        <w:rPr>
          <w:rFonts w:ascii="Times New Roman" w:hAnsi="Times New Roman"/>
          <w:lang w:val="pt-BR"/>
        </w:rPr>
        <w:t>0,8g</w:t>
      </w:r>
      <w:r w:rsidRPr="003D3B9A">
        <w:rPr>
          <w:rFonts w:ascii="Times New Roman" w:hAnsi="Times New Roman"/>
          <w:lang w:val="pt-BR"/>
        </w:rPr>
        <w:t xml:space="preserve"> de</w:t>
      </w:r>
      <w:r>
        <w:rPr>
          <w:rFonts w:ascii="Times New Roman" w:hAnsi="Times New Roman"/>
          <w:lang w:val="pt-BR"/>
        </w:rPr>
        <w:t xml:space="preserve"> </w:t>
      </w:r>
      <w:r w:rsidRPr="003D3B9A">
        <w:rPr>
          <w:rFonts w:ascii="Times New Roman" w:hAnsi="Times New Roman"/>
          <w:lang w:val="pt-BR"/>
        </w:rPr>
        <w:t>catalisador</w:t>
      </w:r>
      <w:r>
        <w:rPr>
          <w:rFonts w:ascii="Times New Roman" w:hAnsi="Times New Roman"/>
          <w:lang w:val="pt-BR"/>
        </w:rPr>
        <w:t xml:space="preserve"> </w:t>
      </w:r>
      <w:proofErr w:type="spellStart"/>
      <w:r>
        <w:rPr>
          <w:rFonts w:ascii="Times New Roman" w:hAnsi="Times New Roman"/>
          <w:lang w:val="pt-BR"/>
        </w:rPr>
        <w:t>NaOH</w:t>
      </w:r>
      <w:proofErr w:type="spellEnd"/>
      <w:r>
        <w:rPr>
          <w:rFonts w:ascii="Times New Roman" w:hAnsi="Times New Roman"/>
          <w:lang w:val="pt-BR"/>
        </w:rPr>
        <w:t>.</w:t>
      </w:r>
    </w:p>
    <w:p w14:paraId="32F4D959" w14:textId="30686E66" w:rsidR="004B0FD4" w:rsidRDefault="00704B50" w:rsidP="00704B50">
      <w:pPr>
        <w:pStyle w:val="TAMainText"/>
        <w:rPr>
          <w:rFonts w:ascii="Times New Roman" w:hAnsi="Times New Roman"/>
          <w:lang w:val="pt-BR"/>
        </w:rPr>
      </w:pPr>
      <w:r>
        <w:rPr>
          <w:rFonts w:ascii="Times New Roman" w:hAnsi="Times New Roman"/>
          <w:lang w:val="pt-BR"/>
        </w:rPr>
        <w:t>Primeiramente adicionou-se o catalisador e o metanol, estes foram aquecidos até a temperatura de 60</w:t>
      </w:r>
      <w:r w:rsidRPr="000E7CA8">
        <w:rPr>
          <w:rFonts w:ascii="Times New Roman" w:hAnsi="Times New Roman"/>
          <w:lang w:val="pt-BR"/>
        </w:rPr>
        <w:t>ºC</w:t>
      </w:r>
      <w:r>
        <w:rPr>
          <w:rFonts w:ascii="Times New Roman" w:hAnsi="Times New Roman"/>
          <w:lang w:val="pt-BR"/>
        </w:rPr>
        <w:t xml:space="preserve"> após 15 minutos foi adicionado o óleo pré-aquecido a 60</w:t>
      </w:r>
      <w:r w:rsidRPr="000E7CA8">
        <w:rPr>
          <w:rFonts w:ascii="Times New Roman" w:hAnsi="Times New Roman"/>
          <w:lang w:val="pt-BR"/>
        </w:rPr>
        <w:t>ºC</w:t>
      </w:r>
      <w:r>
        <w:rPr>
          <w:rFonts w:ascii="Times New Roman" w:hAnsi="Times New Roman"/>
          <w:lang w:val="pt-BR"/>
        </w:rPr>
        <w:t>.</w:t>
      </w:r>
    </w:p>
    <w:p w14:paraId="31601C7E" w14:textId="32EBF8EF" w:rsidR="00372AF7" w:rsidRDefault="00372AF7" w:rsidP="00372AF7">
      <w:pPr>
        <w:pStyle w:val="TAMainText"/>
        <w:rPr>
          <w:rFonts w:ascii="Times New Roman" w:hAnsi="Times New Roman"/>
          <w:lang w:val="pt-BR"/>
        </w:rPr>
      </w:pPr>
      <w:r>
        <w:rPr>
          <w:rFonts w:ascii="Times New Roman" w:hAnsi="Times New Roman"/>
          <w:lang w:val="pt-BR"/>
        </w:rPr>
        <w:t>Após a reação o biodiesel foi colocado em funil de decantação por 12 horas para ser separado da camada de glicerina.</w:t>
      </w:r>
    </w:p>
    <w:p w14:paraId="57153150" w14:textId="14D69EBE" w:rsidR="00704B50" w:rsidRDefault="00704B50" w:rsidP="00704B50">
      <w:pPr>
        <w:pStyle w:val="TAMainText"/>
        <w:rPr>
          <w:rFonts w:ascii="Times New Roman" w:hAnsi="Times New Roman"/>
          <w:lang w:val="pt-BR"/>
        </w:rPr>
      </w:pPr>
      <w:r>
        <w:rPr>
          <w:rFonts w:ascii="Times New Roman" w:hAnsi="Times New Roman"/>
          <w:lang w:val="pt-BR"/>
        </w:rPr>
        <w:t xml:space="preserve">Após a </w:t>
      </w:r>
      <w:r w:rsidR="00372AF7">
        <w:rPr>
          <w:rFonts w:ascii="Times New Roman" w:hAnsi="Times New Roman"/>
          <w:lang w:val="pt-BR"/>
        </w:rPr>
        <w:t>separação</w:t>
      </w:r>
      <w:r>
        <w:rPr>
          <w:rFonts w:ascii="Times New Roman" w:hAnsi="Times New Roman"/>
          <w:lang w:val="pt-BR"/>
        </w:rPr>
        <w:t xml:space="preserve"> o biodiesel foi lavado com 1 litro de água destilada a</w:t>
      </w:r>
      <w:r w:rsidR="00372AF7">
        <w:rPr>
          <w:rFonts w:ascii="Times New Roman" w:hAnsi="Times New Roman"/>
          <w:lang w:val="pt-BR"/>
        </w:rPr>
        <w:t>quecida a</w:t>
      </w:r>
      <w:r>
        <w:rPr>
          <w:rFonts w:ascii="Times New Roman" w:hAnsi="Times New Roman"/>
          <w:lang w:val="pt-BR"/>
        </w:rPr>
        <w:t xml:space="preserve"> 80</w:t>
      </w:r>
      <w:r w:rsidRPr="000E7CA8">
        <w:rPr>
          <w:rFonts w:ascii="Times New Roman" w:hAnsi="Times New Roman"/>
          <w:lang w:val="pt-BR"/>
        </w:rPr>
        <w:t>ºC</w:t>
      </w:r>
      <w:r w:rsidR="00372AF7">
        <w:rPr>
          <w:rFonts w:ascii="Times New Roman" w:hAnsi="Times New Roman"/>
          <w:lang w:val="pt-BR"/>
        </w:rPr>
        <w:t xml:space="preserve"> para a remoção dos resíduos de </w:t>
      </w:r>
      <w:proofErr w:type="spellStart"/>
      <w:r w:rsidR="00372AF7">
        <w:rPr>
          <w:rFonts w:ascii="Times New Roman" w:hAnsi="Times New Roman"/>
          <w:lang w:val="pt-BR"/>
        </w:rPr>
        <w:t>NaOH</w:t>
      </w:r>
      <w:proofErr w:type="spellEnd"/>
      <w:r w:rsidR="00CD5CC3">
        <w:rPr>
          <w:rFonts w:ascii="Times New Roman" w:hAnsi="Times New Roman"/>
          <w:lang w:val="pt-BR"/>
        </w:rPr>
        <w:t xml:space="preserve"> </w:t>
      </w:r>
      <w:r w:rsidR="00CD5CC3" w:rsidRPr="00CD5CC3">
        <w:rPr>
          <w:rFonts w:ascii="Times New Roman" w:hAnsi="Times New Roman"/>
          <w:lang w:val="pt-BR"/>
        </w:rPr>
        <w:t>(1</w:t>
      </w:r>
      <w:r w:rsidR="00D52615">
        <w:rPr>
          <w:rFonts w:ascii="Times New Roman" w:hAnsi="Times New Roman"/>
          <w:lang w:val="pt-BR"/>
        </w:rPr>
        <w:t>4</w:t>
      </w:r>
      <w:r w:rsidR="00CD5CC3" w:rsidRPr="00CD5CC3">
        <w:rPr>
          <w:rFonts w:ascii="Times New Roman" w:hAnsi="Times New Roman"/>
          <w:lang w:val="pt-BR"/>
        </w:rPr>
        <w:t>).</w:t>
      </w:r>
    </w:p>
    <w:p w14:paraId="1862F774" w14:textId="705C24DD" w:rsidR="005A6F99" w:rsidRDefault="005A6F99" w:rsidP="00EA4E1B">
      <w:pPr>
        <w:pStyle w:val="TAMainText"/>
        <w:ind w:firstLine="0"/>
        <w:rPr>
          <w:rFonts w:ascii="Times New Roman" w:hAnsi="Times New Roman"/>
          <w:i/>
          <w:lang w:val="pt-BR"/>
        </w:rPr>
      </w:pPr>
    </w:p>
    <w:p w14:paraId="19FF31AA" w14:textId="6E211881" w:rsidR="00807BF6" w:rsidRDefault="00807BF6" w:rsidP="00EA4E1B">
      <w:pPr>
        <w:pStyle w:val="TAMainText"/>
        <w:ind w:firstLine="0"/>
        <w:rPr>
          <w:rFonts w:ascii="Times New Roman" w:hAnsi="Times New Roman"/>
          <w:i/>
          <w:lang w:val="pt-BR"/>
        </w:rPr>
      </w:pPr>
    </w:p>
    <w:p w14:paraId="06B5ED3A" w14:textId="77777777" w:rsidR="00807BF6" w:rsidRDefault="00807BF6" w:rsidP="00EA4E1B">
      <w:pPr>
        <w:pStyle w:val="TAMainText"/>
        <w:ind w:firstLine="0"/>
        <w:rPr>
          <w:rFonts w:ascii="Times New Roman" w:hAnsi="Times New Roman"/>
          <w:i/>
          <w:lang w:val="pt-BR"/>
        </w:rPr>
      </w:pPr>
    </w:p>
    <w:p w14:paraId="30018285" w14:textId="44730E2A" w:rsidR="005A6F99" w:rsidRPr="001F25B2" w:rsidRDefault="003E2333" w:rsidP="005A6F99">
      <w:pPr>
        <w:pStyle w:val="TAMainText"/>
        <w:ind w:firstLine="0"/>
        <w:rPr>
          <w:rFonts w:ascii="Times New Roman" w:hAnsi="Times New Roman"/>
          <w:i/>
          <w:lang w:val="pt-BR"/>
        </w:rPr>
      </w:pPr>
      <w:r>
        <w:rPr>
          <w:rFonts w:ascii="Times New Roman" w:hAnsi="Times New Roman"/>
          <w:i/>
          <w:lang w:val="pt-BR"/>
        </w:rPr>
        <w:lastRenderedPageBreak/>
        <w:t>An</w:t>
      </w:r>
      <w:r w:rsidR="00A13E4C">
        <w:rPr>
          <w:rFonts w:ascii="Times New Roman" w:hAnsi="Times New Roman"/>
          <w:i/>
          <w:lang w:val="pt-BR"/>
        </w:rPr>
        <w:t>á</w:t>
      </w:r>
      <w:r>
        <w:rPr>
          <w:rFonts w:ascii="Times New Roman" w:hAnsi="Times New Roman"/>
          <w:i/>
          <w:lang w:val="pt-BR"/>
        </w:rPr>
        <w:t>lise</w:t>
      </w:r>
      <w:r w:rsidR="00807BF6">
        <w:rPr>
          <w:rFonts w:ascii="Times New Roman" w:hAnsi="Times New Roman"/>
          <w:i/>
          <w:lang w:val="pt-BR"/>
        </w:rPr>
        <w:t xml:space="preserve"> do biodiesel</w:t>
      </w:r>
      <w:r>
        <w:rPr>
          <w:rFonts w:ascii="Times New Roman" w:hAnsi="Times New Roman"/>
          <w:i/>
          <w:lang w:val="pt-BR"/>
        </w:rPr>
        <w:t xml:space="preserve"> </w:t>
      </w:r>
      <w:r w:rsidR="00807BF6">
        <w:rPr>
          <w:rFonts w:ascii="Times New Roman" w:hAnsi="Times New Roman"/>
          <w:i/>
          <w:lang w:val="pt-BR"/>
        </w:rPr>
        <w:t xml:space="preserve">por </w:t>
      </w:r>
      <w:r>
        <w:rPr>
          <w:rFonts w:ascii="Times New Roman" w:hAnsi="Times New Roman"/>
          <w:i/>
          <w:lang w:val="pt-BR"/>
        </w:rPr>
        <w:t>cromatografia gasosa</w:t>
      </w:r>
      <w:r w:rsidR="005A6F99" w:rsidRPr="001F25B2">
        <w:rPr>
          <w:rFonts w:ascii="Times New Roman" w:hAnsi="Times New Roman"/>
          <w:i/>
          <w:lang w:val="pt-BR"/>
        </w:rPr>
        <w:t>.</w:t>
      </w:r>
    </w:p>
    <w:p w14:paraId="131F3A05" w14:textId="6FE350C4" w:rsidR="005A6F99" w:rsidRDefault="00D0281E" w:rsidP="00D0281E">
      <w:pPr>
        <w:pStyle w:val="TAMainText"/>
        <w:rPr>
          <w:rFonts w:ascii="Times New Roman" w:hAnsi="Times New Roman"/>
          <w:lang w:val="pt-BR"/>
        </w:rPr>
      </w:pPr>
      <w:r w:rsidRPr="00D0281E">
        <w:rPr>
          <w:rFonts w:ascii="Times New Roman" w:hAnsi="Times New Roman"/>
          <w:lang w:val="pt-BR"/>
        </w:rPr>
        <w:t>Para a caracterização do biodiesel produzido,</w:t>
      </w:r>
      <w:r>
        <w:rPr>
          <w:rFonts w:ascii="Times New Roman" w:hAnsi="Times New Roman"/>
          <w:lang w:val="pt-BR"/>
        </w:rPr>
        <w:t xml:space="preserve"> </w:t>
      </w:r>
      <w:r w:rsidRPr="00D0281E">
        <w:rPr>
          <w:rFonts w:ascii="Times New Roman" w:hAnsi="Times New Roman"/>
          <w:lang w:val="pt-BR"/>
        </w:rPr>
        <w:t>diluiu-se as amostras em diclorometano pesando</w:t>
      </w:r>
      <w:r>
        <w:rPr>
          <w:rFonts w:ascii="Times New Roman" w:hAnsi="Times New Roman"/>
          <w:lang w:val="pt-BR"/>
        </w:rPr>
        <w:t>-</w:t>
      </w:r>
      <w:r w:rsidRPr="00D0281E">
        <w:rPr>
          <w:rFonts w:ascii="Times New Roman" w:hAnsi="Times New Roman"/>
          <w:lang w:val="pt-BR"/>
        </w:rPr>
        <w:t>se</w:t>
      </w:r>
      <w:r>
        <w:rPr>
          <w:rFonts w:ascii="Times New Roman" w:hAnsi="Times New Roman"/>
          <w:lang w:val="pt-BR"/>
        </w:rPr>
        <w:t xml:space="preserve"> </w:t>
      </w:r>
      <w:r w:rsidRPr="00D0281E">
        <w:rPr>
          <w:rFonts w:ascii="Times New Roman" w:hAnsi="Times New Roman"/>
          <w:lang w:val="pt-BR"/>
        </w:rPr>
        <w:t>0,5 g de amostra em um balão volumétrico de 10</w:t>
      </w:r>
      <w:r>
        <w:rPr>
          <w:rFonts w:ascii="Times New Roman" w:hAnsi="Times New Roman"/>
          <w:lang w:val="pt-BR"/>
        </w:rPr>
        <w:t xml:space="preserve"> </w:t>
      </w:r>
      <w:r w:rsidRPr="00D0281E">
        <w:rPr>
          <w:rFonts w:ascii="Times New Roman" w:hAnsi="Times New Roman"/>
          <w:lang w:val="pt-BR"/>
        </w:rPr>
        <w:t xml:space="preserve">ml. Em seguida foram transferidos 200 </w:t>
      </w:r>
      <w:r w:rsidRPr="00D0281E">
        <w:rPr>
          <w:rFonts w:ascii="Cambria Math" w:hAnsi="Cambria Math" w:cs="Cambria Math"/>
          <w:lang w:val="pt-BR"/>
        </w:rPr>
        <w:t>𝜇</w:t>
      </w:r>
      <w:r w:rsidRPr="00D0281E">
        <w:rPr>
          <w:rFonts w:ascii="Times New Roman" w:hAnsi="Times New Roman"/>
          <w:lang w:val="pt-BR"/>
        </w:rPr>
        <w:t>L da</w:t>
      </w:r>
      <w:r>
        <w:rPr>
          <w:rFonts w:ascii="Times New Roman" w:hAnsi="Times New Roman"/>
          <w:lang w:val="pt-BR"/>
        </w:rPr>
        <w:t xml:space="preserve"> </w:t>
      </w:r>
      <w:r w:rsidRPr="00D0281E">
        <w:rPr>
          <w:rFonts w:ascii="Times New Roman" w:hAnsi="Times New Roman"/>
          <w:lang w:val="pt-BR"/>
        </w:rPr>
        <w:t xml:space="preserve">diluição do óleo para </w:t>
      </w:r>
      <w:proofErr w:type="spellStart"/>
      <w:r w:rsidRPr="00D0281E">
        <w:rPr>
          <w:rFonts w:ascii="Times New Roman" w:hAnsi="Times New Roman"/>
          <w:lang w:val="pt-BR"/>
        </w:rPr>
        <w:t>vial</w:t>
      </w:r>
      <w:proofErr w:type="spellEnd"/>
      <w:r w:rsidRPr="00D0281E">
        <w:rPr>
          <w:rFonts w:ascii="Times New Roman" w:hAnsi="Times New Roman"/>
          <w:lang w:val="pt-BR"/>
        </w:rPr>
        <w:t xml:space="preserve"> juntamente com 0,5 ml</w:t>
      </w:r>
      <w:r>
        <w:rPr>
          <w:rFonts w:ascii="Times New Roman" w:hAnsi="Times New Roman"/>
          <w:lang w:val="pt-BR"/>
        </w:rPr>
        <w:t xml:space="preserve"> </w:t>
      </w:r>
      <w:r w:rsidRPr="00D0281E">
        <w:rPr>
          <w:rFonts w:ascii="Times New Roman" w:hAnsi="Times New Roman"/>
          <w:lang w:val="pt-BR"/>
        </w:rPr>
        <w:t xml:space="preserve">de diclorometano e 40 </w:t>
      </w:r>
      <w:r w:rsidRPr="00D0281E">
        <w:rPr>
          <w:rFonts w:ascii="Cambria Math" w:hAnsi="Cambria Math" w:cs="Cambria Math"/>
          <w:lang w:val="pt-BR"/>
        </w:rPr>
        <w:t>𝜇</w:t>
      </w:r>
      <w:r w:rsidRPr="00D0281E">
        <w:rPr>
          <w:rFonts w:ascii="Times New Roman" w:hAnsi="Times New Roman"/>
          <w:lang w:val="pt-BR"/>
        </w:rPr>
        <w:t xml:space="preserve">L de </w:t>
      </w:r>
      <w:proofErr w:type="spellStart"/>
      <w:r w:rsidRPr="00D0281E">
        <w:rPr>
          <w:rFonts w:ascii="Times New Roman" w:hAnsi="Times New Roman"/>
          <w:lang w:val="pt-BR"/>
        </w:rPr>
        <w:t>derivatizante</w:t>
      </w:r>
      <w:proofErr w:type="spellEnd"/>
      <w:r>
        <w:rPr>
          <w:rFonts w:ascii="Times New Roman" w:hAnsi="Times New Roman"/>
          <w:lang w:val="pt-BR"/>
        </w:rPr>
        <w:t xml:space="preserve"> </w:t>
      </w:r>
      <w:r w:rsidRPr="00D0281E">
        <w:rPr>
          <w:rFonts w:ascii="Times New Roman" w:hAnsi="Times New Roman"/>
          <w:lang w:val="pt-BR"/>
        </w:rPr>
        <w:t xml:space="preserve">(MSTFA). Os </w:t>
      </w:r>
      <w:proofErr w:type="spellStart"/>
      <w:r w:rsidRPr="00D0281E">
        <w:rPr>
          <w:rFonts w:ascii="Times New Roman" w:hAnsi="Times New Roman"/>
          <w:lang w:val="pt-BR"/>
        </w:rPr>
        <w:t>vials</w:t>
      </w:r>
      <w:proofErr w:type="spellEnd"/>
      <w:r w:rsidRPr="00D0281E">
        <w:rPr>
          <w:rFonts w:ascii="Times New Roman" w:hAnsi="Times New Roman"/>
          <w:lang w:val="pt-BR"/>
        </w:rPr>
        <w:t xml:space="preserve"> foram então fechados, selados</w:t>
      </w:r>
      <w:r>
        <w:rPr>
          <w:rFonts w:ascii="Times New Roman" w:hAnsi="Times New Roman"/>
          <w:lang w:val="pt-BR"/>
        </w:rPr>
        <w:t xml:space="preserve"> </w:t>
      </w:r>
      <w:r w:rsidRPr="00D0281E">
        <w:rPr>
          <w:rFonts w:ascii="Times New Roman" w:hAnsi="Times New Roman"/>
          <w:lang w:val="pt-BR"/>
        </w:rPr>
        <w:t xml:space="preserve">com </w:t>
      </w:r>
      <w:proofErr w:type="spellStart"/>
      <w:r w:rsidRPr="00D0281E">
        <w:rPr>
          <w:rFonts w:ascii="Times New Roman" w:hAnsi="Times New Roman"/>
          <w:lang w:val="pt-BR"/>
        </w:rPr>
        <w:t>parafilm</w:t>
      </w:r>
      <w:proofErr w:type="spellEnd"/>
      <w:r w:rsidRPr="00D0281E">
        <w:rPr>
          <w:rFonts w:ascii="Times New Roman" w:hAnsi="Times New Roman"/>
          <w:lang w:val="pt-BR"/>
        </w:rPr>
        <w:t xml:space="preserve"> e colocados em banho de areia a</w:t>
      </w:r>
      <w:r>
        <w:rPr>
          <w:rFonts w:ascii="Times New Roman" w:hAnsi="Times New Roman"/>
          <w:lang w:val="pt-BR"/>
        </w:rPr>
        <w:t xml:space="preserve"> </w:t>
      </w:r>
      <w:r w:rsidRPr="00D0281E">
        <w:rPr>
          <w:rFonts w:ascii="Times New Roman" w:hAnsi="Times New Roman"/>
          <w:lang w:val="pt-BR"/>
        </w:rPr>
        <w:t>80°C por 30 minutos. Ao término do tempo as</w:t>
      </w:r>
      <w:r>
        <w:rPr>
          <w:rFonts w:ascii="Times New Roman" w:hAnsi="Times New Roman"/>
          <w:lang w:val="pt-BR"/>
        </w:rPr>
        <w:t xml:space="preserve"> </w:t>
      </w:r>
      <w:r w:rsidRPr="00D0281E">
        <w:rPr>
          <w:rFonts w:ascii="Times New Roman" w:hAnsi="Times New Roman"/>
          <w:lang w:val="pt-BR"/>
        </w:rPr>
        <w:t xml:space="preserve">amostras foram avolumadas a 1 </w:t>
      </w:r>
      <w:r w:rsidR="00A13E4C" w:rsidRPr="00D0281E">
        <w:rPr>
          <w:rFonts w:ascii="Times New Roman" w:hAnsi="Times New Roman"/>
          <w:lang w:val="pt-BR"/>
        </w:rPr>
        <w:t>m</w:t>
      </w:r>
      <w:r w:rsidR="00A13E4C">
        <w:rPr>
          <w:rFonts w:ascii="Times New Roman" w:hAnsi="Times New Roman"/>
          <w:lang w:val="pt-BR"/>
        </w:rPr>
        <w:t>L</w:t>
      </w:r>
      <w:r w:rsidR="00A13E4C" w:rsidRPr="00D0281E">
        <w:rPr>
          <w:rFonts w:ascii="Times New Roman" w:hAnsi="Times New Roman"/>
          <w:lang w:val="pt-BR"/>
        </w:rPr>
        <w:t xml:space="preserve"> </w:t>
      </w:r>
      <w:r w:rsidRPr="00D0281E">
        <w:rPr>
          <w:rFonts w:ascii="Times New Roman" w:hAnsi="Times New Roman"/>
          <w:lang w:val="pt-BR"/>
        </w:rPr>
        <w:t>com</w:t>
      </w:r>
      <w:r>
        <w:rPr>
          <w:rFonts w:ascii="Times New Roman" w:hAnsi="Times New Roman"/>
          <w:lang w:val="pt-BR"/>
        </w:rPr>
        <w:t xml:space="preserve"> </w:t>
      </w:r>
      <w:r w:rsidRPr="00D0281E">
        <w:rPr>
          <w:rFonts w:ascii="Times New Roman" w:hAnsi="Times New Roman"/>
          <w:lang w:val="pt-BR"/>
        </w:rPr>
        <w:t xml:space="preserve">diclorometano e levadas para o </w:t>
      </w:r>
      <w:proofErr w:type="spellStart"/>
      <w:r w:rsidRPr="00D0281E">
        <w:rPr>
          <w:rFonts w:ascii="Times New Roman" w:hAnsi="Times New Roman"/>
          <w:lang w:val="pt-BR"/>
        </w:rPr>
        <w:t>cromatógrafo</w:t>
      </w:r>
      <w:proofErr w:type="spellEnd"/>
      <w:r w:rsidR="00C66D18">
        <w:rPr>
          <w:rFonts w:ascii="Times New Roman" w:hAnsi="Times New Roman"/>
          <w:lang w:val="pt-BR"/>
        </w:rPr>
        <w:t xml:space="preserve"> (</w:t>
      </w:r>
      <w:r w:rsidR="00C66D18" w:rsidRPr="00C66D18">
        <w:rPr>
          <w:rFonts w:ascii="Times New Roman" w:hAnsi="Times New Roman"/>
          <w:lang w:val="pt-BR"/>
        </w:rPr>
        <w:t xml:space="preserve">CGMS-QP2010, </w:t>
      </w:r>
      <w:proofErr w:type="spellStart"/>
      <w:r w:rsidR="00C66D18" w:rsidRPr="00C66D18">
        <w:rPr>
          <w:rFonts w:ascii="Times New Roman" w:hAnsi="Times New Roman"/>
          <w:lang w:val="pt-BR"/>
        </w:rPr>
        <w:t>Shimadzu</w:t>
      </w:r>
      <w:proofErr w:type="spellEnd"/>
      <w:r w:rsidR="00C66D18">
        <w:rPr>
          <w:rFonts w:ascii="Times New Roman" w:hAnsi="Times New Roman"/>
          <w:lang w:val="pt-BR"/>
        </w:rPr>
        <w:t>)</w:t>
      </w:r>
      <w:r w:rsidRPr="00D0281E">
        <w:rPr>
          <w:rFonts w:ascii="Times New Roman" w:hAnsi="Times New Roman"/>
          <w:lang w:val="pt-BR"/>
        </w:rPr>
        <w:t>.</w:t>
      </w:r>
      <w:r>
        <w:rPr>
          <w:rFonts w:ascii="Times New Roman" w:hAnsi="Times New Roman"/>
          <w:lang w:val="pt-BR"/>
        </w:rPr>
        <w:t xml:space="preserve"> </w:t>
      </w:r>
      <w:r w:rsidRPr="00D0281E">
        <w:rPr>
          <w:rFonts w:ascii="Times New Roman" w:hAnsi="Times New Roman"/>
          <w:lang w:val="pt-BR"/>
        </w:rPr>
        <w:t>Após a corrida cromatográfica os dados foram</w:t>
      </w:r>
      <w:r>
        <w:rPr>
          <w:rFonts w:ascii="Times New Roman" w:hAnsi="Times New Roman"/>
          <w:lang w:val="pt-BR"/>
        </w:rPr>
        <w:t xml:space="preserve"> </w:t>
      </w:r>
      <w:r w:rsidRPr="00D0281E">
        <w:rPr>
          <w:rFonts w:ascii="Times New Roman" w:hAnsi="Times New Roman"/>
          <w:lang w:val="pt-BR"/>
        </w:rPr>
        <w:t>tratados</w:t>
      </w:r>
      <w:r>
        <w:rPr>
          <w:rFonts w:ascii="Times New Roman" w:hAnsi="Times New Roman"/>
          <w:lang w:val="pt-BR"/>
        </w:rPr>
        <w:t xml:space="preserve"> no software GCMS </w:t>
      </w:r>
      <w:proofErr w:type="spellStart"/>
      <w:r w:rsidRPr="00D0281E">
        <w:rPr>
          <w:rFonts w:ascii="Times New Roman" w:hAnsi="Times New Roman"/>
          <w:i/>
          <w:iCs/>
          <w:lang w:val="pt-BR"/>
        </w:rPr>
        <w:t>postrun</w:t>
      </w:r>
      <w:proofErr w:type="spellEnd"/>
      <w:r w:rsidRPr="00D0281E">
        <w:rPr>
          <w:rFonts w:ascii="Times New Roman" w:hAnsi="Times New Roman"/>
          <w:i/>
          <w:iCs/>
          <w:lang w:val="pt-BR"/>
        </w:rPr>
        <w:t xml:space="preserve"> </w:t>
      </w:r>
      <w:proofErr w:type="spellStart"/>
      <w:r w:rsidRPr="00D0281E">
        <w:rPr>
          <w:rFonts w:ascii="Times New Roman" w:hAnsi="Times New Roman"/>
          <w:i/>
          <w:iCs/>
          <w:lang w:val="pt-BR"/>
        </w:rPr>
        <w:t>analisys</w:t>
      </w:r>
      <w:proofErr w:type="spellEnd"/>
      <w:r w:rsidRPr="00D0281E">
        <w:rPr>
          <w:rFonts w:ascii="Times New Roman" w:hAnsi="Times New Roman"/>
          <w:i/>
          <w:iCs/>
          <w:lang w:val="pt-BR"/>
        </w:rPr>
        <w:t xml:space="preserve"> </w:t>
      </w:r>
      <w:proofErr w:type="spellStart"/>
      <w:r w:rsidRPr="00D0281E">
        <w:rPr>
          <w:rFonts w:ascii="Times New Roman" w:hAnsi="Times New Roman"/>
          <w:i/>
          <w:iCs/>
          <w:lang w:val="pt-BR"/>
        </w:rPr>
        <w:t>version</w:t>
      </w:r>
      <w:proofErr w:type="spellEnd"/>
      <w:r>
        <w:rPr>
          <w:rFonts w:ascii="Times New Roman" w:hAnsi="Times New Roman"/>
          <w:lang w:val="pt-BR"/>
        </w:rPr>
        <w:t xml:space="preserve"> 4.42 utilizando a integração automática com corte de área mínima de 10.000 </w:t>
      </w:r>
      <w:proofErr w:type="spellStart"/>
      <w:r>
        <w:rPr>
          <w:rFonts w:ascii="Times New Roman" w:hAnsi="Times New Roman"/>
          <w:lang w:val="pt-BR"/>
        </w:rPr>
        <w:t>u.a</w:t>
      </w:r>
      <w:proofErr w:type="spellEnd"/>
      <w:r>
        <w:rPr>
          <w:rFonts w:ascii="Times New Roman" w:hAnsi="Times New Roman"/>
          <w:lang w:val="pt-BR"/>
        </w:rPr>
        <w:t>. os compostos foram classificados de acordo com uma busca de similaridade com o banco de dados</w:t>
      </w:r>
      <w:r w:rsidR="00972285">
        <w:rPr>
          <w:rFonts w:ascii="Times New Roman" w:hAnsi="Times New Roman"/>
          <w:lang w:val="pt-BR"/>
        </w:rPr>
        <w:t xml:space="preserve"> de espectro de massas</w:t>
      </w:r>
      <w:r>
        <w:rPr>
          <w:rFonts w:ascii="Times New Roman" w:hAnsi="Times New Roman"/>
          <w:lang w:val="pt-BR"/>
        </w:rPr>
        <w:t xml:space="preserve"> do NIST</w:t>
      </w:r>
      <w:r w:rsidR="00CD5CC3" w:rsidRPr="00972285">
        <w:rPr>
          <w:rFonts w:ascii="Times New Roman" w:hAnsi="Times New Roman"/>
          <w:lang w:val="pt-BR"/>
        </w:rPr>
        <w:t>. (1</w:t>
      </w:r>
      <w:r w:rsidR="00D52615">
        <w:rPr>
          <w:rFonts w:ascii="Times New Roman" w:hAnsi="Times New Roman"/>
          <w:lang w:val="pt-BR"/>
        </w:rPr>
        <w:t>5</w:t>
      </w:r>
      <w:r w:rsidR="00CD5CC3" w:rsidRPr="00972285">
        <w:rPr>
          <w:rFonts w:ascii="Times New Roman" w:hAnsi="Times New Roman"/>
          <w:lang w:val="pt-BR"/>
        </w:rPr>
        <w:t>)</w:t>
      </w:r>
    </w:p>
    <w:p w14:paraId="6EBD06D9" w14:textId="66619830" w:rsidR="005A6F99" w:rsidRDefault="005A6F99" w:rsidP="00EA4E1B">
      <w:pPr>
        <w:pStyle w:val="TAMainText"/>
        <w:ind w:firstLine="0"/>
        <w:rPr>
          <w:rFonts w:ascii="Times New Roman" w:hAnsi="Times New Roman"/>
          <w:i/>
          <w:lang w:val="pt-BR"/>
        </w:rPr>
      </w:pPr>
    </w:p>
    <w:p w14:paraId="046EAE34" w14:textId="1F9B0E16" w:rsidR="0024337E" w:rsidRPr="001F25B2" w:rsidRDefault="003E2333" w:rsidP="0024337E">
      <w:pPr>
        <w:pStyle w:val="TAMainText"/>
        <w:ind w:firstLine="0"/>
        <w:rPr>
          <w:rFonts w:ascii="Times New Roman" w:hAnsi="Times New Roman"/>
          <w:i/>
          <w:lang w:val="pt-BR"/>
        </w:rPr>
      </w:pPr>
      <w:r>
        <w:rPr>
          <w:rFonts w:ascii="Times New Roman" w:hAnsi="Times New Roman"/>
          <w:i/>
          <w:lang w:val="pt-BR"/>
        </w:rPr>
        <w:t>An</w:t>
      </w:r>
      <w:r w:rsidR="00A13E4C">
        <w:rPr>
          <w:rFonts w:ascii="Times New Roman" w:hAnsi="Times New Roman"/>
          <w:i/>
          <w:lang w:val="pt-BR"/>
        </w:rPr>
        <w:t>á</w:t>
      </w:r>
      <w:r>
        <w:rPr>
          <w:rFonts w:ascii="Times New Roman" w:hAnsi="Times New Roman"/>
          <w:i/>
          <w:lang w:val="pt-BR"/>
        </w:rPr>
        <w:t>lise</w:t>
      </w:r>
      <w:r w:rsidR="00807BF6">
        <w:rPr>
          <w:rFonts w:ascii="Times New Roman" w:hAnsi="Times New Roman"/>
          <w:i/>
          <w:lang w:val="pt-BR"/>
        </w:rPr>
        <w:t xml:space="preserve"> </w:t>
      </w:r>
      <w:proofErr w:type="gramStart"/>
      <w:r w:rsidR="00807BF6">
        <w:rPr>
          <w:rFonts w:ascii="Times New Roman" w:hAnsi="Times New Roman"/>
          <w:i/>
          <w:lang w:val="pt-BR"/>
        </w:rPr>
        <w:t>do biodiesel</w:t>
      </w:r>
      <w:r>
        <w:rPr>
          <w:rFonts w:ascii="Times New Roman" w:hAnsi="Times New Roman"/>
          <w:i/>
          <w:lang w:val="pt-BR"/>
        </w:rPr>
        <w:t xml:space="preserve"> cromatografia</w:t>
      </w:r>
      <w:proofErr w:type="gramEnd"/>
      <w:r>
        <w:rPr>
          <w:rFonts w:ascii="Times New Roman" w:hAnsi="Times New Roman"/>
          <w:i/>
          <w:lang w:val="pt-BR"/>
        </w:rPr>
        <w:t xml:space="preserve"> de camada delgada</w:t>
      </w:r>
      <w:r w:rsidR="0024337E" w:rsidRPr="001F25B2">
        <w:rPr>
          <w:rFonts w:ascii="Times New Roman" w:hAnsi="Times New Roman"/>
          <w:i/>
          <w:lang w:val="pt-BR"/>
        </w:rPr>
        <w:t>.</w:t>
      </w:r>
    </w:p>
    <w:p w14:paraId="251DAF46" w14:textId="267ED0E6" w:rsidR="0024337E" w:rsidRPr="003B7E8A" w:rsidRDefault="003130A9" w:rsidP="00A372B4">
      <w:pPr>
        <w:pStyle w:val="Estilo1"/>
        <w:ind w:firstLine="204"/>
      </w:pPr>
      <w:r>
        <w:t xml:space="preserve">    </w:t>
      </w:r>
      <w:r w:rsidR="00F72C54" w:rsidRPr="00F72C54">
        <w:t xml:space="preserve">Após a transesterificação, os ésteres metílicos de ácidos graxos (FAME) e </w:t>
      </w:r>
      <w:proofErr w:type="spellStart"/>
      <w:r w:rsidR="00F72C54" w:rsidRPr="00F72C54">
        <w:t>triacilglicerídeos</w:t>
      </w:r>
      <w:proofErr w:type="spellEnd"/>
      <w:r w:rsidR="00F72C54" w:rsidRPr="00F72C54">
        <w:t xml:space="preserve"> residuais (</w:t>
      </w:r>
      <w:proofErr w:type="spellStart"/>
      <w:r w:rsidR="00F72C54" w:rsidRPr="00F72C54">
        <w:t>TAGs</w:t>
      </w:r>
      <w:proofErr w:type="spellEnd"/>
      <w:r w:rsidR="00F72C54" w:rsidRPr="00F72C54">
        <w:t xml:space="preserve">) foram medidos usando Placas TLC </w:t>
      </w:r>
      <w:r w:rsidR="00F72C54" w:rsidRPr="00A248DC">
        <w:t>G-60 de gel de sílica de 0,2</w:t>
      </w:r>
      <w:r w:rsidR="00B45A90" w:rsidRPr="00A248DC">
        <w:t>0</w:t>
      </w:r>
      <w:r w:rsidR="00F72C54" w:rsidRPr="00A248DC">
        <w:t xml:space="preserve"> mm de espessura</w:t>
      </w:r>
      <w:r w:rsidR="00F72C54" w:rsidRPr="00B45A90">
        <w:t xml:space="preserve">. O solvente para eluição foi </w:t>
      </w:r>
      <w:proofErr w:type="spellStart"/>
      <w:r w:rsidR="00F72C54" w:rsidRPr="00B45A90">
        <w:t>hexano:éter</w:t>
      </w:r>
      <w:proofErr w:type="spellEnd"/>
      <w:r w:rsidR="00F72C54" w:rsidRPr="00B45A90">
        <w:t xml:space="preserve"> </w:t>
      </w:r>
      <w:proofErr w:type="spellStart"/>
      <w:r w:rsidR="00F72C54" w:rsidRPr="00B45A90">
        <w:t>dietílico</w:t>
      </w:r>
      <w:proofErr w:type="spellEnd"/>
      <w:r w:rsidR="00F72C54" w:rsidRPr="00B45A90">
        <w:t xml:space="preserve"> (90:10, v/v) e após</w:t>
      </w:r>
      <w:r w:rsidR="00F72C54" w:rsidRPr="00F72C54">
        <w:t xml:space="preserve"> a conclusão da analise os pontos foram visualizados com vapor de Iodo</w:t>
      </w:r>
      <w:r w:rsidR="003B7E8A">
        <w:t xml:space="preserve"> (</w:t>
      </w:r>
      <w:r w:rsidR="00CD5CC3">
        <w:t>1</w:t>
      </w:r>
      <w:r w:rsidR="00D52615">
        <w:t>6</w:t>
      </w:r>
      <w:r w:rsidR="003B7E8A">
        <w:t>).</w:t>
      </w:r>
    </w:p>
    <w:p w14:paraId="7ED9D49C" w14:textId="705EA501" w:rsidR="0024337E" w:rsidRDefault="0024337E" w:rsidP="0024337E">
      <w:pPr>
        <w:pStyle w:val="TAMainText"/>
        <w:ind w:firstLine="0"/>
        <w:rPr>
          <w:rFonts w:ascii="Times New Roman" w:hAnsi="Times New Roman"/>
          <w:i/>
          <w:lang w:val="pt-BR"/>
        </w:rPr>
      </w:pPr>
    </w:p>
    <w:p w14:paraId="136BD1AC" w14:textId="7D17DC2D"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28D2C16C" w14:textId="72344163" w:rsidR="005C6976" w:rsidRPr="00B20DF4" w:rsidRDefault="0033271F" w:rsidP="005C6976">
      <w:pPr>
        <w:pStyle w:val="TAMainText"/>
        <w:ind w:firstLine="187"/>
        <w:rPr>
          <w:rFonts w:ascii="Times New Roman" w:hAnsi="Times New Roman"/>
          <w:i/>
          <w:lang w:val="pt-BR"/>
        </w:rPr>
      </w:pPr>
      <w:r>
        <w:rPr>
          <w:rFonts w:ascii="Times New Roman" w:hAnsi="Times New Roman"/>
          <w:i/>
          <w:lang w:val="pt-BR"/>
        </w:rPr>
        <w:t>Caracterização do óleo de fritura</w:t>
      </w:r>
    </w:p>
    <w:p w14:paraId="5BF12935" w14:textId="77777777" w:rsidR="00A372B4" w:rsidRDefault="00A372B4" w:rsidP="00A372B4">
      <w:pPr>
        <w:pStyle w:val="Estilo1"/>
      </w:pPr>
      <w:r w:rsidRPr="00527607">
        <w:t xml:space="preserve">O óleo </w:t>
      </w:r>
      <w:r>
        <w:t xml:space="preserve">utilizado </w:t>
      </w:r>
      <w:r w:rsidRPr="00527607">
        <w:t xml:space="preserve">foi caracterizado quanto ao seu índice de </w:t>
      </w:r>
    </w:p>
    <w:p w14:paraId="4DC6BDCE" w14:textId="77777777" w:rsidR="00A372B4" w:rsidRDefault="00A372B4" w:rsidP="00A372B4">
      <w:pPr>
        <w:pStyle w:val="TAMainText"/>
        <w:ind w:firstLine="0"/>
        <w:rPr>
          <w:rFonts w:ascii="Times New Roman" w:hAnsi="Times New Roman"/>
          <w:b/>
          <w:lang w:val="pt-BR"/>
        </w:rPr>
      </w:pPr>
      <w:r w:rsidRPr="00527607">
        <w:rPr>
          <w:lang w:val="pt-BR"/>
        </w:rPr>
        <w:t xml:space="preserve">acidez, índice de iodo e densidade conforme a </w:t>
      </w:r>
      <w:r>
        <w:rPr>
          <w:lang w:val="pt-BR"/>
        </w:rPr>
        <w:t>Ta</w:t>
      </w:r>
      <w:r w:rsidRPr="00527607">
        <w:rPr>
          <w:lang w:val="pt-BR"/>
        </w:rPr>
        <w:t>bela 1</w:t>
      </w:r>
      <w:r>
        <w:rPr>
          <w:lang w:val="pt-BR"/>
        </w:rPr>
        <w:t>. Os valores de acidez e densidade estão próximos aos encontrados para óleos vegetais virgens (17). O que faz desta amostra uma boa candidata a síntese de biodiesel sem a necessidade de lavagens ou neutralização.</w:t>
      </w:r>
      <w:r w:rsidRPr="00730564">
        <w:rPr>
          <w:rFonts w:ascii="Times New Roman" w:hAnsi="Times New Roman"/>
          <w:b/>
          <w:lang w:val="pt-BR"/>
        </w:rPr>
        <w:t xml:space="preserve"> </w:t>
      </w:r>
    </w:p>
    <w:p w14:paraId="0A78EB8D" w14:textId="77777777" w:rsidR="00A372B4" w:rsidRDefault="00A372B4" w:rsidP="005C6976">
      <w:pPr>
        <w:pStyle w:val="VDTableTitle"/>
        <w:spacing w:after="120"/>
        <w:jc w:val="both"/>
        <w:rPr>
          <w:rFonts w:ascii="Times New Roman" w:hAnsi="Times New Roman"/>
          <w:b/>
          <w:lang w:val="pt-BR"/>
        </w:rPr>
      </w:pPr>
    </w:p>
    <w:p w14:paraId="385318E3" w14:textId="6AB70648" w:rsidR="005C6976" w:rsidRPr="00E038AF" w:rsidRDefault="005C6976" w:rsidP="005C6976">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Pr>
          <w:rFonts w:ascii="Times New Roman" w:hAnsi="Times New Roman"/>
          <w:lang w:val="pt-BR"/>
        </w:rPr>
        <w:t>Caracterização físico-química do óleo vegetal de fritura</w:t>
      </w:r>
    </w:p>
    <w:tbl>
      <w:tblPr>
        <w:tblpPr w:leftFromText="141" w:rightFromText="141" w:vertAnchor="text" w:horzAnchor="margin" w:tblpY="26"/>
        <w:tblW w:w="48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1"/>
        <w:gridCol w:w="2441"/>
      </w:tblGrid>
      <w:tr w:rsidR="00A372B4" w:rsidRPr="00072C7A" w14:paraId="4C6E42EA" w14:textId="77777777" w:rsidTr="00A372B4">
        <w:trPr>
          <w:trHeight w:val="516"/>
        </w:trPr>
        <w:tc>
          <w:tcPr>
            <w:tcW w:w="2441" w:type="dxa"/>
            <w:tcBorders>
              <w:bottom w:val="single" w:sz="6" w:space="0" w:color="auto"/>
            </w:tcBorders>
            <w:vAlign w:val="center"/>
          </w:tcPr>
          <w:p w14:paraId="62FB7C45" w14:textId="77777777" w:rsidR="00A372B4" w:rsidRDefault="00A372B4" w:rsidP="00A372B4">
            <w:pPr>
              <w:pStyle w:val="TCTableBody"/>
              <w:rPr>
                <w:lang w:val="pt-BR"/>
              </w:rPr>
            </w:pPr>
            <w:bookmarkStart w:id="2" w:name="_Hlk130386390"/>
            <w:r>
              <w:rPr>
                <w:lang w:val="pt-BR"/>
              </w:rPr>
              <w:t>Acidez [mg KOH/g óleo]</w:t>
            </w:r>
          </w:p>
        </w:tc>
        <w:tc>
          <w:tcPr>
            <w:tcW w:w="2441" w:type="dxa"/>
            <w:tcBorders>
              <w:bottom w:val="single" w:sz="6" w:space="0" w:color="auto"/>
            </w:tcBorders>
            <w:vAlign w:val="center"/>
          </w:tcPr>
          <w:p w14:paraId="64DB4EE3" w14:textId="77777777" w:rsidR="00A372B4" w:rsidRDefault="00A372B4" w:rsidP="00A372B4">
            <w:pPr>
              <w:pStyle w:val="TCTableBody"/>
              <w:rPr>
                <w:lang w:val="pt-BR"/>
              </w:rPr>
            </w:pPr>
            <w:r w:rsidRPr="00C11766">
              <w:rPr>
                <w:lang w:val="pt-BR"/>
              </w:rPr>
              <w:t>0,6743</w:t>
            </w:r>
          </w:p>
        </w:tc>
      </w:tr>
      <w:tr w:rsidR="00A372B4" w:rsidRPr="00072C7A" w14:paraId="349C48AA" w14:textId="77777777" w:rsidTr="00A372B4">
        <w:trPr>
          <w:trHeight w:val="516"/>
        </w:trPr>
        <w:tc>
          <w:tcPr>
            <w:tcW w:w="2441" w:type="dxa"/>
            <w:tcBorders>
              <w:bottom w:val="single" w:sz="6" w:space="0" w:color="auto"/>
            </w:tcBorders>
            <w:vAlign w:val="center"/>
          </w:tcPr>
          <w:p w14:paraId="3D09ECCA" w14:textId="77777777" w:rsidR="00A372B4" w:rsidRDefault="00A372B4" w:rsidP="00A372B4">
            <w:pPr>
              <w:pStyle w:val="TCTableBody"/>
              <w:rPr>
                <w:lang w:val="pt-BR"/>
              </w:rPr>
            </w:pPr>
            <w:r>
              <w:rPr>
                <w:lang w:val="pt-BR"/>
              </w:rPr>
              <w:t>Índice de iodo [mg I/100g óleo]</w:t>
            </w:r>
          </w:p>
        </w:tc>
        <w:tc>
          <w:tcPr>
            <w:tcW w:w="2441" w:type="dxa"/>
            <w:tcBorders>
              <w:bottom w:val="single" w:sz="6" w:space="0" w:color="auto"/>
            </w:tcBorders>
            <w:vAlign w:val="center"/>
          </w:tcPr>
          <w:p w14:paraId="40CDDCCC" w14:textId="77777777" w:rsidR="00A372B4" w:rsidRDefault="00A372B4" w:rsidP="00A372B4">
            <w:pPr>
              <w:pStyle w:val="TCTableBody"/>
              <w:rPr>
                <w:lang w:val="pt-BR"/>
              </w:rPr>
            </w:pPr>
            <w:r>
              <w:rPr>
                <w:lang w:val="pt-BR"/>
              </w:rPr>
              <w:t>121,23</w:t>
            </w:r>
          </w:p>
        </w:tc>
      </w:tr>
      <w:tr w:rsidR="00A372B4" w:rsidRPr="00072C7A" w14:paraId="4269E1FB" w14:textId="77777777" w:rsidTr="00A372B4">
        <w:trPr>
          <w:trHeight w:val="516"/>
        </w:trPr>
        <w:tc>
          <w:tcPr>
            <w:tcW w:w="2441" w:type="dxa"/>
            <w:tcBorders>
              <w:bottom w:val="single" w:sz="6" w:space="0" w:color="auto"/>
            </w:tcBorders>
            <w:vAlign w:val="center"/>
          </w:tcPr>
          <w:p w14:paraId="6A9C7154" w14:textId="77777777" w:rsidR="00A372B4" w:rsidRDefault="00A372B4" w:rsidP="00A372B4">
            <w:pPr>
              <w:pStyle w:val="TCTableBody"/>
              <w:rPr>
                <w:lang w:val="pt-BR"/>
              </w:rPr>
            </w:pPr>
            <w:r>
              <w:rPr>
                <w:lang w:val="pt-BR"/>
              </w:rPr>
              <w:t>Densidade [g/ml]</w:t>
            </w:r>
          </w:p>
        </w:tc>
        <w:tc>
          <w:tcPr>
            <w:tcW w:w="2441" w:type="dxa"/>
            <w:tcBorders>
              <w:bottom w:val="single" w:sz="6" w:space="0" w:color="auto"/>
            </w:tcBorders>
            <w:vAlign w:val="center"/>
          </w:tcPr>
          <w:p w14:paraId="0EB49FFA" w14:textId="77777777" w:rsidR="00A372B4" w:rsidRDefault="00A372B4" w:rsidP="00A372B4">
            <w:pPr>
              <w:pStyle w:val="TCTableBody"/>
              <w:rPr>
                <w:lang w:val="pt-BR"/>
              </w:rPr>
            </w:pPr>
            <w:r>
              <w:rPr>
                <w:lang w:val="pt-BR"/>
              </w:rPr>
              <w:t>0,9190</w:t>
            </w:r>
          </w:p>
        </w:tc>
      </w:tr>
    </w:tbl>
    <w:p w14:paraId="385708AF" w14:textId="00C85D8B" w:rsidR="0033271F" w:rsidRDefault="0033271F" w:rsidP="0033271F">
      <w:pPr>
        <w:pStyle w:val="TAMainText"/>
        <w:ind w:firstLine="0"/>
        <w:rPr>
          <w:lang w:val="pt-BR"/>
        </w:rPr>
      </w:pPr>
    </w:p>
    <w:p w14:paraId="21B9504D" w14:textId="16360BC3" w:rsidR="0033271F" w:rsidRPr="00B20DF4" w:rsidRDefault="0033271F" w:rsidP="00B20DF4">
      <w:pPr>
        <w:pStyle w:val="TAMainText"/>
        <w:ind w:firstLine="0"/>
        <w:rPr>
          <w:i/>
          <w:lang w:val="pt-BR"/>
        </w:rPr>
      </w:pPr>
      <w:r>
        <w:rPr>
          <w:i/>
          <w:lang w:val="pt-BR"/>
        </w:rPr>
        <w:t>Caracterização e rendimento do biodiesel produzido</w:t>
      </w:r>
    </w:p>
    <w:bookmarkEnd w:id="2"/>
    <w:p w14:paraId="7CB1A12A" w14:textId="306F673D" w:rsidR="008F3ABE" w:rsidRDefault="008F3ABE" w:rsidP="008F3ABE">
      <w:pPr>
        <w:pStyle w:val="TAMainText"/>
        <w:rPr>
          <w:rFonts w:ascii="Times New Roman" w:hAnsi="Times New Roman"/>
          <w:lang w:val="pt-BR"/>
        </w:rPr>
      </w:pPr>
      <w:r w:rsidRPr="00FB77E4">
        <w:rPr>
          <w:rFonts w:ascii="Times New Roman" w:hAnsi="Times New Roman"/>
          <w:lang w:val="pt-BR"/>
        </w:rPr>
        <w:t xml:space="preserve">Conforme </w:t>
      </w:r>
      <w:r w:rsidR="004A5837" w:rsidRPr="00FB77E4">
        <w:rPr>
          <w:rFonts w:ascii="Times New Roman" w:hAnsi="Times New Roman"/>
          <w:lang w:val="pt-BR"/>
        </w:rPr>
        <w:t>pode</w:t>
      </w:r>
      <w:r w:rsidR="004A5837">
        <w:rPr>
          <w:rFonts w:ascii="Times New Roman" w:hAnsi="Times New Roman"/>
          <w:lang w:val="pt-BR"/>
        </w:rPr>
        <w:t>-se</w:t>
      </w:r>
      <w:r w:rsidR="004A5837" w:rsidRPr="00FB77E4">
        <w:rPr>
          <w:rFonts w:ascii="Times New Roman" w:hAnsi="Times New Roman"/>
          <w:lang w:val="pt-BR"/>
        </w:rPr>
        <w:t xml:space="preserve"> </w:t>
      </w:r>
      <w:r w:rsidRPr="00FB77E4">
        <w:rPr>
          <w:rFonts w:ascii="Times New Roman" w:hAnsi="Times New Roman"/>
          <w:lang w:val="pt-BR"/>
        </w:rPr>
        <w:t xml:space="preserve">observar na </w:t>
      </w:r>
      <w:r w:rsidR="004A5837">
        <w:rPr>
          <w:rFonts w:ascii="Times New Roman" w:hAnsi="Times New Roman"/>
          <w:lang w:val="pt-BR"/>
        </w:rPr>
        <w:t>T</w:t>
      </w:r>
      <w:r w:rsidRPr="00FB77E4">
        <w:rPr>
          <w:rFonts w:ascii="Times New Roman" w:hAnsi="Times New Roman"/>
          <w:lang w:val="pt-BR"/>
        </w:rPr>
        <w:t>abela 2</w:t>
      </w:r>
      <w:r w:rsidR="004A5837">
        <w:rPr>
          <w:rFonts w:ascii="Times New Roman" w:hAnsi="Times New Roman"/>
          <w:lang w:val="pt-BR"/>
        </w:rPr>
        <w:t>,</w:t>
      </w:r>
      <w:r w:rsidRPr="00FB77E4">
        <w:rPr>
          <w:rFonts w:ascii="Times New Roman" w:hAnsi="Times New Roman"/>
          <w:lang w:val="pt-BR"/>
        </w:rPr>
        <w:t xml:space="preserve"> a síntese de </w:t>
      </w:r>
      <w:proofErr w:type="spellStart"/>
      <w:r w:rsidRPr="00FB77E4">
        <w:rPr>
          <w:rFonts w:ascii="Times New Roman" w:hAnsi="Times New Roman"/>
          <w:lang w:val="pt-BR"/>
        </w:rPr>
        <w:t>NaOH</w:t>
      </w:r>
      <w:proofErr w:type="spellEnd"/>
      <w:r w:rsidRPr="00FB77E4">
        <w:rPr>
          <w:rFonts w:ascii="Times New Roman" w:hAnsi="Times New Roman"/>
          <w:lang w:val="pt-BR"/>
        </w:rPr>
        <w:t xml:space="preserve"> produziu o maior volume de biodiesel, obtendo valores próximos aos previstos pela literatura para estas condições (1</w:t>
      </w:r>
      <w:r w:rsidR="00D52615">
        <w:rPr>
          <w:rFonts w:ascii="Times New Roman" w:hAnsi="Times New Roman"/>
          <w:lang w:val="pt-BR"/>
        </w:rPr>
        <w:t>4</w:t>
      </w:r>
      <w:r w:rsidRPr="00FB77E4">
        <w:rPr>
          <w:rFonts w:ascii="Times New Roman" w:hAnsi="Times New Roman"/>
          <w:lang w:val="pt-BR"/>
        </w:rPr>
        <w:t>).</w:t>
      </w:r>
    </w:p>
    <w:p w14:paraId="0459A513" w14:textId="1DA9F821" w:rsidR="002C0E66" w:rsidRDefault="002C0E66" w:rsidP="008F3ABE">
      <w:pPr>
        <w:pStyle w:val="TAMainText"/>
        <w:rPr>
          <w:rFonts w:ascii="Times New Roman" w:hAnsi="Times New Roman"/>
          <w:lang w:val="pt-BR"/>
        </w:rPr>
      </w:pPr>
      <w:r>
        <w:rPr>
          <w:rFonts w:ascii="Times New Roman" w:hAnsi="Times New Roman"/>
          <w:lang w:val="pt-BR"/>
        </w:rPr>
        <w:t>Os valores de acidez para todas as amostras ficaram dentro da recomendação de &lt;0,5 mg KOH/100</w:t>
      </w:r>
      <w:proofErr w:type="gramStart"/>
      <w:r>
        <w:rPr>
          <w:rFonts w:ascii="Times New Roman" w:hAnsi="Times New Roman"/>
          <w:lang w:val="pt-BR"/>
        </w:rPr>
        <w:t>g</w:t>
      </w:r>
      <w:r w:rsidR="00A248DC">
        <w:rPr>
          <w:rFonts w:ascii="Times New Roman" w:hAnsi="Times New Roman"/>
          <w:lang w:val="pt-BR"/>
        </w:rPr>
        <w:t>(</w:t>
      </w:r>
      <w:proofErr w:type="gramEnd"/>
      <w:r w:rsidR="00A248DC">
        <w:rPr>
          <w:rFonts w:ascii="Times New Roman" w:hAnsi="Times New Roman"/>
          <w:lang w:val="pt-BR"/>
        </w:rPr>
        <w:t>18)</w:t>
      </w:r>
      <w:r w:rsidR="00102CE5">
        <w:rPr>
          <w:rFonts w:ascii="Times New Roman" w:hAnsi="Times New Roman"/>
          <w:lang w:val="pt-BR"/>
        </w:rPr>
        <w:t>.</w:t>
      </w:r>
    </w:p>
    <w:p w14:paraId="13423717" w14:textId="46198BB3" w:rsidR="00695F13" w:rsidRDefault="00730564" w:rsidP="00730564">
      <w:pPr>
        <w:pStyle w:val="TAMainText"/>
        <w:rPr>
          <w:rFonts w:ascii="Times New Roman" w:hAnsi="Times New Roman"/>
          <w:lang w:val="pt-BR"/>
        </w:rPr>
      </w:pPr>
      <w:r w:rsidRPr="00FB77E4">
        <w:rPr>
          <w:rFonts w:ascii="Times New Roman" w:hAnsi="Times New Roman"/>
          <w:lang w:val="pt-BR"/>
        </w:rPr>
        <w:t xml:space="preserve">Tendo em vista a menor velocidade da reação com catalisadores heterogêneos o procedimento de reação para estes </w:t>
      </w:r>
      <w:r w:rsidR="008E5EDA" w:rsidRPr="00FB77E4">
        <w:rPr>
          <w:rFonts w:ascii="Times New Roman" w:hAnsi="Times New Roman"/>
          <w:lang w:val="pt-BR"/>
        </w:rPr>
        <w:t>t</w:t>
      </w:r>
      <w:r w:rsidR="008E5EDA">
        <w:rPr>
          <w:rFonts w:ascii="Times New Roman" w:hAnsi="Times New Roman"/>
          <w:lang w:val="pt-BR"/>
        </w:rPr>
        <w:t>eve</w:t>
      </w:r>
      <w:r w:rsidR="008E5EDA" w:rsidRPr="00FB77E4">
        <w:rPr>
          <w:rFonts w:ascii="Times New Roman" w:hAnsi="Times New Roman"/>
          <w:lang w:val="pt-BR"/>
        </w:rPr>
        <w:t xml:space="preserve"> </w:t>
      </w:r>
      <w:r w:rsidRPr="00FB77E4">
        <w:rPr>
          <w:rFonts w:ascii="Times New Roman" w:hAnsi="Times New Roman"/>
          <w:lang w:val="pt-BR"/>
        </w:rPr>
        <w:t>um tempo de reação de 5 horas, enquanto a síntese homogênea apenas 1 hora, mesmo assim com base nos dados obtidos</w:t>
      </w:r>
      <w:r w:rsidR="008E5EDA">
        <w:rPr>
          <w:rFonts w:ascii="Times New Roman" w:hAnsi="Times New Roman"/>
          <w:lang w:val="pt-BR"/>
        </w:rPr>
        <w:t xml:space="preserve"> em termos de concentração de ésteres metílicos formados (Figura 1)</w:t>
      </w:r>
      <w:r w:rsidRPr="00FB77E4">
        <w:rPr>
          <w:rFonts w:ascii="Times New Roman" w:hAnsi="Times New Roman"/>
          <w:lang w:val="pt-BR"/>
        </w:rPr>
        <w:t xml:space="preserve"> a conversão de equilíbrio obtida com catalisadores heterogêneos foi menor.</w:t>
      </w:r>
    </w:p>
    <w:p w14:paraId="5D112306" w14:textId="77777777" w:rsidR="00A372B4" w:rsidRDefault="00A372B4" w:rsidP="00730564">
      <w:pPr>
        <w:pStyle w:val="TAMainText"/>
        <w:rPr>
          <w:rFonts w:ascii="Times New Roman" w:hAnsi="Times New Roman"/>
          <w:lang w:val="pt-BR"/>
        </w:rPr>
      </w:pPr>
    </w:p>
    <w:p w14:paraId="4E0E7726" w14:textId="3BC1012F" w:rsidR="00BE4421" w:rsidRPr="00730564" w:rsidRDefault="00BE4421" w:rsidP="00BE4421">
      <w:pPr>
        <w:pStyle w:val="VDTableTitle"/>
        <w:spacing w:after="120"/>
        <w:jc w:val="both"/>
        <w:rPr>
          <w:rFonts w:ascii="Times New Roman" w:hAnsi="Times New Roman"/>
          <w:lang w:val="pt-BR"/>
        </w:rPr>
      </w:pPr>
      <w:r w:rsidRPr="00E038AF">
        <w:rPr>
          <w:rFonts w:ascii="Times New Roman" w:hAnsi="Times New Roman"/>
          <w:b/>
          <w:lang w:val="pt-BR"/>
        </w:rPr>
        <w:t xml:space="preserve">Tabela </w:t>
      </w:r>
      <w:r w:rsidR="007828AD">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Caracterização físico-química</w:t>
      </w:r>
      <w:r w:rsidR="007828AD">
        <w:rPr>
          <w:rFonts w:ascii="Times New Roman" w:hAnsi="Times New Roman"/>
          <w:lang w:val="pt-BR"/>
        </w:rPr>
        <w:t xml:space="preserve"> e rendimento</w:t>
      </w:r>
      <w:r>
        <w:rPr>
          <w:rFonts w:ascii="Times New Roman" w:hAnsi="Times New Roman"/>
          <w:lang w:val="pt-BR"/>
        </w:rPr>
        <w:t xml:space="preserve"> do </w:t>
      </w:r>
      <w:r w:rsidR="007828AD">
        <w:rPr>
          <w:rFonts w:ascii="Times New Roman" w:hAnsi="Times New Roman"/>
          <w:lang w:val="pt-BR"/>
        </w:rPr>
        <w:t>Biodiesel.</w:t>
      </w:r>
    </w:p>
    <w:tbl>
      <w:tblPr>
        <w:tblpPr w:leftFromText="141" w:rightFromText="141"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60"/>
        <w:gridCol w:w="653"/>
        <w:gridCol w:w="850"/>
        <w:gridCol w:w="993"/>
        <w:gridCol w:w="1502"/>
      </w:tblGrid>
      <w:tr w:rsidR="00BE4421" w:rsidRPr="00072C7A" w14:paraId="402AEBB9" w14:textId="77777777" w:rsidTr="00BE4421">
        <w:trPr>
          <w:trHeight w:val="448"/>
        </w:trPr>
        <w:tc>
          <w:tcPr>
            <w:tcW w:w="0" w:type="auto"/>
            <w:vAlign w:val="center"/>
          </w:tcPr>
          <w:p w14:paraId="335DD340" w14:textId="77777777" w:rsidR="00BE4421" w:rsidRDefault="00BE4421" w:rsidP="00BE4421">
            <w:pPr>
              <w:pStyle w:val="TCTableBody"/>
              <w:jc w:val="center"/>
              <w:rPr>
                <w:lang w:val="pt-BR"/>
              </w:rPr>
            </w:pPr>
            <w:r>
              <w:rPr>
                <w:lang w:val="pt-BR"/>
              </w:rPr>
              <w:t>Amostra</w:t>
            </w:r>
          </w:p>
        </w:tc>
        <w:tc>
          <w:tcPr>
            <w:tcW w:w="653" w:type="dxa"/>
            <w:vAlign w:val="center"/>
          </w:tcPr>
          <w:p w14:paraId="317DFA7E" w14:textId="77777777" w:rsidR="00BE4421" w:rsidRDefault="00BE4421" w:rsidP="00BE4421">
            <w:pPr>
              <w:pStyle w:val="TCTableBody"/>
              <w:jc w:val="center"/>
              <w:rPr>
                <w:lang w:val="pt-BR"/>
              </w:rPr>
            </w:pPr>
            <w:r>
              <w:rPr>
                <w:lang w:val="pt-BR"/>
              </w:rPr>
              <w:t>pH</w:t>
            </w:r>
          </w:p>
        </w:tc>
        <w:tc>
          <w:tcPr>
            <w:tcW w:w="850" w:type="dxa"/>
          </w:tcPr>
          <w:p w14:paraId="48FF8F1C" w14:textId="77777777" w:rsidR="00BE4421" w:rsidRDefault="00BE4421" w:rsidP="00BE4421">
            <w:pPr>
              <w:pStyle w:val="TCTableBody"/>
              <w:jc w:val="center"/>
              <w:rPr>
                <w:lang w:val="pt-BR"/>
              </w:rPr>
            </w:pPr>
            <w:r>
              <w:rPr>
                <w:lang w:val="pt-BR"/>
              </w:rPr>
              <w:t>Acidez</w:t>
            </w:r>
          </w:p>
        </w:tc>
        <w:tc>
          <w:tcPr>
            <w:tcW w:w="993" w:type="dxa"/>
          </w:tcPr>
          <w:p w14:paraId="0F220F20" w14:textId="77777777" w:rsidR="00BE4421" w:rsidRDefault="00BE4421" w:rsidP="00BE4421">
            <w:pPr>
              <w:pStyle w:val="TCTableBody"/>
              <w:jc w:val="center"/>
              <w:rPr>
                <w:lang w:val="pt-BR"/>
              </w:rPr>
            </w:pPr>
            <w:r>
              <w:rPr>
                <w:lang w:val="pt-BR"/>
              </w:rPr>
              <w:t>Indice Iodo</w:t>
            </w:r>
          </w:p>
        </w:tc>
        <w:tc>
          <w:tcPr>
            <w:tcW w:w="1502" w:type="dxa"/>
            <w:vAlign w:val="center"/>
          </w:tcPr>
          <w:p w14:paraId="28AAEBF5" w14:textId="77777777" w:rsidR="00BE4421" w:rsidRDefault="00BE4421" w:rsidP="00BE4421">
            <w:pPr>
              <w:pStyle w:val="TCTableBody"/>
              <w:jc w:val="center"/>
              <w:rPr>
                <w:lang w:val="pt-BR"/>
              </w:rPr>
            </w:pPr>
            <w:r>
              <w:rPr>
                <w:lang w:val="pt-BR"/>
              </w:rPr>
              <w:t>Rendimento Biodiesel [%]</w:t>
            </w:r>
          </w:p>
        </w:tc>
      </w:tr>
      <w:tr w:rsidR="00BE4421" w:rsidRPr="00072C7A" w14:paraId="1CA6ABD9" w14:textId="77777777" w:rsidTr="00BE4421">
        <w:trPr>
          <w:trHeight w:val="213"/>
        </w:trPr>
        <w:tc>
          <w:tcPr>
            <w:tcW w:w="0" w:type="auto"/>
            <w:tcBorders>
              <w:bottom w:val="single" w:sz="6" w:space="0" w:color="auto"/>
            </w:tcBorders>
            <w:vAlign w:val="center"/>
          </w:tcPr>
          <w:p w14:paraId="49A1EA41" w14:textId="77777777" w:rsidR="00BE4421" w:rsidRDefault="00BE4421" w:rsidP="00BE4421">
            <w:pPr>
              <w:pStyle w:val="TCTableBody"/>
              <w:jc w:val="center"/>
              <w:rPr>
                <w:lang w:val="pt-BR"/>
              </w:rPr>
            </w:pPr>
            <w:proofErr w:type="spellStart"/>
            <w:r>
              <w:rPr>
                <w:lang w:val="pt-BR"/>
              </w:rPr>
              <w:t>NaOH</w:t>
            </w:r>
            <w:proofErr w:type="spellEnd"/>
          </w:p>
        </w:tc>
        <w:tc>
          <w:tcPr>
            <w:tcW w:w="653" w:type="dxa"/>
            <w:tcBorders>
              <w:bottom w:val="single" w:sz="6" w:space="0" w:color="auto"/>
            </w:tcBorders>
            <w:vAlign w:val="center"/>
          </w:tcPr>
          <w:p w14:paraId="63A4957B" w14:textId="77777777" w:rsidR="00BE4421" w:rsidRDefault="00BE4421" w:rsidP="00BE4421">
            <w:pPr>
              <w:pStyle w:val="TCTableBody"/>
              <w:jc w:val="center"/>
              <w:rPr>
                <w:lang w:val="pt-BR"/>
              </w:rPr>
            </w:pPr>
            <w:r>
              <w:rPr>
                <w:lang w:val="pt-BR"/>
              </w:rPr>
              <w:t>7,00</w:t>
            </w:r>
          </w:p>
        </w:tc>
        <w:tc>
          <w:tcPr>
            <w:tcW w:w="850" w:type="dxa"/>
            <w:tcBorders>
              <w:bottom w:val="single" w:sz="6" w:space="0" w:color="auto"/>
            </w:tcBorders>
          </w:tcPr>
          <w:p w14:paraId="3C076FAB" w14:textId="77777777" w:rsidR="00BE4421" w:rsidRPr="00CA5631" w:rsidRDefault="00BE4421" w:rsidP="00BE4421">
            <w:pPr>
              <w:pStyle w:val="TCTableBody"/>
              <w:jc w:val="center"/>
              <w:rPr>
                <w:lang w:val="pt-BR"/>
              </w:rPr>
            </w:pPr>
            <w:r>
              <w:rPr>
                <w:lang w:val="pt-BR"/>
              </w:rPr>
              <w:t>0.12</w:t>
            </w:r>
          </w:p>
        </w:tc>
        <w:tc>
          <w:tcPr>
            <w:tcW w:w="993" w:type="dxa"/>
            <w:tcBorders>
              <w:bottom w:val="single" w:sz="6" w:space="0" w:color="auto"/>
            </w:tcBorders>
          </w:tcPr>
          <w:p w14:paraId="0453C0C0" w14:textId="77777777" w:rsidR="00BE4421" w:rsidRDefault="00BE4421" w:rsidP="00BE4421">
            <w:pPr>
              <w:pStyle w:val="TCTableBody"/>
              <w:jc w:val="center"/>
              <w:rPr>
                <w:lang w:val="pt-BR"/>
              </w:rPr>
            </w:pPr>
            <w:r>
              <w:rPr>
                <w:lang w:val="pt-BR"/>
              </w:rPr>
              <w:t>109,8</w:t>
            </w:r>
          </w:p>
        </w:tc>
        <w:tc>
          <w:tcPr>
            <w:tcW w:w="1502" w:type="dxa"/>
            <w:tcBorders>
              <w:bottom w:val="single" w:sz="6" w:space="0" w:color="auto"/>
            </w:tcBorders>
            <w:vAlign w:val="center"/>
          </w:tcPr>
          <w:p w14:paraId="1C16401F" w14:textId="77777777" w:rsidR="00BE4421" w:rsidRDefault="00BE4421" w:rsidP="00BE4421">
            <w:pPr>
              <w:pStyle w:val="TCTableBody"/>
              <w:jc w:val="center"/>
              <w:rPr>
                <w:lang w:val="pt-BR"/>
              </w:rPr>
            </w:pPr>
            <w:r>
              <w:rPr>
                <w:lang w:val="pt-BR"/>
              </w:rPr>
              <w:t>95</w:t>
            </w:r>
          </w:p>
        </w:tc>
      </w:tr>
      <w:tr w:rsidR="00BE4421" w:rsidRPr="00072C7A" w14:paraId="640DEA16" w14:textId="77777777" w:rsidTr="00BE4421">
        <w:trPr>
          <w:trHeight w:val="213"/>
        </w:trPr>
        <w:tc>
          <w:tcPr>
            <w:tcW w:w="0" w:type="auto"/>
            <w:tcBorders>
              <w:bottom w:val="single" w:sz="6" w:space="0" w:color="auto"/>
            </w:tcBorders>
            <w:vAlign w:val="center"/>
          </w:tcPr>
          <w:p w14:paraId="411B5B5B" w14:textId="77777777" w:rsidR="00BE4421" w:rsidRDefault="00BE4421" w:rsidP="00BE4421">
            <w:pPr>
              <w:pStyle w:val="TCTableBody"/>
              <w:jc w:val="center"/>
              <w:rPr>
                <w:lang w:val="pt-BR"/>
              </w:rPr>
            </w:pPr>
            <w:proofErr w:type="spellStart"/>
            <w:r>
              <w:rPr>
                <w:lang w:val="pt-BR"/>
              </w:rPr>
              <w:t>CaO</w:t>
            </w:r>
            <w:proofErr w:type="spellEnd"/>
          </w:p>
        </w:tc>
        <w:tc>
          <w:tcPr>
            <w:tcW w:w="653" w:type="dxa"/>
            <w:tcBorders>
              <w:bottom w:val="single" w:sz="6" w:space="0" w:color="auto"/>
            </w:tcBorders>
            <w:vAlign w:val="center"/>
          </w:tcPr>
          <w:p w14:paraId="518C7C63" w14:textId="77777777" w:rsidR="00BE4421" w:rsidRDefault="00BE4421" w:rsidP="00BE4421">
            <w:pPr>
              <w:pStyle w:val="TCTableBody"/>
              <w:jc w:val="center"/>
              <w:rPr>
                <w:lang w:val="pt-BR"/>
              </w:rPr>
            </w:pPr>
            <w:r>
              <w:rPr>
                <w:lang w:val="pt-BR"/>
              </w:rPr>
              <w:t>7,00</w:t>
            </w:r>
          </w:p>
        </w:tc>
        <w:tc>
          <w:tcPr>
            <w:tcW w:w="850" w:type="dxa"/>
            <w:tcBorders>
              <w:bottom w:val="single" w:sz="6" w:space="0" w:color="auto"/>
            </w:tcBorders>
          </w:tcPr>
          <w:p w14:paraId="158CC300" w14:textId="77777777" w:rsidR="00BE4421" w:rsidRPr="00CA5631" w:rsidRDefault="00BE4421" w:rsidP="00BE4421">
            <w:pPr>
              <w:pStyle w:val="TCTableBody"/>
              <w:jc w:val="center"/>
              <w:rPr>
                <w:lang w:val="pt-BR"/>
              </w:rPr>
            </w:pPr>
            <w:r w:rsidRPr="00CA5631">
              <w:rPr>
                <w:lang w:val="pt-BR"/>
              </w:rPr>
              <w:t>0,27</w:t>
            </w:r>
          </w:p>
        </w:tc>
        <w:tc>
          <w:tcPr>
            <w:tcW w:w="993" w:type="dxa"/>
            <w:tcBorders>
              <w:bottom w:val="single" w:sz="6" w:space="0" w:color="auto"/>
            </w:tcBorders>
          </w:tcPr>
          <w:p w14:paraId="54219317" w14:textId="77777777" w:rsidR="00BE4421" w:rsidRDefault="00BE4421" w:rsidP="00BE4421">
            <w:pPr>
              <w:pStyle w:val="TCTableBody"/>
              <w:jc w:val="center"/>
              <w:rPr>
                <w:lang w:val="pt-BR"/>
              </w:rPr>
            </w:pPr>
            <w:r>
              <w:rPr>
                <w:lang w:val="pt-BR"/>
              </w:rPr>
              <w:t>112,1</w:t>
            </w:r>
          </w:p>
        </w:tc>
        <w:tc>
          <w:tcPr>
            <w:tcW w:w="1502" w:type="dxa"/>
            <w:tcBorders>
              <w:bottom w:val="single" w:sz="6" w:space="0" w:color="auto"/>
            </w:tcBorders>
            <w:vAlign w:val="center"/>
          </w:tcPr>
          <w:p w14:paraId="2714CD1F" w14:textId="77777777" w:rsidR="00BE4421" w:rsidRDefault="00BE4421" w:rsidP="00BE4421">
            <w:pPr>
              <w:pStyle w:val="TCTableBody"/>
              <w:jc w:val="center"/>
              <w:rPr>
                <w:lang w:val="pt-BR"/>
              </w:rPr>
            </w:pPr>
            <w:r>
              <w:rPr>
                <w:lang w:val="pt-BR"/>
              </w:rPr>
              <w:t>81</w:t>
            </w:r>
          </w:p>
        </w:tc>
      </w:tr>
      <w:tr w:rsidR="00BE4421" w:rsidRPr="00072C7A" w14:paraId="001F1168" w14:textId="77777777" w:rsidTr="00BE4421">
        <w:trPr>
          <w:trHeight w:val="213"/>
        </w:trPr>
        <w:tc>
          <w:tcPr>
            <w:tcW w:w="0" w:type="auto"/>
            <w:tcBorders>
              <w:bottom w:val="single" w:sz="6" w:space="0" w:color="auto"/>
            </w:tcBorders>
            <w:vAlign w:val="center"/>
          </w:tcPr>
          <w:p w14:paraId="04DA474E" w14:textId="77777777" w:rsidR="00BE4421" w:rsidRDefault="00BE4421" w:rsidP="00BE4421">
            <w:pPr>
              <w:pStyle w:val="TCTableBody"/>
              <w:jc w:val="center"/>
              <w:rPr>
                <w:lang w:val="pt-BR"/>
              </w:rPr>
            </w:pPr>
            <w:proofErr w:type="spellStart"/>
            <w:r>
              <w:rPr>
                <w:lang w:val="pt-BR"/>
              </w:rPr>
              <w:t>CaO.Al</w:t>
            </w:r>
            <w:proofErr w:type="spellEnd"/>
          </w:p>
        </w:tc>
        <w:tc>
          <w:tcPr>
            <w:tcW w:w="653" w:type="dxa"/>
            <w:tcBorders>
              <w:bottom w:val="single" w:sz="6" w:space="0" w:color="auto"/>
            </w:tcBorders>
            <w:vAlign w:val="center"/>
          </w:tcPr>
          <w:p w14:paraId="44EE31BC" w14:textId="77777777" w:rsidR="00BE4421" w:rsidRDefault="00BE4421" w:rsidP="00BE4421">
            <w:pPr>
              <w:pStyle w:val="TCTableBody"/>
              <w:jc w:val="center"/>
              <w:rPr>
                <w:lang w:val="pt-BR"/>
              </w:rPr>
            </w:pPr>
            <w:r>
              <w:rPr>
                <w:lang w:val="pt-BR"/>
              </w:rPr>
              <w:t>7,00</w:t>
            </w:r>
          </w:p>
        </w:tc>
        <w:tc>
          <w:tcPr>
            <w:tcW w:w="850" w:type="dxa"/>
            <w:tcBorders>
              <w:bottom w:val="single" w:sz="6" w:space="0" w:color="auto"/>
            </w:tcBorders>
          </w:tcPr>
          <w:p w14:paraId="00F6CE32" w14:textId="77777777" w:rsidR="00BE4421" w:rsidRDefault="00BE4421" w:rsidP="00BE4421">
            <w:pPr>
              <w:pStyle w:val="TCTableBody"/>
              <w:jc w:val="center"/>
              <w:rPr>
                <w:lang w:val="pt-BR"/>
              </w:rPr>
            </w:pPr>
            <w:r>
              <w:rPr>
                <w:lang w:val="pt-BR"/>
              </w:rPr>
              <w:t>0,36</w:t>
            </w:r>
          </w:p>
        </w:tc>
        <w:tc>
          <w:tcPr>
            <w:tcW w:w="993" w:type="dxa"/>
            <w:tcBorders>
              <w:bottom w:val="single" w:sz="6" w:space="0" w:color="auto"/>
            </w:tcBorders>
          </w:tcPr>
          <w:p w14:paraId="1750FFED" w14:textId="77777777" w:rsidR="00BE4421" w:rsidRDefault="00BE4421" w:rsidP="00BE4421">
            <w:pPr>
              <w:pStyle w:val="TCTableBody"/>
              <w:jc w:val="center"/>
              <w:rPr>
                <w:lang w:val="pt-BR"/>
              </w:rPr>
            </w:pPr>
            <w:r>
              <w:rPr>
                <w:lang w:val="pt-BR"/>
              </w:rPr>
              <w:t>99,2</w:t>
            </w:r>
          </w:p>
        </w:tc>
        <w:tc>
          <w:tcPr>
            <w:tcW w:w="1502" w:type="dxa"/>
            <w:tcBorders>
              <w:bottom w:val="single" w:sz="6" w:space="0" w:color="auto"/>
            </w:tcBorders>
            <w:vAlign w:val="center"/>
          </w:tcPr>
          <w:p w14:paraId="1976DD93" w14:textId="77777777" w:rsidR="00BE4421" w:rsidRDefault="00BE4421" w:rsidP="00BE4421">
            <w:pPr>
              <w:pStyle w:val="TCTableBody"/>
              <w:jc w:val="center"/>
              <w:rPr>
                <w:lang w:val="pt-BR"/>
              </w:rPr>
            </w:pPr>
            <w:r>
              <w:rPr>
                <w:lang w:val="pt-BR"/>
              </w:rPr>
              <w:t>69</w:t>
            </w:r>
          </w:p>
        </w:tc>
      </w:tr>
      <w:tr w:rsidR="00BE4421" w:rsidRPr="00072C7A" w14:paraId="319DB3EE" w14:textId="77777777" w:rsidTr="00BE4421">
        <w:trPr>
          <w:trHeight w:val="213"/>
        </w:trPr>
        <w:tc>
          <w:tcPr>
            <w:tcW w:w="0" w:type="auto"/>
            <w:tcBorders>
              <w:bottom w:val="single" w:sz="6" w:space="0" w:color="auto"/>
            </w:tcBorders>
            <w:vAlign w:val="center"/>
          </w:tcPr>
          <w:p w14:paraId="42EB7911" w14:textId="77777777" w:rsidR="00BE4421" w:rsidRDefault="00BE4421" w:rsidP="00BE4421">
            <w:pPr>
              <w:pStyle w:val="TCTableBody"/>
              <w:jc w:val="center"/>
              <w:rPr>
                <w:lang w:val="pt-BR"/>
              </w:rPr>
            </w:pPr>
            <w:proofErr w:type="spellStart"/>
            <w:r>
              <w:rPr>
                <w:lang w:val="pt-BR"/>
              </w:rPr>
              <w:t>CaO.La</w:t>
            </w:r>
            <w:proofErr w:type="spellEnd"/>
          </w:p>
        </w:tc>
        <w:tc>
          <w:tcPr>
            <w:tcW w:w="653" w:type="dxa"/>
            <w:tcBorders>
              <w:bottom w:val="single" w:sz="6" w:space="0" w:color="auto"/>
            </w:tcBorders>
            <w:vAlign w:val="center"/>
          </w:tcPr>
          <w:p w14:paraId="5E905ECC" w14:textId="77777777" w:rsidR="00BE4421" w:rsidRDefault="00BE4421" w:rsidP="00BE4421">
            <w:pPr>
              <w:pStyle w:val="TCTableBody"/>
              <w:jc w:val="center"/>
              <w:rPr>
                <w:lang w:val="pt-BR"/>
              </w:rPr>
            </w:pPr>
            <w:r>
              <w:rPr>
                <w:lang w:val="pt-BR"/>
              </w:rPr>
              <w:t>8,00</w:t>
            </w:r>
          </w:p>
        </w:tc>
        <w:tc>
          <w:tcPr>
            <w:tcW w:w="850" w:type="dxa"/>
            <w:tcBorders>
              <w:bottom w:val="single" w:sz="6" w:space="0" w:color="auto"/>
            </w:tcBorders>
          </w:tcPr>
          <w:p w14:paraId="6391B1F1" w14:textId="77777777" w:rsidR="00BE4421" w:rsidRDefault="00BE4421" w:rsidP="00BE4421">
            <w:pPr>
              <w:pStyle w:val="TCTableBody"/>
              <w:jc w:val="center"/>
              <w:rPr>
                <w:lang w:val="pt-BR"/>
              </w:rPr>
            </w:pPr>
            <w:r>
              <w:rPr>
                <w:lang w:val="pt-BR"/>
              </w:rPr>
              <w:t>0,36</w:t>
            </w:r>
          </w:p>
        </w:tc>
        <w:tc>
          <w:tcPr>
            <w:tcW w:w="993" w:type="dxa"/>
            <w:tcBorders>
              <w:bottom w:val="single" w:sz="6" w:space="0" w:color="auto"/>
            </w:tcBorders>
          </w:tcPr>
          <w:p w14:paraId="676451BA" w14:textId="77777777" w:rsidR="00BE4421" w:rsidRDefault="00BE4421" w:rsidP="00BE4421">
            <w:pPr>
              <w:pStyle w:val="TCTableBody"/>
              <w:jc w:val="center"/>
              <w:rPr>
                <w:lang w:val="pt-BR"/>
              </w:rPr>
            </w:pPr>
            <w:r>
              <w:rPr>
                <w:lang w:val="pt-BR"/>
              </w:rPr>
              <w:t>106,8</w:t>
            </w:r>
          </w:p>
        </w:tc>
        <w:tc>
          <w:tcPr>
            <w:tcW w:w="1502" w:type="dxa"/>
            <w:tcBorders>
              <w:bottom w:val="single" w:sz="6" w:space="0" w:color="auto"/>
            </w:tcBorders>
            <w:vAlign w:val="center"/>
          </w:tcPr>
          <w:p w14:paraId="0EA02AFC" w14:textId="77777777" w:rsidR="00BE4421" w:rsidRDefault="00BE4421" w:rsidP="00BE4421">
            <w:pPr>
              <w:pStyle w:val="TCTableBody"/>
              <w:jc w:val="center"/>
              <w:rPr>
                <w:lang w:val="pt-BR"/>
              </w:rPr>
            </w:pPr>
            <w:r>
              <w:rPr>
                <w:lang w:val="pt-BR"/>
              </w:rPr>
              <w:t>74</w:t>
            </w:r>
          </w:p>
        </w:tc>
      </w:tr>
      <w:tr w:rsidR="00BE4421" w:rsidRPr="00072C7A" w14:paraId="612CCF33" w14:textId="77777777" w:rsidTr="00BE4421">
        <w:trPr>
          <w:trHeight w:val="213"/>
        </w:trPr>
        <w:tc>
          <w:tcPr>
            <w:tcW w:w="0" w:type="auto"/>
            <w:tcBorders>
              <w:bottom w:val="single" w:sz="6" w:space="0" w:color="auto"/>
            </w:tcBorders>
            <w:vAlign w:val="center"/>
          </w:tcPr>
          <w:p w14:paraId="0A0C75A6" w14:textId="77777777" w:rsidR="00BE4421" w:rsidRDefault="00BE4421" w:rsidP="00BE4421">
            <w:pPr>
              <w:pStyle w:val="TCTableBody"/>
              <w:jc w:val="center"/>
              <w:rPr>
                <w:lang w:val="pt-BR"/>
              </w:rPr>
            </w:pPr>
            <w:proofErr w:type="spellStart"/>
            <w:r>
              <w:rPr>
                <w:lang w:val="pt-BR"/>
              </w:rPr>
              <w:t>CaO.Zn</w:t>
            </w:r>
            <w:proofErr w:type="spellEnd"/>
          </w:p>
        </w:tc>
        <w:tc>
          <w:tcPr>
            <w:tcW w:w="653" w:type="dxa"/>
            <w:tcBorders>
              <w:bottom w:val="single" w:sz="6" w:space="0" w:color="auto"/>
            </w:tcBorders>
            <w:vAlign w:val="center"/>
          </w:tcPr>
          <w:p w14:paraId="1B0A2006" w14:textId="77777777" w:rsidR="00BE4421" w:rsidRDefault="00BE4421" w:rsidP="00BE4421">
            <w:pPr>
              <w:pStyle w:val="TCTableBody"/>
              <w:jc w:val="center"/>
              <w:rPr>
                <w:lang w:val="pt-BR"/>
              </w:rPr>
            </w:pPr>
            <w:r>
              <w:rPr>
                <w:lang w:val="pt-BR"/>
              </w:rPr>
              <w:t>7,00</w:t>
            </w:r>
          </w:p>
        </w:tc>
        <w:tc>
          <w:tcPr>
            <w:tcW w:w="850" w:type="dxa"/>
            <w:tcBorders>
              <w:bottom w:val="single" w:sz="6" w:space="0" w:color="auto"/>
            </w:tcBorders>
          </w:tcPr>
          <w:p w14:paraId="6E7B3AED" w14:textId="77777777" w:rsidR="00BE4421" w:rsidRDefault="00BE4421" w:rsidP="00BE4421">
            <w:pPr>
              <w:pStyle w:val="TCTableBody"/>
              <w:jc w:val="center"/>
              <w:rPr>
                <w:lang w:val="pt-BR"/>
              </w:rPr>
            </w:pPr>
            <w:r>
              <w:rPr>
                <w:lang w:val="pt-BR"/>
              </w:rPr>
              <w:t>0,42</w:t>
            </w:r>
          </w:p>
        </w:tc>
        <w:tc>
          <w:tcPr>
            <w:tcW w:w="993" w:type="dxa"/>
            <w:tcBorders>
              <w:bottom w:val="single" w:sz="6" w:space="0" w:color="auto"/>
            </w:tcBorders>
          </w:tcPr>
          <w:p w14:paraId="08909182" w14:textId="77777777" w:rsidR="00BE4421" w:rsidRDefault="00BE4421" w:rsidP="00BE4421">
            <w:pPr>
              <w:pStyle w:val="TCTableBody"/>
              <w:jc w:val="center"/>
              <w:rPr>
                <w:lang w:val="pt-BR"/>
              </w:rPr>
            </w:pPr>
            <w:r>
              <w:rPr>
                <w:lang w:val="pt-BR"/>
              </w:rPr>
              <w:t>115,2</w:t>
            </w:r>
          </w:p>
        </w:tc>
        <w:tc>
          <w:tcPr>
            <w:tcW w:w="1502" w:type="dxa"/>
            <w:tcBorders>
              <w:bottom w:val="single" w:sz="6" w:space="0" w:color="auto"/>
            </w:tcBorders>
            <w:vAlign w:val="center"/>
          </w:tcPr>
          <w:p w14:paraId="2D2AE1FF" w14:textId="77777777" w:rsidR="00BE4421" w:rsidRDefault="00BE4421" w:rsidP="00BE4421">
            <w:pPr>
              <w:pStyle w:val="TCTableBody"/>
              <w:jc w:val="center"/>
              <w:rPr>
                <w:lang w:val="pt-BR"/>
              </w:rPr>
            </w:pPr>
            <w:r>
              <w:rPr>
                <w:lang w:val="pt-BR"/>
              </w:rPr>
              <w:t>68</w:t>
            </w:r>
          </w:p>
        </w:tc>
      </w:tr>
    </w:tbl>
    <w:p w14:paraId="309F0B45" w14:textId="77777777" w:rsidR="00A372B4" w:rsidRDefault="0036193A" w:rsidP="00F51331">
      <w:pPr>
        <w:pStyle w:val="VAFigureCaption"/>
        <w:spacing w:before="0"/>
        <w:rPr>
          <w:rFonts w:ascii="Times New Roman" w:hAnsi="Times New Roman"/>
          <w:sz w:val="20"/>
          <w:lang w:val="pt-BR"/>
        </w:rPr>
      </w:pPr>
      <w:r w:rsidRPr="00102CE5">
        <w:rPr>
          <w:rFonts w:ascii="Times New Roman" w:hAnsi="Times New Roman"/>
          <w:sz w:val="20"/>
          <w:lang w:val="pt-BR"/>
        </w:rPr>
        <w:t xml:space="preserve">    </w:t>
      </w:r>
    </w:p>
    <w:p w14:paraId="1AC669B8" w14:textId="2C47D128" w:rsidR="00F51331" w:rsidRDefault="0036193A" w:rsidP="00A372B4">
      <w:pPr>
        <w:pStyle w:val="VAFigureCaption"/>
        <w:spacing w:before="0" w:line="240" w:lineRule="exact"/>
        <w:rPr>
          <w:rFonts w:ascii="Times New Roman" w:hAnsi="Times New Roman"/>
          <w:b/>
          <w:sz w:val="20"/>
          <w:lang w:val="pt-BR"/>
        </w:rPr>
      </w:pPr>
      <w:r w:rsidRPr="00102CE5">
        <w:rPr>
          <w:rFonts w:ascii="Times New Roman" w:hAnsi="Times New Roman"/>
          <w:sz w:val="20"/>
          <w:lang w:val="pt-BR"/>
        </w:rPr>
        <w:t xml:space="preserve"> </w:t>
      </w:r>
      <w:r w:rsidRPr="00563446">
        <w:rPr>
          <w:rFonts w:ascii="Times New Roman" w:hAnsi="Times New Roman"/>
          <w:sz w:val="20"/>
          <w:lang w:val="pt-BR"/>
        </w:rPr>
        <w:t>O</w:t>
      </w:r>
      <w:r w:rsidR="00BE4421" w:rsidRPr="00563446">
        <w:rPr>
          <w:rFonts w:ascii="Times New Roman" w:hAnsi="Times New Roman"/>
          <w:sz w:val="20"/>
          <w:lang w:val="pt-BR"/>
        </w:rPr>
        <w:t xml:space="preserve"> </w:t>
      </w:r>
      <w:r w:rsidRPr="00563446">
        <w:rPr>
          <w:rFonts w:ascii="Times New Roman" w:hAnsi="Times New Roman"/>
          <w:sz w:val="20"/>
          <w:lang w:val="pt-BR"/>
        </w:rPr>
        <w:t xml:space="preserve">volume produzido pelo catalisador de </w:t>
      </w:r>
      <w:proofErr w:type="spellStart"/>
      <w:r w:rsidRPr="00563446">
        <w:rPr>
          <w:rFonts w:ascii="Times New Roman" w:hAnsi="Times New Roman"/>
          <w:sz w:val="20"/>
          <w:lang w:val="pt-BR"/>
        </w:rPr>
        <w:t>CaO</w:t>
      </w:r>
      <w:proofErr w:type="spellEnd"/>
      <w:r w:rsidRPr="00563446">
        <w:rPr>
          <w:rFonts w:ascii="Times New Roman" w:hAnsi="Times New Roman"/>
          <w:sz w:val="20"/>
          <w:lang w:val="pt-BR"/>
        </w:rPr>
        <w:t xml:space="preserve"> sem impregnação foi de 40,5 ml o que representa uma redução de rendimento de 15% em relação ao </w:t>
      </w:r>
      <w:proofErr w:type="spellStart"/>
      <w:r w:rsidRPr="00563446">
        <w:rPr>
          <w:rFonts w:ascii="Times New Roman" w:hAnsi="Times New Roman"/>
          <w:sz w:val="20"/>
          <w:lang w:val="pt-BR"/>
        </w:rPr>
        <w:t>NaOH</w:t>
      </w:r>
      <w:proofErr w:type="spellEnd"/>
      <w:r w:rsidR="005456AE" w:rsidRPr="00563446">
        <w:rPr>
          <w:rFonts w:ascii="Times New Roman" w:hAnsi="Times New Roman"/>
          <w:sz w:val="20"/>
          <w:lang w:val="pt-BR"/>
        </w:rPr>
        <w:t>, esta redução também pode ser observada na figura 1</w:t>
      </w:r>
      <w:r w:rsidR="003F14A4" w:rsidRPr="00563446">
        <w:rPr>
          <w:rFonts w:ascii="Times New Roman" w:hAnsi="Times New Roman"/>
          <w:sz w:val="20"/>
          <w:lang w:val="pt-BR"/>
        </w:rPr>
        <w:t xml:space="preserve"> onde a área de FAME foi 16% menor</w:t>
      </w:r>
      <w:r w:rsidR="005456AE" w:rsidRPr="00563446">
        <w:rPr>
          <w:rFonts w:ascii="Times New Roman" w:hAnsi="Times New Roman"/>
          <w:sz w:val="20"/>
          <w:lang w:val="pt-BR"/>
        </w:rPr>
        <w:t xml:space="preserve">, </w:t>
      </w:r>
      <w:r w:rsidRPr="00563446">
        <w:rPr>
          <w:rFonts w:ascii="Times New Roman" w:hAnsi="Times New Roman"/>
          <w:sz w:val="20"/>
          <w:lang w:val="pt-BR"/>
        </w:rPr>
        <w:t>isto se deve ao fato de um catalisador heterogêneo ter maior dificuldade para reagir, pois estes reagem em um sistema trifásico, enquanto a reação homogênea depende apenas de duas fases e de como estas estão sendo agitadas</w:t>
      </w:r>
      <w:r w:rsidR="00F20A53" w:rsidRPr="00563446">
        <w:rPr>
          <w:rFonts w:ascii="Times New Roman" w:hAnsi="Times New Roman"/>
          <w:sz w:val="20"/>
          <w:lang w:val="pt-BR"/>
        </w:rPr>
        <w:t xml:space="preserve"> (1</w:t>
      </w:r>
      <w:r w:rsidR="00A248DC" w:rsidRPr="00563446">
        <w:rPr>
          <w:rFonts w:ascii="Times New Roman" w:hAnsi="Times New Roman"/>
          <w:sz w:val="20"/>
          <w:lang w:val="pt-BR"/>
        </w:rPr>
        <w:t>9</w:t>
      </w:r>
      <w:r w:rsidR="00F20A53" w:rsidRPr="00563446">
        <w:rPr>
          <w:rFonts w:ascii="Times New Roman" w:hAnsi="Times New Roman"/>
          <w:sz w:val="20"/>
          <w:lang w:val="pt-BR"/>
        </w:rPr>
        <w:t>)</w:t>
      </w:r>
      <w:r w:rsidR="008E5EDA" w:rsidRPr="00563446">
        <w:rPr>
          <w:rFonts w:ascii="Times New Roman" w:hAnsi="Times New Roman"/>
          <w:sz w:val="20"/>
          <w:lang w:val="pt-BR"/>
        </w:rPr>
        <w:t>.</w:t>
      </w:r>
      <w:r w:rsidR="00F51331" w:rsidRPr="00563446">
        <w:rPr>
          <w:rFonts w:ascii="Times New Roman" w:hAnsi="Times New Roman"/>
          <w:b/>
          <w:sz w:val="20"/>
          <w:lang w:val="pt-BR"/>
        </w:rPr>
        <w:t xml:space="preserve"> </w:t>
      </w:r>
    </w:p>
    <w:p w14:paraId="190AB6D2" w14:textId="17669E1D" w:rsidR="00F51331" w:rsidRPr="00563446" w:rsidRDefault="00A372B4" w:rsidP="00F51331">
      <w:pPr>
        <w:pStyle w:val="VAFigureCaption"/>
        <w:spacing w:before="0"/>
        <w:rPr>
          <w:rFonts w:ascii="Times New Roman" w:hAnsi="Times New Roman"/>
          <w:b/>
          <w:sz w:val="20"/>
          <w:lang w:val="pt-BR"/>
        </w:rPr>
      </w:pPr>
      <w:r>
        <w:rPr>
          <w:noProof/>
        </w:rPr>
        <w:drawing>
          <wp:anchor distT="0" distB="0" distL="114300" distR="114300" simplePos="0" relativeHeight="251661311" behindDoc="0" locked="0" layoutInCell="1" allowOverlap="1" wp14:anchorId="32D72360" wp14:editId="56CC8A70">
            <wp:simplePos x="0" y="0"/>
            <wp:positionH relativeFrom="column">
              <wp:align>right</wp:align>
            </wp:positionH>
            <wp:positionV relativeFrom="paragraph">
              <wp:posOffset>169545</wp:posOffset>
            </wp:positionV>
            <wp:extent cx="3027680" cy="2148205"/>
            <wp:effectExtent l="0" t="0" r="1270" b="4445"/>
            <wp:wrapTopAndBottom/>
            <wp:docPr id="1" name="Gráfico 1">
              <a:extLst xmlns:a="http://schemas.openxmlformats.org/drawingml/2006/main">
                <a:ext uri="{FF2B5EF4-FFF2-40B4-BE49-F238E27FC236}">
                  <a16:creationId xmlns:a16="http://schemas.microsoft.com/office/drawing/2014/main" id="{0D50E486-F45C-11FF-93E0-B485A2E4F3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AA6B093" w14:textId="0E06F703" w:rsidR="00F51331" w:rsidRPr="00102CE5" w:rsidRDefault="00F51331" w:rsidP="00F51331">
      <w:pPr>
        <w:pStyle w:val="VAFigureCaption"/>
        <w:spacing w:before="0"/>
        <w:rPr>
          <w:rFonts w:ascii="Times New Roman" w:hAnsi="Times New Roman"/>
          <w:lang w:val="pt-BR"/>
        </w:rPr>
      </w:pPr>
      <w:r w:rsidRPr="00102CE5">
        <w:rPr>
          <w:rFonts w:ascii="Times New Roman" w:hAnsi="Times New Roman"/>
          <w:b/>
          <w:lang w:val="pt-BR"/>
        </w:rPr>
        <w:t>Figura 1</w:t>
      </w:r>
      <w:r w:rsidRPr="00611939">
        <w:rPr>
          <w:rFonts w:ascii="Times New Roman" w:hAnsi="Times New Roman"/>
          <w:b/>
          <w:lang w:val="pt-BR"/>
        </w:rPr>
        <w:t>.</w:t>
      </w:r>
      <w:r w:rsidRPr="00611939">
        <w:rPr>
          <w:rFonts w:ascii="Times New Roman" w:hAnsi="Times New Roman"/>
          <w:lang w:val="pt-BR"/>
        </w:rPr>
        <w:t xml:space="preserve"> Produção de FAME por tipo de catalisador</w:t>
      </w:r>
      <w:r w:rsidR="00A372B4">
        <w:rPr>
          <w:rFonts w:ascii="Times New Roman" w:hAnsi="Times New Roman"/>
          <w:lang w:val="pt-BR"/>
        </w:rPr>
        <w:t>.</w:t>
      </w:r>
    </w:p>
    <w:p w14:paraId="0F06AC26" w14:textId="77777777" w:rsidR="00A372B4" w:rsidRDefault="00A372B4" w:rsidP="00372AD9">
      <w:pPr>
        <w:pStyle w:val="Estilo1"/>
      </w:pPr>
    </w:p>
    <w:p w14:paraId="09D6D2D1" w14:textId="5909E72B" w:rsidR="00730564" w:rsidRPr="00752A92" w:rsidRDefault="00A07DB1" w:rsidP="00372AD9">
      <w:pPr>
        <w:pStyle w:val="Estilo1"/>
      </w:pPr>
      <w:r w:rsidRPr="00FB77E4">
        <w:t xml:space="preserve">O rendimento </w:t>
      </w:r>
      <w:r w:rsidR="00730564">
        <w:t xml:space="preserve">volumétrico dos impregnados foi em média 25% menor do que a amostra de </w:t>
      </w:r>
      <w:proofErr w:type="spellStart"/>
      <w:r w:rsidR="00730564">
        <w:t>NaOH</w:t>
      </w:r>
      <w:proofErr w:type="spellEnd"/>
      <w:r w:rsidR="00730564">
        <w:t xml:space="preserve">, os dados obtidos pela cromatografia gasosa demonstram que a impregnação com </w:t>
      </w:r>
      <w:r w:rsidR="003B1D05">
        <w:t>metais</w:t>
      </w:r>
      <w:r w:rsidR="00730564">
        <w:t xml:space="preserve"> teve pouco efeito sobre o rendimento em relação ao catalisador de </w:t>
      </w:r>
      <w:proofErr w:type="spellStart"/>
      <w:r w:rsidR="00730564">
        <w:t>CaO</w:t>
      </w:r>
      <w:proofErr w:type="spellEnd"/>
      <w:r w:rsidR="00730564">
        <w:t xml:space="preserve"> puro</w:t>
      </w:r>
      <w:r w:rsidR="003B1D05">
        <w:t xml:space="preserve">, com mudanças de área de </w:t>
      </w:r>
      <w:r w:rsidR="003B1D05">
        <w:lastRenderedPageBreak/>
        <w:t>aproximadamente 5%</w:t>
      </w:r>
      <w:r w:rsidR="00730564">
        <w:t xml:space="preserve">. </w:t>
      </w:r>
      <w:r w:rsidR="008E5EDA">
        <w:t xml:space="preserve">Ainda assim, a impregnação do Al contribuiu positivamente para o aumento da formação dos ésteres metílicos em relação ao catalisador contendo apenas </w:t>
      </w:r>
      <w:proofErr w:type="spellStart"/>
      <w:r w:rsidR="008E5EDA">
        <w:t>CaO</w:t>
      </w:r>
      <w:proofErr w:type="spellEnd"/>
      <w:r w:rsidR="008E5EDA">
        <w:t xml:space="preserve">. </w:t>
      </w:r>
      <w:r w:rsidR="00807BF6">
        <w:t xml:space="preserve">Contudo, para uma melhor avaliação </w:t>
      </w:r>
      <w:r w:rsidR="007D3EC2">
        <w:t>d</w:t>
      </w:r>
      <w:r w:rsidR="00807BF6">
        <w:t xml:space="preserve">o efeito </w:t>
      </w:r>
      <w:r w:rsidR="007D3EC2">
        <w:t xml:space="preserve">da impregnação de Al, La e Zn nos catalisadores de </w:t>
      </w:r>
      <w:proofErr w:type="spellStart"/>
      <w:r w:rsidR="007D3EC2">
        <w:t>CaO</w:t>
      </w:r>
      <w:proofErr w:type="spellEnd"/>
      <w:r w:rsidR="007D3EC2">
        <w:t xml:space="preserve"> ainda é necessário a realização de análises de caracterização das propriedades estruturais e </w:t>
      </w:r>
      <w:proofErr w:type="spellStart"/>
      <w:r w:rsidR="007D3EC2">
        <w:t>texturais</w:t>
      </w:r>
      <w:proofErr w:type="spellEnd"/>
      <w:r w:rsidR="007D3EC2">
        <w:t xml:space="preserve"> dos catalisadores impregnados.</w:t>
      </w:r>
    </w:p>
    <w:p w14:paraId="69BBF5CE" w14:textId="52990270" w:rsidR="00753C9C" w:rsidRDefault="000C57CB" w:rsidP="00372AD9">
      <w:pPr>
        <w:pStyle w:val="Estilo1"/>
        <w:rPr>
          <w:noProof/>
        </w:rPr>
      </w:pPr>
      <w:r>
        <w:rPr>
          <w:noProof/>
        </w:rPr>
        <w:t>Pelas analises de TLC foi poss</w:t>
      </w:r>
      <w:r w:rsidR="008E5EDA">
        <w:rPr>
          <w:noProof/>
        </w:rPr>
        <w:t>í</w:t>
      </w:r>
      <w:r>
        <w:rPr>
          <w:noProof/>
        </w:rPr>
        <w:t>vel verificar a presen</w:t>
      </w:r>
      <w:r w:rsidR="007101EB">
        <w:rPr>
          <w:noProof/>
        </w:rPr>
        <w:t>ç</w:t>
      </w:r>
      <w:r>
        <w:rPr>
          <w:noProof/>
        </w:rPr>
        <w:t>a</w:t>
      </w:r>
      <w:r w:rsidR="007101EB">
        <w:rPr>
          <w:noProof/>
        </w:rPr>
        <w:t xml:space="preserve"> de impurezas polares</w:t>
      </w:r>
      <w:r w:rsidR="00102CE5">
        <w:rPr>
          <w:noProof/>
        </w:rPr>
        <w:t xml:space="preserve"> - </w:t>
      </w:r>
      <w:r w:rsidR="00B20DF4">
        <w:rPr>
          <w:noProof/>
        </w:rPr>
        <w:t>Ácidos graxos livres</w:t>
      </w:r>
      <w:r w:rsidR="00102CE5">
        <w:rPr>
          <w:noProof/>
        </w:rPr>
        <w:t xml:space="preserve"> (FFA)</w:t>
      </w:r>
      <w:r w:rsidR="00B20DF4">
        <w:rPr>
          <w:noProof/>
        </w:rPr>
        <w:t>, monocilgrlicerol</w:t>
      </w:r>
      <w:r w:rsidR="00102CE5">
        <w:rPr>
          <w:noProof/>
        </w:rPr>
        <w:t xml:space="preserve"> (MAG)</w:t>
      </w:r>
      <w:r w:rsidR="00B20DF4">
        <w:rPr>
          <w:noProof/>
        </w:rPr>
        <w:t xml:space="preserve"> e diacilglicerol</w:t>
      </w:r>
      <w:r w:rsidR="00102CE5">
        <w:rPr>
          <w:noProof/>
        </w:rPr>
        <w:t xml:space="preserve"> (DAG)</w:t>
      </w:r>
      <w:r w:rsidR="00B20DF4">
        <w:rPr>
          <w:noProof/>
        </w:rPr>
        <w:t xml:space="preserve">, </w:t>
      </w:r>
      <w:r w:rsidR="007101EB">
        <w:rPr>
          <w:noProof/>
        </w:rPr>
        <w:t>principalmente nas amostras de CaO e CaO-Al, a amostra de NaOH foi a que apresentou menor</w:t>
      </w:r>
      <w:r w:rsidR="00753C9C">
        <w:rPr>
          <w:noProof/>
        </w:rPr>
        <w:t xml:space="preserve"> mancha destes compostos, demonstrando sua elevada pureza.</w:t>
      </w:r>
    </w:p>
    <w:p w14:paraId="26078593" w14:textId="584D6797" w:rsidR="00A25242" w:rsidRDefault="00753C9C" w:rsidP="00372AD9">
      <w:pPr>
        <w:pStyle w:val="Estilo1"/>
        <w:rPr>
          <w:noProof/>
        </w:rPr>
      </w:pPr>
      <w:r>
        <w:rPr>
          <w:noProof/>
        </w:rPr>
        <w:t>Todas as amostras apresentaram pequenas manchas na região onde se encontra os TAG, ou seja</w:t>
      </w:r>
      <w:r w:rsidR="008E5EDA">
        <w:rPr>
          <w:noProof/>
        </w:rPr>
        <w:t>,</w:t>
      </w:r>
      <w:r>
        <w:rPr>
          <w:noProof/>
        </w:rPr>
        <w:t xml:space="preserve"> </w:t>
      </w:r>
      <w:r w:rsidR="008E5EDA">
        <w:rPr>
          <w:noProof/>
        </w:rPr>
        <w:t>ó</w:t>
      </w:r>
      <w:r>
        <w:rPr>
          <w:noProof/>
        </w:rPr>
        <w:t>leo não reagido, isto se deve a convers</w:t>
      </w:r>
      <w:r w:rsidR="008E5EDA">
        <w:rPr>
          <w:noProof/>
        </w:rPr>
        <w:t>ã</w:t>
      </w:r>
      <w:r>
        <w:rPr>
          <w:noProof/>
        </w:rPr>
        <w:t xml:space="preserve">o do biodiesel </w:t>
      </w:r>
      <w:r w:rsidR="008E5EDA">
        <w:rPr>
          <w:noProof/>
        </w:rPr>
        <w:t xml:space="preserve">dificilmente </w:t>
      </w:r>
      <w:r>
        <w:rPr>
          <w:noProof/>
        </w:rPr>
        <w:t>ser completa</w:t>
      </w:r>
      <w:r w:rsidR="008E5EDA">
        <w:rPr>
          <w:noProof/>
        </w:rPr>
        <w:t>,</w:t>
      </w:r>
      <w:r>
        <w:rPr>
          <w:noProof/>
        </w:rPr>
        <w:t xml:space="preserve"> devido a esta ser uma rea</w:t>
      </w:r>
      <w:r w:rsidR="0087359B">
        <w:rPr>
          <w:noProof/>
        </w:rPr>
        <w:t>çã</w:t>
      </w:r>
      <w:r>
        <w:rPr>
          <w:noProof/>
        </w:rPr>
        <w:t>o de equil</w:t>
      </w:r>
      <w:r w:rsidR="008E5EDA">
        <w:rPr>
          <w:noProof/>
        </w:rPr>
        <w:t>í</w:t>
      </w:r>
      <w:r>
        <w:rPr>
          <w:noProof/>
        </w:rPr>
        <w:t>brio e a dif</w:t>
      </w:r>
      <w:r w:rsidR="008E5EDA">
        <w:rPr>
          <w:noProof/>
        </w:rPr>
        <w:t>í</w:t>
      </w:r>
      <w:r>
        <w:rPr>
          <w:noProof/>
        </w:rPr>
        <w:t>cil separa</w:t>
      </w:r>
      <w:r w:rsidR="0087359B">
        <w:rPr>
          <w:noProof/>
        </w:rPr>
        <w:t>çã</w:t>
      </w:r>
      <w:r>
        <w:rPr>
          <w:noProof/>
        </w:rPr>
        <w:t xml:space="preserve">o do </w:t>
      </w:r>
      <w:r w:rsidR="0087359B">
        <w:rPr>
          <w:noProof/>
        </w:rPr>
        <w:t>ó</w:t>
      </w:r>
      <w:r>
        <w:rPr>
          <w:noProof/>
        </w:rPr>
        <w:t xml:space="preserve">leo, já que este tem grande afinidade pelo biodiesel. </w:t>
      </w:r>
      <w:r w:rsidR="007101EB">
        <w:rPr>
          <w:noProof/>
        </w:rPr>
        <w:t xml:space="preserve">  </w:t>
      </w:r>
    </w:p>
    <w:p w14:paraId="2DB822D6" w14:textId="29AC74E4" w:rsidR="005709F9" w:rsidRPr="00737A68" w:rsidRDefault="008E5EDA" w:rsidP="00737A68">
      <w:pPr>
        <w:pStyle w:val="Estilo1"/>
        <w:rPr>
          <w:noProof/>
        </w:rPr>
      </w:pPr>
      <w:r>
        <w:rPr>
          <w:noProof/>
        </w:rPr>
        <w:drawing>
          <wp:anchor distT="0" distB="0" distL="114300" distR="114300" simplePos="0" relativeHeight="251662335" behindDoc="0" locked="0" layoutInCell="1" allowOverlap="1" wp14:anchorId="7A127A03" wp14:editId="1745E05D">
            <wp:simplePos x="0" y="0"/>
            <wp:positionH relativeFrom="margin">
              <wp:align>left</wp:align>
            </wp:positionH>
            <wp:positionV relativeFrom="paragraph">
              <wp:posOffset>669290</wp:posOffset>
            </wp:positionV>
            <wp:extent cx="2747645" cy="2672080"/>
            <wp:effectExtent l="19050" t="19050" r="14605" b="1397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747645" cy="26720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72AD9">
        <w:rPr>
          <w:noProof/>
        </w:rPr>
        <w:t>Al</w:t>
      </w:r>
      <w:r>
        <w:rPr>
          <w:noProof/>
        </w:rPr>
        <w:t>é</w:t>
      </w:r>
      <w:r w:rsidR="00372AD9">
        <w:rPr>
          <w:noProof/>
        </w:rPr>
        <w:t>m disso</w:t>
      </w:r>
      <w:r>
        <w:rPr>
          <w:noProof/>
        </w:rPr>
        <w:t>,</w:t>
      </w:r>
      <w:r w:rsidR="00372AD9">
        <w:rPr>
          <w:noProof/>
        </w:rPr>
        <w:t xml:space="preserve"> todas as amostras tem manchas bem pronunciadas na região onde se encontra o produto FAME, demonstrando assim que todos os catali</w:t>
      </w:r>
      <w:r w:rsidR="00807BF6">
        <w:rPr>
          <w:noProof/>
        </w:rPr>
        <w:t>s</w:t>
      </w:r>
      <w:r w:rsidR="00372AD9">
        <w:rPr>
          <w:noProof/>
        </w:rPr>
        <w:t>adores foram capazes de converter boa parte do óleo em biodiesel.</w:t>
      </w:r>
    </w:p>
    <w:p w14:paraId="5B7F9FED" w14:textId="041555C5" w:rsidR="00372AD9" w:rsidRPr="00A372B4" w:rsidRDefault="00752A92" w:rsidP="00A372B4">
      <w:pPr>
        <w:jc w:val="both"/>
        <w:rPr>
          <w:sz w:val="18"/>
          <w:szCs w:val="18"/>
        </w:rPr>
      </w:pPr>
      <w:r w:rsidRPr="00A372B4">
        <w:rPr>
          <w:rFonts w:ascii="Times New Roman" w:hAnsi="Times New Roman"/>
          <w:b/>
          <w:sz w:val="18"/>
          <w:szCs w:val="18"/>
        </w:rPr>
        <w:t>Figura 2.</w:t>
      </w:r>
      <w:r w:rsidRPr="00A372B4">
        <w:rPr>
          <w:rFonts w:ascii="Times New Roman" w:hAnsi="Times New Roman"/>
          <w:sz w:val="18"/>
          <w:szCs w:val="18"/>
        </w:rPr>
        <w:t xml:space="preserve"> An</w:t>
      </w:r>
      <w:r w:rsidR="008E5EDA" w:rsidRPr="00A372B4">
        <w:rPr>
          <w:rFonts w:ascii="Times New Roman" w:hAnsi="Times New Roman"/>
          <w:sz w:val="18"/>
          <w:szCs w:val="18"/>
        </w:rPr>
        <w:t>á</w:t>
      </w:r>
      <w:r w:rsidRPr="00A372B4">
        <w:rPr>
          <w:rFonts w:ascii="Times New Roman" w:hAnsi="Times New Roman"/>
          <w:sz w:val="18"/>
          <w:szCs w:val="18"/>
        </w:rPr>
        <w:t>lise TLC das amostras de biodiesel após separação e lavagem.</w:t>
      </w:r>
    </w:p>
    <w:p w14:paraId="36D54FFF" w14:textId="436735DC" w:rsidR="005709F9" w:rsidRDefault="00013A8B" w:rsidP="009C3ECF">
      <w:pPr>
        <w:pStyle w:val="Estilo1"/>
      </w:pPr>
      <w:r>
        <w:t xml:space="preserve">   Na figura 3 é possível observar a síntese homogênea com </w:t>
      </w:r>
      <w:proofErr w:type="spellStart"/>
      <w:r>
        <w:t>NaOH</w:t>
      </w:r>
      <w:proofErr w:type="spellEnd"/>
      <w:r>
        <w:t xml:space="preserve"> (Esquerda) e a síntese heterogênea com </w:t>
      </w:r>
      <w:proofErr w:type="spellStart"/>
      <w:r>
        <w:t>CaO-La</w:t>
      </w:r>
      <w:proofErr w:type="spellEnd"/>
      <w:r w:rsidR="009C3ECF">
        <w:t xml:space="preserve"> (Direita) com o catalisador separado por filtração, sendo </w:t>
      </w:r>
      <w:r w:rsidR="005337CA">
        <w:t>a</w:t>
      </w:r>
      <w:r w:rsidR="007250FB">
        <w:t xml:space="preserve"> remoção do catalisador por filtração a </w:t>
      </w:r>
      <w:r w:rsidR="009C3ECF">
        <w:t>principal diferen</w:t>
      </w:r>
      <w:r w:rsidR="005337CA">
        <w:t>ça metodológica</w:t>
      </w:r>
      <w:r w:rsidR="009C3ECF">
        <w:t xml:space="preserve"> da síntese heterogênea.</w:t>
      </w:r>
    </w:p>
    <w:p w14:paraId="1C60D8DA" w14:textId="4CA799F6" w:rsidR="00F20A53" w:rsidRDefault="0029465A" w:rsidP="009C3ECF">
      <w:pPr>
        <w:pStyle w:val="Estilo1"/>
      </w:pPr>
      <w:r>
        <w:t>Entretanto, cabe ressaltar que a</w:t>
      </w:r>
      <w:r w:rsidR="00F20A53">
        <w:t xml:space="preserve"> síntese de </w:t>
      </w:r>
      <w:proofErr w:type="spellStart"/>
      <w:r w:rsidR="00F20A53">
        <w:t>NaOH</w:t>
      </w:r>
      <w:proofErr w:type="spellEnd"/>
      <w:r w:rsidR="00F20A53">
        <w:t xml:space="preserve"> ainda teve que passar por lavagens que não foram necessárias no caso da síntese com os heterogêneos.</w:t>
      </w:r>
    </w:p>
    <w:p w14:paraId="3AA2A099" w14:textId="6111C360" w:rsidR="00B82D26" w:rsidRDefault="00B82D26" w:rsidP="00B82D26">
      <w:pPr>
        <w:jc w:val="center"/>
      </w:pPr>
      <w:r>
        <w:rPr>
          <w:noProof/>
        </w:rPr>
        <w:drawing>
          <wp:inline distT="0" distB="0" distL="0" distR="0" wp14:anchorId="33C8AB3C" wp14:editId="3AA15BE4">
            <wp:extent cx="1073244" cy="2877986"/>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237" r="17473" b="12134"/>
                    <a:stretch/>
                  </pic:blipFill>
                  <pic:spPr bwMode="auto">
                    <a:xfrm>
                      <a:off x="0" y="0"/>
                      <a:ext cx="1104690" cy="2962310"/>
                    </a:xfrm>
                    <a:prstGeom prst="rect">
                      <a:avLst/>
                    </a:prstGeom>
                    <a:noFill/>
                    <a:ln>
                      <a:noFill/>
                    </a:ln>
                    <a:extLst>
                      <a:ext uri="{53640926-AAD7-44D8-BBD7-CCE9431645EC}">
                        <a14:shadowObscured xmlns:a14="http://schemas.microsoft.com/office/drawing/2010/main"/>
                      </a:ext>
                    </a:extLst>
                  </pic:spPr>
                </pic:pic>
              </a:graphicData>
            </a:graphic>
          </wp:inline>
        </w:drawing>
      </w:r>
      <w:r w:rsidR="008A508D">
        <w:rPr>
          <w:noProof/>
        </w:rPr>
        <w:drawing>
          <wp:inline distT="0" distB="0" distL="0" distR="0" wp14:anchorId="0E7A527B" wp14:editId="06000C06">
            <wp:extent cx="1399429" cy="288743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flipH="1">
                      <a:off x="0" y="0"/>
                      <a:ext cx="1426134" cy="2942531"/>
                    </a:xfrm>
                    <a:prstGeom prst="rect">
                      <a:avLst/>
                    </a:prstGeom>
                    <a:noFill/>
                    <a:ln>
                      <a:noFill/>
                    </a:ln>
                  </pic:spPr>
                </pic:pic>
              </a:graphicData>
            </a:graphic>
          </wp:inline>
        </w:drawing>
      </w:r>
    </w:p>
    <w:p w14:paraId="29D31B55" w14:textId="77CF3301" w:rsidR="00B82D26" w:rsidRDefault="00B82D26" w:rsidP="003701FA">
      <w:pPr>
        <w:pStyle w:val="VAFigureCaption"/>
        <w:spacing w:before="0"/>
        <w:rPr>
          <w:rFonts w:ascii="Times New Roman" w:hAnsi="Times New Roman"/>
          <w:lang w:val="pt-BR"/>
        </w:rPr>
      </w:pPr>
      <w:r w:rsidRPr="00E038AF">
        <w:rPr>
          <w:rFonts w:ascii="Times New Roman" w:hAnsi="Times New Roman"/>
          <w:b/>
          <w:lang w:val="pt-BR"/>
        </w:rPr>
        <w:t xml:space="preserve">Figura </w:t>
      </w:r>
      <w:r w:rsidR="008E5EDA">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sidR="0041480C">
        <w:rPr>
          <w:rFonts w:ascii="Times New Roman" w:hAnsi="Times New Roman"/>
          <w:lang w:val="pt-BR"/>
        </w:rPr>
        <w:t>Síntese</w:t>
      </w:r>
      <w:r>
        <w:rPr>
          <w:rFonts w:ascii="Times New Roman" w:hAnsi="Times New Roman"/>
          <w:lang w:val="pt-BR"/>
        </w:rPr>
        <w:t xml:space="preserve"> biodiesel </w:t>
      </w:r>
      <w:r w:rsidR="003701FA">
        <w:rPr>
          <w:rFonts w:ascii="Times New Roman" w:hAnsi="Times New Roman"/>
          <w:lang w:val="pt-BR"/>
        </w:rPr>
        <w:t xml:space="preserve">por catalise homogênea com </w:t>
      </w:r>
      <w:proofErr w:type="spellStart"/>
      <w:r w:rsidR="003701FA">
        <w:rPr>
          <w:rFonts w:ascii="Times New Roman" w:hAnsi="Times New Roman"/>
          <w:lang w:val="pt-BR"/>
        </w:rPr>
        <w:t>NaOH</w:t>
      </w:r>
      <w:proofErr w:type="spellEnd"/>
      <w:r w:rsidR="0041480C">
        <w:rPr>
          <w:rFonts w:ascii="Times New Roman" w:hAnsi="Times New Roman"/>
          <w:lang w:val="pt-BR"/>
        </w:rPr>
        <w:t xml:space="preserve"> antes das etapas de lavagem no funil de separação</w:t>
      </w:r>
      <w:r w:rsidR="008A508D">
        <w:rPr>
          <w:rFonts w:ascii="Times New Roman" w:hAnsi="Times New Roman"/>
          <w:lang w:val="pt-BR"/>
        </w:rPr>
        <w:t xml:space="preserve">, síntese biodiesel por catalise heterogênea </w:t>
      </w:r>
      <w:proofErr w:type="spellStart"/>
      <w:r w:rsidR="008A508D">
        <w:rPr>
          <w:rFonts w:ascii="Times New Roman" w:hAnsi="Times New Roman"/>
          <w:lang w:val="pt-BR"/>
        </w:rPr>
        <w:t>CaO-La</w:t>
      </w:r>
      <w:proofErr w:type="spellEnd"/>
      <w:r w:rsidR="008A508D">
        <w:rPr>
          <w:rFonts w:ascii="Times New Roman" w:hAnsi="Times New Roman"/>
          <w:lang w:val="pt-BR"/>
        </w:rPr>
        <w:t xml:space="preserve"> e catalisador impregnado com lantânio </w:t>
      </w:r>
      <w:proofErr w:type="spellStart"/>
      <w:r w:rsidR="008A508D">
        <w:rPr>
          <w:rFonts w:ascii="Times New Roman" w:hAnsi="Times New Roman"/>
          <w:lang w:val="pt-BR"/>
        </w:rPr>
        <w:t>Cao-La</w:t>
      </w:r>
      <w:proofErr w:type="spellEnd"/>
      <w:r w:rsidRPr="00E038AF">
        <w:rPr>
          <w:rFonts w:ascii="Times New Roman" w:hAnsi="Times New Roman"/>
          <w:lang w:val="pt-BR"/>
        </w:rPr>
        <w:t xml:space="preserve">. </w:t>
      </w:r>
    </w:p>
    <w:p w14:paraId="14700C27" w14:textId="0255A36D" w:rsidR="00B82D26" w:rsidRDefault="00B82D26" w:rsidP="00527607">
      <w:pPr>
        <w:pStyle w:val="TAMainText"/>
        <w:ind w:firstLine="187"/>
        <w:rPr>
          <w:rFonts w:ascii="Times New Roman" w:hAnsi="Times New Roman"/>
          <w:lang w:val="pt-BR"/>
        </w:rPr>
      </w:pP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07420EDA" w:rsidR="00EA4E1B" w:rsidRPr="001F25B2" w:rsidRDefault="00807BF6" w:rsidP="00EA4E1B">
      <w:pPr>
        <w:pStyle w:val="TAMainText"/>
        <w:ind w:firstLine="187"/>
        <w:rPr>
          <w:rFonts w:ascii="Times New Roman" w:hAnsi="Times New Roman"/>
          <w:lang w:val="pt-BR"/>
        </w:rPr>
      </w:pPr>
      <w:r>
        <w:rPr>
          <w:rFonts w:ascii="Times New Roman" w:hAnsi="Times New Roman"/>
          <w:lang w:val="pt-BR"/>
        </w:rPr>
        <w:t>Através</w:t>
      </w:r>
      <w:r w:rsidR="009C3ECF">
        <w:rPr>
          <w:rFonts w:ascii="Times New Roman" w:hAnsi="Times New Roman"/>
          <w:lang w:val="pt-BR"/>
        </w:rPr>
        <w:t xml:space="preserve"> </w:t>
      </w:r>
      <w:r>
        <w:rPr>
          <w:rFonts w:ascii="Times New Roman" w:hAnsi="Times New Roman"/>
          <w:lang w:val="pt-BR"/>
        </w:rPr>
        <w:t>d</w:t>
      </w:r>
      <w:r w:rsidR="009C3ECF">
        <w:rPr>
          <w:rFonts w:ascii="Times New Roman" w:hAnsi="Times New Roman"/>
          <w:lang w:val="pt-BR"/>
        </w:rPr>
        <w:t xml:space="preserve">os dados obtidos foi possível </w:t>
      </w:r>
      <w:r>
        <w:rPr>
          <w:rFonts w:ascii="Times New Roman" w:hAnsi="Times New Roman"/>
          <w:lang w:val="pt-BR"/>
        </w:rPr>
        <w:t>concluir</w:t>
      </w:r>
      <w:r w:rsidR="009C3ECF">
        <w:rPr>
          <w:rFonts w:ascii="Times New Roman" w:hAnsi="Times New Roman"/>
          <w:lang w:val="pt-BR"/>
        </w:rPr>
        <w:t xml:space="preserve"> que os catalisadores heterogêneos</w:t>
      </w:r>
      <w:r w:rsidR="005337CA">
        <w:rPr>
          <w:rFonts w:ascii="Times New Roman" w:hAnsi="Times New Roman"/>
          <w:lang w:val="pt-BR"/>
        </w:rPr>
        <w:t xml:space="preserve"> baseados em </w:t>
      </w:r>
      <w:proofErr w:type="spellStart"/>
      <w:r w:rsidR="005337CA">
        <w:rPr>
          <w:rFonts w:ascii="Times New Roman" w:hAnsi="Times New Roman"/>
          <w:lang w:val="pt-BR"/>
        </w:rPr>
        <w:t>CaO</w:t>
      </w:r>
      <w:proofErr w:type="spellEnd"/>
      <w:r w:rsidR="005337CA">
        <w:rPr>
          <w:rFonts w:ascii="Times New Roman" w:hAnsi="Times New Roman"/>
          <w:lang w:val="pt-BR"/>
        </w:rPr>
        <w:t>, obtido de casca de ovos,</w:t>
      </w:r>
      <w:r w:rsidR="009C3ECF">
        <w:rPr>
          <w:rFonts w:ascii="Times New Roman" w:hAnsi="Times New Roman"/>
          <w:lang w:val="pt-BR"/>
        </w:rPr>
        <w:t xml:space="preserve"> impregnados ou não apresentaram desempenho inferior ao método homogêneo com </w:t>
      </w:r>
      <w:proofErr w:type="spellStart"/>
      <w:r w:rsidR="009C3ECF">
        <w:rPr>
          <w:rFonts w:ascii="Times New Roman" w:hAnsi="Times New Roman"/>
          <w:lang w:val="pt-BR"/>
        </w:rPr>
        <w:t>NaOH</w:t>
      </w:r>
      <w:proofErr w:type="spellEnd"/>
      <w:r w:rsidR="009C3ECF">
        <w:rPr>
          <w:rFonts w:ascii="Times New Roman" w:hAnsi="Times New Roman"/>
          <w:lang w:val="pt-BR"/>
        </w:rPr>
        <w:t>,</w:t>
      </w:r>
      <w:r w:rsidR="00A5485A">
        <w:rPr>
          <w:rFonts w:ascii="Times New Roman" w:hAnsi="Times New Roman"/>
          <w:lang w:val="pt-BR"/>
        </w:rPr>
        <w:t xml:space="preserve"> cerca de 20% menor rendimento.</w:t>
      </w:r>
      <w:r w:rsidR="009C3ECF">
        <w:rPr>
          <w:rFonts w:ascii="Times New Roman" w:hAnsi="Times New Roman"/>
          <w:lang w:val="pt-BR"/>
        </w:rPr>
        <w:t xml:space="preserve"> </w:t>
      </w:r>
      <w:r w:rsidR="00A5485A">
        <w:rPr>
          <w:rFonts w:ascii="Times New Roman" w:hAnsi="Times New Roman"/>
          <w:lang w:val="pt-BR"/>
        </w:rPr>
        <w:t>P</w:t>
      </w:r>
      <w:r w:rsidR="009C3ECF">
        <w:rPr>
          <w:rFonts w:ascii="Times New Roman" w:hAnsi="Times New Roman"/>
          <w:lang w:val="pt-BR"/>
        </w:rPr>
        <w:t>orém a grande vantagem destes catalisadores est</w:t>
      </w:r>
      <w:r w:rsidR="005337CA">
        <w:rPr>
          <w:rFonts w:ascii="Times New Roman" w:hAnsi="Times New Roman"/>
          <w:lang w:val="pt-BR"/>
        </w:rPr>
        <w:t>á</w:t>
      </w:r>
      <w:r w:rsidR="009C3ECF">
        <w:rPr>
          <w:rFonts w:ascii="Times New Roman" w:hAnsi="Times New Roman"/>
          <w:lang w:val="pt-BR"/>
        </w:rPr>
        <w:t xml:space="preserve"> na economia de </w:t>
      </w:r>
      <w:r w:rsidR="005337CA">
        <w:rPr>
          <w:rFonts w:ascii="Times New Roman" w:hAnsi="Times New Roman"/>
          <w:lang w:val="pt-BR"/>
        </w:rPr>
        <w:t>á</w:t>
      </w:r>
      <w:r w:rsidR="009C3ECF">
        <w:rPr>
          <w:rFonts w:ascii="Times New Roman" w:hAnsi="Times New Roman"/>
          <w:lang w:val="pt-BR"/>
        </w:rPr>
        <w:t xml:space="preserve">gua no momento da lavagem e na sua capacidade de serem reutilizados.  </w:t>
      </w:r>
      <w:r w:rsidR="005337CA">
        <w:rPr>
          <w:rFonts w:ascii="Times New Roman" w:hAnsi="Times New Roman"/>
          <w:lang w:val="pt-BR"/>
        </w:rPr>
        <w:t xml:space="preserve">Dentre os catalisadores heterogêneos impregnados, apenas o catalisador </w:t>
      </w:r>
      <w:proofErr w:type="spellStart"/>
      <w:r w:rsidR="005337CA">
        <w:rPr>
          <w:rFonts w:ascii="Times New Roman" w:hAnsi="Times New Roman"/>
          <w:lang w:val="pt-BR"/>
        </w:rPr>
        <w:t>CaO-Al</w:t>
      </w:r>
      <w:proofErr w:type="spellEnd"/>
      <w:r w:rsidR="005337CA">
        <w:rPr>
          <w:rFonts w:ascii="Times New Roman" w:hAnsi="Times New Roman"/>
          <w:lang w:val="pt-BR"/>
        </w:rPr>
        <w:t xml:space="preserve"> apresentou um efeito positivo em termos de formação de ésteres metílicos devido a adição do Al em relação ao </w:t>
      </w:r>
      <w:proofErr w:type="spellStart"/>
      <w:r w:rsidR="005337CA">
        <w:rPr>
          <w:rFonts w:ascii="Times New Roman" w:hAnsi="Times New Roman"/>
          <w:lang w:val="pt-BR"/>
        </w:rPr>
        <w:t>CaO</w:t>
      </w:r>
      <w:proofErr w:type="spellEnd"/>
      <w:r w:rsidR="005337CA">
        <w:rPr>
          <w:rFonts w:ascii="Times New Roman" w:hAnsi="Times New Roman"/>
          <w:lang w:val="pt-BR"/>
        </w:rPr>
        <w:t>.</w:t>
      </w:r>
      <w:r>
        <w:rPr>
          <w:rFonts w:ascii="Times New Roman" w:hAnsi="Times New Roman"/>
          <w:lang w:val="pt-BR"/>
        </w:rPr>
        <w:t xml:space="preserve"> Contudo, para melhor análise do efeito da impregnação de Al, La e Zn no catalisador baseado em </w:t>
      </w:r>
      <w:proofErr w:type="spellStart"/>
      <w:r>
        <w:rPr>
          <w:rFonts w:ascii="Times New Roman" w:hAnsi="Times New Roman"/>
          <w:lang w:val="pt-BR"/>
        </w:rPr>
        <w:t>CaO</w:t>
      </w:r>
      <w:proofErr w:type="spellEnd"/>
      <w:r>
        <w:rPr>
          <w:rFonts w:ascii="Times New Roman" w:hAnsi="Times New Roman"/>
          <w:lang w:val="pt-BR"/>
        </w:rPr>
        <w:t>, ainda devem ser realizadas análises de caracterização das propriedades</w:t>
      </w:r>
      <w:r w:rsidR="007D3EC2">
        <w:rPr>
          <w:rFonts w:ascii="Times New Roman" w:hAnsi="Times New Roman"/>
          <w:lang w:val="pt-BR"/>
        </w:rPr>
        <w:t xml:space="preserve"> estruturais e</w:t>
      </w:r>
      <w:bookmarkStart w:id="3" w:name="_GoBack"/>
      <w:bookmarkEnd w:id="3"/>
      <w:r>
        <w:rPr>
          <w:rFonts w:ascii="Times New Roman" w:hAnsi="Times New Roman"/>
          <w:lang w:val="pt-BR"/>
        </w:rPr>
        <w:t xml:space="preserve"> </w:t>
      </w:r>
      <w:proofErr w:type="spellStart"/>
      <w:r>
        <w:rPr>
          <w:rFonts w:ascii="Times New Roman" w:hAnsi="Times New Roman"/>
          <w:lang w:val="pt-BR"/>
        </w:rPr>
        <w:t>texturais</w:t>
      </w:r>
      <w:proofErr w:type="spellEnd"/>
      <w:r>
        <w:rPr>
          <w:rFonts w:ascii="Times New Roman" w:hAnsi="Times New Roman"/>
          <w:lang w:val="pt-BR"/>
        </w:rPr>
        <w:t xml:space="preserve"> desses catalisadores.</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76770873" w14:textId="761D8717" w:rsidR="009C3ECF" w:rsidRPr="001F25B2" w:rsidRDefault="009C3ECF" w:rsidP="009C3ECF">
      <w:pPr>
        <w:pStyle w:val="TAMainText"/>
        <w:rPr>
          <w:rFonts w:ascii="Times New Roman" w:hAnsi="Times New Roman"/>
          <w:lang w:val="pt-BR"/>
        </w:rPr>
      </w:pPr>
      <w:r w:rsidRPr="00E24E79">
        <w:rPr>
          <w:rFonts w:ascii="Times New Roman" w:hAnsi="Times New Roman"/>
          <w:lang w:val="pt-BR"/>
        </w:rPr>
        <w:t xml:space="preserve">À </w:t>
      </w:r>
      <w:proofErr w:type="spellStart"/>
      <w:r w:rsidRPr="00E24E79">
        <w:rPr>
          <w:rFonts w:ascii="Times New Roman" w:hAnsi="Times New Roman"/>
          <w:lang w:val="pt-BR"/>
        </w:rPr>
        <w:t>Pró-reitoria</w:t>
      </w:r>
      <w:proofErr w:type="spellEnd"/>
      <w:r w:rsidRPr="00E24E79">
        <w:rPr>
          <w:rFonts w:ascii="Times New Roman" w:hAnsi="Times New Roman"/>
          <w:lang w:val="pt-BR"/>
        </w:rPr>
        <w:t xml:space="preserve"> de Pesquisa, Inovação e Pós-graduação do </w:t>
      </w:r>
      <w:proofErr w:type="spellStart"/>
      <w:r w:rsidRPr="00E24E79">
        <w:rPr>
          <w:rFonts w:ascii="Times New Roman" w:hAnsi="Times New Roman"/>
          <w:lang w:val="pt-BR"/>
        </w:rPr>
        <w:t>IFSul</w:t>
      </w:r>
      <w:proofErr w:type="spellEnd"/>
      <w:r w:rsidRPr="00E24E79">
        <w:rPr>
          <w:rFonts w:ascii="Times New Roman" w:hAnsi="Times New Roman"/>
          <w:lang w:val="pt-BR"/>
        </w:rPr>
        <w:t xml:space="preserve"> pelo apoio financeiro sob o</w:t>
      </w:r>
      <w:r>
        <w:rPr>
          <w:rFonts w:ascii="Times New Roman" w:hAnsi="Times New Roman"/>
          <w:lang w:val="pt-BR"/>
        </w:rPr>
        <w:t xml:space="preserve"> </w:t>
      </w:r>
      <w:r w:rsidRPr="00E24E79">
        <w:rPr>
          <w:rFonts w:ascii="Times New Roman" w:hAnsi="Times New Roman"/>
          <w:lang w:val="pt-BR"/>
        </w:rPr>
        <w:t xml:space="preserve">projeto registrado </w:t>
      </w:r>
      <w:r>
        <w:rPr>
          <w:rFonts w:ascii="Times New Roman" w:hAnsi="Times New Roman"/>
          <w:lang w:val="pt-BR"/>
        </w:rPr>
        <w:t>no</w:t>
      </w:r>
      <w:r w:rsidRPr="00E24E79">
        <w:rPr>
          <w:rFonts w:ascii="Times New Roman" w:hAnsi="Times New Roman"/>
          <w:lang w:val="pt-BR"/>
        </w:rPr>
        <w:t xml:space="preserve"> número</w:t>
      </w:r>
      <w:r>
        <w:rPr>
          <w:rFonts w:ascii="Times New Roman" w:hAnsi="Times New Roman"/>
          <w:lang w:val="pt-BR"/>
        </w:rPr>
        <w:t xml:space="preserve"> </w:t>
      </w:r>
      <w:r w:rsidR="00F12A13" w:rsidRPr="009203DB">
        <w:rPr>
          <w:rFonts w:ascii="Times New Roman" w:hAnsi="Times New Roman"/>
          <w:lang w:val="pt-BR"/>
        </w:rPr>
        <w:t>PE09220722/026</w:t>
      </w:r>
      <w:r w:rsidR="00F12A13">
        <w:rPr>
          <w:rFonts w:ascii="Times New Roman" w:hAnsi="Times New Roman"/>
          <w:lang w:val="pt-BR"/>
        </w:rPr>
        <w:t xml:space="preserve">. </w:t>
      </w:r>
      <w:r>
        <w:rPr>
          <w:rFonts w:ascii="Times New Roman" w:hAnsi="Times New Roman"/>
          <w:lang w:val="pt-BR"/>
        </w:rPr>
        <w:t>À</w:t>
      </w:r>
      <w:r w:rsidRPr="00E24E79">
        <w:rPr>
          <w:rFonts w:ascii="Times New Roman" w:hAnsi="Times New Roman"/>
          <w:lang w:val="pt-BR"/>
        </w:rPr>
        <w:t xml:space="preserve"> FAPERGS pelas</w:t>
      </w:r>
      <w:r>
        <w:rPr>
          <w:rFonts w:ascii="Times New Roman" w:hAnsi="Times New Roman"/>
          <w:lang w:val="pt-BR"/>
        </w:rPr>
        <w:t xml:space="preserve"> </w:t>
      </w:r>
      <w:r w:rsidRPr="00E24E79">
        <w:rPr>
          <w:rFonts w:ascii="Times New Roman" w:hAnsi="Times New Roman"/>
          <w:lang w:val="pt-BR"/>
        </w:rPr>
        <w:t>bolsas de iniciação científica.</w:t>
      </w:r>
    </w:p>
    <w:p w14:paraId="158D911D" w14:textId="2BD70316" w:rsidR="00EA4E1B" w:rsidRPr="004716B1" w:rsidRDefault="00EA4E1B" w:rsidP="004716B1">
      <w:pPr>
        <w:pStyle w:val="Ttulo2"/>
        <w:rPr>
          <w:rFonts w:ascii="Helvetica" w:hAnsi="Helvetica" w:cs="Helvetica"/>
          <w:sz w:val="24"/>
          <w:szCs w:val="24"/>
        </w:rPr>
      </w:pPr>
      <w:r w:rsidRPr="001F25B2">
        <w:rPr>
          <w:rFonts w:ascii="Helvetica" w:hAnsi="Helvetica" w:cs="Helvetica"/>
          <w:sz w:val="24"/>
          <w:szCs w:val="24"/>
        </w:rPr>
        <w:t>Referências</w:t>
      </w:r>
    </w:p>
    <w:p w14:paraId="58F2E401" w14:textId="2E000B63" w:rsidR="00DA090F" w:rsidRPr="004716B1" w:rsidRDefault="00DA090F" w:rsidP="00EA4E1B">
      <w:pPr>
        <w:pStyle w:val="TAMainText"/>
        <w:numPr>
          <w:ilvl w:val="0"/>
          <w:numId w:val="1"/>
        </w:numPr>
      </w:pPr>
      <w:r w:rsidRPr="00DA090F">
        <w:t xml:space="preserve">HE, Y.; WANG, S.; LAI, K. K. Global economic activity and crude oil prices: A cointegration analysis. </w:t>
      </w:r>
      <w:r w:rsidRPr="004716B1">
        <w:t xml:space="preserve">Energy Economics, v. 32, n. 4, p. 868–876, </w:t>
      </w:r>
      <w:proofErr w:type="spellStart"/>
      <w:r w:rsidRPr="004716B1">
        <w:t>jul.</w:t>
      </w:r>
      <w:proofErr w:type="spellEnd"/>
      <w:r w:rsidRPr="004716B1">
        <w:t xml:space="preserve"> 2010.</w:t>
      </w:r>
    </w:p>
    <w:p w14:paraId="11DC4C3F" w14:textId="3815FB1D" w:rsidR="00FA3695" w:rsidRPr="00FA3695" w:rsidRDefault="00FA3695" w:rsidP="00EA4E1B">
      <w:pPr>
        <w:pStyle w:val="TAMainText"/>
        <w:numPr>
          <w:ilvl w:val="0"/>
          <w:numId w:val="1"/>
        </w:numPr>
        <w:rPr>
          <w:lang w:val="pt-BR"/>
        </w:rPr>
      </w:pPr>
      <w:r w:rsidRPr="00FA3695">
        <w:t xml:space="preserve">International Energy Outlook - U.S. Energy Information Administration (EIA). </w:t>
      </w:r>
      <w:r w:rsidRPr="00FA3695">
        <w:rPr>
          <w:lang w:val="pt-BR"/>
        </w:rPr>
        <w:t xml:space="preserve">Disponível em: </w:t>
      </w:r>
      <w:r w:rsidRPr="00FA3695">
        <w:rPr>
          <w:lang w:val="pt-BR"/>
        </w:rPr>
        <w:lastRenderedPageBreak/>
        <w:t>&lt;https://www.eia.gov/</w:t>
      </w:r>
      <w:proofErr w:type="spellStart"/>
      <w:r w:rsidRPr="00FA3695">
        <w:rPr>
          <w:lang w:val="pt-BR"/>
        </w:rPr>
        <w:t>outlooks</w:t>
      </w:r>
      <w:proofErr w:type="spellEnd"/>
      <w:r w:rsidRPr="00FA3695">
        <w:rPr>
          <w:lang w:val="pt-BR"/>
        </w:rPr>
        <w:t>/</w:t>
      </w:r>
      <w:proofErr w:type="spellStart"/>
      <w:r w:rsidRPr="00FA3695">
        <w:rPr>
          <w:lang w:val="pt-BR"/>
        </w:rPr>
        <w:t>ieo</w:t>
      </w:r>
      <w:proofErr w:type="spellEnd"/>
      <w:r w:rsidRPr="00FA3695">
        <w:rPr>
          <w:lang w:val="pt-BR"/>
        </w:rPr>
        <w:t>/</w:t>
      </w:r>
      <w:proofErr w:type="spellStart"/>
      <w:r w:rsidRPr="00FA3695">
        <w:rPr>
          <w:lang w:val="pt-BR"/>
        </w:rPr>
        <w:t>tables_side_pdf.php</w:t>
      </w:r>
      <w:proofErr w:type="spellEnd"/>
      <w:r w:rsidRPr="00FA3695">
        <w:rPr>
          <w:lang w:val="pt-BR"/>
        </w:rPr>
        <w:t>&gt;. Acesso em: 22 mar. 2023.</w:t>
      </w:r>
    </w:p>
    <w:p w14:paraId="222FBC8E" w14:textId="11840C65" w:rsidR="00DA090F" w:rsidRPr="00F72C54" w:rsidRDefault="00DA090F" w:rsidP="00EA4E1B">
      <w:pPr>
        <w:pStyle w:val="TAMainText"/>
        <w:numPr>
          <w:ilvl w:val="0"/>
          <w:numId w:val="1"/>
        </w:numPr>
      </w:pPr>
      <w:r w:rsidRPr="00DA090F">
        <w:t xml:space="preserve">CHE MAT, S. et al. Performance and emissions of straight vegetable oils and its blends as a fuel in diesel engine: A review. </w:t>
      </w:r>
      <w:r w:rsidRPr="00F72C54">
        <w:t xml:space="preserve">Renewable and Sustainable Energy Reviews, v. 82, p. 808–823, </w:t>
      </w:r>
      <w:proofErr w:type="spellStart"/>
      <w:r w:rsidRPr="00F72C54">
        <w:t>fev</w:t>
      </w:r>
      <w:proofErr w:type="spellEnd"/>
      <w:r w:rsidRPr="00F72C54">
        <w:t>. 2018.</w:t>
      </w:r>
    </w:p>
    <w:p w14:paraId="1F6A8D18" w14:textId="77777777" w:rsidR="00195DD9" w:rsidRPr="00F72C54" w:rsidRDefault="00195DD9" w:rsidP="00195DD9">
      <w:pPr>
        <w:pStyle w:val="TAMainText"/>
        <w:numPr>
          <w:ilvl w:val="0"/>
          <w:numId w:val="1"/>
        </w:numPr>
      </w:pPr>
      <w:r w:rsidRPr="00195DD9">
        <w:t xml:space="preserve">ESTEBAN, B. et al. Temperature dependence of density and viscosity of vegetable oils. </w:t>
      </w:r>
      <w:r w:rsidRPr="00F72C54">
        <w:t xml:space="preserve">Biomass and Bioenergy, v. 42, p. 164–171, </w:t>
      </w:r>
      <w:proofErr w:type="spellStart"/>
      <w:r w:rsidRPr="00F72C54">
        <w:t>jul.</w:t>
      </w:r>
      <w:proofErr w:type="spellEnd"/>
      <w:r w:rsidRPr="00F72C54">
        <w:t xml:space="preserve"> 2012.</w:t>
      </w:r>
    </w:p>
    <w:p w14:paraId="077ED533" w14:textId="3D9A5252" w:rsidR="00DA090F" w:rsidRPr="00195DD9" w:rsidRDefault="00903746" w:rsidP="00195DD9">
      <w:pPr>
        <w:pStyle w:val="TAMainText"/>
        <w:numPr>
          <w:ilvl w:val="0"/>
          <w:numId w:val="1"/>
        </w:numPr>
      </w:pPr>
      <w:r w:rsidRPr="00903746">
        <w:t xml:space="preserve">ALPTEKIN, E.; CANAKCI, M.; SANLI, H. Biodiesel production from vegetable oil and waste animal fats in a pilot plant. </w:t>
      </w:r>
      <w:r w:rsidRPr="00195DD9">
        <w:t xml:space="preserve">Waste Management, v. 34, n. 11, p. 2146–2154, </w:t>
      </w:r>
      <w:proofErr w:type="spellStart"/>
      <w:r w:rsidRPr="00195DD9">
        <w:t>nov.</w:t>
      </w:r>
      <w:proofErr w:type="spellEnd"/>
      <w:r w:rsidRPr="00195DD9">
        <w:t xml:space="preserve"> 2014.</w:t>
      </w:r>
    </w:p>
    <w:p w14:paraId="68D496DD" w14:textId="07CAAB61" w:rsidR="00195DD9" w:rsidRPr="00195DD9" w:rsidRDefault="00880AA5" w:rsidP="00195DD9">
      <w:pPr>
        <w:pStyle w:val="TAMainText"/>
        <w:numPr>
          <w:ilvl w:val="0"/>
          <w:numId w:val="1"/>
        </w:numPr>
      </w:pPr>
      <w:r w:rsidRPr="00880AA5">
        <w:t xml:space="preserve">DALAI, A. K.; ISSARIYAKUL, T.; BAROI, C. Biodiesel Production Using Homogeneous and Heterogeneous Catalysts: A Review. </w:t>
      </w:r>
      <w:proofErr w:type="spellStart"/>
      <w:r w:rsidRPr="00880AA5">
        <w:t>Em</w:t>
      </w:r>
      <w:proofErr w:type="spellEnd"/>
      <w:r w:rsidRPr="00880AA5">
        <w:t>: GUCZI, L.; ERDÔHELYI, A. (Eds.). Catalysis for Alternative Energy Generation. New York, NY: Springer New York, 2012. p. 237–262.</w:t>
      </w:r>
    </w:p>
    <w:p w14:paraId="24FC4B4C" w14:textId="2812319A" w:rsidR="008E2763" w:rsidRDefault="002802C5" w:rsidP="00EA4E1B">
      <w:pPr>
        <w:pStyle w:val="TAMainText"/>
        <w:numPr>
          <w:ilvl w:val="0"/>
          <w:numId w:val="1"/>
        </w:numPr>
      </w:pPr>
      <w:r w:rsidRPr="002802C5">
        <w:t>DOS SANTOS LIMA, D.; PEREZ-LOPEZ, O. W. Light olefins by methane partial oxidation using hydrated waste eggshell as catalyst. Fuel, v. 300, p. 120947, set. 2021.</w:t>
      </w:r>
    </w:p>
    <w:p w14:paraId="5D05B2C4" w14:textId="0195CF81" w:rsidR="002802C5" w:rsidRDefault="002802C5" w:rsidP="00EA4E1B">
      <w:pPr>
        <w:pStyle w:val="TAMainText"/>
        <w:numPr>
          <w:ilvl w:val="0"/>
          <w:numId w:val="1"/>
        </w:numPr>
      </w:pPr>
      <w:r w:rsidRPr="002802C5">
        <w:t>KULKARNI, M. G. et al. Solid acid catalyzed biodiesel production by simultaneous esterification and transesterification. Green Chemistry, v. 8, n. 12, p. 1056, 2006.</w:t>
      </w:r>
    </w:p>
    <w:p w14:paraId="308EA750" w14:textId="283D1845" w:rsidR="002802C5" w:rsidRDefault="002802C5" w:rsidP="00EA4E1B">
      <w:pPr>
        <w:pStyle w:val="TAMainText"/>
        <w:numPr>
          <w:ilvl w:val="0"/>
          <w:numId w:val="1"/>
        </w:numPr>
      </w:pPr>
      <w:r w:rsidRPr="002802C5">
        <w:rPr>
          <w:lang w:val="pt-BR"/>
        </w:rPr>
        <w:t xml:space="preserve">LIMA, D. S.; PEREZ-LOPEZ, O. W. Conversão catalítica do etanol sobre catalisadores suportados em ZSM-5. </w:t>
      </w:r>
      <w:proofErr w:type="spellStart"/>
      <w:r w:rsidRPr="002802C5">
        <w:t>Cerâmica</w:t>
      </w:r>
      <w:proofErr w:type="spellEnd"/>
      <w:r w:rsidRPr="002802C5">
        <w:t>, v. 64, n. 369, p. 1–9, mar. 2018.</w:t>
      </w:r>
    </w:p>
    <w:p w14:paraId="65E204FC" w14:textId="5B722E31" w:rsidR="00F012A7" w:rsidRDefault="00F012A7" w:rsidP="00EA4E1B">
      <w:pPr>
        <w:pStyle w:val="TAMainText"/>
        <w:numPr>
          <w:ilvl w:val="0"/>
          <w:numId w:val="1"/>
        </w:numPr>
      </w:pPr>
      <w:r w:rsidRPr="00F012A7">
        <w:t xml:space="preserve">MARDHIAH, H. H. et al. A review on latest developments and future prospects of heterogeneous catalyst in biodiesel production from non-edible oils. Renewable and Sustainable Energy Reviews, v. 67, p. 1225–1236, </w:t>
      </w:r>
      <w:proofErr w:type="spellStart"/>
      <w:r w:rsidRPr="00F012A7">
        <w:t>jan.</w:t>
      </w:r>
      <w:proofErr w:type="spellEnd"/>
      <w:r w:rsidRPr="00F012A7">
        <w:t xml:space="preserve"> 2017.</w:t>
      </w:r>
    </w:p>
    <w:p w14:paraId="7610301A" w14:textId="5F28FE83" w:rsidR="00213725" w:rsidRDefault="00213725" w:rsidP="00EA4E1B">
      <w:pPr>
        <w:pStyle w:val="TAMainText"/>
        <w:numPr>
          <w:ilvl w:val="0"/>
          <w:numId w:val="1"/>
        </w:numPr>
      </w:pPr>
      <w:r w:rsidRPr="00213725">
        <w:t xml:space="preserve">SAHU, G. et al. A Review on Biodiesel Production through Heterogeneous Catalysis Route. </w:t>
      </w:r>
      <w:proofErr w:type="spellStart"/>
      <w:r w:rsidRPr="00213725">
        <w:t>ChemBioEng</w:t>
      </w:r>
      <w:proofErr w:type="spellEnd"/>
      <w:r w:rsidRPr="00213725">
        <w:t xml:space="preserve"> Reviews, v. 5, n. 4, p. 231–252, ago. 2018.</w:t>
      </w:r>
    </w:p>
    <w:p w14:paraId="7A44EF65" w14:textId="11D6BCA8" w:rsidR="00195DD9" w:rsidRPr="00195DD9" w:rsidRDefault="0024337E" w:rsidP="00EA4E1B">
      <w:pPr>
        <w:pStyle w:val="TAMainText"/>
        <w:numPr>
          <w:ilvl w:val="0"/>
          <w:numId w:val="1"/>
        </w:numPr>
      </w:pPr>
      <w:r w:rsidRPr="0024337E">
        <w:t>Analytical chemistry. Journal of the Chemical Society, Abstracts, v. 46, p. 14</w:t>
      </w:r>
      <w:r>
        <w:t>35</w:t>
      </w:r>
      <w:r w:rsidRPr="0024337E">
        <w:t>, 1884.</w:t>
      </w:r>
    </w:p>
    <w:p w14:paraId="66CCBA53" w14:textId="54C4AD81" w:rsidR="00195DD9" w:rsidRPr="00195DD9" w:rsidRDefault="00FB0176" w:rsidP="00D52615">
      <w:pPr>
        <w:pStyle w:val="TAMainText"/>
        <w:numPr>
          <w:ilvl w:val="0"/>
          <w:numId w:val="1"/>
        </w:numPr>
      </w:pPr>
      <w:r w:rsidRPr="00FB0176">
        <w:t xml:space="preserve">BIRLA, A. et al. Kinetics studies of synthesis of biodiesel from waste frying oil using a heterogeneous catalyst derived from snail shell. Bioresource Technology, v. 106, p. 95–100, </w:t>
      </w:r>
      <w:proofErr w:type="spellStart"/>
      <w:r w:rsidRPr="00FB0176">
        <w:t>fev</w:t>
      </w:r>
      <w:proofErr w:type="spellEnd"/>
      <w:r w:rsidRPr="00FB0176">
        <w:t>. 2012.</w:t>
      </w:r>
    </w:p>
    <w:p w14:paraId="1F04AE8C" w14:textId="2AAEAF6C" w:rsidR="00FB0176" w:rsidRPr="00F72C54" w:rsidRDefault="00CD5CC3" w:rsidP="00EA4E1B">
      <w:pPr>
        <w:pStyle w:val="TAMainText"/>
        <w:numPr>
          <w:ilvl w:val="0"/>
          <w:numId w:val="1"/>
        </w:numPr>
      </w:pPr>
      <w:r w:rsidRPr="00CD5CC3">
        <w:t xml:space="preserve">MEKONNEN, K. D.; SENDEKIE, Z. B. NaOH-Catalyzed </w:t>
      </w:r>
      <w:proofErr w:type="spellStart"/>
      <w:r w:rsidRPr="00CD5CC3">
        <w:t>Methanolysis</w:t>
      </w:r>
      <w:proofErr w:type="spellEnd"/>
      <w:r w:rsidRPr="00CD5CC3">
        <w:t xml:space="preserve"> Optimization of Biodiesel Synthesis from Desert Date Seed Kernel Oil. ACS Omega, v. 6, n. 37, p. 24082–24091, 21 set. 2021.</w:t>
      </w:r>
    </w:p>
    <w:p w14:paraId="7385E95E" w14:textId="27D7A23F" w:rsidR="007A05A2" w:rsidRPr="007A05A2" w:rsidRDefault="007A05A2" w:rsidP="00CD5CC3">
      <w:pPr>
        <w:pStyle w:val="TAMainText"/>
        <w:numPr>
          <w:ilvl w:val="0"/>
          <w:numId w:val="1"/>
        </w:numPr>
      </w:pPr>
      <w:r w:rsidRPr="007A05A2">
        <w:t xml:space="preserve">ORATA, F. Derivatization Reactions and Reagents for Gas Chromatography Analysis. </w:t>
      </w:r>
      <w:proofErr w:type="spellStart"/>
      <w:r w:rsidRPr="007A05A2">
        <w:t>Em</w:t>
      </w:r>
      <w:proofErr w:type="spellEnd"/>
      <w:r w:rsidRPr="007A05A2">
        <w:t xml:space="preserve">: ALI MOHD, M. (Ed.). Advanced Gas Chromatography - Progress in Agricultural, Biomedical and Industrial Applications. </w:t>
      </w:r>
      <w:r w:rsidRPr="007A05A2">
        <w:rPr>
          <w:lang w:val="pt-BR"/>
        </w:rPr>
        <w:t>[</w:t>
      </w:r>
      <w:proofErr w:type="spellStart"/>
      <w:r w:rsidRPr="007A05A2">
        <w:rPr>
          <w:lang w:val="pt-BR"/>
        </w:rPr>
        <w:t>s.l</w:t>
      </w:r>
      <w:proofErr w:type="spellEnd"/>
      <w:r w:rsidRPr="007A05A2">
        <w:rPr>
          <w:lang w:val="pt-BR"/>
        </w:rPr>
        <w:t xml:space="preserve">.] </w:t>
      </w:r>
      <w:proofErr w:type="spellStart"/>
      <w:r w:rsidRPr="007A05A2">
        <w:rPr>
          <w:lang w:val="pt-BR"/>
        </w:rPr>
        <w:t>InTech</w:t>
      </w:r>
      <w:proofErr w:type="spellEnd"/>
      <w:r w:rsidRPr="007A05A2">
        <w:rPr>
          <w:lang w:val="pt-BR"/>
        </w:rPr>
        <w:t>, 2012.</w:t>
      </w:r>
    </w:p>
    <w:p w14:paraId="1F4023C3" w14:textId="68A3EB47" w:rsidR="00CD5CC3" w:rsidRPr="00195DD9" w:rsidRDefault="00CD5CC3" w:rsidP="00CD5CC3">
      <w:pPr>
        <w:pStyle w:val="TAMainText"/>
        <w:numPr>
          <w:ilvl w:val="0"/>
          <w:numId w:val="1"/>
        </w:numPr>
      </w:pPr>
      <w:r w:rsidRPr="00A364D0">
        <w:t>KIM, G. V. et al. Enhancement of Biodiesel Production from Marine Alga, Scenedesmus sp. through In Situ Transesterification Process Associated with Acidic Catalyst. BioMed Research International, v. 2014, p. 1–11, 2014.</w:t>
      </w:r>
    </w:p>
    <w:p w14:paraId="03F02BB3" w14:textId="55EEDB82" w:rsidR="00FB0176" w:rsidRPr="00F72C54" w:rsidRDefault="007E6A06" w:rsidP="009976FF">
      <w:pPr>
        <w:pStyle w:val="TAMainText"/>
        <w:numPr>
          <w:ilvl w:val="0"/>
          <w:numId w:val="1"/>
        </w:numPr>
      </w:pPr>
      <w:r w:rsidRPr="007E6A06">
        <w:t xml:space="preserve">ISSARIYAKUL, T. et al. Biodiesel production from mixtures of canola oil and used cooking oil. Chemical Engineering Journal, v. 140, n. 1–3, p. 77–85, </w:t>
      </w:r>
      <w:proofErr w:type="spellStart"/>
      <w:r w:rsidRPr="007E6A06">
        <w:t>jul.</w:t>
      </w:r>
      <w:proofErr w:type="spellEnd"/>
      <w:r w:rsidRPr="007E6A06">
        <w:t xml:space="preserve"> 2008.</w:t>
      </w:r>
    </w:p>
    <w:p w14:paraId="4CC9D92D" w14:textId="77777777" w:rsidR="00A248DC" w:rsidRPr="00102CE5" w:rsidRDefault="00A248DC" w:rsidP="00A248DC">
      <w:pPr>
        <w:pStyle w:val="TAMainText"/>
        <w:numPr>
          <w:ilvl w:val="0"/>
          <w:numId w:val="1"/>
        </w:numPr>
        <w:rPr>
          <w:lang w:val="pt-BR"/>
        </w:rPr>
      </w:pPr>
      <w:r w:rsidRPr="00102CE5">
        <w:rPr>
          <w:lang w:val="pt-BR"/>
        </w:rPr>
        <w:t>NACIONAL, I. RESOLUÇÃO ANP No 920, DE 4 DE ABRIL DE 2023 - DOU - Imprensa Nacional. Disponível em: &lt;https://www.in.gov.br/web/dou&gt;. Acesso em: 21 abr. 2023.</w:t>
      </w:r>
    </w:p>
    <w:p w14:paraId="5CD5BEAD" w14:textId="630E0EF1" w:rsidR="009976FF" w:rsidRDefault="00796F27" w:rsidP="00EA4E1B">
      <w:pPr>
        <w:pStyle w:val="TAMainText"/>
        <w:numPr>
          <w:ilvl w:val="0"/>
          <w:numId w:val="1"/>
        </w:numPr>
        <w:rPr>
          <w:lang w:val="pt-BR"/>
        </w:rPr>
      </w:pPr>
      <w:r w:rsidRPr="00796F27">
        <w:t>NGAOSUWAN, K. et al. La2O3/</w:t>
      </w:r>
      <w:proofErr w:type="spellStart"/>
      <w:r w:rsidRPr="00796F27">
        <w:t>CaO</w:t>
      </w:r>
      <w:proofErr w:type="spellEnd"/>
      <w:r w:rsidRPr="00796F27">
        <w:t xml:space="preserve"> catalyst derived from eggshells: Effects of preparation method and La content on textural properties and catalytic activity for transesterification. </w:t>
      </w:r>
      <w:proofErr w:type="spellStart"/>
      <w:r w:rsidRPr="00796F27">
        <w:rPr>
          <w:lang w:val="pt-BR"/>
        </w:rPr>
        <w:t>Catalysis</w:t>
      </w:r>
      <w:proofErr w:type="spellEnd"/>
      <w:r w:rsidRPr="00796F27">
        <w:rPr>
          <w:lang w:val="pt-BR"/>
        </w:rPr>
        <w:t xml:space="preserve"> Communications, v. 149, p. 106247, jan. 2021.</w:t>
      </w:r>
    </w:p>
    <w:p w14:paraId="58716424" w14:textId="77777777" w:rsidR="007B4B2B" w:rsidRPr="00C927E1" w:rsidRDefault="007B4B2B" w:rsidP="00C927E1">
      <w:pPr>
        <w:pStyle w:val="TAMainText"/>
        <w:ind w:left="360" w:firstLine="0"/>
        <w:rPr>
          <w:lang w:val="pt-BR"/>
        </w:rPr>
      </w:pPr>
    </w:p>
    <w:sectPr w:rsidR="007B4B2B" w:rsidRPr="00C927E1" w:rsidSect="00EA4E1B">
      <w:type w:val="continuous"/>
      <w:pgSz w:w="11906" w:h="16838"/>
      <w:pgMar w:top="1418" w:right="1094" w:bottom="1418" w:left="567" w:header="709" w:footer="709"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8329C" w16cex:dateUtc="2023-04-30T03:19:00Z"/>
  <w16cex:commentExtensible w16cex:durableId="27F832CD" w16cex:dateUtc="2023-04-30T0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BFC3D" w14:textId="77777777" w:rsidR="00A166F0" w:rsidRDefault="00A166F0" w:rsidP="00EA4E1B">
      <w:pPr>
        <w:spacing w:after="0" w:line="240" w:lineRule="auto"/>
      </w:pPr>
      <w:r>
        <w:separator/>
      </w:r>
    </w:p>
  </w:endnote>
  <w:endnote w:type="continuationSeparator" w:id="0">
    <w:p w14:paraId="709B1D0E" w14:textId="77777777" w:rsidR="00A166F0" w:rsidRDefault="00A166F0"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A8181" w14:textId="77777777" w:rsidR="00A166F0" w:rsidRDefault="00A166F0" w:rsidP="00EA4E1B">
      <w:pPr>
        <w:spacing w:after="0" w:line="240" w:lineRule="auto"/>
      </w:pPr>
      <w:r>
        <w:separator/>
      </w:r>
    </w:p>
  </w:footnote>
  <w:footnote w:type="continuationSeparator" w:id="0">
    <w:p w14:paraId="492531C0" w14:textId="77777777" w:rsidR="00A166F0" w:rsidRDefault="00A166F0"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16" name="Imagem 16"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13A8B"/>
    <w:rsid w:val="000517FB"/>
    <w:rsid w:val="00061A72"/>
    <w:rsid w:val="000B1B06"/>
    <w:rsid w:val="000C471E"/>
    <w:rsid w:val="000C57CB"/>
    <w:rsid w:val="000D646B"/>
    <w:rsid w:val="000E7CA8"/>
    <w:rsid w:val="000F1D24"/>
    <w:rsid w:val="00102CE5"/>
    <w:rsid w:val="001331E7"/>
    <w:rsid w:val="00144134"/>
    <w:rsid w:val="00182110"/>
    <w:rsid w:val="001945F4"/>
    <w:rsid w:val="00195DD9"/>
    <w:rsid w:val="001A2F93"/>
    <w:rsid w:val="001C1CD0"/>
    <w:rsid w:val="001D4AC4"/>
    <w:rsid w:val="001D5835"/>
    <w:rsid w:val="001E58A9"/>
    <w:rsid w:val="001F1FB6"/>
    <w:rsid w:val="001F25B2"/>
    <w:rsid w:val="001F53E5"/>
    <w:rsid w:val="00213725"/>
    <w:rsid w:val="00222230"/>
    <w:rsid w:val="0024337E"/>
    <w:rsid w:val="002505E3"/>
    <w:rsid w:val="00270C67"/>
    <w:rsid w:val="00276C4B"/>
    <w:rsid w:val="002802C5"/>
    <w:rsid w:val="0029465A"/>
    <w:rsid w:val="00297E5A"/>
    <w:rsid w:val="002C0E66"/>
    <w:rsid w:val="002C19D4"/>
    <w:rsid w:val="0030105D"/>
    <w:rsid w:val="003130A9"/>
    <w:rsid w:val="0033271F"/>
    <w:rsid w:val="00334A6B"/>
    <w:rsid w:val="00340B1E"/>
    <w:rsid w:val="00342D5B"/>
    <w:rsid w:val="0036193A"/>
    <w:rsid w:val="003701FA"/>
    <w:rsid w:val="00372AD9"/>
    <w:rsid w:val="00372AF7"/>
    <w:rsid w:val="0039297D"/>
    <w:rsid w:val="003A0AB5"/>
    <w:rsid w:val="003A123B"/>
    <w:rsid w:val="003A736D"/>
    <w:rsid w:val="003B1D05"/>
    <w:rsid w:val="003B7E8A"/>
    <w:rsid w:val="003D3B9A"/>
    <w:rsid w:val="003E2333"/>
    <w:rsid w:val="003F14A4"/>
    <w:rsid w:val="003F2BDF"/>
    <w:rsid w:val="00402F3E"/>
    <w:rsid w:val="00414130"/>
    <w:rsid w:val="0041480C"/>
    <w:rsid w:val="004159A3"/>
    <w:rsid w:val="004160C4"/>
    <w:rsid w:val="00436803"/>
    <w:rsid w:val="00441AB2"/>
    <w:rsid w:val="004716B1"/>
    <w:rsid w:val="00476DAA"/>
    <w:rsid w:val="00477144"/>
    <w:rsid w:val="004949E5"/>
    <w:rsid w:val="004A5837"/>
    <w:rsid w:val="004B0FD4"/>
    <w:rsid w:val="004B1FDC"/>
    <w:rsid w:val="004B5885"/>
    <w:rsid w:val="004C139B"/>
    <w:rsid w:val="004E676D"/>
    <w:rsid w:val="004F2121"/>
    <w:rsid w:val="004F3F42"/>
    <w:rsid w:val="0052112E"/>
    <w:rsid w:val="005226FF"/>
    <w:rsid w:val="00527607"/>
    <w:rsid w:val="005337CA"/>
    <w:rsid w:val="00542395"/>
    <w:rsid w:val="00543FAE"/>
    <w:rsid w:val="005456AE"/>
    <w:rsid w:val="00563446"/>
    <w:rsid w:val="00564338"/>
    <w:rsid w:val="005709F9"/>
    <w:rsid w:val="00574DF1"/>
    <w:rsid w:val="005A4C7E"/>
    <w:rsid w:val="005A6F99"/>
    <w:rsid w:val="005C2775"/>
    <w:rsid w:val="005C6976"/>
    <w:rsid w:val="005D65EB"/>
    <w:rsid w:val="005E0780"/>
    <w:rsid w:val="00604718"/>
    <w:rsid w:val="00611939"/>
    <w:rsid w:val="00613197"/>
    <w:rsid w:val="00633CF5"/>
    <w:rsid w:val="00633F89"/>
    <w:rsid w:val="00652815"/>
    <w:rsid w:val="00662F0C"/>
    <w:rsid w:val="00663F35"/>
    <w:rsid w:val="00695F13"/>
    <w:rsid w:val="006A6420"/>
    <w:rsid w:val="006B0E04"/>
    <w:rsid w:val="006F599B"/>
    <w:rsid w:val="00704B50"/>
    <w:rsid w:val="007101EB"/>
    <w:rsid w:val="007250FB"/>
    <w:rsid w:val="00730564"/>
    <w:rsid w:val="00737A68"/>
    <w:rsid w:val="00752A92"/>
    <w:rsid w:val="00753C9C"/>
    <w:rsid w:val="007670A0"/>
    <w:rsid w:val="007707D0"/>
    <w:rsid w:val="00776809"/>
    <w:rsid w:val="00781685"/>
    <w:rsid w:val="007828AD"/>
    <w:rsid w:val="00790115"/>
    <w:rsid w:val="00793F93"/>
    <w:rsid w:val="00796E22"/>
    <w:rsid w:val="00796F27"/>
    <w:rsid w:val="007A05A2"/>
    <w:rsid w:val="007B4B2B"/>
    <w:rsid w:val="007C24EC"/>
    <w:rsid w:val="007C4495"/>
    <w:rsid w:val="007D0762"/>
    <w:rsid w:val="007D3EC2"/>
    <w:rsid w:val="007E1C21"/>
    <w:rsid w:val="007E4687"/>
    <w:rsid w:val="007E6A06"/>
    <w:rsid w:val="00801B4D"/>
    <w:rsid w:val="00807BF6"/>
    <w:rsid w:val="00812918"/>
    <w:rsid w:val="00813B11"/>
    <w:rsid w:val="00862A10"/>
    <w:rsid w:val="00866822"/>
    <w:rsid w:val="0087359B"/>
    <w:rsid w:val="00880AA5"/>
    <w:rsid w:val="00886063"/>
    <w:rsid w:val="008A508D"/>
    <w:rsid w:val="008B1683"/>
    <w:rsid w:val="008C1B30"/>
    <w:rsid w:val="008E2763"/>
    <w:rsid w:val="008E3D6D"/>
    <w:rsid w:val="008E5EDA"/>
    <w:rsid w:val="008F3ABE"/>
    <w:rsid w:val="0090060F"/>
    <w:rsid w:val="00903746"/>
    <w:rsid w:val="00943B0B"/>
    <w:rsid w:val="009656D9"/>
    <w:rsid w:val="00972285"/>
    <w:rsid w:val="009816FF"/>
    <w:rsid w:val="009976FF"/>
    <w:rsid w:val="009A7976"/>
    <w:rsid w:val="009C3ECF"/>
    <w:rsid w:val="009C7CB0"/>
    <w:rsid w:val="009E0D44"/>
    <w:rsid w:val="009E307D"/>
    <w:rsid w:val="009F6121"/>
    <w:rsid w:val="00A05926"/>
    <w:rsid w:val="00A07DB1"/>
    <w:rsid w:val="00A13E4C"/>
    <w:rsid w:val="00A159CD"/>
    <w:rsid w:val="00A166F0"/>
    <w:rsid w:val="00A17D85"/>
    <w:rsid w:val="00A248DC"/>
    <w:rsid w:val="00A25242"/>
    <w:rsid w:val="00A3642A"/>
    <w:rsid w:val="00A364D0"/>
    <w:rsid w:val="00A372B4"/>
    <w:rsid w:val="00A442B1"/>
    <w:rsid w:val="00A5485A"/>
    <w:rsid w:val="00A734B5"/>
    <w:rsid w:val="00A87CE8"/>
    <w:rsid w:val="00AA182E"/>
    <w:rsid w:val="00AF0400"/>
    <w:rsid w:val="00B20DF4"/>
    <w:rsid w:val="00B30AEB"/>
    <w:rsid w:val="00B42C0B"/>
    <w:rsid w:val="00B45A90"/>
    <w:rsid w:val="00B4708D"/>
    <w:rsid w:val="00B82D26"/>
    <w:rsid w:val="00BA6A6E"/>
    <w:rsid w:val="00BB1149"/>
    <w:rsid w:val="00BD50A7"/>
    <w:rsid w:val="00BE4421"/>
    <w:rsid w:val="00C02916"/>
    <w:rsid w:val="00C11766"/>
    <w:rsid w:val="00C308E7"/>
    <w:rsid w:val="00C52C0F"/>
    <w:rsid w:val="00C66D18"/>
    <w:rsid w:val="00C76E54"/>
    <w:rsid w:val="00C80BFE"/>
    <w:rsid w:val="00C927E1"/>
    <w:rsid w:val="00CA5631"/>
    <w:rsid w:val="00CB1538"/>
    <w:rsid w:val="00CB2450"/>
    <w:rsid w:val="00CD5CC3"/>
    <w:rsid w:val="00CD7EB4"/>
    <w:rsid w:val="00D0281E"/>
    <w:rsid w:val="00D11A3C"/>
    <w:rsid w:val="00D30272"/>
    <w:rsid w:val="00D52615"/>
    <w:rsid w:val="00D753CF"/>
    <w:rsid w:val="00D96135"/>
    <w:rsid w:val="00DA090F"/>
    <w:rsid w:val="00DA57DD"/>
    <w:rsid w:val="00DA7A2A"/>
    <w:rsid w:val="00DC350F"/>
    <w:rsid w:val="00E02A21"/>
    <w:rsid w:val="00E038AF"/>
    <w:rsid w:val="00E211DF"/>
    <w:rsid w:val="00E3763F"/>
    <w:rsid w:val="00E41596"/>
    <w:rsid w:val="00E43213"/>
    <w:rsid w:val="00E45B40"/>
    <w:rsid w:val="00E51BA2"/>
    <w:rsid w:val="00E75DE4"/>
    <w:rsid w:val="00E85C5C"/>
    <w:rsid w:val="00EA4E1B"/>
    <w:rsid w:val="00ED3CD8"/>
    <w:rsid w:val="00ED44B6"/>
    <w:rsid w:val="00F012A7"/>
    <w:rsid w:val="00F1021A"/>
    <w:rsid w:val="00F12A13"/>
    <w:rsid w:val="00F20A53"/>
    <w:rsid w:val="00F30495"/>
    <w:rsid w:val="00F30661"/>
    <w:rsid w:val="00F33414"/>
    <w:rsid w:val="00F342CF"/>
    <w:rsid w:val="00F51331"/>
    <w:rsid w:val="00F56506"/>
    <w:rsid w:val="00F72C54"/>
    <w:rsid w:val="00F917DA"/>
    <w:rsid w:val="00FA3695"/>
    <w:rsid w:val="00FB0176"/>
    <w:rsid w:val="00FB6662"/>
    <w:rsid w:val="00FB77E4"/>
    <w:rsid w:val="00FC39A8"/>
    <w:rsid w:val="00FF1E47"/>
    <w:rsid w:val="00FF7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607"/>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link w:val="TAMainTextChar"/>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DA090F"/>
    <w:pPr>
      <w:ind w:left="720"/>
      <w:contextualSpacing/>
    </w:pPr>
  </w:style>
  <w:style w:type="paragraph" w:customStyle="1" w:styleId="Estilo1">
    <w:name w:val="Estilo1"/>
    <w:basedOn w:val="TAMainText"/>
    <w:link w:val="Estilo1Char"/>
    <w:qFormat/>
    <w:rsid w:val="005C6976"/>
    <w:rPr>
      <w:rFonts w:ascii="Times New Roman" w:hAnsi="Times New Roman"/>
      <w:lang w:val="pt-BR"/>
    </w:rPr>
  </w:style>
  <w:style w:type="character" w:customStyle="1" w:styleId="TAMainTextChar">
    <w:name w:val="TA_Main_Text Char"/>
    <w:basedOn w:val="Fontepargpadro"/>
    <w:link w:val="TAMainText"/>
    <w:rsid w:val="005C6976"/>
    <w:rPr>
      <w:rFonts w:ascii="Times" w:eastAsia="Times New Roman" w:hAnsi="Times" w:cs="Times New Roman"/>
      <w:sz w:val="20"/>
      <w:szCs w:val="20"/>
      <w:lang w:val="en-US" w:eastAsia="pt-BR"/>
    </w:rPr>
  </w:style>
  <w:style w:type="character" w:customStyle="1" w:styleId="Estilo1Char">
    <w:name w:val="Estilo1 Char"/>
    <w:basedOn w:val="TAMainTextChar"/>
    <w:link w:val="Estilo1"/>
    <w:rsid w:val="005C6976"/>
    <w:rPr>
      <w:rFonts w:ascii="Times New Roman" w:eastAsia="Times New Roman" w:hAnsi="Times New Roman" w:cs="Times New Roman"/>
      <w:sz w:val="20"/>
      <w:szCs w:val="20"/>
      <w:lang w:val="en-US" w:eastAsia="pt-BR"/>
    </w:rPr>
  </w:style>
  <w:style w:type="character" w:styleId="Refdecomentrio">
    <w:name w:val="annotation reference"/>
    <w:basedOn w:val="Fontepargpadro"/>
    <w:uiPriority w:val="99"/>
    <w:semiHidden/>
    <w:unhideWhenUsed/>
    <w:rsid w:val="00414130"/>
    <w:rPr>
      <w:sz w:val="16"/>
      <w:szCs w:val="16"/>
    </w:rPr>
  </w:style>
  <w:style w:type="paragraph" w:styleId="Textodecomentrio">
    <w:name w:val="annotation text"/>
    <w:basedOn w:val="Normal"/>
    <w:link w:val="TextodecomentrioChar"/>
    <w:uiPriority w:val="99"/>
    <w:semiHidden/>
    <w:unhideWhenUsed/>
    <w:rsid w:val="004141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14130"/>
    <w:rPr>
      <w:sz w:val="20"/>
      <w:szCs w:val="20"/>
    </w:rPr>
  </w:style>
  <w:style w:type="paragraph" w:styleId="Assuntodocomentrio">
    <w:name w:val="annotation subject"/>
    <w:basedOn w:val="Textodecomentrio"/>
    <w:next w:val="Textodecomentrio"/>
    <w:link w:val="AssuntodocomentrioChar"/>
    <w:uiPriority w:val="99"/>
    <w:semiHidden/>
    <w:unhideWhenUsed/>
    <w:rsid w:val="00414130"/>
    <w:rPr>
      <w:b/>
      <w:bCs/>
    </w:rPr>
  </w:style>
  <w:style w:type="character" w:customStyle="1" w:styleId="AssuntodocomentrioChar">
    <w:name w:val="Assunto do comentário Char"/>
    <w:basedOn w:val="TextodecomentrioChar"/>
    <w:link w:val="Assuntodocomentrio"/>
    <w:uiPriority w:val="99"/>
    <w:semiHidden/>
    <w:rsid w:val="00414130"/>
    <w:rPr>
      <w:b/>
      <w:bCs/>
      <w:sz w:val="20"/>
      <w:szCs w:val="20"/>
    </w:rPr>
  </w:style>
  <w:style w:type="paragraph" w:styleId="Reviso">
    <w:name w:val="Revision"/>
    <w:hidden/>
    <w:uiPriority w:val="99"/>
    <w:semiHidden/>
    <w:rsid w:val="00543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0059">
      <w:bodyDiv w:val="1"/>
      <w:marLeft w:val="0"/>
      <w:marRight w:val="0"/>
      <w:marTop w:val="0"/>
      <w:marBottom w:val="0"/>
      <w:divBdr>
        <w:top w:val="none" w:sz="0" w:space="0" w:color="auto"/>
        <w:left w:val="none" w:sz="0" w:space="0" w:color="auto"/>
        <w:bottom w:val="none" w:sz="0" w:space="0" w:color="auto"/>
        <w:right w:val="none" w:sz="0" w:space="0" w:color="auto"/>
      </w:divBdr>
    </w:div>
    <w:div w:id="342246682">
      <w:bodyDiv w:val="1"/>
      <w:marLeft w:val="0"/>
      <w:marRight w:val="0"/>
      <w:marTop w:val="0"/>
      <w:marBottom w:val="0"/>
      <w:divBdr>
        <w:top w:val="none" w:sz="0" w:space="0" w:color="auto"/>
        <w:left w:val="none" w:sz="0" w:space="0" w:color="auto"/>
        <w:bottom w:val="none" w:sz="0" w:space="0" w:color="auto"/>
        <w:right w:val="none" w:sz="0" w:space="0" w:color="auto"/>
      </w:divBdr>
    </w:div>
    <w:div w:id="466319524">
      <w:bodyDiv w:val="1"/>
      <w:marLeft w:val="0"/>
      <w:marRight w:val="0"/>
      <w:marTop w:val="0"/>
      <w:marBottom w:val="0"/>
      <w:divBdr>
        <w:top w:val="none" w:sz="0" w:space="0" w:color="auto"/>
        <w:left w:val="none" w:sz="0" w:space="0" w:color="auto"/>
        <w:bottom w:val="none" w:sz="0" w:space="0" w:color="auto"/>
        <w:right w:val="none" w:sz="0" w:space="0" w:color="auto"/>
      </w:divBdr>
    </w:div>
    <w:div w:id="618335162">
      <w:bodyDiv w:val="1"/>
      <w:marLeft w:val="0"/>
      <w:marRight w:val="0"/>
      <w:marTop w:val="0"/>
      <w:marBottom w:val="0"/>
      <w:divBdr>
        <w:top w:val="none" w:sz="0" w:space="0" w:color="auto"/>
        <w:left w:val="none" w:sz="0" w:space="0" w:color="auto"/>
        <w:bottom w:val="none" w:sz="0" w:space="0" w:color="auto"/>
        <w:right w:val="none" w:sz="0" w:space="0" w:color="auto"/>
      </w:divBdr>
    </w:div>
    <w:div w:id="822042867">
      <w:bodyDiv w:val="1"/>
      <w:marLeft w:val="0"/>
      <w:marRight w:val="0"/>
      <w:marTop w:val="0"/>
      <w:marBottom w:val="0"/>
      <w:divBdr>
        <w:top w:val="none" w:sz="0" w:space="0" w:color="auto"/>
        <w:left w:val="none" w:sz="0" w:space="0" w:color="auto"/>
        <w:bottom w:val="none" w:sz="0" w:space="0" w:color="auto"/>
        <w:right w:val="none" w:sz="0" w:space="0" w:color="auto"/>
      </w:divBdr>
      <w:divsChild>
        <w:div w:id="977806089">
          <w:marLeft w:val="0"/>
          <w:marRight w:val="0"/>
          <w:marTop w:val="0"/>
          <w:marBottom w:val="0"/>
          <w:divBdr>
            <w:top w:val="none" w:sz="0" w:space="0" w:color="auto"/>
            <w:left w:val="none" w:sz="0" w:space="0" w:color="auto"/>
            <w:bottom w:val="none" w:sz="0" w:space="0" w:color="auto"/>
            <w:right w:val="none" w:sz="0" w:space="0" w:color="auto"/>
          </w:divBdr>
          <w:divsChild>
            <w:div w:id="7112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9315">
      <w:bodyDiv w:val="1"/>
      <w:marLeft w:val="0"/>
      <w:marRight w:val="0"/>
      <w:marTop w:val="0"/>
      <w:marBottom w:val="0"/>
      <w:divBdr>
        <w:top w:val="none" w:sz="0" w:space="0" w:color="auto"/>
        <w:left w:val="none" w:sz="0" w:space="0" w:color="auto"/>
        <w:bottom w:val="none" w:sz="0" w:space="0" w:color="auto"/>
        <w:right w:val="none" w:sz="0" w:space="0" w:color="auto"/>
      </w:divBdr>
    </w:div>
    <w:div w:id="16004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Gabriel\Desktop\Trabalho\Tabela%20Comparaco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Comparacao!$R$29:$V$29</c:f>
              <c:strCache>
                <c:ptCount val="5"/>
                <c:pt idx="0">
                  <c:v>NaOH</c:v>
                </c:pt>
                <c:pt idx="1">
                  <c:v>CaO.Al</c:v>
                </c:pt>
                <c:pt idx="2">
                  <c:v>CaO</c:v>
                </c:pt>
                <c:pt idx="3">
                  <c:v>CaO.Zn</c:v>
                </c:pt>
                <c:pt idx="4">
                  <c:v>CaO.La</c:v>
                </c:pt>
              </c:strCache>
            </c:strRef>
          </c:cat>
          <c:val>
            <c:numRef>
              <c:f>Comparacao!$R$30:$V$30</c:f>
              <c:numCache>
                <c:formatCode>General</c:formatCode>
                <c:ptCount val="5"/>
                <c:pt idx="0">
                  <c:v>259145036</c:v>
                </c:pt>
                <c:pt idx="1">
                  <c:v>233654502</c:v>
                </c:pt>
                <c:pt idx="2">
                  <c:v>218692750</c:v>
                </c:pt>
                <c:pt idx="3">
                  <c:v>210820312</c:v>
                </c:pt>
                <c:pt idx="4">
                  <c:v>201788216</c:v>
                </c:pt>
              </c:numCache>
            </c:numRef>
          </c:val>
          <c:extLst>
            <c:ext xmlns:c16="http://schemas.microsoft.com/office/drawing/2014/chart" uri="{C3380CC4-5D6E-409C-BE32-E72D297353CC}">
              <c16:uniqueId val="{00000000-61BA-49C9-AA4B-EEA5E1945C77}"/>
            </c:ext>
          </c:extLst>
        </c:ser>
        <c:dLbls>
          <c:showLegendKey val="0"/>
          <c:showVal val="0"/>
          <c:showCatName val="0"/>
          <c:showSerName val="0"/>
          <c:showPercent val="0"/>
          <c:showBubbleSize val="0"/>
        </c:dLbls>
        <c:gapWidth val="100"/>
        <c:overlap val="-30"/>
        <c:axId val="639540904"/>
        <c:axId val="639535504"/>
      </c:barChart>
      <c:catAx>
        <c:axId val="639540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Catalisador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39535504"/>
        <c:crosses val="autoZero"/>
        <c:auto val="1"/>
        <c:lblAlgn val="ctr"/>
        <c:lblOffset val="100"/>
        <c:noMultiLvlLbl val="0"/>
      </c:catAx>
      <c:valAx>
        <c:axId val="639535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U.A/g de FAMEs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0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39540904"/>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C8690-A888-40DD-B940-05407777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3013</Words>
  <Characters>16271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Camila ottonelli</cp:lastModifiedBy>
  <cp:revision>3</cp:revision>
  <dcterms:created xsi:type="dcterms:W3CDTF">2023-06-25T21:49:00Z</dcterms:created>
  <dcterms:modified xsi:type="dcterms:W3CDTF">2023-06-25T22:17:00Z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