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124D852C" w14:textId="395C6678" w:rsidR="0087634D" w:rsidRPr="00340DFA" w:rsidRDefault="003F62A4" w:rsidP="0087634D">
      <w:pPr>
        <w:pStyle w:val="BATitle"/>
        <w:spacing w:before="0" w:after="0" w:line="240" w:lineRule="auto"/>
        <w:ind w:right="0"/>
        <w:jc w:val="both"/>
        <w:rPr>
          <w:color w:val="000000" w:themeColor="text1"/>
          <w:sz w:val="32"/>
          <w:lang w:val="pt-BR"/>
        </w:rPr>
      </w:pPr>
      <w:r>
        <w:rPr>
          <w:sz w:val="32"/>
          <w:lang w:val="pt-BR"/>
        </w:rPr>
        <w:t xml:space="preserve">Compreendendo a influência das agitações </w:t>
      </w:r>
      <w:r w:rsidR="00F97245">
        <w:rPr>
          <w:sz w:val="32"/>
          <w:lang w:val="pt-BR"/>
        </w:rPr>
        <w:t>magnética</w:t>
      </w:r>
      <w:r>
        <w:rPr>
          <w:sz w:val="32"/>
          <w:lang w:val="pt-BR"/>
        </w:rPr>
        <w:t xml:space="preserve"> e ultrassônica na produção de </w:t>
      </w:r>
      <w:r w:rsidRPr="00340DFA">
        <w:rPr>
          <w:color w:val="000000" w:themeColor="text1"/>
          <w:sz w:val="32"/>
          <w:lang w:val="pt-BR"/>
        </w:rPr>
        <w:t>biodiesel</w:t>
      </w:r>
      <w:r w:rsidR="008E5046" w:rsidRPr="00340DFA">
        <w:rPr>
          <w:color w:val="000000" w:themeColor="text1"/>
          <w:sz w:val="32"/>
          <w:lang w:val="pt-BR"/>
        </w:rPr>
        <w:t xml:space="preserve"> por catálise heterogênea</w:t>
      </w:r>
    </w:p>
    <w:p w14:paraId="04004DFF" w14:textId="77777777" w:rsidR="0087634D" w:rsidRPr="0087634D" w:rsidRDefault="0087634D" w:rsidP="0087634D">
      <w:pPr>
        <w:pStyle w:val="BBAuthorName"/>
        <w:rPr>
          <w:lang w:val="pt-BR"/>
        </w:rPr>
      </w:pPr>
    </w:p>
    <w:p w14:paraId="18735493" w14:textId="027DD434" w:rsidR="00EA4E1B" w:rsidRPr="00BF609D" w:rsidRDefault="0087634D" w:rsidP="00EA4E1B">
      <w:pPr>
        <w:pStyle w:val="BBAuthorName"/>
        <w:spacing w:after="120"/>
        <w:ind w:right="0"/>
        <w:jc w:val="both"/>
        <w:rPr>
          <w:rFonts w:ascii="Times New Roman" w:hAnsi="Times New Roman"/>
          <w:sz w:val="20"/>
          <w:lang w:val="pt-BR"/>
        </w:rPr>
      </w:pPr>
      <w:r>
        <w:rPr>
          <w:rFonts w:ascii="Times New Roman" w:hAnsi="Times New Roman"/>
          <w:sz w:val="20"/>
          <w:lang w:val="pt-BR"/>
        </w:rPr>
        <w:t>Stephanie C. Goveia</w:t>
      </w:r>
      <w:r w:rsidR="00BF609D">
        <w:rPr>
          <w:rFonts w:ascii="Times New Roman" w:hAnsi="Times New Roman"/>
          <w:sz w:val="20"/>
          <w:vertAlign w:val="superscript"/>
          <w:lang w:val="pt-BR"/>
        </w:rPr>
        <w:t>1</w:t>
      </w:r>
      <w:r>
        <w:rPr>
          <w:rFonts w:ascii="Times New Roman" w:hAnsi="Times New Roman"/>
          <w:sz w:val="20"/>
          <w:lang w:val="pt-BR"/>
        </w:rPr>
        <w:t>, Gabriel M. Rodrigues</w:t>
      </w:r>
      <w:r w:rsidR="00BF609D">
        <w:rPr>
          <w:rFonts w:ascii="Times New Roman" w:hAnsi="Times New Roman"/>
          <w:sz w:val="20"/>
          <w:vertAlign w:val="superscript"/>
          <w:lang w:val="pt-BR"/>
        </w:rPr>
        <w:t>1</w:t>
      </w:r>
      <w:r>
        <w:rPr>
          <w:rFonts w:ascii="Times New Roman" w:hAnsi="Times New Roman"/>
          <w:sz w:val="20"/>
          <w:lang w:val="pt-BR"/>
        </w:rPr>
        <w:t>, Giovana W. Paap</w:t>
      </w:r>
      <w:r w:rsidR="00BF609D">
        <w:rPr>
          <w:rFonts w:ascii="Times New Roman" w:hAnsi="Times New Roman"/>
          <w:sz w:val="20"/>
          <w:vertAlign w:val="superscript"/>
          <w:lang w:val="pt-BR"/>
        </w:rPr>
        <w:t>1</w:t>
      </w:r>
      <w:r w:rsidR="00BF609D">
        <w:rPr>
          <w:rFonts w:ascii="Times New Roman" w:hAnsi="Times New Roman"/>
          <w:sz w:val="20"/>
          <w:lang w:val="pt-BR"/>
        </w:rPr>
        <w:t xml:space="preserve">, </w:t>
      </w:r>
      <w:r w:rsidR="00BF609D" w:rsidRPr="00BF609D">
        <w:rPr>
          <w:rFonts w:ascii="Times New Roman" w:hAnsi="Times New Roman"/>
          <w:sz w:val="20"/>
          <w:lang w:val="pt-BR"/>
        </w:rPr>
        <w:t>Pedro J. Sanches Filho</w:t>
      </w:r>
      <w:r w:rsidR="00BF609D" w:rsidRPr="00BF609D">
        <w:rPr>
          <w:rFonts w:ascii="Times New Roman" w:hAnsi="Times New Roman"/>
          <w:sz w:val="20"/>
          <w:vertAlign w:val="superscript"/>
          <w:lang w:val="pt-BR"/>
        </w:rPr>
        <w:t>2</w:t>
      </w:r>
      <w:r w:rsidR="00BF609D" w:rsidRPr="00BF609D">
        <w:rPr>
          <w:rFonts w:ascii="Times New Roman" w:hAnsi="Times New Roman"/>
          <w:sz w:val="20"/>
          <w:lang w:val="pt-BR"/>
        </w:rPr>
        <w:t>,</w:t>
      </w:r>
      <w:r w:rsidR="00BF609D" w:rsidRPr="00BF609D">
        <w:rPr>
          <w:rFonts w:ascii="Times New Roman" w:eastAsiaTheme="minorEastAsia" w:hAnsi="Times New Roman" w:cstheme="minorBidi"/>
          <w:b w:val="0"/>
          <w:sz w:val="20"/>
          <w:szCs w:val="21"/>
          <w:lang w:val="pt-BR" w:eastAsia="en-US"/>
        </w:rPr>
        <w:t xml:space="preserve"> </w:t>
      </w:r>
      <w:r w:rsidR="00BF609D" w:rsidRPr="00BF609D">
        <w:rPr>
          <w:rFonts w:ascii="Times New Roman" w:hAnsi="Times New Roman"/>
          <w:sz w:val="20"/>
          <w:lang w:val="pt-BR"/>
        </w:rPr>
        <w:t>Camila O. Calgaro</w:t>
      </w:r>
      <w:proofErr w:type="gramStart"/>
      <w:r w:rsidR="00BF609D" w:rsidRPr="00BF609D">
        <w:rPr>
          <w:rFonts w:ascii="Times New Roman" w:hAnsi="Times New Roman"/>
          <w:sz w:val="20"/>
          <w:vertAlign w:val="superscript"/>
          <w:lang w:val="pt-BR"/>
        </w:rPr>
        <w:t>1,*</w:t>
      </w:r>
      <w:proofErr w:type="gramEnd"/>
    </w:p>
    <w:bookmarkEnd w:id="0"/>
    <w:p w14:paraId="33520DEC" w14:textId="758F2B59" w:rsidR="00925B68" w:rsidRPr="00925B68" w:rsidRDefault="00925B68" w:rsidP="00925B68">
      <w:pPr>
        <w:pStyle w:val="BCAuthorAddress"/>
        <w:ind w:right="39"/>
        <w:rPr>
          <w:lang w:val="pt-BR"/>
        </w:rPr>
      </w:pPr>
      <w:r w:rsidRPr="00925B68">
        <w:rPr>
          <w:vertAlign w:val="superscript"/>
          <w:lang w:val="pt-BR"/>
        </w:rPr>
        <w:t>1</w:t>
      </w:r>
      <w:r w:rsidRPr="00925B68">
        <w:rPr>
          <w:lang w:val="pt-BR"/>
        </w:rPr>
        <w:t>Coordenação de Engenharia Química, Instituto Federal Sul-Rio-Grandense, Campus</w:t>
      </w:r>
      <w:r>
        <w:rPr>
          <w:lang w:val="pt-BR"/>
        </w:rPr>
        <w:t xml:space="preserve"> </w:t>
      </w:r>
      <w:r w:rsidRPr="00925B68">
        <w:rPr>
          <w:lang w:val="pt-BR"/>
        </w:rPr>
        <w:t>Pelotas, RS, Brasil.</w:t>
      </w:r>
    </w:p>
    <w:p w14:paraId="16A835C0" w14:textId="77777777" w:rsidR="00925B68" w:rsidRDefault="00925B68" w:rsidP="00925B68">
      <w:pPr>
        <w:pStyle w:val="BCAuthorAddress"/>
        <w:ind w:right="39"/>
        <w:rPr>
          <w:rFonts w:asciiTheme="minorHAnsi" w:eastAsiaTheme="minorEastAsia" w:hAnsiTheme="minorHAnsi" w:cstheme="minorBidi"/>
          <w:i w:val="0"/>
          <w:sz w:val="21"/>
          <w:szCs w:val="21"/>
          <w:vertAlign w:val="superscript"/>
          <w:lang w:val="pt-BR" w:eastAsia="en-US"/>
        </w:rPr>
      </w:pPr>
      <w:r w:rsidRPr="00925B68">
        <w:rPr>
          <w:vertAlign w:val="superscript"/>
          <w:lang w:val="pt-BR"/>
        </w:rPr>
        <w:t>2</w:t>
      </w:r>
      <w:r w:rsidRPr="00925B68">
        <w:rPr>
          <w:lang w:val="pt-BR"/>
        </w:rPr>
        <w:t>Curso Técnico em Química, Instituto Federal Sul-Rio-Grandense, Campus Pelotas, RS, Brasil.</w:t>
      </w:r>
      <w:r w:rsidRPr="00925B68">
        <w:rPr>
          <w:rFonts w:asciiTheme="minorHAnsi" w:eastAsiaTheme="minorEastAsia" w:hAnsiTheme="minorHAnsi" w:cstheme="minorBidi"/>
          <w:i w:val="0"/>
          <w:sz w:val="21"/>
          <w:szCs w:val="21"/>
          <w:vertAlign w:val="superscript"/>
          <w:lang w:val="pt-BR" w:eastAsia="en-US"/>
        </w:rPr>
        <w:t xml:space="preserve"> </w:t>
      </w:r>
    </w:p>
    <w:p w14:paraId="3FE2E033" w14:textId="4E22BC53" w:rsidR="00925B68" w:rsidRPr="00925B68" w:rsidRDefault="00925B68" w:rsidP="00925B68">
      <w:pPr>
        <w:pStyle w:val="BCAuthorAddress"/>
        <w:ind w:right="39"/>
        <w:rPr>
          <w:lang w:val="pt-BR"/>
        </w:rPr>
      </w:pPr>
      <w:r w:rsidRPr="00925B68">
        <w:rPr>
          <w:vertAlign w:val="superscript"/>
          <w:lang w:val="pt-BR"/>
        </w:rPr>
        <w:t>*</w:t>
      </w:r>
      <w:r w:rsidRPr="00925B68">
        <w:rPr>
          <w:lang w:val="pt-BR"/>
        </w:rPr>
        <w:t>camilacalgaro@ifsul.edu.br</w:t>
      </w:r>
    </w:p>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58738D66"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58738D66"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4CC29674" w14:textId="54BDF76F" w:rsidR="0094337C"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94337C" w:rsidRPr="0094337C">
        <w:rPr>
          <w:rFonts w:ascii="Times New Roman" w:hAnsi="Times New Roman"/>
          <w:b w:val="0"/>
          <w:sz w:val="20"/>
          <w:lang w:val="pt-BR"/>
        </w:rPr>
        <w:t xml:space="preserve">O biodiesel é um combustível renovável obtido da transesterificação de óleos vegetais ou gordura animal com um álcool, sendo uma alternativa mais sustentável aos combustíveis fósseis. A agitação </w:t>
      </w:r>
      <w:r w:rsidR="00F97245">
        <w:rPr>
          <w:rFonts w:ascii="Times New Roman" w:hAnsi="Times New Roman"/>
          <w:b w:val="0"/>
          <w:sz w:val="20"/>
          <w:lang w:val="pt-BR"/>
        </w:rPr>
        <w:t>magnética</w:t>
      </w:r>
      <w:r w:rsidR="0094337C" w:rsidRPr="0094337C">
        <w:rPr>
          <w:rFonts w:ascii="Times New Roman" w:hAnsi="Times New Roman"/>
          <w:b w:val="0"/>
          <w:sz w:val="20"/>
          <w:lang w:val="pt-BR"/>
        </w:rPr>
        <w:t xml:space="preserve"> é comumente empregada na produção d</w:t>
      </w:r>
      <w:r w:rsidR="008E5046">
        <w:rPr>
          <w:rFonts w:ascii="Times New Roman" w:hAnsi="Times New Roman"/>
          <w:b w:val="0"/>
          <w:sz w:val="20"/>
          <w:lang w:val="pt-BR"/>
        </w:rPr>
        <w:t>o</w:t>
      </w:r>
      <w:r w:rsidR="0094337C" w:rsidRPr="0094337C">
        <w:rPr>
          <w:rFonts w:ascii="Times New Roman" w:hAnsi="Times New Roman"/>
          <w:b w:val="0"/>
          <w:sz w:val="20"/>
          <w:lang w:val="pt-BR"/>
        </w:rPr>
        <w:t xml:space="preserve"> biodiesel</w:t>
      </w:r>
      <w:r w:rsidR="001D0959">
        <w:rPr>
          <w:rFonts w:ascii="Times New Roman" w:hAnsi="Times New Roman"/>
          <w:b w:val="0"/>
          <w:sz w:val="20"/>
          <w:lang w:val="pt-BR"/>
        </w:rPr>
        <w:t xml:space="preserve"> em escala</w:t>
      </w:r>
      <w:r w:rsidR="008E5046">
        <w:rPr>
          <w:rFonts w:ascii="Times New Roman" w:hAnsi="Times New Roman"/>
          <w:b w:val="0"/>
          <w:sz w:val="20"/>
          <w:lang w:val="pt-BR"/>
        </w:rPr>
        <w:t xml:space="preserve"> de bancada</w:t>
      </w:r>
      <w:r w:rsidR="0094337C" w:rsidRPr="0094337C">
        <w:rPr>
          <w:rFonts w:ascii="Times New Roman" w:hAnsi="Times New Roman"/>
          <w:b w:val="0"/>
          <w:sz w:val="20"/>
          <w:lang w:val="pt-BR"/>
        </w:rPr>
        <w:t xml:space="preserve">, mas a agitação ultrassônica </w:t>
      </w:r>
      <w:r w:rsidR="008E5046">
        <w:rPr>
          <w:rFonts w:ascii="Times New Roman" w:hAnsi="Times New Roman"/>
          <w:b w:val="0"/>
          <w:sz w:val="20"/>
          <w:lang w:val="pt-BR"/>
        </w:rPr>
        <w:t>também vem sendo estudada pela possibilidade de aumentar a velocidade cinética da reação.</w:t>
      </w:r>
      <w:r w:rsidR="0094337C" w:rsidRPr="0094337C">
        <w:rPr>
          <w:rFonts w:ascii="Times New Roman" w:hAnsi="Times New Roman"/>
          <w:b w:val="0"/>
          <w:sz w:val="20"/>
          <w:lang w:val="pt-BR"/>
        </w:rPr>
        <w:t xml:space="preserve"> Este estudo comparou a produção de biodiesel usando agitações </w:t>
      </w:r>
      <w:r w:rsidR="00F97245">
        <w:rPr>
          <w:rFonts w:ascii="Times New Roman" w:hAnsi="Times New Roman"/>
          <w:b w:val="0"/>
          <w:sz w:val="20"/>
          <w:lang w:val="pt-BR"/>
        </w:rPr>
        <w:t>magnética</w:t>
      </w:r>
      <w:r w:rsidR="0094337C" w:rsidRPr="0094337C">
        <w:rPr>
          <w:rFonts w:ascii="Times New Roman" w:hAnsi="Times New Roman"/>
          <w:b w:val="0"/>
          <w:sz w:val="20"/>
          <w:lang w:val="pt-BR"/>
        </w:rPr>
        <w:t xml:space="preserve"> e ultrassônica. Sínteses foram realizadas a 60°C, utilizando 100 mL de óleo residual, 6% de </w:t>
      </w:r>
      <w:proofErr w:type="spellStart"/>
      <w:r w:rsidR="0094337C" w:rsidRPr="0094337C">
        <w:rPr>
          <w:rFonts w:ascii="Times New Roman" w:hAnsi="Times New Roman"/>
          <w:b w:val="0"/>
          <w:sz w:val="20"/>
          <w:lang w:val="pt-BR"/>
        </w:rPr>
        <w:t>CaO</w:t>
      </w:r>
      <w:proofErr w:type="spellEnd"/>
      <w:r w:rsidR="0094337C" w:rsidRPr="0094337C">
        <w:rPr>
          <w:rFonts w:ascii="Times New Roman" w:hAnsi="Times New Roman"/>
          <w:b w:val="0"/>
          <w:sz w:val="20"/>
          <w:lang w:val="pt-BR"/>
        </w:rPr>
        <w:t xml:space="preserve"> obtido de cascas de ovos, e uma fração molar de </w:t>
      </w:r>
      <w:proofErr w:type="spellStart"/>
      <w:r w:rsidR="0094337C" w:rsidRPr="0094337C">
        <w:rPr>
          <w:rFonts w:ascii="Times New Roman" w:hAnsi="Times New Roman"/>
          <w:b w:val="0"/>
          <w:sz w:val="20"/>
          <w:lang w:val="pt-BR"/>
        </w:rPr>
        <w:t>óleo:metanol</w:t>
      </w:r>
      <w:proofErr w:type="spellEnd"/>
      <w:r w:rsidR="0094337C" w:rsidRPr="0094337C">
        <w:rPr>
          <w:rFonts w:ascii="Times New Roman" w:hAnsi="Times New Roman"/>
          <w:b w:val="0"/>
          <w:sz w:val="20"/>
          <w:lang w:val="pt-BR"/>
        </w:rPr>
        <w:t xml:space="preserve"> de 1:12. </w:t>
      </w:r>
      <w:r w:rsidR="00666A28">
        <w:rPr>
          <w:rFonts w:ascii="Times New Roman" w:hAnsi="Times New Roman"/>
          <w:b w:val="0"/>
          <w:sz w:val="20"/>
          <w:lang w:val="pt-BR"/>
        </w:rPr>
        <w:t xml:space="preserve">A formação de ésteres metílicos por catálise heterogênea com </w:t>
      </w:r>
      <w:proofErr w:type="spellStart"/>
      <w:r w:rsidR="00666A28">
        <w:rPr>
          <w:rFonts w:ascii="Times New Roman" w:hAnsi="Times New Roman"/>
          <w:b w:val="0"/>
          <w:sz w:val="20"/>
          <w:lang w:val="pt-BR"/>
        </w:rPr>
        <w:t>CaO</w:t>
      </w:r>
      <w:proofErr w:type="spellEnd"/>
      <w:r w:rsidR="00666A28">
        <w:rPr>
          <w:rFonts w:ascii="Times New Roman" w:hAnsi="Times New Roman"/>
          <w:b w:val="0"/>
          <w:sz w:val="20"/>
          <w:lang w:val="pt-BR"/>
        </w:rPr>
        <w:t xml:space="preserve"> e agitação magnética alcançou um valor de 84% </w:t>
      </w:r>
      <w:r w:rsidR="003D3352">
        <w:rPr>
          <w:rFonts w:ascii="Times New Roman" w:hAnsi="Times New Roman"/>
          <w:b w:val="0"/>
          <w:sz w:val="20"/>
          <w:lang w:val="pt-BR"/>
        </w:rPr>
        <w:t xml:space="preserve">em </w:t>
      </w:r>
      <w:r w:rsidR="00666A28">
        <w:rPr>
          <w:rFonts w:ascii="Times New Roman" w:hAnsi="Times New Roman"/>
          <w:b w:val="0"/>
          <w:sz w:val="20"/>
          <w:lang w:val="pt-BR"/>
        </w:rPr>
        <w:t>relação a</w:t>
      </w:r>
      <w:r w:rsidR="003D3352">
        <w:rPr>
          <w:rFonts w:ascii="Times New Roman" w:hAnsi="Times New Roman"/>
          <w:b w:val="0"/>
          <w:sz w:val="20"/>
          <w:lang w:val="pt-BR"/>
        </w:rPr>
        <w:t xml:space="preserve"> concentração de ésteres obtidos pela</w:t>
      </w:r>
      <w:r w:rsidR="00666A28">
        <w:rPr>
          <w:rFonts w:ascii="Times New Roman" w:hAnsi="Times New Roman"/>
          <w:b w:val="0"/>
          <w:sz w:val="20"/>
          <w:lang w:val="pt-BR"/>
        </w:rPr>
        <w:t xml:space="preserve"> síntese convencional, empregando </w:t>
      </w:r>
      <w:proofErr w:type="spellStart"/>
      <w:r w:rsidR="00666A28">
        <w:rPr>
          <w:rFonts w:ascii="Times New Roman" w:hAnsi="Times New Roman"/>
          <w:b w:val="0"/>
          <w:sz w:val="20"/>
          <w:lang w:val="pt-BR"/>
        </w:rPr>
        <w:t>NaOH</w:t>
      </w:r>
      <w:proofErr w:type="spellEnd"/>
      <w:r w:rsidR="00666A28">
        <w:rPr>
          <w:rFonts w:ascii="Times New Roman" w:hAnsi="Times New Roman"/>
          <w:b w:val="0"/>
          <w:sz w:val="20"/>
          <w:lang w:val="pt-BR"/>
        </w:rPr>
        <w:t xml:space="preserve"> como </w:t>
      </w:r>
      <w:r w:rsidR="00666A28" w:rsidRPr="00340DFA">
        <w:rPr>
          <w:rFonts w:ascii="Times New Roman" w:hAnsi="Times New Roman"/>
          <w:b w:val="0"/>
          <w:color w:val="000000" w:themeColor="text1"/>
          <w:sz w:val="20"/>
          <w:lang w:val="pt-BR"/>
        </w:rPr>
        <w:t>catalisador</w:t>
      </w:r>
      <w:r w:rsidR="00340DFA" w:rsidRPr="00340DFA">
        <w:rPr>
          <w:rFonts w:ascii="Times New Roman" w:hAnsi="Times New Roman"/>
          <w:b w:val="0"/>
          <w:color w:val="000000" w:themeColor="text1"/>
          <w:sz w:val="20"/>
          <w:lang w:val="pt-BR"/>
        </w:rPr>
        <w:t>,</w:t>
      </w:r>
      <w:r w:rsidR="00666A28" w:rsidRPr="00340DFA">
        <w:rPr>
          <w:rFonts w:ascii="Times New Roman" w:hAnsi="Times New Roman"/>
          <w:b w:val="0"/>
          <w:color w:val="000000" w:themeColor="text1"/>
          <w:sz w:val="20"/>
          <w:lang w:val="pt-BR"/>
        </w:rPr>
        <w:t xml:space="preserve"> </w:t>
      </w:r>
      <w:r w:rsidR="00666A28">
        <w:rPr>
          <w:rFonts w:ascii="Times New Roman" w:hAnsi="Times New Roman"/>
          <w:b w:val="0"/>
          <w:sz w:val="20"/>
          <w:lang w:val="pt-BR"/>
        </w:rPr>
        <w:t xml:space="preserve">e evitou a lavagem do biodiesel após síntese. Contudo, a aplicação do banho ultrassônico na síntese com </w:t>
      </w:r>
      <w:proofErr w:type="spellStart"/>
      <w:r w:rsidR="00666A28">
        <w:rPr>
          <w:rFonts w:ascii="Times New Roman" w:hAnsi="Times New Roman"/>
          <w:b w:val="0"/>
          <w:sz w:val="20"/>
          <w:lang w:val="pt-BR"/>
        </w:rPr>
        <w:t>CaO</w:t>
      </w:r>
      <w:proofErr w:type="spellEnd"/>
      <w:r w:rsidR="00666A28">
        <w:rPr>
          <w:rFonts w:ascii="Times New Roman" w:hAnsi="Times New Roman"/>
          <w:b w:val="0"/>
          <w:sz w:val="20"/>
          <w:lang w:val="pt-BR"/>
        </w:rPr>
        <w:t xml:space="preserve"> não foi eficiente para a reação, formando apenas 26% de ésteres metílicos, mostrando que a potência do banho ultrassônico não foi suficiente para impactar positivamente. </w:t>
      </w:r>
    </w:p>
    <w:p w14:paraId="09B41B70" w14:textId="24BB9EAA" w:rsidR="00EA4E1B" w:rsidRPr="003603F1" w:rsidRDefault="00EA4E1B" w:rsidP="00EA4E1B">
      <w:pPr>
        <w:pStyle w:val="BDAbstract"/>
        <w:spacing w:before="0" w:after="0" w:line="240" w:lineRule="auto"/>
        <w:rPr>
          <w:rFonts w:ascii="Times New Roman" w:hAnsi="Times New Roman"/>
          <w:sz w:val="20"/>
          <w:lang w:val="pt-BR"/>
        </w:rPr>
      </w:pPr>
      <w:r w:rsidRPr="00870522">
        <w:rPr>
          <w:rFonts w:ascii="Times New Roman" w:hAnsi="Times New Roman"/>
          <w:b w:val="0"/>
          <w:i/>
          <w:sz w:val="20"/>
          <w:lang w:val="pt-BR"/>
        </w:rPr>
        <w:t>Palavras-chave</w:t>
      </w:r>
      <w:r w:rsidR="003603F1">
        <w:rPr>
          <w:rFonts w:ascii="Times New Roman" w:hAnsi="Times New Roman"/>
          <w:b w:val="0"/>
          <w:i/>
          <w:sz w:val="20"/>
          <w:lang w:val="pt-BR"/>
        </w:rPr>
        <w:t xml:space="preserve">: </w:t>
      </w:r>
      <w:r w:rsidR="003603F1" w:rsidRPr="003603F1">
        <w:rPr>
          <w:rFonts w:ascii="Times New Roman" w:hAnsi="Times New Roman"/>
          <w:b w:val="0"/>
          <w:i/>
          <w:sz w:val="20"/>
          <w:lang w:val="pt-BR"/>
        </w:rPr>
        <w:t xml:space="preserve">combustível renovável, óxido de cálcio, cinética reacional, </w:t>
      </w:r>
      <w:r w:rsidR="003603F1">
        <w:rPr>
          <w:rFonts w:ascii="Times New Roman" w:hAnsi="Times New Roman"/>
          <w:b w:val="0"/>
          <w:i/>
          <w:sz w:val="20"/>
          <w:lang w:val="pt-BR"/>
        </w:rPr>
        <w:t>ultrassom</w:t>
      </w:r>
      <w:r w:rsidR="003603F1" w:rsidRPr="003603F1">
        <w:rPr>
          <w:rFonts w:ascii="Times New Roman" w:hAnsi="Times New Roman"/>
          <w:b w:val="0"/>
          <w:i/>
          <w:sz w:val="20"/>
          <w:lang w:val="pt-BR"/>
        </w:rPr>
        <w:t>, óleo de soja</w:t>
      </w:r>
      <w:r w:rsidR="000437F2">
        <w:rPr>
          <w:rFonts w:ascii="Times New Roman" w:hAnsi="Times New Roman"/>
          <w:b w:val="0"/>
          <w:i/>
          <w:sz w:val="20"/>
          <w:lang w:val="pt-BR"/>
        </w:rPr>
        <w:t xml:space="preserve"> </w:t>
      </w:r>
    </w:p>
    <w:p w14:paraId="5D8D4445" w14:textId="11D77547" w:rsidR="00EA4E1B" w:rsidRPr="00925B68" w:rsidRDefault="00EA4E1B" w:rsidP="00EA4E1B">
      <w:pPr>
        <w:pStyle w:val="BDAbstract"/>
        <w:spacing w:before="0" w:after="0" w:line="240" w:lineRule="auto"/>
        <w:rPr>
          <w:rFonts w:ascii="Times New Roman" w:hAnsi="Times New Roman"/>
          <w:b w:val="0"/>
          <w:sz w:val="20"/>
          <w:lang w:val="pt-BR"/>
        </w:rPr>
      </w:pPr>
    </w:p>
    <w:p w14:paraId="5F9C69D5" w14:textId="3EED1561" w:rsidR="0094337C" w:rsidRDefault="00EA4E1B" w:rsidP="0094337C">
      <w:pPr>
        <w:pStyle w:val="BDAbstract"/>
        <w:spacing w:before="0" w:after="0" w:line="240" w:lineRule="auto"/>
        <w:rPr>
          <w:rFonts w:ascii="Times New Roman" w:hAnsi="Times New Roman"/>
          <w:b w:val="0"/>
          <w:sz w:val="20"/>
          <w:lang w:val="en-GB"/>
        </w:rPr>
      </w:pPr>
      <w:r w:rsidRPr="00844546">
        <w:rPr>
          <w:rFonts w:ascii="Times New Roman" w:hAnsi="Times New Roman"/>
          <w:b w:val="0"/>
          <w:sz w:val="20"/>
          <w:lang w:val="en-GB"/>
        </w:rPr>
        <w:t>ABSTRACT</w:t>
      </w:r>
      <w:r w:rsidR="00997562">
        <w:rPr>
          <w:rFonts w:ascii="Times New Roman" w:hAnsi="Times New Roman"/>
          <w:b w:val="0"/>
          <w:sz w:val="20"/>
          <w:lang w:val="en-GB"/>
        </w:rPr>
        <w:t xml:space="preserve"> -</w:t>
      </w:r>
      <w:r w:rsidRPr="00844546">
        <w:rPr>
          <w:rFonts w:ascii="Times New Roman" w:hAnsi="Times New Roman"/>
          <w:b w:val="0"/>
          <w:sz w:val="20"/>
          <w:lang w:val="en-GB"/>
        </w:rPr>
        <w:t xml:space="preserve"> </w:t>
      </w:r>
      <w:r w:rsidR="00340DFA" w:rsidRPr="00340DFA">
        <w:rPr>
          <w:rFonts w:ascii="Times New Roman" w:hAnsi="Times New Roman"/>
          <w:b w:val="0"/>
          <w:sz w:val="20"/>
          <w:lang w:val="en-GB"/>
        </w:rPr>
        <w:t xml:space="preserve">Biodiesel is a renewable fuel obtained from the transesterification of vegetable oils or animal fat with an alcohol, being a more sustainable alternative to fossil fuels. Magnetic stirring is commonly employed in the production of biodiesel on a bench scale, but ultrasonic </w:t>
      </w:r>
      <w:r w:rsidR="00340DFA">
        <w:rPr>
          <w:rFonts w:ascii="Times New Roman" w:hAnsi="Times New Roman"/>
          <w:b w:val="0"/>
          <w:sz w:val="20"/>
          <w:lang w:val="en-GB"/>
        </w:rPr>
        <w:t>stirring</w:t>
      </w:r>
      <w:r w:rsidR="00340DFA" w:rsidRPr="00340DFA">
        <w:rPr>
          <w:rFonts w:ascii="Times New Roman" w:hAnsi="Times New Roman"/>
          <w:b w:val="0"/>
          <w:sz w:val="20"/>
          <w:lang w:val="en-GB"/>
        </w:rPr>
        <w:t xml:space="preserve"> is also being studied for the possibility of increasing the kinetic rate of the reaction. This study compared the production of biodiesel using magnetic and ultrasonic agitations. Syntheses were carried out at 60°C, using 100 mL of waste oil, 6% of </w:t>
      </w:r>
      <w:proofErr w:type="spellStart"/>
      <w:r w:rsidR="00340DFA" w:rsidRPr="00340DFA">
        <w:rPr>
          <w:rFonts w:ascii="Times New Roman" w:hAnsi="Times New Roman"/>
          <w:b w:val="0"/>
          <w:sz w:val="20"/>
          <w:lang w:val="en-GB"/>
        </w:rPr>
        <w:t>CaO</w:t>
      </w:r>
      <w:proofErr w:type="spellEnd"/>
      <w:r w:rsidR="00340DFA" w:rsidRPr="00340DFA">
        <w:rPr>
          <w:rFonts w:ascii="Times New Roman" w:hAnsi="Times New Roman"/>
          <w:b w:val="0"/>
          <w:sz w:val="20"/>
          <w:lang w:val="en-GB"/>
        </w:rPr>
        <w:t xml:space="preserve"> obtained from eggshells, and an </w:t>
      </w:r>
      <w:proofErr w:type="spellStart"/>
      <w:proofErr w:type="gramStart"/>
      <w:r w:rsidR="00340DFA" w:rsidRPr="00340DFA">
        <w:rPr>
          <w:rFonts w:ascii="Times New Roman" w:hAnsi="Times New Roman"/>
          <w:b w:val="0"/>
          <w:sz w:val="20"/>
          <w:lang w:val="en-GB"/>
        </w:rPr>
        <w:t>oil:methanol</w:t>
      </w:r>
      <w:proofErr w:type="spellEnd"/>
      <w:proofErr w:type="gramEnd"/>
      <w:r w:rsidR="00340DFA" w:rsidRPr="00340DFA">
        <w:rPr>
          <w:rFonts w:ascii="Times New Roman" w:hAnsi="Times New Roman"/>
          <w:b w:val="0"/>
          <w:sz w:val="20"/>
          <w:lang w:val="en-GB"/>
        </w:rPr>
        <w:t xml:space="preserve"> molar fraction of 1:12. The formation of methyl esters by heterogeneous catalysis with </w:t>
      </w:r>
      <w:proofErr w:type="spellStart"/>
      <w:r w:rsidR="00340DFA" w:rsidRPr="00340DFA">
        <w:rPr>
          <w:rFonts w:ascii="Times New Roman" w:hAnsi="Times New Roman"/>
          <w:b w:val="0"/>
          <w:sz w:val="20"/>
          <w:lang w:val="en-GB"/>
        </w:rPr>
        <w:t>CaO</w:t>
      </w:r>
      <w:proofErr w:type="spellEnd"/>
      <w:r w:rsidR="00340DFA" w:rsidRPr="00340DFA">
        <w:rPr>
          <w:rFonts w:ascii="Times New Roman" w:hAnsi="Times New Roman"/>
          <w:b w:val="0"/>
          <w:sz w:val="20"/>
          <w:lang w:val="en-GB"/>
        </w:rPr>
        <w:t xml:space="preserve"> and magnetic stirring reached a value of 84% </w:t>
      </w:r>
      <w:r w:rsidR="003D3352" w:rsidRPr="003D3352">
        <w:rPr>
          <w:rFonts w:ascii="Times New Roman" w:hAnsi="Times New Roman"/>
          <w:b w:val="0"/>
          <w:sz w:val="20"/>
          <w:lang w:val="en-GB"/>
        </w:rPr>
        <w:t>in relation to the concentration of esters obtained by conventional synthesis</w:t>
      </w:r>
      <w:r w:rsidR="00340DFA" w:rsidRPr="00340DFA">
        <w:rPr>
          <w:rFonts w:ascii="Times New Roman" w:hAnsi="Times New Roman"/>
          <w:b w:val="0"/>
          <w:sz w:val="20"/>
          <w:lang w:val="en-GB"/>
        </w:rPr>
        <w:t xml:space="preserve">, using NaOH as a catalyst, and avoided the washing of biodiesel after synthesis. However, the application of the ultrasonic bath in the synthesis with </w:t>
      </w:r>
      <w:proofErr w:type="spellStart"/>
      <w:r w:rsidR="00340DFA" w:rsidRPr="00340DFA">
        <w:rPr>
          <w:rFonts w:ascii="Times New Roman" w:hAnsi="Times New Roman"/>
          <w:b w:val="0"/>
          <w:sz w:val="20"/>
          <w:lang w:val="en-GB"/>
        </w:rPr>
        <w:t>CaO</w:t>
      </w:r>
      <w:proofErr w:type="spellEnd"/>
      <w:r w:rsidR="00340DFA" w:rsidRPr="00340DFA">
        <w:rPr>
          <w:rFonts w:ascii="Times New Roman" w:hAnsi="Times New Roman"/>
          <w:b w:val="0"/>
          <w:sz w:val="20"/>
          <w:lang w:val="en-GB"/>
        </w:rPr>
        <w:t xml:space="preserve"> was not efficient for the reaction, forming only 26% of methyl esters, showing that the power of the ultrasonic bath was not sufficient to have a positive impact.</w:t>
      </w:r>
    </w:p>
    <w:p w14:paraId="5F4A84E8" w14:textId="137DE3E4" w:rsidR="00EA4E1B" w:rsidRPr="00844546" w:rsidRDefault="00EA4E1B" w:rsidP="0094337C">
      <w:pPr>
        <w:pStyle w:val="BDAbstract"/>
        <w:spacing w:before="0" w:after="0" w:line="240" w:lineRule="auto"/>
        <w:rPr>
          <w:rFonts w:ascii="Times New Roman" w:hAnsi="Times New Roman"/>
          <w:b w:val="0"/>
          <w:i/>
          <w:sz w:val="20"/>
          <w:lang w:val="en-GB"/>
        </w:rPr>
      </w:pPr>
      <w:r w:rsidRPr="00844546">
        <w:rPr>
          <w:rFonts w:ascii="Times New Roman" w:hAnsi="Times New Roman"/>
          <w:b w:val="0"/>
          <w:i/>
          <w:sz w:val="20"/>
          <w:lang w:val="en-GB"/>
        </w:rPr>
        <w:t xml:space="preserve">Keywords: </w:t>
      </w:r>
      <w:r w:rsidR="000437F2" w:rsidRPr="00844546">
        <w:rPr>
          <w:rFonts w:ascii="Times New Roman" w:hAnsi="Times New Roman"/>
          <w:b w:val="0"/>
          <w:i/>
          <w:sz w:val="20"/>
          <w:lang w:val="en-GB"/>
        </w:rPr>
        <w:t>Renewable fuel, calcium oxide, reaction kinetics, ultrasound, soybean oil</w:t>
      </w:r>
    </w:p>
    <w:bookmarkEnd w:id="1"/>
    <w:p w14:paraId="48D9B0C4" w14:textId="77777777" w:rsidR="00EA4E1B" w:rsidRPr="00925B68" w:rsidRDefault="00EA4E1B" w:rsidP="00EA4E1B">
      <w:pPr>
        <w:rPr>
          <w:lang w:val="en-US"/>
        </w:rPr>
        <w:sectPr w:rsidR="00EA4E1B" w:rsidRPr="00925B68"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5809BF7E" w14:textId="35750865" w:rsidR="00FF50F5" w:rsidRDefault="00BE3833" w:rsidP="00EA4E1B">
      <w:pPr>
        <w:pStyle w:val="TAMainText"/>
        <w:rPr>
          <w:rFonts w:ascii="Times New Roman" w:hAnsi="Times New Roman"/>
          <w:lang w:val="pt-BR"/>
        </w:rPr>
      </w:pPr>
      <w:r>
        <w:rPr>
          <w:rFonts w:ascii="Times New Roman" w:hAnsi="Times New Roman"/>
          <w:lang w:val="pt-BR"/>
        </w:rPr>
        <w:t>Em 2020,</w:t>
      </w:r>
      <w:r w:rsidR="00FF50F5">
        <w:rPr>
          <w:rFonts w:ascii="Times New Roman" w:hAnsi="Times New Roman"/>
          <w:lang w:val="pt-BR"/>
        </w:rPr>
        <w:t xml:space="preserve"> </w:t>
      </w:r>
      <w:r w:rsidR="00054675">
        <w:rPr>
          <w:rFonts w:ascii="Times New Roman" w:hAnsi="Times New Roman"/>
          <w:lang w:val="pt-BR"/>
        </w:rPr>
        <w:t>o consumo de energia proveniente da</w:t>
      </w:r>
      <w:r>
        <w:rPr>
          <w:rFonts w:ascii="Times New Roman" w:hAnsi="Times New Roman"/>
          <w:lang w:val="pt-BR"/>
        </w:rPr>
        <w:t xml:space="preserve"> queima de combustíveis fósseis </w:t>
      </w:r>
      <w:r w:rsidR="00054675">
        <w:rPr>
          <w:rFonts w:ascii="Times New Roman" w:hAnsi="Times New Roman"/>
          <w:lang w:val="pt-BR"/>
        </w:rPr>
        <w:t>compreendeu cerca de 80% do consumo global de energia, sendo a maior fonte desse recurso (1).</w:t>
      </w:r>
    </w:p>
    <w:p w14:paraId="052F4368" w14:textId="49C49D3D" w:rsidR="000F0E3D" w:rsidRDefault="00CC5514" w:rsidP="00EA4E1B">
      <w:pPr>
        <w:pStyle w:val="TAMainText"/>
        <w:rPr>
          <w:rFonts w:ascii="Times New Roman" w:hAnsi="Times New Roman"/>
          <w:lang w:val="pt-BR"/>
        </w:rPr>
      </w:pPr>
      <w:r>
        <w:rPr>
          <w:rFonts w:ascii="Times New Roman" w:hAnsi="Times New Roman"/>
          <w:lang w:val="pt-BR"/>
        </w:rPr>
        <w:t>O aumento da população mundial acaba acarretando no aumento do consumo energético</w:t>
      </w:r>
      <w:r w:rsidR="000F0E3D">
        <w:rPr>
          <w:rFonts w:ascii="Times New Roman" w:hAnsi="Times New Roman"/>
          <w:lang w:val="pt-BR"/>
        </w:rPr>
        <w:t>. Dessa forma, a demanda energética está crescendo, e isso, juntamente com o fato de que a importação de óleos de combustíveis fósseis está cada vez mais cara, acaba causando maiores dificuldades</w:t>
      </w:r>
      <w:r w:rsidR="005C5797">
        <w:rPr>
          <w:rFonts w:ascii="Times New Roman" w:hAnsi="Times New Roman"/>
          <w:lang w:val="pt-BR"/>
        </w:rPr>
        <w:t xml:space="preserve"> </w:t>
      </w:r>
      <w:r w:rsidR="000F0E3D">
        <w:rPr>
          <w:rFonts w:ascii="Times New Roman" w:hAnsi="Times New Roman"/>
          <w:lang w:val="pt-BR"/>
        </w:rPr>
        <w:t>econômicas</w:t>
      </w:r>
      <w:r w:rsidR="005C5797">
        <w:rPr>
          <w:rFonts w:ascii="Times New Roman" w:hAnsi="Times New Roman"/>
          <w:lang w:val="pt-BR"/>
        </w:rPr>
        <w:t xml:space="preserve"> </w:t>
      </w:r>
      <w:r w:rsidR="000F0E3D">
        <w:rPr>
          <w:rFonts w:ascii="Times New Roman" w:hAnsi="Times New Roman"/>
          <w:lang w:val="pt-BR"/>
        </w:rPr>
        <w:t>para a população (</w:t>
      </w:r>
      <w:r w:rsidR="00054675">
        <w:rPr>
          <w:rFonts w:ascii="Times New Roman" w:hAnsi="Times New Roman"/>
          <w:lang w:val="pt-BR"/>
        </w:rPr>
        <w:t>2</w:t>
      </w:r>
      <w:r w:rsidR="000F0E3D">
        <w:rPr>
          <w:rFonts w:ascii="Times New Roman" w:hAnsi="Times New Roman"/>
          <w:lang w:val="pt-BR"/>
        </w:rPr>
        <w:t>).</w:t>
      </w:r>
    </w:p>
    <w:p w14:paraId="5384AA1E" w14:textId="5DEF45FE" w:rsidR="005C5797" w:rsidRDefault="005C5797" w:rsidP="00054675">
      <w:pPr>
        <w:pStyle w:val="TAMainText"/>
        <w:rPr>
          <w:rFonts w:ascii="Times New Roman" w:hAnsi="Times New Roman"/>
          <w:lang w:val="pt-BR"/>
        </w:rPr>
      </w:pPr>
      <w:r>
        <w:rPr>
          <w:rFonts w:ascii="Times New Roman" w:hAnsi="Times New Roman"/>
          <w:lang w:val="pt-BR"/>
        </w:rPr>
        <w:t>Muito se discute sobre como os c</w:t>
      </w:r>
      <w:r w:rsidRPr="005C5797">
        <w:rPr>
          <w:rFonts w:ascii="Times New Roman" w:hAnsi="Times New Roman"/>
          <w:lang w:val="pt-BR"/>
        </w:rPr>
        <w:t>ombustívei</w:t>
      </w:r>
      <w:r>
        <w:rPr>
          <w:rFonts w:ascii="Times New Roman" w:hAnsi="Times New Roman"/>
          <w:lang w:val="pt-BR"/>
        </w:rPr>
        <w:t xml:space="preserve">s </w:t>
      </w:r>
      <w:r w:rsidRPr="005C5797">
        <w:rPr>
          <w:rFonts w:ascii="Times New Roman" w:hAnsi="Times New Roman"/>
          <w:lang w:val="pt-BR"/>
        </w:rPr>
        <w:t>fósseis</w:t>
      </w:r>
      <w:r>
        <w:rPr>
          <w:rFonts w:ascii="Times New Roman" w:hAnsi="Times New Roman"/>
          <w:lang w:val="pt-BR"/>
        </w:rPr>
        <w:t xml:space="preserve"> </w:t>
      </w:r>
      <w:r w:rsidRPr="005C5797">
        <w:rPr>
          <w:rFonts w:ascii="Times New Roman" w:hAnsi="Times New Roman"/>
          <w:lang w:val="pt-BR"/>
        </w:rPr>
        <w:t>são    fontes</w:t>
      </w:r>
      <w:r>
        <w:rPr>
          <w:rFonts w:ascii="Times New Roman" w:hAnsi="Times New Roman"/>
          <w:lang w:val="pt-BR"/>
        </w:rPr>
        <w:t xml:space="preserve"> </w:t>
      </w:r>
      <w:r w:rsidRPr="005C5797">
        <w:rPr>
          <w:rFonts w:ascii="Times New Roman" w:hAnsi="Times New Roman"/>
          <w:lang w:val="pt-BR"/>
        </w:rPr>
        <w:t>nã</w:t>
      </w:r>
      <w:r>
        <w:rPr>
          <w:rFonts w:ascii="Times New Roman" w:hAnsi="Times New Roman"/>
          <w:lang w:val="pt-BR"/>
        </w:rPr>
        <w:t>o</w:t>
      </w:r>
      <w:r w:rsidRPr="005C5797">
        <w:rPr>
          <w:rFonts w:ascii="Times New Roman" w:hAnsi="Times New Roman"/>
          <w:lang w:val="pt-BR"/>
        </w:rPr>
        <w:t xml:space="preserve"> renováveis</w:t>
      </w:r>
      <w:r>
        <w:rPr>
          <w:rFonts w:ascii="Times New Roman" w:hAnsi="Times New Roman"/>
          <w:lang w:val="pt-BR"/>
        </w:rPr>
        <w:t xml:space="preserve"> </w:t>
      </w:r>
      <w:r w:rsidRPr="005C5797">
        <w:rPr>
          <w:rFonts w:ascii="Times New Roman" w:hAnsi="Times New Roman"/>
          <w:lang w:val="pt-BR"/>
        </w:rPr>
        <w:t>de</w:t>
      </w:r>
      <w:r>
        <w:rPr>
          <w:rFonts w:ascii="Times New Roman" w:hAnsi="Times New Roman"/>
          <w:lang w:val="pt-BR"/>
        </w:rPr>
        <w:t xml:space="preserve"> </w:t>
      </w:r>
      <w:r w:rsidRPr="005C5797">
        <w:rPr>
          <w:rFonts w:ascii="Times New Roman" w:hAnsi="Times New Roman"/>
          <w:lang w:val="pt-BR"/>
        </w:rPr>
        <w:t>energia</w:t>
      </w:r>
      <w:r>
        <w:rPr>
          <w:rFonts w:ascii="Times New Roman" w:hAnsi="Times New Roman"/>
          <w:lang w:val="pt-BR"/>
        </w:rPr>
        <w:t xml:space="preserve"> </w:t>
      </w:r>
      <w:r w:rsidRPr="005C5797">
        <w:rPr>
          <w:rFonts w:ascii="Times New Roman" w:hAnsi="Times New Roman"/>
          <w:lang w:val="pt-BR"/>
        </w:rPr>
        <w:t>que</w:t>
      </w:r>
      <w:r>
        <w:rPr>
          <w:rFonts w:ascii="Times New Roman" w:hAnsi="Times New Roman"/>
          <w:lang w:val="pt-BR"/>
        </w:rPr>
        <w:t xml:space="preserve"> causam muitos malefícios ao ecossistema devido à geração de </w:t>
      </w:r>
      <w:r w:rsidRPr="005C5797">
        <w:rPr>
          <w:rFonts w:ascii="Times New Roman" w:hAnsi="Times New Roman"/>
          <w:lang w:val="pt-BR"/>
        </w:rPr>
        <w:t>poluentes</w:t>
      </w:r>
      <w:r>
        <w:rPr>
          <w:rFonts w:ascii="Times New Roman" w:hAnsi="Times New Roman"/>
          <w:lang w:val="pt-BR"/>
        </w:rPr>
        <w:t xml:space="preserve">, assim sendo um dos responsáveis pelo </w:t>
      </w:r>
      <w:r w:rsidRPr="005C5797">
        <w:rPr>
          <w:rFonts w:ascii="Times New Roman" w:hAnsi="Times New Roman"/>
          <w:lang w:val="pt-BR"/>
        </w:rPr>
        <w:t>aquecimento</w:t>
      </w:r>
      <w:r>
        <w:rPr>
          <w:rFonts w:ascii="Times New Roman" w:hAnsi="Times New Roman"/>
          <w:lang w:val="pt-BR"/>
        </w:rPr>
        <w:t xml:space="preserve"> </w:t>
      </w:r>
      <w:r w:rsidRPr="005C5797">
        <w:rPr>
          <w:rFonts w:ascii="Times New Roman" w:hAnsi="Times New Roman"/>
          <w:lang w:val="pt-BR"/>
        </w:rPr>
        <w:t>global,</w:t>
      </w:r>
      <w:r>
        <w:rPr>
          <w:rFonts w:ascii="Times New Roman" w:hAnsi="Times New Roman"/>
          <w:lang w:val="pt-BR"/>
        </w:rPr>
        <w:t xml:space="preserve"> por</w:t>
      </w:r>
      <w:r w:rsidRPr="005C5797">
        <w:rPr>
          <w:rFonts w:ascii="Times New Roman" w:hAnsi="Times New Roman"/>
          <w:lang w:val="pt-BR"/>
        </w:rPr>
        <w:t xml:space="preserve">    mudanças</w:t>
      </w:r>
      <w:r>
        <w:rPr>
          <w:rFonts w:ascii="Times New Roman" w:hAnsi="Times New Roman"/>
          <w:lang w:val="pt-BR"/>
        </w:rPr>
        <w:t xml:space="preserve"> </w:t>
      </w:r>
      <w:r w:rsidRPr="005C5797">
        <w:rPr>
          <w:rFonts w:ascii="Times New Roman" w:hAnsi="Times New Roman"/>
          <w:lang w:val="pt-BR"/>
        </w:rPr>
        <w:t>climáticas</w:t>
      </w:r>
      <w:r>
        <w:rPr>
          <w:rFonts w:ascii="Times New Roman" w:hAnsi="Times New Roman"/>
          <w:lang w:val="pt-BR"/>
        </w:rPr>
        <w:t xml:space="preserve"> </w:t>
      </w:r>
      <w:r w:rsidRPr="005C5797">
        <w:rPr>
          <w:rFonts w:ascii="Times New Roman" w:hAnsi="Times New Roman"/>
          <w:lang w:val="pt-BR"/>
        </w:rPr>
        <w:t>e</w:t>
      </w:r>
      <w:r>
        <w:rPr>
          <w:rFonts w:ascii="Times New Roman" w:hAnsi="Times New Roman"/>
          <w:lang w:val="pt-BR"/>
        </w:rPr>
        <w:t xml:space="preserve"> </w:t>
      </w:r>
      <w:r w:rsidRPr="005C5797">
        <w:rPr>
          <w:rFonts w:ascii="Times New Roman" w:hAnsi="Times New Roman"/>
          <w:lang w:val="pt-BR"/>
        </w:rPr>
        <w:t>até</w:t>
      </w:r>
      <w:r>
        <w:rPr>
          <w:rFonts w:ascii="Times New Roman" w:hAnsi="Times New Roman"/>
          <w:lang w:val="pt-BR"/>
        </w:rPr>
        <w:t xml:space="preserve"> </w:t>
      </w:r>
      <w:r w:rsidRPr="005C5797">
        <w:rPr>
          <w:rFonts w:ascii="Times New Roman" w:hAnsi="Times New Roman"/>
          <w:lang w:val="pt-BR"/>
        </w:rPr>
        <w:t>mesmo</w:t>
      </w:r>
      <w:r>
        <w:rPr>
          <w:rFonts w:ascii="Times New Roman" w:hAnsi="Times New Roman"/>
          <w:lang w:val="pt-BR"/>
        </w:rPr>
        <w:t xml:space="preserve"> por </w:t>
      </w:r>
      <w:r w:rsidRPr="005C5797">
        <w:rPr>
          <w:rFonts w:ascii="Times New Roman" w:hAnsi="Times New Roman"/>
          <w:lang w:val="pt-BR"/>
        </w:rPr>
        <w:t>algumas</w:t>
      </w:r>
      <w:r>
        <w:rPr>
          <w:rFonts w:ascii="Times New Roman" w:hAnsi="Times New Roman"/>
          <w:lang w:val="pt-BR"/>
        </w:rPr>
        <w:t xml:space="preserve"> </w:t>
      </w:r>
      <w:r w:rsidRPr="005C5797">
        <w:rPr>
          <w:rFonts w:ascii="Times New Roman" w:hAnsi="Times New Roman"/>
          <w:lang w:val="pt-BR"/>
        </w:rPr>
        <w:t>doença</w:t>
      </w:r>
      <w:r>
        <w:rPr>
          <w:rFonts w:ascii="Times New Roman" w:hAnsi="Times New Roman"/>
          <w:lang w:val="pt-BR"/>
        </w:rPr>
        <w:t xml:space="preserve">s </w:t>
      </w:r>
      <w:r w:rsidRPr="005C5797">
        <w:rPr>
          <w:rFonts w:ascii="Times New Roman" w:hAnsi="Times New Roman"/>
          <w:lang w:val="pt-BR"/>
        </w:rPr>
        <w:t>incuráveis</w:t>
      </w:r>
      <w:r>
        <w:rPr>
          <w:rFonts w:ascii="Times New Roman" w:hAnsi="Times New Roman"/>
          <w:lang w:val="pt-BR"/>
        </w:rPr>
        <w:t xml:space="preserve"> (</w:t>
      </w:r>
      <w:r w:rsidR="00054675">
        <w:rPr>
          <w:rFonts w:ascii="Times New Roman" w:hAnsi="Times New Roman"/>
          <w:lang w:val="pt-BR"/>
        </w:rPr>
        <w:t>3</w:t>
      </w:r>
      <w:r w:rsidR="00E71552">
        <w:rPr>
          <w:rFonts w:ascii="Times New Roman" w:hAnsi="Times New Roman"/>
          <w:lang w:val="pt-BR"/>
        </w:rPr>
        <w:t>, 4</w:t>
      </w:r>
      <w:r>
        <w:rPr>
          <w:rFonts w:ascii="Times New Roman" w:hAnsi="Times New Roman"/>
          <w:lang w:val="pt-BR"/>
        </w:rPr>
        <w:t>)</w:t>
      </w:r>
      <w:r w:rsidRPr="005C5797">
        <w:rPr>
          <w:rFonts w:ascii="Times New Roman" w:hAnsi="Times New Roman"/>
          <w:lang w:val="pt-BR"/>
        </w:rPr>
        <w:t>.</w:t>
      </w:r>
      <w:r w:rsidR="00054675">
        <w:rPr>
          <w:rFonts w:ascii="Times New Roman" w:hAnsi="Times New Roman"/>
          <w:lang w:val="pt-BR"/>
        </w:rPr>
        <w:t xml:space="preserve"> Diante desse cenário,</w:t>
      </w:r>
      <w:r w:rsidR="00054675" w:rsidRPr="00925B68">
        <w:rPr>
          <w:lang w:val="pt-BR"/>
        </w:rPr>
        <w:t xml:space="preserve"> </w:t>
      </w:r>
      <w:r w:rsidR="00054675" w:rsidRPr="00054675">
        <w:rPr>
          <w:rFonts w:ascii="Times New Roman" w:hAnsi="Times New Roman"/>
          <w:lang w:val="pt-BR"/>
        </w:rPr>
        <w:t>a</w:t>
      </w:r>
      <w:r w:rsidR="00054675">
        <w:rPr>
          <w:rFonts w:ascii="Times New Roman" w:hAnsi="Times New Roman"/>
          <w:lang w:val="pt-BR"/>
        </w:rPr>
        <w:t xml:space="preserve"> busca por fontes de </w:t>
      </w:r>
      <w:r w:rsidR="00054675">
        <w:rPr>
          <w:rFonts w:ascii="Times New Roman" w:hAnsi="Times New Roman"/>
          <w:lang w:val="pt-BR"/>
        </w:rPr>
        <w:t>energia renovável leva a tornar a</w:t>
      </w:r>
      <w:r w:rsidR="00054675" w:rsidRPr="00054675">
        <w:rPr>
          <w:rFonts w:ascii="Times New Roman" w:hAnsi="Times New Roman"/>
          <w:lang w:val="pt-BR"/>
        </w:rPr>
        <w:t xml:space="preserve"> produção de biodiesel</w:t>
      </w:r>
      <w:r w:rsidR="00054675">
        <w:rPr>
          <w:rFonts w:ascii="Times New Roman" w:hAnsi="Times New Roman"/>
          <w:lang w:val="pt-BR"/>
        </w:rPr>
        <w:t xml:space="preserve"> uma opção atraente</w:t>
      </w:r>
      <w:r w:rsidR="00296796">
        <w:rPr>
          <w:rFonts w:ascii="Times New Roman" w:hAnsi="Times New Roman"/>
          <w:lang w:val="pt-BR"/>
        </w:rPr>
        <w:t xml:space="preserve"> tendo em vista que este, além de renovável, é menos prejudicial ao ecossistema que o diesel de petróleo</w:t>
      </w:r>
      <w:r w:rsidR="00054675">
        <w:rPr>
          <w:rFonts w:ascii="Times New Roman" w:hAnsi="Times New Roman"/>
          <w:lang w:val="pt-BR"/>
        </w:rPr>
        <w:t>.</w:t>
      </w:r>
    </w:p>
    <w:p w14:paraId="141B35EB" w14:textId="4C8FDE1D" w:rsidR="003735B0" w:rsidRDefault="00296796" w:rsidP="00054675">
      <w:pPr>
        <w:pStyle w:val="TAMainText"/>
        <w:rPr>
          <w:rFonts w:ascii="Times New Roman" w:hAnsi="Times New Roman"/>
          <w:lang w:val="pt-BR"/>
        </w:rPr>
      </w:pPr>
      <w:r>
        <w:rPr>
          <w:rFonts w:ascii="Times New Roman" w:hAnsi="Times New Roman"/>
          <w:lang w:val="pt-BR"/>
        </w:rPr>
        <w:t>O biodiesel é produzido</w:t>
      </w:r>
      <w:r w:rsidRPr="00296796">
        <w:rPr>
          <w:rFonts w:ascii="Times New Roman" w:hAnsi="Times New Roman"/>
          <w:lang w:val="pt-BR"/>
        </w:rPr>
        <w:t xml:space="preserve"> </w:t>
      </w:r>
      <w:r w:rsidR="00D91D64">
        <w:rPr>
          <w:rFonts w:ascii="Times New Roman" w:hAnsi="Times New Roman"/>
          <w:lang w:val="pt-BR"/>
        </w:rPr>
        <w:t xml:space="preserve">por </w:t>
      </w:r>
      <w:r w:rsidRPr="00296796">
        <w:rPr>
          <w:rFonts w:ascii="Times New Roman" w:hAnsi="Times New Roman"/>
          <w:lang w:val="pt-BR"/>
        </w:rPr>
        <w:t xml:space="preserve">transesterificação </w:t>
      </w:r>
      <w:r w:rsidR="00D91D64">
        <w:rPr>
          <w:rFonts w:ascii="Times New Roman" w:hAnsi="Times New Roman"/>
          <w:lang w:val="pt-BR"/>
        </w:rPr>
        <w:t xml:space="preserve">de óleos vegetais ou gorduras animais, e pode ser obtido </w:t>
      </w:r>
      <w:r>
        <w:rPr>
          <w:rFonts w:ascii="Times New Roman" w:hAnsi="Times New Roman"/>
          <w:lang w:val="pt-BR"/>
        </w:rPr>
        <w:t>via vários métodos</w:t>
      </w:r>
      <w:r w:rsidR="00D91D64">
        <w:rPr>
          <w:rFonts w:ascii="Times New Roman" w:hAnsi="Times New Roman"/>
          <w:lang w:val="pt-BR"/>
        </w:rPr>
        <w:t>, como</w:t>
      </w:r>
      <w:r w:rsidRPr="00296796">
        <w:rPr>
          <w:rFonts w:ascii="Times New Roman" w:hAnsi="Times New Roman"/>
          <w:lang w:val="pt-BR"/>
        </w:rPr>
        <w:t xml:space="preserve"> catálise homogênea, </w:t>
      </w:r>
      <w:r w:rsidR="00D91D64">
        <w:rPr>
          <w:rFonts w:ascii="Times New Roman" w:hAnsi="Times New Roman"/>
          <w:lang w:val="pt-BR"/>
        </w:rPr>
        <w:t xml:space="preserve">catálise </w:t>
      </w:r>
      <w:r w:rsidRPr="00296796">
        <w:rPr>
          <w:rFonts w:ascii="Times New Roman" w:hAnsi="Times New Roman"/>
          <w:lang w:val="pt-BR"/>
        </w:rPr>
        <w:t>heterogênea, hidrólise enzimática</w:t>
      </w:r>
      <w:r w:rsidR="00D91D64">
        <w:rPr>
          <w:rFonts w:ascii="Times New Roman" w:hAnsi="Times New Roman"/>
          <w:lang w:val="pt-BR"/>
        </w:rPr>
        <w:t xml:space="preserve"> e</w:t>
      </w:r>
      <w:r w:rsidRPr="00296796">
        <w:rPr>
          <w:rFonts w:ascii="Times New Roman" w:hAnsi="Times New Roman"/>
          <w:lang w:val="pt-BR"/>
        </w:rPr>
        <w:t xml:space="preserve"> processos com fluidos supercríticos</w:t>
      </w:r>
      <w:r w:rsidR="003735B0">
        <w:rPr>
          <w:rFonts w:ascii="Times New Roman" w:hAnsi="Times New Roman"/>
          <w:lang w:val="pt-BR"/>
        </w:rPr>
        <w:t xml:space="preserve"> (5)</w:t>
      </w:r>
      <w:r w:rsidR="00E90789">
        <w:rPr>
          <w:rFonts w:ascii="Times New Roman" w:hAnsi="Times New Roman"/>
          <w:lang w:val="pt-BR"/>
        </w:rPr>
        <w:t>.</w:t>
      </w:r>
    </w:p>
    <w:p w14:paraId="24555407" w14:textId="39A4EDB4" w:rsidR="001435F8" w:rsidRDefault="003735B0" w:rsidP="00E90789">
      <w:pPr>
        <w:pStyle w:val="TAMainText"/>
        <w:rPr>
          <w:rFonts w:ascii="Times New Roman" w:hAnsi="Times New Roman"/>
          <w:lang w:val="pt-BR"/>
        </w:rPr>
      </w:pPr>
      <w:r w:rsidRPr="003735B0">
        <w:rPr>
          <w:rFonts w:ascii="Times New Roman" w:hAnsi="Times New Roman"/>
          <w:lang w:val="pt-BR"/>
        </w:rPr>
        <w:t>Apesar do potencial do cultivo de oleaginosas, especialmente da soja, para a produção de biodiesel, seu alto custo é um fator limitante. Isso ocorre porque essas sementes são amplamente utilizadas na indústria alimentícia, o que cria uma concorrência entre as duas indústrias e, consequentemente, aumenta o custo do biodiesel</w:t>
      </w:r>
      <w:r>
        <w:rPr>
          <w:rFonts w:ascii="Times New Roman" w:hAnsi="Times New Roman"/>
          <w:lang w:val="pt-BR"/>
        </w:rPr>
        <w:t xml:space="preserve"> (6)</w:t>
      </w:r>
      <w:r w:rsidR="00E90789">
        <w:rPr>
          <w:rFonts w:ascii="Times New Roman" w:hAnsi="Times New Roman"/>
          <w:lang w:val="pt-BR"/>
        </w:rPr>
        <w:t>.</w:t>
      </w:r>
    </w:p>
    <w:p w14:paraId="4ECB8B0A" w14:textId="073FEC4F" w:rsidR="001A53D7" w:rsidRDefault="001A53D7" w:rsidP="00054675">
      <w:pPr>
        <w:pStyle w:val="TAMainText"/>
        <w:rPr>
          <w:rFonts w:ascii="Times New Roman" w:hAnsi="Times New Roman"/>
          <w:lang w:val="pt-BR"/>
        </w:rPr>
      </w:pPr>
      <w:r w:rsidRPr="001A53D7">
        <w:rPr>
          <w:rFonts w:ascii="Times New Roman" w:hAnsi="Times New Roman"/>
          <w:lang w:val="pt-BR"/>
        </w:rPr>
        <w:t xml:space="preserve">A fim de superar essa questão, uma solução é </w:t>
      </w:r>
      <w:r w:rsidR="00CF62CC">
        <w:rPr>
          <w:rFonts w:ascii="Times New Roman" w:hAnsi="Times New Roman"/>
          <w:lang w:val="pt-BR"/>
        </w:rPr>
        <w:t>o emprego</w:t>
      </w:r>
      <w:r w:rsidRPr="001A53D7">
        <w:rPr>
          <w:rFonts w:ascii="Times New Roman" w:hAnsi="Times New Roman"/>
          <w:lang w:val="pt-BR"/>
        </w:rPr>
        <w:t xml:space="preserve"> de óleo de cozinha já utilizado</w:t>
      </w:r>
      <w:r w:rsidR="00CF62CC">
        <w:rPr>
          <w:rFonts w:ascii="Times New Roman" w:hAnsi="Times New Roman"/>
          <w:lang w:val="pt-BR"/>
        </w:rPr>
        <w:t>. D</w:t>
      </w:r>
      <w:r w:rsidRPr="001A53D7">
        <w:rPr>
          <w:rFonts w:ascii="Times New Roman" w:hAnsi="Times New Roman"/>
          <w:lang w:val="pt-BR"/>
        </w:rPr>
        <w:t xml:space="preserve">ado que esse óleo é um </w:t>
      </w:r>
      <w:r w:rsidRPr="001A53D7">
        <w:rPr>
          <w:rFonts w:ascii="Times New Roman" w:hAnsi="Times New Roman"/>
          <w:lang w:val="pt-BR"/>
        </w:rPr>
        <w:lastRenderedPageBreak/>
        <w:t>resíduo prejudicial ao meio ambiente, seu uso como matéria-prima para a produção dessa fonte de energia renovável se torna uma alternativa bastante vantajosa, visto que permite não apenas a obtenção de um produto com valor agregado, mas também a destinação adequada desse resíduo</w:t>
      </w:r>
      <w:r>
        <w:rPr>
          <w:rFonts w:ascii="Times New Roman" w:hAnsi="Times New Roman"/>
          <w:lang w:val="pt-BR"/>
        </w:rPr>
        <w:t xml:space="preserve"> (7, 8)</w:t>
      </w:r>
      <w:r w:rsidRPr="001A53D7">
        <w:rPr>
          <w:rFonts w:ascii="Times New Roman" w:hAnsi="Times New Roman"/>
          <w:lang w:val="pt-BR"/>
        </w:rPr>
        <w:t>.</w:t>
      </w:r>
    </w:p>
    <w:p w14:paraId="3F5D0A9F" w14:textId="6C1A877F" w:rsidR="00296796" w:rsidRDefault="007433FA" w:rsidP="00054675">
      <w:pPr>
        <w:pStyle w:val="TAMainText"/>
        <w:rPr>
          <w:rFonts w:ascii="Times New Roman" w:hAnsi="Times New Roman"/>
          <w:lang w:val="pt-BR"/>
        </w:rPr>
      </w:pPr>
      <w:r>
        <w:rPr>
          <w:rFonts w:ascii="Times New Roman" w:hAnsi="Times New Roman"/>
          <w:lang w:val="pt-BR"/>
        </w:rPr>
        <w:t xml:space="preserve">Quanto ao método, comumente na indústria </w:t>
      </w:r>
      <w:r w:rsidR="00D91D64">
        <w:rPr>
          <w:rFonts w:ascii="Times New Roman" w:hAnsi="Times New Roman"/>
          <w:lang w:val="pt-BR"/>
        </w:rPr>
        <w:t>se utiliza</w:t>
      </w:r>
      <w:r w:rsidR="00296796" w:rsidRPr="00296796">
        <w:rPr>
          <w:rFonts w:ascii="Times New Roman" w:hAnsi="Times New Roman"/>
          <w:lang w:val="pt-BR"/>
        </w:rPr>
        <w:t xml:space="preserve"> catálise homogênea</w:t>
      </w:r>
      <w:r w:rsidR="003E760D">
        <w:rPr>
          <w:rFonts w:ascii="Times New Roman" w:hAnsi="Times New Roman"/>
          <w:lang w:val="pt-BR"/>
        </w:rPr>
        <w:t xml:space="preserve"> em meio básico</w:t>
      </w:r>
      <w:r w:rsidR="00296796" w:rsidRPr="00296796">
        <w:rPr>
          <w:rFonts w:ascii="Times New Roman" w:hAnsi="Times New Roman"/>
          <w:lang w:val="pt-BR"/>
        </w:rPr>
        <w:t xml:space="preserve">, </w:t>
      </w:r>
      <w:r w:rsidR="00D91D64">
        <w:rPr>
          <w:rFonts w:ascii="Times New Roman" w:hAnsi="Times New Roman"/>
          <w:lang w:val="pt-BR"/>
        </w:rPr>
        <w:t xml:space="preserve">de forma a </w:t>
      </w:r>
      <w:r>
        <w:rPr>
          <w:rFonts w:ascii="Times New Roman" w:hAnsi="Times New Roman"/>
          <w:lang w:val="pt-BR"/>
        </w:rPr>
        <w:t xml:space="preserve">gerar resíduo e </w:t>
      </w:r>
      <w:r w:rsidR="00D91D64">
        <w:rPr>
          <w:rFonts w:ascii="Times New Roman" w:hAnsi="Times New Roman"/>
          <w:lang w:val="pt-BR"/>
        </w:rPr>
        <w:t>necessitar de uma etapa para purificação do produto</w:t>
      </w:r>
      <w:r w:rsidR="00296796" w:rsidRPr="00296796">
        <w:rPr>
          <w:rFonts w:ascii="Times New Roman" w:hAnsi="Times New Roman"/>
          <w:lang w:val="pt-BR"/>
        </w:rPr>
        <w:t xml:space="preserve">, o que </w:t>
      </w:r>
      <w:r w:rsidR="00D91D64">
        <w:rPr>
          <w:rFonts w:ascii="Times New Roman" w:hAnsi="Times New Roman"/>
          <w:lang w:val="pt-BR"/>
        </w:rPr>
        <w:t>acaba por encarecer a produção</w:t>
      </w:r>
      <w:r w:rsidR="000C2983">
        <w:rPr>
          <w:rFonts w:ascii="Times New Roman" w:hAnsi="Times New Roman"/>
          <w:lang w:val="pt-BR"/>
        </w:rPr>
        <w:t xml:space="preserve"> (5)</w:t>
      </w:r>
      <w:r w:rsidR="00D91D64">
        <w:rPr>
          <w:rFonts w:ascii="Times New Roman" w:hAnsi="Times New Roman"/>
          <w:lang w:val="pt-BR"/>
        </w:rPr>
        <w:t>.</w:t>
      </w:r>
    </w:p>
    <w:p w14:paraId="208B83C3" w14:textId="600CC794" w:rsidR="003E760D" w:rsidRDefault="003E760D" w:rsidP="00054675">
      <w:pPr>
        <w:pStyle w:val="TAMainText"/>
        <w:rPr>
          <w:rFonts w:ascii="Times New Roman" w:hAnsi="Times New Roman"/>
          <w:lang w:val="pt-BR"/>
        </w:rPr>
      </w:pPr>
      <w:r>
        <w:rPr>
          <w:rFonts w:ascii="Times New Roman" w:hAnsi="Times New Roman"/>
          <w:lang w:val="pt-BR"/>
        </w:rPr>
        <w:t>No entanto, muitos estudos acerca da utilização de catalisadores heterogêneos para a produção de biodiesel tiveram resultados positivos indicando grande viabilidade para a produção desse combustível através de um processo mais eficiente</w:t>
      </w:r>
      <w:r w:rsidR="00F9335A">
        <w:rPr>
          <w:rFonts w:ascii="Times New Roman" w:hAnsi="Times New Roman"/>
          <w:lang w:val="pt-BR"/>
        </w:rPr>
        <w:t xml:space="preserve"> </w:t>
      </w:r>
      <w:r w:rsidR="001435F8">
        <w:rPr>
          <w:rFonts w:ascii="Times New Roman" w:hAnsi="Times New Roman"/>
          <w:lang w:val="pt-BR"/>
        </w:rPr>
        <w:t xml:space="preserve">e com a possibilidade de reaproveitamento do catalisador </w:t>
      </w:r>
      <w:r w:rsidR="00F9335A">
        <w:rPr>
          <w:rFonts w:ascii="Times New Roman" w:hAnsi="Times New Roman"/>
          <w:lang w:val="pt-BR"/>
        </w:rPr>
        <w:t>(</w:t>
      </w:r>
      <w:r w:rsidR="001A53D7">
        <w:rPr>
          <w:rFonts w:ascii="Times New Roman" w:hAnsi="Times New Roman"/>
          <w:lang w:val="pt-BR"/>
        </w:rPr>
        <w:t>9</w:t>
      </w:r>
      <w:r w:rsidR="00F9335A">
        <w:rPr>
          <w:rFonts w:ascii="Times New Roman" w:hAnsi="Times New Roman"/>
          <w:lang w:val="pt-BR"/>
        </w:rPr>
        <w:t>)</w:t>
      </w:r>
      <w:r>
        <w:rPr>
          <w:rFonts w:ascii="Times New Roman" w:hAnsi="Times New Roman"/>
          <w:lang w:val="pt-BR"/>
        </w:rPr>
        <w:t>.</w:t>
      </w:r>
    </w:p>
    <w:p w14:paraId="2F0114C5" w14:textId="78ECE684" w:rsidR="003E760D" w:rsidRDefault="003E760D" w:rsidP="00054675">
      <w:pPr>
        <w:pStyle w:val="TAMainText"/>
        <w:rPr>
          <w:rFonts w:ascii="Times New Roman" w:hAnsi="Times New Roman"/>
          <w:lang w:val="pt-BR"/>
        </w:rPr>
      </w:pPr>
      <w:r>
        <w:rPr>
          <w:rFonts w:ascii="Times New Roman" w:hAnsi="Times New Roman"/>
          <w:lang w:val="pt-BR"/>
        </w:rPr>
        <w:t xml:space="preserve">Dentre </w:t>
      </w:r>
      <w:r w:rsidR="00874F1E">
        <w:rPr>
          <w:rFonts w:ascii="Times New Roman" w:hAnsi="Times New Roman"/>
          <w:lang w:val="pt-BR"/>
        </w:rPr>
        <w:t>esse</w:t>
      </w:r>
      <w:r>
        <w:rPr>
          <w:rFonts w:ascii="Times New Roman" w:hAnsi="Times New Roman"/>
          <w:lang w:val="pt-BR"/>
        </w:rPr>
        <w:t>s</w:t>
      </w:r>
      <w:r w:rsidR="00874F1E">
        <w:rPr>
          <w:rFonts w:ascii="Times New Roman" w:hAnsi="Times New Roman"/>
          <w:lang w:val="pt-BR"/>
        </w:rPr>
        <w:t xml:space="preserve"> catalisadores, os</w:t>
      </w:r>
      <w:r>
        <w:rPr>
          <w:rFonts w:ascii="Times New Roman" w:hAnsi="Times New Roman"/>
          <w:lang w:val="pt-BR"/>
        </w:rPr>
        <w:t xml:space="preserve"> óxidos apresentam uma ótima </w:t>
      </w:r>
      <w:r w:rsidR="00874F1E">
        <w:rPr>
          <w:rFonts w:ascii="Times New Roman" w:hAnsi="Times New Roman"/>
          <w:lang w:val="pt-BR"/>
        </w:rPr>
        <w:t>propriedad</w:t>
      </w:r>
      <w:r>
        <w:rPr>
          <w:rFonts w:ascii="Times New Roman" w:hAnsi="Times New Roman"/>
          <w:lang w:val="pt-BR"/>
        </w:rPr>
        <w:t>e catalítica além d</w:t>
      </w:r>
      <w:r w:rsidR="00874F1E">
        <w:rPr>
          <w:rFonts w:ascii="Times New Roman" w:hAnsi="Times New Roman"/>
          <w:lang w:val="pt-BR"/>
        </w:rPr>
        <w:t>a capacidade de reutilização dos mesmos após a produção de biodiesel</w:t>
      </w:r>
      <w:r w:rsidR="00F9335A">
        <w:rPr>
          <w:rFonts w:ascii="Times New Roman" w:hAnsi="Times New Roman"/>
          <w:lang w:val="pt-BR"/>
        </w:rPr>
        <w:t xml:space="preserve"> (</w:t>
      </w:r>
      <w:r w:rsidR="001A53D7">
        <w:rPr>
          <w:rFonts w:ascii="Times New Roman" w:hAnsi="Times New Roman"/>
          <w:lang w:val="pt-BR"/>
        </w:rPr>
        <w:t>10</w:t>
      </w:r>
      <w:r w:rsidR="00F9335A">
        <w:rPr>
          <w:rFonts w:ascii="Times New Roman" w:hAnsi="Times New Roman"/>
          <w:lang w:val="pt-BR"/>
        </w:rPr>
        <w:t>)</w:t>
      </w:r>
      <w:r w:rsidR="00874F1E">
        <w:rPr>
          <w:rFonts w:ascii="Times New Roman" w:hAnsi="Times New Roman"/>
          <w:lang w:val="pt-BR"/>
        </w:rPr>
        <w:t xml:space="preserve">. </w:t>
      </w:r>
    </w:p>
    <w:p w14:paraId="28B5E516" w14:textId="26C2927D" w:rsidR="00874F1E" w:rsidRDefault="00874F1E" w:rsidP="00874F1E">
      <w:pPr>
        <w:pStyle w:val="TAMainText"/>
        <w:rPr>
          <w:rFonts w:ascii="Times New Roman" w:hAnsi="Times New Roman"/>
          <w:lang w:val="pt-BR"/>
        </w:rPr>
      </w:pPr>
      <w:r>
        <w:rPr>
          <w:rFonts w:ascii="Times New Roman" w:hAnsi="Times New Roman"/>
          <w:lang w:val="pt-BR"/>
        </w:rPr>
        <w:t xml:space="preserve">Em meio a essa classe pode-se citar o </w:t>
      </w:r>
      <w:proofErr w:type="spellStart"/>
      <w:r>
        <w:rPr>
          <w:rFonts w:ascii="Times New Roman" w:hAnsi="Times New Roman"/>
          <w:lang w:val="pt-BR"/>
        </w:rPr>
        <w:t>CaO</w:t>
      </w:r>
      <w:proofErr w:type="spellEnd"/>
      <w:r>
        <w:rPr>
          <w:rFonts w:ascii="Times New Roman" w:hAnsi="Times New Roman"/>
          <w:lang w:val="pt-BR"/>
        </w:rPr>
        <w:t>, que é um catalisador</w:t>
      </w:r>
      <w:r w:rsidR="000C2983">
        <w:rPr>
          <w:rFonts w:ascii="Times New Roman" w:hAnsi="Times New Roman"/>
          <w:lang w:val="pt-BR"/>
        </w:rPr>
        <w:t xml:space="preserve"> de baixa toxicidade e</w:t>
      </w:r>
      <w:r>
        <w:rPr>
          <w:rFonts w:ascii="Times New Roman" w:hAnsi="Times New Roman"/>
          <w:lang w:val="pt-BR"/>
        </w:rPr>
        <w:t xml:space="preserve"> de baixo custo, podendo ser obtido</w:t>
      </w:r>
      <w:r w:rsidR="000C2983">
        <w:rPr>
          <w:rFonts w:ascii="Times New Roman" w:hAnsi="Times New Roman"/>
          <w:lang w:val="pt-BR"/>
        </w:rPr>
        <w:t>, até mesmo,</w:t>
      </w:r>
      <w:r>
        <w:rPr>
          <w:rFonts w:ascii="Times New Roman" w:hAnsi="Times New Roman"/>
          <w:lang w:val="pt-BR"/>
        </w:rPr>
        <w:t xml:space="preserve"> a partir de cascas de ovos</w:t>
      </w:r>
      <w:r w:rsidR="000C2983">
        <w:rPr>
          <w:rFonts w:ascii="Times New Roman" w:hAnsi="Times New Roman"/>
          <w:lang w:val="pt-BR"/>
        </w:rPr>
        <w:t xml:space="preserve"> ao passá-las por um processo de calcinação</w:t>
      </w:r>
      <w:r w:rsidR="00F9335A">
        <w:rPr>
          <w:rFonts w:ascii="Times New Roman" w:hAnsi="Times New Roman"/>
          <w:lang w:val="pt-BR"/>
        </w:rPr>
        <w:t xml:space="preserve"> (</w:t>
      </w:r>
      <w:r w:rsidR="001A53D7">
        <w:rPr>
          <w:rFonts w:ascii="Times New Roman" w:hAnsi="Times New Roman"/>
          <w:lang w:val="pt-BR"/>
        </w:rPr>
        <w:t>10</w:t>
      </w:r>
      <w:r w:rsidR="00F9335A">
        <w:rPr>
          <w:rFonts w:ascii="Times New Roman" w:hAnsi="Times New Roman"/>
          <w:lang w:val="pt-BR"/>
        </w:rPr>
        <w:t>)</w:t>
      </w:r>
      <w:r w:rsidR="000C2983">
        <w:rPr>
          <w:rFonts w:ascii="Times New Roman" w:hAnsi="Times New Roman"/>
          <w:lang w:val="pt-BR"/>
        </w:rPr>
        <w:t>.</w:t>
      </w:r>
    </w:p>
    <w:p w14:paraId="117A907E" w14:textId="20A59AE2" w:rsidR="004B3CD7" w:rsidRDefault="004B3CD7" w:rsidP="00874F1E">
      <w:pPr>
        <w:pStyle w:val="TAMainText"/>
        <w:rPr>
          <w:rFonts w:ascii="Times New Roman" w:hAnsi="Times New Roman"/>
          <w:lang w:val="pt-BR"/>
        </w:rPr>
      </w:pPr>
      <w:r>
        <w:rPr>
          <w:rFonts w:ascii="Times New Roman" w:hAnsi="Times New Roman"/>
          <w:lang w:val="pt-BR"/>
        </w:rPr>
        <w:t>Sabe-se que o catalisador acelera a reação, reduzindo o tempo no qual ela ocorre</w:t>
      </w:r>
      <w:r w:rsidR="001D1408">
        <w:rPr>
          <w:rFonts w:ascii="Times New Roman" w:hAnsi="Times New Roman"/>
          <w:lang w:val="pt-BR"/>
        </w:rPr>
        <w:t>.</w:t>
      </w:r>
      <w:r>
        <w:rPr>
          <w:rFonts w:ascii="Times New Roman" w:hAnsi="Times New Roman"/>
          <w:lang w:val="pt-BR"/>
        </w:rPr>
        <w:t xml:space="preserve"> </w:t>
      </w:r>
      <w:r w:rsidR="001D1408">
        <w:rPr>
          <w:rFonts w:ascii="Times New Roman" w:hAnsi="Times New Roman"/>
          <w:lang w:val="pt-BR"/>
        </w:rPr>
        <w:t>M</w:t>
      </w:r>
      <w:r>
        <w:rPr>
          <w:rFonts w:ascii="Times New Roman" w:hAnsi="Times New Roman"/>
          <w:lang w:val="pt-BR"/>
        </w:rPr>
        <w:t>as além dele</w:t>
      </w:r>
      <w:r w:rsidR="001D1408">
        <w:rPr>
          <w:rFonts w:ascii="Times New Roman" w:hAnsi="Times New Roman"/>
          <w:lang w:val="pt-BR"/>
        </w:rPr>
        <w:t>,</w:t>
      </w:r>
      <w:r>
        <w:rPr>
          <w:rFonts w:ascii="Times New Roman" w:hAnsi="Times New Roman"/>
          <w:lang w:val="pt-BR"/>
        </w:rPr>
        <w:t xml:space="preserve"> vários outros </w:t>
      </w:r>
      <w:r w:rsidR="001D1408">
        <w:rPr>
          <w:rFonts w:ascii="Times New Roman" w:hAnsi="Times New Roman"/>
          <w:lang w:val="pt-BR"/>
        </w:rPr>
        <w:t>fatores também influenciam na cinética reacional, como a temperatura</w:t>
      </w:r>
      <w:r w:rsidR="00A645EC">
        <w:rPr>
          <w:rFonts w:ascii="Times New Roman" w:hAnsi="Times New Roman"/>
          <w:lang w:val="pt-BR"/>
        </w:rPr>
        <w:t xml:space="preserve">, a </w:t>
      </w:r>
      <w:r w:rsidR="001D1408">
        <w:rPr>
          <w:rFonts w:ascii="Times New Roman" w:hAnsi="Times New Roman"/>
          <w:lang w:val="pt-BR"/>
        </w:rPr>
        <w:t>concentração dos reagentes</w:t>
      </w:r>
      <w:r w:rsidR="00A645EC">
        <w:rPr>
          <w:rFonts w:ascii="Times New Roman" w:hAnsi="Times New Roman"/>
          <w:lang w:val="pt-BR"/>
        </w:rPr>
        <w:t xml:space="preserve"> ou o tipo de </w:t>
      </w:r>
      <w:r w:rsidR="00A645EC" w:rsidRPr="005D6F92">
        <w:rPr>
          <w:rFonts w:ascii="Times New Roman" w:hAnsi="Times New Roman"/>
          <w:lang w:val="pt-BR"/>
        </w:rPr>
        <w:t>agitação</w:t>
      </w:r>
      <w:r w:rsidR="008B6F99" w:rsidRPr="005D6F92">
        <w:rPr>
          <w:rFonts w:ascii="Times New Roman" w:hAnsi="Times New Roman"/>
          <w:lang w:val="pt-BR"/>
        </w:rPr>
        <w:t xml:space="preserve"> </w:t>
      </w:r>
      <w:r w:rsidR="008B6F99" w:rsidRPr="005D6F92">
        <w:rPr>
          <w:rFonts w:ascii="Times New Roman" w:hAnsi="Times New Roman"/>
          <w:color w:val="000000" w:themeColor="text1"/>
          <w:lang w:val="pt-BR"/>
        </w:rPr>
        <w:t>(11, 12)</w:t>
      </w:r>
      <w:r w:rsidR="001D1408" w:rsidRPr="005D6F92">
        <w:rPr>
          <w:rFonts w:ascii="Times New Roman" w:hAnsi="Times New Roman"/>
          <w:lang w:val="pt-BR"/>
        </w:rPr>
        <w:t>.</w:t>
      </w:r>
    </w:p>
    <w:p w14:paraId="412C50A9" w14:textId="4648E8A2" w:rsidR="00AE4218" w:rsidRDefault="00AE4218" w:rsidP="00874F1E">
      <w:pPr>
        <w:pStyle w:val="TAMainText"/>
        <w:rPr>
          <w:rFonts w:ascii="Times New Roman" w:hAnsi="Times New Roman"/>
          <w:lang w:val="pt-BR"/>
        </w:rPr>
      </w:pPr>
      <w:r>
        <w:rPr>
          <w:rFonts w:ascii="Times New Roman" w:hAnsi="Times New Roman"/>
          <w:lang w:val="pt-BR"/>
        </w:rPr>
        <w:t xml:space="preserve">No último caso, </w:t>
      </w:r>
      <w:r w:rsidR="00690FE6">
        <w:rPr>
          <w:rFonts w:ascii="Times New Roman" w:hAnsi="Times New Roman"/>
          <w:lang w:val="pt-BR"/>
        </w:rPr>
        <w:t xml:space="preserve">pode-se </w:t>
      </w:r>
      <w:r>
        <w:rPr>
          <w:rFonts w:ascii="Times New Roman" w:hAnsi="Times New Roman"/>
          <w:lang w:val="pt-BR"/>
        </w:rPr>
        <w:t>citar</w:t>
      </w:r>
      <w:r w:rsidR="00CF62CC">
        <w:rPr>
          <w:rFonts w:ascii="Times New Roman" w:hAnsi="Times New Roman"/>
          <w:lang w:val="pt-BR"/>
        </w:rPr>
        <w:t>, por exemplo,</w:t>
      </w:r>
      <w:r>
        <w:rPr>
          <w:rFonts w:ascii="Times New Roman" w:hAnsi="Times New Roman"/>
          <w:lang w:val="pt-BR"/>
        </w:rPr>
        <w:t xml:space="preserve"> as agitações </w:t>
      </w:r>
      <w:r w:rsidR="00F97245">
        <w:rPr>
          <w:rFonts w:ascii="Times New Roman" w:hAnsi="Times New Roman"/>
          <w:lang w:val="pt-BR"/>
        </w:rPr>
        <w:t>magnética</w:t>
      </w:r>
      <w:r>
        <w:rPr>
          <w:rFonts w:ascii="Times New Roman" w:hAnsi="Times New Roman"/>
          <w:lang w:val="pt-BR"/>
        </w:rPr>
        <w:t xml:space="preserve"> e ultrassônica</w:t>
      </w:r>
      <w:r w:rsidR="00CF62CC">
        <w:rPr>
          <w:rFonts w:ascii="Times New Roman" w:hAnsi="Times New Roman"/>
          <w:lang w:val="pt-BR"/>
        </w:rPr>
        <w:t xml:space="preserve">. </w:t>
      </w:r>
      <w:r w:rsidR="00AB1685">
        <w:rPr>
          <w:rFonts w:ascii="Times New Roman" w:hAnsi="Times New Roman"/>
          <w:lang w:val="pt-BR"/>
        </w:rPr>
        <w:t>Em pequena escala, em laboratórios, comumente se utiliza</w:t>
      </w:r>
      <w:r w:rsidR="00CF62CC">
        <w:rPr>
          <w:rFonts w:ascii="Times New Roman" w:hAnsi="Times New Roman"/>
          <w:lang w:val="pt-BR"/>
        </w:rPr>
        <w:t xml:space="preserve"> agitação </w:t>
      </w:r>
      <w:r w:rsidR="00F97245">
        <w:rPr>
          <w:rFonts w:ascii="Times New Roman" w:hAnsi="Times New Roman"/>
          <w:lang w:val="pt-BR"/>
        </w:rPr>
        <w:t>magnética</w:t>
      </w:r>
      <w:r w:rsidR="00AB1685">
        <w:rPr>
          <w:rFonts w:ascii="Times New Roman" w:hAnsi="Times New Roman"/>
          <w:lang w:val="pt-BR"/>
        </w:rPr>
        <w:t xml:space="preserve">, a qual </w:t>
      </w:r>
      <w:r w:rsidR="004A0BDE">
        <w:rPr>
          <w:rFonts w:ascii="Times New Roman" w:hAnsi="Times New Roman"/>
          <w:lang w:val="pt-BR"/>
        </w:rPr>
        <w:t xml:space="preserve">consiste </w:t>
      </w:r>
      <w:r w:rsidR="00446F05">
        <w:rPr>
          <w:rFonts w:ascii="Times New Roman" w:hAnsi="Times New Roman"/>
          <w:lang w:val="pt-BR"/>
        </w:rPr>
        <w:t xml:space="preserve">na produção </w:t>
      </w:r>
      <w:r w:rsidR="004A0BDE">
        <w:rPr>
          <w:rFonts w:ascii="Times New Roman" w:hAnsi="Times New Roman"/>
          <w:lang w:val="pt-BR"/>
        </w:rPr>
        <w:t xml:space="preserve">de energia </w:t>
      </w:r>
      <w:r w:rsidR="00F97245">
        <w:rPr>
          <w:rFonts w:ascii="Times New Roman" w:hAnsi="Times New Roman"/>
          <w:lang w:val="pt-BR"/>
        </w:rPr>
        <w:t>mecânica</w:t>
      </w:r>
      <w:r w:rsidR="00446F05">
        <w:rPr>
          <w:rFonts w:ascii="Times New Roman" w:hAnsi="Times New Roman"/>
          <w:lang w:val="pt-BR"/>
        </w:rPr>
        <w:t xml:space="preserve"> a partir d</w:t>
      </w:r>
      <w:r w:rsidR="00567CC4">
        <w:rPr>
          <w:rFonts w:ascii="Times New Roman" w:hAnsi="Times New Roman"/>
          <w:lang w:val="pt-BR"/>
        </w:rPr>
        <w:t>a movimentação de uma barra magnética pela ação do motor elétrico do agitador. Essa energia é então fornecida</w:t>
      </w:r>
      <w:r w:rsidR="00446F05">
        <w:rPr>
          <w:rFonts w:ascii="Times New Roman" w:hAnsi="Times New Roman"/>
          <w:lang w:val="pt-BR"/>
        </w:rPr>
        <w:t xml:space="preserve"> </w:t>
      </w:r>
      <w:r w:rsidR="004A0BDE">
        <w:rPr>
          <w:rFonts w:ascii="Times New Roman" w:hAnsi="Times New Roman"/>
          <w:lang w:val="pt-BR"/>
        </w:rPr>
        <w:t>para o líquido, causando a movimentação das partículas e a mistura dos componentes, esta essencial para promover a dispersão do álcool no óleo para que ocorra o processo de transferência de massa (1</w:t>
      </w:r>
      <w:r w:rsidR="008B6F99">
        <w:rPr>
          <w:rFonts w:ascii="Times New Roman" w:hAnsi="Times New Roman"/>
          <w:lang w:val="pt-BR"/>
        </w:rPr>
        <w:t>3</w:t>
      </w:r>
      <w:r w:rsidR="004A0BDE">
        <w:rPr>
          <w:rFonts w:ascii="Times New Roman" w:hAnsi="Times New Roman"/>
          <w:lang w:val="pt-BR"/>
        </w:rPr>
        <w:t xml:space="preserve">). Por outro lado, a </w:t>
      </w:r>
      <w:r w:rsidR="00DF255A">
        <w:rPr>
          <w:rFonts w:ascii="Times New Roman" w:hAnsi="Times New Roman"/>
          <w:lang w:val="pt-BR"/>
        </w:rPr>
        <w:t xml:space="preserve">agitação </w:t>
      </w:r>
      <w:r w:rsidR="004A0BDE" w:rsidRPr="004A0BDE">
        <w:rPr>
          <w:rFonts w:ascii="Times New Roman" w:hAnsi="Times New Roman"/>
          <w:lang w:val="pt-BR"/>
        </w:rPr>
        <w:t xml:space="preserve">ultrassônica </w:t>
      </w:r>
      <w:r w:rsidR="00DF255A">
        <w:rPr>
          <w:rFonts w:ascii="Times New Roman" w:hAnsi="Times New Roman"/>
          <w:lang w:val="pt-BR"/>
        </w:rPr>
        <w:t xml:space="preserve">ocorre devido a radiação do ultrassom </w:t>
      </w:r>
      <w:r w:rsidR="00AD770A">
        <w:rPr>
          <w:rFonts w:ascii="Times New Roman" w:hAnsi="Times New Roman"/>
          <w:lang w:val="pt-BR"/>
        </w:rPr>
        <w:t xml:space="preserve">provocar </w:t>
      </w:r>
      <w:r w:rsidR="00DF255A">
        <w:rPr>
          <w:rFonts w:ascii="Times New Roman" w:hAnsi="Times New Roman"/>
          <w:lang w:val="pt-BR"/>
        </w:rPr>
        <w:t xml:space="preserve">a </w:t>
      </w:r>
      <w:r w:rsidR="004A0BDE" w:rsidRPr="004A0BDE">
        <w:rPr>
          <w:rFonts w:ascii="Times New Roman" w:hAnsi="Times New Roman"/>
          <w:lang w:val="pt-BR"/>
        </w:rPr>
        <w:t>cavitação de bolhas próximas à fronteira entre as fases de óleo e álcool</w:t>
      </w:r>
      <w:r w:rsidR="00AD770A">
        <w:rPr>
          <w:rFonts w:ascii="Times New Roman" w:hAnsi="Times New Roman"/>
          <w:lang w:val="pt-BR"/>
        </w:rPr>
        <w:t>.</w:t>
      </w:r>
      <w:r w:rsidR="00DF255A">
        <w:rPr>
          <w:rFonts w:ascii="Times New Roman" w:hAnsi="Times New Roman"/>
          <w:lang w:val="pt-BR"/>
        </w:rPr>
        <w:t xml:space="preserve"> </w:t>
      </w:r>
      <w:r w:rsidR="00AD770A">
        <w:rPr>
          <w:rFonts w:ascii="Times New Roman" w:hAnsi="Times New Roman"/>
          <w:lang w:val="pt-BR"/>
        </w:rPr>
        <w:t>A</w:t>
      </w:r>
      <w:r w:rsidR="00DF255A">
        <w:rPr>
          <w:rFonts w:ascii="Times New Roman" w:hAnsi="Times New Roman"/>
          <w:lang w:val="pt-BR"/>
        </w:rPr>
        <w:t>ssim, esse movimento violento de microbolhas</w:t>
      </w:r>
      <w:r w:rsidR="00446F05">
        <w:rPr>
          <w:rFonts w:ascii="Times New Roman" w:hAnsi="Times New Roman"/>
          <w:lang w:val="pt-BR"/>
        </w:rPr>
        <w:t>,</w:t>
      </w:r>
      <w:r w:rsidR="00DF255A">
        <w:rPr>
          <w:rFonts w:ascii="Times New Roman" w:hAnsi="Times New Roman"/>
          <w:lang w:val="pt-BR"/>
        </w:rPr>
        <w:t xml:space="preserve"> denominado </w:t>
      </w:r>
      <w:proofErr w:type="spellStart"/>
      <w:r w:rsidR="00DF255A">
        <w:rPr>
          <w:rFonts w:ascii="Times New Roman" w:hAnsi="Times New Roman"/>
          <w:lang w:val="pt-BR"/>
        </w:rPr>
        <w:t>microconvecção</w:t>
      </w:r>
      <w:proofErr w:type="spellEnd"/>
      <w:r w:rsidR="00DF255A">
        <w:rPr>
          <w:rFonts w:ascii="Times New Roman" w:hAnsi="Times New Roman"/>
          <w:lang w:val="pt-BR"/>
        </w:rPr>
        <w:t xml:space="preserve">, </w:t>
      </w:r>
      <w:r w:rsidR="004A0BDE" w:rsidRPr="004A0BDE">
        <w:rPr>
          <w:rFonts w:ascii="Times New Roman" w:hAnsi="Times New Roman"/>
          <w:lang w:val="pt-BR"/>
        </w:rPr>
        <w:t xml:space="preserve">leva a </w:t>
      </w:r>
      <w:r w:rsidR="00AD770A">
        <w:rPr>
          <w:rFonts w:ascii="Times New Roman" w:hAnsi="Times New Roman"/>
          <w:lang w:val="pt-BR"/>
        </w:rPr>
        <w:t xml:space="preserve">um aumento na pressão e na temperatura, além de promover </w:t>
      </w:r>
      <w:r w:rsidR="004A0BDE" w:rsidRPr="004A0BDE">
        <w:rPr>
          <w:rFonts w:ascii="Times New Roman" w:hAnsi="Times New Roman"/>
          <w:lang w:val="pt-BR"/>
        </w:rPr>
        <w:t>um</w:t>
      </w:r>
      <w:r w:rsidR="00DF255A">
        <w:rPr>
          <w:rFonts w:ascii="Times New Roman" w:hAnsi="Times New Roman"/>
          <w:lang w:val="pt-BR"/>
        </w:rPr>
        <w:t>a</w:t>
      </w:r>
      <w:r w:rsidR="00AD770A">
        <w:rPr>
          <w:rFonts w:ascii="Times New Roman" w:hAnsi="Times New Roman"/>
          <w:lang w:val="pt-BR"/>
        </w:rPr>
        <w:t xml:space="preserve"> </w:t>
      </w:r>
      <w:proofErr w:type="spellStart"/>
      <w:r w:rsidR="00DF255A">
        <w:rPr>
          <w:rFonts w:ascii="Times New Roman" w:hAnsi="Times New Roman"/>
          <w:lang w:val="pt-BR"/>
        </w:rPr>
        <w:t>microturbulência</w:t>
      </w:r>
      <w:proofErr w:type="spellEnd"/>
      <w:r w:rsidR="00AD770A">
        <w:rPr>
          <w:rFonts w:ascii="Times New Roman" w:hAnsi="Times New Roman"/>
          <w:lang w:val="pt-BR"/>
        </w:rPr>
        <w:t xml:space="preserve">, a formação de pequenos redemoinhos e </w:t>
      </w:r>
      <w:r w:rsidR="00446F05">
        <w:rPr>
          <w:rFonts w:ascii="Times New Roman" w:hAnsi="Times New Roman"/>
          <w:lang w:val="pt-BR"/>
        </w:rPr>
        <w:t xml:space="preserve">resultar em </w:t>
      </w:r>
      <w:r w:rsidR="00AD770A">
        <w:rPr>
          <w:rFonts w:ascii="Times New Roman" w:hAnsi="Times New Roman"/>
          <w:lang w:val="pt-BR"/>
        </w:rPr>
        <w:t>forças de cisalhamento muito fortes, o que aumenta a transferência de massa e calor entre as duas fases (1</w:t>
      </w:r>
      <w:r w:rsidR="008B6F99">
        <w:rPr>
          <w:rFonts w:ascii="Times New Roman" w:hAnsi="Times New Roman"/>
          <w:lang w:val="pt-BR"/>
        </w:rPr>
        <w:t>4</w:t>
      </w:r>
      <w:r w:rsidR="00AD770A">
        <w:rPr>
          <w:rFonts w:ascii="Times New Roman" w:hAnsi="Times New Roman"/>
          <w:lang w:val="pt-BR"/>
        </w:rPr>
        <w:t>, 1</w:t>
      </w:r>
      <w:r w:rsidR="008B6F99">
        <w:rPr>
          <w:rFonts w:ascii="Times New Roman" w:hAnsi="Times New Roman"/>
          <w:lang w:val="pt-BR"/>
        </w:rPr>
        <w:t>5</w:t>
      </w:r>
      <w:r w:rsidR="00D50DC6">
        <w:rPr>
          <w:rFonts w:ascii="Times New Roman" w:hAnsi="Times New Roman"/>
          <w:lang w:val="pt-BR"/>
        </w:rPr>
        <w:t>, 1</w:t>
      </w:r>
      <w:r w:rsidR="008B6F99">
        <w:rPr>
          <w:rFonts w:ascii="Times New Roman" w:hAnsi="Times New Roman"/>
          <w:lang w:val="pt-BR"/>
        </w:rPr>
        <w:t>6</w:t>
      </w:r>
      <w:r w:rsidR="00AD770A">
        <w:rPr>
          <w:rFonts w:ascii="Times New Roman" w:hAnsi="Times New Roman"/>
          <w:lang w:val="pt-BR"/>
        </w:rPr>
        <w:t>).</w:t>
      </w:r>
    </w:p>
    <w:p w14:paraId="0DDDFAF6" w14:textId="45243E4C" w:rsidR="001435F8" w:rsidRDefault="00FC51B6" w:rsidP="00874F1E">
      <w:pPr>
        <w:pStyle w:val="TAMainText"/>
        <w:rPr>
          <w:rFonts w:ascii="Times New Roman" w:hAnsi="Times New Roman"/>
          <w:lang w:val="pt-BR"/>
        </w:rPr>
      </w:pPr>
      <w:r>
        <w:rPr>
          <w:rFonts w:ascii="Times New Roman" w:hAnsi="Times New Roman"/>
          <w:lang w:val="pt-BR"/>
        </w:rPr>
        <w:t xml:space="preserve">À vista disso, o objetivo deste estudo foi comparar </w:t>
      </w:r>
      <w:r w:rsidR="008707FC">
        <w:rPr>
          <w:rFonts w:ascii="Times New Roman" w:hAnsi="Times New Roman"/>
          <w:lang w:val="pt-BR"/>
        </w:rPr>
        <w:t>o emprego de</w:t>
      </w:r>
      <w:r w:rsidR="00AE4218">
        <w:rPr>
          <w:rFonts w:ascii="Times New Roman" w:hAnsi="Times New Roman"/>
          <w:lang w:val="pt-BR"/>
        </w:rPr>
        <w:t xml:space="preserve"> um agitador magnético </w:t>
      </w:r>
      <w:r w:rsidR="008707FC">
        <w:rPr>
          <w:rFonts w:ascii="Times New Roman" w:hAnsi="Times New Roman"/>
          <w:lang w:val="pt-BR"/>
        </w:rPr>
        <w:t xml:space="preserve">com o de </w:t>
      </w:r>
      <w:r w:rsidR="00AE4218">
        <w:rPr>
          <w:rFonts w:ascii="Times New Roman" w:hAnsi="Times New Roman"/>
          <w:lang w:val="pt-BR"/>
        </w:rPr>
        <w:t>um banho ultrassônico n</w:t>
      </w:r>
      <w:r>
        <w:rPr>
          <w:rFonts w:ascii="Times New Roman" w:hAnsi="Times New Roman"/>
          <w:lang w:val="pt-BR"/>
        </w:rPr>
        <w:t>a produção de biodiesel</w:t>
      </w:r>
      <w:r w:rsidR="00AE4218">
        <w:rPr>
          <w:rFonts w:ascii="Times New Roman" w:hAnsi="Times New Roman"/>
          <w:lang w:val="pt-BR"/>
        </w:rPr>
        <w:t xml:space="preserve"> a partir de óleo de soja residual, metanol e </w:t>
      </w:r>
      <w:proofErr w:type="spellStart"/>
      <w:r w:rsidR="00AE4218">
        <w:rPr>
          <w:rFonts w:ascii="Times New Roman" w:hAnsi="Times New Roman"/>
          <w:lang w:val="pt-BR"/>
        </w:rPr>
        <w:t>CaO</w:t>
      </w:r>
      <w:proofErr w:type="spellEnd"/>
      <w:r w:rsidR="00AE4218">
        <w:rPr>
          <w:rFonts w:ascii="Times New Roman" w:hAnsi="Times New Roman"/>
          <w:lang w:val="pt-BR"/>
        </w:rPr>
        <w:t xml:space="preserve"> obtido de cascas de ovos</w:t>
      </w:r>
      <w:r>
        <w:rPr>
          <w:rFonts w:ascii="Times New Roman" w:hAnsi="Times New Roman"/>
          <w:lang w:val="pt-BR"/>
        </w:rPr>
        <w:t>, de modo a analisar a interferência desses</w:t>
      </w:r>
      <w:r w:rsidR="00AE4218">
        <w:rPr>
          <w:rFonts w:ascii="Times New Roman" w:hAnsi="Times New Roman"/>
          <w:lang w:val="pt-BR"/>
        </w:rPr>
        <w:t xml:space="preserve"> dois</w:t>
      </w:r>
      <w:r>
        <w:rPr>
          <w:rFonts w:ascii="Times New Roman" w:hAnsi="Times New Roman"/>
          <w:lang w:val="pt-BR"/>
        </w:rPr>
        <w:t xml:space="preserve"> tipos de agitações </w:t>
      </w:r>
      <w:r w:rsidR="008707FC">
        <w:rPr>
          <w:rFonts w:ascii="Times New Roman" w:hAnsi="Times New Roman"/>
          <w:lang w:val="pt-BR"/>
        </w:rPr>
        <w:t>na reação</w:t>
      </w:r>
      <w:r>
        <w:rPr>
          <w:rFonts w:ascii="Times New Roman" w:hAnsi="Times New Roman"/>
          <w:lang w:val="pt-BR"/>
        </w:rPr>
        <w:t>.</w:t>
      </w:r>
    </w:p>
    <w:p w14:paraId="69BDB0BA" w14:textId="77777777" w:rsidR="00054675" w:rsidRPr="001F25B2" w:rsidRDefault="00054675" w:rsidP="00054675">
      <w:pPr>
        <w:pStyle w:val="TAMainText"/>
        <w:rPr>
          <w:rFonts w:ascii="Times New Roman" w:hAnsi="Times New Roman"/>
          <w:lang w:val="pt-BR"/>
        </w:rPr>
      </w:pP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729A66EB" w14:textId="77777777" w:rsidR="00594984" w:rsidRPr="00594984" w:rsidRDefault="00594984" w:rsidP="00594984">
      <w:pPr>
        <w:pStyle w:val="TAMainText"/>
        <w:ind w:firstLine="0"/>
        <w:rPr>
          <w:rFonts w:ascii="Times New Roman" w:hAnsi="Times New Roman"/>
          <w:i/>
          <w:lang w:val="pt-BR"/>
        </w:rPr>
      </w:pPr>
      <w:r w:rsidRPr="00594984">
        <w:rPr>
          <w:rFonts w:ascii="Times New Roman" w:hAnsi="Times New Roman"/>
          <w:i/>
          <w:lang w:val="pt-BR"/>
        </w:rPr>
        <w:t>2.1. Óleo de fritura</w:t>
      </w:r>
    </w:p>
    <w:p w14:paraId="10BCD1A8" w14:textId="0AB7FF56" w:rsidR="00594984" w:rsidRDefault="00137612" w:rsidP="00594984">
      <w:pPr>
        <w:pStyle w:val="TAMainText"/>
        <w:rPr>
          <w:rFonts w:ascii="Times New Roman" w:hAnsi="Times New Roman"/>
          <w:iCs/>
          <w:lang w:val="pt-BR"/>
        </w:rPr>
      </w:pPr>
      <w:r w:rsidRPr="00137612">
        <w:rPr>
          <w:rFonts w:ascii="Times New Roman" w:hAnsi="Times New Roman"/>
          <w:iCs/>
          <w:lang w:val="pt-BR"/>
        </w:rPr>
        <w:t xml:space="preserve">Para iniciar o processo, foi necessário filtrar o óleo de fritura usando filtros de café de papel. Em seguida, o óleo foi seco em estufa a uma temperatura de 105°C por 1,5 horas. </w:t>
      </w:r>
      <w:r>
        <w:rPr>
          <w:rFonts w:ascii="Times New Roman" w:hAnsi="Times New Roman"/>
          <w:iCs/>
          <w:lang w:val="pt-BR"/>
        </w:rPr>
        <w:t>Vale ressaltar que</w:t>
      </w:r>
      <w:r w:rsidRPr="00137612">
        <w:rPr>
          <w:rFonts w:ascii="Times New Roman" w:hAnsi="Times New Roman"/>
          <w:iCs/>
          <w:lang w:val="pt-BR"/>
        </w:rPr>
        <w:t xml:space="preserve"> o óleo já havia passado por uma análise</w:t>
      </w:r>
      <w:r>
        <w:rPr>
          <w:rFonts w:ascii="Times New Roman" w:hAnsi="Times New Roman"/>
          <w:iCs/>
          <w:lang w:val="pt-BR"/>
        </w:rPr>
        <w:t xml:space="preserve"> em triplicata</w:t>
      </w:r>
      <w:r w:rsidRPr="00137612">
        <w:rPr>
          <w:rFonts w:ascii="Times New Roman" w:hAnsi="Times New Roman"/>
          <w:iCs/>
          <w:lang w:val="pt-BR"/>
        </w:rPr>
        <w:t xml:space="preserve"> do índice de acidez, </w:t>
      </w:r>
      <w:r>
        <w:rPr>
          <w:rFonts w:ascii="Times New Roman" w:hAnsi="Times New Roman"/>
          <w:iCs/>
          <w:lang w:val="pt-BR"/>
        </w:rPr>
        <w:t>a</w:t>
      </w:r>
      <w:r w:rsidRPr="00137612">
        <w:rPr>
          <w:rFonts w:ascii="Times New Roman" w:hAnsi="Times New Roman"/>
          <w:iCs/>
          <w:lang w:val="pt-BR"/>
        </w:rPr>
        <w:t xml:space="preserve"> qual resultou em </w:t>
      </w:r>
      <w:r w:rsidR="00594984" w:rsidRPr="00594984">
        <w:rPr>
          <w:rFonts w:ascii="Times New Roman" w:hAnsi="Times New Roman"/>
          <w:iCs/>
          <w:lang w:val="pt-BR"/>
        </w:rPr>
        <w:t>0,6743 mg KOH/g</w:t>
      </w:r>
      <w:r w:rsidR="00594984">
        <w:rPr>
          <w:rFonts w:ascii="Times New Roman" w:hAnsi="Times New Roman"/>
          <w:iCs/>
          <w:lang w:val="pt-BR"/>
        </w:rPr>
        <w:t xml:space="preserve"> </w:t>
      </w:r>
      <w:r w:rsidR="00594984" w:rsidRPr="00594984">
        <w:rPr>
          <w:rFonts w:ascii="Times New Roman" w:hAnsi="Times New Roman"/>
          <w:iCs/>
          <w:lang w:val="pt-BR"/>
        </w:rPr>
        <w:t xml:space="preserve">óleo (± 0,01403) </w:t>
      </w:r>
      <w:r>
        <w:rPr>
          <w:rFonts w:ascii="Times New Roman" w:hAnsi="Times New Roman"/>
          <w:iCs/>
          <w:lang w:val="pt-BR"/>
        </w:rPr>
        <w:t>(</w:t>
      </w:r>
      <w:r w:rsidR="008B6F99">
        <w:rPr>
          <w:rFonts w:ascii="Times New Roman" w:hAnsi="Times New Roman"/>
          <w:iCs/>
          <w:lang w:val="pt-BR"/>
        </w:rPr>
        <w:t>17</w:t>
      </w:r>
      <w:r>
        <w:rPr>
          <w:rFonts w:ascii="Times New Roman" w:hAnsi="Times New Roman"/>
          <w:iCs/>
          <w:lang w:val="pt-BR"/>
        </w:rPr>
        <w:t>)</w:t>
      </w:r>
      <w:r w:rsidR="00594984" w:rsidRPr="00594984">
        <w:rPr>
          <w:rFonts w:ascii="Times New Roman" w:hAnsi="Times New Roman"/>
          <w:iCs/>
          <w:lang w:val="pt-BR"/>
        </w:rPr>
        <w:t>.</w:t>
      </w:r>
    </w:p>
    <w:p w14:paraId="44366C61" w14:textId="77777777" w:rsidR="007F1D9B" w:rsidRPr="00594984" w:rsidRDefault="007F1D9B" w:rsidP="00594984">
      <w:pPr>
        <w:pStyle w:val="TAMainText"/>
        <w:rPr>
          <w:rFonts w:ascii="Times New Roman" w:hAnsi="Times New Roman"/>
          <w:iCs/>
          <w:lang w:val="pt-BR"/>
        </w:rPr>
      </w:pPr>
    </w:p>
    <w:p w14:paraId="36C3E689" w14:textId="77777777" w:rsidR="00594984" w:rsidRPr="00594984" w:rsidRDefault="00594984" w:rsidP="00594984">
      <w:pPr>
        <w:pStyle w:val="TAMainText"/>
        <w:ind w:firstLine="0"/>
        <w:rPr>
          <w:rFonts w:ascii="Times New Roman" w:hAnsi="Times New Roman"/>
          <w:i/>
          <w:lang w:val="pt-BR"/>
        </w:rPr>
      </w:pPr>
      <w:r w:rsidRPr="00594984">
        <w:rPr>
          <w:rFonts w:ascii="Times New Roman" w:hAnsi="Times New Roman"/>
          <w:i/>
          <w:lang w:val="pt-BR"/>
        </w:rPr>
        <w:t>2.2. Preparo do catalisador</w:t>
      </w:r>
    </w:p>
    <w:p w14:paraId="3674BBF1" w14:textId="7406ABE1" w:rsidR="00594984" w:rsidRDefault="00D50DC6" w:rsidP="00594984">
      <w:pPr>
        <w:pStyle w:val="TAMainText"/>
        <w:rPr>
          <w:rFonts w:ascii="Times New Roman" w:hAnsi="Times New Roman"/>
          <w:iCs/>
          <w:lang w:val="pt-BR"/>
        </w:rPr>
      </w:pPr>
      <w:r w:rsidRPr="00D50DC6">
        <w:rPr>
          <w:rFonts w:ascii="Times New Roman" w:hAnsi="Times New Roman"/>
          <w:iCs/>
          <w:lang w:val="pt-BR"/>
        </w:rPr>
        <w:t xml:space="preserve">O </w:t>
      </w:r>
      <w:proofErr w:type="spellStart"/>
      <w:r w:rsidRPr="00D50DC6">
        <w:rPr>
          <w:rFonts w:ascii="Times New Roman" w:hAnsi="Times New Roman"/>
          <w:iCs/>
          <w:lang w:val="pt-BR"/>
        </w:rPr>
        <w:t>CaO</w:t>
      </w:r>
      <w:proofErr w:type="spellEnd"/>
      <w:r w:rsidRPr="00D50DC6">
        <w:rPr>
          <w:rFonts w:ascii="Times New Roman" w:hAnsi="Times New Roman"/>
          <w:iCs/>
          <w:lang w:val="pt-BR"/>
        </w:rPr>
        <w:t xml:space="preserve"> utilizado como catalisador foi obtido a partir de cascas de ovos</w:t>
      </w:r>
      <w:r>
        <w:rPr>
          <w:rFonts w:ascii="Times New Roman" w:hAnsi="Times New Roman"/>
          <w:iCs/>
          <w:lang w:val="pt-BR"/>
        </w:rPr>
        <w:t>, onde inicialmente</w:t>
      </w:r>
      <w:r w:rsidRPr="00D50DC6">
        <w:rPr>
          <w:rFonts w:ascii="Times New Roman" w:hAnsi="Times New Roman"/>
          <w:iCs/>
          <w:lang w:val="pt-BR"/>
        </w:rPr>
        <w:t xml:space="preserve"> </w:t>
      </w:r>
      <w:r>
        <w:rPr>
          <w:rFonts w:ascii="Times New Roman" w:hAnsi="Times New Roman"/>
          <w:iCs/>
          <w:lang w:val="pt-BR"/>
        </w:rPr>
        <w:t>estas</w:t>
      </w:r>
      <w:r w:rsidRPr="00D50DC6">
        <w:rPr>
          <w:rFonts w:ascii="Times New Roman" w:hAnsi="Times New Roman"/>
          <w:iCs/>
          <w:lang w:val="pt-BR"/>
        </w:rPr>
        <w:t xml:space="preserve"> foram submetidas a um processo de lavagem com água para remo</w:t>
      </w:r>
      <w:r>
        <w:rPr>
          <w:rFonts w:ascii="Times New Roman" w:hAnsi="Times New Roman"/>
          <w:iCs/>
          <w:lang w:val="pt-BR"/>
        </w:rPr>
        <w:t>ção d</w:t>
      </w:r>
      <w:r w:rsidRPr="00D50DC6">
        <w:rPr>
          <w:rFonts w:ascii="Times New Roman" w:hAnsi="Times New Roman"/>
          <w:iCs/>
          <w:lang w:val="pt-BR"/>
        </w:rPr>
        <w:t xml:space="preserve">a matéria orgânica bruta, seguido de fervura em água por 15 minutos e imersão em solução de ácido nítrico 6M por 10 minutos. Posteriormente, foram lavadas novamente com água destilada e secas em estufa a 105°C por 24 horas. As cascas foram então moídas em almofariz com pistilo e classificadas de acordo com o tamanho granulométrico usando peneiras de 32 </w:t>
      </w:r>
      <w:r w:rsidR="00E06F7B">
        <w:rPr>
          <w:rFonts w:ascii="Times New Roman" w:hAnsi="Times New Roman"/>
          <w:iCs/>
          <w:lang w:val="pt-BR"/>
        </w:rPr>
        <w:t>e</w:t>
      </w:r>
      <w:r w:rsidRPr="00D50DC6">
        <w:rPr>
          <w:rFonts w:ascii="Times New Roman" w:hAnsi="Times New Roman"/>
          <w:iCs/>
          <w:lang w:val="pt-BR"/>
        </w:rPr>
        <w:t xml:space="preserve"> 24 </w:t>
      </w:r>
      <w:proofErr w:type="spellStart"/>
      <w:r w:rsidRPr="00D50DC6">
        <w:rPr>
          <w:rFonts w:ascii="Times New Roman" w:hAnsi="Times New Roman"/>
          <w:iCs/>
          <w:lang w:val="pt-BR"/>
        </w:rPr>
        <w:t>mesh</w:t>
      </w:r>
      <w:proofErr w:type="spellEnd"/>
      <w:r w:rsidRPr="00D50DC6">
        <w:rPr>
          <w:rFonts w:ascii="Times New Roman" w:hAnsi="Times New Roman"/>
          <w:iCs/>
          <w:lang w:val="pt-BR"/>
        </w:rPr>
        <w:t xml:space="preserve">. Por fim, </w:t>
      </w:r>
      <w:r>
        <w:rPr>
          <w:rFonts w:ascii="Times New Roman" w:hAnsi="Times New Roman"/>
          <w:iCs/>
          <w:lang w:val="pt-BR"/>
        </w:rPr>
        <w:t>fo</w:t>
      </w:r>
      <w:r w:rsidR="00DE27B7">
        <w:rPr>
          <w:rFonts w:ascii="Times New Roman" w:hAnsi="Times New Roman"/>
          <w:iCs/>
          <w:lang w:val="pt-BR"/>
        </w:rPr>
        <w:t>i</w:t>
      </w:r>
      <w:r>
        <w:rPr>
          <w:rFonts w:ascii="Times New Roman" w:hAnsi="Times New Roman"/>
          <w:iCs/>
          <w:lang w:val="pt-BR"/>
        </w:rPr>
        <w:t xml:space="preserve"> realizado o processo de calcinação</w:t>
      </w:r>
      <w:r w:rsidRPr="00D50DC6">
        <w:rPr>
          <w:rFonts w:ascii="Times New Roman" w:hAnsi="Times New Roman"/>
          <w:iCs/>
          <w:lang w:val="pt-BR"/>
        </w:rPr>
        <w:t xml:space="preserve"> em mufla a uma temperatura de 900°C por 3,5 horas, conforme indicado </w:t>
      </w:r>
      <w:r>
        <w:rPr>
          <w:rFonts w:ascii="Times New Roman" w:hAnsi="Times New Roman"/>
          <w:iCs/>
          <w:lang w:val="pt-BR"/>
        </w:rPr>
        <w:t>nos estudos de</w:t>
      </w:r>
      <w:r w:rsidRPr="00D50DC6">
        <w:rPr>
          <w:rFonts w:ascii="Times New Roman" w:hAnsi="Times New Roman"/>
          <w:iCs/>
          <w:lang w:val="pt-BR"/>
        </w:rPr>
        <w:t xml:space="preserve"> </w:t>
      </w:r>
      <w:proofErr w:type="spellStart"/>
      <w:r w:rsidR="00594984" w:rsidRPr="00594984">
        <w:rPr>
          <w:rFonts w:ascii="Times New Roman" w:hAnsi="Times New Roman"/>
          <w:iCs/>
          <w:lang w:val="pt-BR"/>
        </w:rPr>
        <w:t>Birla</w:t>
      </w:r>
      <w:proofErr w:type="spellEnd"/>
      <w:r w:rsidR="00594984" w:rsidRPr="00594984">
        <w:rPr>
          <w:rFonts w:ascii="Times New Roman" w:hAnsi="Times New Roman"/>
          <w:iCs/>
          <w:lang w:val="pt-BR"/>
        </w:rPr>
        <w:t xml:space="preserve"> </w:t>
      </w:r>
      <w:r w:rsidR="00594984" w:rsidRPr="00D50DC6">
        <w:rPr>
          <w:rFonts w:ascii="Times New Roman" w:hAnsi="Times New Roman"/>
          <w:i/>
          <w:lang w:val="pt-BR"/>
        </w:rPr>
        <w:t>et al.</w:t>
      </w:r>
      <w:r w:rsidR="00594984" w:rsidRPr="00594984">
        <w:rPr>
          <w:rFonts w:ascii="Times New Roman" w:hAnsi="Times New Roman"/>
          <w:iCs/>
          <w:lang w:val="pt-BR"/>
        </w:rPr>
        <w:t xml:space="preserve"> (2012) </w:t>
      </w:r>
      <w:r>
        <w:rPr>
          <w:rFonts w:ascii="Times New Roman" w:hAnsi="Times New Roman"/>
          <w:iCs/>
          <w:lang w:val="pt-BR"/>
        </w:rPr>
        <w:t>(1</w:t>
      </w:r>
      <w:r w:rsidR="008B6F99">
        <w:rPr>
          <w:rFonts w:ascii="Times New Roman" w:hAnsi="Times New Roman"/>
          <w:iCs/>
          <w:lang w:val="pt-BR"/>
        </w:rPr>
        <w:t>8</w:t>
      </w:r>
      <w:r>
        <w:rPr>
          <w:rFonts w:ascii="Times New Roman" w:hAnsi="Times New Roman"/>
          <w:iCs/>
          <w:lang w:val="pt-BR"/>
        </w:rPr>
        <w:t>)</w:t>
      </w:r>
      <w:r w:rsidR="00594984" w:rsidRPr="00594984">
        <w:rPr>
          <w:rFonts w:ascii="Times New Roman" w:hAnsi="Times New Roman"/>
          <w:iCs/>
          <w:lang w:val="pt-BR"/>
        </w:rPr>
        <w:t>.</w:t>
      </w:r>
    </w:p>
    <w:p w14:paraId="545C9D3F" w14:textId="77777777" w:rsidR="007F1D9B" w:rsidRPr="00594984" w:rsidRDefault="007F1D9B" w:rsidP="00594984">
      <w:pPr>
        <w:pStyle w:val="TAMainText"/>
        <w:rPr>
          <w:rFonts w:ascii="Times New Roman" w:hAnsi="Times New Roman"/>
          <w:iCs/>
          <w:lang w:val="pt-BR"/>
        </w:rPr>
      </w:pPr>
    </w:p>
    <w:p w14:paraId="64FCCAA6" w14:textId="40C24831" w:rsidR="00594984" w:rsidRDefault="00594984" w:rsidP="00594984">
      <w:pPr>
        <w:pStyle w:val="TAMainText"/>
        <w:ind w:firstLine="0"/>
        <w:rPr>
          <w:rFonts w:ascii="Times New Roman" w:hAnsi="Times New Roman"/>
          <w:i/>
          <w:iCs/>
          <w:lang w:val="pt-BR"/>
        </w:rPr>
      </w:pPr>
      <w:r w:rsidRPr="00594984">
        <w:rPr>
          <w:rFonts w:ascii="Times New Roman" w:hAnsi="Times New Roman"/>
          <w:i/>
          <w:iCs/>
          <w:lang w:val="pt-BR"/>
        </w:rPr>
        <w:t>2.3. Síntese do biodiesel</w:t>
      </w:r>
    </w:p>
    <w:p w14:paraId="123B5D8F" w14:textId="77777777" w:rsidR="00200A53" w:rsidRDefault="00200A53" w:rsidP="00594984">
      <w:pPr>
        <w:pStyle w:val="TAMainText"/>
        <w:ind w:firstLine="0"/>
        <w:rPr>
          <w:rFonts w:ascii="Times New Roman" w:hAnsi="Times New Roman"/>
          <w:i/>
          <w:iCs/>
          <w:lang w:val="pt-BR"/>
        </w:rPr>
      </w:pPr>
    </w:p>
    <w:p w14:paraId="7858627A" w14:textId="71B0445B" w:rsidR="00200A53" w:rsidRPr="00594984" w:rsidRDefault="00200A53" w:rsidP="00594984">
      <w:pPr>
        <w:pStyle w:val="TAMainText"/>
        <w:ind w:firstLine="0"/>
        <w:rPr>
          <w:rFonts w:ascii="Times New Roman" w:hAnsi="Times New Roman"/>
          <w:i/>
          <w:iCs/>
          <w:lang w:val="pt-BR"/>
        </w:rPr>
      </w:pPr>
      <w:r>
        <w:rPr>
          <w:rFonts w:ascii="Times New Roman" w:hAnsi="Times New Roman"/>
          <w:i/>
          <w:iCs/>
          <w:lang w:val="pt-BR"/>
        </w:rPr>
        <w:t xml:space="preserve">2.3.1. Síntese utilizando </w:t>
      </w:r>
      <w:proofErr w:type="spellStart"/>
      <w:r>
        <w:rPr>
          <w:rFonts w:ascii="Times New Roman" w:hAnsi="Times New Roman"/>
          <w:i/>
          <w:iCs/>
          <w:lang w:val="pt-BR"/>
        </w:rPr>
        <w:t>CaO</w:t>
      </w:r>
      <w:proofErr w:type="spellEnd"/>
      <w:r>
        <w:rPr>
          <w:rFonts w:ascii="Times New Roman" w:hAnsi="Times New Roman"/>
          <w:i/>
          <w:iCs/>
          <w:lang w:val="pt-BR"/>
        </w:rPr>
        <w:t xml:space="preserve"> como catalisador</w:t>
      </w:r>
    </w:p>
    <w:p w14:paraId="7835BBDD" w14:textId="0F821A51" w:rsidR="00594984" w:rsidRDefault="008B6F99" w:rsidP="00756D40">
      <w:pPr>
        <w:pStyle w:val="TAMainText"/>
        <w:rPr>
          <w:rFonts w:ascii="Times New Roman" w:hAnsi="Times New Roman"/>
          <w:lang w:val="pt-BR"/>
        </w:rPr>
      </w:pPr>
      <w:bookmarkStart w:id="2" w:name="_Hlk130482909"/>
      <w:r w:rsidRPr="008B6F99">
        <w:rPr>
          <w:rFonts w:ascii="Times New Roman" w:hAnsi="Times New Roman"/>
          <w:lang w:val="pt-BR"/>
        </w:rPr>
        <w:t xml:space="preserve">Considerando o estudo prévio conduzido por </w:t>
      </w:r>
      <w:proofErr w:type="spellStart"/>
      <w:r w:rsidRPr="008B6F99">
        <w:rPr>
          <w:rFonts w:ascii="Times New Roman" w:hAnsi="Times New Roman"/>
          <w:lang w:val="pt-BR"/>
        </w:rPr>
        <w:t>Espilma</w:t>
      </w:r>
      <w:proofErr w:type="spellEnd"/>
      <w:r w:rsidR="00756D40" w:rsidRPr="00925B68">
        <w:rPr>
          <w:lang w:val="pt-BR"/>
        </w:rPr>
        <w:t xml:space="preserve"> </w:t>
      </w:r>
      <w:r w:rsidR="00756D40" w:rsidRPr="00756D40">
        <w:rPr>
          <w:rFonts w:ascii="Times New Roman" w:hAnsi="Times New Roman"/>
          <w:i/>
          <w:iCs/>
          <w:lang w:val="pt-BR"/>
        </w:rPr>
        <w:t>et al.</w:t>
      </w:r>
      <w:r w:rsidR="00756D40" w:rsidRPr="00756D40">
        <w:rPr>
          <w:rFonts w:ascii="Times New Roman" w:hAnsi="Times New Roman"/>
          <w:lang w:val="pt-BR"/>
        </w:rPr>
        <w:t xml:space="preserve"> (2020) </w:t>
      </w:r>
      <w:r w:rsidR="00756D40">
        <w:rPr>
          <w:rFonts w:ascii="Times New Roman" w:hAnsi="Times New Roman"/>
          <w:lang w:val="pt-BR"/>
        </w:rPr>
        <w:t>(17)</w:t>
      </w:r>
      <w:r w:rsidR="00756D40" w:rsidRPr="00756D40">
        <w:rPr>
          <w:rFonts w:ascii="Times New Roman" w:hAnsi="Times New Roman"/>
          <w:lang w:val="pt-BR"/>
        </w:rPr>
        <w:t>,</w:t>
      </w:r>
      <w:r w:rsidRPr="008B6F99">
        <w:rPr>
          <w:rFonts w:ascii="Times New Roman" w:hAnsi="Times New Roman"/>
          <w:lang w:val="pt-BR"/>
        </w:rPr>
        <w:t xml:space="preserve"> que obteve biodiesel em termos de quantidade e pureza satisfatórios em um tempo de reação de 8</w:t>
      </w:r>
      <w:r w:rsidR="00756D40">
        <w:rPr>
          <w:rFonts w:ascii="Times New Roman" w:hAnsi="Times New Roman"/>
          <w:lang w:val="pt-BR"/>
        </w:rPr>
        <w:t>h</w:t>
      </w:r>
      <w:r w:rsidRPr="008B6F99">
        <w:rPr>
          <w:rFonts w:ascii="Times New Roman" w:hAnsi="Times New Roman"/>
          <w:lang w:val="pt-BR"/>
        </w:rPr>
        <w:t xml:space="preserve">, </w:t>
      </w:r>
      <w:r w:rsidR="00756D40">
        <w:rPr>
          <w:rFonts w:ascii="Times New Roman" w:hAnsi="Times New Roman"/>
          <w:lang w:val="pt-BR"/>
        </w:rPr>
        <w:t xml:space="preserve">com </w:t>
      </w:r>
      <w:r w:rsidRPr="008B6F99">
        <w:rPr>
          <w:rFonts w:ascii="Times New Roman" w:hAnsi="Times New Roman"/>
          <w:lang w:val="pt-BR"/>
        </w:rPr>
        <w:t>o objetivo de</w:t>
      </w:r>
      <w:r w:rsidR="00756D40">
        <w:rPr>
          <w:rFonts w:ascii="Times New Roman" w:hAnsi="Times New Roman"/>
          <w:lang w:val="pt-BR"/>
        </w:rPr>
        <w:t xml:space="preserve"> reduzir o tempo reacional para 5h, aumentou-se a quantidade de catalisador.</w:t>
      </w:r>
      <w:r w:rsidRPr="008B6F99">
        <w:rPr>
          <w:rFonts w:ascii="Times New Roman" w:hAnsi="Times New Roman"/>
          <w:lang w:val="pt-BR"/>
        </w:rPr>
        <w:t xml:space="preserve"> Essa estratégia foi adotada</w:t>
      </w:r>
      <w:r w:rsidR="000215F6">
        <w:rPr>
          <w:rFonts w:ascii="Times New Roman" w:hAnsi="Times New Roman"/>
          <w:lang w:val="pt-BR"/>
        </w:rPr>
        <w:t xml:space="preserve"> pois o catalisador pode </w:t>
      </w:r>
      <w:r w:rsidR="005B3C38">
        <w:rPr>
          <w:rFonts w:ascii="Times New Roman" w:hAnsi="Times New Roman"/>
          <w:lang w:val="pt-BR"/>
        </w:rPr>
        <w:t>aumentar a velocidade reacional</w:t>
      </w:r>
      <w:r w:rsidR="00160164">
        <w:rPr>
          <w:rFonts w:ascii="Times New Roman" w:hAnsi="Times New Roman"/>
          <w:lang w:val="pt-BR"/>
        </w:rPr>
        <w:t xml:space="preserve"> de síntese do biodiesel </w:t>
      </w:r>
      <w:r w:rsidR="00756D40">
        <w:rPr>
          <w:rFonts w:ascii="Times New Roman" w:hAnsi="Times New Roman"/>
          <w:lang w:val="pt-BR"/>
        </w:rPr>
        <w:t>(11, 12).</w:t>
      </w:r>
    </w:p>
    <w:p w14:paraId="53D21CD3" w14:textId="64C64D87" w:rsidR="00DE27B7" w:rsidRDefault="00DE27B7" w:rsidP="00E92524">
      <w:pPr>
        <w:pStyle w:val="TAMainText"/>
        <w:rPr>
          <w:rFonts w:ascii="Times New Roman" w:hAnsi="Times New Roman"/>
          <w:lang w:val="pt-BR"/>
        </w:rPr>
      </w:pPr>
      <w:r>
        <w:rPr>
          <w:rFonts w:ascii="Times New Roman" w:hAnsi="Times New Roman"/>
          <w:lang w:val="pt-BR"/>
        </w:rPr>
        <w:t>As</w:t>
      </w:r>
      <w:r w:rsidR="00E92524" w:rsidRPr="00E92524">
        <w:rPr>
          <w:rFonts w:ascii="Times New Roman" w:hAnsi="Times New Roman"/>
          <w:lang w:val="pt-BR"/>
        </w:rPr>
        <w:t xml:space="preserve"> sínteses de biodiesel </w:t>
      </w:r>
      <w:r>
        <w:rPr>
          <w:rFonts w:ascii="Times New Roman" w:hAnsi="Times New Roman"/>
          <w:lang w:val="pt-BR"/>
        </w:rPr>
        <w:t xml:space="preserve">foram realizadas </w:t>
      </w:r>
      <w:r w:rsidR="00E92524" w:rsidRPr="00E92524">
        <w:rPr>
          <w:rFonts w:ascii="Times New Roman" w:hAnsi="Times New Roman"/>
          <w:lang w:val="pt-BR"/>
        </w:rPr>
        <w:t>em escala de bancada</w:t>
      </w:r>
      <w:r>
        <w:rPr>
          <w:rFonts w:ascii="Times New Roman" w:hAnsi="Times New Roman"/>
          <w:lang w:val="pt-BR"/>
        </w:rPr>
        <w:t>,</w:t>
      </w:r>
      <w:r w:rsidR="00E92524" w:rsidRPr="00E92524">
        <w:rPr>
          <w:rFonts w:ascii="Times New Roman" w:hAnsi="Times New Roman"/>
          <w:lang w:val="pt-BR"/>
        </w:rPr>
        <w:t xml:space="preserve"> sob agitação</w:t>
      </w:r>
      <w:r>
        <w:rPr>
          <w:rFonts w:ascii="Times New Roman" w:hAnsi="Times New Roman"/>
          <w:lang w:val="pt-BR"/>
        </w:rPr>
        <w:t>,</w:t>
      </w:r>
      <w:r w:rsidR="00E92524" w:rsidRPr="00E92524">
        <w:rPr>
          <w:rFonts w:ascii="Times New Roman" w:hAnsi="Times New Roman"/>
          <w:lang w:val="pt-BR"/>
        </w:rPr>
        <w:t xml:space="preserve"> a 60°C</w:t>
      </w:r>
      <w:r>
        <w:rPr>
          <w:rFonts w:ascii="Times New Roman" w:hAnsi="Times New Roman"/>
          <w:lang w:val="pt-BR"/>
        </w:rPr>
        <w:t>, e</w:t>
      </w:r>
      <w:r w:rsidR="00E92524" w:rsidRPr="00E92524">
        <w:rPr>
          <w:rFonts w:ascii="Times New Roman" w:hAnsi="Times New Roman"/>
          <w:lang w:val="pt-BR"/>
        </w:rPr>
        <w:t xml:space="preserve"> durante 5 horas, seguindo o procedimento descrito a</w:t>
      </w:r>
      <w:r>
        <w:rPr>
          <w:rFonts w:ascii="Times New Roman" w:hAnsi="Times New Roman"/>
          <w:lang w:val="pt-BR"/>
        </w:rPr>
        <w:t xml:space="preserve"> seguir.</w:t>
      </w:r>
    </w:p>
    <w:p w14:paraId="5B42EB6A" w14:textId="77777777" w:rsidR="00200A53" w:rsidRPr="00E92524" w:rsidRDefault="00200A53" w:rsidP="00200A53">
      <w:pPr>
        <w:pStyle w:val="TAMainText"/>
        <w:rPr>
          <w:rFonts w:ascii="Times New Roman" w:hAnsi="Times New Roman"/>
          <w:lang w:val="pt-BR"/>
        </w:rPr>
      </w:pPr>
      <w:bookmarkStart w:id="3" w:name="_Hlk130515362"/>
      <w:r w:rsidRPr="00E92524">
        <w:rPr>
          <w:rFonts w:ascii="Times New Roman" w:hAnsi="Times New Roman"/>
          <w:lang w:val="pt-BR"/>
        </w:rPr>
        <w:t>Foi utilizado um balão de fundo redondo com três bocas, onde um termômetro</w:t>
      </w:r>
      <w:r>
        <w:rPr>
          <w:rFonts w:ascii="Times New Roman" w:hAnsi="Times New Roman"/>
          <w:lang w:val="pt-BR"/>
        </w:rPr>
        <w:t xml:space="preserve"> foi </w:t>
      </w:r>
      <w:r w:rsidRPr="00E92524">
        <w:rPr>
          <w:rFonts w:ascii="Times New Roman" w:hAnsi="Times New Roman"/>
          <w:lang w:val="pt-BR"/>
        </w:rPr>
        <w:t xml:space="preserve">embutido em uma das bocas para controle da temperatura, um condensador conectado ao banho </w:t>
      </w:r>
      <w:proofErr w:type="spellStart"/>
      <w:r w:rsidRPr="00E92524">
        <w:rPr>
          <w:rFonts w:ascii="Times New Roman" w:hAnsi="Times New Roman"/>
          <w:lang w:val="pt-BR"/>
        </w:rPr>
        <w:t>ultratermostático</w:t>
      </w:r>
      <w:proofErr w:type="spellEnd"/>
      <w:r w:rsidRPr="00E92524">
        <w:rPr>
          <w:rFonts w:ascii="Times New Roman" w:hAnsi="Times New Roman"/>
          <w:lang w:val="pt-BR"/>
        </w:rPr>
        <w:t xml:space="preserve"> foi encaixado </w:t>
      </w:r>
      <w:r>
        <w:rPr>
          <w:rFonts w:ascii="Times New Roman" w:hAnsi="Times New Roman"/>
          <w:lang w:val="pt-BR"/>
        </w:rPr>
        <w:t xml:space="preserve">em outra </w:t>
      </w:r>
      <w:r w:rsidRPr="00E92524">
        <w:rPr>
          <w:rFonts w:ascii="Times New Roman" w:hAnsi="Times New Roman"/>
          <w:lang w:val="pt-BR"/>
        </w:rPr>
        <w:t xml:space="preserve">e a </w:t>
      </w:r>
      <w:r>
        <w:rPr>
          <w:rFonts w:ascii="Times New Roman" w:hAnsi="Times New Roman"/>
          <w:lang w:val="pt-BR"/>
        </w:rPr>
        <w:t>última</w:t>
      </w:r>
      <w:r w:rsidRPr="00E92524">
        <w:rPr>
          <w:rFonts w:ascii="Times New Roman" w:hAnsi="Times New Roman"/>
          <w:lang w:val="pt-BR"/>
        </w:rPr>
        <w:t xml:space="preserve"> foi fechada hermeticamente. </w:t>
      </w:r>
      <w:r>
        <w:rPr>
          <w:rFonts w:ascii="Times New Roman" w:hAnsi="Times New Roman"/>
          <w:lang w:val="pt-BR"/>
        </w:rPr>
        <w:t>Realizou-se a reação de transesterificação utilizando</w:t>
      </w:r>
      <w:r w:rsidRPr="00E92524">
        <w:rPr>
          <w:rFonts w:ascii="Times New Roman" w:hAnsi="Times New Roman"/>
          <w:lang w:val="pt-BR"/>
        </w:rPr>
        <w:t xml:space="preserve"> 100 mL de óleo de fritura tratado, 50 mL de metanol</w:t>
      </w:r>
      <w:r>
        <w:rPr>
          <w:rFonts w:ascii="Times New Roman" w:hAnsi="Times New Roman"/>
          <w:lang w:val="pt-BR"/>
        </w:rPr>
        <w:t xml:space="preserve"> (fração molar de </w:t>
      </w:r>
      <w:proofErr w:type="spellStart"/>
      <w:r>
        <w:rPr>
          <w:rFonts w:ascii="Times New Roman" w:hAnsi="Times New Roman"/>
          <w:lang w:val="pt-BR"/>
        </w:rPr>
        <w:t>óleo:metanol</w:t>
      </w:r>
      <w:proofErr w:type="spellEnd"/>
      <w:r>
        <w:rPr>
          <w:rFonts w:ascii="Times New Roman" w:hAnsi="Times New Roman"/>
          <w:lang w:val="pt-BR"/>
        </w:rPr>
        <w:t xml:space="preserve"> de 1:12)</w:t>
      </w:r>
      <w:r w:rsidRPr="00E92524">
        <w:rPr>
          <w:rFonts w:ascii="Times New Roman" w:hAnsi="Times New Roman"/>
          <w:lang w:val="pt-BR"/>
        </w:rPr>
        <w:t xml:space="preserve"> e 6% de catalisador em relação ao volume de óleo.</w:t>
      </w:r>
    </w:p>
    <w:bookmarkEnd w:id="3"/>
    <w:p w14:paraId="012EEC80" w14:textId="44386AC5" w:rsidR="00200A53" w:rsidRDefault="00200A53" w:rsidP="00200A53">
      <w:pPr>
        <w:pStyle w:val="TAMainText"/>
        <w:rPr>
          <w:rFonts w:ascii="Times New Roman" w:hAnsi="Times New Roman"/>
          <w:lang w:val="pt-BR"/>
        </w:rPr>
      </w:pPr>
      <w:r w:rsidRPr="00E92524">
        <w:rPr>
          <w:rFonts w:ascii="Times New Roman" w:hAnsi="Times New Roman"/>
          <w:lang w:val="pt-BR"/>
        </w:rPr>
        <w:t>Duas sínteses foram conduzidas: uma no balão colocado em banho-maria sob</w:t>
      </w:r>
      <w:r w:rsidR="00193101">
        <w:rPr>
          <w:rFonts w:ascii="Times New Roman" w:hAnsi="Times New Roman"/>
          <w:lang w:val="pt-BR"/>
        </w:rPr>
        <w:t>re</w:t>
      </w:r>
      <w:r w:rsidRPr="00E92524">
        <w:rPr>
          <w:rFonts w:ascii="Times New Roman" w:hAnsi="Times New Roman"/>
          <w:lang w:val="pt-BR"/>
        </w:rPr>
        <w:t xml:space="preserve"> uma chapa de aquecimento com agitação magnética e outra </w:t>
      </w:r>
      <w:r>
        <w:rPr>
          <w:rFonts w:ascii="Times New Roman" w:hAnsi="Times New Roman"/>
          <w:lang w:val="pt-BR"/>
        </w:rPr>
        <w:t xml:space="preserve">também </w:t>
      </w:r>
      <w:r w:rsidRPr="00E92524">
        <w:rPr>
          <w:rFonts w:ascii="Times New Roman" w:hAnsi="Times New Roman"/>
          <w:lang w:val="pt-BR"/>
        </w:rPr>
        <w:t>dentro do balão, porém no interior de um banho ultrassônico</w:t>
      </w:r>
      <w:r w:rsidR="00BD619D">
        <w:rPr>
          <w:rFonts w:ascii="Times New Roman" w:hAnsi="Times New Roman"/>
          <w:lang w:val="pt-BR"/>
        </w:rPr>
        <w:t xml:space="preserve"> </w:t>
      </w:r>
      <w:r w:rsidR="00690FE6">
        <w:rPr>
          <w:rFonts w:ascii="Times New Roman" w:hAnsi="Times New Roman"/>
          <w:lang w:val="pt-BR"/>
        </w:rPr>
        <w:t>(</w:t>
      </w:r>
      <w:r w:rsidR="00BD619D">
        <w:rPr>
          <w:rFonts w:ascii="Times New Roman" w:hAnsi="Times New Roman"/>
          <w:lang w:val="pt-BR"/>
        </w:rPr>
        <w:t>Marca Unique, potência de 220W, e volume de 12,50 L</w:t>
      </w:r>
      <w:r w:rsidR="00690FE6">
        <w:rPr>
          <w:rFonts w:ascii="Times New Roman" w:hAnsi="Times New Roman"/>
          <w:lang w:val="pt-BR"/>
        </w:rPr>
        <w:t>)</w:t>
      </w:r>
      <w:r w:rsidRPr="00E92524">
        <w:rPr>
          <w:rFonts w:ascii="Times New Roman" w:hAnsi="Times New Roman"/>
          <w:lang w:val="pt-BR"/>
        </w:rPr>
        <w:t xml:space="preserve">. </w:t>
      </w:r>
    </w:p>
    <w:p w14:paraId="041A0518" w14:textId="66B8F359" w:rsidR="00200A53" w:rsidRDefault="00200A53" w:rsidP="00200A53">
      <w:pPr>
        <w:pStyle w:val="TAMainText"/>
        <w:rPr>
          <w:rFonts w:ascii="Times New Roman" w:hAnsi="Times New Roman"/>
          <w:lang w:val="pt-BR"/>
        </w:rPr>
      </w:pPr>
      <w:bookmarkStart w:id="4" w:name="_Hlk130515702"/>
      <w:r>
        <w:rPr>
          <w:rFonts w:ascii="Times New Roman" w:hAnsi="Times New Roman"/>
          <w:lang w:val="pt-BR"/>
        </w:rPr>
        <w:t>Primeiramente</w:t>
      </w:r>
      <w:r w:rsidR="00D22AD2">
        <w:rPr>
          <w:rFonts w:ascii="Times New Roman" w:hAnsi="Times New Roman"/>
          <w:lang w:val="pt-BR"/>
        </w:rPr>
        <w:t>,</w:t>
      </w:r>
      <w:r>
        <w:rPr>
          <w:rFonts w:ascii="Times New Roman" w:hAnsi="Times New Roman"/>
          <w:lang w:val="pt-BR"/>
        </w:rPr>
        <w:t xml:space="preserve"> adicionou-se o metanol juntamente com o catalisador ao </w:t>
      </w:r>
      <w:r w:rsidR="00FE514E">
        <w:rPr>
          <w:rFonts w:ascii="Times New Roman" w:hAnsi="Times New Roman"/>
          <w:lang w:val="pt-BR"/>
        </w:rPr>
        <w:t>sistema</w:t>
      </w:r>
      <w:r>
        <w:rPr>
          <w:rFonts w:ascii="Times New Roman" w:hAnsi="Times New Roman"/>
          <w:lang w:val="pt-BR"/>
        </w:rPr>
        <w:t xml:space="preserve"> para promover a interação prévia entre os mesmos durante 15 minutos</w:t>
      </w:r>
      <w:r w:rsidR="00B8020C">
        <w:rPr>
          <w:rFonts w:ascii="Times New Roman" w:hAnsi="Times New Roman"/>
          <w:lang w:val="pt-BR"/>
        </w:rPr>
        <w:t>. Isso foi feito com</w:t>
      </w:r>
      <w:r w:rsidR="0038332F">
        <w:rPr>
          <w:rFonts w:ascii="Times New Roman" w:hAnsi="Times New Roman"/>
          <w:lang w:val="pt-BR"/>
        </w:rPr>
        <w:t xml:space="preserve"> a fi</w:t>
      </w:r>
      <w:r w:rsidR="00B8020C">
        <w:rPr>
          <w:rFonts w:ascii="Times New Roman" w:hAnsi="Times New Roman"/>
          <w:lang w:val="pt-BR"/>
        </w:rPr>
        <w:t>nalidade</w:t>
      </w:r>
      <w:r w:rsidR="0038332F">
        <w:rPr>
          <w:rFonts w:ascii="Times New Roman" w:hAnsi="Times New Roman"/>
          <w:lang w:val="pt-BR"/>
        </w:rPr>
        <w:t xml:space="preserve"> </w:t>
      </w:r>
      <w:r w:rsidR="0038332F" w:rsidRPr="00756C80">
        <w:rPr>
          <w:rFonts w:ascii="Times New Roman" w:hAnsi="Times New Roman"/>
          <w:lang w:val="pt-BR"/>
        </w:rPr>
        <w:t xml:space="preserve">de </w:t>
      </w:r>
      <w:r w:rsidR="00B8020C">
        <w:rPr>
          <w:rFonts w:ascii="Times New Roman" w:hAnsi="Times New Roman"/>
          <w:lang w:val="pt-BR"/>
        </w:rPr>
        <w:t>favorecer</w:t>
      </w:r>
      <w:r w:rsidR="00756C80" w:rsidRPr="00756C80">
        <w:rPr>
          <w:rFonts w:ascii="Times New Roman" w:hAnsi="Times New Roman"/>
          <w:lang w:val="pt-BR"/>
        </w:rPr>
        <w:t xml:space="preserve"> a conversão </w:t>
      </w:r>
      <w:r w:rsidR="00B8020C">
        <w:rPr>
          <w:rFonts w:ascii="Times New Roman" w:hAnsi="Times New Roman"/>
          <w:lang w:val="pt-BR"/>
        </w:rPr>
        <w:t>destes à</w:t>
      </w:r>
      <w:r w:rsidR="00756C80" w:rsidRPr="00756C80">
        <w:rPr>
          <w:rFonts w:ascii="Times New Roman" w:hAnsi="Times New Roman"/>
          <w:lang w:val="pt-BR"/>
        </w:rPr>
        <w:t xml:space="preserve"> </w:t>
      </w:r>
      <w:proofErr w:type="gramStart"/>
      <w:r w:rsidR="00756C80" w:rsidRPr="00756C80">
        <w:rPr>
          <w:rFonts w:ascii="Times New Roman" w:hAnsi="Times New Roman"/>
          <w:lang w:val="pt-BR"/>
        </w:rPr>
        <w:t>Ca(</w:t>
      </w:r>
      <w:proofErr w:type="gramEnd"/>
      <w:r w:rsidR="00756C80" w:rsidRPr="00756C80">
        <w:rPr>
          <w:rFonts w:ascii="Times New Roman" w:hAnsi="Times New Roman"/>
          <w:lang w:val="pt-BR"/>
        </w:rPr>
        <w:t>OCH</w:t>
      </w:r>
      <w:r w:rsidR="00756C80" w:rsidRPr="00756C80">
        <w:rPr>
          <w:rFonts w:ascii="Times New Roman" w:hAnsi="Times New Roman"/>
          <w:vertAlign w:val="subscript"/>
          <w:lang w:val="pt-BR"/>
        </w:rPr>
        <w:t>3</w:t>
      </w:r>
      <w:r w:rsidR="00756C80" w:rsidRPr="00756C80">
        <w:rPr>
          <w:rFonts w:ascii="Times New Roman" w:hAnsi="Times New Roman"/>
          <w:lang w:val="pt-BR"/>
        </w:rPr>
        <w:t>)</w:t>
      </w:r>
      <w:r w:rsidR="00756C80" w:rsidRPr="00B8020C">
        <w:rPr>
          <w:rFonts w:ascii="Times New Roman" w:hAnsi="Times New Roman"/>
          <w:vertAlign w:val="subscript"/>
          <w:lang w:val="pt-BR"/>
        </w:rPr>
        <w:t>2</w:t>
      </w:r>
      <w:r w:rsidR="0038332F" w:rsidRPr="00B8020C">
        <w:rPr>
          <w:rFonts w:ascii="Times New Roman" w:hAnsi="Times New Roman"/>
          <w:lang w:val="pt-BR"/>
        </w:rPr>
        <w:t xml:space="preserve"> </w:t>
      </w:r>
      <w:r w:rsidR="00B8020C" w:rsidRPr="00B8020C">
        <w:rPr>
          <w:rFonts w:ascii="Times New Roman" w:hAnsi="Times New Roman"/>
          <w:lang w:val="pt-BR"/>
        </w:rPr>
        <w:t xml:space="preserve">que </w:t>
      </w:r>
      <w:r w:rsidR="00B8020C" w:rsidRPr="00B8020C">
        <w:rPr>
          <w:rFonts w:ascii="Times New Roman" w:hAnsi="Times New Roman"/>
          <w:lang w:val="pt-BR"/>
        </w:rPr>
        <w:lastRenderedPageBreak/>
        <w:t xml:space="preserve">é um composto mais reativo, facilitando a ocorrência da reação com o triglicerídeo </w:t>
      </w:r>
      <w:r w:rsidR="0038332F" w:rsidRPr="00B8020C">
        <w:rPr>
          <w:rFonts w:ascii="Times New Roman" w:hAnsi="Times New Roman"/>
          <w:lang w:val="pt-BR"/>
        </w:rPr>
        <w:t>(</w:t>
      </w:r>
      <w:r w:rsidR="00B8020C">
        <w:rPr>
          <w:rFonts w:ascii="Times New Roman" w:hAnsi="Times New Roman"/>
          <w:lang w:val="pt-BR"/>
        </w:rPr>
        <w:t>19</w:t>
      </w:r>
      <w:r w:rsidR="0038332F" w:rsidRPr="00B8020C">
        <w:rPr>
          <w:rFonts w:ascii="Times New Roman" w:hAnsi="Times New Roman"/>
          <w:lang w:val="pt-BR"/>
        </w:rPr>
        <w:t>)</w:t>
      </w:r>
      <w:r w:rsidRPr="00B8020C">
        <w:rPr>
          <w:rFonts w:ascii="Times New Roman" w:hAnsi="Times New Roman"/>
          <w:lang w:val="pt-BR"/>
        </w:rPr>
        <w:t>.</w:t>
      </w:r>
      <w:r>
        <w:rPr>
          <w:rFonts w:ascii="Times New Roman" w:hAnsi="Times New Roman"/>
          <w:lang w:val="pt-BR"/>
        </w:rPr>
        <w:t xml:space="preserve"> Em seguida, adicionou-se o óleo pré-aquecido a 60°C.</w:t>
      </w:r>
    </w:p>
    <w:p w14:paraId="435526DF" w14:textId="49266315" w:rsidR="00772F6D" w:rsidRDefault="00772F6D" w:rsidP="00200A53">
      <w:pPr>
        <w:pStyle w:val="TAMainText"/>
        <w:rPr>
          <w:rFonts w:ascii="Times New Roman" w:hAnsi="Times New Roman"/>
          <w:lang w:val="pt-BR"/>
        </w:rPr>
      </w:pPr>
      <w:r>
        <w:rPr>
          <w:rFonts w:ascii="Times New Roman" w:hAnsi="Times New Roman"/>
          <w:lang w:val="pt-BR"/>
        </w:rPr>
        <w:t xml:space="preserve">A partir desse momento, foram retiradas alíquotas de 1 mL em 30, 120, 150, 180, 210, 240, 270 e 300 minutos de reação, das quais imediatamente foram pesados 0,5g em balões volumétricos de 10 mL para </w:t>
      </w:r>
      <w:r w:rsidR="008F1852">
        <w:rPr>
          <w:rFonts w:ascii="Times New Roman" w:hAnsi="Times New Roman"/>
          <w:lang w:val="pt-BR"/>
        </w:rPr>
        <w:t>prosseguimento na etapa de caracterização do biodiesel, possibilitando a r</w:t>
      </w:r>
      <w:r>
        <w:rPr>
          <w:rFonts w:ascii="Times New Roman" w:hAnsi="Times New Roman"/>
          <w:lang w:val="pt-BR"/>
        </w:rPr>
        <w:t>ealização da análise cinética</w:t>
      </w:r>
      <w:r w:rsidR="008F1852">
        <w:rPr>
          <w:rFonts w:ascii="Times New Roman" w:hAnsi="Times New Roman"/>
          <w:lang w:val="pt-BR"/>
        </w:rPr>
        <w:t>.</w:t>
      </w:r>
    </w:p>
    <w:p w14:paraId="314E3280" w14:textId="3D2E50FB" w:rsidR="00200A53" w:rsidRPr="00E92524" w:rsidRDefault="00200A53" w:rsidP="00200A53">
      <w:pPr>
        <w:pStyle w:val="TAMainText"/>
        <w:rPr>
          <w:rFonts w:ascii="Times New Roman" w:hAnsi="Times New Roman"/>
          <w:lang w:val="pt-BR"/>
        </w:rPr>
      </w:pPr>
      <w:r w:rsidRPr="00E92524">
        <w:rPr>
          <w:rFonts w:ascii="Times New Roman" w:hAnsi="Times New Roman"/>
          <w:lang w:val="pt-BR"/>
        </w:rPr>
        <w:t xml:space="preserve">Após o término da reação, os produtos foram filtrados a vácuo utilizando um </w:t>
      </w:r>
      <w:proofErr w:type="spellStart"/>
      <w:r w:rsidRPr="00E92524">
        <w:rPr>
          <w:rFonts w:ascii="Times New Roman" w:hAnsi="Times New Roman"/>
          <w:lang w:val="pt-BR"/>
        </w:rPr>
        <w:t>kitassato</w:t>
      </w:r>
      <w:proofErr w:type="spellEnd"/>
      <w:r w:rsidRPr="00E92524">
        <w:rPr>
          <w:rFonts w:ascii="Times New Roman" w:hAnsi="Times New Roman"/>
          <w:lang w:val="pt-BR"/>
        </w:rPr>
        <w:t xml:space="preserve"> conectado a um funil de </w:t>
      </w:r>
      <w:proofErr w:type="spellStart"/>
      <w:r w:rsidRPr="00E92524">
        <w:rPr>
          <w:rFonts w:ascii="Times New Roman" w:hAnsi="Times New Roman"/>
          <w:lang w:val="pt-BR"/>
        </w:rPr>
        <w:t>büschner</w:t>
      </w:r>
      <w:proofErr w:type="spellEnd"/>
      <w:r w:rsidRPr="00E92524">
        <w:rPr>
          <w:rFonts w:ascii="Times New Roman" w:hAnsi="Times New Roman"/>
          <w:lang w:val="pt-BR"/>
        </w:rPr>
        <w:t xml:space="preserve"> com papel filtro qualitativo para a </w:t>
      </w:r>
      <w:r>
        <w:rPr>
          <w:rFonts w:ascii="Times New Roman" w:hAnsi="Times New Roman"/>
          <w:lang w:val="pt-BR"/>
        </w:rPr>
        <w:t xml:space="preserve">separação </w:t>
      </w:r>
      <w:r w:rsidRPr="00E92524">
        <w:rPr>
          <w:rFonts w:ascii="Times New Roman" w:hAnsi="Times New Roman"/>
          <w:lang w:val="pt-BR"/>
        </w:rPr>
        <w:t xml:space="preserve">do catalisador. Em seguida, a glicerina foi separada do biodiesel por decantação em um funil de </w:t>
      </w:r>
      <w:r w:rsidR="00FE514E">
        <w:rPr>
          <w:rFonts w:ascii="Times New Roman" w:hAnsi="Times New Roman"/>
          <w:lang w:val="pt-BR"/>
        </w:rPr>
        <w:t>separação</w:t>
      </w:r>
      <w:r w:rsidRPr="00E92524">
        <w:rPr>
          <w:rFonts w:ascii="Times New Roman" w:hAnsi="Times New Roman"/>
          <w:lang w:val="pt-BR"/>
        </w:rPr>
        <w:t>.</w:t>
      </w:r>
    </w:p>
    <w:p w14:paraId="1FF42F0B" w14:textId="78527A3F" w:rsidR="00200A53" w:rsidRDefault="00200A53" w:rsidP="00200A53">
      <w:pPr>
        <w:pStyle w:val="TAMainText"/>
        <w:rPr>
          <w:rFonts w:ascii="Times New Roman" w:hAnsi="Times New Roman"/>
          <w:lang w:val="pt-BR"/>
        </w:rPr>
      </w:pPr>
      <w:r w:rsidRPr="00E92524">
        <w:rPr>
          <w:rFonts w:ascii="Times New Roman" w:hAnsi="Times New Roman"/>
          <w:lang w:val="pt-BR"/>
        </w:rPr>
        <w:t xml:space="preserve">Após </w:t>
      </w:r>
      <w:r w:rsidR="00FE514E">
        <w:rPr>
          <w:rFonts w:ascii="Times New Roman" w:hAnsi="Times New Roman"/>
          <w:lang w:val="pt-BR"/>
        </w:rPr>
        <w:t>essa etapa</w:t>
      </w:r>
      <w:r w:rsidRPr="00E92524">
        <w:rPr>
          <w:rFonts w:ascii="Times New Roman" w:hAnsi="Times New Roman"/>
          <w:lang w:val="pt-BR"/>
        </w:rPr>
        <w:t>, o pH do biodiesel foi medido utilizando fitas universais de pH e</w:t>
      </w:r>
      <w:r w:rsidR="00FE514E">
        <w:rPr>
          <w:rFonts w:ascii="Times New Roman" w:hAnsi="Times New Roman"/>
          <w:lang w:val="pt-BR"/>
        </w:rPr>
        <w:t>,</w:t>
      </w:r>
      <w:r w:rsidRPr="00E92524">
        <w:rPr>
          <w:rFonts w:ascii="Times New Roman" w:hAnsi="Times New Roman"/>
          <w:lang w:val="pt-BR"/>
        </w:rPr>
        <w:t xml:space="preserve"> como amb</w:t>
      </w:r>
      <w:r>
        <w:rPr>
          <w:rFonts w:ascii="Times New Roman" w:hAnsi="Times New Roman"/>
          <w:lang w:val="pt-BR"/>
        </w:rPr>
        <w:t>os produtos</w:t>
      </w:r>
      <w:r w:rsidRPr="00E92524">
        <w:rPr>
          <w:rFonts w:ascii="Times New Roman" w:hAnsi="Times New Roman"/>
          <w:lang w:val="pt-BR"/>
        </w:rPr>
        <w:t xml:space="preserve"> indicaram pH = 7,0, não foram necessárias etapas de lavagens para correção. </w:t>
      </w:r>
    </w:p>
    <w:bookmarkEnd w:id="4"/>
    <w:p w14:paraId="75BD8AF7" w14:textId="2E255397" w:rsidR="00200A53" w:rsidRDefault="00200A53" w:rsidP="00200A53">
      <w:pPr>
        <w:pStyle w:val="TAMainText"/>
        <w:rPr>
          <w:rFonts w:ascii="Times New Roman" w:hAnsi="Times New Roman"/>
          <w:lang w:val="pt-BR"/>
        </w:rPr>
      </w:pPr>
      <w:r w:rsidRPr="00E92524">
        <w:rPr>
          <w:rFonts w:ascii="Times New Roman" w:hAnsi="Times New Roman"/>
          <w:lang w:val="pt-BR"/>
        </w:rPr>
        <w:t xml:space="preserve">Por fim, </w:t>
      </w:r>
      <w:r w:rsidR="0031455F">
        <w:rPr>
          <w:rFonts w:ascii="Times New Roman" w:hAnsi="Times New Roman"/>
          <w:lang w:val="pt-BR"/>
        </w:rPr>
        <w:t>realizou-se</w:t>
      </w:r>
      <w:r>
        <w:rPr>
          <w:rFonts w:ascii="Times New Roman" w:hAnsi="Times New Roman"/>
          <w:lang w:val="pt-BR"/>
        </w:rPr>
        <w:t xml:space="preserve"> a medição</w:t>
      </w:r>
      <w:r w:rsidR="00B65C80">
        <w:rPr>
          <w:rFonts w:ascii="Times New Roman" w:hAnsi="Times New Roman"/>
          <w:lang w:val="pt-BR"/>
        </w:rPr>
        <w:t xml:space="preserve"> tanto</w:t>
      </w:r>
      <w:r>
        <w:rPr>
          <w:rFonts w:ascii="Times New Roman" w:hAnsi="Times New Roman"/>
          <w:lang w:val="pt-BR"/>
        </w:rPr>
        <w:t xml:space="preserve"> do</w:t>
      </w:r>
      <w:r w:rsidRPr="00E92524">
        <w:rPr>
          <w:rFonts w:ascii="Times New Roman" w:hAnsi="Times New Roman"/>
          <w:lang w:val="pt-BR"/>
        </w:rPr>
        <w:t xml:space="preserve"> volume desses biodieseis</w:t>
      </w:r>
      <w:r w:rsidR="0031455F">
        <w:rPr>
          <w:rFonts w:ascii="Times New Roman" w:hAnsi="Times New Roman"/>
          <w:lang w:val="pt-BR"/>
        </w:rPr>
        <w:t xml:space="preserve"> </w:t>
      </w:r>
      <w:r w:rsidR="00B65C80">
        <w:rPr>
          <w:rFonts w:ascii="Times New Roman" w:hAnsi="Times New Roman"/>
          <w:lang w:val="pt-BR"/>
        </w:rPr>
        <w:t>quanto</w:t>
      </w:r>
      <w:r w:rsidR="0031455F">
        <w:rPr>
          <w:rFonts w:ascii="Times New Roman" w:hAnsi="Times New Roman"/>
          <w:lang w:val="pt-BR"/>
        </w:rPr>
        <w:t xml:space="preserve"> das</w:t>
      </w:r>
      <w:r w:rsidR="00B65C80">
        <w:rPr>
          <w:rFonts w:ascii="Times New Roman" w:hAnsi="Times New Roman"/>
          <w:lang w:val="pt-BR"/>
        </w:rPr>
        <w:t xml:space="preserve"> </w:t>
      </w:r>
      <w:r w:rsidR="0031455F">
        <w:rPr>
          <w:rFonts w:ascii="Times New Roman" w:hAnsi="Times New Roman"/>
          <w:lang w:val="pt-BR"/>
        </w:rPr>
        <w:t>glicerinas produzidas</w:t>
      </w:r>
      <w:r w:rsidRPr="00E92524">
        <w:rPr>
          <w:rFonts w:ascii="Times New Roman" w:hAnsi="Times New Roman"/>
          <w:lang w:val="pt-BR"/>
        </w:rPr>
        <w:t>, e as amostras</w:t>
      </w:r>
      <w:r w:rsidR="0031455F">
        <w:rPr>
          <w:rFonts w:ascii="Times New Roman" w:hAnsi="Times New Roman"/>
          <w:lang w:val="pt-BR"/>
        </w:rPr>
        <w:t xml:space="preserve"> do combustível</w:t>
      </w:r>
      <w:r w:rsidRPr="00E92524">
        <w:rPr>
          <w:rFonts w:ascii="Times New Roman" w:hAnsi="Times New Roman"/>
          <w:lang w:val="pt-BR"/>
        </w:rPr>
        <w:t xml:space="preserve"> foram destinadas para caracterização por cromatografia gasosa.</w:t>
      </w:r>
    </w:p>
    <w:p w14:paraId="3DDD6674" w14:textId="77777777" w:rsidR="00200A53" w:rsidRDefault="00200A53" w:rsidP="00200A53">
      <w:pPr>
        <w:pStyle w:val="TAMainText"/>
        <w:ind w:firstLine="0"/>
        <w:rPr>
          <w:rFonts w:ascii="Times New Roman" w:hAnsi="Times New Roman"/>
          <w:lang w:val="pt-BR"/>
        </w:rPr>
      </w:pPr>
    </w:p>
    <w:p w14:paraId="1572FCAB" w14:textId="03891AFF" w:rsidR="00200A53" w:rsidRPr="00200A53" w:rsidRDefault="00200A53" w:rsidP="00200A53">
      <w:pPr>
        <w:pStyle w:val="TAMainText"/>
        <w:ind w:firstLine="0"/>
        <w:rPr>
          <w:rFonts w:ascii="Times New Roman" w:hAnsi="Times New Roman"/>
          <w:i/>
          <w:iCs/>
          <w:lang w:val="pt-BR"/>
        </w:rPr>
      </w:pPr>
      <w:r w:rsidRPr="00200A53">
        <w:rPr>
          <w:rFonts w:ascii="Times New Roman" w:hAnsi="Times New Roman"/>
          <w:i/>
          <w:iCs/>
          <w:lang w:val="pt-BR"/>
        </w:rPr>
        <w:t xml:space="preserve">2.3.2. Síntese utilizando </w:t>
      </w:r>
      <w:proofErr w:type="spellStart"/>
      <w:r w:rsidRPr="00200A53">
        <w:rPr>
          <w:rFonts w:ascii="Times New Roman" w:hAnsi="Times New Roman"/>
          <w:i/>
          <w:iCs/>
          <w:lang w:val="pt-BR"/>
        </w:rPr>
        <w:t>NaOH</w:t>
      </w:r>
      <w:proofErr w:type="spellEnd"/>
      <w:r w:rsidRPr="00200A53">
        <w:rPr>
          <w:rFonts w:ascii="Times New Roman" w:hAnsi="Times New Roman"/>
          <w:i/>
          <w:iCs/>
          <w:lang w:val="pt-BR"/>
        </w:rPr>
        <w:t xml:space="preserve"> como catalisador</w:t>
      </w:r>
    </w:p>
    <w:p w14:paraId="2A29F4E1" w14:textId="2E248921" w:rsidR="00200A53" w:rsidRDefault="00200A53" w:rsidP="00200A53">
      <w:pPr>
        <w:pStyle w:val="TAMainText"/>
        <w:rPr>
          <w:rFonts w:ascii="Times New Roman" w:hAnsi="Times New Roman"/>
          <w:lang w:val="pt-BR"/>
        </w:rPr>
      </w:pPr>
      <w:r w:rsidRPr="00200A53">
        <w:rPr>
          <w:rFonts w:ascii="Times New Roman" w:hAnsi="Times New Roman"/>
          <w:lang w:val="pt-BR"/>
        </w:rPr>
        <w:t>A síntese de biodiesel</w:t>
      </w:r>
      <w:r>
        <w:rPr>
          <w:rFonts w:ascii="Times New Roman" w:hAnsi="Times New Roman"/>
          <w:lang w:val="pt-BR"/>
        </w:rPr>
        <w:t xml:space="preserve"> empregando </w:t>
      </w:r>
      <w:proofErr w:type="spellStart"/>
      <w:r>
        <w:rPr>
          <w:rFonts w:ascii="Times New Roman" w:hAnsi="Times New Roman"/>
          <w:lang w:val="pt-BR"/>
        </w:rPr>
        <w:t>NaOH</w:t>
      </w:r>
      <w:proofErr w:type="spellEnd"/>
      <w:r>
        <w:rPr>
          <w:rFonts w:ascii="Times New Roman" w:hAnsi="Times New Roman"/>
          <w:lang w:val="pt-BR"/>
        </w:rPr>
        <w:t xml:space="preserve"> como catalisador </w:t>
      </w:r>
      <w:r w:rsidRPr="00200A53">
        <w:rPr>
          <w:rFonts w:ascii="Times New Roman" w:hAnsi="Times New Roman"/>
          <w:lang w:val="pt-BR"/>
        </w:rPr>
        <w:t>foi realizada em escala de bancada a 60ºC, sob agitação</w:t>
      </w:r>
      <w:r>
        <w:rPr>
          <w:rFonts w:ascii="Times New Roman" w:hAnsi="Times New Roman"/>
          <w:lang w:val="pt-BR"/>
        </w:rPr>
        <w:t xml:space="preserve"> e </w:t>
      </w:r>
      <w:r w:rsidRPr="00200A53">
        <w:rPr>
          <w:rFonts w:ascii="Times New Roman" w:hAnsi="Times New Roman"/>
          <w:lang w:val="pt-BR"/>
        </w:rPr>
        <w:t xml:space="preserve">durante 1h. </w:t>
      </w:r>
      <w:r w:rsidR="006D646E">
        <w:rPr>
          <w:rFonts w:ascii="Times New Roman" w:hAnsi="Times New Roman"/>
          <w:lang w:val="pt-BR"/>
        </w:rPr>
        <w:t xml:space="preserve">Essa síntese foi realizada para avaliar, de forma comparativa, a qualidade do biodiesel produzido por catálise heterogênea com </w:t>
      </w:r>
      <w:proofErr w:type="spellStart"/>
      <w:r w:rsidR="006D646E">
        <w:rPr>
          <w:rFonts w:ascii="Times New Roman" w:hAnsi="Times New Roman"/>
          <w:lang w:val="pt-BR"/>
        </w:rPr>
        <w:t>CaO</w:t>
      </w:r>
      <w:proofErr w:type="spellEnd"/>
      <w:r w:rsidR="006D646E">
        <w:rPr>
          <w:rFonts w:ascii="Times New Roman" w:hAnsi="Times New Roman"/>
          <w:lang w:val="pt-BR"/>
        </w:rPr>
        <w:t xml:space="preserve"> com a método convencional de síntese por catálise homogênea (com </w:t>
      </w:r>
      <w:proofErr w:type="spellStart"/>
      <w:r w:rsidR="006D646E">
        <w:rPr>
          <w:rFonts w:ascii="Times New Roman" w:hAnsi="Times New Roman"/>
          <w:lang w:val="pt-BR"/>
        </w:rPr>
        <w:t>NaOH</w:t>
      </w:r>
      <w:proofErr w:type="spellEnd"/>
      <w:r w:rsidR="006D646E">
        <w:rPr>
          <w:rFonts w:ascii="Times New Roman" w:hAnsi="Times New Roman"/>
          <w:lang w:val="pt-BR"/>
        </w:rPr>
        <w:t>).</w:t>
      </w:r>
    </w:p>
    <w:p w14:paraId="6B139D3E" w14:textId="7392A341" w:rsidR="00200A53" w:rsidRPr="00200A53" w:rsidRDefault="00464E7F" w:rsidP="00200A53">
      <w:pPr>
        <w:pStyle w:val="TAMainText"/>
        <w:rPr>
          <w:rFonts w:ascii="Times New Roman" w:hAnsi="Times New Roman"/>
          <w:lang w:val="pt-BR"/>
        </w:rPr>
      </w:pPr>
      <w:r>
        <w:rPr>
          <w:rFonts w:ascii="Times New Roman" w:hAnsi="Times New Roman"/>
          <w:lang w:val="pt-BR"/>
        </w:rPr>
        <w:t>O aparato experimental utilizado foi o mesmo da síntese com agitação magnética.</w:t>
      </w:r>
      <w:r w:rsidR="0031455F">
        <w:rPr>
          <w:rFonts w:ascii="Times New Roman" w:hAnsi="Times New Roman"/>
          <w:lang w:val="pt-BR"/>
        </w:rPr>
        <w:t xml:space="preserve"> </w:t>
      </w:r>
      <w:r>
        <w:rPr>
          <w:rFonts w:ascii="Times New Roman" w:hAnsi="Times New Roman"/>
          <w:lang w:val="pt-BR"/>
        </w:rPr>
        <w:t xml:space="preserve">O </w:t>
      </w:r>
      <w:r w:rsidR="0031455F">
        <w:rPr>
          <w:rFonts w:ascii="Times New Roman" w:hAnsi="Times New Roman"/>
          <w:lang w:val="pt-BR"/>
        </w:rPr>
        <w:t>balão fora colocado em banho-maria sobre um agitador magnético com aquecimento e r</w:t>
      </w:r>
      <w:r w:rsidR="00200A53" w:rsidRPr="00200A53">
        <w:rPr>
          <w:rFonts w:ascii="Times New Roman" w:hAnsi="Times New Roman"/>
          <w:lang w:val="pt-BR"/>
        </w:rPr>
        <w:t xml:space="preserve">ealizou-se a reação de transesterificação utilizando 100 mL de óleo de fritura tratado, </w:t>
      </w:r>
      <w:r w:rsidR="0031455F">
        <w:rPr>
          <w:rFonts w:ascii="Times New Roman" w:hAnsi="Times New Roman"/>
          <w:lang w:val="pt-BR"/>
        </w:rPr>
        <w:t>25</w:t>
      </w:r>
      <w:r w:rsidR="00200A53" w:rsidRPr="00200A53">
        <w:rPr>
          <w:rFonts w:ascii="Times New Roman" w:hAnsi="Times New Roman"/>
          <w:lang w:val="pt-BR"/>
        </w:rPr>
        <w:t xml:space="preserve"> mL de metanol (fração molar de </w:t>
      </w:r>
      <w:proofErr w:type="spellStart"/>
      <w:r w:rsidR="00200A53" w:rsidRPr="00200A53">
        <w:rPr>
          <w:rFonts w:ascii="Times New Roman" w:hAnsi="Times New Roman"/>
          <w:lang w:val="pt-BR"/>
        </w:rPr>
        <w:t>óleo:metanol</w:t>
      </w:r>
      <w:proofErr w:type="spellEnd"/>
      <w:r w:rsidR="00200A53" w:rsidRPr="00200A53">
        <w:rPr>
          <w:rFonts w:ascii="Times New Roman" w:hAnsi="Times New Roman"/>
          <w:lang w:val="pt-BR"/>
        </w:rPr>
        <w:t xml:space="preserve"> de 1:</w:t>
      </w:r>
      <w:r w:rsidR="0031455F">
        <w:rPr>
          <w:rFonts w:ascii="Times New Roman" w:hAnsi="Times New Roman"/>
          <w:lang w:val="pt-BR"/>
        </w:rPr>
        <w:t>6</w:t>
      </w:r>
      <w:r w:rsidR="00200A53" w:rsidRPr="00200A53">
        <w:rPr>
          <w:rFonts w:ascii="Times New Roman" w:hAnsi="Times New Roman"/>
          <w:lang w:val="pt-BR"/>
        </w:rPr>
        <w:t xml:space="preserve">) e </w:t>
      </w:r>
      <w:r w:rsidR="00200A53">
        <w:rPr>
          <w:rFonts w:ascii="Times New Roman" w:hAnsi="Times New Roman"/>
          <w:lang w:val="pt-BR"/>
        </w:rPr>
        <w:t>0,8</w:t>
      </w:r>
      <w:r w:rsidR="00200A53" w:rsidRPr="00200A53">
        <w:rPr>
          <w:rFonts w:ascii="Times New Roman" w:hAnsi="Times New Roman"/>
          <w:lang w:val="pt-BR"/>
        </w:rPr>
        <w:t>% de catalisador em relação ao volume de óleo</w:t>
      </w:r>
      <w:r w:rsidR="0031455F">
        <w:rPr>
          <w:rFonts w:ascii="Times New Roman" w:hAnsi="Times New Roman"/>
          <w:lang w:val="pt-BR"/>
        </w:rPr>
        <w:t xml:space="preserve"> (</w:t>
      </w:r>
      <w:r w:rsidR="00B8020C">
        <w:rPr>
          <w:rFonts w:ascii="Times New Roman" w:hAnsi="Times New Roman"/>
          <w:lang w:val="pt-BR"/>
        </w:rPr>
        <w:t>20</w:t>
      </w:r>
      <w:r w:rsidR="0031455F">
        <w:rPr>
          <w:rFonts w:ascii="Times New Roman" w:hAnsi="Times New Roman"/>
          <w:lang w:val="pt-BR"/>
        </w:rPr>
        <w:t>)</w:t>
      </w:r>
      <w:r w:rsidR="00200A53" w:rsidRPr="00200A53">
        <w:rPr>
          <w:rFonts w:ascii="Times New Roman" w:hAnsi="Times New Roman"/>
          <w:lang w:val="pt-BR"/>
        </w:rPr>
        <w:t>.</w:t>
      </w:r>
    </w:p>
    <w:p w14:paraId="3D596619" w14:textId="771F9CAC" w:rsidR="00724B59" w:rsidRPr="00724B59" w:rsidRDefault="00724B59" w:rsidP="00724B59">
      <w:pPr>
        <w:pStyle w:val="TAMainText"/>
        <w:rPr>
          <w:rFonts w:ascii="Times New Roman" w:hAnsi="Times New Roman"/>
          <w:lang w:val="pt-BR"/>
        </w:rPr>
      </w:pPr>
      <w:r w:rsidRPr="00724B59">
        <w:rPr>
          <w:rFonts w:ascii="Times New Roman" w:hAnsi="Times New Roman"/>
          <w:lang w:val="pt-BR"/>
        </w:rPr>
        <w:t xml:space="preserve">Após o término da reação, </w:t>
      </w:r>
      <w:r w:rsidRPr="00200A53">
        <w:rPr>
          <w:rFonts w:ascii="Times New Roman" w:hAnsi="Times New Roman"/>
          <w:lang w:val="pt-BR"/>
        </w:rPr>
        <w:t xml:space="preserve">o </w:t>
      </w:r>
      <w:r w:rsidR="0051356B">
        <w:rPr>
          <w:rFonts w:ascii="Times New Roman" w:hAnsi="Times New Roman"/>
          <w:lang w:val="pt-BR"/>
        </w:rPr>
        <w:t>produto</w:t>
      </w:r>
      <w:r w:rsidRPr="00200A53">
        <w:rPr>
          <w:rFonts w:ascii="Times New Roman" w:hAnsi="Times New Roman"/>
          <w:lang w:val="pt-BR"/>
        </w:rPr>
        <w:t xml:space="preserve"> foi colocado em funil de </w:t>
      </w:r>
      <w:r>
        <w:rPr>
          <w:rFonts w:ascii="Times New Roman" w:hAnsi="Times New Roman"/>
          <w:lang w:val="pt-BR"/>
        </w:rPr>
        <w:t>separaçã</w:t>
      </w:r>
      <w:r w:rsidRPr="00200A53">
        <w:rPr>
          <w:rFonts w:ascii="Times New Roman" w:hAnsi="Times New Roman"/>
          <w:lang w:val="pt-BR"/>
        </w:rPr>
        <w:t xml:space="preserve">o por 12 horas para </w:t>
      </w:r>
      <w:r>
        <w:rPr>
          <w:rFonts w:ascii="Times New Roman" w:hAnsi="Times New Roman"/>
          <w:lang w:val="pt-BR"/>
        </w:rPr>
        <w:t xml:space="preserve">decantação e remoção da </w:t>
      </w:r>
      <w:r w:rsidRPr="00200A53">
        <w:rPr>
          <w:rFonts w:ascii="Times New Roman" w:hAnsi="Times New Roman"/>
          <w:lang w:val="pt-BR"/>
        </w:rPr>
        <w:t>glicerina.</w:t>
      </w:r>
    </w:p>
    <w:p w14:paraId="7E7A0B8B" w14:textId="434A499C" w:rsidR="00200A53" w:rsidRDefault="00724B59" w:rsidP="00724B59">
      <w:pPr>
        <w:pStyle w:val="TAMainText"/>
        <w:rPr>
          <w:rFonts w:ascii="Times New Roman" w:hAnsi="Times New Roman"/>
          <w:lang w:val="pt-BR"/>
        </w:rPr>
      </w:pPr>
      <w:r>
        <w:rPr>
          <w:rFonts w:ascii="Times New Roman" w:hAnsi="Times New Roman"/>
          <w:lang w:val="pt-BR"/>
        </w:rPr>
        <w:t>Então o</w:t>
      </w:r>
      <w:r w:rsidRPr="00724B59">
        <w:rPr>
          <w:rFonts w:ascii="Times New Roman" w:hAnsi="Times New Roman"/>
          <w:lang w:val="pt-BR"/>
        </w:rPr>
        <w:t xml:space="preserve"> pH do biodiesel foi medido utilizando fitas universais de pH</w:t>
      </w:r>
      <w:r w:rsidR="0051356B">
        <w:rPr>
          <w:rFonts w:ascii="Times New Roman" w:hAnsi="Times New Roman"/>
          <w:lang w:val="pt-BR"/>
        </w:rPr>
        <w:t xml:space="preserve"> e, </w:t>
      </w:r>
      <w:r w:rsidRPr="00724B59">
        <w:rPr>
          <w:rFonts w:ascii="Times New Roman" w:hAnsi="Times New Roman"/>
          <w:lang w:val="pt-BR"/>
        </w:rPr>
        <w:t xml:space="preserve">como </w:t>
      </w:r>
      <w:r>
        <w:rPr>
          <w:rFonts w:ascii="Times New Roman" w:hAnsi="Times New Roman"/>
          <w:lang w:val="pt-BR"/>
        </w:rPr>
        <w:t>o produto</w:t>
      </w:r>
      <w:r w:rsidRPr="00724B59">
        <w:rPr>
          <w:rFonts w:ascii="Times New Roman" w:hAnsi="Times New Roman"/>
          <w:lang w:val="pt-BR"/>
        </w:rPr>
        <w:t xml:space="preserve"> indic</w:t>
      </w:r>
      <w:r>
        <w:rPr>
          <w:rFonts w:ascii="Times New Roman" w:hAnsi="Times New Roman"/>
          <w:lang w:val="pt-BR"/>
        </w:rPr>
        <w:t>ou</w:t>
      </w:r>
      <w:r w:rsidRPr="00724B59">
        <w:rPr>
          <w:rFonts w:ascii="Times New Roman" w:hAnsi="Times New Roman"/>
          <w:lang w:val="pt-BR"/>
        </w:rPr>
        <w:t xml:space="preserve"> pH </w:t>
      </w:r>
      <w:r>
        <w:rPr>
          <w:rFonts w:ascii="Times New Roman" w:hAnsi="Times New Roman"/>
          <w:lang w:val="pt-BR"/>
        </w:rPr>
        <w:sym w:font="Symbol" w:char="F0B9"/>
      </w:r>
      <w:r w:rsidRPr="00724B59">
        <w:rPr>
          <w:rFonts w:ascii="Times New Roman" w:hAnsi="Times New Roman"/>
          <w:lang w:val="pt-BR"/>
        </w:rPr>
        <w:t xml:space="preserve"> 7,0, </w:t>
      </w:r>
      <w:r>
        <w:rPr>
          <w:rFonts w:ascii="Times New Roman" w:hAnsi="Times New Roman"/>
          <w:lang w:val="pt-BR"/>
        </w:rPr>
        <w:t>este</w:t>
      </w:r>
      <w:r w:rsidR="00200A53" w:rsidRPr="00200A53">
        <w:rPr>
          <w:rFonts w:ascii="Times New Roman" w:hAnsi="Times New Roman"/>
          <w:lang w:val="pt-BR"/>
        </w:rPr>
        <w:t xml:space="preserve"> foi lavado com 1 litro de água destilada aquecida a 80ºC para a remoção dos resíduos de </w:t>
      </w:r>
      <w:proofErr w:type="spellStart"/>
      <w:r w:rsidR="00200A53" w:rsidRPr="00200A53">
        <w:rPr>
          <w:rFonts w:ascii="Times New Roman" w:hAnsi="Times New Roman"/>
          <w:lang w:val="pt-BR"/>
        </w:rPr>
        <w:t>NaOH</w:t>
      </w:r>
      <w:proofErr w:type="spellEnd"/>
      <w:r w:rsidR="00200A53" w:rsidRPr="00200A53">
        <w:rPr>
          <w:rFonts w:ascii="Times New Roman" w:hAnsi="Times New Roman"/>
          <w:lang w:val="pt-BR"/>
        </w:rPr>
        <w:t xml:space="preserve"> (</w:t>
      </w:r>
      <w:r w:rsidR="00B8020C">
        <w:rPr>
          <w:rFonts w:ascii="Times New Roman" w:hAnsi="Times New Roman"/>
          <w:lang w:val="pt-BR"/>
        </w:rPr>
        <w:t>20</w:t>
      </w:r>
      <w:r w:rsidR="00200A53" w:rsidRPr="00200A53">
        <w:rPr>
          <w:rFonts w:ascii="Times New Roman" w:hAnsi="Times New Roman"/>
          <w:lang w:val="pt-BR"/>
        </w:rPr>
        <w:t>).</w:t>
      </w:r>
    </w:p>
    <w:p w14:paraId="5190970A" w14:textId="4F729F13" w:rsidR="0031455F" w:rsidRDefault="0031455F" w:rsidP="0031455F">
      <w:pPr>
        <w:pStyle w:val="TAMainText"/>
        <w:rPr>
          <w:rFonts w:ascii="Times New Roman" w:hAnsi="Times New Roman"/>
          <w:lang w:val="pt-BR"/>
        </w:rPr>
      </w:pPr>
      <w:r w:rsidRPr="00E92524">
        <w:rPr>
          <w:rFonts w:ascii="Times New Roman" w:hAnsi="Times New Roman"/>
          <w:lang w:val="pt-BR"/>
        </w:rPr>
        <w:t xml:space="preserve">Por fim, </w:t>
      </w:r>
      <w:r>
        <w:rPr>
          <w:rFonts w:ascii="Times New Roman" w:hAnsi="Times New Roman"/>
          <w:lang w:val="pt-BR"/>
        </w:rPr>
        <w:t>utilizando provetas</w:t>
      </w:r>
      <w:r w:rsidR="00B65C80">
        <w:rPr>
          <w:rFonts w:ascii="Times New Roman" w:hAnsi="Times New Roman"/>
          <w:lang w:val="pt-BR"/>
        </w:rPr>
        <w:t>,</w:t>
      </w:r>
      <w:r>
        <w:rPr>
          <w:rFonts w:ascii="Times New Roman" w:hAnsi="Times New Roman"/>
          <w:lang w:val="pt-BR"/>
        </w:rPr>
        <w:t xml:space="preserve"> realizou-se a medição do</w:t>
      </w:r>
      <w:r w:rsidRPr="00E92524">
        <w:rPr>
          <w:rFonts w:ascii="Times New Roman" w:hAnsi="Times New Roman"/>
          <w:lang w:val="pt-BR"/>
        </w:rPr>
        <w:t xml:space="preserve"> volume </w:t>
      </w:r>
      <w:r>
        <w:rPr>
          <w:rFonts w:ascii="Times New Roman" w:hAnsi="Times New Roman"/>
          <w:lang w:val="pt-BR"/>
        </w:rPr>
        <w:t>tanto do</w:t>
      </w:r>
      <w:r w:rsidRPr="00E92524">
        <w:rPr>
          <w:rFonts w:ascii="Times New Roman" w:hAnsi="Times New Roman"/>
          <w:lang w:val="pt-BR"/>
        </w:rPr>
        <w:t xml:space="preserve"> biodies</w:t>
      </w:r>
      <w:r>
        <w:rPr>
          <w:rFonts w:ascii="Times New Roman" w:hAnsi="Times New Roman"/>
          <w:lang w:val="pt-BR"/>
        </w:rPr>
        <w:t>el</w:t>
      </w:r>
      <w:r w:rsidRPr="00E92524">
        <w:rPr>
          <w:rFonts w:ascii="Times New Roman" w:hAnsi="Times New Roman"/>
          <w:lang w:val="pt-BR"/>
        </w:rPr>
        <w:t xml:space="preserve"> </w:t>
      </w:r>
      <w:r>
        <w:rPr>
          <w:rFonts w:ascii="Times New Roman" w:hAnsi="Times New Roman"/>
          <w:lang w:val="pt-BR"/>
        </w:rPr>
        <w:t>quanto da glicerina</w:t>
      </w:r>
      <w:r w:rsidRPr="00E92524">
        <w:rPr>
          <w:rFonts w:ascii="Times New Roman" w:hAnsi="Times New Roman"/>
          <w:lang w:val="pt-BR"/>
        </w:rPr>
        <w:t xml:space="preserve">, e a amostra </w:t>
      </w:r>
      <w:r>
        <w:rPr>
          <w:rFonts w:ascii="Times New Roman" w:hAnsi="Times New Roman"/>
          <w:lang w:val="pt-BR"/>
        </w:rPr>
        <w:t xml:space="preserve">do combustível </w:t>
      </w:r>
      <w:r w:rsidRPr="00E92524">
        <w:rPr>
          <w:rFonts w:ascii="Times New Roman" w:hAnsi="Times New Roman"/>
          <w:lang w:val="pt-BR"/>
        </w:rPr>
        <w:t>fora destinada para caracterização por cromatografia gasosa.</w:t>
      </w:r>
    </w:p>
    <w:p w14:paraId="050B2823" w14:textId="77777777" w:rsidR="007F1D9B" w:rsidRPr="00594984" w:rsidRDefault="007F1D9B" w:rsidP="00E92524">
      <w:pPr>
        <w:pStyle w:val="TAMainText"/>
        <w:rPr>
          <w:rFonts w:ascii="Times New Roman" w:hAnsi="Times New Roman"/>
          <w:lang w:val="pt-BR"/>
        </w:rPr>
      </w:pPr>
    </w:p>
    <w:bookmarkEnd w:id="2"/>
    <w:p w14:paraId="3F5C1D3B" w14:textId="77777777" w:rsidR="001F6B85" w:rsidRPr="001F6B85" w:rsidRDefault="001F6B85" w:rsidP="001F6B85">
      <w:pPr>
        <w:pStyle w:val="TAMainText"/>
        <w:ind w:firstLine="0"/>
        <w:rPr>
          <w:rFonts w:ascii="Times New Roman" w:hAnsi="Times New Roman"/>
          <w:i/>
          <w:iCs/>
          <w:lang w:val="pt-BR"/>
        </w:rPr>
      </w:pPr>
      <w:r w:rsidRPr="001F6B85">
        <w:rPr>
          <w:rFonts w:ascii="Times New Roman" w:hAnsi="Times New Roman"/>
          <w:i/>
          <w:iCs/>
          <w:lang w:val="pt-BR"/>
        </w:rPr>
        <w:t>2.4 Caracterização do biodiesel</w:t>
      </w:r>
    </w:p>
    <w:p w14:paraId="670374FC" w14:textId="77777777" w:rsidR="007F1D9B" w:rsidRDefault="007F1D9B" w:rsidP="001F6B85">
      <w:pPr>
        <w:pStyle w:val="TAMainText"/>
        <w:rPr>
          <w:rFonts w:ascii="Times New Roman" w:hAnsi="Times New Roman"/>
          <w:lang w:val="pt-BR"/>
        </w:rPr>
      </w:pPr>
      <w:r w:rsidRPr="007F1D9B">
        <w:rPr>
          <w:rFonts w:ascii="Times New Roman" w:hAnsi="Times New Roman"/>
          <w:lang w:val="pt-BR"/>
        </w:rPr>
        <w:t>Para caracterizar o biodiesel produzido, foram preparadas diluições das amostras em diclorometano</w:t>
      </w:r>
      <w:r>
        <w:rPr>
          <w:rFonts w:ascii="Times New Roman" w:hAnsi="Times New Roman"/>
          <w:lang w:val="pt-BR"/>
        </w:rPr>
        <w:t xml:space="preserve"> pesando 0,5g de </w:t>
      </w:r>
      <w:r>
        <w:rPr>
          <w:rFonts w:ascii="Times New Roman" w:hAnsi="Times New Roman"/>
          <w:lang w:val="pt-BR"/>
        </w:rPr>
        <w:t>amostra em um balão volumétrico de 10 mL e completando o volume com o solvente</w:t>
      </w:r>
      <w:r w:rsidRPr="007F1D9B">
        <w:rPr>
          <w:rFonts w:ascii="Times New Roman" w:hAnsi="Times New Roman"/>
          <w:lang w:val="pt-BR"/>
        </w:rPr>
        <w:t xml:space="preserve">. </w:t>
      </w:r>
    </w:p>
    <w:p w14:paraId="09BA51CD" w14:textId="2A6625E8" w:rsidR="007F1D9B" w:rsidRDefault="007F1D9B" w:rsidP="001F6B85">
      <w:pPr>
        <w:pStyle w:val="TAMainText"/>
        <w:rPr>
          <w:rFonts w:ascii="Times New Roman" w:hAnsi="Times New Roman"/>
          <w:lang w:val="pt-BR"/>
        </w:rPr>
      </w:pPr>
      <w:r w:rsidRPr="007F1D9B">
        <w:rPr>
          <w:rFonts w:ascii="Times New Roman" w:hAnsi="Times New Roman"/>
          <w:lang w:val="pt-BR"/>
        </w:rPr>
        <w:t xml:space="preserve">Em cada </w:t>
      </w:r>
      <w:proofErr w:type="spellStart"/>
      <w:r w:rsidRPr="007F1D9B">
        <w:rPr>
          <w:rFonts w:ascii="Times New Roman" w:hAnsi="Times New Roman"/>
          <w:lang w:val="pt-BR"/>
        </w:rPr>
        <w:t>vial</w:t>
      </w:r>
      <w:proofErr w:type="spellEnd"/>
      <w:r w:rsidRPr="007F1D9B">
        <w:rPr>
          <w:rFonts w:ascii="Times New Roman" w:hAnsi="Times New Roman"/>
          <w:lang w:val="pt-BR"/>
        </w:rPr>
        <w:t xml:space="preserve"> foram adicionados 200 </w:t>
      </w:r>
      <w:proofErr w:type="spellStart"/>
      <w:r w:rsidRPr="007F1D9B">
        <w:rPr>
          <w:rFonts w:ascii="Times New Roman" w:hAnsi="Times New Roman"/>
          <w:lang w:val="pt-BR"/>
        </w:rPr>
        <w:t>μL</w:t>
      </w:r>
      <w:proofErr w:type="spellEnd"/>
      <w:r w:rsidRPr="007F1D9B">
        <w:rPr>
          <w:rFonts w:ascii="Times New Roman" w:hAnsi="Times New Roman"/>
          <w:lang w:val="pt-BR"/>
        </w:rPr>
        <w:t xml:space="preserve"> da diluição, 0,5 mL de diclorometano e 40 </w:t>
      </w:r>
      <w:proofErr w:type="spellStart"/>
      <w:r w:rsidRPr="007F1D9B">
        <w:rPr>
          <w:rFonts w:ascii="Times New Roman" w:hAnsi="Times New Roman"/>
          <w:lang w:val="pt-BR"/>
        </w:rPr>
        <w:t>μL</w:t>
      </w:r>
      <w:proofErr w:type="spellEnd"/>
      <w:r w:rsidRPr="007F1D9B">
        <w:rPr>
          <w:rFonts w:ascii="Times New Roman" w:hAnsi="Times New Roman"/>
          <w:lang w:val="pt-BR"/>
        </w:rPr>
        <w:t xml:space="preserve"> de </w:t>
      </w:r>
      <w:proofErr w:type="spellStart"/>
      <w:r w:rsidRPr="007F1D9B">
        <w:rPr>
          <w:rFonts w:ascii="Times New Roman" w:hAnsi="Times New Roman"/>
          <w:lang w:val="pt-BR"/>
        </w:rPr>
        <w:t>derivatizante</w:t>
      </w:r>
      <w:proofErr w:type="spellEnd"/>
      <w:r w:rsidRPr="007F1D9B">
        <w:rPr>
          <w:rFonts w:ascii="Times New Roman" w:hAnsi="Times New Roman"/>
          <w:lang w:val="pt-BR"/>
        </w:rPr>
        <w:t xml:space="preserve"> (MSTFA). Os </w:t>
      </w:r>
      <w:proofErr w:type="spellStart"/>
      <w:r w:rsidRPr="007F1D9B">
        <w:rPr>
          <w:rFonts w:ascii="Times New Roman" w:hAnsi="Times New Roman"/>
          <w:lang w:val="pt-BR"/>
        </w:rPr>
        <w:t>vials</w:t>
      </w:r>
      <w:proofErr w:type="spellEnd"/>
      <w:r>
        <w:rPr>
          <w:rFonts w:ascii="Times New Roman" w:hAnsi="Times New Roman"/>
          <w:lang w:val="pt-BR"/>
        </w:rPr>
        <w:t xml:space="preserve"> então</w:t>
      </w:r>
      <w:r w:rsidRPr="007F1D9B">
        <w:rPr>
          <w:rFonts w:ascii="Times New Roman" w:hAnsi="Times New Roman"/>
          <w:lang w:val="pt-BR"/>
        </w:rPr>
        <w:t xml:space="preserve"> foram selados e colocados em banho de areia a 80°C por 30 minutos</w:t>
      </w:r>
      <w:r>
        <w:rPr>
          <w:rFonts w:ascii="Times New Roman" w:hAnsi="Times New Roman"/>
          <w:lang w:val="pt-BR"/>
        </w:rPr>
        <w:t xml:space="preserve"> e, a</w:t>
      </w:r>
      <w:r w:rsidRPr="007F1D9B">
        <w:rPr>
          <w:rFonts w:ascii="Times New Roman" w:hAnsi="Times New Roman"/>
          <w:lang w:val="pt-BR"/>
        </w:rPr>
        <w:t xml:space="preserve">pós esse tempo, as amostras foram avolumadas a 1 mL com diclorometano e levadas para o </w:t>
      </w:r>
      <w:proofErr w:type="spellStart"/>
      <w:r w:rsidRPr="007F1D9B">
        <w:rPr>
          <w:rFonts w:ascii="Times New Roman" w:hAnsi="Times New Roman"/>
          <w:lang w:val="pt-BR"/>
        </w:rPr>
        <w:t>cromatógrafo</w:t>
      </w:r>
      <w:proofErr w:type="spellEnd"/>
      <w:r w:rsidR="00321DA1">
        <w:rPr>
          <w:rFonts w:ascii="Times New Roman" w:hAnsi="Times New Roman"/>
          <w:lang w:val="pt-BR"/>
        </w:rPr>
        <w:t xml:space="preserve"> (2</w:t>
      </w:r>
      <w:r w:rsidR="00B8020C">
        <w:rPr>
          <w:rFonts w:ascii="Times New Roman" w:hAnsi="Times New Roman"/>
          <w:lang w:val="pt-BR"/>
        </w:rPr>
        <w:t>1</w:t>
      </w:r>
      <w:r w:rsidR="00321DA1">
        <w:rPr>
          <w:rFonts w:ascii="Times New Roman" w:hAnsi="Times New Roman"/>
          <w:lang w:val="pt-BR"/>
        </w:rPr>
        <w:t>)</w:t>
      </w:r>
      <w:r w:rsidRPr="007F1D9B">
        <w:rPr>
          <w:rFonts w:ascii="Times New Roman" w:hAnsi="Times New Roman"/>
          <w:lang w:val="pt-BR"/>
        </w:rPr>
        <w:t>.</w:t>
      </w:r>
      <w:r w:rsidR="001E6ABA">
        <w:rPr>
          <w:rFonts w:ascii="Times New Roman" w:hAnsi="Times New Roman"/>
          <w:lang w:val="pt-BR"/>
        </w:rPr>
        <w:t xml:space="preserve"> As amostras de biodiesel foram </w:t>
      </w:r>
      <w:proofErr w:type="spellStart"/>
      <w:r w:rsidR="001E6ABA">
        <w:rPr>
          <w:rFonts w:ascii="Times New Roman" w:hAnsi="Times New Roman"/>
          <w:lang w:val="pt-BR"/>
        </w:rPr>
        <w:t>derivatizadas</w:t>
      </w:r>
      <w:proofErr w:type="spellEnd"/>
      <w:r w:rsidR="001E6ABA">
        <w:rPr>
          <w:rFonts w:ascii="Times New Roman" w:hAnsi="Times New Roman"/>
          <w:lang w:val="pt-BR"/>
        </w:rPr>
        <w:t xml:space="preserve"> com MSTFA para proteger a coluna cromatográfica dos compostos não convertidos durante as reações de síntese, principalmente no início das reações.</w:t>
      </w:r>
    </w:p>
    <w:p w14:paraId="560BAC97" w14:textId="5BB2CA25" w:rsidR="007F1D9B" w:rsidRDefault="007F1D9B" w:rsidP="001F6B85">
      <w:pPr>
        <w:pStyle w:val="TAMainText"/>
        <w:rPr>
          <w:rFonts w:ascii="Times New Roman" w:hAnsi="Times New Roman"/>
          <w:lang w:val="pt-BR"/>
        </w:rPr>
      </w:pPr>
      <w:r w:rsidRPr="007F1D9B">
        <w:rPr>
          <w:rFonts w:ascii="Times New Roman" w:hAnsi="Times New Roman"/>
          <w:lang w:val="pt-BR"/>
        </w:rPr>
        <w:t xml:space="preserve">Os dados obtidos após o término do processo de cromatografia gasosa foram processados no software GCMS </w:t>
      </w:r>
      <w:proofErr w:type="spellStart"/>
      <w:r w:rsidRPr="007F1D9B">
        <w:rPr>
          <w:rFonts w:ascii="Times New Roman" w:hAnsi="Times New Roman"/>
          <w:lang w:val="pt-BR"/>
        </w:rPr>
        <w:t>postrun</w:t>
      </w:r>
      <w:proofErr w:type="spellEnd"/>
      <w:r w:rsidRPr="007F1D9B">
        <w:rPr>
          <w:rFonts w:ascii="Times New Roman" w:hAnsi="Times New Roman"/>
          <w:lang w:val="pt-BR"/>
        </w:rPr>
        <w:t xml:space="preserve"> </w:t>
      </w:r>
      <w:proofErr w:type="spellStart"/>
      <w:r w:rsidRPr="007F1D9B">
        <w:rPr>
          <w:rFonts w:ascii="Times New Roman" w:hAnsi="Times New Roman"/>
          <w:lang w:val="pt-BR"/>
        </w:rPr>
        <w:t>analisys</w:t>
      </w:r>
      <w:proofErr w:type="spellEnd"/>
      <w:r w:rsidRPr="007F1D9B">
        <w:rPr>
          <w:rFonts w:ascii="Times New Roman" w:hAnsi="Times New Roman"/>
          <w:lang w:val="pt-BR"/>
        </w:rPr>
        <w:t xml:space="preserve"> </w:t>
      </w:r>
      <w:proofErr w:type="spellStart"/>
      <w:r w:rsidRPr="007F1D9B">
        <w:rPr>
          <w:rFonts w:ascii="Times New Roman" w:hAnsi="Times New Roman"/>
          <w:lang w:val="pt-BR"/>
        </w:rPr>
        <w:t>version</w:t>
      </w:r>
      <w:proofErr w:type="spellEnd"/>
      <w:r w:rsidRPr="007F1D9B">
        <w:rPr>
          <w:rFonts w:ascii="Times New Roman" w:hAnsi="Times New Roman"/>
          <w:lang w:val="pt-BR"/>
        </w:rPr>
        <w:t xml:space="preserve"> 4.42 utilizando a integração automática com um corte de área mínima de 10.000 </w:t>
      </w:r>
      <w:proofErr w:type="spellStart"/>
      <w:r w:rsidRPr="007F1D9B">
        <w:rPr>
          <w:rFonts w:ascii="Times New Roman" w:hAnsi="Times New Roman"/>
          <w:lang w:val="pt-BR"/>
        </w:rPr>
        <w:t>u.a</w:t>
      </w:r>
      <w:proofErr w:type="spellEnd"/>
      <w:r>
        <w:rPr>
          <w:rFonts w:ascii="Times New Roman" w:hAnsi="Times New Roman"/>
          <w:lang w:val="pt-BR"/>
        </w:rPr>
        <w:t>., e a</w:t>
      </w:r>
      <w:r w:rsidRPr="007F1D9B">
        <w:rPr>
          <w:rFonts w:ascii="Times New Roman" w:hAnsi="Times New Roman"/>
          <w:lang w:val="pt-BR"/>
        </w:rPr>
        <w:t xml:space="preserve"> identificação de ésteres e outros compostos presentes nos produtos ocorreu por meio da comparação com a base de dados do NIST</w:t>
      </w:r>
      <w:r>
        <w:rPr>
          <w:rFonts w:ascii="Times New Roman" w:hAnsi="Times New Roman"/>
          <w:lang w:val="pt-BR"/>
        </w:rPr>
        <w:t>.</w:t>
      </w:r>
      <w:r w:rsidR="00D05D07">
        <w:rPr>
          <w:rFonts w:ascii="Times New Roman" w:hAnsi="Times New Roman"/>
          <w:lang w:val="pt-BR"/>
        </w:rPr>
        <w:t xml:space="preserve"> </w:t>
      </w: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405CA660" w14:textId="3DE50F47" w:rsidR="008707FC" w:rsidRDefault="00205A70" w:rsidP="00C33F0E">
      <w:pPr>
        <w:pStyle w:val="TAMainText"/>
        <w:ind w:firstLine="187"/>
        <w:rPr>
          <w:rFonts w:ascii="Times New Roman" w:hAnsi="Times New Roman"/>
          <w:lang w:val="pt-BR"/>
        </w:rPr>
      </w:pPr>
      <w:bookmarkStart w:id="5" w:name="_Hlk130525943"/>
      <w:r>
        <w:rPr>
          <w:rFonts w:ascii="Times New Roman" w:hAnsi="Times New Roman"/>
          <w:lang w:val="pt-BR"/>
        </w:rPr>
        <w:t xml:space="preserve">O biodiesel produzido nas sínteses empregando </w:t>
      </w:r>
      <w:proofErr w:type="spellStart"/>
      <w:r>
        <w:rPr>
          <w:rFonts w:ascii="Times New Roman" w:hAnsi="Times New Roman"/>
          <w:lang w:val="pt-BR"/>
        </w:rPr>
        <w:t>CaO</w:t>
      </w:r>
      <w:proofErr w:type="spellEnd"/>
      <w:r>
        <w:rPr>
          <w:rFonts w:ascii="Times New Roman" w:hAnsi="Times New Roman"/>
          <w:lang w:val="pt-BR"/>
        </w:rPr>
        <w:t xml:space="preserve"> como catalisador, através do banho </w:t>
      </w:r>
      <w:proofErr w:type="spellStart"/>
      <w:r>
        <w:rPr>
          <w:rFonts w:ascii="Times New Roman" w:hAnsi="Times New Roman"/>
          <w:lang w:val="pt-BR"/>
        </w:rPr>
        <w:t>utltrassônico</w:t>
      </w:r>
      <w:proofErr w:type="spellEnd"/>
      <w:r>
        <w:rPr>
          <w:rFonts w:ascii="Times New Roman" w:hAnsi="Times New Roman"/>
          <w:lang w:val="pt-BR"/>
        </w:rPr>
        <w:t xml:space="preserve"> e da agitação magnética está apresentado nas</w:t>
      </w:r>
      <w:r w:rsidR="00AF64C4">
        <w:rPr>
          <w:rFonts w:ascii="Times New Roman" w:hAnsi="Times New Roman"/>
          <w:lang w:val="pt-BR"/>
        </w:rPr>
        <w:t xml:space="preserve"> Figuras 1 e 2</w:t>
      </w:r>
      <w:r>
        <w:rPr>
          <w:rFonts w:ascii="Times New Roman" w:hAnsi="Times New Roman"/>
          <w:lang w:val="pt-BR"/>
        </w:rPr>
        <w:t>, respectivamente</w:t>
      </w:r>
      <w:r w:rsidR="00AF64C4">
        <w:rPr>
          <w:rFonts w:ascii="Times New Roman" w:hAnsi="Times New Roman"/>
          <w:lang w:val="pt-BR"/>
        </w:rPr>
        <w:t xml:space="preserve">. </w:t>
      </w:r>
      <w:r>
        <w:rPr>
          <w:rFonts w:ascii="Times New Roman" w:hAnsi="Times New Roman"/>
          <w:lang w:val="pt-BR"/>
        </w:rPr>
        <w:t>É</w:t>
      </w:r>
      <w:r w:rsidR="00AF64C4">
        <w:rPr>
          <w:rFonts w:ascii="Times New Roman" w:hAnsi="Times New Roman"/>
          <w:lang w:val="pt-BR"/>
        </w:rPr>
        <w:t xml:space="preserve"> possível perceber que a síntese com o emprego de ultrassom para agitação se mostrou com uma coloração mais clara, obtendo um biodiesel amarelo vívido</w:t>
      </w:r>
      <w:r w:rsidR="00607ABE">
        <w:rPr>
          <w:rFonts w:ascii="Times New Roman" w:hAnsi="Times New Roman"/>
          <w:lang w:val="pt-BR"/>
        </w:rPr>
        <w:t xml:space="preserve"> mais semelhante à cor característica desse produto</w:t>
      </w:r>
      <w:r w:rsidR="00AF64C4">
        <w:rPr>
          <w:rFonts w:ascii="Times New Roman" w:hAnsi="Times New Roman"/>
          <w:lang w:val="pt-BR"/>
        </w:rPr>
        <w:t xml:space="preserve"> </w:t>
      </w:r>
      <w:r w:rsidR="00607ABE">
        <w:rPr>
          <w:rFonts w:ascii="Times New Roman" w:hAnsi="Times New Roman"/>
          <w:lang w:val="pt-BR"/>
        </w:rPr>
        <w:t xml:space="preserve">e uma glicerina branca translúcida. Já o biodiesel originado a partir da síntese realizada com agitação </w:t>
      </w:r>
      <w:r w:rsidR="00F97245">
        <w:rPr>
          <w:rFonts w:ascii="Times New Roman" w:hAnsi="Times New Roman"/>
          <w:lang w:val="pt-BR"/>
        </w:rPr>
        <w:t>magnética</w:t>
      </w:r>
      <w:r w:rsidR="00607ABE">
        <w:rPr>
          <w:rFonts w:ascii="Times New Roman" w:hAnsi="Times New Roman"/>
          <w:lang w:val="pt-BR"/>
        </w:rPr>
        <w:t xml:space="preserve"> apresentou uma coloração mais escura bem próxima da tonalidade observada na glicerina também.</w:t>
      </w:r>
    </w:p>
    <w:bookmarkEnd w:id="5"/>
    <w:p w14:paraId="36D65BEF" w14:textId="77777777" w:rsidR="00607ABE" w:rsidRDefault="00607ABE" w:rsidP="00EA4E1B">
      <w:pPr>
        <w:pStyle w:val="TAMainText"/>
        <w:ind w:firstLine="187"/>
        <w:rPr>
          <w:rFonts w:ascii="Times New Roman" w:hAnsi="Times New Roman"/>
          <w:lang w:val="pt-BR"/>
        </w:rPr>
      </w:pPr>
    </w:p>
    <w:p w14:paraId="4F620F5F" w14:textId="6F19DA34" w:rsidR="00607ABE" w:rsidRDefault="00607ABE" w:rsidP="00607ABE">
      <w:pPr>
        <w:jc w:val="center"/>
        <w:rPr>
          <w:lang w:eastAsia="pt-BR"/>
        </w:rPr>
      </w:pPr>
      <w:r>
        <w:rPr>
          <w:noProof/>
          <w:lang w:eastAsia="pt-BR"/>
        </w:rPr>
        <w:drawing>
          <wp:inline distT="0" distB="0" distL="0" distR="0" wp14:anchorId="7C893E47" wp14:editId="7D517DE4">
            <wp:extent cx="2205789" cy="2944134"/>
            <wp:effectExtent l="0" t="0" r="4445"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4193" cy="3062130"/>
                    </a:xfrm>
                    <a:prstGeom prst="rect">
                      <a:avLst/>
                    </a:prstGeom>
                  </pic:spPr>
                </pic:pic>
              </a:graphicData>
            </a:graphic>
          </wp:inline>
        </w:drawing>
      </w:r>
    </w:p>
    <w:p w14:paraId="7B88FB4B" w14:textId="3A579DFF" w:rsidR="00C33F0E" w:rsidRPr="00FC19F9" w:rsidRDefault="00607ABE" w:rsidP="00FC19F9">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Pr>
          <w:rFonts w:ascii="Times New Roman" w:hAnsi="Times New Roman"/>
          <w:lang w:val="pt-BR"/>
        </w:rPr>
        <w:t>Produtos obtidos a partir da síntese realizada empregando banho ultrassônico.</w:t>
      </w:r>
    </w:p>
    <w:p w14:paraId="3E9B810B" w14:textId="77777777" w:rsidR="00607ABE" w:rsidRDefault="00607ABE" w:rsidP="00607ABE">
      <w:pPr>
        <w:jc w:val="center"/>
        <w:rPr>
          <w:lang w:eastAsia="pt-BR"/>
        </w:rPr>
      </w:pPr>
      <w:r>
        <w:rPr>
          <w:noProof/>
          <w:lang w:eastAsia="pt-BR"/>
        </w:rPr>
        <w:lastRenderedPageBreak/>
        <w:drawing>
          <wp:inline distT="0" distB="0" distL="0" distR="0" wp14:anchorId="4BC2CDDD" wp14:editId="4886C103">
            <wp:extent cx="2144110" cy="2936460"/>
            <wp:effectExtent l="0" t="0" r="889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rotWithShape="1">
                    <a:blip r:embed="rId10" cstate="print">
                      <a:extLst>
                        <a:ext uri="{28A0092B-C50C-407E-A947-70E740481C1C}">
                          <a14:useLocalDpi xmlns:a14="http://schemas.microsoft.com/office/drawing/2010/main" val="0"/>
                        </a:ext>
                      </a:extLst>
                    </a:blip>
                    <a:srcRect l="14783" t="12506" r="-52"/>
                    <a:stretch/>
                  </pic:blipFill>
                  <pic:spPr bwMode="auto">
                    <a:xfrm>
                      <a:off x="0" y="0"/>
                      <a:ext cx="2203819" cy="3018234"/>
                    </a:xfrm>
                    <a:prstGeom prst="rect">
                      <a:avLst/>
                    </a:prstGeom>
                    <a:ln>
                      <a:noFill/>
                    </a:ln>
                    <a:extLst>
                      <a:ext uri="{53640926-AAD7-44D8-BBD7-CCE9431645EC}">
                        <a14:shadowObscured xmlns:a14="http://schemas.microsoft.com/office/drawing/2010/main"/>
                      </a:ext>
                    </a:extLst>
                  </pic:spPr>
                </pic:pic>
              </a:graphicData>
            </a:graphic>
          </wp:inline>
        </w:drawing>
      </w:r>
    </w:p>
    <w:p w14:paraId="1D64C9B9" w14:textId="00A5A726" w:rsidR="00607ABE" w:rsidRDefault="00607ABE" w:rsidP="00607ABE">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Produtos obtidos a partir da síntese realizada empregando agitador magnético.</w:t>
      </w:r>
    </w:p>
    <w:p w14:paraId="0EA26460" w14:textId="77777777" w:rsidR="00607ABE" w:rsidRPr="00C33F0E" w:rsidRDefault="00607ABE" w:rsidP="00607ABE">
      <w:pPr>
        <w:rPr>
          <w:rFonts w:ascii="Times New Roman" w:hAnsi="Times New Roman" w:cs="Times New Roman"/>
          <w:sz w:val="20"/>
          <w:szCs w:val="20"/>
          <w:lang w:eastAsia="pt-BR"/>
        </w:rPr>
      </w:pPr>
    </w:p>
    <w:p w14:paraId="675A77E8" w14:textId="4E551761" w:rsidR="00EA4E1B" w:rsidRPr="00E038AF" w:rsidRDefault="00682082" w:rsidP="00EA4E1B">
      <w:pPr>
        <w:pStyle w:val="TAMainText"/>
        <w:ind w:firstLine="187"/>
        <w:rPr>
          <w:rFonts w:ascii="Times New Roman" w:hAnsi="Times New Roman"/>
          <w:lang w:val="pt-BR"/>
        </w:rPr>
      </w:pPr>
      <w:bookmarkStart w:id="6" w:name="_Hlk130525661"/>
      <w:r w:rsidRPr="00C33F0E">
        <w:rPr>
          <w:rFonts w:ascii="Times New Roman" w:hAnsi="Times New Roman"/>
          <w:lang w:val="pt-BR"/>
        </w:rPr>
        <w:t>A</w:t>
      </w:r>
      <w:r w:rsidR="001A60AF" w:rsidRPr="00C33F0E">
        <w:rPr>
          <w:rFonts w:ascii="Times New Roman" w:hAnsi="Times New Roman"/>
          <w:lang w:val="pt-BR"/>
        </w:rPr>
        <w:t xml:space="preserve"> análise</w:t>
      </w:r>
      <w:r w:rsidR="001A60AF">
        <w:rPr>
          <w:rFonts w:ascii="Times New Roman" w:hAnsi="Times New Roman"/>
          <w:lang w:val="pt-BR"/>
        </w:rPr>
        <w:t xml:space="preserve"> dos dados obtidos após a medição dos volumes de biodiesel e de glicerina produzidos indicou que</w:t>
      </w:r>
      <w:r w:rsidR="00AF64C4">
        <w:rPr>
          <w:rFonts w:ascii="Times New Roman" w:hAnsi="Times New Roman"/>
          <w:lang w:val="pt-BR"/>
        </w:rPr>
        <w:t xml:space="preserve"> a síntese com a utilização do banho ultrassônico produziu um maior </w:t>
      </w:r>
      <w:bookmarkEnd w:id="6"/>
      <w:r w:rsidR="00AF64C4">
        <w:rPr>
          <w:rFonts w:ascii="Times New Roman" w:hAnsi="Times New Roman"/>
          <w:lang w:val="pt-BR"/>
        </w:rPr>
        <w:t>volume de biodiesel,</w:t>
      </w:r>
      <w:r w:rsidR="00823B40">
        <w:rPr>
          <w:rFonts w:ascii="Times New Roman" w:hAnsi="Times New Roman"/>
          <w:lang w:val="pt-BR"/>
        </w:rPr>
        <w:t xml:space="preserve"> desconsiderando o volume das alíquotas retiradas, de 9 mL,</w:t>
      </w:r>
      <w:r w:rsidR="00AF64C4">
        <w:rPr>
          <w:rFonts w:ascii="Times New Roman" w:hAnsi="Times New Roman"/>
          <w:lang w:val="pt-BR"/>
        </w:rPr>
        <w:t xml:space="preserve"> origin</w:t>
      </w:r>
      <w:r w:rsidR="00823B40">
        <w:rPr>
          <w:rFonts w:ascii="Times New Roman" w:hAnsi="Times New Roman"/>
          <w:lang w:val="pt-BR"/>
        </w:rPr>
        <w:t>ou</w:t>
      </w:r>
      <w:r w:rsidR="00AF64C4">
        <w:rPr>
          <w:rFonts w:ascii="Times New Roman" w:hAnsi="Times New Roman"/>
          <w:lang w:val="pt-BR"/>
        </w:rPr>
        <w:t xml:space="preserve"> 99,00 mL desse produto, enquanto que a síntese realizada sobre o agitador magnético produziu um pouco menos, sintetizando 91,00 mL de combustível</w:t>
      </w:r>
      <w:r w:rsidR="00BD619D">
        <w:rPr>
          <w:rFonts w:ascii="Times New Roman" w:hAnsi="Times New Roman"/>
          <w:lang w:val="pt-BR"/>
        </w:rPr>
        <w:t xml:space="preserve">, </w:t>
      </w:r>
      <w:r w:rsidR="00823B40">
        <w:rPr>
          <w:rFonts w:ascii="Times New Roman" w:hAnsi="Times New Roman"/>
          <w:lang w:val="pt-BR"/>
        </w:rPr>
        <w:t>também desconsiderando os 10 mL retirados para análise cinética</w:t>
      </w:r>
      <w:r w:rsidR="00AF64C4">
        <w:rPr>
          <w:rFonts w:ascii="Times New Roman" w:hAnsi="Times New Roman"/>
          <w:lang w:val="pt-BR"/>
        </w:rPr>
        <w:t>. Quanto ao volume de glicerina medido, ambas sínteses obtiveram a mesma quantidade desse subproduto, como pode ser visualizado na Tabela 1.</w:t>
      </w:r>
    </w:p>
    <w:p w14:paraId="14B6F11A" w14:textId="3AF6FDDB" w:rsidR="00EA4E1B" w:rsidRDefault="00EA4E1B" w:rsidP="00EA4E1B">
      <w:pPr>
        <w:pStyle w:val="TAMainText"/>
        <w:ind w:firstLine="187"/>
        <w:rPr>
          <w:lang w:val="pt-BR"/>
        </w:rPr>
      </w:pPr>
    </w:p>
    <w:p w14:paraId="61137E85" w14:textId="1E829136" w:rsidR="00AF64C4" w:rsidRPr="00E038AF" w:rsidRDefault="00AF64C4" w:rsidP="00AF64C4">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Pr>
          <w:rFonts w:ascii="Times New Roman" w:hAnsi="Times New Roman"/>
          <w:lang w:val="pt-BR"/>
        </w:rPr>
        <w:t xml:space="preserve">Comparação entre os volumes de biodiesel e glicerina produzidos a partir das sínteses com agitação </w:t>
      </w:r>
      <w:r w:rsidR="00F97245">
        <w:rPr>
          <w:rFonts w:ascii="Times New Roman" w:hAnsi="Times New Roman"/>
          <w:lang w:val="pt-BR"/>
        </w:rPr>
        <w:t>magnética</w:t>
      </w:r>
      <w:r>
        <w:rPr>
          <w:rFonts w:ascii="Times New Roman" w:hAnsi="Times New Roman"/>
          <w:lang w:val="pt-BR"/>
        </w:rPr>
        <w:t xml:space="preserve"> e ultrassônica.</w:t>
      </w:r>
    </w:p>
    <w:tbl>
      <w:tblPr>
        <w:tblStyle w:val="Tabelacomgrade"/>
        <w:tblW w:w="0" w:type="auto"/>
        <w:tblLook w:val="04A0" w:firstRow="1" w:lastRow="0" w:firstColumn="1" w:lastColumn="0" w:noHBand="0" w:noVBand="1"/>
      </w:tblPr>
      <w:tblGrid>
        <w:gridCol w:w="1586"/>
        <w:gridCol w:w="1586"/>
        <w:gridCol w:w="1586"/>
      </w:tblGrid>
      <w:tr w:rsidR="00AF64C4" w:rsidRPr="00884FF4" w14:paraId="27814905" w14:textId="77777777" w:rsidTr="00D66A12">
        <w:tc>
          <w:tcPr>
            <w:tcW w:w="1586" w:type="dxa"/>
            <w:shd w:val="clear" w:color="auto" w:fill="F2F2F2" w:themeFill="background1" w:themeFillShade="F2"/>
          </w:tcPr>
          <w:p w14:paraId="43E9A83B" w14:textId="77777777" w:rsidR="00AF64C4" w:rsidRPr="00884FF4" w:rsidRDefault="00AF64C4" w:rsidP="00D66A12">
            <w:pPr>
              <w:jc w:val="center"/>
              <w:rPr>
                <w:rFonts w:ascii="Times New Roman" w:eastAsia="Times New Roman" w:hAnsi="Times New Roman" w:cs="Times New Roman"/>
                <w:sz w:val="18"/>
                <w:szCs w:val="20"/>
                <w:lang w:eastAsia="pt-BR"/>
              </w:rPr>
            </w:pPr>
            <w:r w:rsidRPr="00884FF4">
              <w:rPr>
                <w:rFonts w:ascii="Times New Roman" w:eastAsia="Times New Roman" w:hAnsi="Times New Roman" w:cs="Times New Roman"/>
                <w:sz w:val="18"/>
                <w:szCs w:val="20"/>
                <w:lang w:eastAsia="pt-BR"/>
              </w:rPr>
              <w:t>Síntese</w:t>
            </w:r>
          </w:p>
        </w:tc>
        <w:tc>
          <w:tcPr>
            <w:tcW w:w="1586" w:type="dxa"/>
            <w:shd w:val="clear" w:color="auto" w:fill="F2F2F2" w:themeFill="background1" w:themeFillShade="F2"/>
          </w:tcPr>
          <w:p w14:paraId="75E7B932" w14:textId="77777777" w:rsidR="00AF64C4" w:rsidRPr="00884FF4" w:rsidRDefault="00AF64C4" w:rsidP="00D66A12">
            <w:pPr>
              <w:jc w:val="center"/>
              <w:rPr>
                <w:rFonts w:ascii="Times New Roman" w:eastAsia="Times New Roman" w:hAnsi="Times New Roman" w:cs="Times New Roman"/>
                <w:sz w:val="18"/>
                <w:szCs w:val="20"/>
                <w:lang w:eastAsia="pt-BR"/>
              </w:rPr>
            </w:pPr>
            <w:r w:rsidRPr="00884FF4">
              <w:rPr>
                <w:rFonts w:ascii="Times New Roman" w:eastAsia="Times New Roman" w:hAnsi="Times New Roman" w:cs="Times New Roman"/>
                <w:sz w:val="18"/>
                <w:szCs w:val="20"/>
                <w:lang w:eastAsia="pt-BR"/>
              </w:rPr>
              <w:t>Volume de biodiesel (mL)</w:t>
            </w:r>
          </w:p>
        </w:tc>
        <w:tc>
          <w:tcPr>
            <w:tcW w:w="1586" w:type="dxa"/>
            <w:shd w:val="clear" w:color="auto" w:fill="F2F2F2" w:themeFill="background1" w:themeFillShade="F2"/>
          </w:tcPr>
          <w:p w14:paraId="55B8A43B" w14:textId="77777777" w:rsidR="00AF64C4" w:rsidRPr="00884FF4" w:rsidRDefault="00AF64C4" w:rsidP="00D66A12">
            <w:pPr>
              <w:jc w:val="center"/>
              <w:rPr>
                <w:rFonts w:ascii="Times New Roman" w:eastAsia="Times New Roman" w:hAnsi="Times New Roman" w:cs="Times New Roman"/>
                <w:sz w:val="18"/>
                <w:szCs w:val="20"/>
                <w:lang w:eastAsia="pt-BR"/>
              </w:rPr>
            </w:pPr>
            <w:r w:rsidRPr="00884FF4">
              <w:rPr>
                <w:rFonts w:ascii="Times New Roman" w:eastAsia="Times New Roman" w:hAnsi="Times New Roman" w:cs="Times New Roman"/>
                <w:sz w:val="18"/>
                <w:szCs w:val="20"/>
                <w:lang w:eastAsia="pt-BR"/>
              </w:rPr>
              <w:t>Volume de glicerina (mL)</w:t>
            </w:r>
          </w:p>
        </w:tc>
      </w:tr>
      <w:tr w:rsidR="00AF64C4" w:rsidRPr="00884FF4" w14:paraId="0AE7174D" w14:textId="77777777" w:rsidTr="00D66A12">
        <w:tc>
          <w:tcPr>
            <w:tcW w:w="1586" w:type="dxa"/>
          </w:tcPr>
          <w:p w14:paraId="25DB19A3" w14:textId="12424C05" w:rsidR="00AF64C4" w:rsidRPr="00884FF4" w:rsidRDefault="00AF64C4" w:rsidP="00D66A12">
            <w:pPr>
              <w:jc w:val="center"/>
              <w:rPr>
                <w:rFonts w:ascii="Times New Roman" w:eastAsia="Times New Roman" w:hAnsi="Times New Roman" w:cs="Times New Roman"/>
                <w:sz w:val="18"/>
                <w:szCs w:val="20"/>
                <w:lang w:eastAsia="pt-BR"/>
              </w:rPr>
            </w:pPr>
            <w:r w:rsidRPr="00884FF4">
              <w:rPr>
                <w:rFonts w:ascii="Times New Roman" w:eastAsia="Times New Roman" w:hAnsi="Times New Roman" w:cs="Times New Roman"/>
                <w:sz w:val="18"/>
                <w:szCs w:val="20"/>
                <w:lang w:eastAsia="pt-BR"/>
              </w:rPr>
              <w:t xml:space="preserve">Com agitação </w:t>
            </w:r>
            <w:r w:rsidR="00F97245">
              <w:rPr>
                <w:rFonts w:ascii="Times New Roman" w:eastAsia="Times New Roman" w:hAnsi="Times New Roman" w:cs="Times New Roman"/>
                <w:sz w:val="18"/>
                <w:szCs w:val="20"/>
                <w:lang w:eastAsia="pt-BR"/>
              </w:rPr>
              <w:t>magnética</w:t>
            </w:r>
          </w:p>
        </w:tc>
        <w:tc>
          <w:tcPr>
            <w:tcW w:w="1586" w:type="dxa"/>
          </w:tcPr>
          <w:p w14:paraId="61734D5E" w14:textId="77777777" w:rsidR="00AF64C4" w:rsidRPr="00884FF4" w:rsidRDefault="00AF64C4" w:rsidP="00D66A12">
            <w:pPr>
              <w:jc w:val="center"/>
              <w:rPr>
                <w:rFonts w:ascii="Times New Roman" w:eastAsia="Times New Roman" w:hAnsi="Times New Roman" w:cs="Times New Roman"/>
                <w:sz w:val="18"/>
                <w:szCs w:val="20"/>
                <w:lang w:eastAsia="pt-BR"/>
              </w:rPr>
            </w:pPr>
            <w:r>
              <w:rPr>
                <w:rFonts w:ascii="Times New Roman" w:eastAsia="Times New Roman" w:hAnsi="Times New Roman" w:cs="Times New Roman"/>
                <w:sz w:val="18"/>
                <w:szCs w:val="20"/>
                <w:lang w:eastAsia="pt-BR"/>
              </w:rPr>
              <w:t>91,00</w:t>
            </w:r>
          </w:p>
        </w:tc>
        <w:tc>
          <w:tcPr>
            <w:tcW w:w="1586" w:type="dxa"/>
          </w:tcPr>
          <w:p w14:paraId="1F6BF01C" w14:textId="77777777" w:rsidR="00AF64C4" w:rsidRPr="00884FF4" w:rsidRDefault="00AF64C4" w:rsidP="00D66A12">
            <w:pPr>
              <w:jc w:val="center"/>
              <w:rPr>
                <w:rFonts w:ascii="Times New Roman" w:eastAsia="Times New Roman" w:hAnsi="Times New Roman" w:cs="Times New Roman"/>
                <w:sz w:val="18"/>
                <w:szCs w:val="20"/>
                <w:lang w:eastAsia="pt-BR"/>
              </w:rPr>
            </w:pPr>
            <w:r>
              <w:rPr>
                <w:rFonts w:ascii="Times New Roman" w:eastAsia="Times New Roman" w:hAnsi="Times New Roman" w:cs="Times New Roman"/>
                <w:sz w:val="18"/>
                <w:szCs w:val="20"/>
                <w:lang w:eastAsia="pt-BR"/>
              </w:rPr>
              <w:t>12,00</w:t>
            </w:r>
          </w:p>
        </w:tc>
      </w:tr>
      <w:tr w:rsidR="00AF64C4" w:rsidRPr="00884FF4" w14:paraId="2A454757" w14:textId="77777777" w:rsidTr="00D66A12">
        <w:tc>
          <w:tcPr>
            <w:tcW w:w="1586" w:type="dxa"/>
          </w:tcPr>
          <w:p w14:paraId="5E759021" w14:textId="77777777" w:rsidR="00AF64C4" w:rsidRPr="00884FF4" w:rsidRDefault="00AF64C4" w:rsidP="00D66A12">
            <w:pPr>
              <w:jc w:val="center"/>
              <w:rPr>
                <w:rFonts w:ascii="Times New Roman" w:eastAsia="Times New Roman" w:hAnsi="Times New Roman" w:cs="Times New Roman"/>
                <w:sz w:val="18"/>
                <w:szCs w:val="20"/>
                <w:lang w:eastAsia="pt-BR"/>
              </w:rPr>
            </w:pPr>
            <w:r w:rsidRPr="00884FF4">
              <w:rPr>
                <w:rFonts w:ascii="Times New Roman" w:eastAsia="Times New Roman" w:hAnsi="Times New Roman" w:cs="Times New Roman"/>
                <w:sz w:val="18"/>
                <w:szCs w:val="20"/>
                <w:lang w:eastAsia="pt-BR"/>
              </w:rPr>
              <w:t>Com agitação ultrassônica</w:t>
            </w:r>
          </w:p>
        </w:tc>
        <w:tc>
          <w:tcPr>
            <w:tcW w:w="1586" w:type="dxa"/>
          </w:tcPr>
          <w:p w14:paraId="5F2733CE" w14:textId="77777777" w:rsidR="00AF64C4" w:rsidRPr="00884FF4" w:rsidRDefault="00AF64C4" w:rsidP="00D66A12">
            <w:pPr>
              <w:jc w:val="center"/>
              <w:rPr>
                <w:rFonts w:ascii="Times New Roman" w:eastAsia="Times New Roman" w:hAnsi="Times New Roman" w:cs="Times New Roman"/>
                <w:sz w:val="18"/>
                <w:szCs w:val="20"/>
                <w:lang w:eastAsia="pt-BR"/>
              </w:rPr>
            </w:pPr>
            <w:r>
              <w:rPr>
                <w:rFonts w:ascii="Times New Roman" w:eastAsia="Times New Roman" w:hAnsi="Times New Roman" w:cs="Times New Roman"/>
                <w:sz w:val="18"/>
                <w:szCs w:val="20"/>
                <w:lang w:eastAsia="pt-BR"/>
              </w:rPr>
              <w:t>99,00</w:t>
            </w:r>
          </w:p>
        </w:tc>
        <w:tc>
          <w:tcPr>
            <w:tcW w:w="1586" w:type="dxa"/>
          </w:tcPr>
          <w:p w14:paraId="7DFB3C4D" w14:textId="77777777" w:rsidR="00AF64C4" w:rsidRPr="00884FF4" w:rsidRDefault="00AF64C4" w:rsidP="00D66A12">
            <w:pPr>
              <w:jc w:val="center"/>
              <w:rPr>
                <w:rFonts w:ascii="Times New Roman" w:eastAsia="Times New Roman" w:hAnsi="Times New Roman" w:cs="Times New Roman"/>
                <w:sz w:val="18"/>
                <w:szCs w:val="20"/>
                <w:lang w:eastAsia="pt-BR"/>
              </w:rPr>
            </w:pPr>
            <w:r>
              <w:rPr>
                <w:rFonts w:ascii="Times New Roman" w:eastAsia="Times New Roman" w:hAnsi="Times New Roman" w:cs="Times New Roman"/>
                <w:sz w:val="18"/>
                <w:szCs w:val="20"/>
                <w:lang w:eastAsia="pt-BR"/>
              </w:rPr>
              <w:t>12,00</w:t>
            </w:r>
          </w:p>
        </w:tc>
      </w:tr>
    </w:tbl>
    <w:p w14:paraId="3ECEA7B4" w14:textId="2A41D9A2" w:rsidR="00AF64C4" w:rsidRDefault="00AF64C4" w:rsidP="00AF64C4">
      <w:pPr>
        <w:jc w:val="center"/>
        <w:rPr>
          <w:rFonts w:ascii="Times New Roman" w:eastAsia="Times New Roman" w:hAnsi="Times New Roman" w:cs="Times New Roman"/>
          <w:sz w:val="18"/>
          <w:szCs w:val="20"/>
          <w:lang w:eastAsia="pt-BR"/>
        </w:rPr>
      </w:pPr>
    </w:p>
    <w:p w14:paraId="0CF4DB47" w14:textId="24FECF0B" w:rsidR="00C33F0E" w:rsidRPr="00D05D07" w:rsidRDefault="00C33F0E" w:rsidP="00C33F0E">
      <w:pPr>
        <w:pStyle w:val="TAMainText"/>
        <w:ind w:firstLine="187"/>
        <w:rPr>
          <w:rFonts w:ascii="Times New Roman" w:hAnsi="Times New Roman"/>
          <w:lang w:val="pt-BR"/>
        </w:rPr>
      </w:pPr>
      <w:r w:rsidRPr="00D05D07">
        <w:rPr>
          <w:rFonts w:ascii="Times New Roman" w:hAnsi="Times New Roman"/>
          <w:lang w:val="pt-BR"/>
        </w:rPr>
        <w:t xml:space="preserve">Porém, como apesar de em termos de volume de produto originado a síntese com agitação por ultrassom ter rendido mais, </w:t>
      </w:r>
      <w:r w:rsidR="00D86FE6">
        <w:rPr>
          <w:rFonts w:ascii="Times New Roman" w:hAnsi="Times New Roman"/>
          <w:lang w:val="pt-BR"/>
        </w:rPr>
        <w:t xml:space="preserve">somente partindo dessa informação </w:t>
      </w:r>
      <w:r w:rsidRPr="00D05D07">
        <w:rPr>
          <w:rFonts w:ascii="Times New Roman" w:hAnsi="Times New Roman"/>
          <w:lang w:val="pt-BR"/>
        </w:rPr>
        <w:t xml:space="preserve">não se pode afirmar </w:t>
      </w:r>
      <w:r w:rsidR="0063642B" w:rsidRPr="00D05D07">
        <w:rPr>
          <w:rFonts w:ascii="Times New Roman" w:hAnsi="Times New Roman"/>
          <w:lang w:val="pt-BR"/>
        </w:rPr>
        <w:t>quanto desse</w:t>
      </w:r>
      <w:r w:rsidRPr="00D05D07">
        <w:rPr>
          <w:rFonts w:ascii="Times New Roman" w:hAnsi="Times New Roman"/>
          <w:lang w:val="pt-BR"/>
        </w:rPr>
        <w:t xml:space="preserve"> </w:t>
      </w:r>
      <w:r w:rsidR="0063642B" w:rsidRPr="00D05D07">
        <w:rPr>
          <w:rFonts w:ascii="Times New Roman" w:hAnsi="Times New Roman"/>
          <w:lang w:val="pt-BR"/>
        </w:rPr>
        <w:t>produto</w:t>
      </w:r>
      <w:r w:rsidRPr="00D05D07">
        <w:rPr>
          <w:rFonts w:ascii="Times New Roman" w:hAnsi="Times New Roman"/>
          <w:lang w:val="pt-BR"/>
        </w:rPr>
        <w:t xml:space="preserve"> </w:t>
      </w:r>
      <w:r w:rsidR="0063642B" w:rsidRPr="00D05D07">
        <w:rPr>
          <w:rFonts w:ascii="Times New Roman" w:hAnsi="Times New Roman"/>
          <w:lang w:val="pt-BR"/>
        </w:rPr>
        <w:t>é</w:t>
      </w:r>
      <w:r w:rsidRPr="00D05D07">
        <w:rPr>
          <w:rFonts w:ascii="Times New Roman" w:hAnsi="Times New Roman"/>
          <w:lang w:val="pt-BR"/>
        </w:rPr>
        <w:t xml:space="preserve"> constituído por ésteres metílicos</w:t>
      </w:r>
      <w:r w:rsidR="00772F6D" w:rsidRPr="00D05D07">
        <w:rPr>
          <w:rFonts w:ascii="Times New Roman" w:hAnsi="Times New Roman"/>
          <w:lang w:val="pt-BR"/>
        </w:rPr>
        <w:t xml:space="preserve"> ou qual dos métodos de agitação foi mais vantajoso cineticamente. Dessa forma</w:t>
      </w:r>
      <w:r w:rsidR="00D86FE6">
        <w:rPr>
          <w:rFonts w:ascii="Times New Roman" w:hAnsi="Times New Roman"/>
          <w:lang w:val="pt-BR"/>
        </w:rPr>
        <w:t>,</w:t>
      </w:r>
      <w:r w:rsidR="00772F6D" w:rsidRPr="00D05D07">
        <w:rPr>
          <w:rFonts w:ascii="Times New Roman" w:hAnsi="Times New Roman"/>
          <w:lang w:val="pt-BR"/>
        </w:rPr>
        <w:t xml:space="preserve"> </w:t>
      </w:r>
      <w:r w:rsidR="00A93977">
        <w:rPr>
          <w:rFonts w:ascii="Times New Roman" w:hAnsi="Times New Roman"/>
          <w:lang w:val="pt-BR"/>
        </w:rPr>
        <w:t xml:space="preserve">fez-se </w:t>
      </w:r>
      <w:r w:rsidRPr="00D05D07">
        <w:rPr>
          <w:rFonts w:ascii="Times New Roman" w:hAnsi="Times New Roman"/>
          <w:lang w:val="pt-BR"/>
        </w:rPr>
        <w:t>necessária a análise da pureza</w:t>
      </w:r>
      <w:r w:rsidR="00772F6D" w:rsidRPr="00D05D07">
        <w:rPr>
          <w:rFonts w:ascii="Times New Roman" w:hAnsi="Times New Roman"/>
          <w:lang w:val="pt-BR"/>
        </w:rPr>
        <w:t xml:space="preserve"> cromatográfica</w:t>
      </w:r>
      <w:r w:rsidRPr="00D05D07">
        <w:rPr>
          <w:rFonts w:ascii="Times New Roman" w:hAnsi="Times New Roman"/>
          <w:lang w:val="pt-BR"/>
        </w:rPr>
        <w:t xml:space="preserve"> dos biodieseis produzidos</w:t>
      </w:r>
      <w:r w:rsidR="00D86FE6">
        <w:rPr>
          <w:rFonts w:ascii="Times New Roman" w:hAnsi="Times New Roman"/>
          <w:lang w:val="pt-BR"/>
        </w:rPr>
        <w:t>,</w:t>
      </w:r>
      <w:r w:rsidR="00772F6D" w:rsidRPr="00D05D07">
        <w:rPr>
          <w:rFonts w:ascii="Times New Roman" w:hAnsi="Times New Roman"/>
          <w:lang w:val="pt-BR"/>
        </w:rPr>
        <w:t xml:space="preserve"> </w:t>
      </w:r>
      <w:r w:rsidR="00772F6D" w:rsidRPr="00D05D07">
        <w:rPr>
          <w:rFonts w:ascii="Times New Roman" w:hAnsi="Times New Roman"/>
          <w:lang w:val="pt-BR"/>
        </w:rPr>
        <w:t>além do estudo da conversão dos ácidos graxos em ésteres metílicos em tempos intermediários da reação.</w:t>
      </w:r>
    </w:p>
    <w:p w14:paraId="36B80990" w14:textId="34FCDD91" w:rsidR="00C33F0E" w:rsidRPr="00D05D07" w:rsidRDefault="0063642B" w:rsidP="00C33F0E">
      <w:pPr>
        <w:pStyle w:val="TAMainText"/>
        <w:ind w:firstLine="187"/>
        <w:rPr>
          <w:rFonts w:ascii="Times New Roman" w:hAnsi="Times New Roman"/>
          <w:lang w:val="pt-BR"/>
        </w:rPr>
      </w:pPr>
      <w:r w:rsidRPr="00D05D07">
        <w:rPr>
          <w:rFonts w:ascii="Times New Roman" w:hAnsi="Times New Roman"/>
          <w:lang w:val="pt-BR"/>
        </w:rPr>
        <w:t>A partir dos resultados da cromatografia, p</w:t>
      </w:r>
      <w:r w:rsidR="00C33F0E" w:rsidRPr="00D05D07">
        <w:rPr>
          <w:rFonts w:ascii="Times New Roman" w:hAnsi="Times New Roman"/>
          <w:lang w:val="pt-BR"/>
        </w:rPr>
        <w:t xml:space="preserve">ara que fosse possível fazer a análise </w:t>
      </w:r>
      <w:r w:rsidR="00D86FE6">
        <w:rPr>
          <w:rFonts w:ascii="Times New Roman" w:hAnsi="Times New Roman"/>
          <w:lang w:val="pt-BR"/>
        </w:rPr>
        <w:t>do teor</w:t>
      </w:r>
      <w:r w:rsidR="00C33F0E" w:rsidRPr="00D05D07">
        <w:rPr>
          <w:rFonts w:ascii="Times New Roman" w:hAnsi="Times New Roman"/>
          <w:lang w:val="pt-BR"/>
        </w:rPr>
        <w:t xml:space="preserve"> de ésteres present</w:t>
      </w:r>
      <w:r w:rsidRPr="00D05D07">
        <w:rPr>
          <w:rFonts w:ascii="Times New Roman" w:hAnsi="Times New Roman"/>
          <w:lang w:val="pt-BR"/>
        </w:rPr>
        <w:t>e</w:t>
      </w:r>
      <w:r w:rsidR="00C33F0E" w:rsidRPr="00D05D07">
        <w:rPr>
          <w:rFonts w:ascii="Times New Roman" w:hAnsi="Times New Roman"/>
          <w:lang w:val="pt-BR"/>
        </w:rPr>
        <w:t xml:space="preserve">s em cada um dos produtos, </w:t>
      </w:r>
      <w:r w:rsidR="00D86FE6">
        <w:rPr>
          <w:rFonts w:ascii="Times New Roman" w:hAnsi="Times New Roman"/>
          <w:lang w:val="pt-BR"/>
        </w:rPr>
        <w:t>a área de ésteres metílicos originados pela reação</w:t>
      </w:r>
      <w:r w:rsidR="00A93977">
        <w:rPr>
          <w:rFonts w:ascii="Times New Roman" w:hAnsi="Times New Roman"/>
          <w:lang w:val="pt-BR"/>
        </w:rPr>
        <w:t xml:space="preserve"> por catálise homogênea</w:t>
      </w:r>
      <w:r w:rsidR="00D86FE6" w:rsidRPr="00D05D07">
        <w:rPr>
          <w:rFonts w:ascii="Times New Roman" w:hAnsi="Times New Roman"/>
          <w:lang w:val="pt-BR"/>
        </w:rPr>
        <w:t xml:space="preserve"> utilizando </w:t>
      </w:r>
      <w:proofErr w:type="spellStart"/>
      <w:r w:rsidR="00D86FE6" w:rsidRPr="00D05D07">
        <w:rPr>
          <w:rFonts w:ascii="Times New Roman" w:hAnsi="Times New Roman"/>
          <w:lang w:val="pt-BR"/>
        </w:rPr>
        <w:t>NaOH</w:t>
      </w:r>
      <w:proofErr w:type="spellEnd"/>
      <w:r w:rsidR="00D86FE6" w:rsidRPr="00D05D07">
        <w:rPr>
          <w:rFonts w:ascii="Times New Roman" w:hAnsi="Times New Roman"/>
          <w:lang w:val="pt-BR"/>
        </w:rPr>
        <w:t xml:space="preserve"> como catalisador </w:t>
      </w:r>
      <w:r w:rsidRPr="00D05D07">
        <w:rPr>
          <w:rFonts w:ascii="Times New Roman" w:hAnsi="Times New Roman"/>
          <w:lang w:val="pt-BR"/>
        </w:rPr>
        <w:t xml:space="preserve">foi utilizada como referência de 100% </w:t>
      </w:r>
      <w:r w:rsidR="00EF6872">
        <w:rPr>
          <w:rFonts w:ascii="Times New Roman" w:hAnsi="Times New Roman"/>
          <w:lang w:val="pt-BR"/>
        </w:rPr>
        <w:t>de pureza</w:t>
      </w:r>
      <w:r w:rsidRPr="00D05D07">
        <w:rPr>
          <w:rFonts w:ascii="Times New Roman" w:hAnsi="Times New Roman"/>
          <w:lang w:val="pt-BR"/>
        </w:rPr>
        <w:t>,</w:t>
      </w:r>
      <w:r w:rsidR="00D86FE6">
        <w:rPr>
          <w:rFonts w:ascii="Times New Roman" w:hAnsi="Times New Roman"/>
          <w:lang w:val="pt-BR"/>
        </w:rPr>
        <w:t xml:space="preserve"> tendo em vista</w:t>
      </w:r>
      <w:r w:rsidRPr="00D05D07">
        <w:rPr>
          <w:rFonts w:ascii="Times New Roman" w:hAnsi="Times New Roman"/>
          <w:lang w:val="pt-BR"/>
        </w:rPr>
        <w:t xml:space="preserve"> que</w:t>
      </w:r>
      <w:r w:rsidR="00D86FE6">
        <w:rPr>
          <w:rFonts w:ascii="Times New Roman" w:hAnsi="Times New Roman"/>
          <w:lang w:val="pt-BR"/>
        </w:rPr>
        <w:t xml:space="preserve"> essa</w:t>
      </w:r>
      <w:r w:rsidRPr="00D05D07">
        <w:rPr>
          <w:rFonts w:ascii="Times New Roman" w:hAnsi="Times New Roman"/>
          <w:lang w:val="pt-BR"/>
        </w:rPr>
        <w:t xml:space="preserve"> </w:t>
      </w:r>
      <w:r w:rsidR="00EF6872">
        <w:rPr>
          <w:rFonts w:ascii="Times New Roman" w:hAnsi="Times New Roman"/>
          <w:lang w:val="pt-BR"/>
        </w:rPr>
        <w:t>é uma</w:t>
      </w:r>
      <w:r w:rsidRPr="00D05D07">
        <w:rPr>
          <w:rFonts w:ascii="Times New Roman" w:hAnsi="Times New Roman"/>
          <w:lang w:val="pt-BR"/>
        </w:rPr>
        <w:t xml:space="preserve"> </w:t>
      </w:r>
      <w:r w:rsidR="00EF6872">
        <w:rPr>
          <w:rFonts w:ascii="Times New Roman" w:hAnsi="Times New Roman"/>
          <w:lang w:val="pt-BR"/>
        </w:rPr>
        <w:t>d</w:t>
      </w:r>
      <w:r w:rsidRPr="00D05D07">
        <w:rPr>
          <w:rFonts w:ascii="Times New Roman" w:hAnsi="Times New Roman"/>
          <w:lang w:val="pt-BR"/>
        </w:rPr>
        <w:t>a</w:t>
      </w:r>
      <w:r w:rsidR="00EF6872">
        <w:rPr>
          <w:rFonts w:ascii="Times New Roman" w:hAnsi="Times New Roman"/>
          <w:lang w:val="pt-BR"/>
        </w:rPr>
        <w:t>s</w:t>
      </w:r>
      <w:r w:rsidRPr="00D05D07">
        <w:rPr>
          <w:rFonts w:ascii="Times New Roman" w:hAnsi="Times New Roman"/>
          <w:lang w:val="pt-BR"/>
        </w:rPr>
        <w:t xml:space="preserve"> síntese</w:t>
      </w:r>
      <w:r w:rsidR="00EF6872">
        <w:rPr>
          <w:rFonts w:ascii="Times New Roman" w:hAnsi="Times New Roman"/>
          <w:lang w:val="pt-BR"/>
        </w:rPr>
        <w:t>s</w:t>
      </w:r>
      <w:r w:rsidRPr="00D05D07">
        <w:rPr>
          <w:rFonts w:ascii="Times New Roman" w:hAnsi="Times New Roman"/>
          <w:lang w:val="pt-BR"/>
        </w:rPr>
        <w:t xml:space="preserve"> </w:t>
      </w:r>
      <w:r w:rsidR="00EF6872">
        <w:rPr>
          <w:rFonts w:ascii="Times New Roman" w:hAnsi="Times New Roman"/>
          <w:lang w:val="pt-BR"/>
        </w:rPr>
        <w:t>mais utilizadas na indústria para produção de</w:t>
      </w:r>
      <w:r w:rsidRPr="00D05D07">
        <w:rPr>
          <w:rFonts w:ascii="Times New Roman" w:hAnsi="Times New Roman"/>
          <w:lang w:val="pt-BR"/>
        </w:rPr>
        <w:t xml:space="preserve"> biodiesel</w:t>
      </w:r>
      <w:r w:rsidR="00EF6872">
        <w:rPr>
          <w:rFonts w:ascii="Times New Roman" w:hAnsi="Times New Roman"/>
          <w:lang w:val="pt-BR"/>
        </w:rPr>
        <w:t xml:space="preserve"> devido ser rápida e promover maior rendimento em volume e pureza (22)</w:t>
      </w:r>
      <w:r w:rsidRPr="00D05D07">
        <w:rPr>
          <w:rFonts w:ascii="Times New Roman" w:hAnsi="Times New Roman"/>
          <w:lang w:val="pt-BR"/>
        </w:rPr>
        <w:t xml:space="preserve">. </w:t>
      </w:r>
    </w:p>
    <w:p w14:paraId="5C9B90BC" w14:textId="77777777" w:rsidR="008F1852" w:rsidRDefault="008F1852" w:rsidP="00C33F0E">
      <w:pPr>
        <w:pStyle w:val="TAMainText"/>
        <w:ind w:firstLine="187"/>
        <w:rPr>
          <w:rFonts w:ascii="Times New Roman" w:hAnsi="Times New Roman"/>
          <w:lang w:val="pt-BR"/>
        </w:rPr>
      </w:pPr>
      <w:r>
        <w:rPr>
          <w:rFonts w:ascii="Times New Roman" w:hAnsi="Times New Roman"/>
          <w:lang w:val="pt-BR"/>
        </w:rPr>
        <w:t xml:space="preserve">Dessa forma, as áreas de ésteres metílicos observadas em cada ponto da cinética, tanto da síntese realizada utilizando o banho ultrassônico quanto da síntese realizada no agitador magnético, foram comparadas com a área de ésteres metílicos presente no biodiesel tido como padrão, gerando uma porcentagem. </w:t>
      </w:r>
    </w:p>
    <w:p w14:paraId="75C08BB5" w14:textId="374C3AF0" w:rsidR="008F1852" w:rsidRDefault="008F1852" w:rsidP="00C33F0E">
      <w:pPr>
        <w:pStyle w:val="TAMainText"/>
        <w:ind w:firstLine="187"/>
        <w:rPr>
          <w:rFonts w:ascii="Times New Roman" w:hAnsi="Times New Roman"/>
          <w:lang w:val="pt-BR"/>
        </w:rPr>
      </w:pPr>
      <w:r>
        <w:rPr>
          <w:rFonts w:ascii="Times New Roman" w:hAnsi="Times New Roman"/>
          <w:lang w:val="pt-BR"/>
        </w:rPr>
        <w:t>Na Figura 3</w:t>
      </w:r>
      <w:r w:rsidR="00325115">
        <w:rPr>
          <w:rFonts w:ascii="Times New Roman" w:hAnsi="Times New Roman"/>
          <w:lang w:val="pt-BR"/>
        </w:rPr>
        <w:t>,</w:t>
      </w:r>
      <w:r>
        <w:rPr>
          <w:rFonts w:ascii="Times New Roman" w:hAnsi="Times New Roman"/>
          <w:lang w:val="pt-BR"/>
        </w:rPr>
        <w:t xml:space="preserve"> é possível </w:t>
      </w:r>
      <w:r w:rsidR="00FB1DD8">
        <w:rPr>
          <w:rFonts w:ascii="Times New Roman" w:hAnsi="Times New Roman"/>
          <w:lang w:val="pt-BR"/>
        </w:rPr>
        <w:t>observar que</w:t>
      </w:r>
      <w:r w:rsidR="00084830">
        <w:rPr>
          <w:rFonts w:ascii="Times New Roman" w:hAnsi="Times New Roman"/>
          <w:lang w:val="pt-BR"/>
        </w:rPr>
        <w:t xml:space="preserve"> a síntese com utilização de ultrassom</w:t>
      </w:r>
      <w:r w:rsidR="002321A2">
        <w:rPr>
          <w:rFonts w:ascii="Times New Roman" w:hAnsi="Times New Roman"/>
          <w:lang w:val="pt-BR"/>
        </w:rPr>
        <w:t xml:space="preserve"> </w:t>
      </w:r>
      <w:r w:rsidR="00685CCB">
        <w:rPr>
          <w:rFonts w:ascii="Times New Roman" w:hAnsi="Times New Roman"/>
          <w:lang w:val="pt-BR"/>
        </w:rPr>
        <w:t>em 30 min</w:t>
      </w:r>
      <w:r w:rsidR="004F742B">
        <w:rPr>
          <w:rFonts w:ascii="Times New Roman" w:hAnsi="Times New Roman"/>
          <w:lang w:val="pt-BR"/>
        </w:rPr>
        <w:t>utos</w:t>
      </w:r>
      <w:r w:rsidR="00685CCB">
        <w:rPr>
          <w:rFonts w:ascii="Times New Roman" w:hAnsi="Times New Roman"/>
          <w:lang w:val="pt-BR"/>
        </w:rPr>
        <w:t xml:space="preserve"> </w:t>
      </w:r>
      <w:r w:rsidR="004F742B">
        <w:rPr>
          <w:rFonts w:ascii="Times New Roman" w:hAnsi="Times New Roman"/>
          <w:lang w:val="pt-BR"/>
        </w:rPr>
        <w:t xml:space="preserve">já </w:t>
      </w:r>
      <w:r w:rsidR="00685CCB">
        <w:rPr>
          <w:rFonts w:ascii="Times New Roman" w:hAnsi="Times New Roman"/>
          <w:lang w:val="pt-BR"/>
        </w:rPr>
        <w:t>atinge 15% de conversão em éteres metílicos e aumenta apenas em 11% no decorrer da reação. Em 150 min</w:t>
      </w:r>
      <w:r w:rsidR="004F742B">
        <w:rPr>
          <w:rFonts w:ascii="Times New Roman" w:hAnsi="Times New Roman"/>
          <w:lang w:val="pt-BR"/>
        </w:rPr>
        <w:t>utos</w:t>
      </w:r>
      <w:r w:rsidR="00685CCB">
        <w:rPr>
          <w:rFonts w:ascii="Times New Roman" w:hAnsi="Times New Roman"/>
          <w:lang w:val="pt-BR"/>
        </w:rPr>
        <w:t xml:space="preserve"> </w:t>
      </w:r>
      <w:r w:rsidR="004F742B">
        <w:rPr>
          <w:rFonts w:ascii="Times New Roman" w:hAnsi="Times New Roman"/>
          <w:lang w:val="pt-BR"/>
        </w:rPr>
        <w:t>essa reação</w:t>
      </w:r>
      <w:r w:rsidR="00685CCB">
        <w:rPr>
          <w:rFonts w:ascii="Times New Roman" w:hAnsi="Times New Roman"/>
          <w:lang w:val="pt-BR"/>
        </w:rPr>
        <w:t xml:space="preserve"> alcança 23% de ésteres formados, valor este que é muito próximo do valor máximo obtido em 300 min</w:t>
      </w:r>
      <w:r w:rsidR="004F742B">
        <w:rPr>
          <w:rFonts w:ascii="Times New Roman" w:hAnsi="Times New Roman"/>
          <w:lang w:val="pt-BR"/>
        </w:rPr>
        <w:t>utos</w:t>
      </w:r>
      <w:r w:rsidR="00685CCB">
        <w:rPr>
          <w:rFonts w:ascii="Times New Roman" w:hAnsi="Times New Roman"/>
          <w:lang w:val="pt-BR"/>
        </w:rPr>
        <w:t xml:space="preserve"> de reação (26%). </w:t>
      </w:r>
      <w:r w:rsidR="00084830">
        <w:rPr>
          <w:rFonts w:ascii="Times New Roman" w:hAnsi="Times New Roman"/>
          <w:lang w:val="pt-BR"/>
        </w:rPr>
        <w:t>No entanto</w:t>
      </w:r>
      <w:r w:rsidR="0021093F">
        <w:rPr>
          <w:rFonts w:ascii="Times New Roman" w:hAnsi="Times New Roman"/>
          <w:lang w:val="pt-BR"/>
        </w:rPr>
        <w:t>,</w:t>
      </w:r>
      <w:r w:rsidR="00FB1DD8">
        <w:rPr>
          <w:rFonts w:ascii="Times New Roman" w:hAnsi="Times New Roman"/>
          <w:lang w:val="pt-BR"/>
        </w:rPr>
        <w:t xml:space="preserve"> é possível </w:t>
      </w:r>
      <w:r>
        <w:rPr>
          <w:rFonts w:ascii="Times New Roman" w:hAnsi="Times New Roman"/>
          <w:lang w:val="pt-BR"/>
        </w:rPr>
        <w:t xml:space="preserve">perceber </w:t>
      </w:r>
      <w:r w:rsidR="0021093F">
        <w:rPr>
          <w:rFonts w:ascii="Times New Roman" w:hAnsi="Times New Roman"/>
          <w:lang w:val="pt-BR"/>
        </w:rPr>
        <w:t xml:space="preserve">também </w:t>
      </w:r>
      <w:r>
        <w:rPr>
          <w:rFonts w:ascii="Times New Roman" w:hAnsi="Times New Roman"/>
          <w:lang w:val="pt-BR"/>
        </w:rPr>
        <w:t xml:space="preserve">que a quantidade de ésteres que compõem o biodiesel obtido através da agitação </w:t>
      </w:r>
      <w:r w:rsidR="0095693F">
        <w:rPr>
          <w:rFonts w:ascii="Times New Roman" w:hAnsi="Times New Roman"/>
          <w:lang w:val="pt-BR"/>
        </w:rPr>
        <w:t xml:space="preserve">com banho </w:t>
      </w:r>
      <w:r>
        <w:rPr>
          <w:rFonts w:ascii="Times New Roman" w:hAnsi="Times New Roman"/>
          <w:lang w:val="pt-BR"/>
        </w:rPr>
        <w:t>ultrassônic</w:t>
      </w:r>
      <w:r w:rsidR="0095693F">
        <w:rPr>
          <w:rFonts w:ascii="Times New Roman" w:hAnsi="Times New Roman"/>
          <w:lang w:val="pt-BR"/>
        </w:rPr>
        <w:t>o</w:t>
      </w:r>
      <w:r>
        <w:rPr>
          <w:rFonts w:ascii="Times New Roman" w:hAnsi="Times New Roman"/>
          <w:lang w:val="pt-BR"/>
        </w:rPr>
        <w:t xml:space="preserve"> é inferior à quantidade que compõe o biodiesel produzido com a utilização da agitação mais comum, a </w:t>
      </w:r>
      <w:r w:rsidR="00F97245">
        <w:rPr>
          <w:rFonts w:ascii="Times New Roman" w:hAnsi="Times New Roman"/>
          <w:lang w:val="pt-BR"/>
        </w:rPr>
        <w:t>magnética</w:t>
      </w:r>
      <w:r>
        <w:rPr>
          <w:rFonts w:ascii="Times New Roman" w:hAnsi="Times New Roman"/>
          <w:lang w:val="pt-BR"/>
        </w:rPr>
        <w:t>.</w:t>
      </w:r>
      <w:r w:rsidR="00FB1DD8">
        <w:rPr>
          <w:rFonts w:ascii="Times New Roman" w:hAnsi="Times New Roman"/>
          <w:lang w:val="pt-BR"/>
        </w:rPr>
        <w:t xml:space="preserve"> A conversão de ácidos graxos em ésteres metílicos em 30 minutos de reação para a síntese com </w:t>
      </w:r>
      <w:r w:rsidR="0095693F">
        <w:rPr>
          <w:rFonts w:ascii="Times New Roman" w:hAnsi="Times New Roman"/>
          <w:lang w:val="pt-BR"/>
        </w:rPr>
        <w:t>agitação</w:t>
      </w:r>
      <w:r w:rsidR="00FB1DD8">
        <w:rPr>
          <w:rFonts w:ascii="Times New Roman" w:hAnsi="Times New Roman"/>
          <w:lang w:val="pt-BR"/>
        </w:rPr>
        <w:t xml:space="preserve"> </w:t>
      </w:r>
      <w:r w:rsidR="00F97245">
        <w:rPr>
          <w:rFonts w:ascii="Times New Roman" w:hAnsi="Times New Roman"/>
          <w:lang w:val="pt-BR"/>
        </w:rPr>
        <w:t>magnética</w:t>
      </w:r>
      <w:r w:rsidR="00FB1DD8">
        <w:rPr>
          <w:rFonts w:ascii="Times New Roman" w:hAnsi="Times New Roman"/>
          <w:lang w:val="pt-BR"/>
        </w:rPr>
        <w:t xml:space="preserve"> </w:t>
      </w:r>
      <w:r w:rsidR="0095693F">
        <w:rPr>
          <w:rFonts w:ascii="Times New Roman" w:hAnsi="Times New Roman"/>
          <w:lang w:val="pt-BR"/>
        </w:rPr>
        <w:t xml:space="preserve">foi </w:t>
      </w:r>
      <w:r w:rsidR="00FB1DD8">
        <w:rPr>
          <w:rFonts w:ascii="Times New Roman" w:hAnsi="Times New Roman"/>
          <w:lang w:val="pt-BR"/>
        </w:rPr>
        <w:t xml:space="preserve">de </w:t>
      </w:r>
      <w:r w:rsidR="00BC0705">
        <w:rPr>
          <w:rFonts w:ascii="Times New Roman" w:hAnsi="Times New Roman"/>
          <w:lang w:val="pt-BR"/>
        </w:rPr>
        <w:t>4</w:t>
      </w:r>
      <w:r w:rsidR="0095693F">
        <w:rPr>
          <w:rFonts w:ascii="Times New Roman" w:hAnsi="Times New Roman"/>
          <w:lang w:val="pt-BR"/>
        </w:rPr>
        <w:t>9</w:t>
      </w:r>
      <w:r w:rsidR="00FB1DD8">
        <w:rPr>
          <w:rFonts w:ascii="Times New Roman" w:hAnsi="Times New Roman"/>
          <w:lang w:val="pt-BR"/>
        </w:rPr>
        <w:t>%,</w:t>
      </w:r>
      <w:r w:rsidR="0095693F">
        <w:rPr>
          <w:rFonts w:ascii="Times New Roman" w:hAnsi="Times New Roman"/>
          <w:lang w:val="pt-BR"/>
        </w:rPr>
        <w:t xml:space="preserve"> em 120 min</w:t>
      </w:r>
      <w:r w:rsidR="004F742B">
        <w:rPr>
          <w:rFonts w:ascii="Times New Roman" w:hAnsi="Times New Roman"/>
          <w:lang w:val="pt-BR"/>
        </w:rPr>
        <w:t>utos</w:t>
      </w:r>
      <w:r w:rsidR="0095693F">
        <w:rPr>
          <w:rFonts w:ascii="Times New Roman" w:hAnsi="Times New Roman"/>
          <w:lang w:val="pt-BR"/>
        </w:rPr>
        <w:t xml:space="preserve"> essa conversão alcança um valor de 77% e em 300 min</w:t>
      </w:r>
      <w:r w:rsidR="004F742B">
        <w:rPr>
          <w:rFonts w:ascii="Times New Roman" w:hAnsi="Times New Roman"/>
          <w:lang w:val="pt-BR"/>
        </w:rPr>
        <w:t>utos</w:t>
      </w:r>
      <w:r w:rsidR="0095693F">
        <w:rPr>
          <w:rFonts w:ascii="Times New Roman" w:hAnsi="Times New Roman"/>
          <w:lang w:val="pt-BR"/>
        </w:rPr>
        <w:t xml:space="preserve"> alcança o seu valor máximo de</w:t>
      </w:r>
      <w:r w:rsidR="00FB1DD8">
        <w:rPr>
          <w:rFonts w:ascii="Times New Roman" w:hAnsi="Times New Roman"/>
          <w:lang w:val="pt-BR"/>
        </w:rPr>
        <w:t xml:space="preserve"> 8</w:t>
      </w:r>
      <w:r w:rsidR="00BC0705">
        <w:rPr>
          <w:rFonts w:ascii="Times New Roman" w:hAnsi="Times New Roman"/>
          <w:lang w:val="pt-BR"/>
        </w:rPr>
        <w:t>4</w:t>
      </w:r>
      <w:r w:rsidR="00FB1DD8">
        <w:rPr>
          <w:rFonts w:ascii="Times New Roman" w:hAnsi="Times New Roman"/>
          <w:lang w:val="pt-BR"/>
        </w:rPr>
        <w:t>%.</w:t>
      </w:r>
    </w:p>
    <w:p w14:paraId="4CC0BA04" w14:textId="44AD59EA" w:rsidR="0063642B" w:rsidRPr="0063642B" w:rsidRDefault="0021093F" w:rsidP="008C4939">
      <w:pPr>
        <w:pStyle w:val="TAMainText"/>
        <w:ind w:firstLine="187"/>
        <w:rPr>
          <w:rFonts w:ascii="Times New Roman" w:hAnsi="Times New Roman"/>
          <w:lang w:val="pt-BR"/>
        </w:rPr>
      </w:pPr>
      <w:r>
        <w:rPr>
          <w:rFonts w:ascii="Times New Roman" w:hAnsi="Times New Roman"/>
          <w:lang w:val="pt-BR"/>
        </w:rPr>
        <w:t>Assim,</w:t>
      </w:r>
      <w:r w:rsidR="0095693F">
        <w:rPr>
          <w:rFonts w:ascii="Times New Roman" w:hAnsi="Times New Roman"/>
          <w:lang w:val="pt-BR"/>
        </w:rPr>
        <w:t xml:space="preserve"> pôde-se observar que </w:t>
      </w:r>
      <w:r w:rsidR="004F742B">
        <w:rPr>
          <w:rFonts w:ascii="Times New Roman" w:hAnsi="Times New Roman"/>
          <w:lang w:val="pt-BR"/>
        </w:rPr>
        <w:t xml:space="preserve">a </w:t>
      </w:r>
      <w:r w:rsidR="0095693F">
        <w:rPr>
          <w:rFonts w:ascii="Times New Roman" w:hAnsi="Times New Roman"/>
          <w:lang w:val="pt-BR"/>
        </w:rPr>
        <w:t xml:space="preserve">concentração de ésteres formados empregando o catalisador de </w:t>
      </w:r>
      <w:proofErr w:type="spellStart"/>
      <w:r w:rsidR="0095693F">
        <w:rPr>
          <w:rFonts w:ascii="Times New Roman" w:hAnsi="Times New Roman"/>
          <w:lang w:val="pt-BR"/>
        </w:rPr>
        <w:t>CaO</w:t>
      </w:r>
      <w:proofErr w:type="spellEnd"/>
      <w:r w:rsidR="0095693F">
        <w:rPr>
          <w:rFonts w:ascii="Times New Roman" w:hAnsi="Times New Roman"/>
          <w:lang w:val="pt-BR"/>
        </w:rPr>
        <w:t xml:space="preserve"> se aproximou do resultado obtido com a síntese por catálise homogênea com </w:t>
      </w:r>
      <w:proofErr w:type="spellStart"/>
      <w:r w:rsidR="0095693F">
        <w:rPr>
          <w:rFonts w:ascii="Times New Roman" w:hAnsi="Times New Roman"/>
          <w:lang w:val="pt-BR"/>
        </w:rPr>
        <w:t>NaOH</w:t>
      </w:r>
      <w:proofErr w:type="spellEnd"/>
      <w:r w:rsidR="0095693F">
        <w:rPr>
          <w:rFonts w:ascii="Times New Roman" w:hAnsi="Times New Roman"/>
          <w:lang w:val="pt-BR"/>
        </w:rPr>
        <w:t xml:space="preserve"> apenas para a aplicação da agitação magnética </w:t>
      </w:r>
      <w:r w:rsidR="004F742B">
        <w:rPr>
          <w:rFonts w:ascii="Times New Roman" w:hAnsi="Times New Roman"/>
          <w:lang w:val="pt-BR"/>
        </w:rPr>
        <w:t>qu</w:t>
      </w:r>
      <w:r w:rsidR="0095693F">
        <w:rPr>
          <w:rFonts w:ascii="Times New Roman" w:hAnsi="Times New Roman"/>
          <w:lang w:val="pt-BR"/>
        </w:rPr>
        <w:t>e</w:t>
      </w:r>
      <w:r w:rsidR="004F742B">
        <w:rPr>
          <w:rFonts w:ascii="Times New Roman" w:hAnsi="Times New Roman"/>
          <w:lang w:val="pt-BR"/>
        </w:rPr>
        <w:t>,</w:t>
      </w:r>
      <w:r w:rsidR="0095693F">
        <w:rPr>
          <w:rFonts w:ascii="Times New Roman" w:hAnsi="Times New Roman"/>
          <w:lang w:val="pt-BR"/>
        </w:rPr>
        <w:t xml:space="preserve"> além disso</w:t>
      </w:r>
      <w:r w:rsidR="004F742B">
        <w:rPr>
          <w:rFonts w:ascii="Times New Roman" w:hAnsi="Times New Roman"/>
          <w:lang w:val="pt-BR"/>
        </w:rPr>
        <w:t>,</w:t>
      </w:r>
      <w:r w:rsidR="0095693F">
        <w:rPr>
          <w:rFonts w:ascii="Times New Roman" w:hAnsi="Times New Roman"/>
          <w:lang w:val="pt-BR"/>
        </w:rPr>
        <w:t xml:space="preserve"> evitou a lavagem pós síntese, minimizando a geração de efluentes. </w:t>
      </w:r>
      <w:r w:rsidR="00701252">
        <w:rPr>
          <w:rFonts w:ascii="Times New Roman" w:hAnsi="Times New Roman"/>
          <w:lang w:val="pt-BR"/>
        </w:rPr>
        <w:t xml:space="preserve">Entretanto, o emprego do banho ultrassônico para a síntese com o catalisador de </w:t>
      </w:r>
      <w:proofErr w:type="spellStart"/>
      <w:r w:rsidR="00701252">
        <w:rPr>
          <w:rFonts w:ascii="Times New Roman" w:hAnsi="Times New Roman"/>
          <w:lang w:val="pt-BR"/>
        </w:rPr>
        <w:t>CaO</w:t>
      </w:r>
      <w:proofErr w:type="spellEnd"/>
      <w:r w:rsidR="00701252">
        <w:rPr>
          <w:rFonts w:ascii="Times New Roman" w:hAnsi="Times New Roman"/>
          <w:lang w:val="pt-BR"/>
        </w:rPr>
        <w:t xml:space="preserve"> levou </w:t>
      </w:r>
      <w:r w:rsidR="004F742B">
        <w:rPr>
          <w:rFonts w:ascii="Times New Roman" w:hAnsi="Times New Roman"/>
          <w:lang w:val="pt-BR"/>
        </w:rPr>
        <w:t>à</w:t>
      </w:r>
      <w:r w:rsidR="00701252">
        <w:rPr>
          <w:rFonts w:ascii="Times New Roman" w:hAnsi="Times New Roman"/>
          <w:lang w:val="pt-BR"/>
        </w:rPr>
        <w:t xml:space="preserve"> conversão significativamente inferior de ácidos graxos em ésteres metílicos</w:t>
      </w:r>
      <w:r w:rsidR="00A45505">
        <w:rPr>
          <w:rFonts w:ascii="Times New Roman" w:hAnsi="Times New Roman"/>
          <w:lang w:val="pt-BR"/>
        </w:rPr>
        <w:t xml:space="preserve">. Assim, o banho ultrassônico apresentou um pior desempenho em relação à agitação magnética para a síntese do biodiesel, tanto em termos de concentração de ésteres metílicos como em termos de cinética reacional. </w:t>
      </w:r>
      <w:r w:rsidR="008C4939">
        <w:rPr>
          <w:rFonts w:ascii="Times New Roman" w:hAnsi="Times New Roman"/>
          <w:lang w:val="pt-BR"/>
        </w:rPr>
        <w:t xml:space="preserve">Diferentemente de </w:t>
      </w:r>
      <w:r>
        <w:rPr>
          <w:rFonts w:ascii="Times New Roman" w:hAnsi="Times New Roman"/>
          <w:lang w:val="pt-BR"/>
        </w:rPr>
        <w:t>trabalhos da literatura onde</w:t>
      </w:r>
      <w:r w:rsidR="00076349">
        <w:rPr>
          <w:rFonts w:ascii="Times New Roman" w:hAnsi="Times New Roman"/>
          <w:lang w:val="pt-BR"/>
        </w:rPr>
        <w:t xml:space="preserve"> </w:t>
      </w:r>
      <w:r w:rsidR="00791EC0">
        <w:rPr>
          <w:rFonts w:ascii="Times New Roman" w:hAnsi="Times New Roman"/>
          <w:lang w:val="pt-BR"/>
        </w:rPr>
        <w:t>a utilização de sonda ultrassônica</w:t>
      </w:r>
      <w:r w:rsidR="00076349">
        <w:rPr>
          <w:rFonts w:ascii="Times New Roman" w:hAnsi="Times New Roman"/>
          <w:lang w:val="pt-BR"/>
        </w:rPr>
        <w:t xml:space="preserve"> levou</w:t>
      </w:r>
      <w:r w:rsidR="00701252">
        <w:rPr>
          <w:rFonts w:ascii="Times New Roman" w:hAnsi="Times New Roman"/>
          <w:lang w:val="pt-BR"/>
        </w:rPr>
        <w:t xml:space="preserve"> </w:t>
      </w:r>
      <w:r w:rsidR="00076349">
        <w:rPr>
          <w:rFonts w:ascii="Times New Roman" w:hAnsi="Times New Roman"/>
          <w:lang w:val="pt-BR"/>
        </w:rPr>
        <w:t>a</w:t>
      </w:r>
      <w:r w:rsidR="00791EC0">
        <w:rPr>
          <w:rFonts w:ascii="Times New Roman" w:hAnsi="Times New Roman"/>
          <w:lang w:val="pt-BR"/>
        </w:rPr>
        <w:t xml:space="preserve"> uma cinética reacional mais veloz</w:t>
      </w:r>
      <w:r w:rsidR="00086C68">
        <w:rPr>
          <w:rFonts w:ascii="Times New Roman" w:hAnsi="Times New Roman"/>
          <w:lang w:val="pt-BR"/>
        </w:rPr>
        <w:t xml:space="preserve"> e </w:t>
      </w:r>
      <w:r w:rsidR="00701252">
        <w:rPr>
          <w:rFonts w:ascii="Times New Roman" w:hAnsi="Times New Roman"/>
          <w:lang w:val="pt-BR"/>
        </w:rPr>
        <w:t>a</w:t>
      </w:r>
      <w:r w:rsidR="00086C68">
        <w:rPr>
          <w:rFonts w:ascii="Times New Roman" w:hAnsi="Times New Roman"/>
          <w:lang w:val="pt-BR"/>
        </w:rPr>
        <w:t xml:space="preserve"> um produ</w:t>
      </w:r>
      <w:r w:rsidR="00086C68" w:rsidRPr="00AE36BF">
        <w:rPr>
          <w:rFonts w:ascii="Times New Roman" w:hAnsi="Times New Roman"/>
          <w:lang w:val="pt-BR"/>
        </w:rPr>
        <w:t>to de boa qualidade</w:t>
      </w:r>
      <w:r w:rsidR="00791EC0" w:rsidRPr="00AE36BF">
        <w:rPr>
          <w:rFonts w:ascii="Times New Roman" w:hAnsi="Times New Roman"/>
          <w:lang w:val="pt-BR"/>
        </w:rPr>
        <w:t xml:space="preserve"> (2</w:t>
      </w:r>
      <w:r w:rsidR="00EF6872" w:rsidRPr="00AE36BF">
        <w:rPr>
          <w:rFonts w:ascii="Times New Roman" w:hAnsi="Times New Roman"/>
          <w:lang w:val="pt-BR"/>
        </w:rPr>
        <w:t>3</w:t>
      </w:r>
      <w:r w:rsidR="00791EC0" w:rsidRPr="00AE36BF">
        <w:rPr>
          <w:rFonts w:ascii="Times New Roman" w:hAnsi="Times New Roman"/>
          <w:lang w:val="pt-BR"/>
        </w:rPr>
        <w:t xml:space="preserve">). </w:t>
      </w:r>
      <w:r w:rsidR="005D430B" w:rsidRPr="00AE36BF">
        <w:rPr>
          <w:rFonts w:ascii="Times New Roman" w:hAnsi="Times New Roman"/>
          <w:lang w:val="pt-BR"/>
        </w:rPr>
        <w:t xml:space="preserve">Tendo em vista que </w:t>
      </w:r>
      <w:r w:rsidR="00D012E3" w:rsidRPr="00AE36BF">
        <w:rPr>
          <w:rFonts w:ascii="Times New Roman" w:hAnsi="Times New Roman"/>
          <w:lang w:val="pt-BR"/>
        </w:rPr>
        <w:t xml:space="preserve">a agitação do meio reacional </w:t>
      </w:r>
      <w:r w:rsidR="00A63190" w:rsidRPr="00AE36BF">
        <w:rPr>
          <w:rFonts w:ascii="Times New Roman" w:hAnsi="Times New Roman"/>
          <w:lang w:val="pt-BR"/>
        </w:rPr>
        <w:t xml:space="preserve">na catálise heterogênea </w:t>
      </w:r>
      <w:r w:rsidR="00D012E3" w:rsidRPr="00AE36BF">
        <w:rPr>
          <w:rFonts w:ascii="Times New Roman" w:hAnsi="Times New Roman"/>
          <w:lang w:val="pt-BR"/>
        </w:rPr>
        <w:t xml:space="preserve">auxilia </w:t>
      </w:r>
      <w:r w:rsidR="00A63190" w:rsidRPr="00AE36BF">
        <w:rPr>
          <w:rFonts w:ascii="Times New Roman" w:hAnsi="Times New Roman"/>
          <w:lang w:val="pt-BR"/>
        </w:rPr>
        <w:t>n</w:t>
      </w:r>
      <w:r w:rsidR="00D012E3" w:rsidRPr="00AE36BF">
        <w:rPr>
          <w:rFonts w:ascii="Times New Roman" w:hAnsi="Times New Roman"/>
          <w:lang w:val="pt-BR"/>
        </w:rPr>
        <w:t xml:space="preserve">a redução dos problemas de efeitos difusivos </w:t>
      </w:r>
      <w:r w:rsidR="00A63190" w:rsidRPr="00AE36BF">
        <w:rPr>
          <w:rFonts w:ascii="Times New Roman" w:hAnsi="Times New Roman"/>
          <w:lang w:val="pt-BR"/>
        </w:rPr>
        <w:t>que ocorrem no</w:t>
      </w:r>
      <w:r w:rsidR="00D012E3" w:rsidRPr="00AE36BF">
        <w:rPr>
          <w:rFonts w:ascii="Times New Roman" w:hAnsi="Times New Roman"/>
          <w:lang w:val="pt-BR"/>
        </w:rPr>
        <w:t xml:space="preserve"> contato dos reagentes com o catalisador</w:t>
      </w:r>
      <w:r w:rsidR="00A63190" w:rsidRPr="00AE36BF">
        <w:rPr>
          <w:rFonts w:ascii="Times New Roman" w:hAnsi="Times New Roman"/>
          <w:lang w:val="pt-BR"/>
        </w:rPr>
        <w:t xml:space="preserve">, agindo </w:t>
      </w:r>
      <w:r w:rsidR="00D012E3" w:rsidRPr="00AE36BF">
        <w:rPr>
          <w:rFonts w:ascii="Times New Roman" w:hAnsi="Times New Roman"/>
          <w:lang w:val="pt-BR"/>
        </w:rPr>
        <w:t>para eliminar os impedimentos de difusão,</w:t>
      </w:r>
      <w:r w:rsidR="00BE13A8" w:rsidRPr="00AE36BF">
        <w:rPr>
          <w:rFonts w:ascii="Times New Roman" w:hAnsi="Times New Roman"/>
          <w:lang w:val="pt-BR"/>
        </w:rPr>
        <w:t xml:space="preserve"> </w:t>
      </w:r>
      <w:r w:rsidR="00BE13A8">
        <w:rPr>
          <w:rFonts w:ascii="Times New Roman" w:hAnsi="Times New Roman"/>
          <w:lang w:val="pt-BR"/>
        </w:rPr>
        <w:t>melhorando o contato dos reagentes com a superfície ativa do catalisador sólido</w:t>
      </w:r>
      <w:r w:rsidR="00A63190">
        <w:rPr>
          <w:rFonts w:ascii="Times New Roman" w:hAnsi="Times New Roman"/>
          <w:color w:val="FF0000"/>
          <w:lang w:val="pt-BR"/>
        </w:rPr>
        <w:t xml:space="preserve"> </w:t>
      </w:r>
      <w:r w:rsidR="00A63190" w:rsidRPr="00AE36BF">
        <w:rPr>
          <w:rFonts w:ascii="Times New Roman" w:hAnsi="Times New Roman"/>
          <w:lang w:val="pt-BR"/>
        </w:rPr>
        <w:t>e, consequentemente,</w:t>
      </w:r>
      <w:r w:rsidR="00D012E3" w:rsidRPr="00AE36BF">
        <w:rPr>
          <w:rFonts w:ascii="Times New Roman" w:hAnsi="Times New Roman"/>
          <w:lang w:val="pt-BR"/>
        </w:rPr>
        <w:t xml:space="preserve"> </w:t>
      </w:r>
      <w:r w:rsidR="00A63190" w:rsidRPr="00AE36BF">
        <w:rPr>
          <w:rFonts w:ascii="Times New Roman" w:hAnsi="Times New Roman"/>
          <w:lang w:val="pt-BR"/>
        </w:rPr>
        <w:t xml:space="preserve">fazendo </w:t>
      </w:r>
      <w:r w:rsidR="00D012E3" w:rsidRPr="00AE36BF">
        <w:rPr>
          <w:rFonts w:ascii="Times New Roman" w:hAnsi="Times New Roman"/>
          <w:lang w:val="pt-BR"/>
        </w:rPr>
        <w:t>com que a cinética reacional seja maior</w:t>
      </w:r>
      <w:r w:rsidR="005D430B" w:rsidRPr="00AE36BF">
        <w:rPr>
          <w:rFonts w:ascii="Times New Roman" w:hAnsi="Times New Roman"/>
          <w:lang w:val="pt-BR"/>
        </w:rPr>
        <w:t xml:space="preserve">, esse resultado pode ser explicado por uma provável insuficiência da potência do banho </w:t>
      </w:r>
      <w:r w:rsidR="005D430B" w:rsidRPr="00AE36BF">
        <w:rPr>
          <w:rFonts w:ascii="Times New Roman" w:hAnsi="Times New Roman"/>
          <w:lang w:val="pt-BR"/>
        </w:rPr>
        <w:lastRenderedPageBreak/>
        <w:t>ultrassônico, já que a utilização de agitação magnética promoveu uma maior conversão dos triglicerídeos em ésteres metílicos</w:t>
      </w:r>
      <w:r w:rsidR="00F304FE" w:rsidRPr="00AE36BF">
        <w:rPr>
          <w:rFonts w:ascii="Times New Roman" w:hAnsi="Times New Roman"/>
          <w:lang w:val="pt-BR"/>
        </w:rPr>
        <w:t xml:space="preserve"> (24)</w:t>
      </w:r>
      <w:r w:rsidR="00A63190" w:rsidRPr="00AE36BF">
        <w:rPr>
          <w:rFonts w:ascii="Times New Roman" w:hAnsi="Times New Roman"/>
          <w:lang w:val="pt-BR"/>
        </w:rPr>
        <w:t>.</w:t>
      </w:r>
      <w:r w:rsidR="00D012E3" w:rsidRPr="00AE36BF">
        <w:rPr>
          <w:rFonts w:ascii="Times New Roman" w:hAnsi="Times New Roman"/>
          <w:lang w:val="pt-BR"/>
        </w:rPr>
        <w:t xml:space="preserve"> Logo, </w:t>
      </w:r>
      <w:r w:rsidR="005D430B" w:rsidRPr="00AE36BF">
        <w:rPr>
          <w:rFonts w:ascii="Times New Roman" w:hAnsi="Times New Roman"/>
          <w:lang w:val="pt-BR"/>
        </w:rPr>
        <w:t xml:space="preserve">a agitação ultrassônica </w:t>
      </w:r>
      <w:r w:rsidR="00DC5509" w:rsidRPr="00AE36BF">
        <w:rPr>
          <w:rFonts w:ascii="Times New Roman" w:hAnsi="Times New Roman"/>
          <w:lang w:val="pt-BR"/>
        </w:rPr>
        <w:t>não foi</w:t>
      </w:r>
      <w:r w:rsidR="00BE13A8" w:rsidRPr="00AE36BF">
        <w:rPr>
          <w:rFonts w:ascii="Times New Roman" w:hAnsi="Times New Roman"/>
          <w:lang w:val="pt-BR"/>
        </w:rPr>
        <w:t xml:space="preserve"> </w:t>
      </w:r>
      <w:r w:rsidR="00BE13A8">
        <w:rPr>
          <w:rFonts w:ascii="Times New Roman" w:hAnsi="Times New Roman"/>
          <w:lang w:val="pt-BR"/>
        </w:rPr>
        <w:t>suficiente para eliminar os efeitos difusivos durante a reação e estes foram fatores limitantes</w:t>
      </w:r>
      <w:r w:rsidR="00AE36BF">
        <w:rPr>
          <w:rFonts w:ascii="Times New Roman" w:hAnsi="Times New Roman"/>
          <w:lang w:val="pt-BR"/>
        </w:rPr>
        <w:t>,</w:t>
      </w:r>
      <w:r w:rsidR="00BE13A8">
        <w:rPr>
          <w:rFonts w:ascii="Times New Roman" w:hAnsi="Times New Roman"/>
          <w:lang w:val="pt-BR"/>
        </w:rPr>
        <w:t xml:space="preserve"> influenciando </w:t>
      </w:r>
      <w:r w:rsidR="00BE13A8" w:rsidRPr="00AE36BF">
        <w:rPr>
          <w:rFonts w:ascii="Times New Roman" w:hAnsi="Times New Roman"/>
          <w:lang w:val="pt-BR"/>
        </w:rPr>
        <w:t>negativamente para a velocidade global de reação</w:t>
      </w:r>
      <w:r w:rsidR="00DC5509" w:rsidRPr="00AE36BF">
        <w:rPr>
          <w:rFonts w:ascii="Times New Roman" w:hAnsi="Times New Roman"/>
          <w:lang w:val="pt-BR"/>
        </w:rPr>
        <w:t xml:space="preserve">, resultando em um rendimento menor </w:t>
      </w:r>
      <w:r w:rsidR="00BE13A8" w:rsidRPr="00AE36BF">
        <w:rPr>
          <w:rFonts w:ascii="Times New Roman" w:hAnsi="Times New Roman"/>
          <w:lang w:val="pt-BR"/>
        </w:rPr>
        <w:t>e</w:t>
      </w:r>
      <w:r w:rsidR="00AE36BF" w:rsidRPr="00AE36BF">
        <w:rPr>
          <w:rFonts w:ascii="Times New Roman" w:hAnsi="Times New Roman"/>
          <w:lang w:val="pt-BR"/>
        </w:rPr>
        <w:t xml:space="preserve">m ésteres metílicos, sendo os triglicerídeos a porção mais significativa da fração oleosa obtida. </w:t>
      </w:r>
      <w:r w:rsidR="004232FF" w:rsidRPr="00AE36BF">
        <w:rPr>
          <w:rFonts w:ascii="Times New Roman" w:hAnsi="Times New Roman"/>
          <w:lang w:val="pt-BR"/>
        </w:rPr>
        <w:t>Logo</w:t>
      </w:r>
      <w:r w:rsidR="004232FF">
        <w:rPr>
          <w:rFonts w:ascii="Times New Roman" w:hAnsi="Times New Roman"/>
          <w:lang w:val="pt-BR"/>
        </w:rPr>
        <w:t>, levanta-se a possibilidade da realização de estudos posteriores com a utilização de banhos ultrassônicos mais potentes</w:t>
      </w:r>
      <w:r w:rsidR="00DC5509">
        <w:rPr>
          <w:rFonts w:ascii="Times New Roman" w:hAnsi="Times New Roman"/>
          <w:lang w:val="pt-BR"/>
        </w:rPr>
        <w:t>, sondas ultrassônicas e com catalisador</w:t>
      </w:r>
      <w:r w:rsidR="00EF0376">
        <w:rPr>
          <w:rFonts w:ascii="Times New Roman" w:hAnsi="Times New Roman"/>
          <w:lang w:val="pt-BR"/>
        </w:rPr>
        <w:t xml:space="preserve">es </w:t>
      </w:r>
      <w:r w:rsidR="00DC5509">
        <w:rPr>
          <w:rFonts w:ascii="Times New Roman" w:hAnsi="Times New Roman"/>
          <w:lang w:val="pt-BR"/>
        </w:rPr>
        <w:t>diferente</w:t>
      </w:r>
      <w:r w:rsidR="00EF0376">
        <w:rPr>
          <w:rFonts w:ascii="Times New Roman" w:hAnsi="Times New Roman"/>
          <w:lang w:val="pt-BR"/>
        </w:rPr>
        <w:t>s</w:t>
      </w:r>
      <w:r w:rsidR="00DC5509">
        <w:rPr>
          <w:rFonts w:ascii="Times New Roman" w:hAnsi="Times New Roman"/>
          <w:lang w:val="pt-BR"/>
        </w:rPr>
        <w:t xml:space="preserve"> do </w:t>
      </w:r>
      <w:proofErr w:type="spellStart"/>
      <w:r w:rsidR="00EF0376">
        <w:rPr>
          <w:rFonts w:ascii="Times New Roman" w:hAnsi="Times New Roman"/>
          <w:lang w:val="pt-BR"/>
        </w:rPr>
        <w:t>CaO</w:t>
      </w:r>
      <w:proofErr w:type="spellEnd"/>
      <w:r w:rsidR="00EF0376">
        <w:rPr>
          <w:rFonts w:ascii="Times New Roman" w:hAnsi="Times New Roman"/>
          <w:lang w:val="pt-BR"/>
        </w:rPr>
        <w:t xml:space="preserve"> </w:t>
      </w:r>
      <w:r w:rsidR="00DC5509">
        <w:rPr>
          <w:rFonts w:ascii="Times New Roman" w:hAnsi="Times New Roman"/>
          <w:lang w:val="pt-BR"/>
        </w:rPr>
        <w:t>utilizado nesse estudo,</w:t>
      </w:r>
      <w:r w:rsidR="004232FF">
        <w:rPr>
          <w:rFonts w:ascii="Times New Roman" w:hAnsi="Times New Roman"/>
          <w:lang w:val="pt-BR"/>
        </w:rPr>
        <w:t xml:space="preserve"> a fim de </w:t>
      </w:r>
      <w:r w:rsidR="00DC5509">
        <w:rPr>
          <w:rFonts w:ascii="Times New Roman" w:hAnsi="Times New Roman"/>
          <w:lang w:val="pt-BR"/>
        </w:rPr>
        <w:t xml:space="preserve">melhorar a cinética reacional e </w:t>
      </w:r>
      <w:r w:rsidR="004232FF">
        <w:rPr>
          <w:rFonts w:ascii="Times New Roman" w:hAnsi="Times New Roman"/>
          <w:lang w:val="pt-BR"/>
        </w:rPr>
        <w:t>observar mudanças</w:t>
      </w:r>
      <w:r w:rsidR="00D05D07">
        <w:rPr>
          <w:rFonts w:ascii="Times New Roman" w:hAnsi="Times New Roman"/>
          <w:lang w:val="pt-BR"/>
        </w:rPr>
        <w:t xml:space="preserve"> positivas</w:t>
      </w:r>
      <w:r w:rsidR="004232FF">
        <w:rPr>
          <w:rFonts w:ascii="Times New Roman" w:hAnsi="Times New Roman"/>
          <w:lang w:val="pt-BR"/>
        </w:rPr>
        <w:t xml:space="preserve"> na</w:t>
      </w:r>
      <w:r w:rsidR="00DC5509">
        <w:rPr>
          <w:rFonts w:ascii="Times New Roman" w:hAnsi="Times New Roman"/>
          <w:lang w:val="pt-BR"/>
        </w:rPr>
        <w:t xml:space="preserve"> conversão dos reagentes e</w:t>
      </w:r>
      <w:r w:rsidR="004232FF">
        <w:rPr>
          <w:rFonts w:ascii="Times New Roman" w:hAnsi="Times New Roman"/>
          <w:lang w:val="pt-BR"/>
        </w:rPr>
        <w:t xml:space="preserve"> </w:t>
      </w:r>
      <w:r w:rsidR="00EF0376">
        <w:rPr>
          <w:rFonts w:ascii="Times New Roman" w:hAnsi="Times New Roman"/>
          <w:lang w:val="pt-BR"/>
        </w:rPr>
        <w:t xml:space="preserve">na </w:t>
      </w:r>
      <w:r w:rsidR="00086C68">
        <w:rPr>
          <w:rFonts w:ascii="Times New Roman" w:hAnsi="Times New Roman"/>
          <w:lang w:val="pt-BR"/>
        </w:rPr>
        <w:t>obtenção de um biodiesel de maior qualidade</w:t>
      </w:r>
      <w:r w:rsidR="004232FF">
        <w:rPr>
          <w:rFonts w:ascii="Times New Roman" w:hAnsi="Times New Roman"/>
          <w:lang w:val="pt-BR"/>
        </w:rPr>
        <w:t>.</w:t>
      </w:r>
    </w:p>
    <w:p w14:paraId="307595D3" w14:textId="77777777" w:rsidR="00E038AF" w:rsidRDefault="00E038AF" w:rsidP="00EA4E1B">
      <w:pPr>
        <w:pStyle w:val="TAMainText"/>
        <w:ind w:firstLine="187"/>
        <w:rPr>
          <w:lang w:val="pt-BR"/>
        </w:rPr>
      </w:pPr>
    </w:p>
    <w:p w14:paraId="7F644015" w14:textId="7363E81B" w:rsidR="00EA4E1B" w:rsidRDefault="00C8410C" w:rsidP="00EA4E1B">
      <w:pPr>
        <w:jc w:val="center"/>
      </w:pPr>
      <w:r>
        <w:rPr>
          <w:noProof/>
        </w:rPr>
        <w:drawing>
          <wp:inline distT="0" distB="0" distL="0" distR="0" wp14:anchorId="78CA4A8A" wp14:editId="7BFD8F12">
            <wp:extent cx="3027680" cy="2414905"/>
            <wp:effectExtent l="0" t="0" r="1270" b="4445"/>
            <wp:docPr id="1" name="Gráfico 1">
              <a:extLst xmlns:a="http://schemas.openxmlformats.org/drawingml/2006/main">
                <a:ext uri="{FF2B5EF4-FFF2-40B4-BE49-F238E27FC236}">
                  <a16:creationId xmlns:a16="http://schemas.microsoft.com/office/drawing/2014/main" id="{72A5885E-C4E6-CBCF-7992-D7327F013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t xml:space="preserve"> </w:t>
      </w:r>
    </w:p>
    <w:p w14:paraId="540E7515" w14:textId="2461300F" w:rsidR="00EA4E1B" w:rsidRDefault="00EA4E1B" w:rsidP="00EA4E1B">
      <w:pPr>
        <w:pStyle w:val="VAFigureCaption"/>
        <w:spacing w:before="0"/>
        <w:rPr>
          <w:rFonts w:ascii="Times New Roman" w:hAnsi="Times New Roman"/>
          <w:lang w:val="pt-BR"/>
        </w:rPr>
      </w:pPr>
      <w:r w:rsidRPr="00E038AF">
        <w:rPr>
          <w:rFonts w:ascii="Times New Roman" w:hAnsi="Times New Roman"/>
          <w:b/>
          <w:lang w:val="pt-BR"/>
        </w:rPr>
        <w:t xml:space="preserve">Figura </w:t>
      </w:r>
      <w:r w:rsidR="004232FF">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sidR="00D05D07">
        <w:rPr>
          <w:rFonts w:ascii="Times New Roman" w:hAnsi="Times New Roman"/>
          <w:lang w:val="pt-BR"/>
        </w:rPr>
        <w:t>Comparação entre as a</w:t>
      </w:r>
      <w:r w:rsidR="004232FF">
        <w:rPr>
          <w:rFonts w:ascii="Times New Roman" w:hAnsi="Times New Roman"/>
          <w:lang w:val="pt-BR"/>
        </w:rPr>
        <w:t>nálise</w:t>
      </w:r>
      <w:r w:rsidR="00D05D07">
        <w:rPr>
          <w:rFonts w:ascii="Times New Roman" w:hAnsi="Times New Roman"/>
          <w:lang w:val="pt-BR"/>
        </w:rPr>
        <w:t>s</w:t>
      </w:r>
      <w:r w:rsidR="004232FF">
        <w:rPr>
          <w:rFonts w:ascii="Times New Roman" w:hAnsi="Times New Roman"/>
          <w:lang w:val="pt-BR"/>
        </w:rPr>
        <w:t xml:space="preserve"> cinética</w:t>
      </w:r>
      <w:r w:rsidR="00D05D07">
        <w:rPr>
          <w:rFonts w:ascii="Times New Roman" w:hAnsi="Times New Roman"/>
          <w:lang w:val="pt-BR"/>
        </w:rPr>
        <w:t>s</w:t>
      </w:r>
      <w:r w:rsidR="004232FF">
        <w:rPr>
          <w:rFonts w:ascii="Times New Roman" w:hAnsi="Times New Roman"/>
          <w:lang w:val="pt-BR"/>
        </w:rPr>
        <w:t xml:space="preserve"> </w:t>
      </w:r>
      <w:r w:rsidR="00D05D07">
        <w:rPr>
          <w:rFonts w:ascii="Times New Roman" w:hAnsi="Times New Roman"/>
          <w:lang w:val="pt-BR"/>
        </w:rPr>
        <w:t>d</w:t>
      </w:r>
      <w:r w:rsidR="004232FF">
        <w:rPr>
          <w:rFonts w:ascii="Times New Roman" w:hAnsi="Times New Roman"/>
          <w:lang w:val="pt-BR"/>
        </w:rPr>
        <w:t>as sínteses realizadas com utilização de ultrassom e com agitação magnética.</w:t>
      </w:r>
    </w:p>
    <w:p w14:paraId="3E763F60" w14:textId="596A2C60" w:rsidR="004232FF" w:rsidRDefault="004232FF" w:rsidP="004232FF">
      <w:pPr>
        <w:rPr>
          <w:lang w:eastAsia="pt-BR"/>
        </w:rPr>
      </w:pPr>
    </w:p>
    <w:p w14:paraId="49AE8C02" w14:textId="6E4B5846" w:rsidR="00EA4E1B" w:rsidRPr="00D05D07" w:rsidRDefault="004232FF" w:rsidP="000063A1">
      <w:pPr>
        <w:pStyle w:val="TAMainText"/>
        <w:ind w:firstLine="187"/>
        <w:rPr>
          <w:rFonts w:ascii="Times New Roman" w:hAnsi="Times New Roman"/>
          <w:lang w:val="pt-BR"/>
        </w:rPr>
      </w:pPr>
      <w:r w:rsidRPr="00D05D07">
        <w:rPr>
          <w:rFonts w:ascii="Times New Roman" w:hAnsi="Times New Roman"/>
          <w:lang w:val="pt-BR"/>
        </w:rPr>
        <w:t xml:space="preserve">Os principais ésteres metílicos presentes nos biodieseis produzidos, ou seja, os que se apresentaram em maiores quantidades, são os mesmos tanto para a síntese realizada com agitação </w:t>
      </w:r>
      <w:r w:rsidR="00F97245">
        <w:rPr>
          <w:rFonts w:ascii="Times New Roman" w:hAnsi="Times New Roman"/>
          <w:lang w:val="pt-BR"/>
        </w:rPr>
        <w:t>magnética</w:t>
      </w:r>
      <w:r w:rsidRPr="00D05D07">
        <w:rPr>
          <w:rFonts w:ascii="Times New Roman" w:hAnsi="Times New Roman"/>
          <w:lang w:val="pt-BR"/>
        </w:rPr>
        <w:t xml:space="preserve"> quanto para a síntese com ultrassom</w:t>
      </w:r>
      <w:r w:rsidR="00073E55">
        <w:rPr>
          <w:rFonts w:ascii="Times New Roman" w:hAnsi="Times New Roman"/>
          <w:lang w:val="pt-BR"/>
        </w:rPr>
        <w:t>, o que possivelmente está relacionado ao óleo de fritura empregado como matéria-prima para as sínteses.</w:t>
      </w:r>
      <w:r w:rsidRPr="00D05D07">
        <w:rPr>
          <w:rFonts w:ascii="Times New Roman" w:hAnsi="Times New Roman"/>
          <w:lang w:val="pt-BR"/>
        </w:rPr>
        <w:t xml:space="preserve"> </w:t>
      </w:r>
      <w:r w:rsidR="000063A1" w:rsidRPr="00D05D07">
        <w:rPr>
          <w:rFonts w:ascii="Times New Roman" w:hAnsi="Times New Roman"/>
          <w:lang w:val="pt-BR"/>
        </w:rPr>
        <w:t>Pode-se perceber também, através da Tabela 2 abaixo, que as porcentagens destes na composição do biodiesel não variam muito, mas ainda assim há uma menor quantidade no produto originado por agitação ultrassônica, simbolizando a diferença de conversão já discutida anteriormente.</w:t>
      </w:r>
    </w:p>
    <w:p w14:paraId="6BE51D71" w14:textId="66E1D25F" w:rsidR="004232FF" w:rsidRDefault="004232FF" w:rsidP="004232FF">
      <w:pPr>
        <w:jc w:val="both"/>
        <w:rPr>
          <w:sz w:val="20"/>
          <w:szCs w:val="20"/>
        </w:rPr>
      </w:pPr>
    </w:p>
    <w:p w14:paraId="005066E0" w14:textId="0222D9CA" w:rsidR="00AE36BF" w:rsidRDefault="00AE36BF" w:rsidP="004232FF">
      <w:pPr>
        <w:jc w:val="both"/>
        <w:rPr>
          <w:sz w:val="20"/>
          <w:szCs w:val="20"/>
        </w:rPr>
      </w:pPr>
    </w:p>
    <w:p w14:paraId="0E09DDF9" w14:textId="77777777" w:rsidR="007410C8" w:rsidRPr="004232FF" w:rsidRDefault="007410C8" w:rsidP="004232FF">
      <w:pPr>
        <w:jc w:val="both"/>
        <w:rPr>
          <w:sz w:val="20"/>
          <w:szCs w:val="20"/>
        </w:rPr>
      </w:pPr>
      <w:bookmarkStart w:id="7" w:name="_GoBack"/>
      <w:bookmarkEnd w:id="7"/>
    </w:p>
    <w:p w14:paraId="483DF959" w14:textId="695FF9B5" w:rsidR="00EA4E1B" w:rsidRPr="00E038AF" w:rsidRDefault="00EA4E1B" w:rsidP="00EA4E1B">
      <w:pPr>
        <w:pStyle w:val="VDTableTitle"/>
        <w:spacing w:after="120"/>
        <w:jc w:val="both"/>
        <w:rPr>
          <w:rFonts w:ascii="Times New Roman" w:hAnsi="Times New Roman"/>
          <w:lang w:val="pt-BR"/>
        </w:rPr>
      </w:pPr>
      <w:r w:rsidRPr="00E038AF">
        <w:rPr>
          <w:rFonts w:ascii="Times New Roman" w:hAnsi="Times New Roman"/>
          <w:b/>
          <w:lang w:val="pt-BR"/>
        </w:rPr>
        <w:t xml:space="preserve">Tabela </w:t>
      </w:r>
      <w:r w:rsidR="004232FF">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0063A1">
        <w:rPr>
          <w:rFonts w:ascii="Times New Roman" w:hAnsi="Times New Roman"/>
          <w:lang w:val="pt-BR"/>
        </w:rPr>
        <w:t>Principais ésteres metílicos que compõem os biodieseis produzidos e suas quantidades em cada um deles.</w:t>
      </w:r>
    </w:p>
    <w:tbl>
      <w:tblPr>
        <w:tblW w:w="48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7"/>
        <w:gridCol w:w="1134"/>
        <w:gridCol w:w="1134"/>
      </w:tblGrid>
      <w:tr w:rsidR="001123F4" w:rsidRPr="00072C7A" w14:paraId="0F12ABC1" w14:textId="77777777" w:rsidTr="001123F4">
        <w:trPr>
          <w:trHeight w:val="388"/>
          <w:jc w:val="center"/>
        </w:trPr>
        <w:tc>
          <w:tcPr>
            <w:tcW w:w="2547" w:type="dxa"/>
            <w:vMerge w:val="restart"/>
            <w:shd w:val="clear" w:color="auto" w:fill="F2F2F2" w:themeFill="background1" w:themeFillShade="F2"/>
            <w:vAlign w:val="center"/>
          </w:tcPr>
          <w:p w14:paraId="0C93B642" w14:textId="3679CD46" w:rsidR="001123F4" w:rsidRPr="001123F4" w:rsidRDefault="001123F4" w:rsidP="001123F4">
            <w:pPr>
              <w:pStyle w:val="TCTableBody"/>
              <w:jc w:val="center"/>
              <w:rPr>
                <w:lang w:val="pt-BR"/>
              </w:rPr>
            </w:pPr>
            <w:r w:rsidRPr="001123F4">
              <w:rPr>
                <w:lang w:val="pt-BR"/>
              </w:rPr>
              <w:t>Éster metílico</w:t>
            </w:r>
          </w:p>
        </w:tc>
        <w:tc>
          <w:tcPr>
            <w:tcW w:w="2268" w:type="dxa"/>
            <w:gridSpan w:val="2"/>
            <w:shd w:val="clear" w:color="auto" w:fill="F2F2F2" w:themeFill="background1" w:themeFillShade="F2"/>
            <w:vAlign w:val="center"/>
          </w:tcPr>
          <w:p w14:paraId="053D077F" w14:textId="709B81CC" w:rsidR="001123F4" w:rsidRPr="001123F4" w:rsidRDefault="001123F4" w:rsidP="001123F4">
            <w:pPr>
              <w:pStyle w:val="TCTableBody"/>
              <w:jc w:val="center"/>
              <w:rPr>
                <w:lang w:val="pt-BR"/>
              </w:rPr>
            </w:pPr>
            <w:r w:rsidRPr="001123F4">
              <w:rPr>
                <w:lang w:val="pt-BR"/>
              </w:rPr>
              <w:t>Quantidade no biodiesel (%)</w:t>
            </w:r>
          </w:p>
        </w:tc>
      </w:tr>
      <w:tr w:rsidR="001123F4" w:rsidRPr="00072C7A" w14:paraId="7A16D45E" w14:textId="77777777" w:rsidTr="001123F4">
        <w:trPr>
          <w:trHeight w:val="388"/>
          <w:jc w:val="center"/>
        </w:trPr>
        <w:tc>
          <w:tcPr>
            <w:tcW w:w="2547" w:type="dxa"/>
            <w:vMerge/>
            <w:shd w:val="clear" w:color="auto" w:fill="F2F2F2" w:themeFill="background1" w:themeFillShade="F2"/>
            <w:vAlign w:val="center"/>
          </w:tcPr>
          <w:p w14:paraId="12532031" w14:textId="059E1C1E" w:rsidR="001123F4" w:rsidRPr="001123F4" w:rsidRDefault="001123F4" w:rsidP="001123F4">
            <w:pPr>
              <w:pStyle w:val="TCTableBody"/>
              <w:jc w:val="center"/>
              <w:rPr>
                <w:lang w:val="pt-BR"/>
              </w:rPr>
            </w:pPr>
          </w:p>
        </w:tc>
        <w:tc>
          <w:tcPr>
            <w:tcW w:w="1134" w:type="dxa"/>
            <w:shd w:val="clear" w:color="auto" w:fill="F2F2F2" w:themeFill="background1" w:themeFillShade="F2"/>
            <w:vAlign w:val="center"/>
          </w:tcPr>
          <w:p w14:paraId="1A06AA15" w14:textId="6DE9B6D7" w:rsidR="001123F4" w:rsidRPr="001123F4" w:rsidRDefault="001123F4" w:rsidP="001123F4">
            <w:pPr>
              <w:pStyle w:val="TCTableBody"/>
              <w:jc w:val="center"/>
              <w:rPr>
                <w:lang w:val="pt-BR"/>
              </w:rPr>
            </w:pPr>
            <w:r w:rsidRPr="001123F4">
              <w:rPr>
                <w:lang w:val="pt-BR"/>
              </w:rPr>
              <w:t xml:space="preserve">Agitação </w:t>
            </w:r>
            <w:r w:rsidR="00F97245">
              <w:rPr>
                <w:lang w:val="pt-BR"/>
              </w:rPr>
              <w:t>magnética</w:t>
            </w:r>
          </w:p>
        </w:tc>
        <w:tc>
          <w:tcPr>
            <w:tcW w:w="1134" w:type="dxa"/>
            <w:shd w:val="clear" w:color="auto" w:fill="F2F2F2" w:themeFill="background1" w:themeFillShade="F2"/>
            <w:vAlign w:val="center"/>
          </w:tcPr>
          <w:p w14:paraId="0CB7968A" w14:textId="2446AB2C" w:rsidR="001123F4" w:rsidRPr="001123F4" w:rsidRDefault="001123F4" w:rsidP="001123F4">
            <w:pPr>
              <w:pStyle w:val="TCTableBody"/>
              <w:jc w:val="center"/>
              <w:rPr>
                <w:lang w:val="pt-BR"/>
              </w:rPr>
            </w:pPr>
            <w:r w:rsidRPr="001123F4">
              <w:rPr>
                <w:lang w:val="pt-BR"/>
              </w:rPr>
              <w:t>Agitação ultrassônica</w:t>
            </w:r>
          </w:p>
        </w:tc>
      </w:tr>
      <w:tr w:rsidR="0057334C" w:rsidRPr="00072C7A" w14:paraId="31EE37A1" w14:textId="77777777" w:rsidTr="001123F4">
        <w:trPr>
          <w:trHeight w:val="454"/>
          <w:jc w:val="center"/>
        </w:trPr>
        <w:tc>
          <w:tcPr>
            <w:tcW w:w="2547" w:type="dxa"/>
            <w:vAlign w:val="center"/>
          </w:tcPr>
          <w:p w14:paraId="5A53C568" w14:textId="181E6C97" w:rsidR="00474880" w:rsidRDefault="00474880" w:rsidP="004232FF">
            <w:pPr>
              <w:pStyle w:val="TCTableBody"/>
              <w:jc w:val="left"/>
              <w:rPr>
                <w:lang w:val="pt-BR"/>
              </w:rPr>
            </w:pPr>
            <w:r w:rsidRPr="00474880">
              <w:rPr>
                <w:lang w:val="pt-BR"/>
              </w:rPr>
              <w:t xml:space="preserve">Éster metílico do ácido </w:t>
            </w:r>
            <w:r w:rsidR="001123F4">
              <w:rPr>
                <w:lang w:val="pt-BR"/>
              </w:rPr>
              <w:t>linoleico</w:t>
            </w:r>
          </w:p>
        </w:tc>
        <w:tc>
          <w:tcPr>
            <w:tcW w:w="1134" w:type="dxa"/>
            <w:vAlign w:val="center"/>
          </w:tcPr>
          <w:p w14:paraId="5AC90CC2" w14:textId="0A5F9B73" w:rsidR="001123F4" w:rsidRDefault="001123F4" w:rsidP="001123F4">
            <w:pPr>
              <w:pStyle w:val="TCTableBody"/>
              <w:jc w:val="center"/>
              <w:rPr>
                <w:lang w:val="pt-BR"/>
              </w:rPr>
            </w:pPr>
            <w:r>
              <w:rPr>
                <w:lang w:val="pt-BR"/>
              </w:rPr>
              <w:t>40,98</w:t>
            </w:r>
          </w:p>
        </w:tc>
        <w:tc>
          <w:tcPr>
            <w:tcW w:w="1134" w:type="dxa"/>
            <w:vAlign w:val="center"/>
          </w:tcPr>
          <w:p w14:paraId="6DFB507B" w14:textId="495E14BB" w:rsidR="00474880" w:rsidRDefault="001123F4" w:rsidP="001123F4">
            <w:pPr>
              <w:pStyle w:val="TCTableBody"/>
              <w:jc w:val="center"/>
              <w:rPr>
                <w:lang w:val="pt-BR"/>
              </w:rPr>
            </w:pPr>
            <w:r>
              <w:rPr>
                <w:lang w:val="pt-BR"/>
              </w:rPr>
              <w:t>35,64</w:t>
            </w:r>
          </w:p>
        </w:tc>
      </w:tr>
      <w:tr w:rsidR="001123F4" w:rsidRPr="00072C7A" w14:paraId="5B79F5E3" w14:textId="77777777" w:rsidTr="001123F4">
        <w:trPr>
          <w:trHeight w:val="454"/>
          <w:jc w:val="center"/>
        </w:trPr>
        <w:tc>
          <w:tcPr>
            <w:tcW w:w="2547" w:type="dxa"/>
            <w:vAlign w:val="center"/>
          </w:tcPr>
          <w:p w14:paraId="700AC5ED" w14:textId="7CC8DFC6" w:rsidR="00474880" w:rsidRDefault="0057334C" w:rsidP="004232FF">
            <w:pPr>
              <w:pStyle w:val="TCTableBody"/>
              <w:jc w:val="left"/>
              <w:rPr>
                <w:lang w:val="pt-BR"/>
              </w:rPr>
            </w:pPr>
            <w:r w:rsidRPr="0057334C">
              <w:rPr>
                <w:lang w:val="pt-BR"/>
              </w:rPr>
              <w:t>Éster metílico do ácido oleico</w:t>
            </w:r>
          </w:p>
        </w:tc>
        <w:tc>
          <w:tcPr>
            <w:tcW w:w="1134" w:type="dxa"/>
            <w:vAlign w:val="center"/>
          </w:tcPr>
          <w:p w14:paraId="68581632" w14:textId="672B86D2" w:rsidR="00474880" w:rsidRDefault="001123F4" w:rsidP="001123F4">
            <w:pPr>
              <w:pStyle w:val="TCTableBody"/>
              <w:jc w:val="center"/>
              <w:rPr>
                <w:lang w:val="pt-BR"/>
              </w:rPr>
            </w:pPr>
            <w:r>
              <w:rPr>
                <w:lang w:val="pt-BR"/>
              </w:rPr>
              <w:t>32,38</w:t>
            </w:r>
          </w:p>
        </w:tc>
        <w:tc>
          <w:tcPr>
            <w:tcW w:w="1134" w:type="dxa"/>
            <w:vAlign w:val="center"/>
          </w:tcPr>
          <w:p w14:paraId="16587B2C" w14:textId="57877ADD" w:rsidR="00474880" w:rsidRDefault="001123F4" w:rsidP="001123F4">
            <w:pPr>
              <w:pStyle w:val="TCTableBody"/>
              <w:jc w:val="center"/>
              <w:rPr>
                <w:lang w:val="pt-BR"/>
              </w:rPr>
            </w:pPr>
            <w:r>
              <w:rPr>
                <w:lang w:val="pt-BR"/>
              </w:rPr>
              <w:t>27,49</w:t>
            </w:r>
          </w:p>
        </w:tc>
      </w:tr>
      <w:tr w:rsidR="001123F4" w:rsidRPr="00072C7A" w14:paraId="3D7FEEC7" w14:textId="77777777" w:rsidTr="001123F4">
        <w:trPr>
          <w:trHeight w:val="454"/>
          <w:jc w:val="center"/>
        </w:trPr>
        <w:tc>
          <w:tcPr>
            <w:tcW w:w="2547" w:type="dxa"/>
            <w:vAlign w:val="center"/>
          </w:tcPr>
          <w:p w14:paraId="681BF186" w14:textId="581B35C0" w:rsidR="00474880" w:rsidRDefault="0057334C" w:rsidP="004232FF">
            <w:pPr>
              <w:pStyle w:val="TCTableBody"/>
              <w:jc w:val="left"/>
              <w:rPr>
                <w:lang w:val="pt-BR"/>
              </w:rPr>
            </w:pPr>
            <w:r w:rsidRPr="0057334C">
              <w:rPr>
                <w:lang w:val="pt-BR"/>
              </w:rPr>
              <w:t>Éster metílico do ácido palmítico</w:t>
            </w:r>
          </w:p>
        </w:tc>
        <w:tc>
          <w:tcPr>
            <w:tcW w:w="1134" w:type="dxa"/>
            <w:vAlign w:val="center"/>
          </w:tcPr>
          <w:p w14:paraId="130D8AF5" w14:textId="736D67D9" w:rsidR="00474880" w:rsidRDefault="001123F4" w:rsidP="001123F4">
            <w:pPr>
              <w:pStyle w:val="TCTableBody"/>
              <w:jc w:val="center"/>
              <w:rPr>
                <w:lang w:val="pt-BR"/>
              </w:rPr>
            </w:pPr>
            <w:r>
              <w:rPr>
                <w:lang w:val="pt-BR"/>
              </w:rPr>
              <w:t>11,61</w:t>
            </w:r>
          </w:p>
        </w:tc>
        <w:tc>
          <w:tcPr>
            <w:tcW w:w="1134" w:type="dxa"/>
            <w:vAlign w:val="center"/>
          </w:tcPr>
          <w:p w14:paraId="0998945A" w14:textId="37354264" w:rsidR="00474880" w:rsidRDefault="001123F4" w:rsidP="001123F4">
            <w:pPr>
              <w:pStyle w:val="TCTableBody"/>
              <w:jc w:val="center"/>
              <w:rPr>
                <w:lang w:val="pt-BR"/>
              </w:rPr>
            </w:pPr>
            <w:r>
              <w:rPr>
                <w:lang w:val="pt-BR"/>
              </w:rPr>
              <w:t>10,35</w:t>
            </w:r>
          </w:p>
        </w:tc>
      </w:tr>
      <w:tr w:rsidR="001123F4" w:rsidRPr="00072C7A" w14:paraId="6E00FE11" w14:textId="77777777" w:rsidTr="001123F4">
        <w:trPr>
          <w:trHeight w:val="454"/>
          <w:jc w:val="center"/>
        </w:trPr>
        <w:tc>
          <w:tcPr>
            <w:tcW w:w="2547" w:type="dxa"/>
            <w:tcBorders>
              <w:bottom w:val="single" w:sz="6" w:space="0" w:color="auto"/>
            </w:tcBorders>
            <w:vAlign w:val="center"/>
          </w:tcPr>
          <w:p w14:paraId="2F4EA7ED" w14:textId="1FC29AF8" w:rsidR="00474880" w:rsidRDefault="0057334C" w:rsidP="004232FF">
            <w:pPr>
              <w:pStyle w:val="TCTableBody"/>
              <w:jc w:val="left"/>
              <w:rPr>
                <w:lang w:val="pt-BR"/>
              </w:rPr>
            </w:pPr>
            <w:r w:rsidRPr="0057334C">
              <w:rPr>
                <w:lang w:val="pt-BR"/>
              </w:rPr>
              <w:t>Éster metílico do ácido esteárico</w:t>
            </w:r>
          </w:p>
        </w:tc>
        <w:tc>
          <w:tcPr>
            <w:tcW w:w="1134" w:type="dxa"/>
            <w:tcBorders>
              <w:bottom w:val="single" w:sz="6" w:space="0" w:color="auto"/>
            </w:tcBorders>
            <w:vAlign w:val="center"/>
          </w:tcPr>
          <w:p w14:paraId="778CEA5D" w14:textId="01287B23" w:rsidR="00474880" w:rsidRDefault="001123F4" w:rsidP="001123F4">
            <w:pPr>
              <w:pStyle w:val="TCTableBody"/>
              <w:jc w:val="center"/>
              <w:rPr>
                <w:lang w:val="pt-BR"/>
              </w:rPr>
            </w:pPr>
            <w:r>
              <w:rPr>
                <w:lang w:val="pt-BR"/>
              </w:rPr>
              <w:t>5,24</w:t>
            </w:r>
          </w:p>
        </w:tc>
        <w:tc>
          <w:tcPr>
            <w:tcW w:w="1134" w:type="dxa"/>
            <w:tcBorders>
              <w:bottom w:val="single" w:sz="6" w:space="0" w:color="auto"/>
            </w:tcBorders>
            <w:vAlign w:val="center"/>
          </w:tcPr>
          <w:p w14:paraId="7407E59F" w14:textId="0915E7B0" w:rsidR="00474880" w:rsidRDefault="001123F4" w:rsidP="001123F4">
            <w:pPr>
              <w:pStyle w:val="TCTableBody"/>
              <w:jc w:val="center"/>
              <w:rPr>
                <w:lang w:val="pt-BR"/>
              </w:rPr>
            </w:pPr>
            <w:r>
              <w:rPr>
                <w:lang w:val="pt-BR"/>
              </w:rPr>
              <w:t>4,17</w:t>
            </w:r>
          </w:p>
        </w:tc>
      </w:tr>
    </w:tbl>
    <w:p w14:paraId="46FE30FF" w14:textId="013A19A8" w:rsidR="00EA4E1B" w:rsidRDefault="00EA4E1B" w:rsidP="00EA4E1B"/>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0CA7AEF1" w14:textId="5AED758C" w:rsidR="000063A1" w:rsidRDefault="000063A1" w:rsidP="00EA4E1B">
      <w:pPr>
        <w:pStyle w:val="TAMainText"/>
        <w:ind w:firstLine="187"/>
        <w:rPr>
          <w:rFonts w:ascii="Times New Roman" w:hAnsi="Times New Roman"/>
          <w:lang w:val="pt-BR"/>
        </w:rPr>
      </w:pPr>
      <w:r w:rsidRPr="000063A1">
        <w:rPr>
          <w:rFonts w:ascii="Times New Roman" w:hAnsi="Times New Roman"/>
          <w:lang w:val="pt-BR"/>
        </w:rPr>
        <w:t>Os resultados obtidos indicaram</w:t>
      </w:r>
      <w:r w:rsidR="00073E55">
        <w:rPr>
          <w:rFonts w:ascii="Times New Roman" w:hAnsi="Times New Roman"/>
          <w:lang w:val="pt-BR"/>
        </w:rPr>
        <w:t xml:space="preserve"> que o banho ultrassônico empregado na síntese do biodiesel por catálise heterogênea, com </w:t>
      </w:r>
      <w:proofErr w:type="spellStart"/>
      <w:r w:rsidR="00073E55">
        <w:rPr>
          <w:rFonts w:ascii="Times New Roman" w:hAnsi="Times New Roman"/>
          <w:lang w:val="pt-BR"/>
        </w:rPr>
        <w:t>CaO</w:t>
      </w:r>
      <w:proofErr w:type="spellEnd"/>
      <w:r w:rsidR="00073E55">
        <w:rPr>
          <w:rFonts w:ascii="Times New Roman" w:hAnsi="Times New Roman"/>
          <w:lang w:val="pt-BR"/>
        </w:rPr>
        <w:t xml:space="preserve">, não foi eficiente. Contudo, a síntese empregando a agitação magnética e o </w:t>
      </w:r>
      <w:proofErr w:type="spellStart"/>
      <w:r w:rsidR="00073E55">
        <w:rPr>
          <w:rFonts w:ascii="Times New Roman" w:hAnsi="Times New Roman"/>
          <w:lang w:val="pt-BR"/>
        </w:rPr>
        <w:t>CaO</w:t>
      </w:r>
      <w:proofErr w:type="spellEnd"/>
      <w:r w:rsidR="00073E55">
        <w:rPr>
          <w:rFonts w:ascii="Times New Roman" w:hAnsi="Times New Roman"/>
          <w:lang w:val="pt-BR"/>
        </w:rPr>
        <w:t xml:space="preserve"> como catalisador apresentou uma conversão de </w:t>
      </w:r>
      <w:r w:rsidR="00D13BC8">
        <w:rPr>
          <w:rFonts w:ascii="Times New Roman" w:hAnsi="Times New Roman"/>
          <w:lang w:val="pt-BR"/>
        </w:rPr>
        <w:t xml:space="preserve">cerca </w:t>
      </w:r>
      <w:r w:rsidR="00073E55">
        <w:rPr>
          <w:rFonts w:ascii="Times New Roman" w:hAnsi="Times New Roman"/>
          <w:lang w:val="pt-BR"/>
        </w:rPr>
        <w:t xml:space="preserve">de 84% </w:t>
      </w:r>
      <w:r w:rsidR="00D13BC8">
        <w:rPr>
          <w:rFonts w:ascii="Times New Roman" w:hAnsi="Times New Roman"/>
          <w:lang w:val="pt-BR"/>
        </w:rPr>
        <w:t xml:space="preserve">de </w:t>
      </w:r>
      <w:r w:rsidR="00073E55">
        <w:rPr>
          <w:rFonts w:ascii="Times New Roman" w:hAnsi="Times New Roman"/>
          <w:lang w:val="pt-BR"/>
        </w:rPr>
        <w:t xml:space="preserve">ácidos graxos em ésteres metílicos </w:t>
      </w:r>
      <w:r w:rsidR="00D13BC8">
        <w:rPr>
          <w:rFonts w:ascii="Times New Roman" w:hAnsi="Times New Roman"/>
          <w:lang w:val="pt-BR"/>
        </w:rPr>
        <w:t>em comparação a</w:t>
      </w:r>
      <w:r w:rsidR="00073E55">
        <w:rPr>
          <w:rFonts w:ascii="Times New Roman" w:hAnsi="Times New Roman"/>
          <w:lang w:val="pt-BR"/>
        </w:rPr>
        <w:t xml:space="preserve"> síntese convencional por catálise</w:t>
      </w:r>
      <w:r w:rsidR="00D13BC8">
        <w:rPr>
          <w:rFonts w:ascii="Times New Roman" w:hAnsi="Times New Roman"/>
          <w:lang w:val="pt-BR"/>
        </w:rPr>
        <w:t xml:space="preserve"> homogênea com </w:t>
      </w:r>
      <w:proofErr w:type="spellStart"/>
      <w:r w:rsidR="00D13BC8">
        <w:rPr>
          <w:rFonts w:ascii="Times New Roman" w:hAnsi="Times New Roman"/>
          <w:lang w:val="pt-BR"/>
        </w:rPr>
        <w:t>NaOH</w:t>
      </w:r>
      <w:proofErr w:type="spellEnd"/>
      <w:r w:rsidR="00D13BC8">
        <w:rPr>
          <w:rFonts w:ascii="Times New Roman" w:hAnsi="Times New Roman"/>
          <w:lang w:val="pt-BR"/>
        </w:rPr>
        <w:t xml:space="preserve"> e evitou a lavagem com água do biodiesel pós síntese, minimizando efluentes.</w:t>
      </w:r>
    </w:p>
    <w:p w14:paraId="0E773C27" w14:textId="7E2EB5DC" w:rsidR="000063A1" w:rsidRDefault="000063A1" w:rsidP="00EA4E1B">
      <w:pPr>
        <w:pStyle w:val="TAMainText"/>
        <w:ind w:firstLine="187"/>
        <w:rPr>
          <w:rFonts w:ascii="Times New Roman" w:hAnsi="Times New Roman"/>
          <w:lang w:val="pt-BR"/>
        </w:rPr>
      </w:pPr>
      <w:r w:rsidRPr="000063A1">
        <w:rPr>
          <w:rFonts w:ascii="Times New Roman" w:hAnsi="Times New Roman"/>
          <w:lang w:val="pt-BR"/>
        </w:rPr>
        <w:t>Embora o emprego de ultrassom tenha produzido 99,00 mL de produto enquanto que a agitação magnética originou 91,00 mL,</w:t>
      </w:r>
      <w:r w:rsidR="00DD2F3D">
        <w:rPr>
          <w:rFonts w:ascii="Times New Roman" w:hAnsi="Times New Roman"/>
          <w:lang w:val="pt-BR"/>
        </w:rPr>
        <w:t xml:space="preserve"> o primeiro</w:t>
      </w:r>
      <w:r>
        <w:rPr>
          <w:rFonts w:ascii="Times New Roman" w:hAnsi="Times New Roman"/>
          <w:lang w:val="pt-BR"/>
        </w:rPr>
        <w:t xml:space="preserve"> apresentando um maior rendimento em termo de volume de produto sintetizado,</w:t>
      </w:r>
      <w:r w:rsidRPr="000063A1">
        <w:rPr>
          <w:rFonts w:ascii="Times New Roman" w:hAnsi="Times New Roman"/>
          <w:lang w:val="pt-BR"/>
        </w:rPr>
        <w:t xml:space="preserve"> a pureza cromatográfica do biodiesel produzido foi muito baixa</w:t>
      </w:r>
      <w:r w:rsidR="004849DB">
        <w:rPr>
          <w:rFonts w:ascii="Times New Roman" w:hAnsi="Times New Roman"/>
          <w:lang w:val="pt-BR"/>
        </w:rPr>
        <w:t xml:space="preserve">, pois atingiu uma </w:t>
      </w:r>
      <w:r w:rsidR="00976F9F">
        <w:rPr>
          <w:rFonts w:ascii="Times New Roman" w:hAnsi="Times New Roman"/>
          <w:lang w:val="pt-BR"/>
        </w:rPr>
        <w:t xml:space="preserve">concentração de ésteres formados </w:t>
      </w:r>
      <w:r w:rsidR="00EF0376">
        <w:rPr>
          <w:rFonts w:ascii="Times New Roman" w:hAnsi="Times New Roman"/>
          <w:lang w:val="pt-BR"/>
        </w:rPr>
        <w:t xml:space="preserve">de </w:t>
      </w:r>
      <w:r w:rsidR="00976F9F">
        <w:rPr>
          <w:rFonts w:ascii="Times New Roman" w:hAnsi="Times New Roman"/>
          <w:lang w:val="pt-BR"/>
        </w:rPr>
        <w:t>apenas</w:t>
      </w:r>
      <w:r w:rsidRPr="000063A1">
        <w:rPr>
          <w:rFonts w:ascii="Times New Roman" w:hAnsi="Times New Roman"/>
          <w:lang w:val="pt-BR"/>
        </w:rPr>
        <w:t xml:space="preserve"> 2</w:t>
      </w:r>
      <w:r w:rsidR="00BC0705">
        <w:rPr>
          <w:rFonts w:ascii="Times New Roman" w:hAnsi="Times New Roman"/>
          <w:lang w:val="pt-BR"/>
        </w:rPr>
        <w:t>6</w:t>
      </w:r>
      <w:r w:rsidRPr="000063A1">
        <w:rPr>
          <w:rFonts w:ascii="Times New Roman" w:hAnsi="Times New Roman"/>
          <w:lang w:val="pt-BR"/>
        </w:rPr>
        <w:t xml:space="preserve">%, sendo </w:t>
      </w:r>
      <w:r w:rsidR="00976F9F">
        <w:rPr>
          <w:rFonts w:ascii="Times New Roman" w:hAnsi="Times New Roman"/>
          <w:lang w:val="pt-BR"/>
        </w:rPr>
        <w:t xml:space="preserve">significativamente </w:t>
      </w:r>
      <w:r w:rsidRPr="000063A1">
        <w:rPr>
          <w:rFonts w:ascii="Times New Roman" w:hAnsi="Times New Roman"/>
          <w:lang w:val="pt-BR"/>
        </w:rPr>
        <w:t xml:space="preserve">menor do que a obtida através da síntese realizada com agitação </w:t>
      </w:r>
      <w:r w:rsidR="00F97245">
        <w:rPr>
          <w:rFonts w:ascii="Times New Roman" w:hAnsi="Times New Roman"/>
          <w:lang w:val="pt-BR"/>
        </w:rPr>
        <w:t>magnética</w:t>
      </w:r>
      <w:r w:rsidRPr="000063A1">
        <w:rPr>
          <w:rFonts w:ascii="Times New Roman" w:hAnsi="Times New Roman"/>
          <w:lang w:val="pt-BR"/>
        </w:rPr>
        <w:t xml:space="preserve"> </w:t>
      </w:r>
      <w:r w:rsidR="00D13BC8">
        <w:rPr>
          <w:rFonts w:ascii="Times New Roman" w:hAnsi="Times New Roman"/>
          <w:lang w:val="pt-BR"/>
        </w:rPr>
        <w:t>(</w:t>
      </w:r>
      <w:r w:rsidRPr="000063A1">
        <w:rPr>
          <w:rFonts w:ascii="Times New Roman" w:hAnsi="Times New Roman"/>
          <w:lang w:val="pt-BR"/>
        </w:rPr>
        <w:t>8</w:t>
      </w:r>
      <w:r w:rsidR="00BC0705">
        <w:rPr>
          <w:rFonts w:ascii="Times New Roman" w:hAnsi="Times New Roman"/>
          <w:lang w:val="pt-BR"/>
        </w:rPr>
        <w:t>4</w:t>
      </w:r>
      <w:r w:rsidRPr="000063A1">
        <w:rPr>
          <w:rFonts w:ascii="Times New Roman" w:hAnsi="Times New Roman"/>
          <w:lang w:val="pt-BR"/>
        </w:rPr>
        <w:t>%</w:t>
      </w:r>
      <w:r w:rsidR="00D13BC8">
        <w:rPr>
          <w:rFonts w:ascii="Times New Roman" w:hAnsi="Times New Roman"/>
          <w:lang w:val="pt-BR"/>
        </w:rPr>
        <w:t>)</w:t>
      </w:r>
      <w:r>
        <w:rPr>
          <w:rFonts w:ascii="Times New Roman" w:hAnsi="Times New Roman"/>
          <w:lang w:val="pt-BR"/>
        </w:rPr>
        <w:t>.</w:t>
      </w:r>
    </w:p>
    <w:p w14:paraId="7AF6C446" w14:textId="6103B91F" w:rsidR="000063A1" w:rsidRDefault="00DD2F3D" w:rsidP="00DD2F3D">
      <w:pPr>
        <w:pStyle w:val="TAMainText"/>
        <w:rPr>
          <w:rFonts w:ascii="Times New Roman" w:hAnsi="Times New Roman"/>
          <w:lang w:val="pt-BR"/>
        </w:rPr>
      </w:pPr>
      <w:r>
        <w:rPr>
          <w:rFonts w:ascii="Times New Roman" w:hAnsi="Times New Roman"/>
          <w:lang w:val="pt-BR"/>
        </w:rPr>
        <w:t>Sendo assim, com a utilização de ultrassom originou-se uma maior quantidade de outros compostos que não ésteres, e isso levou a um maior volume produzido de combustível, porém de qualidade inferior, o que provavelmente se deve à utilização de um banho ultrassônico com potência insuficiente para a realização adequada de uma reação de transesterificação.</w:t>
      </w:r>
    </w:p>
    <w:p w14:paraId="4A70FE93" w14:textId="6642099A" w:rsidR="00EA4E1B" w:rsidRPr="001F25B2" w:rsidRDefault="000063A1" w:rsidP="00EA4E1B">
      <w:pPr>
        <w:pStyle w:val="TAMainText"/>
        <w:ind w:firstLine="187"/>
        <w:rPr>
          <w:rFonts w:ascii="Times New Roman" w:hAnsi="Times New Roman"/>
          <w:lang w:val="pt-BR"/>
        </w:rPr>
      </w:pPr>
      <w:r w:rsidRPr="000063A1">
        <w:rPr>
          <w:rFonts w:ascii="Times New Roman" w:hAnsi="Times New Roman"/>
          <w:lang w:val="pt-BR"/>
        </w:rPr>
        <w:t>Por fim, constatou-se que os principais ésteres metílicos presentes em ambos produtos são os mesmos, sendo estes os ésteres metílicos dos ácidos linoleico, oleico, palmítico e esteárico.</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6C955265" w:rsidR="00EA4E1B" w:rsidRPr="001F25B2" w:rsidRDefault="00C33F0E" w:rsidP="00E24E79">
      <w:pPr>
        <w:pStyle w:val="TAMainText"/>
        <w:rPr>
          <w:rFonts w:ascii="Times New Roman" w:hAnsi="Times New Roman"/>
          <w:lang w:val="pt-BR"/>
        </w:rPr>
      </w:pPr>
      <w:r w:rsidRPr="00E24E79">
        <w:rPr>
          <w:rFonts w:ascii="Times New Roman" w:hAnsi="Times New Roman"/>
          <w:lang w:val="pt-BR"/>
        </w:rPr>
        <w:t xml:space="preserve">À </w:t>
      </w:r>
      <w:proofErr w:type="spellStart"/>
      <w:r w:rsidRPr="00E24E79">
        <w:rPr>
          <w:rFonts w:ascii="Times New Roman" w:hAnsi="Times New Roman"/>
          <w:lang w:val="pt-BR"/>
        </w:rPr>
        <w:t>Pró-reitoria</w:t>
      </w:r>
      <w:proofErr w:type="spellEnd"/>
      <w:r w:rsidRPr="00E24E79">
        <w:rPr>
          <w:rFonts w:ascii="Times New Roman" w:hAnsi="Times New Roman"/>
          <w:lang w:val="pt-BR"/>
        </w:rPr>
        <w:t xml:space="preserve"> de Pesquisa, Inovação e Pós-graduação do </w:t>
      </w:r>
      <w:proofErr w:type="spellStart"/>
      <w:r w:rsidRPr="00E24E79">
        <w:rPr>
          <w:rFonts w:ascii="Times New Roman" w:hAnsi="Times New Roman"/>
          <w:lang w:val="pt-BR"/>
        </w:rPr>
        <w:t>IFSul</w:t>
      </w:r>
      <w:proofErr w:type="spellEnd"/>
      <w:r w:rsidRPr="00E24E79">
        <w:rPr>
          <w:rFonts w:ascii="Times New Roman" w:hAnsi="Times New Roman"/>
          <w:lang w:val="pt-BR"/>
        </w:rPr>
        <w:t xml:space="preserve"> pelo apoio financeiro sob o</w:t>
      </w:r>
      <w:r>
        <w:rPr>
          <w:rFonts w:ascii="Times New Roman" w:hAnsi="Times New Roman"/>
          <w:lang w:val="pt-BR"/>
        </w:rPr>
        <w:t xml:space="preserve"> </w:t>
      </w:r>
      <w:r w:rsidRPr="00E24E79">
        <w:rPr>
          <w:rFonts w:ascii="Times New Roman" w:hAnsi="Times New Roman"/>
          <w:lang w:val="pt-BR"/>
        </w:rPr>
        <w:t xml:space="preserve">projeto registrado </w:t>
      </w:r>
      <w:r w:rsidR="0063642B">
        <w:rPr>
          <w:rFonts w:ascii="Times New Roman" w:hAnsi="Times New Roman"/>
          <w:lang w:val="pt-BR"/>
        </w:rPr>
        <w:t>no</w:t>
      </w:r>
      <w:r w:rsidRPr="00E24E79">
        <w:rPr>
          <w:rFonts w:ascii="Times New Roman" w:hAnsi="Times New Roman"/>
          <w:lang w:val="pt-BR"/>
        </w:rPr>
        <w:t xml:space="preserve"> número</w:t>
      </w:r>
      <w:r>
        <w:rPr>
          <w:rFonts w:ascii="Times New Roman" w:hAnsi="Times New Roman"/>
          <w:lang w:val="pt-BR"/>
        </w:rPr>
        <w:t xml:space="preserve"> </w:t>
      </w:r>
      <w:r w:rsidR="009203DB" w:rsidRPr="009203DB">
        <w:rPr>
          <w:rFonts w:ascii="Times New Roman" w:hAnsi="Times New Roman"/>
          <w:lang w:val="pt-BR"/>
        </w:rPr>
        <w:t>PE09220722/026</w:t>
      </w:r>
      <w:r w:rsidR="009203DB">
        <w:rPr>
          <w:rFonts w:ascii="Times New Roman" w:hAnsi="Times New Roman"/>
          <w:lang w:val="pt-BR"/>
        </w:rPr>
        <w:t xml:space="preserve">. </w:t>
      </w:r>
      <w:r w:rsidR="003603F1">
        <w:rPr>
          <w:rFonts w:ascii="Times New Roman" w:hAnsi="Times New Roman"/>
          <w:lang w:val="pt-BR"/>
        </w:rPr>
        <w:t>À</w:t>
      </w:r>
      <w:r w:rsidR="00E24E79" w:rsidRPr="00E24E79">
        <w:rPr>
          <w:rFonts w:ascii="Times New Roman" w:hAnsi="Times New Roman"/>
          <w:lang w:val="pt-BR"/>
        </w:rPr>
        <w:t xml:space="preserve"> FAPERGS pelas</w:t>
      </w:r>
      <w:r w:rsidR="00E24E79">
        <w:rPr>
          <w:rFonts w:ascii="Times New Roman" w:hAnsi="Times New Roman"/>
          <w:lang w:val="pt-BR"/>
        </w:rPr>
        <w:t xml:space="preserve"> </w:t>
      </w:r>
      <w:r w:rsidR="00E24E79" w:rsidRPr="00E24E79">
        <w:rPr>
          <w:rFonts w:ascii="Times New Roman" w:hAnsi="Times New Roman"/>
          <w:lang w:val="pt-BR"/>
        </w:rPr>
        <w:t>bolsas de iniciação científica.</w:t>
      </w:r>
    </w:p>
    <w:p w14:paraId="158D911D" w14:textId="3F7D73B6" w:rsidR="00EA4E1B" w:rsidRDefault="00EA4E1B" w:rsidP="00D05D07">
      <w:pPr>
        <w:pStyle w:val="Ttulo2"/>
      </w:pPr>
      <w:r w:rsidRPr="001F25B2">
        <w:rPr>
          <w:rFonts w:ascii="Helvetica" w:hAnsi="Helvetica" w:cs="Helvetica"/>
          <w:sz w:val="24"/>
          <w:szCs w:val="24"/>
        </w:rPr>
        <w:lastRenderedPageBreak/>
        <w:t>Referências</w:t>
      </w:r>
    </w:p>
    <w:p w14:paraId="1AA66EB5" w14:textId="59521783" w:rsidR="00054675" w:rsidRPr="00AD083C" w:rsidRDefault="00054675" w:rsidP="000F0E3D">
      <w:pPr>
        <w:pStyle w:val="TAMainText"/>
        <w:numPr>
          <w:ilvl w:val="0"/>
          <w:numId w:val="1"/>
        </w:numPr>
        <w:rPr>
          <w:rFonts w:ascii="Times New Roman" w:hAnsi="Times New Roman"/>
          <w:color w:val="000000" w:themeColor="text1"/>
          <w:lang w:val="pt-BR"/>
        </w:rPr>
      </w:pPr>
      <w:r w:rsidRPr="00925B68">
        <w:rPr>
          <w:rFonts w:ascii="Times New Roman" w:hAnsi="Times New Roman"/>
        </w:rPr>
        <w:t xml:space="preserve">International Energy Outlook - U.S. Energy Information Administration (EIA). </w:t>
      </w:r>
      <w:r w:rsidRPr="00054675">
        <w:rPr>
          <w:rFonts w:ascii="Times New Roman" w:hAnsi="Times New Roman"/>
          <w:lang w:val="pt-BR"/>
        </w:rPr>
        <w:t xml:space="preserve">Disponível em: </w:t>
      </w:r>
      <w:hyperlink r:id="rId12" w:history="1">
        <w:r w:rsidR="00AD083C" w:rsidRPr="00AD083C">
          <w:rPr>
            <w:rStyle w:val="Hyperlink"/>
            <w:rFonts w:ascii="Times New Roman" w:hAnsi="Times New Roman"/>
            <w:color w:val="000000" w:themeColor="text1"/>
            <w:u w:val="none"/>
            <w:lang w:val="pt-BR"/>
          </w:rPr>
          <w:t>https://www.eia.gov/outlooks/ieo/tables_side_pdf.php</w:t>
        </w:r>
      </w:hyperlink>
      <w:r w:rsidR="00AD083C" w:rsidRPr="00AD083C">
        <w:rPr>
          <w:rFonts w:ascii="Times New Roman" w:hAnsi="Times New Roman"/>
          <w:color w:val="000000" w:themeColor="text1"/>
          <w:lang w:val="pt-BR"/>
        </w:rPr>
        <w:t>.</w:t>
      </w:r>
      <w:r w:rsidRPr="00AD083C">
        <w:rPr>
          <w:rFonts w:ascii="Times New Roman" w:hAnsi="Times New Roman"/>
          <w:color w:val="000000" w:themeColor="text1"/>
          <w:lang w:val="pt-BR"/>
        </w:rPr>
        <w:t xml:space="preserve"> Acesso em: 22 mar. 2023.</w:t>
      </w:r>
    </w:p>
    <w:p w14:paraId="7B52A2D3" w14:textId="48637054" w:rsidR="000F0E3D" w:rsidRDefault="000F0E3D" w:rsidP="000F0E3D">
      <w:pPr>
        <w:pStyle w:val="TAMainText"/>
        <w:numPr>
          <w:ilvl w:val="0"/>
          <w:numId w:val="1"/>
        </w:numPr>
        <w:rPr>
          <w:rFonts w:ascii="Times New Roman" w:hAnsi="Times New Roman"/>
          <w:lang w:val="pt-BR"/>
        </w:rPr>
      </w:pPr>
      <w:r w:rsidRPr="000F0E3D">
        <w:rPr>
          <w:rFonts w:ascii="Times New Roman" w:hAnsi="Times New Roman"/>
          <w:lang w:val="pt-BR"/>
        </w:rPr>
        <w:t>R.</w:t>
      </w:r>
      <w:r w:rsidR="001E58F0">
        <w:rPr>
          <w:rFonts w:ascii="Times New Roman" w:hAnsi="Times New Roman"/>
          <w:lang w:val="pt-BR"/>
        </w:rPr>
        <w:t xml:space="preserve"> </w:t>
      </w:r>
      <w:proofErr w:type="spellStart"/>
      <w:r w:rsidR="002E51EB" w:rsidRPr="002E51EB">
        <w:rPr>
          <w:rFonts w:ascii="Times New Roman" w:hAnsi="Times New Roman"/>
          <w:lang w:val="pt-BR"/>
        </w:rPr>
        <w:t>Altın</w:t>
      </w:r>
      <w:proofErr w:type="spellEnd"/>
      <w:r w:rsidRPr="000F0E3D">
        <w:rPr>
          <w:rFonts w:ascii="Times New Roman" w:hAnsi="Times New Roman"/>
          <w:lang w:val="pt-BR"/>
        </w:rPr>
        <w:t xml:space="preserve">; </w:t>
      </w:r>
      <w:r w:rsidR="002E51EB">
        <w:rPr>
          <w:rFonts w:ascii="Times New Roman" w:hAnsi="Times New Roman"/>
          <w:lang w:val="pt-BR"/>
        </w:rPr>
        <w:t xml:space="preserve">S. </w:t>
      </w:r>
      <w:proofErr w:type="spellStart"/>
      <w:r w:rsidR="002E51EB">
        <w:rPr>
          <w:rFonts w:ascii="Times New Roman" w:hAnsi="Times New Roman"/>
          <w:lang w:val="pt-BR"/>
        </w:rPr>
        <w:t>Çetinkaya</w:t>
      </w:r>
      <w:proofErr w:type="spellEnd"/>
      <w:r w:rsidR="002E51EB">
        <w:rPr>
          <w:rFonts w:ascii="Times New Roman" w:hAnsi="Times New Roman"/>
          <w:lang w:val="pt-BR"/>
        </w:rPr>
        <w:t xml:space="preserve">; </w:t>
      </w:r>
      <w:r w:rsidRPr="000F0E3D">
        <w:rPr>
          <w:rFonts w:ascii="Times New Roman" w:hAnsi="Times New Roman"/>
          <w:lang w:val="pt-BR"/>
        </w:rPr>
        <w:t>H.</w:t>
      </w:r>
      <w:r w:rsidR="002E51EB">
        <w:rPr>
          <w:rFonts w:ascii="Times New Roman" w:hAnsi="Times New Roman"/>
          <w:lang w:val="pt-BR"/>
        </w:rPr>
        <w:t xml:space="preserve"> </w:t>
      </w:r>
      <w:r w:rsidR="001E58F0">
        <w:rPr>
          <w:rFonts w:ascii="Times New Roman" w:hAnsi="Times New Roman"/>
          <w:lang w:val="pt-BR"/>
        </w:rPr>
        <w:t>S</w:t>
      </w:r>
      <w:r w:rsidR="002E51EB">
        <w:rPr>
          <w:rFonts w:ascii="Times New Roman" w:hAnsi="Times New Roman"/>
          <w:lang w:val="pt-BR"/>
        </w:rPr>
        <w:t xml:space="preserve">. </w:t>
      </w:r>
      <w:proofErr w:type="spellStart"/>
      <w:r w:rsidR="002E51EB">
        <w:rPr>
          <w:rFonts w:ascii="Times New Roman" w:hAnsi="Times New Roman"/>
          <w:lang w:val="pt-BR"/>
        </w:rPr>
        <w:t>Yücesu</w:t>
      </w:r>
      <w:proofErr w:type="spellEnd"/>
      <w:r w:rsidRPr="00CC5563">
        <w:rPr>
          <w:rFonts w:ascii="Times New Roman" w:hAnsi="Times New Roman"/>
          <w:i/>
          <w:iCs/>
          <w:lang w:val="pt-BR"/>
        </w:rPr>
        <w:t xml:space="preserve">. Energy </w:t>
      </w:r>
      <w:proofErr w:type="spellStart"/>
      <w:r w:rsidRPr="00CC5563">
        <w:rPr>
          <w:rFonts w:ascii="Times New Roman" w:hAnsi="Times New Roman"/>
          <w:i/>
          <w:iCs/>
          <w:lang w:val="pt-BR"/>
        </w:rPr>
        <w:t>Conversion</w:t>
      </w:r>
      <w:proofErr w:type="spellEnd"/>
      <w:r w:rsidRPr="00CC5563">
        <w:rPr>
          <w:rFonts w:ascii="Times New Roman" w:hAnsi="Times New Roman"/>
          <w:i/>
          <w:iCs/>
          <w:lang w:val="pt-BR"/>
        </w:rPr>
        <w:t xml:space="preserve"> </w:t>
      </w:r>
      <w:proofErr w:type="spellStart"/>
      <w:r w:rsidRPr="00CC5563">
        <w:rPr>
          <w:rFonts w:ascii="Times New Roman" w:hAnsi="Times New Roman"/>
          <w:i/>
          <w:iCs/>
          <w:lang w:val="pt-BR"/>
        </w:rPr>
        <w:t>and</w:t>
      </w:r>
      <w:proofErr w:type="spellEnd"/>
      <w:r w:rsidRPr="00CC5563">
        <w:rPr>
          <w:rFonts w:ascii="Times New Roman" w:hAnsi="Times New Roman"/>
          <w:i/>
          <w:iCs/>
          <w:lang w:val="pt-BR"/>
        </w:rPr>
        <w:t xml:space="preserve"> Management</w:t>
      </w:r>
      <w:r w:rsidR="00CC5563">
        <w:rPr>
          <w:rFonts w:ascii="Times New Roman" w:hAnsi="Times New Roman"/>
          <w:lang w:val="pt-BR"/>
        </w:rPr>
        <w:t xml:space="preserve">. </w:t>
      </w:r>
      <w:r w:rsidR="00CC5563">
        <w:rPr>
          <w:rFonts w:ascii="Times New Roman" w:hAnsi="Times New Roman"/>
          <w:b/>
          <w:bCs/>
          <w:lang w:val="pt-BR"/>
        </w:rPr>
        <w:t>2001</w:t>
      </w:r>
      <w:r w:rsidR="00CC5563">
        <w:rPr>
          <w:rFonts w:ascii="Times New Roman" w:hAnsi="Times New Roman"/>
          <w:lang w:val="pt-BR"/>
        </w:rPr>
        <w:t>,</w:t>
      </w:r>
      <w:r w:rsidRPr="000F0E3D">
        <w:rPr>
          <w:rFonts w:ascii="Times New Roman" w:hAnsi="Times New Roman"/>
          <w:lang w:val="pt-BR"/>
        </w:rPr>
        <w:t xml:space="preserve"> </w:t>
      </w:r>
      <w:r w:rsidRPr="00CC5563">
        <w:rPr>
          <w:rFonts w:ascii="Times New Roman" w:hAnsi="Times New Roman"/>
          <w:i/>
          <w:iCs/>
          <w:lang w:val="pt-BR"/>
        </w:rPr>
        <w:t>42</w:t>
      </w:r>
      <w:r w:rsidRPr="000F0E3D">
        <w:rPr>
          <w:rFonts w:ascii="Times New Roman" w:hAnsi="Times New Roman"/>
          <w:lang w:val="pt-BR"/>
        </w:rPr>
        <w:t>,</w:t>
      </w:r>
      <w:r w:rsidR="00CC5563">
        <w:rPr>
          <w:rFonts w:ascii="Times New Roman" w:hAnsi="Times New Roman"/>
          <w:lang w:val="pt-BR"/>
        </w:rPr>
        <w:t xml:space="preserve"> </w:t>
      </w:r>
      <w:r w:rsidRPr="000F0E3D">
        <w:rPr>
          <w:rFonts w:ascii="Times New Roman" w:hAnsi="Times New Roman"/>
          <w:lang w:val="pt-BR"/>
        </w:rPr>
        <w:t>529</w:t>
      </w:r>
      <w:r w:rsidR="00CC5563">
        <w:rPr>
          <w:rFonts w:ascii="Times New Roman" w:hAnsi="Times New Roman"/>
          <w:lang w:val="pt-BR"/>
        </w:rPr>
        <w:t>-</w:t>
      </w:r>
      <w:r w:rsidRPr="000F0E3D">
        <w:rPr>
          <w:rFonts w:ascii="Times New Roman" w:hAnsi="Times New Roman"/>
          <w:lang w:val="pt-BR"/>
        </w:rPr>
        <w:t>538</w:t>
      </w:r>
      <w:r w:rsidR="00CC5563">
        <w:rPr>
          <w:rFonts w:ascii="Times New Roman" w:hAnsi="Times New Roman"/>
          <w:lang w:val="pt-BR"/>
        </w:rPr>
        <w:t>.</w:t>
      </w:r>
    </w:p>
    <w:p w14:paraId="0D768748" w14:textId="012BB629" w:rsidR="005C5797" w:rsidRDefault="005C5797" w:rsidP="000F0E3D">
      <w:pPr>
        <w:pStyle w:val="TAMainText"/>
        <w:numPr>
          <w:ilvl w:val="0"/>
          <w:numId w:val="1"/>
        </w:numPr>
        <w:rPr>
          <w:rFonts w:ascii="Times New Roman" w:hAnsi="Times New Roman"/>
          <w:lang w:val="pt-BR"/>
        </w:rPr>
      </w:pPr>
      <w:r w:rsidRPr="00925B68">
        <w:rPr>
          <w:rFonts w:ascii="Times New Roman" w:hAnsi="Times New Roman"/>
        </w:rPr>
        <w:t>E.</w:t>
      </w:r>
      <w:r w:rsidR="00147984" w:rsidRPr="00925B68">
        <w:rPr>
          <w:rFonts w:ascii="Times New Roman" w:hAnsi="Times New Roman"/>
        </w:rPr>
        <w:t xml:space="preserve"> </w:t>
      </w:r>
      <w:r w:rsidRPr="00925B68">
        <w:rPr>
          <w:rFonts w:ascii="Times New Roman" w:hAnsi="Times New Roman"/>
        </w:rPr>
        <w:t>F.</w:t>
      </w:r>
      <w:r w:rsidR="002E51EB" w:rsidRPr="00925B68">
        <w:rPr>
          <w:rFonts w:ascii="Times New Roman" w:hAnsi="Times New Roman"/>
        </w:rPr>
        <w:t xml:space="preserve"> </w:t>
      </w:r>
      <w:proofErr w:type="spellStart"/>
      <w:r w:rsidR="002E51EB" w:rsidRPr="00925B68">
        <w:rPr>
          <w:rFonts w:ascii="Times New Roman" w:hAnsi="Times New Roman"/>
        </w:rPr>
        <w:t>Aransiola</w:t>
      </w:r>
      <w:proofErr w:type="spellEnd"/>
      <w:r w:rsidR="002E51EB" w:rsidRPr="00925B68">
        <w:rPr>
          <w:rFonts w:ascii="Times New Roman" w:hAnsi="Times New Roman"/>
        </w:rPr>
        <w:t xml:space="preserve">; </w:t>
      </w:r>
      <w:r w:rsidRPr="00925B68">
        <w:rPr>
          <w:rFonts w:ascii="Times New Roman" w:hAnsi="Times New Roman"/>
        </w:rPr>
        <w:t>E.</w:t>
      </w:r>
      <w:r w:rsidR="002E51EB" w:rsidRPr="00925B68">
        <w:rPr>
          <w:rFonts w:ascii="Times New Roman" w:hAnsi="Times New Roman"/>
        </w:rPr>
        <w:t xml:space="preserve"> </w:t>
      </w:r>
      <w:proofErr w:type="spellStart"/>
      <w:r w:rsidR="002E51EB" w:rsidRPr="00925B68">
        <w:rPr>
          <w:rFonts w:ascii="Times New Roman" w:hAnsi="Times New Roman"/>
        </w:rPr>
        <w:t>Betiku</w:t>
      </w:r>
      <w:proofErr w:type="spellEnd"/>
      <w:r w:rsidR="002E51EB" w:rsidRPr="00925B68">
        <w:rPr>
          <w:rFonts w:ascii="Times New Roman" w:hAnsi="Times New Roman"/>
        </w:rPr>
        <w:t xml:space="preserve">; </w:t>
      </w:r>
      <w:r w:rsidRPr="00925B68">
        <w:rPr>
          <w:rFonts w:ascii="Times New Roman" w:hAnsi="Times New Roman"/>
        </w:rPr>
        <w:t>S.</w:t>
      </w:r>
      <w:r w:rsidR="00147984" w:rsidRPr="00925B68">
        <w:rPr>
          <w:rFonts w:ascii="Times New Roman" w:hAnsi="Times New Roman"/>
        </w:rPr>
        <w:t xml:space="preserve"> </w:t>
      </w:r>
      <w:r w:rsidRPr="00925B68">
        <w:rPr>
          <w:rFonts w:ascii="Times New Roman" w:hAnsi="Times New Roman"/>
        </w:rPr>
        <w:t>K.</w:t>
      </w:r>
      <w:r w:rsidR="002E51EB" w:rsidRPr="00925B68">
        <w:rPr>
          <w:rFonts w:ascii="Times New Roman" w:hAnsi="Times New Roman"/>
        </w:rPr>
        <w:t xml:space="preserve"> </w:t>
      </w:r>
      <w:proofErr w:type="spellStart"/>
      <w:r w:rsidR="002E51EB" w:rsidRPr="00925B68">
        <w:rPr>
          <w:rFonts w:ascii="Times New Roman" w:hAnsi="Times New Roman"/>
        </w:rPr>
        <w:t>Layokun</w:t>
      </w:r>
      <w:proofErr w:type="spellEnd"/>
      <w:r w:rsidR="002E51EB" w:rsidRPr="00925B68">
        <w:rPr>
          <w:rFonts w:ascii="Times New Roman" w:hAnsi="Times New Roman"/>
        </w:rPr>
        <w:t xml:space="preserve">; </w:t>
      </w:r>
      <w:r w:rsidRPr="00925B68">
        <w:rPr>
          <w:rFonts w:ascii="Times New Roman" w:hAnsi="Times New Roman"/>
        </w:rPr>
        <w:t>B.</w:t>
      </w:r>
      <w:r w:rsidR="00147984" w:rsidRPr="00925B68">
        <w:rPr>
          <w:rFonts w:ascii="Times New Roman" w:hAnsi="Times New Roman"/>
        </w:rPr>
        <w:t xml:space="preserve"> </w:t>
      </w:r>
      <w:r w:rsidRPr="00925B68">
        <w:rPr>
          <w:rFonts w:ascii="Times New Roman" w:hAnsi="Times New Roman"/>
        </w:rPr>
        <w:t>O.</w:t>
      </w:r>
      <w:r w:rsidR="002E51EB" w:rsidRPr="00925B68">
        <w:rPr>
          <w:rFonts w:ascii="Times New Roman" w:hAnsi="Times New Roman"/>
        </w:rPr>
        <w:t xml:space="preserve"> Solomon</w:t>
      </w:r>
      <w:r w:rsidRPr="00925B68">
        <w:rPr>
          <w:rFonts w:ascii="Times New Roman" w:hAnsi="Times New Roman"/>
        </w:rPr>
        <w:t>.</w:t>
      </w:r>
      <w:r w:rsidR="002E51EB" w:rsidRPr="00925B68">
        <w:rPr>
          <w:rFonts w:ascii="Times New Roman" w:hAnsi="Times New Roman"/>
        </w:rPr>
        <w:t xml:space="preserve"> </w:t>
      </w:r>
      <w:r w:rsidR="002E51EB" w:rsidRPr="00925B68">
        <w:rPr>
          <w:rFonts w:ascii="Times New Roman" w:hAnsi="Times New Roman"/>
          <w:i/>
          <w:iCs/>
        </w:rPr>
        <w:t xml:space="preserve">Int. J. Biol. </w:t>
      </w:r>
      <w:proofErr w:type="spellStart"/>
      <w:r w:rsidR="002E51EB" w:rsidRPr="002E51EB">
        <w:rPr>
          <w:rFonts w:ascii="Times New Roman" w:hAnsi="Times New Roman"/>
          <w:i/>
          <w:iCs/>
          <w:lang w:val="pt-BR"/>
        </w:rPr>
        <w:t>Chem</w:t>
      </w:r>
      <w:proofErr w:type="spellEnd"/>
      <w:r w:rsidR="002E51EB" w:rsidRPr="002E51EB">
        <w:rPr>
          <w:rFonts w:ascii="Times New Roman" w:hAnsi="Times New Roman"/>
          <w:i/>
          <w:iCs/>
          <w:lang w:val="pt-BR"/>
        </w:rPr>
        <w:t xml:space="preserve">. </w:t>
      </w:r>
      <w:proofErr w:type="spellStart"/>
      <w:r w:rsidR="002E51EB" w:rsidRPr="002E51EB">
        <w:rPr>
          <w:rFonts w:ascii="Times New Roman" w:hAnsi="Times New Roman"/>
          <w:i/>
          <w:iCs/>
          <w:lang w:val="pt-BR"/>
        </w:rPr>
        <w:t>Sci</w:t>
      </w:r>
      <w:proofErr w:type="spellEnd"/>
      <w:r w:rsidR="002E51EB">
        <w:rPr>
          <w:rFonts w:ascii="Times New Roman" w:hAnsi="Times New Roman"/>
          <w:lang w:val="pt-BR"/>
        </w:rPr>
        <w:t xml:space="preserve">. </w:t>
      </w:r>
      <w:r w:rsidR="002E51EB">
        <w:rPr>
          <w:rFonts w:ascii="Times New Roman" w:hAnsi="Times New Roman"/>
          <w:b/>
          <w:bCs/>
          <w:lang w:val="pt-BR"/>
        </w:rPr>
        <w:t>2010</w:t>
      </w:r>
      <w:r w:rsidR="002E51EB">
        <w:rPr>
          <w:rFonts w:ascii="Times New Roman" w:hAnsi="Times New Roman"/>
          <w:lang w:val="pt-BR"/>
        </w:rPr>
        <w:t xml:space="preserve">, </w:t>
      </w:r>
      <w:r w:rsidR="002E51EB">
        <w:rPr>
          <w:rFonts w:ascii="Times New Roman" w:hAnsi="Times New Roman"/>
          <w:i/>
          <w:iCs/>
          <w:lang w:val="pt-BR"/>
        </w:rPr>
        <w:t>4</w:t>
      </w:r>
      <w:r w:rsidRPr="005C5797">
        <w:rPr>
          <w:rFonts w:ascii="Times New Roman" w:hAnsi="Times New Roman"/>
          <w:lang w:val="pt-BR"/>
        </w:rPr>
        <w:t>,</w:t>
      </w:r>
      <w:r w:rsidR="002E51EB">
        <w:rPr>
          <w:rFonts w:ascii="Times New Roman" w:hAnsi="Times New Roman"/>
          <w:lang w:val="pt-BR"/>
        </w:rPr>
        <w:t xml:space="preserve"> </w:t>
      </w:r>
      <w:r w:rsidRPr="005C5797">
        <w:rPr>
          <w:rFonts w:ascii="Times New Roman" w:hAnsi="Times New Roman"/>
          <w:lang w:val="pt-BR"/>
        </w:rPr>
        <w:t>391-399.</w:t>
      </w:r>
    </w:p>
    <w:p w14:paraId="692C077B" w14:textId="794E0055" w:rsidR="00E71552" w:rsidRDefault="00E71552" w:rsidP="00E71552">
      <w:pPr>
        <w:pStyle w:val="TAMainText"/>
        <w:numPr>
          <w:ilvl w:val="0"/>
          <w:numId w:val="1"/>
        </w:numPr>
        <w:rPr>
          <w:rFonts w:ascii="Times New Roman" w:hAnsi="Times New Roman"/>
          <w:lang w:val="pt-BR"/>
        </w:rPr>
      </w:pPr>
      <w:r w:rsidRPr="00925B68">
        <w:rPr>
          <w:rFonts w:ascii="Times New Roman" w:hAnsi="Times New Roman"/>
        </w:rPr>
        <w:t>B. K.</w:t>
      </w:r>
      <w:r w:rsidR="00147984" w:rsidRPr="00925B68">
        <w:rPr>
          <w:rFonts w:ascii="Times New Roman" w:hAnsi="Times New Roman"/>
        </w:rPr>
        <w:t xml:space="preserve"> </w:t>
      </w:r>
      <w:proofErr w:type="spellStart"/>
      <w:r w:rsidR="00147984" w:rsidRPr="00925B68">
        <w:rPr>
          <w:rFonts w:ascii="Times New Roman" w:hAnsi="Times New Roman"/>
        </w:rPr>
        <w:t>Barnwal</w:t>
      </w:r>
      <w:proofErr w:type="spellEnd"/>
      <w:r w:rsidRPr="00925B68">
        <w:rPr>
          <w:rFonts w:ascii="Times New Roman" w:hAnsi="Times New Roman"/>
        </w:rPr>
        <w:t>; M. P.</w:t>
      </w:r>
      <w:r w:rsidR="00147984" w:rsidRPr="00925B68">
        <w:rPr>
          <w:rFonts w:ascii="Times New Roman" w:hAnsi="Times New Roman"/>
        </w:rPr>
        <w:t xml:space="preserve"> Sharma.</w:t>
      </w:r>
      <w:r w:rsidRPr="00925B68">
        <w:rPr>
          <w:rFonts w:ascii="Times New Roman" w:hAnsi="Times New Roman"/>
        </w:rPr>
        <w:t xml:space="preserve"> </w:t>
      </w:r>
      <w:r w:rsidRPr="00925B68">
        <w:rPr>
          <w:rFonts w:ascii="Times New Roman" w:hAnsi="Times New Roman"/>
          <w:i/>
          <w:iCs/>
        </w:rPr>
        <w:t xml:space="preserve">Renewable and Sustainable Energy </w:t>
      </w:r>
      <w:r w:rsidR="00147984" w:rsidRPr="00925B68">
        <w:rPr>
          <w:rFonts w:ascii="Times New Roman" w:hAnsi="Times New Roman"/>
          <w:i/>
          <w:iCs/>
        </w:rPr>
        <w:t>Reviews</w:t>
      </w:r>
      <w:r w:rsidR="00147984" w:rsidRPr="00925B68">
        <w:rPr>
          <w:rFonts w:ascii="Times New Roman" w:hAnsi="Times New Roman"/>
        </w:rPr>
        <w:t xml:space="preserve">. </w:t>
      </w:r>
      <w:r w:rsidRPr="00147984">
        <w:rPr>
          <w:rFonts w:ascii="Times New Roman" w:hAnsi="Times New Roman"/>
          <w:b/>
          <w:bCs/>
          <w:lang w:val="pt-BR"/>
        </w:rPr>
        <w:t>2005</w:t>
      </w:r>
      <w:r w:rsidR="00147984">
        <w:rPr>
          <w:rFonts w:ascii="Times New Roman" w:hAnsi="Times New Roman"/>
          <w:lang w:val="pt-BR"/>
        </w:rPr>
        <w:t xml:space="preserve">, </w:t>
      </w:r>
      <w:r w:rsidR="00147984" w:rsidRPr="00147984">
        <w:rPr>
          <w:rFonts w:ascii="Times New Roman" w:hAnsi="Times New Roman"/>
          <w:i/>
          <w:iCs/>
          <w:lang w:val="pt-BR"/>
        </w:rPr>
        <w:t>9</w:t>
      </w:r>
      <w:r w:rsidR="00147984">
        <w:rPr>
          <w:rFonts w:ascii="Times New Roman" w:hAnsi="Times New Roman"/>
          <w:lang w:val="pt-BR"/>
        </w:rPr>
        <w:t>, 363-378.</w:t>
      </w:r>
    </w:p>
    <w:p w14:paraId="0AB4F1FE" w14:textId="1BC34C39" w:rsidR="003E760D" w:rsidRDefault="003E760D" w:rsidP="003E760D">
      <w:pPr>
        <w:pStyle w:val="TAMainText"/>
        <w:numPr>
          <w:ilvl w:val="0"/>
          <w:numId w:val="1"/>
        </w:numPr>
        <w:rPr>
          <w:rFonts w:ascii="Times New Roman" w:hAnsi="Times New Roman"/>
          <w:lang w:val="pt-BR"/>
        </w:rPr>
      </w:pPr>
      <w:r w:rsidRPr="000C2983">
        <w:rPr>
          <w:rFonts w:ascii="Times New Roman" w:hAnsi="Times New Roman"/>
          <w:lang w:val="pt-BR"/>
        </w:rPr>
        <w:t>K.</w:t>
      </w:r>
      <w:r w:rsidR="00147984">
        <w:rPr>
          <w:rFonts w:ascii="Times New Roman" w:hAnsi="Times New Roman"/>
          <w:lang w:val="pt-BR"/>
        </w:rPr>
        <w:t xml:space="preserve"> Colombo,</w:t>
      </w:r>
      <w:r w:rsidRPr="000C2983">
        <w:rPr>
          <w:rFonts w:ascii="Times New Roman" w:hAnsi="Times New Roman"/>
          <w:lang w:val="pt-BR"/>
        </w:rPr>
        <w:t xml:space="preserve"> </w:t>
      </w:r>
      <w:r w:rsidR="00147984">
        <w:rPr>
          <w:rFonts w:ascii="Times New Roman" w:hAnsi="Times New Roman"/>
          <w:lang w:val="pt-BR"/>
        </w:rPr>
        <w:t>Tese de Mestrado, Universidade Regional de Blumenau,</w:t>
      </w:r>
      <w:r w:rsidRPr="000C2983">
        <w:rPr>
          <w:rFonts w:ascii="Times New Roman" w:hAnsi="Times New Roman"/>
          <w:lang w:val="pt-BR"/>
        </w:rPr>
        <w:t xml:space="preserve"> 2013.</w:t>
      </w:r>
    </w:p>
    <w:p w14:paraId="2EB8F647" w14:textId="366748AA" w:rsidR="003735B0" w:rsidRDefault="004B1D1F" w:rsidP="003735B0">
      <w:pPr>
        <w:pStyle w:val="TAMainText"/>
        <w:numPr>
          <w:ilvl w:val="0"/>
          <w:numId w:val="1"/>
        </w:numPr>
        <w:rPr>
          <w:rFonts w:ascii="Times New Roman" w:hAnsi="Times New Roman"/>
          <w:lang w:val="pt-BR"/>
        </w:rPr>
      </w:pPr>
      <w:r>
        <w:rPr>
          <w:rFonts w:ascii="Times New Roman" w:hAnsi="Times New Roman"/>
          <w:lang w:val="pt-BR"/>
        </w:rPr>
        <w:t>J. M. Dias;</w:t>
      </w:r>
      <w:r w:rsidR="003735B0" w:rsidRPr="003735B0">
        <w:rPr>
          <w:rFonts w:ascii="Times New Roman" w:hAnsi="Times New Roman"/>
          <w:lang w:val="pt-BR"/>
        </w:rPr>
        <w:t xml:space="preserve"> </w:t>
      </w:r>
      <w:r>
        <w:rPr>
          <w:rFonts w:ascii="Times New Roman" w:hAnsi="Times New Roman"/>
          <w:lang w:val="pt-BR"/>
        </w:rPr>
        <w:t>M. C. M. Alvim-Ferraz;</w:t>
      </w:r>
      <w:r w:rsidR="003735B0" w:rsidRPr="003735B0">
        <w:rPr>
          <w:rFonts w:ascii="Times New Roman" w:hAnsi="Times New Roman"/>
          <w:lang w:val="pt-BR"/>
        </w:rPr>
        <w:t xml:space="preserve"> </w:t>
      </w:r>
      <w:r>
        <w:rPr>
          <w:rFonts w:ascii="Times New Roman" w:hAnsi="Times New Roman"/>
          <w:lang w:val="pt-BR"/>
        </w:rPr>
        <w:t xml:space="preserve">M. F. Almeida; J. D. M. Díaz; M. S. Polo; J. R. </w:t>
      </w:r>
      <w:proofErr w:type="spellStart"/>
      <w:r>
        <w:rPr>
          <w:rFonts w:ascii="Times New Roman" w:hAnsi="Times New Roman"/>
          <w:lang w:val="pt-BR"/>
        </w:rPr>
        <w:t>Utrilla</w:t>
      </w:r>
      <w:proofErr w:type="spellEnd"/>
      <w:r>
        <w:rPr>
          <w:rFonts w:ascii="Times New Roman" w:hAnsi="Times New Roman"/>
          <w:lang w:val="pt-BR"/>
        </w:rPr>
        <w:t>.</w:t>
      </w:r>
      <w:r w:rsidR="003735B0" w:rsidRPr="003735B0">
        <w:rPr>
          <w:rFonts w:ascii="Times New Roman" w:hAnsi="Times New Roman"/>
          <w:lang w:val="pt-BR"/>
        </w:rPr>
        <w:t xml:space="preserve"> </w:t>
      </w:r>
      <w:proofErr w:type="spellStart"/>
      <w:r w:rsidR="003735B0" w:rsidRPr="004B1D1F">
        <w:rPr>
          <w:rFonts w:ascii="Times New Roman" w:hAnsi="Times New Roman"/>
          <w:i/>
          <w:iCs/>
          <w:lang w:val="pt-BR"/>
        </w:rPr>
        <w:t>Fuel</w:t>
      </w:r>
      <w:proofErr w:type="spellEnd"/>
      <w:r>
        <w:rPr>
          <w:rFonts w:ascii="Times New Roman" w:hAnsi="Times New Roman"/>
          <w:lang w:val="pt-BR"/>
        </w:rPr>
        <w:t xml:space="preserve">. </w:t>
      </w:r>
      <w:r>
        <w:rPr>
          <w:rFonts w:ascii="Times New Roman" w:hAnsi="Times New Roman"/>
          <w:b/>
          <w:bCs/>
          <w:lang w:val="pt-BR"/>
        </w:rPr>
        <w:t>2012</w:t>
      </w:r>
      <w:r>
        <w:rPr>
          <w:rFonts w:ascii="Times New Roman" w:hAnsi="Times New Roman"/>
          <w:lang w:val="pt-BR"/>
        </w:rPr>
        <w:t>,</w:t>
      </w:r>
      <w:r w:rsidR="003735B0" w:rsidRPr="003735B0">
        <w:rPr>
          <w:rFonts w:ascii="Times New Roman" w:hAnsi="Times New Roman"/>
          <w:lang w:val="pt-BR"/>
        </w:rPr>
        <w:t xml:space="preserve"> </w:t>
      </w:r>
      <w:r w:rsidR="003735B0" w:rsidRPr="004B1D1F">
        <w:rPr>
          <w:rFonts w:ascii="Times New Roman" w:hAnsi="Times New Roman"/>
          <w:i/>
          <w:iCs/>
          <w:lang w:val="pt-BR"/>
        </w:rPr>
        <w:t>94</w:t>
      </w:r>
      <w:r>
        <w:rPr>
          <w:rFonts w:ascii="Times New Roman" w:hAnsi="Times New Roman"/>
          <w:lang w:val="pt-BR"/>
        </w:rPr>
        <w:t>, 418-425</w:t>
      </w:r>
      <w:r w:rsidR="003735B0" w:rsidRPr="003735B0">
        <w:rPr>
          <w:rFonts w:ascii="Times New Roman" w:hAnsi="Times New Roman"/>
          <w:lang w:val="pt-BR"/>
        </w:rPr>
        <w:t>.</w:t>
      </w:r>
    </w:p>
    <w:p w14:paraId="403968BF" w14:textId="1D6199FD" w:rsidR="001A53D7" w:rsidRPr="001A53D7" w:rsidRDefault="004B1D1F" w:rsidP="001A53D7">
      <w:pPr>
        <w:pStyle w:val="TAMainText"/>
        <w:numPr>
          <w:ilvl w:val="0"/>
          <w:numId w:val="1"/>
        </w:numPr>
        <w:rPr>
          <w:rFonts w:ascii="Times New Roman" w:hAnsi="Times New Roman"/>
          <w:lang w:val="pt-BR"/>
        </w:rPr>
      </w:pPr>
      <w:r>
        <w:rPr>
          <w:rFonts w:ascii="Times New Roman" w:hAnsi="Times New Roman"/>
          <w:lang w:val="pt-BR"/>
        </w:rPr>
        <w:t>A. S. César;</w:t>
      </w:r>
      <w:r w:rsidR="001A53D7" w:rsidRPr="001A53D7">
        <w:rPr>
          <w:rFonts w:ascii="Times New Roman" w:hAnsi="Times New Roman"/>
          <w:lang w:val="pt-BR"/>
        </w:rPr>
        <w:t xml:space="preserve"> </w:t>
      </w:r>
      <w:r>
        <w:rPr>
          <w:rFonts w:ascii="Times New Roman" w:hAnsi="Times New Roman"/>
          <w:lang w:val="pt-BR"/>
        </w:rPr>
        <w:t xml:space="preserve">D. E. </w:t>
      </w:r>
      <w:proofErr w:type="spellStart"/>
      <w:r>
        <w:rPr>
          <w:rFonts w:ascii="Times New Roman" w:hAnsi="Times New Roman"/>
          <w:lang w:val="pt-BR"/>
        </w:rPr>
        <w:t>Werderits</w:t>
      </w:r>
      <w:proofErr w:type="spellEnd"/>
      <w:r>
        <w:rPr>
          <w:rFonts w:ascii="Times New Roman" w:hAnsi="Times New Roman"/>
          <w:lang w:val="pt-BR"/>
        </w:rPr>
        <w:t>;</w:t>
      </w:r>
      <w:r w:rsidR="001A53D7" w:rsidRPr="001A53D7">
        <w:rPr>
          <w:rFonts w:ascii="Times New Roman" w:hAnsi="Times New Roman"/>
          <w:lang w:val="pt-BR"/>
        </w:rPr>
        <w:t xml:space="preserve"> </w:t>
      </w:r>
      <w:r>
        <w:rPr>
          <w:rFonts w:ascii="Times New Roman" w:hAnsi="Times New Roman"/>
          <w:lang w:val="pt-BR"/>
        </w:rPr>
        <w:t xml:space="preserve">G. L. O. Saraiva; R. C. S. Guabiroba. </w:t>
      </w:r>
      <w:proofErr w:type="spellStart"/>
      <w:r w:rsidR="001A53D7" w:rsidRPr="004B1D1F">
        <w:rPr>
          <w:rFonts w:ascii="Times New Roman" w:hAnsi="Times New Roman"/>
          <w:i/>
          <w:iCs/>
          <w:lang w:val="pt-BR"/>
        </w:rPr>
        <w:t>Renewable</w:t>
      </w:r>
      <w:proofErr w:type="spellEnd"/>
      <w:r w:rsidR="001A53D7" w:rsidRPr="004B1D1F">
        <w:rPr>
          <w:rFonts w:ascii="Times New Roman" w:hAnsi="Times New Roman"/>
          <w:i/>
          <w:iCs/>
          <w:lang w:val="pt-BR"/>
        </w:rPr>
        <w:t xml:space="preserve"> </w:t>
      </w:r>
      <w:proofErr w:type="spellStart"/>
      <w:r w:rsidR="001A53D7" w:rsidRPr="004B1D1F">
        <w:rPr>
          <w:rFonts w:ascii="Times New Roman" w:hAnsi="Times New Roman"/>
          <w:i/>
          <w:iCs/>
          <w:lang w:val="pt-BR"/>
        </w:rPr>
        <w:t>and</w:t>
      </w:r>
      <w:proofErr w:type="spellEnd"/>
      <w:r w:rsidR="001A53D7" w:rsidRPr="004B1D1F">
        <w:rPr>
          <w:rFonts w:ascii="Times New Roman" w:hAnsi="Times New Roman"/>
          <w:i/>
          <w:iCs/>
          <w:lang w:val="pt-BR"/>
        </w:rPr>
        <w:t xml:space="preserve"> </w:t>
      </w:r>
      <w:proofErr w:type="spellStart"/>
      <w:r w:rsidR="001A53D7" w:rsidRPr="004B1D1F">
        <w:rPr>
          <w:rFonts w:ascii="Times New Roman" w:hAnsi="Times New Roman"/>
          <w:i/>
          <w:iCs/>
          <w:lang w:val="pt-BR"/>
        </w:rPr>
        <w:t>Sustainable</w:t>
      </w:r>
      <w:proofErr w:type="spellEnd"/>
      <w:r w:rsidR="001A53D7" w:rsidRPr="004B1D1F">
        <w:rPr>
          <w:rFonts w:ascii="Times New Roman" w:hAnsi="Times New Roman"/>
          <w:i/>
          <w:iCs/>
          <w:lang w:val="pt-BR"/>
        </w:rPr>
        <w:t xml:space="preserve"> Energy Reviews</w:t>
      </w:r>
      <w:r>
        <w:rPr>
          <w:rFonts w:ascii="Times New Roman" w:hAnsi="Times New Roman"/>
          <w:lang w:val="pt-BR"/>
        </w:rPr>
        <w:t xml:space="preserve">. </w:t>
      </w:r>
      <w:r>
        <w:rPr>
          <w:rFonts w:ascii="Times New Roman" w:hAnsi="Times New Roman"/>
          <w:b/>
          <w:bCs/>
          <w:lang w:val="pt-BR"/>
        </w:rPr>
        <w:t>2017</w:t>
      </w:r>
      <w:r>
        <w:rPr>
          <w:rFonts w:ascii="Times New Roman" w:hAnsi="Times New Roman"/>
          <w:lang w:val="pt-BR"/>
        </w:rPr>
        <w:t>,</w:t>
      </w:r>
      <w:r w:rsidR="001A53D7" w:rsidRPr="001A53D7">
        <w:rPr>
          <w:rFonts w:ascii="Times New Roman" w:hAnsi="Times New Roman"/>
          <w:lang w:val="pt-BR"/>
        </w:rPr>
        <w:t xml:space="preserve"> </w:t>
      </w:r>
      <w:r w:rsidR="001A53D7" w:rsidRPr="004B1D1F">
        <w:rPr>
          <w:rFonts w:ascii="Times New Roman" w:hAnsi="Times New Roman"/>
          <w:i/>
          <w:iCs/>
          <w:lang w:val="pt-BR"/>
        </w:rPr>
        <w:t>72</w:t>
      </w:r>
      <w:r>
        <w:rPr>
          <w:rFonts w:ascii="Times New Roman" w:hAnsi="Times New Roman"/>
          <w:lang w:val="pt-BR"/>
        </w:rPr>
        <w:t>,</w:t>
      </w:r>
      <w:r w:rsidR="001A53D7" w:rsidRPr="001A53D7">
        <w:rPr>
          <w:rFonts w:ascii="Times New Roman" w:hAnsi="Times New Roman"/>
          <w:lang w:val="pt-BR"/>
        </w:rPr>
        <w:t xml:space="preserve"> 246</w:t>
      </w:r>
      <w:r>
        <w:rPr>
          <w:rFonts w:ascii="Times New Roman" w:hAnsi="Times New Roman"/>
          <w:lang w:val="pt-BR"/>
        </w:rPr>
        <w:t>-253</w:t>
      </w:r>
      <w:r w:rsidR="001A53D7" w:rsidRPr="001A53D7">
        <w:rPr>
          <w:rFonts w:ascii="Times New Roman" w:hAnsi="Times New Roman"/>
          <w:lang w:val="pt-BR"/>
        </w:rPr>
        <w:t>.</w:t>
      </w:r>
    </w:p>
    <w:p w14:paraId="4674231A" w14:textId="2A9110C3" w:rsidR="001A53D7" w:rsidRPr="001A53D7" w:rsidRDefault="00412076" w:rsidP="001A53D7">
      <w:pPr>
        <w:pStyle w:val="TAMainText"/>
        <w:numPr>
          <w:ilvl w:val="0"/>
          <w:numId w:val="1"/>
        </w:numPr>
        <w:rPr>
          <w:rFonts w:ascii="Times New Roman" w:hAnsi="Times New Roman"/>
          <w:lang w:val="pt-BR"/>
        </w:rPr>
      </w:pPr>
      <w:r w:rsidRPr="00925B68">
        <w:rPr>
          <w:rFonts w:ascii="Times New Roman" w:hAnsi="Times New Roman"/>
        </w:rPr>
        <w:t xml:space="preserve">W. Shi; J. Li; B. He; F. Yan; Z. Cui; K. Wu; L. Lin; X. Qian; Y. Cheng. </w:t>
      </w:r>
      <w:proofErr w:type="spellStart"/>
      <w:r w:rsidR="001A53D7" w:rsidRPr="00412076">
        <w:rPr>
          <w:rFonts w:ascii="Times New Roman" w:hAnsi="Times New Roman"/>
          <w:i/>
          <w:iCs/>
          <w:lang w:val="pt-BR"/>
        </w:rPr>
        <w:t>Bioresour</w:t>
      </w:r>
      <w:r w:rsidRPr="00412076">
        <w:rPr>
          <w:rFonts w:ascii="Times New Roman" w:hAnsi="Times New Roman"/>
          <w:i/>
          <w:iCs/>
          <w:lang w:val="pt-BR"/>
        </w:rPr>
        <w:t>ce</w:t>
      </w:r>
      <w:proofErr w:type="spellEnd"/>
      <w:r w:rsidR="001A53D7" w:rsidRPr="00412076">
        <w:rPr>
          <w:rFonts w:ascii="Times New Roman" w:hAnsi="Times New Roman"/>
          <w:i/>
          <w:iCs/>
          <w:lang w:val="pt-BR"/>
        </w:rPr>
        <w:t xml:space="preserve"> Technology</w:t>
      </w:r>
      <w:r>
        <w:rPr>
          <w:rFonts w:ascii="Times New Roman" w:hAnsi="Times New Roman"/>
          <w:lang w:val="pt-BR"/>
        </w:rPr>
        <w:t xml:space="preserve">. </w:t>
      </w:r>
      <w:r>
        <w:rPr>
          <w:rFonts w:ascii="Times New Roman" w:hAnsi="Times New Roman"/>
          <w:b/>
          <w:bCs/>
          <w:lang w:val="pt-BR"/>
        </w:rPr>
        <w:t>2013</w:t>
      </w:r>
      <w:r>
        <w:rPr>
          <w:rFonts w:ascii="Times New Roman" w:hAnsi="Times New Roman"/>
          <w:lang w:val="pt-BR"/>
        </w:rPr>
        <w:t>,</w:t>
      </w:r>
      <w:r w:rsidR="001A53D7" w:rsidRPr="001A53D7">
        <w:rPr>
          <w:rFonts w:ascii="Times New Roman" w:hAnsi="Times New Roman"/>
          <w:lang w:val="pt-BR"/>
        </w:rPr>
        <w:t xml:space="preserve"> </w:t>
      </w:r>
      <w:r w:rsidR="001A53D7" w:rsidRPr="00412076">
        <w:rPr>
          <w:rFonts w:ascii="Times New Roman" w:hAnsi="Times New Roman"/>
          <w:i/>
          <w:iCs/>
          <w:lang w:val="pt-BR"/>
        </w:rPr>
        <w:t>139</w:t>
      </w:r>
      <w:r w:rsidR="001A53D7" w:rsidRPr="001A53D7">
        <w:rPr>
          <w:rFonts w:ascii="Times New Roman" w:hAnsi="Times New Roman"/>
          <w:lang w:val="pt-BR"/>
        </w:rPr>
        <w:t>, 316</w:t>
      </w:r>
      <w:r>
        <w:rPr>
          <w:rFonts w:ascii="Times New Roman" w:hAnsi="Times New Roman"/>
          <w:lang w:val="pt-BR"/>
        </w:rPr>
        <w:t>-322</w:t>
      </w:r>
      <w:r w:rsidR="001A53D7" w:rsidRPr="001A53D7">
        <w:rPr>
          <w:rFonts w:ascii="Times New Roman" w:hAnsi="Times New Roman"/>
          <w:lang w:val="pt-BR"/>
        </w:rPr>
        <w:t>.</w:t>
      </w:r>
    </w:p>
    <w:p w14:paraId="26D2036F" w14:textId="2B4E3435" w:rsidR="000C2983" w:rsidRPr="000C2983" w:rsidRDefault="00F9335A" w:rsidP="003E760D">
      <w:pPr>
        <w:pStyle w:val="TAMainText"/>
        <w:numPr>
          <w:ilvl w:val="0"/>
          <w:numId w:val="1"/>
        </w:numPr>
        <w:rPr>
          <w:rFonts w:ascii="Times New Roman" w:hAnsi="Times New Roman"/>
          <w:lang w:val="pt-BR"/>
        </w:rPr>
      </w:pPr>
      <w:r w:rsidRPr="00F9335A">
        <w:rPr>
          <w:rFonts w:ascii="Times New Roman" w:hAnsi="Times New Roman"/>
          <w:lang w:val="pt-BR"/>
        </w:rPr>
        <w:t>A.</w:t>
      </w:r>
      <w:r w:rsidR="00412076">
        <w:rPr>
          <w:rFonts w:ascii="Times New Roman" w:hAnsi="Times New Roman"/>
          <w:lang w:val="pt-BR"/>
        </w:rPr>
        <w:t xml:space="preserve"> </w:t>
      </w:r>
      <w:r w:rsidRPr="00F9335A">
        <w:rPr>
          <w:rFonts w:ascii="Times New Roman" w:hAnsi="Times New Roman"/>
          <w:lang w:val="pt-BR"/>
        </w:rPr>
        <w:t>K</w:t>
      </w:r>
      <w:r w:rsidR="00412076">
        <w:rPr>
          <w:rFonts w:ascii="Times New Roman" w:hAnsi="Times New Roman"/>
          <w:lang w:val="pt-BR"/>
        </w:rPr>
        <w:t xml:space="preserve">. Domingos, Tese de Doutorado, </w:t>
      </w:r>
      <w:r w:rsidRPr="00F9335A">
        <w:rPr>
          <w:rFonts w:ascii="Times New Roman" w:hAnsi="Times New Roman"/>
          <w:lang w:val="pt-BR"/>
        </w:rPr>
        <w:t>Universidade    Federal    do    Rio    de    Janeiro</w:t>
      </w:r>
      <w:r w:rsidR="00412076">
        <w:rPr>
          <w:rFonts w:ascii="Times New Roman" w:hAnsi="Times New Roman"/>
          <w:lang w:val="pt-BR"/>
        </w:rPr>
        <w:t>, 2010.</w:t>
      </w:r>
    </w:p>
    <w:p w14:paraId="3AAFFCC3" w14:textId="4496C051" w:rsidR="004A0BDE" w:rsidRDefault="00412076" w:rsidP="00EA4E1B">
      <w:pPr>
        <w:pStyle w:val="TAMainText"/>
        <w:numPr>
          <w:ilvl w:val="0"/>
          <w:numId w:val="1"/>
        </w:numPr>
        <w:rPr>
          <w:rFonts w:ascii="Times New Roman" w:hAnsi="Times New Roman"/>
          <w:lang w:val="pt-BR"/>
        </w:rPr>
      </w:pPr>
      <w:r w:rsidRPr="00925B68">
        <w:rPr>
          <w:rFonts w:ascii="Times New Roman" w:hAnsi="Times New Roman"/>
        </w:rPr>
        <w:t xml:space="preserve">F. Nadeem; I. A. Bhatti; A. Ashar; M. Yousaf; M. Iqbal; M. Mohsin; J. Nisar; N. Tamam; N. </w:t>
      </w:r>
      <w:proofErr w:type="spellStart"/>
      <w:r w:rsidRPr="00925B68">
        <w:rPr>
          <w:rFonts w:ascii="Times New Roman" w:hAnsi="Times New Roman"/>
        </w:rPr>
        <w:t>Alwadai</w:t>
      </w:r>
      <w:proofErr w:type="spellEnd"/>
      <w:r w:rsidR="000C2983" w:rsidRPr="00925B68">
        <w:rPr>
          <w:rFonts w:ascii="Times New Roman" w:hAnsi="Times New Roman"/>
        </w:rPr>
        <w:t xml:space="preserve">. </w:t>
      </w:r>
      <w:r w:rsidR="000C2983" w:rsidRPr="00925B68">
        <w:rPr>
          <w:rFonts w:ascii="Times New Roman" w:hAnsi="Times New Roman"/>
          <w:i/>
          <w:iCs/>
        </w:rPr>
        <w:t>Arabian Journal of Chemistry</w:t>
      </w:r>
      <w:r w:rsidR="00863F4A" w:rsidRPr="00925B68">
        <w:rPr>
          <w:rFonts w:ascii="Times New Roman" w:hAnsi="Times New Roman"/>
        </w:rPr>
        <w:t xml:space="preserve">. </w:t>
      </w:r>
      <w:r w:rsidR="00863F4A" w:rsidRPr="00863F4A">
        <w:rPr>
          <w:rFonts w:ascii="Times New Roman" w:hAnsi="Times New Roman"/>
          <w:b/>
          <w:bCs/>
          <w:lang w:val="pt-BR"/>
        </w:rPr>
        <w:t>2021</w:t>
      </w:r>
      <w:r w:rsidR="00863F4A">
        <w:rPr>
          <w:rFonts w:ascii="Times New Roman" w:hAnsi="Times New Roman"/>
          <w:lang w:val="pt-BR"/>
        </w:rPr>
        <w:t xml:space="preserve">, </w:t>
      </w:r>
      <w:r w:rsidR="000C2983" w:rsidRPr="00863F4A">
        <w:rPr>
          <w:rFonts w:ascii="Times New Roman" w:hAnsi="Times New Roman"/>
          <w:i/>
          <w:iCs/>
          <w:lang w:val="pt-BR"/>
        </w:rPr>
        <w:t>14</w:t>
      </w:r>
      <w:r w:rsidR="000C2983" w:rsidRPr="000C2983">
        <w:rPr>
          <w:rFonts w:ascii="Times New Roman" w:hAnsi="Times New Roman"/>
          <w:lang w:val="pt-BR"/>
        </w:rPr>
        <w:t xml:space="preserve">, </w:t>
      </w:r>
      <w:r w:rsidR="00863F4A">
        <w:rPr>
          <w:rFonts w:ascii="Times New Roman" w:hAnsi="Times New Roman"/>
          <w:lang w:val="pt-BR"/>
        </w:rPr>
        <w:t>103263.</w:t>
      </w:r>
    </w:p>
    <w:p w14:paraId="022BCA8C" w14:textId="5729CDAA" w:rsidR="008B6F99" w:rsidRDefault="00863F4A" w:rsidP="008B6F99">
      <w:pPr>
        <w:pStyle w:val="TAMainText"/>
        <w:numPr>
          <w:ilvl w:val="0"/>
          <w:numId w:val="1"/>
        </w:numPr>
        <w:rPr>
          <w:rFonts w:ascii="Times New Roman" w:hAnsi="Times New Roman"/>
          <w:lang w:val="pt-BR"/>
        </w:rPr>
      </w:pPr>
      <w:r w:rsidRPr="00925B68">
        <w:rPr>
          <w:rFonts w:ascii="Times New Roman" w:hAnsi="Times New Roman"/>
        </w:rPr>
        <w:t xml:space="preserve">P. Boey; G. P. </w:t>
      </w:r>
      <w:proofErr w:type="spellStart"/>
      <w:r w:rsidRPr="00925B68">
        <w:rPr>
          <w:rFonts w:ascii="Times New Roman" w:hAnsi="Times New Roman"/>
        </w:rPr>
        <w:t>Maniam</w:t>
      </w:r>
      <w:proofErr w:type="spellEnd"/>
      <w:r w:rsidRPr="00925B68">
        <w:rPr>
          <w:rFonts w:ascii="Times New Roman" w:hAnsi="Times New Roman"/>
        </w:rPr>
        <w:t>; S. A. Hamid</w:t>
      </w:r>
      <w:r w:rsidR="008B6F99" w:rsidRPr="00925B68">
        <w:rPr>
          <w:rFonts w:ascii="Times New Roman" w:hAnsi="Times New Roman"/>
        </w:rPr>
        <w:t xml:space="preserve">. </w:t>
      </w:r>
      <w:proofErr w:type="spellStart"/>
      <w:r w:rsidR="008B6F99" w:rsidRPr="00D80A69">
        <w:rPr>
          <w:rFonts w:ascii="Times New Roman" w:hAnsi="Times New Roman"/>
          <w:i/>
          <w:iCs/>
          <w:lang w:val="pt-BR"/>
        </w:rPr>
        <w:t>Bioresource</w:t>
      </w:r>
      <w:proofErr w:type="spellEnd"/>
      <w:r w:rsidR="008B6F99" w:rsidRPr="00D80A69">
        <w:rPr>
          <w:rFonts w:ascii="Times New Roman" w:hAnsi="Times New Roman"/>
          <w:i/>
          <w:iCs/>
          <w:lang w:val="pt-BR"/>
        </w:rPr>
        <w:t xml:space="preserve"> Technology</w:t>
      </w:r>
      <w:r w:rsidR="00D80A69">
        <w:rPr>
          <w:rFonts w:ascii="Times New Roman" w:hAnsi="Times New Roman"/>
          <w:lang w:val="pt-BR"/>
        </w:rPr>
        <w:t xml:space="preserve">. </w:t>
      </w:r>
      <w:r w:rsidR="00D80A69">
        <w:rPr>
          <w:rFonts w:ascii="Times New Roman" w:hAnsi="Times New Roman"/>
          <w:b/>
          <w:bCs/>
          <w:lang w:val="pt-BR"/>
        </w:rPr>
        <w:t>2009</w:t>
      </w:r>
      <w:r w:rsidR="00D80A69" w:rsidRPr="00D80A69">
        <w:rPr>
          <w:rFonts w:ascii="Times New Roman" w:hAnsi="Times New Roman"/>
          <w:lang w:val="pt-BR"/>
        </w:rPr>
        <w:t>,</w:t>
      </w:r>
      <w:r w:rsidR="00D80A69">
        <w:rPr>
          <w:rFonts w:ascii="Times New Roman" w:hAnsi="Times New Roman"/>
          <w:lang w:val="pt-BR"/>
        </w:rPr>
        <w:t xml:space="preserve"> </w:t>
      </w:r>
      <w:r w:rsidR="008B6F99" w:rsidRPr="00D80A69">
        <w:rPr>
          <w:rFonts w:ascii="Times New Roman" w:hAnsi="Times New Roman"/>
          <w:i/>
          <w:iCs/>
          <w:lang w:val="pt-BR"/>
        </w:rPr>
        <w:t>100</w:t>
      </w:r>
      <w:r w:rsidR="008B6F99" w:rsidRPr="008B6F99">
        <w:rPr>
          <w:rFonts w:ascii="Times New Roman" w:hAnsi="Times New Roman"/>
          <w:lang w:val="pt-BR"/>
        </w:rPr>
        <w:t>, 6362</w:t>
      </w:r>
      <w:r w:rsidR="00D80A69">
        <w:rPr>
          <w:rFonts w:ascii="Times New Roman" w:hAnsi="Times New Roman"/>
          <w:lang w:val="pt-BR"/>
        </w:rPr>
        <w:t>-6368</w:t>
      </w:r>
      <w:r w:rsidR="008B6F99" w:rsidRPr="008B6F99">
        <w:rPr>
          <w:rFonts w:ascii="Times New Roman" w:hAnsi="Times New Roman"/>
          <w:lang w:val="pt-BR"/>
        </w:rPr>
        <w:t>.</w:t>
      </w:r>
    </w:p>
    <w:p w14:paraId="4B2DDD56" w14:textId="6F3E46C0" w:rsidR="008B6F99" w:rsidRPr="008B6F99" w:rsidRDefault="00D80A69" w:rsidP="008B6F99">
      <w:pPr>
        <w:pStyle w:val="TAMainText"/>
        <w:numPr>
          <w:ilvl w:val="0"/>
          <w:numId w:val="1"/>
        </w:numPr>
        <w:rPr>
          <w:rFonts w:ascii="Times New Roman" w:hAnsi="Times New Roman"/>
          <w:lang w:val="pt-BR"/>
        </w:rPr>
      </w:pPr>
      <w:r w:rsidRPr="00925B68">
        <w:rPr>
          <w:rFonts w:ascii="Times New Roman" w:hAnsi="Times New Roman"/>
        </w:rPr>
        <w:t>X. Liu; H. He; Y. Wang; S. Zhu; X. Piao</w:t>
      </w:r>
      <w:r w:rsidR="008B6F99" w:rsidRPr="00925B68">
        <w:rPr>
          <w:rFonts w:ascii="Times New Roman" w:hAnsi="Times New Roman"/>
        </w:rPr>
        <w:t xml:space="preserve">. </w:t>
      </w:r>
      <w:proofErr w:type="spellStart"/>
      <w:r w:rsidR="008B6F99" w:rsidRPr="00D80A69">
        <w:rPr>
          <w:rFonts w:ascii="Times New Roman" w:hAnsi="Times New Roman"/>
          <w:i/>
          <w:iCs/>
          <w:lang w:val="pt-BR"/>
        </w:rPr>
        <w:t>Fuel</w:t>
      </w:r>
      <w:proofErr w:type="spellEnd"/>
      <w:r>
        <w:rPr>
          <w:rFonts w:ascii="Times New Roman" w:hAnsi="Times New Roman"/>
          <w:lang w:val="pt-BR"/>
        </w:rPr>
        <w:t xml:space="preserve">. </w:t>
      </w:r>
      <w:r>
        <w:rPr>
          <w:rFonts w:ascii="Times New Roman" w:hAnsi="Times New Roman"/>
          <w:b/>
          <w:bCs/>
          <w:lang w:val="pt-BR"/>
        </w:rPr>
        <w:t>2008</w:t>
      </w:r>
      <w:r w:rsidRPr="00D80A69">
        <w:rPr>
          <w:rFonts w:ascii="Times New Roman" w:hAnsi="Times New Roman"/>
          <w:lang w:val="pt-BR"/>
        </w:rPr>
        <w:t>,</w:t>
      </w:r>
      <w:r w:rsidR="008B6F99" w:rsidRPr="008B6F99">
        <w:rPr>
          <w:rFonts w:ascii="Times New Roman" w:hAnsi="Times New Roman"/>
          <w:lang w:val="pt-BR"/>
        </w:rPr>
        <w:t xml:space="preserve"> </w:t>
      </w:r>
      <w:r w:rsidR="008B6F99" w:rsidRPr="00D80A69">
        <w:rPr>
          <w:rFonts w:ascii="Times New Roman" w:hAnsi="Times New Roman"/>
          <w:i/>
          <w:iCs/>
          <w:lang w:val="pt-BR"/>
        </w:rPr>
        <w:t>87</w:t>
      </w:r>
      <w:r>
        <w:rPr>
          <w:rFonts w:ascii="Times New Roman" w:hAnsi="Times New Roman"/>
          <w:lang w:val="pt-BR"/>
        </w:rPr>
        <w:t xml:space="preserve">, </w:t>
      </w:r>
      <w:r w:rsidR="008B6F99" w:rsidRPr="008B6F99">
        <w:rPr>
          <w:rFonts w:ascii="Times New Roman" w:hAnsi="Times New Roman"/>
          <w:lang w:val="pt-BR"/>
        </w:rPr>
        <w:t>216</w:t>
      </w:r>
      <w:r>
        <w:rPr>
          <w:rFonts w:ascii="Times New Roman" w:hAnsi="Times New Roman"/>
          <w:lang w:val="pt-BR"/>
        </w:rPr>
        <w:t>-221</w:t>
      </w:r>
      <w:r w:rsidR="008B6F99" w:rsidRPr="008B6F99">
        <w:rPr>
          <w:rFonts w:ascii="Times New Roman" w:hAnsi="Times New Roman"/>
          <w:lang w:val="pt-BR"/>
        </w:rPr>
        <w:t>.</w:t>
      </w:r>
    </w:p>
    <w:p w14:paraId="7C3B3FD1" w14:textId="16699381" w:rsidR="00AD083C" w:rsidRPr="00AD083C" w:rsidRDefault="00AD083C" w:rsidP="00AD770A">
      <w:pPr>
        <w:pStyle w:val="TAMainText"/>
        <w:numPr>
          <w:ilvl w:val="0"/>
          <w:numId w:val="1"/>
        </w:numPr>
        <w:rPr>
          <w:rFonts w:ascii="Times New Roman" w:hAnsi="Times New Roman"/>
          <w:lang w:val="pt-BR"/>
        </w:rPr>
      </w:pPr>
      <w:r>
        <w:rPr>
          <w:rFonts w:ascii="Times New Roman" w:hAnsi="Times New Roman"/>
          <w:lang w:val="pt-BR"/>
        </w:rPr>
        <w:t xml:space="preserve">A. Carrero; G. Vicente; R. Rodríguez; M. Linares; G. L. </w:t>
      </w:r>
      <w:proofErr w:type="spellStart"/>
      <w:r>
        <w:rPr>
          <w:rFonts w:ascii="Times New Roman" w:hAnsi="Times New Roman"/>
          <w:lang w:val="pt-BR"/>
        </w:rPr>
        <w:t>del</w:t>
      </w:r>
      <w:proofErr w:type="spellEnd"/>
      <w:r>
        <w:rPr>
          <w:rFonts w:ascii="Times New Roman" w:hAnsi="Times New Roman"/>
          <w:lang w:val="pt-BR"/>
        </w:rPr>
        <w:t xml:space="preserve"> Peso. </w:t>
      </w:r>
      <w:proofErr w:type="spellStart"/>
      <w:r>
        <w:rPr>
          <w:rFonts w:ascii="Times New Roman" w:hAnsi="Times New Roman"/>
          <w:i/>
          <w:iCs/>
          <w:lang w:val="pt-BR"/>
        </w:rPr>
        <w:t>Catalysis</w:t>
      </w:r>
      <w:proofErr w:type="spellEnd"/>
      <w:r>
        <w:rPr>
          <w:rFonts w:ascii="Times New Roman" w:hAnsi="Times New Roman"/>
          <w:i/>
          <w:iCs/>
          <w:lang w:val="pt-BR"/>
        </w:rPr>
        <w:t xml:space="preserve"> </w:t>
      </w:r>
      <w:proofErr w:type="spellStart"/>
      <w:r>
        <w:rPr>
          <w:rFonts w:ascii="Times New Roman" w:hAnsi="Times New Roman"/>
          <w:i/>
          <w:iCs/>
          <w:lang w:val="pt-BR"/>
        </w:rPr>
        <w:t>Today</w:t>
      </w:r>
      <w:proofErr w:type="spellEnd"/>
      <w:r>
        <w:rPr>
          <w:rFonts w:ascii="Times New Roman" w:hAnsi="Times New Roman"/>
          <w:lang w:val="pt-BR"/>
        </w:rPr>
        <w:t xml:space="preserve">. </w:t>
      </w:r>
      <w:r>
        <w:rPr>
          <w:rFonts w:ascii="Times New Roman" w:hAnsi="Times New Roman"/>
          <w:b/>
          <w:bCs/>
          <w:lang w:val="pt-BR"/>
        </w:rPr>
        <w:t>2011</w:t>
      </w:r>
      <w:r>
        <w:rPr>
          <w:rFonts w:ascii="Times New Roman" w:hAnsi="Times New Roman"/>
          <w:lang w:val="pt-BR"/>
        </w:rPr>
        <w:t xml:space="preserve">, </w:t>
      </w:r>
      <w:r w:rsidRPr="00AD083C">
        <w:rPr>
          <w:rFonts w:ascii="Times New Roman" w:hAnsi="Times New Roman"/>
          <w:i/>
          <w:iCs/>
          <w:lang w:val="pt-BR"/>
        </w:rPr>
        <w:t>167</w:t>
      </w:r>
      <w:r>
        <w:rPr>
          <w:rFonts w:ascii="Times New Roman" w:hAnsi="Times New Roman"/>
          <w:lang w:val="pt-BR"/>
        </w:rPr>
        <w:t>, 148-153.</w:t>
      </w:r>
    </w:p>
    <w:p w14:paraId="68553186" w14:textId="2FCA3AB7" w:rsidR="004A0BDE" w:rsidRDefault="00021C5D" w:rsidP="00AD770A">
      <w:pPr>
        <w:pStyle w:val="TAMainText"/>
        <w:numPr>
          <w:ilvl w:val="0"/>
          <w:numId w:val="1"/>
        </w:numPr>
        <w:rPr>
          <w:rFonts w:ascii="Times New Roman" w:hAnsi="Times New Roman"/>
          <w:lang w:val="pt-BR"/>
        </w:rPr>
      </w:pPr>
      <w:r>
        <w:rPr>
          <w:rFonts w:ascii="Times New Roman" w:hAnsi="Times New Roman"/>
          <w:lang w:val="pt-BR"/>
        </w:rPr>
        <w:t xml:space="preserve">L. </w:t>
      </w:r>
      <w:proofErr w:type="spellStart"/>
      <w:r>
        <w:rPr>
          <w:rFonts w:ascii="Times New Roman" w:hAnsi="Times New Roman"/>
          <w:lang w:val="pt-BR"/>
        </w:rPr>
        <w:t>Batistella</w:t>
      </w:r>
      <w:proofErr w:type="spellEnd"/>
      <w:r>
        <w:rPr>
          <w:rFonts w:ascii="Times New Roman" w:hAnsi="Times New Roman"/>
          <w:lang w:val="pt-BR"/>
        </w:rPr>
        <w:t xml:space="preserve">; L. A. Lerin; P. </w:t>
      </w:r>
      <w:proofErr w:type="spellStart"/>
      <w:r>
        <w:rPr>
          <w:rFonts w:ascii="Times New Roman" w:hAnsi="Times New Roman"/>
          <w:lang w:val="pt-BR"/>
        </w:rPr>
        <w:t>Brugnerotto</w:t>
      </w:r>
      <w:proofErr w:type="spellEnd"/>
      <w:r>
        <w:rPr>
          <w:rFonts w:ascii="Times New Roman" w:hAnsi="Times New Roman"/>
          <w:lang w:val="pt-BR"/>
        </w:rPr>
        <w:t xml:space="preserve">; A. J. Danielli; C. M. Trentin; A. </w:t>
      </w:r>
      <w:proofErr w:type="spellStart"/>
      <w:r>
        <w:rPr>
          <w:rFonts w:ascii="Times New Roman" w:hAnsi="Times New Roman"/>
          <w:lang w:val="pt-BR"/>
        </w:rPr>
        <w:t>Popiolski</w:t>
      </w:r>
      <w:proofErr w:type="spellEnd"/>
      <w:r>
        <w:rPr>
          <w:rFonts w:ascii="Times New Roman" w:hAnsi="Times New Roman"/>
          <w:lang w:val="pt-BR"/>
        </w:rPr>
        <w:t xml:space="preserve">; H. </w:t>
      </w:r>
      <w:proofErr w:type="spellStart"/>
      <w:r>
        <w:rPr>
          <w:rFonts w:ascii="Times New Roman" w:hAnsi="Times New Roman"/>
          <w:lang w:val="pt-BR"/>
        </w:rPr>
        <w:t>Treichel</w:t>
      </w:r>
      <w:proofErr w:type="spellEnd"/>
      <w:r>
        <w:rPr>
          <w:rFonts w:ascii="Times New Roman" w:hAnsi="Times New Roman"/>
          <w:lang w:val="pt-BR"/>
        </w:rPr>
        <w:t>; J. V. Oliveira; D. Oliveira</w:t>
      </w:r>
      <w:r w:rsidR="00AD770A" w:rsidRPr="00AD770A">
        <w:rPr>
          <w:rFonts w:ascii="Times New Roman" w:hAnsi="Times New Roman"/>
          <w:lang w:val="pt-BR"/>
        </w:rPr>
        <w:t xml:space="preserve">. </w:t>
      </w:r>
      <w:proofErr w:type="spellStart"/>
      <w:r w:rsidR="00AD770A" w:rsidRPr="00021C5D">
        <w:rPr>
          <w:rFonts w:ascii="Times New Roman" w:hAnsi="Times New Roman"/>
          <w:i/>
          <w:iCs/>
          <w:lang w:val="pt-BR"/>
        </w:rPr>
        <w:t>Ultrason</w:t>
      </w:r>
      <w:proofErr w:type="spellEnd"/>
      <w:r w:rsidR="00A814DC">
        <w:rPr>
          <w:rFonts w:ascii="Times New Roman" w:hAnsi="Times New Roman"/>
          <w:i/>
          <w:iCs/>
          <w:lang w:val="pt-BR"/>
        </w:rPr>
        <w:t>.</w:t>
      </w:r>
      <w:r w:rsidR="00AD770A" w:rsidRPr="00021C5D">
        <w:rPr>
          <w:rFonts w:ascii="Times New Roman" w:hAnsi="Times New Roman"/>
          <w:i/>
          <w:iCs/>
          <w:lang w:val="pt-BR"/>
        </w:rPr>
        <w:t xml:space="preserve"> </w:t>
      </w:r>
      <w:proofErr w:type="spellStart"/>
      <w:r w:rsidR="00AD770A" w:rsidRPr="00021C5D">
        <w:rPr>
          <w:rFonts w:ascii="Times New Roman" w:hAnsi="Times New Roman"/>
          <w:i/>
          <w:iCs/>
          <w:lang w:val="pt-BR"/>
        </w:rPr>
        <w:t>Sonochem</w:t>
      </w:r>
      <w:proofErr w:type="spellEnd"/>
      <w:r>
        <w:rPr>
          <w:rFonts w:ascii="Times New Roman" w:hAnsi="Times New Roman"/>
          <w:lang w:val="pt-BR"/>
        </w:rPr>
        <w:t xml:space="preserve">. </w:t>
      </w:r>
      <w:r>
        <w:rPr>
          <w:rFonts w:ascii="Times New Roman" w:hAnsi="Times New Roman"/>
          <w:b/>
          <w:bCs/>
          <w:lang w:val="pt-BR"/>
        </w:rPr>
        <w:t>2012</w:t>
      </w:r>
      <w:r w:rsidRPr="00021C5D">
        <w:rPr>
          <w:rFonts w:ascii="Times New Roman" w:hAnsi="Times New Roman"/>
          <w:lang w:val="pt-BR"/>
        </w:rPr>
        <w:t>,</w:t>
      </w:r>
      <w:r>
        <w:rPr>
          <w:rFonts w:ascii="Times New Roman" w:hAnsi="Times New Roman"/>
          <w:lang w:val="pt-BR"/>
        </w:rPr>
        <w:t xml:space="preserve"> </w:t>
      </w:r>
      <w:r w:rsidR="00AD770A" w:rsidRPr="00021C5D">
        <w:rPr>
          <w:rFonts w:ascii="Times New Roman" w:hAnsi="Times New Roman"/>
          <w:i/>
          <w:iCs/>
          <w:lang w:val="pt-BR"/>
        </w:rPr>
        <w:t>19</w:t>
      </w:r>
      <w:r>
        <w:rPr>
          <w:rFonts w:ascii="Times New Roman" w:hAnsi="Times New Roman"/>
          <w:lang w:val="pt-BR"/>
        </w:rPr>
        <w:t xml:space="preserve">, </w:t>
      </w:r>
      <w:r w:rsidR="00AD770A" w:rsidRPr="00AD770A">
        <w:rPr>
          <w:rFonts w:ascii="Times New Roman" w:hAnsi="Times New Roman"/>
          <w:lang w:val="pt-BR"/>
        </w:rPr>
        <w:t>452–458</w:t>
      </w:r>
      <w:r>
        <w:rPr>
          <w:rFonts w:ascii="Times New Roman" w:hAnsi="Times New Roman"/>
          <w:lang w:val="pt-BR"/>
        </w:rPr>
        <w:t>.</w:t>
      </w:r>
    </w:p>
    <w:p w14:paraId="5C8796BD" w14:textId="77777777" w:rsidR="00A814DC" w:rsidRDefault="00A814DC" w:rsidP="00AD770A">
      <w:pPr>
        <w:pStyle w:val="TAMainText"/>
        <w:numPr>
          <w:ilvl w:val="0"/>
          <w:numId w:val="1"/>
        </w:numPr>
        <w:rPr>
          <w:rFonts w:ascii="Times New Roman" w:hAnsi="Times New Roman"/>
          <w:lang w:val="pt-BR"/>
        </w:rPr>
      </w:pPr>
      <w:r>
        <w:rPr>
          <w:rFonts w:ascii="Times New Roman" w:hAnsi="Times New Roman"/>
          <w:lang w:val="pt-BR"/>
        </w:rPr>
        <w:t xml:space="preserve">R. </w:t>
      </w:r>
      <w:proofErr w:type="spellStart"/>
      <w:r w:rsidR="00AD770A" w:rsidRPr="00AD770A">
        <w:rPr>
          <w:rFonts w:ascii="Times New Roman" w:hAnsi="Times New Roman"/>
          <w:lang w:val="pt-BR"/>
        </w:rPr>
        <w:t>Sivaramakrishnan</w:t>
      </w:r>
      <w:proofErr w:type="spellEnd"/>
      <w:r>
        <w:rPr>
          <w:rFonts w:ascii="Times New Roman" w:hAnsi="Times New Roman"/>
          <w:lang w:val="pt-BR"/>
        </w:rPr>
        <w:t xml:space="preserve">; A. </w:t>
      </w:r>
      <w:proofErr w:type="spellStart"/>
      <w:r w:rsidR="00AD770A" w:rsidRPr="00AD770A">
        <w:rPr>
          <w:rFonts w:ascii="Times New Roman" w:hAnsi="Times New Roman"/>
          <w:lang w:val="pt-BR"/>
        </w:rPr>
        <w:t>Incharoensakdi</w:t>
      </w:r>
      <w:proofErr w:type="spellEnd"/>
      <w:r>
        <w:rPr>
          <w:rFonts w:ascii="Times New Roman" w:hAnsi="Times New Roman"/>
          <w:lang w:val="pt-BR"/>
        </w:rPr>
        <w:t xml:space="preserve">. </w:t>
      </w:r>
      <w:proofErr w:type="spellStart"/>
      <w:r w:rsidR="00AD770A" w:rsidRPr="00A814DC">
        <w:rPr>
          <w:rFonts w:ascii="Times New Roman" w:hAnsi="Times New Roman"/>
          <w:i/>
          <w:iCs/>
          <w:lang w:val="pt-BR"/>
        </w:rPr>
        <w:t>Fuel</w:t>
      </w:r>
      <w:proofErr w:type="spellEnd"/>
      <w:r>
        <w:rPr>
          <w:rFonts w:ascii="Times New Roman" w:hAnsi="Times New Roman"/>
          <w:lang w:val="pt-BR"/>
        </w:rPr>
        <w:t xml:space="preserve">. </w:t>
      </w:r>
      <w:r>
        <w:rPr>
          <w:rFonts w:ascii="Times New Roman" w:hAnsi="Times New Roman"/>
          <w:b/>
          <w:bCs/>
          <w:lang w:val="pt-BR"/>
        </w:rPr>
        <w:t>2017</w:t>
      </w:r>
      <w:r>
        <w:rPr>
          <w:rFonts w:ascii="Times New Roman" w:hAnsi="Times New Roman"/>
          <w:lang w:val="pt-BR"/>
        </w:rPr>
        <w:t xml:space="preserve">, </w:t>
      </w:r>
      <w:r w:rsidR="00AD770A" w:rsidRPr="00A814DC">
        <w:rPr>
          <w:rFonts w:ascii="Times New Roman" w:hAnsi="Times New Roman"/>
          <w:i/>
          <w:iCs/>
          <w:lang w:val="pt-BR"/>
        </w:rPr>
        <w:t>191</w:t>
      </w:r>
      <w:r>
        <w:rPr>
          <w:rFonts w:ascii="Times New Roman" w:hAnsi="Times New Roman"/>
          <w:lang w:val="pt-BR"/>
        </w:rPr>
        <w:t>, 363-370.</w:t>
      </w:r>
    </w:p>
    <w:p w14:paraId="265231F2" w14:textId="2FBDF956" w:rsidR="00AD770A" w:rsidRPr="00925B68" w:rsidRDefault="00F270B3" w:rsidP="00AD770A">
      <w:pPr>
        <w:pStyle w:val="TAMainText"/>
        <w:numPr>
          <w:ilvl w:val="0"/>
          <w:numId w:val="1"/>
        </w:numPr>
        <w:rPr>
          <w:rFonts w:ascii="Times New Roman" w:hAnsi="Times New Roman"/>
        </w:rPr>
      </w:pPr>
      <w:r w:rsidRPr="00925B68">
        <w:rPr>
          <w:rFonts w:ascii="Times New Roman" w:hAnsi="Times New Roman"/>
        </w:rPr>
        <w:t xml:space="preserve">Y. G. </w:t>
      </w:r>
      <w:r w:rsidR="00AD770A" w:rsidRPr="00925B68">
        <w:rPr>
          <w:rFonts w:ascii="Times New Roman" w:hAnsi="Times New Roman"/>
        </w:rPr>
        <w:t>Adewuyi</w:t>
      </w:r>
      <w:r w:rsidRPr="00925B68">
        <w:rPr>
          <w:rFonts w:ascii="Times New Roman" w:hAnsi="Times New Roman"/>
        </w:rPr>
        <w:t>.</w:t>
      </w:r>
      <w:r w:rsidR="00AD770A" w:rsidRPr="00925B68">
        <w:rPr>
          <w:rFonts w:ascii="Times New Roman" w:hAnsi="Times New Roman"/>
        </w:rPr>
        <w:t xml:space="preserve"> </w:t>
      </w:r>
      <w:r w:rsidR="00AD770A" w:rsidRPr="00925B68">
        <w:rPr>
          <w:rFonts w:ascii="Times New Roman" w:hAnsi="Times New Roman"/>
          <w:i/>
          <w:iCs/>
        </w:rPr>
        <w:t>Ind Eng Chem Res</w:t>
      </w:r>
      <w:r w:rsidRPr="00925B68">
        <w:rPr>
          <w:rFonts w:ascii="Times New Roman" w:hAnsi="Times New Roman"/>
        </w:rPr>
        <w:t xml:space="preserve">. </w:t>
      </w:r>
      <w:r w:rsidRPr="00925B68">
        <w:rPr>
          <w:rFonts w:ascii="Times New Roman" w:hAnsi="Times New Roman"/>
          <w:b/>
          <w:bCs/>
        </w:rPr>
        <w:t>2001</w:t>
      </w:r>
      <w:r w:rsidRPr="00925B68">
        <w:rPr>
          <w:rFonts w:ascii="Times New Roman" w:hAnsi="Times New Roman"/>
        </w:rPr>
        <w:t>,</w:t>
      </w:r>
      <w:r w:rsidR="00AD770A" w:rsidRPr="00925B68">
        <w:rPr>
          <w:rFonts w:ascii="Times New Roman" w:hAnsi="Times New Roman"/>
        </w:rPr>
        <w:t xml:space="preserve"> </w:t>
      </w:r>
      <w:r w:rsidR="00AD770A" w:rsidRPr="00925B68">
        <w:rPr>
          <w:rFonts w:ascii="Times New Roman" w:hAnsi="Times New Roman"/>
          <w:i/>
          <w:iCs/>
        </w:rPr>
        <w:t>40</w:t>
      </w:r>
      <w:r w:rsidRPr="00925B68">
        <w:rPr>
          <w:rFonts w:ascii="Times New Roman" w:hAnsi="Times New Roman"/>
        </w:rPr>
        <w:t xml:space="preserve">, </w:t>
      </w:r>
      <w:r w:rsidR="00AD770A" w:rsidRPr="00925B68">
        <w:rPr>
          <w:rFonts w:ascii="Times New Roman" w:hAnsi="Times New Roman"/>
        </w:rPr>
        <w:t>4681</w:t>
      </w:r>
      <w:r w:rsidRPr="00925B68">
        <w:rPr>
          <w:rFonts w:ascii="Times New Roman" w:hAnsi="Times New Roman"/>
        </w:rPr>
        <w:t>-</w:t>
      </w:r>
      <w:r w:rsidR="00AD770A" w:rsidRPr="00925B68">
        <w:rPr>
          <w:rFonts w:ascii="Times New Roman" w:hAnsi="Times New Roman"/>
        </w:rPr>
        <w:t xml:space="preserve">4715. </w:t>
      </w:r>
    </w:p>
    <w:p w14:paraId="1B208A28" w14:textId="12A42860" w:rsidR="00AD770A" w:rsidRPr="00B0647D" w:rsidRDefault="00B0647D" w:rsidP="00B0647D">
      <w:pPr>
        <w:pStyle w:val="PargrafodaLista"/>
        <w:numPr>
          <w:ilvl w:val="0"/>
          <w:numId w:val="1"/>
        </w:numPr>
        <w:jc w:val="both"/>
        <w:rPr>
          <w:rFonts w:ascii="Times New Roman" w:hAnsi="Times New Roman"/>
        </w:rPr>
      </w:pPr>
      <w:r w:rsidRPr="00B0647D">
        <w:rPr>
          <w:rFonts w:ascii="Times New Roman" w:hAnsi="Times New Roman"/>
        </w:rPr>
        <w:t xml:space="preserve">K. B. </w:t>
      </w:r>
      <w:proofErr w:type="spellStart"/>
      <w:r w:rsidRPr="00B0647D">
        <w:rPr>
          <w:rFonts w:ascii="Times New Roman" w:hAnsi="Times New Roman"/>
        </w:rPr>
        <w:t>Espilma</w:t>
      </w:r>
      <w:proofErr w:type="spellEnd"/>
      <w:r w:rsidRPr="00B0647D">
        <w:rPr>
          <w:rFonts w:ascii="Times New Roman" w:hAnsi="Times New Roman"/>
        </w:rPr>
        <w:t xml:space="preserve">; K. R. L. </w:t>
      </w:r>
      <w:proofErr w:type="spellStart"/>
      <w:r w:rsidRPr="00B0647D">
        <w:rPr>
          <w:rFonts w:ascii="Times New Roman" w:hAnsi="Times New Roman"/>
        </w:rPr>
        <w:t>Castagno</w:t>
      </w:r>
      <w:proofErr w:type="spellEnd"/>
      <w:r w:rsidRPr="00B0647D">
        <w:rPr>
          <w:rFonts w:ascii="Times New Roman" w:hAnsi="Times New Roman"/>
        </w:rPr>
        <w:t xml:space="preserve">; P. J. Sanches; C. O. </w:t>
      </w:r>
      <w:proofErr w:type="spellStart"/>
      <w:r w:rsidRPr="00B0647D">
        <w:rPr>
          <w:rFonts w:ascii="Times New Roman" w:hAnsi="Times New Roman"/>
        </w:rPr>
        <w:t>Calgaro</w:t>
      </w:r>
      <w:proofErr w:type="spellEnd"/>
      <w:r w:rsidRPr="00B0647D">
        <w:rPr>
          <w:rFonts w:ascii="Times New Roman" w:hAnsi="Times New Roman"/>
        </w:rPr>
        <w:t xml:space="preserve"> </w:t>
      </w:r>
      <w:r w:rsidRPr="00B0647D">
        <w:rPr>
          <w:rFonts w:ascii="Times New Roman" w:eastAsia="Times New Roman" w:hAnsi="Times New Roman" w:cs="Times New Roman"/>
          <w:sz w:val="20"/>
          <w:szCs w:val="20"/>
          <w:lang w:eastAsia="pt-BR"/>
        </w:rPr>
        <w:t>in Anais do 23° Congresso Brasileiro de Engenharia Química, Gramado, 2021, 143029</w:t>
      </w:r>
      <w:r>
        <w:rPr>
          <w:rFonts w:ascii="Times New Roman" w:eastAsia="Times New Roman" w:hAnsi="Times New Roman" w:cs="Times New Roman"/>
          <w:sz w:val="20"/>
          <w:szCs w:val="20"/>
          <w:lang w:eastAsia="pt-BR"/>
        </w:rPr>
        <w:t>.</w:t>
      </w:r>
      <w:r w:rsidR="00137612" w:rsidRPr="00B0647D">
        <w:rPr>
          <w:rFonts w:ascii="Times New Roman" w:hAnsi="Times New Roman"/>
        </w:rPr>
        <w:t xml:space="preserve"> </w:t>
      </w:r>
    </w:p>
    <w:p w14:paraId="3AC6BCE0" w14:textId="25066229" w:rsidR="00D50DC6" w:rsidRDefault="00B0647D" w:rsidP="00D50DC6">
      <w:pPr>
        <w:pStyle w:val="TAMainText"/>
        <w:numPr>
          <w:ilvl w:val="0"/>
          <w:numId w:val="1"/>
        </w:numPr>
        <w:rPr>
          <w:rFonts w:ascii="Times New Roman" w:hAnsi="Times New Roman"/>
          <w:lang w:val="pt-BR"/>
        </w:rPr>
      </w:pPr>
      <w:r w:rsidRPr="00925B68">
        <w:rPr>
          <w:rFonts w:ascii="Times New Roman" w:hAnsi="Times New Roman"/>
        </w:rPr>
        <w:t>A. Birla</w:t>
      </w:r>
      <w:r w:rsidR="00A92BEB" w:rsidRPr="00925B68">
        <w:rPr>
          <w:rFonts w:ascii="Times New Roman" w:hAnsi="Times New Roman"/>
        </w:rPr>
        <w:t>; B. Singh; A. N. Upadhyay; Y. C. Sharma.</w:t>
      </w:r>
      <w:r w:rsidR="00D50DC6" w:rsidRPr="00925B68">
        <w:rPr>
          <w:rFonts w:ascii="Times New Roman" w:hAnsi="Times New Roman"/>
        </w:rPr>
        <w:t xml:space="preserve"> </w:t>
      </w:r>
      <w:proofErr w:type="spellStart"/>
      <w:r w:rsidR="00D50DC6" w:rsidRPr="00A92BEB">
        <w:rPr>
          <w:rFonts w:ascii="Times New Roman" w:hAnsi="Times New Roman"/>
          <w:i/>
          <w:iCs/>
          <w:lang w:val="pt-BR"/>
        </w:rPr>
        <w:t>Bioresour</w:t>
      </w:r>
      <w:r w:rsidR="00A92BEB" w:rsidRPr="00A92BEB">
        <w:rPr>
          <w:rFonts w:ascii="Times New Roman" w:hAnsi="Times New Roman"/>
          <w:i/>
          <w:iCs/>
          <w:lang w:val="pt-BR"/>
        </w:rPr>
        <w:t>ce</w:t>
      </w:r>
      <w:proofErr w:type="spellEnd"/>
      <w:r w:rsidR="00D50DC6" w:rsidRPr="00A92BEB">
        <w:rPr>
          <w:rFonts w:ascii="Times New Roman" w:hAnsi="Times New Roman"/>
          <w:i/>
          <w:iCs/>
          <w:lang w:val="pt-BR"/>
        </w:rPr>
        <w:t xml:space="preserve"> Technology</w:t>
      </w:r>
      <w:r w:rsidR="00A92BEB">
        <w:rPr>
          <w:rFonts w:ascii="Times New Roman" w:hAnsi="Times New Roman"/>
          <w:lang w:val="pt-BR"/>
        </w:rPr>
        <w:t xml:space="preserve">. </w:t>
      </w:r>
      <w:r w:rsidR="00A92BEB">
        <w:rPr>
          <w:rFonts w:ascii="Times New Roman" w:hAnsi="Times New Roman"/>
          <w:b/>
          <w:bCs/>
          <w:lang w:val="pt-BR"/>
        </w:rPr>
        <w:t>2012</w:t>
      </w:r>
      <w:r w:rsidR="00A92BEB">
        <w:rPr>
          <w:rFonts w:ascii="Times New Roman" w:hAnsi="Times New Roman"/>
          <w:lang w:val="pt-BR"/>
        </w:rPr>
        <w:t xml:space="preserve">, </w:t>
      </w:r>
      <w:r w:rsidR="00A92BEB" w:rsidRPr="00A92BEB">
        <w:rPr>
          <w:rFonts w:ascii="Times New Roman" w:hAnsi="Times New Roman"/>
          <w:i/>
          <w:iCs/>
          <w:lang w:val="pt-BR"/>
        </w:rPr>
        <w:t>1</w:t>
      </w:r>
      <w:r w:rsidR="00D50DC6" w:rsidRPr="00A92BEB">
        <w:rPr>
          <w:rFonts w:ascii="Times New Roman" w:hAnsi="Times New Roman"/>
          <w:i/>
          <w:iCs/>
          <w:lang w:val="pt-BR"/>
        </w:rPr>
        <w:t>06</w:t>
      </w:r>
      <w:r w:rsidR="00A92BEB">
        <w:rPr>
          <w:rFonts w:ascii="Times New Roman" w:hAnsi="Times New Roman"/>
          <w:lang w:val="pt-BR"/>
        </w:rPr>
        <w:t>,</w:t>
      </w:r>
      <w:r w:rsidR="00D50DC6" w:rsidRPr="00D50DC6">
        <w:rPr>
          <w:rFonts w:ascii="Times New Roman" w:hAnsi="Times New Roman"/>
          <w:lang w:val="pt-BR"/>
        </w:rPr>
        <w:t xml:space="preserve"> 95</w:t>
      </w:r>
      <w:r w:rsidR="00A92BEB">
        <w:rPr>
          <w:rFonts w:ascii="Times New Roman" w:hAnsi="Times New Roman"/>
          <w:lang w:val="pt-BR"/>
        </w:rPr>
        <w:t>-100</w:t>
      </w:r>
      <w:r w:rsidR="00D50DC6" w:rsidRPr="00D50DC6">
        <w:rPr>
          <w:rFonts w:ascii="Times New Roman" w:hAnsi="Times New Roman"/>
          <w:lang w:val="pt-BR"/>
        </w:rPr>
        <w:t>.</w:t>
      </w:r>
    </w:p>
    <w:p w14:paraId="00F0937E" w14:textId="1B6A8381" w:rsidR="00B8020C" w:rsidRDefault="00B8020C" w:rsidP="00D50DC6">
      <w:pPr>
        <w:pStyle w:val="TAMainText"/>
        <w:numPr>
          <w:ilvl w:val="0"/>
          <w:numId w:val="1"/>
        </w:numPr>
        <w:rPr>
          <w:rFonts w:ascii="Times New Roman" w:hAnsi="Times New Roman"/>
          <w:lang w:val="pt-BR"/>
        </w:rPr>
      </w:pPr>
      <w:r>
        <w:rPr>
          <w:rFonts w:ascii="Times New Roman" w:hAnsi="Times New Roman"/>
          <w:lang w:val="pt-BR"/>
        </w:rPr>
        <w:t xml:space="preserve">A. </w:t>
      </w:r>
      <w:proofErr w:type="spellStart"/>
      <w:r>
        <w:rPr>
          <w:rFonts w:ascii="Times New Roman" w:hAnsi="Times New Roman"/>
          <w:lang w:val="pt-BR"/>
        </w:rPr>
        <w:t>Kawashima</w:t>
      </w:r>
      <w:proofErr w:type="spellEnd"/>
      <w:r>
        <w:rPr>
          <w:rFonts w:ascii="Times New Roman" w:hAnsi="Times New Roman"/>
          <w:lang w:val="pt-BR"/>
        </w:rPr>
        <w:t xml:space="preserve">; K. Matsubara; K. Honda. </w:t>
      </w:r>
      <w:proofErr w:type="spellStart"/>
      <w:r w:rsidR="00EA0E62" w:rsidRPr="00EA0E62">
        <w:rPr>
          <w:rFonts w:ascii="Times New Roman" w:hAnsi="Times New Roman"/>
          <w:i/>
          <w:iCs/>
          <w:lang w:val="pt-BR"/>
        </w:rPr>
        <w:t>Bioresource</w:t>
      </w:r>
      <w:proofErr w:type="spellEnd"/>
      <w:r w:rsidR="00EA0E62" w:rsidRPr="00EA0E62">
        <w:rPr>
          <w:rFonts w:ascii="Times New Roman" w:hAnsi="Times New Roman"/>
          <w:i/>
          <w:iCs/>
          <w:lang w:val="pt-BR"/>
        </w:rPr>
        <w:t xml:space="preserve"> Technology</w:t>
      </w:r>
      <w:r w:rsidR="00EA0E62">
        <w:rPr>
          <w:rFonts w:ascii="Times New Roman" w:hAnsi="Times New Roman"/>
          <w:lang w:val="pt-BR"/>
        </w:rPr>
        <w:t xml:space="preserve">. </w:t>
      </w:r>
      <w:r w:rsidR="00EA0E62">
        <w:rPr>
          <w:rFonts w:ascii="Times New Roman" w:hAnsi="Times New Roman"/>
          <w:b/>
          <w:bCs/>
          <w:lang w:val="pt-BR"/>
        </w:rPr>
        <w:t>2009</w:t>
      </w:r>
      <w:r w:rsidR="00EA0E62">
        <w:rPr>
          <w:rFonts w:ascii="Times New Roman" w:hAnsi="Times New Roman"/>
          <w:lang w:val="pt-BR"/>
        </w:rPr>
        <w:t xml:space="preserve">, </w:t>
      </w:r>
      <w:r w:rsidR="00EA0E62" w:rsidRPr="00EA0E62">
        <w:rPr>
          <w:rFonts w:ascii="Times New Roman" w:hAnsi="Times New Roman"/>
          <w:i/>
          <w:iCs/>
          <w:lang w:val="pt-BR"/>
        </w:rPr>
        <w:t>100</w:t>
      </w:r>
      <w:r w:rsidR="00EA0E62">
        <w:rPr>
          <w:rFonts w:ascii="Times New Roman" w:hAnsi="Times New Roman"/>
          <w:lang w:val="pt-BR"/>
        </w:rPr>
        <w:t>, 696-700.</w:t>
      </w:r>
    </w:p>
    <w:p w14:paraId="363CD8F4" w14:textId="71245E75" w:rsidR="00724B59" w:rsidRDefault="00A92BEB" w:rsidP="00A92BEB">
      <w:pPr>
        <w:pStyle w:val="PargrafodaLista"/>
        <w:numPr>
          <w:ilvl w:val="0"/>
          <w:numId w:val="1"/>
        </w:numPr>
        <w:rPr>
          <w:rFonts w:ascii="Times New Roman" w:eastAsia="Times New Roman" w:hAnsi="Times New Roman" w:cs="Times New Roman"/>
          <w:sz w:val="20"/>
          <w:szCs w:val="20"/>
          <w:lang w:eastAsia="pt-BR"/>
        </w:rPr>
      </w:pPr>
      <w:r w:rsidRPr="00925B68">
        <w:rPr>
          <w:rFonts w:ascii="Times New Roman" w:eastAsia="Times New Roman" w:hAnsi="Times New Roman" w:cs="Times New Roman"/>
          <w:sz w:val="20"/>
          <w:szCs w:val="20"/>
          <w:lang w:val="en-US" w:eastAsia="pt-BR"/>
        </w:rPr>
        <w:t xml:space="preserve">K. D. Mekonnen; Z. B. </w:t>
      </w:r>
      <w:proofErr w:type="spellStart"/>
      <w:r w:rsidRPr="00925B68">
        <w:rPr>
          <w:rFonts w:ascii="Times New Roman" w:eastAsia="Times New Roman" w:hAnsi="Times New Roman" w:cs="Times New Roman"/>
          <w:sz w:val="20"/>
          <w:szCs w:val="20"/>
          <w:lang w:val="en-US" w:eastAsia="pt-BR"/>
        </w:rPr>
        <w:t>Sendekie</w:t>
      </w:r>
      <w:proofErr w:type="spellEnd"/>
      <w:r w:rsidRPr="00925B68">
        <w:rPr>
          <w:rFonts w:ascii="Times New Roman" w:eastAsia="Times New Roman" w:hAnsi="Times New Roman" w:cs="Times New Roman"/>
          <w:sz w:val="20"/>
          <w:szCs w:val="20"/>
          <w:lang w:val="en-US" w:eastAsia="pt-BR"/>
        </w:rPr>
        <w:t xml:space="preserve">. </w:t>
      </w:r>
      <w:r w:rsidRPr="00A92BEB">
        <w:rPr>
          <w:rFonts w:ascii="Times New Roman" w:eastAsia="Times New Roman" w:hAnsi="Times New Roman" w:cs="Times New Roman"/>
          <w:i/>
          <w:iCs/>
          <w:sz w:val="20"/>
          <w:szCs w:val="20"/>
          <w:lang w:eastAsia="pt-BR"/>
        </w:rPr>
        <w:t xml:space="preserve">ACS </w:t>
      </w:r>
      <w:proofErr w:type="spellStart"/>
      <w:r w:rsidRPr="00A92BEB">
        <w:rPr>
          <w:rFonts w:ascii="Times New Roman" w:eastAsia="Times New Roman" w:hAnsi="Times New Roman" w:cs="Times New Roman"/>
          <w:i/>
          <w:iCs/>
          <w:sz w:val="20"/>
          <w:szCs w:val="20"/>
          <w:lang w:eastAsia="pt-BR"/>
        </w:rPr>
        <w:t>Omega</w:t>
      </w:r>
      <w:proofErr w:type="spellEnd"/>
      <w:r>
        <w:rPr>
          <w:rFonts w:ascii="Times New Roman" w:eastAsia="Times New Roman" w:hAnsi="Times New Roman" w:cs="Times New Roman"/>
          <w:sz w:val="20"/>
          <w:szCs w:val="20"/>
          <w:lang w:eastAsia="pt-BR"/>
        </w:rPr>
        <w:t>.</w:t>
      </w:r>
      <w:r w:rsidRPr="00A92BEB">
        <w:rPr>
          <w:rFonts w:ascii="Times New Roman" w:eastAsia="Times New Roman" w:hAnsi="Times New Roman" w:cs="Times New Roman"/>
          <w:sz w:val="20"/>
          <w:szCs w:val="20"/>
          <w:lang w:eastAsia="pt-BR"/>
        </w:rPr>
        <w:t xml:space="preserve"> </w:t>
      </w:r>
      <w:r w:rsidRPr="00A92BEB">
        <w:rPr>
          <w:rFonts w:ascii="Times New Roman" w:eastAsia="Times New Roman" w:hAnsi="Times New Roman" w:cs="Times New Roman"/>
          <w:b/>
          <w:bCs/>
          <w:sz w:val="20"/>
          <w:szCs w:val="20"/>
          <w:lang w:eastAsia="pt-BR"/>
        </w:rPr>
        <w:t>2021</w:t>
      </w:r>
      <w:r>
        <w:rPr>
          <w:rFonts w:ascii="Times New Roman" w:eastAsia="Times New Roman" w:hAnsi="Times New Roman" w:cs="Times New Roman"/>
          <w:sz w:val="20"/>
          <w:szCs w:val="20"/>
          <w:lang w:eastAsia="pt-BR"/>
        </w:rPr>
        <w:t>,</w:t>
      </w:r>
      <w:r w:rsidRPr="00A92BEB">
        <w:rPr>
          <w:rFonts w:ascii="Times New Roman" w:eastAsia="Times New Roman" w:hAnsi="Times New Roman" w:cs="Times New Roman"/>
          <w:sz w:val="20"/>
          <w:szCs w:val="20"/>
          <w:lang w:eastAsia="pt-BR"/>
        </w:rPr>
        <w:t xml:space="preserve"> </w:t>
      </w:r>
      <w:r w:rsidRPr="00A92BEB">
        <w:rPr>
          <w:rFonts w:ascii="Times New Roman" w:eastAsia="Times New Roman" w:hAnsi="Times New Roman" w:cs="Times New Roman"/>
          <w:i/>
          <w:iCs/>
          <w:sz w:val="20"/>
          <w:szCs w:val="20"/>
          <w:lang w:eastAsia="pt-BR"/>
        </w:rPr>
        <w:t>6</w:t>
      </w:r>
      <w:r w:rsidRPr="00A92BEB">
        <w:rPr>
          <w:rFonts w:ascii="Times New Roman" w:eastAsia="Times New Roman" w:hAnsi="Times New Roman" w:cs="Times New Roman"/>
          <w:sz w:val="20"/>
          <w:szCs w:val="20"/>
          <w:lang w:eastAsia="pt-BR"/>
        </w:rPr>
        <w:t>, 24082-</w:t>
      </w:r>
      <w:r>
        <w:rPr>
          <w:rFonts w:ascii="Times New Roman" w:eastAsia="Times New Roman" w:hAnsi="Times New Roman" w:cs="Times New Roman"/>
          <w:sz w:val="20"/>
          <w:szCs w:val="20"/>
          <w:lang w:eastAsia="pt-BR"/>
        </w:rPr>
        <w:t>24091.</w:t>
      </w:r>
    </w:p>
    <w:p w14:paraId="6B7F3632" w14:textId="35AF6234" w:rsidR="00321DA1" w:rsidRPr="00925B68" w:rsidRDefault="00321DA1" w:rsidP="00321DA1">
      <w:pPr>
        <w:pStyle w:val="PargrafodaLista"/>
        <w:numPr>
          <w:ilvl w:val="0"/>
          <w:numId w:val="1"/>
        </w:numPr>
        <w:jc w:val="both"/>
        <w:rPr>
          <w:rFonts w:ascii="Times New Roman" w:eastAsia="Times New Roman" w:hAnsi="Times New Roman" w:cs="Times New Roman"/>
          <w:sz w:val="20"/>
          <w:szCs w:val="20"/>
          <w:lang w:val="en-US" w:eastAsia="pt-BR"/>
        </w:rPr>
      </w:pPr>
      <w:r w:rsidRPr="00925B68">
        <w:rPr>
          <w:rFonts w:ascii="Times New Roman" w:eastAsia="Times New Roman" w:hAnsi="Times New Roman" w:cs="Times New Roman"/>
          <w:sz w:val="20"/>
          <w:szCs w:val="20"/>
          <w:lang w:val="en-US" w:eastAsia="pt-BR"/>
        </w:rPr>
        <w:t xml:space="preserve">F. </w:t>
      </w:r>
      <w:proofErr w:type="spellStart"/>
      <w:r w:rsidRPr="00925B68">
        <w:rPr>
          <w:rFonts w:ascii="Times New Roman" w:eastAsia="Times New Roman" w:hAnsi="Times New Roman" w:cs="Times New Roman"/>
          <w:sz w:val="20"/>
          <w:szCs w:val="20"/>
          <w:lang w:val="en-US" w:eastAsia="pt-BR"/>
        </w:rPr>
        <w:t>Orata</w:t>
      </w:r>
      <w:proofErr w:type="spellEnd"/>
      <w:r w:rsidRPr="00925B68">
        <w:rPr>
          <w:rFonts w:ascii="Times New Roman" w:eastAsia="Times New Roman" w:hAnsi="Times New Roman" w:cs="Times New Roman"/>
          <w:sz w:val="20"/>
          <w:szCs w:val="20"/>
          <w:lang w:val="en-US" w:eastAsia="pt-BR"/>
        </w:rPr>
        <w:t xml:space="preserve"> in </w:t>
      </w:r>
      <w:r w:rsidRPr="00925B68">
        <w:rPr>
          <w:rFonts w:ascii="Times New Roman" w:eastAsia="Times New Roman" w:hAnsi="Times New Roman" w:cs="Times New Roman"/>
          <w:i/>
          <w:iCs/>
          <w:sz w:val="20"/>
          <w:szCs w:val="20"/>
          <w:lang w:val="en-US" w:eastAsia="pt-BR"/>
        </w:rPr>
        <w:t xml:space="preserve">Advanced Gas Chromatography - Progress in Agricultural, Biomedical and Industrial </w:t>
      </w:r>
      <w:r w:rsidRPr="00925B68">
        <w:rPr>
          <w:rFonts w:ascii="Times New Roman" w:eastAsia="Times New Roman" w:hAnsi="Times New Roman" w:cs="Times New Roman"/>
          <w:i/>
          <w:iCs/>
          <w:sz w:val="20"/>
          <w:szCs w:val="20"/>
          <w:lang w:val="en-US" w:eastAsia="pt-BR"/>
        </w:rPr>
        <w:t>Applications</w:t>
      </w:r>
      <w:r w:rsidRPr="00925B68">
        <w:rPr>
          <w:rFonts w:ascii="Times New Roman" w:eastAsia="Times New Roman" w:hAnsi="Times New Roman" w:cs="Times New Roman"/>
          <w:sz w:val="20"/>
          <w:szCs w:val="20"/>
          <w:lang w:val="en-US" w:eastAsia="pt-BR"/>
        </w:rPr>
        <w:t>,</w:t>
      </w:r>
      <w:r w:rsidR="00920E35" w:rsidRPr="00925B68">
        <w:rPr>
          <w:rFonts w:ascii="Times New Roman" w:eastAsia="Times New Roman" w:hAnsi="Times New Roman" w:cs="Times New Roman"/>
          <w:sz w:val="20"/>
          <w:szCs w:val="20"/>
          <w:lang w:val="en-US" w:eastAsia="pt-BR"/>
        </w:rPr>
        <w:t xml:space="preserve"> M. A. Mohd</w:t>
      </w:r>
      <w:r w:rsidRPr="00925B68">
        <w:rPr>
          <w:rFonts w:ascii="Times New Roman" w:eastAsia="Times New Roman" w:hAnsi="Times New Roman" w:cs="Times New Roman"/>
          <w:sz w:val="20"/>
          <w:szCs w:val="20"/>
          <w:lang w:val="en-US" w:eastAsia="pt-BR"/>
        </w:rPr>
        <w:t xml:space="preserve"> Ed.; </w:t>
      </w:r>
      <w:proofErr w:type="spellStart"/>
      <w:r w:rsidR="00920E35" w:rsidRPr="00925B68">
        <w:rPr>
          <w:rFonts w:ascii="Times New Roman" w:eastAsia="Times New Roman" w:hAnsi="Times New Roman" w:cs="Times New Roman"/>
          <w:sz w:val="20"/>
          <w:szCs w:val="20"/>
          <w:lang w:val="en-US" w:eastAsia="pt-BR"/>
        </w:rPr>
        <w:t>InTech</w:t>
      </w:r>
      <w:proofErr w:type="spellEnd"/>
      <w:r w:rsidRPr="00925B68">
        <w:rPr>
          <w:rFonts w:ascii="Times New Roman" w:eastAsia="Times New Roman" w:hAnsi="Times New Roman" w:cs="Times New Roman"/>
          <w:sz w:val="20"/>
          <w:szCs w:val="20"/>
          <w:lang w:val="en-US" w:eastAsia="pt-BR"/>
        </w:rPr>
        <w:t xml:space="preserve">, </w:t>
      </w:r>
      <w:proofErr w:type="spellStart"/>
      <w:r w:rsidR="00920E35" w:rsidRPr="00925B68">
        <w:rPr>
          <w:rFonts w:ascii="Times New Roman" w:eastAsia="Times New Roman" w:hAnsi="Times New Roman" w:cs="Times New Roman"/>
          <w:sz w:val="20"/>
          <w:szCs w:val="20"/>
          <w:lang w:val="en-US" w:eastAsia="pt-BR"/>
        </w:rPr>
        <w:t>Croácia</w:t>
      </w:r>
      <w:proofErr w:type="spellEnd"/>
      <w:r w:rsidRPr="00925B68">
        <w:rPr>
          <w:rFonts w:ascii="Times New Roman" w:eastAsia="Times New Roman" w:hAnsi="Times New Roman" w:cs="Times New Roman"/>
          <w:sz w:val="20"/>
          <w:szCs w:val="20"/>
          <w:lang w:val="en-US" w:eastAsia="pt-BR"/>
        </w:rPr>
        <w:t xml:space="preserve">, </w:t>
      </w:r>
      <w:r w:rsidR="00920E35" w:rsidRPr="00925B68">
        <w:rPr>
          <w:rFonts w:ascii="Times New Roman" w:eastAsia="Times New Roman" w:hAnsi="Times New Roman" w:cs="Times New Roman"/>
          <w:sz w:val="20"/>
          <w:szCs w:val="20"/>
          <w:lang w:val="en-US" w:eastAsia="pt-BR"/>
        </w:rPr>
        <w:t>2012</w:t>
      </w:r>
      <w:r w:rsidRPr="00925B68">
        <w:rPr>
          <w:rFonts w:ascii="Times New Roman" w:eastAsia="Times New Roman" w:hAnsi="Times New Roman" w:cs="Times New Roman"/>
          <w:sz w:val="20"/>
          <w:szCs w:val="20"/>
          <w:lang w:val="en-US" w:eastAsia="pt-BR"/>
        </w:rPr>
        <w:t xml:space="preserve">; </w:t>
      </w:r>
      <w:r w:rsidR="00920E35" w:rsidRPr="00925B68">
        <w:rPr>
          <w:rFonts w:ascii="Times New Roman" w:eastAsia="Times New Roman" w:hAnsi="Times New Roman" w:cs="Times New Roman"/>
          <w:sz w:val="20"/>
          <w:szCs w:val="20"/>
          <w:lang w:val="en-US" w:eastAsia="pt-BR"/>
        </w:rPr>
        <w:t>83-118</w:t>
      </w:r>
      <w:r w:rsidRPr="00925B68">
        <w:rPr>
          <w:rFonts w:ascii="Times New Roman" w:eastAsia="Times New Roman" w:hAnsi="Times New Roman" w:cs="Times New Roman"/>
          <w:sz w:val="20"/>
          <w:szCs w:val="20"/>
          <w:lang w:val="en-US" w:eastAsia="pt-BR"/>
        </w:rPr>
        <w:t>.</w:t>
      </w:r>
    </w:p>
    <w:p w14:paraId="24573B36" w14:textId="251599FD" w:rsidR="00EF6872" w:rsidRPr="00321DA1" w:rsidRDefault="00EF6872" w:rsidP="00321DA1">
      <w:pPr>
        <w:pStyle w:val="PargrafodaLista"/>
        <w:numPr>
          <w:ilvl w:val="0"/>
          <w:numId w:val="1"/>
        </w:numPr>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V. </w:t>
      </w:r>
      <w:proofErr w:type="spellStart"/>
      <w:r>
        <w:rPr>
          <w:rFonts w:ascii="Times New Roman" w:eastAsia="Times New Roman" w:hAnsi="Times New Roman" w:cs="Times New Roman"/>
          <w:sz w:val="20"/>
          <w:szCs w:val="20"/>
          <w:lang w:eastAsia="pt-BR"/>
        </w:rPr>
        <w:t>Mandari</w:t>
      </w:r>
      <w:proofErr w:type="spellEnd"/>
      <w:r>
        <w:rPr>
          <w:rFonts w:ascii="Times New Roman" w:eastAsia="Times New Roman" w:hAnsi="Times New Roman" w:cs="Times New Roman"/>
          <w:sz w:val="20"/>
          <w:szCs w:val="20"/>
          <w:lang w:eastAsia="pt-BR"/>
        </w:rPr>
        <w:t xml:space="preserve">; S. K. </w:t>
      </w:r>
      <w:proofErr w:type="spellStart"/>
      <w:r>
        <w:rPr>
          <w:rFonts w:ascii="Times New Roman" w:eastAsia="Times New Roman" w:hAnsi="Times New Roman" w:cs="Times New Roman"/>
          <w:sz w:val="20"/>
          <w:szCs w:val="20"/>
          <w:lang w:eastAsia="pt-BR"/>
        </w:rPr>
        <w:t>Devarai</w:t>
      </w:r>
      <w:proofErr w:type="spellEnd"/>
      <w:r>
        <w:rPr>
          <w:rFonts w:ascii="Times New Roman" w:eastAsia="Times New Roman" w:hAnsi="Times New Roman" w:cs="Times New Roman"/>
          <w:sz w:val="20"/>
          <w:szCs w:val="20"/>
          <w:lang w:eastAsia="pt-BR"/>
        </w:rPr>
        <w:t xml:space="preserve">. </w:t>
      </w:r>
      <w:proofErr w:type="spellStart"/>
      <w:r>
        <w:rPr>
          <w:rFonts w:ascii="Times New Roman" w:eastAsia="Times New Roman" w:hAnsi="Times New Roman" w:cs="Times New Roman"/>
          <w:i/>
          <w:iCs/>
          <w:sz w:val="20"/>
          <w:szCs w:val="20"/>
          <w:lang w:eastAsia="pt-BR"/>
        </w:rPr>
        <w:t>BioEnergy</w:t>
      </w:r>
      <w:proofErr w:type="spellEnd"/>
      <w:r>
        <w:rPr>
          <w:rFonts w:ascii="Times New Roman" w:eastAsia="Times New Roman" w:hAnsi="Times New Roman" w:cs="Times New Roman"/>
          <w:i/>
          <w:iCs/>
          <w:sz w:val="20"/>
          <w:szCs w:val="20"/>
          <w:lang w:eastAsia="pt-BR"/>
        </w:rPr>
        <w:t xml:space="preserve"> </w:t>
      </w:r>
      <w:proofErr w:type="spellStart"/>
      <w:r>
        <w:rPr>
          <w:rFonts w:ascii="Times New Roman" w:eastAsia="Times New Roman" w:hAnsi="Times New Roman" w:cs="Times New Roman"/>
          <w:i/>
          <w:iCs/>
          <w:sz w:val="20"/>
          <w:szCs w:val="20"/>
          <w:lang w:eastAsia="pt-BR"/>
        </w:rPr>
        <w:t>Research</w:t>
      </w:r>
      <w:proofErr w:type="spellEnd"/>
      <w:r>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b/>
          <w:bCs/>
          <w:sz w:val="20"/>
          <w:szCs w:val="20"/>
          <w:lang w:eastAsia="pt-BR"/>
        </w:rPr>
        <w:t>2022</w:t>
      </w:r>
      <w:r>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i/>
          <w:iCs/>
          <w:sz w:val="20"/>
          <w:szCs w:val="20"/>
          <w:lang w:eastAsia="pt-BR"/>
        </w:rPr>
        <w:t>15</w:t>
      </w:r>
      <w:r>
        <w:rPr>
          <w:rFonts w:ascii="Times New Roman" w:eastAsia="Times New Roman" w:hAnsi="Times New Roman" w:cs="Times New Roman"/>
          <w:sz w:val="20"/>
          <w:szCs w:val="20"/>
          <w:lang w:eastAsia="pt-BR"/>
        </w:rPr>
        <w:t>, 935-961.</w:t>
      </w:r>
    </w:p>
    <w:p w14:paraId="044F968B" w14:textId="10C88FB3" w:rsidR="00791EC0" w:rsidRDefault="00A92BEB" w:rsidP="00724B59">
      <w:pPr>
        <w:pStyle w:val="PargrafodaLista"/>
        <w:numPr>
          <w:ilvl w:val="0"/>
          <w:numId w:val="1"/>
        </w:numPr>
        <w:rPr>
          <w:rFonts w:ascii="Times New Roman" w:eastAsia="Times New Roman" w:hAnsi="Times New Roman" w:cs="Times New Roman"/>
          <w:sz w:val="20"/>
          <w:szCs w:val="20"/>
          <w:lang w:eastAsia="pt-BR"/>
        </w:rPr>
      </w:pPr>
      <w:r w:rsidRPr="00925B68">
        <w:rPr>
          <w:rFonts w:ascii="Times New Roman" w:eastAsia="Times New Roman" w:hAnsi="Times New Roman" w:cs="Times New Roman"/>
          <w:sz w:val="20"/>
          <w:szCs w:val="20"/>
          <w:lang w:val="en-US" w:eastAsia="pt-BR"/>
        </w:rPr>
        <w:t xml:space="preserve">A. Sharma; P. </w:t>
      </w:r>
      <w:proofErr w:type="spellStart"/>
      <w:r w:rsidRPr="00925B68">
        <w:rPr>
          <w:rFonts w:ascii="Times New Roman" w:eastAsia="Times New Roman" w:hAnsi="Times New Roman" w:cs="Times New Roman"/>
          <w:sz w:val="20"/>
          <w:szCs w:val="20"/>
          <w:lang w:val="en-US" w:eastAsia="pt-BR"/>
        </w:rPr>
        <w:t>Kodgire</w:t>
      </w:r>
      <w:proofErr w:type="spellEnd"/>
      <w:r w:rsidRPr="00925B68">
        <w:rPr>
          <w:rFonts w:ascii="Times New Roman" w:eastAsia="Times New Roman" w:hAnsi="Times New Roman" w:cs="Times New Roman"/>
          <w:sz w:val="20"/>
          <w:szCs w:val="20"/>
          <w:lang w:val="en-US" w:eastAsia="pt-BR"/>
        </w:rPr>
        <w:t xml:space="preserve">; S. S. </w:t>
      </w:r>
      <w:proofErr w:type="spellStart"/>
      <w:r w:rsidRPr="00925B68">
        <w:rPr>
          <w:rFonts w:ascii="Times New Roman" w:eastAsia="Times New Roman" w:hAnsi="Times New Roman" w:cs="Times New Roman"/>
          <w:sz w:val="20"/>
          <w:szCs w:val="20"/>
          <w:lang w:val="en-US" w:eastAsia="pt-BR"/>
        </w:rPr>
        <w:t>Kachhwaha</w:t>
      </w:r>
      <w:proofErr w:type="spellEnd"/>
      <w:r w:rsidRPr="00925B68">
        <w:rPr>
          <w:rFonts w:ascii="Times New Roman" w:eastAsia="Times New Roman" w:hAnsi="Times New Roman" w:cs="Times New Roman"/>
          <w:sz w:val="20"/>
          <w:szCs w:val="20"/>
          <w:lang w:val="en-US" w:eastAsia="pt-BR"/>
        </w:rPr>
        <w:t xml:space="preserve">. </w:t>
      </w:r>
      <w:proofErr w:type="spellStart"/>
      <w:r>
        <w:rPr>
          <w:rFonts w:ascii="Times New Roman" w:eastAsia="Times New Roman" w:hAnsi="Times New Roman" w:cs="Times New Roman"/>
          <w:i/>
          <w:iCs/>
          <w:sz w:val="20"/>
          <w:szCs w:val="20"/>
          <w:lang w:eastAsia="pt-BR"/>
        </w:rPr>
        <w:t>Journal</w:t>
      </w:r>
      <w:proofErr w:type="spellEnd"/>
      <w:r>
        <w:rPr>
          <w:rFonts w:ascii="Times New Roman" w:eastAsia="Times New Roman" w:hAnsi="Times New Roman" w:cs="Times New Roman"/>
          <w:i/>
          <w:iCs/>
          <w:sz w:val="20"/>
          <w:szCs w:val="20"/>
          <w:lang w:eastAsia="pt-BR"/>
        </w:rPr>
        <w:t xml:space="preserve"> </w:t>
      </w:r>
      <w:proofErr w:type="spellStart"/>
      <w:r>
        <w:rPr>
          <w:rFonts w:ascii="Times New Roman" w:eastAsia="Times New Roman" w:hAnsi="Times New Roman" w:cs="Times New Roman"/>
          <w:i/>
          <w:iCs/>
          <w:sz w:val="20"/>
          <w:szCs w:val="20"/>
          <w:lang w:eastAsia="pt-BR"/>
        </w:rPr>
        <w:t>of</w:t>
      </w:r>
      <w:proofErr w:type="spellEnd"/>
      <w:r>
        <w:rPr>
          <w:rFonts w:ascii="Times New Roman" w:eastAsia="Times New Roman" w:hAnsi="Times New Roman" w:cs="Times New Roman"/>
          <w:i/>
          <w:iCs/>
          <w:sz w:val="20"/>
          <w:szCs w:val="20"/>
          <w:lang w:eastAsia="pt-BR"/>
        </w:rPr>
        <w:t xml:space="preserve"> </w:t>
      </w:r>
      <w:proofErr w:type="spellStart"/>
      <w:r>
        <w:rPr>
          <w:rFonts w:ascii="Times New Roman" w:eastAsia="Times New Roman" w:hAnsi="Times New Roman" w:cs="Times New Roman"/>
          <w:i/>
          <w:iCs/>
          <w:sz w:val="20"/>
          <w:szCs w:val="20"/>
          <w:lang w:eastAsia="pt-BR"/>
        </w:rPr>
        <w:t>Cleaner</w:t>
      </w:r>
      <w:proofErr w:type="spellEnd"/>
      <w:r>
        <w:rPr>
          <w:rFonts w:ascii="Times New Roman" w:eastAsia="Times New Roman" w:hAnsi="Times New Roman" w:cs="Times New Roman"/>
          <w:i/>
          <w:iCs/>
          <w:sz w:val="20"/>
          <w:szCs w:val="20"/>
          <w:lang w:eastAsia="pt-BR"/>
        </w:rPr>
        <w:t xml:space="preserve"> </w:t>
      </w:r>
      <w:proofErr w:type="spellStart"/>
      <w:r>
        <w:rPr>
          <w:rFonts w:ascii="Times New Roman" w:eastAsia="Times New Roman" w:hAnsi="Times New Roman" w:cs="Times New Roman"/>
          <w:i/>
          <w:iCs/>
          <w:sz w:val="20"/>
          <w:szCs w:val="20"/>
          <w:lang w:eastAsia="pt-BR"/>
        </w:rPr>
        <w:t>Production</w:t>
      </w:r>
      <w:proofErr w:type="spellEnd"/>
      <w:r>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b/>
          <w:bCs/>
          <w:sz w:val="20"/>
          <w:szCs w:val="20"/>
          <w:lang w:eastAsia="pt-BR"/>
        </w:rPr>
        <w:t>2020</w:t>
      </w:r>
      <w:r>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i/>
          <w:iCs/>
          <w:sz w:val="20"/>
          <w:szCs w:val="20"/>
          <w:lang w:eastAsia="pt-BR"/>
        </w:rPr>
        <w:t>259</w:t>
      </w:r>
      <w:r>
        <w:rPr>
          <w:rFonts w:ascii="Times New Roman" w:eastAsia="Times New Roman" w:hAnsi="Times New Roman" w:cs="Times New Roman"/>
          <w:sz w:val="20"/>
          <w:szCs w:val="20"/>
          <w:lang w:eastAsia="pt-BR"/>
        </w:rPr>
        <w:t>, 120982.</w:t>
      </w:r>
    </w:p>
    <w:p w14:paraId="275280DE" w14:textId="0397DC43" w:rsidR="00F304FE" w:rsidRPr="00AE36BF" w:rsidRDefault="00F304FE" w:rsidP="00AE36BF">
      <w:pPr>
        <w:pStyle w:val="PargrafodaLista"/>
        <w:numPr>
          <w:ilvl w:val="0"/>
          <w:numId w:val="1"/>
        </w:numPr>
        <w:jc w:val="both"/>
        <w:rPr>
          <w:rFonts w:ascii="Times New Roman" w:eastAsia="Times New Roman" w:hAnsi="Times New Roman" w:cs="Times New Roman"/>
          <w:sz w:val="20"/>
          <w:szCs w:val="20"/>
          <w:lang w:val="en-US" w:eastAsia="pt-BR"/>
        </w:rPr>
      </w:pPr>
      <w:r w:rsidRPr="00AE36BF">
        <w:rPr>
          <w:rFonts w:ascii="Times New Roman" w:eastAsia="Times New Roman" w:hAnsi="Times New Roman" w:cs="Times New Roman"/>
          <w:sz w:val="20"/>
          <w:szCs w:val="20"/>
          <w:lang w:val="en-US" w:eastAsia="pt-BR"/>
        </w:rPr>
        <w:t xml:space="preserve">O. </w:t>
      </w:r>
      <w:proofErr w:type="spellStart"/>
      <w:r w:rsidRPr="00AE36BF">
        <w:rPr>
          <w:rFonts w:ascii="Times New Roman" w:eastAsia="Times New Roman" w:hAnsi="Times New Roman" w:cs="Times New Roman"/>
          <w:sz w:val="20"/>
          <w:szCs w:val="20"/>
          <w:lang w:val="en-US" w:eastAsia="pt-BR"/>
        </w:rPr>
        <w:t>Levenspiel</w:t>
      </w:r>
      <w:proofErr w:type="spellEnd"/>
      <w:r w:rsidRPr="00AE36BF">
        <w:rPr>
          <w:rFonts w:ascii="Times New Roman" w:eastAsia="Times New Roman" w:hAnsi="Times New Roman" w:cs="Times New Roman"/>
          <w:sz w:val="20"/>
          <w:szCs w:val="20"/>
          <w:lang w:val="en-US" w:eastAsia="pt-BR"/>
        </w:rPr>
        <w:t>, Chemical Reaction Engineering, John Wiley &amp; Sons, New York, 1999.</w:t>
      </w:r>
    </w:p>
    <w:p w14:paraId="2F5EF61F" w14:textId="77777777" w:rsidR="004A0BDE" w:rsidRPr="00AE36BF" w:rsidRDefault="004A0BDE" w:rsidP="00EA4E1B">
      <w:pPr>
        <w:rPr>
          <w:lang w:val="en-US"/>
        </w:rPr>
      </w:pPr>
    </w:p>
    <w:sectPr w:rsidR="004A0BDE" w:rsidRPr="00AE36BF"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2694F" w14:textId="77777777" w:rsidR="008B16A6" w:rsidRDefault="008B16A6" w:rsidP="00EA4E1B">
      <w:pPr>
        <w:spacing w:after="0" w:line="240" w:lineRule="auto"/>
      </w:pPr>
      <w:r>
        <w:separator/>
      </w:r>
    </w:p>
  </w:endnote>
  <w:endnote w:type="continuationSeparator" w:id="0">
    <w:p w14:paraId="4300F39E" w14:textId="77777777" w:rsidR="008B16A6" w:rsidRDefault="008B16A6"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16B33" w14:textId="77777777" w:rsidR="008B16A6" w:rsidRDefault="008B16A6" w:rsidP="00EA4E1B">
      <w:pPr>
        <w:spacing w:after="0" w:line="240" w:lineRule="auto"/>
      </w:pPr>
      <w:r>
        <w:separator/>
      </w:r>
    </w:p>
  </w:footnote>
  <w:footnote w:type="continuationSeparator" w:id="0">
    <w:p w14:paraId="35FB92B4" w14:textId="77777777" w:rsidR="008B16A6" w:rsidRDefault="008B16A6"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51B"/>
    <w:rsid w:val="00004CEC"/>
    <w:rsid w:val="000063A1"/>
    <w:rsid w:val="0001264A"/>
    <w:rsid w:val="000215F6"/>
    <w:rsid w:val="00021C5D"/>
    <w:rsid w:val="000437F2"/>
    <w:rsid w:val="00054675"/>
    <w:rsid w:val="00061A72"/>
    <w:rsid w:val="00065F8A"/>
    <w:rsid w:val="00073E55"/>
    <w:rsid w:val="00076349"/>
    <w:rsid w:val="00084830"/>
    <w:rsid w:val="00086C68"/>
    <w:rsid w:val="000C2983"/>
    <w:rsid w:val="000F0E3D"/>
    <w:rsid w:val="000F1D24"/>
    <w:rsid w:val="00100B51"/>
    <w:rsid w:val="001123F4"/>
    <w:rsid w:val="00137612"/>
    <w:rsid w:val="001435F8"/>
    <w:rsid w:val="0014423B"/>
    <w:rsid w:val="00147984"/>
    <w:rsid w:val="00160164"/>
    <w:rsid w:val="00193101"/>
    <w:rsid w:val="001A53D7"/>
    <w:rsid w:val="001A60AF"/>
    <w:rsid w:val="001D0959"/>
    <w:rsid w:val="001D1408"/>
    <w:rsid w:val="001E58A9"/>
    <w:rsid w:val="001E58F0"/>
    <w:rsid w:val="001E6ABA"/>
    <w:rsid w:val="001F2438"/>
    <w:rsid w:val="001F25B2"/>
    <w:rsid w:val="001F6B85"/>
    <w:rsid w:val="00200A53"/>
    <w:rsid w:val="00205A70"/>
    <w:rsid w:val="0021093F"/>
    <w:rsid w:val="00222230"/>
    <w:rsid w:val="002321A2"/>
    <w:rsid w:val="002433F7"/>
    <w:rsid w:val="00296796"/>
    <w:rsid w:val="002E51EB"/>
    <w:rsid w:val="0031455F"/>
    <w:rsid w:val="00321DA1"/>
    <w:rsid w:val="00325115"/>
    <w:rsid w:val="00340B1E"/>
    <w:rsid w:val="00340DFA"/>
    <w:rsid w:val="003603F1"/>
    <w:rsid w:val="003735B0"/>
    <w:rsid w:val="0038332F"/>
    <w:rsid w:val="003D3352"/>
    <w:rsid w:val="003E760D"/>
    <w:rsid w:val="003F62A4"/>
    <w:rsid w:val="00402F3E"/>
    <w:rsid w:val="00412076"/>
    <w:rsid w:val="004232FF"/>
    <w:rsid w:val="00446F05"/>
    <w:rsid w:val="00464E7F"/>
    <w:rsid w:val="00474880"/>
    <w:rsid w:val="004815BB"/>
    <w:rsid w:val="004849DB"/>
    <w:rsid w:val="004A0BDE"/>
    <w:rsid w:val="004B1D1F"/>
    <w:rsid w:val="004B3CD7"/>
    <w:rsid w:val="004E474A"/>
    <w:rsid w:val="004F3F42"/>
    <w:rsid w:val="004F742B"/>
    <w:rsid w:val="0051356B"/>
    <w:rsid w:val="0052112E"/>
    <w:rsid w:val="0052442D"/>
    <w:rsid w:val="005358DC"/>
    <w:rsid w:val="005514F2"/>
    <w:rsid w:val="00567CC4"/>
    <w:rsid w:val="0057334C"/>
    <w:rsid w:val="00594984"/>
    <w:rsid w:val="005B3C38"/>
    <w:rsid w:val="005C2775"/>
    <w:rsid w:val="005C5797"/>
    <w:rsid w:val="005D3568"/>
    <w:rsid w:val="005D430B"/>
    <w:rsid w:val="005D65EB"/>
    <w:rsid w:val="005D6F92"/>
    <w:rsid w:val="00604718"/>
    <w:rsid w:val="00607ABE"/>
    <w:rsid w:val="00632811"/>
    <w:rsid w:val="0063642B"/>
    <w:rsid w:val="00652815"/>
    <w:rsid w:val="00666A28"/>
    <w:rsid w:val="00682082"/>
    <w:rsid w:val="00685CCB"/>
    <w:rsid w:val="00690FE6"/>
    <w:rsid w:val="006D646E"/>
    <w:rsid w:val="006F599B"/>
    <w:rsid w:val="00701252"/>
    <w:rsid w:val="00724B59"/>
    <w:rsid w:val="00726E10"/>
    <w:rsid w:val="007410C8"/>
    <w:rsid w:val="00742706"/>
    <w:rsid w:val="007433FA"/>
    <w:rsid w:val="00756C80"/>
    <w:rsid w:val="00756D40"/>
    <w:rsid w:val="007670A0"/>
    <w:rsid w:val="00772F6D"/>
    <w:rsid w:val="00781685"/>
    <w:rsid w:val="00791EC0"/>
    <w:rsid w:val="007B4B2B"/>
    <w:rsid w:val="007F1D9B"/>
    <w:rsid w:val="00823B40"/>
    <w:rsid w:val="00844546"/>
    <w:rsid w:val="00863F4A"/>
    <w:rsid w:val="00866822"/>
    <w:rsid w:val="008707FC"/>
    <w:rsid w:val="00874F1E"/>
    <w:rsid w:val="0087634D"/>
    <w:rsid w:val="00884FF4"/>
    <w:rsid w:val="008B1683"/>
    <w:rsid w:val="008B16A6"/>
    <w:rsid w:val="008B6F99"/>
    <w:rsid w:val="008C1B30"/>
    <w:rsid w:val="008C4939"/>
    <w:rsid w:val="008D7468"/>
    <w:rsid w:val="008E5046"/>
    <w:rsid w:val="008F1852"/>
    <w:rsid w:val="008F367C"/>
    <w:rsid w:val="00903ACE"/>
    <w:rsid w:val="009203DB"/>
    <w:rsid w:val="00920E35"/>
    <w:rsid w:val="00925B68"/>
    <w:rsid w:val="0094337C"/>
    <w:rsid w:val="0095693F"/>
    <w:rsid w:val="009656D9"/>
    <w:rsid w:val="00976F9F"/>
    <w:rsid w:val="00997562"/>
    <w:rsid w:val="009C7CB0"/>
    <w:rsid w:val="00A17D85"/>
    <w:rsid w:val="00A45505"/>
    <w:rsid w:val="00A63190"/>
    <w:rsid w:val="00A645EC"/>
    <w:rsid w:val="00A814DC"/>
    <w:rsid w:val="00A87CE8"/>
    <w:rsid w:val="00A92BEB"/>
    <w:rsid w:val="00A93977"/>
    <w:rsid w:val="00AA182E"/>
    <w:rsid w:val="00AB1685"/>
    <w:rsid w:val="00AD083C"/>
    <w:rsid w:val="00AD53B9"/>
    <w:rsid w:val="00AD770A"/>
    <w:rsid w:val="00AD7A57"/>
    <w:rsid w:val="00AE36BF"/>
    <w:rsid w:val="00AE4218"/>
    <w:rsid w:val="00AF0400"/>
    <w:rsid w:val="00AF64C4"/>
    <w:rsid w:val="00B0647D"/>
    <w:rsid w:val="00B2043E"/>
    <w:rsid w:val="00B30AEB"/>
    <w:rsid w:val="00B5512F"/>
    <w:rsid w:val="00B65C80"/>
    <w:rsid w:val="00B8020C"/>
    <w:rsid w:val="00BA6A6E"/>
    <w:rsid w:val="00BB2926"/>
    <w:rsid w:val="00BC0705"/>
    <w:rsid w:val="00BD619D"/>
    <w:rsid w:val="00BE13A8"/>
    <w:rsid w:val="00BE3833"/>
    <w:rsid w:val="00BF609D"/>
    <w:rsid w:val="00C10CEC"/>
    <w:rsid w:val="00C33F0E"/>
    <w:rsid w:val="00C412E7"/>
    <w:rsid w:val="00C76E54"/>
    <w:rsid w:val="00C8410C"/>
    <w:rsid w:val="00CC5514"/>
    <w:rsid w:val="00CC5563"/>
    <w:rsid w:val="00CF0E55"/>
    <w:rsid w:val="00CF18E9"/>
    <w:rsid w:val="00CF266A"/>
    <w:rsid w:val="00CF62CC"/>
    <w:rsid w:val="00D012E3"/>
    <w:rsid w:val="00D05D07"/>
    <w:rsid w:val="00D13BC8"/>
    <w:rsid w:val="00D22AD2"/>
    <w:rsid w:val="00D50DC6"/>
    <w:rsid w:val="00D80A69"/>
    <w:rsid w:val="00D86FE6"/>
    <w:rsid w:val="00D91D64"/>
    <w:rsid w:val="00D96135"/>
    <w:rsid w:val="00DC24E4"/>
    <w:rsid w:val="00DC5509"/>
    <w:rsid w:val="00DD2F3D"/>
    <w:rsid w:val="00DE27B7"/>
    <w:rsid w:val="00DF255A"/>
    <w:rsid w:val="00E02A21"/>
    <w:rsid w:val="00E038AF"/>
    <w:rsid w:val="00E06F7B"/>
    <w:rsid w:val="00E24E79"/>
    <w:rsid w:val="00E71552"/>
    <w:rsid w:val="00E90789"/>
    <w:rsid w:val="00E92524"/>
    <w:rsid w:val="00E92F5D"/>
    <w:rsid w:val="00EA0E62"/>
    <w:rsid w:val="00EA4E1B"/>
    <w:rsid w:val="00EE1446"/>
    <w:rsid w:val="00EE2229"/>
    <w:rsid w:val="00EF0376"/>
    <w:rsid w:val="00EF13A1"/>
    <w:rsid w:val="00EF4E22"/>
    <w:rsid w:val="00EF6872"/>
    <w:rsid w:val="00F07487"/>
    <w:rsid w:val="00F248F2"/>
    <w:rsid w:val="00F270B3"/>
    <w:rsid w:val="00F304FE"/>
    <w:rsid w:val="00F30661"/>
    <w:rsid w:val="00F64902"/>
    <w:rsid w:val="00F917DA"/>
    <w:rsid w:val="00F9335A"/>
    <w:rsid w:val="00F97245"/>
    <w:rsid w:val="00FB1DD8"/>
    <w:rsid w:val="00FC19F9"/>
    <w:rsid w:val="00FC51B6"/>
    <w:rsid w:val="00FE514E"/>
    <w:rsid w:val="00FF1E47"/>
    <w:rsid w:val="00FF5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87634D"/>
    <w:rPr>
      <w:color w:val="0563C1" w:themeColor="hyperlink"/>
      <w:u w:val="single"/>
    </w:rPr>
  </w:style>
  <w:style w:type="character" w:styleId="MenoPendente">
    <w:name w:val="Unresolved Mention"/>
    <w:basedOn w:val="Fontepargpadro"/>
    <w:uiPriority w:val="99"/>
    <w:semiHidden/>
    <w:unhideWhenUsed/>
    <w:rsid w:val="0087634D"/>
    <w:rPr>
      <w:color w:val="605E5C"/>
      <w:shd w:val="clear" w:color="auto" w:fill="E1DFDD"/>
    </w:rPr>
  </w:style>
  <w:style w:type="paragraph" w:styleId="PargrafodaLista">
    <w:name w:val="List Paragraph"/>
    <w:basedOn w:val="Normal"/>
    <w:uiPriority w:val="34"/>
    <w:qFormat/>
    <w:rsid w:val="00724B59"/>
    <w:pPr>
      <w:ind w:left="720"/>
      <w:contextualSpacing/>
    </w:pPr>
  </w:style>
  <w:style w:type="table" w:styleId="Tabelacomgrade">
    <w:name w:val="Table Grid"/>
    <w:basedOn w:val="Tabelanormal"/>
    <w:uiPriority w:val="39"/>
    <w:rsid w:val="0088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690FE6"/>
    <w:rPr>
      <w:sz w:val="16"/>
      <w:szCs w:val="16"/>
    </w:rPr>
  </w:style>
  <w:style w:type="paragraph" w:styleId="Textodecomentrio">
    <w:name w:val="annotation text"/>
    <w:basedOn w:val="Normal"/>
    <w:link w:val="TextodecomentrioChar"/>
    <w:uiPriority w:val="99"/>
    <w:semiHidden/>
    <w:unhideWhenUsed/>
    <w:rsid w:val="00690FE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90FE6"/>
    <w:rPr>
      <w:sz w:val="20"/>
      <w:szCs w:val="20"/>
    </w:rPr>
  </w:style>
  <w:style w:type="paragraph" w:styleId="Assuntodocomentrio">
    <w:name w:val="annotation subject"/>
    <w:basedOn w:val="Textodecomentrio"/>
    <w:next w:val="Textodecomentrio"/>
    <w:link w:val="AssuntodocomentrioChar"/>
    <w:uiPriority w:val="99"/>
    <w:semiHidden/>
    <w:unhideWhenUsed/>
    <w:rsid w:val="00690FE6"/>
    <w:rPr>
      <w:b/>
      <w:bCs/>
    </w:rPr>
  </w:style>
  <w:style w:type="character" w:customStyle="1" w:styleId="AssuntodocomentrioChar">
    <w:name w:val="Assunto do comentário Char"/>
    <w:basedOn w:val="TextodecomentrioChar"/>
    <w:link w:val="Assuntodocomentrio"/>
    <w:uiPriority w:val="99"/>
    <w:semiHidden/>
    <w:rsid w:val="00690FE6"/>
    <w:rPr>
      <w:b/>
      <w:bCs/>
      <w:sz w:val="20"/>
      <w:szCs w:val="20"/>
    </w:rPr>
  </w:style>
  <w:style w:type="paragraph" w:styleId="Reviso">
    <w:name w:val="Revision"/>
    <w:hidden/>
    <w:uiPriority w:val="99"/>
    <w:semiHidden/>
    <w:rsid w:val="00340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a.gov/outlooks/ieo/tables_side_pdf.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86287971102795"/>
          <c:y val="4.7643911384371095E-2"/>
          <c:w val="0.82474432065453918"/>
          <c:h val="0.80976778623605938"/>
        </c:manualLayout>
      </c:layout>
      <c:scatterChart>
        <c:scatterStyle val="lineMarker"/>
        <c:varyColors val="0"/>
        <c:ser>
          <c:idx val="0"/>
          <c:order val="0"/>
          <c:tx>
            <c:v>Com agitação ultrassônica</c:v>
          </c:tx>
          <c:spPr>
            <a:ln w="19050" cap="rnd">
              <a:noFill/>
              <a:round/>
            </a:ln>
            <a:effectLst/>
          </c:spPr>
          <c:marker>
            <c:symbol val="square"/>
            <c:size val="4"/>
            <c:spPr>
              <a:solidFill>
                <a:schemeClr val="tx1"/>
              </a:solidFill>
              <a:ln w="9525">
                <a:solidFill>
                  <a:schemeClr val="tx1"/>
                </a:solidFill>
              </a:ln>
              <a:effectLst/>
            </c:spPr>
          </c:marker>
          <c:xVal>
            <c:numRef>
              <c:f>'Dados e gráficos'!$A$11:$A$18</c:f>
              <c:numCache>
                <c:formatCode>General</c:formatCode>
                <c:ptCount val="8"/>
                <c:pt idx="0">
                  <c:v>30</c:v>
                </c:pt>
                <c:pt idx="1">
                  <c:v>120</c:v>
                </c:pt>
                <c:pt idx="2">
                  <c:v>150</c:v>
                </c:pt>
                <c:pt idx="3">
                  <c:v>180</c:v>
                </c:pt>
                <c:pt idx="4">
                  <c:v>210</c:v>
                </c:pt>
                <c:pt idx="5">
                  <c:v>240</c:v>
                </c:pt>
                <c:pt idx="6">
                  <c:v>270</c:v>
                </c:pt>
                <c:pt idx="7">
                  <c:v>300</c:v>
                </c:pt>
              </c:numCache>
            </c:numRef>
          </c:xVal>
          <c:yVal>
            <c:numRef>
              <c:f>'Dados e gráficos'!$B$11:$B$18</c:f>
              <c:numCache>
                <c:formatCode>0.00</c:formatCode>
                <c:ptCount val="8"/>
                <c:pt idx="0">
                  <c:v>15.11010691325764</c:v>
                </c:pt>
                <c:pt idx="1">
                  <c:v>16.952204324685578</c:v>
                </c:pt>
                <c:pt idx="2">
                  <c:v>23.226043195363388</c:v>
                </c:pt>
                <c:pt idx="3">
                  <c:v>17.352996875463976</c:v>
                </c:pt>
                <c:pt idx="4">
                  <c:v>16.690452060212337</c:v>
                </c:pt>
                <c:pt idx="5">
                  <c:v>16.654076291085122</c:v>
                </c:pt>
                <c:pt idx="6">
                  <c:v>17.431151565642956</c:v>
                </c:pt>
                <c:pt idx="7">
                  <c:v>26.264336392690922</c:v>
                </c:pt>
              </c:numCache>
            </c:numRef>
          </c:yVal>
          <c:smooth val="0"/>
          <c:extLst>
            <c:ext xmlns:c16="http://schemas.microsoft.com/office/drawing/2014/chart" uri="{C3380CC4-5D6E-409C-BE32-E72D297353CC}">
              <c16:uniqueId val="{00000001-10C1-481F-B51D-D471A5A7796A}"/>
            </c:ext>
          </c:extLst>
        </c:ser>
        <c:ser>
          <c:idx val="1"/>
          <c:order val="1"/>
          <c:tx>
            <c:v>Com agitação magnética</c:v>
          </c:tx>
          <c:spPr>
            <a:ln w="19050" cap="rnd">
              <a:noFill/>
              <a:round/>
            </a:ln>
            <a:effectLst/>
          </c:spPr>
          <c:marker>
            <c:symbol val="circle"/>
            <c:size val="4"/>
            <c:spPr>
              <a:solidFill>
                <a:srgbClr val="FF0000"/>
              </a:solidFill>
              <a:ln w="9525">
                <a:solidFill>
                  <a:srgbClr val="FF0000"/>
                </a:solidFill>
              </a:ln>
              <a:effectLst/>
            </c:spPr>
          </c:marker>
          <c:xVal>
            <c:numRef>
              <c:f>'Dados e gráficos'!$A$11:$A$18</c:f>
              <c:numCache>
                <c:formatCode>General</c:formatCode>
                <c:ptCount val="8"/>
                <c:pt idx="0">
                  <c:v>30</c:v>
                </c:pt>
                <c:pt idx="1">
                  <c:v>120</c:v>
                </c:pt>
                <c:pt idx="2">
                  <c:v>150</c:v>
                </c:pt>
                <c:pt idx="3">
                  <c:v>180</c:v>
                </c:pt>
                <c:pt idx="4">
                  <c:v>210</c:v>
                </c:pt>
                <c:pt idx="5">
                  <c:v>240</c:v>
                </c:pt>
                <c:pt idx="6">
                  <c:v>270</c:v>
                </c:pt>
                <c:pt idx="7">
                  <c:v>300</c:v>
                </c:pt>
              </c:numCache>
            </c:numRef>
          </c:xVal>
          <c:yVal>
            <c:numRef>
              <c:f>'Dados e gráficos'!$C$11:$C$18</c:f>
              <c:numCache>
                <c:formatCode>0.00</c:formatCode>
                <c:ptCount val="8"/>
                <c:pt idx="0">
                  <c:v>48.806363438025201</c:v>
                </c:pt>
                <c:pt idx="1">
                  <c:v>77.389928033483585</c:v>
                </c:pt>
                <c:pt idx="2">
                  <c:v>68.976768658473077</c:v>
                </c:pt>
                <c:pt idx="3">
                  <c:v>74.902510658696215</c:v>
                </c:pt>
                <c:pt idx="4">
                  <c:v>77.905255360892795</c:v>
                </c:pt>
                <c:pt idx="5">
                  <c:v>70.593272993741266</c:v>
                </c:pt>
                <c:pt idx="6">
                  <c:v>65.741751741878147</c:v>
                </c:pt>
                <c:pt idx="7">
                  <c:v>84.390098060763165</c:v>
                </c:pt>
              </c:numCache>
            </c:numRef>
          </c:yVal>
          <c:smooth val="0"/>
          <c:extLst>
            <c:ext xmlns:c16="http://schemas.microsoft.com/office/drawing/2014/chart" uri="{C3380CC4-5D6E-409C-BE32-E72D297353CC}">
              <c16:uniqueId val="{00000003-10C1-481F-B51D-D471A5A7796A}"/>
            </c:ext>
          </c:extLst>
        </c:ser>
        <c:dLbls>
          <c:showLegendKey val="0"/>
          <c:showVal val="0"/>
          <c:showCatName val="0"/>
          <c:showSerName val="0"/>
          <c:showPercent val="0"/>
          <c:showBubbleSize val="0"/>
        </c:dLbls>
        <c:axId val="1996394687"/>
        <c:axId val="358608767"/>
      </c:scatterChart>
      <c:valAx>
        <c:axId val="1996394687"/>
        <c:scaling>
          <c:orientation val="minMax"/>
          <c:max val="300"/>
        </c:scaling>
        <c:delete val="0"/>
        <c:axPos val="b"/>
        <c:title>
          <c:tx>
            <c:rich>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r>
                  <a:rPr lang="pt-BR" sz="800">
                    <a:solidFill>
                      <a:schemeClr val="tx1"/>
                    </a:solidFill>
                  </a:rPr>
                  <a:t>Tempo (min)</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pt-BR"/>
          </a:p>
        </c:txPr>
        <c:crossAx val="358608767"/>
        <c:crosses val="autoZero"/>
        <c:crossBetween val="midCat"/>
      </c:valAx>
      <c:valAx>
        <c:axId val="358608767"/>
        <c:scaling>
          <c:orientation val="minMax"/>
          <c:max val="1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pt-BR" sz="800">
                    <a:solidFill>
                      <a:schemeClr val="tx1"/>
                    </a:solidFill>
                  </a:rPr>
                  <a:t>Ésteres</a:t>
                </a:r>
                <a:r>
                  <a:rPr lang="pt-BR" sz="800" baseline="0">
                    <a:solidFill>
                      <a:schemeClr val="tx1"/>
                    </a:solidFill>
                  </a:rPr>
                  <a:t> metílicos formados (%)</a:t>
                </a:r>
                <a:endParaRPr lang="pt-BR" sz="800">
                  <a:solidFill>
                    <a:schemeClr val="tx1"/>
                  </a:solidFill>
                </a:endParaRP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pt-BR"/>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pt-BR"/>
          </a:p>
        </c:txPr>
        <c:crossAx val="1996394687"/>
        <c:crosses val="autoZero"/>
        <c:crossBetween val="midCat"/>
      </c:valAx>
      <c:spPr>
        <a:noFill/>
        <a:ln>
          <a:noFill/>
        </a:ln>
        <a:effectLst/>
      </c:spPr>
    </c:plotArea>
    <c:legend>
      <c:legendPos val="b"/>
      <c:layout>
        <c:manualLayout>
          <c:xMode val="edge"/>
          <c:yMode val="edge"/>
          <c:x val="0.14060024806336494"/>
          <c:y val="6.0656462843717389E-2"/>
          <c:w val="0.40593061353907944"/>
          <c:h val="0.10186156391245203"/>
        </c:manualLayout>
      </c:layout>
      <c:overlay val="0"/>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720C0-4C9F-46BF-A0A4-7818F1C9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3831</Words>
  <Characters>20691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Camila ottonelli</cp:lastModifiedBy>
  <cp:revision>12</cp:revision>
  <cp:lastPrinted>2023-04-09T02:26:00Z</cp:lastPrinted>
  <dcterms:created xsi:type="dcterms:W3CDTF">2023-06-04T17:36:00Z</dcterms:created>
  <dcterms:modified xsi:type="dcterms:W3CDTF">2023-06-20T03:32:00Z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