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FA68" w14:textId="60A1CED4" w:rsidR="00AF0400" w:rsidRDefault="00831B53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C104561" wp14:editId="460FA10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0" b="0"/>
                <wp:wrapNone/>
                <wp:docPr id="33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A35CE9" w14:textId="7777777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6F3011FC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4561" id="Retângulo 2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" fillcolor="#9a0000" stroked="f" strokeweight="1pt">
                <v:textbox inset=",0,,0">
                  <w:txbxContent>
                    <w:p w14:paraId="2DA35CE9" w14:textId="7777777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6F3011FC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D463B7" w14:textId="200E895A" w:rsidR="00EA4E1B" w:rsidRPr="007B4874" w:rsidRDefault="007B4874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proofErr w:type="spellStart"/>
      <w:r>
        <w:rPr>
          <w:sz w:val="32"/>
          <w:lang w:val="pt-BR"/>
        </w:rPr>
        <w:t>Hidro</w:t>
      </w:r>
      <w:r w:rsidR="003A1899">
        <w:rPr>
          <w:sz w:val="32"/>
          <w:lang w:val="pt-BR"/>
        </w:rPr>
        <w:t>processamento</w:t>
      </w:r>
      <w:proofErr w:type="spellEnd"/>
      <w:r>
        <w:rPr>
          <w:sz w:val="32"/>
          <w:lang w:val="pt-BR"/>
        </w:rPr>
        <w:t xml:space="preserve"> do óleo de babaçu catalisad</w:t>
      </w:r>
      <w:r w:rsidR="003A1899">
        <w:rPr>
          <w:sz w:val="32"/>
          <w:lang w:val="pt-BR"/>
        </w:rPr>
        <w:t>o</w:t>
      </w:r>
      <w:r>
        <w:rPr>
          <w:sz w:val="32"/>
          <w:lang w:val="pt-BR"/>
        </w:rPr>
        <w:t xml:space="preserve"> por Ru/SiO</w:t>
      </w:r>
      <w:r>
        <w:rPr>
          <w:sz w:val="32"/>
          <w:vertAlign w:val="subscript"/>
          <w:lang w:val="pt-BR"/>
        </w:rPr>
        <w:t>2</w:t>
      </w:r>
    </w:p>
    <w:bookmarkEnd w:id="0"/>
    <w:p w14:paraId="77022796" w14:textId="77777777" w:rsidR="00C84D3D" w:rsidRPr="001F25B2" w:rsidRDefault="00C84D3D" w:rsidP="00C84D3D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Denner S. Carvalho</w:t>
      </w:r>
      <w:r w:rsidRPr="00C97748">
        <w:rPr>
          <w:rFonts w:ascii="Times New Roman" w:hAnsi="Times New Roman"/>
          <w:sz w:val="20"/>
          <w:lang w:val="pt-BR"/>
        </w:rPr>
        <w:t>*</w:t>
      </w:r>
      <w:r w:rsidRPr="00C97748">
        <w:rPr>
          <w:rFonts w:ascii="Times New Roman" w:hAnsi="Times New Roman"/>
          <w:sz w:val="20"/>
          <w:vertAlign w:val="superscript"/>
          <w:lang w:val="pt-BR"/>
        </w:rPr>
        <w:t>1</w:t>
      </w:r>
      <w:r w:rsidRPr="00C97748">
        <w:rPr>
          <w:rFonts w:ascii="Times New Roman" w:hAnsi="Times New Roman"/>
          <w:sz w:val="20"/>
          <w:lang w:val="pt-BR"/>
        </w:rPr>
        <w:t>, Leonardo G. Abreu</w:t>
      </w:r>
      <w:r w:rsidRPr="00C97748">
        <w:rPr>
          <w:rFonts w:ascii="Times New Roman" w:hAnsi="Times New Roman"/>
          <w:sz w:val="20"/>
          <w:vertAlign w:val="superscript"/>
          <w:lang w:val="pt-BR"/>
        </w:rPr>
        <w:t>1</w:t>
      </w:r>
      <w:r w:rsidRPr="00C97748">
        <w:rPr>
          <w:rFonts w:ascii="Times New Roman" w:hAnsi="Times New Roman"/>
          <w:sz w:val="20"/>
          <w:lang w:val="pt-BR"/>
        </w:rPr>
        <w:t>, Leandro D. Almeida</w:t>
      </w:r>
      <w:r w:rsidRPr="00C97748">
        <w:rPr>
          <w:rFonts w:ascii="Times New Roman" w:hAnsi="Times New Roman"/>
          <w:sz w:val="20"/>
          <w:vertAlign w:val="superscript"/>
          <w:lang w:val="pt-BR"/>
        </w:rPr>
        <w:t>1</w:t>
      </w:r>
      <w:r w:rsidRPr="00C97748">
        <w:rPr>
          <w:rFonts w:ascii="Times New Roman" w:hAnsi="Times New Roman"/>
          <w:sz w:val="20"/>
          <w:lang w:val="pt-BR"/>
        </w:rPr>
        <w:t>, Henrique S. Oliveira</w:t>
      </w:r>
      <w:r w:rsidRPr="00C97748">
        <w:rPr>
          <w:rFonts w:ascii="Times New Roman" w:hAnsi="Times New Roman"/>
          <w:sz w:val="20"/>
          <w:vertAlign w:val="superscript"/>
          <w:lang w:val="pt-BR"/>
        </w:rPr>
        <w:t>1</w:t>
      </w:r>
      <w:r w:rsidRPr="00C97748">
        <w:rPr>
          <w:rFonts w:ascii="Times New Roman" w:hAnsi="Times New Roman"/>
          <w:sz w:val="20"/>
          <w:lang w:val="pt-BR"/>
        </w:rPr>
        <w:t xml:space="preserve">, </w:t>
      </w:r>
      <w:proofErr w:type="spellStart"/>
      <w:r w:rsidRPr="00C97748">
        <w:rPr>
          <w:rFonts w:ascii="Times New Roman" w:hAnsi="Times New Roman"/>
          <w:sz w:val="20"/>
          <w:lang w:val="pt-BR"/>
        </w:rPr>
        <w:t>Patricia</w:t>
      </w:r>
      <w:proofErr w:type="spellEnd"/>
      <w:r w:rsidRPr="00C97748">
        <w:rPr>
          <w:rFonts w:ascii="Times New Roman" w:hAnsi="Times New Roman"/>
          <w:sz w:val="20"/>
          <w:lang w:val="pt-BR"/>
        </w:rPr>
        <w:t xml:space="preserve"> A. Robles-Azocar</w:t>
      </w:r>
      <w:r w:rsidRPr="00C97748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3CFFDCE7" w14:textId="77777777" w:rsidR="00F468D8" w:rsidRDefault="00F468D8" w:rsidP="00F468D8">
      <w:pPr>
        <w:pStyle w:val="BCAuthorAddress"/>
        <w:spacing w:after="0"/>
        <w:ind w:right="0"/>
        <w:jc w:val="both"/>
        <w:rPr>
          <w:lang w:val="en-GB"/>
        </w:rPr>
      </w:pPr>
      <w:bookmarkStart w:id="2" w:name="_Hlk133248232"/>
      <w:r w:rsidRPr="004F2B0F">
        <w:rPr>
          <w:vertAlign w:val="superscript"/>
          <w:lang w:val="en-GB"/>
        </w:rPr>
        <w:t>1</w:t>
      </w:r>
      <w:r>
        <w:rPr>
          <w:lang w:val="en-GB"/>
        </w:rPr>
        <w:t xml:space="preserve">Departamento de </w:t>
      </w:r>
      <w:proofErr w:type="spellStart"/>
      <w:r>
        <w:rPr>
          <w:lang w:val="en-GB"/>
        </w:rPr>
        <w:t>Química</w:t>
      </w:r>
      <w:proofErr w:type="spellEnd"/>
      <w:r>
        <w:rPr>
          <w:lang w:val="en-GB"/>
        </w:rPr>
        <w:t xml:space="preserve">- ICEX, </w:t>
      </w:r>
      <w:proofErr w:type="spellStart"/>
      <w:r>
        <w:rPr>
          <w:lang w:val="en-GB"/>
        </w:rPr>
        <w:t>Universidade</w:t>
      </w:r>
      <w:proofErr w:type="spellEnd"/>
      <w:r>
        <w:rPr>
          <w:lang w:val="en-GB"/>
        </w:rPr>
        <w:t xml:space="preserve"> Federal de Minas Gerais</w:t>
      </w:r>
      <w:r w:rsidRPr="004F2B0F">
        <w:rPr>
          <w:lang w:val="en-GB"/>
        </w:rPr>
        <w:t xml:space="preserve">, 31270-901, Belo Horizonte, MG, Brazil. </w:t>
      </w:r>
    </w:p>
    <w:p w14:paraId="3ECA6721" w14:textId="77777777" w:rsidR="00F468D8" w:rsidRPr="00D26964" w:rsidRDefault="00F468D8" w:rsidP="00F468D8">
      <w:pPr>
        <w:pStyle w:val="BCAuthorAddress"/>
        <w:spacing w:after="0"/>
        <w:ind w:right="0"/>
        <w:jc w:val="both"/>
        <w:rPr>
          <w:lang w:val="pt-BR"/>
        </w:rPr>
      </w:pPr>
      <w:r w:rsidRPr="00D26964">
        <w:rPr>
          <w:lang w:val="pt-BR"/>
        </w:rPr>
        <w:t>*dennersc@ufmg.br</w:t>
      </w:r>
    </w:p>
    <w:bookmarkEnd w:id="2"/>
    <w:p w14:paraId="0F43A367" w14:textId="5B7BD621" w:rsidR="00AF0400" w:rsidRDefault="00831B53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80D00DA" wp14:editId="443C61AC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0" b="0"/>
                <wp:wrapNone/>
                <wp:docPr id="32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07D0CE" w14:textId="15B9F545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2FE26B5E" w14:textId="77777777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D00DA" id="Retângulo 1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" fillcolor="#9a0000" stroked="f" strokeweight="1pt">
                <v:textbox inset=",0,,0">
                  <w:txbxContent>
                    <w:p w14:paraId="7D07D0CE" w14:textId="15B9F545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2FE26B5E" w14:textId="77777777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E063A3" w14:textId="77777777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1081EF39" w14:textId="5186743D" w:rsidR="00752028" w:rsidRPr="00DE0597" w:rsidRDefault="00752028" w:rsidP="00DE0597">
      <w:pPr>
        <w:pStyle w:val="TAMainText"/>
        <w:ind w:firstLine="0"/>
      </w:pPr>
      <w:r w:rsidRPr="00DE0597">
        <w:rPr>
          <w:rFonts w:ascii="Times New Roman" w:hAnsi="Times New Roman"/>
          <w:lang w:val="pt-BR"/>
        </w:rPr>
        <w:t>A utilização de matéria prima renovável</w:t>
      </w:r>
      <w:r w:rsidR="001A49E1">
        <w:rPr>
          <w:rFonts w:ascii="Times New Roman" w:hAnsi="Times New Roman"/>
          <w:lang w:val="pt-BR"/>
        </w:rPr>
        <w:t xml:space="preserve"> </w:t>
      </w:r>
      <w:r w:rsidRPr="00DE0597">
        <w:rPr>
          <w:rFonts w:ascii="Times New Roman" w:hAnsi="Times New Roman"/>
          <w:lang w:val="pt-BR"/>
        </w:rPr>
        <w:t>como</w:t>
      </w:r>
      <w:r w:rsidR="001A49E1">
        <w:rPr>
          <w:rFonts w:ascii="Times New Roman" w:hAnsi="Times New Roman"/>
          <w:lang w:val="pt-BR"/>
        </w:rPr>
        <w:t xml:space="preserve"> os</w:t>
      </w:r>
      <w:r w:rsidRPr="00DE0597">
        <w:rPr>
          <w:rFonts w:ascii="Times New Roman" w:hAnsi="Times New Roman"/>
          <w:lang w:val="pt-BR"/>
        </w:rPr>
        <w:t xml:space="preserve"> óleos vegetais</w:t>
      </w:r>
      <w:r w:rsidR="001A49E1">
        <w:rPr>
          <w:rFonts w:ascii="Times New Roman" w:hAnsi="Times New Roman"/>
          <w:lang w:val="pt-BR"/>
        </w:rPr>
        <w:t xml:space="preserve"> </w:t>
      </w:r>
      <w:r w:rsidRPr="00DE0597">
        <w:rPr>
          <w:rFonts w:ascii="Times New Roman" w:hAnsi="Times New Roman"/>
          <w:lang w:val="pt-BR"/>
        </w:rPr>
        <w:t xml:space="preserve">é uma alternativa empregada para produção de </w:t>
      </w:r>
      <w:proofErr w:type="spellStart"/>
      <w:r w:rsidRPr="00DE0597">
        <w:rPr>
          <w:rFonts w:ascii="Times New Roman" w:hAnsi="Times New Roman"/>
          <w:lang w:val="pt-BR"/>
        </w:rPr>
        <w:t>bioquerosene</w:t>
      </w:r>
      <w:proofErr w:type="spellEnd"/>
      <w:r w:rsidRPr="00DE0597">
        <w:rPr>
          <w:rFonts w:ascii="Times New Roman" w:hAnsi="Times New Roman"/>
          <w:lang w:val="pt-BR"/>
        </w:rPr>
        <w:t xml:space="preserve"> de aviação. A rota de </w:t>
      </w:r>
      <w:proofErr w:type="spellStart"/>
      <w:r w:rsidR="0001134C" w:rsidRPr="0001134C">
        <w:rPr>
          <w:rFonts w:ascii="Times New Roman" w:hAnsi="Times New Roman"/>
          <w:lang w:val="pt-BR"/>
        </w:rPr>
        <w:t>hidroprocessamento</w:t>
      </w:r>
      <w:proofErr w:type="spellEnd"/>
      <w:r w:rsidR="0001134C" w:rsidRPr="0001134C">
        <w:rPr>
          <w:rFonts w:ascii="Times New Roman" w:hAnsi="Times New Roman"/>
          <w:lang w:val="pt-BR"/>
        </w:rPr>
        <w:t xml:space="preserve"> (</w:t>
      </w:r>
      <w:r w:rsidRPr="00DE0597">
        <w:rPr>
          <w:rFonts w:ascii="Times New Roman" w:hAnsi="Times New Roman"/>
          <w:lang w:val="pt-BR"/>
        </w:rPr>
        <w:t>HEFA)</w:t>
      </w:r>
      <w:r w:rsidR="00325631" w:rsidRPr="00DE0597">
        <w:rPr>
          <w:rFonts w:ascii="Times New Roman" w:hAnsi="Times New Roman"/>
          <w:lang w:val="pt-BR"/>
        </w:rPr>
        <w:t xml:space="preserve"> </w:t>
      </w:r>
      <w:r w:rsidRPr="00DE0597">
        <w:rPr>
          <w:rFonts w:ascii="Times New Roman" w:hAnsi="Times New Roman"/>
          <w:lang w:val="pt-BR"/>
        </w:rPr>
        <w:t xml:space="preserve">promove a remoção do oxigênio que compõe as moléculas de éster e ácidos graxos. </w:t>
      </w:r>
      <w:r w:rsidR="003C3811" w:rsidRPr="00DE0597">
        <w:rPr>
          <w:rFonts w:ascii="Times New Roman" w:hAnsi="Times New Roman"/>
          <w:lang w:val="pt-BR"/>
        </w:rPr>
        <w:t>N</w:t>
      </w:r>
      <w:r w:rsidRPr="00DE0597">
        <w:rPr>
          <w:rFonts w:ascii="Times New Roman" w:hAnsi="Times New Roman"/>
          <w:lang w:val="pt-BR"/>
        </w:rPr>
        <w:t>este trabalho</w:t>
      </w:r>
      <w:r w:rsidR="003C3811">
        <w:rPr>
          <w:rFonts w:ascii="Times New Roman" w:hAnsi="Times New Roman"/>
          <w:lang w:val="pt-BR"/>
        </w:rPr>
        <w:t>,</w:t>
      </w:r>
      <w:r w:rsidRPr="00DE0597">
        <w:rPr>
          <w:rFonts w:ascii="Times New Roman" w:hAnsi="Times New Roman"/>
          <w:lang w:val="pt-BR"/>
        </w:rPr>
        <w:t xml:space="preserve"> </w:t>
      </w:r>
      <w:r w:rsidR="00325631" w:rsidRPr="00DE0597">
        <w:rPr>
          <w:rFonts w:ascii="Times New Roman" w:hAnsi="Times New Roman"/>
          <w:lang w:val="pt-BR"/>
        </w:rPr>
        <w:t xml:space="preserve">utilizou-se o </w:t>
      </w:r>
      <w:r w:rsidRPr="00DE0597">
        <w:rPr>
          <w:rFonts w:ascii="Times New Roman" w:hAnsi="Times New Roman"/>
          <w:lang w:val="pt-BR"/>
        </w:rPr>
        <w:t xml:space="preserve">catalisador de rutênio suportado em sílica sol-gel para a obtenção de </w:t>
      </w:r>
      <w:proofErr w:type="spellStart"/>
      <w:r w:rsidRPr="00DE0597">
        <w:rPr>
          <w:rFonts w:ascii="Times New Roman" w:hAnsi="Times New Roman"/>
          <w:lang w:val="pt-BR"/>
        </w:rPr>
        <w:t>bioquerosene</w:t>
      </w:r>
      <w:proofErr w:type="spellEnd"/>
      <w:r w:rsidRPr="00DE0597">
        <w:rPr>
          <w:rFonts w:ascii="Times New Roman" w:hAnsi="Times New Roman"/>
          <w:lang w:val="pt-BR"/>
        </w:rPr>
        <w:t xml:space="preserve"> de aviação, utilizando-se o óleo de babaçu como matéria prima. O material foi caracterizado por difração de raios X, </w:t>
      </w:r>
      <w:r w:rsidR="003C3811">
        <w:rPr>
          <w:rFonts w:ascii="Times New Roman" w:hAnsi="Times New Roman"/>
          <w:lang w:val="pt-BR"/>
        </w:rPr>
        <w:t>adsorção/dessorção de N</w:t>
      </w:r>
      <w:r w:rsidR="003C3811" w:rsidRPr="00DE0597">
        <w:rPr>
          <w:rFonts w:ascii="Times New Roman" w:hAnsi="Times New Roman"/>
          <w:vertAlign w:val="subscript"/>
          <w:lang w:val="pt-BR"/>
        </w:rPr>
        <w:t>2</w:t>
      </w:r>
      <w:r w:rsidRPr="00DE0597">
        <w:rPr>
          <w:rFonts w:ascii="Times New Roman" w:hAnsi="Times New Roman"/>
          <w:lang w:val="pt-BR"/>
        </w:rPr>
        <w:t xml:space="preserve"> e redução à temperatura programada (RTP). Os resultados demonstraram </w:t>
      </w:r>
      <w:r w:rsidR="00DC7041" w:rsidRPr="00DE0597">
        <w:rPr>
          <w:rFonts w:ascii="Times New Roman" w:hAnsi="Times New Roman"/>
          <w:lang w:val="pt-BR"/>
        </w:rPr>
        <w:t>que o catalisador possui elevados valores de área específica, diâmetro de poros</w:t>
      </w:r>
      <w:r w:rsidR="00810D0C" w:rsidRPr="00DE0597">
        <w:rPr>
          <w:rFonts w:ascii="Times New Roman" w:hAnsi="Times New Roman"/>
          <w:lang w:val="pt-BR"/>
        </w:rPr>
        <w:t xml:space="preserve">. O </w:t>
      </w:r>
      <w:proofErr w:type="spellStart"/>
      <w:r w:rsidR="00810D0C" w:rsidRPr="00DE0597">
        <w:rPr>
          <w:rFonts w:ascii="Times New Roman" w:hAnsi="Times New Roman"/>
          <w:lang w:val="pt-BR"/>
        </w:rPr>
        <w:t>difratrograma</w:t>
      </w:r>
      <w:proofErr w:type="spellEnd"/>
      <w:r w:rsidR="00810D0C" w:rsidRPr="00DE0597">
        <w:rPr>
          <w:rFonts w:ascii="Times New Roman" w:hAnsi="Times New Roman"/>
          <w:lang w:val="pt-BR"/>
        </w:rPr>
        <w:t xml:space="preserve"> de raios X do material indica</w:t>
      </w:r>
      <w:r w:rsidR="00D56137">
        <w:rPr>
          <w:rFonts w:ascii="Times New Roman" w:hAnsi="Times New Roman"/>
          <w:lang w:val="pt-BR"/>
        </w:rPr>
        <w:t xml:space="preserve"> os padrões de difração referentes ao metal ativo</w:t>
      </w:r>
      <w:r w:rsidR="00810D0C" w:rsidRPr="00DE0597">
        <w:rPr>
          <w:rFonts w:ascii="Times New Roman" w:hAnsi="Times New Roman"/>
          <w:lang w:val="pt-BR"/>
        </w:rPr>
        <w:t xml:space="preserve">. A avaliação por redução à temperatura programada indica a temperatura de redução de 195 °C para as espécies mais internas de rutênio na estrutura da </w:t>
      </w:r>
      <w:r w:rsidR="0028645B" w:rsidRPr="00DE0597">
        <w:rPr>
          <w:rFonts w:ascii="Times New Roman" w:hAnsi="Times New Roman"/>
          <w:lang w:val="pt-BR"/>
        </w:rPr>
        <w:t>s</w:t>
      </w:r>
      <w:r w:rsidR="0028645B">
        <w:rPr>
          <w:rFonts w:ascii="Times New Roman" w:hAnsi="Times New Roman"/>
          <w:lang w:val="pt-BR"/>
        </w:rPr>
        <w:t>í</w:t>
      </w:r>
      <w:r w:rsidR="0028645B" w:rsidRPr="00DE0597">
        <w:rPr>
          <w:rFonts w:ascii="Times New Roman" w:hAnsi="Times New Roman"/>
          <w:lang w:val="pt-BR"/>
        </w:rPr>
        <w:t>lica</w:t>
      </w:r>
      <w:r w:rsidR="00325631" w:rsidRPr="00DE0597">
        <w:rPr>
          <w:rFonts w:ascii="Times New Roman" w:hAnsi="Times New Roman"/>
          <w:lang w:val="pt-BR"/>
        </w:rPr>
        <w:t xml:space="preserve">. </w:t>
      </w:r>
      <w:r w:rsidR="00810D0C" w:rsidRPr="007B775C">
        <w:rPr>
          <w:rFonts w:ascii="Times New Roman" w:hAnsi="Times New Roman"/>
          <w:lang w:val="pt-BR"/>
        </w:rPr>
        <w:t xml:space="preserve">Ao analisar os espectros de infravermelho do produto final das reações de HEFA do óleo de babaçu, pode-se observar que os catalisadores de rutênio desenvolvidos neste trabalho possuem capacidade de desoxigenação do óleo. Partindo-se disso, foi possível uma </w:t>
      </w:r>
      <w:r w:rsidR="00F0374A">
        <w:rPr>
          <w:rFonts w:ascii="Times New Roman" w:hAnsi="Times New Roman"/>
          <w:lang w:val="pt-BR"/>
        </w:rPr>
        <w:t xml:space="preserve">determinação </w:t>
      </w:r>
      <w:r w:rsidR="00810D0C" w:rsidRPr="007B775C">
        <w:rPr>
          <w:rFonts w:ascii="Times New Roman" w:hAnsi="Times New Roman"/>
          <w:lang w:val="pt-BR"/>
        </w:rPr>
        <w:t xml:space="preserve">das condições reacionais mais brandas, com a temperatura, pressão e </w:t>
      </w:r>
      <w:r w:rsidR="00A85E2D">
        <w:rPr>
          <w:rFonts w:ascii="Times New Roman" w:hAnsi="Times New Roman"/>
          <w:lang w:val="pt-BR"/>
        </w:rPr>
        <w:t xml:space="preserve">o </w:t>
      </w:r>
      <w:r w:rsidR="00810D0C" w:rsidRPr="007B775C">
        <w:rPr>
          <w:rFonts w:ascii="Times New Roman" w:hAnsi="Times New Roman"/>
          <w:lang w:val="pt-BR"/>
        </w:rPr>
        <w:t xml:space="preserve">tempo de </w:t>
      </w:r>
      <w:r w:rsidR="00A85E2D">
        <w:rPr>
          <w:rFonts w:ascii="Times New Roman" w:hAnsi="Times New Roman"/>
          <w:lang w:val="pt-BR"/>
        </w:rPr>
        <w:t>permanência no reator</w:t>
      </w:r>
      <w:r w:rsidR="00A85E2D" w:rsidRPr="007B775C">
        <w:rPr>
          <w:rFonts w:ascii="Times New Roman" w:hAnsi="Times New Roman"/>
          <w:lang w:val="pt-BR"/>
        </w:rPr>
        <w:t xml:space="preserve"> </w:t>
      </w:r>
      <w:r w:rsidR="00810D0C" w:rsidRPr="007B775C">
        <w:rPr>
          <w:rFonts w:ascii="Times New Roman" w:hAnsi="Times New Roman"/>
          <w:lang w:val="pt-BR"/>
        </w:rPr>
        <w:t xml:space="preserve">menores. A pressão e o tempo de </w:t>
      </w:r>
      <w:r w:rsidR="00A85E2D">
        <w:rPr>
          <w:rFonts w:ascii="Times New Roman" w:hAnsi="Times New Roman"/>
          <w:lang w:val="pt-BR"/>
        </w:rPr>
        <w:t>permanência no reator</w:t>
      </w:r>
      <w:r w:rsidR="00A85E2D" w:rsidRPr="007B775C">
        <w:rPr>
          <w:rFonts w:ascii="Times New Roman" w:hAnsi="Times New Roman"/>
          <w:lang w:val="pt-BR"/>
        </w:rPr>
        <w:t xml:space="preserve"> </w:t>
      </w:r>
      <w:r w:rsidR="00810D0C" w:rsidRPr="007B775C">
        <w:rPr>
          <w:rFonts w:ascii="Times New Roman" w:hAnsi="Times New Roman"/>
          <w:lang w:val="pt-BR"/>
        </w:rPr>
        <w:t xml:space="preserve">apresentaram maior influência na obtenção dos produtos desoxigenados. </w:t>
      </w:r>
    </w:p>
    <w:p w14:paraId="2B5B270D" w14:textId="754CB0B2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2F5F876" w14:textId="61D62E45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proofErr w:type="spellStart"/>
      <w:r w:rsidR="003C3811">
        <w:rPr>
          <w:rFonts w:ascii="Times New Roman" w:hAnsi="Times New Roman"/>
          <w:b w:val="0"/>
          <w:bCs/>
          <w:i/>
          <w:iCs/>
          <w:sz w:val="20"/>
          <w:szCs w:val="22"/>
          <w:lang w:val="pt-BR"/>
        </w:rPr>
        <w:t>H</w:t>
      </w:r>
      <w:r w:rsidR="0012422E" w:rsidRPr="00DE0597">
        <w:rPr>
          <w:rFonts w:ascii="Times New Roman" w:hAnsi="Times New Roman"/>
          <w:b w:val="0"/>
          <w:bCs/>
          <w:i/>
          <w:iCs/>
          <w:sz w:val="20"/>
          <w:szCs w:val="22"/>
          <w:lang w:val="pt-BR"/>
        </w:rPr>
        <w:t>idroprocessamento</w:t>
      </w:r>
      <w:proofErr w:type="spellEnd"/>
      <w:r w:rsidR="0012422E" w:rsidRPr="00DE0597">
        <w:rPr>
          <w:rFonts w:ascii="Times New Roman" w:hAnsi="Times New Roman"/>
          <w:b w:val="0"/>
          <w:bCs/>
          <w:i/>
          <w:iCs/>
          <w:sz w:val="20"/>
          <w:szCs w:val="22"/>
          <w:lang w:val="pt-BR"/>
        </w:rPr>
        <w:t xml:space="preserve">, rutênio, óleo vegetal, </w:t>
      </w:r>
      <w:r w:rsidR="003C3811">
        <w:rPr>
          <w:rFonts w:ascii="Times New Roman" w:hAnsi="Times New Roman"/>
          <w:b w:val="0"/>
          <w:bCs/>
          <w:i/>
          <w:iCs/>
          <w:sz w:val="20"/>
          <w:szCs w:val="22"/>
          <w:lang w:val="pt-BR"/>
        </w:rPr>
        <w:t>desoxigenação</w:t>
      </w:r>
      <w:r w:rsidR="0012422E" w:rsidRPr="00DE0597">
        <w:rPr>
          <w:rFonts w:ascii="Times New Roman" w:hAnsi="Times New Roman"/>
          <w:b w:val="0"/>
          <w:bCs/>
          <w:i/>
          <w:iCs/>
          <w:sz w:val="20"/>
          <w:szCs w:val="22"/>
          <w:lang w:val="pt-BR"/>
        </w:rPr>
        <w:t xml:space="preserve">, </w:t>
      </w:r>
      <w:proofErr w:type="spellStart"/>
      <w:r w:rsidR="0012422E" w:rsidRPr="00DE0597">
        <w:rPr>
          <w:rFonts w:ascii="Times New Roman" w:hAnsi="Times New Roman"/>
          <w:b w:val="0"/>
          <w:bCs/>
          <w:i/>
          <w:iCs/>
          <w:sz w:val="20"/>
          <w:szCs w:val="22"/>
          <w:lang w:val="pt-BR"/>
        </w:rPr>
        <w:t>bioquerosene</w:t>
      </w:r>
      <w:proofErr w:type="spellEnd"/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11499F70" w14:textId="7777777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98186DB" w14:textId="0723E412" w:rsidR="00FF772D" w:rsidRDefault="00FF772D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FF772D">
        <w:rPr>
          <w:rFonts w:ascii="Times New Roman" w:hAnsi="Times New Roman"/>
          <w:b w:val="0"/>
          <w:sz w:val="20"/>
          <w:lang w:val="pt-BR"/>
        </w:rPr>
        <w:t xml:space="preserve">The use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renewable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F7ECC">
        <w:rPr>
          <w:rFonts w:ascii="Times New Roman" w:hAnsi="Times New Roman"/>
          <w:b w:val="0"/>
          <w:sz w:val="20"/>
          <w:lang w:val="pt-BR"/>
        </w:rPr>
        <w:t>feedstock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such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as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vegetable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oils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is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an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alternative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employed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for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production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aviation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bio-kerosene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. The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hydroprocessing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route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(HEFA)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promotes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removal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oxygen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that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composes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ester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fatty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acid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molecules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. In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this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work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ruthenium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catalyst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supported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sol-gel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silica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used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for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production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aviation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bio-kerosene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using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babassu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oil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as </w:t>
      </w:r>
      <w:proofErr w:type="spellStart"/>
      <w:r w:rsidR="002F7ECC">
        <w:rPr>
          <w:rFonts w:ascii="Times New Roman" w:hAnsi="Times New Roman"/>
          <w:b w:val="0"/>
          <w:sz w:val="20"/>
          <w:lang w:val="pt-BR"/>
        </w:rPr>
        <w:t>feedstock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. The </w:t>
      </w:r>
      <w:proofErr w:type="spellStart"/>
      <w:r w:rsidR="00DC0408">
        <w:rPr>
          <w:rFonts w:ascii="Times New Roman" w:hAnsi="Times New Roman"/>
          <w:b w:val="0"/>
          <w:sz w:val="20"/>
          <w:lang w:val="pt-BR"/>
        </w:rPr>
        <w:t>catalyst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characterized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by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X-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ray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diffraction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>, N</w:t>
      </w:r>
      <w:r w:rsidRPr="00E46C6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adsorption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>/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desorption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temperature-programmed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reduction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(TPR). The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results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showed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that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catalyst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has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high</w:t>
      </w:r>
      <w:r w:rsidR="000E17C6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specific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surface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area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values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0E17C6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pore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diameter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>.</w:t>
      </w:r>
      <w:r w:rsidR="000E17C6">
        <w:rPr>
          <w:rFonts w:ascii="Times New Roman" w:hAnsi="Times New Roman"/>
          <w:b w:val="0"/>
          <w:sz w:val="20"/>
          <w:lang w:val="pt-BR"/>
        </w:rPr>
        <w:t xml:space="preserve"> </w:t>
      </w:r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>The X-</w:t>
      </w:r>
      <w:proofErr w:type="spellStart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>ray</w:t>
      </w:r>
      <w:proofErr w:type="spellEnd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 xml:space="preserve"> </w:t>
      </w:r>
      <w:proofErr w:type="spellStart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>diffractogram</w:t>
      </w:r>
      <w:proofErr w:type="spellEnd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 xml:space="preserve"> </w:t>
      </w:r>
      <w:proofErr w:type="spellStart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>of</w:t>
      </w:r>
      <w:proofErr w:type="spellEnd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 xml:space="preserve"> </w:t>
      </w:r>
      <w:proofErr w:type="spellStart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>the</w:t>
      </w:r>
      <w:proofErr w:type="spellEnd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 xml:space="preserve"> material </w:t>
      </w:r>
      <w:proofErr w:type="spellStart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>reveals</w:t>
      </w:r>
      <w:proofErr w:type="spellEnd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 xml:space="preserve"> </w:t>
      </w:r>
      <w:proofErr w:type="spellStart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>the</w:t>
      </w:r>
      <w:proofErr w:type="spellEnd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 xml:space="preserve"> </w:t>
      </w:r>
      <w:proofErr w:type="spellStart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>diffraction</w:t>
      </w:r>
      <w:proofErr w:type="spellEnd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 xml:space="preserve"> </w:t>
      </w:r>
      <w:proofErr w:type="spellStart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>patterns</w:t>
      </w:r>
      <w:proofErr w:type="spellEnd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 xml:space="preserve"> </w:t>
      </w:r>
      <w:proofErr w:type="spellStart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>corresponding</w:t>
      </w:r>
      <w:proofErr w:type="spellEnd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 xml:space="preserve"> </w:t>
      </w:r>
      <w:proofErr w:type="spellStart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>to</w:t>
      </w:r>
      <w:proofErr w:type="spellEnd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 xml:space="preserve"> </w:t>
      </w:r>
      <w:proofErr w:type="spellStart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>the</w:t>
      </w:r>
      <w:proofErr w:type="spellEnd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 xml:space="preserve"> </w:t>
      </w:r>
      <w:proofErr w:type="spellStart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>active</w:t>
      </w:r>
      <w:proofErr w:type="spellEnd"/>
      <w:r w:rsidR="000E17C6" w:rsidRPr="00F71F2B">
        <w:rPr>
          <w:rFonts w:ascii="Times New Roman" w:hAnsi="Times New Roman"/>
          <w:b w:val="0"/>
          <w:color w:val="000000"/>
          <w:sz w:val="20"/>
          <w:lang w:val="pt"/>
        </w:rPr>
        <w:t xml:space="preserve"> metal</w:t>
      </w:r>
      <w:r w:rsidRPr="00FF772D">
        <w:rPr>
          <w:rFonts w:ascii="Times New Roman" w:hAnsi="Times New Roman"/>
          <w:b w:val="0"/>
          <w:sz w:val="20"/>
          <w:lang w:val="pt-BR"/>
        </w:rPr>
        <w:t xml:space="preserve">. The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evaluation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by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temperature-programmed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reduction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indicates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a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reduction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temperature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195°C for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most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internal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ruthenium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species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silica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structure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.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Analyzing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infrared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spectra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final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product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babassu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oil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HEFA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reactions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, it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can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be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observed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that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developed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ruthenium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catalysts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have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capacity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for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oil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deoxygenation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.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Based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this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, it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possible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optimize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milder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reaction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conditions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lower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temperature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pressure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r</w:t>
      </w:r>
      <w:r w:rsidR="004B4118">
        <w:rPr>
          <w:rFonts w:ascii="Times New Roman" w:hAnsi="Times New Roman"/>
          <w:b w:val="0"/>
          <w:sz w:val="20"/>
          <w:lang w:val="pt-BR"/>
        </w:rPr>
        <w:t>eaction</w:t>
      </w:r>
      <w:proofErr w:type="spellEnd"/>
      <w:r w:rsidR="004B4118">
        <w:rPr>
          <w:rFonts w:ascii="Times New Roman" w:hAnsi="Times New Roman"/>
          <w:b w:val="0"/>
          <w:sz w:val="20"/>
          <w:lang w:val="pt-BR"/>
        </w:rPr>
        <w:t xml:space="preserve"> time</w:t>
      </w:r>
      <w:r w:rsidRPr="00FF772D">
        <w:rPr>
          <w:rFonts w:ascii="Times New Roman" w:hAnsi="Times New Roman"/>
          <w:b w:val="0"/>
          <w:sz w:val="20"/>
          <w:lang w:val="pt-BR"/>
        </w:rPr>
        <w:t xml:space="preserve">.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Pressure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reaction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time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showed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a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greater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influence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on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obtaining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deoxygenated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F772D">
        <w:rPr>
          <w:rFonts w:ascii="Times New Roman" w:hAnsi="Times New Roman"/>
          <w:b w:val="0"/>
          <w:sz w:val="20"/>
          <w:lang w:val="pt-BR"/>
        </w:rPr>
        <w:t>products</w:t>
      </w:r>
      <w:proofErr w:type="spellEnd"/>
      <w:r w:rsidRPr="00FF772D">
        <w:rPr>
          <w:rFonts w:ascii="Times New Roman" w:hAnsi="Times New Roman"/>
          <w:b w:val="0"/>
          <w:sz w:val="20"/>
          <w:lang w:val="pt-BR"/>
        </w:rPr>
        <w:t>.</w:t>
      </w:r>
    </w:p>
    <w:p w14:paraId="3C29ECEE" w14:textId="77777777" w:rsidR="005627D4" w:rsidRPr="00DE0597" w:rsidRDefault="005627D4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14:paraId="61A753D8" w14:textId="2A8CBC6D" w:rsidR="00EA4E1B" w:rsidRPr="00DE0597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DE0597">
        <w:rPr>
          <w:rFonts w:ascii="Times New Roman" w:hAnsi="Times New Roman"/>
          <w:b w:val="0"/>
          <w:i/>
          <w:sz w:val="20"/>
        </w:rPr>
        <w:t xml:space="preserve">Keywords: </w:t>
      </w:r>
      <w:proofErr w:type="spellStart"/>
      <w:r w:rsidR="003C3811">
        <w:rPr>
          <w:rFonts w:ascii="Times New Roman" w:hAnsi="Times New Roman"/>
          <w:b w:val="0"/>
          <w:i/>
          <w:sz w:val="20"/>
        </w:rPr>
        <w:t>H</w:t>
      </w:r>
      <w:r w:rsidR="00957CC9" w:rsidRPr="00DE0597">
        <w:rPr>
          <w:rFonts w:ascii="Times New Roman" w:hAnsi="Times New Roman"/>
          <w:b w:val="0"/>
          <w:i/>
          <w:sz w:val="20"/>
        </w:rPr>
        <w:t>ydroprocessing</w:t>
      </w:r>
      <w:proofErr w:type="spellEnd"/>
      <w:r w:rsidR="00957CC9" w:rsidRPr="00DE0597">
        <w:rPr>
          <w:rFonts w:ascii="Times New Roman" w:hAnsi="Times New Roman"/>
          <w:b w:val="0"/>
          <w:i/>
          <w:sz w:val="20"/>
        </w:rPr>
        <w:t xml:space="preserve">, ruthenium, vegetable oil, </w:t>
      </w:r>
      <w:r w:rsidR="003C3811">
        <w:rPr>
          <w:rFonts w:ascii="Times New Roman" w:hAnsi="Times New Roman"/>
          <w:b w:val="0"/>
          <w:i/>
          <w:sz w:val="20"/>
        </w:rPr>
        <w:t>deoxygenation</w:t>
      </w:r>
      <w:r w:rsidR="00957CC9" w:rsidRPr="00DE0597">
        <w:rPr>
          <w:rFonts w:ascii="Times New Roman" w:hAnsi="Times New Roman"/>
          <w:b w:val="0"/>
          <w:i/>
          <w:sz w:val="20"/>
        </w:rPr>
        <w:t>, bio-kerosene.</w:t>
      </w:r>
    </w:p>
    <w:bookmarkEnd w:id="1"/>
    <w:p w14:paraId="6B4873B0" w14:textId="77777777" w:rsidR="00EA4E1B" w:rsidRPr="00DE0597" w:rsidRDefault="00EA4E1B" w:rsidP="00EA4E1B">
      <w:pPr>
        <w:rPr>
          <w:lang w:val="en-US"/>
        </w:rPr>
        <w:sectPr w:rsidR="00EA4E1B" w:rsidRPr="00DE0597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558B0832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3C44C70A" w14:textId="518959AD" w:rsidR="00397937" w:rsidRPr="004801EE" w:rsidRDefault="00397937" w:rsidP="00EA4E1B">
      <w:pPr>
        <w:pStyle w:val="TAMainText"/>
        <w:rPr>
          <w:rFonts w:ascii="Times New Roman" w:hAnsi="Times New Roman"/>
          <w:color w:val="000000"/>
          <w:lang w:val="pt-BR"/>
        </w:rPr>
      </w:pPr>
      <w:r w:rsidRPr="004801EE">
        <w:rPr>
          <w:rFonts w:ascii="Times New Roman" w:hAnsi="Times New Roman"/>
          <w:color w:val="000000"/>
          <w:lang w:val="pt-BR"/>
        </w:rPr>
        <w:t xml:space="preserve">O </w:t>
      </w:r>
      <w:proofErr w:type="spellStart"/>
      <w:r w:rsidRPr="004801EE">
        <w:rPr>
          <w:rFonts w:ascii="Times New Roman" w:hAnsi="Times New Roman"/>
          <w:color w:val="000000"/>
          <w:lang w:val="pt-BR"/>
        </w:rPr>
        <w:t>hidroprocessamento</w:t>
      </w:r>
      <w:proofErr w:type="spellEnd"/>
      <w:r w:rsidRPr="004801EE">
        <w:rPr>
          <w:rFonts w:ascii="Times New Roman" w:hAnsi="Times New Roman"/>
          <w:color w:val="000000"/>
          <w:lang w:val="pt-BR"/>
        </w:rPr>
        <w:t xml:space="preserve"> </w:t>
      </w:r>
      <w:r w:rsidR="00D26964">
        <w:rPr>
          <w:rFonts w:ascii="Times New Roman" w:hAnsi="Times New Roman"/>
          <w:color w:val="000000"/>
          <w:lang w:val="pt-BR"/>
        </w:rPr>
        <w:t xml:space="preserve">(HEFA) </w:t>
      </w:r>
      <w:r w:rsidRPr="004801EE">
        <w:rPr>
          <w:rFonts w:ascii="Times New Roman" w:hAnsi="Times New Roman"/>
          <w:color w:val="000000"/>
          <w:lang w:val="pt-BR"/>
        </w:rPr>
        <w:t xml:space="preserve">de ésteres e ácidos graxos representa a rota mais </w:t>
      </w:r>
      <w:r w:rsidR="007B4874" w:rsidRPr="004801EE">
        <w:rPr>
          <w:rFonts w:ascii="Times New Roman" w:hAnsi="Times New Roman"/>
          <w:color w:val="000000"/>
          <w:lang w:val="pt-BR"/>
        </w:rPr>
        <w:t>desenvolvida atualmente</w:t>
      </w:r>
      <w:r w:rsidRPr="004801EE">
        <w:rPr>
          <w:rFonts w:ascii="Times New Roman" w:hAnsi="Times New Roman"/>
          <w:color w:val="000000"/>
          <w:lang w:val="pt-BR"/>
        </w:rPr>
        <w:t xml:space="preserve"> para produção de biocombustíveis</w:t>
      </w:r>
      <w:r w:rsidR="009E60CF">
        <w:rPr>
          <w:rFonts w:ascii="Times New Roman" w:hAnsi="Times New Roman"/>
          <w:color w:val="000000"/>
          <w:lang w:val="pt-BR"/>
        </w:rPr>
        <w:t xml:space="preserve"> de aviaçã</w:t>
      </w:r>
      <w:r w:rsidR="00E142BB">
        <w:rPr>
          <w:rFonts w:ascii="Times New Roman" w:hAnsi="Times New Roman"/>
          <w:color w:val="000000"/>
          <w:lang w:val="pt-BR"/>
        </w:rPr>
        <w:t>o</w:t>
      </w:r>
      <w:r w:rsidR="009E60CF">
        <w:rPr>
          <w:rFonts w:ascii="Times New Roman" w:hAnsi="Times New Roman"/>
          <w:color w:val="000000"/>
          <w:lang w:val="pt-BR"/>
        </w:rPr>
        <w:t xml:space="preserve">, </w:t>
      </w:r>
      <w:r w:rsidRPr="004801EE">
        <w:rPr>
          <w:rFonts w:ascii="Times New Roman" w:hAnsi="Times New Roman"/>
          <w:color w:val="000000"/>
          <w:lang w:val="pt-BR"/>
        </w:rPr>
        <w:t xml:space="preserve">oferecendo grande potencial </w:t>
      </w:r>
      <w:r w:rsidR="007B4874" w:rsidRPr="004801EE">
        <w:rPr>
          <w:rFonts w:ascii="Times New Roman" w:hAnsi="Times New Roman"/>
          <w:color w:val="000000"/>
          <w:lang w:val="pt-BR"/>
        </w:rPr>
        <w:t>para produção</w:t>
      </w:r>
      <w:r w:rsidRPr="004801EE">
        <w:rPr>
          <w:rFonts w:ascii="Times New Roman" w:hAnsi="Times New Roman"/>
          <w:color w:val="000000"/>
          <w:lang w:val="pt-BR"/>
        </w:rPr>
        <w:t xml:space="preserve"> em grande escala e em curto prazo</w:t>
      </w:r>
      <w:r w:rsidR="00D16318">
        <w:rPr>
          <w:rFonts w:ascii="Times New Roman" w:hAnsi="Times New Roman"/>
          <w:color w:val="000000"/>
          <w:lang w:val="pt-BR"/>
        </w:rPr>
        <w:t xml:space="preserve"> (1)</w:t>
      </w:r>
      <w:r w:rsidRPr="004801EE">
        <w:rPr>
          <w:rFonts w:ascii="Times New Roman" w:hAnsi="Times New Roman"/>
          <w:color w:val="000000"/>
          <w:lang w:val="pt-BR"/>
        </w:rPr>
        <w:t xml:space="preserve">. Essa possui menor </w:t>
      </w:r>
      <w:r w:rsidR="007B4874" w:rsidRPr="004801EE">
        <w:rPr>
          <w:rFonts w:ascii="Times New Roman" w:hAnsi="Times New Roman"/>
          <w:color w:val="000000"/>
          <w:lang w:val="pt-BR"/>
        </w:rPr>
        <w:t>complexidade tecnológica</w:t>
      </w:r>
      <w:r w:rsidRPr="004801EE">
        <w:rPr>
          <w:rFonts w:ascii="Times New Roman" w:hAnsi="Times New Roman"/>
          <w:color w:val="000000"/>
          <w:lang w:val="pt-BR"/>
        </w:rPr>
        <w:t xml:space="preserve"> ocorrendo em menos etapas, fornecendo maior eficiência energética </w:t>
      </w:r>
      <w:r w:rsidR="007B4874" w:rsidRPr="004801EE">
        <w:rPr>
          <w:rFonts w:ascii="Times New Roman" w:hAnsi="Times New Roman"/>
          <w:color w:val="000000"/>
          <w:lang w:val="pt-BR"/>
        </w:rPr>
        <w:t>quando comparad</w:t>
      </w:r>
      <w:r w:rsidR="007B4874">
        <w:rPr>
          <w:rFonts w:ascii="Times New Roman" w:hAnsi="Times New Roman"/>
          <w:color w:val="000000"/>
          <w:lang w:val="pt-BR"/>
        </w:rPr>
        <w:t>a</w:t>
      </w:r>
      <w:r w:rsidRPr="004801EE">
        <w:rPr>
          <w:rFonts w:ascii="Times New Roman" w:hAnsi="Times New Roman"/>
          <w:color w:val="000000"/>
          <w:lang w:val="pt-BR"/>
        </w:rPr>
        <w:t xml:space="preserve"> com as demais rotas certificadas pela ASTM D7566</w:t>
      </w:r>
      <w:r w:rsidR="00B8471F">
        <w:rPr>
          <w:rFonts w:ascii="Times New Roman" w:hAnsi="Times New Roman"/>
          <w:color w:val="000000"/>
          <w:lang w:val="pt-BR"/>
        </w:rPr>
        <w:t xml:space="preserve"> </w:t>
      </w:r>
      <w:r w:rsidR="00D16318">
        <w:rPr>
          <w:rFonts w:ascii="Times New Roman" w:hAnsi="Times New Roman"/>
          <w:color w:val="000000"/>
          <w:lang w:val="pt-BR"/>
        </w:rPr>
        <w:t>(2)</w:t>
      </w:r>
      <w:r w:rsidRPr="004801EE">
        <w:rPr>
          <w:rFonts w:ascii="Times New Roman" w:hAnsi="Times New Roman"/>
          <w:color w:val="000000"/>
          <w:lang w:val="pt-BR"/>
        </w:rPr>
        <w:t xml:space="preserve">. Outra vantagem da </w:t>
      </w:r>
      <w:r w:rsidR="007B4874" w:rsidRPr="004801EE">
        <w:rPr>
          <w:rFonts w:ascii="Times New Roman" w:hAnsi="Times New Roman"/>
          <w:color w:val="000000"/>
          <w:lang w:val="pt-BR"/>
        </w:rPr>
        <w:t>rota de</w:t>
      </w:r>
      <w:r w:rsidRPr="004801EE">
        <w:rPr>
          <w:rFonts w:ascii="Times New Roman" w:hAnsi="Times New Roman"/>
          <w:color w:val="000000"/>
          <w:lang w:val="pt-BR"/>
        </w:rPr>
        <w:t xml:space="preserve"> </w:t>
      </w:r>
      <w:proofErr w:type="spellStart"/>
      <w:r w:rsidRPr="004801EE">
        <w:rPr>
          <w:rFonts w:ascii="Times New Roman" w:hAnsi="Times New Roman"/>
          <w:color w:val="000000"/>
          <w:lang w:val="pt-BR"/>
        </w:rPr>
        <w:t>hidroprocessamento</w:t>
      </w:r>
      <w:proofErr w:type="spellEnd"/>
      <w:r w:rsidRPr="004801EE">
        <w:rPr>
          <w:rFonts w:ascii="Times New Roman" w:hAnsi="Times New Roman"/>
          <w:color w:val="000000"/>
          <w:lang w:val="pt-BR"/>
        </w:rPr>
        <w:t xml:space="preserve"> é que ela pode ser facilmente integrada às refinarias de </w:t>
      </w:r>
      <w:r w:rsidR="007B4874" w:rsidRPr="004801EE">
        <w:rPr>
          <w:rFonts w:ascii="Times New Roman" w:hAnsi="Times New Roman"/>
          <w:color w:val="000000"/>
          <w:lang w:val="pt-BR"/>
        </w:rPr>
        <w:t>petróleo existentes</w:t>
      </w:r>
      <w:r w:rsidRPr="004801EE">
        <w:rPr>
          <w:rFonts w:ascii="Times New Roman" w:hAnsi="Times New Roman"/>
          <w:color w:val="000000"/>
          <w:lang w:val="pt-BR"/>
        </w:rPr>
        <w:t>, reduzindo assim os custos de capital</w:t>
      </w:r>
      <w:r w:rsidR="00CD726D">
        <w:rPr>
          <w:rFonts w:ascii="Times New Roman" w:hAnsi="Times New Roman"/>
          <w:color w:val="000000"/>
          <w:lang w:val="pt-BR"/>
        </w:rPr>
        <w:t xml:space="preserve"> </w:t>
      </w:r>
      <w:r w:rsidR="00A932E2">
        <w:rPr>
          <w:rFonts w:ascii="Times New Roman" w:hAnsi="Times New Roman"/>
          <w:color w:val="000000"/>
          <w:lang w:val="pt-BR"/>
        </w:rPr>
        <w:t>(3)</w:t>
      </w:r>
      <w:r w:rsidRPr="004801EE">
        <w:rPr>
          <w:rFonts w:ascii="Times New Roman" w:hAnsi="Times New Roman"/>
          <w:color w:val="000000"/>
          <w:lang w:val="pt-BR"/>
        </w:rPr>
        <w:t>.</w:t>
      </w:r>
    </w:p>
    <w:p w14:paraId="3B392342" w14:textId="4525847D" w:rsidR="002E6922" w:rsidRDefault="00397937" w:rsidP="002E6922">
      <w:pPr>
        <w:pStyle w:val="TAMainText"/>
        <w:rPr>
          <w:rFonts w:ascii="Times New Roman" w:hAnsi="Times New Roman"/>
          <w:lang w:val="pt-BR"/>
        </w:rPr>
      </w:pPr>
      <w:r w:rsidRPr="004801EE">
        <w:rPr>
          <w:rFonts w:ascii="Times New Roman" w:hAnsi="Times New Roman"/>
          <w:color w:val="000000"/>
          <w:lang w:val="pt-BR"/>
        </w:rPr>
        <w:t>A rota HEFA</w:t>
      </w:r>
      <w:r w:rsidR="00A23EB3">
        <w:rPr>
          <w:rFonts w:ascii="Times New Roman" w:hAnsi="Times New Roman"/>
          <w:color w:val="000000"/>
          <w:lang w:val="pt-BR"/>
        </w:rPr>
        <w:t xml:space="preserve"> </w:t>
      </w:r>
      <w:r w:rsidR="00A23EB3" w:rsidRPr="004801EE">
        <w:rPr>
          <w:rFonts w:ascii="Times New Roman" w:hAnsi="Times New Roman"/>
          <w:color w:val="000000"/>
          <w:lang w:val="pt-BR"/>
        </w:rPr>
        <w:t xml:space="preserve">promove a </w:t>
      </w:r>
      <w:r w:rsidR="007B4874" w:rsidRPr="004801EE">
        <w:rPr>
          <w:rFonts w:ascii="Times New Roman" w:hAnsi="Times New Roman"/>
          <w:color w:val="000000"/>
          <w:lang w:val="pt-BR"/>
        </w:rPr>
        <w:t>remoção do</w:t>
      </w:r>
      <w:r w:rsidR="00A23EB3" w:rsidRPr="004801EE">
        <w:rPr>
          <w:rFonts w:ascii="Times New Roman" w:hAnsi="Times New Roman"/>
          <w:color w:val="000000"/>
          <w:lang w:val="pt-BR"/>
        </w:rPr>
        <w:t xml:space="preserve"> oxigênio que compõe as moléculas de éster e ácidos graxos</w:t>
      </w:r>
      <w:r w:rsidR="002E6922">
        <w:rPr>
          <w:rFonts w:ascii="Times New Roman" w:hAnsi="Times New Roman"/>
          <w:color w:val="000000"/>
          <w:lang w:val="pt-BR"/>
        </w:rPr>
        <w:t xml:space="preserve"> </w:t>
      </w:r>
      <w:r w:rsidR="002E6922" w:rsidRPr="5D775B70">
        <w:rPr>
          <w:rFonts w:ascii="Times New Roman" w:hAnsi="Times New Roman"/>
          <w:lang w:val="pt-BR"/>
        </w:rPr>
        <w:t xml:space="preserve">por meio da combinação de reações de </w:t>
      </w:r>
      <w:proofErr w:type="spellStart"/>
      <w:r w:rsidR="002E6922" w:rsidRPr="5D775B70">
        <w:rPr>
          <w:rFonts w:ascii="Times New Roman" w:hAnsi="Times New Roman"/>
          <w:lang w:val="pt-BR"/>
        </w:rPr>
        <w:t>hidrodesoxigenação</w:t>
      </w:r>
      <w:proofErr w:type="spellEnd"/>
      <w:r w:rsidR="002E6922" w:rsidRPr="5D775B70">
        <w:rPr>
          <w:rFonts w:ascii="Times New Roman" w:hAnsi="Times New Roman"/>
          <w:lang w:val="pt-BR"/>
        </w:rPr>
        <w:t xml:space="preserve"> (HDO), </w:t>
      </w:r>
      <w:r w:rsidR="002E6922" w:rsidRPr="5D775B70">
        <w:rPr>
          <w:rFonts w:ascii="Times New Roman" w:hAnsi="Times New Roman"/>
          <w:lang w:val="pt-BR"/>
        </w:rPr>
        <w:t>descarboxilação (</w:t>
      </w:r>
      <w:proofErr w:type="spellStart"/>
      <w:r w:rsidR="002E6922" w:rsidRPr="5D775B70">
        <w:rPr>
          <w:rFonts w:ascii="Times New Roman" w:hAnsi="Times New Roman"/>
          <w:lang w:val="pt-BR"/>
        </w:rPr>
        <w:t>DCOx</w:t>
      </w:r>
      <w:proofErr w:type="spellEnd"/>
      <w:r w:rsidR="002E6922" w:rsidRPr="5D775B70">
        <w:rPr>
          <w:rFonts w:ascii="Times New Roman" w:hAnsi="Times New Roman"/>
          <w:lang w:val="pt-BR"/>
        </w:rPr>
        <w:t xml:space="preserve">) e </w:t>
      </w:r>
      <w:proofErr w:type="spellStart"/>
      <w:r w:rsidR="002E6922" w:rsidRPr="5D775B70">
        <w:rPr>
          <w:rFonts w:ascii="Times New Roman" w:hAnsi="Times New Roman"/>
          <w:lang w:val="pt-BR"/>
        </w:rPr>
        <w:t>descarbonilação</w:t>
      </w:r>
      <w:proofErr w:type="spellEnd"/>
      <w:r w:rsidR="002E6922" w:rsidRPr="5D775B70">
        <w:rPr>
          <w:rFonts w:ascii="Times New Roman" w:hAnsi="Times New Roman"/>
          <w:lang w:val="pt-BR"/>
        </w:rPr>
        <w:t xml:space="preserve"> (DCO)</w:t>
      </w:r>
      <w:r w:rsidR="00A932E2">
        <w:rPr>
          <w:rFonts w:ascii="Times New Roman" w:hAnsi="Times New Roman"/>
          <w:lang w:val="pt-BR"/>
        </w:rPr>
        <w:t xml:space="preserve"> (4</w:t>
      </w:r>
      <w:r w:rsidR="003C3811">
        <w:rPr>
          <w:rFonts w:ascii="Times New Roman" w:hAnsi="Times New Roman"/>
          <w:lang w:val="pt-BR"/>
        </w:rPr>
        <w:t xml:space="preserve">). </w:t>
      </w:r>
      <w:r w:rsidR="002E6922" w:rsidRPr="5D775B70">
        <w:rPr>
          <w:rFonts w:ascii="Times New Roman" w:hAnsi="Times New Roman"/>
          <w:lang w:val="pt-BR"/>
        </w:rPr>
        <w:t xml:space="preserve">Alcanos com o mesmo número de carbono da molécula de éster e ácidos graxos são formados por meio de HDO, enquanto alcanos com menor cadeia carbônica são formados por meio das reações de </w:t>
      </w:r>
      <w:proofErr w:type="spellStart"/>
      <w:r w:rsidR="002E6922" w:rsidRPr="5D775B70">
        <w:rPr>
          <w:rFonts w:ascii="Times New Roman" w:hAnsi="Times New Roman"/>
          <w:lang w:val="pt-BR"/>
        </w:rPr>
        <w:t>DCOx</w:t>
      </w:r>
      <w:proofErr w:type="spellEnd"/>
      <w:r w:rsidR="002E6922" w:rsidRPr="5D775B70">
        <w:rPr>
          <w:rFonts w:ascii="Times New Roman" w:hAnsi="Times New Roman"/>
          <w:lang w:val="pt-BR"/>
        </w:rPr>
        <w:t xml:space="preserve"> e DCO a partir das moléculas de éster e ácidos graxos</w:t>
      </w:r>
      <w:r w:rsidR="00A932E2">
        <w:rPr>
          <w:rFonts w:ascii="Times New Roman" w:hAnsi="Times New Roman"/>
          <w:lang w:val="pt-BR"/>
        </w:rPr>
        <w:t xml:space="preserve"> (5)</w:t>
      </w:r>
      <w:r w:rsidR="002E6922" w:rsidRPr="5D775B70">
        <w:rPr>
          <w:rFonts w:ascii="Times New Roman" w:hAnsi="Times New Roman"/>
          <w:lang w:val="pt-BR"/>
        </w:rPr>
        <w:t>.</w:t>
      </w:r>
      <w:r w:rsidR="002E6922">
        <w:rPr>
          <w:rFonts w:ascii="Times New Roman" w:hAnsi="Times New Roman"/>
          <w:lang w:val="pt-BR"/>
        </w:rPr>
        <w:t xml:space="preserve"> </w:t>
      </w:r>
      <w:r w:rsidR="002E6922" w:rsidRPr="5D775B70">
        <w:rPr>
          <w:rFonts w:ascii="Times New Roman" w:hAnsi="Times New Roman"/>
          <w:lang w:val="pt-BR"/>
        </w:rPr>
        <w:t>As equações abaixo</w:t>
      </w:r>
      <w:r w:rsidR="003C3811">
        <w:rPr>
          <w:rFonts w:ascii="Times New Roman" w:hAnsi="Times New Roman"/>
          <w:lang w:val="pt-BR"/>
        </w:rPr>
        <w:t xml:space="preserve"> 1-3</w:t>
      </w:r>
      <w:r w:rsidR="002E6922" w:rsidRPr="5D775B70">
        <w:rPr>
          <w:rFonts w:ascii="Times New Roman" w:hAnsi="Times New Roman"/>
          <w:lang w:val="pt-BR"/>
        </w:rPr>
        <w:t xml:space="preserve"> servem como exemplo de uma molécula saturada (</w:t>
      </w:r>
      <w:proofErr w:type="spellStart"/>
      <w:r w:rsidR="002E6922" w:rsidRPr="5D775B70">
        <w:rPr>
          <w:rFonts w:ascii="Times New Roman" w:hAnsi="Times New Roman"/>
          <w:lang w:val="pt-BR"/>
        </w:rPr>
        <w:t>triglicerídio</w:t>
      </w:r>
      <w:proofErr w:type="spellEnd"/>
      <w:r w:rsidR="002E6922" w:rsidRPr="5D775B70">
        <w:rPr>
          <w:rFonts w:ascii="Times New Roman" w:hAnsi="Times New Roman"/>
          <w:lang w:val="pt-BR"/>
        </w:rPr>
        <w:t xml:space="preserve"> láurico).</w:t>
      </w:r>
    </w:p>
    <w:p w14:paraId="192CC9E0" w14:textId="77777777" w:rsidR="002E6922" w:rsidRDefault="002E6922" w:rsidP="002E6922">
      <w:pPr>
        <w:pStyle w:val="TAMainText"/>
        <w:rPr>
          <w:rFonts w:ascii="Times New Roman" w:hAnsi="Times New Roman"/>
          <w:lang w:val="pt-BR"/>
        </w:rPr>
      </w:pPr>
    </w:p>
    <w:p w14:paraId="00F3B0EB" w14:textId="22225B97" w:rsidR="002E6922" w:rsidRPr="00735D9A" w:rsidRDefault="002E6922" w:rsidP="007C279A">
      <w:pPr>
        <w:pStyle w:val="TAMainText"/>
        <w:ind w:firstLine="0"/>
        <w:rPr>
          <w:rFonts w:ascii="Times New Roman" w:hAnsi="Times New Roman"/>
          <w:lang w:val="pt-BR"/>
        </w:rPr>
      </w:pPr>
      <w:r w:rsidRPr="00735D9A">
        <w:rPr>
          <w:rFonts w:ascii="Times New Roman" w:hAnsi="Times New Roman"/>
          <w:lang w:val="pt-BR"/>
        </w:rPr>
        <w:t>HDO: C</w:t>
      </w:r>
      <w:r w:rsidRPr="00907E3D">
        <w:rPr>
          <w:rFonts w:ascii="Times New Roman" w:hAnsi="Times New Roman"/>
          <w:vertAlign w:val="subscript"/>
          <w:lang w:val="pt-BR"/>
        </w:rPr>
        <w:t>39</w:t>
      </w:r>
      <w:r w:rsidRPr="00735D9A">
        <w:rPr>
          <w:rFonts w:ascii="Times New Roman" w:hAnsi="Times New Roman"/>
          <w:lang w:val="pt-BR"/>
        </w:rPr>
        <w:t>H</w:t>
      </w:r>
      <w:r w:rsidRPr="00907E3D">
        <w:rPr>
          <w:rFonts w:ascii="Times New Roman" w:hAnsi="Times New Roman"/>
          <w:vertAlign w:val="subscript"/>
          <w:lang w:val="pt-BR"/>
        </w:rPr>
        <w:t>74</w:t>
      </w:r>
      <w:r w:rsidRPr="00735D9A">
        <w:rPr>
          <w:rFonts w:ascii="Times New Roman" w:hAnsi="Times New Roman"/>
          <w:lang w:val="pt-BR"/>
        </w:rPr>
        <w:t>O</w:t>
      </w:r>
      <w:r w:rsidRPr="00907E3D">
        <w:rPr>
          <w:rFonts w:ascii="Times New Roman" w:hAnsi="Times New Roman"/>
          <w:vertAlign w:val="subscript"/>
          <w:lang w:val="pt-BR"/>
        </w:rPr>
        <w:t>6</w:t>
      </w:r>
      <w:r w:rsidRPr="00735D9A">
        <w:rPr>
          <w:rFonts w:ascii="Times New Roman" w:hAnsi="Times New Roman"/>
          <w:lang w:val="pt-BR"/>
        </w:rPr>
        <w:t xml:space="preserve"> + 12H</w:t>
      </w:r>
      <w:r w:rsidRPr="00907E3D">
        <w:rPr>
          <w:rFonts w:ascii="Times New Roman" w:hAnsi="Times New Roman"/>
          <w:vertAlign w:val="subscript"/>
          <w:lang w:val="pt-BR"/>
        </w:rPr>
        <w:t>2</w:t>
      </w:r>
      <w:r w:rsidRPr="00735D9A">
        <w:rPr>
          <w:rFonts w:ascii="Times New Roman" w:hAnsi="Times New Roman"/>
          <w:lang w:val="pt-BR"/>
        </w:rPr>
        <w:t xml:space="preserve"> → 3C</w:t>
      </w:r>
      <w:r w:rsidRPr="00907E3D">
        <w:rPr>
          <w:rFonts w:ascii="Times New Roman" w:hAnsi="Times New Roman"/>
          <w:vertAlign w:val="subscript"/>
          <w:lang w:val="pt-BR"/>
        </w:rPr>
        <w:t>12</w:t>
      </w:r>
      <w:r w:rsidRPr="00735D9A">
        <w:rPr>
          <w:rFonts w:ascii="Times New Roman" w:hAnsi="Times New Roman"/>
          <w:lang w:val="pt-BR"/>
        </w:rPr>
        <w:t>H</w:t>
      </w:r>
      <w:r w:rsidRPr="00907E3D">
        <w:rPr>
          <w:rFonts w:ascii="Times New Roman" w:hAnsi="Times New Roman"/>
          <w:vertAlign w:val="subscript"/>
          <w:lang w:val="pt-BR"/>
        </w:rPr>
        <w:t>26</w:t>
      </w:r>
      <w:r w:rsidRPr="00735D9A">
        <w:rPr>
          <w:rFonts w:ascii="Times New Roman" w:hAnsi="Times New Roman"/>
          <w:lang w:val="pt-BR"/>
        </w:rPr>
        <w:t xml:space="preserve"> + C</w:t>
      </w:r>
      <w:r w:rsidRPr="00907E3D">
        <w:rPr>
          <w:rFonts w:ascii="Times New Roman" w:hAnsi="Times New Roman"/>
          <w:vertAlign w:val="subscript"/>
          <w:lang w:val="pt-BR"/>
        </w:rPr>
        <w:t>3</w:t>
      </w:r>
      <w:r w:rsidRPr="00735D9A">
        <w:rPr>
          <w:rFonts w:ascii="Times New Roman" w:hAnsi="Times New Roman"/>
          <w:lang w:val="pt-BR"/>
        </w:rPr>
        <w:t>H</w:t>
      </w:r>
      <w:r w:rsidRPr="00907E3D">
        <w:rPr>
          <w:rFonts w:ascii="Times New Roman" w:hAnsi="Times New Roman"/>
          <w:vertAlign w:val="subscript"/>
          <w:lang w:val="pt-BR"/>
        </w:rPr>
        <w:t>8</w:t>
      </w:r>
      <w:r w:rsidRPr="00735D9A">
        <w:rPr>
          <w:rFonts w:ascii="Times New Roman" w:hAnsi="Times New Roman"/>
          <w:lang w:val="pt-BR"/>
        </w:rPr>
        <w:t xml:space="preserve"> + 6H</w:t>
      </w:r>
      <w:r w:rsidRPr="00907E3D">
        <w:rPr>
          <w:rFonts w:ascii="Times New Roman" w:hAnsi="Times New Roman"/>
          <w:vertAlign w:val="subscript"/>
          <w:lang w:val="pt-BR"/>
        </w:rPr>
        <w:t>2</w:t>
      </w:r>
      <w:r w:rsidRPr="00735D9A">
        <w:rPr>
          <w:rFonts w:ascii="Times New Roman" w:hAnsi="Times New Roman"/>
          <w:lang w:val="pt-BR"/>
        </w:rPr>
        <w:t xml:space="preserve">O </w:t>
      </w:r>
      <w:r w:rsidR="00B33750">
        <w:rPr>
          <w:rFonts w:ascii="Times New Roman" w:hAnsi="Times New Roman"/>
          <w:lang w:val="pt-BR"/>
        </w:rPr>
        <w:t xml:space="preserve">         </w:t>
      </w:r>
      <w:proofErr w:type="gramStart"/>
      <w:r w:rsidR="00B33750">
        <w:rPr>
          <w:rFonts w:ascii="Times New Roman" w:hAnsi="Times New Roman"/>
          <w:lang w:val="pt-BR"/>
        </w:rPr>
        <w:t xml:space="preserve">   </w:t>
      </w:r>
      <w:r w:rsidR="003C3811">
        <w:rPr>
          <w:rFonts w:ascii="Times New Roman" w:hAnsi="Times New Roman"/>
          <w:lang w:val="pt-BR"/>
        </w:rPr>
        <w:t>(</w:t>
      </w:r>
      <w:proofErr w:type="gramEnd"/>
      <w:r w:rsidR="003C3811">
        <w:rPr>
          <w:rFonts w:ascii="Times New Roman" w:hAnsi="Times New Roman"/>
          <w:lang w:val="pt-BR"/>
        </w:rPr>
        <w:t>1)</w:t>
      </w:r>
    </w:p>
    <w:p w14:paraId="1FD6DB73" w14:textId="77777777" w:rsidR="002E6922" w:rsidRPr="00735D9A" w:rsidRDefault="002E6922" w:rsidP="002E6922">
      <w:pPr>
        <w:pStyle w:val="TAMainText"/>
        <w:rPr>
          <w:rFonts w:ascii="Times New Roman" w:hAnsi="Times New Roman"/>
          <w:lang w:val="pt-BR"/>
        </w:rPr>
      </w:pPr>
    </w:p>
    <w:p w14:paraId="10AD8779" w14:textId="50818CA7" w:rsidR="002E6922" w:rsidRPr="00735D9A" w:rsidRDefault="002E6922" w:rsidP="007C279A">
      <w:pPr>
        <w:pStyle w:val="TAMainText"/>
        <w:ind w:firstLine="0"/>
        <w:rPr>
          <w:rFonts w:ascii="Times New Roman" w:hAnsi="Times New Roman"/>
          <w:lang w:val="pt-BR"/>
        </w:rPr>
      </w:pPr>
      <w:proofErr w:type="spellStart"/>
      <w:r w:rsidRPr="00735D9A">
        <w:rPr>
          <w:rFonts w:ascii="Times New Roman" w:hAnsi="Times New Roman"/>
          <w:lang w:val="pt-BR"/>
        </w:rPr>
        <w:t>DCOx</w:t>
      </w:r>
      <w:proofErr w:type="spellEnd"/>
      <w:r w:rsidRPr="00735D9A">
        <w:rPr>
          <w:rFonts w:ascii="Times New Roman" w:hAnsi="Times New Roman"/>
          <w:lang w:val="pt-BR"/>
        </w:rPr>
        <w:t>: C</w:t>
      </w:r>
      <w:r w:rsidRPr="00907E3D">
        <w:rPr>
          <w:rFonts w:ascii="Times New Roman" w:hAnsi="Times New Roman"/>
          <w:vertAlign w:val="subscript"/>
          <w:lang w:val="pt-BR"/>
        </w:rPr>
        <w:t>39</w:t>
      </w:r>
      <w:r w:rsidRPr="00735D9A">
        <w:rPr>
          <w:rFonts w:ascii="Times New Roman" w:hAnsi="Times New Roman"/>
          <w:lang w:val="pt-BR"/>
        </w:rPr>
        <w:t>H</w:t>
      </w:r>
      <w:r w:rsidRPr="00907E3D">
        <w:rPr>
          <w:rFonts w:ascii="Times New Roman" w:hAnsi="Times New Roman"/>
          <w:vertAlign w:val="subscript"/>
          <w:lang w:val="pt-BR"/>
        </w:rPr>
        <w:t>74</w:t>
      </w:r>
      <w:r w:rsidRPr="00735D9A">
        <w:rPr>
          <w:rFonts w:ascii="Times New Roman" w:hAnsi="Times New Roman"/>
          <w:lang w:val="pt-BR"/>
        </w:rPr>
        <w:t>O</w:t>
      </w:r>
      <w:r w:rsidRPr="00907E3D">
        <w:rPr>
          <w:rFonts w:ascii="Times New Roman" w:hAnsi="Times New Roman"/>
          <w:vertAlign w:val="subscript"/>
          <w:lang w:val="pt-BR"/>
        </w:rPr>
        <w:t>6</w:t>
      </w:r>
      <w:r w:rsidRPr="00735D9A">
        <w:rPr>
          <w:rFonts w:ascii="Times New Roman" w:hAnsi="Times New Roman"/>
          <w:lang w:val="pt-BR"/>
        </w:rPr>
        <w:t xml:space="preserve"> + 3H</w:t>
      </w:r>
      <w:r w:rsidRPr="00907E3D">
        <w:rPr>
          <w:rFonts w:ascii="Times New Roman" w:hAnsi="Times New Roman"/>
          <w:vertAlign w:val="subscript"/>
          <w:lang w:val="pt-BR"/>
        </w:rPr>
        <w:t>2</w:t>
      </w:r>
      <w:r w:rsidRPr="00735D9A">
        <w:rPr>
          <w:rFonts w:ascii="Times New Roman" w:hAnsi="Times New Roman"/>
          <w:lang w:val="pt-BR"/>
        </w:rPr>
        <w:t xml:space="preserve"> → 3C</w:t>
      </w:r>
      <w:r w:rsidRPr="00907E3D">
        <w:rPr>
          <w:rFonts w:ascii="Times New Roman" w:hAnsi="Times New Roman"/>
          <w:vertAlign w:val="subscript"/>
          <w:lang w:val="pt-BR"/>
        </w:rPr>
        <w:t>11</w:t>
      </w:r>
      <w:r w:rsidRPr="00735D9A">
        <w:rPr>
          <w:rFonts w:ascii="Times New Roman" w:hAnsi="Times New Roman"/>
          <w:lang w:val="pt-BR"/>
        </w:rPr>
        <w:t>H</w:t>
      </w:r>
      <w:r w:rsidRPr="00907E3D">
        <w:rPr>
          <w:rFonts w:ascii="Times New Roman" w:hAnsi="Times New Roman"/>
          <w:vertAlign w:val="subscript"/>
          <w:lang w:val="pt-BR"/>
        </w:rPr>
        <w:t>24</w:t>
      </w:r>
      <w:r w:rsidRPr="00735D9A">
        <w:rPr>
          <w:rFonts w:ascii="Times New Roman" w:hAnsi="Times New Roman"/>
          <w:lang w:val="pt-BR"/>
        </w:rPr>
        <w:t xml:space="preserve"> + C</w:t>
      </w:r>
      <w:r w:rsidRPr="00907E3D">
        <w:rPr>
          <w:rFonts w:ascii="Times New Roman" w:hAnsi="Times New Roman"/>
          <w:vertAlign w:val="subscript"/>
          <w:lang w:val="pt-BR"/>
        </w:rPr>
        <w:t>3</w:t>
      </w:r>
      <w:r w:rsidRPr="00735D9A">
        <w:rPr>
          <w:rFonts w:ascii="Times New Roman" w:hAnsi="Times New Roman"/>
          <w:lang w:val="pt-BR"/>
        </w:rPr>
        <w:t>H</w:t>
      </w:r>
      <w:r w:rsidRPr="00907E3D">
        <w:rPr>
          <w:rFonts w:ascii="Times New Roman" w:hAnsi="Times New Roman"/>
          <w:vertAlign w:val="subscript"/>
          <w:lang w:val="pt-BR"/>
        </w:rPr>
        <w:t>8</w:t>
      </w:r>
      <w:r w:rsidRPr="00735D9A">
        <w:rPr>
          <w:rFonts w:ascii="Times New Roman" w:hAnsi="Times New Roman"/>
          <w:lang w:val="pt-BR"/>
        </w:rPr>
        <w:t xml:space="preserve"> + 3CO</w:t>
      </w:r>
      <w:r w:rsidRPr="00907E3D">
        <w:rPr>
          <w:rFonts w:ascii="Times New Roman" w:hAnsi="Times New Roman"/>
          <w:vertAlign w:val="subscript"/>
          <w:lang w:val="pt-BR"/>
        </w:rPr>
        <w:t>2</w:t>
      </w:r>
      <w:r w:rsidRPr="00735D9A">
        <w:rPr>
          <w:rFonts w:ascii="Times New Roman" w:hAnsi="Times New Roman"/>
          <w:lang w:val="pt-BR"/>
        </w:rPr>
        <w:t xml:space="preserve">     </w:t>
      </w:r>
      <w:r w:rsidR="00B33750">
        <w:rPr>
          <w:rFonts w:ascii="Times New Roman" w:hAnsi="Times New Roman"/>
          <w:lang w:val="pt-BR"/>
        </w:rPr>
        <w:t xml:space="preserve"> </w:t>
      </w:r>
      <w:proofErr w:type="gramStart"/>
      <w:r w:rsidR="00B33750">
        <w:rPr>
          <w:rFonts w:ascii="Times New Roman" w:hAnsi="Times New Roman"/>
          <w:lang w:val="pt-BR"/>
        </w:rPr>
        <w:t xml:space="preserve">   </w:t>
      </w:r>
      <w:r w:rsidR="003C3811">
        <w:rPr>
          <w:rFonts w:ascii="Times New Roman" w:hAnsi="Times New Roman"/>
          <w:lang w:val="pt-BR"/>
        </w:rPr>
        <w:t>(</w:t>
      </w:r>
      <w:proofErr w:type="gramEnd"/>
      <w:r w:rsidR="003C3811">
        <w:rPr>
          <w:rFonts w:ascii="Times New Roman" w:hAnsi="Times New Roman"/>
          <w:lang w:val="pt-BR"/>
        </w:rPr>
        <w:t>2)</w:t>
      </w:r>
      <w:r w:rsidRPr="00735D9A">
        <w:rPr>
          <w:rFonts w:ascii="Times New Roman" w:hAnsi="Times New Roman"/>
          <w:lang w:val="pt-BR"/>
        </w:rPr>
        <w:t xml:space="preserve">               </w:t>
      </w:r>
    </w:p>
    <w:p w14:paraId="79C210E8" w14:textId="77777777" w:rsidR="00B33750" w:rsidRPr="00735D9A" w:rsidRDefault="00B33750" w:rsidP="002E6922">
      <w:pPr>
        <w:pStyle w:val="TAMainText"/>
        <w:rPr>
          <w:rFonts w:ascii="Times New Roman" w:hAnsi="Times New Roman"/>
          <w:lang w:val="pt-BR"/>
        </w:rPr>
      </w:pPr>
    </w:p>
    <w:p w14:paraId="794FC79B" w14:textId="1D421F23" w:rsidR="002E6922" w:rsidRPr="00735D9A" w:rsidRDefault="002E6922" w:rsidP="007C279A">
      <w:pPr>
        <w:pStyle w:val="TAMainText"/>
        <w:ind w:firstLine="0"/>
        <w:rPr>
          <w:rFonts w:ascii="Times New Roman" w:hAnsi="Times New Roman"/>
          <w:lang w:val="pt-BR"/>
        </w:rPr>
      </w:pPr>
      <w:r w:rsidRPr="00735D9A">
        <w:rPr>
          <w:rFonts w:ascii="Times New Roman" w:hAnsi="Times New Roman"/>
          <w:lang w:val="pt-BR"/>
        </w:rPr>
        <w:t>DCO: C</w:t>
      </w:r>
      <w:r w:rsidRPr="00907E3D">
        <w:rPr>
          <w:rFonts w:ascii="Times New Roman" w:hAnsi="Times New Roman"/>
          <w:vertAlign w:val="subscript"/>
          <w:lang w:val="pt-BR"/>
        </w:rPr>
        <w:t>39</w:t>
      </w:r>
      <w:r w:rsidRPr="00735D9A">
        <w:rPr>
          <w:rFonts w:ascii="Times New Roman" w:hAnsi="Times New Roman"/>
          <w:lang w:val="pt-BR"/>
        </w:rPr>
        <w:t>H</w:t>
      </w:r>
      <w:r w:rsidRPr="00907E3D">
        <w:rPr>
          <w:rFonts w:ascii="Times New Roman" w:hAnsi="Times New Roman"/>
          <w:vertAlign w:val="subscript"/>
          <w:lang w:val="pt-BR"/>
        </w:rPr>
        <w:t>74</w:t>
      </w:r>
      <w:r w:rsidRPr="00735D9A">
        <w:rPr>
          <w:rFonts w:ascii="Times New Roman" w:hAnsi="Times New Roman"/>
          <w:lang w:val="pt-BR"/>
        </w:rPr>
        <w:t>O</w:t>
      </w:r>
      <w:r w:rsidRPr="00907E3D">
        <w:rPr>
          <w:rFonts w:ascii="Times New Roman" w:hAnsi="Times New Roman"/>
          <w:vertAlign w:val="subscript"/>
          <w:lang w:val="pt-BR"/>
        </w:rPr>
        <w:t>6</w:t>
      </w:r>
      <w:r w:rsidRPr="00735D9A">
        <w:rPr>
          <w:rFonts w:ascii="Times New Roman" w:hAnsi="Times New Roman"/>
          <w:lang w:val="pt-BR"/>
        </w:rPr>
        <w:t xml:space="preserve"> + 6H</w:t>
      </w:r>
      <w:r w:rsidRPr="00907E3D">
        <w:rPr>
          <w:rFonts w:ascii="Times New Roman" w:hAnsi="Times New Roman"/>
          <w:vertAlign w:val="subscript"/>
          <w:lang w:val="pt-BR"/>
        </w:rPr>
        <w:t>2</w:t>
      </w:r>
      <w:r w:rsidRPr="00735D9A">
        <w:rPr>
          <w:rFonts w:ascii="Times New Roman" w:hAnsi="Times New Roman"/>
          <w:lang w:val="pt-BR"/>
        </w:rPr>
        <w:t xml:space="preserve"> →3C</w:t>
      </w:r>
      <w:r w:rsidRPr="00907E3D">
        <w:rPr>
          <w:rFonts w:ascii="Times New Roman" w:hAnsi="Times New Roman"/>
          <w:vertAlign w:val="subscript"/>
          <w:lang w:val="pt-BR"/>
        </w:rPr>
        <w:t>11</w:t>
      </w:r>
      <w:r w:rsidRPr="00735D9A">
        <w:rPr>
          <w:rFonts w:ascii="Times New Roman" w:hAnsi="Times New Roman"/>
          <w:lang w:val="pt-BR"/>
        </w:rPr>
        <w:t>H</w:t>
      </w:r>
      <w:r w:rsidRPr="00907E3D">
        <w:rPr>
          <w:rFonts w:ascii="Times New Roman" w:hAnsi="Times New Roman"/>
          <w:vertAlign w:val="subscript"/>
          <w:lang w:val="pt-BR"/>
        </w:rPr>
        <w:t>24</w:t>
      </w:r>
      <w:r w:rsidRPr="00735D9A">
        <w:rPr>
          <w:rFonts w:ascii="Times New Roman" w:hAnsi="Times New Roman"/>
          <w:lang w:val="pt-BR"/>
        </w:rPr>
        <w:t xml:space="preserve"> + C</w:t>
      </w:r>
      <w:r w:rsidRPr="00907E3D">
        <w:rPr>
          <w:rFonts w:ascii="Times New Roman" w:hAnsi="Times New Roman"/>
          <w:vertAlign w:val="subscript"/>
          <w:lang w:val="pt-BR"/>
        </w:rPr>
        <w:t>3</w:t>
      </w:r>
      <w:r w:rsidRPr="00735D9A">
        <w:rPr>
          <w:rFonts w:ascii="Times New Roman" w:hAnsi="Times New Roman"/>
          <w:lang w:val="pt-BR"/>
        </w:rPr>
        <w:t>H</w:t>
      </w:r>
      <w:r w:rsidRPr="00907E3D">
        <w:rPr>
          <w:rFonts w:ascii="Times New Roman" w:hAnsi="Times New Roman"/>
          <w:vertAlign w:val="subscript"/>
          <w:lang w:val="pt-BR"/>
        </w:rPr>
        <w:t>8</w:t>
      </w:r>
      <w:r w:rsidRPr="00735D9A">
        <w:rPr>
          <w:rFonts w:ascii="Times New Roman" w:hAnsi="Times New Roman"/>
          <w:lang w:val="pt-BR"/>
        </w:rPr>
        <w:t xml:space="preserve"> + 3CO +</w:t>
      </w:r>
      <w:r>
        <w:rPr>
          <w:rFonts w:ascii="Times New Roman" w:hAnsi="Times New Roman"/>
          <w:lang w:val="pt-BR"/>
        </w:rPr>
        <w:t xml:space="preserve"> </w:t>
      </w:r>
      <w:r w:rsidRPr="00735D9A">
        <w:rPr>
          <w:rFonts w:ascii="Times New Roman" w:hAnsi="Times New Roman"/>
          <w:lang w:val="pt-BR"/>
        </w:rPr>
        <w:t>3H</w:t>
      </w:r>
      <w:r w:rsidRPr="00907E3D">
        <w:rPr>
          <w:rFonts w:ascii="Times New Roman" w:hAnsi="Times New Roman"/>
          <w:vertAlign w:val="subscript"/>
          <w:lang w:val="pt-BR"/>
        </w:rPr>
        <w:t>2</w:t>
      </w:r>
      <w:r w:rsidRPr="00735D9A">
        <w:rPr>
          <w:rFonts w:ascii="Times New Roman" w:hAnsi="Times New Roman"/>
          <w:lang w:val="pt-BR"/>
        </w:rPr>
        <w:t>O</w:t>
      </w:r>
      <w:r w:rsidR="008C08CF">
        <w:rPr>
          <w:rFonts w:ascii="Times New Roman" w:hAnsi="Times New Roman"/>
          <w:lang w:val="pt-BR"/>
        </w:rPr>
        <w:t xml:space="preserve"> </w:t>
      </w:r>
      <w:r w:rsidR="003C3811">
        <w:rPr>
          <w:rFonts w:ascii="Times New Roman" w:hAnsi="Times New Roman"/>
          <w:lang w:val="pt-BR"/>
        </w:rPr>
        <w:t>(3)</w:t>
      </w:r>
    </w:p>
    <w:p w14:paraId="3B42B46E" w14:textId="77777777" w:rsidR="002E6922" w:rsidRDefault="002E6922" w:rsidP="002E6922">
      <w:pPr>
        <w:pStyle w:val="TAMainText"/>
        <w:ind w:firstLine="0"/>
        <w:rPr>
          <w:rFonts w:ascii="Times New Roman" w:hAnsi="Times New Roman"/>
          <w:color w:val="000000"/>
          <w:lang w:val="pt-BR"/>
        </w:rPr>
      </w:pPr>
    </w:p>
    <w:p w14:paraId="3407F147" w14:textId="3B75E8E5" w:rsidR="003B15B1" w:rsidRPr="004801EE" w:rsidRDefault="002E6922" w:rsidP="003B15B1">
      <w:pPr>
        <w:pStyle w:val="TAMainText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lastRenderedPageBreak/>
        <w:t xml:space="preserve">Neste contexto, são necessários </w:t>
      </w:r>
      <w:r w:rsidR="007B4874" w:rsidRPr="004801EE">
        <w:rPr>
          <w:rFonts w:ascii="Times New Roman" w:hAnsi="Times New Roman"/>
          <w:color w:val="000000"/>
          <w:lang w:val="pt-BR"/>
        </w:rPr>
        <w:t>catalisadores</w:t>
      </w:r>
      <w:r w:rsidR="00A23EB3" w:rsidRPr="004801EE">
        <w:rPr>
          <w:rFonts w:ascii="Times New Roman" w:hAnsi="Times New Roman"/>
          <w:color w:val="000000"/>
          <w:lang w:val="pt-BR"/>
        </w:rPr>
        <w:t xml:space="preserve"> capazes de </w:t>
      </w:r>
      <w:r>
        <w:rPr>
          <w:rFonts w:ascii="Times New Roman" w:hAnsi="Times New Roman"/>
          <w:color w:val="000000"/>
          <w:lang w:val="pt-BR"/>
        </w:rPr>
        <w:t>promover</w:t>
      </w:r>
      <w:r w:rsidR="00A23EB3" w:rsidRPr="004801EE">
        <w:rPr>
          <w:rFonts w:ascii="Times New Roman" w:hAnsi="Times New Roman"/>
          <w:color w:val="000000"/>
          <w:lang w:val="pt-BR"/>
        </w:rPr>
        <w:t xml:space="preserve"> as</w:t>
      </w:r>
      <w:r>
        <w:rPr>
          <w:rFonts w:ascii="Times New Roman" w:hAnsi="Times New Roman"/>
          <w:color w:val="000000"/>
          <w:lang w:val="pt-BR"/>
        </w:rPr>
        <w:t xml:space="preserve"> reações de HDO, </w:t>
      </w:r>
      <w:proofErr w:type="spellStart"/>
      <w:r>
        <w:rPr>
          <w:rFonts w:ascii="Times New Roman" w:hAnsi="Times New Roman"/>
          <w:color w:val="000000"/>
          <w:lang w:val="pt-BR"/>
        </w:rPr>
        <w:t>DCOx</w:t>
      </w:r>
      <w:proofErr w:type="spellEnd"/>
      <w:r>
        <w:rPr>
          <w:rFonts w:ascii="Times New Roman" w:hAnsi="Times New Roman"/>
          <w:color w:val="000000"/>
          <w:lang w:val="pt-BR"/>
        </w:rPr>
        <w:t xml:space="preserve"> e DCO nas</w:t>
      </w:r>
      <w:r w:rsidR="00A23EB3" w:rsidRPr="004801EE">
        <w:rPr>
          <w:rFonts w:ascii="Times New Roman" w:hAnsi="Times New Roman"/>
          <w:color w:val="000000"/>
          <w:lang w:val="pt-BR"/>
        </w:rPr>
        <w:t xml:space="preserve"> moléculas que compõem o óleo vegetal</w:t>
      </w:r>
      <w:r w:rsidR="00A932E2">
        <w:rPr>
          <w:rFonts w:ascii="Times New Roman" w:hAnsi="Times New Roman"/>
          <w:color w:val="000000"/>
          <w:lang w:val="pt-BR"/>
        </w:rPr>
        <w:t xml:space="preserve"> (6)</w:t>
      </w:r>
      <w:r w:rsidR="003C3811">
        <w:rPr>
          <w:rFonts w:ascii="Times New Roman" w:hAnsi="Times New Roman"/>
          <w:color w:val="000000"/>
          <w:lang w:val="pt-BR"/>
        </w:rPr>
        <w:t>,</w:t>
      </w:r>
      <w:r w:rsidR="00A23EB3">
        <w:rPr>
          <w:rFonts w:ascii="Times New Roman" w:hAnsi="Times New Roman"/>
          <w:color w:val="000000"/>
          <w:lang w:val="pt-BR"/>
        </w:rPr>
        <w:t xml:space="preserve"> </w:t>
      </w:r>
      <w:r w:rsidR="003C3811">
        <w:rPr>
          <w:rFonts w:ascii="Times New Roman" w:hAnsi="Times New Roman"/>
          <w:color w:val="000000"/>
          <w:lang w:val="pt-BR"/>
        </w:rPr>
        <w:t>em condições de</w:t>
      </w:r>
      <w:r w:rsidR="00397937" w:rsidRPr="004801EE">
        <w:rPr>
          <w:rFonts w:ascii="Times New Roman" w:hAnsi="Times New Roman"/>
          <w:color w:val="000000"/>
          <w:lang w:val="pt-BR"/>
        </w:rPr>
        <w:t xml:space="preserve"> alta pressão de H</w:t>
      </w:r>
      <w:r w:rsidR="00A87D05" w:rsidRPr="004801EE">
        <w:rPr>
          <w:rFonts w:ascii="Times New Roman" w:hAnsi="Times New Roman"/>
          <w:color w:val="000000"/>
          <w:vertAlign w:val="subscript"/>
          <w:lang w:val="pt-BR"/>
        </w:rPr>
        <w:t>2</w:t>
      </w:r>
      <w:r w:rsidR="00397937" w:rsidRPr="004801EE">
        <w:rPr>
          <w:rFonts w:ascii="Times New Roman" w:hAnsi="Times New Roman"/>
          <w:color w:val="000000"/>
          <w:sz w:val="16"/>
          <w:szCs w:val="16"/>
          <w:lang w:val="pt-BR"/>
        </w:rPr>
        <w:t xml:space="preserve"> </w:t>
      </w:r>
      <w:r w:rsidR="00397937" w:rsidRPr="004801EE">
        <w:rPr>
          <w:rFonts w:ascii="Times New Roman" w:hAnsi="Times New Roman"/>
          <w:color w:val="000000"/>
          <w:lang w:val="pt-BR"/>
        </w:rPr>
        <w:t>e temperaturas elevadas</w:t>
      </w:r>
      <w:r w:rsidR="00A932E2">
        <w:rPr>
          <w:rFonts w:ascii="Times New Roman" w:hAnsi="Times New Roman"/>
          <w:color w:val="000000"/>
          <w:lang w:val="pt-BR"/>
        </w:rPr>
        <w:t xml:space="preserve"> (7)</w:t>
      </w:r>
      <w:r w:rsidR="00397937" w:rsidRPr="004801EE">
        <w:rPr>
          <w:rFonts w:ascii="Times New Roman" w:hAnsi="Times New Roman"/>
          <w:color w:val="000000"/>
          <w:lang w:val="pt-BR"/>
        </w:rPr>
        <w:t xml:space="preserve">. </w:t>
      </w:r>
      <w:r w:rsidR="003B15B1" w:rsidRPr="004801EE">
        <w:rPr>
          <w:rFonts w:ascii="Times New Roman" w:hAnsi="Times New Roman"/>
          <w:color w:val="000000"/>
          <w:lang w:val="pt-BR"/>
        </w:rPr>
        <w:t xml:space="preserve">É conhecido </w:t>
      </w:r>
      <w:r w:rsidR="003B15B1">
        <w:rPr>
          <w:rFonts w:ascii="Times New Roman" w:hAnsi="Times New Roman"/>
          <w:color w:val="000000"/>
          <w:lang w:val="pt-BR"/>
        </w:rPr>
        <w:t xml:space="preserve">pela literatura </w:t>
      </w:r>
      <w:r w:rsidR="003B15B1" w:rsidRPr="004801EE">
        <w:rPr>
          <w:rFonts w:ascii="Times New Roman" w:hAnsi="Times New Roman"/>
          <w:color w:val="000000"/>
          <w:lang w:val="pt-BR"/>
        </w:rPr>
        <w:t xml:space="preserve">que catalisadores </w:t>
      </w:r>
      <w:r w:rsidR="003B15B1">
        <w:rPr>
          <w:rFonts w:ascii="Times New Roman" w:hAnsi="Times New Roman"/>
          <w:color w:val="000000"/>
          <w:lang w:val="pt-BR"/>
        </w:rPr>
        <w:t>heterogêneos de</w:t>
      </w:r>
      <w:r w:rsidR="003B15B1" w:rsidRPr="004801EE">
        <w:rPr>
          <w:rFonts w:ascii="Times New Roman" w:hAnsi="Times New Roman"/>
          <w:color w:val="000000"/>
          <w:lang w:val="pt-BR"/>
        </w:rPr>
        <w:t xml:space="preserve"> metais nobres, como o Ru, apresentam </w:t>
      </w:r>
      <w:r w:rsidR="003B15B1">
        <w:rPr>
          <w:rFonts w:ascii="Times New Roman" w:hAnsi="Times New Roman"/>
          <w:color w:val="000000"/>
          <w:lang w:val="pt-BR"/>
        </w:rPr>
        <w:t>elevada</w:t>
      </w:r>
      <w:r w:rsidR="003B15B1" w:rsidRPr="004801EE">
        <w:rPr>
          <w:rFonts w:ascii="Times New Roman" w:hAnsi="Times New Roman"/>
          <w:color w:val="000000"/>
          <w:lang w:val="pt-BR"/>
        </w:rPr>
        <w:t xml:space="preserve"> atividade </w:t>
      </w:r>
      <w:r w:rsidR="003B15B1">
        <w:rPr>
          <w:rFonts w:ascii="Times New Roman" w:hAnsi="Times New Roman"/>
          <w:color w:val="000000"/>
          <w:lang w:val="pt-BR"/>
        </w:rPr>
        <w:t>para hidrogenação e desoxigenação</w:t>
      </w:r>
      <w:r w:rsidR="00A932E2">
        <w:rPr>
          <w:rFonts w:ascii="Times New Roman" w:hAnsi="Times New Roman"/>
          <w:color w:val="000000"/>
          <w:lang w:val="pt-BR"/>
        </w:rPr>
        <w:t xml:space="preserve"> (8)</w:t>
      </w:r>
      <w:r w:rsidR="003B15B1" w:rsidRPr="004801EE">
        <w:rPr>
          <w:rFonts w:ascii="Times New Roman" w:hAnsi="Times New Roman"/>
          <w:color w:val="000000"/>
          <w:lang w:val="pt-BR"/>
        </w:rPr>
        <w:t xml:space="preserve">, o que os torna </w:t>
      </w:r>
      <w:r w:rsidR="003B15B1">
        <w:rPr>
          <w:rFonts w:ascii="Times New Roman" w:hAnsi="Times New Roman"/>
          <w:color w:val="000000"/>
          <w:lang w:val="pt-BR"/>
        </w:rPr>
        <w:t>excelentes</w:t>
      </w:r>
      <w:r w:rsidR="003B15B1" w:rsidRPr="004801EE">
        <w:rPr>
          <w:rFonts w:ascii="Times New Roman" w:hAnsi="Times New Roman"/>
          <w:color w:val="000000"/>
          <w:lang w:val="pt-BR"/>
        </w:rPr>
        <w:t xml:space="preserve"> candidatos como catalisadores para a reação de </w:t>
      </w:r>
      <w:proofErr w:type="spellStart"/>
      <w:r w:rsidR="003B15B1" w:rsidRPr="004801EE">
        <w:rPr>
          <w:rFonts w:ascii="Times New Roman" w:hAnsi="Times New Roman"/>
          <w:color w:val="000000"/>
          <w:lang w:val="pt-BR"/>
        </w:rPr>
        <w:t>hidroprocessamento</w:t>
      </w:r>
      <w:proofErr w:type="spellEnd"/>
      <w:r w:rsidR="003B15B1">
        <w:rPr>
          <w:rFonts w:ascii="Times New Roman" w:hAnsi="Times New Roman"/>
          <w:color w:val="000000"/>
          <w:lang w:val="pt-BR"/>
        </w:rPr>
        <w:t xml:space="preserve"> de óleos vegetais</w:t>
      </w:r>
      <w:r w:rsidR="003B15B1" w:rsidRPr="004801EE">
        <w:rPr>
          <w:rFonts w:ascii="Times New Roman" w:hAnsi="Times New Roman"/>
          <w:color w:val="000000"/>
          <w:lang w:val="pt-BR"/>
        </w:rPr>
        <w:t xml:space="preserve">. </w:t>
      </w:r>
    </w:p>
    <w:p w14:paraId="1F4BEC1A" w14:textId="169C9542" w:rsidR="00A87D05" w:rsidRPr="004801EE" w:rsidRDefault="00A87D05" w:rsidP="00A87D05">
      <w:pPr>
        <w:pStyle w:val="TAMainText"/>
        <w:rPr>
          <w:rFonts w:ascii="Times New Roman" w:hAnsi="Times New Roman"/>
          <w:color w:val="000000"/>
          <w:lang w:val="pt-BR"/>
        </w:rPr>
      </w:pPr>
      <w:r w:rsidRPr="004801EE">
        <w:rPr>
          <w:rFonts w:ascii="Times New Roman" w:hAnsi="Times New Roman"/>
          <w:lang w:val="pt-BR"/>
        </w:rPr>
        <w:t xml:space="preserve">O óleo </w:t>
      </w:r>
      <w:r w:rsidR="00F10DBD">
        <w:rPr>
          <w:rFonts w:ascii="Times New Roman" w:hAnsi="Times New Roman"/>
          <w:lang w:val="pt-BR"/>
        </w:rPr>
        <w:t xml:space="preserve">vegetal </w:t>
      </w:r>
      <w:r w:rsidRPr="004801EE">
        <w:rPr>
          <w:rFonts w:ascii="Times New Roman" w:hAnsi="Times New Roman"/>
          <w:lang w:val="pt-BR"/>
        </w:rPr>
        <w:t xml:space="preserve">de babaçu, oriundo do fruto da palmeira </w:t>
      </w:r>
      <w:proofErr w:type="spellStart"/>
      <w:r w:rsidRPr="004801EE">
        <w:rPr>
          <w:rFonts w:ascii="Times New Roman" w:hAnsi="Times New Roman"/>
          <w:i/>
          <w:iCs/>
          <w:lang w:val="pt-BR"/>
        </w:rPr>
        <w:t>Orbignya</w:t>
      </w:r>
      <w:proofErr w:type="spellEnd"/>
      <w:r w:rsidRPr="004801EE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4801EE">
        <w:rPr>
          <w:rFonts w:ascii="Times New Roman" w:hAnsi="Times New Roman"/>
          <w:i/>
          <w:iCs/>
          <w:lang w:val="pt-BR"/>
        </w:rPr>
        <w:t>Phalerata</w:t>
      </w:r>
      <w:proofErr w:type="spellEnd"/>
      <w:r w:rsidRPr="004801EE">
        <w:rPr>
          <w:rFonts w:ascii="Times New Roman" w:hAnsi="Times New Roman"/>
          <w:i/>
          <w:iCs/>
          <w:lang w:val="pt-BR"/>
        </w:rPr>
        <w:t xml:space="preserve"> </w:t>
      </w:r>
      <w:r w:rsidRPr="004801EE">
        <w:rPr>
          <w:rFonts w:ascii="Times New Roman" w:hAnsi="Times New Roman"/>
          <w:lang w:val="pt-BR"/>
        </w:rPr>
        <w:t>Mart. (</w:t>
      </w:r>
      <w:proofErr w:type="spellStart"/>
      <w:r w:rsidRPr="004801EE">
        <w:rPr>
          <w:rFonts w:ascii="Times New Roman" w:hAnsi="Times New Roman"/>
          <w:lang w:val="pt-BR"/>
        </w:rPr>
        <w:t>Arecaceae</w:t>
      </w:r>
      <w:proofErr w:type="spellEnd"/>
      <w:r w:rsidRPr="004801EE">
        <w:rPr>
          <w:rFonts w:ascii="Times New Roman" w:hAnsi="Times New Roman"/>
          <w:lang w:val="pt-BR"/>
        </w:rPr>
        <w:t>), é amplamente disponível nas regiões norte, nordeste e centro-oeste do Brasi</w:t>
      </w:r>
      <w:r w:rsidR="00E5265F">
        <w:rPr>
          <w:rFonts w:ascii="Times New Roman" w:hAnsi="Times New Roman"/>
          <w:lang w:val="pt-BR"/>
        </w:rPr>
        <w:t>l</w:t>
      </w:r>
      <w:r w:rsidR="006F2A13">
        <w:rPr>
          <w:rFonts w:ascii="Times New Roman" w:hAnsi="Times New Roman"/>
          <w:lang w:val="pt-BR"/>
        </w:rPr>
        <w:t xml:space="preserve"> (9)</w:t>
      </w:r>
      <w:r w:rsidR="00502A38">
        <w:rPr>
          <w:rFonts w:ascii="Times New Roman" w:hAnsi="Times New Roman"/>
          <w:lang w:val="pt-BR"/>
        </w:rPr>
        <w:t xml:space="preserve"> e a</w:t>
      </w:r>
      <w:r w:rsidR="00502A38" w:rsidRPr="00DE0597">
        <w:rPr>
          <w:lang w:val="pt-BR"/>
        </w:rPr>
        <w:t xml:space="preserve"> sua extração anual é de aproximadamente 57.000 toneladas</w:t>
      </w:r>
      <w:r w:rsidR="00CD726D" w:rsidRPr="00DE0597">
        <w:rPr>
          <w:lang w:val="pt-BR"/>
        </w:rPr>
        <w:t xml:space="preserve"> (10)</w:t>
      </w:r>
      <w:r w:rsidR="00502A38" w:rsidRPr="00DE0597">
        <w:rPr>
          <w:lang w:val="pt-BR"/>
        </w:rPr>
        <w:t xml:space="preserve">. O óleo é </w:t>
      </w:r>
      <w:r w:rsidRPr="004801EE">
        <w:rPr>
          <w:rFonts w:ascii="Times New Roman" w:hAnsi="Times New Roman"/>
          <w:lang w:val="pt-BR"/>
        </w:rPr>
        <w:t xml:space="preserve">composto por 83% de </w:t>
      </w:r>
      <w:r w:rsidR="00A23EB3">
        <w:rPr>
          <w:rFonts w:ascii="Times New Roman" w:hAnsi="Times New Roman"/>
          <w:lang w:val="pt-BR"/>
        </w:rPr>
        <w:t xml:space="preserve">ácidos </w:t>
      </w:r>
      <w:r w:rsidRPr="004801EE">
        <w:rPr>
          <w:rFonts w:ascii="Times New Roman" w:hAnsi="Times New Roman"/>
          <w:lang w:val="pt-BR"/>
        </w:rPr>
        <w:t>oleicos saturados, o que o torna um excelente candidato para a produção de biocombustível</w:t>
      </w:r>
      <w:r w:rsidR="00CD726D">
        <w:rPr>
          <w:rFonts w:ascii="Times New Roman" w:hAnsi="Times New Roman"/>
          <w:lang w:val="pt-BR"/>
        </w:rPr>
        <w:t xml:space="preserve"> (11)</w:t>
      </w:r>
      <w:r w:rsidRPr="004801EE">
        <w:rPr>
          <w:rFonts w:ascii="Times New Roman" w:hAnsi="Times New Roman"/>
          <w:lang w:val="pt-BR"/>
        </w:rPr>
        <w:t>.</w:t>
      </w:r>
    </w:p>
    <w:p w14:paraId="1C3DA0C9" w14:textId="2943A926" w:rsidR="00397937" w:rsidRPr="004801EE" w:rsidRDefault="00BB2D20" w:rsidP="00A87D05">
      <w:pPr>
        <w:pStyle w:val="TAMainText"/>
        <w:rPr>
          <w:rFonts w:ascii="Times New Roman" w:hAnsi="Times New Roman"/>
          <w:lang w:val="pt-BR"/>
        </w:rPr>
      </w:pPr>
      <w:r w:rsidRPr="004801EE">
        <w:rPr>
          <w:rFonts w:ascii="Times New Roman" w:hAnsi="Times New Roman"/>
          <w:color w:val="000000"/>
          <w:lang w:val="pt-BR"/>
        </w:rPr>
        <w:t xml:space="preserve">Neste trabalho avaliou-se a atividade catalítica </w:t>
      </w:r>
      <w:r w:rsidR="00A23EB3">
        <w:rPr>
          <w:rFonts w:ascii="Times New Roman" w:hAnsi="Times New Roman"/>
          <w:color w:val="000000"/>
          <w:lang w:val="pt-BR"/>
        </w:rPr>
        <w:t xml:space="preserve">e propriedades </w:t>
      </w:r>
      <w:r w:rsidRPr="004801EE">
        <w:rPr>
          <w:rFonts w:ascii="Times New Roman" w:hAnsi="Times New Roman"/>
          <w:color w:val="000000"/>
          <w:lang w:val="pt-BR"/>
        </w:rPr>
        <w:t>do material de rutênio dopado em sílica</w:t>
      </w:r>
      <w:r w:rsidR="00A23EB3">
        <w:rPr>
          <w:rFonts w:ascii="Times New Roman" w:hAnsi="Times New Roman"/>
          <w:color w:val="000000"/>
          <w:lang w:val="pt-BR"/>
        </w:rPr>
        <w:t>, preparado pelo método</w:t>
      </w:r>
      <w:r w:rsidRPr="004801EE">
        <w:rPr>
          <w:rFonts w:ascii="Times New Roman" w:hAnsi="Times New Roman"/>
          <w:color w:val="000000"/>
          <w:lang w:val="pt-BR"/>
        </w:rPr>
        <w:t xml:space="preserve"> sol-gel </w:t>
      </w:r>
      <w:r w:rsidR="00A23EB3">
        <w:rPr>
          <w:rFonts w:ascii="Times New Roman" w:hAnsi="Times New Roman"/>
          <w:color w:val="000000"/>
          <w:lang w:val="pt-BR"/>
        </w:rPr>
        <w:t xml:space="preserve">adaptado </w:t>
      </w:r>
      <w:r w:rsidRPr="004801EE">
        <w:rPr>
          <w:rFonts w:ascii="Times New Roman" w:hAnsi="Times New Roman"/>
          <w:color w:val="000000"/>
          <w:lang w:val="pt-BR"/>
        </w:rPr>
        <w:t xml:space="preserve">para </w:t>
      </w:r>
      <w:r w:rsidR="003A1899">
        <w:rPr>
          <w:rFonts w:ascii="Times New Roman" w:hAnsi="Times New Roman"/>
          <w:color w:val="000000"/>
          <w:lang w:val="pt-BR"/>
        </w:rPr>
        <w:t xml:space="preserve">o </w:t>
      </w:r>
      <w:proofErr w:type="spellStart"/>
      <w:r w:rsidR="003A1899" w:rsidRPr="004801EE">
        <w:rPr>
          <w:rFonts w:ascii="Times New Roman" w:hAnsi="Times New Roman"/>
          <w:color w:val="000000"/>
          <w:lang w:val="pt-BR"/>
        </w:rPr>
        <w:t>hidro</w:t>
      </w:r>
      <w:r w:rsidR="003A1899">
        <w:rPr>
          <w:rFonts w:ascii="Times New Roman" w:hAnsi="Times New Roman"/>
          <w:color w:val="000000"/>
          <w:lang w:val="pt-BR"/>
        </w:rPr>
        <w:t>processamento</w:t>
      </w:r>
      <w:proofErr w:type="spellEnd"/>
      <w:r w:rsidR="003A1899" w:rsidRPr="004801EE">
        <w:rPr>
          <w:rFonts w:ascii="Times New Roman" w:hAnsi="Times New Roman"/>
          <w:color w:val="000000"/>
          <w:lang w:val="pt-BR"/>
        </w:rPr>
        <w:t xml:space="preserve"> </w:t>
      </w:r>
      <w:r w:rsidRPr="004801EE">
        <w:rPr>
          <w:rFonts w:ascii="Times New Roman" w:hAnsi="Times New Roman"/>
          <w:color w:val="000000"/>
          <w:lang w:val="pt-BR"/>
        </w:rPr>
        <w:t xml:space="preserve">do óleo de babaçu </w:t>
      </w:r>
      <w:r w:rsidR="00A23EB3">
        <w:rPr>
          <w:rFonts w:ascii="Times New Roman" w:hAnsi="Times New Roman"/>
          <w:color w:val="000000"/>
          <w:lang w:val="pt-BR"/>
        </w:rPr>
        <w:t xml:space="preserve">visando a obtenção de biocombustíveis de aviação, também </w:t>
      </w:r>
      <w:proofErr w:type="gramStart"/>
      <w:r w:rsidR="00466F1C" w:rsidRPr="004801EE">
        <w:rPr>
          <w:rFonts w:ascii="Times New Roman" w:hAnsi="Times New Roman"/>
          <w:color w:val="000000"/>
          <w:lang w:val="pt-BR"/>
        </w:rPr>
        <w:t>estudou</w:t>
      </w:r>
      <w:r w:rsidR="00466F1C">
        <w:rPr>
          <w:rFonts w:ascii="Times New Roman" w:hAnsi="Times New Roman"/>
          <w:color w:val="000000"/>
          <w:lang w:val="pt-BR"/>
        </w:rPr>
        <w:t>-se</w:t>
      </w:r>
      <w:proofErr w:type="gramEnd"/>
      <w:r w:rsidRPr="004801EE">
        <w:rPr>
          <w:rFonts w:ascii="Times New Roman" w:hAnsi="Times New Roman"/>
          <w:color w:val="000000"/>
          <w:lang w:val="pt-BR"/>
        </w:rPr>
        <w:t xml:space="preserve"> a influência da temperatura e pressão do sistema focando a otimização do processo.</w:t>
      </w:r>
    </w:p>
    <w:p w14:paraId="034E066E" w14:textId="4260C8D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63596168" w14:textId="36E5CB4B" w:rsidR="00EA4E1B" w:rsidRDefault="0027050E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 </w:t>
      </w:r>
      <w:r w:rsidR="00A87D05">
        <w:rPr>
          <w:rFonts w:ascii="Times New Roman" w:hAnsi="Times New Roman"/>
          <w:i/>
          <w:lang w:val="pt-BR"/>
        </w:rPr>
        <w:t>Preparo dos catalisadores</w:t>
      </w:r>
    </w:p>
    <w:p w14:paraId="76FABC81" w14:textId="77777777" w:rsidR="00FC0EEB" w:rsidRPr="001F25B2" w:rsidRDefault="00FC0EEB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0C1E9D06" w14:textId="381874D3" w:rsidR="00A87D05" w:rsidRDefault="00A87D05" w:rsidP="00A87D05">
      <w:pPr>
        <w:pStyle w:val="TAMainText"/>
        <w:rPr>
          <w:rFonts w:ascii="Times New Roman" w:hAnsi="Times New Roman"/>
          <w:lang w:val="pt-BR"/>
        </w:rPr>
      </w:pPr>
      <w:r w:rsidRPr="00735D9A">
        <w:rPr>
          <w:rFonts w:ascii="Times New Roman" w:hAnsi="Times New Roman"/>
          <w:lang w:val="pt-BR"/>
        </w:rPr>
        <w:t>O catalisador f</w:t>
      </w:r>
      <w:r w:rsidR="001F5848">
        <w:rPr>
          <w:rFonts w:ascii="Times New Roman" w:hAnsi="Times New Roman"/>
          <w:lang w:val="pt-BR"/>
        </w:rPr>
        <w:t xml:space="preserve">oi </w:t>
      </w:r>
      <w:r w:rsidRPr="00735D9A">
        <w:rPr>
          <w:rFonts w:ascii="Times New Roman" w:hAnsi="Times New Roman"/>
          <w:lang w:val="pt-BR"/>
        </w:rPr>
        <w:t>preparado pelo processo sol-gel (SG)</w:t>
      </w:r>
      <w:r w:rsidR="00397BBF">
        <w:rPr>
          <w:rFonts w:ascii="Times New Roman" w:hAnsi="Times New Roman"/>
          <w:lang w:val="pt-BR"/>
        </w:rPr>
        <w:t xml:space="preserve"> adaptado</w:t>
      </w:r>
      <w:r w:rsidR="001F5848">
        <w:rPr>
          <w:rFonts w:ascii="Times New Roman" w:hAnsi="Times New Roman"/>
          <w:lang w:val="pt-BR"/>
        </w:rPr>
        <w:t>, com um teor molar de 5% de metal (Ru)</w:t>
      </w:r>
      <w:r w:rsidRPr="00735D9A">
        <w:rPr>
          <w:rFonts w:ascii="Times New Roman" w:hAnsi="Times New Roman"/>
          <w:lang w:val="pt-BR"/>
        </w:rPr>
        <w:t xml:space="preserve">. </w:t>
      </w:r>
      <w:r w:rsidR="001F5848">
        <w:rPr>
          <w:rFonts w:ascii="Times New Roman" w:hAnsi="Times New Roman"/>
          <w:lang w:val="pt-BR"/>
        </w:rPr>
        <w:t xml:space="preserve">Uma mistura contendo </w:t>
      </w:r>
      <w:r>
        <w:rPr>
          <w:rFonts w:ascii="Times New Roman" w:hAnsi="Times New Roman"/>
          <w:lang w:val="pt-BR"/>
        </w:rPr>
        <w:t>TEOS</w:t>
      </w:r>
      <w:r w:rsidR="001F5848">
        <w:rPr>
          <w:rFonts w:ascii="Times New Roman" w:hAnsi="Times New Roman"/>
          <w:lang w:val="pt-BR"/>
        </w:rPr>
        <w:t xml:space="preserve"> </w:t>
      </w:r>
      <w:r w:rsidR="00DC7041">
        <w:rPr>
          <w:rFonts w:ascii="Times New Roman" w:hAnsi="Times New Roman"/>
          <w:lang w:val="pt-BR"/>
        </w:rPr>
        <w:t>(</w:t>
      </w:r>
      <w:r w:rsidR="001E6623">
        <w:rPr>
          <w:rFonts w:ascii="Times New Roman" w:hAnsi="Times New Roman"/>
          <w:lang w:val="pt-BR"/>
        </w:rPr>
        <w:t>0,1472 mol</w:t>
      </w:r>
      <w:r w:rsidR="00DC7041">
        <w:rPr>
          <w:rFonts w:ascii="Times New Roman" w:hAnsi="Times New Roman"/>
          <w:lang w:val="pt-BR"/>
        </w:rPr>
        <w:t>)</w:t>
      </w:r>
      <w:r w:rsidR="001F5848">
        <w:rPr>
          <w:rFonts w:ascii="Times New Roman" w:hAnsi="Times New Roman"/>
          <w:lang w:val="pt-BR"/>
        </w:rPr>
        <w:t xml:space="preserve">, e 25,6 </w:t>
      </w:r>
      <w:proofErr w:type="spellStart"/>
      <w:r w:rsidR="001F5848">
        <w:rPr>
          <w:rFonts w:ascii="Times New Roman" w:hAnsi="Times New Roman"/>
          <w:lang w:val="pt-BR"/>
        </w:rPr>
        <w:t>mL</w:t>
      </w:r>
      <w:proofErr w:type="spellEnd"/>
      <w:r w:rsidR="001F5848">
        <w:rPr>
          <w:rFonts w:ascii="Times New Roman" w:hAnsi="Times New Roman"/>
          <w:lang w:val="pt-BR"/>
        </w:rPr>
        <w:t xml:space="preserve"> de etanol absoluto foi colocada sob agitação por 20 minutos. A essa mistura foi adicionada uma solução, previamente preparada, contendo </w:t>
      </w:r>
      <w:r>
        <w:rPr>
          <w:rFonts w:ascii="Times New Roman" w:hAnsi="Times New Roman"/>
          <w:lang w:val="pt-BR"/>
        </w:rPr>
        <w:t>RuCl</w:t>
      </w:r>
      <w:r>
        <w:rPr>
          <w:rFonts w:ascii="Times New Roman" w:hAnsi="Times New Roman"/>
          <w:vertAlign w:val="subscript"/>
          <w:lang w:val="pt-BR"/>
        </w:rPr>
        <w:t>3</w:t>
      </w:r>
      <w:r w:rsidR="001F5848">
        <w:rPr>
          <w:rFonts w:ascii="Times New Roman" w:hAnsi="Times New Roman"/>
          <w:lang w:val="pt-BR"/>
        </w:rPr>
        <w:t xml:space="preserve"> </w:t>
      </w:r>
      <w:r w:rsidR="00DC7041">
        <w:rPr>
          <w:rFonts w:ascii="Times New Roman" w:hAnsi="Times New Roman"/>
          <w:lang w:val="pt-BR"/>
        </w:rPr>
        <w:t>(7,75 mmol</w:t>
      </w:r>
      <w:r w:rsidR="001E6623">
        <w:rPr>
          <w:rFonts w:ascii="Times New Roman" w:hAnsi="Times New Roman"/>
          <w:lang w:val="pt-BR"/>
        </w:rPr>
        <w:t>)</w:t>
      </w:r>
      <w:r w:rsidR="001F5848">
        <w:rPr>
          <w:rFonts w:ascii="Times New Roman" w:hAnsi="Times New Roman"/>
          <w:lang w:val="pt-BR"/>
        </w:rPr>
        <w:t xml:space="preserve">, 1 </w:t>
      </w:r>
      <w:proofErr w:type="spellStart"/>
      <w:r w:rsidR="001F5848">
        <w:rPr>
          <w:rFonts w:ascii="Times New Roman" w:hAnsi="Times New Roman"/>
          <w:lang w:val="pt-BR"/>
        </w:rPr>
        <w:t>mL</w:t>
      </w:r>
      <w:proofErr w:type="spellEnd"/>
      <w:r w:rsidR="001F5848">
        <w:rPr>
          <w:rFonts w:ascii="Times New Roman" w:hAnsi="Times New Roman"/>
          <w:lang w:val="pt-BR"/>
        </w:rPr>
        <w:t xml:space="preserve"> de </w:t>
      </w:r>
      <w:proofErr w:type="spellStart"/>
      <w:r w:rsidR="001F5848">
        <w:rPr>
          <w:rFonts w:ascii="Times New Roman" w:hAnsi="Times New Roman"/>
          <w:lang w:val="pt-BR"/>
        </w:rPr>
        <w:t>HCl</w:t>
      </w:r>
      <w:proofErr w:type="spellEnd"/>
      <w:r w:rsidR="001F5848">
        <w:rPr>
          <w:rFonts w:ascii="Times New Roman" w:hAnsi="Times New Roman"/>
          <w:lang w:val="pt-BR"/>
        </w:rPr>
        <w:t xml:space="preserve"> e 0,1 </w:t>
      </w:r>
      <w:proofErr w:type="spellStart"/>
      <w:r w:rsidR="001F5848">
        <w:rPr>
          <w:rFonts w:ascii="Times New Roman" w:hAnsi="Times New Roman"/>
          <w:lang w:val="pt-BR"/>
        </w:rPr>
        <w:t>mL</w:t>
      </w:r>
      <w:proofErr w:type="spellEnd"/>
      <w:r w:rsidR="001F5848">
        <w:rPr>
          <w:rFonts w:ascii="Times New Roman" w:hAnsi="Times New Roman"/>
          <w:lang w:val="pt-BR"/>
        </w:rPr>
        <w:t xml:space="preserve"> de HF em 42 </w:t>
      </w:r>
      <w:proofErr w:type="spellStart"/>
      <w:r w:rsidR="001F5848">
        <w:rPr>
          <w:rFonts w:ascii="Times New Roman" w:hAnsi="Times New Roman"/>
          <w:lang w:val="pt-BR"/>
        </w:rPr>
        <w:t>mL</w:t>
      </w:r>
      <w:proofErr w:type="spellEnd"/>
      <w:r w:rsidR="001F5848">
        <w:rPr>
          <w:rFonts w:ascii="Times New Roman" w:hAnsi="Times New Roman"/>
          <w:lang w:val="pt-BR"/>
        </w:rPr>
        <w:t xml:space="preserve"> de água destilada. A solução resultante foi colocada sob agitação até homogeneizar</w:t>
      </w:r>
      <w:r w:rsidR="001E6623">
        <w:rPr>
          <w:rFonts w:ascii="Times New Roman" w:hAnsi="Times New Roman"/>
          <w:lang w:val="pt-BR"/>
        </w:rPr>
        <w:t xml:space="preserve">, </w:t>
      </w:r>
      <w:r w:rsidR="001F5848">
        <w:rPr>
          <w:rFonts w:ascii="Times New Roman" w:hAnsi="Times New Roman"/>
          <w:lang w:val="pt-BR"/>
        </w:rPr>
        <w:t xml:space="preserve">ocorrendo </w:t>
      </w:r>
      <w:r w:rsidR="00FC0EEB">
        <w:rPr>
          <w:rFonts w:ascii="Times New Roman" w:hAnsi="Times New Roman"/>
          <w:lang w:val="pt-BR"/>
        </w:rPr>
        <w:t xml:space="preserve">a </w:t>
      </w:r>
      <w:r>
        <w:rPr>
          <w:rFonts w:ascii="Times New Roman" w:hAnsi="Times New Roman"/>
          <w:lang w:val="pt-BR"/>
        </w:rPr>
        <w:t xml:space="preserve">formação do </w:t>
      </w:r>
      <w:r w:rsidR="00FC0EEB">
        <w:rPr>
          <w:rFonts w:ascii="Times New Roman" w:hAnsi="Times New Roman"/>
          <w:lang w:val="pt-BR"/>
        </w:rPr>
        <w:t>g</w:t>
      </w:r>
      <w:r>
        <w:rPr>
          <w:rFonts w:ascii="Times New Roman" w:hAnsi="Times New Roman"/>
          <w:lang w:val="pt-BR"/>
        </w:rPr>
        <w:t>el</w:t>
      </w:r>
      <w:r w:rsidR="007B775C">
        <w:rPr>
          <w:rFonts w:ascii="Times New Roman" w:hAnsi="Times New Roman"/>
          <w:lang w:val="pt-BR"/>
        </w:rPr>
        <w:t xml:space="preserve"> (</w:t>
      </w:r>
      <w:r w:rsidR="001F5848">
        <w:rPr>
          <w:rFonts w:ascii="Times New Roman" w:hAnsi="Times New Roman"/>
          <w:lang w:val="pt-BR"/>
        </w:rPr>
        <w:t xml:space="preserve">40 </w:t>
      </w:r>
      <w:r w:rsidR="007B775C">
        <w:rPr>
          <w:rFonts w:ascii="Times New Roman" w:hAnsi="Times New Roman"/>
          <w:lang w:val="pt-BR"/>
        </w:rPr>
        <w:t>minutos)</w:t>
      </w:r>
      <w:r>
        <w:rPr>
          <w:rFonts w:ascii="Times New Roman" w:hAnsi="Times New Roman"/>
          <w:lang w:val="pt-BR"/>
        </w:rPr>
        <w:t>. Após isso, secou-se a solução</w:t>
      </w:r>
      <w:r w:rsidR="001F5848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e o sólido formado (mon</w:t>
      </w:r>
      <w:r w:rsidR="00FC0EEB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lang w:val="pt-BR"/>
        </w:rPr>
        <w:t>lito) foi pulverizado e calcinado a 300</w:t>
      </w:r>
      <w:r w:rsidR="00397BB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°C por 3 horas em mufla. </w:t>
      </w:r>
    </w:p>
    <w:p w14:paraId="0D7AA1E9" w14:textId="5D07E9B3" w:rsidR="00FC0EEB" w:rsidRDefault="00A87D05" w:rsidP="00FC0EE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</w:t>
      </w:r>
      <w:r w:rsidR="00397BBF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catalisador</w:t>
      </w:r>
      <w:r w:rsidR="00397BBF">
        <w:rPr>
          <w:rFonts w:ascii="Times New Roman" w:hAnsi="Times New Roman"/>
          <w:lang w:val="pt-BR"/>
        </w:rPr>
        <w:t>es</w:t>
      </w:r>
      <w:r>
        <w:rPr>
          <w:rFonts w:ascii="Times New Roman" w:hAnsi="Times New Roman"/>
          <w:lang w:val="pt-BR"/>
        </w:rPr>
        <w:t xml:space="preserve"> </w:t>
      </w:r>
      <w:r w:rsidR="00397BBF" w:rsidRPr="00735D9A">
        <w:rPr>
          <w:rFonts w:ascii="Times New Roman" w:hAnsi="Times New Roman"/>
          <w:lang w:val="pt-BR"/>
        </w:rPr>
        <w:t>fo</w:t>
      </w:r>
      <w:r w:rsidR="00397BBF">
        <w:rPr>
          <w:rFonts w:ascii="Times New Roman" w:hAnsi="Times New Roman"/>
          <w:lang w:val="pt-BR"/>
        </w:rPr>
        <w:t xml:space="preserve">ram </w:t>
      </w:r>
      <w:r>
        <w:rPr>
          <w:rFonts w:ascii="Times New Roman" w:hAnsi="Times New Roman"/>
          <w:lang w:val="pt-BR"/>
        </w:rPr>
        <w:t>caracterizado</w:t>
      </w:r>
      <w:r w:rsidR="00397BBF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</w:t>
      </w:r>
      <w:r w:rsidRPr="00735D9A">
        <w:rPr>
          <w:rFonts w:ascii="Times New Roman" w:hAnsi="Times New Roman"/>
          <w:lang w:val="pt-BR"/>
        </w:rPr>
        <w:t xml:space="preserve">por meio das técnicas de difração de raios X (DRX), redução </w:t>
      </w:r>
      <w:r w:rsidR="001577F9">
        <w:rPr>
          <w:rFonts w:ascii="Times New Roman" w:hAnsi="Times New Roman"/>
          <w:lang w:val="pt-BR"/>
        </w:rPr>
        <w:t>à temperatura programada (RTP)</w:t>
      </w:r>
      <w:r w:rsidR="001F5848">
        <w:rPr>
          <w:rFonts w:ascii="Times New Roman" w:hAnsi="Times New Roman"/>
          <w:lang w:val="pt-BR"/>
        </w:rPr>
        <w:t xml:space="preserve">, </w:t>
      </w:r>
      <w:r w:rsidR="00DF2B89">
        <w:rPr>
          <w:rFonts w:ascii="Times New Roman" w:hAnsi="Times New Roman"/>
          <w:lang w:val="pt-BR"/>
        </w:rPr>
        <w:t>adsorção/dessorção de N</w:t>
      </w:r>
      <w:r w:rsidR="00DF2B89">
        <w:rPr>
          <w:rFonts w:ascii="Times New Roman" w:hAnsi="Times New Roman"/>
          <w:vertAlign w:val="subscript"/>
          <w:lang w:val="pt-BR"/>
        </w:rPr>
        <w:t>2</w:t>
      </w:r>
      <w:r w:rsidR="00DF2B89">
        <w:rPr>
          <w:rFonts w:ascii="Times New Roman" w:hAnsi="Times New Roman"/>
          <w:lang w:val="pt-BR"/>
        </w:rPr>
        <w:t xml:space="preserve"> </w:t>
      </w:r>
      <w:r w:rsidR="001F5848">
        <w:rPr>
          <w:rFonts w:ascii="Times New Roman" w:hAnsi="Times New Roman"/>
          <w:lang w:val="pt-BR"/>
        </w:rPr>
        <w:t>e microscopia eletrônica de transmissão</w:t>
      </w:r>
      <w:r w:rsidR="00DF2B89">
        <w:rPr>
          <w:rFonts w:ascii="Times New Roman" w:hAnsi="Times New Roman"/>
          <w:lang w:val="pt-BR"/>
        </w:rPr>
        <w:t xml:space="preserve"> (MET)</w:t>
      </w:r>
      <w:r w:rsidR="001F5848">
        <w:rPr>
          <w:rFonts w:ascii="Times New Roman" w:hAnsi="Times New Roman"/>
          <w:lang w:val="pt-BR"/>
        </w:rPr>
        <w:t>.</w:t>
      </w:r>
    </w:p>
    <w:p w14:paraId="34A219FF" w14:textId="1551BE44" w:rsidR="00FC0EEB" w:rsidRDefault="00FC0EEB" w:rsidP="00FC0EEB">
      <w:pPr>
        <w:pStyle w:val="TAMainText"/>
        <w:rPr>
          <w:rFonts w:ascii="Times New Roman" w:hAnsi="Times New Roman"/>
          <w:lang w:val="pt-BR"/>
        </w:rPr>
      </w:pPr>
    </w:p>
    <w:p w14:paraId="49CC27E0" w14:textId="0004A57E" w:rsidR="00FC0EEB" w:rsidRPr="00735D9A" w:rsidRDefault="0027050E" w:rsidP="007C279A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 xml:space="preserve"> </w:t>
      </w:r>
      <w:r w:rsidR="00FC0EEB" w:rsidRPr="00735D9A">
        <w:rPr>
          <w:rFonts w:ascii="Times New Roman" w:hAnsi="Times New Roman"/>
          <w:i/>
          <w:iCs/>
          <w:lang w:val="pt-BR"/>
        </w:rPr>
        <w:t xml:space="preserve">Reações de HEFA </w:t>
      </w:r>
    </w:p>
    <w:p w14:paraId="382286DB" w14:textId="6850C852" w:rsidR="00FC0EEB" w:rsidRPr="00735D9A" w:rsidRDefault="00FC0EEB" w:rsidP="00FC0EEB">
      <w:pPr>
        <w:pStyle w:val="TAMainText"/>
        <w:rPr>
          <w:rFonts w:ascii="Times New Roman" w:hAnsi="Times New Roman"/>
          <w:lang w:val="pt-BR"/>
        </w:rPr>
      </w:pPr>
    </w:p>
    <w:p w14:paraId="1F9C482B" w14:textId="20D86F98" w:rsidR="00C84D3D" w:rsidRDefault="00FC0EEB" w:rsidP="00FC0EEB">
      <w:pPr>
        <w:pStyle w:val="TAMainText"/>
        <w:rPr>
          <w:rFonts w:ascii="Times New Roman" w:hAnsi="Times New Roman"/>
          <w:lang w:val="pt-BR"/>
        </w:rPr>
      </w:pPr>
      <w:r w:rsidRPr="00735D9A">
        <w:rPr>
          <w:rFonts w:ascii="Times New Roman" w:hAnsi="Times New Roman"/>
          <w:lang w:val="pt-BR"/>
        </w:rPr>
        <w:t xml:space="preserve">As reações de HEFA </w:t>
      </w:r>
      <w:r>
        <w:rPr>
          <w:rFonts w:ascii="Times New Roman" w:hAnsi="Times New Roman"/>
          <w:lang w:val="pt-BR"/>
        </w:rPr>
        <w:t>utilizando-se o óleo de babaçu</w:t>
      </w:r>
      <w:r w:rsidR="00DC7041">
        <w:rPr>
          <w:rFonts w:ascii="Times New Roman" w:hAnsi="Times New Roman"/>
          <w:lang w:val="pt-BR"/>
        </w:rPr>
        <w:t xml:space="preserve"> (3,0 g)</w:t>
      </w:r>
      <w:r>
        <w:rPr>
          <w:rFonts w:ascii="Times New Roman" w:hAnsi="Times New Roman"/>
          <w:lang w:val="pt-BR"/>
        </w:rPr>
        <w:t xml:space="preserve"> como matéria-prima </w:t>
      </w:r>
      <w:r w:rsidRPr="00735D9A">
        <w:rPr>
          <w:rFonts w:ascii="Times New Roman" w:hAnsi="Times New Roman"/>
          <w:lang w:val="pt-BR"/>
        </w:rPr>
        <w:t>foram realizada</w:t>
      </w:r>
      <w:r>
        <w:rPr>
          <w:rFonts w:ascii="Times New Roman" w:hAnsi="Times New Roman"/>
          <w:lang w:val="pt-BR"/>
        </w:rPr>
        <w:t xml:space="preserve">s em um reator </w:t>
      </w:r>
      <w:r w:rsidR="00397BBF">
        <w:rPr>
          <w:rFonts w:ascii="Times New Roman" w:hAnsi="Times New Roman"/>
          <w:lang w:val="pt-BR"/>
        </w:rPr>
        <w:t xml:space="preserve">em batelada </w:t>
      </w:r>
      <w:proofErr w:type="spellStart"/>
      <w:r>
        <w:rPr>
          <w:rFonts w:ascii="Times New Roman" w:hAnsi="Times New Roman"/>
          <w:lang w:val="pt-BR"/>
        </w:rPr>
        <w:t>Parr</w:t>
      </w:r>
      <w:proofErr w:type="spellEnd"/>
      <w:r>
        <w:rPr>
          <w:rFonts w:ascii="Times New Roman" w:hAnsi="Times New Roman"/>
          <w:lang w:val="pt-BR"/>
        </w:rPr>
        <w:t xml:space="preserve"> modelo 4348 </w:t>
      </w:r>
      <w:r w:rsidRPr="00735D9A">
        <w:rPr>
          <w:rFonts w:ascii="Times New Roman" w:hAnsi="Times New Roman"/>
          <w:lang w:val="pt-BR"/>
        </w:rPr>
        <w:t xml:space="preserve">e avaliou-se a atividade </w:t>
      </w:r>
      <w:r>
        <w:rPr>
          <w:rFonts w:ascii="Times New Roman" w:hAnsi="Times New Roman"/>
          <w:lang w:val="pt-BR"/>
        </w:rPr>
        <w:t xml:space="preserve">de </w:t>
      </w:r>
      <w:proofErr w:type="spellStart"/>
      <w:r>
        <w:rPr>
          <w:rFonts w:ascii="Times New Roman" w:hAnsi="Times New Roman"/>
          <w:lang w:val="pt-BR"/>
        </w:rPr>
        <w:t>hidrodesoxigenação</w:t>
      </w:r>
      <w:proofErr w:type="spellEnd"/>
      <w:r>
        <w:rPr>
          <w:rFonts w:ascii="Times New Roman" w:hAnsi="Times New Roman"/>
          <w:lang w:val="pt-BR"/>
        </w:rPr>
        <w:t xml:space="preserve"> do catalisador heterogêneo Ru/SiO</w:t>
      </w:r>
      <w:r>
        <w:rPr>
          <w:rFonts w:ascii="Times New Roman" w:hAnsi="Times New Roman"/>
          <w:vertAlign w:val="subscript"/>
          <w:lang w:val="pt-BR"/>
        </w:rPr>
        <w:t>2</w:t>
      </w:r>
      <w:r w:rsidR="00DC7041">
        <w:rPr>
          <w:rFonts w:ascii="Times New Roman" w:hAnsi="Times New Roman"/>
          <w:lang w:val="pt-BR"/>
        </w:rPr>
        <w:t xml:space="preserve"> (150,0 mg)</w:t>
      </w:r>
      <w:r>
        <w:rPr>
          <w:rFonts w:ascii="Times New Roman" w:hAnsi="Times New Roman"/>
          <w:lang w:val="pt-BR"/>
        </w:rPr>
        <w:t xml:space="preserve"> sob pressão de hidrogênio. A</w:t>
      </w:r>
      <w:r w:rsidR="00DB0F4A">
        <w:rPr>
          <w:rFonts w:ascii="Times New Roman" w:hAnsi="Times New Roman"/>
          <w:lang w:val="pt-BR"/>
        </w:rPr>
        <w:t xml:space="preserve"> reação não requer a utilização de solvente. </w:t>
      </w:r>
    </w:p>
    <w:p w14:paraId="0814D46C" w14:textId="6742ACE5" w:rsidR="002E6922" w:rsidRDefault="00FC0EEB" w:rsidP="00FC0EEB">
      <w:pPr>
        <w:pStyle w:val="TAMainText"/>
        <w:rPr>
          <w:rFonts w:ascii="Times New Roman" w:hAnsi="Times New Roman"/>
          <w:lang w:val="pt-BR"/>
        </w:rPr>
      </w:pPr>
      <w:r w:rsidRPr="00735D9A">
        <w:rPr>
          <w:rFonts w:ascii="Times New Roman" w:hAnsi="Times New Roman"/>
          <w:lang w:val="pt-BR"/>
        </w:rPr>
        <w:t xml:space="preserve">Ao final da reação, aguardou-se o reator </w:t>
      </w:r>
      <w:r w:rsidR="00397BBF">
        <w:rPr>
          <w:rFonts w:ascii="Times New Roman" w:hAnsi="Times New Roman"/>
          <w:lang w:val="pt-BR"/>
        </w:rPr>
        <w:t>resfriar até temperatura ambiente</w:t>
      </w:r>
      <w:r w:rsidRPr="00735D9A">
        <w:rPr>
          <w:rFonts w:ascii="Times New Roman" w:hAnsi="Times New Roman"/>
          <w:lang w:val="pt-BR"/>
        </w:rPr>
        <w:t>, seguido d</w:t>
      </w:r>
      <w:r>
        <w:rPr>
          <w:rFonts w:ascii="Times New Roman" w:hAnsi="Times New Roman"/>
          <w:lang w:val="pt-BR"/>
        </w:rPr>
        <w:t>a sua</w:t>
      </w:r>
      <w:r w:rsidR="00DB0F4A">
        <w:rPr>
          <w:rFonts w:ascii="Times New Roman" w:hAnsi="Times New Roman"/>
          <w:lang w:val="pt-BR"/>
        </w:rPr>
        <w:t xml:space="preserve"> despressurização</w:t>
      </w:r>
      <w:r w:rsidRPr="00735D9A">
        <w:rPr>
          <w:rFonts w:ascii="Times New Roman" w:hAnsi="Times New Roman"/>
          <w:lang w:val="pt-BR"/>
        </w:rPr>
        <w:t>. Após aberto, a fração sobre</w:t>
      </w:r>
      <w:r w:rsidR="00DB0F4A">
        <w:rPr>
          <w:rFonts w:ascii="Times New Roman" w:hAnsi="Times New Roman"/>
          <w:lang w:val="pt-BR"/>
        </w:rPr>
        <w:t>nadante foi filtrada e analisada</w:t>
      </w:r>
      <w:r w:rsidRPr="00735D9A">
        <w:rPr>
          <w:rFonts w:ascii="Times New Roman" w:hAnsi="Times New Roman"/>
          <w:lang w:val="pt-BR"/>
        </w:rPr>
        <w:t xml:space="preserve"> </w:t>
      </w:r>
      <w:r w:rsidRPr="00735D9A">
        <w:rPr>
          <w:rFonts w:ascii="Times New Roman" w:hAnsi="Times New Roman"/>
          <w:lang w:val="pt-BR"/>
        </w:rPr>
        <w:t>pela técnica de infravermelho médio (FTIR). O catalisador foi lavado com acetona</w:t>
      </w:r>
      <w:r w:rsidR="00397BBF">
        <w:rPr>
          <w:rFonts w:ascii="Times New Roman" w:hAnsi="Times New Roman"/>
          <w:lang w:val="pt-BR"/>
        </w:rPr>
        <w:t xml:space="preserve"> </w:t>
      </w:r>
      <w:r w:rsidRPr="00735D9A">
        <w:rPr>
          <w:rFonts w:ascii="Times New Roman" w:hAnsi="Times New Roman"/>
          <w:lang w:val="pt-BR"/>
        </w:rPr>
        <w:t>e acetato de etila, e após seco foi pesado e armazenado.</w:t>
      </w:r>
    </w:p>
    <w:p w14:paraId="308E5DF6" w14:textId="77777777" w:rsidR="002E6922" w:rsidRDefault="002E6922" w:rsidP="00FC0EEB">
      <w:pPr>
        <w:pStyle w:val="TAMainText"/>
        <w:rPr>
          <w:rFonts w:ascii="Times New Roman" w:hAnsi="Times New Roman"/>
          <w:lang w:val="pt-BR"/>
        </w:rPr>
      </w:pPr>
    </w:p>
    <w:p w14:paraId="56564D8C" w14:textId="77777777" w:rsidR="002E6922" w:rsidRPr="00735D9A" w:rsidRDefault="002E6922" w:rsidP="002E6922">
      <w:pPr>
        <w:pStyle w:val="TAMainText"/>
        <w:rPr>
          <w:rFonts w:ascii="Times New Roman" w:hAnsi="Times New Roman"/>
          <w:i/>
          <w:iCs/>
          <w:lang w:val="pt-BR"/>
        </w:rPr>
      </w:pPr>
      <w:r w:rsidRPr="00735D9A">
        <w:rPr>
          <w:rFonts w:ascii="Times New Roman" w:hAnsi="Times New Roman"/>
          <w:i/>
          <w:iCs/>
          <w:lang w:val="pt-BR"/>
        </w:rPr>
        <w:t xml:space="preserve">Perfil de ácidos graxos da matéria-prima </w:t>
      </w:r>
    </w:p>
    <w:p w14:paraId="47E9DAD0" w14:textId="06325D6D" w:rsidR="002E6922" w:rsidRPr="00735D9A" w:rsidRDefault="002E6922" w:rsidP="002E6922">
      <w:pPr>
        <w:pStyle w:val="TAMainText"/>
        <w:rPr>
          <w:rFonts w:ascii="Times New Roman" w:hAnsi="Times New Roman"/>
          <w:lang w:val="pt-BR"/>
        </w:rPr>
      </w:pPr>
    </w:p>
    <w:p w14:paraId="336DE91C" w14:textId="1136CA11" w:rsidR="00FC0EEB" w:rsidRDefault="002E6922" w:rsidP="002E6922">
      <w:pPr>
        <w:pStyle w:val="TAMainText"/>
        <w:rPr>
          <w:rFonts w:ascii="Times New Roman" w:hAnsi="Times New Roman"/>
          <w:lang w:val="pt-BR"/>
        </w:rPr>
      </w:pPr>
      <w:r w:rsidRPr="00735D9A">
        <w:rPr>
          <w:rFonts w:ascii="Times New Roman" w:hAnsi="Times New Roman"/>
          <w:lang w:val="pt-BR"/>
        </w:rPr>
        <w:t xml:space="preserve">A matéria-prima utilizada como substrato das reações de </w:t>
      </w:r>
      <w:proofErr w:type="spellStart"/>
      <w:r w:rsidRPr="00735D9A">
        <w:rPr>
          <w:rFonts w:ascii="Times New Roman" w:hAnsi="Times New Roman"/>
          <w:lang w:val="pt-BR"/>
        </w:rPr>
        <w:t>hidrodesoxigenação</w:t>
      </w:r>
      <w:proofErr w:type="spellEnd"/>
      <w:r w:rsidRPr="00735D9A">
        <w:rPr>
          <w:rFonts w:ascii="Times New Roman" w:hAnsi="Times New Roman"/>
          <w:lang w:val="pt-BR"/>
        </w:rPr>
        <w:t xml:space="preserve"> foi o óleo de babaç</w:t>
      </w:r>
      <w:r>
        <w:rPr>
          <w:rFonts w:ascii="Times New Roman" w:hAnsi="Times New Roman"/>
          <w:lang w:val="pt-BR"/>
        </w:rPr>
        <w:t>u</w:t>
      </w:r>
      <w:r w:rsidRPr="00735D9A">
        <w:rPr>
          <w:rFonts w:ascii="Times New Roman" w:hAnsi="Times New Roman"/>
          <w:lang w:val="pt-BR"/>
        </w:rPr>
        <w:t>. O perfil de ácidos graxos do óleo de babaçu foi determinado pela técnica de cromatografia gasosa com detector de ionização por chama (CG-DIC)</w:t>
      </w:r>
      <w:r w:rsidR="007B775C">
        <w:rPr>
          <w:rFonts w:ascii="Times New Roman" w:hAnsi="Times New Roman"/>
          <w:lang w:val="pt-BR"/>
        </w:rPr>
        <w:t>. P</w:t>
      </w:r>
      <w:r w:rsidRPr="00735D9A">
        <w:rPr>
          <w:rFonts w:ascii="Times New Roman" w:hAnsi="Times New Roman"/>
          <w:lang w:val="pt-BR"/>
        </w:rPr>
        <w:t>ara a execução da técnica foi necessário a hidrólise</w:t>
      </w:r>
      <w:r w:rsidR="007B775C">
        <w:rPr>
          <w:rFonts w:ascii="Times New Roman" w:hAnsi="Times New Roman"/>
          <w:lang w:val="pt-BR"/>
        </w:rPr>
        <w:t xml:space="preserve"> do óleo,</w:t>
      </w:r>
      <w:r w:rsidRPr="00735D9A">
        <w:rPr>
          <w:rFonts w:ascii="Times New Roman" w:hAnsi="Times New Roman"/>
          <w:lang w:val="pt-BR"/>
        </w:rPr>
        <w:t xml:space="preserve"> seguida de uma etapa de esterificação </w:t>
      </w:r>
      <w:r w:rsidR="007B775C">
        <w:rPr>
          <w:rFonts w:ascii="Times New Roman" w:hAnsi="Times New Roman"/>
          <w:lang w:val="pt-BR"/>
        </w:rPr>
        <w:t>para converte-lo</w:t>
      </w:r>
      <w:r w:rsidRPr="00735D9A">
        <w:rPr>
          <w:rFonts w:ascii="Times New Roman" w:hAnsi="Times New Roman"/>
          <w:lang w:val="pt-BR"/>
        </w:rPr>
        <w:t xml:space="preserve"> em componentes mais voláteis. </w:t>
      </w:r>
    </w:p>
    <w:p w14:paraId="598585AB" w14:textId="77777777" w:rsidR="00DF2B89" w:rsidRDefault="00DF2B89" w:rsidP="002E6922">
      <w:pPr>
        <w:pStyle w:val="TAMainText"/>
        <w:rPr>
          <w:rFonts w:ascii="Times New Roman" w:hAnsi="Times New Roman"/>
          <w:lang w:val="pt-BR"/>
        </w:rPr>
      </w:pPr>
    </w:p>
    <w:p w14:paraId="5071EC5E" w14:textId="3800FCA8" w:rsidR="00DF2B89" w:rsidRPr="00735D9A" w:rsidRDefault="00DF2B89" w:rsidP="00DF2B89">
      <w:pPr>
        <w:pStyle w:val="TAMainText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>Condições de testes catalíticos efetuadas</w:t>
      </w:r>
      <w:r w:rsidRPr="00735D9A">
        <w:rPr>
          <w:rFonts w:ascii="Times New Roman" w:hAnsi="Times New Roman"/>
          <w:i/>
          <w:iCs/>
          <w:lang w:val="pt-BR"/>
        </w:rPr>
        <w:t xml:space="preserve"> </w:t>
      </w:r>
    </w:p>
    <w:p w14:paraId="323FC112" w14:textId="77777777" w:rsidR="00DF2B89" w:rsidRDefault="00DF2B89" w:rsidP="00DF2B89">
      <w:pPr>
        <w:pStyle w:val="VAFigureCaption"/>
        <w:spacing w:before="0"/>
        <w:rPr>
          <w:rFonts w:ascii="Times New Roman" w:hAnsi="Times New Roman"/>
          <w:color w:val="000000"/>
          <w:sz w:val="20"/>
          <w:lang w:val="pt-BR"/>
        </w:rPr>
      </w:pPr>
    </w:p>
    <w:p w14:paraId="6056BA28" w14:textId="35FA7E82" w:rsidR="00DF2B89" w:rsidRPr="00F22870" w:rsidRDefault="00DF2B89" w:rsidP="00F22870">
      <w:pPr>
        <w:pStyle w:val="VAFigureCaption"/>
        <w:spacing w:before="0"/>
        <w:ind w:firstLine="202"/>
        <w:rPr>
          <w:lang w:val="pt-BR"/>
        </w:rPr>
      </w:pPr>
      <w:r w:rsidRPr="001577F9">
        <w:rPr>
          <w:rFonts w:ascii="Times New Roman" w:hAnsi="Times New Roman"/>
          <w:color w:val="000000"/>
          <w:sz w:val="20"/>
          <w:lang w:val="pt-BR"/>
        </w:rPr>
        <w:t>Após os testes iniciais utilizando o catalisador Ru/SiO</w:t>
      </w:r>
      <w:r w:rsidRPr="007C279A">
        <w:rPr>
          <w:rFonts w:ascii="Times New Roman" w:hAnsi="Times New Roman"/>
          <w:color w:val="000000"/>
          <w:sz w:val="20"/>
          <w:vertAlign w:val="subscript"/>
          <w:lang w:val="pt-BR"/>
        </w:rPr>
        <w:t>2</w:t>
      </w:r>
      <w:r w:rsidRPr="001577F9">
        <w:rPr>
          <w:rFonts w:ascii="Times New Roman" w:hAnsi="Times New Roman"/>
          <w:color w:val="000000"/>
          <w:sz w:val="20"/>
          <w:lang w:val="pt-BR"/>
        </w:rPr>
        <w:t xml:space="preserve"> na reação de HEFA, utilizando o óleo de babaçu como matéria prima, foram realizados os experimentos descritos na </w:t>
      </w:r>
      <w:r>
        <w:rPr>
          <w:rFonts w:ascii="Times New Roman" w:hAnsi="Times New Roman"/>
          <w:color w:val="000000"/>
          <w:sz w:val="20"/>
          <w:lang w:val="pt-BR"/>
        </w:rPr>
        <w:t>T</w:t>
      </w:r>
      <w:r w:rsidRPr="001577F9">
        <w:rPr>
          <w:rFonts w:ascii="Times New Roman" w:hAnsi="Times New Roman"/>
          <w:color w:val="000000"/>
          <w:sz w:val="20"/>
          <w:lang w:val="pt-BR"/>
        </w:rPr>
        <w:t>abela</w:t>
      </w:r>
      <w:r>
        <w:rPr>
          <w:rFonts w:ascii="Times New Roman" w:hAnsi="Times New Roman"/>
          <w:color w:val="000000"/>
          <w:sz w:val="20"/>
          <w:lang w:val="pt-BR"/>
        </w:rPr>
        <w:t xml:space="preserve"> 1.</w:t>
      </w:r>
    </w:p>
    <w:p w14:paraId="5499A572" w14:textId="77777777" w:rsidR="00DF2B89" w:rsidRPr="001577F9" w:rsidRDefault="00DF2B89" w:rsidP="00DF2B89">
      <w:pPr>
        <w:spacing w:before="247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1577F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Tabela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 1</w:t>
      </w:r>
      <w:r w:rsidRPr="001577F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. </w:t>
      </w:r>
      <w:r w:rsidRPr="001577F9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Diferentes condições de HEFA do óleo de babaçu catalisados por Ru/SiO</w:t>
      </w:r>
      <w:r w:rsidRPr="001577F9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pt-BR"/>
        </w:rPr>
        <w:t>2</w:t>
      </w:r>
      <w:r w:rsidRPr="001577F9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: </w:t>
      </w:r>
    </w:p>
    <w:tbl>
      <w:tblPr>
        <w:tblW w:w="4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120"/>
        <w:gridCol w:w="1377"/>
        <w:gridCol w:w="992"/>
      </w:tblGrid>
      <w:tr w:rsidR="00DF2B89" w:rsidRPr="001577F9" w14:paraId="499597B8" w14:textId="77777777" w:rsidTr="00FF4114">
        <w:trPr>
          <w:trHeight w:val="2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CEEDE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Experimento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47611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Temp. /°C 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24597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Pressão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H</w:t>
            </w:r>
            <w:r w:rsidRPr="007C2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pt-BR"/>
              </w:rPr>
              <w:t>2</w:t>
            </w: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/</w:t>
            </w:r>
            <w:proofErr w:type="spellStart"/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atm</w:t>
            </w:r>
            <w:proofErr w:type="spellEnd"/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47C6A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Tempo /h</w:t>
            </w:r>
          </w:p>
        </w:tc>
      </w:tr>
      <w:tr w:rsidR="00DF2B89" w:rsidRPr="001577F9" w14:paraId="36662D1F" w14:textId="77777777" w:rsidTr="00FF4114">
        <w:trPr>
          <w:trHeight w:val="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A43F1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Ru01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D1CB6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350 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359BE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6AFE1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3,5</w:t>
            </w:r>
          </w:p>
        </w:tc>
      </w:tr>
      <w:tr w:rsidR="00DF2B89" w:rsidRPr="001577F9" w14:paraId="6AEA4D5A" w14:textId="77777777" w:rsidTr="00FF4114">
        <w:trPr>
          <w:trHeight w:val="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DC4B3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Ru02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FB09D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350 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7499B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F9F97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3,5</w:t>
            </w:r>
          </w:p>
        </w:tc>
      </w:tr>
      <w:tr w:rsidR="00DF2B89" w:rsidRPr="001577F9" w14:paraId="1D4ABA72" w14:textId="77777777" w:rsidTr="00FF4114">
        <w:trPr>
          <w:trHeight w:val="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66C4F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Ru03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5DADB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300 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9DA53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98907" w14:textId="77777777" w:rsidR="00DF2B89" w:rsidRPr="001577F9" w:rsidRDefault="00DF2B89" w:rsidP="00FF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3,5</w:t>
            </w:r>
          </w:p>
        </w:tc>
      </w:tr>
      <w:tr w:rsidR="00DF2B89" w:rsidRPr="001577F9" w14:paraId="083F1EEE" w14:textId="77777777" w:rsidTr="00FF4114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F6647" w14:textId="77777777" w:rsidR="00DF2B89" w:rsidRPr="001577F9" w:rsidRDefault="00DF2B89" w:rsidP="00FF4114">
            <w:pPr>
              <w:spacing w:after="0" w:line="22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Ru04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39AD7" w14:textId="77777777" w:rsidR="00DF2B89" w:rsidRPr="001577F9" w:rsidRDefault="00DF2B89" w:rsidP="00FF4114">
            <w:pPr>
              <w:spacing w:after="0" w:line="22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350 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81D46" w14:textId="77777777" w:rsidR="00DF2B89" w:rsidRPr="001577F9" w:rsidRDefault="00DF2B89" w:rsidP="00FF4114">
            <w:pPr>
              <w:spacing w:after="0" w:line="22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7C0E0" w14:textId="77777777" w:rsidR="00DF2B89" w:rsidRPr="001577F9" w:rsidRDefault="00DF2B89" w:rsidP="00FF4114">
            <w:pPr>
              <w:spacing w:after="0" w:line="22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1,0</w:t>
            </w:r>
          </w:p>
        </w:tc>
      </w:tr>
    </w:tbl>
    <w:p w14:paraId="789243DC" w14:textId="77777777" w:rsidR="00DF2B89" w:rsidRPr="001577F9" w:rsidRDefault="00DF2B89" w:rsidP="00DF2B89">
      <w:p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C</w:t>
      </w:r>
      <w:r w:rsidRPr="001577F9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ondições</w:t>
      </w:r>
      <w:proofErr w:type="spellEnd"/>
      <w:r w:rsidRPr="001577F9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da reação: óleo de babaçu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(</w:t>
      </w:r>
      <w:r w:rsidRPr="001577F9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3,0 g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)</w:t>
      </w:r>
      <w:r w:rsidRPr="001577F9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, Ru/SiO</w:t>
      </w:r>
      <w:r w:rsidRPr="001577F9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pt-BR"/>
        </w:rPr>
        <w:t>2</w:t>
      </w:r>
      <w:r w:rsidRPr="001577F9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(</w:t>
      </w:r>
      <w:r w:rsidRPr="001577F9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150,0 mg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).</w:t>
      </w:r>
    </w:p>
    <w:p w14:paraId="59908AFC" w14:textId="77777777" w:rsidR="00DF2B89" w:rsidRPr="00735D9A" w:rsidRDefault="00DF2B89" w:rsidP="002E6922">
      <w:pPr>
        <w:pStyle w:val="TAMainText"/>
        <w:rPr>
          <w:rFonts w:ascii="Times New Roman" w:hAnsi="Times New Roman"/>
          <w:lang w:val="pt-BR"/>
        </w:rPr>
      </w:pPr>
    </w:p>
    <w:p w14:paraId="1A949BF5" w14:textId="496C694D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27C25D2F" w14:textId="3C1CEE24" w:rsidR="00B8471F" w:rsidRPr="00745CE6" w:rsidRDefault="00B8471F" w:rsidP="00B8471F">
      <w:pPr>
        <w:pStyle w:val="TAMainText"/>
        <w:ind w:firstLine="187"/>
        <w:rPr>
          <w:rFonts w:ascii="Times New Roman" w:hAnsi="Times New Roman"/>
          <w:lang w:val="pt-BR"/>
        </w:rPr>
      </w:pPr>
      <w:r w:rsidRPr="00B8471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A Figura 1 apresenta o </w:t>
      </w:r>
      <w:proofErr w:type="spellStart"/>
      <w:r>
        <w:rPr>
          <w:rFonts w:ascii="Times New Roman" w:hAnsi="Times New Roman"/>
          <w:lang w:val="pt-BR"/>
        </w:rPr>
        <w:t>difratograma</w:t>
      </w:r>
      <w:proofErr w:type="spellEnd"/>
      <w:r>
        <w:rPr>
          <w:rFonts w:ascii="Times New Roman" w:hAnsi="Times New Roman"/>
          <w:lang w:val="pt-BR"/>
        </w:rPr>
        <w:t xml:space="preserve"> de raios X, no </w:t>
      </w:r>
      <w:r w:rsidR="00232990">
        <w:rPr>
          <w:rFonts w:ascii="Times New Roman" w:hAnsi="Times New Roman"/>
          <w:lang w:val="pt-BR"/>
        </w:rPr>
        <w:t>qual é</w:t>
      </w:r>
      <w:r>
        <w:rPr>
          <w:rFonts w:ascii="Times New Roman" w:hAnsi="Times New Roman"/>
          <w:lang w:val="pt-BR"/>
        </w:rPr>
        <w:t xml:space="preserve"> possível observar uma reflexão alargada próxima a 2θ = 23°, característica de materiais à base de SiO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amorfa (12). Já para as fases relativas ao rutênio, observa-se </w:t>
      </w:r>
      <w:r w:rsidRPr="00735D9A">
        <w:rPr>
          <w:rFonts w:ascii="Times New Roman" w:hAnsi="Times New Roman"/>
          <w:lang w:val="pt-BR"/>
        </w:rPr>
        <w:t>padrões de difração referentes ao RuO</w:t>
      </w:r>
      <w:r w:rsidRPr="0093537C">
        <w:rPr>
          <w:rFonts w:ascii="Times New Roman" w:hAnsi="Times New Roman"/>
          <w:vertAlign w:val="subscript"/>
          <w:lang w:val="pt-BR"/>
        </w:rPr>
        <w:t>2</w:t>
      </w:r>
      <w:r w:rsidRPr="00735D9A">
        <w:rPr>
          <w:rFonts w:ascii="Times New Roman" w:hAnsi="Times New Roman"/>
          <w:lang w:val="pt-BR"/>
        </w:rPr>
        <w:t xml:space="preserve"> (α)</w:t>
      </w:r>
      <w:r>
        <w:rPr>
          <w:rFonts w:ascii="Times New Roman" w:hAnsi="Times New Roman"/>
          <w:lang w:val="pt-BR"/>
        </w:rPr>
        <w:t xml:space="preserve">. </w:t>
      </w:r>
    </w:p>
    <w:p w14:paraId="103583F5" w14:textId="24634689" w:rsidR="00745CE6" w:rsidRPr="00745CE6" w:rsidRDefault="00DF2B89" w:rsidP="00DB0F4A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715072" behindDoc="0" locked="0" layoutInCell="1" allowOverlap="1" wp14:anchorId="6C1D9B40" wp14:editId="4DA00AB6">
            <wp:simplePos x="0" y="0"/>
            <wp:positionH relativeFrom="column">
              <wp:posOffset>88592</wp:posOffset>
            </wp:positionH>
            <wp:positionV relativeFrom="paragraph">
              <wp:posOffset>64835</wp:posOffset>
            </wp:positionV>
            <wp:extent cx="2857093" cy="1613932"/>
            <wp:effectExtent l="0" t="0" r="635" b="5715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5"/>
                    <a:stretch/>
                  </pic:blipFill>
                  <pic:spPr bwMode="auto">
                    <a:xfrm>
                      <a:off x="0" y="0"/>
                      <a:ext cx="2881445" cy="162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3FFAE" w14:textId="0F95A8A6" w:rsidR="00EC3A5F" w:rsidRDefault="00F22870" w:rsidP="00DB0F4A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noProof/>
        </w:rPr>
        <w:drawing>
          <wp:anchor distT="0" distB="0" distL="114300" distR="114300" simplePos="0" relativeHeight="251730432" behindDoc="0" locked="0" layoutInCell="1" allowOverlap="1" wp14:anchorId="22719919" wp14:editId="7BD934C4">
            <wp:simplePos x="0" y="0"/>
            <wp:positionH relativeFrom="column">
              <wp:posOffset>1747364</wp:posOffset>
            </wp:positionH>
            <wp:positionV relativeFrom="paragraph">
              <wp:posOffset>5080</wp:posOffset>
            </wp:positionV>
            <wp:extent cx="1065872" cy="117294"/>
            <wp:effectExtent l="0" t="0" r="1270" b="0"/>
            <wp:wrapNone/>
            <wp:docPr id="21403569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72" cy="11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439A6" w14:textId="0812C594" w:rsidR="00262F48" w:rsidRDefault="00262F48" w:rsidP="00262F48">
      <w:pPr>
        <w:rPr>
          <w:lang w:eastAsia="pt-BR"/>
        </w:rPr>
      </w:pPr>
    </w:p>
    <w:p w14:paraId="40C5BBE3" w14:textId="77777777" w:rsidR="00DF2B89" w:rsidRDefault="00DF2B89" w:rsidP="00262F48">
      <w:pPr>
        <w:rPr>
          <w:lang w:eastAsia="pt-BR"/>
        </w:rPr>
      </w:pPr>
    </w:p>
    <w:p w14:paraId="18B4ACF0" w14:textId="77777777" w:rsidR="00DF2B89" w:rsidRDefault="00DF2B89" w:rsidP="007C279A">
      <w:pPr>
        <w:pStyle w:val="VAFigureCaption"/>
        <w:rPr>
          <w:rFonts w:ascii="Times New Roman" w:eastAsiaTheme="minorEastAsia" w:hAnsi="Times New Roman" w:cstheme="minorBidi"/>
          <w:sz w:val="21"/>
          <w:szCs w:val="21"/>
          <w:lang w:val="pt-BR" w:eastAsia="en-US"/>
        </w:rPr>
      </w:pPr>
    </w:p>
    <w:p w14:paraId="1AFF1899" w14:textId="77777777" w:rsidR="00DF2B89" w:rsidRPr="00F22870" w:rsidRDefault="00DF2B89" w:rsidP="00F22870"/>
    <w:p w14:paraId="4D6B1933" w14:textId="75AE275B" w:rsidR="00232990" w:rsidRPr="006079DF" w:rsidRDefault="00232990" w:rsidP="006079DF">
      <w:pPr>
        <w:rPr>
          <w:lang w:eastAsia="pt-BR"/>
        </w:rPr>
      </w:pPr>
    </w:p>
    <w:p w14:paraId="192135D8" w14:textId="6F02DC9A" w:rsidR="00262F48" w:rsidRDefault="00745CE6" w:rsidP="006079DF">
      <w:pPr>
        <w:pStyle w:val="VAFigureCaption"/>
        <w:rPr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B8471F">
        <w:rPr>
          <w:rFonts w:ascii="Times New Roman" w:hAnsi="Times New Roman"/>
          <w:b/>
          <w:lang w:val="pt-BR"/>
        </w:rPr>
        <w:t>1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lang w:val="pt-BR"/>
        </w:rPr>
        <w:t>Difração de raios X do catalisador</w:t>
      </w:r>
      <w:r w:rsidRPr="00745CE6">
        <w:rPr>
          <w:lang w:val="pt-BR"/>
        </w:rPr>
        <w:t xml:space="preserve"> de rutênio e padrões utilizados na identificação. </w:t>
      </w:r>
      <w:r>
        <w:rPr>
          <w:rFonts w:cs="Times"/>
          <w:lang w:val="pt-BR"/>
        </w:rPr>
        <w:t>α</w:t>
      </w:r>
      <w:r>
        <w:rPr>
          <w:lang w:val="pt-BR"/>
        </w:rPr>
        <w:t xml:space="preserve"> </w:t>
      </w:r>
      <w:r w:rsidRPr="00745CE6">
        <w:rPr>
          <w:lang w:val="pt-BR"/>
        </w:rPr>
        <w:t>- RuO</w:t>
      </w:r>
      <w:r w:rsidRPr="00745CE6">
        <w:rPr>
          <w:vertAlign w:val="subscript"/>
          <w:lang w:val="pt-BR"/>
        </w:rPr>
        <w:t>2</w:t>
      </w:r>
      <w:r w:rsidRPr="00745CE6">
        <w:rPr>
          <w:lang w:val="pt-BR"/>
        </w:rPr>
        <w:t>;</w:t>
      </w:r>
      <w:r w:rsidR="003A1899">
        <w:rPr>
          <w:lang w:val="pt-BR"/>
        </w:rPr>
        <w:t xml:space="preserve"> </w:t>
      </w:r>
      <w:r w:rsidRPr="00745CE6">
        <w:rPr>
          <w:lang w:val="pt-BR"/>
        </w:rPr>
        <w:t xml:space="preserve">Fonte: Cu (30 kV, 30 </w:t>
      </w:r>
      <w:proofErr w:type="spellStart"/>
      <w:r w:rsidRPr="00745CE6">
        <w:rPr>
          <w:lang w:val="pt-BR"/>
        </w:rPr>
        <w:t>mA</w:t>
      </w:r>
      <w:proofErr w:type="spellEnd"/>
      <w:r w:rsidRPr="00745CE6">
        <w:rPr>
          <w:lang w:val="pt-BR"/>
        </w:rPr>
        <w:t>, l</w:t>
      </w:r>
      <w:r>
        <w:rPr>
          <w:lang w:val="pt-BR"/>
        </w:rPr>
        <w:t xml:space="preserve"> </w:t>
      </w:r>
      <w:r w:rsidRPr="00745CE6">
        <w:rPr>
          <w:lang w:val="pt-BR"/>
        </w:rPr>
        <w:t>=</w:t>
      </w:r>
      <w:r>
        <w:rPr>
          <w:lang w:val="pt-BR"/>
        </w:rPr>
        <w:t xml:space="preserve"> </w:t>
      </w:r>
      <w:r w:rsidRPr="00745CE6">
        <w:rPr>
          <w:lang w:val="pt-BR"/>
        </w:rPr>
        <w:t xml:space="preserve">0,154 </w:t>
      </w:r>
      <w:proofErr w:type="spellStart"/>
      <w:r w:rsidRPr="00745CE6">
        <w:rPr>
          <w:lang w:val="pt-BR"/>
        </w:rPr>
        <w:t>nm</w:t>
      </w:r>
      <w:proofErr w:type="spellEnd"/>
      <w:r w:rsidRPr="00745CE6">
        <w:rPr>
          <w:lang w:val="pt-BR"/>
        </w:rPr>
        <w:t>)</w:t>
      </w:r>
    </w:p>
    <w:p w14:paraId="4DE08C05" w14:textId="6D8A0F5A" w:rsidR="00232990" w:rsidRDefault="00262F48" w:rsidP="00745CE6">
      <w:pPr>
        <w:pStyle w:val="VAFigureCaption"/>
        <w:spacing w:before="0"/>
        <w:rPr>
          <w:lang w:val="pt-BR"/>
        </w:rPr>
      </w:pPr>
      <w:r>
        <w:rPr>
          <w:lang w:val="pt-BR"/>
        </w:rPr>
        <w:lastRenderedPageBreak/>
        <w:t xml:space="preserve">   </w:t>
      </w:r>
    </w:p>
    <w:p w14:paraId="3484674E" w14:textId="00C78904" w:rsidR="00A4570D" w:rsidRPr="00A4570D" w:rsidRDefault="00232990" w:rsidP="00A4570D">
      <w:pPr>
        <w:pStyle w:val="VAFigureCaption"/>
        <w:spacing w:before="0"/>
        <w:rPr>
          <w:lang w:val="pt-BR"/>
        </w:rPr>
      </w:pPr>
      <w:r>
        <w:rPr>
          <w:rFonts w:ascii="Times New Roman" w:hAnsi="Times New Roman"/>
          <w:sz w:val="20"/>
          <w:lang w:val="pt-BR"/>
        </w:rPr>
        <w:t xml:space="preserve">  </w:t>
      </w:r>
      <w:r w:rsidR="00677061">
        <w:rPr>
          <w:lang w:val="pt-BR"/>
        </w:rPr>
        <w:t>Nas micrografias de MET (</w:t>
      </w:r>
      <w:r w:rsidR="00677061" w:rsidRPr="001577F9">
        <w:rPr>
          <w:b/>
          <w:lang w:val="pt-BR"/>
        </w:rPr>
        <w:t xml:space="preserve">Figura </w:t>
      </w:r>
      <w:r w:rsidR="00677061">
        <w:rPr>
          <w:b/>
          <w:lang w:val="pt-BR"/>
        </w:rPr>
        <w:t>2a-c</w:t>
      </w:r>
      <w:r w:rsidR="00677061">
        <w:rPr>
          <w:lang w:val="pt-BR"/>
        </w:rPr>
        <w:t>)</w:t>
      </w:r>
      <w:r w:rsidR="008F4255">
        <w:rPr>
          <w:lang w:val="pt-BR"/>
        </w:rPr>
        <w:t>, realizadas com o material após o tratamento de redução,</w:t>
      </w:r>
      <w:r w:rsidR="00677061">
        <w:rPr>
          <w:lang w:val="pt-BR"/>
        </w:rPr>
        <w:t xml:space="preserve"> observa-se boa dispersão de Ru</w:t>
      </w:r>
      <w:r w:rsidR="00677061">
        <w:rPr>
          <w:vertAlign w:val="superscript"/>
          <w:lang w:val="pt-BR"/>
        </w:rPr>
        <w:t>0</w:t>
      </w:r>
      <w:r w:rsidR="00677061">
        <w:rPr>
          <w:lang w:val="pt-BR"/>
        </w:rPr>
        <w:t xml:space="preserve"> sobre a matriz de SiO</w:t>
      </w:r>
      <w:r w:rsidR="00677061">
        <w:rPr>
          <w:vertAlign w:val="subscript"/>
          <w:lang w:val="pt-BR"/>
        </w:rPr>
        <w:t>2</w:t>
      </w:r>
      <w:r w:rsidR="00677061">
        <w:rPr>
          <w:lang w:val="pt-BR"/>
        </w:rPr>
        <w:t xml:space="preserve"> observado pela diferença de contraste nas imagens, além de ser possível notar a estrutura amorfa da sílica e a presença de planos cristalinos de rutênio metálico, confirmando o observado na difração de raios X.</w:t>
      </w:r>
      <w:r w:rsidR="008F4255">
        <w:rPr>
          <w:lang w:val="pt-BR"/>
        </w:rPr>
        <w:t xml:space="preserve"> Além disso</w:t>
      </w:r>
      <w:r w:rsidR="0068656B">
        <w:rPr>
          <w:lang w:val="pt-BR"/>
        </w:rPr>
        <w:t xml:space="preserve">, </w:t>
      </w:r>
      <w:r w:rsidR="008F4255">
        <w:rPr>
          <w:lang w:val="pt-BR"/>
        </w:rPr>
        <w:t>pode-se observar a distribuição do tamanho de partículas de Ru</w:t>
      </w:r>
      <w:r w:rsidR="0068656B">
        <w:rPr>
          <w:lang w:val="pt-BR"/>
        </w:rPr>
        <w:t>, que possuem um tamanho médio na escala nanométrica</w:t>
      </w:r>
      <w:r w:rsidR="008F4255">
        <w:rPr>
          <w:lang w:val="pt-BR"/>
        </w:rPr>
        <w:t>.</w:t>
      </w:r>
    </w:p>
    <w:p w14:paraId="06CBD770" w14:textId="77777777" w:rsidR="00677061" w:rsidRPr="00F33EB2" w:rsidRDefault="00677061" w:rsidP="00677061">
      <w:pPr>
        <w:jc w:val="center"/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10D884DE" wp14:editId="084E905A">
            <wp:extent cx="2869985" cy="2689860"/>
            <wp:effectExtent l="0" t="0" r="0" b="0"/>
            <wp:docPr id="1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985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37A1D" w14:textId="107EA699" w:rsidR="00677061" w:rsidRPr="00F22870" w:rsidRDefault="00677061" w:rsidP="00677061">
      <w:pPr>
        <w:pStyle w:val="VAFigureCaption"/>
        <w:spacing w:before="0"/>
        <w:rPr>
          <w:vertAlign w:val="subscript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68656B"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lang w:val="pt-BR"/>
        </w:rPr>
        <w:t>MET do catalisador Ru/SiO</w:t>
      </w:r>
      <w:r>
        <w:rPr>
          <w:vertAlign w:val="subscript"/>
          <w:lang w:val="pt-BR"/>
        </w:rPr>
        <w:t>2</w:t>
      </w:r>
    </w:p>
    <w:p w14:paraId="4845DDEC" w14:textId="77777777" w:rsidR="00677061" w:rsidRDefault="00677061" w:rsidP="00745CE6">
      <w:pPr>
        <w:pStyle w:val="VAFigureCaption"/>
        <w:spacing w:before="0"/>
        <w:rPr>
          <w:rFonts w:ascii="Times New Roman" w:hAnsi="Times New Roman"/>
          <w:sz w:val="20"/>
          <w:lang w:val="pt-BR"/>
        </w:rPr>
      </w:pPr>
    </w:p>
    <w:p w14:paraId="0ADB7478" w14:textId="04E82CFF" w:rsidR="00DB0F4A" w:rsidRPr="007C279A" w:rsidRDefault="00DB0F4A" w:rsidP="00745CE6">
      <w:pPr>
        <w:pStyle w:val="VAFigureCaption"/>
        <w:spacing w:before="0"/>
        <w:rPr>
          <w:rFonts w:ascii="Times New Roman" w:hAnsi="Times New Roman"/>
          <w:sz w:val="20"/>
          <w:lang w:val="pt-BR"/>
        </w:rPr>
      </w:pPr>
      <w:r w:rsidRPr="007C279A">
        <w:rPr>
          <w:rFonts w:ascii="Times New Roman" w:hAnsi="Times New Roman"/>
          <w:sz w:val="20"/>
          <w:lang w:val="pt-BR"/>
        </w:rPr>
        <w:t>Através do resultado da análise de</w:t>
      </w:r>
      <w:r w:rsidR="00745CE6" w:rsidRPr="007C279A">
        <w:rPr>
          <w:rFonts w:ascii="Times New Roman" w:hAnsi="Times New Roman"/>
          <w:sz w:val="20"/>
          <w:lang w:val="pt-BR"/>
        </w:rPr>
        <w:t xml:space="preserve"> RTP do catalisador (</w:t>
      </w:r>
      <w:r w:rsidR="00745CE6" w:rsidRPr="007C279A">
        <w:rPr>
          <w:rFonts w:ascii="Times New Roman" w:hAnsi="Times New Roman"/>
          <w:bCs/>
          <w:sz w:val="20"/>
          <w:lang w:val="pt-BR"/>
        </w:rPr>
        <w:t xml:space="preserve">Figura </w:t>
      </w:r>
      <w:r w:rsidR="0068656B">
        <w:rPr>
          <w:rFonts w:ascii="Times New Roman" w:hAnsi="Times New Roman"/>
          <w:bCs/>
          <w:sz w:val="20"/>
          <w:lang w:val="pt-BR"/>
        </w:rPr>
        <w:t>3</w:t>
      </w:r>
      <w:r w:rsidRPr="007C279A">
        <w:rPr>
          <w:rFonts w:ascii="Times New Roman" w:hAnsi="Times New Roman"/>
          <w:sz w:val="20"/>
          <w:lang w:val="pt-BR"/>
        </w:rPr>
        <w:t>) observa-se um evento de redução centrado a 149 °C atribuído à redução das espécies de Ru superficiais e outro a 195 °C referente a espécies mais internas de Ru do material.</w:t>
      </w:r>
      <w:r w:rsidR="00745CE6" w:rsidRPr="007C279A">
        <w:rPr>
          <w:rFonts w:ascii="Times New Roman" w:hAnsi="Times New Roman"/>
          <w:sz w:val="20"/>
          <w:lang w:val="pt-BR"/>
        </w:rPr>
        <w:t xml:space="preserve"> A temperatura de redução do catalisador (195°C) sugere que, nas condições da reação de HEFA (350°C)</w:t>
      </w:r>
      <w:r w:rsidR="007B6B6C">
        <w:rPr>
          <w:rFonts w:ascii="Times New Roman" w:hAnsi="Times New Roman"/>
          <w:sz w:val="20"/>
          <w:lang w:val="pt-BR"/>
        </w:rPr>
        <w:t xml:space="preserve">, </w:t>
      </w:r>
      <w:r w:rsidR="00745CE6" w:rsidRPr="007C279A">
        <w:rPr>
          <w:rFonts w:ascii="Times New Roman" w:hAnsi="Times New Roman"/>
          <w:sz w:val="20"/>
          <w:lang w:val="pt-BR"/>
        </w:rPr>
        <w:t>ele reduzirá in situ.</w:t>
      </w:r>
    </w:p>
    <w:p w14:paraId="4C146C18" w14:textId="272F1F72" w:rsidR="00745CE6" w:rsidRDefault="00DF2B89" w:rsidP="007C279A">
      <w:pPr>
        <w:pStyle w:val="TAMainText"/>
        <w:ind w:firstLine="187"/>
        <w:rPr>
          <w:rFonts w:ascii="Times New Roman" w:hAnsi="Times New Roman"/>
          <w:b/>
          <w:lang w:val="pt-BR"/>
        </w:rPr>
      </w:pPr>
      <w:r>
        <w:rPr>
          <w:noProof/>
        </w:rPr>
        <w:drawing>
          <wp:anchor distT="0" distB="0" distL="114300" distR="114300" simplePos="0" relativeHeight="251727360" behindDoc="0" locked="0" layoutInCell="1" allowOverlap="1" wp14:anchorId="32F4D39A" wp14:editId="51666A3D">
            <wp:simplePos x="0" y="0"/>
            <wp:positionH relativeFrom="margin">
              <wp:posOffset>191591</wp:posOffset>
            </wp:positionH>
            <wp:positionV relativeFrom="paragraph">
              <wp:posOffset>106045</wp:posOffset>
            </wp:positionV>
            <wp:extent cx="2614295" cy="190944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6" t="11271" r="11484" b="2283"/>
                    <a:stretch/>
                  </pic:blipFill>
                  <pic:spPr bwMode="auto">
                    <a:xfrm>
                      <a:off x="0" y="0"/>
                      <a:ext cx="2614295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C8D4B" w14:textId="75F56551" w:rsidR="003A1899" w:rsidRDefault="003A1899" w:rsidP="005173F0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30CE068E" w14:textId="60E4C14B" w:rsidR="003A1899" w:rsidRDefault="003A1899" w:rsidP="00F33EB2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2DB8DAE2" w14:textId="5E09BF81" w:rsidR="003A1899" w:rsidRDefault="003A1899" w:rsidP="00F33EB2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54557EF0" w14:textId="686674F7" w:rsidR="003A1899" w:rsidRDefault="003A1899" w:rsidP="00F33EB2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397FDA7A" w14:textId="393473B2" w:rsidR="003A1899" w:rsidRDefault="003A1899" w:rsidP="00F33EB2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0464DAC8" w14:textId="3FB8623B" w:rsidR="007A69FF" w:rsidRDefault="007A69FF" w:rsidP="007A69FF">
      <w:pPr>
        <w:rPr>
          <w:lang w:eastAsia="pt-BR"/>
        </w:rPr>
      </w:pPr>
    </w:p>
    <w:p w14:paraId="24A3786F" w14:textId="77777777" w:rsidR="007A69FF" w:rsidRDefault="007A69FF" w:rsidP="007C279A">
      <w:pPr>
        <w:rPr>
          <w:sz w:val="6"/>
          <w:szCs w:val="6"/>
        </w:rPr>
      </w:pPr>
    </w:p>
    <w:p w14:paraId="02CC8F05" w14:textId="77777777" w:rsidR="005173F0" w:rsidRDefault="005173F0" w:rsidP="007C279A">
      <w:pPr>
        <w:rPr>
          <w:sz w:val="6"/>
          <w:szCs w:val="6"/>
        </w:rPr>
      </w:pPr>
    </w:p>
    <w:p w14:paraId="5568A1FA" w14:textId="77777777" w:rsidR="005173F0" w:rsidRDefault="005173F0" w:rsidP="007C279A">
      <w:pPr>
        <w:rPr>
          <w:sz w:val="6"/>
          <w:szCs w:val="6"/>
        </w:rPr>
      </w:pPr>
    </w:p>
    <w:p w14:paraId="2B9FAFCD" w14:textId="77777777" w:rsidR="005173F0" w:rsidRDefault="005173F0" w:rsidP="007C279A">
      <w:pPr>
        <w:rPr>
          <w:sz w:val="6"/>
          <w:szCs w:val="6"/>
        </w:rPr>
      </w:pPr>
    </w:p>
    <w:p w14:paraId="6B5CEA0A" w14:textId="77777777" w:rsidR="005173F0" w:rsidRDefault="005173F0" w:rsidP="007C279A">
      <w:pPr>
        <w:rPr>
          <w:sz w:val="6"/>
          <w:szCs w:val="6"/>
        </w:rPr>
      </w:pPr>
    </w:p>
    <w:p w14:paraId="164AE7BA" w14:textId="77777777" w:rsidR="00DF2B89" w:rsidRPr="007C279A" w:rsidRDefault="00DF2B89" w:rsidP="007C279A">
      <w:pPr>
        <w:rPr>
          <w:sz w:val="6"/>
          <w:szCs w:val="6"/>
        </w:rPr>
      </w:pPr>
    </w:p>
    <w:p w14:paraId="4683BC0B" w14:textId="5A12D6D3" w:rsidR="00F33EB2" w:rsidRDefault="00745CE6" w:rsidP="00F33EB2">
      <w:pPr>
        <w:pStyle w:val="VAFigureCaption"/>
        <w:spacing w:before="0"/>
        <w:rPr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68656B">
        <w:rPr>
          <w:rFonts w:ascii="Times New Roman" w:hAnsi="Times New Roman"/>
          <w:b/>
          <w:lang w:val="pt-BR"/>
        </w:rPr>
        <w:t>3</w:t>
      </w:r>
      <w:r w:rsidRPr="00E038AF">
        <w:rPr>
          <w:rFonts w:ascii="Times New Roman" w:hAnsi="Times New Roman"/>
          <w:b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Pr="00745CE6">
        <w:rPr>
          <w:lang w:val="pt-BR"/>
        </w:rPr>
        <w:t>Redução à temperatura programada do</w:t>
      </w:r>
      <w:r w:rsidR="00F33EB2">
        <w:rPr>
          <w:lang w:val="pt-BR"/>
        </w:rPr>
        <w:t xml:space="preserve"> material (Ru/SiO</w:t>
      </w:r>
      <w:r w:rsidR="00F33EB2">
        <w:rPr>
          <w:vertAlign w:val="subscript"/>
          <w:lang w:val="pt-BR"/>
        </w:rPr>
        <w:t>2</w:t>
      </w:r>
      <w:r w:rsidR="00F33EB2">
        <w:rPr>
          <w:lang w:val="pt-BR"/>
        </w:rPr>
        <w:t xml:space="preserve">) calcinado. </w:t>
      </w:r>
    </w:p>
    <w:p w14:paraId="5788C8DD" w14:textId="64E23182" w:rsidR="001577F9" w:rsidRDefault="001577F9" w:rsidP="0038030B">
      <w:pPr>
        <w:pStyle w:val="VAFigureCaption"/>
        <w:spacing w:before="0"/>
        <w:rPr>
          <w:vertAlign w:val="subscript"/>
          <w:lang w:val="pt-BR"/>
        </w:rPr>
      </w:pPr>
    </w:p>
    <w:p w14:paraId="470C9AFE" w14:textId="064C381A" w:rsidR="007A69FF" w:rsidRPr="00DE0597" w:rsidRDefault="00686ACA" w:rsidP="001577F9">
      <w:pPr>
        <w:pStyle w:val="VAFigureCaption"/>
        <w:spacing w:before="0"/>
        <w:rPr>
          <w:lang w:val="pt-BR"/>
        </w:rPr>
      </w:pPr>
      <w:r>
        <w:rPr>
          <w:rFonts w:ascii="Times New Roman" w:eastAsiaTheme="minorEastAsia" w:hAnsi="Times New Roman"/>
          <w:sz w:val="20"/>
          <w:lang w:val="pt-BR"/>
        </w:rPr>
        <w:t xml:space="preserve">   </w:t>
      </w:r>
      <w:r w:rsidRPr="007A69FF">
        <w:rPr>
          <w:rFonts w:ascii="Times New Roman" w:eastAsiaTheme="minorEastAsia" w:hAnsi="Times New Roman"/>
          <w:sz w:val="20"/>
          <w:lang w:val="pt-BR"/>
        </w:rPr>
        <w:t>A isoterma de adsorção/dessorção de N</w:t>
      </w:r>
      <w:r w:rsidRPr="007A69FF">
        <w:rPr>
          <w:rFonts w:ascii="Times New Roman" w:eastAsiaTheme="minorEastAsia" w:hAnsi="Times New Roman"/>
          <w:sz w:val="20"/>
          <w:vertAlign w:val="subscript"/>
          <w:lang w:val="pt-BR"/>
        </w:rPr>
        <w:t>2</w:t>
      </w:r>
      <w:r w:rsidRPr="007A69FF">
        <w:rPr>
          <w:rFonts w:ascii="Times New Roman" w:eastAsiaTheme="minorEastAsia" w:hAnsi="Times New Roman"/>
          <w:sz w:val="20"/>
          <w:lang w:val="pt-BR"/>
        </w:rPr>
        <w:t xml:space="preserve"> e a distribuição de poros do catalisador encontram-se na Figura </w:t>
      </w:r>
      <w:r w:rsidR="0068656B">
        <w:rPr>
          <w:rFonts w:ascii="Times New Roman" w:eastAsiaTheme="minorEastAsia" w:hAnsi="Times New Roman"/>
          <w:sz w:val="20"/>
          <w:lang w:val="pt-BR"/>
        </w:rPr>
        <w:t>4</w:t>
      </w:r>
      <w:r w:rsidRPr="007A69FF">
        <w:rPr>
          <w:rFonts w:ascii="Times New Roman" w:eastAsiaTheme="minorEastAsia" w:hAnsi="Times New Roman"/>
          <w:sz w:val="20"/>
          <w:lang w:val="pt-BR"/>
        </w:rPr>
        <w:t xml:space="preserve">. </w:t>
      </w:r>
      <w:r w:rsidRPr="00DE0597">
        <w:rPr>
          <w:rFonts w:ascii="Times New Roman" w:hAnsi="Times New Roman"/>
          <w:sz w:val="20"/>
          <w:szCs w:val="22"/>
          <w:lang w:val="pt-BR"/>
        </w:rPr>
        <w:t xml:space="preserve">Para o catalisador observa-se isoterma do tipo </w:t>
      </w:r>
      <w:proofErr w:type="spellStart"/>
      <w:r w:rsidRPr="00DE0597">
        <w:rPr>
          <w:rFonts w:ascii="Times New Roman" w:hAnsi="Times New Roman"/>
          <w:sz w:val="20"/>
          <w:szCs w:val="22"/>
          <w:lang w:val="pt-BR"/>
        </w:rPr>
        <w:t>IV</w:t>
      </w:r>
      <w:r w:rsidR="00D56137">
        <w:rPr>
          <w:rFonts w:ascii="Times New Roman" w:hAnsi="Times New Roman"/>
          <w:sz w:val="20"/>
          <w:szCs w:val="22"/>
          <w:lang w:val="pt-BR"/>
        </w:rPr>
        <w:t>a</w:t>
      </w:r>
      <w:proofErr w:type="spellEnd"/>
      <w:r w:rsidRPr="00DE0597">
        <w:rPr>
          <w:rFonts w:ascii="Times New Roman" w:hAnsi="Times New Roman"/>
          <w:sz w:val="20"/>
          <w:szCs w:val="22"/>
          <w:lang w:val="pt-BR"/>
        </w:rPr>
        <w:t>, segundo classificação da IUPAC</w:t>
      </w:r>
      <w:r w:rsidR="00CD726D" w:rsidRPr="00DE0597">
        <w:rPr>
          <w:rFonts w:ascii="Times New Roman" w:hAnsi="Times New Roman"/>
          <w:sz w:val="20"/>
          <w:szCs w:val="22"/>
          <w:lang w:val="pt-BR"/>
        </w:rPr>
        <w:t xml:space="preserve"> (13)</w:t>
      </w:r>
      <w:r w:rsidRPr="00DE0597">
        <w:rPr>
          <w:rFonts w:ascii="Times New Roman" w:hAnsi="Times New Roman"/>
          <w:sz w:val="20"/>
          <w:szCs w:val="22"/>
          <w:lang w:val="pt-BR"/>
        </w:rPr>
        <w:t>.</w:t>
      </w:r>
      <w:r w:rsidR="007A69FF" w:rsidRPr="00DE0597">
        <w:rPr>
          <w:rFonts w:ascii="Times New Roman" w:hAnsi="Times New Roman"/>
          <w:sz w:val="20"/>
          <w:szCs w:val="22"/>
          <w:lang w:val="pt-BR"/>
        </w:rPr>
        <w:t xml:space="preserve"> </w:t>
      </w:r>
      <w:r w:rsidR="00A453B2">
        <w:rPr>
          <w:rFonts w:ascii="Times New Roman" w:hAnsi="Times New Roman"/>
          <w:sz w:val="20"/>
          <w:szCs w:val="22"/>
          <w:lang w:val="pt-BR"/>
        </w:rPr>
        <w:t xml:space="preserve">O que está </w:t>
      </w:r>
      <w:r w:rsidR="007A69FF" w:rsidRPr="00DE0597">
        <w:rPr>
          <w:rFonts w:ascii="Times New Roman" w:hAnsi="Times New Roman"/>
          <w:sz w:val="20"/>
          <w:szCs w:val="22"/>
          <w:lang w:val="pt-BR"/>
        </w:rPr>
        <w:t xml:space="preserve">de acordo com a </w:t>
      </w:r>
      <w:r w:rsidR="007A69FF" w:rsidRPr="00DE0597">
        <w:rPr>
          <w:rFonts w:ascii="Times New Roman" w:hAnsi="Times New Roman"/>
          <w:sz w:val="20"/>
          <w:szCs w:val="22"/>
          <w:lang w:val="pt-BR"/>
        </w:rPr>
        <w:t xml:space="preserve">distribuição de poros do material - </w:t>
      </w:r>
      <w:proofErr w:type="spellStart"/>
      <w:r w:rsidR="007A69FF" w:rsidRPr="00DE0597">
        <w:rPr>
          <w:rFonts w:ascii="Times New Roman" w:hAnsi="Times New Roman"/>
          <w:sz w:val="20"/>
          <w:szCs w:val="22"/>
          <w:lang w:val="pt-BR"/>
        </w:rPr>
        <w:t>Ru-SG</w:t>
      </w:r>
      <w:proofErr w:type="spellEnd"/>
      <w:r w:rsidR="007A69FF" w:rsidRPr="00DE0597">
        <w:rPr>
          <w:rFonts w:ascii="Times New Roman" w:hAnsi="Times New Roman"/>
          <w:sz w:val="20"/>
          <w:szCs w:val="22"/>
          <w:lang w:val="pt-BR"/>
        </w:rPr>
        <w:t xml:space="preserve">: 3-7,5 </w:t>
      </w:r>
      <w:proofErr w:type="spellStart"/>
      <w:r w:rsidR="007A69FF" w:rsidRPr="00DE0597">
        <w:rPr>
          <w:rFonts w:ascii="Times New Roman" w:hAnsi="Times New Roman"/>
          <w:sz w:val="20"/>
          <w:szCs w:val="22"/>
          <w:lang w:val="pt-BR"/>
        </w:rPr>
        <w:t>nm</w:t>
      </w:r>
      <w:proofErr w:type="spellEnd"/>
      <w:r w:rsidR="00B17757">
        <w:rPr>
          <w:rFonts w:ascii="Times New Roman" w:hAnsi="Times New Roman"/>
          <w:sz w:val="20"/>
          <w:szCs w:val="22"/>
          <w:lang w:val="pt-BR"/>
        </w:rPr>
        <w:t xml:space="preserve">, além de possuir um volume de poros de 0,77 </w:t>
      </w:r>
      <w:r w:rsidR="00B17757" w:rsidRPr="007C279A">
        <w:rPr>
          <w:rFonts w:ascii="Times New Roman" w:hAnsi="Times New Roman"/>
          <w:szCs w:val="18"/>
        </w:rPr>
        <w:t>cm</w:t>
      </w:r>
      <w:r w:rsidR="00B17757" w:rsidRPr="007C279A">
        <w:rPr>
          <w:rFonts w:ascii="Times New Roman" w:hAnsi="Times New Roman"/>
          <w:szCs w:val="18"/>
          <w:vertAlign w:val="superscript"/>
        </w:rPr>
        <w:t>3</w:t>
      </w:r>
      <w:r w:rsidR="00B17757" w:rsidRPr="007C279A">
        <w:rPr>
          <w:rFonts w:ascii="Times New Roman" w:hAnsi="Times New Roman"/>
          <w:szCs w:val="18"/>
        </w:rPr>
        <w:t>g</w:t>
      </w:r>
      <w:r w:rsidR="00B17757" w:rsidRPr="007C279A">
        <w:rPr>
          <w:rFonts w:ascii="Times New Roman" w:hAnsi="Times New Roman"/>
          <w:szCs w:val="18"/>
          <w:vertAlign w:val="superscript"/>
        </w:rPr>
        <w:t>-1</w:t>
      </w:r>
      <w:r w:rsidR="00B17757">
        <w:rPr>
          <w:rFonts w:ascii="Times New Roman" w:hAnsi="Times New Roman"/>
          <w:szCs w:val="18"/>
        </w:rPr>
        <w:t>.</w:t>
      </w:r>
    </w:p>
    <w:p w14:paraId="53B929D3" w14:textId="7F4D99B7" w:rsidR="007A5D0D" w:rsidRDefault="0068656B" w:rsidP="001577F9">
      <w:pPr>
        <w:pStyle w:val="VAFigureCaption"/>
        <w:spacing w:before="0"/>
        <w:rPr>
          <w:rFonts w:ascii="Times New Roman" w:hAnsi="Times New Roman"/>
          <w:color w:val="000000"/>
          <w:sz w:val="20"/>
          <w:lang w:val="pt-BR"/>
        </w:rPr>
      </w:pPr>
      <w:r>
        <w:rPr>
          <w:noProof/>
        </w:rPr>
        <w:drawing>
          <wp:anchor distT="0" distB="0" distL="114300" distR="114300" simplePos="0" relativeHeight="251729408" behindDoc="0" locked="0" layoutInCell="1" allowOverlap="1" wp14:anchorId="6B7F05C4" wp14:editId="54D0C49F">
            <wp:simplePos x="0" y="0"/>
            <wp:positionH relativeFrom="column">
              <wp:posOffset>1598774</wp:posOffset>
            </wp:positionH>
            <wp:positionV relativeFrom="paragraph">
              <wp:posOffset>86193</wp:posOffset>
            </wp:positionV>
            <wp:extent cx="1615258" cy="1270000"/>
            <wp:effectExtent l="0" t="0" r="4445" b="635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4" t="9964" r="12038" b="7722"/>
                    <a:stretch/>
                  </pic:blipFill>
                  <pic:spPr bwMode="auto">
                    <a:xfrm>
                      <a:off x="0" y="0"/>
                      <a:ext cx="1615258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384" behindDoc="0" locked="0" layoutInCell="1" allowOverlap="1" wp14:anchorId="41DB9F61" wp14:editId="54D27FB0">
            <wp:simplePos x="0" y="0"/>
            <wp:positionH relativeFrom="column">
              <wp:align>left</wp:align>
            </wp:positionH>
            <wp:positionV relativeFrom="paragraph">
              <wp:posOffset>99205</wp:posOffset>
            </wp:positionV>
            <wp:extent cx="1533126" cy="128079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" t="10674" r="12605" b="3690"/>
                    <a:stretch/>
                  </pic:blipFill>
                  <pic:spPr bwMode="auto">
                    <a:xfrm>
                      <a:off x="0" y="0"/>
                      <a:ext cx="1537405" cy="128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56A0A" w14:textId="2FB2DA3A" w:rsidR="007A5D0D" w:rsidRDefault="007A5D0D" w:rsidP="001577F9">
      <w:pPr>
        <w:pStyle w:val="VAFigureCaption"/>
        <w:spacing w:before="0"/>
        <w:rPr>
          <w:rFonts w:ascii="Times New Roman" w:hAnsi="Times New Roman"/>
          <w:color w:val="000000"/>
          <w:sz w:val="20"/>
          <w:lang w:val="pt-BR"/>
        </w:rPr>
      </w:pPr>
    </w:p>
    <w:p w14:paraId="42A494E5" w14:textId="156FB6B4" w:rsidR="007A5D0D" w:rsidRDefault="007A5D0D" w:rsidP="001577F9">
      <w:pPr>
        <w:pStyle w:val="VAFigureCaption"/>
        <w:spacing w:before="0"/>
        <w:rPr>
          <w:rFonts w:ascii="Times New Roman" w:hAnsi="Times New Roman"/>
          <w:color w:val="000000"/>
          <w:sz w:val="20"/>
          <w:lang w:val="pt-BR"/>
        </w:rPr>
      </w:pPr>
    </w:p>
    <w:p w14:paraId="2931E813" w14:textId="1A0A69CD" w:rsidR="007A5D0D" w:rsidRDefault="007A5D0D" w:rsidP="001577F9">
      <w:pPr>
        <w:pStyle w:val="VAFigureCaption"/>
        <w:spacing w:before="0"/>
        <w:rPr>
          <w:rFonts w:ascii="Times New Roman" w:hAnsi="Times New Roman"/>
          <w:color w:val="000000"/>
          <w:sz w:val="20"/>
          <w:lang w:val="pt-BR"/>
        </w:rPr>
      </w:pPr>
    </w:p>
    <w:p w14:paraId="498D37C9" w14:textId="3F324F70" w:rsidR="007A5D0D" w:rsidRDefault="007A5D0D" w:rsidP="001577F9">
      <w:pPr>
        <w:pStyle w:val="VAFigureCaption"/>
        <w:spacing w:before="0"/>
        <w:rPr>
          <w:rFonts w:ascii="Times New Roman" w:hAnsi="Times New Roman"/>
          <w:color w:val="000000"/>
          <w:sz w:val="20"/>
          <w:lang w:val="pt-BR"/>
        </w:rPr>
      </w:pPr>
    </w:p>
    <w:p w14:paraId="575A6B92" w14:textId="77777777" w:rsidR="003A1899" w:rsidRDefault="003A1899" w:rsidP="001577F9">
      <w:pPr>
        <w:pStyle w:val="VAFigureCaption"/>
        <w:spacing w:before="0"/>
        <w:rPr>
          <w:rFonts w:ascii="Times New Roman" w:hAnsi="Times New Roman"/>
          <w:color w:val="000000"/>
          <w:sz w:val="20"/>
          <w:lang w:val="pt-BR"/>
        </w:rPr>
      </w:pPr>
    </w:p>
    <w:p w14:paraId="5422DD9F" w14:textId="37F92FF0" w:rsidR="003A1899" w:rsidRDefault="003A1899" w:rsidP="001577F9">
      <w:pPr>
        <w:pStyle w:val="VAFigureCaption"/>
        <w:spacing w:before="0"/>
        <w:rPr>
          <w:rFonts w:ascii="Times New Roman" w:hAnsi="Times New Roman"/>
          <w:color w:val="000000"/>
          <w:sz w:val="20"/>
          <w:lang w:val="pt-BR"/>
        </w:rPr>
      </w:pPr>
    </w:p>
    <w:p w14:paraId="44DDB5C2" w14:textId="77777777" w:rsidR="003A1899" w:rsidRDefault="003A1899" w:rsidP="001577F9">
      <w:pPr>
        <w:pStyle w:val="VAFigureCaption"/>
        <w:spacing w:before="0"/>
        <w:rPr>
          <w:rFonts w:ascii="Times New Roman" w:hAnsi="Times New Roman"/>
          <w:color w:val="000000"/>
          <w:sz w:val="20"/>
          <w:lang w:val="pt-BR"/>
        </w:rPr>
      </w:pPr>
    </w:p>
    <w:p w14:paraId="1A262E64" w14:textId="0EB2D127" w:rsidR="003A1899" w:rsidRDefault="003A1899" w:rsidP="001577F9">
      <w:pPr>
        <w:pStyle w:val="VAFigureCaption"/>
        <w:spacing w:before="0"/>
        <w:rPr>
          <w:rFonts w:ascii="Times New Roman" w:hAnsi="Times New Roman"/>
          <w:color w:val="000000"/>
          <w:sz w:val="20"/>
          <w:lang w:val="pt-BR"/>
        </w:rPr>
      </w:pPr>
    </w:p>
    <w:p w14:paraId="1587CD73" w14:textId="77777777" w:rsidR="00B17757" w:rsidRPr="00DE0597" w:rsidRDefault="00B17757" w:rsidP="00DE0597"/>
    <w:p w14:paraId="433455F5" w14:textId="0591FE34" w:rsidR="009C3C15" w:rsidRPr="00DE0597" w:rsidRDefault="007A69FF" w:rsidP="009C3C15">
      <w:pPr>
        <w:pStyle w:val="VAFigureCaption"/>
        <w:spacing w:before="0"/>
        <w:rPr>
          <w:szCs w:val="18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68656B">
        <w:rPr>
          <w:rFonts w:ascii="Times New Roman" w:hAnsi="Times New Roman"/>
          <w:b/>
          <w:lang w:val="pt-BR"/>
        </w:rPr>
        <w:t>4</w:t>
      </w:r>
      <w:r w:rsidRPr="00E038AF">
        <w:rPr>
          <w:rFonts w:ascii="Times New Roman" w:hAnsi="Times New Roman"/>
          <w:b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="00306A9D" w:rsidRPr="00DE0597">
        <w:rPr>
          <w:rFonts w:ascii="Times New Roman" w:hAnsi="Times New Roman"/>
          <w:szCs w:val="18"/>
          <w:lang w:val="pt-BR"/>
        </w:rPr>
        <w:t>Isoterma de adsorção/dessorção de N</w:t>
      </w:r>
      <w:r w:rsidR="00306A9D" w:rsidRPr="00DE0597">
        <w:rPr>
          <w:rFonts w:ascii="Times New Roman" w:hAnsi="Times New Roman"/>
          <w:szCs w:val="18"/>
          <w:vertAlign w:val="subscript"/>
          <w:lang w:val="pt-BR"/>
        </w:rPr>
        <w:t>2</w:t>
      </w:r>
      <w:r w:rsidR="00306A9D" w:rsidRPr="00DE0597">
        <w:rPr>
          <w:rFonts w:ascii="Times New Roman" w:hAnsi="Times New Roman"/>
          <w:szCs w:val="18"/>
          <w:lang w:val="pt-BR"/>
        </w:rPr>
        <w:t xml:space="preserve"> (a) e distribuição de poros (b) do catalisador Ru/SiO</w:t>
      </w:r>
      <w:r w:rsidR="00306A9D" w:rsidRPr="00DE0597">
        <w:rPr>
          <w:rFonts w:ascii="Times New Roman" w:hAnsi="Times New Roman"/>
          <w:szCs w:val="18"/>
          <w:vertAlign w:val="subscript"/>
          <w:lang w:val="pt-BR"/>
        </w:rPr>
        <w:t>2</w:t>
      </w:r>
      <w:r w:rsidR="00306A9D" w:rsidRPr="00DE0597">
        <w:rPr>
          <w:szCs w:val="18"/>
          <w:lang w:val="pt-BR"/>
        </w:rPr>
        <w:t>.</w:t>
      </w:r>
    </w:p>
    <w:p w14:paraId="4052A949" w14:textId="77777777" w:rsidR="00DC7041" w:rsidRPr="00DE0597" w:rsidRDefault="009C3C15" w:rsidP="001577F9">
      <w:pPr>
        <w:pStyle w:val="VAFigureCaption"/>
        <w:spacing w:before="0"/>
        <w:rPr>
          <w:szCs w:val="18"/>
          <w:lang w:val="pt-BR"/>
        </w:rPr>
      </w:pPr>
      <w:r w:rsidRPr="00DE0597">
        <w:rPr>
          <w:szCs w:val="18"/>
          <w:lang w:val="pt-BR"/>
        </w:rPr>
        <w:t xml:space="preserve">   </w:t>
      </w:r>
    </w:p>
    <w:p w14:paraId="3FFCC982" w14:textId="75823478" w:rsidR="003C13FD" w:rsidRDefault="00245CA6" w:rsidP="00245CA6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Elevados valores de área </w:t>
      </w:r>
      <w:r w:rsidR="003C13FD">
        <w:rPr>
          <w:rFonts w:ascii="Times New Roman" w:hAnsi="Times New Roman" w:cs="Times New Roman"/>
          <w:sz w:val="20"/>
          <w:szCs w:val="20"/>
        </w:rPr>
        <w:t>específica,</w:t>
      </w:r>
      <w:r>
        <w:rPr>
          <w:rFonts w:ascii="Times New Roman" w:hAnsi="Times New Roman" w:cs="Times New Roman"/>
          <w:sz w:val="20"/>
          <w:szCs w:val="20"/>
        </w:rPr>
        <w:t xml:space="preserve"> volume de poros e diâmetro de poros são de grande importância para catalisadores heterogêneos, uma vez que as reações de </w:t>
      </w:r>
      <w:proofErr w:type="spellStart"/>
      <w:r>
        <w:rPr>
          <w:rFonts w:ascii="Times New Roman" w:hAnsi="Times New Roman" w:cs="Times New Roman"/>
          <w:sz w:val="20"/>
          <w:szCs w:val="20"/>
        </w:rPr>
        <w:t>hidroprocessamento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irão ocorrer por interação química nas interfaces sólido-líquido </w:t>
      </w:r>
      <w:r w:rsidR="003C13FD">
        <w:rPr>
          <w:rFonts w:ascii="Times New Roman" w:hAnsi="Times New Roman" w:cs="Times New Roman"/>
          <w:sz w:val="20"/>
          <w:szCs w:val="20"/>
        </w:rPr>
        <w:t>ou</w:t>
      </w:r>
      <w:r>
        <w:rPr>
          <w:rFonts w:ascii="Times New Roman" w:hAnsi="Times New Roman" w:cs="Times New Roman"/>
          <w:sz w:val="20"/>
          <w:szCs w:val="20"/>
        </w:rPr>
        <w:t xml:space="preserve"> sólido-g</w:t>
      </w:r>
      <w:r w:rsidR="003C13FD">
        <w:rPr>
          <w:rFonts w:ascii="Times New Roman" w:hAnsi="Times New Roman" w:cs="Times New Roman"/>
          <w:sz w:val="20"/>
          <w:szCs w:val="20"/>
        </w:rPr>
        <w:t>ás. Os valores de área específica</w:t>
      </w:r>
      <w:r w:rsidR="00D56137">
        <w:rPr>
          <w:rFonts w:ascii="Times New Roman" w:hAnsi="Times New Roman" w:cs="Times New Roman"/>
          <w:sz w:val="20"/>
          <w:szCs w:val="20"/>
        </w:rPr>
        <w:t xml:space="preserve"> </w:t>
      </w:r>
      <w:r w:rsidR="003C13FD">
        <w:rPr>
          <w:rFonts w:ascii="Times New Roman" w:hAnsi="Times New Roman" w:cs="Times New Roman"/>
          <w:sz w:val="20"/>
          <w:szCs w:val="20"/>
        </w:rPr>
        <w:t>obtidos do material Ru/SiO</w:t>
      </w:r>
      <w:r w:rsidR="003C13F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3C110A">
        <w:rPr>
          <w:rFonts w:ascii="Times New Roman" w:hAnsi="Times New Roman" w:cs="Times New Roman"/>
          <w:sz w:val="20"/>
          <w:szCs w:val="20"/>
        </w:rPr>
        <w:t xml:space="preserve"> (706 m</w:t>
      </w:r>
      <w:r w:rsidR="003C110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3C110A">
        <w:rPr>
          <w:rFonts w:ascii="Times New Roman" w:hAnsi="Times New Roman" w:cs="Times New Roman"/>
          <w:sz w:val="20"/>
          <w:szCs w:val="20"/>
        </w:rPr>
        <w:t>g</w:t>
      </w:r>
      <w:r w:rsidR="003C110A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3C110A">
        <w:rPr>
          <w:rFonts w:ascii="Times New Roman" w:hAnsi="Times New Roman" w:cs="Times New Roman"/>
          <w:sz w:val="20"/>
          <w:szCs w:val="20"/>
        </w:rPr>
        <w:t>)</w:t>
      </w:r>
      <w:r w:rsidR="003C13FD">
        <w:rPr>
          <w:rFonts w:ascii="Times New Roman" w:hAnsi="Times New Roman" w:cs="Times New Roman"/>
          <w:sz w:val="20"/>
          <w:szCs w:val="20"/>
        </w:rPr>
        <w:t>, neste trabalho, são superiores a outros catalisadores de Ru preparados pelo método sol-gel reportados na literatura</w:t>
      </w:r>
      <w:r w:rsidR="00374249">
        <w:rPr>
          <w:rFonts w:ascii="Times New Roman" w:hAnsi="Times New Roman" w:cs="Times New Roman"/>
          <w:sz w:val="20"/>
          <w:szCs w:val="20"/>
        </w:rPr>
        <w:t xml:space="preserve"> (14)</w:t>
      </w:r>
      <w:r w:rsidR="003C13FD">
        <w:rPr>
          <w:rFonts w:ascii="Times New Roman" w:hAnsi="Times New Roman" w:cs="Times New Roman"/>
          <w:sz w:val="20"/>
          <w:szCs w:val="20"/>
        </w:rPr>
        <w:t>.</w:t>
      </w:r>
    </w:p>
    <w:p w14:paraId="7007667E" w14:textId="77777777" w:rsidR="00C557A3" w:rsidRDefault="00C557A3" w:rsidP="00245CA6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14:paraId="15A8FFD7" w14:textId="1F23D5E8" w:rsidR="00A41A43" w:rsidRPr="003C13FD" w:rsidRDefault="00A453B2" w:rsidP="00245CA6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453B2">
        <w:rPr>
          <w:rFonts w:ascii="Times New Roman" w:hAnsi="Times New Roman" w:cs="Times New Roman"/>
          <w:sz w:val="20"/>
          <w:szCs w:val="20"/>
        </w:rPr>
        <w:t>O óleo de babaçu, segundo seu perfil cromatográfico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453B2">
        <w:rPr>
          <w:rFonts w:ascii="Times New Roman" w:hAnsi="Times New Roman" w:cs="Times New Roman"/>
          <w:sz w:val="20"/>
          <w:szCs w:val="20"/>
        </w:rPr>
        <w:t>possui compostos de cadeias saturadas curtas entre 8 e 16 átomos de carbono, prevalecendo, majoritariamente, cadeias com 12 átomos de carbono na sua composição química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453B2">
        <w:rPr>
          <w:rFonts w:ascii="Times New Roman" w:hAnsi="Times New Roman" w:cs="Times New Roman"/>
          <w:sz w:val="20"/>
          <w:szCs w:val="20"/>
        </w:rPr>
        <w:t xml:space="preserve">As análises preliminares por cromatografia gasosa dos produtos da reação utilizando o catalisador de rutênio se assemelham ao perfil cromatográfico das cadeias carbônicas do óleo </w:t>
      </w:r>
      <w:proofErr w:type="spellStart"/>
      <w:r w:rsidRPr="00A453B2">
        <w:rPr>
          <w:rFonts w:ascii="Times New Roman" w:hAnsi="Times New Roman" w:cs="Times New Roman"/>
          <w:sz w:val="20"/>
          <w:szCs w:val="20"/>
        </w:rPr>
        <w:t>derivatizado</w:t>
      </w:r>
      <w:proofErr w:type="spellEnd"/>
      <w:r w:rsidRPr="00A453B2">
        <w:rPr>
          <w:rFonts w:ascii="Times New Roman" w:hAnsi="Times New Roman" w:cs="Times New Roman"/>
          <w:sz w:val="20"/>
          <w:szCs w:val="20"/>
        </w:rPr>
        <w:t xml:space="preserve"> apresentado, o que indica que o catalisador Ru/SiO</w:t>
      </w:r>
      <w:r w:rsidRPr="006079D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453B2">
        <w:rPr>
          <w:rFonts w:ascii="Times New Roman" w:hAnsi="Times New Roman" w:cs="Times New Roman"/>
          <w:sz w:val="20"/>
          <w:szCs w:val="20"/>
        </w:rPr>
        <w:t xml:space="preserve"> apresenta atividade </w:t>
      </w:r>
      <w:proofErr w:type="spellStart"/>
      <w:r w:rsidRPr="00A453B2">
        <w:rPr>
          <w:rFonts w:ascii="Times New Roman" w:hAnsi="Times New Roman" w:cs="Times New Roman"/>
          <w:sz w:val="20"/>
          <w:szCs w:val="20"/>
        </w:rPr>
        <w:t>hidrogenante</w:t>
      </w:r>
      <w:proofErr w:type="spellEnd"/>
      <w:r w:rsidRPr="00A453B2">
        <w:rPr>
          <w:rFonts w:ascii="Times New Roman" w:hAnsi="Times New Roman" w:cs="Times New Roman"/>
          <w:sz w:val="20"/>
          <w:szCs w:val="20"/>
        </w:rPr>
        <w:t xml:space="preserve"> e desoxigenante, sendo capaz de promover a conversão do óleo em hidrocarbonetos saturados.</w:t>
      </w:r>
    </w:p>
    <w:p w14:paraId="3B683FE2" w14:textId="5286F765" w:rsidR="001577F9" w:rsidRPr="001577F9" w:rsidRDefault="009C3C15" w:rsidP="001577F9">
      <w:pPr>
        <w:pStyle w:val="VAFigureCaption"/>
        <w:spacing w:before="0"/>
        <w:rPr>
          <w:lang w:val="pt-BR"/>
        </w:rPr>
      </w:pPr>
      <w:r>
        <w:rPr>
          <w:rFonts w:ascii="Times New Roman" w:hAnsi="Times New Roman"/>
          <w:color w:val="000000"/>
          <w:sz w:val="20"/>
          <w:lang w:val="pt-BR"/>
        </w:rPr>
        <w:t xml:space="preserve">  </w:t>
      </w:r>
    </w:p>
    <w:p w14:paraId="4797742E" w14:textId="36DD99FF" w:rsidR="007B775C" w:rsidRDefault="001577F9" w:rsidP="001577F9">
      <w:pPr>
        <w:pStyle w:val="SemEspaamen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 </w:t>
      </w:r>
      <w:r w:rsidR="004200C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1577F9">
        <w:rPr>
          <w:rFonts w:ascii="Times New Roman" w:eastAsia="Times New Roman" w:hAnsi="Times New Roman" w:cs="Times New Roman"/>
          <w:sz w:val="20"/>
          <w:szCs w:val="20"/>
          <w:lang w:eastAsia="pt-BR"/>
        </w:rPr>
        <w:t>A partir da condição reacional mais extrem</w:t>
      </w:r>
      <w:r w:rsidR="00D56137">
        <w:rPr>
          <w:rFonts w:ascii="Times New Roman" w:eastAsia="Times New Roman" w:hAnsi="Times New Roman" w:cs="Times New Roman"/>
          <w:sz w:val="20"/>
          <w:szCs w:val="20"/>
          <w:lang w:eastAsia="pt-BR"/>
        </w:rPr>
        <w:t>a, descrita na Tabela 1</w:t>
      </w:r>
      <w:r w:rsidRPr="001577F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(Ru01)</w:t>
      </w:r>
      <w:r w:rsidR="00D5613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 w:rsidRPr="001577F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foram efetuados testes </w:t>
      </w:r>
      <w:r w:rsidR="003A1899" w:rsidRPr="001577F9">
        <w:rPr>
          <w:rFonts w:ascii="Times New Roman" w:eastAsia="Times New Roman" w:hAnsi="Times New Roman" w:cs="Times New Roman"/>
          <w:sz w:val="20"/>
          <w:szCs w:val="20"/>
          <w:lang w:eastAsia="pt-BR"/>
        </w:rPr>
        <w:t>catalíticos focando</w:t>
      </w:r>
      <w:r w:rsidRPr="001577F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alcançar condições mais brandas de pressão (Ru02), temperatura (Ru03) e tempo de </w:t>
      </w:r>
      <w:r w:rsidR="00A41A43">
        <w:rPr>
          <w:rFonts w:ascii="Times New Roman" w:eastAsia="Times New Roman" w:hAnsi="Times New Roman" w:cs="Times New Roman"/>
          <w:sz w:val="20"/>
          <w:szCs w:val="20"/>
          <w:lang w:eastAsia="pt-BR"/>
        </w:rPr>
        <w:t>permanência no reator</w:t>
      </w:r>
      <w:r w:rsidR="00A41A43" w:rsidRPr="001577F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1577F9">
        <w:rPr>
          <w:rFonts w:ascii="Times New Roman" w:eastAsia="Times New Roman" w:hAnsi="Times New Roman" w:cs="Times New Roman"/>
          <w:sz w:val="20"/>
          <w:szCs w:val="20"/>
          <w:lang w:eastAsia="pt-BR"/>
        </w:rPr>
        <w:t>(Ru04) (</w:t>
      </w:r>
      <w:r w:rsidR="00A41A43" w:rsidRPr="007C279A">
        <w:rPr>
          <w:rFonts w:ascii="Times New Roman" w:eastAsia="Times New Roman" w:hAnsi="Times New Roman" w:cs="Times New Roman"/>
          <w:sz w:val="20"/>
          <w:szCs w:val="20"/>
          <w:lang w:eastAsia="pt-BR"/>
        </w:rPr>
        <w:t>Tabela</w:t>
      </w:r>
      <w:r w:rsidR="00A41A4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1</w:t>
      </w:r>
      <w:r w:rsidRPr="001577F9">
        <w:rPr>
          <w:rFonts w:ascii="Times New Roman" w:eastAsia="Times New Roman" w:hAnsi="Times New Roman" w:cs="Times New Roman"/>
          <w:sz w:val="20"/>
          <w:szCs w:val="20"/>
          <w:lang w:eastAsia="pt-BR"/>
        </w:rPr>
        <w:t>).</w:t>
      </w:r>
    </w:p>
    <w:p w14:paraId="3013C5D5" w14:textId="77777777" w:rsidR="006D74A9" w:rsidRDefault="006D74A9" w:rsidP="001577F9">
      <w:pPr>
        <w:pStyle w:val="SemEspaamen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78B48C9" w14:textId="6A1568DF" w:rsidR="001577F9" w:rsidRDefault="004200CC" w:rsidP="00DE0597">
      <w:pPr>
        <w:pStyle w:val="SemEspaamento"/>
        <w:jc w:val="both"/>
        <w:rPr>
          <w:noProof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</w:t>
      </w:r>
      <w:r w:rsidRPr="001577F9">
        <w:rPr>
          <w:rFonts w:ascii="Times New Roman" w:hAnsi="Times New Roman" w:cs="Times New Roman"/>
          <w:sz w:val="20"/>
          <w:szCs w:val="20"/>
        </w:rPr>
        <w:t xml:space="preserve">A </w:t>
      </w:r>
      <w:r w:rsidRPr="00124B44">
        <w:rPr>
          <w:rFonts w:ascii="Times New Roman" w:hAnsi="Times New Roman" w:cs="Times New Roman"/>
          <w:bCs/>
          <w:sz w:val="20"/>
          <w:szCs w:val="20"/>
        </w:rPr>
        <w:t>Figura</w:t>
      </w:r>
      <w:r w:rsidR="00043B0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36846">
        <w:rPr>
          <w:rFonts w:ascii="Times New Roman" w:hAnsi="Times New Roman" w:cs="Times New Roman"/>
          <w:bCs/>
          <w:sz w:val="20"/>
          <w:szCs w:val="20"/>
        </w:rPr>
        <w:t>5</w:t>
      </w:r>
      <w:r w:rsidR="00A36846">
        <w:rPr>
          <w:rFonts w:ascii="Times New Roman" w:hAnsi="Times New Roman" w:cs="Times New Roman"/>
          <w:sz w:val="20"/>
          <w:szCs w:val="20"/>
        </w:rPr>
        <w:t xml:space="preserve"> </w:t>
      </w:r>
      <w:r w:rsidRPr="001577F9">
        <w:rPr>
          <w:rFonts w:ascii="Times New Roman" w:hAnsi="Times New Roman" w:cs="Times New Roman"/>
          <w:sz w:val="20"/>
          <w:szCs w:val="20"/>
        </w:rPr>
        <w:t>apresenta os espectros na região do infravermelho</w:t>
      </w:r>
      <w:r>
        <w:rPr>
          <w:rFonts w:ascii="Times New Roman" w:hAnsi="Times New Roman" w:cs="Times New Roman"/>
          <w:sz w:val="20"/>
          <w:szCs w:val="20"/>
        </w:rPr>
        <w:t xml:space="preserve"> da matéria-prima (óleo de babaçu) e dos produtos da reação de HEFA. A banda referente ao</w:t>
      </w:r>
      <w:r w:rsidRPr="007C279A">
        <w:rPr>
          <w:rFonts w:ascii="Times New Roman" w:hAnsi="Times New Roman" w:cs="Times New Roman"/>
          <w:sz w:val="20"/>
          <w:szCs w:val="20"/>
        </w:rPr>
        <w:t xml:space="preserve"> óleo de babaçu </w:t>
      </w:r>
      <w:r>
        <w:rPr>
          <w:rFonts w:ascii="Times New Roman" w:hAnsi="Times New Roman" w:cs="Times New Roman"/>
          <w:sz w:val="20"/>
          <w:szCs w:val="20"/>
        </w:rPr>
        <w:t xml:space="preserve">(Figura </w:t>
      </w:r>
      <w:r w:rsidR="00A3684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7C279A">
        <w:rPr>
          <w:rFonts w:ascii="Times New Roman" w:hAnsi="Times New Roman" w:cs="Times New Roman"/>
          <w:sz w:val="20"/>
          <w:szCs w:val="20"/>
        </w:rPr>
        <w:t xml:space="preserve">apresenta uma banda em </w:t>
      </w:r>
      <w:r w:rsidRPr="004200CC">
        <w:rPr>
          <w:rFonts w:ascii="Times New Roman" w:hAnsi="Times New Roman" w:cs="Times New Roman"/>
          <w:sz w:val="20"/>
          <w:szCs w:val="20"/>
        </w:rPr>
        <w:t>1742 cm</w:t>
      </w:r>
      <w:r w:rsidRPr="007C279A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7C279A">
        <w:rPr>
          <w:rFonts w:ascii="Times New Roman" w:hAnsi="Times New Roman" w:cs="Times New Roman"/>
          <w:sz w:val="20"/>
          <w:szCs w:val="20"/>
        </w:rPr>
        <w:t xml:space="preserve"> correspondente ao grupo carbonila de éster (C=O), e as bandas em 1154 cm</w:t>
      </w:r>
      <w:r w:rsidRPr="007C279A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7C279A">
        <w:rPr>
          <w:rFonts w:ascii="Times New Roman" w:hAnsi="Times New Roman" w:cs="Times New Roman"/>
          <w:sz w:val="20"/>
          <w:szCs w:val="20"/>
        </w:rPr>
        <w:t xml:space="preserve"> e 1108 cm</w:t>
      </w:r>
      <w:r w:rsidRPr="007C279A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7C279A">
        <w:rPr>
          <w:rFonts w:ascii="Times New Roman" w:hAnsi="Times New Roman" w:cs="Times New Roman"/>
          <w:sz w:val="20"/>
          <w:szCs w:val="20"/>
        </w:rPr>
        <w:t xml:space="preserve"> correspondem à absorção de C-O de éster.</w:t>
      </w:r>
      <w:r>
        <w:rPr>
          <w:rFonts w:ascii="Times New Roman" w:hAnsi="Times New Roman" w:cs="Times New Roman"/>
          <w:sz w:val="18"/>
          <w:szCs w:val="18"/>
        </w:rPr>
        <w:t xml:space="preserve"> O</w:t>
      </w:r>
      <w:r w:rsidRPr="001577F9">
        <w:rPr>
          <w:rFonts w:ascii="Times New Roman" w:hAnsi="Times New Roman" w:cs="Times New Roman"/>
          <w:sz w:val="20"/>
          <w:szCs w:val="20"/>
        </w:rPr>
        <w:t>bserva-se a presença de bandas características de hidrocarbonetos (maior temperatura e pressão (Ru</w:t>
      </w:r>
      <w:r w:rsidR="00973E94" w:rsidRPr="001577F9">
        <w:rPr>
          <w:rFonts w:ascii="Times New Roman" w:hAnsi="Times New Roman" w:cs="Times New Roman"/>
          <w:sz w:val="20"/>
          <w:szCs w:val="20"/>
        </w:rPr>
        <w:t>01)</w:t>
      </w:r>
      <w:r w:rsidR="00973E94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Figura </w:t>
      </w:r>
      <w:r w:rsidR="00A3684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1577F9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7C279A">
        <w:rPr>
          <w:rFonts w:ascii="Times New Roman" w:hAnsi="Times New Roman" w:cs="Times New Roman"/>
          <w:sz w:val="20"/>
          <w:szCs w:val="20"/>
        </w:rPr>
        <w:t>Na região próxima a 3000 cm</w:t>
      </w:r>
      <w:r w:rsidRPr="007C279A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7C279A">
        <w:rPr>
          <w:rFonts w:ascii="Times New Roman" w:hAnsi="Times New Roman" w:cs="Times New Roman"/>
          <w:sz w:val="20"/>
          <w:szCs w:val="20"/>
        </w:rPr>
        <w:t xml:space="preserve"> é identificado o estiramento C-H, na banda 1461 cm</w:t>
      </w:r>
      <w:r w:rsidRPr="007C279A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7C279A">
        <w:rPr>
          <w:rFonts w:ascii="Times New Roman" w:hAnsi="Times New Roman" w:cs="Times New Roman"/>
          <w:sz w:val="20"/>
          <w:szCs w:val="20"/>
        </w:rPr>
        <w:t xml:space="preserve"> corresponde à absorção de dobramento de grupos metilenos (-CH2-), em 1378 cm</w:t>
      </w:r>
      <w:r w:rsidRPr="007C279A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7C279A">
        <w:rPr>
          <w:rFonts w:ascii="Times New Roman" w:hAnsi="Times New Roman" w:cs="Times New Roman"/>
          <w:sz w:val="20"/>
          <w:szCs w:val="20"/>
        </w:rPr>
        <w:t xml:space="preserve"> absorção de dobramento de grupos metila (-CH3), e a banda em 720 cm</w:t>
      </w:r>
      <w:r w:rsidRPr="007C279A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7C279A">
        <w:rPr>
          <w:rFonts w:ascii="Times New Roman" w:hAnsi="Times New Roman" w:cs="Times New Roman"/>
          <w:sz w:val="20"/>
          <w:szCs w:val="20"/>
        </w:rPr>
        <w:t xml:space="preserve"> é característica do movimento de </w:t>
      </w:r>
      <w:proofErr w:type="spellStart"/>
      <w:r w:rsidRPr="007C279A">
        <w:rPr>
          <w:rFonts w:ascii="Times New Roman" w:hAnsi="Times New Roman" w:cs="Times New Roman"/>
          <w:sz w:val="20"/>
          <w:szCs w:val="20"/>
        </w:rPr>
        <w:t>rocking</w:t>
      </w:r>
      <w:proofErr w:type="spellEnd"/>
      <w:r w:rsidRPr="007C279A">
        <w:rPr>
          <w:rFonts w:ascii="Times New Roman" w:hAnsi="Times New Roman" w:cs="Times New Roman"/>
          <w:sz w:val="20"/>
          <w:szCs w:val="20"/>
        </w:rPr>
        <w:t xml:space="preserve"> de quatro ou mais grupos metileno (-CH2-)</w:t>
      </w:r>
      <w:r w:rsidRPr="004200CC">
        <w:rPr>
          <w:rFonts w:ascii="Times New Roman" w:hAnsi="Times New Roman" w:cs="Times New Roman"/>
          <w:sz w:val="20"/>
          <w:szCs w:val="20"/>
        </w:rPr>
        <w:t>.</w:t>
      </w:r>
      <w:r w:rsidRPr="001577F9">
        <w:rPr>
          <w:rFonts w:ascii="Times New Roman" w:hAnsi="Times New Roman" w:cs="Times New Roman"/>
          <w:sz w:val="20"/>
          <w:szCs w:val="20"/>
        </w:rPr>
        <w:t xml:space="preserve"> Utilizando a pressão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77F9">
        <w:rPr>
          <w:rFonts w:ascii="Times New Roman" w:hAnsi="Times New Roman" w:cs="Times New Roman"/>
          <w:sz w:val="20"/>
          <w:szCs w:val="20"/>
        </w:rPr>
        <w:t xml:space="preserve">de 20 </w:t>
      </w:r>
      <w:proofErr w:type="spellStart"/>
      <w:r w:rsidRPr="001577F9">
        <w:rPr>
          <w:rFonts w:ascii="Times New Roman" w:hAnsi="Times New Roman" w:cs="Times New Roman"/>
          <w:sz w:val="20"/>
          <w:szCs w:val="20"/>
        </w:rPr>
        <w:t>atm</w:t>
      </w:r>
      <w:proofErr w:type="spellEnd"/>
      <w:r w:rsidRPr="001577F9">
        <w:rPr>
          <w:rFonts w:ascii="Times New Roman" w:hAnsi="Times New Roman" w:cs="Times New Roman"/>
          <w:sz w:val="20"/>
          <w:szCs w:val="20"/>
        </w:rPr>
        <w:t xml:space="preserve"> (Ru02) obteve-se alto </w:t>
      </w:r>
      <w:r w:rsidRPr="001577F9">
        <w:rPr>
          <w:rFonts w:ascii="Times New Roman" w:hAnsi="Times New Roman" w:cs="Times New Roman"/>
          <w:sz w:val="20"/>
          <w:szCs w:val="20"/>
        </w:rPr>
        <w:lastRenderedPageBreak/>
        <w:t>grau de desoxigenação constatado pela ausência da banda em torno de 1740 cm</w:t>
      </w:r>
      <w:r w:rsidRPr="00124B44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1577F9">
        <w:rPr>
          <w:rFonts w:ascii="Times New Roman" w:hAnsi="Times New Roman" w:cs="Times New Roman"/>
          <w:sz w:val="20"/>
          <w:szCs w:val="20"/>
        </w:rPr>
        <w:t>. Contudo, a 300 °C (Ru03) observou-se que a condição não é suficiente para converter todo o óleo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77F9">
        <w:rPr>
          <w:rFonts w:ascii="Times New Roman" w:hAnsi="Times New Roman" w:cs="Times New Roman"/>
          <w:sz w:val="20"/>
          <w:szCs w:val="20"/>
        </w:rPr>
        <w:t xml:space="preserve">vegetal em </w:t>
      </w:r>
      <w:proofErr w:type="spellStart"/>
      <w:r w:rsidRPr="001577F9">
        <w:rPr>
          <w:rFonts w:ascii="Times New Roman" w:hAnsi="Times New Roman" w:cs="Times New Roman"/>
          <w:sz w:val="20"/>
          <w:szCs w:val="20"/>
        </w:rPr>
        <w:t>biohidrocarbonetos</w:t>
      </w:r>
      <w:proofErr w:type="spellEnd"/>
      <w:r w:rsidRPr="001577F9">
        <w:rPr>
          <w:rFonts w:ascii="Times New Roman" w:hAnsi="Times New Roman" w:cs="Times New Roman"/>
          <w:sz w:val="20"/>
          <w:szCs w:val="20"/>
        </w:rPr>
        <w:t>, pois as bandas 1739 cm</w:t>
      </w:r>
      <w:r w:rsidRPr="00124B44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F91588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577F9">
        <w:rPr>
          <w:rFonts w:ascii="Times New Roman" w:hAnsi="Times New Roman" w:cs="Times New Roman"/>
          <w:sz w:val="20"/>
          <w:szCs w:val="20"/>
        </w:rPr>
        <w:t>e 1158 cm</w:t>
      </w:r>
      <w:r w:rsidRPr="00124B44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77F9">
        <w:rPr>
          <w:rFonts w:ascii="Times New Roman" w:hAnsi="Times New Roman" w:cs="Times New Roman"/>
          <w:sz w:val="20"/>
          <w:szCs w:val="20"/>
        </w:rPr>
        <w:t xml:space="preserve">são características de (C=O) e (C-O) de éster, respectivamente. Em menor tempo de </w:t>
      </w:r>
      <w:r w:rsidR="00C557A3">
        <w:rPr>
          <w:rFonts w:ascii="Times New Roman" w:hAnsi="Times New Roman" w:cs="Times New Roman"/>
          <w:sz w:val="20"/>
          <w:szCs w:val="20"/>
        </w:rPr>
        <w:t>permanência no reator</w:t>
      </w:r>
      <w:r w:rsidR="00C557A3" w:rsidRPr="001577F9">
        <w:rPr>
          <w:rFonts w:ascii="Times New Roman" w:hAnsi="Times New Roman" w:cs="Times New Roman"/>
          <w:sz w:val="20"/>
          <w:szCs w:val="20"/>
        </w:rPr>
        <w:t xml:space="preserve"> </w:t>
      </w:r>
      <w:r w:rsidRPr="001577F9">
        <w:rPr>
          <w:rFonts w:ascii="Times New Roman" w:hAnsi="Times New Roman" w:cs="Times New Roman"/>
          <w:sz w:val="20"/>
          <w:szCs w:val="20"/>
        </w:rPr>
        <w:t>observa-se alta desoxigenação da molécula (ausência de bandas na região de 1700 cm</w:t>
      </w:r>
      <w:r w:rsidRPr="00124B44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1577F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C279A">
        <w:rPr>
          <w:rFonts w:ascii="Times New Roman" w:hAnsi="Times New Roman" w:cs="Times New Roman"/>
          <w:sz w:val="20"/>
          <w:szCs w:val="20"/>
        </w:rPr>
        <w:t>As análises dos espectros sugerem uma excelente atividade catalítica do metal rutênio para as reações estudadas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973E94">
        <w:rPr>
          <w:rFonts w:ascii="Times New Roman" w:hAnsi="Times New Roman" w:cs="Times New Roman"/>
          <w:sz w:val="20"/>
          <w:szCs w:val="20"/>
        </w:rPr>
        <w:t xml:space="preserve">Além disso o produto dessas reações </w:t>
      </w:r>
      <w:r w:rsidR="00DC7041">
        <w:rPr>
          <w:rFonts w:ascii="Times New Roman" w:hAnsi="Times New Roman" w:cs="Times New Roman"/>
          <w:sz w:val="20"/>
          <w:szCs w:val="20"/>
        </w:rPr>
        <w:t>é</w:t>
      </w:r>
      <w:r w:rsidR="00973E94" w:rsidRPr="00973E94">
        <w:rPr>
          <w:rFonts w:ascii="Times New Roman" w:hAnsi="Times New Roman" w:cs="Times New Roman"/>
          <w:sz w:val="20"/>
          <w:szCs w:val="20"/>
        </w:rPr>
        <w:t xml:space="preserve"> u</w:t>
      </w:r>
      <w:r w:rsidRPr="007C279A">
        <w:rPr>
          <w:rFonts w:ascii="Times New Roman" w:hAnsi="Times New Roman" w:cs="Times New Roman"/>
          <w:sz w:val="20"/>
          <w:szCs w:val="20"/>
        </w:rPr>
        <w:t>m líquido pouco viscoso transparente e translúcido à temperatura ambiente e perdeu</w:t>
      </w:r>
      <w:r w:rsidR="00DC7041">
        <w:rPr>
          <w:rFonts w:ascii="Times New Roman" w:hAnsi="Times New Roman" w:cs="Times New Roman"/>
          <w:sz w:val="20"/>
          <w:szCs w:val="20"/>
        </w:rPr>
        <w:t xml:space="preserve"> </w:t>
      </w:r>
      <w:r w:rsidRPr="007C279A">
        <w:rPr>
          <w:rFonts w:ascii="Times New Roman" w:hAnsi="Times New Roman" w:cs="Times New Roman"/>
          <w:sz w:val="20"/>
          <w:szCs w:val="20"/>
        </w:rPr>
        <w:t>42% da massa inicial de óleo</w:t>
      </w:r>
      <w:r w:rsidR="00973E94">
        <w:rPr>
          <w:rFonts w:ascii="Times New Roman" w:hAnsi="Times New Roman" w:cs="Times New Roman"/>
          <w:sz w:val="20"/>
          <w:szCs w:val="20"/>
        </w:rPr>
        <w:t>. O que evidencia a efetividade do catalisador em promover as reações de desoxigenação e hidrogenação</w:t>
      </w:r>
      <w:r w:rsidR="00DC7041">
        <w:rPr>
          <w:rFonts w:ascii="Times New Roman" w:hAnsi="Times New Roman" w:cs="Times New Roman"/>
          <w:sz w:val="20"/>
          <w:szCs w:val="20"/>
        </w:rPr>
        <w:t>, convertendo o óleo de babaçu em hidrocarbonetos saturados</w:t>
      </w:r>
      <w:r w:rsidR="00973E94">
        <w:rPr>
          <w:rFonts w:ascii="Times New Roman" w:hAnsi="Times New Roman" w:cs="Times New Roman"/>
          <w:sz w:val="20"/>
          <w:szCs w:val="20"/>
        </w:rPr>
        <w:t>.</w:t>
      </w:r>
      <w:r w:rsidR="007C3CB2" w:rsidRPr="007C3CB2">
        <w:rPr>
          <w:noProof/>
        </w:rPr>
        <w:t xml:space="preserve"> </w:t>
      </w:r>
    </w:p>
    <w:p w14:paraId="0AEE6B51" w14:textId="77777777" w:rsidR="00D56137" w:rsidRDefault="00D56137" w:rsidP="00DE0597">
      <w:pPr>
        <w:pStyle w:val="SemEspaamento"/>
        <w:jc w:val="both"/>
        <w:rPr>
          <w:color w:val="000000"/>
          <w:szCs w:val="18"/>
        </w:rPr>
      </w:pPr>
    </w:p>
    <w:p w14:paraId="2FE0D914" w14:textId="77777777" w:rsidR="006D74A9" w:rsidRDefault="006D74A9" w:rsidP="00DE0597">
      <w:pPr>
        <w:pStyle w:val="SemEspaamen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C3CB2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0FC3AA79" wp14:editId="3C20C8FC">
            <wp:extent cx="3027265" cy="2001230"/>
            <wp:effectExtent l="0" t="0" r="1905" b="0"/>
            <wp:docPr id="2" name="Imagem 2">
              <a:extLst xmlns:a="http://schemas.openxmlformats.org/drawingml/2006/main">
                <a:ext uri="{FF2B5EF4-FFF2-40B4-BE49-F238E27FC236}">
                  <a16:creationId xmlns:a16="http://schemas.microsoft.com/office/drawing/2014/main" id="{DB7BBC96-A8B1-609C-A275-924E3D85B0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6">
                      <a:extLst>
                        <a:ext uri="{FF2B5EF4-FFF2-40B4-BE49-F238E27FC236}">
                          <a16:creationId xmlns:a16="http://schemas.microsoft.com/office/drawing/2014/main" id="{DB7BBC96-A8B1-609C-A275-924E3D85B091}"/>
                        </a:ext>
                      </a:extLst>
                    </pic:cNvPr>
                    <pic:cNvPicPr/>
                  </pic:nvPicPr>
                  <pic:blipFill rotWithShape="1">
                    <a:blip r:embed="rId15"/>
                    <a:srcRect l="7951" t="5944" r="41899" b="35581"/>
                    <a:stretch/>
                  </pic:blipFill>
                  <pic:spPr>
                    <a:xfrm>
                      <a:off x="0" y="0"/>
                      <a:ext cx="3033241" cy="200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49E12" w14:textId="77777777" w:rsidR="006D74A9" w:rsidRDefault="006D74A9" w:rsidP="006D74A9">
      <w:pPr>
        <w:pStyle w:val="VAFigureCaption"/>
        <w:spacing w:before="0"/>
        <w:rPr>
          <w:rFonts w:ascii="Times New Roman" w:hAnsi="Times New Roman"/>
          <w:b/>
          <w:szCs w:val="18"/>
          <w:lang w:val="pt-BR"/>
        </w:rPr>
      </w:pPr>
    </w:p>
    <w:p w14:paraId="4660EF28" w14:textId="526522E1" w:rsidR="006D74A9" w:rsidRDefault="006D74A9" w:rsidP="006D74A9">
      <w:pPr>
        <w:pStyle w:val="VAFigureCaption"/>
        <w:spacing w:before="0"/>
        <w:rPr>
          <w:color w:val="000000"/>
          <w:szCs w:val="18"/>
          <w:lang w:val="pt-BR"/>
        </w:rPr>
      </w:pPr>
      <w:r w:rsidRPr="005718F5">
        <w:rPr>
          <w:rFonts w:ascii="Times New Roman" w:hAnsi="Times New Roman"/>
          <w:b/>
          <w:szCs w:val="18"/>
          <w:lang w:val="pt-BR"/>
        </w:rPr>
        <w:t xml:space="preserve">Figura </w:t>
      </w:r>
      <w:r w:rsidR="00A36846">
        <w:rPr>
          <w:rFonts w:ascii="Times New Roman" w:hAnsi="Times New Roman"/>
          <w:b/>
          <w:szCs w:val="18"/>
          <w:lang w:val="pt-BR"/>
        </w:rPr>
        <w:t>5</w:t>
      </w:r>
      <w:r w:rsidRPr="005718F5">
        <w:rPr>
          <w:rFonts w:ascii="Times New Roman" w:hAnsi="Times New Roman"/>
          <w:b/>
          <w:szCs w:val="18"/>
          <w:lang w:val="pt-BR"/>
        </w:rPr>
        <w:t>.</w:t>
      </w:r>
      <w:r w:rsidRPr="005718F5">
        <w:rPr>
          <w:rFonts w:ascii="Times New Roman" w:hAnsi="Times New Roman"/>
          <w:szCs w:val="18"/>
          <w:lang w:val="pt-BR"/>
        </w:rPr>
        <w:t xml:space="preserve"> </w:t>
      </w:r>
      <w:r w:rsidRPr="005718F5">
        <w:rPr>
          <w:color w:val="000000"/>
          <w:szCs w:val="18"/>
          <w:lang w:val="pt-BR"/>
        </w:rPr>
        <w:t>Espectros na região do infravermelho da matéria prima, e produtos das reações de HEFA.</w:t>
      </w:r>
    </w:p>
    <w:p w14:paraId="0573F45B" w14:textId="2D9AED6D" w:rsidR="001577F9" w:rsidRPr="001577F9" w:rsidRDefault="001577F9" w:rsidP="001577F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14:paraId="4C71F66A" w14:textId="37CC39BC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50CED093" w14:textId="139FA34D" w:rsidR="0012422E" w:rsidRDefault="004801EE" w:rsidP="004801EE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Arial" w:eastAsiaTheme="minorEastAsia" w:hAnsi="Arial" w:cs="Arial"/>
          <w:color w:val="000000"/>
          <w:sz w:val="24"/>
          <w:szCs w:val="24"/>
          <w:lang w:val="pt-BR" w:eastAsia="en-US"/>
        </w:rPr>
        <w:t xml:space="preserve">   </w:t>
      </w:r>
      <w:r w:rsidRPr="004801EE">
        <w:rPr>
          <w:rFonts w:ascii="Times New Roman" w:hAnsi="Times New Roman"/>
          <w:lang w:val="pt-BR"/>
        </w:rPr>
        <w:t>Neste trabalho foram avaliados catalisadores de rutênio suportados em sílica</w:t>
      </w:r>
      <w:r w:rsidR="0026284B">
        <w:rPr>
          <w:rFonts w:ascii="Times New Roman" w:hAnsi="Times New Roman"/>
          <w:lang w:val="pt-BR"/>
        </w:rPr>
        <w:t xml:space="preserve"> preparados pelo processo sol-gel</w:t>
      </w:r>
      <w:r w:rsidRPr="004801EE">
        <w:rPr>
          <w:rFonts w:ascii="Times New Roman" w:hAnsi="Times New Roman"/>
          <w:lang w:val="pt-BR"/>
        </w:rPr>
        <w:t xml:space="preserve">, os quais apresentaram atividade catalítica </w:t>
      </w:r>
      <w:r w:rsidR="0026284B">
        <w:rPr>
          <w:rFonts w:ascii="Times New Roman" w:hAnsi="Times New Roman"/>
          <w:lang w:val="pt-BR"/>
        </w:rPr>
        <w:t xml:space="preserve">para a obtenção de </w:t>
      </w:r>
      <w:proofErr w:type="spellStart"/>
      <w:r w:rsidR="0026284B">
        <w:rPr>
          <w:rFonts w:ascii="Times New Roman" w:hAnsi="Times New Roman"/>
          <w:lang w:val="pt-BR"/>
        </w:rPr>
        <w:t>bioquerosene</w:t>
      </w:r>
      <w:proofErr w:type="spellEnd"/>
      <w:r w:rsidR="0026284B">
        <w:rPr>
          <w:rFonts w:ascii="Times New Roman" w:hAnsi="Times New Roman"/>
          <w:lang w:val="pt-BR"/>
        </w:rPr>
        <w:t xml:space="preserve"> de aviação a partir do óleo de babaçu, </w:t>
      </w:r>
      <w:r w:rsidRPr="004801EE">
        <w:rPr>
          <w:rFonts w:ascii="Times New Roman" w:hAnsi="Times New Roman"/>
          <w:lang w:val="pt-BR"/>
        </w:rPr>
        <w:t xml:space="preserve">sendo possível propor uma alternativa tecnológica para a produção de </w:t>
      </w:r>
      <w:proofErr w:type="spellStart"/>
      <w:r w:rsidRPr="004801EE">
        <w:rPr>
          <w:rFonts w:ascii="Times New Roman" w:hAnsi="Times New Roman"/>
          <w:lang w:val="pt-BR"/>
        </w:rPr>
        <w:t>bioquerosene</w:t>
      </w:r>
      <w:proofErr w:type="spellEnd"/>
      <w:r w:rsidRPr="004801EE">
        <w:rPr>
          <w:rFonts w:ascii="Times New Roman" w:hAnsi="Times New Roman"/>
          <w:lang w:val="pt-BR"/>
        </w:rPr>
        <w:t xml:space="preserve"> de aviação via </w:t>
      </w:r>
      <w:proofErr w:type="spellStart"/>
      <w:r w:rsidRPr="004801EE">
        <w:rPr>
          <w:rFonts w:ascii="Times New Roman" w:hAnsi="Times New Roman"/>
          <w:lang w:val="pt-BR"/>
        </w:rPr>
        <w:t>hidroprocessamento</w:t>
      </w:r>
      <w:proofErr w:type="spellEnd"/>
      <w:r w:rsidRPr="004801EE">
        <w:rPr>
          <w:rFonts w:ascii="Times New Roman" w:hAnsi="Times New Roman"/>
          <w:lang w:val="pt-BR"/>
        </w:rPr>
        <w:t xml:space="preserve"> de ésteres e ácidos graxos (HEFA) utilizando-se o óleo de babaçu como matéria prima. </w:t>
      </w:r>
    </w:p>
    <w:p w14:paraId="15A7ED20" w14:textId="6E699883" w:rsidR="00EA4E1B" w:rsidRPr="004801EE" w:rsidRDefault="0012422E" w:rsidP="0012422E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</w:t>
      </w:r>
      <w:r w:rsidRPr="0012422E">
        <w:rPr>
          <w:rFonts w:ascii="Times New Roman" w:hAnsi="Times New Roman"/>
          <w:lang w:val="pt-BR"/>
        </w:rPr>
        <w:t xml:space="preserve">Ao analisar os espectros de infravermelho do produto final das reações de HEFA do óleo de babaçu, </w:t>
      </w:r>
      <w:r w:rsidR="00E27948">
        <w:rPr>
          <w:rFonts w:ascii="Times New Roman" w:hAnsi="Times New Roman"/>
          <w:lang w:val="pt-BR"/>
        </w:rPr>
        <w:t>conclui-se</w:t>
      </w:r>
      <w:r w:rsidR="0021146E">
        <w:rPr>
          <w:rFonts w:ascii="Times New Roman" w:hAnsi="Times New Roman"/>
          <w:lang w:val="pt-BR"/>
        </w:rPr>
        <w:t xml:space="preserve"> que o catalisador foi capaz de promover a remoção das funções oxigenadas da </w:t>
      </w:r>
      <w:proofErr w:type="spellStart"/>
      <w:r w:rsidR="0021146E">
        <w:rPr>
          <w:rFonts w:ascii="Times New Roman" w:hAnsi="Times New Roman"/>
          <w:lang w:val="pt-BR"/>
        </w:rPr>
        <w:t>mólecula</w:t>
      </w:r>
      <w:proofErr w:type="spellEnd"/>
      <w:r w:rsidR="0021146E">
        <w:rPr>
          <w:rFonts w:ascii="Times New Roman" w:hAnsi="Times New Roman"/>
          <w:lang w:val="pt-BR"/>
        </w:rPr>
        <w:t xml:space="preserve"> do óleo </w:t>
      </w:r>
      <w:r w:rsidR="00E27948">
        <w:rPr>
          <w:rFonts w:ascii="Times New Roman" w:hAnsi="Times New Roman"/>
          <w:lang w:val="pt-BR"/>
        </w:rPr>
        <w:t>vegetal</w:t>
      </w:r>
      <w:r w:rsidR="0021146E">
        <w:rPr>
          <w:rFonts w:ascii="Times New Roman" w:hAnsi="Times New Roman"/>
          <w:lang w:val="pt-BR"/>
        </w:rPr>
        <w:t>, convertendo-o em hidrocarbonetos saturados.</w:t>
      </w:r>
      <w:r w:rsidRPr="0012422E">
        <w:rPr>
          <w:rFonts w:ascii="Times New Roman" w:hAnsi="Times New Roman"/>
          <w:lang w:val="pt-BR"/>
        </w:rPr>
        <w:t xml:space="preserve"> </w:t>
      </w:r>
      <w:r w:rsidR="00FA56B5">
        <w:rPr>
          <w:rFonts w:ascii="Times New Roman" w:hAnsi="Times New Roman"/>
          <w:lang w:val="pt-BR"/>
        </w:rPr>
        <w:t xml:space="preserve">Após os testes de </w:t>
      </w:r>
      <w:r w:rsidR="009426CB">
        <w:rPr>
          <w:rFonts w:ascii="Times New Roman" w:hAnsi="Times New Roman"/>
          <w:lang w:val="pt-BR"/>
        </w:rPr>
        <w:t xml:space="preserve">determinação </w:t>
      </w:r>
      <w:r w:rsidR="009426CB" w:rsidRPr="007B775C">
        <w:rPr>
          <w:rFonts w:ascii="Times New Roman" w:hAnsi="Times New Roman"/>
          <w:lang w:val="pt-BR"/>
        </w:rPr>
        <w:t>das condições reacionais mais brandas</w:t>
      </w:r>
      <w:r w:rsidR="00FA56B5">
        <w:rPr>
          <w:rFonts w:ascii="Times New Roman" w:hAnsi="Times New Roman"/>
          <w:lang w:val="pt-BR"/>
        </w:rPr>
        <w:t>, avaliou-se que a</w:t>
      </w:r>
      <w:r w:rsidRPr="0012422E">
        <w:rPr>
          <w:rFonts w:ascii="Times New Roman" w:hAnsi="Times New Roman"/>
          <w:lang w:val="pt-BR"/>
        </w:rPr>
        <w:t xml:space="preserve"> pressão e o tempo de </w:t>
      </w:r>
      <w:r w:rsidR="00FA56B5">
        <w:rPr>
          <w:rFonts w:ascii="Times New Roman" w:hAnsi="Times New Roman"/>
          <w:lang w:val="pt-BR"/>
        </w:rPr>
        <w:t xml:space="preserve">permanência no reator </w:t>
      </w:r>
      <w:r w:rsidRPr="0012422E">
        <w:rPr>
          <w:rFonts w:ascii="Times New Roman" w:hAnsi="Times New Roman"/>
          <w:lang w:val="pt-BR"/>
        </w:rPr>
        <w:t>apresentaram maior influência na obtenção dos produtos desoxigenados.</w:t>
      </w:r>
    </w:p>
    <w:p w14:paraId="6640B240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5B0321FB" w14:textId="18FD62BC" w:rsidR="004801EE" w:rsidRDefault="004801EE" w:rsidP="004801EE">
      <w:pPr>
        <w:pStyle w:val="Ttulo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6284B">
        <w:rPr>
          <w:rFonts w:ascii="Times New Roman" w:hAnsi="Times New Roman" w:cs="Times New Roman"/>
          <w:sz w:val="20"/>
          <w:szCs w:val="20"/>
        </w:rPr>
        <w:t>Os autores agradecem ao</w:t>
      </w:r>
      <w:r w:rsidR="0026284B" w:rsidRPr="004801EE">
        <w:rPr>
          <w:rFonts w:ascii="Times New Roman" w:hAnsi="Times New Roman" w:cs="Times New Roman"/>
          <w:sz w:val="20"/>
          <w:szCs w:val="20"/>
        </w:rPr>
        <w:t xml:space="preserve"> </w:t>
      </w:r>
      <w:r w:rsidRPr="004801EE">
        <w:rPr>
          <w:rFonts w:ascii="Times New Roman" w:hAnsi="Times New Roman" w:cs="Times New Roman"/>
          <w:sz w:val="20"/>
          <w:szCs w:val="20"/>
        </w:rPr>
        <w:t xml:space="preserve">Programa de Recursos Humanos da Agência Nacional do Petróleo, Gás Natural e Biocombustíveis – PRH-ANP, suportado com recursos provenientes do investimento de empresas petrolíferas qualificadas na Cláusula de P, D&amp;I da Resolução ANP nº 50/2015. À </w:t>
      </w:r>
      <w:proofErr w:type="spellStart"/>
      <w:r w:rsidRPr="004801EE">
        <w:rPr>
          <w:rFonts w:ascii="Times New Roman" w:hAnsi="Times New Roman" w:cs="Times New Roman"/>
          <w:sz w:val="20"/>
          <w:szCs w:val="20"/>
        </w:rPr>
        <w:t>Fapemig</w:t>
      </w:r>
      <w:proofErr w:type="spellEnd"/>
      <w:r w:rsidRPr="004801EE">
        <w:rPr>
          <w:rFonts w:ascii="Times New Roman" w:hAnsi="Times New Roman" w:cs="Times New Roman"/>
          <w:sz w:val="20"/>
          <w:szCs w:val="20"/>
        </w:rPr>
        <w:t>, CNPq, Capes, ao Laboratório de Ensaio de Combustíveis (LEC/UFMG) e ao Núcleo de Extensão do DQ-UFMG.</w:t>
      </w:r>
    </w:p>
    <w:p w14:paraId="223B8722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2D0A16BA" w14:textId="71FBC88C" w:rsidR="00E5265F" w:rsidRDefault="00180CC1" w:rsidP="00180CC1">
      <w:pPr>
        <w:pStyle w:val="TAMainText"/>
        <w:numPr>
          <w:ilvl w:val="0"/>
          <w:numId w:val="1"/>
        </w:numPr>
        <w:rPr>
          <w:lang w:val="pt-BR"/>
        </w:rPr>
      </w:pPr>
      <w:r>
        <w:t xml:space="preserve">L. M. Souza; P. A. S. Mendes; D. A. G. Aranda, </w:t>
      </w:r>
      <w:r w:rsidRPr="007C7786">
        <w:rPr>
          <w:i/>
          <w:iCs/>
        </w:rPr>
        <w:t>Renewable Energy</w:t>
      </w:r>
      <w:r>
        <w:t xml:space="preserve">. </w:t>
      </w:r>
      <w:r>
        <w:rPr>
          <w:b/>
          <w:bCs/>
        </w:rPr>
        <w:t>2020</w:t>
      </w:r>
      <w:r>
        <w:t>, 149, 1339-1351.</w:t>
      </w:r>
    </w:p>
    <w:p w14:paraId="3CA336A5" w14:textId="07833958" w:rsidR="00A932E2" w:rsidRPr="007C279A" w:rsidRDefault="00E74F74" w:rsidP="00A932E2">
      <w:pPr>
        <w:pStyle w:val="TAMainText"/>
        <w:numPr>
          <w:ilvl w:val="0"/>
          <w:numId w:val="1"/>
        </w:numPr>
        <w:rPr>
          <w:lang w:val="pt-BR"/>
        </w:rPr>
      </w:pPr>
      <w:r>
        <w:rPr>
          <w:rFonts w:ascii="Times New Roman" w:hAnsi="Times New Roman"/>
          <w:lang w:val="pt-BR"/>
        </w:rPr>
        <w:t xml:space="preserve">P. </w:t>
      </w:r>
      <w:proofErr w:type="spellStart"/>
      <w:r>
        <w:rPr>
          <w:rFonts w:ascii="Times New Roman" w:hAnsi="Times New Roman"/>
          <w:lang w:val="pt-BR"/>
        </w:rPr>
        <w:t>Vozka</w:t>
      </w:r>
      <w:proofErr w:type="spellEnd"/>
      <w:r>
        <w:rPr>
          <w:rFonts w:ascii="Times New Roman" w:hAnsi="Times New Roman"/>
          <w:lang w:val="pt-BR"/>
        </w:rPr>
        <w:t xml:space="preserve">; P. </w:t>
      </w:r>
      <w:proofErr w:type="spellStart"/>
      <w:r w:rsidRPr="00003A00">
        <w:rPr>
          <w:rFonts w:ascii="Times New Roman" w:hAnsi="Times New Roman"/>
          <w:color w:val="000000"/>
        </w:rPr>
        <w:t>Šimáček</w:t>
      </w:r>
      <w:proofErr w:type="spellEnd"/>
      <w:r>
        <w:rPr>
          <w:rFonts w:ascii="Times New Roman" w:hAnsi="Times New Roman"/>
          <w:color w:val="000000"/>
        </w:rPr>
        <w:t xml:space="preserve">; G. </w:t>
      </w:r>
      <w:proofErr w:type="spellStart"/>
      <w:r>
        <w:rPr>
          <w:rFonts w:ascii="Times New Roman" w:hAnsi="Times New Roman"/>
          <w:color w:val="000000"/>
        </w:rPr>
        <w:t>Kilaz</w:t>
      </w:r>
      <w:proofErr w:type="spellEnd"/>
      <w:r>
        <w:rPr>
          <w:rFonts w:ascii="Times New Roman" w:hAnsi="Times New Roman"/>
          <w:color w:val="000000"/>
        </w:rPr>
        <w:t xml:space="preserve">, </w:t>
      </w:r>
      <w:r w:rsidRPr="007C7786">
        <w:rPr>
          <w:rFonts w:ascii="Times New Roman" w:hAnsi="Times New Roman"/>
          <w:i/>
          <w:iCs/>
          <w:color w:val="000000"/>
        </w:rPr>
        <w:t>Energy &amp; Fuels</w:t>
      </w:r>
      <w:r>
        <w:rPr>
          <w:rFonts w:ascii="Times New Roman" w:hAnsi="Times New Roman"/>
          <w:color w:val="000000"/>
        </w:rPr>
        <w:t xml:space="preserve">. </w:t>
      </w:r>
      <w:r w:rsidRPr="007C7786">
        <w:rPr>
          <w:rFonts w:ascii="Times New Roman" w:hAnsi="Times New Roman"/>
          <w:b/>
          <w:bCs/>
          <w:color w:val="000000"/>
        </w:rPr>
        <w:t>2018</w:t>
      </w:r>
      <w:r>
        <w:rPr>
          <w:rFonts w:ascii="Times New Roman" w:hAnsi="Times New Roman"/>
          <w:color w:val="000000"/>
        </w:rPr>
        <w:t>, 32, 11595-11606</w:t>
      </w:r>
      <w:r w:rsidR="00A932E2" w:rsidRPr="00E5265F">
        <w:rPr>
          <w:rFonts w:ascii="Times New Roman" w:hAnsi="Times New Roman"/>
          <w:lang w:val="en-GB"/>
        </w:rPr>
        <w:t xml:space="preserve">. </w:t>
      </w:r>
    </w:p>
    <w:p w14:paraId="1F700E7E" w14:textId="7E181666" w:rsidR="00A932E2" w:rsidRPr="00DE0597" w:rsidRDefault="00A932E2" w:rsidP="00E5265F">
      <w:pPr>
        <w:pStyle w:val="TAMainText"/>
        <w:numPr>
          <w:ilvl w:val="0"/>
          <w:numId w:val="1"/>
        </w:numPr>
      </w:pPr>
      <w:r w:rsidRPr="00E5265F">
        <w:rPr>
          <w:rFonts w:ascii="Times New Roman" w:hAnsi="Times New Roman"/>
          <w:lang w:val="en-GB"/>
        </w:rPr>
        <w:t xml:space="preserve">C.-H. Lin, Y.-K. Chen and W.-C. Wang, </w:t>
      </w:r>
      <w:r w:rsidRPr="00DE0597">
        <w:rPr>
          <w:rFonts w:ascii="Times New Roman" w:hAnsi="Times New Roman"/>
          <w:i/>
          <w:iCs/>
          <w:lang w:val="en-GB"/>
        </w:rPr>
        <w:t>Fuel</w:t>
      </w:r>
      <w:r w:rsidR="0077580B">
        <w:rPr>
          <w:rFonts w:ascii="Times New Roman" w:hAnsi="Times New Roman"/>
          <w:lang w:val="en-GB"/>
        </w:rPr>
        <w:t xml:space="preserve">. </w:t>
      </w:r>
      <w:r w:rsidRPr="00DE0597">
        <w:rPr>
          <w:rFonts w:ascii="Times New Roman" w:hAnsi="Times New Roman"/>
          <w:b/>
          <w:bCs/>
          <w:lang w:val="en-GB"/>
        </w:rPr>
        <w:t>2020</w:t>
      </w:r>
      <w:r w:rsidRPr="00E5265F">
        <w:rPr>
          <w:rFonts w:ascii="Times New Roman" w:hAnsi="Times New Roman"/>
          <w:lang w:val="en-GB"/>
        </w:rPr>
        <w:t xml:space="preserve">, </w:t>
      </w:r>
      <w:r w:rsidRPr="00DE0597">
        <w:rPr>
          <w:rFonts w:ascii="Times New Roman" w:hAnsi="Times New Roman"/>
          <w:i/>
          <w:iCs/>
          <w:lang w:val="en-GB"/>
        </w:rPr>
        <w:t>260</w:t>
      </w:r>
      <w:r w:rsidRPr="00E5265F">
        <w:rPr>
          <w:rFonts w:ascii="Times New Roman" w:hAnsi="Times New Roman"/>
          <w:lang w:val="en-GB"/>
        </w:rPr>
        <w:t>, 116.</w:t>
      </w:r>
      <w:r w:rsidRPr="00A932E2">
        <w:rPr>
          <w:rFonts w:ascii="Times New Roman" w:hAnsi="Times New Roman"/>
          <w:lang w:val="en-GB"/>
        </w:rPr>
        <w:t xml:space="preserve"> </w:t>
      </w:r>
    </w:p>
    <w:p w14:paraId="60296843" w14:textId="7D203F9C" w:rsidR="00E5265F" w:rsidRPr="00DE0597" w:rsidRDefault="00A932E2" w:rsidP="00E5265F">
      <w:pPr>
        <w:pStyle w:val="TAMainText"/>
        <w:numPr>
          <w:ilvl w:val="0"/>
          <w:numId w:val="1"/>
        </w:numPr>
      </w:pPr>
      <w:r w:rsidRPr="00E5265F">
        <w:rPr>
          <w:rFonts w:ascii="Times New Roman" w:hAnsi="Times New Roman"/>
          <w:lang w:val="en-GB"/>
        </w:rPr>
        <w:t xml:space="preserve">Ł. </w:t>
      </w:r>
      <w:proofErr w:type="spellStart"/>
      <w:r w:rsidRPr="00E5265F">
        <w:rPr>
          <w:rFonts w:ascii="Times New Roman" w:hAnsi="Times New Roman"/>
          <w:lang w:val="en-GB"/>
        </w:rPr>
        <w:t>Jęczmionek</w:t>
      </w:r>
      <w:proofErr w:type="spellEnd"/>
      <w:r w:rsidR="0077580B">
        <w:rPr>
          <w:rFonts w:ascii="Times New Roman" w:hAnsi="Times New Roman"/>
          <w:lang w:val="en-GB"/>
        </w:rPr>
        <w:t xml:space="preserve">, </w:t>
      </w:r>
      <w:r w:rsidRPr="00E5265F">
        <w:rPr>
          <w:rFonts w:ascii="Times New Roman" w:hAnsi="Times New Roman"/>
          <w:lang w:val="en-GB"/>
        </w:rPr>
        <w:t xml:space="preserve">K. </w:t>
      </w:r>
      <w:proofErr w:type="spellStart"/>
      <w:r w:rsidRPr="00E5265F">
        <w:rPr>
          <w:rFonts w:ascii="Times New Roman" w:hAnsi="Times New Roman"/>
          <w:lang w:val="en-GB"/>
        </w:rPr>
        <w:t>Porzycka-Semczuk</w:t>
      </w:r>
      <w:proofErr w:type="spellEnd"/>
      <w:r w:rsidRPr="00E5265F">
        <w:rPr>
          <w:rFonts w:ascii="Times New Roman" w:hAnsi="Times New Roman"/>
          <w:lang w:val="en-GB"/>
        </w:rPr>
        <w:t xml:space="preserve">, </w:t>
      </w:r>
      <w:r w:rsidRPr="00DE0597">
        <w:rPr>
          <w:rFonts w:ascii="Times New Roman" w:hAnsi="Times New Roman"/>
          <w:i/>
          <w:iCs/>
          <w:lang w:val="en-GB"/>
        </w:rPr>
        <w:t>Fuel</w:t>
      </w:r>
      <w:r w:rsidR="0077580B">
        <w:rPr>
          <w:rFonts w:ascii="Times New Roman" w:hAnsi="Times New Roman"/>
          <w:lang w:val="en-GB"/>
        </w:rPr>
        <w:t xml:space="preserve">. </w:t>
      </w:r>
      <w:r w:rsidRPr="00DE0597">
        <w:rPr>
          <w:rFonts w:ascii="Times New Roman" w:hAnsi="Times New Roman"/>
          <w:b/>
          <w:bCs/>
          <w:lang w:val="en-GB"/>
        </w:rPr>
        <w:t>2014</w:t>
      </w:r>
      <w:r w:rsidRPr="00E5265F">
        <w:rPr>
          <w:rFonts w:ascii="Times New Roman" w:hAnsi="Times New Roman"/>
          <w:lang w:val="en-GB"/>
        </w:rPr>
        <w:t xml:space="preserve">, </w:t>
      </w:r>
      <w:r w:rsidRPr="00DE0597">
        <w:rPr>
          <w:rFonts w:ascii="Times New Roman" w:hAnsi="Times New Roman"/>
          <w:i/>
          <w:iCs/>
          <w:lang w:val="en-GB"/>
        </w:rPr>
        <w:t>131</w:t>
      </w:r>
      <w:r w:rsidRPr="00E5265F">
        <w:rPr>
          <w:rFonts w:ascii="Times New Roman" w:hAnsi="Times New Roman"/>
          <w:lang w:val="en-GB"/>
        </w:rPr>
        <w:t>, 1–5</w:t>
      </w:r>
      <w:r>
        <w:rPr>
          <w:rFonts w:ascii="Times New Roman" w:hAnsi="Times New Roman"/>
          <w:lang w:val="en-GB"/>
        </w:rPr>
        <w:t>.</w:t>
      </w:r>
    </w:p>
    <w:p w14:paraId="61D75681" w14:textId="6CFAE8CA" w:rsidR="00A932E2" w:rsidRPr="00DE0597" w:rsidRDefault="00A932E2" w:rsidP="00A932E2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DE0597">
        <w:rPr>
          <w:lang w:val="pt-BR"/>
        </w:rPr>
        <w:t>Monteiro, R. R. C.; dos Santos, I. A.; Arcanjo, M. R. A.; Cavalcante, C. L.; de Luna, F. M. T.; Fernandez-</w:t>
      </w:r>
      <w:proofErr w:type="spellStart"/>
      <w:r w:rsidRPr="00DE0597">
        <w:rPr>
          <w:lang w:val="pt-BR"/>
        </w:rPr>
        <w:t>Lafuente</w:t>
      </w:r>
      <w:proofErr w:type="spellEnd"/>
      <w:r w:rsidRPr="00DE0597">
        <w:rPr>
          <w:lang w:val="pt-BR"/>
        </w:rPr>
        <w:t xml:space="preserve">, R.; Vieira, R. S. </w:t>
      </w:r>
      <w:proofErr w:type="spellStart"/>
      <w:r w:rsidRPr="00DE0597">
        <w:rPr>
          <w:i/>
          <w:iCs/>
          <w:lang w:val="pt-BR"/>
        </w:rPr>
        <w:t>Catalysts</w:t>
      </w:r>
      <w:proofErr w:type="spellEnd"/>
      <w:r w:rsidRPr="00DE0597">
        <w:rPr>
          <w:lang w:val="pt-BR"/>
        </w:rPr>
        <w:t xml:space="preserve"> </w:t>
      </w:r>
      <w:r w:rsidRPr="00DE0597">
        <w:rPr>
          <w:b/>
          <w:bCs/>
          <w:lang w:val="pt-BR"/>
        </w:rPr>
        <w:t>2022</w:t>
      </w:r>
      <w:r w:rsidRPr="00DE0597">
        <w:rPr>
          <w:lang w:val="pt-BR"/>
        </w:rPr>
        <w:t xml:space="preserve">, </w:t>
      </w:r>
      <w:r w:rsidRPr="00DE0597">
        <w:rPr>
          <w:i/>
          <w:iCs/>
          <w:lang w:val="pt-BR"/>
        </w:rPr>
        <w:t>12</w:t>
      </w:r>
      <w:r w:rsidRPr="00DE0597">
        <w:rPr>
          <w:lang w:val="pt-BR"/>
        </w:rPr>
        <w:t>, 237.</w:t>
      </w:r>
    </w:p>
    <w:p w14:paraId="085E53C8" w14:textId="646AE2AD" w:rsidR="006F2A13" w:rsidRPr="00DE0597" w:rsidRDefault="00A932E2" w:rsidP="006F2A13">
      <w:pPr>
        <w:pStyle w:val="TAMainText"/>
        <w:numPr>
          <w:ilvl w:val="0"/>
          <w:numId w:val="1"/>
        </w:numPr>
        <w:rPr>
          <w:lang w:val="pt-BR"/>
        </w:rPr>
      </w:pPr>
      <w:proofErr w:type="spellStart"/>
      <w:r w:rsidRPr="00DE0597">
        <w:rPr>
          <w:lang w:val="pt-BR"/>
        </w:rPr>
        <w:t>Chiappero</w:t>
      </w:r>
      <w:proofErr w:type="spellEnd"/>
      <w:r w:rsidRPr="00DE0597">
        <w:rPr>
          <w:lang w:val="pt-BR"/>
        </w:rPr>
        <w:t xml:space="preserve">, M.; Do, P. T. M.; </w:t>
      </w:r>
      <w:proofErr w:type="spellStart"/>
      <w:r w:rsidRPr="00DE0597">
        <w:rPr>
          <w:lang w:val="pt-BR"/>
        </w:rPr>
        <w:t>Crossley</w:t>
      </w:r>
      <w:proofErr w:type="spellEnd"/>
      <w:r w:rsidRPr="00DE0597">
        <w:rPr>
          <w:lang w:val="pt-BR"/>
        </w:rPr>
        <w:t xml:space="preserve">, S.; </w:t>
      </w:r>
      <w:proofErr w:type="spellStart"/>
      <w:r w:rsidRPr="00DE0597">
        <w:rPr>
          <w:lang w:val="pt-BR"/>
        </w:rPr>
        <w:t>Lobban</w:t>
      </w:r>
      <w:proofErr w:type="spellEnd"/>
      <w:r w:rsidRPr="00DE0597">
        <w:rPr>
          <w:lang w:val="pt-BR"/>
        </w:rPr>
        <w:t xml:space="preserve">, L. L.; </w:t>
      </w:r>
      <w:proofErr w:type="spellStart"/>
      <w:r w:rsidRPr="00DE0597">
        <w:rPr>
          <w:lang w:val="pt-BR"/>
        </w:rPr>
        <w:t>Resasco</w:t>
      </w:r>
      <w:proofErr w:type="spellEnd"/>
      <w:r w:rsidRPr="00DE0597">
        <w:rPr>
          <w:lang w:val="pt-BR"/>
        </w:rPr>
        <w:t xml:space="preserve">, D. E. </w:t>
      </w:r>
      <w:proofErr w:type="spellStart"/>
      <w:r w:rsidRPr="00DE0597">
        <w:rPr>
          <w:i/>
          <w:iCs/>
          <w:lang w:val="pt-BR"/>
        </w:rPr>
        <w:t>Fuel</w:t>
      </w:r>
      <w:proofErr w:type="spellEnd"/>
      <w:r w:rsidRPr="00DE0597">
        <w:rPr>
          <w:lang w:val="pt-BR"/>
        </w:rPr>
        <w:t xml:space="preserve"> </w:t>
      </w:r>
      <w:r w:rsidRPr="00DE0597">
        <w:rPr>
          <w:b/>
          <w:bCs/>
          <w:lang w:val="pt-BR"/>
        </w:rPr>
        <w:t>2011</w:t>
      </w:r>
      <w:r w:rsidRPr="00DE0597">
        <w:rPr>
          <w:lang w:val="pt-BR"/>
        </w:rPr>
        <w:t xml:space="preserve">, </w:t>
      </w:r>
      <w:r w:rsidRPr="00DE0597">
        <w:rPr>
          <w:i/>
          <w:iCs/>
          <w:lang w:val="pt-BR"/>
        </w:rPr>
        <w:t>90</w:t>
      </w:r>
      <w:r w:rsidRPr="00DE0597">
        <w:rPr>
          <w:lang w:val="pt-BR"/>
        </w:rPr>
        <w:t xml:space="preserve"> (3), 1155–1165.</w:t>
      </w:r>
    </w:p>
    <w:p w14:paraId="439072A3" w14:textId="4B16F409" w:rsidR="00CD726D" w:rsidRPr="00DE0597" w:rsidRDefault="006F2A13" w:rsidP="00A932E2">
      <w:pPr>
        <w:pStyle w:val="TAMainText"/>
        <w:numPr>
          <w:ilvl w:val="0"/>
          <w:numId w:val="1"/>
        </w:numPr>
        <w:rPr>
          <w:lang w:val="pt-BR"/>
        </w:rPr>
      </w:pPr>
      <w:proofErr w:type="spellStart"/>
      <w:r w:rsidRPr="00DE0597">
        <w:rPr>
          <w:lang w:val="pt-BR"/>
        </w:rPr>
        <w:t>Albiero</w:t>
      </w:r>
      <w:proofErr w:type="spellEnd"/>
      <w:r w:rsidRPr="00DE0597">
        <w:rPr>
          <w:lang w:val="pt-BR"/>
        </w:rPr>
        <w:t xml:space="preserve">, D.; Maciel, A. J. </w:t>
      </w:r>
      <w:proofErr w:type="spellStart"/>
      <w:r w:rsidRPr="00DE0597">
        <w:rPr>
          <w:lang w:val="pt-BR"/>
        </w:rPr>
        <w:t>da</w:t>
      </w:r>
      <w:proofErr w:type="spellEnd"/>
      <w:r w:rsidRPr="00DE0597">
        <w:rPr>
          <w:lang w:val="pt-BR"/>
        </w:rPr>
        <w:t xml:space="preserve"> S.; </w:t>
      </w:r>
      <w:proofErr w:type="spellStart"/>
      <w:r w:rsidRPr="00DE0597">
        <w:rPr>
          <w:lang w:val="pt-BR"/>
        </w:rPr>
        <w:t>Gamero</w:t>
      </w:r>
      <w:proofErr w:type="spellEnd"/>
      <w:r w:rsidRPr="00DE0597">
        <w:rPr>
          <w:lang w:val="pt-BR"/>
        </w:rPr>
        <w:t xml:space="preserve">, C. A. </w:t>
      </w:r>
      <w:r w:rsidRPr="00DE0597">
        <w:rPr>
          <w:i/>
          <w:iCs/>
          <w:lang w:val="pt-BR"/>
        </w:rPr>
        <w:t xml:space="preserve">Acta </w:t>
      </w:r>
      <w:proofErr w:type="spellStart"/>
      <w:r w:rsidRPr="00DE0597">
        <w:rPr>
          <w:i/>
          <w:iCs/>
          <w:lang w:val="pt-BR"/>
        </w:rPr>
        <w:t>Amazonica</w:t>
      </w:r>
      <w:proofErr w:type="spellEnd"/>
      <w:r w:rsidRPr="00DE0597">
        <w:rPr>
          <w:lang w:val="pt-BR"/>
        </w:rPr>
        <w:t xml:space="preserve">. </w:t>
      </w:r>
      <w:proofErr w:type="spellStart"/>
      <w:r w:rsidRPr="00DE0597">
        <w:rPr>
          <w:lang w:val="pt-BR"/>
        </w:rPr>
        <w:t>scielo</w:t>
      </w:r>
      <w:proofErr w:type="spellEnd"/>
      <w:r w:rsidRPr="00DE0597">
        <w:rPr>
          <w:lang w:val="pt-BR"/>
        </w:rPr>
        <w:t xml:space="preserve"> </w:t>
      </w:r>
      <w:r w:rsidRPr="00DE0597">
        <w:rPr>
          <w:b/>
          <w:bCs/>
          <w:lang w:val="pt-BR"/>
        </w:rPr>
        <w:t>2011</w:t>
      </w:r>
      <w:r w:rsidRPr="00DE0597">
        <w:rPr>
          <w:lang w:val="pt-BR"/>
        </w:rPr>
        <w:t>.</w:t>
      </w:r>
    </w:p>
    <w:p w14:paraId="7CCC7F37" w14:textId="4A9CE44C" w:rsidR="00CD726D" w:rsidRPr="00DE0597" w:rsidRDefault="00CD726D" w:rsidP="00DE0597">
      <w:pPr>
        <w:pStyle w:val="TAMainText"/>
        <w:numPr>
          <w:ilvl w:val="0"/>
          <w:numId w:val="1"/>
        </w:numPr>
        <w:rPr>
          <w:lang w:val="pt-BR"/>
        </w:rPr>
      </w:pPr>
      <w:r w:rsidRPr="00907E3D">
        <w:rPr>
          <w:rFonts w:ascii="Times New Roman" w:hAnsi="Times New Roman"/>
          <w:lang w:val="pt-BR"/>
        </w:rPr>
        <w:t>IBGE – Instituto Brasileiro de Geografia e Estatística. Produção da Extração Vegetal e da Silvicultura, 2015, vol. 30.</w:t>
      </w:r>
    </w:p>
    <w:p w14:paraId="40BF18B5" w14:textId="7FEF0814" w:rsidR="007B4B2B" w:rsidRPr="00DE0597" w:rsidRDefault="00CD726D" w:rsidP="006F2A13">
      <w:pPr>
        <w:pStyle w:val="TAMainText"/>
        <w:numPr>
          <w:ilvl w:val="0"/>
          <w:numId w:val="1"/>
        </w:numPr>
      </w:pPr>
      <w:r w:rsidRPr="00907E3D">
        <w:rPr>
          <w:rFonts w:ascii="Times New Roman" w:hAnsi="Times New Roman"/>
          <w:lang w:val="pt-BR"/>
        </w:rPr>
        <w:t>M. A. Teixeira</w:t>
      </w:r>
      <w:r w:rsidR="0077580B">
        <w:rPr>
          <w:rFonts w:ascii="Times New Roman" w:hAnsi="Times New Roman"/>
          <w:lang w:val="pt-BR"/>
        </w:rPr>
        <w:t xml:space="preserve">. </w:t>
      </w:r>
      <w:proofErr w:type="spellStart"/>
      <w:r w:rsidRPr="00DE0597">
        <w:rPr>
          <w:rFonts w:ascii="Times New Roman" w:hAnsi="Times New Roman"/>
          <w:i/>
          <w:iCs/>
          <w:lang w:val="pt-BR"/>
        </w:rPr>
        <w:t>Biomass</w:t>
      </w:r>
      <w:proofErr w:type="spellEnd"/>
      <w:r w:rsidRPr="00DE059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DE0597">
        <w:rPr>
          <w:rFonts w:ascii="Times New Roman" w:hAnsi="Times New Roman"/>
          <w:i/>
          <w:iCs/>
          <w:lang w:val="pt-BR"/>
        </w:rPr>
        <w:t>and</w:t>
      </w:r>
      <w:proofErr w:type="spellEnd"/>
      <w:r w:rsidRPr="00DE059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DE0597">
        <w:rPr>
          <w:rFonts w:ascii="Times New Roman" w:hAnsi="Times New Roman"/>
          <w:i/>
          <w:iCs/>
          <w:lang w:val="pt-BR"/>
        </w:rPr>
        <w:t>Bioenergy</w:t>
      </w:r>
      <w:proofErr w:type="spellEnd"/>
      <w:r w:rsidR="0077580B">
        <w:rPr>
          <w:rFonts w:ascii="Times New Roman" w:hAnsi="Times New Roman"/>
          <w:lang w:val="pt-BR"/>
        </w:rPr>
        <w:t>.</w:t>
      </w:r>
      <w:r w:rsidRPr="00907E3D">
        <w:rPr>
          <w:rFonts w:ascii="Times New Roman" w:hAnsi="Times New Roman"/>
          <w:lang w:val="pt-BR"/>
        </w:rPr>
        <w:t xml:space="preserve"> </w:t>
      </w:r>
      <w:r w:rsidRPr="00DE0597">
        <w:rPr>
          <w:rFonts w:ascii="Times New Roman" w:hAnsi="Times New Roman"/>
          <w:b/>
          <w:bCs/>
          <w:lang w:val="pt-BR"/>
        </w:rPr>
        <w:t>2008</w:t>
      </w:r>
      <w:r w:rsidRPr="00907E3D">
        <w:rPr>
          <w:rFonts w:ascii="Times New Roman" w:hAnsi="Times New Roman"/>
          <w:lang w:val="pt-BR"/>
        </w:rPr>
        <w:t xml:space="preserve">, </w:t>
      </w:r>
      <w:r w:rsidRPr="00DE0597">
        <w:rPr>
          <w:rFonts w:ascii="Times New Roman" w:hAnsi="Times New Roman"/>
          <w:i/>
          <w:iCs/>
          <w:lang w:val="pt-BR"/>
        </w:rPr>
        <w:t>32</w:t>
      </w:r>
      <w:r w:rsidRPr="00907E3D">
        <w:rPr>
          <w:rFonts w:ascii="Times New Roman" w:hAnsi="Times New Roman"/>
          <w:lang w:val="pt-BR"/>
        </w:rPr>
        <w:t xml:space="preserve">, 857–864. </w:t>
      </w:r>
    </w:p>
    <w:p w14:paraId="7C084F61" w14:textId="04ED6A4B" w:rsidR="00CD726D" w:rsidRDefault="00CD726D" w:rsidP="006F2A13">
      <w:pPr>
        <w:pStyle w:val="TAMainText"/>
        <w:numPr>
          <w:ilvl w:val="0"/>
          <w:numId w:val="1"/>
        </w:numPr>
      </w:pPr>
      <w:r>
        <w:t>X. Chen, J. Jiang, F. Yan, S. Tian, K. L</w:t>
      </w:r>
      <w:r w:rsidR="0077580B">
        <w:t>.</w:t>
      </w:r>
      <w:r>
        <w:t xml:space="preserve"> </w:t>
      </w:r>
      <w:r w:rsidRPr="00DE0597">
        <w:rPr>
          <w:i/>
          <w:iCs/>
        </w:rPr>
        <w:t>RSC Adv.</w:t>
      </w:r>
      <w:r>
        <w:t xml:space="preserve"> </w:t>
      </w:r>
      <w:r w:rsidRPr="00DE0597">
        <w:rPr>
          <w:b/>
          <w:bCs/>
        </w:rPr>
        <w:t>2014</w:t>
      </w:r>
      <w:r>
        <w:t xml:space="preserve">, </w:t>
      </w:r>
      <w:r w:rsidRPr="00DE0597">
        <w:rPr>
          <w:i/>
          <w:iCs/>
        </w:rPr>
        <w:t>4</w:t>
      </w:r>
      <w:r>
        <w:t>, 8703.</w:t>
      </w:r>
    </w:p>
    <w:p w14:paraId="002A7277" w14:textId="1FFCDA84" w:rsidR="00CD726D" w:rsidRDefault="00CD726D" w:rsidP="006F2A13">
      <w:pPr>
        <w:pStyle w:val="TAMainText"/>
        <w:numPr>
          <w:ilvl w:val="0"/>
          <w:numId w:val="1"/>
        </w:numPr>
      </w:pPr>
      <w:r w:rsidRPr="00DE0597">
        <w:rPr>
          <w:lang w:val="pt-BR"/>
        </w:rPr>
        <w:t xml:space="preserve">M. </w:t>
      </w:r>
      <w:proofErr w:type="spellStart"/>
      <w:r w:rsidRPr="00DE0597">
        <w:rPr>
          <w:lang w:val="pt-BR"/>
        </w:rPr>
        <w:t>Thommes</w:t>
      </w:r>
      <w:proofErr w:type="spellEnd"/>
      <w:r w:rsidRPr="00DE0597">
        <w:rPr>
          <w:lang w:val="pt-BR"/>
        </w:rPr>
        <w:t xml:space="preserve">, K. </w:t>
      </w:r>
      <w:proofErr w:type="spellStart"/>
      <w:r w:rsidRPr="00DE0597">
        <w:rPr>
          <w:lang w:val="pt-BR"/>
        </w:rPr>
        <w:t>Kaneko</w:t>
      </w:r>
      <w:proofErr w:type="spellEnd"/>
      <w:r w:rsidRPr="00DE0597">
        <w:rPr>
          <w:lang w:val="pt-BR"/>
        </w:rPr>
        <w:t xml:space="preserve">, A. V. </w:t>
      </w:r>
      <w:proofErr w:type="spellStart"/>
      <w:r w:rsidRPr="00DE0597">
        <w:rPr>
          <w:lang w:val="pt-BR"/>
        </w:rPr>
        <w:t>Neimark</w:t>
      </w:r>
      <w:proofErr w:type="spellEnd"/>
      <w:r w:rsidRPr="00DE0597">
        <w:rPr>
          <w:lang w:val="pt-BR"/>
        </w:rPr>
        <w:t xml:space="preserve">, J. P. Olivier, F. Rodriguez-Reinoso, J. </w:t>
      </w:r>
      <w:proofErr w:type="spellStart"/>
      <w:r w:rsidRPr="00DE0597">
        <w:rPr>
          <w:lang w:val="pt-BR"/>
        </w:rPr>
        <w:t>Rouquerol</w:t>
      </w:r>
      <w:proofErr w:type="spellEnd"/>
      <w:r w:rsidRPr="00DE0597">
        <w:rPr>
          <w:lang w:val="pt-BR"/>
        </w:rPr>
        <w:t xml:space="preserve">, K. S. W. Sing, </w:t>
      </w:r>
      <w:r w:rsidRPr="00DE0597">
        <w:rPr>
          <w:i/>
          <w:iCs/>
          <w:lang w:val="pt-BR"/>
        </w:rPr>
        <w:t xml:space="preserve">Pure </w:t>
      </w:r>
      <w:proofErr w:type="spellStart"/>
      <w:r w:rsidRPr="00DE0597">
        <w:rPr>
          <w:i/>
          <w:iCs/>
          <w:lang w:val="pt-BR"/>
        </w:rPr>
        <w:t>Appl</w:t>
      </w:r>
      <w:proofErr w:type="spellEnd"/>
      <w:r w:rsidRPr="00DE0597">
        <w:rPr>
          <w:i/>
          <w:iCs/>
          <w:lang w:val="pt-BR"/>
        </w:rPr>
        <w:t xml:space="preserve">. </w:t>
      </w:r>
      <w:r w:rsidRPr="00DE0597">
        <w:rPr>
          <w:i/>
          <w:iCs/>
        </w:rPr>
        <w:t>Chem</w:t>
      </w:r>
      <w:r>
        <w:t xml:space="preserve">. </w:t>
      </w:r>
      <w:r w:rsidRPr="00DE0597">
        <w:rPr>
          <w:b/>
          <w:bCs/>
        </w:rPr>
        <w:t>2015</w:t>
      </w:r>
      <w:r>
        <w:t xml:space="preserve">, </w:t>
      </w:r>
      <w:r w:rsidRPr="00DE0597">
        <w:rPr>
          <w:i/>
          <w:iCs/>
        </w:rPr>
        <w:t>87</w:t>
      </w:r>
      <w:r>
        <w:t>, 1051–1069.</w:t>
      </w:r>
    </w:p>
    <w:p w14:paraId="2843EEC4" w14:textId="411938AD" w:rsidR="00374249" w:rsidRDefault="00374249" w:rsidP="006F2A13">
      <w:pPr>
        <w:pStyle w:val="TAMainText"/>
        <w:numPr>
          <w:ilvl w:val="0"/>
          <w:numId w:val="1"/>
        </w:numPr>
      </w:pPr>
      <w:r>
        <w:t xml:space="preserve">J. </w:t>
      </w:r>
      <w:proofErr w:type="spellStart"/>
      <w:r>
        <w:t>Hájek</w:t>
      </w:r>
      <w:proofErr w:type="spellEnd"/>
      <w:r>
        <w:t xml:space="preserve">, P. </w:t>
      </w:r>
      <w:proofErr w:type="spellStart"/>
      <w:r>
        <w:t>Kačer</w:t>
      </w:r>
      <w:proofErr w:type="spellEnd"/>
      <w:r>
        <w:t xml:space="preserve">, D. Y. </w:t>
      </w:r>
      <w:proofErr w:type="spellStart"/>
      <w:r>
        <w:t>Murzin</w:t>
      </w:r>
      <w:proofErr w:type="spellEnd"/>
      <w:r>
        <w:t xml:space="preserve">, L. </w:t>
      </w:r>
      <w:proofErr w:type="spellStart"/>
      <w:r>
        <w:t>Červeny</w:t>
      </w:r>
      <w:proofErr w:type="spellEnd"/>
      <w:r>
        <w:t xml:space="preserve">̌, </w:t>
      </w:r>
      <w:r w:rsidRPr="00DE0597">
        <w:rPr>
          <w:i/>
          <w:iCs/>
        </w:rPr>
        <w:t xml:space="preserve">Res. Chem. </w:t>
      </w:r>
      <w:proofErr w:type="spellStart"/>
      <w:r w:rsidRPr="00DE0597">
        <w:rPr>
          <w:i/>
          <w:iCs/>
        </w:rPr>
        <w:t>Intermed</w:t>
      </w:r>
      <w:proofErr w:type="spellEnd"/>
      <w:r w:rsidRPr="00DE0597">
        <w:rPr>
          <w:i/>
          <w:iCs/>
        </w:rPr>
        <w:t>.</w:t>
      </w:r>
      <w:r>
        <w:t xml:space="preserve"> </w:t>
      </w:r>
      <w:r w:rsidRPr="00DE0597">
        <w:rPr>
          <w:b/>
          <w:bCs/>
        </w:rPr>
        <w:t>2002</w:t>
      </w:r>
      <w:r>
        <w:t xml:space="preserve">, </w:t>
      </w:r>
      <w:r w:rsidRPr="00DE0597">
        <w:rPr>
          <w:i/>
          <w:iCs/>
        </w:rPr>
        <w:t>28</w:t>
      </w:r>
      <w:r>
        <w:t>, 561– 573</w:t>
      </w:r>
    </w:p>
    <w:p w14:paraId="7E23A5E7" w14:textId="77777777" w:rsidR="00EC3A5F" w:rsidRPr="00EA4E1B" w:rsidRDefault="00EC3A5F" w:rsidP="00EA4E1B"/>
    <w:sectPr w:rsidR="00EC3A5F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32C5" w14:textId="77777777" w:rsidR="00184C0F" w:rsidRDefault="00184C0F" w:rsidP="00EA4E1B">
      <w:pPr>
        <w:spacing w:after="0" w:line="240" w:lineRule="auto"/>
      </w:pPr>
      <w:r>
        <w:separator/>
      </w:r>
    </w:p>
  </w:endnote>
  <w:endnote w:type="continuationSeparator" w:id="0">
    <w:p w14:paraId="04CDDFC8" w14:textId="77777777" w:rsidR="00184C0F" w:rsidRDefault="00184C0F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AED3" w14:textId="77777777" w:rsidR="00184C0F" w:rsidRDefault="00184C0F" w:rsidP="00EA4E1B">
      <w:pPr>
        <w:spacing w:after="0" w:line="240" w:lineRule="auto"/>
      </w:pPr>
      <w:r>
        <w:separator/>
      </w:r>
    </w:p>
  </w:footnote>
  <w:footnote w:type="continuationSeparator" w:id="0">
    <w:p w14:paraId="68BD5316" w14:textId="77777777" w:rsidR="00184C0F" w:rsidRDefault="00184C0F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BD58" w14:textId="77777777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8D25E21" wp14:editId="19720696">
          <wp:extent cx="1524000" cy="1049325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46735FDD" wp14:editId="5331840A">
          <wp:extent cx="1963713" cy="696036"/>
          <wp:effectExtent l="0" t="0" r="0" b="8890"/>
          <wp:docPr id="21" name="Imagem 21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4724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134C"/>
    <w:rsid w:val="0001264A"/>
    <w:rsid w:val="00025816"/>
    <w:rsid w:val="00030473"/>
    <w:rsid w:val="00037082"/>
    <w:rsid w:val="00043B05"/>
    <w:rsid w:val="00051945"/>
    <w:rsid w:val="00061A72"/>
    <w:rsid w:val="000E17C6"/>
    <w:rsid w:val="000F1D24"/>
    <w:rsid w:val="00117167"/>
    <w:rsid w:val="0012422E"/>
    <w:rsid w:val="00131FED"/>
    <w:rsid w:val="001577F9"/>
    <w:rsid w:val="00180CC1"/>
    <w:rsid w:val="00184C0F"/>
    <w:rsid w:val="001A339A"/>
    <w:rsid w:val="001A49E1"/>
    <w:rsid w:val="001C42D7"/>
    <w:rsid w:val="001E58A9"/>
    <w:rsid w:val="001E6623"/>
    <w:rsid w:val="001F25B2"/>
    <w:rsid w:val="001F5848"/>
    <w:rsid w:val="002064D7"/>
    <w:rsid w:val="0021146E"/>
    <w:rsid w:val="00222230"/>
    <w:rsid w:val="00232990"/>
    <w:rsid w:val="00245CA6"/>
    <w:rsid w:val="00246479"/>
    <w:rsid w:val="0026284B"/>
    <w:rsid w:val="00262F48"/>
    <w:rsid w:val="0027050E"/>
    <w:rsid w:val="00281E06"/>
    <w:rsid w:val="0028645B"/>
    <w:rsid w:val="002B22DF"/>
    <w:rsid w:val="002B7DBF"/>
    <w:rsid w:val="002C4E55"/>
    <w:rsid w:val="002E6922"/>
    <w:rsid w:val="002F45C6"/>
    <w:rsid w:val="002F7ECC"/>
    <w:rsid w:val="00306A9D"/>
    <w:rsid w:val="00315667"/>
    <w:rsid w:val="00316130"/>
    <w:rsid w:val="00325631"/>
    <w:rsid w:val="00340B1E"/>
    <w:rsid w:val="00353EFE"/>
    <w:rsid w:val="00374249"/>
    <w:rsid w:val="0038030B"/>
    <w:rsid w:val="00397937"/>
    <w:rsid w:val="00397BBF"/>
    <w:rsid w:val="003A1899"/>
    <w:rsid w:val="003B15B1"/>
    <w:rsid w:val="003C110A"/>
    <w:rsid w:val="003C13FD"/>
    <w:rsid w:val="003C3811"/>
    <w:rsid w:val="003D39BF"/>
    <w:rsid w:val="003D401A"/>
    <w:rsid w:val="00402F3E"/>
    <w:rsid w:val="004200CC"/>
    <w:rsid w:val="004277D1"/>
    <w:rsid w:val="00466F1C"/>
    <w:rsid w:val="004801EE"/>
    <w:rsid w:val="004B4118"/>
    <w:rsid w:val="004F3F42"/>
    <w:rsid w:val="00502A38"/>
    <w:rsid w:val="005173F0"/>
    <w:rsid w:val="0052112E"/>
    <w:rsid w:val="005627D4"/>
    <w:rsid w:val="005718F5"/>
    <w:rsid w:val="005C2775"/>
    <w:rsid w:val="005D65EB"/>
    <w:rsid w:val="00604718"/>
    <w:rsid w:val="006079DF"/>
    <w:rsid w:val="0062335D"/>
    <w:rsid w:val="0062448D"/>
    <w:rsid w:val="00634564"/>
    <w:rsid w:val="00635ECF"/>
    <w:rsid w:val="00652815"/>
    <w:rsid w:val="00654FA2"/>
    <w:rsid w:val="00677061"/>
    <w:rsid w:val="0068656B"/>
    <w:rsid w:val="0068668C"/>
    <w:rsid w:val="00686ACA"/>
    <w:rsid w:val="006C6795"/>
    <w:rsid w:val="006D74A9"/>
    <w:rsid w:val="006F2A13"/>
    <w:rsid w:val="006F599B"/>
    <w:rsid w:val="00704A26"/>
    <w:rsid w:val="00726721"/>
    <w:rsid w:val="00745CE6"/>
    <w:rsid w:val="00752028"/>
    <w:rsid w:val="00762A84"/>
    <w:rsid w:val="007670A0"/>
    <w:rsid w:val="0077580B"/>
    <w:rsid w:val="00781685"/>
    <w:rsid w:val="007A2F4C"/>
    <w:rsid w:val="007A5D0D"/>
    <w:rsid w:val="007A69FF"/>
    <w:rsid w:val="007B4874"/>
    <w:rsid w:val="007B4B2B"/>
    <w:rsid w:val="007B6B6C"/>
    <w:rsid w:val="007B775C"/>
    <w:rsid w:val="007C13DC"/>
    <w:rsid w:val="007C279A"/>
    <w:rsid w:val="007C3CB2"/>
    <w:rsid w:val="007C7786"/>
    <w:rsid w:val="00803EEE"/>
    <w:rsid w:val="00810D0C"/>
    <w:rsid w:val="0082629E"/>
    <w:rsid w:val="00831B53"/>
    <w:rsid w:val="00862050"/>
    <w:rsid w:val="00866822"/>
    <w:rsid w:val="008721AE"/>
    <w:rsid w:val="00884185"/>
    <w:rsid w:val="00887DFB"/>
    <w:rsid w:val="0089739F"/>
    <w:rsid w:val="008B1683"/>
    <w:rsid w:val="008C08CF"/>
    <w:rsid w:val="008C1B30"/>
    <w:rsid w:val="008F4255"/>
    <w:rsid w:val="00907A8C"/>
    <w:rsid w:val="0093537C"/>
    <w:rsid w:val="009426CB"/>
    <w:rsid w:val="0094640D"/>
    <w:rsid w:val="00957CC9"/>
    <w:rsid w:val="009656D9"/>
    <w:rsid w:val="00973E94"/>
    <w:rsid w:val="009C3C15"/>
    <w:rsid w:val="009C7CB0"/>
    <w:rsid w:val="009E60CF"/>
    <w:rsid w:val="009F128A"/>
    <w:rsid w:val="009F3427"/>
    <w:rsid w:val="009F513E"/>
    <w:rsid w:val="00A05A19"/>
    <w:rsid w:val="00A17D85"/>
    <w:rsid w:val="00A23EB3"/>
    <w:rsid w:val="00A36846"/>
    <w:rsid w:val="00A41A43"/>
    <w:rsid w:val="00A453B2"/>
    <w:rsid w:val="00A4570D"/>
    <w:rsid w:val="00A47A71"/>
    <w:rsid w:val="00A76E1D"/>
    <w:rsid w:val="00A85E2D"/>
    <w:rsid w:val="00A87CE8"/>
    <w:rsid w:val="00A87D05"/>
    <w:rsid w:val="00A932E2"/>
    <w:rsid w:val="00AA182E"/>
    <w:rsid w:val="00AF0400"/>
    <w:rsid w:val="00B03DC6"/>
    <w:rsid w:val="00B04C37"/>
    <w:rsid w:val="00B17757"/>
    <w:rsid w:val="00B30AEB"/>
    <w:rsid w:val="00B33750"/>
    <w:rsid w:val="00B452FF"/>
    <w:rsid w:val="00B8471F"/>
    <w:rsid w:val="00BA6A6E"/>
    <w:rsid w:val="00BB2D20"/>
    <w:rsid w:val="00BC4594"/>
    <w:rsid w:val="00BE3C0A"/>
    <w:rsid w:val="00C453BB"/>
    <w:rsid w:val="00C53876"/>
    <w:rsid w:val="00C557A3"/>
    <w:rsid w:val="00C76E54"/>
    <w:rsid w:val="00C84D3D"/>
    <w:rsid w:val="00CD726D"/>
    <w:rsid w:val="00CF2983"/>
    <w:rsid w:val="00D00C92"/>
    <w:rsid w:val="00D02A9C"/>
    <w:rsid w:val="00D16318"/>
    <w:rsid w:val="00D26964"/>
    <w:rsid w:val="00D56137"/>
    <w:rsid w:val="00D64D7A"/>
    <w:rsid w:val="00D87A0F"/>
    <w:rsid w:val="00D96135"/>
    <w:rsid w:val="00DB0F4A"/>
    <w:rsid w:val="00DC0408"/>
    <w:rsid w:val="00DC7041"/>
    <w:rsid w:val="00DE0597"/>
    <w:rsid w:val="00DF2B89"/>
    <w:rsid w:val="00E02A21"/>
    <w:rsid w:val="00E038AF"/>
    <w:rsid w:val="00E12AAF"/>
    <w:rsid w:val="00E142BB"/>
    <w:rsid w:val="00E27948"/>
    <w:rsid w:val="00E46C66"/>
    <w:rsid w:val="00E5265F"/>
    <w:rsid w:val="00E74F74"/>
    <w:rsid w:val="00EA4E1B"/>
    <w:rsid w:val="00EC3A5F"/>
    <w:rsid w:val="00F0374A"/>
    <w:rsid w:val="00F10DBD"/>
    <w:rsid w:val="00F22870"/>
    <w:rsid w:val="00F30661"/>
    <w:rsid w:val="00F33EB2"/>
    <w:rsid w:val="00F468D8"/>
    <w:rsid w:val="00F56FE9"/>
    <w:rsid w:val="00F71F2B"/>
    <w:rsid w:val="00F91588"/>
    <w:rsid w:val="00F917DA"/>
    <w:rsid w:val="00FA56B5"/>
    <w:rsid w:val="00FC0EEB"/>
    <w:rsid w:val="00FD390F"/>
    <w:rsid w:val="00FF1E47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F5A0B"/>
  <w15:docId w15:val="{53CC32CF-EC9F-6548-863B-59E1FDEF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customStyle="1" w:styleId="Default">
    <w:name w:val="Default"/>
    <w:rsid w:val="00A87D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5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269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9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9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9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96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B4874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24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F2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7774">
          <w:marLeft w:val="1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7CC54-DCEA-2241-82AE-9DE3550A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2412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Denner Carvalho</cp:lastModifiedBy>
  <cp:revision>9</cp:revision>
  <dcterms:created xsi:type="dcterms:W3CDTF">2023-06-14T18:55:00Z</dcterms:created>
  <dcterms:modified xsi:type="dcterms:W3CDTF">2023-06-14T20:13:00Z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http://www.zotero.org/styles/american-chemical-society</vt:lpwstr>
  </property>
  <property fmtid="{D5CDD505-2E9C-101B-9397-08002B2CF9AE}" pid="3" name="Mendeley Recent Style Name 0_1">
    <vt:lpwstr>American Chemical Society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 11th edition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http://www.zotero.org/styles/chicago-note-bibliography</vt:lpwstr>
  </property>
  <property fmtid="{D5CDD505-2E9C-101B-9397-08002B2CF9AE}" pid="11" name="Mendeley Recent Style Name 4_1">
    <vt:lpwstr>Chicago Manual of Style 17th edition (note)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http://www.zotero.org/styles/associacao-brasileira-de-normas-tecnicas-ufmg-face-full</vt:lpwstr>
  </property>
  <property fmtid="{D5CDD505-2E9C-101B-9397-08002B2CF9AE}" pid="21" name="Mendeley Recent Style Name 9_1">
    <vt:lpwstr>Universidade Federal de Minas Gerais - Faculdade de Ciências Econômicas - ABNT (autoria completa) (Português - Brasil)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http://www.zotero.org/styles/american-chemical-society</vt:lpwstr>
  </property>
  <property fmtid="{D5CDD505-2E9C-101B-9397-08002B2CF9AE}" pid="24" name="Mendeley Unique User Id_1">
    <vt:lpwstr>495077c3-c0d0-3f2a-80eb-6b2ad709e4ce</vt:lpwstr>
  </property>
</Properties>
</file>