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inespaciad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inespaciado"/>
                      </w:pPr>
                    </w:p>
                  </w:txbxContent>
                </v:textbox>
                <w10:wrap anchorx="margin"/>
              </v:rect>
            </w:pict>
          </mc:Fallback>
        </mc:AlternateContent>
      </w:r>
    </w:p>
    <w:p w14:paraId="050D20D3" w14:textId="5715EF55" w:rsidR="00EA4E1B" w:rsidRPr="00C6121B" w:rsidRDefault="00500672" w:rsidP="00EA4E1B">
      <w:pPr>
        <w:pStyle w:val="BATitle"/>
        <w:spacing w:before="0" w:after="0" w:line="240" w:lineRule="auto"/>
        <w:ind w:right="0"/>
        <w:jc w:val="both"/>
        <w:rPr>
          <w:sz w:val="32"/>
          <w:lang w:val="en-GB"/>
        </w:rPr>
      </w:pPr>
      <w:r w:rsidRPr="00500672">
        <w:rPr>
          <w:sz w:val="32"/>
          <w:lang w:val="en-GB"/>
        </w:rPr>
        <w:t>Novel Imidazolium-Based Ionic Liquid/Mordenite composites for CO</w:t>
      </w:r>
      <w:r w:rsidRPr="00500672">
        <w:rPr>
          <w:sz w:val="32"/>
          <w:vertAlign w:val="subscript"/>
          <w:lang w:val="en-GB"/>
        </w:rPr>
        <w:t>2</w:t>
      </w:r>
      <w:r w:rsidRPr="00500672">
        <w:rPr>
          <w:sz w:val="32"/>
          <w:lang w:val="en-GB"/>
        </w:rPr>
        <w:t xml:space="preserve"> capture. </w:t>
      </w:r>
      <w:r w:rsidRPr="00C6121B">
        <w:rPr>
          <w:sz w:val="32"/>
          <w:lang w:val="en-GB"/>
        </w:rPr>
        <w:t>An ONIOM-DFT stud</w:t>
      </w:r>
      <w:r w:rsidR="00D71FAC" w:rsidRPr="00C6121B">
        <w:rPr>
          <w:sz w:val="32"/>
          <w:lang w:val="en-GB"/>
        </w:rPr>
        <w:t>y.</w:t>
      </w:r>
    </w:p>
    <w:p w14:paraId="05574CE6" w14:textId="77777777" w:rsidR="00D71FAC" w:rsidRPr="00C6121B" w:rsidRDefault="00D71FAC" w:rsidP="00D71FAC">
      <w:pPr>
        <w:pStyle w:val="BCAuthorAddress"/>
        <w:rPr>
          <w:lang w:val="en-GB"/>
        </w:rPr>
      </w:pPr>
    </w:p>
    <w:p w14:paraId="18735493" w14:textId="6A23D0C0" w:rsidR="00EA4E1B" w:rsidRPr="00C6121B" w:rsidRDefault="0029563B" w:rsidP="00EA4E1B">
      <w:pPr>
        <w:pStyle w:val="BBAuthorName"/>
        <w:spacing w:after="120"/>
        <w:ind w:right="0"/>
        <w:jc w:val="both"/>
        <w:rPr>
          <w:rFonts w:ascii="Times New Roman" w:hAnsi="Times New Roman"/>
          <w:sz w:val="20"/>
          <w:lang w:val="en-GB"/>
        </w:rPr>
      </w:pPr>
      <w:r w:rsidRPr="00C6121B">
        <w:rPr>
          <w:rFonts w:ascii="Times New Roman" w:hAnsi="Times New Roman"/>
          <w:sz w:val="20"/>
          <w:lang w:val="en-GB"/>
        </w:rPr>
        <w:t xml:space="preserve">Rodolfo </w:t>
      </w:r>
      <w:proofErr w:type="spellStart"/>
      <w:r w:rsidRPr="00C6121B">
        <w:rPr>
          <w:rFonts w:ascii="Times New Roman" w:hAnsi="Times New Roman"/>
          <w:sz w:val="20"/>
          <w:lang w:val="en-GB"/>
        </w:rPr>
        <w:t>Izquierdo</w:t>
      </w:r>
      <w:proofErr w:type="spellEnd"/>
      <w:r w:rsidRPr="00C6121B">
        <w:rPr>
          <w:rFonts w:ascii="Times New Roman" w:hAnsi="Times New Roman"/>
          <w:sz w:val="20"/>
          <w:vertAlign w:val="superscript"/>
          <w:lang w:val="en-GB"/>
        </w:rPr>
        <w:t xml:space="preserve"> 1,2 *</w:t>
      </w:r>
      <w:r w:rsidRPr="00C6121B">
        <w:rPr>
          <w:rFonts w:ascii="Times New Roman" w:hAnsi="Times New Roman"/>
          <w:sz w:val="20"/>
          <w:lang w:val="en-GB"/>
        </w:rPr>
        <w:t xml:space="preserve">, Rafael </w:t>
      </w:r>
      <w:proofErr w:type="spellStart"/>
      <w:r w:rsidRPr="00C6121B">
        <w:rPr>
          <w:rFonts w:ascii="Times New Roman" w:hAnsi="Times New Roman"/>
          <w:sz w:val="20"/>
          <w:lang w:val="en-GB"/>
        </w:rPr>
        <w:t>Zadorosny</w:t>
      </w:r>
      <w:proofErr w:type="spellEnd"/>
      <w:r w:rsidRPr="00C6121B">
        <w:rPr>
          <w:rFonts w:ascii="Times New Roman" w:hAnsi="Times New Roman"/>
          <w:sz w:val="20"/>
          <w:vertAlign w:val="superscript"/>
          <w:lang w:val="en-GB"/>
        </w:rPr>
        <w:t xml:space="preserve"> 1</w:t>
      </w:r>
      <w:r w:rsidRPr="00C6121B">
        <w:rPr>
          <w:rFonts w:ascii="Times New Roman" w:hAnsi="Times New Roman"/>
          <w:sz w:val="20"/>
          <w:lang w:val="en-GB"/>
        </w:rPr>
        <w:t>, Gustavo Chacón</w:t>
      </w:r>
      <w:r w:rsidRPr="00C6121B">
        <w:rPr>
          <w:rFonts w:ascii="Times New Roman" w:hAnsi="Times New Roman"/>
          <w:sz w:val="20"/>
          <w:vertAlign w:val="superscript"/>
          <w:lang w:val="en-GB"/>
        </w:rPr>
        <w:t xml:space="preserve"> 3</w:t>
      </w:r>
      <w:r w:rsidRPr="00C6121B">
        <w:rPr>
          <w:rFonts w:ascii="Times New Roman" w:hAnsi="Times New Roman"/>
          <w:sz w:val="20"/>
          <w:lang w:val="en-GB"/>
        </w:rPr>
        <w:t xml:space="preserve">, </w:t>
      </w:r>
      <w:proofErr w:type="spellStart"/>
      <w:r w:rsidRPr="00C6121B">
        <w:rPr>
          <w:rFonts w:ascii="Times New Roman" w:hAnsi="Times New Roman"/>
          <w:sz w:val="20"/>
          <w:lang w:val="en-GB"/>
        </w:rPr>
        <w:t>Jairton</w:t>
      </w:r>
      <w:proofErr w:type="spellEnd"/>
      <w:r w:rsidRPr="00C6121B">
        <w:rPr>
          <w:rFonts w:ascii="Times New Roman" w:hAnsi="Times New Roman"/>
          <w:sz w:val="20"/>
          <w:lang w:val="en-GB"/>
        </w:rPr>
        <w:t xml:space="preserve"> Dupont</w:t>
      </w:r>
      <w:r w:rsidRPr="00C6121B">
        <w:rPr>
          <w:rFonts w:ascii="Times New Roman" w:hAnsi="Times New Roman"/>
          <w:sz w:val="20"/>
          <w:vertAlign w:val="superscript"/>
          <w:lang w:val="en-GB"/>
        </w:rPr>
        <w:t xml:space="preserve"> 3</w:t>
      </w:r>
      <w:r w:rsidRPr="00C6121B">
        <w:rPr>
          <w:rFonts w:ascii="Times New Roman" w:hAnsi="Times New Roman"/>
          <w:sz w:val="20"/>
          <w:lang w:val="en-GB"/>
        </w:rPr>
        <w:t>, and Hubert Stassen</w:t>
      </w:r>
      <w:r w:rsidRPr="00C6121B">
        <w:rPr>
          <w:rFonts w:ascii="Times New Roman" w:hAnsi="Times New Roman"/>
          <w:sz w:val="20"/>
          <w:vertAlign w:val="superscript"/>
          <w:lang w:val="en-GB"/>
        </w:rPr>
        <w:t xml:space="preserve"> 2</w:t>
      </w:r>
    </w:p>
    <w:p w14:paraId="7FD4DAF5" w14:textId="77777777" w:rsidR="00691A06" w:rsidRDefault="00EA4E1B" w:rsidP="00EA4E1B">
      <w:pPr>
        <w:pStyle w:val="BCAuthorAddress"/>
        <w:spacing w:after="0"/>
        <w:ind w:right="0"/>
        <w:jc w:val="both"/>
        <w:rPr>
          <w:lang w:val="pt-BR"/>
        </w:rPr>
      </w:pPr>
      <w:r>
        <w:rPr>
          <w:vertAlign w:val="superscript"/>
          <w:lang w:val="pt-BR"/>
        </w:rPr>
        <w:t>1</w:t>
      </w:r>
      <w:r w:rsidR="00691A06">
        <w:rPr>
          <w:vertAlign w:val="superscript"/>
          <w:lang w:val="pt-BR"/>
        </w:rPr>
        <w:t xml:space="preserve"> </w:t>
      </w:r>
      <w:r w:rsidR="005802EB" w:rsidRPr="005802EB">
        <w:rPr>
          <w:lang w:val="pt-BR"/>
        </w:rPr>
        <w:t xml:space="preserve">Universidade Estadual Paulista (UNESP), Faculdade de Engenharia, Departamento de Física e Química, Avenida Brasil, 56 – Centro, Zip </w:t>
      </w:r>
      <w:proofErr w:type="spellStart"/>
      <w:r w:rsidR="005802EB" w:rsidRPr="005802EB">
        <w:rPr>
          <w:lang w:val="pt-BR"/>
        </w:rPr>
        <w:t>Code</w:t>
      </w:r>
      <w:proofErr w:type="spellEnd"/>
      <w:r w:rsidR="005802EB" w:rsidRPr="005802EB">
        <w:rPr>
          <w:lang w:val="pt-BR"/>
        </w:rPr>
        <w:t xml:space="preserve"> 15385-000, Ilha Solteira – SP, </w:t>
      </w:r>
      <w:proofErr w:type="spellStart"/>
      <w:r w:rsidR="005802EB" w:rsidRPr="005802EB">
        <w:rPr>
          <w:lang w:val="pt-BR"/>
        </w:rPr>
        <w:t>Brazil</w:t>
      </w:r>
      <w:proofErr w:type="spellEnd"/>
      <w:r w:rsidR="00691A06">
        <w:rPr>
          <w:lang w:val="pt-BR"/>
        </w:rPr>
        <w:t>.</w:t>
      </w:r>
    </w:p>
    <w:p w14:paraId="05963C99" w14:textId="77777777" w:rsidR="00691A06" w:rsidRDefault="00691A06" w:rsidP="00EA4E1B">
      <w:pPr>
        <w:pStyle w:val="BCAuthorAddress"/>
        <w:spacing w:after="0"/>
        <w:ind w:right="0"/>
        <w:jc w:val="both"/>
        <w:rPr>
          <w:lang w:val="pt-BR"/>
        </w:rPr>
      </w:pPr>
      <w:r w:rsidRPr="00691A06">
        <w:rPr>
          <w:vertAlign w:val="superscript"/>
          <w:lang w:val="pt-BR"/>
        </w:rPr>
        <w:t>2</w:t>
      </w:r>
      <w:r w:rsidRPr="00691A06">
        <w:rPr>
          <w:lang w:val="pt-BR"/>
        </w:rPr>
        <w:t xml:space="preserve"> Grupo de Química Teórica, Instituto de Química, UFRGS, Av. Bento Gonçalves, 9500, Porto Alegre, RS 91540 180, </w:t>
      </w:r>
      <w:proofErr w:type="spellStart"/>
      <w:r w:rsidRPr="00691A06">
        <w:rPr>
          <w:lang w:val="pt-BR"/>
        </w:rPr>
        <w:t>Brazil</w:t>
      </w:r>
      <w:proofErr w:type="spellEnd"/>
      <w:r>
        <w:rPr>
          <w:lang w:val="pt-BR"/>
        </w:rPr>
        <w:t>.</w:t>
      </w:r>
    </w:p>
    <w:p w14:paraId="7FC21B41" w14:textId="77777777" w:rsidR="00691A06" w:rsidRDefault="00691A06" w:rsidP="00691A06">
      <w:pPr>
        <w:pStyle w:val="BCAuthorAddress"/>
        <w:spacing w:after="0"/>
        <w:jc w:val="both"/>
        <w:rPr>
          <w:lang w:val="pt-BR"/>
        </w:rPr>
      </w:pPr>
      <w:r>
        <w:rPr>
          <w:lang w:val="pt-BR"/>
        </w:rPr>
        <w:t xml:space="preserve"> </w:t>
      </w:r>
      <w:r w:rsidRPr="00691A06">
        <w:rPr>
          <w:vertAlign w:val="superscript"/>
          <w:lang w:val="pt-BR"/>
        </w:rPr>
        <w:t>3</w:t>
      </w:r>
      <w:r>
        <w:rPr>
          <w:lang w:val="pt-BR"/>
        </w:rPr>
        <w:t xml:space="preserve"> </w:t>
      </w:r>
      <w:proofErr w:type="spellStart"/>
      <w:r w:rsidRPr="00691A06">
        <w:rPr>
          <w:lang w:val="pt-BR"/>
        </w:rPr>
        <w:t>Laboratory</w:t>
      </w:r>
      <w:proofErr w:type="spellEnd"/>
      <w:r w:rsidRPr="00691A06">
        <w:rPr>
          <w:lang w:val="pt-BR"/>
        </w:rPr>
        <w:t xml:space="preserve"> </w:t>
      </w:r>
      <w:proofErr w:type="spellStart"/>
      <w:r w:rsidRPr="00691A06">
        <w:rPr>
          <w:lang w:val="pt-BR"/>
        </w:rPr>
        <w:t>of</w:t>
      </w:r>
      <w:proofErr w:type="spellEnd"/>
      <w:r w:rsidRPr="00691A06">
        <w:rPr>
          <w:lang w:val="pt-BR"/>
        </w:rPr>
        <w:t xml:space="preserve"> Molecular </w:t>
      </w:r>
      <w:proofErr w:type="spellStart"/>
      <w:r w:rsidRPr="00691A06">
        <w:rPr>
          <w:lang w:val="pt-BR"/>
        </w:rPr>
        <w:t>Catalysis</w:t>
      </w:r>
      <w:proofErr w:type="spellEnd"/>
      <w:r w:rsidRPr="00691A06">
        <w:rPr>
          <w:lang w:val="pt-BR"/>
        </w:rPr>
        <w:t xml:space="preserve">, Instituto de Química, UFRGS, Av. Bento Gonçalves, 9500, Porto Alegre, RS 91501 970, </w:t>
      </w:r>
      <w:proofErr w:type="spellStart"/>
      <w:r w:rsidRPr="00691A06">
        <w:rPr>
          <w:lang w:val="pt-BR"/>
        </w:rPr>
        <w:t>Brazil</w:t>
      </w:r>
      <w:proofErr w:type="spellEnd"/>
      <w:r>
        <w:rPr>
          <w:lang w:val="pt-BR"/>
        </w:rPr>
        <w:t>.</w:t>
      </w:r>
    </w:p>
    <w:p w14:paraId="22D72273" w14:textId="3BFF5BC8" w:rsidR="00691A06" w:rsidRPr="00691A06" w:rsidRDefault="00691A06" w:rsidP="00691A06">
      <w:pPr>
        <w:pStyle w:val="BCAuthorAddress"/>
        <w:spacing w:after="0"/>
        <w:jc w:val="both"/>
        <w:rPr>
          <w:lang w:val="en-GB"/>
        </w:rPr>
      </w:pPr>
      <w:r w:rsidRPr="00C6121B">
        <w:rPr>
          <w:lang w:val="pt-BR"/>
        </w:rPr>
        <w:t xml:space="preserve"> </w:t>
      </w:r>
      <w:r w:rsidRPr="00691A06">
        <w:rPr>
          <w:lang w:val="en-GB"/>
        </w:rPr>
        <w:t xml:space="preserve">*Corresponding </w:t>
      </w:r>
      <w:proofErr w:type="spellStart"/>
      <w:r w:rsidRPr="00691A06">
        <w:rPr>
          <w:lang w:val="en-GB"/>
        </w:rPr>
        <w:t>Authors.e</w:t>
      </w:r>
      <w:proofErr w:type="spellEnd"/>
      <w:r w:rsidRPr="00691A06">
        <w:rPr>
          <w:lang w:val="en-GB"/>
        </w:rPr>
        <w:t xml:space="preserve">-Mail Address: </w:t>
      </w:r>
      <w:hyperlink r:id="rId8" w:history="1">
        <w:r w:rsidRPr="00B312CF">
          <w:rPr>
            <w:rStyle w:val="Hipervnculo"/>
            <w:lang w:val="en-GB"/>
          </w:rPr>
          <w:t>reis131182@gmail.com</w:t>
        </w:r>
      </w:hyperlink>
      <w:r>
        <w:rPr>
          <w:lang w:val="en-GB"/>
        </w:rPr>
        <w:t xml:space="preserve">, </w:t>
      </w:r>
      <w:hyperlink r:id="rId9" w:history="1">
        <w:r w:rsidRPr="00B312CF">
          <w:rPr>
            <w:rStyle w:val="Hipervnculo"/>
            <w:lang w:val="en-GB"/>
          </w:rPr>
          <w:t>rodolfo.izquierdo@unesp.br</w:t>
        </w:r>
      </w:hyperlink>
      <w:r>
        <w:rPr>
          <w:lang w:val="en-GB"/>
        </w:rPr>
        <w:t xml:space="preserve">, </w:t>
      </w:r>
    </w:p>
    <w:bookmarkEnd w:id="0"/>
    <w:p w14:paraId="238E7EC1" w14:textId="5D4AB3B8" w:rsidR="00AF0400" w:rsidRPr="00C6121B" w:rsidRDefault="00AF0400" w:rsidP="00EA4E1B">
      <w:pPr>
        <w:pStyle w:val="BDAbstract"/>
        <w:spacing w:before="0" w:after="0" w:line="240" w:lineRule="auto"/>
        <w:rPr>
          <w:rFonts w:ascii="Times New Roman" w:hAnsi="Times New Roman"/>
          <w:b w:val="0"/>
          <w:sz w:val="20"/>
          <w:lang w:val="en-GB"/>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630C1C8"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inespaciad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630C1C8"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inespaciado"/>
                      </w:pPr>
                    </w:p>
                  </w:txbxContent>
                </v:textbox>
                <w10:wrap anchorx="margin"/>
              </v:rect>
            </w:pict>
          </mc:Fallback>
        </mc:AlternateContent>
      </w:r>
    </w:p>
    <w:p w14:paraId="4A5DDA03" w14:textId="738EF898" w:rsidR="00AF0400" w:rsidRPr="00C6121B" w:rsidRDefault="00AF0400" w:rsidP="00EA4E1B">
      <w:pPr>
        <w:pStyle w:val="BDAbstract"/>
        <w:spacing w:before="0" w:after="0" w:line="240" w:lineRule="auto"/>
        <w:rPr>
          <w:rFonts w:ascii="Times New Roman" w:hAnsi="Times New Roman"/>
          <w:b w:val="0"/>
          <w:sz w:val="20"/>
          <w:lang w:val="en-GB"/>
        </w:rPr>
      </w:pPr>
    </w:p>
    <w:p w14:paraId="6AE90D67" w14:textId="3CBCF9FB"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7C5DA4" w:rsidRPr="007C5DA4">
        <w:rPr>
          <w:rFonts w:ascii="Times New Roman" w:hAnsi="Times New Roman"/>
          <w:b w:val="0"/>
          <w:sz w:val="20"/>
          <w:lang w:val="pt-BR"/>
        </w:rPr>
        <w:t>As emissões de dióxido de carbono (CO</w:t>
      </w:r>
      <w:r w:rsidR="007C5DA4" w:rsidRPr="007C5DA4">
        <w:rPr>
          <w:rFonts w:ascii="Times New Roman" w:hAnsi="Times New Roman"/>
          <w:b w:val="0"/>
          <w:sz w:val="20"/>
          <w:vertAlign w:val="subscript"/>
          <w:lang w:val="pt-BR"/>
        </w:rPr>
        <w:t>2</w:t>
      </w:r>
      <w:r w:rsidR="007C5DA4" w:rsidRPr="007C5DA4">
        <w:rPr>
          <w:rFonts w:ascii="Times New Roman" w:hAnsi="Times New Roman"/>
          <w:b w:val="0"/>
          <w:sz w:val="20"/>
          <w:lang w:val="pt-BR"/>
        </w:rPr>
        <w:t xml:space="preserve">) na atmosfera influenciam drasticamente a mudança climática global. </w:t>
      </w:r>
      <w:r w:rsidR="002E2CDB">
        <w:rPr>
          <w:rFonts w:ascii="Times New Roman" w:hAnsi="Times New Roman"/>
          <w:b w:val="0"/>
          <w:sz w:val="20"/>
          <w:lang w:val="pt-BR"/>
        </w:rPr>
        <w:t>Com o atual nível de</w:t>
      </w:r>
      <w:r w:rsidR="007C5DA4" w:rsidRPr="007C5DA4">
        <w:rPr>
          <w:rFonts w:ascii="Times New Roman" w:hAnsi="Times New Roman"/>
          <w:b w:val="0"/>
          <w:sz w:val="20"/>
          <w:lang w:val="pt-BR"/>
        </w:rPr>
        <w:t xml:space="preserve"> emiss</w:t>
      </w:r>
      <w:r w:rsidR="002E2CDB">
        <w:rPr>
          <w:rFonts w:ascii="Times New Roman" w:hAnsi="Times New Roman"/>
          <w:b w:val="0"/>
          <w:sz w:val="20"/>
          <w:lang w:val="pt-BR"/>
        </w:rPr>
        <w:t>ão</w:t>
      </w:r>
      <w:r w:rsidR="007C5DA4" w:rsidRPr="007C5DA4">
        <w:rPr>
          <w:rFonts w:ascii="Times New Roman" w:hAnsi="Times New Roman"/>
          <w:b w:val="0"/>
          <w:sz w:val="20"/>
          <w:lang w:val="pt-BR"/>
        </w:rPr>
        <w:t xml:space="preserve"> de CO</w:t>
      </w:r>
      <w:r w:rsidR="007C5DA4" w:rsidRPr="007C5DA4">
        <w:rPr>
          <w:rFonts w:ascii="Times New Roman" w:hAnsi="Times New Roman"/>
          <w:b w:val="0"/>
          <w:sz w:val="20"/>
          <w:vertAlign w:val="subscript"/>
          <w:lang w:val="pt-BR"/>
        </w:rPr>
        <w:t>2</w:t>
      </w:r>
      <w:r w:rsidR="002E2CDB">
        <w:rPr>
          <w:rFonts w:ascii="Times New Roman" w:hAnsi="Times New Roman"/>
          <w:b w:val="0"/>
          <w:sz w:val="20"/>
          <w:lang w:val="pt-BR"/>
        </w:rPr>
        <w:t xml:space="preserve">, </w:t>
      </w:r>
      <w:r w:rsidR="007C5DA4" w:rsidRPr="007C5DA4">
        <w:rPr>
          <w:rFonts w:ascii="Times New Roman" w:hAnsi="Times New Roman"/>
          <w:b w:val="0"/>
          <w:sz w:val="20"/>
          <w:lang w:val="pt-BR"/>
        </w:rPr>
        <w:t>o objetivo da Agenda 2030 da ONU para desenvolvimento sustentável</w:t>
      </w:r>
      <w:r w:rsidR="002E2CDB">
        <w:rPr>
          <w:rFonts w:ascii="Times New Roman" w:hAnsi="Times New Roman"/>
          <w:b w:val="0"/>
          <w:sz w:val="20"/>
          <w:lang w:val="pt-BR"/>
        </w:rPr>
        <w:t xml:space="preserve"> não será atingido</w:t>
      </w:r>
      <w:r w:rsidR="007C5DA4" w:rsidRPr="007C5DA4">
        <w:rPr>
          <w:rFonts w:ascii="Times New Roman" w:hAnsi="Times New Roman"/>
          <w:b w:val="0"/>
          <w:sz w:val="20"/>
          <w:lang w:val="pt-BR"/>
        </w:rPr>
        <w:t xml:space="preserve">. Assim, </w:t>
      </w:r>
      <w:r w:rsidR="002E2CDB">
        <w:rPr>
          <w:rFonts w:ascii="Times New Roman" w:hAnsi="Times New Roman"/>
          <w:b w:val="0"/>
          <w:sz w:val="20"/>
          <w:lang w:val="pt-BR"/>
        </w:rPr>
        <w:t xml:space="preserve">para evitar </w:t>
      </w:r>
      <w:r w:rsidR="007C5DA4" w:rsidRPr="007C5DA4">
        <w:rPr>
          <w:rFonts w:ascii="Times New Roman" w:hAnsi="Times New Roman"/>
          <w:b w:val="0"/>
          <w:sz w:val="20"/>
          <w:lang w:val="pt-BR"/>
        </w:rPr>
        <w:t xml:space="preserve">a </w:t>
      </w:r>
      <w:r w:rsidR="002E2CDB">
        <w:rPr>
          <w:rFonts w:ascii="Times New Roman" w:hAnsi="Times New Roman"/>
          <w:b w:val="0"/>
          <w:sz w:val="20"/>
          <w:lang w:val="pt-BR"/>
        </w:rPr>
        <w:t xml:space="preserve">iminente </w:t>
      </w:r>
      <w:r w:rsidR="007C5DA4" w:rsidRPr="007C5DA4">
        <w:rPr>
          <w:rFonts w:ascii="Times New Roman" w:hAnsi="Times New Roman"/>
          <w:b w:val="0"/>
          <w:sz w:val="20"/>
          <w:lang w:val="pt-BR"/>
        </w:rPr>
        <w:t xml:space="preserve">catástrofe climática </w:t>
      </w:r>
      <w:r w:rsidR="002E2CDB">
        <w:rPr>
          <w:rFonts w:ascii="Times New Roman" w:hAnsi="Times New Roman"/>
          <w:b w:val="0"/>
          <w:sz w:val="20"/>
          <w:lang w:val="pt-BR"/>
        </w:rPr>
        <w:t>é necessária</w:t>
      </w:r>
      <w:r w:rsidR="007C5DA4" w:rsidRPr="007C5DA4">
        <w:rPr>
          <w:rFonts w:ascii="Times New Roman" w:hAnsi="Times New Roman"/>
          <w:b w:val="0"/>
          <w:sz w:val="20"/>
          <w:lang w:val="pt-BR"/>
        </w:rPr>
        <w:t xml:space="preserve"> uma diminuição da poluição usando captura, armazenamento e utilização de CO</w:t>
      </w:r>
      <w:r w:rsidR="007C5DA4" w:rsidRPr="007C5DA4">
        <w:rPr>
          <w:rFonts w:ascii="Times New Roman" w:hAnsi="Times New Roman"/>
          <w:b w:val="0"/>
          <w:sz w:val="20"/>
          <w:vertAlign w:val="subscript"/>
          <w:lang w:val="pt-BR"/>
        </w:rPr>
        <w:t>2</w:t>
      </w:r>
      <w:r w:rsidR="007C5DA4" w:rsidRPr="007C5DA4">
        <w:rPr>
          <w:rFonts w:ascii="Times New Roman" w:hAnsi="Times New Roman"/>
          <w:b w:val="0"/>
          <w:sz w:val="20"/>
          <w:lang w:val="pt-BR"/>
        </w:rPr>
        <w:t xml:space="preserve"> (siglas em inglês “</w:t>
      </w:r>
      <w:r w:rsidR="007C5DA4" w:rsidRPr="006908F4">
        <w:rPr>
          <w:rFonts w:ascii="Times New Roman" w:hAnsi="Times New Roman"/>
          <w:b w:val="0"/>
          <w:i/>
          <w:iCs/>
          <w:sz w:val="20"/>
          <w:lang w:val="pt-BR"/>
        </w:rPr>
        <w:t>CCSU</w:t>
      </w:r>
      <w:r w:rsidR="007C5DA4" w:rsidRPr="007C5DA4">
        <w:rPr>
          <w:rFonts w:ascii="Times New Roman" w:hAnsi="Times New Roman"/>
          <w:b w:val="0"/>
          <w:sz w:val="20"/>
          <w:lang w:val="pt-BR"/>
        </w:rPr>
        <w:t xml:space="preserve">”). Resolver estas questões requer o desenvolvimento de materiais a uma velocidade sem precedentes. </w:t>
      </w:r>
      <w:r w:rsidR="002E2CDB">
        <w:rPr>
          <w:rFonts w:ascii="Times New Roman" w:hAnsi="Times New Roman"/>
          <w:b w:val="0"/>
          <w:sz w:val="20"/>
          <w:lang w:val="pt-BR"/>
        </w:rPr>
        <w:t>Nest</w:t>
      </w:r>
      <w:r w:rsidR="006908F4">
        <w:rPr>
          <w:rFonts w:ascii="Times New Roman" w:hAnsi="Times New Roman"/>
          <w:b w:val="0"/>
          <w:sz w:val="20"/>
          <w:lang w:val="pt-BR"/>
        </w:rPr>
        <w:t>e</w:t>
      </w:r>
      <w:r w:rsidR="002E2CDB">
        <w:rPr>
          <w:rFonts w:ascii="Times New Roman" w:hAnsi="Times New Roman"/>
          <w:b w:val="0"/>
          <w:sz w:val="20"/>
          <w:lang w:val="pt-BR"/>
        </w:rPr>
        <w:t xml:space="preserve"> </w:t>
      </w:r>
      <w:r w:rsidR="006908F4">
        <w:rPr>
          <w:rFonts w:ascii="Times New Roman" w:hAnsi="Times New Roman"/>
          <w:b w:val="0"/>
          <w:sz w:val="20"/>
          <w:lang w:val="pt-BR"/>
        </w:rPr>
        <w:t>trabalho</w:t>
      </w:r>
      <w:r w:rsidR="002E2CDB">
        <w:rPr>
          <w:rFonts w:ascii="Times New Roman" w:hAnsi="Times New Roman"/>
          <w:b w:val="0"/>
          <w:sz w:val="20"/>
          <w:lang w:val="pt-BR"/>
        </w:rPr>
        <w:t>, a</w:t>
      </w:r>
      <w:r w:rsidR="007C5DA4" w:rsidRPr="007C5DA4">
        <w:rPr>
          <w:rFonts w:ascii="Times New Roman" w:hAnsi="Times New Roman"/>
          <w:b w:val="0"/>
          <w:sz w:val="20"/>
          <w:lang w:val="pt-BR"/>
        </w:rPr>
        <w:t>bordaremos alguns dos resultados mais recente</w:t>
      </w:r>
      <w:r w:rsidR="002E2CDB">
        <w:rPr>
          <w:rFonts w:ascii="Times New Roman" w:hAnsi="Times New Roman"/>
          <w:b w:val="0"/>
          <w:sz w:val="20"/>
          <w:lang w:val="pt-BR"/>
        </w:rPr>
        <w:t>s</w:t>
      </w:r>
      <w:r w:rsidR="007C5DA4" w:rsidRPr="007C5DA4">
        <w:rPr>
          <w:rFonts w:ascii="Times New Roman" w:hAnsi="Times New Roman"/>
          <w:b w:val="0"/>
          <w:sz w:val="20"/>
          <w:lang w:val="pt-BR"/>
        </w:rPr>
        <w:t xml:space="preserve"> no design </w:t>
      </w:r>
      <w:r w:rsidR="007C5DA4" w:rsidRPr="007C5DA4">
        <w:rPr>
          <w:rFonts w:ascii="Times New Roman" w:hAnsi="Times New Roman"/>
          <w:b w:val="0"/>
          <w:i/>
          <w:iCs/>
          <w:sz w:val="20"/>
          <w:lang w:val="pt-BR"/>
        </w:rPr>
        <w:t xml:space="preserve">in </w:t>
      </w:r>
      <w:r w:rsidR="009C2497" w:rsidRPr="007C5DA4">
        <w:rPr>
          <w:rFonts w:ascii="Times New Roman" w:hAnsi="Times New Roman"/>
          <w:b w:val="0"/>
          <w:i/>
          <w:iCs/>
          <w:sz w:val="20"/>
          <w:lang w:val="pt-BR"/>
        </w:rPr>
        <w:t>sílico</w:t>
      </w:r>
      <w:r w:rsidR="007C5DA4" w:rsidRPr="007C5DA4">
        <w:rPr>
          <w:rFonts w:ascii="Times New Roman" w:hAnsi="Times New Roman"/>
          <w:b w:val="0"/>
          <w:sz w:val="20"/>
          <w:lang w:val="pt-BR"/>
        </w:rPr>
        <w:t xml:space="preserve"> de </w:t>
      </w:r>
      <w:r w:rsidR="000720B1" w:rsidRPr="000720B1">
        <w:rPr>
          <w:rFonts w:ascii="Times New Roman" w:hAnsi="Times New Roman"/>
          <w:b w:val="0"/>
          <w:sz w:val="20"/>
          <w:lang w:val="pt-BR"/>
        </w:rPr>
        <w:t>novos materiais adsorventes</w:t>
      </w:r>
      <w:r w:rsidR="007C5DA4" w:rsidRPr="007C5DA4">
        <w:rPr>
          <w:rFonts w:ascii="Times New Roman" w:hAnsi="Times New Roman"/>
          <w:b w:val="0"/>
          <w:sz w:val="20"/>
          <w:lang w:val="pt-BR"/>
        </w:rPr>
        <w:t xml:space="preserve"> para </w:t>
      </w:r>
      <w:r w:rsidR="007C5DA4" w:rsidRPr="000720B1">
        <w:rPr>
          <w:rFonts w:ascii="Times New Roman" w:hAnsi="Times New Roman"/>
          <w:b w:val="0"/>
          <w:i/>
          <w:iCs/>
          <w:sz w:val="20"/>
          <w:lang w:val="pt-BR"/>
        </w:rPr>
        <w:t>CCSU</w:t>
      </w:r>
      <w:r w:rsidR="007C5DA4" w:rsidRPr="007C5DA4">
        <w:rPr>
          <w:rFonts w:ascii="Times New Roman" w:hAnsi="Times New Roman"/>
          <w:b w:val="0"/>
          <w:sz w:val="20"/>
          <w:lang w:val="pt-BR"/>
        </w:rPr>
        <w:t>. Demonstramos através de cálculos híbridos ONIOM</w:t>
      </w:r>
      <w:r w:rsidR="009C2497">
        <w:rPr>
          <w:rFonts w:ascii="Times New Roman" w:hAnsi="Times New Roman"/>
          <w:b w:val="0"/>
          <w:sz w:val="20"/>
          <w:lang w:val="pt-BR"/>
        </w:rPr>
        <w:t>-DFT</w:t>
      </w:r>
      <w:r w:rsidR="007C5DA4" w:rsidRPr="007C5DA4">
        <w:rPr>
          <w:rFonts w:ascii="Times New Roman" w:hAnsi="Times New Roman"/>
          <w:b w:val="0"/>
          <w:sz w:val="20"/>
          <w:lang w:val="pt-BR"/>
        </w:rPr>
        <w:t xml:space="preserve"> a melhor </w:t>
      </w:r>
      <w:r w:rsidR="007C5DA4" w:rsidRPr="009C2497">
        <w:rPr>
          <w:rFonts w:ascii="Times New Roman" w:hAnsi="Times New Roman"/>
          <w:b w:val="0"/>
          <w:i/>
          <w:iCs/>
          <w:sz w:val="20"/>
          <w:lang w:val="pt-BR"/>
        </w:rPr>
        <w:t>via</w:t>
      </w:r>
      <w:r w:rsidR="007C5DA4" w:rsidRPr="007C5DA4">
        <w:rPr>
          <w:rFonts w:ascii="Times New Roman" w:hAnsi="Times New Roman"/>
          <w:b w:val="0"/>
          <w:sz w:val="20"/>
          <w:lang w:val="pt-BR"/>
        </w:rPr>
        <w:t xml:space="preserve"> para sintetizar novos materiais com aplicações tecnológicas </w:t>
      </w:r>
      <w:r w:rsidR="009C2497" w:rsidRPr="007C5DA4">
        <w:rPr>
          <w:rFonts w:ascii="Times New Roman" w:hAnsi="Times New Roman"/>
          <w:b w:val="0"/>
          <w:sz w:val="20"/>
          <w:lang w:val="pt-BR"/>
        </w:rPr>
        <w:t>sustentáveis</w:t>
      </w:r>
      <w:r w:rsidR="007C5DA4" w:rsidRPr="007C5DA4">
        <w:rPr>
          <w:rFonts w:ascii="Times New Roman" w:hAnsi="Times New Roman"/>
          <w:b w:val="0"/>
          <w:sz w:val="20"/>
          <w:lang w:val="pt-BR"/>
        </w:rPr>
        <w:t xml:space="preserve">. </w:t>
      </w:r>
      <w:r w:rsidR="002E2CDB">
        <w:rPr>
          <w:rFonts w:ascii="Times New Roman" w:hAnsi="Times New Roman"/>
          <w:b w:val="0"/>
          <w:sz w:val="20"/>
          <w:lang w:val="pt-BR"/>
        </w:rPr>
        <w:t xml:space="preserve">Em particular, </w:t>
      </w:r>
      <w:r w:rsidR="007C5DA4" w:rsidRPr="007C5DA4">
        <w:rPr>
          <w:rFonts w:ascii="Times New Roman" w:hAnsi="Times New Roman"/>
          <w:b w:val="0"/>
          <w:sz w:val="20"/>
          <w:lang w:val="pt-BR"/>
        </w:rPr>
        <w:t>focar</w:t>
      </w:r>
      <w:r w:rsidR="002E2CDB">
        <w:rPr>
          <w:rFonts w:ascii="Times New Roman" w:hAnsi="Times New Roman"/>
          <w:b w:val="0"/>
          <w:sz w:val="20"/>
          <w:lang w:val="pt-BR"/>
        </w:rPr>
        <w:t>emo</w:t>
      </w:r>
      <w:r w:rsidR="007C5DA4" w:rsidRPr="007C5DA4">
        <w:rPr>
          <w:rFonts w:ascii="Times New Roman" w:hAnsi="Times New Roman"/>
          <w:b w:val="0"/>
          <w:sz w:val="20"/>
          <w:lang w:val="pt-BR"/>
        </w:rPr>
        <w:t>s no mecanismo de formação de novos compósitos ([M]-MOR), combinando Na-MOR com alguns líquidos iônicos ([M]Cl): 1-(3-amino-etil)-3-metil-3</w:t>
      </w:r>
      <w:r w:rsidR="007C5DA4" w:rsidRPr="006908F4">
        <w:rPr>
          <w:rFonts w:ascii="Times New Roman" w:hAnsi="Times New Roman"/>
          <w:b w:val="0"/>
          <w:i/>
          <w:iCs/>
          <w:sz w:val="20"/>
          <w:lang w:val="pt-BR"/>
        </w:rPr>
        <w:t>H</w:t>
      </w:r>
      <w:r w:rsidR="007C5DA4" w:rsidRPr="007C5DA4">
        <w:rPr>
          <w:rFonts w:ascii="Times New Roman" w:hAnsi="Times New Roman"/>
          <w:b w:val="0"/>
          <w:sz w:val="20"/>
          <w:lang w:val="pt-BR"/>
        </w:rPr>
        <w:t>-imidazolium cloreto [2-AEMIm]Cl, 1-(3-amino-propil)-3-metil-3</w:t>
      </w:r>
      <w:r w:rsidR="007C5DA4" w:rsidRPr="009C2497">
        <w:rPr>
          <w:rFonts w:ascii="Times New Roman" w:hAnsi="Times New Roman"/>
          <w:b w:val="0"/>
          <w:i/>
          <w:iCs/>
          <w:sz w:val="20"/>
          <w:lang w:val="pt-BR"/>
        </w:rPr>
        <w:t>H</w:t>
      </w:r>
      <w:r w:rsidR="007C5DA4" w:rsidRPr="007C5DA4">
        <w:rPr>
          <w:rFonts w:ascii="Times New Roman" w:hAnsi="Times New Roman"/>
          <w:b w:val="0"/>
          <w:sz w:val="20"/>
          <w:lang w:val="pt-BR"/>
        </w:rPr>
        <w:t xml:space="preserve">-imidazolium cloreto [3-APMIm]Cl, </w:t>
      </w:r>
      <w:r w:rsidR="007C5DA4" w:rsidRPr="009C2497">
        <w:rPr>
          <w:rFonts w:ascii="Times New Roman" w:hAnsi="Times New Roman"/>
          <w:b w:val="0"/>
          <w:i/>
          <w:iCs/>
          <w:sz w:val="20"/>
          <w:lang w:val="pt-BR"/>
        </w:rPr>
        <w:t>R</w:t>
      </w:r>
      <w:r w:rsidR="007C5DA4" w:rsidRPr="007C5DA4">
        <w:rPr>
          <w:rFonts w:ascii="Times New Roman" w:hAnsi="Times New Roman"/>
          <w:b w:val="0"/>
          <w:sz w:val="20"/>
          <w:lang w:val="pt-BR"/>
        </w:rPr>
        <w:t>-1-(2-amino-propil)-3-metil-3</w:t>
      </w:r>
      <w:r w:rsidR="007C5DA4" w:rsidRPr="009C2497">
        <w:rPr>
          <w:rFonts w:ascii="Times New Roman" w:hAnsi="Times New Roman"/>
          <w:b w:val="0"/>
          <w:i/>
          <w:iCs/>
          <w:sz w:val="20"/>
          <w:lang w:val="pt-BR"/>
        </w:rPr>
        <w:t>H</w:t>
      </w:r>
      <w:r w:rsidR="007C5DA4" w:rsidRPr="007C5DA4">
        <w:rPr>
          <w:rFonts w:ascii="Times New Roman" w:hAnsi="Times New Roman"/>
          <w:b w:val="0"/>
          <w:sz w:val="20"/>
          <w:lang w:val="pt-BR"/>
        </w:rPr>
        <w:t>-imidazolium cloreto [</w:t>
      </w:r>
      <w:r w:rsidR="007C5DA4" w:rsidRPr="009C2497">
        <w:rPr>
          <w:rFonts w:ascii="Times New Roman" w:hAnsi="Times New Roman"/>
          <w:b w:val="0"/>
          <w:i/>
          <w:iCs/>
          <w:sz w:val="20"/>
          <w:lang w:val="pt-BR"/>
        </w:rPr>
        <w:t>R</w:t>
      </w:r>
      <w:r w:rsidR="007C5DA4" w:rsidRPr="007C5DA4">
        <w:rPr>
          <w:rFonts w:ascii="Times New Roman" w:hAnsi="Times New Roman"/>
          <w:b w:val="0"/>
          <w:sz w:val="20"/>
          <w:lang w:val="pt-BR"/>
        </w:rPr>
        <w:t xml:space="preserve">-2-APMIm]Cl e </w:t>
      </w:r>
      <w:r w:rsidR="007C5DA4" w:rsidRPr="007C5DA4">
        <w:rPr>
          <w:rFonts w:ascii="Times New Roman" w:hAnsi="Times New Roman"/>
          <w:b w:val="0"/>
          <w:i/>
          <w:iCs/>
          <w:sz w:val="20"/>
          <w:lang w:val="pt-BR"/>
        </w:rPr>
        <w:t>S</w:t>
      </w:r>
      <w:r w:rsidR="007C5DA4" w:rsidRPr="007C5DA4">
        <w:rPr>
          <w:rFonts w:ascii="Times New Roman" w:hAnsi="Times New Roman"/>
          <w:b w:val="0"/>
          <w:sz w:val="20"/>
          <w:lang w:val="pt-BR"/>
        </w:rPr>
        <w:t>-1-(2-amino-propil)-3-metil-3</w:t>
      </w:r>
      <w:r w:rsidR="007C5DA4" w:rsidRPr="009C2497">
        <w:rPr>
          <w:rFonts w:ascii="Times New Roman" w:hAnsi="Times New Roman"/>
          <w:b w:val="0"/>
          <w:i/>
          <w:iCs/>
          <w:sz w:val="20"/>
          <w:lang w:val="pt-BR"/>
        </w:rPr>
        <w:t>H</w:t>
      </w:r>
      <w:r w:rsidR="007C5DA4" w:rsidRPr="007C5DA4">
        <w:rPr>
          <w:rFonts w:ascii="Times New Roman" w:hAnsi="Times New Roman"/>
          <w:b w:val="0"/>
          <w:sz w:val="20"/>
          <w:lang w:val="pt-BR"/>
        </w:rPr>
        <w:t>-imidazolium cloreto [</w:t>
      </w:r>
      <w:r w:rsidR="007C5DA4" w:rsidRPr="007C5DA4">
        <w:rPr>
          <w:rFonts w:ascii="Times New Roman" w:hAnsi="Times New Roman"/>
          <w:b w:val="0"/>
          <w:i/>
          <w:iCs/>
          <w:sz w:val="20"/>
          <w:lang w:val="pt-BR"/>
        </w:rPr>
        <w:t>S</w:t>
      </w:r>
      <w:r w:rsidR="007C5DA4" w:rsidRPr="007C5DA4">
        <w:rPr>
          <w:rFonts w:ascii="Times New Roman" w:hAnsi="Times New Roman"/>
          <w:b w:val="0"/>
          <w:sz w:val="20"/>
          <w:lang w:val="pt-BR"/>
        </w:rPr>
        <w:t xml:space="preserve">-2-APMIm]Cl. </w:t>
      </w:r>
      <w:r w:rsidR="002E2CDB">
        <w:rPr>
          <w:rFonts w:ascii="Times New Roman" w:hAnsi="Times New Roman"/>
          <w:b w:val="0"/>
          <w:sz w:val="20"/>
          <w:lang w:val="pt-BR"/>
        </w:rPr>
        <w:t>Nossos resultados mostram que o</w:t>
      </w:r>
      <w:r w:rsidR="007C5DA4" w:rsidRPr="007C5DA4">
        <w:rPr>
          <w:rFonts w:ascii="Times New Roman" w:hAnsi="Times New Roman"/>
          <w:b w:val="0"/>
          <w:sz w:val="20"/>
          <w:lang w:val="pt-BR"/>
        </w:rPr>
        <w:t xml:space="preserve"> [2-</w:t>
      </w:r>
      <w:proofErr w:type="gramStart"/>
      <w:r w:rsidR="007C5DA4" w:rsidRPr="007C5DA4">
        <w:rPr>
          <w:rFonts w:ascii="Times New Roman" w:hAnsi="Times New Roman"/>
          <w:b w:val="0"/>
          <w:sz w:val="20"/>
          <w:lang w:val="pt-BR"/>
        </w:rPr>
        <w:t>AEMIm]-</w:t>
      </w:r>
      <w:proofErr w:type="gramEnd"/>
      <w:r w:rsidR="007C5DA4" w:rsidRPr="007C5DA4">
        <w:rPr>
          <w:rFonts w:ascii="Times New Roman" w:hAnsi="Times New Roman"/>
          <w:b w:val="0"/>
          <w:sz w:val="20"/>
          <w:lang w:val="pt-BR"/>
        </w:rPr>
        <w:t>MOR apresent</w:t>
      </w:r>
      <w:r w:rsidR="002E2CDB">
        <w:rPr>
          <w:rFonts w:ascii="Times New Roman" w:hAnsi="Times New Roman"/>
          <w:b w:val="0"/>
          <w:sz w:val="20"/>
          <w:lang w:val="pt-BR"/>
        </w:rPr>
        <w:t>a</w:t>
      </w:r>
      <w:r w:rsidR="007C5DA4" w:rsidRPr="007C5DA4">
        <w:rPr>
          <w:rFonts w:ascii="Times New Roman" w:hAnsi="Times New Roman"/>
          <w:b w:val="0"/>
          <w:sz w:val="20"/>
          <w:lang w:val="pt-BR"/>
        </w:rPr>
        <w:t xml:space="preserve"> condições eletrônicas e </w:t>
      </w:r>
      <w:proofErr w:type="spellStart"/>
      <w:r w:rsidR="007C5DA4" w:rsidRPr="007C5DA4">
        <w:rPr>
          <w:rFonts w:ascii="Times New Roman" w:hAnsi="Times New Roman"/>
          <w:b w:val="0"/>
          <w:sz w:val="20"/>
          <w:lang w:val="pt-BR"/>
        </w:rPr>
        <w:t>estéricas</w:t>
      </w:r>
      <w:proofErr w:type="spellEnd"/>
      <w:r w:rsidR="007C5DA4" w:rsidRPr="007C5DA4">
        <w:rPr>
          <w:rFonts w:ascii="Times New Roman" w:hAnsi="Times New Roman"/>
          <w:b w:val="0"/>
          <w:sz w:val="20"/>
          <w:lang w:val="pt-BR"/>
        </w:rPr>
        <w:t xml:space="preserve"> para aplicações </w:t>
      </w:r>
      <w:r w:rsidR="007C5DA4" w:rsidRPr="000720B1">
        <w:rPr>
          <w:rFonts w:ascii="Times New Roman" w:hAnsi="Times New Roman"/>
          <w:b w:val="0"/>
          <w:i/>
          <w:iCs/>
          <w:sz w:val="20"/>
          <w:lang w:val="pt-BR"/>
        </w:rPr>
        <w:t>CCSU</w:t>
      </w:r>
      <w:r w:rsidR="007C5DA4" w:rsidRPr="007C5DA4">
        <w:rPr>
          <w:rFonts w:ascii="Times New Roman" w:hAnsi="Times New Roman"/>
          <w:b w:val="0"/>
          <w:sz w:val="20"/>
          <w:lang w:val="pt-BR"/>
        </w:rPr>
        <w:t>.</w:t>
      </w:r>
    </w:p>
    <w:p w14:paraId="09B41B70" w14:textId="6AF1752F"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7C5DA4" w:rsidRPr="007C5DA4">
        <w:rPr>
          <w:rFonts w:ascii="Times New Roman" w:hAnsi="Times New Roman"/>
          <w:b w:val="0"/>
          <w:i/>
          <w:sz w:val="20"/>
          <w:lang w:val="pt-BR"/>
        </w:rPr>
        <w:t>ONIOM,</w:t>
      </w:r>
      <w:r w:rsidR="007C5DA4">
        <w:rPr>
          <w:rFonts w:ascii="Times New Roman" w:hAnsi="Times New Roman"/>
          <w:b w:val="0"/>
          <w:i/>
          <w:sz w:val="20"/>
          <w:lang w:val="pt-BR"/>
        </w:rPr>
        <w:t xml:space="preserve"> </w:t>
      </w:r>
      <w:r w:rsidR="007C5DA4" w:rsidRPr="007C5DA4">
        <w:rPr>
          <w:rFonts w:ascii="Times New Roman" w:hAnsi="Times New Roman"/>
          <w:b w:val="0"/>
          <w:i/>
          <w:sz w:val="20"/>
          <w:lang w:val="pt-BR"/>
        </w:rPr>
        <w:t>DFT, CO</w:t>
      </w:r>
      <w:r w:rsidR="007C5DA4" w:rsidRPr="007C5DA4">
        <w:rPr>
          <w:rFonts w:ascii="Times New Roman" w:hAnsi="Times New Roman"/>
          <w:b w:val="0"/>
          <w:i/>
          <w:sz w:val="20"/>
          <w:vertAlign w:val="subscript"/>
          <w:lang w:val="pt-BR"/>
        </w:rPr>
        <w:t>2</w:t>
      </w:r>
      <w:r w:rsidR="007C5DA4" w:rsidRPr="007C5DA4">
        <w:rPr>
          <w:rFonts w:ascii="Times New Roman" w:hAnsi="Times New Roman"/>
          <w:b w:val="0"/>
          <w:i/>
          <w:sz w:val="20"/>
          <w:lang w:val="pt-BR"/>
        </w:rPr>
        <w:t xml:space="preserve">, </w:t>
      </w:r>
      <w:proofErr w:type="spellStart"/>
      <w:r w:rsidR="007C5DA4" w:rsidRPr="007C5DA4">
        <w:rPr>
          <w:rFonts w:ascii="Times New Roman" w:hAnsi="Times New Roman"/>
          <w:b w:val="0"/>
          <w:i/>
          <w:sz w:val="20"/>
          <w:lang w:val="pt-BR"/>
        </w:rPr>
        <w:t>mordenita</w:t>
      </w:r>
      <w:proofErr w:type="spellEnd"/>
      <w:r w:rsidR="007C5DA4" w:rsidRPr="007C5DA4">
        <w:rPr>
          <w:rFonts w:ascii="Times New Roman" w:hAnsi="Times New Roman"/>
          <w:b w:val="0"/>
          <w:i/>
          <w:sz w:val="20"/>
          <w:lang w:val="pt-BR"/>
        </w:rPr>
        <w:t xml:space="preserve">, </w:t>
      </w:r>
      <w:r w:rsidR="006908F4">
        <w:rPr>
          <w:rFonts w:ascii="Times New Roman" w:hAnsi="Times New Roman"/>
          <w:b w:val="0"/>
          <w:i/>
          <w:sz w:val="20"/>
          <w:lang w:val="pt-BR"/>
        </w:rPr>
        <w:t>l</w:t>
      </w:r>
      <w:r w:rsidR="007C5DA4" w:rsidRPr="007C5DA4">
        <w:rPr>
          <w:rFonts w:ascii="Times New Roman" w:hAnsi="Times New Roman"/>
          <w:b w:val="0"/>
          <w:i/>
          <w:sz w:val="20"/>
          <w:lang w:val="pt-BR"/>
        </w:rPr>
        <w:t xml:space="preserve">íquido </w:t>
      </w:r>
      <w:r w:rsidR="006908F4">
        <w:rPr>
          <w:rFonts w:ascii="Times New Roman" w:hAnsi="Times New Roman"/>
          <w:b w:val="0"/>
          <w:i/>
          <w:sz w:val="20"/>
          <w:lang w:val="pt-BR"/>
        </w:rPr>
        <w:t>i</w:t>
      </w:r>
      <w:r w:rsidR="007C5DA4" w:rsidRPr="007C5DA4">
        <w:rPr>
          <w:rFonts w:ascii="Times New Roman" w:hAnsi="Times New Roman"/>
          <w:b w:val="0"/>
          <w:i/>
          <w:sz w:val="20"/>
          <w:lang w:val="pt-BR"/>
        </w:rPr>
        <w:t>ônico</w:t>
      </w:r>
      <w:r w:rsidR="007C5DA4">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49AA323D" w:rsidR="00EA4E1B" w:rsidRPr="003D0790" w:rsidRDefault="00EA4E1B" w:rsidP="00EA4E1B">
      <w:pPr>
        <w:pStyle w:val="BDAbstract"/>
        <w:spacing w:before="0" w:after="0" w:line="240" w:lineRule="auto"/>
        <w:rPr>
          <w:rFonts w:ascii="Times New Roman" w:hAnsi="Times New Roman"/>
          <w:b w:val="0"/>
          <w:sz w:val="20"/>
          <w:lang w:val="en-GB"/>
        </w:rPr>
      </w:pPr>
      <w:r w:rsidRPr="003D0790">
        <w:rPr>
          <w:rFonts w:ascii="Times New Roman" w:hAnsi="Times New Roman"/>
          <w:b w:val="0"/>
          <w:sz w:val="20"/>
          <w:lang w:val="en-GB"/>
        </w:rPr>
        <w:t xml:space="preserve">ABSTRACT - </w:t>
      </w:r>
      <w:r w:rsidR="003D0790" w:rsidRPr="003D0790">
        <w:rPr>
          <w:rFonts w:ascii="Times New Roman" w:hAnsi="Times New Roman"/>
          <w:b w:val="0"/>
          <w:sz w:val="20"/>
          <w:lang w:val="en-GB"/>
        </w:rPr>
        <w:t>The human carbon dioxide (CO</w:t>
      </w:r>
      <w:r w:rsidR="003D0790" w:rsidRPr="006766CE">
        <w:rPr>
          <w:rFonts w:ascii="Times New Roman" w:hAnsi="Times New Roman"/>
          <w:b w:val="0"/>
          <w:sz w:val="20"/>
          <w:vertAlign w:val="subscript"/>
          <w:lang w:val="en-GB"/>
        </w:rPr>
        <w:t>2</w:t>
      </w:r>
      <w:r w:rsidR="003D0790" w:rsidRPr="003D0790">
        <w:rPr>
          <w:rFonts w:ascii="Times New Roman" w:hAnsi="Times New Roman"/>
          <w:b w:val="0"/>
          <w:sz w:val="20"/>
          <w:lang w:val="en-GB"/>
        </w:rPr>
        <w:t xml:space="preserve">) emissions </w:t>
      </w:r>
      <w:r w:rsidR="00CB256E">
        <w:rPr>
          <w:rFonts w:ascii="Times New Roman" w:hAnsi="Times New Roman"/>
          <w:b w:val="0"/>
          <w:sz w:val="20"/>
          <w:lang w:val="en-GB"/>
        </w:rPr>
        <w:t>in</w:t>
      </w:r>
      <w:r w:rsidR="003D0790" w:rsidRPr="003D0790">
        <w:rPr>
          <w:rFonts w:ascii="Times New Roman" w:hAnsi="Times New Roman"/>
          <w:b w:val="0"/>
          <w:sz w:val="20"/>
          <w:lang w:val="en-GB"/>
        </w:rPr>
        <w:t xml:space="preserve"> the atmosphere dramatically influence</w:t>
      </w:r>
      <w:r w:rsidR="002E2CDB">
        <w:rPr>
          <w:rFonts w:ascii="Times New Roman" w:hAnsi="Times New Roman"/>
          <w:b w:val="0"/>
          <w:sz w:val="20"/>
          <w:lang w:val="en-GB"/>
        </w:rPr>
        <w:t xml:space="preserve"> </w:t>
      </w:r>
      <w:r w:rsidR="003D0790" w:rsidRPr="003D0790">
        <w:rPr>
          <w:rFonts w:ascii="Times New Roman" w:hAnsi="Times New Roman"/>
          <w:b w:val="0"/>
          <w:sz w:val="20"/>
          <w:lang w:val="en-GB"/>
        </w:rPr>
        <w:t>global climate change. Maintaining the actual reduction in greenhouse gas emissions must not achieve the United Nations Sustainable Development Goals by 2030. Accordingly, an imminent climate catastrophe calls for a pollution decrease</w:t>
      </w:r>
      <w:r w:rsidR="003D0790" w:rsidRPr="006766CE">
        <w:rPr>
          <w:rFonts w:ascii="Times New Roman" w:hAnsi="Times New Roman"/>
          <w:b w:val="0"/>
          <w:i/>
          <w:iCs/>
          <w:sz w:val="20"/>
          <w:lang w:val="en-GB"/>
        </w:rPr>
        <w:t>, e.g.</w:t>
      </w:r>
      <w:r w:rsidR="003D0790" w:rsidRPr="003D0790">
        <w:rPr>
          <w:rFonts w:ascii="Times New Roman" w:hAnsi="Times New Roman"/>
          <w:b w:val="0"/>
          <w:sz w:val="20"/>
          <w:lang w:val="en-GB"/>
        </w:rPr>
        <w:t>, using technologies based on CO</w:t>
      </w:r>
      <w:r w:rsidR="003D0790" w:rsidRPr="006766CE">
        <w:rPr>
          <w:rFonts w:ascii="Times New Roman" w:hAnsi="Times New Roman"/>
          <w:b w:val="0"/>
          <w:sz w:val="20"/>
          <w:vertAlign w:val="subscript"/>
          <w:lang w:val="en-GB"/>
        </w:rPr>
        <w:t>2</w:t>
      </w:r>
      <w:r w:rsidR="003D0790" w:rsidRPr="003D0790">
        <w:rPr>
          <w:rFonts w:ascii="Times New Roman" w:hAnsi="Times New Roman"/>
          <w:b w:val="0"/>
          <w:sz w:val="20"/>
          <w:lang w:val="en-GB"/>
        </w:rPr>
        <w:t xml:space="preserve"> capture, storage (CCS) or CO</w:t>
      </w:r>
      <w:r w:rsidR="003D0790" w:rsidRPr="003D0790">
        <w:rPr>
          <w:rFonts w:ascii="Times New Roman" w:hAnsi="Times New Roman"/>
          <w:b w:val="0"/>
          <w:sz w:val="20"/>
          <w:vertAlign w:val="subscript"/>
          <w:lang w:val="en-GB"/>
        </w:rPr>
        <w:t>2</w:t>
      </w:r>
      <w:r w:rsidR="003D0790" w:rsidRPr="003D0790">
        <w:rPr>
          <w:rFonts w:ascii="Times New Roman" w:hAnsi="Times New Roman"/>
          <w:b w:val="0"/>
          <w:sz w:val="20"/>
          <w:lang w:val="en-GB"/>
        </w:rPr>
        <w:t xml:space="preserve"> capture, storage</w:t>
      </w:r>
      <w:r w:rsidR="000720B1">
        <w:rPr>
          <w:rFonts w:ascii="Times New Roman" w:hAnsi="Times New Roman"/>
          <w:b w:val="0"/>
          <w:sz w:val="20"/>
          <w:lang w:val="en-GB"/>
        </w:rPr>
        <w:t>,</w:t>
      </w:r>
      <w:r w:rsidR="003D0790" w:rsidRPr="003D0790">
        <w:rPr>
          <w:rFonts w:ascii="Times New Roman" w:hAnsi="Times New Roman"/>
          <w:b w:val="0"/>
          <w:sz w:val="20"/>
          <w:lang w:val="en-GB"/>
        </w:rPr>
        <w:t xml:space="preserve"> and utilization (CCSU). Solving these issues requires the development of new </w:t>
      </w:r>
      <w:r w:rsidR="000720B1" w:rsidRPr="000720B1">
        <w:rPr>
          <w:rFonts w:ascii="Times New Roman" w:hAnsi="Times New Roman"/>
          <w:b w:val="0"/>
          <w:sz w:val="20"/>
          <w:lang w:val="en-GB"/>
        </w:rPr>
        <w:t>adsorbent</w:t>
      </w:r>
      <w:r w:rsidR="000720B1">
        <w:rPr>
          <w:rFonts w:ascii="Times New Roman" w:hAnsi="Times New Roman"/>
          <w:b w:val="0"/>
          <w:sz w:val="20"/>
          <w:lang w:val="en-GB"/>
        </w:rPr>
        <w:t xml:space="preserve"> </w:t>
      </w:r>
      <w:r w:rsidR="003D0790" w:rsidRPr="003D0790">
        <w:rPr>
          <w:rFonts w:ascii="Times New Roman" w:hAnsi="Times New Roman"/>
          <w:b w:val="0"/>
          <w:sz w:val="20"/>
          <w:lang w:val="en-GB"/>
        </w:rPr>
        <w:t xml:space="preserve">materials at an unprecedented step. </w:t>
      </w:r>
      <w:r w:rsidR="006766CE">
        <w:rPr>
          <w:rFonts w:ascii="Times New Roman" w:hAnsi="Times New Roman"/>
          <w:b w:val="0"/>
          <w:sz w:val="20"/>
          <w:lang w:val="en-GB"/>
        </w:rPr>
        <w:t>Here</w:t>
      </w:r>
      <w:r w:rsidR="003D0790" w:rsidRPr="003D0790">
        <w:rPr>
          <w:rFonts w:ascii="Times New Roman" w:hAnsi="Times New Roman"/>
          <w:b w:val="0"/>
          <w:sz w:val="20"/>
          <w:lang w:val="en-GB"/>
        </w:rPr>
        <w:t xml:space="preserve">, we demonstrated </w:t>
      </w:r>
      <w:r w:rsidR="006766CE">
        <w:rPr>
          <w:rFonts w:ascii="Times New Roman" w:hAnsi="Times New Roman"/>
          <w:b w:val="0"/>
          <w:sz w:val="20"/>
          <w:lang w:val="en-GB"/>
        </w:rPr>
        <w:t>using</w:t>
      </w:r>
      <w:r w:rsidR="003D0790" w:rsidRPr="003D0790">
        <w:rPr>
          <w:rFonts w:ascii="Times New Roman" w:hAnsi="Times New Roman"/>
          <w:b w:val="0"/>
          <w:sz w:val="20"/>
          <w:lang w:val="en-GB"/>
        </w:rPr>
        <w:t xml:space="preserve"> ONIOM-DFT hybrid calculations the best way to synthesize new materials with environmentally friendly technological applications. </w:t>
      </w:r>
      <w:r w:rsidR="006766CE">
        <w:rPr>
          <w:rFonts w:ascii="Times New Roman" w:hAnsi="Times New Roman"/>
          <w:b w:val="0"/>
          <w:sz w:val="20"/>
          <w:lang w:val="en-GB"/>
        </w:rPr>
        <w:t>W</w:t>
      </w:r>
      <w:r w:rsidR="003D0790" w:rsidRPr="003D0790">
        <w:rPr>
          <w:rFonts w:ascii="Times New Roman" w:hAnsi="Times New Roman"/>
          <w:b w:val="0"/>
          <w:sz w:val="20"/>
          <w:lang w:val="en-GB"/>
        </w:rPr>
        <w:t>e focused on the formation mechanism of novel composites (</w:t>
      </w:r>
      <w:r w:rsidR="003D0790" w:rsidRPr="003D0790">
        <w:rPr>
          <w:rFonts w:ascii="Times New Roman" w:hAnsi="Times New Roman"/>
          <w:b w:val="0"/>
          <w:i/>
          <w:iCs/>
          <w:sz w:val="20"/>
          <w:lang w:val="en-GB"/>
        </w:rPr>
        <w:t>i.e.</w:t>
      </w:r>
      <w:r w:rsidR="003D0790" w:rsidRPr="003D0790">
        <w:rPr>
          <w:rFonts w:ascii="Times New Roman" w:hAnsi="Times New Roman"/>
          <w:b w:val="0"/>
          <w:sz w:val="20"/>
          <w:lang w:val="en-GB"/>
        </w:rPr>
        <w:t xml:space="preserve">, [M]-MOR) combining </w:t>
      </w:r>
      <w:r w:rsidR="003D0790">
        <w:rPr>
          <w:rFonts w:ascii="Times New Roman" w:hAnsi="Times New Roman"/>
          <w:b w:val="0"/>
          <w:sz w:val="20"/>
          <w:lang w:val="en-GB"/>
        </w:rPr>
        <w:t>Na-MOR</w:t>
      </w:r>
      <w:r w:rsidR="003D0790" w:rsidRPr="003D0790">
        <w:rPr>
          <w:rFonts w:ascii="Times New Roman" w:hAnsi="Times New Roman"/>
          <w:b w:val="0"/>
          <w:sz w:val="20"/>
          <w:lang w:val="en-GB"/>
        </w:rPr>
        <w:t xml:space="preserve"> with various ionic liquids (</w:t>
      </w:r>
      <w:r w:rsidR="003D0790" w:rsidRPr="006766CE">
        <w:rPr>
          <w:rFonts w:ascii="Times New Roman" w:hAnsi="Times New Roman"/>
          <w:b w:val="0"/>
          <w:i/>
          <w:iCs/>
          <w:sz w:val="20"/>
          <w:lang w:val="en-GB"/>
        </w:rPr>
        <w:t>i.e.</w:t>
      </w:r>
      <w:r w:rsidR="003D0790" w:rsidRPr="003D0790">
        <w:rPr>
          <w:rFonts w:ascii="Times New Roman" w:hAnsi="Times New Roman"/>
          <w:b w:val="0"/>
          <w:sz w:val="20"/>
          <w:lang w:val="en-GB"/>
        </w:rPr>
        <w:t>, [M]Cl): 1-(3-amino-ethyl)-3-methyl-3</w:t>
      </w:r>
      <w:r w:rsidR="003D0790" w:rsidRPr="000720B1">
        <w:rPr>
          <w:rFonts w:ascii="Times New Roman" w:hAnsi="Times New Roman"/>
          <w:b w:val="0"/>
          <w:i/>
          <w:iCs/>
          <w:sz w:val="20"/>
          <w:lang w:val="en-GB"/>
        </w:rPr>
        <w:t>H</w:t>
      </w:r>
      <w:r w:rsidR="003D0790" w:rsidRPr="003D0790">
        <w:rPr>
          <w:rFonts w:ascii="Times New Roman" w:hAnsi="Times New Roman"/>
          <w:b w:val="0"/>
          <w:sz w:val="20"/>
          <w:lang w:val="en-GB"/>
        </w:rPr>
        <w:t xml:space="preserve">-imidazolium </w:t>
      </w:r>
      <w:proofErr w:type="spellStart"/>
      <w:r w:rsidR="003D0790" w:rsidRPr="003D0790">
        <w:rPr>
          <w:rFonts w:ascii="Times New Roman" w:hAnsi="Times New Roman"/>
          <w:b w:val="0"/>
          <w:sz w:val="20"/>
          <w:lang w:val="en-GB"/>
        </w:rPr>
        <w:t>cloride</w:t>
      </w:r>
      <w:proofErr w:type="spellEnd"/>
      <w:r w:rsidR="003D0790" w:rsidRPr="003D0790">
        <w:rPr>
          <w:rFonts w:ascii="Times New Roman" w:hAnsi="Times New Roman"/>
          <w:b w:val="0"/>
          <w:sz w:val="20"/>
          <w:lang w:val="en-GB"/>
        </w:rPr>
        <w:t xml:space="preserve"> [2-AEMIm]Cl, 1-(3-amino-propyl)-3-methyl-3</w:t>
      </w:r>
      <w:r w:rsidR="003D0790" w:rsidRPr="000720B1">
        <w:rPr>
          <w:rFonts w:ascii="Times New Roman" w:hAnsi="Times New Roman"/>
          <w:b w:val="0"/>
          <w:i/>
          <w:iCs/>
          <w:sz w:val="20"/>
          <w:lang w:val="en-GB"/>
        </w:rPr>
        <w:t>H</w:t>
      </w:r>
      <w:r w:rsidR="003D0790" w:rsidRPr="003D0790">
        <w:rPr>
          <w:rFonts w:ascii="Times New Roman" w:hAnsi="Times New Roman"/>
          <w:b w:val="0"/>
          <w:sz w:val="20"/>
          <w:lang w:val="en-GB"/>
        </w:rPr>
        <w:t xml:space="preserve">-imidazolium </w:t>
      </w:r>
      <w:proofErr w:type="spellStart"/>
      <w:r w:rsidR="003D0790" w:rsidRPr="003D0790">
        <w:rPr>
          <w:rFonts w:ascii="Times New Roman" w:hAnsi="Times New Roman"/>
          <w:b w:val="0"/>
          <w:sz w:val="20"/>
          <w:lang w:val="en-GB"/>
        </w:rPr>
        <w:t>cloride</w:t>
      </w:r>
      <w:proofErr w:type="spellEnd"/>
      <w:r w:rsidR="003D0790" w:rsidRPr="003D0790">
        <w:rPr>
          <w:rFonts w:ascii="Times New Roman" w:hAnsi="Times New Roman"/>
          <w:b w:val="0"/>
          <w:sz w:val="20"/>
          <w:lang w:val="en-GB"/>
        </w:rPr>
        <w:t xml:space="preserve"> [3-APMIm]Cl, </w:t>
      </w:r>
      <w:r w:rsidR="003D0790" w:rsidRPr="006766CE">
        <w:rPr>
          <w:rFonts w:ascii="Times New Roman" w:hAnsi="Times New Roman"/>
          <w:b w:val="0"/>
          <w:i/>
          <w:iCs/>
          <w:sz w:val="20"/>
          <w:lang w:val="en-GB"/>
        </w:rPr>
        <w:t>R</w:t>
      </w:r>
      <w:r w:rsidR="003D0790" w:rsidRPr="003D0790">
        <w:rPr>
          <w:rFonts w:ascii="Times New Roman" w:hAnsi="Times New Roman"/>
          <w:b w:val="0"/>
          <w:sz w:val="20"/>
          <w:lang w:val="en-GB"/>
        </w:rPr>
        <w:t>-1-(2-amino-propyl)-3-methyl-3</w:t>
      </w:r>
      <w:r w:rsidR="003D0790" w:rsidRPr="000720B1">
        <w:rPr>
          <w:rFonts w:ascii="Times New Roman" w:hAnsi="Times New Roman"/>
          <w:b w:val="0"/>
          <w:i/>
          <w:iCs/>
          <w:sz w:val="20"/>
          <w:lang w:val="en-GB"/>
        </w:rPr>
        <w:t>H</w:t>
      </w:r>
      <w:r w:rsidR="003D0790" w:rsidRPr="003D0790">
        <w:rPr>
          <w:rFonts w:ascii="Times New Roman" w:hAnsi="Times New Roman"/>
          <w:b w:val="0"/>
          <w:sz w:val="20"/>
          <w:lang w:val="en-GB"/>
        </w:rPr>
        <w:t xml:space="preserve">-imidazolium </w:t>
      </w:r>
      <w:proofErr w:type="spellStart"/>
      <w:r w:rsidR="003D0790" w:rsidRPr="003D0790">
        <w:rPr>
          <w:rFonts w:ascii="Times New Roman" w:hAnsi="Times New Roman"/>
          <w:b w:val="0"/>
          <w:sz w:val="20"/>
          <w:lang w:val="en-GB"/>
        </w:rPr>
        <w:t>cloride</w:t>
      </w:r>
      <w:proofErr w:type="spellEnd"/>
      <w:r w:rsidR="003D0790" w:rsidRPr="003D0790">
        <w:rPr>
          <w:rFonts w:ascii="Times New Roman" w:hAnsi="Times New Roman"/>
          <w:b w:val="0"/>
          <w:sz w:val="20"/>
          <w:lang w:val="en-GB"/>
        </w:rPr>
        <w:t xml:space="preserve"> [</w:t>
      </w:r>
      <w:r w:rsidR="006766CE">
        <w:rPr>
          <w:rFonts w:ascii="Times New Roman" w:hAnsi="Times New Roman"/>
          <w:b w:val="0"/>
          <w:i/>
          <w:iCs/>
          <w:sz w:val="20"/>
          <w:lang w:val="en-GB"/>
        </w:rPr>
        <w:t>S</w:t>
      </w:r>
      <w:r w:rsidR="003D0790" w:rsidRPr="003D0790">
        <w:rPr>
          <w:rFonts w:ascii="Times New Roman" w:hAnsi="Times New Roman"/>
          <w:b w:val="0"/>
          <w:sz w:val="20"/>
          <w:lang w:val="en-GB"/>
        </w:rPr>
        <w:t xml:space="preserve">-2-APMIm]Cl, and </w:t>
      </w:r>
      <w:r w:rsidR="003D0790" w:rsidRPr="000720B1">
        <w:rPr>
          <w:rFonts w:ascii="Times New Roman" w:hAnsi="Times New Roman"/>
          <w:b w:val="0"/>
          <w:i/>
          <w:iCs/>
          <w:sz w:val="20"/>
          <w:lang w:val="en-GB"/>
        </w:rPr>
        <w:t>S</w:t>
      </w:r>
      <w:r w:rsidR="003D0790" w:rsidRPr="003D0790">
        <w:rPr>
          <w:rFonts w:ascii="Times New Roman" w:hAnsi="Times New Roman"/>
          <w:b w:val="0"/>
          <w:sz w:val="20"/>
          <w:lang w:val="en-GB"/>
        </w:rPr>
        <w:t>-1-(2-amino-propyl)-3-methyl-3</w:t>
      </w:r>
      <w:r w:rsidR="003D0790" w:rsidRPr="000720B1">
        <w:rPr>
          <w:rFonts w:ascii="Times New Roman" w:hAnsi="Times New Roman"/>
          <w:b w:val="0"/>
          <w:i/>
          <w:iCs/>
          <w:sz w:val="20"/>
          <w:lang w:val="en-GB"/>
        </w:rPr>
        <w:t>H</w:t>
      </w:r>
      <w:r w:rsidR="003D0790" w:rsidRPr="003D0790">
        <w:rPr>
          <w:rFonts w:ascii="Times New Roman" w:hAnsi="Times New Roman"/>
          <w:b w:val="0"/>
          <w:sz w:val="20"/>
          <w:lang w:val="en-GB"/>
        </w:rPr>
        <w:t xml:space="preserve">-imidazolium </w:t>
      </w:r>
      <w:proofErr w:type="spellStart"/>
      <w:r w:rsidR="003D0790" w:rsidRPr="003D0790">
        <w:rPr>
          <w:rFonts w:ascii="Times New Roman" w:hAnsi="Times New Roman"/>
          <w:b w:val="0"/>
          <w:sz w:val="20"/>
          <w:lang w:val="en-GB"/>
        </w:rPr>
        <w:t>cloride</w:t>
      </w:r>
      <w:proofErr w:type="spellEnd"/>
      <w:r w:rsidR="003D0790" w:rsidRPr="003D0790">
        <w:rPr>
          <w:rFonts w:ascii="Times New Roman" w:hAnsi="Times New Roman"/>
          <w:b w:val="0"/>
          <w:sz w:val="20"/>
          <w:lang w:val="en-GB"/>
        </w:rPr>
        <w:t xml:space="preserve"> [</w:t>
      </w:r>
      <w:r w:rsidR="003D0790" w:rsidRPr="000720B1">
        <w:rPr>
          <w:rFonts w:ascii="Times New Roman" w:hAnsi="Times New Roman"/>
          <w:b w:val="0"/>
          <w:i/>
          <w:iCs/>
          <w:sz w:val="20"/>
          <w:lang w:val="en-GB"/>
        </w:rPr>
        <w:t>S</w:t>
      </w:r>
      <w:r w:rsidR="003D0790" w:rsidRPr="003D0790">
        <w:rPr>
          <w:rFonts w:ascii="Times New Roman" w:hAnsi="Times New Roman"/>
          <w:b w:val="0"/>
          <w:sz w:val="20"/>
          <w:lang w:val="en-GB"/>
        </w:rPr>
        <w:t xml:space="preserve">-2-APMIm]Cl. The </w:t>
      </w:r>
      <w:r w:rsidR="00CB256E" w:rsidRPr="003D0790">
        <w:rPr>
          <w:rFonts w:ascii="Times New Roman" w:hAnsi="Times New Roman"/>
          <w:b w:val="0"/>
          <w:sz w:val="20"/>
          <w:lang w:val="en-GB"/>
        </w:rPr>
        <w:t>[2-AEMIm]</w:t>
      </w:r>
      <w:r w:rsidR="003D0790" w:rsidRPr="003D0790">
        <w:rPr>
          <w:rFonts w:ascii="Times New Roman" w:hAnsi="Times New Roman"/>
          <w:b w:val="0"/>
          <w:sz w:val="20"/>
          <w:lang w:val="en-GB"/>
        </w:rPr>
        <w:t xml:space="preserve">-MOR composites presented electronic and steric conditions for potential applications in </w:t>
      </w:r>
      <w:r w:rsidR="003D0790">
        <w:rPr>
          <w:rFonts w:ascii="Times New Roman" w:hAnsi="Times New Roman"/>
          <w:b w:val="0"/>
          <w:sz w:val="20"/>
          <w:lang w:val="en-GB"/>
        </w:rPr>
        <w:t>CCS and CCSU</w:t>
      </w:r>
      <w:r w:rsidRPr="003D0790">
        <w:rPr>
          <w:rFonts w:ascii="Times New Roman" w:hAnsi="Times New Roman"/>
          <w:b w:val="0"/>
          <w:sz w:val="20"/>
          <w:lang w:val="en-GB"/>
        </w:rPr>
        <w:t>.</w:t>
      </w:r>
    </w:p>
    <w:p w14:paraId="5F4A84E8" w14:textId="3B427F59" w:rsidR="00EA4E1B" w:rsidRPr="00CB256E" w:rsidRDefault="00EA4E1B" w:rsidP="00EA4E1B">
      <w:pPr>
        <w:pStyle w:val="BDAbstract"/>
        <w:spacing w:before="0" w:after="120" w:line="240" w:lineRule="auto"/>
        <w:rPr>
          <w:rFonts w:ascii="Times New Roman" w:hAnsi="Times New Roman"/>
          <w:b w:val="0"/>
          <w:i/>
          <w:sz w:val="20"/>
          <w:lang w:val="en-GB"/>
        </w:rPr>
      </w:pPr>
      <w:r w:rsidRPr="00CB256E">
        <w:rPr>
          <w:rFonts w:ascii="Times New Roman" w:hAnsi="Times New Roman"/>
          <w:b w:val="0"/>
          <w:i/>
          <w:sz w:val="20"/>
          <w:lang w:val="en-GB"/>
        </w:rPr>
        <w:t>Keywords:</w:t>
      </w:r>
      <w:r w:rsidR="00CB256E" w:rsidRPr="00CB256E">
        <w:rPr>
          <w:rFonts w:ascii="Times New Roman" w:hAnsi="Times New Roman"/>
          <w:b w:val="0"/>
          <w:i/>
          <w:sz w:val="20"/>
          <w:lang w:val="en-GB"/>
        </w:rPr>
        <w:t xml:space="preserve"> ionic liquid,</w:t>
      </w:r>
      <w:r w:rsidR="006908F4">
        <w:rPr>
          <w:rFonts w:ascii="Times New Roman" w:hAnsi="Times New Roman"/>
          <w:b w:val="0"/>
          <w:i/>
          <w:sz w:val="20"/>
          <w:lang w:val="en-GB"/>
        </w:rPr>
        <w:t xml:space="preserve"> mordenite,</w:t>
      </w:r>
      <w:r w:rsidR="00CB256E" w:rsidRPr="00CB256E">
        <w:rPr>
          <w:rFonts w:ascii="Times New Roman" w:hAnsi="Times New Roman"/>
          <w:b w:val="0"/>
          <w:i/>
          <w:sz w:val="20"/>
          <w:lang w:val="en-GB"/>
        </w:rPr>
        <w:t xml:space="preserve"> CO</w:t>
      </w:r>
      <w:r w:rsidR="00CB256E" w:rsidRPr="006908F4">
        <w:rPr>
          <w:rFonts w:ascii="Times New Roman" w:hAnsi="Times New Roman"/>
          <w:b w:val="0"/>
          <w:i/>
          <w:sz w:val="20"/>
          <w:vertAlign w:val="subscript"/>
          <w:lang w:val="en-GB"/>
        </w:rPr>
        <w:t>2</w:t>
      </w:r>
      <w:r w:rsidR="00CB256E" w:rsidRPr="00CB256E">
        <w:rPr>
          <w:rFonts w:ascii="Times New Roman" w:hAnsi="Times New Roman"/>
          <w:b w:val="0"/>
          <w:i/>
          <w:sz w:val="20"/>
          <w:lang w:val="en-GB"/>
        </w:rPr>
        <w:t>, DFT, ONIOM</w:t>
      </w:r>
    </w:p>
    <w:bookmarkEnd w:id="1"/>
    <w:p w14:paraId="48D9B0C4" w14:textId="77777777" w:rsidR="00EA4E1B" w:rsidRPr="00CB256E" w:rsidRDefault="00EA4E1B" w:rsidP="00EA4E1B">
      <w:pPr>
        <w:rPr>
          <w:lang w:val="en-GB"/>
        </w:rPr>
        <w:sectPr w:rsidR="00EA4E1B" w:rsidRPr="00CB256E" w:rsidSect="00EA4E1B">
          <w:headerReference w:type="default" r:id="rId10"/>
          <w:endnotePr>
            <w:numFmt w:val="decimal"/>
          </w:endnotePr>
          <w:pgSz w:w="11906" w:h="16838"/>
          <w:pgMar w:top="1418" w:right="1094" w:bottom="1418" w:left="567" w:header="709" w:footer="709" w:gutter="0"/>
          <w:cols w:space="708"/>
          <w:docGrid w:linePitch="360"/>
        </w:sectPr>
      </w:pPr>
    </w:p>
    <w:p w14:paraId="625F2C0A" w14:textId="2BBDC963" w:rsidR="00EA4E1B" w:rsidRPr="001A2331" w:rsidRDefault="001A2331" w:rsidP="00EA4E1B">
      <w:pPr>
        <w:pStyle w:val="Ttulo2"/>
        <w:spacing w:before="0"/>
        <w:rPr>
          <w:rFonts w:ascii="Helvetica" w:hAnsi="Helvetica" w:cs="Helvetica"/>
          <w:sz w:val="24"/>
          <w:szCs w:val="24"/>
          <w:lang w:val="en-US"/>
        </w:rPr>
      </w:pPr>
      <w:r w:rsidRPr="001A2331">
        <w:rPr>
          <w:rFonts w:ascii="Helvetica" w:hAnsi="Helvetica" w:cs="Helvetica"/>
          <w:sz w:val="24"/>
          <w:szCs w:val="24"/>
          <w:lang w:val="en-US"/>
        </w:rPr>
        <w:t>Introduction</w:t>
      </w:r>
    </w:p>
    <w:p w14:paraId="2B12D6E2" w14:textId="183C384F" w:rsidR="004D30A6" w:rsidRDefault="005B0C38" w:rsidP="00EA4E1B">
      <w:pPr>
        <w:pStyle w:val="TAMainText"/>
        <w:rPr>
          <w:lang w:val="en-GB"/>
        </w:rPr>
      </w:pPr>
      <w:r>
        <w:rPr>
          <w:lang w:val="en-GB"/>
        </w:rPr>
        <w:t>Nowadays</w:t>
      </w:r>
      <w:r w:rsidR="004D30A6" w:rsidRPr="00103F09">
        <w:rPr>
          <w:lang w:val="en-GB"/>
        </w:rPr>
        <w:t>, humanity has achieved unprecedented population and economic growth (PEG). At the same time, both PEG and accelerated industrial production demand energy consumption at an unsustainable rate</w:t>
      </w:r>
      <w:r w:rsidR="004D30A6">
        <w:rPr>
          <w:lang w:val="en-GB"/>
        </w:rPr>
        <w:t xml:space="preserve"> </w:t>
      </w:r>
      <w:r w:rsidR="004D30A6">
        <w:rPr>
          <w:lang w:val="en-GB"/>
        </w:rPr>
        <w:fldChar w:fldCharType="begin" w:fldLock="1"/>
      </w:r>
      <w:r w:rsidR="004D30A6">
        <w:rPr>
          <w:lang w:val="en-GB"/>
        </w:rPr>
        <w:instrText>ADDIN CSL_CITATION {"citationItems":[{"id":"ITEM-1","itemData":{"URL":"https://data.worldbank.org/country/brazil?view=chart","accessed":{"date-parts":[["2023","2","13"]]},"id":"ITEM-1","issued":{"date-parts":[["0"]]},"title":"Brazil | Data","type":"webpage"},"uris":["http://www.mendeley.com/documents/?uuid=9a6045c6-9c6d-3042-baad-eb8f5071a06f"]}],"mendeley":{"formattedCitation":"[1]","plainTextFormattedCitation":"[1]","previouslyFormattedCitation":"[1]"},"properties":{"noteIndex":0},"schema":"https://github.com/citation-style-language/schema/raw/master/csl-citation.json"}</w:instrText>
      </w:r>
      <w:r w:rsidR="004D30A6">
        <w:rPr>
          <w:lang w:val="en-GB"/>
        </w:rPr>
        <w:fldChar w:fldCharType="separate"/>
      </w:r>
      <w:r w:rsidR="007E32A6">
        <w:rPr>
          <w:lang w:val="en-GB"/>
        </w:rPr>
        <w:t>[</w:t>
      </w:r>
      <w:r w:rsidR="004D30A6" w:rsidRPr="00F90C54">
        <w:rPr>
          <w:noProof/>
          <w:lang w:val="en-GB"/>
        </w:rPr>
        <w:t>1]</w:t>
      </w:r>
      <w:r w:rsidR="004D30A6">
        <w:rPr>
          <w:lang w:val="en-GB"/>
        </w:rPr>
        <w:fldChar w:fldCharType="end"/>
      </w:r>
      <w:r w:rsidR="004D30A6" w:rsidRPr="00103F09">
        <w:rPr>
          <w:lang w:val="en-GB"/>
        </w:rPr>
        <w:t>.</w:t>
      </w:r>
      <w:r w:rsidR="004D30A6">
        <w:rPr>
          <w:lang w:val="en-GB"/>
        </w:rPr>
        <w:t xml:space="preserve"> </w:t>
      </w:r>
      <w:r w:rsidR="004D30A6" w:rsidRPr="009C1C69">
        <w:rPr>
          <w:lang w:val="en-GB"/>
        </w:rPr>
        <w:t>Unfortunately, fossil fuel-based energies dominate the global energy market</w:t>
      </w:r>
      <w:r w:rsidR="0066733C" w:rsidRPr="0066733C">
        <w:rPr>
          <w:lang w:val="en-GB"/>
        </w:rPr>
        <w:t>—consequently,</w:t>
      </w:r>
      <w:r w:rsidR="0066733C">
        <w:rPr>
          <w:lang w:val="en-GB"/>
        </w:rPr>
        <w:t xml:space="preserve"> </w:t>
      </w:r>
      <w:r w:rsidR="004D30A6" w:rsidRPr="009C1C69">
        <w:rPr>
          <w:lang w:val="en-GB"/>
        </w:rPr>
        <w:t>the levels of pollutants generated from fossil fuel combustion increase daily.</w:t>
      </w:r>
      <w:r w:rsidR="004D30A6">
        <w:rPr>
          <w:lang w:val="en-GB"/>
        </w:rPr>
        <w:t xml:space="preserve"> </w:t>
      </w:r>
      <w:r w:rsidR="004D30A6" w:rsidRPr="00574BE0">
        <w:rPr>
          <w:lang w:val="en-GB"/>
        </w:rPr>
        <w:t xml:space="preserve">In particular, </w:t>
      </w:r>
      <w:r w:rsidR="004D30A6">
        <w:rPr>
          <w:lang w:val="en-GB"/>
        </w:rPr>
        <w:t>c</w:t>
      </w:r>
      <w:r w:rsidR="004D30A6" w:rsidRPr="00574BE0">
        <w:rPr>
          <w:lang w:val="en-GB"/>
        </w:rPr>
        <w:t>arbon dioxide (CO</w:t>
      </w:r>
      <w:r w:rsidR="004D30A6" w:rsidRPr="00574BE0">
        <w:rPr>
          <w:vertAlign w:val="subscript"/>
          <w:lang w:val="en-GB"/>
        </w:rPr>
        <w:t>2</w:t>
      </w:r>
      <w:r w:rsidR="004D30A6" w:rsidRPr="00574BE0">
        <w:rPr>
          <w:lang w:val="en-GB"/>
        </w:rPr>
        <w:t>), the main greenhouse gas (GHG) emitted by human activities, is a most challenging task for mitigating global climate change</w:t>
      </w:r>
      <w:r w:rsidR="004D30A6">
        <w:rPr>
          <w:lang w:val="en-GB"/>
        </w:rPr>
        <w:t xml:space="preserve"> </w:t>
      </w:r>
      <w:r w:rsidR="004D30A6">
        <w:rPr>
          <w:lang w:val="en-GB"/>
        </w:rPr>
        <w:fldChar w:fldCharType="begin" w:fldLock="1"/>
      </w:r>
      <w:r w:rsidR="004D30A6">
        <w:rPr>
          <w:lang w:val="en-GB"/>
        </w:rPr>
        <w:instrText>ADDIN CSL_CITATION {"citationItems":[{"id":"ITEM-1","itemData":{"DOI":"10.1029/2021GL097540","ISBN":"10.1029/2021","ISSN":"1944-8007","abstract":"Using the multiyear archive of the two Orbiting Carbon Observatories (OCO) of NASA, we have retrieved large fossil fuel CO2 emissions (larger than 1.0 ktCO2 h−1 per 10−2 square degree grid cell) over the globe with a simple plume cross-sectional inversion approach. We have compared our results with a global gridded and hourly inventory. The corresponding OCO emission retrievals explain more than one third of the inventory variance at the corresponding cells and hours. We have binned the data at diverse time scales from the year (with OCO-2) to the average morning and afternoon (with OCO-3). We see consistent variations of the median emissions, indicating that the retrieval-inventory differences (with standard deviations of a few tens of percent) are mostly random and that trends can be calculated robustly in areas of favorable observing conditions, when the future satellite CO2 imagers provide an order of magnitude more data.","author":[{"dropping-particle":"","family":"Chevallier","given":"Frédéric","non-dropping-particle":"","parse-names":false,"suffix":""},{"dropping-particle":"","family":"Broquet","given":"Grégoire","non-dropping-particle":"","parse-names":false,"suffix":""},{"dropping-particle":"","family":"Zheng","given":"Bo","non-dropping-particle":"","parse-names":false,"suffix":""},{"dropping-particle":"","family":"Ciais","given":"Philippe","non-dropping-particle":"","parse-names":false,"suffix":""},{"dropping-particle":"","family":"Eldering","given":"Annmarie","non-dropping-particle":"","parse-names":false,"suffix":""}],"container-title":"Geophysical Research Letters","id":"ITEM-1","issue":"5","issued":{"date-parts":[["2022","3","16"]]},"page":"e2021GL097540","publisher":"John Wiley &amp; Sons, Ltd","title":"Large CO2 Emitters as Seen From Satellite: Comparison to a Gridded Global Emission Inventory","type":"article-journal","volume":"49"},"uris":["http://www.mendeley.com/documents/?uuid=344a8769-fe0b-3728-88c4-a06b3413b398"]}],"mendeley":{"formattedCitation":"[2]","plainTextFormattedCitation":"[2]","previouslyFormattedCitation":"[2]"},"properties":{"noteIndex":0},"schema":"https://github.com/citation-style-language/schema/raw/master/csl-citation.json"}</w:instrText>
      </w:r>
      <w:r w:rsidR="004D30A6">
        <w:rPr>
          <w:lang w:val="en-GB"/>
        </w:rPr>
        <w:fldChar w:fldCharType="separate"/>
      </w:r>
      <w:r w:rsidR="004D30A6" w:rsidRPr="00D176FF">
        <w:rPr>
          <w:noProof/>
          <w:lang w:val="en-GB"/>
        </w:rPr>
        <w:t>[2]</w:t>
      </w:r>
      <w:r w:rsidR="004D30A6">
        <w:rPr>
          <w:lang w:val="en-GB"/>
        </w:rPr>
        <w:fldChar w:fldCharType="end"/>
      </w:r>
      <w:r w:rsidR="004D30A6">
        <w:rPr>
          <w:lang w:val="en-GB"/>
        </w:rPr>
        <w:t xml:space="preserve">. </w:t>
      </w:r>
      <w:r w:rsidR="004D30A6" w:rsidRPr="00D176FF">
        <w:rPr>
          <w:lang w:val="en-GB"/>
        </w:rPr>
        <w:t xml:space="preserve">In 2015, the Sustainable Development Goals (SDGs) </w:t>
      </w:r>
      <w:r w:rsidR="004D30A6" w:rsidRPr="00D176FF">
        <w:rPr>
          <w:lang w:val="en-GB"/>
        </w:rPr>
        <w:t>and the Paris Climate Agreement signatories countries aimed to reach the peak of global greenhouse gas (GHG) emissions as quickly as possible and then rapidly undertake their reduction, conversely at present, most countries struggle to achieve the proposed carbon neutrality target, which is the realization of a sustainable, low-carbon economy with minimum CO</w:t>
      </w:r>
      <w:r w:rsidR="004D30A6" w:rsidRPr="00D176FF">
        <w:rPr>
          <w:vertAlign w:val="subscript"/>
          <w:lang w:val="en-GB"/>
        </w:rPr>
        <w:t xml:space="preserve">2 </w:t>
      </w:r>
      <w:r w:rsidR="004D30A6" w:rsidRPr="00D176FF">
        <w:rPr>
          <w:lang w:val="en-GB"/>
        </w:rPr>
        <w:t>emissions</w:t>
      </w:r>
      <w:r w:rsidR="004D30A6">
        <w:rPr>
          <w:lang w:val="en-GB"/>
        </w:rPr>
        <w:t xml:space="preserve"> </w:t>
      </w:r>
      <w:r w:rsidR="004D30A6">
        <w:rPr>
          <w:lang w:val="en-GB"/>
        </w:rPr>
        <w:fldChar w:fldCharType="begin" w:fldLock="1"/>
      </w:r>
      <w:r w:rsidR="004D30A6">
        <w:rPr>
          <w:lang w:val="en-GB"/>
        </w:rPr>
        <w:instrText>ADDIN CSL_CITATION {"citationItems":[{"id":"ITEM-1","itemData":{"DOI":"10.1007/S11356-022-19764-0","ISBN":"0123456789","ISSN":"1614-7499","abstract":"With the acceleration of urbanization and industrialization, carbon neutrality and peak carbon dioxide emissions have become common sustainability goals worldwide. However, there are few literature statistics and econometric analyses targeting carbon neutrality and peak carbon dioxide emissions, especially the publication trends, geographic distribution, citation literature, and research hotspots. To conduct an in-depth analysis of existing research fields and future perspectives in this research area, 1615 publications from the Web of Science Core Collection, between 2010 and 2020, were evaluated by using three analysis tools, under the framework of the bibliometrics method. These publications are distributed between the start-up (2010–2015) and the stable development (2016–2020) phases. Cluster analysis suggests three areas of ongoing research: energy-related carbon emissions, methane emissions, and energy biomass. Overall, future trends in this field include cumulative carbon emissions, the residential building sector, methane emission measurement, nitrogen fertilization, land degradation neutrality, and sciamachy satellite methane measurement. Finally, this paper further examines the most comprehensive coverage of nitrogen fertilization and the most recent research of the residential building sector. In view of the statistical clusters from 1615 publications, this paper provides new insights and perspectives for climate-environment-related researchers and policymakers. Specifically, countries could apply nitrogen fertilizer to crops according to the conditions of different regions. Additionally, experiences from developed countries could be learned from, including optimizing the energy supply structure of buildings and increasing the use of clean energy to reduce CO2 emissions from buildings.","author":[{"dropping-particle":"","family":"Yang","given":"Song","non-dropping-particle":"","parse-names":false,"suffix":""},{"dropping-particle":"","family":"Yang","given":"Dongzhao","non-dropping-particle":"","parse-names":false,"suffix":""},{"dropping-particle":"","family":"Shi","given":"Wei","non-dropping-particle":"","parse-names":false,"suffix":""},{"dropping-particle":"","family":"Deng","given":"Chenchen","non-dropping-particle":"","parse-names":false,"suffix":""},{"dropping-particle":"","family":"Chen","given":"Chuangbin","non-dropping-particle":"","parse-names":false,"suffix":""},{"dropping-particle":"","family":"Feng","given":"Songjie","non-dropping-particle":"","parse-names":false,"suffix":""}],"container-title":"Environmental Science and Pollution Research 2022","id":"ITEM-1","issued":{"date-parts":[["2022","4","4"]]},"page":"1-20","publisher":"Springer","title":"Global evaluation of carbon neutrality and peak carbon dioxide emissions: current challenges and future outlook","type":"article-journal","volume":"1"},"uris":["http://www.mendeley.com/documents/?uuid=e5f3d6eb-35b5-3940-8f1a-cd28ac08c67b"]}],"mendeley":{"formattedCitation":"[3]","plainTextFormattedCitation":"[3]","previouslyFormattedCitation":"[3]"},"properties":{"noteIndex":0},"schema":"https://github.com/citation-style-language/schema/raw/master/csl-citation.json"}</w:instrText>
      </w:r>
      <w:r w:rsidR="004D30A6">
        <w:rPr>
          <w:lang w:val="en-GB"/>
        </w:rPr>
        <w:fldChar w:fldCharType="separate"/>
      </w:r>
      <w:r w:rsidR="004D30A6" w:rsidRPr="00D176FF">
        <w:rPr>
          <w:noProof/>
          <w:lang w:val="en-GB"/>
        </w:rPr>
        <w:t>[3]</w:t>
      </w:r>
      <w:r w:rsidR="004D30A6">
        <w:rPr>
          <w:lang w:val="en-GB"/>
        </w:rPr>
        <w:fldChar w:fldCharType="end"/>
      </w:r>
      <w:r w:rsidR="00670E39">
        <w:rPr>
          <w:lang w:val="en-GB"/>
        </w:rPr>
        <w:t>.</w:t>
      </w:r>
    </w:p>
    <w:p w14:paraId="4916AD3F" w14:textId="6DBAF6CD" w:rsidR="00670E39" w:rsidRDefault="0066733C" w:rsidP="00EA4E1B">
      <w:pPr>
        <w:pStyle w:val="TAMainText"/>
      </w:pPr>
      <w:r w:rsidRPr="0066733C">
        <w:rPr>
          <w:rStyle w:val="q4iawc"/>
          <w:lang w:val="en"/>
        </w:rPr>
        <w:t xml:space="preserve">Based on the above, clean energy transformations and pollution decrease, </w:t>
      </w:r>
      <w:r w:rsidRPr="0066733C">
        <w:rPr>
          <w:rStyle w:val="q4iawc"/>
          <w:i/>
          <w:iCs/>
          <w:lang w:val="en"/>
        </w:rPr>
        <w:t>e.g.</w:t>
      </w:r>
      <w:r w:rsidRPr="0066733C">
        <w:rPr>
          <w:rStyle w:val="q4iawc"/>
          <w:lang w:val="en"/>
        </w:rPr>
        <w:t>, using the CO</w:t>
      </w:r>
      <w:r w:rsidRPr="0066733C">
        <w:rPr>
          <w:rStyle w:val="q4iawc"/>
          <w:vertAlign w:val="subscript"/>
          <w:lang w:val="en"/>
        </w:rPr>
        <w:t>2</w:t>
      </w:r>
      <w:r w:rsidRPr="0066733C">
        <w:rPr>
          <w:rStyle w:val="q4iawc"/>
          <w:lang w:val="en"/>
        </w:rPr>
        <w:t xml:space="preserve"> capture, storage, and utilization (CCSU) processes, are essential to avoid an imminent climate catastrophe</w:t>
      </w:r>
      <w:r w:rsidR="00670E39" w:rsidRPr="00891FD2">
        <w:rPr>
          <w:rStyle w:val="q4iawc"/>
          <w:lang w:val="en"/>
        </w:rPr>
        <w:t xml:space="preserve">. Tackling these issues requires the development of new materials with applications </w:t>
      </w:r>
      <w:r w:rsidR="00670E39" w:rsidRPr="00891FD2">
        <w:rPr>
          <w:rStyle w:val="q4iawc"/>
          <w:lang w:val="en"/>
        </w:rPr>
        <w:lastRenderedPageBreak/>
        <w:t>ranging from selective adsorbents to efficient catalysts at an unprecedented pace</w:t>
      </w:r>
      <w:r w:rsidR="00670E39" w:rsidRPr="00F408B9">
        <w:rPr>
          <w:rStyle w:val="q4iawc"/>
          <w:lang w:val="en"/>
        </w:rPr>
        <w:t>.</w:t>
      </w:r>
      <w:r w:rsidR="00670E39">
        <w:rPr>
          <w:rStyle w:val="q4iawc"/>
          <w:lang w:val="en"/>
        </w:rPr>
        <w:t xml:space="preserve"> In particular, t</w:t>
      </w:r>
      <w:r w:rsidR="00670E39" w:rsidRPr="00C3589B">
        <w:rPr>
          <w:rStyle w:val="q4iawc"/>
          <w:lang w:val="en"/>
        </w:rPr>
        <w:t xml:space="preserve">he currently used leading </w:t>
      </w:r>
      <w:r w:rsidR="00670E39" w:rsidRPr="00891FD2">
        <w:rPr>
          <w:rStyle w:val="q4iawc"/>
          <w:lang w:val="en"/>
        </w:rPr>
        <w:t>CO</w:t>
      </w:r>
      <w:r w:rsidR="00670E39" w:rsidRPr="00891FD2">
        <w:rPr>
          <w:rStyle w:val="q4iawc"/>
          <w:vertAlign w:val="subscript"/>
          <w:lang w:val="en"/>
        </w:rPr>
        <w:t xml:space="preserve">2 </w:t>
      </w:r>
      <w:r w:rsidR="00670E39" w:rsidRPr="00891FD2">
        <w:rPr>
          <w:rStyle w:val="q4iawc"/>
          <w:lang w:val="en"/>
        </w:rPr>
        <w:t>capture</w:t>
      </w:r>
      <w:r w:rsidR="00670E39" w:rsidRPr="00C3589B">
        <w:rPr>
          <w:rStyle w:val="q4iawc"/>
          <w:lang w:val="en"/>
        </w:rPr>
        <w:t xml:space="preserve"> technology includes the chemical absorption of acid gases (CO</w:t>
      </w:r>
      <w:r w:rsidR="00670E39" w:rsidRPr="00C3589B">
        <w:rPr>
          <w:rStyle w:val="q4iawc"/>
          <w:vertAlign w:val="subscript"/>
          <w:lang w:val="en"/>
        </w:rPr>
        <w:t>2</w:t>
      </w:r>
      <w:r w:rsidR="00670E39" w:rsidRPr="00C3589B">
        <w:rPr>
          <w:rStyle w:val="q4iawc"/>
          <w:lang w:val="en"/>
        </w:rPr>
        <w:t xml:space="preserve"> and H</w:t>
      </w:r>
      <w:r w:rsidR="00670E39" w:rsidRPr="00C3589B">
        <w:rPr>
          <w:rStyle w:val="q4iawc"/>
          <w:vertAlign w:val="subscript"/>
          <w:lang w:val="en"/>
        </w:rPr>
        <w:t>2</w:t>
      </w:r>
      <w:r w:rsidR="00670E39" w:rsidRPr="00C3589B">
        <w:rPr>
          <w:rStyle w:val="q4iawc"/>
          <w:lang w:val="en"/>
        </w:rPr>
        <w:t xml:space="preserve">S) using aqueous solutions of </w:t>
      </w:r>
      <w:proofErr w:type="spellStart"/>
      <w:r w:rsidR="00670E39" w:rsidRPr="00C3589B">
        <w:rPr>
          <w:rStyle w:val="q4iawc"/>
          <w:lang w:val="en"/>
        </w:rPr>
        <w:t>ethanolamines</w:t>
      </w:r>
      <w:proofErr w:type="spellEnd"/>
      <w:r w:rsidR="00670E39" w:rsidRPr="00C3589B">
        <w:rPr>
          <w:rStyle w:val="q4iawc"/>
          <w:lang w:val="en"/>
        </w:rPr>
        <w:t xml:space="preserve"> </w:t>
      </w:r>
      <w:r w:rsidR="00670E39" w:rsidRPr="00960E47">
        <w:fldChar w:fldCharType="begin" w:fldLock="1"/>
      </w:r>
      <w:r w:rsidR="00670E39">
        <w:instrText>ADDIN CSL_CITATION {"citationItems":[{"id":"ITEM-1","itemData":{"DOI":"10.1016/j.jclepro.2017.04.034","ISSN":"09596526","abstract":"This work evaluates the potential of a mixed matrix membrane synthesized with 1-ethyl-3-methylimmidazolium-ethylsulphate [EMIM][EtSO4] a common ionic liquid (IL) blended with poly (ether-block-amide) (PEBA) elastomer to separate either hydrogen sulphide (H2S) or carbon dioxide (CO2) or both acid gasses (H2S and CO2) from its streams. Layer-by-layer deposition method was used to synthesize the defect-free blended membrane. The prepared membranes were characterized by field emission scanning electron microscopy (FESEM), fourier-transform infrared spectroscopy (FTIR) and thermogravimetric analysis (TGA) for physical and thermal properties. Several experiments were conducted by varying pressure and ionic liquid concentration at normal temperature for pure gases (H2S/CO2/CH4/Air). The presence of ionic liquid (5 wt%) shows higher H2S permeability of 540 barrer and a comparatively low CO2 permeability of 55 barrer at pressure of 7 kg/cm2 through the blended membrane due to higher H2S solubility (1.5 times more than CO2) in the same IL. The trend of permeability for different single gases was observed in the pattern following: H2S &gt; CO2&gt;Air &gt; CH4. Ideal selectivity was 66.0 for H2S/CH4 and 24.0 for H2S/Air which is much higher than those for CO2 binary mixture such as CO2/CH4 (4.6) and CO2/Air (2.4). The addition of ionic liquid in the membrane matrix enhances the permeability of acid gases compared to pure PEBA membrane. Robeson's diagram also shows the promising trends for the experimental points either crossing the upper bound line or getting nearer which highlight the pivotal role of IL in blended membrane.","author":[{"dropping-particle":"","family":"Bhattacharya","given":"Madhubanti","non-dropping-particle":"","parse-names":false,"suffix":""},{"dropping-particle":"","family":"Mandal","given":"Mrinal Kanti","non-dropping-particle":"","parse-names":false,"suffix":""}],"container-title":"Journal of Cleaner Production","id":"ITEM-1","issued":{"date-parts":[["2017"]]},"page":"174-183","publisher":"Elsevier B.V.","title":"Synthesis and characterization of ionic liquid based mixed matrix membrane for acid gas separation","type":"article-journal","volume":"156"},"uris":["http://www.mendeley.com/documents/?uuid=906192db-7a87-40f1-a1f7-412fcdba1b34"]}],"mendeley":{"formattedCitation":"[4]","plainTextFormattedCitation":"[4]","previouslyFormattedCitation":"[4]"},"properties":{"noteIndex":0},"schema":"https://github.com/citation-style-language/schema/raw/master/csl-citation.json"}</w:instrText>
      </w:r>
      <w:r w:rsidR="00670E39" w:rsidRPr="00960E47">
        <w:fldChar w:fldCharType="separate"/>
      </w:r>
      <w:r w:rsidR="00670E39" w:rsidRPr="000E7119">
        <w:rPr>
          <w:noProof/>
        </w:rPr>
        <w:t>[4]</w:t>
      </w:r>
      <w:r w:rsidR="00670E39" w:rsidRPr="00960E47">
        <w:fldChar w:fldCharType="end"/>
      </w:r>
      <w:r w:rsidR="00670E39" w:rsidRPr="00C3589B">
        <w:rPr>
          <w:rStyle w:val="q4iawc"/>
          <w:lang w:val="en"/>
        </w:rPr>
        <w:t xml:space="preserve">. Generally, </w:t>
      </w:r>
      <w:r w:rsidR="005B0C38">
        <w:rPr>
          <w:rStyle w:val="q4iawc"/>
          <w:lang w:val="en"/>
        </w:rPr>
        <w:t>the use of</w:t>
      </w:r>
      <w:r w:rsidR="00670E39" w:rsidRPr="00C3589B">
        <w:rPr>
          <w:rStyle w:val="q4iawc"/>
          <w:lang w:val="en"/>
        </w:rPr>
        <w:t xml:space="preserve"> amines has several drawbacks, including vaporization losses, high heat requirements for regeneration, and equipment corrosion.</w:t>
      </w:r>
      <w:r w:rsidR="00670E39">
        <w:rPr>
          <w:rStyle w:val="q4iawc"/>
          <w:lang w:val="en"/>
        </w:rPr>
        <w:t xml:space="preserve"> </w:t>
      </w:r>
      <w:r w:rsidR="00670E39" w:rsidRPr="000E7119">
        <w:rPr>
          <w:rStyle w:val="rynqvb"/>
          <w:lang w:val="en"/>
        </w:rPr>
        <w:t>Fortunately, many more sustainable new methods and materials for CCSU technologies have been investigated to overcome those limitations</w:t>
      </w:r>
      <w:r w:rsidR="00670E39" w:rsidRPr="00960E47">
        <w:t xml:space="preserve"> </w:t>
      </w:r>
      <w:r w:rsidR="00670E39" w:rsidRPr="00960E47">
        <w:fldChar w:fldCharType="begin" w:fldLock="1"/>
      </w:r>
      <w:r w:rsidR="00670E39">
        <w:instrText>ADDIN CSL_CITATION {"citationItems":[{"id":"ITEM-1","itemData":{"DOI":"10.1016/j.egypro.2014.11.688","ISSN":"18766102","abstract":"The choice of an appropriate adsorbent for CO2 separation by pressure swing adsorption remains a field of intense research and it would be of great help to rely on a parameter that could be used to quickly evaluate the performance of those materials. In this work, two activated carbons prepared in our laboratory from biomass wastes (olive and cherry stones) are studied for the separation of CO2 from mixtures of CO2 and CH4. CO2 and CH4 adsorption isotherms at room temperature and up to 10 bar were determined in a high pressure magnetic suspension balance. Breakthrough adsorption experiments with simulated biogas binary mixtures were conducted in a fixed-bed lab-pilot adsorption unit. The performance of the tested carbons was assessed in terms of a dimensionless sorbent selection parameter (S), which is based on the selectivity but incorporates the nature of the adsorption isotherm under PSA operating conditions. A commercial activated carbon Calgon BPL was also tested and used as reference material for the separation process. Experimental results show that the performance of the different adsorbents, based on the calculated S parameter, may be very different depending on whether data is derived from pure component adsorption isotherms or from breakthrough adsorption experiments. Under dynamic flow conditions, activated carbons produced in this study show a great potential to be applied to a CO2/CH4 separation for biogas upgrading purposes. Further research is envisioned in order to define a PSA process that maximizes the purity and recovery of CH4.","author":[{"dropping-particle":"","family":"Álvarez-Gutiérrez","given":"N.","non-dropping-particle":"","parse-names":false,"suffix":""},{"dropping-particle":"","family":"García","given":"S.","non-dropping-particle":"","parse-names":false,"suffix":""},{"dropping-particle":"V.","family":"Gil","given":"M.","non-dropping-particle":"","parse-names":false,"suffix":""},{"dropping-particle":"","family":"Rubiera","given":"F.","non-dropping-particle":"","parse-names":false,"suffix":""},{"dropping-particle":"","family":"Pevida","given":"C.","non-dropping-particle":"","parse-names":false,"suffix":""}],"container-title":"Energy Procedia","id":"ITEM-1","issued":{"date-parts":[["2014","1","1"]]},"page":"6527-6533","publisher":"Elsevier Ltd","title":"Towards bio-upgrading of biogas: Biomass waste-based adsorbents","type":"paper-conference","volume":"63"},"uris":["http://www.mendeley.com/documents/?uuid=5a8e5933-2d97-37ea-9e68-4cafb550177d"]},{"id":"ITEM-2","itemData":{"DOI":"10.1016/j.renene.2020.02.054","ISSN":"18790682","abstract":"The energetic use of biogas is limited by the presence of contaminants which hinder the process and generate excessive maintenance costs. This study aims to evaluate the H2S adsorption on nanostructured iron oxide (NIO), towards applications for landfill gas cleaning. The iron oxide utilized in this study is obtained from mining residues, which provides economic and environmental advantages compared to other recognized adsorbents. In order to determine the performance of NIO, adsorption tests were performed in a lab scale with the use of synthetic gas (H2S + N2) and a continuous up-flow reactor. Experiments produced data regarding the process efficiency as a function of different operating conditions including gas hourly space velocity, H2S inlet concentration and gas humidity. Fresh and sulfided samples were characterized by SEM, TEM, BET, EDX and XRD techniques. The characterization results suggest that under lower GHSV (1,250 h-1), lower H2S inlet concentrations (200 ppm) and dry gas, the highest breakthrough capacity was recorded at 2.5 mg H2S per gram of NIO. Due to the good efficiency in removing H2S under ambient conditions, NIO can be considered a cost-effective promising alternative for biogas desulfurization.","author":[{"dropping-particle":"","family":"Cristiano","given":"Djema Maria","non-dropping-particle":"","parse-names":false,"suffix":""},{"dropping-particle":"","family":"A. Mohedano","given":"Rodrigo","non-dropping-particle":"de","parse-names":false,"suffix":""},{"dropping-particle":"","family":"Nadaleti","given":"Willian Cézar","non-dropping-particle":"","parse-names":false,"suffix":""},{"dropping-particle":"","family":"Castilhos Junior","given":"Armando B.","non-dropping-particle":"de","parse-names":false,"suffix":""},{"dropping-particle":"","family":"Lourenço","given":"Vitor Alves","non-dropping-particle":"","parse-names":false,"suffix":""},{"dropping-particle":"","family":"Gonçalves","given":"Débora F.H.","non-dropping-particle":"","parse-names":false,"suffix":""},{"dropping-particle":"","family":"Filho","given":"Paulo Belli","non-dropping-particle":"","parse-names":false,"suffix":""}],"container-title":"Renewable Energy","id":"ITEM-2","issued":{"date-parts":[["2020"]]},"page":"151-160","title":"H2S adsorption on nanostructured iron oxide at room temperature for biogas purification: Application of renewable energy","type":"article-journal","volume":"154"},"uris":["http://www.mendeley.com/documents/?uuid=3028bf94-e8b7-4433-ac49-590c1f955f8a"]},{"id":"ITEM-3","itemData":{"DOI":"10.1016/j.jece.2020.104130","ISSN":"22133437","abstract":"The sweetening process of natural gas has an undeniable rule in mitigating the detrimental influences of the toxic/corrosive chemical contaminants as like as CO2 and H2S on industrial units and environment. In this study, a 2D numerical simulation was developed to investigate the CO2/H2S simultaneous molecular removal from natural gas utilizing K2CO3 aqueous solution circulating through the hollow fiber membrane contactor (HFMC). Simulation results were evaluated versus those of experimentally measured data gathered from the literature and an acceptable agreement was observed, i. e. average absolute relative errors (AAREs) of around 1.2 and 1.5 % in the simulated and the experimentally measured CO2 fluxes versus the liquid and gas phases' velocities, respectively. Also, the results illustrated that increment in the membrane porosity and module length eventuated in a substantial improvement in the molecular removal of CO2 and H2S while increase in the membrane tortuosity and gas velocity significantly reduced CO2 and H2S removal.","author":[{"dropping-particle":"","family":"Taghvaie Nakhjiri","given":"Ali","non-dropping-particle":"","parse-names":false,"suffix":""},{"dropping-particle":"","family":"Heydarinasab","given":"Amir","non-dropping-particle":"","parse-names":false,"suffix":""},{"dropping-particle":"","family":"Bakhtiari","given":"Omid","non-dropping-particle":"","parse-names":false,"suffix":""},{"dropping-particle":"","family":"Mohammadi","given":"Toraj","non-dropping-particle":"","parse-names":false,"suffix":""}],"container-title":"Journal of Environmental Chemical Engineering","id":"ITEM-3","issue":"5","issued":{"date-parts":[["2020"]]},"page":"104130","publisher":"Elsevier","title":"Numerical simulation of CO2/H2S simultaneous removal from natural gas using potassium carbonate aqueous solution in hollow fiber membrane contactor","type":"article-journal","volume":"8"},"uris":["http://www.mendeley.com/documents/?uuid=fa4e1d26-1367-4b5a-9dd2-b7149877486a"]}],"mendeley":{"formattedCitation":"[5–7]","plainTextFormattedCitation":"[5–7]","previouslyFormattedCitation":"[5–7]"},"properties":{"noteIndex":0},"schema":"https://github.com/citation-style-language/schema/raw/master/csl-citation.json"}</w:instrText>
      </w:r>
      <w:r w:rsidR="00670E39" w:rsidRPr="00960E47">
        <w:fldChar w:fldCharType="separate"/>
      </w:r>
      <w:r w:rsidR="00670E39" w:rsidRPr="000E7119">
        <w:rPr>
          <w:noProof/>
        </w:rPr>
        <w:t>[5–7]</w:t>
      </w:r>
      <w:r w:rsidR="00670E39" w:rsidRPr="00960E47">
        <w:fldChar w:fldCharType="end"/>
      </w:r>
      <w:r w:rsidR="00670E39">
        <w:t>.</w:t>
      </w:r>
    </w:p>
    <w:p w14:paraId="2771ADE5" w14:textId="3243A731" w:rsidR="00670E39" w:rsidRDefault="00670E39" w:rsidP="00EA4E1B">
      <w:pPr>
        <w:pStyle w:val="TAMainText"/>
      </w:pPr>
      <w:r w:rsidRPr="00A516EB">
        <w:t>Among the most promising</w:t>
      </w:r>
      <w:r>
        <w:t xml:space="preserve"> materials to </w:t>
      </w:r>
      <w:r w:rsidRPr="001F1729">
        <w:t>CCSU technologies</w:t>
      </w:r>
      <w:r>
        <w:t xml:space="preserve">, those based on </w:t>
      </w:r>
      <w:r w:rsidRPr="00A516EB">
        <w:t xml:space="preserve">absorption </w:t>
      </w:r>
      <w:r>
        <w:t>with solvent</w:t>
      </w:r>
      <w:r w:rsidR="002A48C7">
        <w:t>s</w:t>
      </w:r>
      <w:r>
        <w:t xml:space="preserve"> </w:t>
      </w:r>
      <w:r w:rsidRPr="00A516EB">
        <w:t>as ionic liquids (ILs)</w:t>
      </w:r>
      <w:r>
        <w:t xml:space="preserve"> call attention</w:t>
      </w:r>
      <w:r w:rsidRPr="00A516EB">
        <w:t>.</w:t>
      </w:r>
      <w:r>
        <w:t xml:space="preserve"> </w:t>
      </w:r>
      <w:r w:rsidRPr="00A516EB">
        <w:t xml:space="preserve">In 1999, Blanchard </w:t>
      </w:r>
      <w:r w:rsidRPr="005D6474">
        <w:rPr>
          <w:i/>
          <w:iCs/>
        </w:rPr>
        <w:t>et al.</w:t>
      </w:r>
      <w:r>
        <w:t xml:space="preserve"> </w:t>
      </w:r>
      <w:r>
        <w:fldChar w:fldCharType="begin" w:fldLock="1"/>
      </w:r>
      <w:r>
        <w:instrText>ADDIN CSL_CITATION {"citationItems":[{"id":"ITEM-1","itemData":{"DOI":"10.1038/19887","ISSN":"1476-4687","abstract":"Many organic solvents evaporate into the atmosphere with detrimental effects on the environment and human health. But room-temperature ionic liquids, with low viscosity and no measurable vapour pressure1, can be used as environmentally benign media for a range of industrially important chemical processes2,3,4,5,6, despite uncertainties about thermal stability and sensitivity to oxygen and water. It is difficult to recover products, however, as extraction with water7 works only for hydrophilic products, distillation is not suitable for poorly volatile or thermally labile products, and liquid-liquid extraction using organic solvents results in cross-contamination. We find that non-volatile organic compounds can be extracted from ionic liquids using supercritical carbon dioxide, which is widely used to extract large organic compounds with minimal pollution8. Carbon dioxide dissolves in the liquid to facilitate extraction, but the ionic liquid does not dissolve in carbon dioxide, so pure product can be recovered.","author":[{"dropping-particle":"","family":"Blanchard","given":"Lynnette A.","non-dropping-particle":"","parse-names":false,"suffix":""},{"dropping-particle":"","family":"Hancu","given":"Dan","non-dropping-particle":"","parse-names":false,"suffix":""},{"dropping-particle":"","family":"Beckman","given":"Eric J.","non-dropping-particle":"","parse-names":false,"suffix":""},{"dropping-particle":"","family":"Brennecke","given":"Joan F.","non-dropping-particle":"","parse-names":false,"suffix":""}],"container-title":"Nature 1999 399:6731","id":"ITEM-1","issue":"6731","issued":{"date-parts":[["1999","5","6"]]},"page":"28-29","publisher":"Nature Publishing Group","title":"Green processing using ionic liquids and CO2","type":"article-journal","volume":"399"},"uris":["http://www.mendeley.com/documents/?uuid=22d98b7c-8799-3ec4-a558-b43275fd0dec"]}],"mendeley":{"formattedCitation":"[8]","plainTextFormattedCitation":"[8]","previouslyFormattedCitation":"[8]"},"properties":{"noteIndex":0},"schema":"https://github.com/citation-style-language/schema/raw/master/csl-citation.json"}</w:instrText>
      </w:r>
      <w:r>
        <w:fldChar w:fldCharType="separate"/>
      </w:r>
      <w:r w:rsidRPr="000E7119">
        <w:rPr>
          <w:noProof/>
        </w:rPr>
        <w:t>[8]</w:t>
      </w:r>
      <w:r>
        <w:fldChar w:fldCharType="end"/>
      </w:r>
      <w:r w:rsidRPr="00FD3529">
        <w:t xml:space="preserve"> </w:t>
      </w:r>
      <w:r w:rsidRPr="00A516EB">
        <w:t>reported that CO</w:t>
      </w:r>
      <w:r w:rsidRPr="000C613B">
        <w:rPr>
          <w:vertAlign w:val="subscript"/>
        </w:rPr>
        <w:t>2</w:t>
      </w:r>
      <w:r w:rsidRPr="00A516EB">
        <w:t xml:space="preserve"> has a high solubility in</w:t>
      </w:r>
      <w:r>
        <w:t xml:space="preserve"> an IL </w:t>
      </w:r>
      <w:r>
        <w:rPr>
          <w:rStyle w:val="rynqvb"/>
          <w:lang w:val="en"/>
        </w:rPr>
        <w:t>on the imidazolium cation (</w:t>
      </w:r>
      <w:proofErr w:type="spellStart"/>
      <w:r>
        <w:t>Im</w:t>
      </w:r>
      <w:proofErr w:type="spellEnd"/>
      <w:r>
        <w:t>-IL)</w:t>
      </w:r>
      <w:r>
        <w:rPr>
          <w:rStyle w:val="rynqvb"/>
          <w:lang w:val="en"/>
        </w:rPr>
        <w:t xml:space="preserve">, </w:t>
      </w:r>
      <w:r w:rsidRPr="00A516EB">
        <w:t>[</w:t>
      </w:r>
      <w:proofErr w:type="spellStart"/>
      <w:r w:rsidRPr="00A516EB">
        <w:t>BMI</w:t>
      </w:r>
      <w:r>
        <w:t>m</w:t>
      </w:r>
      <w:proofErr w:type="spellEnd"/>
      <w:r w:rsidRPr="00A516EB">
        <w:t>][BF6]. Results of experimental work</w:t>
      </w:r>
      <w:r>
        <w:t>s</w:t>
      </w:r>
      <w:r w:rsidRPr="00A516EB">
        <w:t xml:space="preserve"> using spectroscop</w:t>
      </w:r>
      <w:r>
        <w:t>y</w:t>
      </w:r>
      <w:r w:rsidRPr="00A516EB">
        <w:t xml:space="preserve"> and theoretical studies </w:t>
      </w:r>
      <w:r w:rsidR="005B0C38">
        <w:t>show</w:t>
      </w:r>
      <w:r w:rsidRPr="00A516EB">
        <w:t xml:space="preserve"> that interactions between CO</w:t>
      </w:r>
      <w:r w:rsidRPr="000C613B">
        <w:rPr>
          <w:vertAlign w:val="subscript"/>
        </w:rPr>
        <w:t>2</w:t>
      </w:r>
      <w:r w:rsidRPr="00A516EB">
        <w:t xml:space="preserve"> and the anion moiety of the ionic compound dominate the extent of the solubility of CO</w:t>
      </w:r>
      <w:r w:rsidRPr="000C613B">
        <w:rPr>
          <w:vertAlign w:val="subscript"/>
        </w:rPr>
        <w:t>2</w:t>
      </w:r>
      <w:r w:rsidRPr="00A516EB">
        <w:t xml:space="preserve"> in ILs</w:t>
      </w:r>
      <w:r>
        <w:t xml:space="preserve"> </w:t>
      </w:r>
      <w:r>
        <w:fldChar w:fldCharType="begin" w:fldLock="1"/>
      </w:r>
      <w:r>
        <w:instrText>ADDIN CSL_CITATION {"citationItems":[{"id":"ITEM-1","itemData":{"DOI":"10.1016/J.PECS.2021.100965","ISSN":"0360-1285","abstract":"Carbon capture and storage (CCS) is an essential component of mitigating climate change, which arguably presents an existential challenge to our planet. Although CO2 emissions have been on the global agenda for several decades, progress has been extremely slow, insufficient and sporadic. Anthropogenic CO2 emissions are the direct result of our addiction to fossil fuels, and in 2018 accounted for 68% (or, 37.5 GtCO2) out of the total greenhouse gas (GHG) emissions of 55.3 GtCO2e globally. Capturing CO2 at such massive quantities would require resources and technologies that can operate cost-effectively at the multi-gigaton scale, which we currently lack. Moreover, CO2 capture is an expensive and highly energy intensive process complicated further by logistics and the diversity of the emission sources that vary by volume, composition, location, type, and industry or sector. At the same time, however, such diversity also highlights that one size does not fit all, and hence, dictates the need for a multi-prong strategy that emphasizes the necessity to develop wide range of CCS technologies, materials and processes. This article presents a global overview and impartial assessment of the current state of CCS challenges in an extensive manner covered under the main headings of pre- and post-combustion CO2 capture, direct air capture, CO2 transport and storage and utilization, and carbon pricing. Materials aspects of post-combustion CO2 capture technologies are reviewed in detail. The article provides critical discussions of fundamental phenomena and recent advances in the field, as well as tutorial-type background information, where appropriate. The article reviews the status of global CO2 emissions as well as carbon sources and sinks, and examines a broad range of major technologies, methodologies, processes, and materials for CO2 capture, discusses technology options for carbon capture from fossil fuel-based power generation, presents the challenges to storage, utilization and the global pricing of CO2, and finishes with an assessment of knowledge gaps, mitigation options and opportunities for advances. The article emphasizes the fact that there are no easy fixes or cheap technological solutions to the interconnected problems of energy, CO2 emissions and climate change. The threats to Earth's ecosystems are too real and imminent to be judged and driven only by economics. In this existential context, the choice between ‘pay now’ or ‘pay later’ is clear and pa…","author":[{"dropping-particle":"","family":"Gür","given":"Turgut M.","non-dropping-particle":"","parse-names":false,"suffix":""}],"container-title":"Progress in Energy and Combustion Science","id":"ITEM-1","issued":{"date-parts":[["2022","3","1"]]},"page":"100965","publisher":"Pergamon","title":"Carbon Dioxide Emissions, Capture, Storage and Utilization: Review of Materials, Processes and Technologies","type":"article-journal","volume":"89"},"uris":["http://www.mendeley.com/documents/?uuid=92dff713-9778-3183-ab6a-87404d4838dd"]}],"mendeley":{"formattedCitation":"[9]","plainTextFormattedCitation":"[9]","previouslyFormattedCitation":"[9]"},"properties":{"noteIndex":0},"schema":"https://github.com/citation-style-language/schema/raw/master/csl-citation.json"}</w:instrText>
      </w:r>
      <w:r>
        <w:fldChar w:fldCharType="separate"/>
      </w:r>
      <w:r w:rsidRPr="000E7119">
        <w:rPr>
          <w:noProof/>
        </w:rPr>
        <w:t>[9]</w:t>
      </w:r>
      <w:r>
        <w:fldChar w:fldCharType="end"/>
      </w:r>
      <w:r w:rsidRPr="000B642A">
        <w:t>. At the same time, the cation only plays a major role when changing the precursor's functional groups (such as amino</w:t>
      </w:r>
      <w:r>
        <w:t xml:space="preserve"> and hydroxy </w:t>
      </w:r>
      <w:r w:rsidRPr="000B642A">
        <w:t xml:space="preserve">groups) </w:t>
      </w:r>
      <w:r w:rsidRPr="007539F3">
        <w:t>to</w:t>
      </w:r>
      <w:r w:rsidRPr="00EC5CC0">
        <w:t xml:space="preserve"> </w:t>
      </w:r>
      <w:r w:rsidRPr="002D76B0">
        <w:t>develop "task-specific" ILs for CO</w:t>
      </w:r>
      <w:r w:rsidRPr="002D76B0">
        <w:rPr>
          <w:vertAlign w:val="subscript"/>
        </w:rPr>
        <w:t>2</w:t>
      </w:r>
      <w:r w:rsidRPr="002D76B0">
        <w:t xml:space="preserve"> capture </w:t>
      </w:r>
      <w:r w:rsidRPr="002D76B0">
        <w:fldChar w:fldCharType="begin" w:fldLock="1"/>
      </w:r>
      <w:r>
        <w:instrText>ADDIN CSL_CITATION {"citationItems":[{"id":"ITEM-1","itemData":{"DOI":"10.1016/J.JES.2020.06.034","ISSN":"1001-0742","PMID":"33183708","abstract":"CO2 capture and utilization (CCU) is an effective strategy to mitigate global warming. Absorption, adsorption and membranes are methods used for CO2 separation and capture, and various catalytic pathways have also been developed for CO2 utilization. Although widely researched and used in industry, these processes are energy-intensive and this challenge needs to be overcome. To realize further optimization, novel materials and processes are continuously being developed. New generation materials such as ionic liquids (ILs) have shown promising potential for cost-effective CO2 capture and utilization. This study reviews the current status of ILs-based solvents, adsorbents, membranes, catalysts and their hybrid processes for CO2 capture and utilization. The special properties of ILs are integrated into new materials through hybridization, which significantly improves the performance in the process of CCU.","author":[{"dropping-particle":"","family":"Lian","given":"Shaohan","non-dropping-particle":"","parse-names":false,"suffix":""},{"dropping-particle":"","family":"Song","given":"Chunfeng","non-dropping-particle":"","parse-names":false,"suffix":""},{"dropping-particle":"","family":"Liu","given":"Qingling","non-dropping-particle":"","parse-names":false,"suffix":""},{"dropping-particle":"","family":"Duan","given":"Erhong","non-dropping-particle":"","parse-names":false,"suffix":""},{"dropping-particle":"","family":"Ren","given":"Hongwei","non-dropping-particle":"","parse-names":false,"suffix":""},{"dropping-particle":"","family":"Kitamura","given":"Yutaka","non-dropping-particle":"","parse-names":false,"suffix":""}],"container-title":"Journal of Environmental Sciences","id":"ITEM-1","issued":{"date-parts":[["2021","1","1"]]},"page":"281-295","publisher":"Elsevier","title":"Recent advances in ionic liquids-based hybrid processes for CO2 capture and utilization","type":"article-journal","volume":"99"},"uris":["http://www.mendeley.com/documents/?uuid=9c295f0b-78c5-31fb-bdbf-1674c85a1eab"]}],"mendeley":{"formattedCitation":"[10]","plainTextFormattedCitation":"[10]","previouslyFormattedCitation":"[10]"},"properties":{"noteIndex":0},"schema":"https://github.com/citation-style-language/schema/raw/master/csl-citation.json"}</w:instrText>
      </w:r>
      <w:r w:rsidRPr="002D76B0">
        <w:fldChar w:fldCharType="separate"/>
      </w:r>
      <w:r w:rsidRPr="000E7119">
        <w:rPr>
          <w:noProof/>
        </w:rPr>
        <w:t>[10]</w:t>
      </w:r>
      <w:r w:rsidRPr="002D76B0">
        <w:fldChar w:fldCharType="end"/>
      </w:r>
      <w:r>
        <w:t>.</w:t>
      </w:r>
    </w:p>
    <w:p w14:paraId="008E0E60" w14:textId="54BF5A58" w:rsidR="00670E39" w:rsidRDefault="00670E39" w:rsidP="00670E39">
      <w:pPr>
        <w:pStyle w:val="TAMainText"/>
        <w:rPr>
          <w:lang w:val="en-GB"/>
        </w:rPr>
      </w:pPr>
      <w:r>
        <w:t>On the other hand, the zeolites (Z) are microporous materials composed by [TO4] tetrahedra (where T= Si or Al) sharing O atoms with other four [TO4] neighbors. These tetrahedra form well-defined channels with pore apertures of the n-membered ring (</w:t>
      </w:r>
      <w:r w:rsidRPr="00EE4BFC">
        <w:rPr>
          <w:i/>
          <w:iCs/>
        </w:rPr>
        <w:t>n</w:t>
      </w:r>
      <w:r>
        <w:t xml:space="preserve">-MR, where </w:t>
      </w:r>
      <w:r w:rsidRPr="00670E39">
        <w:rPr>
          <w:i/>
          <w:iCs/>
        </w:rPr>
        <w:t>n</w:t>
      </w:r>
      <w:r>
        <w:t xml:space="preserve"> is an integer, see mordenite (MOR) in Figure 1)</w:t>
      </w:r>
      <w:r w:rsidRPr="0079040F">
        <w:t>. The isomorphic substitution (IS) of silicon (Si</w:t>
      </w:r>
      <w:r w:rsidRPr="0079040F">
        <w:rPr>
          <w:vertAlign w:val="superscript"/>
        </w:rPr>
        <w:t>4+</w:t>
      </w:r>
      <w:r w:rsidRPr="0079040F">
        <w:t>) by aluminum (Al</w:t>
      </w:r>
      <w:r w:rsidRPr="0079040F">
        <w:rPr>
          <w:vertAlign w:val="superscript"/>
        </w:rPr>
        <w:t>3+</w:t>
      </w:r>
      <w:r w:rsidRPr="0079040F">
        <w:t>) introduces a negative charge in the zeolitic framework (zeolitic anion, Z</w:t>
      </w:r>
      <w:r w:rsidRPr="0079040F">
        <w:rPr>
          <w:vertAlign w:val="superscript"/>
        </w:rPr>
        <w:t>-</w:t>
      </w:r>
      <w:r w:rsidRPr="0079040F">
        <w:t>), which has to be compensated by exchangeable ions (M</w:t>
      </w:r>
      <w:r w:rsidRPr="0079040F">
        <w:rPr>
          <w:vertAlign w:val="superscript"/>
        </w:rPr>
        <w:t>n+</w:t>
      </w:r>
      <w:r w:rsidRPr="0079040F">
        <w:t xml:space="preserve">, </w:t>
      </w:r>
      <w:r>
        <w:t xml:space="preserve">to </w:t>
      </w:r>
      <w:r w:rsidRPr="0079040F">
        <w:t>charge compensation by ion exchange</w:t>
      </w:r>
      <w:r>
        <w:t xml:space="preserve">, </w:t>
      </w:r>
      <w:r w:rsidRPr="0079040F">
        <w:t>IE), such as inorganic cations (</w:t>
      </w:r>
      <w:r w:rsidRPr="00670E39">
        <w:rPr>
          <w:i/>
          <w:iCs/>
        </w:rPr>
        <w:t>e.g.</w:t>
      </w:r>
      <w:r>
        <w:t xml:space="preserve">, </w:t>
      </w:r>
      <w:r w:rsidRPr="0079040F">
        <w:t>H</w:t>
      </w:r>
      <w:r w:rsidRPr="0079040F">
        <w:rPr>
          <w:vertAlign w:val="superscript"/>
        </w:rPr>
        <w:t>+</w:t>
      </w:r>
      <w:r w:rsidRPr="0079040F">
        <w:t>, Na</w:t>
      </w:r>
      <w:r w:rsidRPr="0079040F">
        <w:rPr>
          <w:vertAlign w:val="superscript"/>
        </w:rPr>
        <w:t>+</w:t>
      </w:r>
      <w:r>
        <w:t xml:space="preserve">, </w:t>
      </w:r>
      <w:r w:rsidRPr="0079040F">
        <w:t>and K</w:t>
      </w:r>
      <w:r w:rsidRPr="0079040F">
        <w:rPr>
          <w:vertAlign w:val="superscript"/>
        </w:rPr>
        <w:t>+</w:t>
      </w:r>
      <w:r w:rsidRPr="0079040F">
        <w:t>), and less frequently organic cations (</w:t>
      </w:r>
      <w:r w:rsidRPr="00670E39">
        <w:rPr>
          <w:i/>
          <w:iCs/>
        </w:rPr>
        <w:t>e.g.</w:t>
      </w:r>
      <w:r>
        <w:t xml:space="preserve">, </w:t>
      </w:r>
      <w:r w:rsidRPr="0079040F">
        <w:t>Pyridinium, C</w:t>
      </w:r>
      <w:r w:rsidRPr="0079040F">
        <w:rPr>
          <w:vertAlign w:val="subscript"/>
        </w:rPr>
        <w:t>5</w:t>
      </w:r>
      <w:r w:rsidRPr="0079040F">
        <w:t>H</w:t>
      </w:r>
      <w:r w:rsidRPr="0079040F">
        <w:rPr>
          <w:vertAlign w:val="subscript"/>
        </w:rPr>
        <w:t>6</w:t>
      </w:r>
      <w:r w:rsidRPr="0079040F">
        <w:t>N</w:t>
      </w:r>
      <w:r w:rsidRPr="0079040F">
        <w:rPr>
          <w:vertAlign w:val="superscript"/>
        </w:rPr>
        <w:t>+</w:t>
      </w:r>
      <w:r w:rsidRPr="0079040F">
        <w:t xml:space="preserve">) </w:t>
      </w:r>
      <w:r w:rsidRPr="0079040F">
        <w:fldChar w:fldCharType="begin" w:fldLock="1"/>
      </w:r>
      <w:r>
        <w:instrText>ADDIN CSL_CITATION {"citationItems":[{"id":"ITEM-1","itemData":{"DOI":"10.1016/J.JPCS.2007.10.068","ISSN":"0022-3697","abstract":"As the promising alternative to improve the hydrogen storage capacity, four types of organic ion-exchanged zeolite-Y (OZ) were synthesized and the hydrogen storage capacities were measured. By introducing the organic ions in the pores of zeolite-Y, the hydrogen uptake was increased to a measurable extent. OZ demonstrates impressive hydrogen storage capacity of 0.15-0.34 wt% at 298 K and 10 MPa, where the Na-Y zeolite has been reported to have no efficiencies. In this study, two organic molecules, pyridine hydrochloride and pyridinium chlorochromate, are tried to identify its unique role in hydrogen uptake. The effect of light ion exchange for the synthesis of OZ on the hydrogen uptake is also given. From these results, we could identify that OZ can be designed and synthesized for the efficient hydrogen storage materials. © 2007 Elsevier Ltd. All rights reserved.","author":[{"dropping-particle":"","family":"Bae","given":"Donghan","non-dropping-particle":"","parse-names":false,"suffix":""},{"dropping-particle":"","family":"Park","given":"Heesang","non-dropping-particle":"","parse-names":false,"suffix":""},{"dropping-particle":"","family":"Kim","given":"Jin Seog","non-dropping-particle":"","parse-names":false,"suffix":""},{"dropping-particle":"","family":"Lee","given":"Jin bok","non-dropping-particle":"","parse-names":false,"suffix":""},{"dropping-particle":"","family":"Kwon","given":"Oh Young","non-dropping-particle":"","parse-names":false,"suffix":""},{"dropping-particle":"","family":"Kim","given":"Kwang Yon","non-dropping-particle":"","parse-names":false,"suffix":""},{"dropping-particle":"","family":"Song","given":"Mee Kyung","non-dropping-particle":"","parse-names":false,"suffix":""},{"dropping-particle":"","family":"No","given":"Kyoung Tai","non-dropping-particle":"","parse-names":false,"suffix":""}],"container-title":"Journal of Physics and Chemistry of Solids","id":"ITEM-1","issue":"5-6","issued":{"date-parts":[["2008","5","1"]]},"page":"1152-1154","publisher":"Pergamon","title":"Hydrogen adsorption in organic ion-exchanged zeolites","type":"article-journal","volume":"69"},"uris":["http://www.mendeley.com/documents/?uuid=2f0e982a-748c-3603-9838-11d2c5acfa8d"]}],"mendeley":{"formattedCitation":"[11]","plainTextFormattedCitation":"[11]","previouslyFormattedCitation":"[29]"},"properties":{"noteIndex":0},"schema":"https://github.com/citation-style-language/schema/raw/master/csl-citation.json"}</w:instrText>
      </w:r>
      <w:r w:rsidRPr="0079040F">
        <w:fldChar w:fldCharType="separate"/>
      </w:r>
      <w:r w:rsidRPr="00A734FC">
        <w:rPr>
          <w:noProof/>
        </w:rPr>
        <w:t>[11]</w:t>
      </w:r>
      <w:r w:rsidRPr="0079040F">
        <w:fldChar w:fldCharType="end"/>
      </w:r>
      <w:r>
        <w:t xml:space="preserve">. </w:t>
      </w:r>
      <w:r w:rsidRPr="00960ED9">
        <w:rPr>
          <w:lang w:val="en-GB"/>
        </w:rPr>
        <w:t>When these M</w:t>
      </w:r>
      <w:r w:rsidRPr="00670E39">
        <w:rPr>
          <w:vertAlign w:val="superscript"/>
          <w:lang w:val="en-GB"/>
        </w:rPr>
        <w:t>n+</w:t>
      </w:r>
      <w:r w:rsidRPr="00960ED9">
        <w:rPr>
          <w:lang w:val="en-GB"/>
        </w:rPr>
        <w:t xml:space="preserve"> are replaced by H</w:t>
      </w:r>
      <w:r w:rsidRPr="00670E39">
        <w:rPr>
          <w:vertAlign w:val="superscript"/>
          <w:lang w:val="en-GB"/>
        </w:rPr>
        <w:t>+</w:t>
      </w:r>
      <w:r w:rsidRPr="00960ED9">
        <w:rPr>
          <w:lang w:val="en-GB"/>
        </w:rPr>
        <w:t xml:space="preserve"> a </w:t>
      </w:r>
      <w:proofErr w:type="spellStart"/>
      <w:r w:rsidRPr="00960ED9">
        <w:rPr>
          <w:lang w:val="en-GB"/>
        </w:rPr>
        <w:t>Brönsted</w:t>
      </w:r>
      <w:proofErr w:type="spellEnd"/>
      <w:r w:rsidRPr="00960ED9">
        <w:rPr>
          <w:lang w:val="en-GB"/>
        </w:rPr>
        <w:t xml:space="preserve"> acid-site (BAS) is produced (</w:t>
      </w:r>
      <w:r w:rsidRPr="00670E39">
        <w:rPr>
          <w:i/>
          <w:iCs/>
          <w:lang w:val="en-GB"/>
        </w:rPr>
        <w:t>i.e.</w:t>
      </w:r>
      <w:r w:rsidRPr="00960ED9">
        <w:rPr>
          <w:lang w:val="en-GB"/>
        </w:rPr>
        <w:t>, protonic zeolites, H-MOR), whereas when the M</w:t>
      </w:r>
      <w:r w:rsidRPr="00670E39">
        <w:rPr>
          <w:vertAlign w:val="superscript"/>
          <w:lang w:val="en-GB"/>
        </w:rPr>
        <w:t>n+</w:t>
      </w:r>
      <w:r w:rsidRPr="00960ED9">
        <w:rPr>
          <w:lang w:val="en-GB"/>
        </w:rPr>
        <w:t xml:space="preserve"> </w:t>
      </w:r>
      <w:r>
        <w:rPr>
          <w:lang w:val="en-GB"/>
        </w:rPr>
        <w:t>is</w:t>
      </w:r>
      <w:r w:rsidRPr="00960ED9">
        <w:rPr>
          <w:lang w:val="en-GB"/>
        </w:rPr>
        <w:t xml:space="preserve"> replaced by Na</w:t>
      </w:r>
      <w:r w:rsidRPr="00670E39">
        <w:rPr>
          <w:vertAlign w:val="superscript"/>
          <w:lang w:val="en-GB"/>
        </w:rPr>
        <w:t>+</w:t>
      </w:r>
      <w:r w:rsidRPr="00960ED9">
        <w:rPr>
          <w:lang w:val="en-GB"/>
        </w:rPr>
        <w:t xml:space="preserve"> a sodium mordenite is produced (Na-MOR)</w:t>
      </w:r>
      <w:r>
        <w:rPr>
          <w:lang w:val="en-GB"/>
        </w:rPr>
        <w:t>.</w:t>
      </w:r>
    </w:p>
    <w:p w14:paraId="6807AE87" w14:textId="6498AFE0" w:rsidR="00E33942" w:rsidRPr="00E038AF" w:rsidRDefault="00E33942" w:rsidP="00E33942">
      <w:pPr>
        <w:jc w:val="center"/>
        <w:rPr>
          <w:rFonts w:ascii="Times New Roman" w:hAnsi="Times New Roman" w:cs="Times New Roman"/>
        </w:rPr>
      </w:pPr>
      <w:r w:rsidRPr="00E33942">
        <w:rPr>
          <w:noProof/>
        </w:rPr>
        <w:drawing>
          <wp:inline distT="0" distB="0" distL="0" distR="0" wp14:anchorId="75AA9662" wp14:editId="733413D5">
            <wp:extent cx="3027680" cy="1089025"/>
            <wp:effectExtent l="0" t="0" r="1270" b="0"/>
            <wp:docPr id="951185734" name="Imagen 95118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54940" name=""/>
                    <pic:cNvPicPr/>
                  </pic:nvPicPr>
                  <pic:blipFill>
                    <a:blip r:embed="rId11"/>
                    <a:stretch>
                      <a:fillRect/>
                    </a:stretch>
                  </pic:blipFill>
                  <pic:spPr>
                    <a:xfrm>
                      <a:off x="0" y="0"/>
                      <a:ext cx="3027680" cy="1089025"/>
                    </a:xfrm>
                    <a:prstGeom prst="rect">
                      <a:avLst/>
                    </a:prstGeom>
                  </pic:spPr>
                </pic:pic>
              </a:graphicData>
            </a:graphic>
          </wp:inline>
        </w:drawing>
      </w:r>
    </w:p>
    <w:p w14:paraId="04769309" w14:textId="7A4019AF" w:rsidR="00E33942" w:rsidRPr="00E33942" w:rsidRDefault="00E33942" w:rsidP="00E33942">
      <w:pPr>
        <w:pStyle w:val="TAMainText"/>
        <w:ind w:firstLine="0"/>
        <w:rPr>
          <w:rFonts w:ascii="Times New Roman" w:hAnsi="Times New Roman"/>
          <w:b/>
          <w:bCs/>
          <w:sz w:val="18"/>
          <w:szCs w:val="18"/>
        </w:rPr>
      </w:pPr>
      <w:r w:rsidRPr="00C6121B">
        <w:rPr>
          <w:rFonts w:ascii="Times New Roman" w:hAnsi="Times New Roman"/>
          <w:b/>
          <w:sz w:val="18"/>
          <w:szCs w:val="18"/>
          <w:lang w:val="en-GB"/>
        </w:rPr>
        <w:t>Figur</w:t>
      </w:r>
      <w:r w:rsidR="008845D8" w:rsidRPr="00C6121B">
        <w:rPr>
          <w:rFonts w:ascii="Times New Roman" w:hAnsi="Times New Roman"/>
          <w:b/>
          <w:sz w:val="18"/>
          <w:szCs w:val="18"/>
          <w:lang w:val="en-GB"/>
        </w:rPr>
        <w:t>e</w:t>
      </w:r>
      <w:r w:rsidRPr="00C6121B">
        <w:rPr>
          <w:rFonts w:ascii="Times New Roman" w:hAnsi="Times New Roman"/>
          <w:b/>
          <w:sz w:val="18"/>
          <w:szCs w:val="18"/>
          <w:lang w:val="en-GB"/>
        </w:rPr>
        <w:t xml:space="preserve"> 1.</w:t>
      </w:r>
      <w:r w:rsidRPr="00C6121B">
        <w:rPr>
          <w:rFonts w:ascii="Times New Roman" w:hAnsi="Times New Roman"/>
          <w:sz w:val="18"/>
          <w:szCs w:val="18"/>
          <w:lang w:val="en-GB"/>
        </w:rPr>
        <w:t xml:space="preserve"> </w:t>
      </w:r>
      <w:r w:rsidRPr="00E33942">
        <w:rPr>
          <w:rFonts w:ascii="Times New Roman" w:hAnsi="Times New Roman"/>
          <w:sz w:val="18"/>
          <w:szCs w:val="18"/>
        </w:rPr>
        <w:t>MOR fragment. Main straight unidimensional channels 12-MR</w:t>
      </w:r>
      <w:r w:rsidRPr="00E33942">
        <w:rPr>
          <w:rFonts w:ascii="Times New Roman" w:hAnsi="Times New Roman"/>
          <w:sz w:val="18"/>
          <w:szCs w:val="18"/>
          <w:vertAlign w:val="subscript"/>
        </w:rPr>
        <w:t>c</w:t>
      </w:r>
      <w:r w:rsidRPr="00E33942">
        <w:rPr>
          <w:rFonts w:ascii="Times New Roman" w:hAnsi="Times New Roman"/>
          <w:sz w:val="18"/>
          <w:szCs w:val="18"/>
        </w:rPr>
        <w:t>, 8-MR</w:t>
      </w:r>
      <w:r w:rsidRPr="00E33942">
        <w:rPr>
          <w:rFonts w:ascii="Times New Roman" w:hAnsi="Times New Roman"/>
          <w:sz w:val="18"/>
          <w:szCs w:val="18"/>
          <w:vertAlign w:val="subscript"/>
        </w:rPr>
        <w:t>c</w:t>
      </w:r>
      <w:r w:rsidRPr="00E33942">
        <w:rPr>
          <w:rFonts w:ascii="Times New Roman" w:hAnsi="Times New Roman"/>
          <w:sz w:val="18"/>
          <w:szCs w:val="18"/>
        </w:rPr>
        <w:t>, 5-MR</w:t>
      </w:r>
      <w:r w:rsidRPr="00E33942">
        <w:rPr>
          <w:rFonts w:ascii="Times New Roman" w:hAnsi="Times New Roman"/>
          <w:sz w:val="18"/>
          <w:szCs w:val="18"/>
          <w:vertAlign w:val="subscript"/>
        </w:rPr>
        <w:t>c</w:t>
      </w:r>
      <w:r w:rsidRPr="00E33942">
        <w:rPr>
          <w:rFonts w:ascii="Times New Roman" w:hAnsi="Times New Roman"/>
          <w:sz w:val="18"/>
          <w:szCs w:val="18"/>
        </w:rPr>
        <w:t xml:space="preserve"> and 4-MR</w:t>
      </w:r>
      <w:r w:rsidRPr="00E33942">
        <w:rPr>
          <w:rFonts w:ascii="Times New Roman" w:hAnsi="Times New Roman"/>
          <w:sz w:val="18"/>
          <w:szCs w:val="18"/>
          <w:vertAlign w:val="subscript"/>
        </w:rPr>
        <w:t>c</w:t>
      </w:r>
      <w:r w:rsidRPr="00E33942">
        <w:rPr>
          <w:rFonts w:ascii="Times New Roman" w:hAnsi="Times New Roman"/>
          <w:sz w:val="18"/>
          <w:szCs w:val="18"/>
        </w:rPr>
        <w:t xml:space="preserve"> (a). Projection of side pocket channel 8-MR</w:t>
      </w:r>
      <w:r w:rsidRPr="00E33942">
        <w:rPr>
          <w:rFonts w:ascii="Times New Roman" w:hAnsi="Times New Roman"/>
          <w:sz w:val="18"/>
          <w:szCs w:val="18"/>
          <w:vertAlign w:val="subscript"/>
        </w:rPr>
        <w:t>b</w:t>
      </w:r>
      <w:r w:rsidRPr="00E33942">
        <w:rPr>
          <w:rFonts w:ascii="Times New Roman" w:hAnsi="Times New Roman"/>
          <w:sz w:val="18"/>
          <w:szCs w:val="18"/>
        </w:rPr>
        <w:t xml:space="preserve"> (pink, yellow, green, and purple atom balls represent crystallographic positions for IS (Tn), meanwhile red one represent the 10 non-equivalent O</w:t>
      </w:r>
      <w:r w:rsidRPr="00E33942">
        <w:rPr>
          <w:rFonts w:ascii="Times New Roman" w:hAnsi="Times New Roman"/>
          <w:sz w:val="18"/>
          <w:szCs w:val="18"/>
          <w:vertAlign w:val="subscript"/>
        </w:rPr>
        <w:t>m</w:t>
      </w:r>
      <w:r w:rsidRPr="00E33942">
        <w:rPr>
          <w:rFonts w:ascii="Times New Roman" w:hAnsi="Times New Roman"/>
          <w:sz w:val="18"/>
          <w:szCs w:val="18"/>
        </w:rPr>
        <w:t xml:space="preserve"> where BAS can be generated) (b). Initial geometry of Na-MOR model used in this work (Site I). (c).</w:t>
      </w:r>
    </w:p>
    <w:p w14:paraId="39E8C0F5" w14:textId="2781D650" w:rsidR="00E33942" w:rsidRDefault="00E33942" w:rsidP="00E33942">
      <w:pPr>
        <w:pStyle w:val="TAMainText"/>
      </w:pPr>
      <w:r w:rsidRPr="0079040F">
        <w:t>Some zeolites offer chemical architectures with tunable pore size and high surface area</w:t>
      </w:r>
      <w:r w:rsidR="00900B4E">
        <w:t>,</w:t>
      </w:r>
      <w:r w:rsidRPr="0079040F">
        <w:t xml:space="preserve"> provid</w:t>
      </w:r>
      <w:r w:rsidR="00900B4E">
        <w:t>ing</w:t>
      </w:r>
      <w:r w:rsidRPr="0079040F">
        <w:t xml:space="preserve"> enormous potential for encapsulating </w:t>
      </w:r>
      <w:r>
        <w:t>CO</w:t>
      </w:r>
      <w:r w:rsidRPr="0059350C">
        <w:rPr>
          <w:vertAlign w:val="subscript"/>
        </w:rPr>
        <w:t>2</w:t>
      </w:r>
      <w:r>
        <w:t xml:space="preserve"> </w:t>
      </w:r>
      <w:r w:rsidRPr="0079040F">
        <w:t>(</w:t>
      </w:r>
      <w:r w:rsidRPr="005D6474">
        <w:rPr>
          <w:i/>
          <w:iCs/>
        </w:rPr>
        <w:t>e.g.,</w:t>
      </w:r>
      <w:r w:rsidRPr="0079040F">
        <w:t xml:space="preserve"> </w:t>
      </w:r>
      <w:r>
        <w:t>Na</w:t>
      </w:r>
      <w:r w:rsidRPr="0079040F">
        <w:t xml:space="preserve">-X, </w:t>
      </w:r>
      <w:r>
        <w:t xml:space="preserve">and </w:t>
      </w:r>
      <w:r w:rsidRPr="00573ABC">
        <w:t>Na-SAPO-34</w:t>
      </w:r>
      <w:r w:rsidRPr="0079040F">
        <w:t xml:space="preserve">, see Table </w:t>
      </w:r>
      <w:r>
        <w:t>3</w:t>
      </w:r>
      <w:r w:rsidRPr="0079040F">
        <w:t xml:space="preserve"> in ref.</w:t>
      </w:r>
      <w:r>
        <w:t xml:space="preserve"> </w:t>
      </w:r>
      <w:r>
        <w:fldChar w:fldCharType="begin" w:fldLock="1"/>
      </w:r>
      <w:r>
        <w:instrText>ADDIN CSL_CITATION {"citationItems":[{"id":"ITEM-1","itemData":{"DOI":"10.1002/CSSC.202002677","ISSN":"1864-564X","PMID":"33403787","abstract":"The atmospheric CO2 concentration continues a rapid increase to its current record high value of 416 ppm for the time being. It calls for advanced CO2 capture technologies. One of the attractive technologies is physical adsorption-based separation, which shows easy regeneration and high cycle stability, and thus reduced energy penalties and cost. The extensive research on this topic is evidenced by the growing body of scientific and technical literature. The progress spans from the innovation of novel porous adsorbents to practical separation practices. Major CO2 capture materials include the most widely used industrially relevant porous carbons, zeolites, activated alumina, mesoporous silica, and the newly emerging metal-organic frameworks (MOFs) and covalent-organic framework (COFs). The key intrinsic properties such as pore structure, surface chemistry, preferable adsorption sites, and other structural features that would affect CO2 capture capacity, selectivity, and recyclability are first discussed. The industrial relevant variables such as particle size of adsorbents, the mechanical strength, adsorption heat management, and other technological advances are equally important, even more crucial when scaling up from bench and pilot-scale to demonstration and commercial scale. Therefore, we aim to bring a full picture of the adsorption-based CO2 separation technologies, from adsorbent design, intrinsic property evaluation to performance assessment not only under ideal equilibrium conditions but also in realistic pressure swing adsorption processes.","author":[{"dropping-particle":"","family":"Liu","given":"Ru Shuai","non-dropping-particle":"","parse-names":false,"suffix":""},{"dropping-particle":"","family":"Shi","given":"Xiao Dong","non-dropping-particle":"","parse-names":false,"suffix":""},{"dropping-particle":"","family":"Wang","given":"Cheng Tong","non-dropping-particle":"","parse-names":false,"suffix":""},{"dropping-particle":"","family":"Gao","given":"Yu Zhou","non-dropping-particle":"","parse-names":false,"suffix":""},{"dropping-particle":"","family":"Xu","given":"Shuang","non-dropping-particle":"","parse-names":false,"suffix":""},{"dropping-particle":"","family":"Hao","given":"Guang Ping","non-dropping-particle":"","parse-names":false,"suffix":""},{"dropping-particle":"","family":"Chen","given":"Shaoyun","non-dropping-particle":"","parse-names":false,"suffix":""},{"dropping-particle":"","family":"Lu","given":"An Hui","non-dropping-particle":"","parse-names":false,"suffix":""}],"container-title":"ChemSusChem","id":"ITEM-1","issue":"6","issued":{"date-parts":[["2021","3","22"]]},"page":"1428-1471","publisher":"John Wiley &amp; Sons, Ltd","title":"Advances in Post-Combustion CO2 Capture by Physical Adsorption: From Materials Innovation to Separation Practice","type":"article-journal","volume":"14"},"uris":["http://www.mendeley.com/documents/?uuid=016475dd-79f4-3de2-b4e1-8c2b04667f90"]}],"mendeley":{"formattedCitation":"[12]","plainTextFormattedCitation":"[12]","previouslyFormattedCitation":"[31]"},"properties":{"noteIndex":0},"schema":"https://github.com/citation-style-language/schema/raw/master/csl-citation.json"}</w:instrText>
      </w:r>
      <w:r>
        <w:fldChar w:fldCharType="separate"/>
      </w:r>
      <w:r w:rsidRPr="00A734FC">
        <w:rPr>
          <w:noProof/>
        </w:rPr>
        <w:t>[12]</w:t>
      </w:r>
      <w:r>
        <w:fldChar w:fldCharType="end"/>
      </w:r>
      <w:r w:rsidRPr="0079040F">
        <w:t>)</w:t>
      </w:r>
      <w:r>
        <w:t xml:space="preserve"> and </w:t>
      </w:r>
      <w:r w:rsidRPr="0079040F">
        <w:t>H</w:t>
      </w:r>
      <w:r w:rsidRPr="0079040F">
        <w:rPr>
          <w:vertAlign w:val="subscript"/>
        </w:rPr>
        <w:t>2</w:t>
      </w:r>
      <w:r w:rsidRPr="0079040F">
        <w:t>S (</w:t>
      </w:r>
      <w:r w:rsidRPr="005D6474">
        <w:rPr>
          <w:i/>
          <w:iCs/>
        </w:rPr>
        <w:t>e.g.</w:t>
      </w:r>
      <w:r w:rsidRPr="0079040F">
        <w:t>, Ag-X, Fe-</w:t>
      </w:r>
      <w:proofErr w:type="spellStart"/>
      <w:r w:rsidRPr="0079040F">
        <w:t>NaA</w:t>
      </w:r>
      <w:proofErr w:type="spellEnd"/>
      <w:r w:rsidRPr="0079040F">
        <w:t xml:space="preserve">, Cu-ETS-2, see Table 6 in ref. </w:t>
      </w:r>
      <w:r w:rsidRPr="0079040F">
        <w:fldChar w:fldCharType="begin" w:fldLock="1"/>
      </w:r>
      <w:r>
        <w:instrText>ADDIN CSL_CITATION {"citationItems":[{"id":"ITEM-1","itemData":{"DOI":"10.1021/ACS.IECR.9B03800","ISSN":"15205045","abstract":"Removal of hydrogen sulfide (H2S) released from various source processes is crucial because this compound can cause corrosion and environmental damage even at low concentration levels. The porous m...","author":[{"dropping-particle":"","family":"Khabazipour","given":"Maryam","non-dropping-particle":"","parse-names":false,"suffix":""},{"dropping-particle":"","family":"Anbia","given":"Mansoor","non-dropping-particle":"","parse-names":false,"suffix":""}],"container-title":"Industrial &amp; Engineering Chemistry Research","id":"ITEM-1","issue":"49","issued":{"date-parts":[["2019","12","11"]]},"page":"22133-22164","publisher":"American Chemical Society","title":"Removal of Hydrogen Sulfide from Gas Streams Using Porous Materials: A Review","type":"article-journal","volume":"58"},"uris":["http://www.mendeley.com/documents/?uuid=dba04374-5435-3985-becc-c70979d9f5b7"]}],"mendeley":{"formattedCitation":"[13]","plainTextFormattedCitation":"[13]","previouslyFormattedCitation":"[32]"},"properties":{"noteIndex":0},"schema":"https://github.com/citation-style-language/schema/raw/master/csl-citation.json"}</w:instrText>
      </w:r>
      <w:r w:rsidRPr="0079040F">
        <w:fldChar w:fldCharType="separate"/>
      </w:r>
      <w:r w:rsidRPr="00A734FC">
        <w:rPr>
          <w:noProof/>
        </w:rPr>
        <w:t>[13]</w:t>
      </w:r>
      <w:r w:rsidRPr="0079040F">
        <w:fldChar w:fldCharType="end"/>
      </w:r>
      <w:r w:rsidRPr="0079040F">
        <w:t xml:space="preserve">). However, </w:t>
      </w:r>
      <w:r>
        <w:t xml:space="preserve">the </w:t>
      </w:r>
      <w:r w:rsidRPr="0079040F">
        <w:t xml:space="preserve">adsorption capacities of standard zeolites </w:t>
      </w:r>
      <w:r w:rsidR="00900B4E">
        <w:t>decrease</w:t>
      </w:r>
      <w:r w:rsidRPr="0079040F">
        <w:t xml:space="preserve"> rapidly </w:t>
      </w:r>
      <w:r w:rsidR="00900B4E">
        <w:t>with</w:t>
      </w:r>
      <w:r w:rsidRPr="0079040F">
        <w:t xml:space="preserve"> the temperature</w:t>
      </w:r>
      <w:r>
        <w:t xml:space="preserve"> and </w:t>
      </w:r>
      <w:r w:rsidRPr="00D2561F">
        <w:t>moisture</w:t>
      </w:r>
      <w:r>
        <w:t xml:space="preserve">, </w:t>
      </w:r>
      <w:r w:rsidRPr="00D2561F">
        <w:t>which could reduce their CO</w:t>
      </w:r>
      <w:r w:rsidRPr="007E7F39">
        <w:rPr>
          <w:vertAlign w:val="subscript"/>
        </w:rPr>
        <w:t>2</w:t>
      </w:r>
      <w:r w:rsidRPr="00D2561F">
        <w:t xml:space="preserve"> </w:t>
      </w:r>
      <w:r>
        <w:t>and H</w:t>
      </w:r>
      <w:r w:rsidRPr="007E7F39">
        <w:rPr>
          <w:vertAlign w:val="subscript"/>
        </w:rPr>
        <w:t>2</w:t>
      </w:r>
      <w:r>
        <w:t xml:space="preserve">S </w:t>
      </w:r>
      <w:r w:rsidRPr="00D2561F">
        <w:t>uptake</w:t>
      </w:r>
      <w:r w:rsidRPr="0079040F">
        <w:t xml:space="preserve">. In addition, their selectivity to </w:t>
      </w:r>
      <w:r>
        <w:t>CO</w:t>
      </w:r>
      <w:r w:rsidRPr="00383ABD">
        <w:rPr>
          <w:vertAlign w:val="subscript"/>
        </w:rPr>
        <w:t>2</w:t>
      </w:r>
      <w:r>
        <w:t xml:space="preserve">, and </w:t>
      </w:r>
      <w:r w:rsidRPr="0079040F">
        <w:t>H</w:t>
      </w:r>
      <w:r w:rsidRPr="0079040F">
        <w:rPr>
          <w:vertAlign w:val="subscript"/>
        </w:rPr>
        <w:t>2</w:t>
      </w:r>
      <w:r w:rsidRPr="0079040F">
        <w:t>S in the existence of other gases (N</w:t>
      </w:r>
      <w:r w:rsidRPr="0079040F">
        <w:rPr>
          <w:vertAlign w:val="subscript"/>
        </w:rPr>
        <w:t>2</w:t>
      </w:r>
      <w:r w:rsidRPr="0079040F">
        <w:t>, CH</w:t>
      </w:r>
      <w:r w:rsidRPr="0079040F">
        <w:rPr>
          <w:vertAlign w:val="subscript"/>
        </w:rPr>
        <w:t>4</w:t>
      </w:r>
      <w:r w:rsidRPr="0079040F">
        <w:t>, H</w:t>
      </w:r>
      <w:r w:rsidRPr="0079040F">
        <w:rPr>
          <w:vertAlign w:val="subscript"/>
        </w:rPr>
        <w:t>2</w:t>
      </w:r>
      <w:r w:rsidRPr="0079040F">
        <w:t xml:space="preserve">O, </w:t>
      </w:r>
      <w:r w:rsidRPr="0079040F">
        <w:rPr>
          <w:i/>
          <w:iCs/>
        </w:rPr>
        <w:t>etc.</w:t>
      </w:r>
      <w:r w:rsidRPr="0079040F">
        <w:t>) is not ideal</w:t>
      </w:r>
      <w:r>
        <w:t xml:space="preserve"> </w:t>
      </w:r>
      <w:r>
        <w:fldChar w:fldCharType="begin" w:fldLock="1"/>
      </w:r>
      <w:r>
        <w:instrText xml:space="preserve">ADDIN CSL_CITATION {"citationItems":[{"id":"ITEM-1","itemData":{"DOI":"10.1021/ACS.ENERGYFUELS.5B00305/SUPPL_FILE/EF5B00305_SI_001.PDF","ISSN":"15205029","abstract":"Pipeline natural gas is typically \"odorized\" with </w:instrText>
      </w:r>
      <w:r>
        <w:rPr>
          <w:rFonts w:ascii="Cambria Math" w:hAnsi="Cambria Math" w:cs="Cambria Math"/>
        </w:rPr>
        <w:instrText>∼</w:instrText>
      </w:r>
      <w:r>
        <w:instrText>10 ppm of sulfur-containing components, such as mercaptans, for ease of detection. Such odorants can be removed before being burned in electricity generation gas turbines to prevent or limit turbine corrosion and increase turbine lifetime. Selective adsorption of these odorants onto solid materials is an attractive approach to address this problem because of the ability to remove these trace levels of sulfur and to be operated at low temperatures, meaning that it is less energy-intensive than other traditional sulfur removal methods. Adsorbent material selection is important for this approach, and a material with high sulfur capacity, selectivity, and regenerability is desired for a practical implementation of such an adsorption system. In this study, several adsorbent materials are gravimetrically screened for t-butyl mercaptan (TBM) adsorption capacity and the best candidates, Cu-BTC, MIL-53(Al), and UiO-66(Zr), are compared to a benchmark material, zeolite NaY. These selected materials are evaluated with regard to their cyclic regenerability/stability and selectivity toward TBM over methane and other impurities. From the results of this study, UiO-66(Zr) emerges as a promising candidate material for this application.","author":[{"dropping-particle":"","family":"Chen","given":"Grace","non-dropping-particle":"","parse-names":false,"suffix":""},{"dropping-particle":"","family":"Tan","given":"Shuai","non-dropping-particle":"","parse-names":false,"suffix":""},{"dropping-particle":"","family":"Koros","given":"William J.","non-dropping-particle":"","parse-names":false,"suffix":""},{"dropping-particle":"","family":"Jones","given":"Christopher W.","non-dropping-particle":"","parse-names":false,"suffix":""}],"container-title":"Energy and Fuels","id":"ITEM-1","issue":"5","issued":{"date-parts":[["2015","5","21"]]},"page":"3312-3321","publisher":"American Chemical Society","title":"Metal organic frameworks for selective adsorption of t -butyl mercaptan from natural gas","type":"article-journal","volume":"29"},"uris":["http://www.mendeley.com/documents/?uuid=24601d09-b5df-3172-9844-3985b03429ec"]},{"id":"ITEM-2","itemData":{"DOI":"10.1093/NSR/NWAC064","ISSN":"2095-5138","abstract":"&lt;p&gt;Separation of mixture is always necessarily required in modern industry, especially in fine chemical, petrochemical, coal chemical, and pharmaceutical industries. The challenge of separation process is usually associated with small molecules with very similar physical and chemical properties. Among the separation techniques, the commonly used high-pressure cryogenic distillation process with combination of high-pressure and very low temperature is heavily energy-consumed and accounts for the major production costs as well as 10–15% of the world's energy consumption. To this end, the adsorptive separation process based on zeolite sorbents is a promising lower-energy alternative and the performance is directly determined by the zeolite sorbents. In this review, we surveyed the separation mechanisms based on the steric, equilibrium, kinetic, and ‘trapdoor’ effect, and summarized the recent advances in adsorptive separation via zeolites including CO2, light olefins, C8 aromatics, and hydrogen isotopes. Furthermore, we provided the perspectives on the rational design of zeolite sorbents for the absolute separation of mixtures.&lt;/p&gt;","author":[{"dropping-particle":"","family":"Bai","given":"Ruobing","non-dropping-particle":"","parse-names":false,"suffix":""},{"dropping-particle":"","family":"Song","given":"Xiaowei","non-dropping-particle":"","parse-names":false,"suffix":""},{"dropping-particle":"","family":"Yan","given":"Wenfu","non-dropping-particle":"","parse-names":false,"suffix":""},{"dropping-particle":"","family":"Yu","given":"Jihong","non-dropping-particle":"","parse-names":false,"suffix":""}],"container-title":"National Science Review","id":"ITEM-2","issued":{"date-parts":[["2022","4","5"]]},"title":"Low-Energy Adsorptive Separation by Zeolites","type":"article-journal"},"uris":["http://www.mendeley.com/documents/?uuid=015650f8-6f3c-39b5-adfb-328f639beef5"]}],"mendeley":{"formattedCitation":"[14,15]","plainTextFormattedCitation":"[14,15]","previouslyFormattedCitation":"[33,34]"},"properties":{"noteIndex":0},"schema":"https://github.com/citation-style-language/schema/raw/master/csl-citation.json"}</w:instrText>
      </w:r>
      <w:r>
        <w:fldChar w:fldCharType="separate"/>
      </w:r>
      <w:r w:rsidRPr="00A734FC">
        <w:rPr>
          <w:noProof/>
        </w:rPr>
        <w:t>[14,15]</w:t>
      </w:r>
      <w:r>
        <w:fldChar w:fldCharType="end"/>
      </w:r>
      <w:r w:rsidRPr="0079040F">
        <w:t xml:space="preserve">. </w:t>
      </w:r>
      <w:r w:rsidRPr="008E535A">
        <w:t>Hence, the zeolites are susceptible to</w:t>
      </w:r>
      <w:r>
        <w:t xml:space="preserve"> be</w:t>
      </w:r>
      <w:r w:rsidRPr="008E535A">
        <w:t xml:space="preserve"> </w:t>
      </w:r>
      <w:r>
        <w:rPr>
          <w:rStyle w:val="q4iawc"/>
          <w:lang w:val="en"/>
        </w:rPr>
        <w:t>modified</w:t>
      </w:r>
      <w:r w:rsidRPr="008E535A">
        <w:t xml:space="preserve"> for</w:t>
      </w:r>
      <w:r>
        <w:rPr>
          <w:rStyle w:val="q4iawc"/>
          <w:lang w:val="en"/>
        </w:rPr>
        <w:t xml:space="preserve"> applications </w:t>
      </w:r>
      <w:r w:rsidRPr="009435F3">
        <w:t>in the capture</w:t>
      </w:r>
      <w:r>
        <w:t xml:space="preserve">, storage and utilization </w:t>
      </w:r>
      <w:r w:rsidRPr="009435F3">
        <w:t xml:space="preserve">of </w:t>
      </w:r>
      <w:r>
        <w:t>CO</w:t>
      </w:r>
      <w:r w:rsidRPr="00F1352B">
        <w:rPr>
          <w:vertAlign w:val="subscript"/>
        </w:rPr>
        <w:t>2</w:t>
      </w:r>
      <w:r>
        <w:t xml:space="preserve"> for</w:t>
      </w:r>
      <w:r w:rsidRPr="009435F3">
        <w:t xml:space="preserve"> unconventional </w:t>
      </w:r>
      <w:r w:rsidRPr="001D698B">
        <w:t>applications</w:t>
      </w:r>
      <w:r>
        <w:t xml:space="preserve"> </w:t>
      </w:r>
      <w:r>
        <w:rPr>
          <w:rStyle w:val="q4iawc"/>
          <w:lang w:val="en"/>
        </w:rPr>
        <w:t xml:space="preserve">such as </w:t>
      </w:r>
      <w:r>
        <w:t>u</w:t>
      </w:r>
      <w:r w:rsidRPr="00EB608C">
        <w:t xml:space="preserve">ndersea </w:t>
      </w:r>
      <w:r>
        <w:t>s</w:t>
      </w:r>
      <w:r w:rsidRPr="00EB608C">
        <w:t>eparation of CO</w:t>
      </w:r>
      <w:r w:rsidRPr="00EB608C">
        <w:rPr>
          <w:vertAlign w:val="subscript"/>
        </w:rPr>
        <w:t>2</w:t>
      </w:r>
      <w:r>
        <w:t xml:space="preserve">, </w:t>
      </w:r>
      <w:r w:rsidRPr="009435F3">
        <w:t xml:space="preserve">exhaust gas in laboratory or garbage dump among others </w:t>
      </w:r>
      <w:r w:rsidRPr="009435F3">
        <w:fldChar w:fldCharType="begin" w:fldLock="1"/>
      </w:r>
      <w:r>
        <w:instrText>ADDIN CSL_CITATION {"citationItems":[{"id":"ITEM-1","itemData":{"DOI":"10.1016/J.COGSC.2020.100405","ISSN":"2452-2236","abstract":"The indoor pollutants are complex, including irritant inorganic gases such as NH3, H2S, and SO2, aerosol and volatile organic compounds, and other gas pollutants. The untreated emission of laboratory pollutants does not meet the requirements of environmental protection and related policies, and it also harms human health and living environment. Ionic liquids, as green solvents, have been widely concerned in indoor pollutants removal. In this review, the research status and progress of IL-based adsorbents in indoor pollutants in the past recent years are summarized, and the suggestions for future research directions are put forward.","author":[{"dropping-particle":"","family":"Yu","given":"Min","non-dropping-particle":"","parse-names":false,"suffix":""},{"dropping-particle":"","family":"Zeng","given":"Shaojuan","non-dropping-particle":"","parse-names":false,"suffix":""},{"dropping-particle":"","family":"Nie","given":"Yi","non-dropping-particle":"","parse-names":false,"suffix":""},{"dropping-particle":"","family":"Zhang","given":"Xiangping","non-dropping-particle":"","parse-names":false,"suffix":""},{"dropping-particle":"","family":"Zhang","given":"Suojiang","non-dropping-particle":"","parse-names":false,"suffix":""}],"container-title":"Current Opinion in Green and Sustainable Chemistry","id":"ITEM-1","issued":{"date-parts":[["2021","2","1"]]},"page":"100405","publisher":"Elsevier","title":"Ionic liquid–based adsorbents in indoor pollutants removal","type":"article-journal","volume":"27"},"uris":["http://www.mendeley.com/documents/?uuid=17faeaac-c4c7-3d5a-981e-6cb76d2a7bec"]},{"id":"ITEM-2","itemData":{"DOI":"10.1007/S10311-020-01100-Y","ISSN":"1610-3661","abstract":"The USA, China and India are the top three producers of municipal solid waste. The composition of solid wastes varies with income: low-to-middle-income population generates mainly organic wastes, whereas high-income population produces more waste paper, metals and glasses. Management of municipal solid waste includes recycling, incineration, waste-to-energy conversion, composting or landfilling. Landfilling for solid waste disposal is preferred in many municipalities globally. Landfill sites act as ecological reactors where wastes undergo physical, chemical and biological transformations. Hence, critical factors for sustainable landfilling are landfill liners, the thickness of the soil cover, leachate collection, landfill gas recovery and flaring facilities. Here, we review the impact of landfill conditions such as construction, geometry, weather, temperature, moisture, pH, biodegradable matter and hydrogeological parameters on the generation of landfill gases and leachate. Bioreactor landfills appear as the next-generation sanitary landfills, because they augment solid waste stabilization in a time-efficient manner, as a result of controlled recirculation of leachate and gases. We discuss volume reduction, resource recovery, valorization of dumped wastes, environmental protection and site reclamation toward urban development. We present the classifications and engineered iterations of landfills, operations, mechanisms and mining.","author":[{"dropping-particle":"","family":"Nanda","given":"Sonil","non-dropping-particle":"","parse-names":false,"suffix":""},{"dropping-particle":"","family":"Berruti","given":"Franco","non-dropping-particle":"","parse-names":false,"suffix":""}],"container-title":"Environmental Chemistry Letters 2020 19:2","id":"ITEM-2","issue":"2","issued":{"date-parts":[["2020","9","23"]]},"page":"1433-1456","publisher":"Springer","title":"Municipal solid waste management and landfilling technologies: a review","type":"article-journal","volume":"19"},"uris":["http://www.mendeley.com/documents/?uuid=621fbef4-ef6e-3dd1-9746-89093184cd0c"]}],"mendeley":{"formattedCitation":"[16,17]","plainTextFormattedCitation":"[16,17]","previouslyFormattedCitation":"[35,36]"},"properties":{"noteIndex":0},"schema":"https://github.com/citation-style-language/schema/raw/master/csl-citation.json"}</w:instrText>
      </w:r>
      <w:r w:rsidRPr="009435F3">
        <w:fldChar w:fldCharType="separate"/>
      </w:r>
      <w:r w:rsidRPr="00A734FC">
        <w:rPr>
          <w:noProof/>
        </w:rPr>
        <w:t>[16,17]</w:t>
      </w:r>
      <w:r w:rsidRPr="009435F3">
        <w:fldChar w:fldCharType="end"/>
      </w:r>
      <w:r>
        <w:t>.</w:t>
      </w:r>
    </w:p>
    <w:p w14:paraId="35A0148E" w14:textId="77777777" w:rsidR="00E33942" w:rsidRDefault="00E33942" w:rsidP="00E33942">
      <w:pPr>
        <w:pStyle w:val="TAMainText"/>
        <w:rPr>
          <w:shd w:val="clear" w:color="auto" w:fill="FFFFFF"/>
        </w:rPr>
      </w:pPr>
      <w:r>
        <w:t>Strategically, targeted tailoring of the interior cages of zeolites and reversible physisorption processes by controlling weak van der Waals (</w:t>
      </w:r>
      <w:proofErr w:type="spellStart"/>
      <w:r>
        <w:t>dWs</w:t>
      </w:r>
      <w:proofErr w:type="spellEnd"/>
      <w:r>
        <w:t>) forces (</w:t>
      </w:r>
      <w:r w:rsidRPr="00BA14FA">
        <w:rPr>
          <w:i/>
          <w:iCs/>
        </w:rPr>
        <w:t>e.g.</w:t>
      </w:r>
      <w:r>
        <w:t xml:space="preserve">, by IE of organic cations in zeolite) could tune the acid gases' capture capacity and selectivity while softening regeneration temperatures. In this sense, </w:t>
      </w:r>
      <w:proofErr w:type="spellStart"/>
      <w:r>
        <w:t>Kuznicki</w:t>
      </w:r>
      <w:proofErr w:type="spellEnd"/>
      <w:r>
        <w:t xml:space="preserve"> </w:t>
      </w:r>
      <w:r w:rsidRPr="00BA14FA">
        <w:rPr>
          <w:i/>
          <w:iCs/>
        </w:rPr>
        <w:t>et al.</w:t>
      </w:r>
      <w:r>
        <w:t xml:space="preserve"> </w:t>
      </w:r>
      <w:r w:rsidRPr="004F1952">
        <w:fldChar w:fldCharType="begin" w:fldLock="1"/>
      </w:r>
      <w:r>
        <w:instrText>ADDIN CSL_CITATION {"citationItems":[{"id":"ITEM-1","itemData":{"DOI":"10.1038/35089052","ISSN":"1476-4687","PMID":"11507636","abstract":"Zeolites and related crystalline microporous oxides—tetrahedrally coordinated atoms covalently linked into a porous framework—are of interest for applications ranging from catalysis to adsorption and ion-exchange1. In some of these materials (such as zeolite rho) adsorbates2, ion-exchange, and dehydration and cation relocation3,4 can induce strong framework deformations. Similar framework flexibility has to date not been seen in mixed octahedral/tetrahedral microporous framework materials, a newer and rapidly expanding class of molecular sieves5,6,7,8,9,10,11,12,13,14,15,16. Here we show that the framework of the titanium silicate ETS-4, the first member of this class of materials8, can be systematically contracted through dehydration at elevated temperatures to ‘tune’ the effective size of the pores giving access to the interior of the crystal. We show that this so-called ‘molecular gate’ effect can be used to tailor the adsorption properties of the materials to give size-selective adsorbents17 suitable for commercially important separations of gas mixtures of molecules with similar size in the 4.0 to 3.0 Å range, such as that of N2/CH4, Ar/O2 and N2/O2.","author":[{"dropping-particle":"","family":"Kuznicki","given":"Steven M.","non-dropping-particle":"","parse-names":false,"suffix":""},{"dropping-particle":"","family":"Bell","given":"Valerie A.","non-dropping-particle":"","parse-names":false,"suffix":""},{"dropping-particle":"","family":"Nair","given":"Sankar","non-dropping-particle":"","parse-names":false,"suffix":""},{"dropping-particle":"","family":"Hillhouse","given":"Hugh W.","non-dropping-particle":"","parse-names":false,"suffix":""},{"dropping-particle":"","family":"Jacubinas","given":"Richard M.","non-dropping-particle":"","parse-names":false,"suffix":""},{"dropping-particle":"","family":"Braunbarth","given":"Carola M.","non-dropping-particle":"","parse-names":false,"suffix":""},{"dropping-particle":"","family":"Toby","given":"Brian H.","non-dropping-particle":"","parse-names":false,"suffix":""},{"dropping-particle":"","family":"Tsapatsis","given":"Michael","non-dropping-particle":"","parse-names":false,"suffix":""}],"container-title":"Nature 2001 412:6848","id":"ITEM-1","issue":"6848","issued":{"date-parts":[["2001","8","16"]]},"page":"720-724","publisher":"Nature Publishing Group","title":"A titanosilicate molecular sieve with adjustable pores for size-selective adsorption of molecules","type":"article-journal","volume":"412"},"uris":["http://www.mendeley.com/documents/?uuid=5899c92b-f381-323e-9b4e-b65dbe99b931"]}],"mendeley":{"formattedCitation":"[18]","plainTextFormattedCitation":"[18]","previouslyFormattedCitation":"[37]"},"properties":{"noteIndex":0},"schema":"https://github.com/citation-style-language/schema/raw/master/csl-citation.json"}</w:instrText>
      </w:r>
      <w:r w:rsidRPr="004F1952">
        <w:fldChar w:fldCharType="separate"/>
      </w:r>
      <w:r w:rsidRPr="00A734FC">
        <w:rPr>
          <w:noProof/>
        </w:rPr>
        <w:t>[18]</w:t>
      </w:r>
      <w:r w:rsidRPr="004F1952">
        <w:fldChar w:fldCharType="end"/>
      </w:r>
      <w:r w:rsidRPr="004F1952">
        <w:t xml:space="preserve"> </w:t>
      </w:r>
      <w:r>
        <w:t>reported the first molecular gate material, ETS-4, with adjustable pores for size-selective adsorption of molecules</w:t>
      </w:r>
      <w:r w:rsidRPr="004F1952">
        <w:t xml:space="preserve">. Yang </w:t>
      </w:r>
      <w:r w:rsidRPr="004F1952">
        <w:rPr>
          <w:i/>
          <w:iCs/>
        </w:rPr>
        <w:t>et al.</w:t>
      </w:r>
      <w:r w:rsidRPr="004F1952">
        <w:t xml:space="preserve"> </w:t>
      </w:r>
      <w:r w:rsidRPr="004F1952">
        <w:fldChar w:fldCharType="begin" w:fldLock="1"/>
      </w:r>
      <w:r>
        <w:instrText>ADDIN CSL_CITATION {"citationItems":[{"id":"ITEM-1","itemData":{"DOI":"10.1016/J.MICROMESO.2018.03.034","ISSN":"1387-1811","abstract":"For the capture of CO2 from flue gas and decarbonization of natural gas streams, an ideal adsorbent should have a high selectivity for CO2 over N2 and CH4. In this work, through adjusting the proportions of extra-framework K+ and Cs+ cations and varying the Si/Al ratios of the zeolite ZK-5, the small “molecular gate” adsorbent ZK-5-n-K has been prepared. An increase in the number of K+ cations prevents the ingress of the larger molecules CH4 and N2, while allowing entry of the smaller CO2; the net result is that CO2 capture from CH4 or N2 is achieved with unusually high selectivity, of the order of 1 × 105. Grand canonical Monte Carlo simulations show that the extra-framework K+ and Cs+ cations are positioned at different locations in the ZK-5; K+ locates near the 8-ring window, whereas Cs+ resides in the interior regions. The separation performances of 12 different K+- and Cs+-doped ZK-5 structures (with four different Si/Al ratios of 3.17, 3.36, 3.46, and 3.57) have been investigated. Transient breakthrough simulations have been used to quantify the CO2 capture performances in four sets of separations: 30%/70%, 5%/95%, and 2%/98% CO2/CH4 mixtures at a total pressure of 1 MPa, and a 15%/85% CO2/N2 mixture at a total pressure of 100 kPa. In all cases, the selectivities were sufficiently high to ensure that the separation performance was primarily governed by the CO2 uptake capacity. The overall conclusion to be drawn from this work is that ZK-5 is a suitable adsorbent for the decarbonization of natural gas.","author":[{"dropping-particle":"","family":"Yang","given":"Jiangfeng","non-dropping-particle":"","parse-names":false,"suffix":""},{"dropping-particle":"","family":"Shang","given":"Hua","non-dropping-particle":"","parse-names":false,"suffix":""},{"dropping-particle":"","family":"Krishna","given":"Rajamani","non-dropping-particle":"","parse-names":false,"suffix":""},{"dropping-particle":"","family":"Wang","given":"Yong","non-dropping-particle":"","parse-names":false,"suffix":""},{"dropping-particle":"","family":"Ouyang","given":"Kun","non-dropping-particle":"","parse-names":false,"suffix":""},{"dropping-particle":"","family":"Li","given":"Jinping","non-dropping-particle":"","parse-names":false,"suffix":""}],"container-title":"Microporous and Mesoporous Materials","id":"ITEM-1","issued":{"date-parts":[["2018","9","15"]]},"page":"50-57","publisher":"Elsevier","title":"Adjusting the proportions of extra-framework K+ and Cs+ cations to construct a “molecular gate” on ZK-5 for CO2 removal","type":"article-journal","volume":"268"},"uris":["http://www.mendeley.com/documents/?uuid=7b10f9be-5c67-3f37-ab61-8f769e16af8b"]}],"mendeley":{"formattedCitation":"[19]","plainTextFormattedCitation":"[19]","previouslyFormattedCitation":"[38]"},"properties":{"noteIndex":0},"schema":"https://github.com/citation-style-language/schema/raw/master/csl-citation.json"}</w:instrText>
      </w:r>
      <w:r w:rsidRPr="004F1952">
        <w:fldChar w:fldCharType="separate"/>
      </w:r>
      <w:r w:rsidRPr="00A734FC">
        <w:rPr>
          <w:noProof/>
        </w:rPr>
        <w:t>[19]</w:t>
      </w:r>
      <w:r w:rsidRPr="004F1952">
        <w:fldChar w:fldCharType="end"/>
      </w:r>
      <w:r w:rsidRPr="004F1952">
        <w:t xml:space="preserve"> </w:t>
      </w:r>
      <w:r>
        <w:t>reported that adjusting the proportions of extra-framework K</w:t>
      </w:r>
      <w:r w:rsidRPr="00BA14FA">
        <w:rPr>
          <w:vertAlign w:val="superscript"/>
        </w:rPr>
        <w:t>+</w:t>
      </w:r>
      <w:r>
        <w:t xml:space="preserve"> and Cs</w:t>
      </w:r>
      <w:r w:rsidRPr="00BA14FA">
        <w:rPr>
          <w:vertAlign w:val="superscript"/>
        </w:rPr>
        <w:t>+</w:t>
      </w:r>
      <w:r>
        <w:t xml:space="preserve"> cations achieved building a molecular gate or trapdoor on ZK-5 for CO</w:t>
      </w:r>
      <w:r w:rsidRPr="00BA14FA">
        <w:rPr>
          <w:vertAlign w:val="subscript"/>
        </w:rPr>
        <w:t>2</w:t>
      </w:r>
      <w:r>
        <w:t xml:space="preserve"> removal from CH</w:t>
      </w:r>
      <w:r w:rsidRPr="00BA14FA">
        <w:rPr>
          <w:vertAlign w:val="subscript"/>
        </w:rPr>
        <w:t>4</w:t>
      </w:r>
      <w:r>
        <w:t xml:space="preserve"> or N</w:t>
      </w:r>
      <w:r w:rsidRPr="00BA14FA">
        <w:rPr>
          <w:vertAlign w:val="subscript"/>
        </w:rPr>
        <w:t>2</w:t>
      </w:r>
      <w:r>
        <w:t xml:space="preserve"> with unusually high selectivity</w:t>
      </w:r>
      <w:r w:rsidRPr="004F1952">
        <w:t xml:space="preserve"> </w:t>
      </w:r>
      <w:r w:rsidRPr="004F1952">
        <w:fldChar w:fldCharType="begin" w:fldLock="1"/>
      </w:r>
      <w:r>
        <w:instrText>ADDIN CSL_CITATION {"citationItems":[{"id":"ITEM-1","itemData":{"DOI":"10.1016/J.MICROMESO.2018.03.034","ISSN":"1387-1811","abstract":"For the capture of CO2 from flue gas and decarbonization of natural gas streams, an ideal adsorbent should have a high selectivity for CO2 over N2 and CH4. In this work, through adjusting the proportions of extra-framework K+ and Cs+ cations and varying the Si/Al ratios of the zeolite ZK-5, the small “molecular gate” adsorbent ZK-5-n-K has been prepared. An increase in the number of K+ cations prevents the ingress of the larger molecules CH4 and N2, while allowing entry of the smaller CO2; the net result is that CO2 capture from CH4 or N2 is achieved with unusually high selectivity, of the order of 1 × 105. Grand canonical Monte Carlo simulations show that the extra-framework K+ and Cs+ cations are positioned at different locations in the ZK-5; K+ locates near the 8-ring window, whereas Cs+ resides in the interior regions. The separation performances of 12 different K+- and Cs+-doped ZK-5 structures (with four different Si/Al ratios of 3.17, 3.36, 3.46, and 3.57) have been investigated. Transient breakthrough simulations have been used to quantify the CO2 capture performances in four sets of separations: 30%/70%, 5%/95%, and 2%/98% CO2/CH4 mixtures at a total pressure of 1 MPa, and a 15%/85% CO2/N2 mixture at a total pressure of 100 kPa. In all cases, the selectivities were sufficiently high to ensure that the separation performance was primarily governed by the CO2 uptake capacity. The overall conclusion to be drawn from this work is that ZK-5 is a suitable adsorbent for the decarbonization of natural gas.","author":[{"dropping-particle":"","family":"Yang","given":"Jiangfeng","non-dropping-particle":"","parse-names":false,"suffix":""},{"dropping-particle":"","family":"Shang","given":"Hua","non-dropping-particle":"","parse-names":false,"suffix":""},{"dropping-particle":"","family":"Krishna","given":"Rajamani","non-dropping-particle":"","parse-names":false,"suffix":""},{"dropping-particle":"","family":"Wang","given":"Yong","non-dropping-particle":"","parse-names":false,"suffix":""},{"dropping-particle":"","family":"Ouyang","given":"Kun","non-dropping-particle":"","parse-names":false,"suffix":""},{"dropping-particle":"","family":"Li","given":"Jinping","non-dropping-particle":"","parse-names":false,"suffix":""}],"container-title":"Microporous and Mesoporous Materials","id":"ITEM-1","issued":{"date-parts":[["2018","9","15"]]},"page":"50-57","publisher":"Elsevier","title":"Adjusting the proportions of extra-framework K+ and Cs+ cations to construct a “molecular gate” on ZK-5 for CO2 removal","type":"article-journal","volume":"268"},"uris":["http://www.mendeley.com/documents/?uuid=7b10f9be-5c67-3f37-ab61-8f769e16af8b"]}],"mendeley":{"formattedCitation":"[19]","plainTextFormattedCitation":"[19]","previouslyFormattedCitation":"[38]"},"properties":{"noteIndex":0},"schema":"https://github.com/citation-style-language/schema/raw/master/csl-citation.json"}</w:instrText>
      </w:r>
      <w:r w:rsidRPr="004F1952">
        <w:fldChar w:fldCharType="separate"/>
      </w:r>
      <w:r w:rsidRPr="00A734FC">
        <w:rPr>
          <w:noProof/>
        </w:rPr>
        <w:t>[19]</w:t>
      </w:r>
      <w:r w:rsidRPr="004F1952">
        <w:fldChar w:fldCharType="end"/>
      </w:r>
      <w:r w:rsidRPr="004F1952">
        <w:t xml:space="preserve">. Shang </w:t>
      </w:r>
      <w:r w:rsidRPr="004F1952">
        <w:rPr>
          <w:i/>
          <w:iCs/>
        </w:rPr>
        <w:t xml:space="preserve">et al. </w:t>
      </w:r>
      <w:r w:rsidRPr="004F1952">
        <w:fldChar w:fldCharType="begin" w:fldLock="1"/>
      </w:r>
      <w:r>
        <w:instrText>ADDIN CSL_CITATION {"citationItems":[{"id":"ITEM-1","itemData":{"DOI":"10.1021/JA309274Y/SUPPL_FILE/JA309274Y_SI_001.PDF","ISSN":"00027863","PMID":"23110556","abstract":"Separation of molecules based on molecular size in zeolites with appropriate pore aperture dimensions has given rise to the definition of \"molecular sieves\" and has been the basis for a variety of separation applications. We show here that for a class of chabazite zeolites, what appears to be \"molecular sieving\" based on dimension is actually separation based on a difference in ability of a guest molecule to induce temporary and reversible cation deviation from the center of pore apertures, allowing for exclusive admission of certain molecules. This new mechanism of discrimination permits \"size-inverse\" separation: we illustrate the case of admission of a larger molecule (CO) in preference to a smaller molecule (N2). Through a combination of experimental and computational approaches, we have uncovered the underlying mechanism and show that it is similar to a \"molecular trapdoor\". Our materials show the highest selectivity of CO2 over CH4 reported to date with important application to natural gas purification. © 2012 American Chemical Society.","author":[{"dropping-particle":"","family":"Shang","given":"Jin","non-dropping-particle":"","parse-names":false,"suffix":""},{"dropping-particle":"","family":"Li","given":"Gang","non-dropping-particle":"","parse-names":false,"suffix":""},{"dropping-particle":"","family":"Singh","given":"Ranjeet","non-dropping-particle":"","parse-names":false,"suffix":""},{"dropping-particle":"","family":"Gu","given":"Qinfen","non-dropping-particle":"","parse-names":false,"suffix":""},{"dropping-particle":"","family":"Nairn","given":"Kate M.","non-dropping-particle":"","parse-names":false,"suffix":""},{"dropping-particle":"","family":"Bastow","given":"Timothy J.","non-dropping-particle":"","parse-names":false,"suffix":""},{"dropping-particle":"","family":"Medhekar","given":"Nikhil","non-dropping-particle":"","parse-names":false,"suffix":""},{"dropping-particle":"","family":"Doherty","given":"Cara M.","non-dropping-particle":"","parse-names":false,"suffix":""},{"dropping-particle":"","family":"Hill","given":"Anita J.","non-dropping-particle":"","parse-names":false,"suffix":""},{"dropping-particle":"","family":"Liu","given":"Jefferson Z.","non-dropping-particle":"","parse-names":false,"suffix":""},{"dropping-particle":"","family":"Webley","given":"Paul A.","non-dropping-particle":"","parse-names":false,"suffix":""}],"container-title":"Journal of the American Chemical Society","id":"ITEM-1","issue":"46","issued":{"date-parts":[["2012","11","21"]]},"page":"19246-19253","publisher":"American Chemical Society","title":"Discriminative separation of gases by a \"molecular trapdoor\" mechanism in chabazite zeolites","type":"article-journal","volume":"134"},"uris":["http://www.mendeley.com/documents/?uuid=92d6bbb6-c942-3a12-a2b3-618d0c60f53b"]}],"mendeley":{"formattedCitation":"[20]","plainTextFormattedCitation":"[20]","previouslyFormattedCitation":"[39]"},"properties":{"noteIndex":0},"schema":"https://github.com/citation-style-language/schema/raw/master/csl-citation.json"}</w:instrText>
      </w:r>
      <w:r w:rsidRPr="004F1952">
        <w:fldChar w:fldCharType="separate"/>
      </w:r>
      <w:r w:rsidRPr="00A734FC">
        <w:rPr>
          <w:noProof/>
        </w:rPr>
        <w:t>[20]</w:t>
      </w:r>
      <w:r w:rsidRPr="004F1952">
        <w:fldChar w:fldCharType="end"/>
      </w:r>
      <w:r w:rsidRPr="004F1952">
        <w:t xml:space="preserve"> </w:t>
      </w:r>
      <w:r>
        <w:t>explained the capture and separation of CO</w:t>
      </w:r>
      <w:r w:rsidRPr="00907897">
        <w:rPr>
          <w:vertAlign w:val="subscript"/>
        </w:rPr>
        <w:t>2</w:t>
      </w:r>
      <w:r>
        <w:t xml:space="preserve"> from N</w:t>
      </w:r>
      <w:r w:rsidRPr="00907897">
        <w:rPr>
          <w:vertAlign w:val="subscript"/>
        </w:rPr>
        <w:t>2</w:t>
      </w:r>
      <w:r>
        <w:t xml:space="preserve"> and CH</w:t>
      </w:r>
      <w:r w:rsidRPr="00907897">
        <w:rPr>
          <w:vertAlign w:val="subscript"/>
        </w:rPr>
        <w:t>4</w:t>
      </w:r>
      <w:r>
        <w:t xml:space="preserve"> in Cs-CHA through a molecular trapdoor mechanism using DFT calculations. This study based its arguments on the higher CO</w:t>
      </w:r>
      <w:r w:rsidRPr="00907897">
        <w:rPr>
          <w:vertAlign w:val="subscript"/>
        </w:rPr>
        <w:t>2</w:t>
      </w:r>
      <w:r>
        <w:t xml:space="preserve"> polarity concerning CH</w:t>
      </w:r>
      <w:r w:rsidRPr="00907897">
        <w:rPr>
          <w:vertAlign w:val="subscript"/>
        </w:rPr>
        <w:t>4</w:t>
      </w:r>
      <w:r>
        <w:t xml:space="preserve"> and N</w:t>
      </w:r>
      <w:r w:rsidRPr="00907897">
        <w:rPr>
          <w:vertAlign w:val="subscript"/>
        </w:rPr>
        <w:t>2</w:t>
      </w:r>
      <w:r>
        <w:t>, which creates an elongated potential over the cation. This potential favors a temporary, reversible removal of the 8-MR center, clearing the way for the CO</w:t>
      </w:r>
      <w:r w:rsidRPr="00907897">
        <w:rPr>
          <w:vertAlign w:val="subscript"/>
        </w:rPr>
        <w:t>2</w:t>
      </w:r>
      <w:r>
        <w:t xml:space="preserve"> to hop into the cage (see Figure1 in ref.</w:t>
      </w:r>
      <w:r w:rsidRPr="004F1952">
        <w:t xml:space="preserve"> </w:t>
      </w:r>
      <w:r w:rsidRPr="004F1952">
        <w:fldChar w:fldCharType="begin" w:fldLock="1"/>
      </w:r>
      <w:r>
        <w:instrText>ADDIN CSL_CITATION {"citationItems":[{"id":"ITEM-1","itemData":{"DOI":"10.1038/nchem.1560","ISSN":"1755-4349","PMID":"23344444","abstract":"Selective gas uptake in zeolites often relies on size — hosts accommodate guests that are small enough to fit into their pores. Now, a zeolite containing cations that function as molecular trapdoors allows guest-selective, size-inverse separations that could help with carbon capture and hydrogen purification.","author":[{"dropping-particle":"","family":"Baerdemaeker","given":"Trees","non-dropping-particle":"De","parse-names":false,"suffix":""},{"dropping-particle":"","family":"Vos","given":"Dirk","non-dropping-particle":"De","parse-names":false,"suffix":""}],"container-title":"Nature Chemistry 2013 5:2","id":"ITEM-1","issue":"2","issued":{"date-parts":[["2013","1","24"]]},"page":"89-90","publisher":"Nature Publishing Group","title":"Trapdoors in zeolites","type":"article-journal","volume":"5"},"uris":["http://www.mendeley.com/documents/?uuid=b4d7bfe0-cc07-3c93-add1-5f5aee7d26e6"]}],"mendeley":{"formattedCitation":"[21]","plainTextFormattedCitation":"[21]","previouslyFormattedCitation":"[40]"},"properties":{"noteIndex":0},"schema":"https://github.com/citation-style-language/schema/raw/master/csl-citation.json"}</w:instrText>
      </w:r>
      <w:r w:rsidRPr="004F1952">
        <w:fldChar w:fldCharType="separate"/>
      </w:r>
      <w:r w:rsidRPr="00A734FC">
        <w:rPr>
          <w:noProof/>
        </w:rPr>
        <w:t>[21]</w:t>
      </w:r>
      <w:r w:rsidRPr="004F1952">
        <w:fldChar w:fldCharType="end"/>
      </w:r>
      <w:r w:rsidRPr="004F1952">
        <w:t xml:space="preserve">). </w:t>
      </w:r>
      <w:r>
        <w:t>Other separations via molecular trapdoor have recently been reported: CO</w:t>
      </w:r>
      <w:r w:rsidRPr="00907897">
        <w:rPr>
          <w:vertAlign w:val="subscript"/>
        </w:rPr>
        <w:t>2</w:t>
      </w:r>
      <w:r>
        <w:t xml:space="preserve"> from H</w:t>
      </w:r>
      <w:r w:rsidRPr="00907897">
        <w:rPr>
          <w:vertAlign w:val="subscript"/>
        </w:rPr>
        <w:t>2</w:t>
      </w:r>
      <w:r>
        <w:t xml:space="preserve"> by using Na-SSZ-27 </w:t>
      </w:r>
      <w:r w:rsidRPr="004F1952">
        <w:fldChar w:fldCharType="begin" w:fldLock="1"/>
      </w:r>
      <w:r>
        <w:instrText>ADDIN CSL_CITATION {"citationItems":[{"id":"ITEM-1","itemData":{"DOI":"10.1039/D1CC00164G","ISSN":"1364-548X","PMID":"33908445","abstract":"A novel Na-SSZ-27 zeolite was demonstrated to possess excellent H2/CO2 diffusion selectivity of more than 100. This investigation highlights the crucial effect of the “gating control” of the 8-ring windows on the separation, where sodium cations act as gates to selectively control the diffusion of CO2 and promote the selectivity for H2.","author":[{"dropping-particle":"","family":"Zhao","given":"Chao","non-dropping-particle":"","parse-names":false,"suffix":""},{"dropping-particle":"","family":"Yuan","given":"Jiamin","non-dropping-particle":"","parse-names":false,"suffix":""},{"dropping-particle":"","family":"Tang","given":"Xiaomin","non-dropping-particle":"","parse-names":false,"suffix":""},{"dropping-particle":"","family":"Chen","given":"Wei","non-dropping-particle":"","parse-names":false,"suffix":""},{"dropping-particle":"","family":"Yi","given":"Xianfeng","non-dropping-particle":"","parse-names":false,"suffix":""},{"dropping-particle":"","family":"Xia","given":"Hongqiang","non-dropping-particle":"","parse-names":false,"suffix":""},{"dropping-particle":"","family":"Liu","given":"Wentao","non-dropping-particle":"","parse-names":false,"suffix":""},{"dropping-particle":"","family":"Zheng","given":"Anmin","non-dropping-particle":"","parse-names":false,"suffix":""},{"dropping-particle":"","family":"Liu","given":"Zhiqiang","non-dropping-particle":"","parse-names":false,"suffix":""}],"container-title":"Chemical Communications","id":"ITEM-1","issue":"34","issued":{"date-parts":[["2021","4","27"]]},"page":"4170-4173","publisher":"The Royal Society of Chemistry","title":"Gating control effect facilitates excellent gas selectivity in a novel Na-SSZ-27 zeolite","type":"article-journal","volume":"57"},"uris":["http://www.mendeley.com/documents/?uuid=694e92f0-cc19-3461-a61a-b3fc65b046d0"]}],"mendeley":{"formattedCitation":"[22]","plainTextFormattedCitation":"[22]","previouslyFormattedCitation":"[41]"},"properties":{"noteIndex":0},"schema":"https://github.com/citation-style-language/schema/raw/master/csl-citation.json"}</w:instrText>
      </w:r>
      <w:r w:rsidRPr="004F1952">
        <w:fldChar w:fldCharType="separate"/>
      </w:r>
      <w:r w:rsidRPr="00A734FC">
        <w:rPr>
          <w:noProof/>
        </w:rPr>
        <w:t>[22]</w:t>
      </w:r>
      <w:r w:rsidRPr="004F1952">
        <w:fldChar w:fldCharType="end"/>
      </w:r>
      <w:r w:rsidRPr="004F1952">
        <w:t xml:space="preserve"> </w:t>
      </w:r>
      <w:r>
        <w:t>and N</w:t>
      </w:r>
      <w:r w:rsidRPr="00907897">
        <w:rPr>
          <w:vertAlign w:val="subscript"/>
        </w:rPr>
        <w:t>2</w:t>
      </w:r>
      <w:r>
        <w:t xml:space="preserve"> from CH</w:t>
      </w:r>
      <w:r w:rsidRPr="00907897">
        <w:rPr>
          <w:vertAlign w:val="subscript"/>
        </w:rPr>
        <w:t>4</w:t>
      </w:r>
      <w:r>
        <w:t xml:space="preserve"> by using K-ZSM-25 </w:t>
      </w:r>
      <w:r w:rsidRPr="004F1952">
        <w:fldChar w:fldCharType="begin" w:fldLock="1"/>
      </w:r>
      <w:r>
        <w:instrText>ADDIN CSL_CITATION {"citationItems":[{"id":"ITEM-1","itemData":{"DOI":"10.1021/JACS.1C06230/SUPPL_FILE/JA1C06230_SI_001.PDF","ISSN":"15205126","PMID":"34516739","abstract":"Nitrogen (N2) rejection from methane (CH4) is the most challenging step in natural gas processing because of the close similarity of their physical-chemical properties. For decades, efforts to find a functioning material that can selectively discriminate N2had little outcome. Here, we report a molecular trapdoor zeolite K-ZSM-25 that has the largest unit cell among all zeolites, with the ability to capture N2in favor of CH4with a selectivity as high as 34. This zeolite was found to show a temperature-regulated gas adsorption wherein gas molecules’ accessibility to the internal pores of the crystal is determined by the effect of the gas-cation interaction on the thermal oscillation of the “door-keeping” cation. N2and CH4molecules were differentiated by different admission-trigger temperatures. A mild working temperature range of 240-300 K was determined wherein N2gas molecules were able to access the internal pores of K-ZSM-25 while CH4was rejected. As confirmed by experimental, molecular dynamic, andab initiodensity functional theory studies, the outstanding N2/CH4selectivity is achieved within a specific temperature range where the thermal oscillation of door-blocking K+provides enough space only for the relatively smaller molecule (N2) to diffuse into and through the zeolite supercages. Such temperature-regulated adsorption of the K-ZSM-25 trapdoor zeolite opens up a new approach for rejecting N2from CH4in the gas industry without deploying energy-intensive cryogenic distillation around 100 K.","author":[{"dropping-particle":"","family":"Zhao","given":"Jianhua","non-dropping-particle":"","parse-names":false,"suffix":""},{"dropping-particle":"","family":"Mousavi","given":"Seyed Hesam","non-dropping-particle":"","parse-names":false,"suffix":""},{"dropping-particle":"","family":"Xiao","given":"Gongkui","non-dropping-particle":"","parse-names":false,"suffix":""},{"dropping-particle":"","family":"Mokarizadeh","given":"Abdol Hadi","non-dropping-particle":"","parse-names":false,"suffix":""},{"dropping-particle":"","family":"Moore","given":"Thomas","non-dropping-particle":"","parse-names":false,"suffix":""},{"dropping-particle":"","family":"Chen","given":"Kaifei","non-dropping-particle":"","parse-names":false,"suffix":""},{"dropping-particle":"","family":"Gu","given":"Qinfen","non-dropping-particle":"","parse-names":false,"suffix":""},{"dropping-particle":"","family":"Singh","given":"Ranjeet","non-dropping-particle":"","parse-names":false,"suffix":""},{"dropping-particle":"","family":"Zavabeti","given":"Ali","non-dropping-particle":"","parse-names":false,"suffix":""},{"dropping-particle":"","family":"Liu","given":"Jefferson Zhe","non-dropping-particle":"","parse-names":false,"suffix":""},{"dropping-particle":"","family":"Webley","given":"Paul A.","non-dropping-particle":"","parse-names":false,"suffix":""},{"dropping-particle":"","family":"Li","given":"Gang Kevin","non-dropping-particle":"","parse-names":false,"suffix":""}],"container-title":"Journal of the American Chemical Society","id":"ITEM-1","issue":"37","issued":{"date-parts":[["2021","9","22"]]},"page":"15195-15204","publisher":"American Chemical Society","title":"Nitrogen Rejection from Methane via a “Trapdoor” K-ZSM-25 Zeolite","type":"article-journal","volume":"143"},"uris":["http://www.mendeley.com/documents/?uuid=4d40b59d-8db6-3dfe-bb03-11f741d0287e"]}],"mendeley":{"formattedCitation":"[23]","plainTextFormattedCitation":"[23]","previouslyFormattedCitation":"[42]"},"properties":{"noteIndex":0},"schema":"https://github.com/citation-style-language/schema/raw/master/csl-citation.json"}</w:instrText>
      </w:r>
      <w:r w:rsidRPr="004F1952">
        <w:fldChar w:fldCharType="separate"/>
      </w:r>
      <w:r w:rsidRPr="00A734FC">
        <w:rPr>
          <w:noProof/>
        </w:rPr>
        <w:t>[23]</w:t>
      </w:r>
      <w:r w:rsidRPr="004F1952">
        <w:fldChar w:fldCharType="end"/>
      </w:r>
      <w:r w:rsidRPr="004F1952">
        <w:t xml:space="preserve">. </w:t>
      </w:r>
      <w:r w:rsidRPr="004F1952">
        <w:rPr>
          <w:shd w:val="clear" w:color="auto" w:fill="FFFFFF"/>
        </w:rPr>
        <w:t xml:space="preserve">Chen </w:t>
      </w:r>
      <w:r w:rsidRPr="004F1952">
        <w:rPr>
          <w:i/>
          <w:iCs/>
          <w:shd w:val="clear" w:color="auto" w:fill="FFFFFF"/>
        </w:rPr>
        <w:t>et al.</w:t>
      </w:r>
      <w:r w:rsidRPr="004F1952">
        <w:rPr>
          <w:shd w:val="clear" w:color="auto" w:fill="FFFFFF"/>
        </w:rPr>
        <w:t xml:space="preserve"> </w:t>
      </w:r>
      <w:r w:rsidRPr="004F1952">
        <w:rPr>
          <w:shd w:val="clear" w:color="auto" w:fill="FFFFFF"/>
        </w:rPr>
        <w:fldChar w:fldCharType="begin" w:fldLock="1"/>
      </w:r>
      <w:r>
        <w:rPr>
          <w:shd w:val="clear" w:color="auto" w:fill="FFFFFF"/>
        </w:rPr>
        <w:instrText>ADDIN CSL_CITATION {"citationItems":[{"id":"ITEM-1","itemData":{"DOI":"10.1039/D1CS00822F","ISSN":"14604744","PMID":"35040460","abstract":"In the past two decades, various microporous materials have been developed as useful adsorbents for gas adsorption for a wide range of industries. Considerable efforts have been made to regulate the pore accessibility in microporous materials for the manipulation of guest molecules' admission and release. It has long been known that some microporous adsorbents suddenly become highly accessible to guest molecules at specific conditions, e.g., above a threshold pressure or temperature. This anomalous adsorption behavior results from a gating effect, where a structural variation of the adsorbent leads to an abrupt change in the gas admission. This review summarizes the mechanisms of the gating effect, which can be a result of the deformation of the framework (e.g., expansion, contraction, reorientation, and sliding of the unit cells), the vibration of the pore-keeping groups (e.g., rotation, swing, and collapse of organic linkers), and the oscillation of the pore-keeping ions (e.g. cesium, potassium, etc.). These structural variations are induced either by the host-guest interaction or by an external stimulus, such as temperature or light, and account for the gating effect at a threshold value of the stimulus. Emphasis is given to the temperature-regulated gating effect, where the critical admission temperature is dictated by the combined effect of the gate opening and thermodynamic factors and plays a key role in regulating guest admission. Molecular simulations can improve our understanding of the gate opening/closing transitions at the atomic scale and enable the construction of quantitative models to describe the gated adsorption behaviour at the macroscale level. The gating effect in porous materials has been widely applied in highly selective gas separation and offers great potential for gas storage and sensing. This journal is","author":[{"dropping-particle":"","family":"Chen","given":"Kaifei","non-dropping-particle":"","parse-names":false,"suffix":""},{"dropping-particle":"","family":"Mousavi","given":"Seyed Hesam","non-dropping-particle":"","parse-names":false,"suffix":""},{"dropping-particle":"","family":"Singh","given":"Ranjeet","non-dropping-particle":"","parse-names":false,"suffix":""},{"dropping-particle":"","family":"Snurr","given":"Randall Q.","non-dropping-particle":"","parse-names":false,"suffix":""},{"dropping-particle":"","family":"Li","given":"Gang","non-dropping-particle":"","parse-names":false,"suffix":""},{"dropping-particle":"","family":"Webley","given":"Paul A.","non-dropping-particle":"","parse-names":false,"suffix":""}],"container-title":"Chemical Society Reviews","id":"ITEM-1","issue":"3","issued":{"date-parts":[["2022","2","7"]]},"page":"1139-1166","publisher":"Royal Society of Chemistry","title":"Gating effect for gas adsorption in microporous materials—mechanisms and applications","type":"article-journal","volume":"51"},"uris":["http://www.mendeley.com/documents/?uuid=24eb12d4-024f-3cf3-929f-da7790678ead"]}],"mendeley":{"formattedCitation":"[24]","plainTextFormattedCitation":"[24]","previouslyFormattedCitation":"[43]"},"properties":{"noteIndex":0},"schema":"https://github.com/citation-style-language/schema/raw/master/csl-citation.json"}</w:instrText>
      </w:r>
      <w:r w:rsidRPr="004F1952">
        <w:rPr>
          <w:shd w:val="clear" w:color="auto" w:fill="FFFFFF"/>
        </w:rPr>
        <w:fldChar w:fldCharType="separate"/>
      </w:r>
      <w:r w:rsidRPr="00A734FC">
        <w:rPr>
          <w:noProof/>
          <w:shd w:val="clear" w:color="auto" w:fill="FFFFFF"/>
        </w:rPr>
        <w:t>[24]</w:t>
      </w:r>
      <w:r w:rsidRPr="004F1952">
        <w:rPr>
          <w:shd w:val="clear" w:color="auto" w:fill="FFFFFF"/>
        </w:rPr>
        <w:fldChar w:fldCharType="end"/>
      </w:r>
      <w:r w:rsidRPr="004F1952">
        <w:rPr>
          <w:shd w:val="clear" w:color="auto" w:fill="FFFFFF"/>
        </w:rPr>
        <w:t xml:space="preserve"> </w:t>
      </w:r>
      <w:r>
        <w:t>recently reported a critical review of the gating and molecular trapdoor effects for gas adsorption in zeolites, emphasizing their mechanisms and applications</w:t>
      </w:r>
      <w:r w:rsidRPr="004F1952">
        <w:rPr>
          <w:shd w:val="clear" w:color="auto" w:fill="FFFFFF"/>
        </w:rPr>
        <w:t>.</w:t>
      </w:r>
    </w:p>
    <w:p w14:paraId="13FF9AA9" w14:textId="6AA30C0E" w:rsidR="00E33942" w:rsidRDefault="00E33942" w:rsidP="00E33942">
      <w:pPr>
        <w:pStyle w:val="TAMainText"/>
      </w:pPr>
      <w:r>
        <w:t xml:space="preserve">We recently reported an </w:t>
      </w:r>
      <w:r w:rsidRPr="002A48C7">
        <w:rPr>
          <w:i/>
          <w:iCs/>
        </w:rPr>
        <w:t>in silico</w:t>
      </w:r>
      <w:r>
        <w:t xml:space="preserve"> design of a new composite from </w:t>
      </w:r>
      <w:r>
        <w:rPr>
          <w:rStyle w:val="rynqvb"/>
          <w:lang w:val="en"/>
        </w:rPr>
        <w:t>the combination of H-MOR with imidazolium-based ionic liquids (</w:t>
      </w:r>
      <w:r w:rsidRPr="00E33942">
        <w:rPr>
          <w:rStyle w:val="rynqvb"/>
          <w:i/>
          <w:iCs/>
          <w:lang w:val="en"/>
        </w:rPr>
        <w:t>e.g.</w:t>
      </w:r>
      <w:r>
        <w:rPr>
          <w:rStyle w:val="rynqvb"/>
          <w:lang w:val="en"/>
        </w:rPr>
        <w:t xml:space="preserve">, </w:t>
      </w:r>
      <w:r w:rsidRPr="00166E32">
        <w:rPr>
          <w:rStyle w:val="rynqvb"/>
          <w:lang w:val="en"/>
        </w:rPr>
        <w:t>1-(2-hydroxyethyl)-3-methyl-imidazolium chloride [</w:t>
      </w:r>
      <w:proofErr w:type="spellStart"/>
      <w:r w:rsidRPr="00166E32">
        <w:rPr>
          <w:rStyle w:val="rynqvb"/>
          <w:lang w:val="en"/>
        </w:rPr>
        <w:t>HEMIm</w:t>
      </w:r>
      <w:proofErr w:type="spellEnd"/>
      <w:r w:rsidRPr="00166E32">
        <w:rPr>
          <w:rStyle w:val="rynqvb"/>
          <w:lang w:val="en"/>
        </w:rPr>
        <w:t>]Cl</w:t>
      </w:r>
      <w:r>
        <w:rPr>
          <w:rStyle w:val="rynqvb"/>
          <w:lang w:val="en"/>
        </w:rPr>
        <w:t xml:space="preserve"> which generates [</w:t>
      </w:r>
      <w:proofErr w:type="spellStart"/>
      <w:r>
        <w:rPr>
          <w:rStyle w:val="rynqvb"/>
          <w:lang w:val="en"/>
        </w:rPr>
        <w:t>HEMIm</w:t>
      </w:r>
      <w:proofErr w:type="spellEnd"/>
      <w:r>
        <w:rPr>
          <w:rStyle w:val="rynqvb"/>
          <w:lang w:val="en"/>
        </w:rPr>
        <w:t>]-MOR)</w:t>
      </w:r>
      <w:r>
        <w:t xml:space="preserve"> with potential application in selective H</w:t>
      </w:r>
      <w:r w:rsidRPr="007A575C">
        <w:rPr>
          <w:vertAlign w:val="subscript"/>
        </w:rPr>
        <w:t>2</w:t>
      </w:r>
      <w:r>
        <w:t>S capture from natural gas using a mechanism of H</w:t>
      </w:r>
      <w:r w:rsidRPr="007A575C">
        <w:rPr>
          <w:vertAlign w:val="subscript"/>
        </w:rPr>
        <w:t>2</w:t>
      </w:r>
      <w:r>
        <w:t xml:space="preserve">S conformational traps similar to the trapdoor effect </w:t>
      </w:r>
      <w:bookmarkStart w:id="2" w:name="_Hlk133502116"/>
      <w:r>
        <w:rPr>
          <w:rStyle w:val="q4iawc"/>
          <w:lang w:val="en"/>
        </w:rPr>
        <w:fldChar w:fldCharType="begin" w:fldLock="1"/>
      </w:r>
      <w:r>
        <w:rPr>
          <w:rStyle w:val="q4iawc"/>
          <w:lang w:val="en"/>
        </w:rPr>
        <w:instrText>ADDIN CSL_CITATION {"citationItems":[{"id":"ITEM-1","itemData":{"DOI":"10.1016/J.MICROMESO.2022.112053","ISSN":"1387-1811","author":[{"dropping-particle":"","family":"Izquierdo","given":"Rodolfo","non-dropping-particle":"","parse-names":false,"suffix":""},{"dropping-particle":"","family":"Chacón","given":"Gustavo","non-dropping-particle":"","parse-names":false,"suffix":""},{"dropping-particle":"","family":"Cubillán","given":"Néstor","non-dropping-particle":"","parse-names":false,"suffix":""},{"dropping-particle":"","family":"Stassen","given":"Hubert","non-dropping-particle":"","parse-names":false,"suffix":""}],"container-title":"Microporous and Mesoporous Materials","id":"ITEM-1","issued":{"date-parts":[["2022","6","13"]]},"page":"112053","publisher":"Elsevier","title":"Do certain imidazolium-based ionic liquid ion pairs/mordenite capture H2S by conformational traps? An ONIOM-DFT study","type":"article-journal"},"uris":["http://www.mendeley.com/documents/?uuid=b95f5d02-7434-30db-8d85-90d168c8d044"]}],"mendeley":{"formattedCitation":"[25]","plainTextFormattedCitation":"[25]","previouslyFormattedCitation":"[44]"},"properties":{"noteIndex":0},"schema":"https://github.com/citation-style-language/schema/raw/master/csl-citation.json"}</w:instrText>
      </w:r>
      <w:r>
        <w:rPr>
          <w:rStyle w:val="q4iawc"/>
          <w:lang w:val="en"/>
        </w:rPr>
        <w:fldChar w:fldCharType="separate"/>
      </w:r>
      <w:r w:rsidRPr="00A734FC">
        <w:rPr>
          <w:rStyle w:val="q4iawc"/>
          <w:noProof/>
          <w:lang w:val="en"/>
        </w:rPr>
        <w:t>[25]</w:t>
      </w:r>
      <w:r>
        <w:rPr>
          <w:rStyle w:val="q4iawc"/>
          <w:lang w:val="en"/>
        </w:rPr>
        <w:fldChar w:fldCharType="end"/>
      </w:r>
      <w:bookmarkEnd w:id="2"/>
      <w:r>
        <w:rPr>
          <w:lang w:val="en"/>
        </w:rPr>
        <w:t xml:space="preserve">. </w:t>
      </w:r>
      <w:r>
        <w:t>In our view, the main drawback to producing H</w:t>
      </w:r>
      <w:r w:rsidRPr="00200CCA">
        <w:rPr>
          <w:vertAlign w:val="subscript"/>
        </w:rPr>
        <w:t>2</w:t>
      </w:r>
      <w:r>
        <w:t>S trapdoors from I</w:t>
      </w:r>
      <w:r w:rsidR="002A48C7">
        <w:t>E</w:t>
      </w:r>
      <w:r>
        <w:t xml:space="preserve"> of extra-framework inorganic cations in zeolites is</w:t>
      </w:r>
      <w:r w:rsidR="00900B4E">
        <w:t xml:space="preserve"> a</w:t>
      </w:r>
      <w:r>
        <w:t xml:space="preserve"> higher binding energy for and </w:t>
      </w:r>
      <w:r w:rsidR="00900B4E">
        <w:t xml:space="preserve">a </w:t>
      </w:r>
      <w:r>
        <w:t>selectivity toward H</w:t>
      </w:r>
      <w:r w:rsidRPr="00200CCA">
        <w:rPr>
          <w:vertAlign w:val="subscript"/>
        </w:rPr>
        <w:t>2</w:t>
      </w:r>
      <w:r>
        <w:t>O over H</w:t>
      </w:r>
      <w:r w:rsidRPr="00E33942">
        <w:rPr>
          <w:vertAlign w:val="subscript"/>
        </w:rPr>
        <w:t>2</w:t>
      </w:r>
      <w:r>
        <w:t xml:space="preserve">S. Thus, we overcome this limitation by IE of organic cations in the zeolite. </w:t>
      </w:r>
      <w:r>
        <w:rPr>
          <w:rStyle w:val="rynqvb"/>
          <w:lang w:val="en"/>
        </w:rPr>
        <w:t>Unfortunately,</w:t>
      </w:r>
      <w:r>
        <w:t xml:space="preserve"> the separations of CO</w:t>
      </w:r>
      <w:r w:rsidRPr="00616730">
        <w:rPr>
          <w:vertAlign w:val="subscript"/>
        </w:rPr>
        <w:t>2</w:t>
      </w:r>
      <w:r>
        <w:t xml:space="preserve"> </w:t>
      </w:r>
      <w:r w:rsidRPr="00616730">
        <w:rPr>
          <w:i/>
          <w:iCs/>
        </w:rPr>
        <w:t>via</w:t>
      </w:r>
      <w:r>
        <w:t xml:space="preserve"> trapdoor effects </w:t>
      </w:r>
      <w:r>
        <w:rPr>
          <w:rStyle w:val="rynqvb"/>
          <w:lang w:val="en"/>
        </w:rPr>
        <w:t xml:space="preserve">were </w:t>
      </w:r>
      <w:r w:rsidRPr="003654AC">
        <w:rPr>
          <w:rStyle w:val="rynqvb"/>
          <w:lang w:val="en"/>
        </w:rPr>
        <w:t>challenging</w:t>
      </w:r>
      <w:r>
        <w:rPr>
          <w:rStyle w:val="rynqvb"/>
          <w:lang w:val="en"/>
        </w:rPr>
        <w:t xml:space="preserve"> for the hydroxy-functionalized composite [</w:t>
      </w:r>
      <w:proofErr w:type="spellStart"/>
      <w:r>
        <w:rPr>
          <w:rStyle w:val="rynqvb"/>
          <w:lang w:val="en"/>
        </w:rPr>
        <w:t>HEMIm</w:t>
      </w:r>
      <w:proofErr w:type="spellEnd"/>
      <w:r>
        <w:rPr>
          <w:rStyle w:val="rynqvb"/>
          <w:lang w:val="en"/>
        </w:rPr>
        <w:t xml:space="preserve">]-MOR. </w:t>
      </w:r>
      <w:r>
        <w:t>Extending the impact to large pore-size zeolites (</w:t>
      </w:r>
      <w:r>
        <w:rPr>
          <w:rStyle w:val="nfasis"/>
          <w:color w:val="0E101A"/>
        </w:rPr>
        <w:t>e.g.</w:t>
      </w:r>
      <w:r>
        <w:t xml:space="preserve">, MOR, </w:t>
      </w:r>
      <w:r>
        <w:lastRenderedPageBreak/>
        <w:t>FAU) could open the application towards new mixed CCSU technologies. Amino-functionalized ILs inside the zeolite cavities can produce interesting modifications in a resulting composite's physical and catalytic behavior. By combining the potentialities of amino-functionalized-ILs and Na-MOR, new materials with exceptional capacities could be obtained for CO</w:t>
      </w:r>
      <w:r w:rsidRPr="003654AC">
        <w:rPr>
          <w:vertAlign w:val="subscript"/>
        </w:rPr>
        <w:t xml:space="preserve">2 </w:t>
      </w:r>
      <w:r>
        <w:t>capture.</w:t>
      </w:r>
    </w:p>
    <w:p w14:paraId="56A19A50" w14:textId="30BF2E3C" w:rsidR="00E33942" w:rsidRDefault="00E33942" w:rsidP="00E33942">
      <w:pPr>
        <w:pStyle w:val="TAMainText"/>
      </w:pPr>
      <w:r>
        <w:t>Here, we present a computer-aided design of multifunctional hybrid materials using the IE of Na</w:t>
      </w:r>
      <w:r w:rsidRPr="00D9737B">
        <w:rPr>
          <w:vertAlign w:val="superscript"/>
        </w:rPr>
        <w:t>+</w:t>
      </w:r>
      <w:r>
        <w:t xml:space="preserve"> by [M]</w:t>
      </w:r>
      <w:r w:rsidRPr="00D9737B">
        <w:rPr>
          <w:vertAlign w:val="superscript"/>
        </w:rPr>
        <w:t>+</w:t>
      </w:r>
      <w:r>
        <w:t xml:space="preserve"> cations of </w:t>
      </w:r>
      <w:bookmarkStart w:id="3" w:name="_Hlk133481093"/>
      <w:r>
        <w:t>a</w:t>
      </w:r>
      <w:r>
        <w:rPr>
          <w:rStyle w:val="rynqvb"/>
        </w:rPr>
        <w:t>mino</w:t>
      </w:r>
      <w:r>
        <w:rPr>
          <w:rStyle w:val="rynqvb"/>
          <w:lang w:val="en"/>
        </w:rPr>
        <w:t>-functionalized</w:t>
      </w:r>
      <w:r>
        <w:t xml:space="preserve"> </w:t>
      </w:r>
      <w:proofErr w:type="spellStart"/>
      <w:r>
        <w:t>Im</w:t>
      </w:r>
      <w:proofErr w:type="spellEnd"/>
      <w:r>
        <w:t>-IL</w:t>
      </w:r>
      <w:bookmarkEnd w:id="3"/>
      <w:r>
        <w:t>s (</w:t>
      </w:r>
      <w:r w:rsidR="002E71F6">
        <w:t>see Figure 2</w:t>
      </w:r>
      <w:r>
        <w:t>) in Na-MOR to produce a new type-[M]-MOR composites. Based on the selected [M]</w:t>
      </w:r>
      <w:r w:rsidRPr="00D9737B">
        <w:rPr>
          <w:vertAlign w:val="superscript"/>
        </w:rPr>
        <w:t>+</w:t>
      </w:r>
      <w:r>
        <w:t xml:space="preserve"> of the [M]-MOR composites, it is possible to find the main non-covalent interactions between [M]-MOR and CO</w:t>
      </w:r>
      <w:r w:rsidRPr="00130FAC">
        <w:rPr>
          <w:vertAlign w:val="subscript"/>
        </w:rPr>
        <w:t>2</w:t>
      </w:r>
      <w:r>
        <w:t>. Hence, we assumed that depending on the structure of [M]-MOR composites, new reversible adsorption mechanisms for CO</w:t>
      </w:r>
      <w:r w:rsidRPr="00D9737B">
        <w:rPr>
          <w:vertAlign w:val="subscript"/>
        </w:rPr>
        <w:t>2</w:t>
      </w:r>
      <w:r>
        <w:t xml:space="preserve"> capture with potential use in CCSU technologies </w:t>
      </w:r>
      <w:r>
        <w:rPr>
          <w:rStyle w:val="rynqvb"/>
          <w:lang w:val="en"/>
        </w:rPr>
        <w:t>could be discovered</w:t>
      </w:r>
      <w:r>
        <w:t>.</w:t>
      </w:r>
    </w:p>
    <w:p w14:paraId="60F07CB9" w14:textId="77777777" w:rsidR="008845D8" w:rsidRPr="0081567A" w:rsidRDefault="008845D8" w:rsidP="00E33942">
      <w:pPr>
        <w:pStyle w:val="TAMainText"/>
        <w:rPr>
          <w:sz w:val="6"/>
          <w:szCs w:val="6"/>
        </w:rPr>
      </w:pPr>
    </w:p>
    <w:p w14:paraId="540BEA07" w14:textId="57F6EF94" w:rsidR="00E33942" w:rsidRPr="00E038AF" w:rsidRDefault="00E33942" w:rsidP="00E33942">
      <w:pPr>
        <w:jc w:val="center"/>
        <w:rPr>
          <w:rFonts w:ascii="Times New Roman" w:hAnsi="Times New Roman" w:cs="Times New Roman"/>
        </w:rPr>
      </w:pPr>
      <w:r w:rsidRPr="00E33942">
        <w:rPr>
          <w:noProof/>
        </w:rPr>
        <w:drawing>
          <wp:inline distT="0" distB="0" distL="0" distR="0" wp14:anchorId="5CE10A3D" wp14:editId="68B4DC5D">
            <wp:extent cx="3027680" cy="1984375"/>
            <wp:effectExtent l="0" t="0" r="1270" b="0"/>
            <wp:docPr id="12598087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7680" cy="1984375"/>
                    </a:xfrm>
                    <a:prstGeom prst="rect">
                      <a:avLst/>
                    </a:prstGeom>
                    <a:noFill/>
                    <a:ln>
                      <a:noFill/>
                    </a:ln>
                  </pic:spPr>
                </pic:pic>
              </a:graphicData>
            </a:graphic>
          </wp:inline>
        </w:drawing>
      </w:r>
    </w:p>
    <w:p w14:paraId="5C58A5AA" w14:textId="5EFE8581" w:rsidR="008845D8" w:rsidRPr="00E33942" w:rsidRDefault="008845D8" w:rsidP="008845D8">
      <w:pPr>
        <w:pStyle w:val="TAMainText"/>
        <w:ind w:firstLine="0"/>
        <w:rPr>
          <w:rFonts w:ascii="Times New Roman" w:hAnsi="Times New Roman"/>
          <w:b/>
          <w:bCs/>
          <w:sz w:val="18"/>
          <w:szCs w:val="18"/>
        </w:rPr>
      </w:pPr>
      <w:r w:rsidRPr="008845D8">
        <w:rPr>
          <w:rFonts w:ascii="Times New Roman" w:hAnsi="Times New Roman"/>
          <w:b/>
          <w:sz w:val="18"/>
          <w:szCs w:val="18"/>
          <w:lang w:val="en-GB"/>
        </w:rPr>
        <w:t>Figur</w:t>
      </w:r>
      <w:r>
        <w:rPr>
          <w:rFonts w:ascii="Times New Roman" w:hAnsi="Times New Roman"/>
          <w:b/>
          <w:sz w:val="18"/>
          <w:szCs w:val="18"/>
          <w:lang w:val="en-GB"/>
        </w:rPr>
        <w:t>e</w:t>
      </w:r>
      <w:r w:rsidRPr="008845D8">
        <w:rPr>
          <w:rFonts w:ascii="Times New Roman" w:hAnsi="Times New Roman"/>
          <w:b/>
          <w:sz w:val="18"/>
          <w:szCs w:val="18"/>
          <w:lang w:val="en-GB"/>
        </w:rPr>
        <w:t xml:space="preserve"> </w:t>
      </w:r>
      <w:r>
        <w:rPr>
          <w:rFonts w:ascii="Times New Roman" w:hAnsi="Times New Roman"/>
          <w:b/>
          <w:sz w:val="18"/>
          <w:szCs w:val="18"/>
          <w:lang w:val="en-GB"/>
        </w:rPr>
        <w:t>2</w:t>
      </w:r>
      <w:r w:rsidRPr="008845D8">
        <w:rPr>
          <w:rFonts w:ascii="Times New Roman" w:hAnsi="Times New Roman"/>
          <w:b/>
          <w:sz w:val="18"/>
          <w:szCs w:val="18"/>
          <w:lang w:val="en-GB"/>
        </w:rPr>
        <w:t>.</w:t>
      </w:r>
      <w:r w:rsidRPr="008845D8">
        <w:rPr>
          <w:rFonts w:ascii="Times New Roman" w:hAnsi="Times New Roman"/>
          <w:sz w:val="18"/>
          <w:szCs w:val="18"/>
          <w:lang w:val="en-GB"/>
        </w:rPr>
        <w:t xml:space="preserve"> </w:t>
      </w:r>
      <w:r w:rsidRPr="008845D8">
        <w:rPr>
          <w:rFonts w:ascii="Times New Roman" w:hAnsi="Times New Roman"/>
          <w:sz w:val="18"/>
          <w:szCs w:val="18"/>
        </w:rPr>
        <w:t xml:space="preserve">Scheme </w:t>
      </w:r>
      <w:r>
        <w:rPr>
          <w:rFonts w:ascii="Times New Roman" w:hAnsi="Times New Roman"/>
          <w:sz w:val="18"/>
          <w:szCs w:val="18"/>
        </w:rPr>
        <w:t>of the e</w:t>
      </w:r>
      <w:r w:rsidRPr="008845D8">
        <w:rPr>
          <w:rFonts w:ascii="Times New Roman" w:hAnsi="Times New Roman"/>
          <w:sz w:val="18"/>
          <w:szCs w:val="18"/>
        </w:rPr>
        <w:t>xchangeable cation fragments ([M]</w:t>
      </w:r>
      <w:r w:rsidRPr="008845D8">
        <w:rPr>
          <w:rFonts w:ascii="Times New Roman" w:hAnsi="Times New Roman"/>
          <w:sz w:val="18"/>
          <w:szCs w:val="18"/>
          <w:vertAlign w:val="superscript"/>
        </w:rPr>
        <w:t>+</w:t>
      </w:r>
      <w:r w:rsidRPr="008845D8">
        <w:rPr>
          <w:rFonts w:ascii="Times New Roman" w:hAnsi="Times New Roman"/>
          <w:sz w:val="18"/>
          <w:szCs w:val="18"/>
        </w:rPr>
        <w:t xml:space="preserve">) on </w:t>
      </w:r>
      <w:r>
        <w:rPr>
          <w:rFonts w:ascii="Times New Roman" w:hAnsi="Times New Roman"/>
          <w:sz w:val="18"/>
          <w:szCs w:val="18"/>
        </w:rPr>
        <w:t>Na</w:t>
      </w:r>
      <w:r w:rsidRPr="008845D8">
        <w:rPr>
          <w:rFonts w:ascii="Times New Roman" w:hAnsi="Times New Roman"/>
          <w:sz w:val="18"/>
          <w:szCs w:val="18"/>
        </w:rPr>
        <w:t>-MOR proposed in this wo</w:t>
      </w:r>
      <w:r>
        <w:rPr>
          <w:rFonts w:ascii="Times New Roman" w:hAnsi="Times New Roman"/>
          <w:sz w:val="18"/>
          <w:szCs w:val="18"/>
        </w:rPr>
        <w:t>rk.</w:t>
      </w:r>
    </w:p>
    <w:p w14:paraId="52FFAC79" w14:textId="77777777" w:rsidR="00EA4E1B" w:rsidRPr="005268EC" w:rsidRDefault="00EA4E1B" w:rsidP="00EA4E1B">
      <w:pPr>
        <w:pStyle w:val="Ttulo2"/>
        <w:rPr>
          <w:rFonts w:ascii="Helvetica" w:hAnsi="Helvetica" w:cs="Helvetica"/>
          <w:sz w:val="24"/>
          <w:szCs w:val="24"/>
          <w:lang w:val="en-GB"/>
        </w:rPr>
      </w:pPr>
      <w:r w:rsidRPr="005268EC">
        <w:rPr>
          <w:rFonts w:ascii="Helvetica" w:hAnsi="Helvetica" w:cs="Helvetica"/>
          <w:sz w:val="24"/>
          <w:szCs w:val="24"/>
          <w:lang w:val="en-GB"/>
        </w:rPr>
        <w:t>Experimental</w:t>
      </w:r>
    </w:p>
    <w:p w14:paraId="35887134" w14:textId="45F2507B" w:rsidR="00EA4E1B" w:rsidRPr="008845D8" w:rsidRDefault="008845D8" w:rsidP="00EA4E1B">
      <w:pPr>
        <w:pStyle w:val="TAMainText"/>
        <w:ind w:firstLine="0"/>
        <w:rPr>
          <w:rFonts w:ascii="Times New Roman" w:hAnsi="Times New Roman"/>
          <w:i/>
          <w:lang w:val="en-GB"/>
        </w:rPr>
      </w:pPr>
      <w:r w:rsidRPr="008845D8">
        <w:rPr>
          <w:rFonts w:ascii="Times New Roman" w:hAnsi="Times New Roman"/>
          <w:i/>
          <w:lang w:val="en-GB"/>
        </w:rPr>
        <w:t>Calculation procedures</w:t>
      </w:r>
      <w:r w:rsidR="00EA4E1B" w:rsidRPr="008845D8">
        <w:rPr>
          <w:rFonts w:ascii="Times New Roman" w:hAnsi="Times New Roman"/>
          <w:i/>
          <w:lang w:val="en-GB"/>
        </w:rPr>
        <w:t>.</w:t>
      </w:r>
    </w:p>
    <w:p w14:paraId="14F1E245" w14:textId="3C6AFBFD" w:rsidR="002E71F6" w:rsidRPr="003B2B41" w:rsidRDefault="002E71F6" w:rsidP="002E71F6">
      <w:pPr>
        <w:pStyle w:val="TAMainText"/>
        <w:rPr>
          <w:rFonts w:ascii="Times New Roman" w:hAnsi="Times New Roman"/>
        </w:rPr>
      </w:pPr>
      <w:bookmarkStart w:id="4" w:name="_Hlk133489120"/>
      <w:r w:rsidRPr="002E71F6">
        <w:rPr>
          <w:rFonts w:ascii="Times New Roman" w:hAnsi="Times New Roman"/>
        </w:rPr>
        <w:t xml:space="preserve">All geometry optimizations, energy and frequency calculations were carried out with the GAUSSIAN-2009 (G09) program </w:t>
      </w:r>
      <w:r w:rsidRPr="002E71F6">
        <w:rPr>
          <w:rFonts w:ascii="Times New Roman" w:hAnsi="Times New Roman"/>
        </w:rPr>
        <w:fldChar w:fldCharType="begin" w:fldLock="1"/>
      </w:r>
      <w:r w:rsidRPr="002E71F6">
        <w:rPr>
          <w:rFonts w:ascii="Times New Roman" w:hAnsi="Times New Roman"/>
        </w:rPr>
        <w:instrText>ADDIN CSL_CITATION {"citationItems":[{"id":"ITEM-1","itemData":{"DOI":"10.1016/j.molcata.2016.05.014","ISSN":"13811169","abstract":"Complex [Rh(κ2-P,P-dppe)2]acac ([1a]acac, dppe: 1,2-bis(diphenylphosphino)ethane) showed to be a highly efficient precatalyst for the hydroformylation of 1-hexene with formaldehyde under relatively mild reaction conditions (353-403 K) in 1,4-dioxane as the solvent; the corresponding C7 aldehydes were obtained in linear to branched ratios (l/b) close to 2. A kinetic study for this reaction lead to the experimentally determined rate law: ri = {K1k2/(1 + K1[CH2O])}[Rh][C6H12][CH2O] [K1 = (1.47 ± 0.04) M-1 and k2 = (0.47 ± 0.01) M-1s-1 at 373 K). The experimental activation parameters for the overall reaction were also calculated [Ea = (20.1 ± 0.9) kcal mol-1, ΔH≠ = (19.5 ± 0.9) kcal mol-1, ΔS≠ = (-9.3 ± 0.5) cal K-1 mol-1 and ΔG≠ = (22 ± 2) kcal mol-1]. The kinetic study together with results on coordination chemistry performed with 1a and with the BF4 salt of its iridium analogue, [Ir(κ2-P,P-dppe)2]BF4 ([1b]BF4), as well as theoretical DFT-calculations allowed us to propose a mechanism for this reaction. The catalytic cycle involves the reversible oxidative addition of formaldehyde to 1a to yield [Rh(H)(CHO)(κ2-P,P-dppe)2]+, followed by the insertion of the olefin into the Rh-H bond to generate [Rh(alkyl)(CHO)(κ2-P,P-dppe)2]+, which is considered as the rds of the process [Ea2 = (23.9 ± 0.8) kcalmol-1]; the cycle is completed by the reductive elimination of the aldehydes to regenerate 1a and restart the cycle.","author":[{"dropping-particle":"","family":"Rosales","given":"Merlín","non-dropping-particle":"","parse-names":false,"suffix":""},{"dropping-particle":"","family":"Pérez","given":"Homero","non-dropping-particle":"","parse-names":false,"suffix":""},{"dropping-particle":"","family":"Arrieta","given":"Federico","non-dropping-particle":"","parse-names":false,"suffix":""},{"dropping-particle":"","family":"Izquierdo","given":"Rodolfo","non-dropping-particle":"","parse-names":false,"suffix":""},{"dropping-particle":"","family":"Moratinos","given":"Cristhina","non-dropping-particle":"","parse-names":false,"suffix":""},{"dropping-particle":"","family":"Baricelli","given":"Pablo J.","non-dropping-particle":"","parse-names":false,"suffix":""}],"container-title":"Journal of Molecular Catalysis A: Chemical","id":"ITEM-1","issued":{"date-parts":[["2016"]]},"page":"122-130","publisher":"Elsevier B.V.","title":"Kinetics and mechanisms of homogeneous catalytic reactions. Part 14. Hydroformylation of 1-hexene with formaldehyde catalyzed by a cationic bis(diphosphine)rhodium complex","type":"article-journal","volume":"421"},"uris":["http://www.mendeley.com/documents/?uuid=3d2ffc36-adf6-453a-9290-a95ed90feb4a"]}],"mendeley":{"formattedCitation":"[26]","plainTextFormattedCitation":"[26]","previouslyFormattedCitation":"[40]"},"properties":{"noteIndex":0},"schema":"https://github.com/citation-style-language/schema/raw/master/csl-citation.json"}</w:instrText>
      </w:r>
      <w:r w:rsidRPr="002E71F6">
        <w:rPr>
          <w:rFonts w:ascii="Times New Roman" w:hAnsi="Times New Roman"/>
        </w:rPr>
        <w:fldChar w:fldCharType="separate"/>
      </w:r>
      <w:r w:rsidRPr="002E71F6">
        <w:rPr>
          <w:rFonts w:ascii="Times New Roman" w:hAnsi="Times New Roman"/>
        </w:rPr>
        <w:t>[26]</w:t>
      </w:r>
      <w:r w:rsidRPr="002E71F6">
        <w:rPr>
          <w:rFonts w:ascii="Times New Roman" w:hAnsi="Times New Roman"/>
        </w:rPr>
        <w:fldChar w:fldCharType="end"/>
      </w:r>
      <w:r w:rsidRPr="002E71F6">
        <w:rPr>
          <w:rFonts w:ascii="Times New Roman" w:hAnsi="Times New Roman"/>
        </w:rPr>
        <w:t>. The optimized structures were classified according to the frequency calculations. The frequencies permit distinguishing between the minimum energy structures (all frequencies positives) in reagents, intermediates, and products or the first-order saddle points (with only one imaginary frequency) in a transition state (TS). TSs have been obtained with the synchronous transit-guide quasi-Newton (STQN) methods, using the keyword OPT=QST3.</w:t>
      </w:r>
      <w:r w:rsidR="003B2B41">
        <w:rPr>
          <w:rFonts w:ascii="Times New Roman" w:hAnsi="Times New Roman"/>
        </w:rPr>
        <w:t xml:space="preserve"> </w:t>
      </w:r>
      <w:r w:rsidR="003B2B41" w:rsidRPr="003B2B41">
        <w:rPr>
          <w:rFonts w:ascii="Times New Roman" w:hAnsi="Times New Roman"/>
          <w:color w:val="000000" w:themeColor="text1"/>
        </w:rPr>
        <w:t>The reaction thermodynamic-functions (ΔF), energy (ΔE), enthalpy (ΔH), and free energy (ΔG) were calculated at 1 bar and 298 K</w:t>
      </w:r>
      <w:r w:rsidR="00900B4E">
        <w:rPr>
          <w:rFonts w:ascii="Times New Roman" w:hAnsi="Times New Roman"/>
          <w:color w:val="000000" w:themeColor="text1"/>
        </w:rPr>
        <w:t>.</w:t>
      </w:r>
      <w:r w:rsidR="003B2B41" w:rsidRPr="003B2B41">
        <w:rPr>
          <w:rFonts w:ascii="Times New Roman" w:eastAsiaTheme="minorHAnsi" w:hAnsi="Times New Roman"/>
          <w:color w:val="000000" w:themeColor="text1"/>
          <w:lang w:eastAsia="en-US"/>
        </w:rPr>
        <w:t xml:space="preserve"> </w:t>
      </w:r>
    </w:p>
    <w:p w14:paraId="3AC3D8B8" w14:textId="5DD98CEE" w:rsidR="002E71F6" w:rsidRDefault="002E71F6" w:rsidP="002E71F6">
      <w:pPr>
        <w:pStyle w:val="TAMainText"/>
        <w:rPr>
          <w:rFonts w:ascii="Times New Roman" w:hAnsi="Times New Roman"/>
          <w:lang w:val="en-GB"/>
        </w:rPr>
      </w:pPr>
      <w:r w:rsidRPr="002E71F6">
        <w:rPr>
          <w:rFonts w:ascii="Times New Roman" w:hAnsi="Times New Roman"/>
          <w:lang w:val="en-GB"/>
        </w:rPr>
        <w:t xml:space="preserve">We have chosen the ONIOM two-layer (ONIOM2) methodology to model the </w:t>
      </w:r>
      <w:r w:rsidR="002A48C7">
        <w:rPr>
          <w:rFonts w:ascii="Times New Roman" w:hAnsi="Times New Roman"/>
          <w:lang w:val="en-GB"/>
        </w:rPr>
        <w:t xml:space="preserve">Na-MOR </w:t>
      </w:r>
      <w:r w:rsidRPr="002E71F6">
        <w:rPr>
          <w:rFonts w:ascii="Times New Roman" w:hAnsi="Times New Roman"/>
          <w:lang w:val="en-GB"/>
        </w:rPr>
        <w:t>and its anion. PM6 semiempirical and DFT (</w:t>
      </w:r>
      <w:r w:rsidRPr="002E71F6">
        <w:rPr>
          <w:rFonts w:ascii="Times New Roman" w:hAnsi="Times New Roman"/>
          <w:lang w:val="pt-BR"/>
        </w:rPr>
        <w:t>ω</w:t>
      </w:r>
      <w:r w:rsidRPr="002E71F6">
        <w:rPr>
          <w:rFonts w:ascii="Times New Roman" w:hAnsi="Times New Roman"/>
          <w:lang w:val="en-GB"/>
        </w:rPr>
        <w:t xml:space="preserve">B97X-D) levels of theory have been used for the low- and the high-level calculations in the </w:t>
      </w:r>
      <w:r w:rsidRPr="002E71F6">
        <w:rPr>
          <w:rFonts w:ascii="Times New Roman" w:hAnsi="Times New Roman"/>
          <w:lang w:val="en-GB"/>
        </w:rPr>
        <w:t>ONIOM2 methodology, respectively.</w:t>
      </w:r>
      <w:r w:rsidRPr="002E71F6">
        <w:rPr>
          <w:rFonts w:ascii="Arial" w:eastAsiaTheme="minorHAnsi" w:hAnsi="Arial" w:cs="Arial"/>
          <w:color w:val="000000" w:themeColor="text1"/>
          <w:sz w:val="24"/>
          <w:szCs w:val="24"/>
          <w:lang w:eastAsia="en-US"/>
        </w:rPr>
        <w:t xml:space="preserve"> </w:t>
      </w:r>
      <w:r w:rsidRPr="002E71F6">
        <w:rPr>
          <w:rFonts w:ascii="Times New Roman" w:hAnsi="Times New Roman"/>
          <w:lang w:val="en-GB"/>
        </w:rPr>
        <w:t>In the high-level layer, the pseudopotential LanL2DZ represented Si, H, and O and the basis set 6-311++G(</w:t>
      </w:r>
      <w:proofErr w:type="spellStart"/>
      <w:proofErr w:type="gramStart"/>
      <w:r w:rsidRPr="002E71F6">
        <w:rPr>
          <w:rFonts w:ascii="Times New Roman" w:hAnsi="Times New Roman"/>
          <w:lang w:val="en-GB"/>
        </w:rPr>
        <w:t>d,p</w:t>
      </w:r>
      <w:proofErr w:type="spellEnd"/>
      <w:proofErr w:type="gramEnd"/>
      <w:r w:rsidRPr="002E71F6">
        <w:rPr>
          <w:rFonts w:ascii="Times New Roman" w:hAnsi="Times New Roman"/>
          <w:lang w:val="en-GB"/>
        </w:rPr>
        <w:t>) for the AlO</w:t>
      </w:r>
      <w:r w:rsidRPr="002E71F6">
        <w:rPr>
          <w:rFonts w:ascii="Times New Roman" w:hAnsi="Times New Roman"/>
          <w:vertAlign w:val="subscript"/>
          <w:lang w:val="en-GB"/>
        </w:rPr>
        <w:t>4</w:t>
      </w:r>
      <w:r>
        <w:rPr>
          <w:rFonts w:ascii="Times New Roman" w:hAnsi="Times New Roman"/>
          <w:lang w:val="en-GB"/>
        </w:rPr>
        <w:t>Na</w:t>
      </w:r>
      <w:r w:rsidRPr="002E71F6">
        <w:rPr>
          <w:rFonts w:ascii="Times New Roman" w:hAnsi="Times New Roman"/>
          <w:lang w:val="en-GB"/>
        </w:rPr>
        <w:t xml:space="preserve"> fragment (site T4O10).</w:t>
      </w:r>
      <w:r>
        <w:rPr>
          <w:rFonts w:ascii="Times New Roman" w:hAnsi="Times New Roman"/>
          <w:lang w:val="en-GB"/>
        </w:rPr>
        <w:t xml:space="preserve"> </w:t>
      </w:r>
    </w:p>
    <w:p w14:paraId="0D0C8CEB" w14:textId="5D7FAC43" w:rsidR="002E71F6" w:rsidRDefault="002E71F6" w:rsidP="002E71F6">
      <w:pPr>
        <w:pStyle w:val="TAMainText"/>
        <w:rPr>
          <w:rFonts w:ascii="Times New Roman" w:hAnsi="Times New Roman"/>
          <w:lang w:val="en-GB"/>
        </w:rPr>
      </w:pPr>
      <w:r w:rsidRPr="002E71F6">
        <w:rPr>
          <w:rFonts w:ascii="Times New Roman" w:hAnsi="Times New Roman"/>
          <w:lang w:val="en-GB"/>
        </w:rPr>
        <w:t xml:space="preserve">Initially, the atomic coordinates of the MOR structure were taken from the International Zeolite Association (IZA) </w:t>
      </w:r>
      <w:r w:rsidRPr="002E71F6">
        <w:rPr>
          <w:rFonts w:ascii="Times New Roman" w:hAnsi="Times New Roman"/>
          <w:lang w:val="pt-BR"/>
        </w:rPr>
        <w:fldChar w:fldCharType="begin" w:fldLock="1"/>
      </w:r>
      <w:r>
        <w:rPr>
          <w:lang w:val="en-GB"/>
        </w:rPr>
        <w:instrText>ADDIN CSL_CITATION {"citationItems":[{"id":"ITEM-1","itemData":{"URL":"http://www.iza-structure.org/databases/","accessed":{"date-parts":[["2021","7","2"]]},"id":"ITEM-1","issued":{"date-parts":[["0"]]},"title":"Database of Zeolite Structures","type":"webpage"},"uris":["http://www.mendeley.com/documents/?uuid=be5c8f41-9d5f-3285-87ba-82ab9fd831c9"]}],"mendeley":{"formattedCitation":"[27]","plainTextFormattedCitation":"[27]","previouslyFormattedCitation":"[39]"},"properties":{"noteIndex":0},"schema":"https://github.com/citation-style-language/schema/raw/master/csl-citation.json"}</w:instrText>
      </w:r>
      <w:r w:rsidRPr="002E71F6">
        <w:rPr>
          <w:rFonts w:ascii="Times New Roman" w:hAnsi="Times New Roman"/>
          <w:lang w:val="pt-BR"/>
        </w:rPr>
        <w:fldChar w:fldCharType="separate"/>
      </w:r>
      <w:r w:rsidRPr="00624FD6">
        <w:rPr>
          <w:noProof/>
          <w:lang w:val="en-GB"/>
        </w:rPr>
        <w:t>[27]</w:t>
      </w:r>
      <w:r w:rsidRPr="002E71F6">
        <w:rPr>
          <w:rFonts w:ascii="Times New Roman" w:hAnsi="Times New Roman"/>
          <w:lang w:val="en-GB"/>
        </w:rPr>
        <w:fldChar w:fldCharType="end"/>
      </w:r>
      <w:r>
        <w:rPr>
          <w:rFonts w:ascii="Times New Roman" w:hAnsi="Times New Roman"/>
          <w:lang w:val="en-GB"/>
        </w:rPr>
        <w:t xml:space="preserve">. </w:t>
      </w:r>
      <w:r w:rsidRPr="002E71F6">
        <w:rPr>
          <w:rFonts w:ascii="Times New Roman" w:hAnsi="Times New Roman"/>
        </w:rPr>
        <w:t xml:space="preserve">The designed </w:t>
      </w:r>
      <w:r w:rsidR="002A48C7">
        <w:rPr>
          <w:rFonts w:ascii="Times New Roman" w:hAnsi="Times New Roman"/>
        </w:rPr>
        <w:t>Na</w:t>
      </w:r>
      <w:r w:rsidRPr="002E71F6">
        <w:rPr>
          <w:rFonts w:ascii="Times New Roman" w:hAnsi="Times New Roman"/>
        </w:rPr>
        <w:t>-MOR cluster model had an AlNaH</w:t>
      </w:r>
      <w:r w:rsidRPr="002E71F6">
        <w:rPr>
          <w:rFonts w:ascii="Times New Roman" w:hAnsi="Times New Roman"/>
          <w:vertAlign w:val="subscript"/>
        </w:rPr>
        <w:t>86</w:t>
      </w:r>
      <w:r w:rsidRPr="002E71F6">
        <w:rPr>
          <w:rFonts w:ascii="Times New Roman" w:hAnsi="Times New Roman"/>
        </w:rPr>
        <w:t>O</w:t>
      </w:r>
      <w:r w:rsidRPr="002E71F6">
        <w:rPr>
          <w:rFonts w:ascii="Times New Roman" w:hAnsi="Times New Roman"/>
          <w:vertAlign w:val="subscript"/>
        </w:rPr>
        <w:t>174</w:t>
      </w:r>
      <w:r w:rsidRPr="002E71F6">
        <w:rPr>
          <w:rFonts w:ascii="Times New Roman" w:hAnsi="Times New Roman"/>
        </w:rPr>
        <w:t>Si</w:t>
      </w:r>
      <w:r w:rsidRPr="002E71F6">
        <w:rPr>
          <w:rFonts w:ascii="Times New Roman" w:hAnsi="Times New Roman"/>
          <w:vertAlign w:val="subscript"/>
        </w:rPr>
        <w:t>106</w:t>
      </w:r>
      <w:r w:rsidRPr="002E71F6">
        <w:rPr>
          <w:rFonts w:ascii="Times New Roman" w:hAnsi="Times New Roman"/>
        </w:rPr>
        <w:t xml:space="preserve"> stoichiometry (see Figure 1c)</w:t>
      </w:r>
      <w:r>
        <w:rPr>
          <w:rFonts w:ascii="Times New Roman" w:hAnsi="Times New Roman"/>
        </w:rPr>
        <w:t xml:space="preserve">. </w:t>
      </w:r>
      <w:r w:rsidRPr="002E71F6">
        <w:rPr>
          <w:rFonts w:ascii="Times New Roman" w:hAnsi="Times New Roman"/>
          <w:lang w:val="en-GB"/>
        </w:rPr>
        <w:t>In ONIOM calculations, the high-level model consisted of 27 tetrahedrons (TO</w:t>
      </w:r>
      <w:r w:rsidRPr="002E71F6">
        <w:rPr>
          <w:rFonts w:ascii="Times New Roman" w:hAnsi="Times New Roman"/>
          <w:vertAlign w:val="subscript"/>
          <w:lang w:val="en-GB"/>
        </w:rPr>
        <w:t>4</w:t>
      </w:r>
      <w:r w:rsidRPr="002E71F6">
        <w:rPr>
          <w:rFonts w:ascii="Times New Roman" w:hAnsi="Times New Roman"/>
          <w:lang w:val="en-GB"/>
        </w:rPr>
        <w:t>) containing the T4O10 site, see ball and stick representation in Figure1c, whereas the real system contains 107 tetrahedrons (27T, 107T).</w:t>
      </w:r>
    </w:p>
    <w:p w14:paraId="2910B8B6" w14:textId="77777777" w:rsidR="003B2B41" w:rsidRPr="009909D6" w:rsidRDefault="003B2B41" w:rsidP="003B2B41">
      <w:pPr>
        <w:pStyle w:val="TAMainText"/>
      </w:pPr>
      <w:r>
        <w:t>We studied the ionic exchange process (IE) from Na</w:t>
      </w:r>
      <w:r w:rsidRPr="003B2B41">
        <w:rPr>
          <w:vertAlign w:val="superscript"/>
        </w:rPr>
        <w:t>+</w:t>
      </w:r>
      <w:r>
        <w:t xml:space="preserve"> to [M]</w:t>
      </w:r>
      <w:r w:rsidRPr="003B2B41">
        <w:rPr>
          <w:vertAlign w:val="superscript"/>
        </w:rPr>
        <w:t>+</w:t>
      </w:r>
      <w:r>
        <w:t xml:space="preserve"> only near the position T4O10 inside the 12-MR channel (</w:t>
      </w:r>
      <w:r>
        <w:rPr>
          <w:rStyle w:val="nfasis"/>
          <w:color w:val="0E101A"/>
        </w:rPr>
        <w:t>i.e.</w:t>
      </w:r>
      <w:r>
        <w:t>, the site I in Figure 1) to produce models of [M]-MOR composites (see reaction 2 in Figure 2). Further, we evaluated the gas adsorption process (ads) by optimizing some host-guest complexes between [M]-MOR and the CO</w:t>
      </w:r>
      <w:r w:rsidRPr="009909D6">
        <w:rPr>
          <w:vertAlign w:val="subscript"/>
        </w:rPr>
        <w:t>2</w:t>
      </w:r>
      <w:r>
        <w:t>. Finally, some key critical points of the potential energy surface (PES) generated for the different reaction pathways between [M]-MOR and CO</w:t>
      </w:r>
      <w:r w:rsidRPr="009909D6">
        <w:rPr>
          <w:vertAlign w:val="subscript"/>
        </w:rPr>
        <w:t>2</w:t>
      </w:r>
      <w:r>
        <w:t xml:space="preserve"> were studied. </w:t>
      </w:r>
      <w:r w:rsidRPr="009909D6">
        <w:t xml:space="preserve">The steric maps were obtained using the </w:t>
      </w:r>
      <w:proofErr w:type="spellStart"/>
      <w:r w:rsidRPr="009909D6">
        <w:t>SambVca</w:t>
      </w:r>
      <w:proofErr w:type="spellEnd"/>
      <w:r w:rsidRPr="009909D6">
        <w:t xml:space="preserve"> 2 Web application </w:t>
      </w:r>
      <w:r w:rsidRPr="009909D6">
        <w:fldChar w:fldCharType="begin" w:fldLock="1"/>
      </w:r>
      <w:r>
        <w:instrText>ADDIN CSL_CITATION {"citationItems":[{"id":"ITEM-1","itemData":{"DOI":"10.1038/s41557-019-0319-5","ISSN":"1755-4349","PMID":"31477851","abstract":"The engineering of catalysts with desirable properties can be accelerated by computer-aided design. To achieve this aim, features of molecular catalysts can be condensed into numerical descriptors that can then be used to correlate reactivity and structure. Based on such descriptors, we have introduced topographic steric maps that provide a three-dimensional image of the catalytic pocket—the region of the catalyst where the substrate binds and reacts—enabling it to be visualized and also reshaped by changing various parameters. These topographic steric maps, especially when used in conjunction with density functional theory calculations, enable catalyst structural modifications to be explored quickly, making the online design of new catalysts accessible to the wide chemical community. In this Perspective, we discuss the application of topographic steric maps either to rationalize the behaviour of known catalysts—from synthetic molecular species to metalloenzymes—or to design improved catalysts. The shape complementarity between the active site of a catalyst and a substrate influences how effectively a reaction can be catalysed. Computational tools can be used to visualize the shape around the active centre of a range of catalysts and the application of such approaches to rationalize the behaviour of known catalysts — and to design new ones — is discussed.","author":[{"dropping-particle":"","family":"Falivene","given":"Laura","non-dropping-particle":"","parse-names":false,"suffix":""},{"dropping-particle":"","family":"Cao","given":"Zhen","non-dropping-particle":"","parse-names":false,"suffix":""},{"dropping-particle":"","family":"Petta","given":"Andrea","non-dropping-particle":"","parse-names":false,"suffix":""},{"dropping-particle":"","family":"Serra","given":"Luigi","non-dropping-particle":"","parse-names":false,"suffix":""},{"dropping-particle":"","family":"Poater","given":"Albert","non-dropping-particle":"","parse-names":false,"suffix":""},{"dropping-particle":"","family":"Oliva","given":"Romina","non-dropping-particle":"","parse-names":false,"suffix":""},{"dropping-particle":"","family":"Scarano","given":"Vittorio","non-dropping-particle":"","parse-names":false,"suffix":""},{"dropping-particle":"","family":"Cavallo","given":"Luigi","non-dropping-particle":"","parse-names":false,"suffix":""}],"container-title":"Nature Chemistry 2019 11:10","id":"ITEM-1","issue":"10","issued":{"date-parts":[["2019","9","2"]]},"page":"872-879","publisher":"Nature Publishing Group","title":"Towards the online computer-aided design of catalytic pockets","type":"article-journal","volume":"11"},"uris":["http://www.mendeley.com/documents/?uuid=3d738bda-5ded-3689-8d50-5fab0b1a66a5"]}],"mendeley":{"formattedCitation":"[28]","plainTextFormattedCitation":"[28]","previouslyFormattedCitation":"[48]"},"properties":{"noteIndex":0},"schema":"https://github.com/citation-style-language/schema/raw/master/csl-citation.json"}</w:instrText>
      </w:r>
      <w:r w:rsidRPr="009909D6">
        <w:fldChar w:fldCharType="separate"/>
      </w:r>
      <w:r w:rsidRPr="009909D6">
        <w:rPr>
          <w:noProof/>
        </w:rPr>
        <w:t>[28]</w:t>
      </w:r>
      <w:r w:rsidRPr="009909D6">
        <w:fldChar w:fldCharType="end"/>
      </w:r>
    </w:p>
    <w:bookmarkEnd w:id="4"/>
    <w:p w14:paraId="136BD1AC" w14:textId="0C25CEFE" w:rsidR="00EA4E1B" w:rsidRDefault="003B2B41" w:rsidP="00EA4E1B">
      <w:pPr>
        <w:pStyle w:val="Ttulo2"/>
        <w:rPr>
          <w:rFonts w:ascii="Helvetica" w:hAnsi="Helvetica" w:cs="Helvetica"/>
          <w:sz w:val="24"/>
          <w:szCs w:val="24"/>
          <w:lang w:val="en-GB"/>
        </w:rPr>
      </w:pPr>
      <w:r w:rsidRPr="003B2B41">
        <w:rPr>
          <w:rFonts w:ascii="Helvetica" w:hAnsi="Helvetica" w:cs="Helvetica"/>
          <w:sz w:val="24"/>
          <w:szCs w:val="24"/>
          <w:lang w:val="en-GB"/>
        </w:rPr>
        <w:t>Results and discussion</w:t>
      </w:r>
    </w:p>
    <w:p w14:paraId="0EC8F5F6" w14:textId="77777777" w:rsidR="007E32A6" w:rsidRPr="0081567A" w:rsidRDefault="007E32A6" w:rsidP="007E32A6">
      <w:pPr>
        <w:rPr>
          <w:sz w:val="6"/>
          <w:szCs w:val="6"/>
          <w:lang w:val="en-GB"/>
        </w:rPr>
      </w:pPr>
    </w:p>
    <w:p w14:paraId="69FBE8AA" w14:textId="23A8AE2F" w:rsidR="003B2B41" w:rsidRPr="008845D8" w:rsidRDefault="003B2B41" w:rsidP="003B2B41">
      <w:pPr>
        <w:pStyle w:val="TAMainText"/>
        <w:ind w:firstLine="0"/>
        <w:rPr>
          <w:rFonts w:ascii="Times New Roman" w:hAnsi="Times New Roman"/>
          <w:i/>
          <w:lang w:val="en-GB"/>
        </w:rPr>
      </w:pPr>
      <w:r w:rsidRPr="003B2B41">
        <w:rPr>
          <w:rFonts w:ascii="Times New Roman" w:hAnsi="Times New Roman"/>
          <w:i/>
          <w:lang w:val="en-GB"/>
        </w:rPr>
        <w:t>In Silico design from ONIOM-DFT calculations of</w:t>
      </w:r>
      <w:r>
        <w:rPr>
          <w:rFonts w:ascii="Times New Roman" w:hAnsi="Times New Roman"/>
          <w:i/>
          <w:lang w:val="en-GB"/>
        </w:rPr>
        <w:t xml:space="preserve"> </w:t>
      </w:r>
      <w:r w:rsidRPr="003B2B41">
        <w:rPr>
          <w:rFonts w:ascii="Times New Roman" w:hAnsi="Times New Roman"/>
          <w:i/>
          <w:lang w:val="en-GB"/>
        </w:rPr>
        <w:t xml:space="preserve">[M]-MOR using the IE of </w:t>
      </w:r>
      <w:r>
        <w:rPr>
          <w:rFonts w:ascii="Times New Roman" w:hAnsi="Times New Roman"/>
          <w:i/>
          <w:lang w:val="en-GB"/>
        </w:rPr>
        <w:t>Na</w:t>
      </w:r>
      <w:r w:rsidRPr="003B2B41">
        <w:rPr>
          <w:rFonts w:ascii="Times New Roman" w:hAnsi="Times New Roman"/>
          <w:i/>
          <w:vertAlign w:val="superscript"/>
          <w:lang w:val="en-GB"/>
        </w:rPr>
        <w:t>+</w:t>
      </w:r>
      <w:r w:rsidRPr="003B2B41">
        <w:rPr>
          <w:rFonts w:ascii="Times New Roman" w:hAnsi="Times New Roman"/>
          <w:i/>
          <w:lang w:val="en-GB"/>
        </w:rPr>
        <w:t xml:space="preserve"> by cation of </w:t>
      </w:r>
      <w:proofErr w:type="spellStart"/>
      <w:r>
        <w:rPr>
          <w:rFonts w:ascii="Times New Roman" w:hAnsi="Times New Roman"/>
          <w:i/>
          <w:lang w:val="en-GB"/>
        </w:rPr>
        <w:t>Im</w:t>
      </w:r>
      <w:proofErr w:type="spellEnd"/>
      <w:r>
        <w:rPr>
          <w:rFonts w:ascii="Times New Roman" w:hAnsi="Times New Roman"/>
          <w:i/>
          <w:lang w:val="en-GB"/>
        </w:rPr>
        <w:t>-</w:t>
      </w:r>
      <w:r w:rsidRPr="003B2B41">
        <w:rPr>
          <w:rFonts w:ascii="Times New Roman" w:hAnsi="Times New Roman"/>
          <w:i/>
          <w:lang w:val="en-GB"/>
        </w:rPr>
        <w:t>ILs</w:t>
      </w:r>
      <w:r w:rsidRPr="008845D8">
        <w:rPr>
          <w:rFonts w:ascii="Times New Roman" w:hAnsi="Times New Roman"/>
          <w:i/>
          <w:lang w:val="en-GB"/>
        </w:rPr>
        <w:t>.</w:t>
      </w:r>
    </w:p>
    <w:p w14:paraId="2A850117" w14:textId="77777777" w:rsidR="003B2B41" w:rsidRPr="0081567A" w:rsidRDefault="003B2B41" w:rsidP="00EA4E1B">
      <w:pPr>
        <w:pStyle w:val="TAMainText"/>
        <w:ind w:firstLine="187"/>
        <w:rPr>
          <w:rFonts w:ascii="Times New Roman" w:hAnsi="Times New Roman"/>
          <w:sz w:val="6"/>
          <w:szCs w:val="6"/>
          <w:lang w:val="en-GB"/>
        </w:rPr>
      </w:pPr>
    </w:p>
    <w:p w14:paraId="3ABD1F21" w14:textId="4D8D2874" w:rsidR="005268EC" w:rsidRDefault="006B56F6" w:rsidP="000756FE">
      <w:pPr>
        <w:pStyle w:val="TAMainText"/>
        <w:rPr>
          <w:rStyle w:val="rynqvb"/>
          <w:lang w:val="en"/>
        </w:rPr>
      </w:pPr>
      <w:r w:rsidRPr="006B56F6">
        <w:rPr>
          <w:rFonts w:ascii="Times New Roman" w:hAnsi="Times New Roman"/>
          <w:lang w:val="en-GB"/>
        </w:rPr>
        <w:t>Recently, we studied, using ONIOM-DFT calculations, the interaction of [M]Cl (where [M]</w:t>
      </w:r>
      <w:r w:rsidR="00D83D79">
        <w:rPr>
          <w:rFonts w:ascii="Times New Roman" w:hAnsi="Times New Roman"/>
          <w:vertAlign w:val="superscript"/>
          <w:lang w:val="en-GB"/>
        </w:rPr>
        <w:t>+</w:t>
      </w:r>
      <w:r w:rsidRPr="006B56F6">
        <w:rPr>
          <w:rFonts w:ascii="Times New Roman" w:hAnsi="Times New Roman"/>
          <w:lang w:val="en-GB"/>
        </w:rPr>
        <w:t>: [</w:t>
      </w:r>
      <w:proofErr w:type="spellStart"/>
      <w:r w:rsidRPr="006B56F6">
        <w:rPr>
          <w:rFonts w:ascii="Times New Roman" w:hAnsi="Times New Roman"/>
          <w:lang w:val="en-GB"/>
        </w:rPr>
        <w:t>MMIm</w:t>
      </w:r>
      <w:proofErr w:type="spellEnd"/>
      <w:r w:rsidRPr="006B56F6">
        <w:rPr>
          <w:rFonts w:ascii="Times New Roman" w:hAnsi="Times New Roman"/>
          <w:lang w:val="en-GB"/>
        </w:rPr>
        <w:t>]</w:t>
      </w:r>
      <w:r w:rsidRPr="006B56F6">
        <w:rPr>
          <w:rFonts w:ascii="Times New Roman" w:hAnsi="Times New Roman"/>
          <w:vertAlign w:val="superscript"/>
          <w:lang w:val="en-GB"/>
        </w:rPr>
        <w:t>+</w:t>
      </w:r>
      <w:r w:rsidRPr="006B56F6">
        <w:rPr>
          <w:rFonts w:ascii="Times New Roman" w:hAnsi="Times New Roman"/>
          <w:lang w:val="en-GB"/>
        </w:rPr>
        <w:t>, [</w:t>
      </w:r>
      <w:proofErr w:type="spellStart"/>
      <w:r w:rsidRPr="006B56F6">
        <w:rPr>
          <w:rFonts w:ascii="Times New Roman" w:hAnsi="Times New Roman"/>
          <w:lang w:val="en-GB"/>
        </w:rPr>
        <w:t>EMIm</w:t>
      </w:r>
      <w:proofErr w:type="spellEnd"/>
      <w:r w:rsidRPr="006B56F6">
        <w:rPr>
          <w:rFonts w:ascii="Times New Roman" w:hAnsi="Times New Roman"/>
          <w:lang w:val="en-GB"/>
        </w:rPr>
        <w:t>]</w:t>
      </w:r>
      <w:r w:rsidRPr="006B56F6">
        <w:rPr>
          <w:rFonts w:ascii="Times New Roman" w:hAnsi="Times New Roman"/>
          <w:vertAlign w:val="superscript"/>
          <w:lang w:val="en-GB"/>
        </w:rPr>
        <w:t>+</w:t>
      </w:r>
      <w:r w:rsidRPr="006B56F6">
        <w:rPr>
          <w:rFonts w:ascii="Times New Roman" w:hAnsi="Times New Roman"/>
          <w:lang w:val="en-GB"/>
        </w:rPr>
        <w:t>, [</w:t>
      </w:r>
      <w:proofErr w:type="spellStart"/>
      <w:r w:rsidRPr="006B56F6">
        <w:rPr>
          <w:rFonts w:ascii="Times New Roman" w:hAnsi="Times New Roman"/>
          <w:lang w:val="en-GB"/>
        </w:rPr>
        <w:t>PMIm</w:t>
      </w:r>
      <w:proofErr w:type="spellEnd"/>
      <w:r w:rsidRPr="006B56F6">
        <w:rPr>
          <w:rFonts w:ascii="Times New Roman" w:hAnsi="Times New Roman"/>
          <w:lang w:val="en-GB"/>
        </w:rPr>
        <w:t>]</w:t>
      </w:r>
      <w:r w:rsidRPr="006B56F6">
        <w:rPr>
          <w:rFonts w:ascii="Times New Roman" w:hAnsi="Times New Roman"/>
          <w:vertAlign w:val="superscript"/>
          <w:lang w:val="en-GB"/>
        </w:rPr>
        <w:t>+</w:t>
      </w:r>
      <w:r w:rsidRPr="006B56F6">
        <w:rPr>
          <w:rFonts w:ascii="Times New Roman" w:hAnsi="Times New Roman"/>
          <w:lang w:val="en-GB"/>
        </w:rPr>
        <w:t>, [</w:t>
      </w:r>
      <w:proofErr w:type="spellStart"/>
      <w:r w:rsidRPr="006B56F6">
        <w:rPr>
          <w:rFonts w:ascii="Times New Roman" w:hAnsi="Times New Roman"/>
          <w:lang w:val="en-GB"/>
        </w:rPr>
        <w:t>BMIm</w:t>
      </w:r>
      <w:proofErr w:type="spellEnd"/>
      <w:r w:rsidRPr="006B56F6">
        <w:rPr>
          <w:rFonts w:ascii="Times New Roman" w:hAnsi="Times New Roman"/>
          <w:lang w:val="en-GB"/>
        </w:rPr>
        <w:t>]</w:t>
      </w:r>
      <w:r w:rsidRPr="006B56F6">
        <w:rPr>
          <w:rFonts w:ascii="Times New Roman" w:hAnsi="Times New Roman"/>
          <w:vertAlign w:val="superscript"/>
          <w:lang w:val="en-GB"/>
        </w:rPr>
        <w:t>+</w:t>
      </w:r>
      <w:r w:rsidRPr="006B56F6">
        <w:rPr>
          <w:rFonts w:ascii="Times New Roman" w:hAnsi="Times New Roman"/>
          <w:lang w:val="en-GB"/>
        </w:rPr>
        <w:t>, [</w:t>
      </w:r>
      <w:proofErr w:type="spellStart"/>
      <w:r w:rsidRPr="006B56F6">
        <w:rPr>
          <w:rFonts w:ascii="Times New Roman" w:hAnsi="Times New Roman"/>
          <w:lang w:val="en-GB"/>
        </w:rPr>
        <w:t>HEMIm</w:t>
      </w:r>
      <w:proofErr w:type="spellEnd"/>
      <w:r w:rsidRPr="006B56F6">
        <w:rPr>
          <w:rFonts w:ascii="Times New Roman" w:hAnsi="Times New Roman"/>
          <w:lang w:val="en-GB"/>
        </w:rPr>
        <w:t>]</w:t>
      </w:r>
      <w:r w:rsidRPr="006B56F6">
        <w:rPr>
          <w:rFonts w:ascii="Times New Roman" w:hAnsi="Times New Roman"/>
          <w:vertAlign w:val="superscript"/>
          <w:lang w:val="en-GB"/>
        </w:rPr>
        <w:t>+</w:t>
      </w:r>
      <w:r w:rsidRPr="006B56F6">
        <w:rPr>
          <w:rFonts w:ascii="Times New Roman" w:hAnsi="Times New Roman"/>
          <w:lang w:val="en-GB"/>
        </w:rPr>
        <w:t>) with H-MOR to detail the synthesis of the [M]-MOR composites similar to those studied here</w:t>
      </w:r>
      <w:r>
        <w:rPr>
          <w:rFonts w:ascii="Times New Roman" w:hAnsi="Times New Roman"/>
          <w:lang w:val="en-GB"/>
        </w:rPr>
        <w:t xml:space="preserve"> </w:t>
      </w:r>
      <w:r>
        <w:rPr>
          <w:rStyle w:val="q4iawc"/>
          <w:lang w:val="en"/>
        </w:rPr>
        <w:fldChar w:fldCharType="begin" w:fldLock="1"/>
      </w:r>
      <w:r>
        <w:rPr>
          <w:rStyle w:val="q4iawc"/>
          <w:lang w:val="en"/>
        </w:rPr>
        <w:instrText>ADDIN CSL_CITATION {"citationItems":[{"id":"ITEM-1","itemData":{"DOI":"10.1016/J.MICROMESO.2022.112053","ISSN":"1387-1811","author":[{"dropping-particle":"","family":"Izquierdo","given":"Rodolfo","non-dropping-particle":"","parse-names":false,"suffix":""},{"dropping-particle":"","family":"Chacón","given":"Gustavo","non-dropping-particle":"","parse-names":false,"suffix":""},{"dropping-particle":"","family":"Cubillán","given":"Néstor","non-dropping-particle":"","parse-names":false,"suffix":""},{"dropping-particle":"","family":"Stassen","given":"Hubert","non-dropping-particle":"","parse-names":false,"suffix":""}],"container-title":"Microporous and Mesoporous Materials","id":"ITEM-1","issued":{"date-parts":[["2022","6","13"]]},"page":"112053","publisher":"Elsevier","title":"Do certain imidazolium-based ionic liquid ion pairs/mordenite capture H2S by conformational traps? An ONIOM-DFT study","type":"article-journal"},"uris":["http://www.mendeley.com/documents/?uuid=b95f5d02-7434-30db-8d85-90d168c8d044"]}],"mendeley":{"formattedCitation":"[25]","plainTextFormattedCitation":"[25]","previouslyFormattedCitation":"[44]"},"properties":{"noteIndex":0},"schema":"https://github.com/citation-style-language/schema/raw/master/csl-citation.json"}</w:instrText>
      </w:r>
      <w:r>
        <w:rPr>
          <w:rStyle w:val="q4iawc"/>
          <w:lang w:val="en"/>
        </w:rPr>
        <w:fldChar w:fldCharType="separate"/>
      </w:r>
      <w:r w:rsidRPr="00A734FC">
        <w:rPr>
          <w:rStyle w:val="q4iawc"/>
          <w:noProof/>
          <w:lang w:val="en"/>
        </w:rPr>
        <w:t>[25]</w:t>
      </w:r>
      <w:r>
        <w:rPr>
          <w:rStyle w:val="q4iawc"/>
          <w:lang w:val="en"/>
        </w:rPr>
        <w:fldChar w:fldCharType="end"/>
      </w:r>
      <w:r>
        <w:rPr>
          <w:lang w:val="en"/>
        </w:rPr>
        <w:t>.</w:t>
      </w:r>
      <w:r w:rsidR="002A7662">
        <w:rPr>
          <w:lang w:val="en"/>
        </w:rPr>
        <w:t xml:space="preserve"> </w:t>
      </w:r>
      <w:r w:rsidR="002A7662" w:rsidRPr="002A7662">
        <w:rPr>
          <w:lang w:val="en"/>
        </w:rPr>
        <w:t xml:space="preserve">We </w:t>
      </w:r>
      <w:r w:rsidR="000756FE">
        <w:rPr>
          <w:rStyle w:val="rynqvb"/>
          <w:lang w:val="en"/>
        </w:rPr>
        <w:t>established</w:t>
      </w:r>
      <w:r w:rsidR="002A7662" w:rsidRPr="002A7662">
        <w:rPr>
          <w:lang w:val="en"/>
        </w:rPr>
        <w:t xml:space="preserve"> all pathways towards the formation of [M]-MOR composites containing [M]</w:t>
      </w:r>
      <w:r w:rsidR="002A7662" w:rsidRPr="002A7662">
        <w:rPr>
          <w:vertAlign w:val="superscript"/>
          <w:lang w:val="en"/>
        </w:rPr>
        <w:t>+</w:t>
      </w:r>
      <w:r w:rsidR="002A7662" w:rsidRPr="002A7662">
        <w:rPr>
          <w:lang w:val="en"/>
        </w:rPr>
        <w:t xml:space="preserve"> located inside and outside the zeolitic pore.</w:t>
      </w:r>
      <w:r w:rsidR="00F425C3">
        <w:rPr>
          <w:lang w:val="en"/>
        </w:rPr>
        <w:t xml:space="preserve"> </w:t>
      </w:r>
      <w:r w:rsidR="00F425C3" w:rsidRPr="00F425C3">
        <w:t xml:space="preserve">The most feasible pathway describes the [M]-MOR formation from an ionic mechanism that involves the deprotonation of BAS (DP) </w:t>
      </w:r>
      <w:r w:rsidR="007C0890">
        <w:t xml:space="preserve">on T4O10 site </w:t>
      </w:r>
      <w:r w:rsidR="00F425C3" w:rsidRPr="00F425C3">
        <w:t>and ion-pair dissociation of [M][Cl] (</w:t>
      </w:r>
      <w:r w:rsidR="00F425C3" w:rsidRPr="00F425C3">
        <w:rPr>
          <w:i/>
          <w:iCs/>
        </w:rPr>
        <w:t>i.e.</w:t>
      </w:r>
      <w:r w:rsidR="00F425C3" w:rsidRPr="00F425C3">
        <w:t xml:space="preserve">, the inverse process to the ion-pair formation, IP). Afterward, </w:t>
      </w:r>
      <w:r w:rsidR="00F425C3" w:rsidRPr="00F425C3">
        <w:rPr>
          <w:i/>
        </w:rPr>
        <w:t>via</w:t>
      </w:r>
      <w:r w:rsidR="00F425C3" w:rsidRPr="00F425C3">
        <w:t xml:space="preserve"> IP, the </w:t>
      </w:r>
      <w:r w:rsidR="007C0890">
        <w:rPr>
          <w:rStyle w:val="rynqvb"/>
          <w:lang w:val="en"/>
        </w:rPr>
        <w:t>anionic mordenite (</w:t>
      </w:r>
      <w:r w:rsidR="007C0890">
        <w:t>MOR</w:t>
      </w:r>
      <w:r w:rsidR="00F425C3" w:rsidRPr="00F425C3">
        <w:rPr>
          <w:vertAlign w:val="superscript"/>
        </w:rPr>
        <w:t>-</w:t>
      </w:r>
      <w:r w:rsidR="007C0890">
        <w:t xml:space="preserve">) </w:t>
      </w:r>
      <w:r w:rsidR="00F425C3" w:rsidRPr="00F425C3">
        <w:t>interacts with [M]</w:t>
      </w:r>
      <w:r w:rsidR="00F425C3" w:rsidRPr="00F425C3">
        <w:rPr>
          <w:vertAlign w:val="superscript"/>
        </w:rPr>
        <w:t>+</w:t>
      </w:r>
      <w:r w:rsidR="00F425C3" w:rsidRPr="00F425C3">
        <w:t xml:space="preserve"> to produce [M]-MOR, and, simultaneously HCl is released. </w:t>
      </w:r>
      <w:r w:rsidR="00293F5E" w:rsidRPr="00293F5E">
        <w:t xml:space="preserve">Based on the ion exchange mechanism established for those composites </w:t>
      </w:r>
      <w:r w:rsidR="00BF7DCF">
        <w:t>at</w:t>
      </w:r>
      <w:r w:rsidR="00293F5E" w:rsidRPr="00293F5E">
        <w:t xml:space="preserve"> </w:t>
      </w:r>
      <w:r w:rsidR="00BF7DCF">
        <w:t>R</w:t>
      </w:r>
      <w:r w:rsidR="00293F5E" w:rsidRPr="00293F5E">
        <w:t xml:space="preserve">ef. </w:t>
      </w:r>
      <w:r w:rsidR="00293F5E">
        <w:rPr>
          <w:rStyle w:val="q4iawc"/>
          <w:lang w:val="en"/>
        </w:rPr>
        <w:fldChar w:fldCharType="begin" w:fldLock="1"/>
      </w:r>
      <w:r w:rsidR="00293F5E">
        <w:rPr>
          <w:rStyle w:val="q4iawc"/>
          <w:lang w:val="en"/>
        </w:rPr>
        <w:instrText>ADDIN CSL_CITATION {"citationItems":[{"id":"ITEM-1","itemData":{"DOI":"10.1016/J.MICROMESO.2022.112053","ISSN":"1387-1811","author":[{"dropping-particle":"","family":"Izquierdo","given":"Rodolfo","non-dropping-particle":"","parse-names":false,"suffix":""},{"dropping-particle":"","family":"Chacón","given":"Gustavo","non-dropping-particle":"","parse-names":false,"suffix":""},{"dropping-particle":"","family":"Cubillán","given":"Néstor","non-dropping-particle":"","parse-names":false,"suffix":""},{"dropping-particle":"","family":"Stassen","given":"Hubert","non-dropping-particle":"","parse-names":false,"suffix":""}],"container-title":"Microporous and Mesoporous Materials","id":"ITEM-1","issued":{"date-parts":[["2022","6","13"]]},"page":"112053","publisher":"Elsevier","title":"Do certain imidazolium-based ionic liquid ion pairs/mordenite capture H2S by conformational traps? An ONIOM-DFT study","type":"article-journal"},"uris":["http://www.mendeley.com/documents/?uuid=b95f5d02-7434-30db-8d85-90d168c8d044"]}],"mendeley":{"formattedCitation":"[25]","plainTextFormattedCitation":"[25]","previouslyFormattedCitation":"[44]"},"properties":{"noteIndex":0},"schema":"https://github.com/citation-style-language/schema/raw/master/csl-citation.json"}</w:instrText>
      </w:r>
      <w:r w:rsidR="00293F5E">
        <w:rPr>
          <w:rStyle w:val="q4iawc"/>
          <w:lang w:val="en"/>
        </w:rPr>
        <w:fldChar w:fldCharType="separate"/>
      </w:r>
      <w:r w:rsidR="00293F5E" w:rsidRPr="00A734FC">
        <w:rPr>
          <w:rStyle w:val="q4iawc"/>
          <w:noProof/>
          <w:lang w:val="en"/>
        </w:rPr>
        <w:t>[25]</w:t>
      </w:r>
      <w:r w:rsidR="00293F5E">
        <w:rPr>
          <w:rStyle w:val="q4iawc"/>
          <w:lang w:val="en"/>
        </w:rPr>
        <w:fldChar w:fldCharType="end"/>
      </w:r>
      <w:r w:rsidR="00293F5E">
        <w:rPr>
          <w:rStyle w:val="q4iawc"/>
          <w:lang w:val="en"/>
        </w:rPr>
        <w:t xml:space="preserve">, </w:t>
      </w:r>
      <w:r w:rsidR="00293F5E">
        <w:t>w</w:t>
      </w:r>
      <w:r w:rsidR="007C0890" w:rsidRPr="007C0890">
        <w:t>e propose forming four</w:t>
      </w:r>
      <w:r w:rsidR="000756FE">
        <w:t xml:space="preserve"> (4) </w:t>
      </w:r>
      <w:r w:rsidR="007C0890" w:rsidRPr="007C0890">
        <w:t xml:space="preserve">new materials </w:t>
      </w:r>
      <w:r w:rsidR="000756FE">
        <w:rPr>
          <w:rStyle w:val="rynqvb"/>
          <w:lang w:val="en"/>
        </w:rPr>
        <w:t>using a similar IE process described in reaction 1</w:t>
      </w:r>
      <w:r w:rsidR="007C0890" w:rsidRPr="007C0890">
        <w:t xml:space="preserve">, combining Na-MOR with the amino-functionalized </w:t>
      </w:r>
      <w:proofErr w:type="spellStart"/>
      <w:r w:rsidR="007C0890" w:rsidRPr="007C0890">
        <w:t>Im</w:t>
      </w:r>
      <w:proofErr w:type="spellEnd"/>
      <w:r w:rsidR="007C0890" w:rsidRPr="007C0890">
        <w:t>-ILs presented in Figure 2.</w:t>
      </w:r>
      <w:r w:rsidR="007C0890">
        <w:t xml:space="preserve"> </w:t>
      </w:r>
      <w:r w:rsidR="00293F5E" w:rsidRPr="00AB1184">
        <w:rPr>
          <w:rStyle w:val="rynqvb"/>
          <w:lang w:val="en"/>
        </w:rPr>
        <w:t xml:space="preserve">Figure </w:t>
      </w:r>
      <w:r w:rsidR="000756FE">
        <w:rPr>
          <w:rStyle w:val="rynqvb"/>
          <w:lang w:val="en"/>
        </w:rPr>
        <w:t>3</w:t>
      </w:r>
      <w:r w:rsidR="00293F5E" w:rsidRPr="00AB1184">
        <w:rPr>
          <w:rStyle w:val="rynqvb"/>
          <w:lang w:val="en"/>
        </w:rPr>
        <w:t xml:space="preserve"> shows the optimized structures of</w:t>
      </w:r>
      <w:r w:rsidR="00293F5E">
        <w:rPr>
          <w:rStyle w:val="rynqvb"/>
          <w:lang w:val="en"/>
        </w:rPr>
        <w:t xml:space="preserve"> </w:t>
      </w:r>
      <w:r w:rsidR="00293F5E" w:rsidRPr="00AB1184">
        <w:rPr>
          <w:rStyle w:val="rynqvb"/>
          <w:lang w:val="en"/>
        </w:rPr>
        <w:t>the [M]-MOR models</w:t>
      </w:r>
      <w:r w:rsidR="000756FE">
        <w:rPr>
          <w:rStyle w:val="rynqvb"/>
          <w:lang w:val="en"/>
        </w:rPr>
        <w:t xml:space="preserve">. </w:t>
      </w:r>
    </w:p>
    <w:p w14:paraId="14EDC8D5" w14:textId="0ED212A2" w:rsidR="00347DBB" w:rsidRPr="00347DBB" w:rsidRDefault="00347DBB" w:rsidP="00347DBB">
      <w:pPr>
        <w:pStyle w:val="TAMainText"/>
        <w:rPr>
          <w:lang w:val="en-GB"/>
        </w:rPr>
      </w:pPr>
      <w:bookmarkStart w:id="5" w:name="_Hlk133590037"/>
      <w:r w:rsidRPr="00347DBB">
        <w:t>It is known that the alkyl chain rotation in the imidazolium cations ([M]</w:t>
      </w:r>
      <w:r w:rsidRPr="00347DBB">
        <w:rPr>
          <w:vertAlign w:val="superscript"/>
        </w:rPr>
        <w:t>+</w:t>
      </w:r>
      <w:r w:rsidRPr="00347DBB">
        <w:t xml:space="preserve">) in the </w:t>
      </w:r>
      <w:proofErr w:type="spellStart"/>
      <w:r w:rsidRPr="00347DBB">
        <w:t>Im</w:t>
      </w:r>
      <w:proofErr w:type="spellEnd"/>
      <w:r w:rsidRPr="00347DBB">
        <w:t>-ILs facile and varies over an extensive range of angles for little cost in energy, and the formed conformers lie within 2.7 kJ mol</w:t>
      </w:r>
      <w:r w:rsidRPr="00347DBB">
        <w:rPr>
          <w:vertAlign w:val="superscript"/>
        </w:rPr>
        <w:t>-1</w:t>
      </w:r>
      <w:r w:rsidRPr="00347DBB">
        <w:t xml:space="preserve"> of each other</w:t>
      </w:r>
      <w:bookmarkStart w:id="6" w:name="_Hlk92284425"/>
      <w:r w:rsidR="007F266B">
        <w:t xml:space="preserve"> [29-32]</w:t>
      </w:r>
      <w:r w:rsidRPr="00347DBB">
        <w:t xml:space="preserve">. </w:t>
      </w:r>
      <w:bookmarkEnd w:id="6"/>
      <w:r w:rsidRPr="00347DBB">
        <w:t xml:space="preserve">Conversely, by using the selected model and methodology, it was only possible to obtain an </w:t>
      </w:r>
      <w:r w:rsidRPr="00347DBB">
        <w:rPr>
          <w:i/>
        </w:rPr>
        <w:t>alternate-anti</w:t>
      </w:r>
      <w:r w:rsidRPr="00347DBB">
        <w:t xml:space="preserve"> conformation around the N1-C7‒C8‒N12 dihedral </w:t>
      </w:r>
      <w:r w:rsidRPr="00347DBB">
        <w:lastRenderedPageBreak/>
        <w:t>angle (or N1-C7‒C8‒C9 in [3-APMIm]-MOR) ranging from 62.9</w:t>
      </w:r>
      <w:r w:rsidR="00BF7DCF">
        <w:t>º</w:t>
      </w:r>
      <w:r w:rsidRPr="00347DBB">
        <w:t xml:space="preserve"> to 71.1</w:t>
      </w:r>
      <w:r w:rsidR="00BF7DCF">
        <w:t>º</w:t>
      </w:r>
      <w:r w:rsidRPr="00347DBB">
        <w:t xml:space="preserve"> (or 136.0</w:t>
      </w:r>
      <w:r w:rsidR="00BF7DCF">
        <w:t>º</w:t>
      </w:r>
      <w:r w:rsidRPr="00347DBB">
        <w:t xml:space="preserve"> in [3-APMIm]-MOR) for the [M]</w:t>
      </w:r>
      <w:r w:rsidRPr="00347DBB">
        <w:rPr>
          <w:vertAlign w:val="superscript"/>
        </w:rPr>
        <w:t>+</w:t>
      </w:r>
      <w:r w:rsidRPr="00347DBB">
        <w:t xml:space="preserve"> confined within the pore of one anionic mordenite (MOR</w:t>
      </w:r>
      <w:r w:rsidRPr="00347DBB">
        <w:rPr>
          <w:vertAlign w:val="superscript"/>
        </w:rPr>
        <w:t>-</w:t>
      </w:r>
      <w:r w:rsidRPr="00347DBB">
        <w:t>). This fact supports the idea that the charged framework of MOR</w:t>
      </w:r>
      <w:r w:rsidRPr="007F266B">
        <w:rPr>
          <w:vertAlign w:val="superscript"/>
        </w:rPr>
        <w:t>-</w:t>
      </w:r>
      <w:r w:rsidRPr="00347DBB">
        <w:t xml:space="preserve"> can act entropy-trapping and, thus, stabilizing certain unstable species through the confinement effect, as well as through the formation of extra hydrogen bonds between the H</w:t>
      </w:r>
      <w:r w:rsidR="007F266B" w:rsidRPr="007F266B">
        <w:rPr>
          <w:i/>
          <w:iCs/>
          <w:vertAlign w:val="subscript"/>
        </w:rPr>
        <w:t>H</w:t>
      </w:r>
      <w:r w:rsidRPr="007F266B">
        <w:rPr>
          <w:i/>
          <w:iCs/>
          <w:vertAlign w:val="subscript"/>
        </w:rPr>
        <w:t>B</w:t>
      </w:r>
      <w:r w:rsidRPr="00347DBB">
        <w:t xml:space="preserve"> of the amino group and the O9 of the zeolite framework (see Figure 3). this type of stable conformation in [M]-MOR materials will be marked with the superscript "</w:t>
      </w:r>
      <w:r w:rsidRPr="00347DBB">
        <w:rPr>
          <w:i/>
          <w:iCs/>
        </w:rPr>
        <w:t>HB</w:t>
      </w:r>
      <w:r w:rsidRPr="00347DBB">
        <w:t>".</w:t>
      </w:r>
      <w:r w:rsidR="0000517E" w:rsidRPr="0000517E">
        <w:t xml:space="preserve"> In contrast to the hydroxy-functionalized material (</w:t>
      </w:r>
      <w:proofErr w:type="spellStart"/>
      <w:r w:rsidR="0000517E" w:rsidRPr="0000517E">
        <w:rPr>
          <w:i/>
          <w:iCs/>
          <w:vertAlign w:val="superscript"/>
        </w:rPr>
        <w:t>HB</w:t>
      </w:r>
      <w:r w:rsidR="0000517E" w:rsidRPr="0000517E">
        <w:t>HEMIm</w:t>
      </w:r>
      <w:proofErr w:type="spellEnd"/>
      <w:r w:rsidR="0000517E" w:rsidRPr="0000517E">
        <w:t xml:space="preserve">]-MOR recently reported by our group, the conformational sampling performed on the amino-functionalized materials reported here (see Figure 2) reveals Boltzmann populations for conformers of less than 1 % at room temperature for the other than </w:t>
      </w:r>
      <w:r w:rsidR="0000517E" w:rsidRPr="0000517E">
        <w:rPr>
          <w:i/>
          <w:iCs/>
          <w:vertAlign w:val="superscript"/>
        </w:rPr>
        <w:t>HB</w:t>
      </w:r>
      <w:r w:rsidR="0000517E" w:rsidRPr="0000517E">
        <w:t>[M]-MOR.</w:t>
      </w:r>
    </w:p>
    <w:bookmarkEnd w:id="5"/>
    <w:p w14:paraId="67E3CD8D" w14:textId="77777777" w:rsidR="00D95DB5" w:rsidRPr="0081567A" w:rsidRDefault="00D95DB5" w:rsidP="00D95DB5">
      <w:pPr>
        <w:pStyle w:val="TAMainText"/>
        <w:rPr>
          <w:sz w:val="6"/>
          <w:szCs w:val="6"/>
          <w:lang w:val="en"/>
        </w:rPr>
      </w:pPr>
    </w:p>
    <w:p w14:paraId="061FDF02" w14:textId="6B4FF60D" w:rsidR="00C6121B" w:rsidRDefault="00B03CD2" w:rsidP="00D95DB5">
      <w:pPr>
        <w:jc w:val="center"/>
      </w:pPr>
      <w:r w:rsidRPr="00B03CD2">
        <w:rPr>
          <w:noProof/>
          <w:lang w:val="en-GB"/>
        </w:rPr>
        <w:drawing>
          <wp:inline distT="0" distB="0" distL="0" distR="0" wp14:anchorId="088E5D08" wp14:editId="5893A86A">
            <wp:extent cx="3027680" cy="1158875"/>
            <wp:effectExtent l="0" t="0" r="1270" b="3175"/>
            <wp:docPr id="6699646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64625" name=""/>
                    <pic:cNvPicPr/>
                  </pic:nvPicPr>
                  <pic:blipFill>
                    <a:blip r:embed="rId13"/>
                    <a:stretch>
                      <a:fillRect/>
                    </a:stretch>
                  </pic:blipFill>
                  <pic:spPr>
                    <a:xfrm>
                      <a:off x="0" y="0"/>
                      <a:ext cx="3027680" cy="1158875"/>
                    </a:xfrm>
                    <a:prstGeom prst="rect">
                      <a:avLst/>
                    </a:prstGeom>
                  </pic:spPr>
                </pic:pic>
              </a:graphicData>
            </a:graphic>
          </wp:inline>
        </w:drawing>
      </w:r>
    </w:p>
    <w:p w14:paraId="6841262F" w14:textId="57EE295D" w:rsidR="00C6121B" w:rsidRDefault="00D95DB5" w:rsidP="00D95DB5">
      <w:pPr>
        <w:pStyle w:val="TAMainText"/>
        <w:ind w:firstLine="0"/>
        <w:rPr>
          <w:rFonts w:ascii="Times New Roman" w:hAnsi="Times New Roman"/>
          <w:sz w:val="18"/>
          <w:szCs w:val="18"/>
          <w:lang w:val="en-GB"/>
        </w:rPr>
      </w:pPr>
      <w:r w:rsidRPr="00C6121B">
        <w:rPr>
          <w:rFonts w:ascii="Times New Roman" w:hAnsi="Times New Roman"/>
          <w:b/>
          <w:sz w:val="18"/>
          <w:szCs w:val="18"/>
          <w:lang w:val="pt-BR"/>
        </w:rPr>
        <w:t>Figure 3.</w:t>
      </w:r>
      <w:r w:rsidRPr="00C6121B">
        <w:rPr>
          <w:rFonts w:ascii="Times New Roman" w:hAnsi="Times New Roman"/>
          <w:sz w:val="18"/>
          <w:szCs w:val="18"/>
          <w:lang w:val="pt-BR"/>
        </w:rPr>
        <w:t xml:space="preserve"> </w:t>
      </w:r>
      <w:proofErr w:type="spellStart"/>
      <w:r w:rsidR="00C6121B" w:rsidRPr="00C6121B">
        <w:rPr>
          <w:rFonts w:ascii="Times New Roman" w:hAnsi="Times New Roman"/>
          <w:sz w:val="18"/>
          <w:szCs w:val="18"/>
          <w:lang w:val="pt-BR"/>
        </w:rPr>
        <w:t>Optimized</w:t>
      </w:r>
      <w:proofErr w:type="spellEnd"/>
      <w:r w:rsidR="00C6121B" w:rsidRPr="00C6121B">
        <w:rPr>
          <w:rFonts w:ascii="Times New Roman" w:hAnsi="Times New Roman"/>
          <w:sz w:val="18"/>
          <w:szCs w:val="18"/>
          <w:lang w:val="pt-BR"/>
        </w:rPr>
        <w:t xml:space="preserve"> </w:t>
      </w:r>
      <w:proofErr w:type="spellStart"/>
      <w:r w:rsidR="00C6121B" w:rsidRPr="00C6121B">
        <w:rPr>
          <w:rFonts w:ascii="Times New Roman" w:hAnsi="Times New Roman"/>
          <w:sz w:val="18"/>
          <w:szCs w:val="18"/>
          <w:lang w:val="pt-BR"/>
        </w:rPr>
        <w:t>geometry</w:t>
      </w:r>
      <w:proofErr w:type="spellEnd"/>
      <w:r w:rsidR="00C6121B" w:rsidRPr="00C6121B">
        <w:rPr>
          <w:rFonts w:ascii="Times New Roman" w:hAnsi="Times New Roman"/>
          <w:sz w:val="18"/>
          <w:szCs w:val="18"/>
          <w:lang w:val="pt-BR"/>
        </w:rPr>
        <w:t xml:space="preserve"> </w:t>
      </w:r>
      <w:proofErr w:type="spellStart"/>
      <w:r w:rsidR="00C6121B" w:rsidRPr="00C6121B">
        <w:rPr>
          <w:rFonts w:ascii="Times New Roman" w:hAnsi="Times New Roman"/>
          <w:sz w:val="18"/>
          <w:szCs w:val="18"/>
          <w:lang w:val="pt-BR"/>
        </w:rPr>
        <w:t>of</w:t>
      </w:r>
      <w:proofErr w:type="spellEnd"/>
      <w:r w:rsidR="00C6121B" w:rsidRPr="00C6121B">
        <w:rPr>
          <w:rFonts w:ascii="Times New Roman" w:hAnsi="Times New Roman"/>
          <w:sz w:val="18"/>
          <w:szCs w:val="18"/>
          <w:lang w:val="pt-BR"/>
        </w:rPr>
        <w:t xml:space="preserve"> </w:t>
      </w:r>
      <w:r w:rsidR="001379C4" w:rsidRPr="001379C4">
        <w:rPr>
          <w:rFonts w:ascii="Times New Roman" w:hAnsi="Times New Roman"/>
          <w:i/>
          <w:iCs/>
          <w:sz w:val="18"/>
          <w:szCs w:val="18"/>
          <w:vertAlign w:val="superscript"/>
          <w:lang w:val="pt-BR"/>
        </w:rPr>
        <w:t>HB</w:t>
      </w:r>
      <w:r w:rsidR="00C6121B" w:rsidRPr="00C6121B">
        <w:rPr>
          <w:rFonts w:ascii="Times New Roman" w:hAnsi="Times New Roman"/>
          <w:sz w:val="18"/>
          <w:szCs w:val="18"/>
          <w:lang w:val="pt-BR"/>
        </w:rPr>
        <w:t>[2-</w:t>
      </w:r>
      <w:proofErr w:type="gramStart"/>
      <w:r w:rsidR="00C6121B" w:rsidRPr="00C6121B">
        <w:rPr>
          <w:rFonts w:ascii="Times New Roman" w:hAnsi="Times New Roman"/>
          <w:sz w:val="18"/>
          <w:szCs w:val="18"/>
          <w:lang w:val="pt-BR"/>
        </w:rPr>
        <w:t>AEMIm]-</w:t>
      </w:r>
      <w:proofErr w:type="gramEnd"/>
      <w:r w:rsidR="00C6121B" w:rsidRPr="00C6121B">
        <w:rPr>
          <w:rFonts w:ascii="Times New Roman" w:hAnsi="Times New Roman"/>
          <w:sz w:val="18"/>
          <w:szCs w:val="18"/>
          <w:lang w:val="pt-BR"/>
        </w:rPr>
        <w:t xml:space="preserve">MOR (a); </w:t>
      </w:r>
      <w:r w:rsidR="001379C4" w:rsidRPr="001379C4">
        <w:rPr>
          <w:rFonts w:ascii="Times New Roman" w:hAnsi="Times New Roman"/>
          <w:i/>
          <w:iCs/>
          <w:sz w:val="18"/>
          <w:szCs w:val="18"/>
          <w:vertAlign w:val="superscript"/>
          <w:lang w:val="pt-BR"/>
        </w:rPr>
        <w:t>HB</w:t>
      </w:r>
      <w:r w:rsidR="00C6121B" w:rsidRPr="00C6121B">
        <w:rPr>
          <w:rFonts w:ascii="Times New Roman" w:hAnsi="Times New Roman"/>
          <w:sz w:val="18"/>
          <w:szCs w:val="18"/>
          <w:lang w:val="pt-BR"/>
        </w:rPr>
        <w:t>[3-A</w:t>
      </w:r>
      <w:r w:rsidR="001379C4">
        <w:rPr>
          <w:rFonts w:ascii="Times New Roman" w:hAnsi="Times New Roman"/>
          <w:sz w:val="18"/>
          <w:szCs w:val="18"/>
          <w:lang w:val="pt-BR"/>
        </w:rPr>
        <w:t>P</w:t>
      </w:r>
      <w:r w:rsidR="00C6121B" w:rsidRPr="00C6121B">
        <w:rPr>
          <w:rFonts w:ascii="Times New Roman" w:hAnsi="Times New Roman"/>
          <w:sz w:val="18"/>
          <w:szCs w:val="18"/>
          <w:lang w:val="pt-BR"/>
        </w:rPr>
        <w:t xml:space="preserve">MIm]-MOR (b); </w:t>
      </w:r>
      <w:r w:rsidR="001379C4" w:rsidRPr="001379C4">
        <w:rPr>
          <w:rFonts w:ascii="Times New Roman" w:hAnsi="Times New Roman"/>
          <w:i/>
          <w:iCs/>
          <w:sz w:val="18"/>
          <w:szCs w:val="18"/>
          <w:vertAlign w:val="superscript"/>
          <w:lang w:val="pt-BR"/>
        </w:rPr>
        <w:t>HB</w:t>
      </w:r>
      <w:r w:rsidR="00C6121B" w:rsidRPr="00C6121B">
        <w:rPr>
          <w:rFonts w:ascii="Times New Roman" w:hAnsi="Times New Roman"/>
          <w:sz w:val="18"/>
          <w:szCs w:val="18"/>
          <w:lang w:val="pt-BR"/>
        </w:rPr>
        <w:t>[</w:t>
      </w:r>
      <w:r w:rsidR="00C6121B" w:rsidRPr="00C6121B">
        <w:rPr>
          <w:rFonts w:ascii="Times New Roman" w:hAnsi="Times New Roman"/>
          <w:i/>
          <w:iCs/>
          <w:sz w:val="18"/>
          <w:szCs w:val="18"/>
          <w:lang w:val="pt-BR"/>
        </w:rPr>
        <w:t>R</w:t>
      </w:r>
      <w:r w:rsidR="00C6121B" w:rsidRPr="00C6121B">
        <w:rPr>
          <w:rFonts w:ascii="Times New Roman" w:hAnsi="Times New Roman"/>
          <w:sz w:val="18"/>
          <w:szCs w:val="18"/>
          <w:lang w:val="pt-BR"/>
        </w:rPr>
        <w:t xml:space="preserve">-2-AEMIm]-MOR (c); </w:t>
      </w:r>
      <w:r w:rsidR="001379C4" w:rsidRPr="001379C4">
        <w:rPr>
          <w:rFonts w:ascii="Times New Roman" w:hAnsi="Times New Roman"/>
          <w:i/>
          <w:iCs/>
          <w:sz w:val="18"/>
          <w:szCs w:val="18"/>
          <w:vertAlign w:val="superscript"/>
          <w:lang w:val="pt-BR"/>
        </w:rPr>
        <w:t>HB</w:t>
      </w:r>
      <w:r w:rsidR="00C6121B" w:rsidRPr="00C6121B">
        <w:rPr>
          <w:rFonts w:ascii="Times New Roman" w:hAnsi="Times New Roman"/>
          <w:sz w:val="18"/>
          <w:szCs w:val="18"/>
          <w:lang w:val="pt-BR"/>
        </w:rPr>
        <w:t>[</w:t>
      </w:r>
      <w:r w:rsidR="00C6121B" w:rsidRPr="00C6121B">
        <w:rPr>
          <w:rFonts w:ascii="Times New Roman" w:hAnsi="Times New Roman"/>
          <w:i/>
          <w:iCs/>
          <w:sz w:val="18"/>
          <w:szCs w:val="18"/>
          <w:lang w:val="pt-BR"/>
        </w:rPr>
        <w:t>S</w:t>
      </w:r>
      <w:r w:rsidR="00C6121B" w:rsidRPr="00C6121B">
        <w:rPr>
          <w:rFonts w:ascii="Times New Roman" w:hAnsi="Times New Roman"/>
          <w:sz w:val="18"/>
          <w:szCs w:val="18"/>
          <w:lang w:val="pt-BR"/>
        </w:rPr>
        <w:t xml:space="preserve">-2-AEMIm]-MOR (d). </w:t>
      </w:r>
      <w:r w:rsidR="00C6121B" w:rsidRPr="00C6121B">
        <w:rPr>
          <w:rFonts w:ascii="Times New Roman" w:hAnsi="Times New Roman"/>
          <w:sz w:val="18"/>
          <w:szCs w:val="18"/>
          <w:lang w:val="en-GB"/>
        </w:rPr>
        <w:t>Geometrical parameters, bond lengths (Å), angles (</w:t>
      </w:r>
      <w:r w:rsidR="00C6121B" w:rsidRPr="00C6121B">
        <w:rPr>
          <w:rFonts w:ascii="Times New Roman" w:hAnsi="Times New Roman"/>
          <w:sz w:val="18"/>
          <w:szCs w:val="18"/>
          <w:vertAlign w:val="superscript"/>
          <w:lang w:val="en-GB"/>
        </w:rPr>
        <w:t>o</w:t>
      </w:r>
      <w:r w:rsidR="00C6121B" w:rsidRPr="00C6121B">
        <w:rPr>
          <w:rFonts w:ascii="Times New Roman" w:hAnsi="Times New Roman"/>
          <w:sz w:val="18"/>
          <w:szCs w:val="18"/>
          <w:lang w:val="en-GB"/>
        </w:rPr>
        <w:t>) and dihedral (</w:t>
      </w:r>
      <w:r w:rsidR="00C6121B" w:rsidRPr="00C6121B">
        <w:rPr>
          <w:rFonts w:ascii="Times New Roman" w:hAnsi="Times New Roman"/>
          <w:sz w:val="18"/>
          <w:szCs w:val="18"/>
          <w:vertAlign w:val="superscript"/>
          <w:lang w:val="en-GB"/>
        </w:rPr>
        <w:t>o</w:t>
      </w:r>
      <w:r w:rsidR="00C6121B" w:rsidRPr="00C6121B">
        <w:rPr>
          <w:rFonts w:ascii="Times New Roman" w:hAnsi="Times New Roman"/>
          <w:sz w:val="18"/>
          <w:szCs w:val="18"/>
          <w:lang w:val="en-GB"/>
        </w:rPr>
        <w:t>).</w:t>
      </w:r>
    </w:p>
    <w:p w14:paraId="1B1BF170" w14:textId="77777777" w:rsidR="0081567A" w:rsidRDefault="0081567A" w:rsidP="00D95DB5">
      <w:pPr>
        <w:pStyle w:val="TAMainText"/>
        <w:ind w:firstLine="0"/>
        <w:rPr>
          <w:rFonts w:ascii="Times New Roman" w:hAnsi="Times New Roman"/>
          <w:sz w:val="6"/>
          <w:szCs w:val="6"/>
          <w:lang w:val="en-GB"/>
        </w:rPr>
      </w:pPr>
    </w:p>
    <w:p w14:paraId="1813D0B7" w14:textId="77777777" w:rsidR="0081567A" w:rsidRPr="0081567A" w:rsidRDefault="0081567A" w:rsidP="00D95DB5">
      <w:pPr>
        <w:pStyle w:val="TAMainText"/>
        <w:ind w:firstLine="0"/>
        <w:rPr>
          <w:rFonts w:ascii="Times New Roman" w:hAnsi="Times New Roman"/>
          <w:sz w:val="6"/>
          <w:szCs w:val="6"/>
          <w:lang w:val="en-GB"/>
        </w:rPr>
      </w:pPr>
    </w:p>
    <w:p w14:paraId="46378816" w14:textId="77777777" w:rsidR="00BE662B" w:rsidRDefault="00CC3D12" w:rsidP="00D95DB5">
      <w:pPr>
        <w:pStyle w:val="TAMainText"/>
        <w:ind w:firstLine="0"/>
        <w:rPr>
          <w:rStyle w:val="rynqvb"/>
          <w:lang w:val="en"/>
        </w:rPr>
      </w:pPr>
      <w:r w:rsidRPr="00A2094F">
        <w:t xml:space="preserve">Table </w:t>
      </w:r>
      <w:r>
        <w:t>1</w:t>
      </w:r>
      <w:r w:rsidRPr="00A2094F">
        <w:t xml:space="preserve"> shows the ΔF values for the</w:t>
      </w:r>
      <w:r>
        <w:t xml:space="preserve"> </w:t>
      </w:r>
      <w:r w:rsidRPr="00A2094F">
        <w:t>[M]</w:t>
      </w:r>
      <w:r>
        <w:t>-MOR</w:t>
      </w:r>
      <w:r w:rsidRPr="00A2094F">
        <w:t xml:space="preserve"> formation by IE of </w:t>
      </w:r>
      <w:r>
        <w:t>Na</w:t>
      </w:r>
      <w:r w:rsidRPr="00CC3D12">
        <w:rPr>
          <w:vertAlign w:val="superscript"/>
        </w:rPr>
        <w:t>+</w:t>
      </w:r>
      <w:r w:rsidRPr="00A2094F">
        <w:t xml:space="preserve"> by [M]</w:t>
      </w:r>
      <w:r w:rsidRPr="00CC3D12">
        <w:rPr>
          <w:vertAlign w:val="superscript"/>
        </w:rPr>
        <w:t>+</w:t>
      </w:r>
      <w:r w:rsidRPr="00A2094F">
        <w:t xml:space="preserve"> on the T4O10 position</w:t>
      </w:r>
      <w:r>
        <w:t xml:space="preserve"> (site I, see Figure 1)</w:t>
      </w:r>
      <w:r w:rsidRPr="00A2094F">
        <w:t xml:space="preserve">. Recall that this reaction represents our model for the [M]-MOR formation. </w:t>
      </w:r>
      <w:r>
        <w:t>T</w:t>
      </w:r>
      <w:r w:rsidRPr="00A2094F">
        <w:t>he [M]-MOR formation is exoergic, exothermic, and thermodynamically viable (</w:t>
      </w:r>
      <w:r w:rsidRPr="00CC3D12">
        <w:rPr>
          <w:i/>
          <w:iCs/>
        </w:rPr>
        <w:t>i.e.</w:t>
      </w:r>
      <w:r w:rsidRPr="00A2094F">
        <w:t>, ΔF</w:t>
      </w:r>
      <w:r w:rsidRPr="00CC3D12">
        <w:rPr>
          <w:vertAlign w:val="subscript"/>
        </w:rPr>
        <w:t>IE</w:t>
      </w:r>
      <w:r w:rsidRPr="00A2094F">
        <w:t xml:space="preserve"> &lt; 0 kJ mol</w:t>
      </w:r>
      <w:r w:rsidRPr="00CC3D12">
        <w:rPr>
          <w:vertAlign w:val="superscript"/>
        </w:rPr>
        <w:t>-1</w:t>
      </w:r>
      <w:r w:rsidRPr="00A2094F">
        <w:t>).</w:t>
      </w:r>
      <w:r w:rsidR="002B65A8">
        <w:t xml:space="preserve"> </w:t>
      </w:r>
      <w:r w:rsidR="002B65A8" w:rsidRPr="00865623">
        <w:rPr>
          <w:rStyle w:val="kgnlhe"/>
          <w:rFonts w:eastAsiaTheme="majorEastAsia"/>
          <w:lang w:val="en-GB"/>
        </w:rPr>
        <w:t>G</w:t>
      </w:r>
      <w:r w:rsidR="002B65A8" w:rsidRPr="00865623">
        <w:rPr>
          <w:rStyle w:val="kgnlhe"/>
          <w:lang w:val="en-GB"/>
        </w:rPr>
        <w:t>enerally</w:t>
      </w:r>
      <w:r w:rsidR="002B65A8" w:rsidRPr="00865623">
        <w:rPr>
          <w:rStyle w:val="kgnlhe"/>
          <w:rFonts w:eastAsiaTheme="majorEastAsia"/>
          <w:lang w:val="en-GB"/>
        </w:rPr>
        <w:t xml:space="preserve">, </w:t>
      </w:r>
      <w:r w:rsidR="002B65A8">
        <w:t>t</w:t>
      </w:r>
      <w:r w:rsidR="002B65A8" w:rsidRPr="00A2094F">
        <w:t>he large ΔF</w:t>
      </w:r>
      <w:r w:rsidR="002B65A8" w:rsidRPr="00865623">
        <w:rPr>
          <w:vertAlign w:val="subscript"/>
        </w:rPr>
        <w:t>IE</w:t>
      </w:r>
      <w:r w:rsidR="002B65A8" w:rsidRPr="00A2094F">
        <w:t xml:space="preserve"> magnitudes indicate that the IE process is irreversible, and regardless of the type of [M]Cl.</w:t>
      </w:r>
      <w:r w:rsidR="002B65A8">
        <w:t xml:space="preserve"> </w:t>
      </w:r>
      <w:r w:rsidR="002B65A8">
        <w:rPr>
          <w:rStyle w:val="rynqvb"/>
          <w:lang w:val="en"/>
        </w:rPr>
        <w:t>Consequently, a viable synthesis of the novel composites type-</w:t>
      </w:r>
      <w:r w:rsidR="002B65A8" w:rsidRPr="00A0107E">
        <w:rPr>
          <w:rStyle w:val="rynqvb"/>
          <w:i/>
          <w:iCs/>
          <w:vertAlign w:val="superscript"/>
          <w:lang w:val="en"/>
        </w:rPr>
        <w:t>HB</w:t>
      </w:r>
      <w:r w:rsidR="002B65A8">
        <w:rPr>
          <w:rStyle w:val="rynqvb"/>
          <w:lang w:val="en"/>
        </w:rPr>
        <w:t>[M]-MOR is expected under room temperature and pressure.</w:t>
      </w:r>
      <w:r w:rsidR="00BE662B">
        <w:rPr>
          <w:rStyle w:val="rynqvb"/>
          <w:lang w:val="en"/>
        </w:rPr>
        <w:t xml:space="preserve"> </w:t>
      </w:r>
    </w:p>
    <w:p w14:paraId="09ED7491" w14:textId="77777777" w:rsidR="0081567A" w:rsidRDefault="0081567A" w:rsidP="0081567A">
      <w:pPr>
        <w:pStyle w:val="TAMainText"/>
        <w:ind w:firstLine="0"/>
        <w:rPr>
          <w:rStyle w:val="rynqvb"/>
          <w:lang w:val="en"/>
        </w:rPr>
      </w:pPr>
      <w:r w:rsidRPr="00C213C1">
        <w:rPr>
          <w:rStyle w:val="rynqvb"/>
          <w:lang w:val="en"/>
        </w:rPr>
        <w:t>Considering the small magnitudes of ∆F</w:t>
      </w:r>
      <w:r w:rsidRPr="00C213C1">
        <w:rPr>
          <w:rStyle w:val="rynqvb"/>
          <w:vertAlign w:val="subscript"/>
          <w:lang w:val="en"/>
        </w:rPr>
        <w:t>IE</w:t>
      </w:r>
      <w:r w:rsidRPr="00C213C1">
        <w:rPr>
          <w:rStyle w:val="rynqvb"/>
          <w:lang w:val="en"/>
        </w:rPr>
        <w:t xml:space="preserve"> for </w:t>
      </w:r>
      <w:r w:rsidRPr="00C213C1">
        <w:rPr>
          <w:rStyle w:val="rynqvb"/>
          <w:i/>
          <w:iCs/>
          <w:vertAlign w:val="superscript"/>
          <w:lang w:val="en"/>
        </w:rPr>
        <w:t>HB</w:t>
      </w:r>
      <w:r w:rsidRPr="00C213C1">
        <w:rPr>
          <w:rStyle w:val="rynqvb"/>
          <w:lang w:val="en"/>
        </w:rPr>
        <w:t>[</w:t>
      </w:r>
      <w:r w:rsidRPr="00C213C1">
        <w:rPr>
          <w:rStyle w:val="rynqvb"/>
          <w:i/>
          <w:iCs/>
          <w:lang w:val="en"/>
        </w:rPr>
        <w:t>R</w:t>
      </w:r>
      <w:r w:rsidRPr="00C213C1">
        <w:rPr>
          <w:rStyle w:val="rynqvb"/>
          <w:lang w:val="en"/>
        </w:rPr>
        <w:t>-2-AEMIm]-MOR, we could use the confinement effect and shape selectivity of the zeolites to design new separation processes in which the mordenite selectively recognize and reject [</w:t>
      </w:r>
      <w:r w:rsidRPr="00C213C1">
        <w:rPr>
          <w:rStyle w:val="rynqvb"/>
          <w:i/>
          <w:iCs/>
          <w:lang w:val="en"/>
        </w:rPr>
        <w:t>R</w:t>
      </w:r>
      <w:r w:rsidRPr="00C213C1">
        <w:rPr>
          <w:rStyle w:val="rynqvb"/>
          <w:lang w:val="en"/>
        </w:rPr>
        <w:t>-2-</w:t>
      </w:r>
      <w:proofErr w:type="gramStart"/>
      <w:r w:rsidRPr="00C213C1">
        <w:rPr>
          <w:rStyle w:val="rynqvb"/>
          <w:lang w:val="en"/>
        </w:rPr>
        <w:t>AEMIm]</w:t>
      </w:r>
      <w:r w:rsidRPr="00C213C1">
        <w:rPr>
          <w:rStyle w:val="rynqvb"/>
          <w:vertAlign w:val="superscript"/>
          <w:lang w:val="en"/>
        </w:rPr>
        <w:t>+</w:t>
      </w:r>
      <w:proofErr w:type="gramEnd"/>
      <w:r w:rsidRPr="00C213C1">
        <w:rPr>
          <w:rStyle w:val="rynqvb"/>
          <w:lang w:val="en"/>
        </w:rPr>
        <w:t xml:space="preserve"> cations (</w:t>
      </w:r>
      <w:r w:rsidRPr="00C213C1">
        <w:rPr>
          <w:rStyle w:val="rynqvb"/>
          <w:i/>
          <w:iCs/>
          <w:lang w:val="en"/>
        </w:rPr>
        <w:t>i.e.</w:t>
      </w:r>
      <w:r w:rsidRPr="00C213C1">
        <w:rPr>
          <w:rStyle w:val="rynqvb"/>
          <w:lang w:val="en"/>
        </w:rPr>
        <w:t>, an enantiomeric enrichment process) in a racemic mixture of the [</w:t>
      </w:r>
      <w:r w:rsidRPr="00C213C1">
        <w:rPr>
          <w:rStyle w:val="rynqvb"/>
          <w:i/>
          <w:iCs/>
          <w:lang w:val="en"/>
        </w:rPr>
        <w:t>R</w:t>
      </w:r>
      <w:r w:rsidRPr="00C213C1">
        <w:rPr>
          <w:rStyle w:val="rynqvb"/>
          <w:lang w:val="en"/>
        </w:rPr>
        <w:t>,</w:t>
      </w:r>
      <w:r w:rsidRPr="00C213C1">
        <w:rPr>
          <w:rStyle w:val="rynqvb"/>
          <w:i/>
          <w:iCs/>
          <w:lang w:val="en"/>
        </w:rPr>
        <w:t>S</w:t>
      </w:r>
      <w:r w:rsidRPr="00C213C1">
        <w:rPr>
          <w:rStyle w:val="rynqvb"/>
          <w:lang w:val="en"/>
        </w:rPr>
        <w:t xml:space="preserve">-2-AEMIm]Cl, whereas the </w:t>
      </w:r>
      <w:r w:rsidRPr="00C213C1">
        <w:rPr>
          <w:rStyle w:val="rynqvb"/>
          <w:i/>
          <w:iCs/>
          <w:vertAlign w:val="superscript"/>
          <w:lang w:val="en"/>
        </w:rPr>
        <w:t>HB</w:t>
      </w:r>
      <w:r w:rsidRPr="00C213C1">
        <w:rPr>
          <w:rStyle w:val="rynqvb"/>
          <w:lang w:val="en"/>
        </w:rPr>
        <w:t>[</w:t>
      </w:r>
      <w:r w:rsidRPr="00C213C1">
        <w:rPr>
          <w:rStyle w:val="rynqvb"/>
          <w:i/>
          <w:iCs/>
          <w:lang w:val="en"/>
        </w:rPr>
        <w:t>S</w:t>
      </w:r>
      <w:r w:rsidRPr="00C213C1">
        <w:rPr>
          <w:rStyle w:val="rynqvb"/>
          <w:lang w:val="en"/>
        </w:rPr>
        <w:t>-2-AEMIm]-MOR composite is simultaneously synthesized.</w:t>
      </w:r>
      <w:r>
        <w:rPr>
          <w:rStyle w:val="rynqvb"/>
          <w:lang w:val="en"/>
        </w:rPr>
        <w:t xml:space="preserve"> </w:t>
      </w:r>
      <w:r w:rsidRPr="00BE662B">
        <w:rPr>
          <w:rStyle w:val="rynqvb"/>
          <w:lang w:val="en"/>
        </w:rPr>
        <w:t xml:space="preserve">Finally, the </w:t>
      </w:r>
      <w:r w:rsidRPr="00BE662B">
        <w:rPr>
          <w:rStyle w:val="rynqvb"/>
          <w:i/>
          <w:iCs/>
          <w:vertAlign w:val="superscript"/>
          <w:lang w:val="en"/>
        </w:rPr>
        <w:t>HB</w:t>
      </w:r>
      <w:r w:rsidRPr="00BE662B">
        <w:rPr>
          <w:rStyle w:val="rynqvb"/>
          <w:lang w:val="en"/>
        </w:rPr>
        <w:t>[</w:t>
      </w:r>
      <w:r w:rsidRPr="00BE662B">
        <w:rPr>
          <w:rStyle w:val="rynqvb"/>
          <w:i/>
          <w:iCs/>
          <w:lang w:val="en"/>
        </w:rPr>
        <w:t>S</w:t>
      </w:r>
      <w:r w:rsidRPr="00BE662B">
        <w:rPr>
          <w:rStyle w:val="rynqvb"/>
          <w:lang w:val="en"/>
        </w:rPr>
        <w:t>-2-AEMIm]-MOR composite could induce chirality on the mordenite, thus enhancing the applications of mordenite in molecular recognition and enantioselective catalysis.</w:t>
      </w:r>
    </w:p>
    <w:p w14:paraId="147F9369" w14:textId="77777777" w:rsidR="0081567A" w:rsidRPr="0081567A" w:rsidRDefault="0081567A" w:rsidP="00D95DB5">
      <w:pPr>
        <w:pStyle w:val="TAMainText"/>
        <w:ind w:firstLine="0"/>
        <w:rPr>
          <w:rStyle w:val="rynqvb"/>
          <w:sz w:val="6"/>
          <w:szCs w:val="6"/>
          <w:lang w:val="en"/>
        </w:rPr>
      </w:pPr>
    </w:p>
    <w:p w14:paraId="5930D8D2" w14:textId="6AFF2443" w:rsidR="00C6121B" w:rsidRPr="00C6121B" w:rsidRDefault="00C6121B" w:rsidP="00C6121B">
      <w:pPr>
        <w:pStyle w:val="VDTableTitle"/>
        <w:spacing w:after="120"/>
        <w:jc w:val="both"/>
        <w:rPr>
          <w:rFonts w:ascii="Times New Roman" w:hAnsi="Times New Roman"/>
          <w:lang w:val="en-GB"/>
        </w:rPr>
      </w:pPr>
      <w:r w:rsidRPr="00C6121B">
        <w:rPr>
          <w:rFonts w:ascii="Times New Roman" w:hAnsi="Times New Roman"/>
          <w:b/>
          <w:lang w:val="en-GB"/>
        </w:rPr>
        <w:t>Table 1.</w:t>
      </w:r>
      <w:r w:rsidRPr="00C6121B">
        <w:rPr>
          <w:rFonts w:ascii="Times New Roman" w:hAnsi="Times New Roman"/>
          <w:lang w:val="en-GB"/>
        </w:rPr>
        <w:t xml:space="preserve"> Some </w:t>
      </w:r>
      <w:r w:rsidRPr="00C6121B">
        <w:rPr>
          <w:rFonts w:ascii="Times New Roman" w:hAnsi="Times New Roman"/>
          <w:lang w:val="pt-BR"/>
        </w:rPr>
        <w:t>Δ</w:t>
      </w:r>
      <w:r w:rsidRPr="00C6121B">
        <w:rPr>
          <w:rFonts w:ascii="Times New Roman" w:hAnsi="Times New Roman"/>
          <w:lang w:val="en-GB"/>
        </w:rPr>
        <w:t>F</w:t>
      </w:r>
      <w:r w:rsidRPr="00C6121B">
        <w:rPr>
          <w:rFonts w:ascii="Times New Roman" w:hAnsi="Times New Roman"/>
          <w:vertAlign w:val="subscript"/>
          <w:lang w:val="en-GB"/>
        </w:rPr>
        <w:t>IE</w:t>
      </w:r>
      <w:r w:rsidRPr="00C6121B">
        <w:rPr>
          <w:rFonts w:ascii="Times New Roman" w:hAnsi="Times New Roman"/>
          <w:lang w:val="en-GB"/>
        </w:rPr>
        <w:t xml:space="preserve"> of reactions (kJ mol</w:t>
      </w:r>
      <w:r w:rsidRPr="00C6121B">
        <w:rPr>
          <w:rFonts w:ascii="Times New Roman" w:hAnsi="Times New Roman"/>
          <w:vertAlign w:val="superscript"/>
          <w:lang w:val="en-GB"/>
        </w:rPr>
        <w:t>-1</w:t>
      </w:r>
      <w:r w:rsidRPr="00C6121B">
        <w:rPr>
          <w:rFonts w:ascii="Times New Roman" w:hAnsi="Times New Roman"/>
          <w:lang w:val="en-GB"/>
        </w:rPr>
        <w:t>) defined in Figure 2 for the formation of [M]-MOR by IE of Na</w:t>
      </w:r>
      <w:r w:rsidRPr="00C6121B">
        <w:rPr>
          <w:rFonts w:ascii="Times New Roman" w:hAnsi="Times New Roman"/>
          <w:vertAlign w:val="superscript"/>
          <w:lang w:val="en-GB"/>
        </w:rPr>
        <w:t>+</w:t>
      </w:r>
      <w:r w:rsidRPr="00C6121B">
        <w:rPr>
          <w:rFonts w:ascii="Times New Roman" w:hAnsi="Times New Roman"/>
          <w:lang w:val="en-GB"/>
        </w:rPr>
        <w:t xml:space="preserve"> by [M]</w:t>
      </w:r>
      <w:r w:rsidRPr="00C6121B">
        <w:rPr>
          <w:rFonts w:ascii="Times New Roman" w:hAnsi="Times New Roman"/>
          <w:vertAlign w:val="superscript"/>
          <w:lang w:val="en-GB"/>
        </w:rPr>
        <w:t>+</w:t>
      </w:r>
      <w:r w:rsidRPr="00C6121B">
        <w:rPr>
          <w:rFonts w:ascii="Times New Roman" w:hAnsi="Times New Roman"/>
          <w:lang w:val="en-GB"/>
        </w:rPr>
        <w:t xml:space="preserve"> on mordenite.</w:t>
      </w:r>
    </w:p>
    <w:p w14:paraId="3C1FF55C" w14:textId="759D9ED0" w:rsidR="005268EC" w:rsidRPr="0081567A" w:rsidRDefault="00C11941" w:rsidP="0081567A">
      <w:pPr>
        <w:rPr>
          <w:rFonts w:ascii="Times New Roman" w:hAnsi="Times New Roman" w:cs="Times New Roman"/>
          <w:sz w:val="6"/>
          <w:szCs w:val="6"/>
          <w:lang w:val="en-GB"/>
        </w:rPr>
      </w:pPr>
      <w:r w:rsidRPr="00C11941">
        <w:rPr>
          <w:noProof/>
        </w:rPr>
        <w:drawing>
          <wp:inline distT="0" distB="0" distL="0" distR="0" wp14:anchorId="59ED1C60" wp14:editId="32B85CE8">
            <wp:extent cx="2555884" cy="909955"/>
            <wp:effectExtent l="0" t="0" r="0" b="0"/>
            <wp:docPr id="12783162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1238" cy="947464"/>
                    </a:xfrm>
                    <a:prstGeom prst="rect">
                      <a:avLst/>
                    </a:prstGeom>
                    <a:noFill/>
                    <a:ln>
                      <a:noFill/>
                    </a:ln>
                  </pic:spPr>
                </pic:pic>
              </a:graphicData>
            </a:graphic>
          </wp:inline>
        </w:drawing>
      </w:r>
    </w:p>
    <w:p w14:paraId="60785C15" w14:textId="49790028" w:rsidR="002572BE" w:rsidRDefault="008B7719" w:rsidP="00D95DB5">
      <w:pPr>
        <w:pStyle w:val="TAMainText"/>
        <w:ind w:firstLine="0"/>
        <w:rPr>
          <w:rFonts w:ascii="Times New Roman" w:hAnsi="Times New Roman"/>
          <w:i/>
          <w:lang w:val="en-GB"/>
        </w:rPr>
      </w:pPr>
      <w:r>
        <w:rPr>
          <w:rFonts w:ascii="Times New Roman" w:hAnsi="Times New Roman"/>
          <w:i/>
          <w:lang w:val="en-GB"/>
        </w:rPr>
        <w:t>CO</w:t>
      </w:r>
      <w:r w:rsidRPr="008B7719">
        <w:rPr>
          <w:rFonts w:ascii="Times New Roman" w:hAnsi="Times New Roman"/>
          <w:i/>
          <w:vertAlign w:val="subscript"/>
          <w:lang w:val="en-GB"/>
        </w:rPr>
        <w:t>2</w:t>
      </w:r>
      <w:r w:rsidRPr="008B7719">
        <w:rPr>
          <w:rFonts w:ascii="Times New Roman" w:hAnsi="Times New Roman"/>
          <w:i/>
          <w:lang w:val="en-GB"/>
        </w:rPr>
        <w:t xml:space="preserve"> Adsorption on the [</w:t>
      </w:r>
      <w:r>
        <w:rPr>
          <w:rFonts w:ascii="Times New Roman" w:hAnsi="Times New Roman"/>
          <w:i/>
          <w:lang w:val="en-GB"/>
        </w:rPr>
        <w:t>2-A</w:t>
      </w:r>
      <w:r w:rsidRPr="008B7719">
        <w:rPr>
          <w:rFonts w:ascii="Times New Roman" w:hAnsi="Times New Roman"/>
          <w:i/>
          <w:lang w:val="en-GB"/>
        </w:rPr>
        <w:t>EMIm]-MOR model.</w:t>
      </w:r>
    </w:p>
    <w:p w14:paraId="407D97C6" w14:textId="77777777" w:rsidR="008B7719" w:rsidRPr="007F266B" w:rsidRDefault="008B7719" w:rsidP="00D95DB5">
      <w:pPr>
        <w:pStyle w:val="TAMainText"/>
        <w:ind w:firstLine="0"/>
        <w:rPr>
          <w:rStyle w:val="rynqvb"/>
          <w:sz w:val="16"/>
          <w:szCs w:val="16"/>
          <w:lang w:val="en"/>
        </w:rPr>
      </w:pPr>
    </w:p>
    <w:p w14:paraId="42E5C1B6" w14:textId="60190A1E" w:rsidR="00E77DA3" w:rsidRDefault="008B7719" w:rsidP="00D95DB5">
      <w:pPr>
        <w:pStyle w:val="TAMainText"/>
        <w:ind w:firstLine="0"/>
        <w:rPr>
          <w:rFonts w:ascii="Times New Roman" w:eastAsia="TimesNewRoman" w:hAnsi="Times New Roman"/>
        </w:rPr>
      </w:pPr>
      <w:r>
        <w:rPr>
          <w:lang w:val="en-GB"/>
        </w:rPr>
        <w:t>N</w:t>
      </w:r>
      <w:r w:rsidRPr="00033B02">
        <w:rPr>
          <w:lang w:val="en-GB"/>
        </w:rPr>
        <w:t xml:space="preserve">o energetic </w:t>
      </w:r>
      <w:r>
        <w:rPr>
          <w:lang w:val="en-GB"/>
        </w:rPr>
        <w:t>l</w:t>
      </w:r>
      <w:r w:rsidRPr="00033B02">
        <w:rPr>
          <w:lang w:val="en-GB"/>
        </w:rPr>
        <w:t>imitations were found to obtain the [</w:t>
      </w:r>
      <w:r>
        <w:rPr>
          <w:lang w:val="en-GB"/>
        </w:rPr>
        <w:t>M</w:t>
      </w:r>
      <w:r w:rsidRPr="00033B02">
        <w:rPr>
          <w:lang w:val="en-GB"/>
        </w:rPr>
        <w:t>]</w:t>
      </w:r>
      <w:r>
        <w:rPr>
          <w:lang w:val="en-GB"/>
        </w:rPr>
        <w:t xml:space="preserve">-MOR composites </w:t>
      </w:r>
      <w:r>
        <w:rPr>
          <w:rStyle w:val="rynqvb"/>
          <w:lang w:val="en"/>
        </w:rPr>
        <w:t xml:space="preserve">proposed here. </w:t>
      </w:r>
      <w:r w:rsidR="00BF7DCF">
        <w:rPr>
          <w:rStyle w:val="rynqvb"/>
          <w:lang w:val="en"/>
        </w:rPr>
        <w:t>R</w:t>
      </w:r>
      <w:r w:rsidR="00C71689" w:rsidRPr="00C71689">
        <w:rPr>
          <w:rStyle w:val="rynqvb"/>
          <w:lang w:val="en"/>
        </w:rPr>
        <w:t xml:space="preserve">ecently Yoda </w:t>
      </w:r>
      <w:r w:rsidR="00C71689" w:rsidRPr="00F60926">
        <w:rPr>
          <w:rStyle w:val="rynqvb"/>
          <w:i/>
          <w:iCs/>
          <w:lang w:val="en"/>
        </w:rPr>
        <w:t>et al.</w:t>
      </w:r>
      <w:r w:rsidR="00C71689" w:rsidRPr="00C71689">
        <w:rPr>
          <w:rStyle w:val="rynqvb"/>
          <w:lang w:val="en"/>
        </w:rPr>
        <w:t xml:space="preserve"> reported the application of the material [</w:t>
      </w:r>
      <w:proofErr w:type="spellStart"/>
      <w:r w:rsidR="00C71689" w:rsidRPr="00C71689">
        <w:rPr>
          <w:rStyle w:val="rynqvb"/>
          <w:lang w:val="en"/>
        </w:rPr>
        <w:t>BMIm</w:t>
      </w:r>
      <w:proofErr w:type="spellEnd"/>
      <w:r w:rsidR="00C71689" w:rsidRPr="00C71689">
        <w:rPr>
          <w:rStyle w:val="rynqvb"/>
          <w:lang w:val="en"/>
        </w:rPr>
        <w:t>]-MOR for gas capture (</w:t>
      </w:r>
      <w:r w:rsidR="00C71689" w:rsidRPr="00C71689">
        <w:rPr>
          <w:rStyle w:val="rynqvb"/>
          <w:i/>
          <w:iCs/>
          <w:lang w:val="en"/>
        </w:rPr>
        <w:t>e.g.</w:t>
      </w:r>
      <w:r w:rsidR="00C71689" w:rsidRPr="00C71689">
        <w:rPr>
          <w:rStyle w:val="rynqvb"/>
          <w:lang w:val="en"/>
        </w:rPr>
        <w:t xml:space="preserve">, </w:t>
      </w:r>
      <w:r w:rsidR="00D641E5">
        <w:rPr>
          <w:rStyle w:val="rynqvb"/>
          <w:lang w:val="en"/>
        </w:rPr>
        <w:t xml:space="preserve">the </w:t>
      </w:r>
      <w:r w:rsidR="00C71689">
        <w:rPr>
          <w:rStyle w:val="rynqvb"/>
          <w:lang w:val="en"/>
        </w:rPr>
        <w:t>H</w:t>
      </w:r>
      <w:r w:rsidR="00C71689" w:rsidRPr="00D641E5">
        <w:rPr>
          <w:rStyle w:val="rynqvb"/>
          <w:vertAlign w:val="subscript"/>
          <w:lang w:val="en"/>
        </w:rPr>
        <w:t>2</w:t>
      </w:r>
      <w:r w:rsidR="00C71689">
        <w:rPr>
          <w:rStyle w:val="rynqvb"/>
          <w:lang w:val="en"/>
        </w:rPr>
        <w:t xml:space="preserve"> </w:t>
      </w:r>
      <w:r w:rsidR="00C71689" w:rsidRPr="00C71689">
        <w:rPr>
          <w:rStyle w:val="rynqvb"/>
          <w:lang w:val="en"/>
        </w:rPr>
        <w:t xml:space="preserve">capture and </w:t>
      </w:r>
      <w:r w:rsidR="00D641E5">
        <w:rPr>
          <w:rStyle w:val="rynqvb"/>
          <w:lang w:val="en"/>
        </w:rPr>
        <w:t>activation</w:t>
      </w:r>
      <w:r w:rsidR="00C71689" w:rsidRPr="00C71689">
        <w:rPr>
          <w:rStyle w:val="rynqvb"/>
          <w:lang w:val="en"/>
        </w:rPr>
        <w:t xml:space="preserve"> </w:t>
      </w:r>
      <w:r w:rsidR="00D641E5">
        <w:rPr>
          <w:rStyle w:val="rynqvb"/>
          <w:lang w:val="en"/>
        </w:rPr>
        <w:t>process</w:t>
      </w:r>
      <w:r w:rsidR="00C71689" w:rsidRPr="00C71689">
        <w:rPr>
          <w:rStyle w:val="rynqvb"/>
          <w:lang w:val="en"/>
        </w:rPr>
        <w:t>)</w:t>
      </w:r>
      <w:r w:rsidR="00D641E5">
        <w:rPr>
          <w:rStyle w:val="rynqvb"/>
          <w:lang w:val="en"/>
        </w:rPr>
        <w:t xml:space="preserve"> </w:t>
      </w:r>
      <w:r w:rsidR="00D641E5">
        <w:rPr>
          <w:rFonts w:ascii="Times New Roman" w:eastAsia="TimesNewRoman" w:hAnsi="Times New Roman"/>
        </w:rPr>
        <w:fldChar w:fldCharType="begin" w:fldLock="1"/>
      </w:r>
      <w:r w:rsidR="00D641E5">
        <w:rPr>
          <w:rFonts w:ascii="Times New Roman" w:eastAsia="TimesNewRoman" w:hAnsi="Times New Roman"/>
        </w:rPr>
        <w:instrText>ADDIN CSL_CITATION {"citationItems":[{"id":"ITEM-1","itemData":{"DOI":"10.1007/S11144-023-02364-5/FIGURES/5","ISSN":"18785204","abstract":"In this study, the ion exchange of H+ on mordenite (MOR) with an organic cation, 1-butyl-3-methylimidazolium ([bmim]+), was performed to prepare organic-cation-exchanged mordenite ([bmim]-MOR). H2 adsorption on [bmim]-MOR was conducted at 120 K and monitored by FT-IR (Fourier transform infrared spectroscopy) to demonstrate dissociative H2 adsorption. Hydrogen molecules were observed to heterogeneously dissociate into H+ and H−. The generated H+ bound with the bridging oxygen atoms between framework silicon and aluminum atoms of [bmim]-MOR to produce acidic OH groups and the H− interacted with [bmim]+. In addition to appearance of infrared (IR) absorption due to the produced acidic hydroxyl groups, adsorption of H2 to the acidic hydroxyl groups was also observed. By quantitatively analyzing the observed IR bands, we clarified the hydrogen adsorption process on [bmim]-MOR. Consequently, [bmim]+ interacted with H2 was indicated, too. The difference in the H2 adsorption behavior of [bmim]-MOR and alkali-metal zeolites was discussed and it could be related to the cation size.","author":[{"dropping-particle":"","family":"Yoda","given":"Eisuke","non-dropping-particle":"","parse-names":false,"suffix":""},{"dropping-particle":"","family":"Osuga","given":"Ryota","non-dropping-particle":"","parse-names":false,"suffix":""}],"container-title":"Reaction Kinetics, Mechanisms and Catalysis","id":"ITEM-1","issue":"2","issued":{"date-parts":[["2023","3","20"]]},"page":"621-635","publisher":"Springer Science and Business Media B.V.","title":"Dissociative H2 adsorption on 1-butyl-3-methylimidazolium-exchanged mordenite monitored by Infrared spectroscopy","type":"article-journal","volume":"136"},"uris":["http://www.mendeley.com/documents/?uuid=fa1cbc37-e377-31fa-a3a9-74c80a762afe"]}],"mendeley":{"formattedCitation":"[33]","plainTextFormattedCitation":"[33]"},"properties":{"noteIndex":0},"schema":"https://github.com/citation-style-language/schema/raw/master/csl-citation.json"}</w:instrText>
      </w:r>
      <w:r w:rsidR="00D641E5">
        <w:rPr>
          <w:rFonts w:ascii="Times New Roman" w:eastAsia="TimesNewRoman" w:hAnsi="Times New Roman"/>
        </w:rPr>
        <w:fldChar w:fldCharType="separate"/>
      </w:r>
      <w:r w:rsidR="00D641E5" w:rsidRPr="00BD3196">
        <w:rPr>
          <w:rFonts w:ascii="Times New Roman" w:eastAsia="TimesNewRoman" w:hAnsi="Times New Roman"/>
          <w:noProof/>
        </w:rPr>
        <w:t>[33]</w:t>
      </w:r>
      <w:r w:rsidR="00D641E5">
        <w:rPr>
          <w:rFonts w:ascii="Times New Roman" w:eastAsia="TimesNewRoman" w:hAnsi="Times New Roman"/>
        </w:rPr>
        <w:fldChar w:fldCharType="end"/>
      </w:r>
      <w:r w:rsidR="00D641E5">
        <w:rPr>
          <w:rFonts w:ascii="Times New Roman" w:eastAsia="TimesNewRoman" w:hAnsi="Times New Roman"/>
        </w:rPr>
        <w:t xml:space="preserve">. </w:t>
      </w:r>
      <w:r w:rsidR="00E77DA3" w:rsidRPr="00E77DA3">
        <w:rPr>
          <w:rFonts w:ascii="Times New Roman" w:eastAsia="TimesNewRoman" w:hAnsi="Times New Roman"/>
        </w:rPr>
        <w:t>We recently used a steric map theoretical approach to demonstrate steric limitations in the [</w:t>
      </w:r>
      <w:proofErr w:type="spellStart"/>
      <w:r w:rsidR="00E77DA3" w:rsidRPr="00E77DA3">
        <w:rPr>
          <w:rFonts w:ascii="Times New Roman" w:eastAsia="TimesNewRoman" w:hAnsi="Times New Roman"/>
        </w:rPr>
        <w:t>BMIm</w:t>
      </w:r>
      <w:proofErr w:type="spellEnd"/>
      <w:r w:rsidR="00E77DA3" w:rsidRPr="00E77DA3">
        <w:rPr>
          <w:rFonts w:ascii="Times New Roman" w:eastAsia="TimesNewRoman" w:hAnsi="Times New Roman"/>
        </w:rPr>
        <w:t xml:space="preserve">]-MOR material, especially in the </w:t>
      </w:r>
      <w:r w:rsidR="00E77DA3" w:rsidRPr="00033B02">
        <w:rPr>
          <w:rFonts w:ascii="Times New Roman" w:eastAsia="TimesNewRoman" w:hAnsi="Times New Roman"/>
        </w:rPr>
        <w:t xml:space="preserve">north-west (NW) </w:t>
      </w:r>
      <w:r w:rsidR="00E77DA3" w:rsidRPr="00E77DA3">
        <w:rPr>
          <w:rFonts w:ascii="Times New Roman" w:eastAsia="TimesNewRoman" w:hAnsi="Times New Roman"/>
        </w:rPr>
        <w:t>quadrant in the crystallographic direction c, which could affect the diffusion of molecules such as H</w:t>
      </w:r>
      <w:r w:rsidR="00E77DA3" w:rsidRPr="00E77DA3">
        <w:rPr>
          <w:rFonts w:ascii="Times New Roman" w:eastAsia="TimesNewRoman" w:hAnsi="Times New Roman"/>
          <w:vertAlign w:val="subscript"/>
        </w:rPr>
        <w:t>2</w:t>
      </w:r>
      <w:r w:rsidR="00E77DA3" w:rsidRPr="00E77DA3">
        <w:rPr>
          <w:rFonts w:ascii="Times New Roman" w:eastAsia="TimesNewRoman" w:hAnsi="Times New Roman"/>
        </w:rPr>
        <w:t xml:space="preserve"> and CO</w:t>
      </w:r>
      <w:r w:rsidR="00E77DA3" w:rsidRPr="00E77DA3">
        <w:rPr>
          <w:rFonts w:ascii="Times New Roman" w:eastAsia="TimesNewRoman" w:hAnsi="Times New Roman"/>
          <w:vertAlign w:val="subscript"/>
        </w:rPr>
        <w:t>2</w:t>
      </w:r>
      <w:r w:rsidR="00E77DA3" w:rsidRPr="00E77DA3">
        <w:rPr>
          <w:rFonts w:ascii="Times New Roman" w:eastAsia="TimesNewRoman" w:hAnsi="Times New Roman"/>
        </w:rPr>
        <w:t xml:space="preserve"> through the composite [</w:t>
      </w:r>
      <w:proofErr w:type="spellStart"/>
      <w:r w:rsidR="00E77DA3" w:rsidRPr="00E77DA3">
        <w:rPr>
          <w:rFonts w:ascii="Times New Roman" w:eastAsia="TimesNewRoman" w:hAnsi="Times New Roman"/>
        </w:rPr>
        <w:t>BMIm</w:t>
      </w:r>
      <w:proofErr w:type="spellEnd"/>
      <w:r w:rsidR="00E77DA3" w:rsidRPr="00E77DA3">
        <w:rPr>
          <w:rFonts w:ascii="Times New Roman" w:eastAsia="TimesNewRoman" w:hAnsi="Times New Roman"/>
        </w:rPr>
        <w:t>]-MOR (see Figure 4).</w:t>
      </w:r>
      <w:r w:rsidR="00E77DA3">
        <w:rPr>
          <w:rFonts w:ascii="Times New Roman" w:eastAsia="TimesNewRoman" w:hAnsi="Times New Roman"/>
        </w:rPr>
        <w:t xml:space="preserve"> Conversely, </w:t>
      </w:r>
      <w:r w:rsidR="00E77DA3">
        <w:rPr>
          <w:rStyle w:val="rynqvb"/>
          <w:lang w:val="en"/>
        </w:rPr>
        <w:t xml:space="preserve">the steric maps of </w:t>
      </w:r>
      <w:r w:rsidR="00E77DA3" w:rsidRPr="00033B02">
        <w:rPr>
          <w:rFonts w:ascii="Times New Roman" w:eastAsia="TimesNewRoman" w:hAnsi="Times New Roman"/>
        </w:rPr>
        <w:t xml:space="preserve">Figure </w:t>
      </w:r>
      <w:r w:rsidR="00E77DA3">
        <w:rPr>
          <w:rFonts w:ascii="Times New Roman" w:eastAsia="TimesNewRoman" w:hAnsi="Times New Roman"/>
        </w:rPr>
        <w:t>4</w:t>
      </w:r>
      <w:r w:rsidR="00E77DA3" w:rsidRPr="00033B02">
        <w:rPr>
          <w:rFonts w:ascii="Times New Roman" w:eastAsia="TimesNewRoman" w:hAnsi="Times New Roman"/>
        </w:rPr>
        <w:t xml:space="preserve"> exhibit a progressive </w:t>
      </w:r>
      <w:r w:rsidR="00E77DA3">
        <w:rPr>
          <w:rFonts w:ascii="Times New Roman" w:eastAsia="TimesNewRoman" w:hAnsi="Times New Roman"/>
        </w:rPr>
        <w:t xml:space="preserve">decrease </w:t>
      </w:r>
      <w:r w:rsidR="00E77DA3" w:rsidRPr="00033B02">
        <w:rPr>
          <w:rFonts w:ascii="Times New Roman" w:eastAsia="TimesNewRoman" w:hAnsi="Times New Roman"/>
        </w:rPr>
        <w:t xml:space="preserve">of steric effect produced by the alkyl chain in the NW quadrant, with the </w:t>
      </w:r>
      <w:proofErr w:type="spellStart"/>
      <w:r w:rsidR="00E77DA3" w:rsidRPr="00033B02">
        <w:rPr>
          <w:rFonts w:ascii="Times New Roman" w:eastAsia="TimesNewRoman" w:hAnsi="Times New Roman"/>
        </w:rPr>
        <w:t>burried</w:t>
      </w:r>
      <w:proofErr w:type="spellEnd"/>
      <w:r w:rsidR="00E77DA3" w:rsidRPr="00033B02">
        <w:rPr>
          <w:rFonts w:ascii="Times New Roman" w:eastAsia="TimesNewRoman" w:hAnsi="Times New Roman"/>
        </w:rPr>
        <w:t xml:space="preserve"> volume fraction %</w:t>
      </w:r>
      <w:proofErr w:type="spellStart"/>
      <w:proofErr w:type="gramStart"/>
      <w:r w:rsidR="00E77DA3" w:rsidRPr="00033B02">
        <w:rPr>
          <w:rFonts w:ascii="Times New Roman" w:eastAsia="TimesNewRoman" w:hAnsi="Times New Roman"/>
        </w:rPr>
        <w:t>V</w:t>
      </w:r>
      <w:r w:rsidR="00E77DA3" w:rsidRPr="00033B02">
        <w:rPr>
          <w:rFonts w:ascii="Times New Roman" w:eastAsia="TimesNewRoman" w:hAnsi="Times New Roman"/>
          <w:vertAlign w:val="subscript"/>
        </w:rPr>
        <w:t>Burried</w:t>
      </w:r>
      <w:proofErr w:type="spellEnd"/>
      <w:r w:rsidR="00E77DA3" w:rsidRPr="00033B02">
        <w:rPr>
          <w:rFonts w:ascii="Times New Roman" w:eastAsia="TimesNewRoman" w:hAnsi="Times New Roman"/>
          <w:vertAlign w:val="subscript"/>
        </w:rPr>
        <w:t>(</w:t>
      </w:r>
      <w:proofErr w:type="gramEnd"/>
      <w:r w:rsidR="00E77DA3" w:rsidRPr="00033B02">
        <w:rPr>
          <w:rFonts w:ascii="Times New Roman" w:eastAsia="TimesNewRoman" w:hAnsi="Times New Roman"/>
          <w:vertAlign w:val="subscript"/>
        </w:rPr>
        <w:t>NW)</w:t>
      </w:r>
      <w:r w:rsidR="00E77DA3" w:rsidRPr="00033B02">
        <w:rPr>
          <w:rFonts w:ascii="Times New Roman" w:eastAsia="TimesNewRoman" w:hAnsi="Times New Roman"/>
        </w:rPr>
        <w:t xml:space="preserve"> </w:t>
      </w:r>
      <w:r w:rsidR="00E77DA3">
        <w:rPr>
          <w:rFonts w:ascii="Times New Roman" w:eastAsia="TimesNewRoman" w:hAnsi="Times New Roman"/>
        </w:rPr>
        <w:t>de</w:t>
      </w:r>
      <w:r w:rsidR="00E77DA3" w:rsidRPr="00033B02">
        <w:rPr>
          <w:rFonts w:ascii="Times New Roman" w:eastAsia="TimesNewRoman" w:hAnsi="Times New Roman"/>
        </w:rPr>
        <w:t xml:space="preserve">creasing from </w:t>
      </w:r>
      <w:r w:rsidR="00E77DA3">
        <w:rPr>
          <w:rFonts w:ascii="Times New Roman" w:eastAsia="TimesNewRoman" w:hAnsi="Times New Roman"/>
        </w:rPr>
        <w:t>45.9</w:t>
      </w:r>
      <w:r w:rsidR="00E77DA3" w:rsidRPr="00033B02">
        <w:rPr>
          <w:rFonts w:ascii="Times New Roman" w:eastAsia="TimesNewRoman" w:hAnsi="Times New Roman"/>
        </w:rPr>
        <w:t xml:space="preserve"> </w:t>
      </w:r>
      <w:r w:rsidR="00F60926">
        <w:rPr>
          <w:rFonts w:ascii="Times New Roman" w:eastAsia="TimesNewRoman" w:hAnsi="Times New Roman"/>
        </w:rPr>
        <w:t xml:space="preserve">% </w:t>
      </w:r>
      <w:r w:rsidR="00E77DA3" w:rsidRPr="00033B02">
        <w:rPr>
          <w:rFonts w:ascii="Times New Roman" w:eastAsia="TimesNewRoman" w:hAnsi="Times New Roman"/>
        </w:rPr>
        <w:t xml:space="preserve">in </w:t>
      </w:r>
      <w:r w:rsidR="00E77DA3">
        <w:rPr>
          <w:rFonts w:ascii="Times New Roman" w:eastAsia="TimesNewRoman" w:hAnsi="Times New Roman"/>
        </w:rPr>
        <w:t>[</w:t>
      </w:r>
      <w:proofErr w:type="spellStart"/>
      <w:r w:rsidR="00E77DA3">
        <w:rPr>
          <w:rFonts w:ascii="Times New Roman" w:eastAsia="TimesNewRoman" w:hAnsi="Times New Roman"/>
        </w:rPr>
        <w:t>BMIm</w:t>
      </w:r>
      <w:proofErr w:type="spellEnd"/>
      <w:r w:rsidR="00E77DA3">
        <w:rPr>
          <w:rFonts w:ascii="Times New Roman" w:eastAsia="TimesNewRoman" w:hAnsi="Times New Roman"/>
        </w:rPr>
        <w:t>]-</w:t>
      </w:r>
      <w:r w:rsidR="00E77DA3" w:rsidRPr="00033B02">
        <w:rPr>
          <w:rFonts w:ascii="Times New Roman" w:eastAsia="TimesNewRoman" w:hAnsi="Times New Roman"/>
        </w:rPr>
        <w:t>MOR-T4O10-[</w:t>
      </w:r>
      <w:proofErr w:type="spellStart"/>
      <w:r w:rsidR="00E77DA3" w:rsidRPr="00033B02">
        <w:rPr>
          <w:rFonts w:ascii="Times New Roman" w:eastAsia="TimesNewRoman" w:hAnsi="Times New Roman"/>
        </w:rPr>
        <w:t>MMIm</w:t>
      </w:r>
      <w:proofErr w:type="spellEnd"/>
      <w:r w:rsidR="00E77DA3" w:rsidRPr="00033B02">
        <w:rPr>
          <w:rFonts w:ascii="Times New Roman" w:eastAsia="TimesNewRoman" w:hAnsi="Times New Roman"/>
        </w:rPr>
        <w:t xml:space="preserve">] to </w:t>
      </w:r>
      <w:r w:rsidR="00E77DA3">
        <w:rPr>
          <w:rFonts w:ascii="Times New Roman" w:eastAsia="TimesNewRoman" w:hAnsi="Times New Roman"/>
        </w:rPr>
        <w:t>22.8</w:t>
      </w:r>
      <w:r w:rsidR="00F60926">
        <w:rPr>
          <w:rFonts w:ascii="Times New Roman" w:eastAsia="TimesNewRoman" w:hAnsi="Times New Roman"/>
        </w:rPr>
        <w:t xml:space="preserve"> %</w:t>
      </w:r>
      <w:r w:rsidR="00E77DA3" w:rsidRPr="00033B02">
        <w:rPr>
          <w:rFonts w:ascii="Times New Roman" w:eastAsia="TimesNewRoman" w:hAnsi="Times New Roman"/>
        </w:rPr>
        <w:t xml:space="preserve"> in </w:t>
      </w:r>
      <w:r w:rsidR="00E77DA3">
        <w:rPr>
          <w:rFonts w:ascii="Times New Roman" w:eastAsia="TimesNewRoman" w:hAnsi="Times New Roman"/>
        </w:rPr>
        <w:t>[2-AEMIm]-</w:t>
      </w:r>
      <w:r w:rsidR="00E77DA3" w:rsidRPr="00033B02">
        <w:rPr>
          <w:rFonts w:ascii="Times New Roman" w:eastAsia="TimesNewRoman" w:hAnsi="Times New Roman"/>
        </w:rPr>
        <w:t xml:space="preserve">MOR (see Figures </w:t>
      </w:r>
      <w:r w:rsidR="00E77DA3">
        <w:rPr>
          <w:rFonts w:ascii="Times New Roman" w:eastAsia="TimesNewRoman" w:hAnsi="Times New Roman"/>
        </w:rPr>
        <w:t>4b</w:t>
      </w:r>
      <w:r w:rsidR="00E77DA3" w:rsidRPr="00033B02">
        <w:rPr>
          <w:rFonts w:ascii="Times New Roman" w:eastAsia="TimesNewRoman" w:hAnsi="Times New Roman"/>
        </w:rPr>
        <w:t>-</w:t>
      </w:r>
      <w:r w:rsidR="00E77DA3">
        <w:rPr>
          <w:rFonts w:ascii="Times New Roman" w:eastAsia="TimesNewRoman" w:hAnsi="Times New Roman"/>
        </w:rPr>
        <w:t>f</w:t>
      </w:r>
      <w:r w:rsidR="00E77DA3" w:rsidRPr="00033B02">
        <w:rPr>
          <w:rFonts w:ascii="Times New Roman" w:eastAsia="TimesNewRoman" w:hAnsi="Times New Roman"/>
        </w:rPr>
        <w:t>).</w:t>
      </w:r>
      <w:r w:rsidR="00E77DA3">
        <w:rPr>
          <w:rFonts w:ascii="Times New Roman" w:eastAsia="TimesNewRoman" w:hAnsi="Times New Roman"/>
        </w:rPr>
        <w:t xml:space="preserve"> Thus, n</w:t>
      </w:r>
      <w:r w:rsidR="00E77DA3" w:rsidRPr="00033B02">
        <w:rPr>
          <w:lang w:val="en-GB"/>
        </w:rPr>
        <w:t xml:space="preserve">o </w:t>
      </w:r>
      <w:r w:rsidR="00E77DA3">
        <w:rPr>
          <w:lang w:val="en-GB"/>
        </w:rPr>
        <w:t>steric</w:t>
      </w:r>
      <w:r w:rsidR="00E77DA3" w:rsidRPr="00033B02">
        <w:rPr>
          <w:lang w:val="en-GB"/>
        </w:rPr>
        <w:t xml:space="preserve"> </w:t>
      </w:r>
      <w:r w:rsidR="00E77DA3">
        <w:rPr>
          <w:lang w:val="en-GB"/>
        </w:rPr>
        <w:t>l</w:t>
      </w:r>
      <w:r w:rsidR="00E77DA3" w:rsidRPr="00033B02">
        <w:rPr>
          <w:lang w:val="en-GB"/>
        </w:rPr>
        <w:t>imitations were found to obtain the [</w:t>
      </w:r>
      <w:r w:rsidR="00E77DA3">
        <w:rPr>
          <w:lang w:val="en-GB"/>
        </w:rPr>
        <w:t>M</w:t>
      </w:r>
      <w:r w:rsidR="00E77DA3" w:rsidRPr="00033B02">
        <w:rPr>
          <w:lang w:val="en-GB"/>
        </w:rPr>
        <w:t>]</w:t>
      </w:r>
      <w:r w:rsidR="00E77DA3">
        <w:rPr>
          <w:lang w:val="en-GB"/>
        </w:rPr>
        <w:t xml:space="preserve">-MOR composites </w:t>
      </w:r>
      <w:r w:rsidR="00E77DA3">
        <w:rPr>
          <w:rStyle w:val="rynqvb"/>
          <w:lang w:val="en"/>
        </w:rPr>
        <w:t xml:space="preserve">proposed in this work </w:t>
      </w:r>
      <w:r w:rsidR="00E77DA3" w:rsidRPr="00033B02">
        <w:rPr>
          <w:rFonts w:ascii="Times New Roman" w:eastAsia="TimesNewRoman" w:hAnsi="Times New Roman"/>
        </w:rPr>
        <w:t xml:space="preserve">(see Figures </w:t>
      </w:r>
      <w:r w:rsidR="00E77DA3">
        <w:rPr>
          <w:rFonts w:ascii="Times New Roman" w:eastAsia="TimesNewRoman" w:hAnsi="Times New Roman"/>
        </w:rPr>
        <w:t>4c</w:t>
      </w:r>
      <w:r w:rsidR="00E77DA3" w:rsidRPr="00033B02">
        <w:rPr>
          <w:rFonts w:ascii="Times New Roman" w:eastAsia="TimesNewRoman" w:hAnsi="Times New Roman"/>
        </w:rPr>
        <w:t>-</w:t>
      </w:r>
      <w:r w:rsidR="00E77DA3">
        <w:rPr>
          <w:rFonts w:ascii="Times New Roman" w:eastAsia="TimesNewRoman" w:hAnsi="Times New Roman"/>
        </w:rPr>
        <w:t>f</w:t>
      </w:r>
      <w:r w:rsidR="00E77DA3" w:rsidRPr="00033B02">
        <w:rPr>
          <w:rFonts w:ascii="Times New Roman" w:eastAsia="TimesNewRoman" w:hAnsi="Times New Roman"/>
        </w:rPr>
        <w:t>).</w:t>
      </w:r>
    </w:p>
    <w:p w14:paraId="4D1FDB80" w14:textId="005DB1D9" w:rsidR="002572BE" w:rsidRDefault="002572BE" w:rsidP="002572BE">
      <w:pPr>
        <w:jc w:val="center"/>
      </w:pPr>
      <w:r w:rsidRPr="002572BE">
        <w:rPr>
          <w:rFonts w:ascii="Times New Roman" w:hAnsi="Times New Roman" w:cs="Times New Roman"/>
          <w:noProof/>
        </w:rPr>
        <w:drawing>
          <wp:inline distT="0" distB="0" distL="0" distR="0" wp14:anchorId="18C3FA18" wp14:editId="79D4833A">
            <wp:extent cx="3201607" cy="1772702"/>
            <wp:effectExtent l="0" t="0" r="0" b="0"/>
            <wp:docPr id="230683130" name="Imagen 23068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14824" name=""/>
                    <pic:cNvPicPr/>
                  </pic:nvPicPr>
                  <pic:blipFill>
                    <a:blip r:embed="rId15"/>
                    <a:stretch>
                      <a:fillRect/>
                    </a:stretch>
                  </pic:blipFill>
                  <pic:spPr>
                    <a:xfrm>
                      <a:off x="0" y="0"/>
                      <a:ext cx="3203502" cy="1773751"/>
                    </a:xfrm>
                    <a:prstGeom prst="rect">
                      <a:avLst/>
                    </a:prstGeom>
                  </pic:spPr>
                </pic:pic>
              </a:graphicData>
            </a:graphic>
          </wp:inline>
        </w:drawing>
      </w:r>
    </w:p>
    <w:p w14:paraId="5A349DA2" w14:textId="5D9C4183" w:rsidR="002572BE" w:rsidRDefault="002572BE" w:rsidP="002572BE">
      <w:pPr>
        <w:pStyle w:val="VAFigureCaption"/>
        <w:spacing w:before="0"/>
        <w:rPr>
          <w:rFonts w:ascii="Times New Roman" w:hAnsi="Times New Roman"/>
          <w:lang w:val="en-GB"/>
        </w:rPr>
      </w:pPr>
      <w:r w:rsidRPr="008B7719">
        <w:rPr>
          <w:rFonts w:ascii="Times New Roman" w:hAnsi="Times New Roman"/>
          <w:b/>
          <w:lang w:val="en-GB"/>
        </w:rPr>
        <w:t>Figur</w:t>
      </w:r>
      <w:r w:rsidR="00C71689">
        <w:rPr>
          <w:rFonts w:ascii="Times New Roman" w:hAnsi="Times New Roman"/>
          <w:b/>
          <w:lang w:val="en-GB"/>
        </w:rPr>
        <w:t>e</w:t>
      </w:r>
      <w:r w:rsidRPr="008B7719">
        <w:rPr>
          <w:rFonts w:ascii="Times New Roman" w:hAnsi="Times New Roman"/>
          <w:b/>
          <w:lang w:val="en-GB"/>
        </w:rPr>
        <w:t xml:space="preserve"> </w:t>
      </w:r>
      <w:r w:rsidR="00C71689">
        <w:rPr>
          <w:rFonts w:ascii="Times New Roman" w:hAnsi="Times New Roman"/>
          <w:b/>
          <w:lang w:val="en-GB"/>
        </w:rPr>
        <w:t>4</w:t>
      </w:r>
      <w:r w:rsidRPr="008B7719">
        <w:rPr>
          <w:rFonts w:ascii="Times New Roman" w:hAnsi="Times New Roman"/>
          <w:b/>
          <w:lang w:val="en-GB"/>
        </w:rPr>
        <w:t>.</w:t>
      </w:r>
      <w:r w:rsidRPr="008B7719">
        <w:rPr>
          <w:rFonts w:ascii="Times New Roman" w:hAnsi="Times New Roman"/>
          <w:lang w:val="en-GB"/>
        </w:rPr>
        <w:t xml:space="preserve"> </w:t>
      </w:r>
      <w:r w:rsidR="008B7719" w:rsidRPr="008B7719">
        <w:rPr>
          <w:rFonts w:ascii="Times New Roman" w:hAnsi="Times New Roman"/>
          <w:lang w:val="en-GB"/>
        </w:rPr>
        <w:t xml:space="preserve">Scope of the </w:t>
      </w:r>
      <w:r w:rsidR="008B7719">
        <w:rPr>
          <w:rFonts w:ascii="Times New Roman" w:hAnsi="Times New Roman"/>
          <w:lang w:val="en-GB"/>
        </w:rPr>
        <w:t>CO</w:t>
      </w:r>
      <w:r w:rsidR="008B7719" w:rsidRPr="008B7719">
        <w:rPr>
          <w:rFonts w:ascii="Times New Roman" w:hAnsi="Times New Roman"/>
          <w:vertAlign w:val="subscript"/>
          <w:lang w:val="en-GB"/>
        </w:rPr>
        <w:t>2</w:t>
      </w:r>
      <w:r w:rsidR="008B7719" w:rsidRPr="008B7719">
        <w:rPr>
          <w:rFonts w:ascii="Times New Roman" w:hAnsi="Times New Roman"/>
          <w:lang w:val="en-GB"/>
        </w:rPr>
        <w:t xml:space="preserve"> adsorption and schematic representation of the adsorption </w:t>
      </w:r>
      <w:r w:rsidR="008B7719" w:rsidRPr="00C71689">
        <w:rPr>
          <w:rFonts w:ascii="Times New Roman" w:hAnsi="Times New Roman"/>
          <w:i/>
          <w:iCs/>
          <w:lang w:val="en-GB"/>
        </w:rPr>
        <w:t>pocket</w:t>
      </w:r>
      <w:r w:rsidR="008B7719" w:rsidRPr="008B7719">
        <w:rPr>
          <w:rFonts w:ascii="Times New Roman" w:hAnsi="Times New Roman"/>
          <w:lang w:val="en-GB"/>
        </w:rPr>
        <w:t xml:space="preserve"> (adsorption site above gravity </w:t>
      </w:r>
      <w:proofErr w:type="spellStart"/>
      <w:r w:rsidR="008B7719" w:rsidRPr="008B7719">
        <w:rPr>
          <w:rFonts w:ascii="Times New Roman" w:hAnsi="Times New Roman"/>
          <w:lang w:val="en-GB"/>
        </w:rPr>
        <w:t>center</w:t>
      </w:r>
      <w:proofErr w:type="spellEnd"/>
      <w:r w:rsidR="008B7719" w:rsidRPr="008B7719">
        <w:rPr>
          <w:rFonts w:ascii="Times New Roman" w:hAnsi="Times New Roman"/>
          <w:lang w:val="en-GB"/>
        </w:rPr>
        <w:t xml:space="preserve"> of [</w:t>
      </w:r>
      <w:r w:rsidR="008B7719">
        <w:rPr>
          <w:rFonts w:ascii="Times New Roman" w:hAnsi="Times New Roman"/>
          <w:lang w:val="en-GB"/>
        </w:rPr>
        <w:t>M</w:t>
      </w:r>
      <w:r w:rsidR="008B7719" w:rsidRPr="008B7719">
        <w:rPr>
          <w:rFonts w:ascii="Times New Roman" w:hAnsi="Times New Roman"/>
          <w:lang w:val="en-GB"/>
        </w:rPr>
        <w:t>]</w:t>
      </w:r>
      <w:r w:rsidR="008B7719" w:rsidRPr="008B7719">
        <w:rPr>
          <w:rFonts w:ascii="Times New Roman" w:hAnsi="Times New Roman"/>
          <w:vertAlign w:val="superscript"/>
          <w:lang w:val="en-GB"/>
        </w:rPr>
        <w:t>+</w:t>
      </w:r>
      <w:r w:rsidR="008B7719" w:rsidRPr="008B7719">
        <w:rPr>
          <w:rFonts w:ascii="Times New Roman" w:hAnsi="Times New Roman"/>
          <w:lang w:val="en-GB"/>
        </w:rPr>
        <w:t xml:space="preserve"> (C</w:t>
      </w:r>
      <w:r w:rsidR="008B7719" w:rsidRPr="008B7719">
        <w:rPr>
          <w:rFonts w:ascii="Times New Roman" w:hAnsi="Times New Roman"/>
          <w:vertAlign w:val="subscript"/>
          <w:lang w:val="en-GB"/>
        </w:rPr>
        <w:t>g</w:t>
      </w:r>
      <w:r w:rsidR="008B7719" w:rsidRPr="008B7719">
        <w:rPr>
          <w:rFonts w:ascii="Times New Roman" w:hAnsi="Times New Roman"/>
          <w:lang w:val="en-GB"/>
        </w:rPr>
        <w:t>)) (</w:t>
      </w:r>
      <w:r w:rsidR="00B376A6">
        <w:rPr>
          <w:rFonts w:ascii="Times New Roman" w:hAnsi="Times New Roman"/>
          <w:lang w:val="en-GB"/>
        </w:rPr>
        <w:t>a</w:t>
      </w:r>
      <w:r w:rsidR="008B7719" w:rsidRPr="008B7719">
        <w:rPr>
          <w:rFonts w:ascii="Times New Roman" w:hAnsi="Times New Roman"/>
          <w:lang w:val="en-GB"/>
        </w:rPr>
        <w:t>) and the corresponding steric maps for</w:t>
      </w:r>
      <w:r w:rsidR="00B376A6">
        <w:rPr>
          <w:rFonts w:ascii="Times New Roman" w:hAnsi="Times New Roman"/>
          <w:lang w:val="en-GB"/>
        </w:rPr>
        <w:t xml:space="preserve"> adsorptions of CO</w:t>
      </w:r>
      <w:r w:rsidR="00B376A6" w:rsidRPr="00B376A6">
        <w:rPr>
          <w:rFonts w:ascii="Times New Roman" w:hAnsi="Times New Roman"/>
          <w:vertAlign w:val="subscript"/>
          <w:lang w:val="en-GB"/>
        </w:rPr>
        <w:t>2</w:t>
      </w:r>
      <w:r w:rsidR="00B376A6">
        <w:rPr>
          <w:rFonts w:ascii="Times New Roman" w:hAnsi="Times New Roman"/>
          <w:lang w:val="en-GB"/>
        </w:rPr>
        <w:t xml:space="preserve"> on [M]-</w:t>
      </w:r>
      <w:r w:rsidR="008B7719" w:rsidRPr="008B7719">
        <w:rPr>
          <w:rFonts w:ascii="Times New Roman" w:hAnsi="Times New Roman"/>
          <w:lang w:val="en-GB"/>
        </w:rPr>
        <w:t>MOR</w:t>
      </w:r>
      <w:r w:rsidR="00B376A6">
        <w:rPr>
          <w:rFonts w:ascii="Times New Roman" w:hAnsi="Times New Roman"/>
          <w:lang w:val="en-GB"/>
        </w:rPr>
        <w:t xml:space="preserve"> complex: CO</w:t>
      </w:r>
      <w:r w:rsidR="00B376A6" w:rsidRPr="00B376A6">
        <w:rPr>
          <w:rFonts w:ascii="Times New Roman" w:hAnsi="Times New Roman"/>
          <w:vertAlign w:val="subscript"/>
          <w:lang w:val="en-GB"/>
        </w:rPr>
        <w:t>2</w:t>
      </w:r>
      <w:r w:rsidR="00B376A6">
        <w:rPr>
          <w:rFonts w:ascii="Times New Roman" w:hAnsi="Times New Roman"/>
          <w:lang w:val="en-GB"/>
        </w:rPr>
        <w:t>-[</w:t>
      </w:r>
      <w:proofErr w:type="spellStart"/>
      <w:r w:rsidR="00B376A6">
        <w:rPr>
          <w:rFonts w:ascii="Times New Roman" w:hAnsi="Times New Roman"/>
          <w:lang w:val="en-GB"/>
        </w:rPr>
        <w:t>BMIm</w:t>
      </w:r>
      <w:proofErr w:type="spellEnd"/>
      <w:r w:rsidR="00B376A6">
        <w:rPr>
          <w:rFonts w:ascii="Times New Roman" w:hAnsi="Times New Roman"/>
          <w:lang w:val="en-GB"/>
        </w:rPr>
        <w:t>]-</w:t>
      </w:r>
      <w:proofErr w:type="gramStart"/>
      <w:r w:rsidR="00B376A6" w:rsidRPr="008B7719">
        <w:rPr>
          <w:rFonts w:ascii="Times New Roman" w:hAnsi="Times New Roman"/>
          <w:lang w:val="en-GB"/>
        </w:rPr>
        <w:t>MOR</w:t>
      </w:r>
      <w:r w:rsidR="00B376A6">
        <w:rPr>
          <w:rFonts w:ascii="Times New Roman" w:hAnsi="Times New Roman"/>
          <w:lang w:val="en-GB"/>
        </w:rPr>
        <w:t>)(</w:t>
      </w:r>
      <w:proofErr w:type="gramEnd"/>
      <w:r w:rsidR="00B376A6">
        <w:rPr>
          <w:rFonts w:ascii="Times New Roman" w:hAnsi="Times New Roman"/>
          <w:lang w:val="en-GB"/>
        </w:rPr>
        <w:t>b), CO</w:t>
      </w:r>
      <w:r w:rsidR="00B376A6" w:rsidRPr="00B376A6">
        <w:rPr>
          <w:rFonts w:ascii="Times New Roman" w:hAnsi="Times New Roman"/>
          <w:vertAlign w:val="subscript"/>
          <w:lang w:val="en-GB"/>
        </w:rPr>
        <w:t>2</w:t>
      </w:r>
      <w:r w:rsidR="00B376A6">
        <w:rPr>
          <w:rFonts w:ascii="Times New Roman" w:hAnsi="Times New Roman"/>
          <w:lang w:val="en-GB"/>
        </w:rPr>
        <w:t>-[2-EMIm]-</w:t>
      </w:r>
      <w:r w:rsidR="00B376A6" w:rsidRPr="008B7719">
        <w:rPr>
          <w:rFonts w:ascii="Times New Roman" w:hAnsi="Times New Roman"/>
          <w:lang w:val="en-GB"/>
        </w:rPr>
        <w:t>MOR</w:t>
      </w:r>
      <w:r w:rsidR="00B376A6">
        <w:rPr>
          <w:rFonts w:ascii="Times New Roman" w:hAnsi="Times New Roman"/>
          <w:lang w:val="en-GB"/>
        </w:rPr>
        <w:t>)(c), CO</w:t>
      </w:r>
      <w:r w:rsidR="00B376A6" w:rsidRPr="00B376A6">
        <w:rPr>
          <w:rFonts w:ascii="Times New Roman" w:hAnsi="Times New Roman"/>
          <w:vertAlign w:val="subscript"/>
          <w:lang w:val="en-GB"/>
        </w:rPr>
        <w:t>2</w:t>
      </w:r>
      <w:r w:rsidR="00B376A6">
        <w:rPr>
          <w:rFonts w:ascii="Times New Roman" w:hAnsi="Times New Roman"/>
          <w:lang w:val="en-GB"/>
        </w:rPr>
        <w:t>-[3-PMIm]-</w:t>
      </w:r>
      <w:r w:rsidR="00B376A6" w:rsidRPr="008B7719">
        <w:rPr>
          <w:rFonts w:ascii="Times New Roman" w:hAnsi="Times New Roman"/>
          <w:lang w:val="en-GB"/>
        </w:rPr>
        <w:t>MOR</w:t>
      </w:r>
      <w:r w:rsidR="00B376A6">
        <w:rPr>
          <w:rFonts w:ascii="Times New Roman" w:hAnsi="Times New Roman"/>
          <w:lang w:val="en-GB"/>
        </w:rPr>
        <w:t>) (d), CO</w:t>
      </w:r>
      <w:r w:rsidR="00B376A6" w:rsidRPr="00B376A6">
        <w:rPr>
          <w:rFonts w:ascii="Times New Roman" w:hAnsi="Times New Roman"/>
          <w:vertAlign w:val="subscript"/>
          <w:lang w:val="en-GB"/>
        </w:rPr>
        <w:t>2</w:t>
      </w:r>
      <w:r w:rsidR="00B376A6">
        <w:rPr>
          <w:rFonts w:ascii="Times New Roman" w:hAnsi="Times New Roman"/>
          <w:lang w:val="en-GB"/>
        </w:rPr>
        <w:t>-[</w:t>
      </w:r>
      <w:r w:rsidR="00B376A6" w:rsidRPr="00B376A6">
        <w:rPr>
          <w:rFonts w:ascii="Times New Roman" w:hAnsi="Times New Roman"/>
          <w:i/>
          <w:iCs/>
          <w:lang w:val="en-GB"/>
        </w:rPr>
        <w:t>R</w:t>
      </w:r>
      <w:r w:rsidR="00B376A6">
        <w:rPr>
          <w:rFonts w:ascii="Times New Roman" w:hAnsi="Times New Roman"/>
          <w:lang w:val="en-GB"/>
        </w:rPr>
        <w:t>-2-PMIm]-</w:t>
      </w:r>
      <w:r w:rsidR="00B376A6" w:rsidRPr="008B7719">
        <w:rPr>
          <w:rFonts w:ascii="Times New Roman" w:hAnsi="Times New Roman"/>
          <w:lang w:val="en-GB"/>
        </w:rPr>
        <w:t>MOR</w:t>
      </w:r>
      <w:r w:rsidR="00B376A6">
        <w:rPr>
          <w:rFonts w:ascii="Times New Roman" w:hAnsi="Times New Roman"/>
          <w:lang w:val="en-GB"/>
        </w:rPr>
        <w:t>) (e), CO</w:t>
      </w:r>
      <w:r w:rsidR="00B376A6" w:rsidRPr="00B376A6">
        <w:rPr>
          <w:rFonts w:ascii="Times New Roman" w:hAnsi="Times New Roman"/>
          <w:vertAlign w:val="subscript"/>
          <w:lang w:val="en-GB"/>
        </w:rPr>
        <w:t>2</w:t>
      </w:r>
      <w:r w:rsidR="00B376A6">
        <w:rPr>
          <w:rFonts w:ascii="Times New Roman" w:hAnsi="Times New Roman"/>
          <w:lang w:val="en-GB"/>
        </w:rPr>
        <w:t>-[</w:t>
      </w:r>
      <w:r w:rsidR="00B376A6">
        <w:rPr>
          <w:rFonts w:ascii="Times New Roman" w:hAnsi="Times New Roman"/>
          <w:i/>
          <w:iCs/>
          <w:lang w:val="en-GB"/>
        </w:rPr>
        <w:t>S</w:t>
      </w:r>
      <w:r w:rsidR="00B376A6">
        <w:rPr>
          <w:rFonts w:ascii="Times New Roman" w:hAnsi="Times New Roman"/>
          <w:lang w:val="en-GB"/>
        </w:rPr>
        <w:t>-2-PMIm]-</w:t>
      </w:r>
      <w:r w:rsidR="00B376A6" w:rsidRPr="008B7719">
        <w:rPr>
          <w:rFonts w:ascii="Times New Roman" w:hAnsi="Times New Roman"/>
          <w:lang w:val="en-GB"/>
        </w:rPr>
        <w:t>MOR</w:t>
      </w:r>
      <w:r w:rsidR="00B376A6">
        <w:rPr>
          <w:rFonts w:ascii="Times New Roman" w:hAnsi="Times New Roman"/>
          <w:lang w:val="en-GB"/>
        </w:rPr>
        <w:t>) (</w:t>
      </w:r>
      <w:r w:rsidR="00C71689">
        <w:rPr>
          <w:rFonts w:ascii="Times New Roman" w:hAnsi="Times New Roman"/>
          <w:lang w:val="en-GB"/>
        </w:rPr>
        <w:t>f).</w:t>
      </w:r>
    </w:p>
    <w:p w14:paraId="4E8A393F" w14:textId="77777777" w:rsidR="00BF7DCF" w:rsidRPr="00BF7DCF" w:rsidRDefault="00BF7DCF" w:rsidP="00BF7DCF">
      <w:pPr>
        <w:rPr>
          <w:sz w:val="6"/>
          <w:szCs w:val="6"/>
          <w:lang w:val="en-GB" w:eastAsia="pt-BR"/>
        </w:rPr>
      </w:pPr>
    </w:p>
    <w:p w14:paraId="0181328A" w14:textId="77777777" w:rsidR="00C10AC4" w:rsidRDefault="00C10AC4" w:rsidP="00C10AC4">
      <w:pPr>
        <w:pStyle w:val="TAMainText"/>
        <w:ind w:firstLine="0"/>
        <w:rPr>
          <w:rFonts w:ascii="Times New Roman" w:eastAsia="TimesNewRoman" w:hAnsi="Times New Roman"/>
        </w:rPr>
      </w:pPr>
      <w:r>
        <w:rPr>
          <w:rFonts w:ascii="Times New Roman" w:eastAsia="TimesNewRoman" w:hAnsi="Times New Roman"/>
        </w:rPr>
        <w:t>In particular, t</w:t>
      </w:r>
      <w:r w:rsidRPr="002C34F0">
        <w:rPr>
          <w:rFonts w:ascii="Times New Roman" w:eastAsia="TimesNewRoman" w:hAnsi="Times New Roman"/>
        </w:rPr>
        <w:t xml:space="preserve">he </w:t>
      </w:r>
      <w:r>
        <w:rPr>
          <w:rFonts w:ascii="Times New Roman" w:eastAsia="TimesNewRoman" w:hAnsi="Times New Roman"/>
        </w:rPr>
        <w:t>[2-AEMIm]-</w:t>
      </w:r>
      <w:r w:rsidRPr="00033B02">
        <w:rPr>
          <w:rFonts w:ascii="Times New Roman" w:eastAsia="TimesNewRoman" w:hAnsi="Times New Roman"/>
        </w:rPr>
        <w:t xml:space="preserve">MOR </w:t>
      </w:r>
      <w:r w:rsidRPr="002C34F0">
        <w:rPr>
          <w:rFonts w:ascii="Times New Roman" w:eastAsia="TimesNewRoman" w:hAnsi="Times New Roman"/>
        </w:rPr>
        <w:t>interaction with CO</w:t>
      </w:r>
      <w:r w:rsidRPr="00714A88">
        <w:rPr>
          <w:rFonts w:ascii="Times New Roman" w:eastAsia="TimesNewRoman" w:hAnsi="Times New Roman"/>
          <w:vertAlign w:val="subscript"/>
        </w:rPr>
        <w:t>2</w:t>
      </w:r>
      <w:r w:rsidRPr="002C34F0">
        <w:rPr>
          <w:rFonts w:ascii="Times New Roman" w:eastAsia="TimesNewRoman" w:hAnsi="Times New Roman"/>
        </w:rPr>
        <w:t xml:space="preserve"> has been evaluated. The results indicate that CO</w:t>
      </w:r>
      <w:r w:rsidRPr="00714A88">
        <w:rPr>
          <w:rFonts w:ascii="Times New Roman" w:eastAsia="TimesNewRoman" w:hAnsi="Times New Roman"/>
          <w:vertAlign w:val="subscript"/>
        </w:rPr>
        <w:t>2</w:t>
      </w:r>
      <w:r w:rsidRPr="002C34F0">
        <w:rPr>
          <w:rFonts w:ascii="Times New Roman" w:eastAsia="TimesNewRoman" w:hAnsi="Times New Roman"/>
        </w:rPr>
        <w:t xml:space="preserve"> can be chemically captured in the amino function of </w:t>
      </w:r>
      <w:r>
        <w:rPr>
          <w:rFonts w:ascii="Times New Roman" w:eastAsia="TimesNewRoman" w:hAnsi="Times New Roman"/>
        </w:rPr>
        <w:t>[2-AEMIm]-</w:t>
      </w:r>
      <w:r w:rsidRPr="00033B02">
        <w:rPr>
          <w:rFonts w:ascii="Times New Roman" w:eastAsia="TimesNewRoman" w:hAnsi="Times New Roman"/>
        </w:rPr>
        <w:t xml:space="preserve">MOR </w:t>
      </w:r>
      <w:r w:rsidRPr="002C34F0">
        <w:rPr>
          <w:rFonts w:ascii="Times New Roman" w:eastAsia="TimesNewRoman" w:hAnsi="Times New Roman"/>
        </w:rPr>
        <w:t xml:space="preserve">(Figure </w:t>
      </w:r>
      <w:r>
        <w:rPr>
          <w:rFonts w:ascii="Times New Roman" w:eastAsia="TimesNewRoman" w:hAnsi="Times New Roman"/>
        </w:rPr>
        <w:t>5</w:t>
      </w:r>
      <w:r w:rsidRPr="002C34F0">
        <w:rPr>
          <w:rFonts w:ascii="Times New Roman" w:eastAsia="TimesNewRoman" w:hAnsi="Times New Roman"/>
        </w:rPr>
        <w:t xml:space="preserve">a), forming carbamic acid with an apparent activation energy as high as </w:t>
      </w:r>
      <w:r>
        <w:rPr>
          <w:rFonts w:ascii="Times New Roman" w:eastAsia="TimesNewRoman" w:hAnsi="Times New Roman"/>
        </w:rPr>
        <w:t>163.3</w:t>
      </w:r>
      <w:r w:rsidRPr="002C34F0">
        <w:rPr>
          <w:rFonts w:ascii="Times New Roman" w:eastAsia="TimesNewRoman" w:hAnsi="Times New Roman"/>
        </w:rPr>
        <w:t xml:space="preserve"> k</w:t>
      </w:r>
      <w:r>
        <w:rPr>
          <w:rFonts w:ascii="Times New Roman" w:eastAsia="TimesNewRoman" w:hAnsi="Times New Roman"/>
        </w:rPr>
        <w:t>J</w:t>
      </w:r>
      <w:r w:rsidRPr="002C34F0">
        <w:rPr>
          <w:rFonts w:ascii="Times New Roman" w:eastAsia="TimesNewRoman" w:hAnsi="Times New Roman"/>
        </w:rPr>
        <w:t xml:space="preserve"> mol</w:t>
      </w:r>
      <w:r w:rsidRPr="001D11B5">
        <w:rPr>
          <w:rFonts w:ascii="Times New Roman" w:eastAsia="TimesNewRoman" w:hAnsi="Times New Roman"/>
          <w:vertAlign w:val="superscript"/>
        </w:rPr>
        <w:t>-1</w:t>
      </w:r>
      <w:r w:rsidRPr="002C34F0">
        <w:rPr>
          <w:rFonts w:ascii="Times New Roman" w:eastAsia="TimesNewRoman" w:hAnsi="Times New Roman"/>
        </w:rPr>
        <w:t xml:space="preserve">. Thus, this composite in a </w:t>
      </w:r>
      <w:r w:rsidRPr="001D11B5">
        <w:rPr>
          <w:rFonts w:ascii="Times New Roman" w:eastAsia="TimesNewRoman" w:hAnsi="Times New Roman"/>
          <w:b/>
          <w:bCs/>
          <w:i/>
          <w:iCs/>
        </w:rPr>
        <w:t>CO</w:t>
      </w:r>
      <w:r w:rsidRPr="001D11B5">
        <w:rPr>
          <w:rFonts w:ascii="Times New Roman" w:eastAsia="TimesNewRoman" w:hAnsi="Times New Roman"/>
          <w:b/>
          <w:bCs/>
          <w:i/>
          <w:iCs/>
          <w:vertAlign w:val="subscript"/>
        </w:rPr>
        <w:t>2</w:t>
      </w:r>
      <w:r w:rsidRPr="001D11B5">
        <w:rPr>
          <w:rFonts w:ascii="Times New Roman" w:eastAsia="TimesNewRoman" w:hAnsi="Times New Roman"/>
          <w:b/>
          <w:bCs/>
          <w:i/>
          <w:iCs/>
        </w:rPr>
        <w:t>-rich state</w:t>
      </w:r>
      <w:r w:rsidRPr="002C34F0">
        <w:rPr>
          <w:rFonts w:ascii="Times New Roman" w:eastAsia="TimesNewRoman" w:hAnsi="Times New Roman"/>
        </w:rPr>
        <w:t xml:space="preserve"> (</w:t>
      </w:r>
      <w:r w:rsidRPr="001D11B5">
        <w:rPr>
          <w:rFonts w:ascii="Times New Roman" w:eastAsia="TimesNewRoman" w:hAnsi="Times New Roman"/>
          <w:i/>
          <w:iCs/>
        </w:rPr>
        <w:t>i.e.</w:t>
      </w:r>
      <w:r w:rsidRPr="002C34F0">
        <w:rPr>
          <w:rFonts w:ascii="Times New Roman" w:eastAsia="TimesNewRoman" w:hAnsi="Times New Roman"/>
        </w:rPr>
        <w:t>, CO</w:t>
      </w:r>
      <w:r w:rsidRPr="001D11B5">
        <w:rPr>
          <w:rFonts w:ascii="Times New Roman" w:eastAsia="TimesNewRoman" w:hAnsi="Times New Roman"/>
          <w:vertAlign w:val="subscript"/>
        </w:rPr>
        <w:t>2</w:t>
      </w:r>
      <w:r w:rsidRPr="002C34F0">
        <w:rPr>
          <w:rFonts w:ascii="Times New Roman" w:eastAsia="TimesNewRoman" w:hAnsi="Times New Roman"/>
        </w:rPr>
        <w:t>-[2-AEMIm]-MOR) can transport CO</w:t>
      </w:r>
      <w:r w:rsidRPr="001D11B5">
        <w:rPr>
          <w:rFonts w:ascii="Times New Roman" w:eastAsia="TimesNewRoman" w:hAnsi="Times New Roman"/>
          <w:vertAlign w:val="subscript"/>
        </w:rPr>
        <w:t>2</w:t>
      </w:r>
      <w:r w:rsidRPr="002C34F0">
        <w:rPr>
          <w:rFonts w:ascii="Times New Roman" w:eastAsia="TimesNewRoman" w:hAnsi="Times New Roman"/>
        </w:rPr>
        <w:t xml:space="preserve"> to the end-user. Conversely to </w:t>
      </w:r>
      <w:r w:rsidRPr="001D11B5">
        <w:rPr>
          <w:rFonts w:ascii="Times New Roman" w:eastAsia="TimesNewRoman" w:hAnsi="Times New Roman"/>
        </w:rPr>
        <w:t>amino</w:t>
      </w:r>
      <w:r>
        <w:rPr>
          <w:rFonts w:ascii="Times New Roman" w:eastAsia="TimesNewRoman" w:hAnsi="Times New Roman"/>
        </w:rPr>
        <w:t>-</w:t>
      </w:r>
      <w:r w:rsidRPr="001D11B5">
        <w:rPr>
          <w:rFonts w:ascii="Times New Roman" w:eastAsia="TimesNewRoman" w:hAnsi="Times New Roman"/>
        </w:rPr>
        <w:lastRenderedPageBreak/>
        <w:t xml:space="preserve">functionalized </w:t>
      </w:r>
      <w:proofErr w:type="spellStart"/>
      <w:r>
        <w:rPr>
          <w:rFonts w:ascii="Times New Roman" w:eastAsia="TimesNewRoman" w:hAnsi="Times New Roman"/>
        </w:rPr>
        <w:t>Im</w:t>
      </w:r>
      <w:proofErr w:type="spellEnd"/>
      <w:r w:rsidRPr="002C34F0">
        <w:rPr>
          <w:rFonts w:ascii="Times New Roman" w:eastAsia="TimesNewRoman" w:hAnsi="Times New Roman"/>
        </w:rPr>
        <w:t>-ILs, CO</w:t>
      </w:r>
      <w:r w:rsidRPr="001D11B5">
        <w:rPr>
          <w:rFonts w:ascii="Times New Roman" w:eastAsia="TimesNewRoman" w:hAnsi="Times New Roman"/>
          <w:vertAlign w:val="subscript"/>
        </w:rPr>
        <w:t>2</w:t>
      </w:r>
      <w:r w:rsidRPr="002C34F0">
        <w:rPr>
          <w:rFonts w:ascii="Times New Roman" w:eastAsia="TimesNewRoman" w:hAnsi="Times New Roman"/>
        </w:rPr>
        <w:t>-[2-AEMIm]-MOR exothermically releases CO</w:t>
      </w:r>
      <w:r w:rsidRPr="001D11B5">
        <w:rPr>
          <w:rFonts w:ascii="Times New Roman" w:eastAsia="TimesNewRoman" w:hAnsi="Times New Roman"/>
          <w:vertAlign w:val="subscript"/>
        </w:rPr>
        <w:t>2</w:t>
      </w:r>
      <w:r w:rsidRPr="002C34F0">
        <w:rPr>
          <w:rFonts w:ascii="Times New Roman" w:eastAsia="TimesNewRoman" w:hAnsi="Times New Roman"/>
        </w:rPr>
        <w:t xml:space="preserve"> to complete a CCS cycle regenerating the [2-AEMIm]-MOR (</w:t>
      </w:r>
      <w:r w:rsidRPr="001D11B5">
        <w:rPr>
          <w:rFonts w:ascii="Times New Roman" w:eastAsia="TimesNewRoman" w:hAnsi="Times New Roman"/>
          <w:b/>
          <w:bCs/>
          <w:i/>
          <w:iCs/>
        </w:rPr>
        <w:t>CO</w:t>
      </w:r>
      <w:r w:rsidRPr="001D11B5">
        <w:rPr>
          <w:rFonts w:ascii="Times New Roman" w:eastAsia="TimesNewRoman" w:hAnsi="Times New Roman"/>
          <w:b/>
          <w:bCs/>
          <w:i/>
          <w:iCs/>
          <w:vertAlign w:val="subscript"/>
        </w:rPr>
        <w:t>2</w:t>
      </w:r>
      <w:r w:rsidRPr="001D11B5">
        <w:rPr>
          <w:rFonts w:ascii="Times New Roman" w:eastAsia="TimesNewRoman" w:hAnsi="Times New Roman"/>
          <w:b/>
          <w:bCs/>
          <w:i/>
          <w:iCs/>
        </w:rPr>
        <w:t>-lean state</w:t>
      </w:r>
      <w:r w:rsidRPr="002C34F0">
        <w:rPr>
          <w:rFonts w:ascii="Times New Roman" w:eastAsia="TimesNewRoman" w:hAnsi="Times New Roman"/>
        </w:rPr>
        <w:t xml:space="preserve">) or </w:t>
      </w:r>
      <w:r w:rsidRPr="001D11B5">
        <w:rPr>
          <w:rFonts w:ascii="Times New Roman" w:eastAsia="TimesNewRoman" w:hAnsi="Times New Roman"/>
          <w:i/>
          <w:iCs/>
        </w:rPr>
        <w:t>via</w:t>
      </w:r>
      <w:r w:rsidRPr="002C34F0">
        <w:rPr>
          <w:rFonts w:ascii="Times New Roman" w:eastAsia="TimesNewRoman" w:hAnsi="Times New Roman"/>
        </w:rPr>
        <w:t xml:space="preserve"> CCSU where CO</w:t>
      </w:r>
      <w:r w:rsidRPr="001D11B5">
        <w:rPr>
          <w:rFonts w:ascii="Times New Roman" w:eastAsia="TimesNewRoman" w:hAnsi="Times New Roman"/>
          <w:vertAlign w:val="subscript"/>
        </w:rPr>
        <w:t>2</w:t>
      </w:r>
      <w:r w:rsidRPr="002C34F0">
        <w:rPr>
          <w:rFonts w:ascii="Times New Roman" w:eastAsia="TimesNewRoman" w:hAnsi="Times New Roman"/>
        </w:rPr>
        <w:t xml:space="preserve"> can be used to produce commodities (Figure </w:t>
      </w:r>
      <w:r>
        <w:rPr>
          <w:rFonts w:ascii="Times New Roman" w:eastAsia="TimesNewRoman" w:hAnsi="Times New Roman"/>
        </w:rPr>
        <w:t>5</w:t>
      </w:r>
      <w:r w:rsidRPr="002C34F0">
        <w:rPr>
          <w:rFonts w:ascii="Times New Roman" w:eastAsia="TimesNewRoman" w:hAnsi="Times New Roman"/>
        </w:rPr>
        <w:t>b).</w:t>
      </w:r>
    </w:p>
    <w:p w14:paraId="79F6E735" w14:textId="26732126" w:rsidR="002572BE" w:rsidRDefault="001D11B5" w:rsidP="002572BE">
      <w:pPr>
        <w:jc w:val="center"/>
        <w:rPr>
          <w:rFonts w:ascii="Times New Roman" w:hAnsi="Times New Roman" w:cs="Times New Roman"/>
        </w:rPr>
      </w:pPr>
      <w:r w:rsidRPr="001D11B5">
        <w:rPr>
          <w:noProof/>
        </w:rPr>
        <w:drawing>
          <wp:inline distT="0" distB="0" distL="0" distR="0" wp14:anchorId="29CB88B8" wp14:editId="6F1C642C">
            <wp:extent cx="2201494" cy="1792869"/>
            <wp:effectExtent l="0" t="0" r="8890" b="0"/>
            <wp:docPr id="638863956" name="Imagen 63886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60113" name=""/>
                    <pic:cNvPicPr/>
                  </pic:nvPicPr>
                  <pic:blipFill>
                    <a:blip r:embed="rId16"/>
                    <a:stretch>
                      <a:fillRect/>
                    </a:stretch>
                  </pic:blipFill>
                  <pic:spPr>
                    <a:xfrm>
                      <a:off x="0" y="0"/>
                      <a:ext cx="2206715" cy="1797121"/>
                    </a:xfrm>
                    <a:prstGeom prst="rect">
                      <a:avLst/>
                    </a:prstGeom>
                  </pic:spPr>
                </pic:pic>
              </a:graphicData>
            </a:graphic>
          </wp:inline>
        </w:drawing>
      </w:r>
    </w:p>
    <w:p w14:paraId="483DF959" w14:textId="3BA5FEA2" w:rsidR="00EA4E1B" w:rsidRDefault="001D11B5" w:rsidP="007F266B">
      <w:pPr>
        <w:pStyle w:val="TAMainText"/>
        <w:ind w:firstLine="0"/>
        <w:rPr>
          <w:rFonts w:ascii="Times New Roman" w:hAnsi="Times New Roman"/>
          <w:lang w:val="en-GB"/>
        </w:rPr>
      </w:pPr>
      <w:r w:rsidRPr="001D11B5">
        <w:rPr>
          <w:rFonts w:ascii="Times New Roman" w:hAnsi="Times New Roman"/>
          <w:b/>
          <w:lang w:val="en-GB"/>
        </w:rPr>
        <w:t>Figure 5.</w:t>
      </w:r>
      <w:r w:rsidRPr="001D11B5">
        <w:rPr>
          <w:rFonts w:ascii="Times New Roman" w:hAnsi="Times New Roman"/>
          <w:lang w:val="en-GB"/>
        </w:rPr>
        <w:t xml:space="preserve"> CCS concept using [2-AEMIm]-MOR (a). CCSU concept using [2-AEMIm]-MOR (b). </w:t>
      </w:r>
    </w:p>
    <w:p w14:paraId="5F947695" w14:textId="77777777" w:rsidR="007F266B" w:rsidRPr="00C6121B" w:rsidRDefault="007F266B" w:rsidP="007F266B">
      <w:pPr>
        <w:pStyle w:val="TAMainText"/>
        <w:ind w:firstLine="0"/>
        <w:rPr>
          <w:rFonts w:ascii="Times New Roman" w:hAnsi="Times New Roman"/>
          <w:lang w:val="en-GB"/>
        </w:rPr>
      </w:pPr>
    </w:p>
    <w:p w14:paraId="79503F59" w14:textId="169B22E9" w:rsidR="001D11B5" w:rsidRPr="002D71DA" w:rsidRDefault="001D11B5" w:rsidP="001D11B5">
      <w:pPr>
        <w:pStyle w:val="TAMainText"/>
        <w:ind w:firstLine="187"/>
        <w:jc w:val="center"/>
        <w:rPr>
          <w:rFonts w:ascii="Helvetica" w:eastAsiaTheme="majorEastAsia" w:hAnsi="Helvetica" w:cs="Helvetica"/>
          <w:sz w:val="24"/>
          <w:szCs w:val="24"/>
          <w:lang w:val="en-GB" w:eastAsia="en-US"/>
        </w:rPr>
      </w:pPr>
      <w:r w:rsidRPr="002D71DA">
        <w:rPr>
          <w:rFonts w:ascii="Helvetica" w:eastAsiaTheme="majorEastAsia" w:hAnsi="Helvetica" w:cs="Helvetica"/>
          <w:sz w:val="24"/>
          <w:szCs w:val="24"/>
          <w:lang w:val="en-GB" w:eastAsia="en-US"/>
        </w:rPr>
        <w:t>Conclusions</w:t>
      </w:r>
    </w:p>
    <w:p w14:paraId="3257D355" w14:textId="1D37A8E8" w:rsidR="001D11B5" w:rsidRPr="001D11B5" w:rsidRDefault="001D11B5" w:rsidP="00EA4E1B">
      <w:pPr>
        <w:pStyle w:val="TAMainText"/>
        <w:ind w:firstLine="187"/>
        <w:rPr>
          <w:rFonts w:ascii="Times New Roman" w:hAnsi="Times New Roman"/>
          <w:lang w:val="en-GB"/>
        </w:rPr>
      </w:pPr>
      <w:r w:rsidRPr="001D11B5">
        <w:rPr>
          <w:rFonts w:ascii="Times New Roman" w:hAnsi="Times New Roman"/>
          <w:lang w:val="en-GB"/>
        </w:rPr>
        <w:t>The formation mechanism for new [M]-MOR composites</w:t>
      </w:r>
      <w:r w:rsidR="002D71DA">
        <w:rPr>
          <w:rFonts w:ascii="Times New Roman" w:hAnsi="Times New Roman"/>
          <w:lang w:val="en-GB"/>
        </w:rPr>
        <w:t xml:space="preserve"> with [M]</w:t>
      </w:r>
      <w:r w:rsidR="002D71DA" w:rsidRPr="002D71DA">
        <w:rPr>
          <w:rFonts w:ascii="Times New Roman" w:hAnsi="Times New Roman"/>
          <w:vertAlign w:val="superscript"/>
          <w:lang w:val="en-GB"/>
        </w:rPr>
        <w:t>+</w:t>
      </w:r>
      <w:r w:rsidR="002D71DA">
        <w:rPr>
          <w:rFonts w:ascii="Times New Roman" w:hAnsi="Times New Roman"/>
          <w:lang w:val="en-GB"/>
        </w:rPr>
        <w:t>= [2-</w:t>
      </w:r>
      <w:proofErr w:type="gramStart"/>
      <w:r w:rsidR="002D71DA">
        <w:rPr>
          <w:rFonts w:ascii="Times New Roman" w:hAnsi="Times New Roman"/>
          <w:lang w:val="en-GB"/>
        </w:rPr>
        <w:t>EMIm]</w:t>
      </w:r>
      <w:r w:rsidR="002D71DA" w:rsidRPr="002D71DA">
        <w:rPr>
          <w:rFonts w:ascii="Times New Roman" w:hAnsi="Times New Roman"/>
          <w:vertAlign w:val="superscript"/>
          <w:lang w:val="en-GB"/>
        </w:rPr>
        <w:t>+</w:t>
      </w:r>
      <w:proofErr w:type="gramEnd"/>
      <w:r w:rsidR="002D71DA">
        <w:rPr>
          <w:rFonts w:ascii="Times New Roman" w:hAnsi="Times New Roman"/>
          <w:lang w:val="en-GB"/>
        </w:rPr>
        <w:t>, [3-PMIm]</w:t>
      </w:r>
      <w:r w:rsidR="002D71DA" w:rsidRPr="002D71DA">
        <w:rPr>
          <w:rFonts w:ascii="Times New Roman" w:hAnsi="Times New Roman"/>
          <w:vertAlign w:val="superscript"/>
          <w:lang w:val="en-GB"/>
        </w:rPr>
        <w:t>+</w:t>
      </w:r>
      <w:r w:rsidR="002D71DA">
        <w:rPr>
          <w:rFonts w:ascii="Times New Roman" w:hAnsi="Times New Roman"/>
          <w:lang w:val="en-GB"/>
        </w:rPr>
        <w:t>, [</w:t>
      </w:r>
      <w:r w:rsidR="002D71DA" w:rsidRPr="00B376A6">
        <w:rPr>
          <w:rFonts w:ascii="Times New Roman" w:hAnsi="Times New Roman"/>
          <w:i/>
          <w:iCs/>
          <w:lang w:val="en-GB"/>
        </w:rPr>
        <w:t>R</w:t>
      </w:r>
      <w:r w:rsidR="002D71DA">
        <w:rPr>
          <w:rFonts w:ascii="Times New Roman" w:hAnsi="Times New Roman"/>
          <w:lang w:val="en-GB"/>
        </w:rPr>
        <w:t>-2-PMIm]</w:t>
      </w:r>
      <w:r w:rsidR="002D71DA" w:rsidRPr="002D71DA">
        <w:rPr>
          <w:rFonts w:ascii="Times New Roman" w:hAnsi="Times New Roman"/>
          <w:vertAlign w:val="superscript"/>
          <w:lang w:val="en-GB"/>
        </w:rPr>
        <w:t>+</w:t>
      </w:r>
      <w:r w:rsidR="002D71DA">
        <w:rPr>
          <w:rFonts w:ascii="Times New Roman" w:hAnsi="Times New Roman"/>
          <w:lang w:val="en-GB"/>
        </w:rPr>
        <w:t>, [</w:t>
      </w:r>
      <w:r w:rsidR="002D71DA">
        <w:rPr>
          <w:rFonts w:ascii="Times New Roman" w:hAnsi="Times New Roman"/>
          <w:i/>
          <w:iCs/>
          <w:lang w:val="en-GB"/>
        </w:rPr>
        <w:t>S</w:t>
      </w:r>
      <w:r w:rsidR="002D71DA">
        <w:rPr>
          <w:rFonts w:ascii="Times New Roman" w:hAnsi="Times New Roman"/>
          <w:lang w:val="en-GB"/>
        </w:rPr>
        <w:t>-2-PMIm]</w:t>
      </w:r>
      <w:r w:rsidR="002D71DA" w:rsidRPr="002D71DA">
        <w:rPr>
          <w:rFonts w:ascii="Times New Roman" w:hAnsi="Times New Roman"/>
          <w:vertAlign w:val="superscript"/>
          <w:lang w:val="en-GB"/>
        </w:rPr>
        <w:t>+</w:t>
      </w:r>
      <w:r w:rsidR="002D71DA">
        <w:rPr>
          <w:rFonts w:ascii="Times New Roman" w:hAnsi="Times New Roman"/>
          <w:vertAlign w:val="superscript"/>
          <w:lang w:val="en-GB"/>
        </w:rPr>
        <w:t xml:space="preserve"> </w:t>
      </w:r>
      <w:r w:rsidRPr="001D11B5">
        <w:rPr>
          <w:rFonts w:ascii="Times New Roman" w:hAnsi="Times New Roman"/>
          <w:lang w:val="en-GB"/>
        </w:rPr>
        <w:t>w</w:t>
      </w:r>
      <w:r w:rsidR="002D71DA">
        <w:rPr>
          <w:rFonts w:ascii="Times New Roman" w:hAnsi="Times New Roman"/>
          <w:lang w:val="en-GB"/>
        </w:rPr>
        <w:t>as</w:t>
      </w:r>
      <w:r w:rsidRPr="001D11B5">
        <w:rPr>
          <w:rFonts w:ascii="Times New Roman" w:hAnsi="Times New Roman"/>
          <w:lang w:val="en-GB"/>
        </w:rPr>
        <w:t xml:space="preserve"> examined using ONIOM-DFT theoretical calculations. The results indicate that no energetic or steric limitations were observed for the [M]</w:t>
      </w:r>
      <w:r w:rsidRPr="002D71DA">
        <w:rPr>
          <w:rFonts w:ascii="Times New Roman" w:hAnsi="Times New Roman"/>
          <w:vertAlign w:val="superscript"/>
          <w:lang w:val="en-GB"/>
        </w:rPr>
        <w:t>+</w:t>
      </w:r>
      <w:r w:rsidRPr="001D11B5">
        <w:rPr>
          <w:rFonts w:ascii="Times New Roman" w:hAnsi="Times New Roman"/>
          <w:lang w:val="en-GB"/>
        </w:rPr>
        <w:t xml:space="preserve"> penetration inside the MOR confined space</w:t>
      </w:r>
      <w:r w:rsidR="002D71DA">
        <w:rPr>
          <w:rFonts w:ascii="Times New Roman" w:hAnsi="Times New Roman"/>
          <w:lang w:val="en-GB"/>
        </w:rPr>
        <w:t xml:space="preserve">. The [2-EMIm]-MOR </w:t>
      </w:r>
      <w:r w:rsidR="002D71DA">
        <w:rPr>
          <w:rStyle w:val="rynqvb"/>
          <w:lang w:val="en"/>
        </w:rPr>
        <w:t>could have applications in CO</w:t>
      </w:r>
      <w:r w:rsidR="002D71DA" w:rsidRPr="002D71DA">
        <w:rPr>
          <w:rStyle w:val="rynqvb"/>
          <w:vertAlign w:val="subscript"/>
          <w:lang w:val="en"/>
        </w:rPr>
        <w:t>2</w:t>
      </w:r>
      <w:r w:rsidR="002D71DA">
        <w:rPr>
          <w:rStyle w:val="rynqvb"/>
          <w:lang w:val="en"/>
        </w:rPr>
        <w:t xml:space="preserve"> capture, conversion and utilization technologies</w:t>
      </w:r>
      <w:r w:rsidR="006E7C6C">
        <w:rPr>
          <w:rStyle w:val="rynqvb"/>
          <w:lang w:val="en"/>
        </w:rPr>
        <w:t>.</w:t>
      </w:r>
    </w:p>
    <w:p w14:paraId="7C98EDE0" w14:textId="11EAA2CA" w:rsidR="007E32A6" w:rsidRDefault="007E32A6" w:rsidP="007E32A6">
      <w:pPr>
        <w:pStyle w:val="TAMainText"/>
        <w:jc w:val="center"/>
        <w:rPr>
          <w:rFonts w:ascii="Helvetica" w:eastAsiaTheme="majorEastAsia" w:hAnsi="Helvetica" w:cs="Helvetica"/>
          <w:sz w:val="24"/>
          <w:szCs w:val="24"/>
          <w:lang w:val="en-GB" w:eastAsia="en-US"/>
        </w:rPr>
      </w:pPr>
      <w:r w:rsidRPr="007E32A6">
        <w:rPr>
          <w:rFonts w:ascii="Helvetica" w:eastAsiaTheme="majorEastAsia" w:hAnsi="Helvetica" w:cs="Helvetica"/>
          <w:sz w:val="24"/>
          <w:szCs w:val="24"/>
          <w:lang w:val="en-GB" w:eastAsia="en-US"/>
        </w:rPr>
        <w:t>Acknowledgments</w:t>
      </w:r>
    </w:p>
    <w:p w14:paraId="6BF5DD1F" w14:textId="6C7835B8" w:rsidR="006E7C6C" w:rsidRPr="00885F5E" w:rsidRDefault="006E7C6C" w:rsidP="006E7C6C">
      <w:pPr>
        <w:pStyle w:val="TAMainText"/>
        <w:rPr>
          <w:rFonts w:ascii="Times New Roman" w:hAnsi="Times New Roman"/>
          <w:lang w:val="en-GB"/>
        </w:rPr>
      </w:pPr>
      <w:r w:rsidRPr="006E7C6C">
        <w:rPr>
          <w:rFonts w:ascii="Times New Roman" w:hAnsi="Times New Roman"/>
          <w:lang w:val="en-GB"/>
        </w:rPr>
        <w:t xml:space="preserve">To </w:t>
      </w:r>
      <w:r>
        <w:rPr>
          <w:rFonts w:ascii="Times New Roman" w:hAnsi="Times New Roman"/>
          <w:lang w:val="en-GB"/>
        </w:rPr>
        <w:t>UNESP</w:t>
      </w:r>
      <w:r w:rsidRPr="006E7C6C">
        <w:rPr>
          <w:rFonts w:ascii="Times New Roman" w:hAnsi="Times New Roman"/>
          <w:lang w:val="en-GB"/>
        </w:rPr>
        <w:t xml:space="preserve"> for the financial support through </w:t>
      </w:r>
      <w:proofErr w:type="spellStart"/>
      <w:r w:rsidRPr="006E7C6C">
        <w:rPr>
          <w:rFonts w:ascii="Times New Roman" w:hAnsi="Times New Roman"/>
          <w:lang w:val="en-GB"/>
        </w:rPr>
        <w:t>Edital</w:t>
      </w:r>
      <w:proofErr w:type="spellEnd"/>
      <w:r w:rsidRPr="006E7C6C">
        <w:rPr>
          <w:rFonts w:ascii="Times New Roman" w:hAnsi="Times New Roman"/>
          <w:lang w:val="en-GB"/>
        </w:rPr>
        <w:t xml:space="preserve"> </w:t>
      </w:r>
      <w:proofErr w:type="spellStart"/>
      <w:r w:rsidRPr="006E7C6C">
        <w:rPr>
          <w:rFonts w:ascii="Times New Roman" w:hAnsi="Times New Roman"/>
          <w:lang w:val="en-GB"/>
        </w:rPr>
        <w:t>PROPe</w:t>
      </w:r>
      <w:proofErr w:type="spellEnd"/>
      <w:r w:rsidRPr="006E7C6C">
        <w:rPr>
          <w:rFonts w:ascii="Times New Roman" w:hAnsi="Times New Roman"/>
          <w:lang w:val="en-GB"/>
        </w:rPr>
        <w:t xml:space="preserve"> 13/2022</w:t>
      </w:r>
      <w:r w:rsidR="00885F5E">
        <w:rPr>
          <w:rFonts w:ascii="Times New Roman" w:hAnsi="Times New Roman"/>
          <w:lang w:val="en-GB"/>
        </w:rPr>
        <w:t xml:space="preserve"> (UNESP-project: </w:t>
      </w:r>
      <w:r w:rsidR="00885F5E" w:rsidRPr="00885F5E">
        <w:rPr>
          <w:rFonts w:ascii="Times New Roman" w:hAnsi="Times New Roman"/>
          <w:lang w:val="en-GB"/>
        </w:rPr>
        <w:t>4432</w:t>
      </w:r>
      <w:r w:rsidR="00885F5E">
        <w:rPr>
          <w:rFonts w:ascii="Times New Roman" w:hAnsi="Times New Roman"/>
          <w:lang w:val="en-GB"/>
        </w:rPr>
        <w:t>),</w:t>
      </w:r>
      <w:r>
        <w:rPr>
          <w:rFonts w:ascii="Times New Roman" w:hAnsi="Times New Roman"/>
          <w:lang w:val="en-GB"/>
        </w:rPr>
        <w:t xml:space="preserve"> </w:t>
      </w:r>
      <w:r w:rsidR="00885F5E" w:rsidRPr="00885F5E">
        <w:rPr>
          <w:rFonts w:ascii="Times New Roman" w:hAnsi="Times New Roman"/>
          <w:lang w:val="en-GB"/>
        </w:rPr>
        <w:t>CAPES-</w:t>
      </w:r>
      <w:r w:rsidR="00331CE6">
        <w:rPr>
          <w:rFonts w:ascii="Times New Roman" w:hAnsi="Times New Roman"/>
          <w:lang w:val="en-GB"/>
        </w:rPr>
        <w:t>finance code 001</w:t>
      </w:r>
      <w:r w:rsidR="00885F5E" w:rsidRPr="00885F5E">
        <w:rPr>
          <w:rFonts w:ascii="Times New Roman" w:hAnsi="Times New Roman"/>
          <w:lang w:val="en-GB"/>
        </w:rPr>
        <w:t xml:space="preserve">, </w:t>
      </w:r>
      <w:r w:rsidRPr="00885F5E">
        <w:rPr>
          <w:rFonts w:ascii="Times New Roman" w:hAnsi="Times New Roman"/>
          <w:lang w:val="en-GB"/>
        </w:rPr>
        <w:t>UFRGS</w:t>
      </w:r>
      <w:r w:rsidR="006F017E" w:rsidRPr="00885F5E">
        <w:rPr>
          <w:rFonts w:ascii="Times New Roman" w:hAnsi="Times New Roman"/>
          <w:lang w:val="en-GB"/>
        </w:rPr>
        <w:t>,</w:t>
      </w:r>
      <w:r w:rsidRPr="00885F5E">
        <w:rPr>
          <w:rFonts w:ascii="Times New Roman" w:hAnsi="Times New Roman"/>
          <w:lang w:val="en-GB"/>
        </w:rPr>
        <w:t xml:space="preserve"> </w:t>
      </w:r>
      <w:proofErr w:type="spellStart"/>
      <w:r w:rsidR="00885F5E">
        <w:rPr>
          <w:rFonts w:ascii="Times New Roman" w:hAnsi="Times New Roman"/>
          <w:lang w:val="en-GB"/>
        </w:rPr>
        <w:t>gridUNESP</w:t>
      </w:r>
      <w:proofErr w:type="spellEnd"/>
      <w:r w:rsidR="00885F5E">
        <w:rPr>
          <w:rFonts w:ascii="Times New Roman" w:hAnsi="Times New Roman"/>
          <w:lang w:val="en-GB"/>
        </w:rPr>
        <w:t xml:space="preserve">, </w:t>
      </w:r>
      <w:r w:rsidRPr="00885F5E">
        <w:rPr>
          <w:rFonts w:ascii="Times New Roman" w:hAnsi="Times New Roman"/>
          <w:lang w:val="en-GB"/>
        </w:rPr>
        <w:t>and CESUP</w:t>
      </w:r>
      <w:r w:rsidR="00885F5E">
        <w:rPr>
          <w:rFonts w:ascii="Times New Roman" w:hAnsi="Times New Roman"/>
          <w:lang w:val="en-GB"/>
        </w:rPr>
        <w:t xml:space="preserve">-UFRGS. </w:t>
      </w:r>
    </w:p>
    <w:p w14:paraId="0D7B31DE" w14:textId="4A34CFD7" w:rsidR="007E32A6" w:rsidRPr="007E32A6" w:rsidRDefault="007E32A6" w:rsidP="0081567A">
      <w:pPr>
        <w:widowControl w:val="0"/>
        <w:autoSpaceDE w:val="0"/>
        <w:autoSpaceDN w:val="0"/>
        <w:adjustRightInd w:val="0"/>
        <w:spacing w:after="0" w:line="240" w:lineRule="auto"/>
        <w:ind w:left="640" w:hanging="640"/>
        <w:jc w:val="center"/>
        <w:rPr>
          <w:rFonts w:ascii="Helvetica" w:eastAsiaTheme="majorEastAsia" w:hAnsi="Helvetica" w:cs="Helvetica"/>
          <w:sz w:val="24"/>
          <w:szCs w:val="24"/>
          <w:lang w:val="en-GB"/>
        </w:rPr>
      </w:pPr>
      <w:r w:rsidRPr="007E32A6">
        <w:rPr>
          <w:rFonts w:ascii="Helvetica" w:eastAsiaTheme="majorEastAsia" w:hAnsi="Helvetica" w:cs="Helvetica"/>
          <w:sz w:val="24"/>
          <w:szCs w:val="24"/>
          <w:lang w:val="en-GB"/>
        </w:rPr>
        <w:t>References</w:t>
      </w:r>
    </w:p>
    <w:p w14:paraId="4432A2F5" w14:textId="322696FD"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lang w:val="en-GB"/>
        </w:rPr>
        <w:fldChar w:fldCharType="begin" w:fldLock="1"/>
      </w:r>
      <w:r w:rsidRPr="0048469B">
        <w:rPr>
          <w:rFonts w:ascii="Times New Roman" w:hAnsi="Times New Roman" w:cs="Times New Roman"/>
          <w:lang w:val="en-GB"/>
        </w:rPr>
        <w:instrText xml:space="preserve">ADDIN Mendeley Bibliography CSL_BIBLIOGRAPHY </w:instrText>
      </w:r>
      <w:r w:rsidRPr="0048469B">
        <w:rPr>
          <w:rFonts w:ascii="Times New Roman" w:hAnsi="Times New Roman" w:cs="Times New Roman"/>
          <w:lang w:val="en-GB"/>
        </w:rPr>
        <w:fldChar w:fldCharType="separate"/>
      </w:r>
      <w:r w:rsidRPr="0048469B">
        <w:rPr>
          <w:rFonts w:ascii="Times New Roman" w:hAnsi="Times New Roman" w:cs="Times New Roman"/>
          <w:noProof/>
          <w:szCs w:val="24"/>
          <w:lang w:val="en-GB"/>
        </w:rPr>
        <w:t>1.-</w:t>
      </w:r>
      <w:r w:rsidRPr="0048469B">
        <w:rPr>
          <w:rFonts w:ascii="Times New Roman" w:hAnsi="Times New Roman" w:cs="Times New Roman"/>
          <w:noProof/>
          <w:szCs w:val="24"/>
          <w:lang w:val="en-GB"/>
        </w:rPr>
        <w:tab/>
        <w:t>Brazil | Data, https://data.worldbank.org/country/brazil?view=chart (accessed February 13, 2023).</w:t>
      </w:r>
    </w:p>
    <w:p w14:paraId="65A25B8E" w14:textId="0209CD07"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2.-</w:t>
      </w:r>
      <w:r w:rsidRPr="0048469B">
        <w:rPr>
          <w:rFonts w:ascii="Times New Roman" w:hAnsi="Times New Roman" w:cs="Times New Roman"/>
          <w:noProof/>
          <w:szCs w:val="24"/>
          <w:lang w:val="en-GB"/>
        </w:rPr>
        <w:tab/>
        <w:t xml:space="preserve">F. Chevallier; G. Broquet; B. Zheng; P. Ciais; A. Eldering, </w:t>
      </w:r>
      <w:r w:rsidRPr="0048469B">
        <w:rPr>
          <w:rFonts w:ascii="Times New Roman" w:hAnsi="Times New Roman" w:cs="Times New Roman"/>
          <w:i/>
          <w:iCs/>
          <w:noProof/>
          <w:szCs w:val="24"/>
          <w:lang w:val="en-GB"/>
        </w:rPr>
        <w:t>Geophys. Res. Lett.</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2022</w:t>
      </w:r>
      <w:r w:rsidRPr="0048469B">
        <w:rPr>
          <w:rFonts w:ascii="Times New Roman" w:hAnsi="Times New Roman" w:cs="Times New Roman"/>
          <w:noProof/>
          <w:szCs w:val="24"/>
          <w:lang w:val="en-GB"/>
        </w:rPr>
        <w:t xml:space="preserve">, 49, e2021GL097540. </w:t>
      </w:r>
    </w:p>
    <w:p w14:paraId="209F4C86" w14:textId="1543397F"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3.-</w:t>
      </w:r>
      <w:r w:rsidRPr="0048469B">
        <w:rPr>
          <w:rFonts w:ascii="Times New Roman" w:hAnsi="Times New Roman" w:cs="Times New Roman"/>
          <w:noProof/>
          <w:szCs w:val="24"/>
          <w:lang w:val="en-GB"/>
        </w:rPr>
        <w:tab/>
        <w:t xml:space="preserve">S. Yang; D. Yang; W. Shi; C. Deng; C. Chen; S. Feng, </w:t>
      </w:r>
      <w:r w:rsidRPr="0048469B">
        <w:rPr>
          <w:rFonts w:ascii="Times New Roman" w:hAnsi="Times New Roman" w:cs="Times New Roman"/>
          <w:i/>
          <w:iCs/>
          <w:noProof/>
          <w:szCs w:val="24"/>
          <w:lang w:val="en-GB"/>
        </w:rPr>
        <w:t>Environ. Sci. Pollut. Res.</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2022,</w:t>
      </w:r>
      <w:r w:rsidRPr="0048469B">
        <w:rPr>
          <w:rFonts w:ascii="Times New Roman" w:hAnsi="Times New Roman" w:cs="Times New Roman"/>
          <w:noProof/>
          <w:szCs w:val="24"/>
          <w:lang w:val="en-GB"/>
        </w:rPr>
        <w:t xml:space="preserve"> 1–20.</w:t>
      </w:r>
    </w:p>
    <w:p w14:paraId="1A4786C6" w14:textId="1BE735D0"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4.-</w:t>
      </w:r>
      <w:r w:rsidRPr="0048469B">
        <w:rPr>
          <w:rFonts w:ascii="Times New Roman" w:hAnsi="Times New Roman" w:cs="Times New Roman"/>
          <w:noProof/>
          <w:szCs w:val="24"/>
          <w:lang w:val="en-GB"/>
        </w:rPr>
        <w:tab/>
        <w:t xml:space="preserve">M. Bhattacharya; M.K. Mandal, </w:t>
      </w:r>
      <w:r w:rsidRPr="0048469B">
        <w:rPr>
          <w:rFonts w:ascii="Times New Roman" w:hAnsi="Times New Roman" w:cs="Times New Roman"/>
          <w:i/>
          <w:iCs/>
          <w:noProof/>
          <w:szCs w:val="24"/>
          <w:lang w:val="en-GB"/>
        </w:rPr>
        <w:t>J. Clean. Prod.</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2017</w:t>
      </w:r>
      <w:r w:rsidRPr="0048469B">
        <w:rPr>
          <w:rFonts w:ascii="Times New Roman" w:hAnsi="Times New Roman" w:cs="Times New Roman"/>
          <w:noProof/>
          <w:szCs w:val="24"/>
          <w:lang w:val="en-GB"/>
        </w:rPr>
        <w:t>, 156, 174–183. https://doi.org/10.1016/j.jclepro.2017.04.034.</w:t>
      </w:r>
    </w:p>
    <w:p w14:paraId="450A2874" w14:textId="7D7CB895"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5.-</w:t>
      </w:r>
      <w:r w:rsidRPr="0048469B">
        <w:rPr>
          <w:rFonts w:ascii="Times New Roman" w:hAnsi="Times New Roman" w:cs="Times New Roman"/>
          <w:noProof/>
          <w:szCs w:val="24"/>
          <w:lang w:val="en-GB"/>
        </w:rPr>
        <w:tab/>
        <w:t xml:space="preserve">N. Álvarez-Gutiérrez; S. García; M. V. Gil; F. Rubiera; C. Pevida, </w:t>
      </w:r>
      <w:r w:rsidRPr="0048469B">
        <w:rPr>
          <w:rFonts w:ascii="Times New Roman" w:hAnsi="Times New Roman" w:cs="Times New Roman"/>
          <w:i/>
          <w:iCs/>
          <w:noProof/>
          <w:szCs w:val="24"/>
          <w:lang w:val="en-GB"/>
        </w:rPr>
        <w:t>Towards bio-upgrading of biogas: Biomass waste-based adsorbents</w:t>
      </w:r>
      <w:r w:rsidRPr="0048469B">
        <w:rPr>
          <w:rFonts w:ascii="Times New Roman" w:hAnsi="Times New Roman" w:cs="Times New Roman"/>
          <w:noProof/>
          <w:szCs w:val="24"/>
          <w:lang w:val="en-GB"/>
        </w:rPr>
        <w:t>, in: Energy Procedia, Elsevier Ltd, 2014.</w:t>
      </w:r>
    </w:p>
    <w:p w14:paraId="31BED1C5" w14:textId="6483B4A6"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rPr>
      </w:pPr>
      <w:r w:rsidRPr="0048469B">
        <w:rPr>
          <w:rFonts w:ascii="Times New Roman" w:hAnsi="Times New Roman" w:cs="Times New Roman"/>
          <w:noProof/>
          <w:szCs w:val="24"/>
        </w:rPr>
        <w:t>6.-</w:t>
      </w:r>
      <w:r w:rsidRPr="0048469B">
        <w:rPr>
          <w:rFonts w:ascii="Times New Roman" w:hAnsi="Times New Roman" w:cs="Times New Roman"/>
          <w:noProof/>
          <w:szCs w:val="24"/>
        </w:rPr>
        <w:tab/>
        <w:t xml:space="preserve">D.M. Cristiano; R. de A. Mohedano; W.C. Nadaleti; A.B. de Castilhos Junior; V.A. Lourenço; D.F.H. Gonçalves; P.B. Filho, </w:t>
      </w:r>
      <w:r w:rsidRPr="0048469B">
        <w:rPr>
          <w:rFonts w:ascii="Times New Roman" w:hAnsi="Times New Roman" w:cs="Times New Roman"/>
          <w:i/>
          <w:iCs/>
          <w:noProof/>
          <w:szCs w:val="24"/>
        </w:rPr>
        <w:t>Renew. Energy.</w:t>
      </w:r>
      <w:r w:rsidRPr="0048469B">
        <w:rPr>
          <w:rFonts w:ascii="Times New Roman" w:hAnsi="Times New Roman" w:cs="Times New Roman"/>
          <w:b/>
          <w:bCs/>
          <w:noProof/>
          <w:szCs w:val="24"/>
        </w:rPr>
        <w:t xml:space="preserve"> 2020</w:t>
      </w:r>
      <w:r w:rsidRPr="0048469B">
        <w:rPr>
          <w:rFonts w:ascii="Times New Roman" w:hAnsi="Times New Roman" w:cs="Times New Roman"/>
          <w:noProof/>
          <w:szCs w:val="24"/>
        </w:rPr>
        <w:t>, 154 151–160.</w:t>
      </w:r>
    </w:p>
    <w:p w14:paraId="00822E10" w14:textId="2E536B65"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rPr>
        <w:t>7.-</w:t>
      </w:r>
      <w:r w:rsidRPr="0048469B">
        <w:rPr>
          <w:rFonts w:ascii="Times New Roman" w:hAnsi="Times New Roman" w:cs="Times New Roman"/>
          <w:noProof/>
          <w:szCs w:val="24"/>
        </w:rPr>
        <w:tab/>
        <w:t xml:space="preserve">A. Taghvaie Nakhjiri; A. Heydarinasab; O. Bakhtiari; T. Mohammadi, </w:t>
      </w:r>
      <w:r w:rsidRPr="0048469B">
        <w:rPr>
          <w:rFonts w:ascii="Times New Roman" w:hAnsi="Times New Roman" w:cs="Times New Roman"/>
          <w:i/>
          <w:iCs/>
          <w:noProof/>
          <w:szCs w:val="24"/>
        </w:rPr>
        <w:t xml:space="preserve">J. Environ. </w:t>
      </w:r>
      <w:r w:rsidRPr="0048469B">
        <w:rPr>
          <w:rFonts w:ascii="Times New Roman" w:hAnsi="Times New Roman" w:cs="Times New Roman"/>
          <w:i/>
          <w:iCs/>
          <w:noProof/>
          <w:szCs w:val="24"/>
          <w:lang w:val="en-GB"/>
        </w:rPr>
        <w:t>Chem. Eng.</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2020</w:t>
      </w:r>
      <w:r w:rsidRPr="0048469B">
        <w:rPr>
          <w:rFonts w:ascii="Times New Roman" w:hAnsi="Times New Roman" w:cs="Times New Roman"/>
          <w:noProof/>
          <w:szCs w:val="24"/>
          <w:lang w:val="en-GB"/>
        </w:rPr>
        <w:t>, 8, 104130.</w:t>
      </w:r>
    </w:p>
    <w:p w14:paraId="1D2DD7D5" w14:textId="18423AB8"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8.-</w:t>
      </w:r>
      <w:r w:rsidRPr="0048469B">
        <w:rPr>
          <w:rFonts w:ascii="Times New Roman" w:hAnsi="Times New Roman" w:cs="Times New Roman"/>
          <w:noProof/>
          <w:szCs w:val="24"/>
          <w:lang w:val="en-GB"/>
        </w:rPr>
        <w:tab/>
        <w:t xml:space="preserve">L.A. Blanchard; D. Hancu; E.J. Beckman; J.F. Brennecke, </w:t>
      </w:r>
      <w:r w:rsidRPr="0048469B">
        <w:rPr>
          <w:rFonts w:ascii="Times New Roman" w:hAnsi="Times New Roman" w:cs="Times New Roman"/>
          <w:i/>
          <w:iCs/>
          <w:noProof/>
          <w:szCs w:val="24"/>
          <w:lang w:val="en-GB"/>
        </w:rPr>
        <w:t>Nat.</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1999</w:t>
      </w:r>
      <w:r w:rsidRPr="0048469B">
        <w:rPr>
          <w:rFonts w:ascii="Times New Roman" w:hAnsi="Times New Roman" w:cs="Times New Roman"/>
          <w:noProof/>
          <w:szCs w:val="24"/>
          <w:lang w:val="en-GB"/>
        </w:rPr>
        <w:t>, 3996731. 399, 28–29.</w:t>
      </w:r>
    </w:p>
    <w:p w14:paraId="02BDCCD1" w14:textId="159D1E7E"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9.-</w:t>
      </w:r>
      <w:r w:rsidRPr="0048469B">
        <w:rPr>
          <w:rFonts w:ascii="Times New Roman" w:hAnsi="Times New Roman" w:cs="Times New Roman"/>
          <w:noProof/>
          <w:szCs w:val="24"/>
          <w:lang w:val="en-GB"/>
        </w:rPr>
        <w:tab/>
        <w:t xml:space="preserve">T.M. Gür, </w:t>
      </w:r>
      <w:r w:rsidRPr="0048469B">
        <w:rPr>
          <w:rFonts w:ascii="Times New Roman" w:hAnsi="Times New Roman" w:cs="Times New Roman"/>
          <w:i/>
          <w:iCs/>
          <w:noProof/>
          <w:szCs w:val="24"/>
          <w:lang w:val="en-GB"/>
        </w:rPr>
        <w:t>Processes and Technologies, Prog. Energy Combust. Sci.</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2022</w:t>
      </w:r>
      <w:r w:rsidRPr="0048469B">
        <w:rPr>
          <w:rFonts w:ascii="Times New Roman" w:hAnsi="Times New Roman" w:cs="Times New Roman"/>
          <w:noProof/>
          <w:szCs w:val="24"/>
          <w:lang w:val="en-GB"/>
        </w:rPr>
        <w:t>, 89, 100965.</w:t>
      </w:r>
    </w:p>
    <w:p w14:paraId="46672303" w14:textId="05FF3825"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s-ES"/>
        </w:rPr>
      </w:pPr>
      <w:r w:rsidRPr="0048469B">
        <w:rPr>
          <w:rFonts w:ascii="Times New Roman" w:hAnsi="Times New Roman" w:cs="Times New Roman"/>
          <w:noProof/>
          <w:szCs w:val="24"/>
          <w:lang w:val="es-ES"/>
        </w:rPr>
        <w:t>10.-</w:t>
      </w:r>
      <w:r w:rsidRPr="0048469B">
        <w:rPr>
          <w:rFonts w:ascii="Times New Roman" w:hAnsi="Times New Roman" w:cs="Times New Roman"/>
          <w:noProof/>
          <w:szCs w:val="24"/>
          <w:lang w:val="es-ES"/>
        </w:rPr>
        <w:tab/>
        <w:t xml:space="preserve">S. Lian; C. Song; Q. Liu; E. Duan; H. Ren; Y. Kitamura, </w:t>
      </w:r>
      <w:r w:rsidRPr="0048469B">
        <w:rPr>
          <w:rFonts w:ascii="Times New Roman" w:hAnsi="Times New Roman" w:cs="Times New Roman"/>
          <w:i/>
          <w:iCs/>
          <w:noProof/>
          <w:szCs w:val="24"/>
          <w:lang w:val="es-ES"/>
        </w:rPr>
        <w:t>J. Environ. Sci.</w:t>
      </w:r>
      <w:r w:rsidRPr="0048469B">
        <w:rPr>
          <w:rFonts w:ascii="Times New Roman" w:hAnsi="Times New Roman" w:cs="Times New Roman"/>
          <w:noProof/>
          <w:szCs w:val="24"/>
          <w:lang w:val="es-ES"/>
        </w:rPr>
        <w:t xml:space="preserve"> </w:t>
      </w:r>
      <w:r w:rsidRPr="0048469B">
        <w:rPr>
          <w:rFonts w:ascii="Times New Roman" w:hAnsi="Times New Roman" w:cs="Times New Roman"/>
          <w:b/>
          <w:bCs/>
          <w:noProof/>
          <w:szCs w:val="24"/>
          <w:lang w:val="es-ES"/>
        </w:rPr>
        <w:t>2021</w:t>
      </w:r>
      <w:r w:rsidRPr="0048469B">
        <w:rPr>
          <w:rFonts w:ascii="Times New Roman" w:hAnsi="Times New Roman" w:cs="Times New Roman"/>
          <w:noProof/>
          <w:szCs w:val="24"/>
          <w:lang w:val="es-ES"/>
        </w:rPr>
        <w:t>, 99, 281–295.</w:t>
      </w:r>
    </w:p>
    <w:p w14:paraId="7DB70B4F" w14:textId="2E683A3C"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s-ES"/>
        </w:rPr>
      </w:pPr>
      <w:r w:rsidRPr="0048469B">
        <w:rPr>
          <w:rFonts w:ascii="Times New Roman" w:hAnsi="Times New Roman" w:cs="Times New Roman"/>
          <w:noProof/>
          <w:szCs w:val="24"/>
          <w:lang w:val="es-ES"/>
        </w:rPr>
        <w:t>11.-</w:t>
      </w:r>
      <w:r w:rsidRPr="0048469B">
        <w:rPr>
          <w:rFonts w:ascii="Times New Roman" w:hAnsi="Times New Roman" w:cs="Times New Roman"/>
          <w:noProof/>
          <w:szCs w:val="24"/>
          <w:lang w:val="es-ES"/>
        </w:rPr>
        <w:tab/>
        <w:t xml:space="preserve">D. Bae; H. Park; J.S. Kim; J. bok Lee; O.Y. Kwon; K.Y. Kim; M.K. Song; K.T. No, </w:t>
      </w:r>
      <w:r w:rsidRPr="0048469B">
        <w:rPr>
          <w:rFonts w:ascii="Times New Roman" w:hAnsi="Times New Roman" w:cs="Times New Roman"/>
          <w:i/>
          <w:iCs/>
          <w:noProof/>
          <w:szCs w:val="24"/>
          <w:lang w:val="es-ES"/>
        </w:rPr>
        <w:t>J. Phys. Chem. Solids.</w:t>
      </w:r>
      <w:r w:rsidRPr="0048469B">
        <w:rPr>
          <w:rFonts w:ascii="Times New Roman" w:hAnsi="Times New Roman" w:cs="Times New Roman"/>
          <w:noProof/>
          <w:szCs w:val="24"/>
          <w:lang w:val="es-ES"/>
        </w:rPr>
        <w:t xml:space="preserve"> </w:t>
      </w:r>
      <w:r w:rsidRPr="0048469B">
        <w:rPr>
          <w:rFonts w:ascii="Times New Roman" w:hAnsi="Times New Roman" w:cs="Times New Roman"/>
          <w:b/>
          <w:bCs/>
          <w:noProof/>
          <w:szCs w:val="24"/>
          <w:lang w:val="es-ES"/>
        </w:rPr>
        <w:t>2008</w:t>
      </w:r>
      <w:r w:rsidRPr="0048469B">
        <w:rPr>
          <w:rFonts w:ascii="Times New Roman" w:hAnsi="Times New Roman" w:cs="Times New Roman"/>
          <w:noProof/>
          <w:szCs w:val="24"/>
          <w:lang w:val="es-ES"/>
        </w:rPr>
        <w:t>, 69, 1152–1154.</w:t>
      </w:r>
    </w:p>
    <w:p w14:paraId="7239CD5B" w14:textId="5269DFB5"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s-ES"/>
        </w:rPr>
        <w:t>12.-</w:t>
      </w:r>
      <w:r w:rsidRPr="0048469B">
        <w:rPr>
          <w:rFonts w:ascii="Times New Roman" w:hAnsi="Times New Roman" w:cs="Times New Roman"/>
          <w:noProof/>
          <w:szCs w:val="24"/>
          <w:lang w:val="es-ES"/>
        </w:rPr>
        <w:tab/>
        <w:t xml:space="preserve">R.S. Liu; X.D. Shi; C.T. Wang; Y.Z. Gao; S. Xu; G.P. Hao; S. Chen; A.H. Lu, </w:t>
      </w:r>
      <w:r w:rsidRPr="0048469B">
        <w:rPr>
          <w:rFonts w:ascii="Times New Roman" w:hAnsi="Times New Roman" w:cs="Times New Roman"/>
          <w:i/>
          <w:iCs/>
          <w:noProof/>
          <w:szCs w:val="24"/>
          <w:lang w:val="es-ES"/>
        </w:rPr>
        <w:t>ChemSusChem.</w:t>
      </w:r>
      <w:r w:rsidRPr="0048469B">
        <w:rPr>
          <w:rFonts w:ascii="Times New Roman" w:hAnsi="Times New Roman" w:cs="Times New Roman"/>
          <w:noProof/>
          <w:szCs w:val="24"/>
          <w:lang w:val="es-ES"/>
        </w:rPr>
        <w:t xml:space="preserve"> </w:t>
      </w:r>
      <w:r w:rsidRPr="0048469B">
        <w:rPr>
          <w:rFonts w:ascii="Times New Roman" w:hAnsi="Times New Roman" w:cs="Times New Roman"/>
          <w:b/>
          <w:bCs/>
          <w:noProof/>
          <w:szCs w:val="24"/>
          <w:lang w:val="en-GB"/>
        </w:rPr>
        <w:t xml:space="preserve">2021, </w:t>
      </w:r>
      <w:r w:rsidRPr="0048469B">
        <w:rPr>
          <w:rFonts w:ascii="Times New Roman" w:hAnsi="Times New Roman" w:cs="Times New Roman"/>
          <w:noProof/>
          <w:szCs w:val="24"/>
          <w:lang w:val="en-GB"/>
        </w:rPr>
        <w:t>14, 1428–1471.</w:t>
      </w:r>
    </w:p>
    <w:p w14:paraId="2E881F69" w14:textId="06605F27"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13.-</w:t>
      </w:r>
      <w:r w:rsidRPr="0048469B">
        <w:rPr>
          <w:rFonts w:ascii="Times New Roman" w:hAnsi="Times New Roman" w:cs="Times New Roman"/>
          <w:noProof/>
          <w:szCs w:val="24"/>
          <w:lang w:val="en-GB"/>
        </w:rPr>
        <w:tab/>
        <w:t xml:space="preserve">M. Khabazipour; M. Anbia, </w:t>
      </w:r>
      <w:r w:rsidRPr="0048469B">
        <w:rPr>
          <w:rFonts w:ascii="Times New Roman" w:hAnsi="Times New Roman" w:cs="Times New Roman"/>
          <w:i/>
          <w:iCs/>
          <w:noProof/>
          <w:szCs w:val="24"/>
          <w:lang w:val="en-GB"/>
        </w:rPr>
        <w:t>Ind. Eng. Chem. Res.</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2019</w:t>
      </w:r>
      <w:r w:rsidRPr="0048469B">
        <w:rPr>
          <w:rFonts w:ascii="Times New Roman" w:hAnsi="Times New Roman" w:cs="Times New Roman"/>
          <w:noProof/>
          <w:szCs w:val="24"/>
          <w:lang w:val="en-GB"/>
        </w:rPr>
        <w:t>, 58, 22133–22164.</w:t>
      </w:r>
    </w:p>
    <w:p w14:paraId="3729C2A8" w14:textId="4AD1003F"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14.-</w:t>
      </w:r>
      <w:r w:rsidRPr="0048469B">
        <w:rPr>
          <w:rFonts w:ascii="Times New Roman" w:hAnsi="Times New Roman" w:cs="Times New Roman"/>
          <w:noProof/>
          <w:szCs w:val="24"/>
          <w:lang w:val="en-GB"/>
        </w:rPr>
        <w:tab/>
        <w:t xml:space="preserve">G. Chen; S. Tan; W.J. Koros; C.W. Jones, </w:t>
      </w:r>
      <w:r w:rsidRPr="0048469B">
        <w:rPr>
          <w:rFonts w:ascii="Times New Roman" w:hAnsi="Times New Roman" w:cs="Times New Roman"/>
          <w:i/>
          <w:iCs/>
          <w:noProof/>
          <w:szCs w:val="24"/>
          <w:lang w:val="en-GB"/>
        </w:rPr>
        <w:t>Energy and Fuels.</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2015</w:t>
      </w:r>
      <w:r w:rsidRPr="0048469B">
        <w:rPr>
          <w:rFonts w:ascii="Times New Roman" w:hAnsi="Times New Roman" w:cs="Times New Roman"/>
          <w:noProof/>
          <w:szCs w:val="24"/>
          <w:lang w:val="en-GB"/>
        </w:rPr>
        <w:t>, 29, 3312–3321.</w:t>
      </w:r>
    </w:p>
    <w:p w14:paraId="581D73C2" w14:textId="5A797456"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15.-</w:t>
      </w:r>
      <w:r w:rsidRPr="0048469B">
        <w:rPr>
          <w:rFonts w:ascii="Times New Roman" w:hAnsi="Times New Roman" w:cs="Times New Roman"/>
          <w:noProof/>
          <w:szCs w:val="24"/>
          <w:lang w:val="en-GB"/>
        </w:rPr>
        <w:tab/>
        <w:t xml:space="preserve">R. Bai; X. Song; W. Yan; J. Yu, </w:t>
      </w:r>
      <w:r w:rsidRPr="0048469B">
        <w:rPr>
          <w:rFonts w:ascii="Times New Roman" w:hAnsi="Times New Roman" w:cs="Times New Roman"/>
          <w:i/>
          <w:iCs/>
          <w:noProof/>
          <w:szCs w:val="24"/>
          <w:lang w:val="en-GB"/>
        </w:rPr>
        <w:t>Natl. Sci. Rev.</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2022</w:t>
      </w:r>
      <w:r w:rsidRPr="0048469B">
        <w:rPr>
          <w:rFonts w:ascii="Times New Roman" w:hAnsi="Times New Roman" w:cs="Times New Roman"/>
          <w:noProof/>
          <w:szCs w:val="24"/>
          <w:lang w:val="en-GB"/>
        </w:rPr>
        <w:t>, Https://doi.org/10.1093/NSR/NWAC064.</w:t>
      </w:r>
    </w:p>
    <w:p w14:paraId="7CEEB350" w14:textId="0258511E"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16.-</w:t>
      </w:r>
      <w:r w:rsidRPr="0048469B">
        <w:rPr>
          <w:rFonts w:ascii="Times New Roman" w:hAnsi="Times New Roman" w:cs="Times New Roman"/>
          <w:noProof/>
          <w:szCs w:val="24"/>
          <w:lang w:val="en-GB"/>
        </w:rPr>
        <w:tab/>
        <w:t xml:space="preserve">M. Yu; S. Zeng; Y. Nie; X. Zhang; S. Zhang, </w:t>
      </w:r>
      <w:r w:rsidRPr="0048469B">
        <w:rPr>
          <w:rFonts w:ascii="Times New Roman" w:hAnsi="Times New Roman" w:cs="Times New Roman"/>
          <w:i/>
          <w:iCs/>
          <w:noProof/>
          <w:szCs w:val="24"/>
          <w:lang w:val="en-GB"/>
        </w:rPr>
        <w:t>Curr. Opin. Green Sustain. Chem.</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2021</w:t>
      </w:r>
      <w:r w:rsidRPr="0048469B">
        <w:rPr>
          <w:rFonts w:ascii="Times New Roman" w:hAnsi="Times New Roman" w:cs="Times New Roman"/>
          <w:noProof/>
          <w:szCs w:val="24"/>
          <w:lang w:val="en-GB"/>
        </w:rPr>
        <w:t>, 27,  100405.</w:t>
      </w:r>
    </w:p>
    <w:p w14:paraId="6C61FC18" w14:textId="650152CC"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17.-</w:t>
      </w:r>
      <w:r w:rsidRPr="0048469B">
        <w:rPr>
          <w:rFonts w:ascii="Times New Roman" w:hAnsi="Times New Roman" w:cs="Times New Roman"/>
          <w:noProof/>
          <w:szCs w:val="24"/>
          <w:lang w:val="en-GB"/>
        </w:rPr>
        <w:tab/>
        <w:t xml:space="preserve">S. Nanda; F. Berruti, </w:t>
      </w:r>
      <w:r w:rsidRPr="0048469B">
        <w:rPr>
          <w:rFonts w:ascii="Times New Roman" w:hAnsi="Times New Roman" w:cs="Times New Roman"/>
          <w:i/>
          <w:iCs/>
          <w:noProof/>
          <w:szCs w:val="24"/>
          <w:lang w:val="en-GB"/>
        </w:rPr>
        <w:t>Environ. Chem. Lett.</w:t>
      </w:r>
      <w:r w:rsidRPr="0048469B">
        <w:rPr>
          <w:rFonts w:ascii="Times New Roman" w:hAnsi="Times New Roman" w:cs="Times New Roman"/>
          <w:noProof/>
          <w:szCs w:val="24"/>
          <w:lang w:val="en-GB"/>
        </w:rPr>
        <w:t xml:space="preserve"> 2020, 192. 19, 1433–1456.</w:t>
      </w:r>
    </w:p>
    <w:p w14:paraId="061124A0" w14:textId="06EF762B"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18.-</w:t>
      </w:r>
      <w:r w:rsidRPr="0048469B">
        <w:rPr>
          <w:rFonts w:ascii="Times New Roman" w:hAnsi="Times New Roman" w:cs="Times New Roman"/>
          <w:noProof/>
          <w:szCs w:val="24"/>
          <w:lang w:val="en-GB"/>
        </w:rPr>
        <w:tab/>
        <w:t xml:space="preserve">S.M. Kuznicki; V.A. Bell; S. Nair; H.W. Hillhouse; R.M. Jacubinas; C.M. Braunbarth; B.H. Toby; M. Tsapatsis, </w:t>
      </w:r>
      <w:r w:rsidRPr="0048469B">
        <w:rPr>
          <w:rFonts w:ascii="Times New Roman" w:hAnsi="Times New Roman" w:cs="Times New Roman"/>
          <w:i/>
          <w:iCs/>
          <w:noProof/>
          <w:szCs w:val="24"/>
          <w:lang w:val="en-GB"/>
        </w:rPr>
        <w:t xml:space="preserve">Nat. </w:t>
      </w:r>
      <w:r w:rsidRPr="0048469B">
        <w:rPr>
          <w:rFonts w:ascii="Times New Roman" w:hAnsi="Times New Roman" w:cs="Times New Roman"/>
          <w:b/>
          <w:bCs/>
          <w:noProof/>
          <w:szCs w:val="24"/>
          <w:lang w:val="en-GB"/>
        </w:rPr>
        <w:t xml:space="preserve">2001, </w:t>
      </w:r>
      <w:r w:rsidRPr="0048469B">
        <w:rPr>
          <w:rFonts w:ascii="Times New Roman" w:hAnsi="Times New Roman" w:cs="Times New Roman"/>
          <w:noProof/>
          <w:szCs w:val="24"/>
          <w:lang w:val="en-GB"/>
        </w:rPr>
        <w:t>4126848. 412, 720–724.</w:t>
      </w:r>
    </w:p>
    <w:p w14:paraId="5AB6C3FF" w14:textId="433DDFCA"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19.-</w:t>
      </w:r>
      <w:r w:rsidRPr="0048469B">
        <w:rPr>
          <w:rFonts w:ascii="Times New Roman" w:hAnsi="Times New Roman" w:cs="Times New Roman"/>
          <w:noProof/>
          <w:szCs w:val="24"/>
          <w:lang w:val="en-GB"/>
        </w:rPr>
        <w:tab/>
        <w:t xml:space="preserve">J. Yang; H. Shang; R. Krishna; Y. Wang; K. Ouyang; J. Li, </w:t>
      </w:r>
      <w:r w:rsidRPr="0048469B">
        <w:rPr>
          <w:rFonts w:ascii="Times New Roman" w:hAnsi="Times New Roman" w:cs="Times New Roman"/>
          <w:i/>
          <w:iCs/>
          <w:noProof/>
          <w:szCs w:val="24"/>
          <w:lang w:val="en-GB"/>
        </w:rPr>
        <w:t>Microporous Mesoporous Mater.</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2018</w:t>
      </w:r>
      <w:r w:rsidRPr="0048469B">
        <w:rPr>
          <w:rFonts w:ascii="Times New Roman" w:hAnsi="Times New Roman" w:cs="Times New Roman"/>
          <w:noProof/>
          <w:szCs w:val="24"/>
          <w:lang w:val="en-GB"/>
        </w:rPr>
        <w:t>, 268, 50–57.</w:t>
      </w:r>
    </w:p>
    <w:p w14:paraId="3089FE7B" w14:textId="4EA44447"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rPr>
      </w:pPr>
      <w:r w:rsidRPr="0048469B">
        <w:rPr>
          <w:rFonts w:ascii="Times New Roman" w:hAnsi="Times New Roman" w:cs="Times New Roman"/>
          <w:noProof/>
          <w:szCs w:val="24"/>
          <w:lang w:val="en-GB"/>
        </w:rPr>
        <w:t>20.-</w:t>
      </w:r>
      <w:r w:rsidRPr="0048469B">
        <w:rPr>
          <w:rFonts w:ascii="Times New Roman" w:hAnsi="Times New Roman" w:cs="Times New Roman"/>
          <w:noProof/>
          <w:szCs w:val="24"/>
          <w:lang w:val="en-GB"/>
        </w:rPr>
        <w:tab/>
        <w:t xml:space="preserve">J. Shang; G. Li, R. Singh; Q. Gu; K.M. Nairn; T.J. Bastow; N. Medhekar; C.M. Doherty; A.J. Hill; J.Z. Liu; P.A. Webley, </w:t>
      </w:r>
      <w:r w:rsidRPr="0048469B">
        <w:rPr>
          <w:rFonts w:ascii="Times New Roman" w:hAnsi="Times New Roman" w:cs="Times New Roman"/>
          <w:i/>
          <w:iCs/>
          <w:noProof/>
          <w:szCs w:val="24"/>
          <w:lang w:val="en-GB"/>
        </w:rPr>
        <w:t xml:space="preserve">J. Am. </w:t>
      </w:r>
      <w:r w:rsidRPr="0048469B">
        <w:rPr>
          <w:rFonts w:ascii="Times New Roman" w:hAnsi="Times New Roman" w:cs="Times New Roman"/>
          <w:i/>
          <w:iCs/>
          <w:noProof/>
          <w:szCs w:val="24"/>
        </w:rPr>
        <w:t>Chem. Soc.</w:t>
      </w:r>
      <w:r w:rsidRPr="0048469B">
        <w:rPr>
          <w:rFonts w:ascii="Times New Roman" w:hAnsi="Times New Roman" w:cs="Times New Roman"/>
          <w:noProof/>
          <w:szCs w:val="24"/>
        </w:rPr>
        <w:t xml:space="preserve"> </w:t>
      </w:r>
      <w:r w:rsidRPr="0048469B">
        <w:rPr>
          <w:rFonts w:ascii="Times New Roman" w:hAnsi="Times New Roman" w:cs="Times New Roman"/>
          <w:b/>
          <w:bCs/>
          <w:noProof/>
          <w:szCs w:val="24"/>
        </w:rPr>
        <w:t>2012</w:t>
      </w:r>
      <w:r w:rsidRPr="0048469B">
        <w:rPr>
          <w:rFonts w:ascii="Times New Roman" w:hAnsi="Times New Roman" w:cs="Times New Roman"/>
          <w:noProof/>
          <w:szCs w:val="24"/>
        </w:rPr>
        <w:t xml:space="preserve">, 134, 19246–19253. </w:t>
      </w:r>
    </w:p>
    <w:p w14:paraId="38F47D4A" w14:textId="0494FAEC"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rPr>
        <w:t>21.-</w:t>
      </w:r>
      <w:r w:rsidRPr="0048469B">
        <w:rPr>
          <w:rFonts w:ascii="Times New Roman" w:hAnsi="Times New Roman" w:cs="Times New Roman"/>
          <w:noProof/>
          <w:szCs w:val="24"/>
        </w:rPr>
        <w:tab/>
        <w:t xml:space="preserve">T. De Baerdemaeker; D. De Vos, </w:t>
      </w:r>
      <w:r w:rsidRPr="0048469B">
        <w:rPr>
          <w:rFonts w:ascii="Times New Roman" w:hAnsi="Times New Roman" w:cs="Times New Roman"/>
          <w:i/>
          <w:iCs/>
          <w:noProof/>
          <w:szCs w:val="24"/>
        </w:rPr>
        <w:t>Nat. Chem.</w:t>
      </w:r>
      <w:r w:rsidRPr="0048469B">
        <w:rPr>
          <w:rFonts w:ascii="Times New Roman" w:hAnsi="Times New Roman" w:cs="Times New Roman"/>
          <w:b/>
          <w:bCs/>
          <w:noProof/>
          <w:szCs w:val="24"/>
        </w:rPr>
        <w:t xml:space="preserve"> 2013</w:t>
      </w:r>
      <w:r w:rsidRPr="0048469B">
        <w:rPr>
          <w:rFonts w:ascii="Times New Roman" w:hAnsi="Times New Roman" w:cs="Times New Roman"/>
          <w:noProof/>
          <w:szCs w:val="24"/>
        </w:rPr>
        <w:t xml:space="preserve">, 52. </w:t>
      </w:r>
      <w:r w:rsidRPr="0048469B">
        <w:rPr>
          <w:rFonts w:ascii="Times New Roman" w:hAnsi="Times New Roman" w:cs="Times New Roman"/>
          <w:noProof/>
          <w:szCs w:val="24"/>
          <w:lang w:val="en-GB"/>
        </w:rPr>
        <w:t xml:space="preserve">5, 89–90. </w:t>
      </w:r>
    </w:p>
    <w:p w14:paraId="16775A19" w14:textId="30E25A39"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22.-</w:t>
      </w:r>
      <w:r w:rsidRPr="0048469B">
        <w:rPr>
          <w:rFonts w:ascii="Times New Roman" w:hAnsi="Times New Roman" w:cs="Times New Roman"/>
          <w:noProof/>
          <w:szCs w:val="24"/>
          <w:lang w:val="en-GB"/>
        </w:rPr>
        <w:tab/>
        <w:t>C. Zhao; J. Yuan; X. Tang; W. Chen; X. Yi; H. Xia; W. Liu; A. Zheng; Z. Liu,</w:t>
      </w:r>
      <w:r w:rsidRPr="0048469B">
        <w:rPr>
          <w:rFonts w:ascii="Times New Roman" w:hAnsi="Times New Roman" w:cs="Times New Roman"/>
          <w:i/>
          <w:iCs/>
          <w:noProof/>
          <w:szCs w:val="24"/>
          <w:lang w:val="en-GB"/>
        </w:rPr>
        <w:t xml:space="preserve"> Chem. Commun.</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2021</w:t>
      </w:r>
      <w:r w:rsidRPr="0048469B">
        <w:rPr>
          <w:rFonts w:ascii="Times New Roman" w:hAnsi="Times New Roman" w:cs="Times New Roman"/>
          <w:noProof/>
          <w:szCs w:val="24"/>
          <w:lang w:val="en-GB"/>
        </w:rPr>
        <w:t xml:space="preserve">, 57, 4170–4173. </w:t>
      </w:r>
    </w:p>
    <w:p w14:paraId="7BC83F3B" w14:textId="6515EBF3"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23.-</w:t>
      </w:r>
      <w:r w:rsidRPr="0048469B">
        <w:rPr>
          <w:rFonts w:ascii="Times New Roman" w:hAnsi="Times New Roman" w:cs="Times New Roman"/>
          <w:noProof/>
          <w:szCs w:val="24"/>
          <w:lang w:val="en-GB"/>
        </w:rPr>
        <w:tab/>
        <w:t xml:space="preserve">J. Zhao; S.H. Mousavi; G. Xiao; A.H. Mokarizadeh; T. Moore; K. Chen; Q. Gu; R. Singh; A. Zavabeti; J.Z. Liu; P.A. Webley; G.K. Li, </w:t>
      </w:r>
      <w:r w:rsidRPr="0048469B">
        <w:rPr>
          <w:rFonts w:ascii="Times New Roman" w:hAnsi="Times New Roman" w:cs="Times New Roman"/>
          <w:i/>
          <w:iCs/>
          <w:noProof/>
          <w:szCs w:val="24"/>
          <w:lang w:val="en-GB"/>
        </w:rPr>
        <w:t xml:space="preserve">J. Am. Chem. Soc. </w:t>
      </w:r>
      <w:r w:rsidRPr="0048469B">
        <w:rPr>
          <w:rFonts w:ascii="Times New Roman" w:hAnsi="Times New Roman" w:cs="Times New Roman"/>
          <w:noProof/>
          <w:szCs w:val="24"/>
          <w:lang w:val="en-GB"/>
        </w:rPr>
        <w:t xml:space="preserve">143 </w:t>
      </w:r>
      <w:r w:rsidRPr="0048469B">
        <w:rPr>
          <w:rFonts w:ascii="Times New Roman" w:hAnsi="Times New Roman" w:cs="Times New Roman"/>
          <w:b/>
          <w:bCs/>
          <w:noProof/>
          <w:szCs w:val="24"/>
          <w:lang w:val="en-GB"/>
        </w:rPr>
        <w:t>2021</w:t>
      </w:r>
      <w:r w:rsidRPr="0048469B">
        <w:rPr>
          <w:rFonts w:ascii="Times New Roman" w:hAnsi="Times New Roman" w:cs="Times New Roman"/>
          <w:noProof/>
          <w:szCs w:val="24"/>
          <w:lang w:val="en-GB"/>
        </w:rPr>
        <w:t xml:space="preserve">, 143 15195–15204. </w:t>
      </w:r>
    </w:p>
    <w:p w14:paraId="4C2EA595" w14:textId="469DBB4F"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24.-</w:t>
      </w:r>
      <w:r w:rsidRPr="0048469B">
        <w:rPr>
          <w:rFonts w:ascii="Times New Roman" w:hAnsi="Times New Roman" w:cs="Times New Roman"/>
          <w:noProof/>
          <w:szCs w:val="24"/>
          <w:lang w:val="en-GB"/>
        </w:rPr>
        <w:tab/>
        <w:t xml:space="preserve">K. Chen; S.H. Mousavi; R. Singh; R.Q. Snurr; G. Li; P.A. Webley, </w:t>
      </w:r>
      <w:r w:rsidRPr="0048469B">
        <w:rPr>
          <w:rFonts w:ascii="Times New Roman" w:hAnsi="Times New Roman" w:cs="Times New Roman"/>
          <w:i/>
          <w:iCs/>
          <w:noProof/>
          <w:szCs w:val="24"/>
          <w:lang w:val="en-GB"/>
        </w:rPr>
        <w:t>Chem. Soc. Rev.</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2022</w:t>
      </w:r>
      <w:r w:rsidRPr="0048469B">
        <w:rPr>
          <w:rFonts w:ascii="Times New Roman" w:hAnsi="Times New Roman" w:cs="Times New Roman"/>
          <w:noProof/>
          <w:szCs w:val="24"/>
          <w:lang w:val="en-GB"/>
        </w:rPr>
        <w:t>, 51, 1139–1166.</w:t>
      </w:r>
    </w:p>
    <w:p w14:paraId="34931561" w14:textId="07667609"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25.-</w:t>
      </w:r>
      <w:r w:rsidRPr="0048469B">
        <w:rPr>
          <w:rFonts w:ascii="Times New Roman" w:hAnsi="Times New Roman" w:cs="Times New Roman"/>
          <w:noProof/>
          <w:szCs w:val="24"/>
          <w:lang w:val="en-GB"/>
        </w:rPr>
        <w:tab/>
        <w:t xml:space="preserve">R. Izquierdo; G. Chacón; N. Cubillán; H. Stassen, </w:t>
      </w:r>
      <w:r w:rsidRPr="0048469B">
        <w:rPr>
          <w:rFonts w:ascii="Times New Roman" w:hAnsi="Times New Roman" w:cs="Times New Roman"/>
          <w:i/>
          <w:iCs/>
          <w:noProof/>
          <w:szCs w:val="24"/>
          <w:lang w:val="en-GB"/>
        </w:rPr>
        <w:t>Microporous Mesoporous Mater.</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2022</w:t>
      </w:r>
      <w:r w:rsidRPr="0048469B">
        <w:rPr>
          <w:rFonts w:ascii="Times New Roman" w:hAnsi="Times New Roman" w:cs="Times New Roman"/>
          <w:noProof/>
          <w:szCs w:val="24"/>
          <w:lang w:val="en-GB"/>
        </w:rPr>
        <w:t xml:space="preserve"> 112053. </w:t>
      </w:r>
    </w:p>
    <w:p w14:paraId="09A7F253" w14:textId="4D4E7150"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26.-</w:t>
      </w:r>
      <w:r w:rsidRPr="0048469B">
        <w:rPr>
          <w:rFonts w:ascii="Times New Roman" w:hAnsi="Times New Roman" w:cs="Times New Roman"/>
          <w:noProof/>
          <w:szCs w:val="24"/>
          <w:lang w:val="en-GB"/>
        </w:rPr>
        <w:tab/>
        <w:t xml:space="preserve">Frisch MJ, Trucks GW, Schlegel HB, Scuseria </w:t>
      </w:r>
      <w:r w:rsidRPr="0048469B">
        <w:rPr>
          <w:rFonts w:ascii="Times New Roman" w:hAnsi="Times New Roman" w:cs="Times New Roman"/>
          <w:noProof/>
          <w:szCs w:val="24"/>
          <w:lang w:val="en-GB"/>
        </w:rPr>
        <w:lastRenderedPageBreak/>
        <w:t xml:space="preserve">GE, Robb MA, Cheeseman JR, et al. 804 Gaussian 2009 rev. 2009. Wallingford,CT. </w:t>
      </w:r>
    </w:p>
    <w:p w14:paraId="0B080397" w14:textId="51B236E3"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27.-</w:t>
      </w:r>
      <w:r w:rsidRPr="0048469B">
        <w:rPr>
          <w:rFonts w:ascii="Times New Roman" w:hAnsi="Times New Roman" w:cs="Times New Roman"/>
          <w:noProof/>
          <w:szCs w:val="24"/>
          <w:lang w:val="en-GB"/>
        </w:rPr>
        <w:tab/>
        <w:t>Database of Zeolite Structures, http://www.iza-structure.org/databases/ (accessed July 2, 2021).</w:t>
      </w:r>
    </w:p>
    <w:p w14:paraId="4D7E7C7D" w14:textId="3F30AC46"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rPr>
      </w:pPr>
      <w:r w:rsidRPr="0048469B">
        <w:rPr>
          <w:rFonts w:ascii="Times New Roman" w:hAnsi="Times New Roman" w:cs="Times New Roman"/>
          <w:noProof/>
          <w:szCs w:val="24"/>
        </w:rPr>
        <w:t>28.-</w:t>
      </w:r>
      <w:r w:rsidRPr="0048469B">
        <w:rPr>
          <w:rFonts w:ascii="Times New Roman" w:hAnsi="Times New Roman" w:cs="Times New Roman"/>
          <w:noProof/>
          <w:szCs w:val="24"/>
        </w:rPr>
        <w:tab/>
        <w:t xml:space="preserve">L. Falivene; Z. Cao; A. Petta; L. Serra; A. Poater; R. Oliva; V. Scarano; L. Cavallo, </w:t>
      </w:r>
      <w:r w:rsidRPr="0048469B">
        <w:rPr>
          <w:rFonts w:ascii="Times New Roman" w:hAnsi="Times New Roman" w:cs="Times New Roman"/>
          <w:i/>
          <w:iCs/>
          <w:noProof/>
          <w:szCs w:val="24"/>
        </w:rPr>
        <w:t xml:space="preserve">Nat. Chem. </w:t>
      </w:r>
      <w:r w:rsidRPr="0048469B">
        <w:rPr>
          <w:rFonts w:ascii="Times New Roman" w:hAnsi="Times New Roman" w:cs="Times New Roman"/>
          <w:b/>
          <w:bCs/>
          <w:noProof/>
          <w:szCs w:val="24"/>
        </w:rPr>
        <w:t>2019</w:t>
      </w:r>
      <w:r w:rsidRPr="0048469B">
        <w:rPr>
          <w:rFonts w:ascii="Times New Roman" w:hAnsi="Times New Roman" w:cs="Times New Roman"/>
          <w:noProof/>
          <w:szCs w:val="24"/>
        </w:rPr>
        <w:t xml:space="preserve">,  1110. 11, 872–879. </w:t>
      </w:r>
    </w:p>
    <w:p w14:paraId="087AAFF0" w14:textId="36B32BAD"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29.-</w:t>
      </w:r>
      <w:r w:rsidRPr="0048469B">
        <w:rPr>
          <w:rFonts w:ascii="Times New Roman" w:hAnsi="Times New Roman" w:cs="Times New Roman"/>
          <w:noProof/>
          <w:szCs w:val="24"/>
          <w:lang w:val="en-GB"/>
        </w:rPr>
        <w:tab/>
        <w:t xml:space="preserve">L.J. </w:t>
      </w:r>
      <w:r w:rsidR="007F266B" w:rsidRPr="0048469B">
        <w:rPr>
          <w:rFonts w:ascii="Times New Roman" w:hAnsi="Times New Roman" w:cs="Times New Roman"/>
          <w:noProof/>
          <w:szCs w:val="24"/>
          <w:lang w:val="en-GB"/>
        </w:rPr>
        <w:t>Darabi L</w:t>
      </w:r>
      <w:r w:rsidR="007F266B" w:rsidRPr="0048469B">
        <w:rPr>
          <w:rFonts w:ascii="Times New Roman" w:hAnsi="Times New Roman" w:cs="Times New Roman"/>
          <w:noProof/>
          <w:szCs w:val="24"/>
          <w:lang w:val="en-GB"/>
        </w:rPr>
        <w:t>;</w:t>
      </w:r>
      <w:r w:rsidR="007F266B" w:rsidRPr="0048469B">
        <w:rPr>
          <w:rFonts w:ascii="Times New Roman" w:hAnsi="Times New Roman" w:cs="Times New Roman"/>
          <w:noProof/>
          <w:szCs w:val="24"/>
          <w:lang w:val="en-GB"/>
        </w:rPr>
        <w:t xml:space="preserve"> Zare M. </w:t>
      </w:r>
      <w:r w:rsidR="007F266B" w:rsidRPr="0048469B">
        <w:rPr>
          <w:rFonts w:ascii="Times New Roman" w:hAnsi="Times New Roman" w:cs="Times New Roman"/>
          <w:i/>
          <w:iCs/>
          <w:noProof/>
          <w:szCs w:val="24"/>
          <w:lang w:val="en-GB"/>
        </w:rPr>
        <w:t>New J Chem</w:t>
      </w:r>
      <w:r w:rsidR="007F266B" w:rsidRPr="0048469B">
        <w:rPr>
          <w:rFonts w:ascii="Times New Roman" w:hAnsi="Times New Roman" w:cs="Times New Roman"/>
          <w:noProof/>
          <w:szCs w:val="24"/>
          <w:lang w:val="en-GB"/>
        </w:rPr>
        <w:t xml:space="preserve"> </w:t>
      </w:r>
      <w:r w:rsidR="007F266B" w:rsidRPr="0048469B">
        <w:rPr>
          <w:rFonts w:ascii="Times New Roman" w:hAnsi="Times New Roman" w:cs="Times New Roman"/>
          <w:b/>
          <w:bCs/>
          <w:noProof/>
          <w:szCs w:val="24"/>
          <w:lang w:val="en-GB"/>
        </w:rPr>
        <w:t>2020</w:t>
      </w:r>
      <w:r w:rsidR="007F266B" w:rsidRPr="0048469B">
        <w:rPr>
          <w:rFonts w:ascii="Times New Roman" w:hAnsi="Times New Roman" w:cs="Times New Roman"/>
          <w:noProof/>
          <w:szCs w:val="24"/>
          <w:lang w:val="en-GB"/>
        </w:rPr>
        <w:t>;44:4023–32</w:t>
      </w:r>
      <w:r w:rsidRPr="0048469B">
        <w:rPr>
          <w:rFonts w:ascii="Times New Roman" w:hAnsi="Times New Roman" w:cs="Times New Roman"/>
          <w:noProof/>
          <w:szCs w:val="24"/>
          <w:lang w:val="en-GB"/>
        </w:rPr>
        <w:t>.</w:t>
      </w:r>
    </w:p>
    <w:p w14:paraId="65BC4C92" w14:textId="12F23560"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s-ES"/>
        </w:rPr>
        <w:t>30.-</w:t>
      </w:r>
      <w:r w:rsidRPr="0048469B">
        <w:rPr>
          <w:rFonts w:ascii="Times New Roman" w:hAnsi="Times New Roman" w:cs="Times New Roman"/>
          <w:noProof/>
          <w:szCs w:val="24"/>
          <w:lang w:val="es-ES"/>
        </w:rPr>
        <w:tab/>
        <w:t xml:space="preserve">R. Añez; R. Izquierdo; A. Vidal; T. Cordova; A. Sierraalta; G. Chuchani; </w:t>
      </w:r>
      <w:r w:rsidRPr="0048469B">
        <w:rPr>
          <w:rFonts w:ascii="Times New Roman" w:hAnsi="Times New Roman" w:cs="Times New Roman"/>
          <w:i/>
          <w:iCs/>
          <w:noProof/>
          <w:szCs w:val="24"/>
          <w:lang w:val="es-ES"/>
        </w:rPr>
        <w:t xml:space="preserve">J. Phys. Org. </w:t>
      </w:r>
      <w:r w:rsidRPr="0048469B">
        <w:rPr>
          <w:rFonts w:ascii="Times New Roman" w:hAnsi="Times New Roman" w:cs="Times New Roman"/>
          <w:i/>
          <w:iCs/>
          <w:noProof/>
          <w:szCs w:val="24"/>
          <w:lang w:val="en-GB"/>
        </w:rPr>
        <w:t>Chem.</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2006</w:t>
      </w:r>
      <w:r w:rsidRPr="0048469B">
        <w:rPr>
          <w:rFonts w:ascii="Times New Roman" w:hAnsi="Times New Roman" w:cs="Times New Roman"/>
          <w:noProof/>
          <w:szCs w:val="24"/>
          <w:lang w:val="en-GB"/>
        </w:rPr>
        <w:t xml:space="preserve">, 19, 836–840. </w:t>
      </w:r>
    </w:p>
    <w:p w14:paraId="03D27AB3" w14:textId="2C5C7D70"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lang w:val="en-GB"/>
        </w:rPr>
        <w:t>31.-</w:t>
      </w:r>
      <w:r w:rsidRPr="0048469B">
        <w:rPr>
          <w:rFonts w:ascii="Times New Roman" w:hAnsi="Times New Roman" w:cs="Times New Roman"/>
          <w:noProof/>
          <w:szCs w:val="24"/>
          <w:lang w:val="en-GB"/>
        </w:rPr>
        <w:tab/>
        <w:t xml:space="preserve">P.A. Hunt; B. Kirchner; T. Welton, </w:t>
      </w:r>
      <w:r w:rsidRPr="0048469B">
        <w:rPr>
          <w:rFonts w:ascii="Times New Roman" w:hAnsi="Times New Roman" w:cs="Times New Roman"/>
          <w:i/>
          <w:iCs/>
          <w:noProof/>
          <w:szCs w:val="24"/>
          <w:lang w:val="en-GB"/>
        </w:rPr>
        <w:t>Chem. – A Eur. J.</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2006</w:t>
      </w:r>
      <w:r w:rsidRPr="0048469B">
        <w:rPr>
          <w:rFonts w:ascii="Times New Roman" w:hAnsi="Times New Roman" w:cs="Times New Roman"/>
          <w:noProof/>
          <w:szCs w:val="24"/>
          <w:lang w:val="en-GB"/>
        </w:rPr>
        <w:t xml:space="preserve">, 12, 6762–6775. </w:t>
      </w:r>
    </w:p>
    <w:p w14:paraId="3CB9C998" w14:textId="089ED824"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4"/>
          <w:lang w:val="en-GB"/>
        </w:rPr>
      </w:pPr>
      <w:r w:rsidRPr="0048469B">
        <w:rPr>
          <w:rFonts w:ascii="Times New Roman" w:hAnsi="Times New Roman" w:cs="Times New Roman"/>
          <w:noProof/>
          <w:szCs w:val="24"/>
        </w:rPr>
        <w:t>32.-</w:t>
      </w:r>
      <w:r w:rsidRPr="0048469B">
        <w:rPr>
          <w:rFonts w:ascii="Times New Roman" w:hAnsi="Times New Roman" w:cs="Times New Roman"/>
          <w:noProof/>
          <w:szCs w:val="24"/>
        </w:rPr>
        <w:tab/>
        <w:t xml:space="preserve">V.H. Paschoal; L.F.O. Faria; M.C.C. Ribeiro, </w:t>
      </w:r>
      <w:r w:rsidRPr="0048469B">
        <w:rPr>
          <w:rFonts w:ascii="Times New Roman" w:hAnsi="Times New Roman" w:cs="Times New Roman"/>
          <w:i/>
          <w:iCs/>
          <w:noProof/>
          <w:szCs w:val="24"/>
        </w:rPr>
        <w:t xml:space="preserve">Chem. </w:t>
      </w:r>
      <w:r w:rsidRPr="0048469B">
        <w:rPr>
          <w:rFonts w:ascii="Times New Roman" w:hAnsi="Times New Roman" w:cs="Times New Roman"/>
          <w:i/>
          <w:iCs/>
          <w:noProof/>
          <w:szCs w:val="24"/>
          <w:lang w:val="en-GB"/>
        </w:rPr>
        <w:t>Rev.</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2017</w:t>
      </w:r>
      <w:r w:rsidRPr="0048469B">
        <w:rPr>
          <w:rFonts w:ascii="Times New Roman" w:hAnsi="Times New Roman" w:cs="Times New Roman"/>
          <w:noProof/>
          <w:szCs w:val="24"/>
          <w:lang w:val="en-GB"/>
        </w:rPr>
        <w:t xml:space="preserve">, 117, 7053–7112. </w:t>
      </w:r>
    </w:p>
    <w:p w14:paraId="3E779845" w14:textId="6CF1575B" w:rsidR="007E32A6" w:rsidRPr="0048469B" w:rsidRDefault="007E32A6" w:rsidP="0081567A">
      <w:pPr>
        <w:widowControl w:val="0"/>
        <w:autoSpaceDE w:val="0"/>
        <w:autoSpaceDN w:val="0"/>
        <w:adjustRightInd w:val="0"/>
        <w:spacing w:after="0" w:line="240" w:lineRule="auto"/>
        <w:ind w:left="640" w:hanging="640"/>
        <w:rPr>
          <w:rFonts w:ascii="Times New Roman" w:hAnsi="Times New Roman" w:cs="Times New Roman"/>
          <w:noProof/>
          <w:szCs w:val="22"/>
          <w:lang w:val="en-GB"/>
        </w:rPr>
      </w:pPr>
      <w:r w:rsidRPr="0048469B">
        <w:rPr>
          <w:rFonts w:ascii="Times New Roman" w:hAnsi="Times New Roman" w:cs="Times New Roman"/>
          <w:noProof/>
          <w:szCs w:val="24"/>
          <w:lang w:val="en-GB"/>
        </w:rPr>
        <w:t>33.-</w:t>
      </w:r>
      <w:r w:rsidRPr="0048469B">
        <w:rPr>
          <w:rFonts w:ascii="Times New Roman" w:hAnsi="Times New Roman" w:cs="Times New Roman"/>
          <w:noProof/>
          <w:szCs w:val="24"/>
          <w:lang w:val="en-GB"/>
        </w:rPr>
        <w:tab/>
        <w:t xml:space="preserve">E. Yoda; R. Osuga, </w:t>
      </w:r>
      <w:r w:rsidRPr="0048469B">
        <w:rPr>
          <w:rFonts w:ascii="Times New Roman" w:hAnsi="Times New Roman" w:cs="Times New Roman"/>
          <w:i/>
          <w:iCs/>
          <w:noProof/>
          <w:szCs w:val="24"/>
          <w:lang w:val="en-GB"/>
        </w:rPr>
        <w:t xml:space="preserve"> React. Kinet. Mech. Catal.</w:t>
      </w:r>
      <w:r w:rsidRPr="0048469B">
        <w:rPr>
          <w:rFonts w:ascii="Times New Roman" w:hAnsi="Times New Roman" w:cs="Times New Roman"/>
          <w:noProof/>
          <w:szCs w:val="24"/>
          <w:lang w:val="en-GB"/>
        </w:rPr>
        <w:t xml:space="preserve"> </w:t>
      </w:r>
      <w:r w:rsidRPr="0048469B">
        <w:rPr>
          <w:rFonts w:ascii="Times New Roman" w:hAnsi="Times New Roman" w:cs="Times New Roman"/>
          <w:b/>
          <w:bCs/>
          <w:noProof/>
          <w:szCs w:val="24"/>
          <w:lang w:val="en-GB"/>
        </w:rPr>
        <w:t>2023</w:t>
      </w:r>
      <w:r w:rsidRPr="0048469B">
        <w:rPr>
          <w:rFonts w:ascii="Times New Roman" w:hAnsi="Times New Roman" w:cs="Times New Roman"/>
          <w:noProof/>
          <w:szCs w:val="24"/>
          <w:lang w:val="en-GB"/>
        </w:rPr>
        <w:t>, 136,  621–635. https://doi.org/10.1007/S11144-023-02364-5/FIGURES/5.</w:t>
      </w:r>
    </w:p>
    <w:p w14:paraId="2BAE4A9E" w14:textId="549F807F" w:rsidR="00EA4E1B" w:rsidRPr="0048469B" w:rsidRDefault="007E32A6" w:rsidP="0081567A">
      <w:pPr>
        <w:pStyle w:val="TAMainText"/>
        <w:spacing w:line="240" w:lineRule="auto"/>
        <w:ind w:firstLine="0"/>
        <w:rPr>
          <w:rFonts w:ascii="Times New Roman" w:hAnsi="Times New Roman"/>
        </w:rPr>
      </w:pPr>
      <w:r w:rsidRPr="0048469B">
        <w:rPr>
          <w:rFonts w:ascii="Times New Roman" w:hAnsi="Times New Roman"/>
          <w:lang w:val="en-GB"/>
        </w:rPr>
        <w:fldChar w:fldCharType="end"/>
      </w:r>
    </w:p>
    <w:p w14:paraId="58716424" w14:textId="77777777" w:rsidR="007B4B2B" w:rsidRPr="0048469B" w:rsidRDefault="007B4B2B" w:rsidP="00EA4E1B">
      <w:pPr>
        <w:rPr>
          <w:rFonts w:ascii="Times New Roman" w:hAnsi="Times New Roman" w:cs="Times New Roman"/>
          <w:lang w:val="en-US"/>
        </w:rPr>
      </w:pPr>
    </w:p>
    <w:sectPr w:rsidR="007B4B2B" w:rsidRPr="0048469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C15CA" w14:textId="77777777" w:rsidR="008D1126" w:rsidRDefault="008D1126" w:rsidP="00EA4E1B">
      <w:pPr>
        <w:spacing w:after="0" w:line="240" w:lineRule="auto"/>
      </w:pPr>
      <w:r>
        <w:separator/>
      </w:r>
    </w:p>
  </w:endnote>
  <w:endnote w:type="continuationSeparator" w:id="0">
    <w:p w14:paraId="7287524A" w14:textId="77777777" w:rsidR="008D1126" w:rsidRDefault="008D112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2F1D2" w14:textId="77777777" w:rsidR="008D1126" w:rsidRDefault="008D1126" w:rsidP="00EA4E1B">
      <w:pPr>
        <w:spacing w:after="0" w:line="240" w:lineRule="auto"/>
      </w:pPr>
      <w:r>
        <w:separator/>
      </w:r>
    </w:p>
  </w:footnote>
  <w:footnote w:type="continuationSeparator" w:id="0">
    <w:p w14:paraId="27272F37" w14:textId="77777777" w:rsidR="008D1126" w:rsidRDefault="008D112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Encabezad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517E"/>
    <w:rsid w:val="0001264A"/>
    <w:rsid w:val="00061A72"/>
    <w:rsid w:val="000720B1"/>
    <w:rsid w:val="000756FE"/>
    <w:rsid w:val="000F1D24"/>
    <w:rsid w:val="00130FAC"/>
    <w:rsid w:val="001379C4"/>
    <w:rsid w:val="001A2331"/>
    <w:rsid w:val="001D11B5"/>
    <w:rsid w:val="001E078A"/>
    <w:rsid w:val="001E58A9"/>
    <w:rsid w:val="001F25B2"/>
    <w:rsid w:val="00222230"/>
    <w:rsid w:val="002572BE"/>
    <w:rsid w:val="00293F5E"/>
    <w:rsid w:val="0029563B"/>
    <w:rsid w:val="002A48C7"/>
    <w:rsid w:val="002A7662"/>
    <w:rsid w:val="002B65A8"/>
    <w:rsid w:val="002C34F0"/>
    <w:rsid w:val="002D71DA"/>
    <w:rsid w:val="002E2CDB"/>
    <w:rsid w:val="002E71F6"/>
    <w:rsid w:val="00324BE7"/>
    <w:rsid w:val="00331CE6"/>
    <w:rsid w:val="00340B1E"/>
    <w:rsid w:val="00347DBB"/>
    <w:rsid w:val="003B2B41"/>
    <w:rsid w:val="003D0790"/>
    <w:rsid w:val="00402F3E"/>
    <w:rsid w:val="0048469B"/>
    <w:rsid w:val="00487DB3"/>
    <w:rsid w:val="004D30A6"/>
    <w:rsid w:val="004F3F42"/>
    <w:rsid w:val="00500672"/>
    <w:rsid w:val="0052112E"/>
    <w:rsid w:val="005268EC"/>
    <w:rsid w:val="00531A49"/>
    <w:rsid w:val="00553C76"/>
    <w:rsid w:val="0056066C"/>
    <w:rsid w:val="005802EB"/>
    <w:rsid w:val="005B0C38"/>
    <w:rsid w:val="005C2775"/>
    <w:rsid w:val="005D65EB"/>
    <w:rsid w:val="00604718"/>
    <w:rsid w:val="00616730"/>
    <w:rsid w:val="00652815"/>
    <w:rsid w:val="0066733C"/>
    <w:rsid w:val="00670E39"/>
    <w:rsid w:val="006766CE"/>
    <w:rsid w:val="006908F4"/>
    <w:rsid w:val="00691A06"/>
    <w:rsid w:val="00694526"/>
    <w:rsid w:val="006B56F6"/>
    <w:rsid w:val="006E7C6C"/>
    <w:rsid w:val="006F017E"/>
    <w:rsid w:val="006F599B"/>
    <w:rsid w:val="00714A88"/>
    <w:rsid w:val="00746F58"/>
    <w:rsid w:val="007670A0"/>
    <w:rsid w:val="00780F11"/>
    <w:rsid w:val="00781685"/>
    <w:rsid w:val="007B4B2B"/>
    <w:rsid w:val="007C0890"/>
    <w:rsid w:val="007C5DA4"/>
    <w:rsid w:val="007D1E2D"/>
    <w:rsid w:val="007E32A6"/>
    <w:rsid w:val="007F266B"/>
    <w:rsid w:val="0081567A"/>
    <w:rsid w:val="00866822"/>
    <w:rsid w:val="008845D8"/>
    <w:rsid w:val="00885F5E"/>
    <w:rsid w:val="00895629"/>
    <w:rsid w:val="008B1683"/>
    <w:rsid w:val="008B7719"/>
    <w:rsid w:val="008C1B30"/>
    <w:rsid w:val="008D1126"/>
    <w:rsid w:val="00900B4E"/>
    <w:rsid w:val="009656D9"/>
    <w:rsid w:val="009877F1"/>
    <w:rsid w:val="009A1049"/>
    <w:rsid w:val="009C2497"/>
    <w:rsid w:val="009C7CB0"/>
    <w:rsid w:val="00A17D85"/>
    <w:rsid w:val="00A87CE8"/>
    <w:rsid w:val="00AA182E"/>
    <w:rsid w:val="00AF0400"/>
    <w:rsid w:val="00B03CD2"/>
    <w:rsid w:val="00B30AEB"/>
    <w:rsid w:val="00B376A6"/>
    <w:rsid w:val="00BA6A6E"/>
    <w:rsid w:val="00BB0193"/>
    <w:rsid w:val="00BE662B"/>
    <w:rsid w:val="00BE6DA6"/>
    <w:rsid w:val="00BF7DCF"/>
    <w:rsid w:val="00C10AC4"/>
    <w:rsid w:val="00C11941"/>
    <w:rsid w:val="00C213C1"/>
    <w:rsid w:val="00C34C04"/>
    <w:rsid w:val="00C6121B"/>
    <w:rsid w:val="00C71689"/>
    <w:rsid w:val="00C76E54"/>
    <w:rsid w:val="00CB256E"/>
    <w:rsid w:val="00CC3D12"/>
    <w:rsid w:val="00D641E5"/>
    <w:rsid w:val="00D71FAC"/>
    <w:rsid w:val="00D83D79"/>
    <w:rsid w:val="00D95DB5"/>
    <w:rsid w:val="00D96135"/>
    <w:rsid w:val="00E02A21"/>
    <w:rsid w:val="00E038AF"/>
    <w:rsid w:val="00E333EE"/>
    <w:rsid w:val="00E33942"/>
    <w:rsid w:val="00E35DAB"/>
    <w:rsid w:val="00E77DA3"/>
    <w:rsid w:val="00EA4E1B"/>
    <w:rsid w:val="00EE372A"/>
    <w:rsid w:val="00F30661"/>
    <w:rsid w:val="00F425C3"/>
    <w:rsid w:val="00F60926"/>
    <w:rsid w:val="00F917DA"/>
    <w:rsid w:val="00FD05F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1F25B2"/>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sid w:val="00EA4E1B"/>
    <w:rPr>
      <w:vertAlign w:val="superscript"/>
    </w:rPr>
  </w:style>
  <w:style w:type="paragraph" w:styleId="Textonotapie">
    <w:name w:val="footnote text"/>
    <w:basedOn w:val="Normal"/>
    <w:next w:val="Normal"/>
    <w:link w:val="TextonotapieC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notapieCar">
    <w:name w:val="Texto nota pie Car"/>
    <w:basedOn w:val="Fuentedeprrafopredeter"/>
    <w:link w:val="Textonotapie"/>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ar">
    <w:name w:val="Título 2 Car"/>
    <w:basedOn w:val="Fuentedeprrafopredeter"/>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link w:val="TAMainTextChar"/>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Encabezado">
    <w:name w:val="header"/>
    <w:basedOn w:val="Normal"/>
    <w:link w:val="EncabezadoCar"/>
    <w:unhideWhenUsed/>
    <w:rsid w:val="00EA4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4E1B"/>
  </w:style>
  <w:style w:type="paragraph" w:styleId="Piedepgina">
    <w:name w:val="footer"/>
    <w:basedOn w:val="Normal"/>
    <w:link w:val="PiedepginaCar"/>
    <w:uiPriority w:val="99"/>
    <w:unhideWhenUsed/>
    <w:rsid w:val="00EA4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4E1B"/>
  </w:style>
  <w:style w:type="paragraph" w:styleId="Textodeglobo">
    <w:name w:val="Balloon Text"/>
    <w:basedOn w:val="Normal"/>
    <w:link w:val="TextodegloboCar"/>
    <w:uiPriority w:val="99"/>
    <w:semiHidden/>
    <w:unhideWhenUsed/>
    <w:rsid w:val="001E58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58A9"/>
    <w:rPr>
      <w:rFonts w:ascii="Tahoma" w:hAnsi="Tahoma" w:cs="Tahoma"/>
      <w:sz w:val="16"/>
      <w:szCs w:val="16"/>
    </w:rPr>
  </w:style>
  <w:style w:type="paragraph" w:styleId="Textonotaalfinal">
    <w:name w:val="endnote text"/>
    <w:basedOn w:val="Normal"/>
    <w:link w:val="TextonotaalfinalCar"/>
    <w:uiPriority w:val="99"/>
    <w:semiHidden/>
    <w:unhideWhenUsed/>
    <w:rsid w:val="001E58A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E58A9"/>
    <w:rPr>
      <w:sz w:val="20"/>
      <w:szCs w:val="20"/>
    </w:rPr>
  </w:style>
  <w:style w:type="character" w:styleId="Refdenotaalfinal">
    <w:name w:val="endnote reference"/>
    <w:basedOn w:val="Fuentedeprrafopredeter"/>
    <w:uiPriority w:val="99"/>
    <w:semiHidden/>
    <w:unhideWhenUsed/>
    <w:rsid w:val="001E58A9"/>
    <w:rPr>
      <w:vertAlign w:val="superscript"/>
    </w:rPr>
  </w:style>
  <w:style w:type="character" w:customStyle="1" w:styleId="Ttulo1Car">
    <w:name w:val="Título 1 Car"/>
    <w:basedOn w:val="Fuentedeprrafopredeter"/>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ar">
    <w:name w:val="Título 3 Car"/>
    <w:basedOn w:val="Fuentedeprrafopredeter"/>
    <w:link w:val="Ttulo3"/>
    <w:uiPriority w:val="9"/>
    <w:semiHidden/>
    <w:rsid w:val="001F25B2"/>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semiHidden/>
    <w:rsid w:val="001F25B2"/>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semiHidden/>
    <w:rsid w:val="001F25B2"/>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1F25B2"/>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1F25B2"/>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1F25B2"/>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1F25B2"/>
    <w:rPr>
      <w:b/>
      <w:bCs/>
      <w:i/>
      <w:iCs/>
    </w:rPr>
  </w:style>
  <w:style w:type="paragraph" w:styleId="Descripcin">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ar">
    <w:name w:val="Título Car"/>
    <w:basedOn w:val="Fuentedeprrafopredeter"/>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ar"/>
    <w:uiPriority w:val="11"/>
    <w:qFormat/>
    <w:rsid w:val="001F25B2"/>
    <w:pPr>
      <w:numPr>
        <w:ilvl w:val="1"/>
      </w:numPr>
      <w:jc w:val="center"/>
    </w:pPr>
    <w:rPr>
      <w:color w:val="44546A" w:themeColor="text2"/>
      <w:sz w:val="28"/>
      <w:szCs w:val="28"/>
    </w:rPr>
  </w:style>
  <w:style w:type="character" w:customStyle="1" w:styleId="SubttuloCar">
    <w:name w:val="Subtítulo Car"/>
    <w:basedOn w:val="Fuentedeprrafopredeter"/>
    <w:link w:val="Subttulo"/>
    <w:uiPriority w:val="11"/>
    <w:rsid w:val="001F25B2"/>
    <w:rPr>
      <w:color w:val="44546A" w:themeColor="text2"/>
      <w:sz w:val="28"/>
      <w:szCs w:val="28"/>
    </w:rPr>
  </w:style>
  <w:style w:type="character" w:styleId="Textoennegrita">
    <w:name w:val="Strong"/>
    <w:basedOn w:val="Fuentedeprrafopredeter"/>
    <w:uiPriority w:val="22"/>
    <w:qFormat/>
    <w:rsid w:val="001F25B2"/>
    <w:rPr>
      <w:b/>
      <w:bCs/>
    </w:rPr>
  </w:style>
  <w:style w:type="character" w:styleId="nfasis">
    <w:name w:val="Emphasis"/>
    <w:basedOn w:val="Fuentedeprrafopredeter"/>
    <w:uiPriority w:val="20"/>
    <w:qFormat/>
    <w:rsid w:val="001F25B2"/>
    <w:rPr>
      <w:i/>
      <w:iCs/>
      <w:color w:val="000000" w:themeColor="text1"/>
    </w:rPr>
  </w:style>
  <w:style w:type="paragraph" w:styleId="Sinespaciado">
    <w:name w:val="No Spacing"/>
    <w:uiPriority w:val="1"/>
    <w:qFormat/>
    <w:rsid w:val="001F25B2"/>
    <w:pPr>
      <w:spacing w:after="0" w:line="240" w:lineRule="auto"/>
    </w:pPr>
  </w:style>
  <w:style w:type="paragraph" w:styleId="Cita">
    <w:name w:val="Quote"/>
    <w:basedOn w:val="Normal"/>
    <w:next w:val="Normal"/>
    <w:link w:val="CitaCar"/>
    <w:uiPriority w:val="29"/>
    <w:qFormat/>
    <w:rsid w:val="001F25B2"/>
    <w:pPr>
      <w:spacing w:before="160"/>
      <w:ind w:left="720" w:right="720"/>
      <w:jc w:val="center"/>
    </w:pPr>
    <w:rPr>
      <w:i/>
      <w:iCs/>
      <w:color w:val="7B7B7B" w:themeColor="accent3" w:themeShade="BF"/>
      <w:sz w:val="24"/>
      <w:szCs w:val="24"/>
    </w:rPr>
  </w:style>
  <w:style w:type="character" w:customStyle="1" w:styleId="CitaCar">
    <w:name w:val="Cita Car"/>
    <w:basedOn w:val="Fuentedeprrafopredeter"/>
    <w:link w:val="Cita"/>
    <w:uiPriority w:val="29"/>
    <w:rsid w:val="001F25B2"/>
    <w:rPr>
      <w:i/>
      <w:iCs/>
      <w:color w:val="7B7B7B" w:themeColor="accent3" w:themeShade="BF"/>
      <w:sz w:val="24"/>
      <w:szCs w:val="24"/>
    </w:rPr>
  </w:style>
  <w:style w:type="paragraph" w:styleId="Citadestacada">
    <w:name w:val="Intense Quote"/>
    <w:basedOn w:val="Normal"/>
    <w:next w:val="Normal"/>
    <w:link w:val="CitadestacadaC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destacadaCar">
    <w:name w:val="Cita destacada Car"/>
    <w:basedOn w:val="Fuentedeprrafopredeter"/>
    <w:link w:val="Citadestacada"/>
    <w:uiPriority w:val="30"/>
    <w:rsid w:val="001F25B2"/>
    <w:rPr>
      <w:rFonts w:asciiTheme="majorHAnsi" w:eastAsiaTheme="majorEastAsia" w:hAnsiTheme="majorHAnsi" w:cstheme="majorBidi"/>
      <w:caps/>
      <w:color w:val="2F5496" w:themeColor="accent1" w:themeShade="BF"/>
      <w:sz w:val="28"/>
      <w:szCs w:val="28"/>
    </w:rPr>
  </w:style>
  <w:style w:type="character" w:styleId="nfasissutil">
    <w:name w:val="Subtle Emphasis"/>
    <w:basedOn w:val="Fuentedeprrafopredeter"/>
    <w:uiPriority w:val="19"/>
    <w:qFormat/>
    <w:rsid w:val="001F25B2"/>
    <w:rPr>
      <w:i/>
      <w:iCs/>
      <w:color w:val="595959" w:themeColor="text1" w:themeTint="A6"/>
    </w:rPr>
  </w:style>
  <w:style w:type="character" w:styleId="nfasisintenso">
    <w:name w:val="Intense Emphasis"/>
    <w:basedOn w:val="Fuentedeprrafopredeter"/>
    <w:uiPriority w:val="21"/>
    <w:qFormat/>
    <w:rsid w:val="001F25B2"/>
    <w:rPr>
      <w:b/>
      <w:bCs/>
      <w:i/>
      <w:iCs/>
      <w:color w:val="auto"/>
    </w:rPr>
  </w:style>
  <w:style w:type="character" w:styleId="Referenciasutil">
    <w:name w:val="Subtle Reference"/>
    <w:basedOn w:val="Fuentedeprrafopredeter"/>
    <w:uiPriority w:val="31"/>
    <w:qFormat/>
    <w:rsid w:val="001F25B2"/>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1F25B2"/>
    <w:rPr>
      <w:b/>
      <w:bCs/>
      <w:caps w:val="0"/>
      <w:smallCaps/>
      <w:color w:val="auto"/>
      <w:spacing w:val="0"/>
      <w:u w:val="single"/>
    </w:rPr>
  </w:style>
  <w:style w:type="character" w:styleId="Ttulodellibro">
    <w:name w:val="Book Title"/>
    <w:basedOn w:val="Fuentedeprrafopredeter"/>
    <w:uiPriority w:val="33"/>
    <w:qFormat/>
    <w:rsid w:val="001F25B2"/>
    <w:rPr>
      <w:b/>
      <w:bCs/>
      <w:caps w:val="0"/>
      <w:smallCaps/>
      <w:spacing w:val="0"/>
    </w:rPr>
  </w:style>
  <w:style w:type="paragraph" w:styleId="TtuloTDC">
    <w:name w:val="TOC Heading"/>
    <w:basedOn w:val="Ttulo1"/>
    <w:next w:val="Normal"/>
    <w:uiPriority w:val="39"/>
    <w:semiHidden/>
    <w:unhideWhenUsed/>
    <w:qFormat/>
    <w:rsid w:val="001F25B2"/>
    <w:pPr>
      <w:outlineLvl w:val="9"/>
    </w:pPr>
  </w:style>
  <w:style w:type="character" w:styleId="Hipervnculo">
    <w:name w:val="Hyperlink"/>
    <w:basedOn w:val="Fuentedeprrafopredeter"/>
    <w:uiPriority w:val="99"/>
    <w:unhideWhenUsed/>
    <w:rsid w:val="00691A06"/>
    <w:rPr>
      <w:color w:val="0563C1" w:themeColor="hyperlink"/>
      <w:u w:val="single"/>
    </w:rPr>
  </w:style>
  <w:style w:type="character" w:styleId="Mencinsinresolver">
    <w:name w:val="Unresolved Mention"/>
    <w:basedOn w:val="Fuentedeprrafopredeter"/>
    <w:uiPriority w:val="99"/>
    <w:semiHidden/>
    <w:unhideWhenUsed/>
    <w:rsid w:val="00691A06"/>
    <w:rPr>
      <w:color w:val="605E5C"/>
      <w:shd w:val="clear" w:color="auto" w:fill="E1DFDD"/>
    </w:rPr>
  </w:style>
  <w:style w:type="character" w:customStyle="1" w:styleId="rynqvb">
    <w:name w:val="rynqvb"/>
    <w:basedOn w:val="Fuentedeprrafopredeter"/>
    <w:rsid w:val="00670E39"/>
  </w:style>
  <w:style w:type="character" w:customStyle="1" w:styleId="q4iawc">
    <w:name w:val="q4iawc"/>
    <w:basedOn w:val="Fuentedeprrafopredeter"/>
    <w:rsid w:val="00670E39"/>
  </w:style>
  <w:style w:type="character" w:customStyle="1" w:styleId="TAMainTextChar">
    <w:name w:val="TA_Main_Text Char"/>
    <w:basedOn w:val="Fuentedeprrafopredeter"/>
    <w:link w:val="TAMainText"/>
    <w:rsid w:val="00670E39"/>
    <w:rPr>
      <w:rFonts w:ascii="Times" w:eastAsia="Times New Roman" w:hAnsi="Times" w:cs="Times New Roman"/>
      <w:sz w:val="20"/>
      <w:szCs w:val="20"/>
      <w:lang w:val="en-US" w:eastAsia="pt-BR"/>
    </w:rPr>
  </w:style>
  <w:style w:type="character" w:customStyle="1" w:styleId="kgnlhe">
    <w:name w:val="kgnlhe"/>
    <w:basedOn w:val="Fuentedeprrafopredeter"/>
    <w:rsid w:val="002B6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88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is131182@gmail.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dolfo.izquierdo@unesp.br" TargetMode="External"/><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15509</Words>
  <Characters>83749</Characters>
  <Application>Microsoft Office Word</Application>
  <DocSecurity>0</DocSecurity>
  <Lines>697</Lines>
  <Paragraphs>198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RODOLFO ENRIQUE IZQUIERDO SOTO</cp:lastModifiedBy>
  <cp:revision>3</cp:revision>
  <cp:lastPrinted>2023-05-01T18:14:00Z</cp:lastPrinted>
  <dcterms:created xsi:type="dcterms:W3CDTF">2023-05-01T18:14:00Z</dcterms:created>
  <dcterms:modified xsi:type="dcterms:W3CDTF">2023-05-01T18:14:00Z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11th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http://www.zotero.org/styles/international-journal-of-hydrogen-energy</vt:lpwstr>
  </property>
  <property fmtid="{D5CDD505-2E9C-101B-9397-08002B2CF9AE}" pid="11" name="Mendeley Recent Style Name 4_1">
    <vt:lpwstr>International Journal of Hydrogen Energy</vt:lpwstr>
  </property>
  <property fmtid="{D5CDD505-2E9C-101B-9397-08002B2CF9AE}" pid="12" name="Mendeley Recent Style Id 5_1">
    <vt:lpwstr>http://www.zotero.org/styles/journal-of-catalysis</vt:lpwstr>
  </property>
  <property fmtid="{D5CDD505-2E9C-101B-9397-08002B2CF9AE}" pid="13" name="Mendeley Recent Style Name 5_1">
    <vt:lpwstr>Journal of Catalysis</vt:lpwstr>
  </property>
  <property fmtid="{D5CDD505-2E9C-101B-9397-08002B2CF9AE}" pid="14" name="Mendeley Recent Style Id 6_1">
    <vt:lpwstr>http://www.zotero.org/styles/microporous-and-mesoporous-materials</vt:lpwstr>
  </property>
  <property fmtid="{D5CDD505-2E9C-101B-9397-08002B2CF9AE}" pid="15" name="Mendeley Recent Style Name 6_1">
    <vt:lpwstr>Microporous and Mesoporous Materials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