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78BF8A5" w:rsidR="00EA4E1B" w:rsidRDefault="00404F33" w:rsidP="00EA4E1B">
      <w:pPr>
        <w:pStyle w:val="BATitle"/>
        <w:spacing w:before="0" w:after="0" w:line="240" w:lineRule="auto"/>
        <w:ind w:right="0"/>
        <w:jc w:val="both"/>
        <w:rPr>
          <w:sz w:val="32"/>
          <w:lang w:val="pt-BR"/>
        </w:rPr>
      </w:pPr>
      <w:r w:rsidRPr="00404F33">
        <w:rPr>
          <w:sz w:val="32"/>
          <w:lang w:val="pt-BR"/>
        </w:rPr>
        <w:t xml:space="preserve">Desenvolvimento de catalisadores ácidos para processamento de biomassa lignocelulósica por </w:t>
      </w:r>
      <w:r>
        <w:rPr>
          <w:sz w:val="32"/>
          <w:lang w:val="pt-BR"/>
        </w:rPr>
        <w:t>pirólise rápida</w:t>
      </w:r>
    </w:p>
    <w:p w14:paraId="18735493" w14:textId="1404B60B" w:rsidR="00EA4E1B" w:rsidRPr="001F25B2" w:rsidRDefault="00404F33" w:rsidP="00404F33">
      <w:pPr>
        <w:pStyle w:val="BATitle"/>
        <w:spacing w:before="240" w:line="240" w:lineRule="auto"/>
        <w:ind w:right="-11"/>
        <w:jc w:val="both"/>
        <w:rPr>
          <w:rFonts w:ascii="Times New Roman" w:hAnsi="Times New Roman"/>
          <w:sz w:val="20"/>
          <w:lang w:val="pt-BR"/>
        </w:rPr>
      </w:pPr>
      <w:r>
        <w:rPr>
          <w:rFonts w:ascii="Times New Roman" w:hAnsi="Times New Roman"/>
          <w:sz w:val="20"/>
          <w:lang w:val="pt-BR"/>
        </w:rPr>
        <w:t>Talita P. Rosa</w:t>
      </w:r>
      <w:r w:rsidRPr="001F25B2">
        <w:rPr>
          <w:rFonts w:ascii="Times New Roman" w:hAnsi="Times New Roman"/>
          <w:sz w:val="20"/>
          <w:vertAlign w:val="superscript"/>
          <w:lang w:val="pt-BR"/>
        </w:rPr>
        <w:t>1</w:t>
      </w:r>
      <w:r>
        <w:rPr>
          <w:rFonts w:ascii="Times New Roman" w:hAnsi="Times New Roman"/>
          <w:sz w:val="20"/>
          <w:lang w:val="pt-BR"/>
        </w:rPr>
        <w:t>, Angela S. Rocha</w:t>
      </w:r>
      <w:r>
        <w:rPr>
          <w:rFonts w:ascii="Times New Roman" w:hAnsi="Times New Roman"/>
          <w:sz w:val="20"/>
          <w:vertAlign w:val="superscript"/>
          <w:lang w:val="pt-BR"/>
        </w:rPr>
        <w:t>2</w:t>
      </w:r>
      <w:r>
        <w:rPr>
          <w:rFonts w:ascii="Times New Roman" w:hAnsi="Times New Roman"/>
          <w:sz w:val="20"/>
          <w:lang w:val="pt-BR"/>
        </w:rPr>
        <w:t>, Mônica R. C. M. Calderari</w:t>
      </w:r>
      <w:r>
        <w:rPr>
          <w:rFonts w:ascii="Times New Roman" w:hAnsi="Times New Roman"/>
          <w:sz w:val="20"/>
          <w:vertAlign w:val="superscript"/>
          <w:lang w:val="pt-BR"/>
        </w:rPr>
        <w:t>3</w:t>
      </w:r>
    </w:p>
    <w:p w14:paraId="2B5DD42D" w14:textId="77777777" w:rsidR="00404F33" w:rsidRDefault="00404F33" w:rsidP="00404F33">
      <w:pPr>
        <w:pStyle w:val="BCAuthorAddress"/>
        <w:spacing w:after="0"/>
        <w:ind w:right="0"/>
        <w:jc w:val="both"/>
        <w:rPr>
          <w:lang w:val="pt-BR"/>
        </w:rPr>
      </w:pPr>
      <w:r>
        <w:rPr>
          <w:lang w:val="pt-BR"/>
        </w:rPr>
        <w:t>Instituto de Química, Programa de Pós-Graduação em Química, PPGQ/</w:t>
      </w:r>
      <w:r w:rsidRPr="00C238B5">
        <w:rPr>
          <w:lang w:val="pt-BR"/>
        </w:rPr>
        <w:t xml:space="preserve"> </w:t>
      </w:r>
      <w:r>
        <w:rPr>
          <w:lang w:val="pt-BR"/>
        </w:rPr>
        <w:t>Universidade do Estado do Rio de Janeiro(UERJ)</w:t>
      </w:r>
    </w:p>
    <w:p w14:paraId="49A18F09" w14:textId="77777777" w:rsidR="00404F33" w:rsidRDefault="00000000" w:rsidP="00404F33">
      <w:pPr>
        <w:pStyle w:val="BCAuthorAddress"/>
        <w:spacing w:after="0"/>
        <w:ind w:right="0"/>
        <w:jc w:val="both"/>
        <w:rPr>
          <w:lang w:val="pt-BR"/>
        </w:rPr>
      </w:pPr>
      <w:hyperlink r:id="rId8" w:history="1">
        <w:r w:rsidR="00404F33" w:rsidRPr="00B771CE">
          <w:rPr>
            <w:rStyle w:val="Hyperlink"/>
            <w:lang w:val="pt-BR"/>
          </w:rPr>
          <w:t>Talitaprosa17@gmail.com</w:t>
        </w:r>
        <w:r w:rsidR="00404F33" w:rsidRPr="00B771CE">
          <w:rPr>
            <w:rStyle w:val="Hyperlink"/>
            <w:vertAlign w:val="superscript"/>
            <w:lang w:val="pt-BR"/>
          </w:rPr>
          <w:t>1</w:t>
        </w:r>
      </w:hyperlink>
      <w:r w:rsidR="00404F33">
        <w:rPr>
          <w:lang w:val="pt-BR"/>
        </w:rPr>
        <w:t xml:space="preserve">, </w:t>
      </w:r>
      <w:hyperlink r:id="rId9" w:history="1">
        <w:r w:rsidR="00404F33" w:rsidRPr="00B771CE">
          <w:rPr>
            <w:rStyle w:val="Hyperlink"/>
            <w:lang w:val="pt-BR"/>
          </w:rPr>
          <w:t>angela.sanches.rocha@gmail.com</w:t>
        </w:r>
        <w:r w:rsidR="00404F33" w:rsidRPr="00B771CE">
          <w:rPr>
            <w:rStyle w:val="Hyperlink"/>
            <w:vertAlign w:val="superscript"/>
            <w:lang w:val="pt-BR"/>
          </w:rPr>
          <w:t>2</w:t>
        </w:r>
      </w:hyperlink>
      <w:r w:rsidR="00404F33">
        <w:rPr>
          <w:lang w:val="pt-BR"/>
        </w:rPr>
        <w:t xml:space="preserve">, </w:t>
      </w:r>
      <w:hyperlink r:id="rId10" w:history="1">
        <w:r w:rsidR="00404F33" w:rsidRPr="00B771CE">
          <w:rPr>
            <w:rStyle w:val="Hyperlink"/>
            <w:lang w:val="pt-BR"/>
          </w:rPr>
          <w:t>monicamarquesuerj@gmail.com</w:t>
        </w:r>
        <w:r w:rsidR="00404F33" w:rsidRPr="00B771CE">
          <w:rPr>
            <w:rStyle w:val="Hyperlink"/>
            <w:vertAlign w:val="superscript"/>
            <w:lang w:val="pt-BR"/>
          </w:rPr>
          <w:t>3</w:t>
        </w:r>
      </w:hyperlink>
      <w:r w:rsidR="00404F33">
        <w:rPr>
          <w:lang w:val="pt-BR"/>
        </w:rPr>
        <w:t xml:space="preserve"> </w:t>
      </w:r>
    </w:p>
    <w:p w14:paraId="22D38595" w14:textId="3526C4EF" w:rsidR="00EA4E1B" w:rsidRDefault="00EA4E1B" w:rsidP="00404F33">
      <w:pPr>
        <w:pStyle w:val="BBAuthorName"/>
        <w:spacing w:after="120"/>
        <w:ind w:right="0"/>
        <w:jc w:val="both"/>
        <w:rPr>
          <w:lang w:val="pt-BR"/>
        </w:rPr>
      </w:pP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33F5B3D" w:rsidR="008C1B30" w:rsidRPr="008C1B30" w:rsidRDefault="008C1B30" w:rsidP="008C1B30">
                            <w:pPr>
                              <w:pStyle w:val="BDAbstract"/>
                              <w:spacing w:before="0" w:after="0" w:line="240" w:lineRule="auto"/>
                              <w:jc w:val="center"/>
                              <w:rPr>
                                <w:rFonts w:cs="Helvetica"/>
                                <w:bCs/>
                                <w:sz w:val="20"/>
                                <w:lang w:val="pt-BR"/>
                              </w:rPr>
                            </w:pPr>
                            <w:r w:rsidRPr="00DB4ECD">
                              <w:rPr>
                                <w:rFonts w:cs="Helvetica"/>
                                <w:bCs/>
                                <w:sz w:val="24"/>
                                <w:szCs w:val="24"/>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33F5B3D" w:rsidR="008C1B30" w:rsidRPr="008C1B30" w:rsidRDefault="008C1B30" w:rsidP="008C1B30">
                      <w:pPr>
                        <w:pStyle w:val="BDAbstract"/>
                        <w:spacing w:before="0" w:after="0" w:line="240" w:lineRule="auto"/>
                        <w:jc w:val="center"/>
                        <w:rPr>
                          <w:rFonts w:cs="Helvetica"/>
                          <w:bCs/>
                          <w:sz w:val="20"/>
                          <w:lang w:val="pt-BR"/>
                        </w:rPr>
                      </w:pPr>
                      <w:r w:rsidRPr="00DB4ECD">
                        <w:rPr>
                          <w:rFonts w:cs="Helvetica"/>
                          <w:bCs/>
                          <w:sz w:val="24"/>
                          <w:szCs w:val="24"/>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7D13FB80" w:rsidR="00EA4E1B" w:rsidRDefault="00EA4E1B" w:rsidP="004C2617">
      <w:pPr>
        <w:pStyle w:val="BDAbstract"/>
        <w:spacing w:after="0" w:line="240" w:lineRule="auto"/>
        <w:rPr>
          <w:rFonts w:ascii="Times New Roman" w:hAnsi="Times New Roman"/>
          <w:b w:val="0"/>
          <w:sz w:val="20"/>
          <w:lang w:val="pt-BR"/>
        </w:rPr>
      </w:pPr>
      <w:r>
        <w:rPr>
          <w:rFonts w:ascii="Times New Roman" w:hAnsi="Times New Roman"/>
          <w:b w:val="0"/>
          <w:sz w:val="20"/>
          <w:lang w:val="pt-BR"/>
        </w:rPr>
        <w:t xml:space="preserve">RESUMO - </w:t>
      </w:r>
      <w:r w:rsidR="00A804E7" w:rsidRPr="00A804E7">
        <w:rPr>
          <w:rFonts w:ascii="Times New Roman" w:hAnsi="Times New Roman"/>
          <w:b w:val="0"/>
          <w:sz w:val="20"/>
          <w:lang w:val="pt-BR"/>
        </w:rPr>
        <w:t xml:space="preserve">O aproveitamento de biomassa lignocelulósica tem grande apelo ambiental e econômico. Diferentes substâncias podem ser geradas, dependendo da natureza da biomassa, do processamento realizado e de suas condições. Analisando as biomassas disponíveis, as chamadas lignoceluloses, por constituírem uma matéria prima não comestível, portanto não competem com a geração de alimentos, e por virem muitas vezes de resíduos agrícolas, como  o bagaço de cana de açúcar. Sendo assim, o processamento de biomassa lignocelulósica para geração de diferentes substâncias é economicamente muito interessante. Dentre os processos utilizados, é possível destacar a pirólise rápida que gera uma fração líquida chamada de bio-óleo, rico em compostos orgânicos oxigenados que, depois de devido beneficiamento, pode ser usada como biocombustível. A pirólise ocorre de forma adequada na presença de catalisadores ácidos, </w:t>
      </w:r>
      <w:r w:rsidR="00B02A9C">
        <w:rPr>
          <w:rFonts w:ascii="Times New Roman" w:hAnsi="Times New Roman"/>
          <w:b w:val="0"/>
          <w:sz w:val="20"/>
          <w:lang w:val="pt-BR"/>
        </w:rPr>
        <w:t>podendo</w:t>
      </w:r>
      <w:r w:rsidR="00A804E7" w:rsidRPr="00A804E7">
        <w:rPr>
          <w:rFonts w:ascii="Times New Roman" w:hAnsi="Times New Roman"/>
          <w:b w:val="0"/>
          <w:sz w:val="20"/>
          <w:lang w:val="pt-BR"/>
        </w:rPr>
        <w:t xml:space="preserve"> direcionar reaç</w:t>
      </w:r>
      <w:r w:rsidR="00B02A9C">
        <w:rPr>
          <w:rFonts w:ascii="Times New Roman" w:hAnsi="Times New Roman"/>
          <w:b w:val="0"/>
          <w:sz w:val="20"/>
          <w:lang w:val="pt-BR"/>
        </w:rPr>
        <w:t xml:space="preserve">ões </w:t>
      </w:r>
      <w:r w:rsidR="00A804E7" w:rsidRPr="00A804E7">
        <w:rPr>
          <w:rFonts w:ascii="Times New Roman" w:hAnsi="Times New Roman"/>
          <w:b w:val="0"/>
          <w:sz w:val="20"/>
          <w:lang w:val="pt-BR"/>
        </w:rPr>
        <w:t>para geração dos produtos de maior interesse</w:t>
      </w:r>
      <w:r w:rsidR="00B02A9C">
        <w:rPr>
          <w:rFonts w:ascii="Times New Roman" w:hAnsi="Times New Roman"/>
          <w:b w:val="0"/>
          <w:sz w:val="20"/>
          <w:lang w:val="pt-BR"/>
        </w:rPr>
        <w:t>.</w:t>
      </w:r>
    </w:p>
    <w:p w14:paraId="5D8D4445" w14:textId="722646D2" w:rsidR="00EA4E1B"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 xml:space="preserve">Palavras-chave: </w:t>
      </w:r>
      <w:r w:rsidR="00F12345">
        <w:rPr>
          <w:rFonts w:ascii="Times New Roman" w:hAnsi="Times New Roman"/>
          <w:b w:val="0"/>
          <w:i/>
          <w:sz w:val="20"/>
          <w:lang w:val="pt-BR"/>
        </w:rPr>
        <w:t xml:space="preserve">biomassa lignocelulósica, bio-óleo, </w:t>
      </w:r>
      <w:r w:rsidR="00232C2B">
        <w:rPr>
          <w:rFonts w:ascii="Times New Roman" w:hAnsi="Times New Roman"/>
          <w:b w:val="0"/>
          <w:i/>
          <w:sz w:val="20"/>
          <w:lang w:val="pt-BR"/>
        </w:rPr>
        <w:t>catalisadores ácidos, pirólise</w:t>
      </w:r>
      <w:r w:rsidR="00C46FB5">
        <w:rPr>
          <w:rFonts w:ascii="Times New Roman" w:hAnsi="Times New Roman"/>
          <w:b w:val="0"/>
          <w:i/>
          <w:sz w:val="20"/>
          <w:lang w:val="pt-BR"/>
        </w:rPr>
        <w:t>.</w:t>
      </w:r>
    </w:p>
    <w:p w14:paraId="4EE6BE3C" w14:textId="77777777" w:rsidR="00232C2B" w:rsidRPr="00DA4DFC" w:rsidRDefault="00232C2B" w:rsidP="00EA4E1B">
      <w:pPr>
        <w:pStyle w:val="BDAbstract"/>
        <w:spacing w:before="0" w:after="0" w:line="240" w:lineRule="auto"/>
        <w:rPr>
          <w:rFonts w:ascii="Times New Roman" w:hAnsi="Times New Roman"/>
          <w:b w:val="0"/>
          <w:sz w:val="20"/>
          <w:lang w:val="pt-BR"/>
        </w:rPr>
      </w:pPr>
    </w:p>
    <w:p w14:paraId="766AB34D" w14:textId="368D980F" w:rsidR="00D00CC9" w:rsidRPr="00B02A9C" w:rsidRDefault="00EA4E1B" w:rsidP="0002242F">
      <w:pPr>
        <w:pStyle w:val="BDAbstract"/>
        <w:spacing w:after="0" w:line="240" w:lineRule="auto"/>
        <w:rPr>
          <w:rFonts w:ascii="Times" w:hAnsi="Times" w:cs="Times"/>
          <w:b w:val="0"/>
          <w:bCs/>
          <w:sz w:val="20"/>
          <w:lang w:val="pt-BR"/>
        </w:rPr>
      </w:pPr>
      <w:r>
        <w:rPr>
          <w:rFonts w:ascii="Times New Roman" w:hAnsi="Times New Roman"/>
          <w:b w:val="0"/>
          <w:sz w:val="20"/>
          <w:lang w:val="pt-BR"/>
        </w:rPr>
        <w:t>ABSTRACT -</w:t>
      </w:r>
      <w:r w:rsidR="0002242F" w:rsidRPr="0002242F">
        <w:t xml:space="preserve"> </w:t>
      </w:r>
      <w:r w:rsidR="00B02A9C" w:rsidRPr="00B02A9C">
        <w:rPr>
          <w:rFonts w:ascii="Times" w:hAnsi="Times" w:cs="Times"/>
          <w:b w:val="0"/>
          <w:bCs/>
          <w:sz w:val="20"/>
        </w:rPr>
        <w:t>The use of lignocellulosic biomass has great environmental and economic appeal. Different substances can be generated, depending on the nature of the biomass, the processing carried out and its conditions. Analyzing the available biomasses, the so-called lignocelluloses, since they constitute an inedible raw material, therefore they do not compete with the generation of food, and because they often come from agricultural residues, such as sugar cane bagasse. Therefore, the processing of lignocellulosic biomass to generate different substances is economically very interesting. Among the processes used, it is possible to highlight the rapid pyrolysis that generates a liquid fraction called bio-oil, rich in oxygenated organic compounds that, after due processing, can be used as biofuel. Pyrolysis occurs adequately in the presence of acid catalysts, which can direct reactions to generate the products of greatest interest.</w:t>
      </w:r>
    </w:p>
    <w:p w14:paraId="5F4A84E8" w14:textId="186A7837" w:rsidR="00EA4E1B" w:rsidRPr="00B02A9C" w:rsidRDefault="0002242F" w:rsidP="0002242F">
      <w:pPr>
        <w:pStyle w:val="BDAbstract"/>
        <w:spacing w:before="0" w:after="0" w:line="240" w:lineRule="auto"/>
        <w:rPr>
          <w:rFonts w:ascii="Times" w:hAnsi="Times" w:cs="Times"/>
          <w:b w:val="0"/>
          <w:bCs/>
          <w:i/>
          <w:sz w:val="20"/>
          <w:lang w:val="pt-BR"/>
        </w:rPr>
      </w:pPr>
      <w:r w:rsidRPr="00B02A9C">
        <w:rPr>
          <w:rFonts w:ascii="Times" w:hAnsi="Times" w:cs="Times"/>
          <w:b w:val="0"/>
          <w:bCs/>
          <w:sz w:val="20"/>
          <w:lang w:val="pt-BR"/>
        </w:rPr>
        <w:t>Keywords: lignocellulosic biomass, bio-oil, acid catalysts, pyrolysis</w:t>
      </w:r>
      <w:r w:rsidRPr="00B02A9C">
        <w:rPr>
          <w:rFonts w:ascii="Times New Roman" w:hAnsi="Times New Roman"/>
          <w:b w:val="0"/>
          <w:bCs/>
          <w:sz w:val="20"/>
          <w:lang w:val="pt-BR"/>
        </w:rPr>
        <w:t xml:space="preserve">. </w:t>
      </w:r>
      <w:r w:rsidR="00EA4E1B" w:rsidRPr="00B02A9C">
        <w:rPr>
          <w:rFonts w:ascii="Times New Roman" w:hAnsi="Times New Roman"/>
          <w:b w:val="0"/>
          <w:bCs/>
          <w:sz w:val="20"/>
          <w:lang w:val="pt-BR"/>
        </w:rPr>
        <w:t xml:space="preserve"> </w:t>
      </w:r>
    </w:p>
    <w:bookmarkEnd w:id="1"/>
    <w:p w14:paraId="48D9B0C4" w14:textId="77777777" w:rsidR="00EA4E1B" w:rsidRDefault="00EA4E1B" w:rsidP="00EA4E1B">
      <w:pPr>
        <w:sectPr w:rsidR="00EA4E1B" w:rsidSect="00EA4E1B">
          <w:headerReference w:type="default" r:id="rId11"/>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ACC5773" w14:textId="2EB46C3D" w:rsidR="00631F86" w:rsidRDefault="00631F86" w:rsidP="00631F86">
      <w:pPr>
        <w:pStyle w:val="TAMainText"/>
        <w:rPr>
          <w:rFonts w:ascii="Times New Roman" w:hAnsi="Times New Roman"/>
          <w:lang w:val="pt-BR"/>
        </w:rPr>
      </w:pPr>
      <w:r w:rsidRPr="00631F86">
        <w:rPr>
          <w:rFonts w:ascii="Times New Roman" w:hAnsi="Times New Roman"/>
          <w:lang w:val="pt-BR"/>
        </w:rPr>
        <w:t>A geração de insumos a partir da biomassa tem se tornado uma área de pesquisa importante em muitos países, o que inclui o fato de a indústria de combustíveis estarem mudando sua matriz de hidrocarbonetos fósseis para compostos oriundos de fontes renováveis. Esta mudança de perfil de consumo está associada à diminuição dos impactos ambientais devido ao uso de combustíveis ambientalmente sustentáveis, além de permitir que países que não possuem reservas fósseis possam satisfazer sua demanda energética.</w:t>
      </w:r>
    </w:p>
    <w:p w14:paraId="3C076A96" w14:textId="578EA9A8" w:rsidR="00604577" w:rsidRPr="007231F0" w:rsidRDefault="00604577" w:rsidP="007231F0">
      <w:pPr>
        <w:pStyle w:val="TAMainText"/>
        <w:rPr>
          <w:rFonts w:ascii="Times New Roman" w:hAnsi="Times New Roman"/>
          <w:lang w:val="pt-BR"/>
        </w:rPr>
      </w:pPr>
      <w:r w:rsidRPr="00604577">
        <w:rPr>
          <w:rFonts w:ascii="Times New Roman" w:hAnsi="Times New Roman"/>
          <w:lang w:val="pt-BR"/>
        </w:rPr>
        <w:t>A biomassa lignocelul</w:t>
      </w:r>
      <w:r>
        <w:rPr>
          <w:rFonts w:ascii="Times New Roman" w:hAnsi="Times New Roman"/>
          <w:lang w:val="pt-BR"/>
        </w:rPr>
        <w:t>ósica</w:t>
      </w:r>
      <w:r w:rsidRPr="00604577">
        <w:rPr>
          <w:rFonts w:ascii="Times New Roman" w:hAnsi="Times New Roman"/>
          <w:lang w:val="pt-BR"/>
        </w:rPr>
        <w:t xml:space="preserve"> é derivada de várias fontes, como</w:t>
      </w:r>
      <w:r>
        <w:rPr>
          <w:rFonts w:ascii="Times New Roman" w:hAnsi="Times New Roman"/>
          <w:lang w:val="pt-BR"/>
        </w:rPr>
        <w:t xml:space="preserve"> </w:t>
      </w:r>
      <w:r w:rsidRPr="00604577">
        <w:rPr>
          <w:rFonts w:ascii="Times New Roman" w:hAnsi="Times New Roman"/>
          <w:lang w:val="pt-BR"/>
        </w:rPr>
        <w:t>resíduos agrícolas</w:t>
      </w:r>
      <w:r>
        <w:rPr>
          <w:rFonts w:ascii="Times New Roman" w:hAnsi="Times New Roman"/>
          <w:lang w:val="pt-BR"/>
        </w:rPr>
        <w:t>, florestais, industriais e urbanos</w:t>
      </w:r>
      <w:r w:rsidR="005A6460">
        <w:rPr>
          <w:rFonts w:ascii="Times New Roman" w:hAnsi="Times New Roman"/>
          <w:lang w:val="pt-BR"/>
        </w:rPr>
        <w:t>.</w:t>
      </w:r>
      <w:r w:rsidR="005A6460" w:rsidRPr="005A6460">
        <w:rPr>
          <w:rFonts w:ascii="Georgia" w:eastAsiaTheme="minorEastAsia" w:hAnsi="Georgia" w:cstheme="minorBidi"/>
          <w:color w:val="2E2E2E"/>
          <w:sz w:val="21"/>
          <w:szCs w:val="21"/>
          <w:lang w:val="pt-BR" w:eastAsia="en-US"/>
        </w:rPr>
        <w:t xml:space="preserve"> </w:t>
      </w:r>
      <w:r w:rsidR="005A6460">
        <w:rPr>
          <w:rFonts w:ascii="Times New Roman" w:hAnsi="Times New Roman"/>
          <w:lang w:val="pt-BR"/>
        </w:rPr>
        <w:t>Ela é</w:t>
      </w:r>
      <w:r w:rsidR="005A6460" w:rsidRPr="005A6460">
        <w:rPr>
          <w:rFonts w:ascii="Times New Roman" w:hAnsi="Times New Roman"/>
          <w:lang w:val="pt-BR"/>
        </w:rPr>
        <w:t xml:space="preserve"> compost</w:t>
      </w:r>
      <w:r w:rsidR="005A6460">
        <w:rPr>
          <w:rFonts w:ascii="Times New Roman" w:hAnsi="Times New Roman"/>
          <w:lang w:val="pt-BR"/>
        </w:rPr>
        <w:t>a</w:t>
      </w:r>
      <w:r w:rsidR="005A6460" w:rsidRPr="005A6460">
        <w:rPr>
          <w:rFonts w:ascii="Times New Roman" w:hAnsi="Times New Roman"/>
          <w:lang w:val="pt-BR"/>
        </w:rPr>
        <w:t xml:space="preserve"> principalmente de </w:t>
      </w:r>
      <w:r w:rsidR="005A6460">
        <w:rPr>
          <w:rFonts w:ascii="Times New Roman" w:hAnsi="Times New Roman"/>
          <w:lang w:val="pt-BR"/>
        </w:rPr>
        <w:t>celulose</w:t>
      </w:r>
      <w:r w:rsidR="005A6460" w:rsidRPr="005A6460">
        <w:rPr>
          <w:rFonts w:ascii="Times New Roman" w:hAnsi="Times New Roman"/>
          <w:lang w:val="pt-BR"/>
        </w:rPr>
        <w:t>,</w:t>
      </w:r>
      <w:r w:rsidR="005A6460">
        <w:rPr>
          <w:rFonts w:ascii="Times New Roman" w:hAnsi="Times New Roman"/>
          <w:lang w:val="pt-BR"/>
        </w:rPr>
        <w:t xml:space="preserve"> hemicelulose</w:t>
      </w:r>
      <w:r w:rsidR="005A6460" w:rsidRPr="005A6460">
        <w:rPr>
          <w:rFonts w:ascii="Times New Roman" w:hAnsi="Times New Roman"/>
          <w:lang w:val="pt-BR"/>
        </w:rPr>
        <w:t xml:space="preserve"> e </w:t>
      </w:r>
      <w:r w:rsidR="005A6460" w:rsidRPr="005A6460">
        <w:rPr>
          <w:rFonts w:ascii="Times New Roman" w:hAnsi="Times New Roman"/>
          <w:lang w:val="pt-BR"/>
        </w:rPr>
        <w:t>lignina</w:t>
      </w:r>
      <w:r w:rsidR="005A6460">
        <w:rPr>
          <w:rFonts w:ascii="Times New Roman" w:hAnsi="Times New Roman"/>
          <w:lang w:val="pt-BR"/>
        </w:rPr>
        <w:t xml:space="preserve">, e </w:t>
      </w:r>
      <w:r w:rsidR="005A6460" w:rsidRPr="005A6460">
        <w:rPr>
          <w:rFonts w:ascii="Times New Roman" w:hAnsi="Times New Roman"/>
          <w:lang w:val="pt-BR"/>
        </w:rPr>
        <w:t>suas proporções variam</w:t>
      </w:r>
      <w:r w:rsidR="005A6460">
        <w:rPr>
          <w:rFonts w:ascii="Times New Roman" w:hAnsi="Times New Roman"/>
          <w:lang w:val="pt-BR"/>
        </w:rPr>
        <w:t xml:space="preserve"> de acordo coma </w:t>
      </w:r>
      <w:r w:rsidR="005A6460" w:rsidRPr="005A6460">
        <w:rPr>
          <w:rFonts w:ascii="Times New Roman" w:hAnsi="Times New Roman"/>
          <w:lang w:val="pt-BR"/>
        </w:rPr>
        <w:t>espécie de origem. </w:t>
      </w:r>
      <w:hyperlink r:id="rId12" w:tooltip="Saiba mais sobre o polissacarídeo nas páginas de tópicos geradas por IA da ScienceDirect" w:history="1">
        <w:r w:rsidR="005A6460" w:rsidRPr="005A6460">
          <w:rPr>
            <w:rStyle w:val="Hyperlink"/>
            <w:rFonts w:ascii="Times New Roman" w:hAnsi="Times New Roman"/>
            <w:color w:val="000000" w:themeColor="text1"/>
            <w:u w:val="none"/>
            <w:lang w:val="pt-BR"/>
          </w:rPr>
          <w:t>A celulose é um polissacarídeo</w:t>
        </w:r>
      </w:hyperlink>
      <w:r w:rsidR="005A6460" w:rsidRPr="005A6460">
        <w:rPr>
          <w:rFonts w:ascii="Times New Roman" w:hAnsi="Times New Roman"/>
          <w:lang w:val="pt-BR"/>
        </w:rPr>
        <w:t> linear e não ramificado</w:t>
      </w:r>
      <w:r w:rsidR="005A6460">
        <w:rPr>
          <w:rFonts w:ascii="Times New Roman" w:hAnsi="Times New Roman"/>
          <w:lang w:val="pt-BR"/>
        </w:rPr>
        <w:t xml:space="preserve">, </w:t>
      </w:r>
      <w:r w:rsidR="005A6460" w:rsidRPr="005A6460">
        <w:rPr>
          <w:rFonts w:ascii="Times New Roman" w:hAnsi="Times New Roman"/>
          <w:lang w:val="pt-BR"/>
        </w:rPr>
        <w:t>formado por unidades de glicose conectadas por ligações β-1,4-glicosídicas,</w:t>
      </w:r>
      <w:r w:rsidR="007231F0">
        <w:rPr>
          <w:rFonts w:ascii="Times New Roman" w:hAnsi="Times New Roman"/>
          <w:lang w:val="pt-BR"/>
        </w:rPr>
        <w:t xml:space="preserve"> </w:t>
      </w:r>
      <w:r w:rsidR="005A6460" w:rsidRPr="005A6460">
        <w:rPr>
          <w:rFonts w:ascii="Times New Roman" w:hAnsi="Times New Roman"/>
          <w:lang w:val="pt-BR"/>
        </w:rPr>
        <w:t>a hemicelulose é um heteropolímero</w:t>
      </w:r>
      <w:r w:rsidR="005A6460">
        <w:rPr>
          <w:rFonts w:ascii="Times New Roman" w:hAnsi="Times New Roman"/>
          <w:lang w:val="pt-BR"/>
        </w:rPr>
        <w:t xml:space="preserve"> </w:t>
      </w:r>
      <w:r w:rsidR="005A6460" w:rsidRPr="005A6460">
        <w:rPr>
          <w:rFonts w:ascii="Times New Roman" w:hAnsi="Times New Roman"/>
          <w:lang w:val="pt-BR"/>
        </w:rPr>
        <w:t xml:space="preserve">altamente ramificado composto </w:t>
      </w:r>
      <w:r w:rsidR="005A6460" w:rsidRPr="005A6460">
        <w:rPr>
          <w:rFonts w:ascii="Times New Roman" w:hAnsi="Times New Roman"/>
          <w:color w:val="000000" w:themeColor="text1"/>
          <w:lang w:val="pt-BR"/>
        </w:rPr>
        <w:t>por </w:t>
      </w:r>
      <w:hyperlink r:id="rId13" w:tooltip="Saiba mais sobre hexoses nas páginas de tópicos geradas por IA da ScienceDirect" w:history="1">
        <w:r w:rsidR="005A6460" w:rsidRPr="005A6460">
          <w:rPr>
            <w:rStyle w:val="Hyperlink"/>
            <w:rFonts w:ascii="Times New Roman" w:hAnsi="Times New Roman"/>
            <w:color w:val="000000" w:themeColor="text1"/>
            <w:u w:val="none"/>
            <w:lang w:val="pt-BR"/>
          </w:rPr>
          <w:t>hexoses </w:t>
        </w:r>
      </w:hyperlink>
      <w:r w:rsidR="005A6460" w:rsidRPr="005A6460">
        <w:rPr>
          <w:rFonts w:ascii="Times New Roman" w:hAnsi="Times New Roman"/>
          <w:color w:val="000000" w:themeColor="text1"/>
          <w:lang w:val="pt-BR"/>
        </w:rPr>
        <w:t>, </w:t>
      </w:r>
      <w:hyperlink r:id="rId14" w:tooltip="Saiba mais sobre pentoses nas páginas de tópicos geradas por IA da ScienceDirect" w:history="1">
        <w:r w:rsidR="005A6460" w:rsidRPr="005A6460">
          <w:rPr>
            <w:rStyle w:val="Hyperlink"/>
            <w:rFonts w:ascii="Times New Roman" w:hAnsi="Times New Roman"/>
            <w:color w:val="000000" w:themeColor="text1"/>
            <w:u w:val="none"/>
            <w:lang w:val="pt-BR"/>
          </w:rPr>
          <w:t>pentoses </w:t>
        </w:r>
      </w:hyperlink>
      <w:r w:rsidR="005A6460" w:rsidRPr="005A6460">
        <w:rPr>
          <w:rFonts w:ascii="Times New Roman" w:hAnsi="Times New Roman"/>
          <w:color w:val="000000" w:themeColor="text1"/>
          <w:lang w:val="pt-BR"/>
        </w:rPr>
        <w:t>e </w:t>
      </w:r>
      <w:hyperlink r:id="rId15" w:tooltip="Saiba mais sobre ácidos urônicos nas páginas de tópicos geradas por IA da ScienceDirect" w:history="1">
        <w:r w:rsidR="005A6460" w:rsidRPr="005A6460">
          <w:rPr>
            <w:rStyle w:val="Hyperlink"/>
            <w:rFonts w:ascii="Times New Roman" w:hAnsi="Times New Roman"/>
            <w:color w:val="000000" w:themeColor="text1"/>
            <w:u w:val="none"/>
            <w:lang w:val="pt-BR"/>
          </w:rPr>
          <w:t>ácidos urônicos</w:t>
        </w:r>
      </w:hyperlink>
      <w:r w:rsidR="007231F0">
        <w:rPr>
          <w:rFonts w:ascii="Times New Roman" w:hAnsi="Times New Roman"/>
          <w:color w:val="000000" w:themeColor="text1"/>
          <w:lang w:val="pt-BR"/>
        </w:rPr>
        <w:t xml:space="preserve">, já a lignina é um </w:t>
      </w:r>
      <w:r w:rsidR="007231F0">
        <w:rPr>
          <w:rFonts w:ascii="Times New Roman" w:hAnsi="Times New Roman"/>
          <w:color w:val="000000" w:themeColor="text1"/>
          <w:lang w:val="pt-BR"/>
        </w:rPr>
        <w:t>biopolímero</w:t>
      </w:r>
      <w:r w:rsidR="005A6460" w:rsidRPr="005A6460">
        <w:rPr>
          <w:rFonts w:ascii="Times New Roman" w:hAnsi="Times New Roman"/>
          <w:lang w:val="pt-BR"/>
        </w:rPr>
        <w:t xml:space="preserve"> tridimensional constituído </w:t>
      </w:r>
      <w:r w:rsidR="007231F0">
        <w:rPr>
          <w:rFonts w:ascii="Times New Roman" w:hAnsi="Times New Roman"/>
          <w:lang w:val="pt-BR"/>
        </w:rPr>
        <w:t xml:space="preserve">por unidades de </w:t>
      </w:r>
      <w:hyperlink r:id="rId16" w:tooltip="Saiba mais sobre o fenilpropanoide nas páginas de tópicos geradas por IA da ScienceDirect" w:history="1">
        <w:r w:rsidR="005A6460" w:rsidRPr="007231F0">
          <w:rPr>
            <w:rStyle w:val="Hyperlink"/>
            <w:rFonts w:ascii="Times New Roman" w:hAnsi="Times New Roman"/>
            <w:color w:val="000000" w:themeColor="text1"/>
            <w:u w:val="none"/>
            <w:lang w:val="pt-BR"/>
          </w:rPr>
          <w:t>fenilpropanóides</w:t>
        </w:r>
      </w:hyperlink>
      <w:r w:rsidR="005A6460" w:rsidRPr="007231F0">
        <w:rPr>
          <w:rFonts w:ascii="Times New Roman" w:hAnsi="Times New Roman"/>
          <w:lang w:val="pt-BR"/>
        </w:rPr>
        <w:t> derivadas de monolignóis</w:t>
      </w:r>
      <w:r w:rsidR="00BF7936">
        <w:rPr>
          <w:rFonts w:ascii="Times New Roman" w:hAnsi="Times New Roman"/>
          <w:lang w:val="pt-BR"/>
        </w:rPr>
        <w:t xml:space="preserve"> (1,2)</w:t>
      </w:r>
      <w:r w:rsidR="007231F0">
        <w:rPr>
          <w:rFonts w:ascii="Times New Roman" w:hAnsi="Times New Roman"/>
          <w:lang w:val="pt-BR"/>
        </w:rPr>
        <w:t>.</w:t>
      </w:r>
    </w:p>
    <w:p w14:paraId="1C43B078" w14:textId="7D3758AE" w:rsidR="00631F86" w:rsidRPr="00631F86" w:rsidRDefault="00631F86" w:rsidP="00631F86">
      <w:pPr>
        <w:pStyle w:val="TAMainText"/>
        <w:rPr>
          <w:rFonts w:ascii="Times New Roman" w:hAnsi="Times New Roman"/>
          <w:lang w:val="pt-BR"/>
        </w:rPr>
      </w:pPr>
      <w:r w:rsidRPr="007231F0">
        <w:rPr>
          <w:rFonts w:ascii="Times New Roman" w:hAnsi="Times New Roman"/>
          <w:lang w:val="pt-BR"/>
        </w:rPr>
        <w:t>Dentre os processos realizados com a</w:t>
      </w:r>
      <w:r w:rsidRPr="00631F86">
        <w:rPr>
          <w:rFonts w:ascii="Times New Roman" w:hAnsi="Times New Roman"/>
          <w:lang w:val="pt-BR"/>
        </w:rPr>
        <w:t xml:space="preserve"> biomassa lignocelulósica, pode-se destacar a pirólise rápida, na qual qualquer tipo de biomassa é aquecido bruscamente a temperatura moderada, em torno de 500 °C, sob vazão de gás inerte, na ausência total de oxigênio. Assim, devido à alta temperatura os componentes da biomassa (lignina, celulose e hemicelulose) são degradados,  produzindo então três produtos diferentes: bio-óleo – fração líquida, bio-carvão – fração sólida e gases. A composição do bio-óleo depende fortemente da natureza da biomassa, condições da pirólise   como temperatura, a faixa de aquecimento e o fluxo de gás e, se for usado catalisador, também do material usado</w:t>
      </w:r>
      <w:r w:rsidR="0017711D">
        <w:rPr>
          <w:rFonts w:ascii="Times New Roman" w:hAnsi="Times New Roman"/>
          <w:lang w:val="pt-BR"/>
        </w:rPr>
        <w:t xml:space="preserve"> (</w:t>
      </w:r>
      <w:r w:rsidR="00BF7936">
        <w:rPr>
          <w:rFonts w:ascii="Times New Roman" w:hAnsi="Times New Roman"/>
          <w:lang w:val="pt-BR"/>
        </w:rPr>
        <w:t>3,4</w:t>
      </w:r>
      <w:r w:rsidR="00B9592F">
        <w:rPr>
          <w:rFonts w:ascii="Times New Roman" w:hAnsi="Times New Roman"/>
          <w:lang w:val="pt-BR"/>
        </w:rPr>
        <w:t>,</w:t>
      </w:r>
      <w:r w:rsidR="006637C3">
        <w:rPr>
          <w:rFonts w:ascii="Times New Roman" w:hAnsi="Times New Roman"/>
          <w:lang w:val="pt-BR"/>
        </w:rPr>
        <w:t>8</w:t>
      </w:r>
      <w:r w:rsidR="0017711D">
        <w:rPr>
          <w:rFonts w:ascii="Times New Roman" w:hAnsi="Times New Roman"/>
          <w:lang w:val="pt-BR"/>
        </w:rPr>
        <w:t>)</w:t>
      </w:r>
      <w:r w:rsidRPr="00631F86">
        <w:rPr>
          <w:rFonts w:ascii="Times New Roman" w:hAnsi="Times New Roman"/>
          <w:lang w:val="pt-BR"/>
        </w:rPr>
        <w:t>.</w:t>
      </w:r>
    </w:p>
    <w:p w14:paraId="6BD5AF54" w14:textId="41C9C06C" w:rsidR="00631F86" w:rsidRPr="00631F86" w:rsidRDefault="00631F86" w:rsidP="00631F86">
      <w:pPr>
        <w:pStyle w:val="TAMainText"/>
        <w:rPr>
          <w:rFonts w:ascii="Times New Roman" w:hAnsi="Times New Roman"/>
          <w:lang w:val="pt-BR"/>
        </w:rPr>
      </w:pPr>
      <w:r w:rsidRPr="00631F86">
        <w:rPr>
          <w:rFonts w:ascii="Times New Roman" w:hAnsi="Times New Roman"/>
          <w:lang w:val="pt-BR"/>
        </w:rPr>
        <w:t xml:space="preserve">O bio-óleo tem cada vez mais despertado atenção mundial devido aos seus potenciais de utilização, como biocombustível, bem como ou como fonte de produtos químicos industriais. Ele é  uma mistura complexa composta por produtos gerados a partir da despolimerização dos </w:t>
      </w:r>
      <w:r w:rsidRPr="00631F86">
        <w:rPr>
          <w:rFonts w:ascii="Times New Roman" w:hAnsi="Times New Roman"/>
          <w:lang w:val="pt-BR"/>
        </w:rPr>
        <w:lastRenderedPageBreak/>
        <w:t>constituintes da biomassa. Devido a mistura de compostos orgânicos polares oxigenados o bio-óleo possui uma ampla funcionalidade química, como por exemplo açúcares anidros, ácidos carboxílicos, aromáticos fenólicos e hidrocarbonetos, compostos carbonílicos como cetonas, aldeídos e furanóides e, compostos nitrogenados. Assim, com o objetivo de fim de obter maior produção e melhor direcionamento dos constituintes de um bio-óleo durante a pirólise, propõem-se a utilização de catalisadores sólidos ácidos, advindos da síntese de carvões mesoporosos a partir de açucares (frutose, sacarose e glicose). Visando assim, uma melhor composição do bio-óleo gerado, bem como otimizar a reação através da utilização destes catalisadores</w:t>
      </w:r>
      <w:r w:rsidR="0090446D">
        <w:rPr>
          <w:rFonts w:ascii="Times New Roman" w:hAnsi="Times New Roman"/>
          <w:lang w:val="pt-BR"/>
        </w:rPr>
        <w:t xml:space="preserve"> (</w:t>
      </w:r>
      <w:r w:rsidR="004F68FB">
        <w:rPr>
          <w:rFonts w:ascii="Times New Roman" w:hAnsi="Times New Roman"/>
          <w:lang w:val="pt-BR"/>
        </w:rPr>
        <w:t>4</w:t>
      </w:r>
      <w:r w:rsidR="0090446D">
        <w:rPr>
          <w:rFonts w:ascii="Times New Roman" w:hAnsi="Times New Roman"/>
          <w:lang w:val="pt-BR"/>
        </w:rPr>
        <w:t>-</w:t>
      </w:r>
      <w:r w:rsidR="004F68FB">
        <w:rPr>
          <w:rFonts w:ascii="Times New Roman" w:hAnsi="Times New Roman"/>
          <w:lang w:val="pt-BR"/>
        </w:rPr>
        <w:t>6</w:t>
      </w:r>
      <w:r w:rsidR="0090446D">
        <w:rPr>
          <w:rFonts w:ascii="Times New Roman" w:hAnsi="Times New Roman"/>
          <w:lang w:val="pt-BR"/>
        </w:rPr>
        <w:t>)</w:t>
      </w:r>
      <w:r w:rsidRPr="00631F86">
        <w:rPr>
          <w:rFonts w:ascii="Times New Roman" w:hAnsi="Times New Roman"/>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6DFD8AAD" w14:textId="4F109B36" w:rsidR="00EB3FC4" w:rsidRPr="00735B57" w:rsidRDefault="00EB3FC4" w:rsidP="00EB3FC4">
      <w:pPr>
        <w:pStyle w:val="TAMainText"/>
        <w:ind w:firstLine="0"/>
        <w:rPr>
          <w:rFonts w:ascii="Times New Roman" w:hAnsi="Times New Roman"/>
          <w:i/>
          <w:iCs/>
          <w:lang w:val="pt-BR"/>
        </w:rPr>
      </w:pPr>
      <w:r w:rsidRPr="00735B57">
        <w:rPr>
          <w:rFonts w:ascii="Times New Roman" w:hAnsi="Times New Roman"/>
          <w:i/>
          <w:iCs/>
          <w:lang w:val="pt-BR"/>
        </w:rPr>
        <w:t>Síntese dos catalisadores</w:t>
      </w:r>
    </w:p>
    <w:p w14:paraId="32BDFB1F" w14:textId="752111D7" w:rsidR="00EB3FC4" w:rsidRDefault="00EB3FC4" w:rsidP="00EB3FC4">
      <w:pPr>
        <w:pStyle w:val="TAMainText"/>
        <w:rPr>
          <w:rFonts w:ascii="Times New Roman" w:hAnsi="Times New Roman"/>
          <w:lang w:val="pt-BR"/>
        </w:rPr>
      </w:pPr>
      <w:r w:rsidRPr="00EB3FC4">
        <w:rPr>
          <w:rFonts w:ascii="Times New Roman" w:hAnsi="Times New Roman"/>
          <w:lang w:val="pt-BR"/>
        </w:rPr>
        <w:t xml:space="preserve"> O carv</w:t>
      </w:r>
      <w:r w:rsidR="0085362F">
        <w:rPr>
          <w:rFonts w:ascii="Times New Roman" w:hAnsi="Times New Roman"/>
          <w:lang w:val="pt-BR"/>
        </w:rPr>
        <w:t>ão</w:t>
      </w:r>
      <w:r w:rsidRPr="00EB3FC4">
        <w:rPr>
          <w:rFonts w:ascii="Times New Roman" w:hAnsi="Times New Roman"/>
          <w:lang w:val="pt-BR"/>
        </w:rPr>
        <w:t xml:space="preserve"> mesoporoso fo</w:t>
      </w:r>
      <w:r w:rsidR="0085362F">
        <w:rPr>
          <w:rFonts w:ascii="Times New Roman" w:hAnsi="Times New Roman"/>
          <w:lang w:val="pt-BR"/>
        </w:rPr>
        <w:t>i</w:t>
      </w:r>
      <w:r w:rsidRPr="00EB3FC4">
        <w:rPr>
          <w:rFonts w:ascii="Times New Roman" w:hAnsi="Times New Roman"/>
          <w:lang w:val="pt-BR"/>
        </w:rPr>
        <w:t xml:space="preserve"> sintetizado com base no procedimento empregado por SOUSA (2009) que fez uso da sacarose como fonte de carbono e sílica como direcionadores de estrutura.</w:t>
      </w:r>
    </w:p>
    <w:p w14:paraId="4E0106D7" w14:textId="5DA48302" w:rsidR="00EB3FC4" w:rsidRPr="00EB3FC4" w:rsidRDefault="00EB3FC4" w:rsidP="00EB3FC4">
      <w:pPr>
        <w:pStyle w:val="TAMainText"/>
        <w:rPr>
          <w:rFonts w:ascii="Times New Roman" w:hAnsi="Times New Roman"/>
          <w:lang w:val="pt-BR"/>
        </w:rPr>
      </w:pPr>
    </w:p>
    <w:p w14:paraId="3D5799DF" w14:textId="77777777" w:rsidR="00EB3FC4" w:rsidRPr="00EB3FC4" w:rsidRDefault="00EB3FC4" w:rsidP="003B590E">
      <w:pPr>
        <w:pStyle w:val="TAMainText"/>
        <w:ind w:firstLine="0"/>
        <w:rPr>
          <w:rFonts w:ascii="Times New Roman" w:hAnsi="Times New Roman"/>
          <w:lang w:val="pt-BR"/>
        </w:rPr>
      </w:pPr>
      <w:r w:rsidRPr="00EB3FC4">
        <w:rPr>
          <w:rFonts w:ascii="Times New Roman" w:hAnsi="Times New Roman"/>
          <w:lang w:val="pt-BR"/>
        </w:rPr>
        <w:t>1ª etapa: Polimerização</w:t>
      </w:r>
    </w:p>
    <w:p w14:paraId="64B6D009" w14:textId="204F270A" w:rsidR="00EB3FC4" w:rsidRDefault="004D22B4" w:rsidP="00EB3FC4">
      <w:pPr>
        <w:pStyle w:val="TAMainText"/>
        <w:rPr>
          <w:rFonts w:ascii="Times New Roman" w:hAnsi="Times New Roman"/>
          <w:lang w:val="pt-BR"/>
        </w:rPr>
      </w:pPr>
      <w:r>
        <w:rPr>
          <w:rFonts w:ascii="Times New Roman" w:hAnsi="Times New Roman"/>
          <w:lang w:val="pt-BR"/>
        </w:rPr>
        <w:t xml:space="preserve">Em um bécher era adicionado a água, sacarose e ácido sulfúrico, respectivamente. Após a completa dissolução da sacarose, esta era adicionada no balão de Rotaevaporador contendo a silica. Então, o balão contendo todos os reagentes era levado para rotação no Rotaevaporador , a temperatura ambiente durante 1h. Ao final da mistura dos reagentes, o balão era aquecido a 100 ºC, em banho de silicone, no sistema do  próprio aparelho. </w:t>
      </w:r>
      <w:r w:rsidR="009B2529">
        <w:rPr>
          <w:rFonts w:ascii="Times New Roman" w:hAnsi="Times New Roman"/>
          <w:lang w:val="pt-BR"/>
        </w:rPr>
        <w:t>O aquecimento tinha duração de 2h e 30 min, a 100 ºC, medido por um termômetro digital colocado no banho. O sistema era mantido em aquecimento, com o objetivo de iniciar a polimerização da sacarose, com catalise ácida</w:t>
      </w:r>
      <w:r w:rsidR="00EB3FC4" w:rsidRPr="00EB3FC4">
        <w:rPr>
          <w:rFonts w:ascii="Times New Roman" w:hAnsi="Times New Roman"/>
          <w:lang w:val="pt-BR"/>
        </w:rPr>
        <w:t>. Em seguida,</w:t>
      </w:r>
      <w:r w:rsidR="009B2529">
        <w:rPr>
          <w:rFonts w:ascii="Times New Roman" w:hAnsi="Times New Roman"/>
          <w:lang w:val="pt-BR"/>
        </w:rPr>
        <w:t xml:space="preserve"> mantendo a temperatura e rotação, o vácuo era ligado, e assim a reação permanecia por mais 2h e 30 min. O vácuo tinha por objetivo dar continuidade, uma vez que, a retirada de água do meio reacional favorece a polimerização, devido o deslocamento de equilíbrio. Ao final, o material era colocado em estufa , durante 12h a</w:t>
      </w:r>
      <w:r w:rsidR="00D23AB2">
        <w:rPr>
          <w:rFonts w:ascii="Times New Roman" w:hAnsi="Times New Roman"/>
          <w:lang w:val="pt-BR"/>
        </w:rPr>
        <w:t>quecida a</w:t>
      </w:r>
      <w:r w:rsidR="009B2529">
        <w:rPr>
          <w:rFonts w:ascii="Times New Roman" w:hAnsi="Times New Roman"/>
          <w:lang w:val="pt-BR"/>
        </w:rPr>
        <w:t xml:space="preserve"> 110 ºC</w:t>
      </w:r>
      <w:r w:rsidR="00D23AB2">
        <w:rPr>
          <w:rFonts w:ascii="Times New Roman" w:hAnsi="Times New Roman"/>
          <w:lang w:val="pt-BR"/>
        </w:rPr>
        <w:t>.</w:t>
      </w:r>
    </w:p>
    <w:p w14:paraId="25B0D452" w14:textId="77777777" w:rsidR="00EB3FC4" w:rsidRPr="00EB3FC4" w:rsidRDefault="00EB3FC4" w:rsidP="00EB3FC4">
      <w:pPr>
        <w:pStyle w:val="TAMainText"/>
        <w:rPr>
          <w:rFonts w:ascii="Times New Roman" w:hAnsi="Times New Roman"/>
          <w:lang w:val="pt-BR"/>
        </w:rPr>
      </w:pPr>
    </w:p>
    <w:p w14:paraId="5457C2CF" w14:textId="77777777" w:rsidR="00EB3FC4" w:rsidRPr="00EB3FC4" w:rsidRDefault="00EB3FC4" w:rsidP="003B590E">
      <w:pPr>
        <w:pStyle w:val="TAMainText"/>
        <w:ind w:firstLine="0"/>
        <w:rPr>
          <w:rFonts w:ascii="Times New Roman" w:hAnsi="Times New Roman"/>
          <w:lang w:val="pt-BR"/>
        </w:rPr>
      </w:pPr>
      <w:r w:rsidRPr="00EB3FC4">
        <w:rPr>
          <w:rFonts w:ascii="Times New Roman" w:hAnsi="Times New Roman"/>
          <w:lang w:val="pt-BR"/>
        </w:rPr>
        <w:t xml:space="preserve">2ª etapa: Carbonização </w:t>
      </w:r>
    </w:p>
    <w:p w14:paraId="45D95B5C" w14:textId="16E49296" w:rsidR="00EB3FC4" w:rsidRDefault="00C15B74" w:rsidP="00EB3FC4">
      <w:pPr>
        <w:pStyle w:val="TAMainText"/>
        <w:rPr>
          <w:rFonts w:ascii="Times New Roman" w:hAnsi="Times New Roman"/>
          <w:lang w:val="pt-BR"/>
        </w:rPr>
      </w:pPr>
      <w:r>
        <w:rPr>
          <w:rFonts w:ascii="Times New Roman" w:hAnsi="Times New Roman"/>
          <w:lang w:val="pt-BR"/>
        </w:rPr>
        <w:t>Na etapa de carbonização foi utilizado um tubo de quartzo em formato de U, no fundo do tubo era colocado um pouco de lã de quartzo e  adicionado o material seco.</w:t>
      </w:r>
      <w:r w:rsidR="00B3420C">
        <w:rPr>
          <w:rFonts w:ascii="Times New Roman" w:hAnsi="Times New Roman"/>
          <w:lang w:val="pt-BR"/>
        </w:rPr>
        <w:t xml:space="preserve"> Durante toda a carbonização o tubo era alimentado com gás He, a uma vazão em que  a razão massa/vazão volumétrica fosse de 0,12 g</w:t>
      </w:r>
      <w:r w:rsidR="00B3420C" w:rsidRPr="00B3420C">
        <w:rPr>
          <w:rFonts w:ascii="Times New Roman" w:hAnsi="Times New Roman"/>
          <w:vertAlign w:val="subscript"/>
          <w:lang w:val="pt-BR"/>
        </w:rPr>
        <w:t>material</w:t>
      </w:r>
      <w:r w:rsidR="00B3420C">
        <w:rPr>
          <w:rFonts w:ascii="Times New Roman" w:hAnsi="Times New Roman"/>
          <w:lang w:val="pt-BR"/>
        </w:rPr>
        <w:t>/(mL</w:t>
      </w:r>
      <w:r w:rsidR="006119D8">
        <w:rPr>
          <w:rFonts w:ascii="Times New Roman" w:hAnsi="Times New Roman"/>
          <w:lang w:val="pt-BR"/>
        </w:rPr>
        <w:t>/</w:t>
      </w:r>
      <w:r w:rsidR="00B3420C">
        <w:rPr>
          <w:rFonts w:ascii="Times New Roman" w:hAnsi="Times New Roman"/>
          <w:lang w:val="pt-BR"/>
        </w:rPr>
        <w:t>min)</w:t>
      </w:r>
      <w:r w:rsidR="00B3420C" w:rsidRPr="00B3420C">
        <w:rPr>
          <w:rFonts w:ascii="Times New Roman" w:hAnsi="Times New Roman"/>
          <w:vertAlign w:val="subscript"/>
          <w:lang w:val="pt-BR"/>
        </w:rPr>
        <w:t>He</w:t>
      </w:r>
      <w:r w:rsidR="00B3420C">
        <w:rPr>
          <w:rFonts w:ascii="Times New Roman" w:hAnsi="Times New Roman"/>
          <w:lang w:val="pt-BR"/>
        </w:rPr>
        <w:t>, medida na saída do reator. O reator para calcinação era aquecido a uma taxa de 3 ºC/min, da temperatura ambiente até 800 ºC</w:t>
      </w:r>
      <w:r w:rsidR="006119D8">
        <w:rPr>
          <w:rFonts w:ascii="Times New Roman" w:hAnsi="Times New Roman"/>
          <w:lang w:val="pt-BR"/>
        </w:rPr>
        <w:t>, permanecendo por 3h nesta temperatura. Ao final da carbonização, o reator era deixado resfriando sob corrente de He.</w:t>
      </w:r>
    </w:p>
    <w:p w14:paraId="3C7E9768" w14:textId="297B13D5" w:rsidR="003B590E" w:rsidRDefault="003B590E" w:rsidP="003B590E">
      <w:pPr>
        <w:pStyle w:val="TAMainText"/>
        <w:ind w:firstLine="0"/>
        <w:rPr>
          <w:rFonts w:ascii="Times New Roman" w:hAnsi="Times New Roman"/>
          <w:lang w:val="pt-BR"/>
        </w:rPr>
      </w:pPr>
    </w:p>
    <w:p w14:paraId="3E92C24C" w14:textId="141D20C3" w:rsidR="00EB3FC4" w:rsidRPr="00EB3FC4" w:rsidRDefault="00EB3FC4" w:rsidP="003B590E">
      <w:pPr>
        <w:pStyle w:val="TAMainText"/>
        <w:ind w:firstLine="0"/>
        <w:rPr>
          <w:rFonts w:ascii="Times New Roman" w:hAnsi="Times New Roman"/>
          <w:lang w:val="pt-BR"/>
        </w:rPr>
      </w:pPr>
      <w:r w:rsidRPr="00EB3FC4">
        <w:rPr>
          <w:rFonts w:ascii="Times New Roman" w:hAnsi="Times New Roman"/>
          <w:lang w:val="pt-BR"/>
        </w:rPr>
        <w:t xml:space="preserve">3ª etapa: Remoção da sílica </w:t>
      </w:r>
    </w:p>
    <w:p w14:paraId="1F34AA57" w14:textId="3CFC2964" w:rsidR="00EB3FC4" w:rsidRPr="00EB3FC4" w:rsidRDefault="004F2C30" w:rsidP="00EB3FC4">
      <w:pPr>
        <w:pStyle w:val="TAMainText"/>
        <w:rPr>
          <w:rFonts w:ascii="Times New Roman" w:hAnsi="Times New Roman"/>
          <w:lang w:val="pt-BR"/>
        </w:rPr>
      </w:pPr>
      <w:r>
        <w:rPr>
          <w:rFonts w:ascii="Times New Roman" w:hAnsi="Times New Roman"/>
          <w:lang w:val="pt-BR"/>
        </w:rPr>
        <w:t xml:space="preserve">A etapa ocorreu utilizando uma solução aquosa de </w:t>
      </w:r>
      <w:r w:rsidR="00EB3FC4" w:rsidRPr="00EB3FC4">
        <w:rPr>
          <w:rFonts w:ascii="Times New Roman" w:hAnsi="Times New Roman"/>
          <w:lang w:val="pt-BR"/>
        </w:rPr>
        <w:t>KOH 1M</w:t>
      </w:r>
      <w:r w:rsidR="009D32CD">
        <w:rPr>
          <w:rFonts w:ascii="Times New Roman" w:hAnsi="Times New Roman"/>
          <w:lang w:val="pt-BR"/>
        </w:rPr>
        <w:t>. O material carbonizado foi colocado em um becher de TEFLON e o hidróxido de potássio foi adicionado, em quantidade já pré-estabelecidas através de cálculos estequiométricos. A mistura permaneceu sob agitação magnética por 12h. Ao final deste tempo, o material foi lavado com água destilada e filtrado, utilizando bomba de vácuo e papel filtro ( com poros de 8um)</w:t>
      </w:r>
      <w:r w:rsidR="00B75085">
        <w:rPr>
          <w:rFonts w:ascii="Times New Roman" w:hAnsi="Times New Roman"/>
          <w:lang w:val="pt-BR"/>
        </w:rPr>
        <w:t>, seguindo com a lavagem</w:t>
      </w:r>
      <w:r w:rsidR="009D32CD">
        <w:rPr>
          <w:rFonts w:ascii="Times New Roman" w:hAnsi="Times New Roman"/>
          <w:lang w:val="pt-BR"/>
        </w:rPr>
        <w:t xml:space="preserve">  até </w:t>
      </w:r>
      <w:r w:rsidR="00B75085">
        <w:rPr>
          <w:rFonts w:ascii="Times New Roman" w:hAnsi="Times New Roman"/>
          <w:lang w:val="pt-BR"/>
        </w:rPr>
        <w:t>que</w:t>
      </w:r>
      <w:r w:rsidR="009D32CD">
        <w:rPr>
          <w:rFonts w:ascii="Times New Roman" w:hAnsi="Times New Roman"/>
          <w:lang w:val="pt-BR"/>
        </w:rPr>
        <w:t xml:space="preserve"> pH </w:t>
      </w:r>
      <w:r w:rsidR="00B75085">
        <w:rPr>
          <w:rFonts w:ascii="Times New Roman" w:hAnsi="Times New Roman"/>
          <w:lang w:val="pt-BR"/>
        </w:rPr>
        <w:t xml:space="preserve">do efluente atingisse o valor de </w:t>
      </w:r>
      <w:r w:rsidR="009D32CD">
        <w:rPr>
          <w:rFonts w:ascii="Times New Roman" w:hAnsi="Times New Roman"/>
          <w:lang w:val="pt-BR"/>
        </w:rPr>
        <w:t>7.</w:t>
      </w:r>
      <w:r w:rsidR="00B75085">
        <w:rPr>
          <w:rFonts w:ascii="Times New Roman" w:hAnsi="Times New Roman"/>
          <w:lang w:val="pt-BR"/>
        </w:rPr>
        <w:t xml:space="preserve"> O pH era medido usando fita medidora universal (MERCK).</w:t>
      </w:r>
      <w:r w:rsidR="009D32CD">
        <w:rPr>
          <w:rFonts w:ascii="Times New Roman" w:hAnsi="Times New Roman"/>
          <w:lang w:val="pt-BR"/>
        </w:rPr>
        <w:t xml:space="preserve"> </w:t>
      </w:r>
      <w:r w:rsidR="00B75085">
        <w:rPr>
          <w:rFonts w:ascii="Times New Roman" w:hAnsi="Times New Roman"/>
          <w:lang w:val="pt-BR"/>
        </w:rPr>
        <w:t>Ao final, o material era</w:t>
      </w:r>
      <w:r w:rsidR="00EB3FC4" w:rsidRPr="00EB3FC4">
        <w:rPr>
          <w:rFonts w:ascii="Times New Roman" w:hAnsi="Times New Roman"/>
          <w:lang w:val="pt-BR"/>
        </w:rPr>
        <w:t xml:space="preserve"> seco em estufa a 110 °C por 12 h.</w:t>
      </w:r>
    </w:p>
    <w:p w14:paraId="66E664B8" w14:textId="77777777" w:rsidR="00EB3FC4" w:rsidRDefault="00EB3FC4" w:rsidP="00EB3FC4">
      <w:pPr>
        <w:pStyle w:val="TAMainText"/>
        <w:ind w:firstLine="0"/>
        <w:rPr>
          <w:rFonts w:ascii="Times New Roman" w:hAnsi="Times New Roman"/>
          <w:lang w:val="pt-BR"/>
        </w:rPr>
      </w:pPr>
    </w:p>
    <w:p w14:paraId="7D531A4C" w14:textId="2FB2CAF3" w:rsidR="00EB3FC4" w:rsidRPr="00735B57" w:rsidRDefault="00EB3FC4" w:rsidP="00EB3FC4">
      <w:pPr>
        <w:pStyle w:val="TAMainText"/>
        <w:ind w:firstLine="0"/>
        <w:rPr>
          <w:rFonts w:ascii="Times New Roman" w:hAnsi="Times New Roman"/>
          <w:i/>
          <w:iCs/>
          <w:lang w:val="pt-BR"/>
        </w:rPr>
      </w:pPr>
      <w:r w:rsidRPr="00735B57">
        <w:rPr>
          <w:rFonts w:ascii="Times New Roman" w:hAnsi="Times New Roman"/>
          <w:i/>
          <w:iCs/>
          <w:lang w:val="pt-BR"/>
        </w:rPr>
        <w:t>Caracterização dos catalisadores</w:t>
      </w:r>
    </w:p>
    <w:p w14:paraId="5E4307F0" w14:textId="77777777" w:rsidR="00EB3FC4" w:rsidRPr="00EB3FC4" w:rsidRDefault="00EB3FC4" w:rsidP="00EB3FC4">
      <w:pPr>
        <w:pStyle w:val="TAMainText"/>
        <w:ind w:firstLine="0"/>
        <w:rPr>
          <w:rFonts w:ascii="Times New Roman" w:hAnsi="Times New Roman"/>
          <w:b/>
          <w:bCs/>
          <w:i/>
          <w:iCs/>
          <w:lang w:val="pt-BR"/>
        </w:rPr>
      </w:pPr>
    </w:p>
    <w:p w14:paraId="7824D55C" w14:textId="03C2D150" w:rsidR="00EB3FC4" w:rsidRPr="00EB3FC4" w:rsidRDefault="00EB3FC4" w:rsidP="00EB3FC4">
      <w:pPr>
        <w:pStyle w:val="TAMainText"/>
        <w:rPr>
          <w:rFonts w:ascii="Times New Roman" w:hAnsi="Times New Roman"/>
          <w:lang w:val="pt-BR"/>
        </w:rPr>
      </w:pPr>
      <w:r w:rsidRPr="00EB3FC4">
        <w:rPr>
          <w:rFonts w:ascii="Times New Roman" w:hAnsi="Times New Roman"/>
          <w:lang w:val="pt-BR"/>
        </w:rPr>
        <w:t xml:space="preserve">Os carvões mesoporosos  </w:t>
      </w:r>
      <w:r w:rsidR="00281760">
        <w:rPr>
          <w:rFonts w:ascii="Times New Roman" w:hAnsi="Times New Roman"/>
          <w:lang w:val="pt-BR"/>
        </w:rPr>
        <w:t>eram</w:t>
      </w:r>
      <w:r w:rsidRPr="00EB3FC4">
        <w:rPr>
          <w:rFonts w:ascii="Times New Roman" w:hAnsi="Times New Roman"/>
          <w:lang w:val="pt-BR"/>
        </w:rPr>
        <w:t xml:space="preserve">  caracterizados pelas seguintes técnicas para obtenção das suas propriedades físico-químicas:</w:t>
      </w:r>
    </w:p>
    <w:p w14:paraId="381A1F16" w14:textId="129F9824" w:rsidR="00EB3FC4" w:rsidRPr="00EB3FC4" w:rsidRDefault="00EB3FC4" w:rsidP="00EB3FC4">
      <w:pPr>
        <w:pStyle w:val="TAMainText"/>
        <w:rPr>
          <w:rFonts w:ascii="Times New Roman" w:hAnsi="Times New Roman"/>
          <w:lang w:val="pt-BR"/>
        </w:rPr>
      </w:pPr>
      <w:r w:rsidRPr="00EB3FC4">
        <w:rPr>
          <w:rFonts w:ascii="Times New Roman" w:hAnsi="Times New Roman"/>
          <w:lang w:val="pt-BR"/>
        </w:rPr>
        <w:t>•</w:t>
      </w:r>
      <w:r w:rsidR="00906183">
        <w:rPr>
          <w:rFonts w:ascii="Times New Roman" w:hAnsi="Times New Roman"/>
          <w:lang w:val="pt-BR"/>
        </w:rPr>
        <w:t xml:space="preserve"> </w:t>
      </w:r>
      <w:r w:rsidRPr="00EB3FC4">
        <w:rPr>
          <w:rFonts w:ascii="Times New Roman" w:hAnsi="Times New Roman"/>
          <w:lang w:val="pt-BR"/>
        </w:rPr>
        <w:t>Adsorção de N</w:t>
      </w:r>
      <w:r w:rsidRPr="00BA5E8D">
        <w:rPr>
          <w:rFonts w:ascii="Times New Roman" w:hAnsi="Times New Roman"/>
          <w:vertAlign w:val="subscript"/>
          <w:lang w:val="pt-BR"/>
        </w:rPr>
        <w:t>2</w:t>
      </w:r>
      <w:r w:rsidRPr="00EB3FC4">
        <w:rPr>
          <w:rFonts w:ascii="Times New Roman" w:hAnsi="Times New Roman"/>
          <w:lang w:val="pt-BR"/>
        </w:rPr>
        <w:t>, para análise textural.</w:t>
      </w:r>
    </w:p>
    <w:p w14:paraId="5D2761C9" w14:textId="44C52674" w:rsidR="00EB3FC4" w:rsidRPr="00EB3FC4" w:rsidRDefault="00EB3FC4" w:rsidP="00EB3FC4">
      <w:pPr>
        <w:pStyle w:val="TAMainText"/>
        <w:rPr>
          <w:rFonts w:ascii="Times New Roman" w:hAnsi="Times New Roman"/>
          <w:lang w:val="pt-BR"/>
        </w:rPr>
      </w:pPr>
      <w:r w:rsidRPr="00EB3FC4">
        <w:rPr>
          <w:rFonts w:ascii="Times New Roman" w:hAnsi="Times New Roman"/>
          <w:lang w:val="pt-BR"/>
        </w:rPr>
        <w:t>•</w:t>
      </w:r>
      <w:r w:rsidR="00906183">
        <w:rPr>
          <w:rFonts w:ascii="Times New Roman" w:hAnsi="Times New Roman"/>
          <w:lang w:val="pt-BR"/>
        </w:rPr>
        <w:t xml:space="preserve"> </w:t>
      </w:r>
      <w:r w:rsidRPr="00EB3FC4">
        <w:rPr>
          <w:rFonts w:ascii="Times New Roman" w:hAnsi="Times New Roman"/>
          <w:lang w:val="pt-BR"/>
        </w:rPr>
        <w:t>Difração de raios X, para estudo da cristalinidade e avaliar a extensão da grafitização.</w:t>
      </w:r>
    </w:p>
    <w:p w14:paraId="24CAF8DB" w14:textId="77777777" w:rsidR="00211638" w:rsidRDefault="00EB3FC4" w:rsidP="00211638">
      <w:pPr>
        <w:pStyle w:val="TAMainText"/>
      </w:pPr>
      <w:r w:rsidRPr="00EB3FC4">
        <w:rPr>
          <w:rFonts w:ascii="Times New Roman" w:hAnsi="Times New Roman"/>
          <w:lang w:val="pt-BR"/>
        </w:rPr>
        <w:t>•</w:t>
      </w:r>
      <w:r w:rsidR="00906183">
        <w:rPr>
          <w:rFonts w:ascii="Times New Roman" w:hAnsi="Times New Roman"/>
          <w:lang w:val="pt-BR"/>
        </w:rPr>
        <w:t xml:space="preserve"> </w:t>
      </w:r>
      <w:r w:rsidRPr="00EB3FC4">
        <w:rPr>
          <w:rFonts w:ascii="Times New Roman" w:hAnsi="Times New Roman"/>
          <w:lang w:val="pt-BR"/>
        </w:rPr>
        <w:t>Espectroscopia de absorção no infravermelho de amostras diluídas em KBr para análise estrutural e verificação de resíduos de precursores.</w:t>
      </w:r>
      <w:r w:rsidR="00211638" w:rsidRPr="00211638">
        <w:t xml:space="preserve"> </w:t>
      </w:r>
    </w:p>
    <w:p w14:paraId="5D4D803A" w14:textId="77777777" w:rsidR="00211638" w:rsidRDefault="00211638" w:rsidP="00211638">
      <w:pPr>
        <w:pStyle w:val="TAMainText"/>
        <w:ind w:firstLine="0"/>
      </w:pPr>
    </w:p>
    <w:p w14:paraId="40F7EA27" w14:textId="31DBEE30" w:rsidR="00211638" w:rsidRPr="00211638" w:rsidRDefault="00211638" w:rsidP="00211638">
      <w:pPr>
        <w:pStyle w:val="TAMainText"/>
        <w:ind w:firstLine="0"/>
        <w:rPr>
          <w:rFonts w:ascii="Times New Roman" w:hAnsi="Times New Roman"/>
          <w:i/>
          <w:iCs/>
          <w:lang w:val="pt-BR"/>
        </w:rPr>
      </w:pPr>
      <w:r w:rsidRPr="00211638">
        <w:rPr>
          <w:rFonts w:ascii="Times New Roman" w:hAnsi="Times New Roman"/>
          <w:i/>
          <w:iCs/>
          <w:lang w:val="pt-BR"/>
        </w:rPr>
        <w:t>Teste catalítico de pirólise catalítica da biomassa</w:t>
      </w:r>
    </w:p>
    <w:p w14:paraId="1F3FAE27" w14:textId="77777777" w:rsidR="00211638" w:rsidRPr="00211638" w:rsidRDefault="00211638" w:rsidP="00211638">
      <w:pPr>
        <w:pStyle w:val="TAMainText"/>
        <w:ind w:firstLine="0"/>
        <w:rPr>
          <w:rFonts w:ascii="Times New Roman" w:hAnsi="Times New Roman"/>
          <w:lang w:val="pt-BR"/>
        </w:rPr>
      </w:pPr>
    </w:p>
    <w:p w14:paraId="01DEA5DA" w14:textId="7AE68B12" w:rsidR="00211638" w:rsidRDefault="003B590E" w:rsidP="003B590E">
      <w:pPr>
        <w:pStyle w:val="TAMainText"/>
        <w:ind w:firstLine="0"/>
        <w:rPr>
          <w:rFonts w:ascii="Times New Roman" w:hAnsi="Times New Roman"/>
          <w:lang w:val="pt-BR"/>
        </w:rPr>
      </w:pPr>
      <w:r>
        <w:rPr>
          <w:rFonts w:ascii="Times New Roman" w:hAnsi="Times New Roman"/>
          <w:lang w:val="pt-BR"/>
        </w:rPr>
        <w:t xml:space="preserve">  </w:t>
      </w:r>
      <w:r w:rsidR="00211638" w:rsidRPr="00211638">
        <w:rPr>
          <w:rFonts w:ascii="Times New Roman" w:hAnsi="Times New Roman"/>
          <w:lang w:val="pt-BR"/>
        </w:rPr>
        <w:t xml:space="preserve"> O</w:t>
      </w:r>
      <w:r w:rsidR="00281760">
        <w:rPr>
          <w:rFonts w:ascii="Times New Roman" w:hAnsi="Times New Roman"/>
          <w:lang w:val="pt-BR"/>
        </w:rPr>
        <w:t xml:space="preserve"> cravão obtido, era utilizado como</w:t>
      </w:r>
      <w:r w:rsidR="00211638" w:rsidRPr="00211638">
        <w:rPr>
          <w:rFonts w:ascii="Times New Roman" w:hAnsi="Times New Roman"/>
          <w:lang w:val="pt-BR"/>
        </w:rPr>
        <w:t xml:space="preserve"> catalisadores na pirólise catalítica </w:t>
      </w:r>
      <w:r w:rsidR="00281760">
        <w:rPr>
          <w:rFonts w:ascii="Times New Roman" w:hAnsi="Times New Roman"/>
          <w:lang w:val="pt-BR"/>
        </w:rPr>
        <w:t xml:space="preserve">da </w:t>
      </w:r>
      <w:r w:rsidR="00211638" w:rsidRPr="00211638">
        <w:rPr>
          <w:rFonts w:ascii="Times New Roman" w:hAnsi="Times New Roman"/>
          <w:lang w:val="pt-BR"/>
        </w:rPr>
        <w:t>biomassa</w:t>
      </w:r>
      <w:r w:rsidR="00281760">
        <w:rPr>
          <w:rFonts w:ascii="Times New Roman" w:hAnsi="Times New Roman"/>
          <w:lang w:val="pt-BR"/>
        </w:rPr>
        <w:t xml:space="preserve"> (</w:t>
      </w:r>
      <w:r w:rsidR="00211638" w:rsidRPr="00211638">
        <w:rPr>
          <w:rFonts w:ascii="Times New Roman" w:hAnsi="Times New Roman"/>
          <w:lang w:val="pt-BR"/>
        </w:rPr>
        <w:t>bagaço de cana</w:t>
      </w:r>
      <w:r w:rsidR="00281760">
        <w:rPr>
          <w:rFonts w:ascii="Times New Roman" w:hAnsi="Times New Roman"/>
          <w:lang w:val="pt-BR"/>
        </w:rPr>
        <w:t>)</w:t>
      </w:r>
      <w:r w:rsidR="00211638" w:rsidRPr="00211638">
        <w:rPr>
          <w:rFonts w:ascii="Times New Roman" w:hAnsi="Times New Roman"/>
          <w:lang w:val="pt-BR"/>
        </w:rPr>
        <w:t xml:space="preserve">, para produção </w:t>
      </w:r>
      <w:r w:rsidR="00281760">
        <w:rPr>
          <w:rFonts w:ascii="Times New Roman" w:hAnsi="Times New Roman"/>
          <w:lang w:val="pt-BR"/>
        </w:rPr>
        <w:t>do líquido pirolítico</w:t>
      </w:r>
      <w:r w:rsidR="00211638" w:rsidRPr="00211638">
        <w:rPr>
          <w:rFonts w:ascii="Times New Roman" w:hAnsi="Times New Roman"/>
          <w:lang w:val="pt-BR"/>
        </w:rPr>
        <w:t>.</w:t>
      </w:r>
    </w:p>
    <w:p w14:paraId="59764298" w14:textId="77777777" w:rsidR="00281760" w:rsidRDefault="00281760" w:rsidP="003B590E">
      <w:pPr>
        <w:pStyle w:val="TAMainText"/>
        <w:ind w:firstLine="0"/>
        <w:rPr>
          <w:rFonts w:ascii="Times New Roman" w:hAnsi="Times New Roman"/>
          <w:lang w:val="pt-BR"/>
        </w:rPr>
      </w:pPr>
    </w:p>
    <w:p w14:paraId="6CF8105A" w14:textId="0DCE7BB0" w:rsidR="00281760" w:rsidRPr="00281760" w:rsidRDefault="00281760" w:rsidP="003B590E">
      <w:pPr>
        <w:pStyle w:val="TAMainText"/>
        <w:ind w:firstLine="0"/>
        <w:rPr>
          <w:rFonts w:ascii="Times New Roman" w:hAnsi="Times New Roman"/>
          <w:i/>
          <w:iCs/>
          <w:lang w:val="pt-BR"/>
        </w:rPr>
      </w:pPr>
      <w:r w:rsidRPr="00281760">
        <w:rPr>
          <w:rFonts w:ascii="Times New Roman" w:hAnsi="Times New Roman"/>
          <w:i/>
          <w:iCs/>
          <w:lang w:val="pt-BR"/>
        </w:rPr>
        <w:t>Pir</w:t>
      </w:r>
      <w:r>
        <w:rPr>
          <w:rFonts w:ascii="Times New Roman" w:hAnsi="Times New Roman"/>
          <w:i/>
          <w:iCs/>
          <w:lang w:val="pt-BR"/>
        </w:rPr>
        <w:t>ó</w:t>
      </w:r>
      <w:r w:rsidRPr="00281760">
        <w:rPr>
          <w:rFonts w:ascii="Times New Roman" w:hAnsi="Times New Roman"/>
          <w:i/>
          <w:iCs/>
          <w:lang w:val="pt-BR"/>
        </w:rPr>
        <w:t>lise rápida</w:t>
      </w:r>
    </w:p>
    <w:p w14:paraId="558D493A" w14:textId="3E74AC1F" w:rsidR="00211638" w:rsidRPr="00211638" w:rsidRDefault="00211638" w:rsidP="00281760">
      <w:pPr>
        <w:pStyle w:val="TAMainText"/>
        <w:ind w:firstLine="0"/>
        <w:rPr>
          <w:rFonts w:ascii="Times New Roman" w:hAnsi="Times New Roman"/>
          <w:lang w:val="pt-BR"/>
        </w:rPr>
      </w:pPr>
      <w:r w:rsidRPr="00211638">
        <w:rPr>
          <w:rFonts w:ascii="Times New Roman" w:hAnsi="Times New Roman"/>
          <w:lang w:val="pt-BR"/>
        </w:rPr>
        <w:t xml:space="preserve"> </w:t>
      </w:r>
      <w:r w:rsidR="00281760">
        <w:rPr>
          <w:rFonts w:ascii="Times New Roman" w:hAnsi="Times New Roman"/>
          <w:lang w:val="pt-BR"/>
        </w:rPr>
        <w:t>A etapa de pirólise era realizada</w:t>
      </w:r>
      <w:r w:rsidRPr="00211638">
        <w:rPr>
          <w:rFonts w:ascii="Times New Roman" w:hAnsi="Times New Roman"/>
          <w:lang w:val="pt-BR"/>
        </w:rPr>
        <w:t xml:space="preserve"> em uma unidade de bancada</w:t>
      </w:r>
      <w:r w:rsidR="00281760">
        <w:rPr>
          <w:rFonts w:ascii="Times New Roman" w:hAnsi="Times New Roman"/>
          <w:lang w:val="pt-BR"/>
        </w:rPr>
        <w:t>,</w:t>
      </w:r>
      <w:r w:rsidRPr="00211638">
        <w:rPr>
          <w:rFonts w:ascii="Times New Roman" w:hAnsi="Times New Roman"/>
          <w:lang w:val="pt-BR"/>
        </w:rPr>
        <w:t xml:space="preserve"> utilizando um reator de leito fixo em pequena escala. O reator vertical</w:t>
      </w:r>
      <w:r w:rsidR="00281760">
        <w:rPr>
          <w:rFonts w:ascii="Times New Roman" w:hAnsi="Times New Roman"/>
          <w:lang w:val="pt-BR"/>
        </w:rPr>
        <w:t>,</w:t>
      </w:r>
      <w:r w:rsidRPr="00211638">
        <w:rPr>
          <w:rFonts w:ascii="Times New Roman" w:hAnsi="Times New Roman"/>
          <w:lang w:val="pt-BR"/>
        </w:rPr>
        <w:t xml:space="preserve"> de aço inoxidável, fic</w:t>
      </w:r>
      <w:r w:rsidR="00ED6A6D">
        <w:rPr>
          <w:rFonts w:ascii="Times New Roman" w:hAnsi="Times New Roman"/>
          <w:lang w:val="pt-BR"/>
        </w:rPr>
        <w:t>av</w:t>
      </w:r>
      <w:r w:rsidR="00281760">
        <w:rPr>
          <w:rFonts w:ascii="Times New Roman" w:hAnsi="Times New Roman"/>
          <w:lang w:val="pt-BR"/>
        </w:rPr>
        <w:t>a</w:t>
      </w:r>
      <w:r w:rsidRPr="00211638">
        <w:rPr>
          <w:rFonts w:ascii="Times New Roman" w:hAnsi="Times New Roman"/>
          <w:lang w:val="pt-BR"/>
        </w:rPr>
        <w:t xml:space="preserve"> dentro forno</w:t>
      </w:r>
      <w:r w:rsidR="00281760">
        <w:rPr>
          <w:rFonts w:ascii="Times New Roman" w:hAnsi="Times New Roman"/>
          <w:lang w:val="pt-BR"/>
        </w:rPr>
        <w:t xml:space="preserve"> de pirólise, com</w:t>
      </w:r>
      <w:r w:rsidRPr="00211638">
        <w:rPr>
          <w:rFonts w:ascii="Times New Roman" w:hAnsi="Times New Roman"/>
          <w:lang w:val="pt-BR"/>
        </w:rPr>
        <w:t xml:space="preserve"> aquecimento controlado</w:t>
      </w:r>
      <w:r w:rsidR="00ED6A6D">
        <w:rPr>
          <w:rFonts w:ascii="Times New Roman" w:hAnsi="Times New Roman"/>
          <w:lang w:val="pt-BR"/>
        </w:rPr>
        <w:t xml:space="preserve"> no</w:t>
      </w:r>
      <w:r w:rsidRPr="00211638">
        <w:rPr>
          <w:rFonts w:ascii="Times New Roman" w:hAnsi="Times New Roman"/>
          <w:lang w:val="pt-BR"/>
        </w:rPr>
        <w:t xml:space="preserve"> microprocessador</w:t>
      </w:r>
      <w:r w:rsidR="00ED6A6D">
        <w:rPr>
          <w:rFonts w:ascii="Times New Roman" w:hAnsi="Times New Roman"/>
          <w:lang w:val="pt-BR"/>
        </w:rPr>
        <w:t>, que ficava</w:t>
      </w:r>
      <w:r w:rsidRPr="00211638">
        <w:rPr>
          <w:rFonts w:ascii="Times New Roman" w:hAnsi="Times New Roman"/>
          <w:lang w:val="pt-BR"/>
        </w:rPr>
        <w:t xml:space="preserve"> localizados em 3 pontos diferentes (superior, médio e inferior)</w:t>
      </w:r>
      <w:r w:rsidR="00ED6A6D">
        <w:rPr>
          <w:rFonts w:ascii="Times New Roman" w:hAnsi="Times New Roman"/>
          <w:lang w:val="pt-BR"/>
        </w:rPr>
        <w:t xml:space="preserve"> do forno, permitindo o controle da </w:t>
      </w:r>
      <w:r w:rsidRPr="00211638">
        <w:rPr>
          <w:rFonts w:ascii="Times New Roman" w:hAnsi="Times New Roman"/>
          <w:lang w:val="pt-BR"/>
        </w:rPr>
        <w:t>temperatura máxima homogênea de 45</w:t>
      </w:r>
      <w:r w:rsidR="00ED6A6D">
        <w:rPr>
          <w:rFonts w:ascii="Times New Roman" w:hAnsi="Times New Roman"/>
          <w:lang w:val="pt-BR"/>
        </w:rPr>
        <w:t>0</w:t>
      </w:r>
      <w:r w:rsidRPr="00211638">
        <w:rPr>
          <w:rFonts w:ascii="Times New Roman" w:hAnsi="Times New Roman"/>
          <w:lang w:val="pt-BR"/>
        </w:rPr>
        <w:t xml:space="preserve"> °C. O reator </w:t>
      </w:r>
      <w:r w:rsidR="00ED6A6D">
        <w:rPr>
          <w:rFonts w:ascii="Times New Roman" w:hAnsi="Times New Roman"/>
          <w:lang w:val="pt-BR"/>
        </w:rPr>
        <w:t xml:space="preserve">tinha </w:t>
      </w:r>
      <w:r w:rsidRPr="00211638">
        <w:rPr>
          <w:rFonts w:ascii="Times New Roman" w:hAnsi="Times New Roman"/>
          <w:lang w:val="pt-BR"/>
        </w:rPr>
        <w:t>altura de 30 cm</w:t>
      </w:r>
      <w:r w:rsidR="00ED6A6D">
        <w:rPr>
          <w:rFonts w:ascii="Times New Roman" w:hAnsi="Times New Roman"/>
          <w:lang w:val="pt-BR"/>
        </w:rPr>
        <w:t>,</w:t>
      </w:r>
      <w:r w:rsidRPr="00211638">
        <w:rPr>
          <w:rFonts w:ascii="Times New Roman" w:hAnsi="Times New Roman"/>
          <w:lang w:val="pt-BR"/>
        </w:rPr>
        <w:t xml:space="preserve"> com 2 cm de diâmetro e uma capacidade de 50 mL. Um condensador de vidro</w:t>
      </w:r>
      <w:r w:rsidR="00ED6A6D">
        <w:rPr>
          <w:rFonts w:ascii="Times New Roman" w:hAnsi="Times New Roman"/>
          <w:lang w:val="pt-BR"/>
        </w:rPr>
        <w:t xml:space="preserve"> era</w:t>
      </w:r>
      <w:r w:rsidRPr="00211638">
        <w:rPr>
          <w:rFonts w:ascii="Times New Roman" w:hAnsi="Times New Roman"/>
          <w:lang w:val="pt-BR"/>
        </w:rPr>
        <w:t xml:space="preserve"> imerso em banho de gelo acoplado ao final do reator.</w:t>
      </w:r>
      <w:r w:rsidR="00ED6A6D">
        <w:rPr>
          <w:rFonts w:ascii="Times New Roman" w:hAnsi="Times New Roman"/>
          <w:lang w:val="pt-BR"/>
        </w:rPr>
        <w:t xml:space="preserve"> Ao final, foi coletado o </w:t>
      </w:r>
      <w:r w:rsidR="00F84833">
        <w:rPr>
          <w:rFonts w:ascii="Times New Roman" w:hAnsi="Times New Roman"/>
          <w:lang w:val="pt-BR"/>
        </w:rPr>
        <w:t>líquido</w:t>
      </w:r>
      <w:r w:rsidR="00ED6A6D">
        <w:rPr>
          <w:rFonts w:ascii="Times New Roman" w:hAnsi="Times New Roman"/>
          <w:lang w:val="pt-BR"/>
        </w:rPr>
        <w:t xml:space="preserve"> pirolítico gerado.</w:t>
      </w:r>
    </w:p>
    <w:p w14:paraId="682938DB" w14:textId="46D5D804" w:rsidR="008005E3" w:rsidRDefault="00211638" w:rsidP="00211638">
      <w:pPr>
        <w:pStyle w:val="TAMainText"/>
        <w:rPr>
          <w:rFonts w:ascii="Times New Roman" w:hAnsi="Times New Roman"/>
          <w:lang w:val="pt-BR"/>
        </w:rPr>
      </w:pPr>
      <w:r w:rsidRPr="00211638">
        <w:rPr>
          <w:rFonts w:ascii="Times New Roman" w:hAnsi="Times New Roman"/>
          <w:lang w:val="pt-BR"/>
        </w:rPr>
        <w:t xml:space="preserve">O leito catalítico </w:t>
      </w:r>
      <w:r w:rsidR="00F84833">
        <w:rPr>
          <w:rFonts w:ascii="Times New Roman" w:hAnsi="Times New Roman"/>
          <w:lang w:val="pt-BR"/>
        </w:rPr>
        <w:t>era</w:t>
      </w:r>
      <w:r w:rsidRPr="00211638">
        <w:rPr>
          <w:rFonts w:ascii="Times New Roman" w:hAnsi="Times New Roman"/>
          <w:lang w:val="pt-BR"/>
        </w:rPr>
        <w:t xml:space="preserve"> composto</w:t>
      </w:r>
      <w:r w:rsidR="00F84833">
        <w:rPr>
          <w:rFonts w:ascii="Times New Roman" w:hAnsi="Times New Roman"/>
          <w:lang w:val="pt-BR"/>
        </w:rPr>
        <w:t xml:space="preserve"> pelos seguintes materiais: lã de vidro (0,</w:t>
      </w:r>
      <w:r w:rsidR="00C410A8">
        <w:rPr>
          <w:rFonts w:ascii="Times New Roman" w:hAnsi="Times New Roman"/>
          <w:lang w:val="pt-BR"/>
        </w:rPr>
        <w:t>4</w:t>
      </w:r>
      <w:r w:rsidR="00F84833">
        <w:rPr>
          <w:rFonts w:ascii="Times New Roman" w:hAnsi="Times New Roman"/>
          <w:lang w:val="pt-BR"/>
        </w:rPr>
        <w:t>00g</w:t>
      </w:r>
      <w:r w:rsidR="00C410A8">
        <w:rPr>
          <w:rFonts w:ascii="Times New Roman" w:hAnsi="Times New Roman"/>
          <w:lang w:val="pt-BR"/>
        </w:rPr>
        <w:t xml:space="preserve"> + 0,400g</w:t>
      </w:r>
      <w:r w:rsidR="00F84833">
        <w:rPr>
          <w:rFonts w:ascii="Times New Roman" w:hAnsi="Times New Roman"/>
          <w:lang w:val="pt-BR"/>
        </w:rPr>
        <w:t xml:space="preserve">), </w:t>
      </w:r>
      <w:r w:rsidRPr="00211638">
        <w:rPr>
          <w:rFonts w:ascii="Times New Roman" w:hAnsi="Times New Roman"/>
          <w:lang w:val="pt-BR"/>
        </w:rPr>
        <w:t>biomassa</w:t>
      </w:r>
      <w:r w:rsidR="00F84833">
        <w:rPr>
          <w:rFonts w:ascii="Times New Roman" w:hAnsi="Times New Roman"/>
          <w:lang w:val="pt-BR"/>
        </w:rPr>
        <w:t xml:space="preserve"> (1g)</w:t>
      </w:r>
      <w:r w:rsidRPr="00211638">
        <w:rPr>
          <w:rFonts w:ascii="Times New Roman" w:hAnsi="Times New Roman"/>
          <w:lang w:val="pt-BR"/>
        </w:rPr>
        <w:t xml:space="preserve"> e o catalisador sólido ácido</w:t>
      </w:r>
      <w:r w:rsidR="00F84833">
        <w:rPr>
          <w:rFonts w:ascii="Times New Roman" w:hAnsi="Times New Roman"/>
          <w:lang w:val="pt-BR"/>
        </w:rPr>
        <w:t xml:space="preserve"> (</w:t>
      </w:r>
      <w:r w:rsidRPr="00211638">
        <w:rPr>
          <w:rFonts w:ascii="Times New Roman" w:hAnsi="Times New Roman"/>
          <w:lang w:val="pt-BR"/>
        </w:rPr>
        <w:t>10%</w:t>
      </w:r>
      <w:r w:rsidR="00F84833">
        <w:rPr>
          <w:rFonts w:ascii="Times New Roman" w:hAnsi="Times New Roman"/>
          <w:lang w:val="pt-BR"/>
        </w:rPr>
        <w:t>)</w:t>
      </w:r>
      <w:r w:rsidRPr="00211638">
        <w:rPr>
          <w:rFonts w:ascii="Times New Roman" w:hAnsi="Times New Roman"/>
          <w:lang w:val="pt-BR"/>
        </w:rPr>
        <w:t>.</w:t>
      </w:r>
      <w:r w:rsidR="008005E3">
        <w:rPr>
          <w:rFonts w:ascii="Times New Roman" w:hAnsi="Times New Roman"/>
          <w:lang w:val="pt-BR"/>
        </w:rPr>
        <w:t xml:space="preserve"> A </w:t>
      </w:r>
      <w:r w:rsidR="00EB1B13">
        <w:rPr>
          <w:rFonts w:ascii="Times New Roman" w:hAnsi="Times New Roman"/>
          <w:lang w:val="pt-BR"/>
        </w:rPr>
        <w:t>montagem do reator é feita na seguinte ordem:</w:t>
      </w:r>
    </w:p>
    <w:p w14:paraId="2C590259" w14:textId="472C9452" w:rsidR="00C410A8" w:rsidRDefault="00C410A8" w:rsidP="00211638">
      <w:pPr>
        <w:pStyle w:val="TAMainText"/>
        <w:rPr>
          <w:rFonts w:ascii="Times New Roman" w:hAnsi="Times New Roman"/>
          <w:lang w:val="pt-BR"/>
        </w:rPr>
      </w:pPr>
    </w:p>
    <w:p w14:paraId="5D2B8EDF" w14:textId="0E1DB177" w:rsidR="00BF7936" w:rsidRDefault="00BF7936" w:rsidP="00211638">
      <w:pPr>
        <w:pStyle w:val="TAMainText"/>
        <w:rPr>
          <w:rFonts w:ascii="Times New Roman" w:hAnsi="Times New Roman"/>
          <w:lang w:val="pt-BR"/>
        </w:rPr>
      </w:pPr>
    </w:p>
    <w:p w14:paraId="1C9DB208" w14:textId="77777777" w:rsidR="00BF7936" w:rsidRDefault="00BF7936" w:rsidP="00211638">
      <w:pPr>
        <w:pStyle w:val="TAMainText"/>
        <w:rPr>
          <w:rFonts w:ascii="Times New Roman" w:hAnsi="Times New Roman"/>
          <w:lang w:val="pt-BR"/>
        </w:rPr>
      </w:pPr>
    </w:p>
    <w:p w14:paraId="5AA68797" w14:textId="065F3653" w:rsidR="00C410A8" w:rsidRDefault="00C410A8" w:rsidP="00211638">
      <w:pPr>
        <w:pStyle w:val="TAMainText"/>
        <w:rPr>
          <w:rFonts w:ascii="Times New Roman" w:hAnsi="Times New Roman"/>
          <w:lang w:val="pt-BR"/>
        </w:rPr>
      </w:pPr>
    </w:p>
    <w:p w14:paraId="13B14268" w14:textId="77777777" w:rsidR="00C410A8" w:rsidRDefault="00C410A8" w:rsidP="00211638">
      <w:pPr>
        <w:pStyle w:val="TAMainText"/>
        <w:rPr>
          <w:rFonts w:ascii="Times New Roman" w:hAnsi="Times New Roman"/>
          <w:lang w:val="pt-BR"/>
        </w:rPr>
      </w:pPr>
    </w:p>
    <w:p w14:paraId="3A843C5B" w14:textId="77777777" w:rsidR="00C410A8" w:rsidRDefault="00C410A8" w:rsidP="00211638">
      <w:pPr>
        <w:pStyle w:val="TAMainText"/>
        <w:rPr>
          <w:rFonts w:ascii="Times New Roman" w:hAnsi="Times New Roman"/>
          <w:lang w:val="pt-BR"/>
        </w:rPr>
      </w:pPr>
    </w:p>
    <w:p w14:paraId="35309570" w14:textId="562335CF" w:rsidR="00C410A8" w:rsidRDefault="00C410A8" w:rsidP="00211638">
      <w:pPr>
        <w:pStyle w:val="TAMainText"/>
        <w:rPr>
          <w:rFonts w:ascii="Times New Roman" w:hAnsi="Times New Roman"/>
          <w:lang w:val="pt-BR"/>
        </w:rPr>
      </w:pPr>
    </w:p>
    <w:p w14:paraId="277E5F10" w14:textId="52883C7B" w:rsidR="00C410A8" w:rsidRDefault="00C410A8" w:rsidP="00211638">
      <w:pPr>
        <w:pStyle w:val="TAMainText"/>
        <w:rPr>
          <w:rFonts w:ascii="Times New Roman" w:hAnsi="Times New Roman"/>
          <w:lang w:val="pt-BR"/>
        </w:rPr>
      </w:pPr>
    </w:p>
    <w:p w14:paraId="5D57CC89" w14:textId="4F850F80" w:rsidR="00C410A8" w:rsidRDefault="00BF7936" w:rsidP="00211638">
      <w:pPr>
        <w:pStyle w:val="TAMainText"/>
        <w:rPr>
          <w:rFonts w:ascii="Times New Roman" w:hAnsi="Times New Roman"/>
          <w:lang w:val="pt-BR"/>
        </w:rPr>
      </w:pPr>
      <w:r>
        <w:rPr>
          <w:rFonts w:ascii="Times New Roman" w:hAnsi="Times New Roman"/>
          <w:noProof/>
          <w:lang w:val="pt-BR"/>
        </w:rPr>
        <w:drawing>
          <wp:anchor distT="0" distB="0" distL="114300" distR="114300" simplePos="0" relativeHeight="251661311" behindDoc="0" locked="0" layoutInCell="1" allowOverlap="1" wp14:anchorId="353B0076" wp14:editId="3EB09304">
            <wp:simplePos x="0" y="0"/>
            <wp:positionH relativeFrom="column">
              <wp:align>left</wp:align>
            </wp:positionH>
            <wp:positionV relativeFrom="paragraph">
              <wp:posOffset>53340</wp:posOffset>
            </wp:positionV>
            <wp:extent cx="2752725" cy="2047875"/>
            <wp:effectExtent l="19050" t="19050" r="28575" b="28575"/>
            <wp:wrapNone/>
            <wp:docPr id="123070178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18859E" w14:textId="5ED9DC70" w:rsidR="00C410A8" w:rsidRDefault="00C410A8" w:rsidP="00211638">
      <w:pPr>
        <w:pStyle w:val="TAMainText"/>
        <w:rPr>
          <w:rFonts w:ascii="Times New Roman" w:hAnsi="Times New Roman"/>
          <w:lang w:val="pt-BR"/>
        </w:rPr>
      </w:pPr>
    </w:p>
    <w:p w14:paraId="32170616" w14:textId="77777777" w:rsidR="007D24B6" w:rsidRDefault="007D24B6" w:rsidP="007D24B6">
      <w:pPr>
        <w:jc w:val="both"/>
        <w:rPr>
          <w:rFonts w:ascii="Times" w:hAnsi="Times" w:cs="Times"/>
          <w:b/>
          <w:sz w:val="18"/>
          <w:szCs w:val="18"/>
        </w:rPr>
      </w:pPr>
    </w:p>
    <w:p w14:paraId="2524EB24" w14:textId="77777777" w:rsidR="00C410A8" w:rsidRDefault="00C410A8" w:rsidP="007D24B6">
      <w:pPr>
        <w:jc w:val="both"/>
        <w:rPr>
          <w:rFonts w:ascii="Times" w:hAnsi="Times" w:cs="Times"/>
          <w:b/>
          <w:sz w:val="18"/>
          <w:szCs w:val="18"/>
        </w:rPr>
      </w:pPr>
    </w:p>
    <w:p w14:paraId="6341576B" w14:textId="77777777" w:rsidR="00C410A8" w:rsidRDefault="00C410A8" w:rsidP="007D24B6">
      <w:pPr>
        <w:jc w:val="both"/>
        <w:rPr>
          <w:rFonts w:ascii="Times" w:hAnsi="Times" w:cs="Times"/>
          <w:b/>
          <w:sz w:val="18"/>
          <w:szCs w:val="18"/>
        </w:rPr>
      </w:pPr>
    </w:p>
    <w:p w14:paraId="31BA8EF2" w14:textId="77777777" w:rsidR="00BF7936" w:rsidRDefault="00BF7936" w:rsidP="007D24B6">
      <w:pPr>
        <w:jc w:val="both"/>
        <w:rPr>
          <w:rFonts w:ascii="Times" w:hAnsi="Times" w:cs="Times"/>
          <w:b/>
          <w:sz w:val="18"/>
          <w:szCs w:val="18"/>
        </w:rPr>
      </w:pPr>
    </w:p>
    <w:p w14:paraId="7EEF4129" w14:textId="77777777" w:rsidR="00BF7936" w:rsidRDefault="00BF7936" w:rsidP="007D24B6">
      <w:pPr>
        <w:jc w:val="both"/>
        <w:rPr>
          <w:rFonts w:ascii="Times" w:hAnsi="Times" w:cs="Times"/>
          <w:b/>
          <w:sz w:val="18"/>
          <w:szCs w:val="18"/>
        </w:rPr>
      </w:pPr>
    </w:p>
    <w:p w14:paraId="23107CC5" w14:textId="77777777" w:rsidR="00BF7936" w:rsidRDefault="00BF7936" w:rsidP="007D24B6">
      <w:pPr>
        <w:jc w:val="both"/>
        <w:rPr>
          <w:rFonts w:ascii="Times" w:hAnsi="Times" w:cs="Times"/>
          <w:b/>
          <w:sz w:val="18"/>
          <w:szCs w:val="18"/>
        </w:rPr>
      </w:pPr>
    </w:p>
    <w:p w14:paraId="7843E70A" w14:textId="77777777" w:rsidR="00BF7936" w:rsidRDefault="00BF7936" w:rsidP="007D24B6">
      <w:pPr>
        <w:jc w:val="both"/>
        <w:rPr>
          <w:rFonts w:ascii="Times" w:hAnsi="Times" w:cs="Times"/>
          <w:b/>
          <w:sz w:val="18"/>
          <w:szCs w:val="18"/>
        </w:rPr>
      </w:pPr>
    </w:p>
    <w:p w14:paraId="27FEEE34" w14:textId="4A8F5886" w:rsidR="007D24B6" w:rsidRPr="007D24B6" w:rsidRDefault="007D24B6" w:rsidP="007D24B6">
      <w:pPr>
        <w:jc w:val="both"/>
        <w:rPr>
          <w:rFonts w:ascii="Times" w:hAnsi="Times" w:cs="Times"/>
          <w:bCs/>
          <w:sz w:val="18"/>
          <w:szCs w:val="18"/>
        </w:rPr>
      </w:pPr>
      <w:r w:rsidRPr="00F11F8E">
        <w:rPr>
          <w:rFonts w:ascii="Times" w:hAnsi="Times" w:cs="Times"/>
          <w:b/>
          <w:sz w:val="18"/>
          <w:szCs w:val="18"/>
        </w:rPr>
        <w:t>Figura</w:t>
      </w:r>
      <w:r>
        <w:rPr>
          <w:rFonts w:ascii="Times" w:hAnsi="Times" w:cs="Times"/>
          <w:b/>
          <w:sz w:val="18"/>
          <w:szCs w:val="18"/>
        </w:rPr>
        <w:t xml:space="preserve"> 1</w:t>
      </w:r>
      <w:r w:rsidRPr="00DF623E">
        <w:rPr>
          <w:rFonts w:ascii="Times" w:hAnsi="Times" w:cs="Times"/>
          <w:b/>
          <w:sz w:val="18"/>
          <w:szCs w:val="18"/>
        </w:rPr>
        <w:t>.</w:t>
      </w:r>
      <w:r w:rsidRPr="00DF623E">
        <w:rPr>
          <w:rFonts w:ascii="Times" w:hAnsi="Times" w:cs="Times"/>
          <w:bCs/>
          <w:sz w:val="18"/>
          <w:szCs w:val="18"/>
        </w:rPr>
        <w:t xml:space="preserve"> </w:t>
      </w:r>
      <w:r>
        <w:rPr>
          <w:rFonts w:ascii="Times" w:hAnsi="Times" w:cs="Times"/>
          <w:bCs/>
          <w:sz w:val="18"/>
          <w:szCs w:val="18"/>
        </w:rPr>
        <w:t>Esquema representativo de montagem do reator com o leito catalítico</w:t>
      </w:r>
      <w:r w:rsidRPr="00DF623E">
        <w:rPr>
          <w:rFonts w:ascii="Times" w:hAnsi="Times" w:cs="Times"/>
          <w:bCs/>
          <w:sz w:val="18"/>
          <w:szCs w:val="18"/>
        </w:rPr>
        <w:t>.</w:t>
      </w:r>
    </w:p>
    <w:p w14:paraId="6C49E4B0" w14:textId="1C2DE6E0" w:rsidR="00BB6F61" w:rsidRPr="00BB6F61" w:rsidRDefault="00BB6F61" w:rsidP="00211638">
      <w:pPr>
        <w:pStyle w:val="TAMainText"/>
        <w:rPr>
          <w:rFonts w:cs="Times"/>
          <w:lang w:val="pt-BR"/>
        </w:rPr>
      </w:pPr>
      <w:r w:rsidRPr="00BB6F61">
        <w:rPr>
          <w:rFonts w:cs="Times"/>
        </w:rPr>
        <w:t>A pirólise foi realizada em um forno, com um reator vertical em leito fixo, sob fluxo contínuo de nitrogênio a 45</w:t>
      </w:r>
      <w:r w:rsidR="00AF4620">
        <w:rPr>
          <w:rFonts w:cs="Times"/>
        </w:rPr>
        <w:t xml:space="preserve">5 </w:t>
      </w:r>
      <w:r w:rsidRPr="00BB6F61">
        <w:rPr>
          <w:rFonts w:cs="Times"/>
          <w:vertAlign w:val="superscript"/>
        </w:rPr>
        <w:t>o</w:t>
      </w:r>
      <w:r w:rsidRPr="00BB6F61">
        <w:rPr>
          <w:rFonts w:cs="Times"/>
        </w:rPr>
        <w:t>C por 15 min</w:t>
      </w:r>
      <w:r>
        <w:rPr>
          <w:rFonts w:cs="Times"/>
        </w:rPr>
        <w:t>.</w:t>
      </w:r>
      <w:r w:rsidR="005F34A3" w:rsidRPr="005F34A3">
        <w:rPr>
          <w:rFonts w:ascii="Arial" w:eastAsia="Calibri" w:hAnsi="Arial" w:cs="Arial"/>
          <w:lang w:val="pt-BR" w:eastAsia="en-US"/>
        </w:rPr>
        <w:t xml:space="preserve"> </w:t>
      </w:r>
      <w:r w:rsidR="005F34A3" w:rsidRPr="005F34A3">
        <w:rPr>
          <w:rFonts w:eastAsia="Calibri" w:cs="Times"/>
          <w:lang w:val="pt-BR" w:eastAsia="en-US"/>
        </w:rPr>
        <w:t>Após a pirólise, as massas de resíduo sólido no reator e a do líquido pirolítico no condensador foram determinados por pesagem e a fração gasosa pela diferença de peso</w:t>
      </w:r>
      <w:r w:rsidR="005F34A3">
        <w:rPr>
          <w:rFonts w:eastAsia="Calibri" w:cs="Times"/>
          <w:lang w:val="pt-BR" w:eastAsia="en-US"/>
        </w:rPr>
        <w:t>.</w:t>
      </w:r>
    </w:p>
    <w:p w14:paraId="283F1648" w14:textId="0DBD648C" w:rsidR="00211638" w:rsidRDefault="00211638" w:rsidP="00211638">
      <w:pPr>
        <w:pStyle w:val="TAMainText"/>
        <w:rPr>
          <w:rFonts w:ascii="Times New Roman" w:hAnsi="Times New Roman"/>
          <w:lang w:val="pt-BR"/>
        </w:rPr>
      </w:pPr>
      <w:r w:rsidRPr="00211638">
        <w:rPr>
          <w:rFonts w:ascii="Times New Roman" w:hAnsi="Times New Roman"/>
          <w:lang w:val="pt-BR"/>
        </w:rPr>
        <w:t xml:space="preserve"> A conversão da biomassa é obtida por meio de pesagem da fração sólida. A fração líquida obtida constitui o bio-óleo. Por enquanto, foi analisado somente a eficiência da utilização do catalisador frente a porcentagem obtida de líquido pirolítico</w:t>
      </w:r>
      <w:r w:rsidR="00407F7C">
        <w:rPr>
          <w:rFonts w:ascii="Times New Roman" w:hAnsi="Times New Roman"/>
          <w:lang w:val="pt-BR"/>
        </w:rPr>
        <w:t>, através da análise da tabela de</w:t>
      </w:r>
      <w:r w:rsidR="00C5067D">
        <w:rPr>
          <w:rFonts w:ascii="Times New Roman" w:hAnsi="Times New Roman"/>
          <w:lang w:val="pt-BR"/>
        </w:rPr>
        <w:t xml:space="preserve"> dados experimentais de pirólise</w:t>
      </w:r>
      <w:r w:rsidR="00407F7C">
        <w:rPr>
          <w:rFonts w:ascii="Times New Roman" w:hAnsi="Times New Roman"/>
          <w:lang w:val="pt-BR"/>
        </w:rPr>
        <w:t xml:space="preserve"> </w:t>
      </w:r>
      <w:r w:rsidRPr="00211638">
        <w:rPr>
          <w:rFonts w:ascii="Times New Roman" w:hAnsi="Times New Roman"/>
          <w:lang w:val="pt-BR"/>
        </w:rPr>
        <w:t>. Estas análises são complexas, tornando essencial outros tipos de análises mais eficientes e o  desenvolvimento de métodos analíticos para este estudo.</w:t>
      </w:r>
    </w:p>
    <w:p w14:paraId="7DB6C3FC" w14:textId="77777777" w:rsidR="00604B21" w:rsidRDefault="00604B21" w:rsidP="00604B21">
      <w:pPr>
        <w:pStyle w:val="TAMainText"/>
        <w:ind w:firstLine="0"/>
        <w:rPr>
          <w:rFonts w:ascii="Times New Roman" w:hAnsi="Times New Roman"/>
          <w:i/>
          <w:lang w:val="pt-BR"/>
        </w:rPr>
      </w:pPr>
    </w:p>
    <w:p w14:paraId="3F692AA4" w14:textId="7B22B641" w:rsidR="00604B21" w:rsidRDefault="00604B21" w:rsidP="00604B21">
      <w:pPr>
        <w:pStyle w:val="TAMainText"/>
        <w:ind w:firstLine="0"/>
        <w:rPr>
          <w:rFonts w:ascii="Times New Roman" w:hAnsi="Times New Roman"/>
          <w:i/>
          <w:lang w:val="pt-BR"/>
        </w:rPr>
      </w:pPr>
      <w:r>
        <w:rPr>
          <w:rFonts w:ascii="Times New Roman" w:hAnsi="Times New Roman"/>
          <w:i/>
          <w:lang w:val="pt-BR"/>
        </w:rPr>
        <w:t>Caracterização dos carvões obtidos</w:t>
      </w:r>
    </w:p>
    <w:p w14:paraId="40959D82" w14:textId="77777777" w:rsidR="00604B21" w:rsidRPr="00475CDD" w:rsidRDefault="00604B21" w:rsidP="00604B21">
      <w:pPr>
        <w:pStyle w:val="TAMainText"/>
        <w:rPr>
          <w:rFonts w:ascii="Times New Roman" w:hAnsi="Times New Roman"/>
          <w:lang w:val="pt-BR"/>
        </w:rPr>
      </w:pPr>
      <w:r>
        <w:rPr>
          <w:rFonts w:ascii="Times New Roman" w:hAnsi="Times New Roman"/>
          <w:lang w:val="pt-BR"/>
        </w:rPr>
        <w:t>Os materiais foram caracterizados por adsorção de nitrogênio para a</w:t>
      </w:r>
      <w:r w:rsidRPr="00F025DE">
        <w:rPr>
          <w:rFonts w:ascii="Times New Roman" w:hAnsi="Times New Roman"/>
          <w:lang w:val="pt-BR"/>
        </w:rPr>
        <w:t>nálise textural</w:t>
      </w:r>
      <w:r>
        <w:rPr>
          <w:rFonts w:ascii="Times New Roman" w:hAnsi="Times New Roman"/>
          <w:lang w:val="pt-BR"/>
        </w:rPr>
        <w:t>. Utilizou-se uma</w:t>
      </w:r>
      <w:r w:rsidRPr="00475CDD">
        <w:rPr>
          <w:rFonts w:ascii="Times New Roman" w:hAnsi="Times New Roman"/>
          <w:lang w:val="pt-BR"/>
        </w:rPr>
        <w:t xml:space="preserve"> aparelhagem volumétrica Micromeritics ASAP 2020. Antes das análises, os materiais eram submetidos a pré-tratamento sob vácuo de 400 °C. Utilizou-se o método BET para obtenção de área específica de BJH para a distribuição de volume de poros.</w:t>
      </w:r>
    </w:p>
    <w:p w14:paraId="46C86C74" w14:textId="1D51929A" w:rsidR="00604B21" w:rsidRDefault="00604B21" w:rsidP="00604B21">
      <w:pPr>
        <w:pStyle w:val="TAMainText"/>
        <w:rPr>
          <w:rFonts w:ascii="Times New Roman" w:hAnsi="Times New Roman"/>
          <w:lang w:val="pt-BR"/>
        </w:rPr>
      </w:pPr>
      <w:r>
        <w:rPr>
          <w:rFonts w:ascii="Times New Roman" w:hAnsi="Times New Roman"/>
          <w:lang w:val="pt-BR"/>
        </w:rPr>
        <w:t xml:space="preserve">Os sólidos também foram estudados por </w:t>
      </w:r>
      <w:r w:rsidRPr="00730296">
        <w:rPr>
          <w:rFonts w:ascii="Times New Roman" w:hAnsi="Times New Roman"/>
          <w:lang w:val="pt-BR"/>
        </w:rPr>
        <w:t xml:space="preserve">Espectroscopia de absorção no infravermelho </w:t>
      </w:r>
      <w:r>
        <w:rPr>
          <w:rFonts w:ascii="Times New Roman" w:hAnsi="Times New Roman"/>
          <w:lang w:val="pt-BR"/>
        </w:rPr>
        <w:t xml:space="preserve">por transformada de Fourier (FTIR) </w:t>
      </w:r>
      <w:r w:rsidRPr="00730296">
        <w:rPr>
          <w:rFonts w:ascii="Times New Roman" w:hAnsi="Times New Roman"/>
          <w:lang w:val="pt-BR"/>
        </w:rPr>
        <w:t>de amostras diluídas em KBr</w:t>
      </w:r>
      <w:r>
        <w:rPr>
          <w:rFonts w:ascii="Times New Roman" w:hAnsi="Times New Roman"/>
          <w:lang w:val="pt-BR"/>
        </w:rPr>
        <w:t xml:space="preserve">. O objetivo principal </w:t>
      </w:r>
      <w:r w:rsidR="00B17861">
        <w:rPr>
          <w:rFonts w:ascii="Times New Roman" w:hAnsi="Times New Roman"/>
          <w:lang w:val="pt-BR"/>
        </w:rPr>
        <w:t>foi</w:t>
      </w:r>
      <w:r>
        <w:rPr>
          <w:rFonts w:ascii="Times New Roman" w:hAnsi="Times New Roman"/>
          <w:lang w:val="pt-BR"/>
        </w:rPr>
        <w:t xml:space="preserve"> identificar a presença de sílica da matriz para avaliar a eficiência do uso da solução de KOH para remoção da sílica.</w:t>
      </w:r>
    </w:p>
    <w:p w14:paraId="60F1D9BF" w14:textId="66504E8D" w:rsidR="00DD750D" w:rsidRDefault="00DD750D" w:rsidP="00604B21">
      <w:pPr>
        <w:pStyle w:val="TAMainText"/>
        <w:rPr>
          <w:rFonts w:cs="Times"/>
          <w:color w:val="222222"/>
          <w:shd w:val="clear" w:color="auto" w:fill="FFFFFF"/>
        </w:rPr>
      </w:pPr>
      <w:r>
        <w:rPr>
          <w:rFonts w:ascii="Arial" w:hAnsi="Arial" w:cs="Arial"/>
          <w:color w:val="222222"/>
          <w:shd w:val="clear" w:color="auto" w:fill="FFFFFF"/>
        </w:rPr>
        <w:t xml:space="preserve"> </w:t>
      </w:r>
      <w:r w:rsidRPr="001A179E">
        <w:rPr>
          <w:rFonts w:cs="Times"/>
          <w:shd w:val="clear" w:color="auto" w:fill="FFFFFF"/>
        </w:rPr>
        <w:t>As amostras também foram caracterizadas por difração de raios X utilizando o equipamento da marca Bruker, modelo D8 Advance e a fonte cobre</w:t>
      </w:r>
      <w:r w:rsidR="00E42AAC" w:rsidRPr="001A179E">
        <w:rPr>
          <w:rFonts w:cs="Times"/>
          <w:shd w:val="clear" w:color="auto" w:fill="FFFFFF"/>
        </w:rPr>
        <w:t>.</w:t>
      </w:r>
    </w:p>
    <w:p w14:paraId="4E6BAA29" w14:textId="57EE122C" w:rsidR="00EA4E1B" w:rsidRPr="001F25B2" w:rsidRDefault="00EA4E1B" w:rsidP="0086263B">
      <w:pPr>
        <w:pStyle w:val="TAMainText"/>
        <w:ind w:firstLine="0"/>
        <w:rPr>
          <w:rFonts w:ascii="Times New Roman" w:hAnsi="Times New Roman"/>
          <w:lang w:val="pt-BR"/>
        </w:rPr>
      </w:pPr>
    </w:p>
    <w:p w14:paraId="136BD1AC" w14:textId="731A63B1"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FAAD7AE" w14:textId="3437FB2F" w:rsidR="00DF623E" w:rsidRDefault="00DF623E" w:rsidP="00DF623E">
      <w:pPr>
        <w:jc w:val="both"/>
        <w:rPr>
          <w:rFonts w:ascii="Times New Roman" w:hAnsi="Times New Roman"/>
          <w:sz w:val="20"/>
          <w:szCs w:val="20"/>
        </w:rPr>
      </w:pPr>
      <w:r>
        <w:rPr>
          <w:rFonts w:ascii="Times New Roman" w:hAnsi="Times New Roman"/>
          <w:sz w:val="20"/>
          <w:szCs w:val="20"/>
        </w:rPr>
        <w:t xml:space="preserve">     </w:t>
      </w:r>
      <w:r w:rsidRPr="00DF623E">
        <w:rPr>
          <w:rFonts w:ascii="Times New Roman" w:hAnsi="Times New Roman"/>
          <w:sz w:val="20"/>
          <w:szCs w:val="20"/>
        </w:rPr>
        <w:t>A obtenção dos carvões mesoporosos usando matrizes de sílica é uma técnica já utilizada por alguns autores (</w:t>
      </w:r>
      <w:r w:rsidR="006637C3">
        <w:rPr>
          <w:rFonts w:ascii="Times New Roman" w:hAnsi="Times New Roman"/>
          <w:sz w:val="20"/>
          <w:szCs w:val="20"/>
        </w:rPr>
        <w:t>6,7</w:t>
      </w:r>
      <w:r w:rsidRPr="00DF623E">
        <w:rPr>
          <w:rFonts w:ascii="Times New Roman" w:hAnsi="Times New Roman"/>
          <w:sz w:val="20"/>
          <w:szCs w:val="20"/>
        </w:rPr>
        <w:t xml:space="preserve">) </w:t>
      </w:r>
      <w:r w:rsidRPr="00DF623E">
        <w:rPr>
          <w:rFonts w:ascii="Times New Roman" w:hAnsi="Times New Roman"/>
          <w:sz w:val="20"/>
          <w:szCs w:val="20"/>
        </w:rPr>
        <w:t>Utiliza-se uma fonte de carbono, que é carbonizada em cima da sílica de dimensões e forma de interesse, que depois de eliminada dá origem a poros na estrutura do carvão, correlacionado à sua estrutura, como uma espécie de molde.</w:t>
      </w:r>
    </w:p>
    <w:p w14:paraId="2127B9FA" w14:textId="53F2DC89" w:rsidR="00DF623E" w:rsidRDefault="00DF623E" w:rsidP="00DF623E">
      <w:pPr>
        <w:pStyle w:val="TAMainText"/>
        <w:rPr>
          <w:rFonts w:ascii="Times New Roman" w:hAnsi="Times New Roman"/>
          <w:lang w:val="pt-BR"/>
        </w:rPr>
      </w:pPr>
      <w:r>
        <w:rPr>
          <w:rFonts w:ascii="Times New Roman" w:hAnsi="Times New Roman"/>
          <w:lang w:val="pt-BR"/>
        </w:rPr>
        <w:t xml:space="preserve">Os carvões carbonizados em temperatura de 800 </w:t>
      </w:r>
      <w:r w:rsidRPr="00EB3FC4">
        <w:rPr>
          <w:rFonts w:ascii="Times New Roman" w:hAnsi="Times New Roman"/>
          <w:lang w:val="pt-BR"/>
        </w:rPr>
        <w:t>°C</w:t>
      </w:r>
      <w:r>
        <w:rPr>
          <w:rFonts w:ascii="Times New Roman" w:hAnsi="Times New Roman"/>
          <w:lang w:val="pt-BR"/>
        </w:rPr>
        <w:t xml:space="preserve"> sob atmosfera inerte de hélio apresentaram valores de elevada área específica semelhantes e, elevados e altos volumes de poros. </w:t>
      </w:r>
    </w:p>
    <w:p w14:paraId="5AD7BAD7" w14:textId="55279461" w:rsidR="00DF623E" w:rsidRPr="00DF623E" w:rsidRDefault="00DF623E" w:rsidP="00DF623E">
      <w:pPr>
        <w:jc w:val="both"/>
        <w:rPr>
          <w:rFonts w:ascii="Times New Roman" w:hAnsi="Times New Roman"/>
          <w:sz w:val="20"/>
          <w:szCs w:val="20"/>
        </w:rPr>
      </w:pPr>
      <w:r>
        <w:rPr>
          <w:rFonts w:ascii="Times New Roman" w:hAnsi="Times New Roman"/>
        </w:rPr>
        <w:t xml:space="preserve">   </w:t>
      </w:r>
      <w:r w:rsidRPr="00DF623E">
        <w:rPr>
          <w:rFonts w:ascii="Times New Roman" w:hAnsi="Times New Roman"/>
          <w:sz w:val="20"/>
          <w:szCs w:val="20"/>
        </w:rPr>
        <w:t xml:space="preserve">A Figura </w:t>
      </w:r>
      <w:r w:rsidR="000A67BC">
        <w:rPr>
          <w:rFonts w:ascii="Times New Roman" w:hAnsi="Times New Roman"/>
          <w:sz w:val="20"/>
          <w:szCs w:val="20"/>
        </w:rPr>
        <w:t>2</w:t>
      </w:r>
      <w:r w:rsidRPr="00DF623E">
        <w:rPr>
          <w:rFonts w:ascii="Times New Roman" w:hAnsi="Times New Roman"/>
          <w:sz w:val="20"/>
          <w:szCs w:val="20"/>
        </w:rPr>
        <w:t xml:space="preserve"> apresenta a isoterma de adsorção destes materiais. É possível verificar a existência de um loop de histerese, típico da presença de mesoporos, como se desejava obter</w:t>
      </w:r>
    </w:p>
    <w:p w14:paraId="704310D9" w14:textId="2E804F9A" w:rsidR="00085E3C" w:rsidRPr="00DF623E" w:rsidRDefault="00EE43D4" w:rsidP="00DF623E">
      <w:pPr>
        <w:jc w:val="both"/>
      </w:pPr>
      <w:r>
        <w:rPr>
          <w:rFonts w:ascii="Times" w:hAnsi="Times" w:cs="Times"/>
          <w:b/>
          <w:noProof/>
          <w:sz w:val="18"/>
          <w:szCs w:val="18"/>
        </w:rPr>
        <w:drawing>
          <wp:inline distT="0" distB="0" distL="0" distR="0" wp14:anchorId="2CE8D5C8" wp14:editId="75BCE722">
            <wp:extent cx="3027680" cy="2256790"/>
            <wp:effectExtent l="19050" t="19050" r="20320" b="10160"/>
            <wp:docPr id="197146535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7680" cy="2256790"/>
                    </a:xfrm>
                    <a:prstGeom prst="rect">
                      <a:avLst/>
                    </a:prstGeom>
                    <a:noFill/>
                    <a:ln>
                      <a:solidFill>
                        <a:schemeClr val="tx1"/>
                      </a:solidFill>
                    </a:ln>
                  </pic:spPr>
                </pic:pic>
              </a:graphicData>
            </a:graphic>
          </wp:inline>
        </w:drawing>
      </w:r>
      <w:r w:rsidR="007E263D" w:rsidRPr="00DF623E">
        <w:rPr>
          <w:rFonts w:ascii="Times" w:hAnsi="Times" w:cs="Times"/>
          <w:b/>
          <w:sz w:val="18"/>
          <w:szCs w:val="18"/>
        </w:rPr>
        <w:t xml:space="preserve">Figura </w:t>
      </w:r>
      <w:r w:rsidR="000A67BC">
        <w:rPr>
          <w:rFonts w:ascii="Times" w:hAnsi="Times" w:cs="Times"/>
          <w:b/>
          <w:sz w:val="18"/>
          <w:szCs w:val="18"/>
        </w:rPr>
        <w:t>2</w:t>
      </w:r>
      <w:r w:rsidR="007E263D" w:rsidRPr="00DF623E">
        <w:rPr>
          <w:rFonts w:ascii="Times" w:hAnsi="Times" w:cs="Times"/>
          <w:b/>
          <w:sz w:val="18"/>
          <w:szCs w:val="18"/>
        </w:rPr>
        <w:t>.</w:t>
      </w:r>
      <w:r w:rsidR="007E263D" w:rsidRPr="00DF623E">
        <w:rPr>
          <w:rFonts w:ascii="Times" w:hAnsi="Times" w:cs="Times"/>
          <w:sz w:val="18"/>
          <w:szCs w:val="18"/>
        </w:rPr>
        <w:t xml:space="preserve"> </w:t>
      </w:r>
      <w:r w:rsidR="00DF623E" w:rsidRPr="00DF623E">
        <w:rPr>
          <w:rFonts w:ascii="Times" w:hAnsi="Times" w:cs="Times"/>
          <w:bCs/>
          <w:sz w:val="18"/>
          <w:szCs w:val="18"/>
        </w:rPr>
        <w:t>Isoterma</w:t>
      </w:r>
      <w:r w:rsidR="00DF623E">
        <w:rPr>
          <w:rFonts w:ascii="Times" w:hAnsi="Times" w:cs="Times"/>
          <w:bCs/>
          <w:sz w:val="18"/>
          <w:szCs w:val="18"/>
        </w:rPr>
        <w:t xml:space="preserve"> </w:t>
      </w:r>
      <w:r w:rsidR="00DF623E" w:rsidRPr="00DF623E">
        <w:rPr>
          <w:rFonts w:ascii="Times" w:hAnsi="Times" w:cs="Times"/>
          <w:bCs/>
          <w:sz w:val="18"/>
          <w:szCs w:val="18"/>
        </w:rPr>
        <w:t>de adsorção de nitrogênio dos carvões carbonizados</w:t>
      </w:r>
      <w:r w:rsidR="00DF623E">
        <w:rPr>
          <w:rFonts w:ascii="Times" w:hAnsi="Times" w:cs="Times"/>
          <w:bCs/>
          <w:sz w:val="18"/>
          <w:szCs w:val="18"/>
        </w:rPr>
        <w:t xml:space="preserve"> a</w:t>
      </w:r>
      <w:r w:rsidR="00DF623E" w:rsidRPr="00DF623E">
        <w:rPr>
          <w:rFonts w:ascii="Times" w:hAnsi="Times" w:cs="Times"/>
          <w:bCs/>
          <w:sz w:val="18"/>
          <w:szCs w:val="18"/>
        </w:rPr>
        <w:t xml:space="preserve"> 800 °C e tratados com KOH por 12 h</w:t>
      </w:r>
      <w:r w:rsidR="00DF623E">
        <w:rPr>
          <w:rFonts w:ascii="Times" w:hAnsi="Times" w:cs="Times"/>
          <w:bCs/>
          <w:sz w:val="18"/>
          <w:szCs w:val="18"/>
        </w:rPr>
        <w:t>.</w:t>
      </w:r>
    </w:p>
    <w:p w14:paraId="0F7EA5D0" w14:textId="15C5F93D" w:rsidR="00DF623E" w:rsidRDefault="00DF623E" w:rsidP="00DF623E">
      <w:pPr>
        <w:pStyle w:val="TAMainText"/>
        <w:rPr>
          <w:rFonts w:ascii="Times New Roman" w:hAnsi="Times New Roman"/>
          <w:lang w:val="pt-BR"/>
        </w:rPr>
      </w:pPr>
      <w:r>
        <w:rPr>
          <w:rFonts w:ascii="Times New Roman" w:hAnsi="Times New Roman"/>
          <w:lang w:val="pt-BR"/>
        </w:rPr>
        <w:t xml:space="preserve">A Figura </w:t>
      </w:r>
      <w:r w:rsidR="00EE43D4">
        <w:rPr>
          <w:rFonts w:ascii="Times New Roman" w:hAnsi="Times New Roman"/>
          <w:lang w:val="pt-BR"/>
        </w:rPr>
        <w:t>3</w:t>
      </w:r>
      <w:r>
        <w:rPr>
          <w:rFonts w:ascii="Times New Roman" w:hAnsi="Times New Roman"/>
          <w:lang w:val="pt-BR"/>
        </w:rPr>
        <w:t xml:space="preserve"> apresenta a distribuição de volume de poros relativos a esta isoterma, sendo possível observar que a amostra apresenta mesoporos, com distribuição estreita, com um máximo bem definido em 141 </w:t>
      </w:r>
      <w:r>
        <w:rPr>
          <w:rFonts w:ascii="Abadi" w:hAnsi="Abadi"/>
          <w:lang w:val="pt-BR"/>
        </w:rPr>
        <w:t>Å</w:t>
      </w:r>
      <w:r>
        <w:rPr>
          <w:rFonts w:ascii="Times New Roman" w:hAnsi="Times New Roman"/>
          <w:lang w:val="pt-BR"/>
        </w:rPr>
        <w:t>.</w:t>
      </w:r>
    </w:p>
    <w:p w14:paraId="56D9E73C" w14:textId="77777777" w:rsidR="00DF623E" w:rsidRDefault="00DF623E" w:rsidP="00DF623E">
      <w:pPr>
        <w:pStyle w:val="TAMainText"/>
        <w:rPr>
          <w:rFonts w:ascii="Times New Roman" w:hAnsi="Times New Roman"/>
          <w:lang w:val="pt-BR"/>
        </w:rPr>
      </w:pPr>
    </w:p>
    <w:p w14:paraId="10C31E38" w14:textId="5CB8758B" w:rsidR="00DF623E" w:rsidRDefault="00EE43D4" w:rsidP="0065701A">
      <w:r>
        <w:rPr>
          <w:noProof/>
        </w:rPr>
        <w:drawing>
          <wp:inline distT="0" distB="0" distL="0" distR="0" wp14:anchorId="5A5714D4" wp14:editId="4EE14CA1">
            <wp:extent cx="3027680" cy="2346325"/>
            <wp:effectExtent l="19050" t="19050" r="20320" b="15875"/>
            <wp:docPr id="185981496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7680" cy="2346325"/>
                    </a:xfrm>
                    <a:prstGeom prst="rect">
                      <a:avLst/>
                    </a:prstGeom>
                    <a:noFill/>
                    <a:ln>
                      <a:solidFill>
                        <a:schemeClr val="tx1"/>
                      </a:solidFill>
                    </a:ln>
                  </pic:spPr>
                </pic:pic>
              </a:graphicData>
            </a:graphic>
          </wp:inline>
        </w:drawing>
      </w:r>
    </w:p>
    <w:p w14:paraId="1C45161A" w14:textId="6D1A7ABC" w:rsidR="0065701A" w:rsidRPr="00FA4EFE" w:rsidRDefault="0065701A" w:rsidP="00FA4EFE">
      <w:pPr>
        <w:jc w:val="both"/>
        <w:rPr>
          <w:rFonts w:ascii="Times" w:hAnsi="Times" w:cs="Times"/>
          <w:bCs/>
          <w:sz w:val="18"/>
          <w:szCs w:val="18"/>
        </w:rPr>
      </w:pPr>
      <w:r w:rsidRPr="00F11F8E">
        <w:rPr>
          <w:rFonts w:ascii="Times" w:hAnsi="Times" w:cs="Times"/>
          <w:b/>
          <w:sz w:val="18"/>
          <w:szCs w:val="18"/>
        </w:rPr>
        <w:lastRenderedPageBreak/>
        <w:t>Figura</w:t>
      </w:r>
      <w:r w:rsidR="004D5340">
        <w:rPr>
          <w:rFonts w:ascii="Times" w:hAnsi="Times" w:cs="Times"/>
          <w:b/>
          <w:sz w:val="18"/>
          <w:szCs w:val="18"/>
        </w:rPr>
        <w:t xml:space="preserve"> </w:t>
      </w:r>
      <w:r w:rsidR="000A67BC">
        <w:rPr>
          <w:rFonts w:ascii="Times" w:hAnsi="Times" w:cs="Times"/>
          <w:b/>
          <w:sz w:val="18"/>
          <w:szCs w:val="18"/>
        </w:rPr>
        <w:t>3</w:t>
      </w:r>
      <w:r w:rsidR="00DF623E" w:rsidRPr="00DF623E">
        <w:rPr>
          <w:rFonts w:ascii="Times" w:hAnsi="Times" w:cs="Times"/>
          <w:b/>
          <w:sz w:val="18"/>
          <w:szCs w:val="18"/>
        </w:rPr>
        <w:t>.</w:t>
      </w:r>
      <w:r w:rsidR="00DF623E" w:rsidRPr="00DF623E">
        <w:rPr>
          <w:rFonts w:ascii="Times" w:hAnsi="Times" w:cs="Times"/>
          <w:bCs/>
          <w:sz w:val="18"/>
          <w:szCs w:val="18"/>
        </w:rPr>
        <w:t xml:space="preserve"> Distribuição de volume de poros dos carvões</w:t>
      </w:r>
      <w:r w:rsidR="00DF623E">
        <w:rPr>
          <w:rFonts w:ascii="Times" w:hAnsi="Times" w:cs="Times"/>
          <w:bCs/>
          <w:sz w:val="18"/>
          <w:szCs w:val="18"/>
        </w:rPr>
        <w:t xml:space="preserve"> </w:t>
      </w:r>
      <w:r w:rsidR="00DF623E" w:rsidRPr="00DF623E">
        <w:rPr>
          <w:rFonts w:ascii="Times" w:hAnsi="Times" w:cs="Times"/>
          <w:bCs/>
          <w:sz w:val="18"/>
          <w:szCs w:val="18"/>
        </w:rPr>
        <w:t>carbonizados a</w:t>
      </w:r>
      <w:r w:rsidR="00DF623E">
        <w:rPr>
          <w:rFonts w:ascii="Times" w:hAnsi="Times" w:cs="Times"/>
          <w:bCs/>
          <w:sz w:val="18"/>
          <w:szCs w:val="18"/>
        </w:rPr>
        <w:t xml:space="preserve"> </w:t>
      </w:r>
      <w:r w:rsidR="00DF623E" w:rsidRPr="00DF623E">
        <w:rPr>
          <w:rFonts w:ascii="Times" w:hAnsi="Times" w:cs="Times"/>
          <w:bCs/>
          <w:sz w:val="18"/>
          <w:szCs w:val="18"/>
        </w:rPr>
        <w:t>800 °C e tratados com KOH por 12 h.</w:t>
      </w:r>
    </w:p>
    <w:p w14:paraId="52E4CB9E" w14:textId="3B33D3B5" w:rsidR="00073FF9" w:rsidRDefault="00073FF9" w:rsidP="00073FF9">
      <w:pPr>
        <w:pStyle w:val="TAMainText"/>
        <w:rPr>
          <w:rFonts w:ascii="Times New Roman" w:hAnsi="Times New Roman"/>
          <w:lang w:val="pt-BR"/>
        </w:rPr>
      </w:pPr>
      <w:r>
        <w:rPr>
          <w:rFonts w:ascii="Times New Roman" w:hAnsi="Times New Roman"/>
          <w:lang w:val="pt-BR"/>
        </w:rPr>
        <w:t>Pelo</w:t>
      </w:r>
      <w:r w:rsidR="00C410A8">
        <w:rPr>
          <w:rFonts w:ascii="Times New Roman" w:hAnsi="Times New Roman"/>
          <w:lang w:val="pt-BR"/>
        </w:rPr>
        <w:t>s</w:t>
      </w:r>
      <w:r>
        <w:rPr>
          <w:rFonts w:ascii="Times New Roman" w:hAnsi="Times New Roman"/>
          <w:lang w:val="pt-BR"/>
        </w:rPr>
        <w:t xml:space="preserve"> espectro</w:t>
      </w:r>
      <w:r w:rsidR="00C410A8">
        <w:rPr>
          <w:rFonts w:ascii="Times New Roman" w:hAnsi="Times New Roman"/>
          <w:lang w:val="pt-BR"/>
        </w:rPr>
        <w:t>s</w:t>
      </w:r>
      <w:r>
        <w:rPr>
          <w:rFonts w:ascii="Times New Roman" w:hAnsi="Times New Roman"/>
          <w:lang w:val="pt-BR"/>
        </w:rPr>
        <w:t xml:space="preserve"> de FTIR apresentado</w:t>
      </w:r>
      <w:r w:rsidR="00C410A8">
        <w:rPr>
          <w:rFonts w:ascii="Times New Roman" w:hAnsi="Times New Roman"/>
          <w:lang w:val="pt-BR"/>
        </w:rPr>
        <w:t>s</w:t>
      </w:r>
      <w:r>
        <w:rPr>
          <w:rFonts w:ascii="Times New Roman" w:hAnsi="Times New Roman"/>
          <w:lang w:val="pt-BR"/>
        </w:rPr>
        <w:t xml:space="preserve"> na</w:t>
      </w:r>
      <w:r w:rsidR="00C410A8">
        <w:rPr>
          <w:rFonts w:ascii="Times New Roman" w:hAnsi="Times New Roman"/>
          <w:lang w:val="pt-BR"/>
        </w:rPr>
        <w:t>s</w:t>
      </w:r>
      <w:r>
        <w:rPr>
          <w:rFonts w:ascii="Times New Roman" w:hAnsi="Times New Roman"/>
          <w:lang w:val="pt-BR"/>
        </w:rPr>
        <w:t xml:space="preserve"> Figura</w:t>
      </w:r>
      <w:r w:rsidR="00C410A8">
        <w:rPr>
          <w:rFonts w:ascii="Times New Roman" w:hAnsi="Times New Roman"/>
          <w:lang w:val="pt-BR"/>
        </w:rPr>
        <w:t>s</w:t>
      </w:r>
      <w:r>
        <w:rPr>
          <w:rFonts w:ascii="Times New Roman" w:hAnsi="Times New Roman"/>
          <w:lang w:val="pt-BR"/>
        </w:rPr>
        <w:t xml:space="preserve"> </w:t>
      </w:r>
      <w:r w:rsidR="000A67BC">
        <w:rPr>
          <w:rFonts w:ascii="Times New Roman" w:hAnsi="Times New Roman"/>
          <w:lang w:val="pt-BR"/>
        </w:rPr>
        <w:t>4</w:t>
      </w:r>
      <w:r w:rsidR="00C410A8">
        <w:rPr>
          <w:rFonts w:ascii="Times New Roman" w:hAnsi="Times New Roman"/>
          <w:lang w:val="pt-BR"/>
        </w:rPr>
        <w:t xml:space="preserve"> e 5 </w:t>
      </w:r>
      <w:r>
        <w:rPr>
          <w:rFonts w:ascii="Times New Roman" w:hAnsi="Times New Roman"/>
          <w:lang w:val="pt-BR"/>
        </w:rPr>
        <w:t>, v</w:t>
      </w:r>
      <w:r w:rsidRPr="007412BD">
        <w:rPr>
          <w:rFonts w:ascii="Times New Roman" w:hAnsi="Times New Roman"/>
          <w:lang w:val="pt-BR"/>
        </w:rPr>
        <w:t xml:space="preserve">erificou-se que </w:t>
      </w:r>
      <w:r>
        <w:rPr>
          <w:rFonts w:ascii="Times New Roman" w:hAnsi="Times New Roman"/>
          <w:lang w:val="pt-BR"/>
        </w:rPr>
        <w:t xml:space="preserve">ocorreu </w:t>
      </w:r>
      <w:r w:rsidRPr="007412BD">
        <w:rPr>
          <w:rFonts w:ascii="Times New Roman" w:hAnsi="Times New Roman"/>
          <w:lang w:val="pt-BR"/>
        </w:rPr>
        <w:t xml:space="preserve">completa decomposição da sacarose </w:t>
      </w:r>
      <w:r>
        <w:rPr>
          <w:rFonts w:ascii="Times New Roman" w:hAnsi="Times New Roman"/>
          <w:lang w:val="pt-BR"/>
        </w:rPr>
        <w:t xml:space="preserve">na temperatura de </w:t>
      </w:r>
      <w:r w:rsidRPr="007412BD">
        <w:rPr>
          <w:rFonts w:ascii="Times New Roman" w:hAnsi="Times New Roman"/>
          <w:lang w:val="pt-BR"/>
        </w:rPr>
        <w:t>carbonização</w:t>
      </w:r>
      <w:r>
        <w:rPr>
          <w:rFonts w:ascii="Times New Roman" w:hAnsi="Times New Roman"/>
          <w:lang w:val="pt-BR"/>
        </w:rPr>
        <w:t xml:space="preserve"> utilizada</w:t>
      </w:r>
      <w:r w:rsidRPr="007412BD">
        <w:rPr>
          <w:rFonts w:ascii="Times New Roman" w:hAnsi="Times New Roman"/>
          <w:lang w:val="pt-BR"/>
        </w:rPr>
        <w:t>.</w:t>
      </w:r>
      <w:r>
        <w:rPr>
          <w:rFonts w:ascii="Times New Roman" w:hAnsi="Times New Roman"/>
          <w:lang w:val="pt-BR"/>
        </w:rPr>
        <w:t xml:space="preserve"> Sendo observado também que a amostra tratada por 12 h praticamente não apresenta banda típica em torno de 1090 cm</w:t>
      </w:r>
      <w:r>
        <w:rPr>
          <w:rFonts w:ascii="Times New Roman" w:hAnsi="Times New Roman"/>
          <w:vertAlign w:val="superscript"/>
          <w:lang w:val="pt-BR"/>
        </w:rPr>
        <w:t>-1</w:t>
      </w:r>
      <w:r>
        <w:rPr>
          <w:rFonts w:ascii="Times New Roman" w:hAnsi="Times New Roman"/>
          <w:lang w:val="pt-BR"/>
        </w:rPr>
        <w:t xml:space="preserve">  atribuídas à sílica</w:t>
      </w:r>
      <w:r w:rsidR="00C410A8">
        <w:rPr>
          <w:rFonts w:ascii="Times New Roman" w:hAnsi="Times New Roman"/>
          <w:lang w:val="pt-BR"/>
        </w:rPr>
        <w:t>.</w:t>
      </w:r>
    </w:p>
    <w:p w14:paraId="4E37EF51" w14:textId="77777777" w:rsidR="00073FF9" w:rsidRDefault="00073FF9" w:rsidP="0065701A">
      <w:pPr>
        <w:rPr>
          <w:rFonts w:ascii="Times" w:hAnsi="Times" w:cs="Times"/>
          <w:sz w:val="18"/>
          <w:szCs w:val="18"/>
        </w:rPr>
      </w:pPr>
    </w:p>
    <w:p w14:paraId="0357B4DE" w14:textId="7EA102C4" w:rsidR="008F3C39" w:rsidRDefault="008F3C39" w:rsidP="0065701A">
      <w:pPr>
        <w:rPr>
          <w:rFonts w:ascii="Times" w:hAnsi="Times" w:cs="Times"/>
          <w:sz w:val="18"/>
          <w:szCs w:val="18"/>
        </w:rPr>
      </w:pPr>
      <w:r>
        <w:rPr>
          <w:rFonts w:ascii="Times" w:hAnsi="Times" w:cs="Times"/>
          <w:noProof/>
          <w:sz w:val="18"/>
          <w:szCs w:val="18"/>
        </w:rPr>
        <w:drawing>
          <wp:inline distT="0" distB="0" distL="0" distR="0" wp14:anchorId="7AA5B1C1" wp14:editId="06B494B8">
            <wp:extent cx="3027680" cy="2389505"/>
            <wp:effectExtent l="19050" t="19050" r="20320" b="10795"/>
            <wp:docPr id="4431784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7680" cy="2389505"/>
                    </a:xfrm>
                    <a:prstGeom prst="rect">
                      <a:avLst/>
                    </a:prstGeom>
                    <a:noFill/>
                    <a:ln>
                      <a:solidFill>
                        <a:schemeClr val="tx1"/>
                      </a:solidFill>
                    </a:ln>
                  </pic:spPr>
                </pic:pic>
              </a:graphicData>
            </a:graphic>
          </wp:inline>
        </w:drawing>
      </w:r>
    </w:p>
    <w:p w14:paraId="18956C92" w14:textId="7B2FB774" w:rsidR="008F3C39" w:rsidRPr="009E6A08" w:rsidRDefault="008F3C39" w:rsidP="0065701A">
      <w:pPr>
        <w:rPr>
          <w:rFonts w:ascii="Times" w:hAnsi="Times" w:cs="Times"/>
          <w:sz w:val="18"/>
          <w:szCs w:val="18"/>
        </w:rPr>
      </w:pPr>
      <w:r w:rsidRPr="004D5340">
        <w:rPr>
          <w:rFonts w:ascii="Times" w:hAnsi="Times" w:cs="Times"/>
          <w:b/>
          <w:sz w:val="18"/>
          <w:szCs w:val="18"/>
        </w:rPr>
        <w:t xml:space="preserve">Figura </w:t>
      </w:r>
      <w:r>
        <w:rPr>
          <w:rFonts w:ascii="Times" w:hAnsi="Times" w:cs="Times"/>
          <w:b/>
          <w:sz w:val="18"/>
          <w:szCs w:val="18"/>
        </w:rPr>
        <w:t>4</w:t>
      </w:r>
      <w:r w:rsidRPr="004D5340">
        <w:rPr>
          <w:rFonts w:ascii="Times" w:hAnsi="Times" w:cs="Times"/>
          <w:b/>
          <w:sz w:val="18"/>
          <w:szCs w:val="18"/>
        </w:rPr>
        <w:t xml:space="preserve">. </w:t>
      </w:r>
      <w:r w:rsidRPr="004D5340">
        <w:rPr>
          <w:rFonts w:ascii="Times New Roman" w:hAnsi="Times New Roman"/>
          <w:bCs/>
          <w:sz w:val="18"/>
          <w:szCs w:val="18"/>
        </w:rPr>
        <w:t>Espectro de FTIR do carv</w:t>
      </w:r>
      <w:r>
        <w:rPr>
          <w:rFonts w:ascii="Times New Roman" w:hAnsi="Times New Roman"/>
          <w:bCs/>
          <w:sz w:val="18"/>
          <w:szCs w:val="18"/>
        </w:rPr>
        <w:t>ão</w:t>
      </w:r>
      <w:r w:rsidRPr="004D5340">
        <w:rPr>
          <w:rFonts w:ascii="Times New Roman" w:hAnsi="Times New Roman"/>
          <w:bCs/>
          <w:sz w:val="18"/>
          <w:szCs w:val="18"/>
        </w:rPr>
        <w:t xml:space="preserve"> carbonizados a 800 °C </w:t>
      </w:r>
      <w:r>
        <w:rPr>
          <w:rFonts w:ascii="Times New Roman" w:hAnsi="Times New Roman"/>
          <w:bCs/>
          <w:sz w:val="18"/>
          <w:szCs w:val="18"/>
        </w:rPr>
        <w:t>antes do</w:t>
      </w:r>
      <w:r w:rsidRPr="004D5340">
        <w:rPr>
          <w:rFonts w:ascii="Times New Roman" w:hAnsi="Times New Roman"/>
          <w:bCs/>
          <w:sz w:val="18"/>
          <w:szCs w:val="18"/>
        </w:rPr>
        <w:t xml:space="preserve"> tratamento com KOH 1M</w:t>
      </w:r>
      <w:r w:rsidRPr="004D5340">
        <w:rPr>
          <w:rFonts w:ascii="Times" w:hAnsi="Times" w:cs="Times"/>
          <w:sz w:val="18"/>
          <w:szCs w:val="18"/>
        </w:rPr>
        <w:t>.</w:t>
      </w:r>
    </w:p>
    <w:p w14:paraId="73A96B69" w14:textId="1C9BD793" w:rsidR="00C410A8" w:rsidRDefault="00C410A8" w:rsidP="0065701A">
      <w:r>
        <w:rPr>
          <w:noProof/>
        </w:rPr>
        <w:drawing>
          <wp:inline distT="0" distB="0" distL="0" distR="0" wp14:anchorId="4698F002" wp14:editId="6720355B">
            <wp:extent cx="3027680" cy="2370455"/>
            <wp:effectExtent l="19050" t="19050" r="20320" b="10795"/>
            <wp:docPr id="175692693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7680" cy="2370455"/>
                    </a:xfrm>
                    <a:prstGeom prst="rect">
                      <a:avLst/>
                    </a:prstGeom>
                    <a:noFill/>
                    <a:ln>
                      <a:solidFill>
                        <a:schemeClr val="tx1"/>
                      </a:solidFill>
                    </a:ln>
                  </pic:spPr>
                </pic:pic>
              </a:graphicData>
            </a:graphic>
          </wp:inline>
        </w:drawing>
      </w:r>
    </w:p>
    <w:p w14:paraId="0B07E07E" w14:textId="14D8A902" w:rsidR="005F34A3" w:rsidRDefault="0065701A" w:rsidP="0065701A">
      <w:pPr>
        <w:rPr>
          <w:rFonts w:ascii="Times" w:hAnsi="Times" w:cs="Times"/>
          <w:sz w:val="18"/>
          <w:szCs w:val="18"/>
        </w:rPr>
      </w:pPr>
      <w:r w:rsidRPr="004D5340">
        <w:rPr>
          <w:rFonts w:ascii="Times" w:hAnsi="Times" w:cs="Times"/>
          <w:b/>
          <w:sz w:val="18"/>
          <w:szCs w:val="18"/>
        </w:rPr>
        <w:t xml:space="preserve">Figura </w:t>
      </w:r>
      <w:r w:rsidR="00C410A8">
        <w:rPr>
          <w:rFonts w:ascii="Times" w:hAnsi="Times" w:cs="Times"/>
          <w:b/>
          <w:sz w:val="18"/>
          <w:szCs w:val="18"/>
        </w:rPr>
        <w:t>5</w:t>
      </w:r>
      <w:r w:rsidRPr="004D5340">
        <w:rPr>
          <w:rFonts w:ascii="Times" w:hAnsi="Times" w:cs="Times"/>
          <w:b/>
          <w:sz w:val="18"/>
          <w:szCs w:val="18"/>
        </w:rPr>
        <w:t>.</w:t>
      </w:r>
      <w:r w:rsidR="004D5340" w:rsidRPr="004D5340">
        <w:rPr>
          <w:rFonts w:ascii="Times" w:hAnsi="Times" w:cs="Times"/>
          <w:b/>
          <w:sz w:val="18"/>
          <w:szCs w:val="18"/>
        </w:rPr>
        <w:t xml:space="preserve"> </w:t>
      </w:r>
      <w:r w:rsidR="004D5340" w:rsidRPr="004D5340">
        <w:rPr>
          <w:rFonts w:ascii="Times New Roman" w:hAnsi="Times New Roman"/>
          <w:bCs/>
          <w:sz w:val="18"/>
          <w:szCs w:val="18"/>
        </w:rPr>
        <w:t>Espectro de FTIR do carv</w:t>
      </w:r>
      <w:r w:rsidR="00540586">
        <w:rPr>
          <w:rFonts w:ascii="Times New Roman" w:hAnsi="Times New Roman"/>
          <w:bCs/>
          <w:sz w:val="18"/>
          <w:szCs w:val="18"/>
        </w:rPr>
        <w:t>ão</w:t>
      </w:r>
      <w:r w:rsidR="004D5340" w:rsidRPr="004D5340">
        <w:rPr>
          <w:rFonts w:ascii="Times New Roman" w:hAnsi="Times New Roman"/>
          <w:bCs/>
          <w:sz w:val="18"/>
          <w:szCs w:val="18"/>
        </w:rPr>
        <w:t xml:space="preserve"> carbonizados a 800 °C e submetido a tratamento com KOH 1M</w:t>
      </w:r>
      <w:r w:rsidRPr="004D5340">
        <w:rPr>
          <w:rFonts w:ascii="Times" w:hAnsi="Times" w:cs="Times"/>
          <w:sz w:val="18"/>
          <w:szCs w:val="18"/>
        </w:rPr>
        <w:t>.</w:t>
      </w:r>
    </w:p>
    <w:p w14:paraId="26EB8039" w14:textId="330EC8EF" w:rsidR="00631E71" w:rsidRPr="005D57B5" w:rsidRDefault="00631E71" w:rsidP="00631E71">
      <w:pPr>
        <w:jc w:val="both"/>
        <w:rPr>
          <w:rFonts w:ascii="Times" w:hAnsi="Times" w:cs="Times"/>
          <w:sz w:val="20"/>
          <w:szCs w:val="20"/>
        </w:rPr>
      </w:pPr>
      <w:r>
        <w:rPr>
          <w:rFonts w:ascii="Times" w:hAnsi="Times" w:cs="Times"/>
          <w:sz w:val="20"/>
          <w:szCs w:val="20"/>
        </w:rPr>
        <w:t xml:space="preserve">    </w:t>
      </w:r>
      <w:r w:rsidRPr="005D57B5">
        <w:rPr>
          <w:rFonts w:ascii="Times" w:hAnsi="Times" w:cs="Times"/>
          <w:sz w:val="20"/>
          <w:szCs w:val="20"/>
        </w:rPr>
        <w:t xml:space="preserve">Pelo Difratograma de raio X apresentado na Figura </w:t>
      </w:r>
      <w:r w:rsidR="00F11395">
        <w:rPr>
          <w:rFonts w:ascii="Times" w:hAnsi="Times" w:cs="Times"/>
          <w:sz w:val="20"/>
          <w:szCs w:val="20"/>
        </w:rPr>
        <w:t>6</w:t>
      </w:r>
      <w:r w:rsidRPr="005D57B5">
        <w:rPr>
          <w:rFonts w:ascii="Times" w:hAnsi="Times" w:cs="Times"/>
          <w:sz w:val="20"/>
          <w:szCs w:val="20"/>
        </w:rPr>
        <w:t xml:space="preserve">, </w:t>
      </w:r>
      <w:r w:rsidR="005D57B5" w:rsidRPr="005D57B5">
        <w:rPr>
          <w:rFonts w:ascii="Times" w:hAnsi="Times" w:cs="Times"/>
          <w:sz w:val="20"/>
          <w:szCs w:val="20"/>
        </w:rPr>
        <w:t xml:space="preserve">apresenta </w:t>
      </w:r>
      <w:r w:rsidR="005D57B5">
        <w:rPr>
          <w:rFonts w:ascii="Times" w:hAnsi="Times" w:cs="Times"/>
          <w:sz w:val="20"/>
          <w:szCs w:val="20"/>
        </w:rPr>
        <w:t xml:space="preserve">pico mais </w:t>
      </w:r>
      <w:r w:rsidR="005D57B5" w:rsidRPr="005D57B5">
        <w:rPr>
          <w:rFonts w:ascii="Times" w:hAnsi="Times" w:cs="Times"/>
          <w:sz w:val="20"/>
          <w:szCs w:val="20"/>
        </w:rPr>
        <w:t xml:space="preserve">intenso em aproximadamente 25° (para radiação Cu-Kα), que equivale a uma distância interplanar de 3,35 Å, </w:t>
      </w:r>
      <w:r w:rsidR="005D57B5">
        <w:rPr>
          <w:rFonts w:ascii="Times" w:hAnsi="Times" w:cs="Times"/>
          <w:sz w:val="20"/>
          <w:szCs w:val="20"/>
        </w:rPr>
        <w:t xml:space="preserve">que </w:t>
      </w:r>
      <w:r w:rsidR="005D57B5" w:rsidRPr="005D57B5">
        <w:rPr>
          <w:rFonts w:ascii="Times" w:hAnsi="Times" w:cs="Times"/>
          <w:sz w:val="20"/>
          <w:szCs w:val="20"/>
        </w:rPr>
        <w:t>correspo</w:t>
      </w:r>
      <w:r w:rsidR="005D57B5">
        <w:rPr>
          <w:rFonts w:ascii="Times" w:hAnsi="Times" w:cs="Times"/>
          <w:sz w:val="20"/>
          <w:szCs w:val="20"/>
        </w:rPr>
        <w:t>nde</w:t>
      </w:r>
      <w:r w:rsidR="005D57B5" w:rsidRPr="005D57B5">
        <w:rPr>
          <w:rFonts w:ascii="Times" w:hAnsi="Times" w:cs="Times"/>
          <w:sz w:val="20"/>
          <w:szCs w:val="20"/>
        </w:rPr>
        <w:t xml:space="preserve"> à direção perpendicular aos </w:t>
      </w:r>
      <w:r w:rsidR="005D57B5" w:rsidRPr="005D57B5">
        <w:rPr>
          <w:rFonts w:ascii="Times" w:hAnsi="Times" w:cs="Times"/>
          <w:sz w:val="20"/>
          <w:szCs w:val="20"/>
        </w:rPr>
        <w:t>planos basais (índices de Miller 002)</w:t>
      </w:r>
      <w:r w:rsidR="005D57B5">
        <w:rPr>
          <w:rFonts w:ascii="Times" w:hAnsi="Times" w:cs="Times"/>
          <w:sz w:val="20"/>
          <w:szCs w:val="20"/>
        </w:rPr>
        <w:t>. O</w:t>
      </w:r>
      <w:r w:rsidRPr="005D57B5">
        <w:rPr>
          <w:rFonts w:ascii="Times" w:hAnsi="Times" w:cs="Times"/>
          <w:sz w:val="20"/>
          <w:szCs w:val="20"/>
        </w:rPr>
        <w:t xml:space="preserve"> suporte apresenta um deslocamento do ângulo de difração do pico mais intenso (plano (002)) para um valor menor, o que indica que ambos os suportes têm estruturas desordenadas.</w:t>
      </w:r>
    </w:p>
    <w:p w14:paraId="6FD377E3" w14:textId="77777777" w:rsidR="007F45B6" w:rsidRDefault="007F45B6" w:rsidP="0065701A">
      <w:pPr>
        <w:rPr>
          <w:rFonts w:ascii="Times" w:hAnsi="Times" w:cs="Times"/>
          <w:sz w:val="18"/>
          <w:szCs w:val="18"/>
        </w:rPr>
      </w:pPr>
    </w:p>
    <w:p w14:paraId="2A9F55E7" w14:textId="7D33700A" w:rsidR="007F45B6" w:rsidRDefault="00AF461B" w:rsidP="0065701A">
      <w:r>
        <w:rPr>
          <w:noProof/>
        </w:rPr>
        <w:drawing>
          <wp:inline distT="0" distB="0" distL="0" distR="0" wp14:anchorId="2B27666E" wp14:editId="2E3AB6B5">
            <wp:extent cx="3027680" cy="2171065"/>
            <wp:effectExtent l="19050" t="19050" r="20320" b="19685"/>
            <wp:docPr id="11914461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7680" cy="2171065"/>
                    </a:xfrm>
                    <a:prstGeom prst="rect">
                      <a:avLst/>
                    </a:prstGeom>
                    <a:noFill/>
                    <a:ln>
                      <a:solidFill>
                        <a:schemeClr val="tx1"/>
                      </a:solidFill>
                    </a:ln>
                  </pic:spPr>
                </pic:pic>
              </a:graphicData>
            </a:graphic>
          </wp:inline>
        </w:drawing>
      </w:r>
    </w:p>
    <w:p w14:paraId="29E02A51" w14:textId="6A003BB5" w:rsidR="007F45B6" w:rsidRPr="007F45B6" w:rsidRDefault="007F45B6" w:rsidP="0065701A">
      <w:pPr>
        <w:rPr>
          <w:rFonts w:ascii="Times" w:hAnsi="Times" w:cs="Times"/>
          <w:bCs/>
          <w:sz w:val="18"/>
          <w:szCs w:val="18"/>
        </w:rPr>
      </w:pPr>
      <w:r w:rsidRPr="007F45B6">
        <w:rPr>
          <w:rFonts w:ascii="Times" w:hAnsi="Times" w:cs="Times"/>
          <w:b/>
          <w:sz w:val="18"/>
          <w:szCs w:val="18"/>
        </w:rPr>
        <w:t xml:space="preserve">Figura </w:t>
      </w:r>
      <w:r w:rsidR="00F11395">
        <w:rPr>
          <w:rFonts w:ascii="Times" w:hAnsi="Times" w:cs="Times"/>
          <w:b/>
          <w:sz w:val="18"/>
          <w:szCs w:val="18"/>
        </w:rPr>
        <w:t>6</w:t>
      </w:r>
      <w:r w:rsidRPr="007F45B6">
        <w:rPr>
          <w:rFonts w:ascii="Times" w:hAnsi="Times" w:cs="Times"/>
          <w:b/>
          <w:sz w:val="18"/>
          <w:szCs w:val="18"/>
        </w:rPr>
        <w:t xml:space="preserve">. </w:t>
      </w:r>
      <w:r w:rsidRPr="007F45B6">
        <w:rPr>
          <w:rFonts w:ascii="Times" w:hAnsi="Times" w:cs="Times"/>
          <w:bCs/>
          <w:sz w:val="18"/>
          <w:szCs w:val="18"/>
        </w:rPr>
        <w:t xml:space="preserve">Difratograma de raio X </w:t>
      </w:r>
      <w:r w:rsidRPr="007F45B6">
        <w:rPr>
          <w:rFonts w:ascii="Times New Roman" w:hAnsi="Times New Roman"/>
          <w:bCs/>
          <w:sz w:val="18"/>
          <w:szCs w:val="18"/>
        </w:rPr>
        <w:t>do carvão carbonizados a 800 °C e submetido a tratamento com KOH 1M</w:t>
      </w:r>
      <w:r w:rsidRPr="007F45B6">
        <w:rPr>
          <w:rFonts w:ascii="Times" w:hAnsi="Times" w:cs="Times"/>
          <w:bCs/>
          <w:sz w:val="18"/>
          <w:szCs w:val="18"/>
        </w:rPr>
        <w:t>.</w:t>
      </w:r>
    </w:p>
    <w:p w14:paraId="46FE30FF" w14:textId="5B567A9A" w:rsidR="00EA4E1B" w:rsidRDefault="00E42AAC" w:rsidP="00E4781C">
      <w:pPr>
        <w:jc w:val="both"/>
        <w:rPr>
          <w:rFonts w:ascii="Times" w:eastAsia="Calibri" w:hAnsi="Times" w:cs="Times"/>
          <w:sz w:val="20"/>
          <w:szCs w:val="20"/>
        </w:rPr>
      </w:pPr>
      <w:r>
        <w:rPr>
          <w:rFonts w:ascii="Times" w:eastAsia="Calibri" w:hAnsi="Times" w:cs="Times"/>
          <w:sz w:val="20"/>
          <w:szCs w:val="20"/>
        </w:rPr>
        <w:t xml:space="preserve">     </w:t>
      </w:r>
      <w:r w:rsidR="00447141">
        <w:rPr>
          <w:rFonts w:ascii="Times" w:eastAsia="Calibri" w:hAnsi="Times" w:cs="Times"/>
          <w:sz w:val="20"/>
          <w:szCs w:val="20"/>
        </w:rPr>
        <w:t>A tabela 1 apresenta os resultados do</w:t>
      </w:r>
      <w:r w:rsidR="008F0976" w:rsidRPr="008F0976">
        <w:rPr>
          <w:rFonts w:ascii="Times" w:eastAsia="Calibri" w:hAnsi="Times" w:cs="Times"/>
          <w:sz w:val="20"/>
          <w:szCs w:val="20"/>
        </w:rPr>
        <w:t xml:space="preserve"> craqueamento catalítico do </w:t>
      </w:r>
      <w:r w:rsidR="005A5553">
        <w:rPr>
          <w:rFonts w:ascii="Times" w:eastAsia="Calibri" w:hAnsi="Times" w:cs="Times"/>
          <w:sz w:val="20"/>
          <w:szCs w:val="20"/>
        </w:rPr>
        <w:t>Bagaço de cana</w:t>
      </w:r>
      <w:r w:rsidR="0052143D">
        <w:rPr>
          <w:rFonts w:ascii="Times" w:eastAsia="Calibri" w:hAnsi="Times" w:cs="Times"/>
          <w:sz w:val="20"/>
          <w:szCs w:val="20"/>
        </w:rPr>
        <w:t>, utilizando</w:t>
      </w:r>
      <w:r w:rsidR="005A5553">
        <w:rPr>
          <w:rFonts w:ascii="Times" w:eastAsia="Calibri" w:hAnsi="Times" w:cs="Times"/>
          <w:sz w:val="20"/>
          <w:szCs w:val="20"/>
        </w:rPr>
        <w:t xml:space="preserve"> </w:t>
      </w:r>
      <w:r w:rsidR="008F0976" w:rsidRPr="008F0976">
        <w:rPr>
          <w:rFonts w:ascii="Times" w:eastAsia="Calibri" w:hAnsi="Times" w:cs="Times"/>
          <w:sz w:val="20"/>
          <w:szCs w:val="20"/>
        </w:rPr>
        <w:t xml:space="preserve">com </w:t>
      </w:r>
      <w:r w:rsidR="005A5553">
        <w:rPr>
          <w:rFonts w:ascii="Times" w:eastAsia="Calibri" w:hAnsi="Times" w:cs="Times"/>
          <w:sz w:val="20"/>
          <w:szCs w:val="20"/>
        </w:rPr>
        <w:t>o</w:t>
      </w:r>
      <w:r w:rsidR="0052143D">
        <w:rPr>
          <w:rFonts w:ascii="Times" w:eastAsia="Calibri" w:hAnsi="Times" w:cs="Times"/>
          <w:sz w:val="20"/>
          <w:szCs w:val="20"/>
        </w:rPr>
        <w:t>s</w:t>
      </w:r>
      <w:r w:rsidR="005A5553">
        <w:rPr>
          <w:rFonts w:ascii="Times" w:eastAsia="Calibri" w:hAnsi="Times" w:cs="Times"/>
          <w:sz w:val="20"/>
          <w:szCs w:val="20"/>
        </w:rPr>
        <w:t xml:space="preserve"> carvões mesoporosos</w:t>
      </w:r>
      <w:r w:rsidR="0052143D">
        <w:rPr>
          <w:rFonts w:ascii="Times" w:eastAsia="Calibri" w:hAnsi="Times" w:cs="Times"/>
          <w:sz w:val="20"/>
          <w:szCs w:val="20"/>
        </w:rPr>
        <w:t xml:space="preserve"> como catalisadores</w:t>
      </w:r>
      <w:r w:rsidR="00447141">
        <w:rPr>
          <w:rFonts w:ascii="Times" w:eastAsia="Calibri" w:hAnsi="Times" w:cs="Times"/>
          <w:sz w:val="20"/>
          <w:szCs w:val="20"/>
        </w:rPr>
        <w:t>. Assim, analisando os resultados obtidos, é observado</w:t>
      </w:r>
      <w:r w:rsidR="008F0976" w:rsidRPr="008F0976">
        <w:rPr>
          <w:rFonts w:ascii="Times" w:eastAsia="Calibri" w:hAnsi="Times" w:cs="Times"/>
          <w:sz w:val="20"/>
          <w:szCs w:val="20"/>
        </w:rPr>
        <w:t xml:space="preserve"> elevado rendimento de líquido pirolítico e menor teor de sólidos</w:t>
      </w:r>
      <w:r w:rsidR="00447141">
        <w:rPr>
          <w:rFonts w:ascii="Times" w:eastAsia="Calibri" w:hAnsi="Times" w:cs="Times"/>
          <w:sz w:val="20"/>
          <w:szCs w:val="20"/>
        </w:rPr>
        <w:t>, o que</w:t>
      </w:r>
      <w:r w:rsidR="008F0976" w:rsidRPr="008F0976">
        <w:rPr>
          <w:rFonts w:ascii="Times" w:eastAsia="Calibri" w:hAnsi="Times" w:cs="Times"/>
          <w:sz w:val="20"/>
          <w:szCs w:val="20"/>
        </w:rPr>
        <w:t>.</w:t>
      </w:r>
    </w:p>
    <w:p w14:paraId="7918A84A" w14:textId="167D444F" w:rsidR="00223531" w:rsidRPr="00223531" w:rsidRDefault="00223531" w:rsidP="00223531">
      <w:pPr>
        <w:rPr>
          <w:rFonts w:ascii="Times" w:hAnsi="Times" w:cs="Times"/>
          <w:bCs/>
          <w:sz w:val="18"/>
          <w:szCs w:val="18"/>
        </w:rPr>
      </w:pPr>
      <w:r>
        <w:rPr>
          <w:rFonts w:ascii="Times" w:hAnsi="Times" w:cs="Times"/>
          <w:b/>
          <w:sz w:val="18"/>
          <w:szCs w:val="18"/>
        </w:rPr>
        <w:t>Tabela 1</w:t>
      </w:r>
      <w:r w:rsidRPr="007F45B6">
        <w:rPr>
          <w:rFonts w:ascii="Times" w:hAnsi="Times" w:cs="Times"/>
          <w:b/>
          <w:sz w:val="18"/>
          <w:szCs w:val="18"/>
        </w:rPr>
        <w:t xml:space="preserve">. </w:t>
      </w:r>
      <w:r>
        <w:rPr>
          <w:rFonts w:ascii="Times" w:hAnsi="Times" w:cs="Times"/>
          <w:bCs/>
          <w:sz w:val="18"/>
          <w:szCs w:val="18"/>
        </w:rPr>
        <w:t>P</w:t>
      </w:r>
      <w:r w:rsidRPr="00223531">
        <w:rPr>
          <w:rFonts w:ascii="Times" w:hAnsi="Times" w:cs="Times"/>
          <w:bCs/>
          <w:sz w:val="18"/>
          <w:szCs w:val="18"/>
        </w:rPr>
        <w:t>ercentuais das frações recuperadas das reações de craqueamento</w:t>
      </w:r>
      <w:r>
        <w:rPr>
          <w:rFonts w:ascii="Times" w:hAnsi="Times" w:cs="Times"/>
          <w:bCs/>
          <w:sz w:val="18"/>
          <w:szCs w:val="18"/>
        </w:rPr>
        <w:t xml:space="preserve"> da</w:t>
      </w:r>
      <w:r w:rsidRPr="00223531">
        <w:rPr>
          <w:rFonts w:ascii="Times" w:hAnsi="Times" w:cs="Times"/>
          <w:bCs/>
          <w:sz w:val="18"/>
          <w:szCs w:val="18"/>
        </w:rPr>
        <w:t xml:space="preserve"> biomassa </w:t>
      </w:r>
      <w:r>
        <w:rPr>
          <w:rFonts w:ascii="Times" w:hAnsi="Times" w:cs="Times"/>
          <w:bCs/>
          <w:sz w:val="18"/>
          <w:szCs w:val="18"/>
        </w:rPr>
        <w:t>e biomassa</w:t>
      </w:r>
      <w:r w:rsidRPr="00223531">
        <w:rPr>
          <w:rFonts w:ascii="Times" w:hAnsi="Times" w:cs="Times"/>
          <w:bCs/>
          <w:sz w:val="18"/>
          <w:szCs w:val="18"/>
        </w:rPr>
        <w:t xml:space="preserve"> com o catalisador</w:t>
      </w:r>
      <w:r w:rsidRPr="007F45B6">
        <w:rPr>
          <w:rFonts w:ascii="Times" w:hAnsi="Times" w:cs="Times"/>
          <w:bCs/>
          <w:sz w:val="18"/>
          <w:szCs w:val="18"/>
        </w:rPr>
        <w:t>.</w:t>
      </w:r>
    </w:p>
    <w:tbl>
      <w:tblPr>
        <w:tblW w:w="45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5"/>
        <w:gridCol w:w="992"/>
        <w:gridCol w:w="992"/>
        <w:gridCol w:w="992"/>
      </w:tblGrid>
      <w:tr w:rsidR="00EC7B8B" w14:paraId="655438B5" w14:textId="67C712E4" w:rsidTr="00F708B8">
        <w:trPr>
          <w:trHeight w:val="442"/>
        </w:trPr>
        <w:tc>
          <w:tcPr>
            <w:tcW w:w="1555" w:type="dxa"/>
            <w:tcBorders>
              <w:top w:val="single" w:sz="4" w:space="0" w:color="auto"/>
              <w:left w:val="single" w:sz="4" w:space="0" w:color="auto"/>
              <w:bottom w:val="single" w:sz="6" w:space="0" w:color="auto"/>
              <w:right w:val="single" w:sz="6" w:space="0" w:color="auto"/>
            </w:tcBorders>
            <w:vAlign w:val="center"/>
          </w:tcPr>
          <w:p w14:paraId="10F03659" w14:textId="5F440175" w:rsidR="00EC7B8B" w:rsidRDefault="00EC7B8B" w:rsidP="00F708B8">
            <w:pPr>
              <w:pStyle w:val="TCTableBody"/>
              <w:jc w:val="center"/>
              <w:rPr>
                <w:lang w:val="pt-BR" w:eastAsia="en-US"/>
              </w:rPr>
            </w:pPr>
            <w:r>
              <w:rPr>
                <w:lang w:val="pt-BR" w:eastAsia="en-US"/>
              </w:rPr>
              <w:t>Craqueamento</w:t>
            </w:r>
          </w:p>
        </w:tc>
        <w:tc>
          <w:tcPr>
            <w:tcW w:w="992" w:type="dxa"/>
            <w:tcBorders>
              <w:top w:val="single" w:sz="4" w:space="0" w:color="auto"/>
              <w:left w:val="single" w:sz="6" w:space="0" w:color="auto"/>
              <w:bottom w:val="single" w:sz="6" w:space="0" w:color="auto"/>
              <w:right w:val="single" w:sz="6" w:space="0" w:color="auto"/>
            </w:tcBorders>
            <w:vAlign w:val="center"/>
          </w:tcPr>
          <w:p w14:paraId="6A619D51" w14:textId="3BFB0919" w:rsidR="00EC7B8B" w:rsidRDefault="00EC7B8B" w:rsidP="00F708B8">
            <w:pPr>
              <w:pStyle w:val="TCTableBody"/>
              <w:jc w:val="center"/>
              <w:rPr>
                <w:lang w:val="pt-BR" w:eastAsia="en-US"/>
              </w:rPr>
            </w:pPr>
            <w:r>
              <w:rPr>
                <w:lang w:val="pt-BR" w:eastAsia="en-US"/>
              </w:rPr>
              <w:t>% líquido pirolítico</w:t>
            </w:r>
          </w:p>
        </w:tc>
        <w:tc>
          <w:tcPr>
            <w:tcW w:w="992" w:type="dxa"/>
            <w:tcBorders>
              <w:top w:val="single" w:sz="4" w:space="0" w:color="auto"/>
              <w:left w:val="single" w:sz="6" w:space="0" w:color="auto"/>
              <w:bottom w:val="single" w:sz="6" w:space="0" w:color="auto"/>
              <w:right w:val="single" w:sz="6" w:space="0" w:color="auto"/>
            </w:tcBorders>
            <w:vAlign w:val="center"/>
          </w:tcPr>
          <w:p w14:paraId="3DDD13FA" w14:textId="6786B1F6" w:rsidR="00EC7B8B" w:rsidRPr="008C6102" w:rsidRDefault="00EC7B8B" w:rsidP="00F708B8">
            <w:pPr>
              <w:pStyle w:val="TCTableBody"/>
              <w:jc w:val="center"/>
              <w:rPr>
                <w:lang w:val="pt-BR" w:eastAsia="en-US"/>
              </w:rPr>
            </w:pPr>
            <w:r>
              <w:rPr>
                <w:lang w:val="pt-BR" w:eastAsia="en-US"/>
              </w:rPr>
              <w:t>% sólido gerado</w:t>
            </w:r>
          </w:p>
        </w:tc>
        <w:tc>
          <w:tcPr>
            <w:tcW w:w="992" w:type="dxa"/>
            <w:tcBorders>
              <w:top w:val="single" w:sz="4" w:space="0" w:color="auto"/>
              <w:left w:val="single" w:sz="6" w:space="0" w:color="auto"/>
              <w:bottom w:val="single" w:sz="6" w:space="0" w:color="auto"/>
              <w:right w:val="single" w:sz="6" w:space="0" w:color="auto"/>
            </w:tcBorders>
          </w:tcPr>
          <w:p w14:paraId="74EB04A3" w14:textId="5C557F09" w:rsidR="00EC7B8B" w:rsidRDefault="00EC7B8B" w:rsidP="00F708B8">
            <w:pPr>
              <w:pStyle w:val="TCTableBody"/>
              <w:jc w:val="center"/>
              <w:rPr>
                <w:lang w:val="pt-BR" w:eastAsia="en-US"/>
              </w:rPr>
            </w:pPr>
            <w:r>
              <w:rPr>
                <w:lang w:val="pt-BR" w:eastAsia="en-US"/>
              </w:rPr>
              <w:t>% gás gerado</w:t>
            </w:r>
          </w:p>
        </w:tc>
      </w:tr>
      <w:tr w:rsidR="00EC7B8B" w14:paraId="3AE965C8" w14:textId="5C498FAA" w:rsidTr="00447141">
        <w:trPr>
          <w:trHeight w:val="646"/>
        </w:trPr>
        <w:tc>
          <w:tcPr>
            <w:tcW w:w="1555" w:type="dxa"/>
            <w:tcBorders>
              <w:top w:val="single" w:sz="4" w:space="0" w:color="auto"/>
              <w:left w:val="single" w:sz="4" w:space="0" w:color="auto"/>
              <w:bottom w:val="single" w:sz="6" w:space="0" w:color="auto"/>
              <w:right w:val="single" w:sz="6" w:space="0" w:color="auto"/>
            </w:tcBorders>
            <w:vAlign w:val="center"/>
          </w:tcPr>
          <w:p w14:paraId="6B105E41" w14:textId="072E2A33" w:rsidR="00EC7B8B" w:rsidRDefault="00EC7B8B" w:rsidP="00F708B8">
            <w:pPr>
              <w:pStyle w:val="TCTableBody"/>
              <w:jc w:val="center"/>
              <w:rPr>
                <w:lang w:val="pt-BR" w:eastAsia="en-US"/>
              </w:rPr>
            </w:pPr>
            <w:r>
              <w:rPr>
                <w:lang w:val="pt-BR" w:eastAsia="en-US"/>
              </w:rPr>
              <w:t>Bagaço de cana</w:t>
            </w:r>
          </w:p>
        </w:tc>
        <w:tc>
          <w:tcPr>
            <w:tcW w:w="992" w:type="dxa"/>
            <w:tcBorders>
              <w:top w:val="single" w:sz="4" w:space="0" w:color="auto"/>
              <w:left w:val="single" w:sz="6" w:space="0" w:color="auto"/>
              <w:bottom w:val="single" w:sz="6" w:space="0" w:color="auto"/>
              <w:right w:val="single" w:sz="6" w:space="0" w:color="auto"/>
            </w:tcBorders>
            <w:vAlign w:val="center"/>
          </w:tcPr>
          <w:p w14:paraId="6DFCD008" w14:textId="4218B893" w:rsidR="00EC7B8B" w:rsidRDefault="00F708B8" w:rsidP="00447141">
            <w:pPr>
              <w:pStyle w:val="TCTableBody"/>
              <w:spacing w:line="240" w:lineRule="auto"/>
              <w:jc w:val="center"/>
              <w:rPr>
                <w:lang w:val="pt-BR" w:eastAsia="en-US"/>
              </w:rPr>
            </w:pPr>
            <w:r>
              <w:rPr>
                <w:lang w:val="pt-BR" w:eastAsia="en-US"/>
              </w:rPr>
              <w:t>25-32</w:t>
            </w:r>
          </w:p>
        </w:tc>
        <w:tc>
          <w:tcPr>
            <w:tcW w:w="992" w:type="dxa"/>
            <w:tcBorders>
              <w:top w:val="single" w:sz="4" w:space="0" w:color="auto"/>
              <w:left w:val="single" w:sz="6" w:space="0" w:color="auto"/>
              <w:bottom w:val="single" w:sz="6" w:space="0" w:color="auto"/>
              <w:right w:val="single" w:sz="6" w:space="0" w:color="auto"/>
            </w:tcBorders>
            <w:vAlign w:val="center"/>
          </w:tcPr>
          <w:p w14:paraId="16C5BCD1" w14:textId="2DB6F64A" w:rsidR="00EC7B8B" w:rsidRDefault="00F708B8" w:rsidP="00447141">
            <w:pPr>
              <w:pStyle w:val="TCTableBody"/>
              <w:spacing w:line="240" w:lineRule="auto"/>
              <w:jc w:val="center"/>
              <w:rPr>
                <w:lang w:val="pt-BR" w:eastAsia="en-US"/>
              </w:rPr>
            </w:pPr>
            <w:r>
              <w:rPr>
                <w:lang w:val="pt-BR" w:eastAsia="en-US"/>
              </w:rPr>
              <w:t>30-41</w:t>
            </w:r>
          </w:p>
        </w:tc>
        <w:tc>
          <w:tcPr>
            <w:tcW w:w="992" w:type="dxa"/>
            <w:tcBorders>
              <w:top w:val="single" w:sz="4" w:space="0" w:color="auto"/>
              <w:left w:val="single" w:sz="6" w:space="0" w:color="auto"/>
              <w:bottom w:val="single" w:sz="6" w:space="0" w:color="auto"/>
              <w:right w:val="single" w:sz="6" w:space="0" w:color="auto"/>
            </w:tcBorders>
            <w:vAlign w:val="center"/>
          </w:tcPr>
          <w:p w14:paraId="4D91D7E5" w14:textId="65E8E620" w:rsidR="00EC7B8B" w:rsidRDefault="00F708B8" w:rsidP="00447141">
            <w:pPr>
              <w:pStyle w:val="TCTableBody"/>
              <w:spacing w:line="240" w:lineRule="auto"/>
              <w:jc w:val="center"/>
              <w:rPr>
                <w:lang w:val="pt-BR" w:eastAsia="en-US"/>
              </w:rPr>
            </w:pPr>
            <w:r>
              <w:rPr>
                <w:lang w:val="pt-BR" w:eastAsia="en-US"/>
              </w:rPr>
              <w:t>35-42</w:t>
            </w:r>
          </w:p>
        </w:tc>
      </w:tr>
      <w:tr w:rsidR="00EC7B8B" w14:paraId="2BD50928" w14:textId="1FD294F1" w:rsidTr="00447141">
        <w:trPr>
          <w:trHeight w:val="414"/>
        </w:trPr>
        <w:tc>
          <w:tcPr>
            <w:tcW w:w="1555" w:type="dxa"/>
            <w:tcBorders>
              <w:top w:val="single" w:sz="6" w:space="0" w:color="auto"/>
              <w:left w:val="single" w:sz="4" w:space="0" w:color="auto"/>
              <w:bottom w:val="single" w:sz="6" w:space="0" w:color="auto"/>
              <w:right w:val="single" w:sz="6" w:space="0" w:color="auto"/>
            </w:tcBorders>
            <w:vAlign w:val="center"/>
          </w:tcPr>
          <w:p w14:paraId="26F28AEA" w14:textId="04D3E0EF" w:rsidR="00EC7B8B" w:rsidRDefault="00EC7B8B" w:rsidP="00F708B8">
            <w:pPr>
              <w:pStyle w:val="TCTableBody"/>
              <w:jc w:val="center"/>
              <w:rPr>
                <w:lang w:val="pt-BR" w:eastAsia="en-US"/>
              </w:rPr>
            </w:pPr>
            <w:r>
              <w:rPr>
                <w:lang w:val="pt-BR" w:eastAsia="en-US"/>
              </w:rPr>
              <w:t>Bagaço + catalisador (carvão mesoporoso)</w:t>
            </w:r>
          </w:p>
        </w:tc>
        <w:tc>
          <w:tcPr>
            <w:tcW w:w="992" w:type="dxa"/>
            <w:tcBorders>
              <w:top w:val="single" w:sz="6" w:space="0" w:color="auto"/>
              <w:left w:val="single" w:sz="6" w:space="0" w:color="auto"/>
              <w:bottom w:val="single" w:sz="6" w:space="0" w:color="auto"/>
              <w:right w:val="single" w:sz="6" w:space="0" w:color="auto"/>
            </w:tcBorders>
            <w:vAlign w:val="center"/>
          </w:tcPr>
          <w:p w14:paraId="41C80401" w14:textId="396A31D3" w:rsidR="00EC7B8B" w:rsidRDefault="00F708B8" w:rsidP="00447141">
            <w:pPr>
              <w:pStyle w:val="TCTableBody"/>
              <w:spacing w:line="240" w:lineRule="auto"/>
              <w:jc w:val="center"/>
              <w:rPr>
                <w:lang w:val="pt-BR" w:eastAsia="en-US"/>
              </w:rPr>
            </w:pPr>
            <w:r>
              <w:rPr>
                <w:lang w:val="pt-BR" w:eastAsia="en-US"/>
              </w:rPr>
              <w:t>52-61</w:t>
            </w:r>
          </w:p>
        </w:tc>
        <w:tc>
          <w:tcPr>
            <w:tcW w:w="992" w:type="dxa"/>
            <w:tcBorders>
              <w:top w:val="single" w:sz="6" w:space="0" w:color="auto"/>
              <w:left w:val="single" w:sz="6" w:space="0" w:color="auto"/>
              <w:bottom w:val="single" w:sz="6" w:space="0" w:color="auto"/>
              <w:right w:val="single" w:sz="6" w:space="0" w:color="auto"/>
            </w:tcBorders>
            <w:vAlign w:val="center"/>
          </w:tcPr>
          <w:p w14:paraId="314E81C4" w14:textId="661FBBA4" w:rsidR="00EC7B8B" w:rsidRDefault="00F708B8" w:rsidP="00447141">
            <w:pPr>
              <w:pStyle w:val="TCTableBody"/>
              <w:spacing w:line="240" w:lineRule="auto"/>
              <w:jc w:val="center"/>
              <w:rPr>
                <w:lang w:val="pt-BR" w:eastAsia="en-US"/>
              </w:rPr>
            </w:pPr>
            <w:r>
              <w:rPr>
                <w:lang w:val="pt-BR" w:eastAsia="en-US"/>
              </w:rPr>
              <w:t>12-21</w:t>
            </w:r>
          </w:p>
        </w:tc>
        <w:tc>
          <w:tcPr>
            <w:tcW w:w="992" w:type="dxa"/>
            <w:tcBorders>
              <w:top w:val="single" w:sz="6" w:space="0" w:color="auto"/>
              <w:left w:val="single" w:sz="6" w:space="0" w:color="auto"/>
              <w:bottom w:val="single" w:sz="6" w:space="0" w:color="auto"/>
              <w:right w:val="single" w:sz="6" w:space="0" w:color="auto"/>
            </w:tcBorders>
            <w:vAlign w:val="center"/>
          </w:tcPr>
          <w:p w14:paraId="7864EBDA" w14:textId="32D13D0E" w:rsidR="00EC7B8B" w:rsidRDefault="00F708B8" w:rsidP="00447141">
            <w:pPr>
              <w:pStyle w:val="TCTableBody"/>
              <w:spacing w:line="240" w:lineRule="auto"/>
              <w:jc w:val="center"/>
              <w:rPr>
                <w:lang w:val="pt-BR" w:eastAsia="en-US"/>
              </w:rPr>
            </w:pPr>
            <w:r>
              <w:rPr>
                <w:lang w:val="pt-BR" w:eastAsia="en-US"/>
              </w:rPr>
              <w:t>21-26</w:t>
            </w:r>
          </w:p>
        </w:tc>
      </w:tr>
    </w:tbl>
    <w:p w14:paraId="77BFB784" w14:textId="77777777" w:rsidR="00521A3D" w:rsidRPr="00E4781C" w:rsidRDefault="00521A3D" w:rsidP="00E4781C">
      <w:pPr>
        <w:jc w:val="both"/>
        <w:rPr>
          <w:rFonts w:ascii="Times" w:hAnsi="Times" w:cs="Times"/>
          <w:sz w:val="18"/>
          <w:szCs w:val="18"/>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54CEC332" w14:textId="77777777" w:rsidR="00E42AAC" w:rsidRDefault="00041FA5" w:rsidP="00ED6493">
      <w:pPr>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005E4AAD" w:rsidRPr="005E4AAD">
        <w:rPr>
          <w:rFonts w:ascii="Times New Roman" w:eastAsia="Times New Roman" w:hAnsi="Times New Roman" w:cs="Times New Roman"/>
          <w:sz w:val="20"/>
          <w:szCs w:val="20"/>
          <w:lang w:eastAsia="pt-BR"/>
        </w:rPr>
        <w:t xml:space="preserve">A síntese dos carvões com estrutura mesoporosa a partir de diferentes fontes de açúcares foi eficiente, sendo observada através da análise textural a elevada área específica. Através da caracterização experimental foi possível realizada o estudo das propriedades físico-químicas destes sólidos e identificar as condições que geram os </w:t>
      </w:r>
      <w:r w:rsidR="005E4AAD" w:rsidRPr="005E4AAD">
        <w:rPr>
          <w:rFonts w:ascii="Times New Roman" w:eastAsia="Times New Roman" w:hAnsi="Times New Roman" w:cs="Times New Roman"/>
          <w:sz w:val="20"/>
          <w:szCs w:val="20"/>
          <w:lang w:eastAsia="pt-BR"/>
        </w:rPr>
        <w:lastRenderedPageBreak/>
        <w:t xml:space="preserve">materiais com maior mesoporosidade. Com estas informações, foi permitido o entendimento dos motivos pelos quais estes sólidos obtidos atuam como catalisadores nas reações de interesse e, portanto, direcionar a síntese para produção de materiais mais ativos e seletivos. </w:t>
      </w:r>
    </w:p>
    <w:p w14:paraId="4A70FE93" w14:textId="7B0451F7" w:rsidR="00EA4E1B" w:rsidRPr="007509B4" w:rsidRDefault="00E42AAC" w:rsidP="00ED6493">
      <w:pPr>
        <w:jc w:val="both"/>
        <w:rPr>
          <w:rFonts w:ascii="Times" w:eastAsia="Times New Roman" w:hAnsi="Times" w:cs="Times"/>
          <w:sz w:val="20"/>
          <w:szCs w:val="20"/>
          <w:lang w:eastAsia="pt-BR"/>
        </w:rPr>
      </w:pPr>
      <w:r>
        <w:rPr>
          <w:rFonts w:ascii="Times New Roman" w:eastAsia="Times New Roman" w:hAnsi="Times New Roman" w:cs="Times New Roman"/>
          <w:sz w:val="20"/>
          <w:szCs w:val="20"/>
          <w:lang w:eastAsia="pt-BR"/>
        </w:rPr>
        <w:t xml:space="preserve">  </w:t>
      </w:r>
      <w:r w:rsidR="005E4AAD" w:rsidRPr="005E4AAD">
        <w:rPr>
          <w:rFonts w:ascii="Times New Roman" w:eastAsia="Times New Roman" w:hAnsi="Times New Roman" w:cs="Times New Roman"/>
          <w:sz w:val="20"/>
          <w:szCs w:val="20"/>
          <w:lang w:eastAsia="pt-BR"/>
        </w:rPr>
        <w:t xml:space="preserve">Os catalisadores tiveram um desempenho catalítico positivo frente a pirólise rápida do bagaço de cana, devido ao aumento da porcentagem de líquido pirolítico, pois as moléculas de partida são grandes e, esse aumento deve-se a utilização dos carvões mesoporosos frente a pirólise. </w:t>
      </w:r>
    </w:p>
    <w:p w14:paraId="75E61A74" w14:textId="566F7C14" w:rsidR="00E42AAC" w:rsidRPr="00ED6493" w:rsidRDefault="00E42AAC" w:rsidP="00447141">
      <w:pPr>
        <w:pStyle w:val="TAMainText"/>
        <w:rPr>
          <w:rFonts w:ascii="Times New Roman" w:hAnsi="Times New Roman"/>
        </w:rPr>
      </w:pPr>
      <w:r w:rsidRPr="007509B4">
        <w:rPr>
          <w:rFonts w:cs="Times"/>
          <w:color w:val="222222"/>
          <w:shd w:val="clear" w:color="auto" w:fill="FFFFFF"/>
        </w:rPr>
        <w:t>Neste trabalho os dados obtidos são referentes a utilização das etapas envolvendo a Sacarose</w:t>
      </w:r>
      <w:r w:rsidR="00C7070D" w:rsidRPr="007509B4">
        <w:rPr>
          <w:rFonts w:cs="Times"/>
          <w:color w:val="222222"/>
          <w:shd w:val="clear" w:color="auto" w:fill="FFFFFF"/>
        </w:rPr>
        <w:t>, in</w:t>
      </w:r>
      <w:r w:rsidRPr="007509B4">
        <w:rPr>
          <w:rFonts w:cs="Times"/>
          <w:lang w:val="pt-BR"/>
        </w:rPr>
        <w:t xml:space="preserve">dicando que os resultados são promissores e podem ser melhor explorados através da utilização das outras fontes de carbono (glicose e frutose).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215F5A49" w14:textId="77777777" w:rsidR="00041FA5" w:rsidRPr="001F25B2" w:rsidRDefault="00041FA5" w:rsidP="00041FA5">
      <w:pPr>
        <w:pStyle w:val="TAMainText"/>
        <w:rPr>
          <w:rFonts w:ascii="Times New Roman" w:hAnsi="Times New Roman"/>
          <w:lang w:val="pt-BR"/>
        </w:rPr>
      </w:pPr>
      <w:r w:rsidRPr="007412BD">
        <w:rPr>
          <w:rFonts w:ascii="Times New Roman" w:hAnsi="Times New Roman"/>
          <w:lang w:val="pt-BR"/>
        </w:rPr>
        <w:t>O presente trabalho foi realizado com apoio da Coordenação de Aperfeiçoamento de Pessoal de Nível Superior – Brasil (CAPES) – Código de Financiamento 001</w:t>
      </w:r>
      <w:r>
        <w:rPr>
          <w:rFonts w:ascii="Times New Roman" w:hAnsi="Times New Roman"/>
          <w:lang w:val="pt-BR"/>
        </w:rPr>
        <w:t>. Os autores agradecem à CAPES e UERJ pelo suporte financeiro e pela bolsa de DSc de T. P Rosa.</w:t>
      </w:r>
    </w:p>
    <w:p w14:paraId="05A178F9" w14:textId="10DA4A41" w:rsidR="00EA4E1B" w:rsidRPr="001F25B2" w:rsidRDefault="00EA4E1B" w:rsidP="00015950">
      <w:pPr>
        <w:pStyle w:val="TAMainText"/>
        <w:ind w:firstLine="0"/>
        <w:rPr>
          <w:rFonts w:ascii="Times New Roman" w:hAnsi="Times New Roman"/>
          <w:lang w:val="pt-BR"/>
        </w:rPr>
      </w:pP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11BE6B7E" w14:textId="17FC6CB5" w:rsidR="0040243C" w:rsidRDefault="0040243C" w:rsidP="00EA4E1B">
      <w:pPr>
        <w:pStyle w:val="TAMainText"/>
        <w:numPr>
          <w:ilvl w:val="0"/>
          <w:numId w:val="1"/>
        </w:numPr>
        <w:rPr>
          <w:lang w:val="pt-BR"/>
        </w:rPr>
      </w:pPr>
      <w:r w:rsidRPr="0040243C">
        <w:rPr>
          <w:lang w:val="pt-BR"/>
        </w:rPr>
        <w:t>A. Saravanan; P.R. Yaashikaa; P.S. Kumar; P. Thamarai;  V.C. Deivayanai; G. Rangasamy, Industrial Crops &amp; Products. 2023, 200, 116822.</w:t>
      </w:r>
    </w:p>
    <w:p w14:paraId="09EEA6AC" w14:textId="1F5818DC" w:rsidR="00857CF3" w:rsidRDefault="0049339D" w:rsidP="00EA4E1B">
      <w:pPr>
        <w:pStyle w:val="TAMainText"/>
        <w:numPr>
          <w:ilvl w:val="0"/>
          <w:numId w:val="1"/>
        </w:numPr>
        <w:rPr>
          <w:lang w:val="pt-BR"/>
        </w:rPr>
      </w:pPr>
      <w:r>
        <w:rPr>
          <w:lang w:val="pt-BR"/>
        </w:rPr>
        <w:t xml:space="preserve">A. V. </w:t>
      </w:r>
      <w:r w:rsidR="00CE7426" w:rsidRPr="00CE7426">
        <w:rPr>
          <w:lang w:val="pt-BR"/>
        </w:rPr>
        <w:t>B</w:t>
      </w:r>
      <w:r w:rsidR="00CE7426">
        <w:rPr>
          <w:lang w:val="pt-BR"/>
        </w:rPr>
        <w:t>ridg</w:t>
      </w:r>
      <w:r>
        <w:rPr>
          <w:lang w:val="pt-BR"/>
        </w:rPr>
        <w:t>water</w:t>
      </w:r>
      <w:r w:rsidR="00CE7426" w:rsidRPr="00CE7426">
        <w:rPr>
          <w:lang w:val="pt-BR"/>
        </w:rPr>
        <w:t xml:space="preserve">; </w:t>
      </w:r>
      <w:r w:rsidR="00EC5B46">
        <w:rPr>
          <w:lang w:val="pt-BR"/>
        </w:rPr>
        <w:t xml:space="preserve">G. V. C. </w:t>
      </w:r>
      <w:r w:rsidR="00CE7426" w:rsidRPr="00CE7426">
        <w:rPr>
          <w:lang w:val="pt-BR"/>
        </w:rPr>
        <w:t>P</w:t>
      </w:r>
      <w:r w:rsidR="005E4A91">
        <w:rPr>
          <w:lang w:val="pt-BR"/>
        </w:rPr>
        <w:t>eaco</w:t>
      </w:r>
      <w:r w:rsidR="00EC5B46">
        <w:rPr>
          <w:lang w:val="pt-BR"/>
        </w:rPr>
        <w:t>cke</w:t>
      </w:r>
      <w:r w:rsidR="00CE7426" w:rsidRPr="00CE7426">
        <w:rPr>
          <w:lang w:val="pt-BR"/>
        </w:rPr>
        <w:t xml:space="preserve">. </w:t>
      </w:r>
      <w:r w:rsidR="00CE7426" w:rsidRPr="00EC5B46">
        <w:rPr>
          <w:i/>
          <w:iCs/>
          <w:lang w:val="pt-BR"/>
        </w:rPr>
        <w:t>Renewable and Sustainable Energy Reviews</w:t>
      </w:r>
      <w:r w:rsidR="00CE7426" w:rsidRPr="00CE7426">
        <w:rPr>
          <w:lang w:val="pt-BR"/>
        </w:rPr>
        <w:t xml:space="preserve">, </w:t>
      </w:r>
      <w:r w:rsidR="00EC5B46" w:rsidRPr="00EC5B46">
        <w:rPr>
          <w:b/>
          <w:bCs/>
          <w:lang w:val="pt-BR"/>
        </w:rPr>
        <w:t>2000</w:t>
      </w:r>
      <w:r w:rsidR="00EC5B46">
        <w:rPr>
          <w:lang w:val="pt-BR"/>
        </w:rPr>
        <w:t xml:space="preserve">, </w:t>
      </w:r>
      <w:r w:rsidR="00CE7426" w:rsidRPr="00CE7426">
        <w:rPr>
          <w:lang w:val="pt-BR"/>
        </w:rPr>
        <w:t>v. 4, p. 1-73</w:t>
      </w:r>
      <w:r w:rsidR="00EC5B46">
        <w:rPr>
          <w:lang w:val="pt-BR"/>
        </w:rPr>
        <w:t>.</w:t>
      </w:r>
    </w:p>
    <w:p w14:paraId="02B064E7" w14:textId="26A8C27D" w:rsidR="0040243C" w:rsidRDefault="0040243C" w:rsidP="00EA4E1B">
      <w:pPr>
        <w:pStyle w:val="TAMainText"/>
        <w:numPr>
          <w:ilvl w:val="0"/>
          <w:numId w:val="1"/>
        </w:numPr>
        <w:rPr>
          <w:lang w:val="pt-BR"/>
        </w:rPr>
      </w:pPr>
      <w:r w:rsidRPr="0040243C">
        <w:rPr>
          <w:lang w:val="pt-BR"/>
        </w:rPr>
        <w:t>B. Gao; C. Sun; T. Yang; Q. Wen; S. You; Q. Yang; Z. Yang; H. Cheng; Y. Wang; H. Zhou; Z. Chen, Industrial Crops &amp; Products. 2023, 202, 117036</w:t>
      </w:r>
    </w:p>
    <w:p w14:paraId="6848F72E" w14:textId="447CFC7A" w:rsidR="000D01F2" w:rsidRDefault="00C913AF" w:rsidP="00EA4E1B">
      <w:pPr>
        <w:pStyle w:val="TAMainText"/>
        <w:numPr>
          <w:ilvl w:val="0"/>
          <w:numId w:val="1"/>
        </w:numPr>
        <w:rPr>
          <w:lang w:val="pt-BR"/>
        </w:rPr>
      </w:pPr>
      <w:r w:rsidRPr="00C913AF">
        <w:rPr>
          <w:lang w:val="pt-BR"/>
        </w:rPr>
        <w:t xml:space="preserve">E. Butler et al.  </w:t>
      </w:r>
      <w:r w:rsidRPr="00381631">
        <w:rPr>
          <w:i/>
          <w:iCs/>
          <w:lang w:val="pt-BR"/>
        </w:rPr>
        <w:t>Journal of Analytical and Applied Pyrolysis</w:t>
      </w:r>
      <w:r w:rsidR="00381631">
        <w:rPr>
          <w:i/>
          <w:iCs/>
          <w:lang w:val="pt-BR"/>
        </w:rPr>
        <w:t>.</w:t>
      </w:r>
      <w:r w:rsidRPr="00C913AF">
        <w:rPr>
          <w:lang w:val="pt-BR"/>
        </w:rPr>
        <w:t xml:space="preserve"> </w:t>
      </w:r>
      <w:r w:rsidR="00086030" w:rsidRPr="000D01F2">
        <w:rPr>
          <w:b/>
          <w:bCs/>
          <w:lang w:val="pt-BR"/>
        </w:rPr>
        <w:t>2013</w:t>
      </w:r>
      <w:r w:rsidR="00086030">
        <w:rPr>
          <w:lang w:val="pt-BR"/>
        </w:rPr>
        <w:t>,</w:t>
      </w:r>
      <w:r w:rsidRPr="00C913AF">
        <w:rPr>
          <w:lang w:val="pt-BR"/>
        </w:rPr>
        <w:t>103</w:t>
      </w:r>
      <w:r w:rsidR="00086030">
        <w:rPr>
          <w:lang w:val="pt-BR"/>
        </w:rPr>
        <w:t>,</w:t>
      </w:r>
      <w:r w:rsidRPr="00C913AF">
        <w:rPr>
          <w:lang w:val="pt-BR"/>
        </w:rPr>
        <w:t xml:space="preserve"> 96–101</w:t>
      </w:r>
      <w:r w:rsidR="00EA4E1B">
        <w:rPr>
          <w:lang w:val="pt-BR"/>
        </w:rPr>
        <w:t>R</w:t>
      </w:r>
      <w:r w:rsidR="000D01F2">
        <w:rPr>
          <w:lang w:val="pt-BR"/>
        </w:rPr>
        <w:t>.</w:t>
      </w:r>
    </w:p>
    <w:p w14:paraId="7304CE4A" w14:textId="7F22FD83" w:rsidR="00EA4E1B" w:rsidRDefault="00DB0A71" w:rsidP="00EA4E1B">
      <w:pPr>
        <w:pStyle w:val="TAMainText"/>
        <w:numPr>
          <w:ilvl w:val="0"/>
          <w:numId w:val="1"/>
        </w:numPr>
        <w:rPr>
          <w:lang w:val="pt-BR"/>
        </w:rPr>
      </w:pPr>
      <w:r w:rsidRPr="00DB0A71">
        <w:rPr>
          <w:lang w:val="pt-BR"/>
        </w:rPr>
        <w:t>E. Lazzari et al.</w:t>
      </w:r>
      <w:r w:rsidR="00345F51" w:rsidRPr="00345F51">
        <w:t xml:space="preserve"> </w:t>
      </w:r>
      <w:r w:rsidR="00345F51" w:rsidRPr="00345F51">
        <w:rPr>
          <w:i/>
          <w:iCs/>
          <w:lang w:val="pt-BR"/>
        </w:rPr>
        <w:t>Fuel</w:t>
      </w:r>
      <w:r w:rsidR="00345F51">
        <w:rPr>
          <w:lang w:val="pt-BR"/>
        </w:rPr>
        <w:t xml:space="preserve">. </w:t>
      </w:r>
      <w:r w:rsidR="00345F51" w:rsidRPr="00345F51">
        <w:rPr>
          <w:b/>
          <w:bCs/>
          <w:lang w:val="pt-BR"/>
        </w:rPr>
        <w:t>2021</w:t>
      </w:r>
      <w:r w:rsidR="00345F51">
        <w:rPr>
          <w:lang w:val="pt-BR"/>
        </w:rPr>
        <w:t>, 290,</w:t>
      </w:r>
      <w:r w:rsidR="00345F51" w:rsidRPr="00345F51">
        <w:rPr>
          <w:lang w:val="pt-BR"/>
        </w:rPr>
        <w:t xml:space="preserve"> 119866</w:t>
      </w:r>
      <w:r w:rsidR="00345F51">
        <w:rPr>
          <w:lang w:val="pt-BR"/>
        </w:rPr>
        <w:t>.</w:t>
      </w:r>
    </w:p>
    <w:p w14:paraId="0F77015A" w14:textId="77777777" w:rsidR="00B9592F" w:rsidRPr="00527437" w:rsidRDefault="00B9592F" w:rsidP="00B9592F">
      <w:pPr>
        <w:pStyle w:val="TAMainText"/>
        <w:numPr>
          <w:ilvl w:val="0"/>
          <w:numId w:val="1"/>
        </w:numPr>
        <w:rPr>
          <w:lang w:val="pt-BR"/>
        </w:rPr>
      </w:pPr>
      <w:r w:rsidRPr="002E5CDF">
        <w:t xml:space="preserve">J. Lee; H. Sangjin; H. Taeghwan, </w:t>
      </w:r>
      <w:r w:rsidRPr="002E5CDF">
        <w:rPr>
          <w:i/>
        </w:rPr>
        <w:t xml:space="preserve">J. Mat. </w:t>
      </w:r>
      <w:r>
        <w:rPr>
          <w:i/>
          <w:lang w:val="pt-BR"/>
        </w:rPr>
        <w:t>Chem.</w:t>
      </w:r>
      <w:r>
        <w:rPr>
          <w:lang w:val="pt-BR"/>
        </w:rPr>
        <w:t xml:space="preserve"> </w:t>
      </w:r>
      <w:r>
        <w:rPr>
          <w:b/>
          <w:lang w:val="pt-BR"/>
        </w:rPr>
        <w:t>2004,</w:t>
      </w:r>
      <w:r>
        <w:rPr>
          <w:i/>
          <w:lang w:val="pt-BR"/>
        </w:rPr>
        <w:t xml:space="preserve"> 14,478</w:t>
      </w:r>
      <w:r>
        <w:rPr>
          <w:lang w:val="pt-BR"/>
        </w:rPr>
        <w:t>.</w:t>
      </w:r>
      <w:r>
        <w:rPr>
          <w:b/>
          <w:lang w:val="pt-BR"/>
        </w:rPr>
        <w:t xml:space="preserve"> </w:t>
      </w:r>
    </w:p>
    <w:p w14:paraId="4F65CD04" w14:textId="4285FBC2" w:rsidR="00B9592F" w:rsidRPr="00B9592F" w:rsidRDefault="00B9592F" w:rsidP="00B9592F">
      <w:pPr>
        <w:pStyle w:val="TAMainText"/>
        <w:numPr>
          <w:ilvl w:val="0"/>
          <w:numId w:val="1"/>
        </w:numPr>
        <w:rPr>
          <w:lang w:val="pt-BR"/>
        </w:rPr>
      </w:pPr>
      <w:r w:rsidRPr="002E5CDF">
        <w:t xml:space="preserve">J. Lange. </w:t>
      </w:r>
      <w:r w:rsidRPr="002E5CDF">
        <w:rPr>
          <w:i/>
          <w:iCs/>
        </w:rPr>
        <w:t>Biofuels, Bioprod. Bioref</w:t>
      </w:r>
      <w:r w:rsidRPr="002E5CDF">
        <w:t xml:space="preserve">. </w:t>
      </w:r>
      <w:r w:rsidRPr="00695392">
        <w:rPr>
          <w:b/>
          <w:bCs/>
          <w:lang w:val="pt-BR"/>
        </w:rPr>
        <w:t>2007</w:t>
      </w:r>
      <w:r>
        <w:rPr>
          <w:lang w:val="pt-BR"/>
        </w:rPr>
        <w:t>,</w:t>
      </w:r>
      <w:r w:rsidRPr="00036E57">
        <w:rPr>
          <w:lang w:val="pt-BR"/>
        </w:rPr>
        <w:t xml:space="preserve"> pp. 39-48</w:t>
      </w:r>
      <w:r>
        <w:rPr>
          <w:lang w:val="pt-BR"/>
        </w:rPr>
        <w:t>.</w:t>
      </w:r>
    </w:p>
    <w:p w14:paraId="459246F2" w14:textId="4E818F61" w:rsidR="00EC5B46" w:rsidRDefault="004B1D80" w:rsidP="00EA4E1B">
      <w:pPr>
        <w:pStyle w:val="TAMainText"/>
        <w:numPr>
          <w:ilvl w:val="0"/>
          <w:numId w:val="1"/>
        </w:numPr>
        <w:rPr>
          <w:lang w:val="pt-BR"/>
        </w:rPr>
      </w:pPr>
      <w:r>
        <w:rPr>
          <w:lang w:val="pt-BR"/>
        </w:rPr>
        <w:t xml:space="preserve">L. </w:t>
      </w:r>
      <w:r w:rsidRPr="004B1D80">
        <w:rPr>
          <w:lang w:val="pt-BR"/>
        </w:rPr>
        <w:t>M</w:t>
      </w:r>
      <w:r>
        <w:rPr>
          <w:lang w:val="pt-BR"/>
        </w:rPr>
        <w:t>oens</w:t>
      </w:r>
      <w:r w:rsidRPr="004B1D80">
        <w:rPr>
          <w:lang w:val="pt-BR"/>
        </w:rPr>
        <w:t xml:space="preserve">; </w:t>
      </w:r>
      <w:r w:rsidR="00CE6662">
        <w:rPr>
          <w:lang w:val="pt-BR"/>
        </w:rPr>
        <w:t xml:space="preserve">S. K. </w:t>
      </w:r>
      <w:r w:rsidRPr="004B1D80">
        <w:rPr>
          <w:lang w:val="pt-BR"/>
        </w:rPr>
        <w:t>B</w:t>
      </w:r>
      <w:r>
        <w:rPr>
          <w:lang w:val="pt-BR"/>
        </w:rPr>
        <w:t>lack</w:t>
      </w:r>
      <w:r w:rsidRPr="004B1D80">
        <w:rPr>
          <w:lang w:val="pt-BR"/>
        </w:rPr>
        <w:t xml:space="preserve">; </w:t>
      </w:r>
      <w:r w:rsidR="00CE6662">
        <w:rPr>
          <w:lang w:val="pt-BR"/>
        </w:rPr>
        <w:t xml:space="preserve">M. D. </w:t>
      </w:r>
      <w:r w:rsidRPr="004B1D80">
        <w:rPr>
          <w:lang w:val="pt-BR"/>
        </w:rPr>
        <w:t>M</w:t>
      </w:r>
      <w:r w:rsidR="00CE6662">
        <w:rPr>
          <w:lang w:val="pt-BR"/>
        </w:rPr>
        <w:t>yers</w:t>
      </w:r>
      <w:r w:rsidRPr="004B1D80">
        <w:rPr>
          <w:lang w:val="pt-BR"/>
        </w:rPr>
        <w:t xml:space="preserve">; </w:t>
      </w:r>
      <w:r w:rsidR="004F63F2">
        <w:rPr>
          <w:lang w:val="pt-BR"/>
        </w:rPr>
        <w:t xml:space="preserve">S. </w:t>
      </w:r>
      <w:r w:rsidRPr="004B1D80">
        <w:rPr>
          <w:lang w:val="pt-BR"/>
        </w:rPr>
        <w:t>C</w:t>
      </w:r>
      <w:r w:rsidR="004F63F2">
        <w:rPr>
          <w:lang w:val="pt-BR"/>
        </w:rPr>
        <w:t>zernik</w:t>
      </w:r>
      <w:r w:rsidRPr="004B1D80">
        <w:rPr>
          <w:lang w:val="pt-BR"/>
        </w:rPr>
        <w:t xml:space="preserve">. </w:t>
      </w:r>
      <w:r w:rsidRPr="009655BC">
        <w:rPr>
          <w:i/>
          <w:iCs/>
          <w:lang w:val="pt-BR"/>
        </w:rPr>
        <w:t>Energy &amp; Fuels</w:t>
      </w:r>
      <w:r w:rsidR="009655BC">
        <w:rPr>
          <w:lang w:val="pt-BR"/>
        </w:rPr>
        <w:t>.</w:t>
      </w:r>
      <w:r w:rsidRPr="004B1D80">
        <w:rPr>
          <w:lang w:val="pt-BR"/>
        </w:rPr>
        <w:t xml:space="preserve"> </w:t>
      </w:r>
      <w:r w:rsidR="009655BC" w:rsidRPr="009655BC">
        <w:rPr>
          <w:b/>
          <w:bCs/>
          <w:lang w:val="pt-BR"/>
        </w:rPr>
        <w:t>2009</w:t>
      </w:r>
      <w:r w:rsidR="009655BC">
        <w:rPr>
          <w:lang w:val="pt-BR"/>
        </w:rPr>
        <w:t xml:space="preserve">, </w:t>
      </w:r>
      <w:r w:rsidRPr="004B1D80">
        <w:rPr>
          <w:lang w:val="pt-BR"/>
        </w:rPr>
        <w:t>v. 23, n. 5, p. 2695-2699.</w:t>
      </w:r>
    </w:p>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B838" w14:textId="77777777" w:rsidR="00B82800" w:rsidRDefault="00B82800" w:rsidP="00EA4E1B">
      <w:pPr>
        <w:spacing w:after="0" w:line="240" w:lineRule="auto"/>
      </w:pPr>
      <w:r>
        <w:separator/>
      </w:r>
    </w:p>
  </w:endnote>
  <w:endnote w:type="continuationSeparator" w:id="0">
    <w:p w14:paraId="58552B72" w14:textId="77777777" w:rsidR="00B82800" w:rsidRDefault="00B8280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EC06" w14:textId="77777777" w:rsidR="00B82800" w:rsidRDefault="00B82800" w:rsidP="00EA4E1B">
      <w:pPr>
        <w:spacing w:after="0" w:line="240" w:lineRule="auto"/>
      </w:pPr>
      <w:r>
        <w:separator/>
      </w:r>
    </w:p>
  </w:footnote>
  <w:footnote w:type="continuationSeparator" w:id="0">
    <w:p w14:paraId="485B580E" w14:textId="77777777" w:rsidR="00B82800" w:rsidRDefault="00B8280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267D"/>
    <w:rsid w:val="0001264A"/>
    <w:rsid w:val="00015950"/>
    <w:rsid w:val="0002242F"/>
    <w:rsid w:val="000249E2"/>
    <w:rsid w:val="000301EB"/>
    <w:rsid w:val="00041FA5"/>
    <w:rsid w:val="00061A72"/>
    <w:rsid w:val="00073FF9"/>
    <w:rsid w:val="00085E3C"/>
    <w:rsid w:val="00086030"/>
    <w:rsid w:val="000A67BC"/>
    <w:rsid w:val="000D01F2"/>
    <w:rsid w:val="000D2398"/>
    <w:rsid w:val="000F1D24"/>
    <w:rsid w:val="0017711D"/>
    <w:rsid w:val="001A179E"/>
    <w:rsid w:val="001E58A9"/>
    <w:rsid w:val="001F1D5C"/>
    <w:rsid w:val="001F25B2"/>
    <w:rsid w:val="00211638"/>
    <w:rsid w:val="00222230"/>
    <w:rsid w:val="00223531"/>
    <w:rsid w:val="00223CAA"/>
    <w:rsid w:val="00232C2B"/>
    <w:rsid w:val="00255F0C"/>
    <w:rsid w:val="00265A14"/>
    <w:rsid w:val="0027651F"/>
    <w:rsid w:val="00281760"/>
    <w:rsid w:val="002A232A"/>
    <w:rsid w:val="00337677"/>
    <w:rsid w:val="00340B1E"/>
    <w:rsid w:val="00345F51"/>
    <w:rsid w:val="00381631"/>
    <w:rsid w:val="003B590E"/>
    <w:rsid w:val="003D79F9"/>
    <w:rsid w:val="0040243C"/>
    <w:rsid w:val="00402F3E"/>
    <w:rsid w:val="00404F33"/>
    <w:rsid w:val="00407F7C"/>
    <w:rsid w:val="00427466"/>
    <w:rsid w:val="0043533F"/>
    <w:rsid w:val="0044542C"/>
    <w:rsid w:val="00447141"/>
    <w:rsid w:val="00481D11"/>
    <w:rsid w:val="0049291A"/>
    <w:rsid w:val="0049339D"/>
    <w:rsid w:val="004B1D80"/>
    <w:rsid w:val="004C144F"/>
    <w:rsid w:val="004C2617"/>
    <w:rsid w:val="004C5956"/>
    <w:rsid w:val="004D22B4"/>
    <w:rsid w:val="004D5340"/>
    <w:rsid w:val="004F1C68"/>
    <w:rsid w:val="004F2C30"/>
    <w:rsid w:val="004F3F42"/>
    <w:rsid w:val="004F63F2"/>
    <w:rsid w:val="004F68FB"/>
    <w:rsid w:val="005165C8"/>
    <w:rsid w:val="0052112E"/>
    <w:rsid w:val="0052143D"/>
    <w:rsid w:val="00521A3D"/>
    <w:rsid w:val="00540586"/>
    <w:rsid w:val="00554228"/>
    <w:rsid w:val="00592D1C"/>
    <w:rsid w:val="005A0056"/>
    <w:rsid w:val="005A5553"/>
    <w:rsid w:val="005A6460"/>
    <w:rsid w:val="005C2775"/>
    <w:rsid w:val="005C3A64"/>
    <w:rsid w:val="005D57B5"/>
    <w:rsid w:val="005D65EB"/>
    <w:rsid w:val="005E4A91"/>
    <w:rsid w:val="005E4AAD"/>
    <w:rsid w:val="005F25CD"/>
    <w:rsid w:val="005F34A3"/>
    <w:rsid w:val="00604577"/>
    <w:rsid w:val="00604718"/>
    <w:rsid w:val="00604B21"/>
    <w:rsid w:val="00610E6C"/>
    <w:rsid w:val="006119D8"/>
    <w:rsid w:val="00631E71"/>
    <w:rsid w:val="00631F86"/>
    <w:rsid w:val="00652815"/>
    <w:rsid w:val="0065701A"/>
    <w:rsid w:val="006637C3"/>
    <w:rsid w:val="006A04EC"/>
    <w:rsid w:val="006B6BA1"/>
    <w:rsid w:val="006D146F"/>
    <w:rsid w:val="006F3133"/>
    <w:rsid w:val="006F599B"/>
    <w:rsid w:val="007231F0"/>
    <w:rsid w:val="00735B57"/>
    <w:rsid w:val="007509B4"/>
    <w:rsid w:val="007670A0"/>
    <w:rsid w:val="00781685"/>
    <w:rsid w:val="007866BF"/>
    <w:rsid w:val="007B4B2B"/>
    <w:rsid w:val="007D0B43"/>
    <w:rsid w:val="007D24B6"/>
    <w:rsid w:val="007E263D"/>
    <w:rsid w:val="007E65E7"/>
    <w:rsid w:val="007F3516"/>
    <w:rsid w:val="007F3DE4"/>
    <w:rsid w:val="007F45B6"/>
    <w:rsid w:val="008005E3"/>
    <w:rsid w:val="00840D50"/>
    <w:rsid w:val="0085362F"/>
    <w:rsid w:val="00857CF3"/>
    <w:rsid w:val="0086263B"/>
    <w:rsid w:val="00865C91"/>
    <w:rsid w:val="00866822"/>
    <w:rsid w:val="00895C15"/>
    <w:rsid w:val="008B1683"/>
    <w:rsid w:val="008C1B30"/>
    <w:rsid w:val="008D62AB"/>
    <w:rsid w:val="008F0976"/>
    <w:rsid w:val="008F3C39"/>
    <w:rsid w:val="0090446D"/>
    <w:rsid w:val="00906183"/>
    <w:rsid w:val="009655BC"/>
    <w:rsid w:val="009656D9"/>
    <w:rsid w:val="00991141"/>
    <w:rsid w:val="009B2529"/>
    <w:rsid w:val="009B32CB"/>
    <w:rsid w:val="009C7CB0"/>
    <w:rsid w:val="009D32CD"/>
    <w:rsid w:val="009D53F7"/>
    <w:rsid w:val="00A02865"/>
    <w:rsid w:val="00A060E0"/>
    <w:rsid w:val="00A17D85"/>
    <w:rsid w:val="00A54260"/>
    <w:rsid w:val="00A804E7"/>
    <w:rsid w:val="00A857E3"/>
    <w:rsid w:val="00A87CE8"/>
    <w:rsid w:val="00AA182E"/>
    <w:rsid w:val="00AB49FD"/>
    <w:rsid w:val="00AF0400"/>
    <w:rsid w:val="00AF461B"/>
    <w:rsid w:val="00AF4620"/>
    <w:rsid w:val="00B02A9C"/>
    <w:rsid w:val="00B17861"/>
    <w:rsid w:val="00B17DC4"/>
    <w:rsid w:val="00B30AEB"/>
    <w:rsid w:val="00B3420C"/>
    <w:rsid w:val="00B75085"/>
    <w:rsid w:val="00B82800"/>
    <w:rsid w:val="00B905B9"/>
    <w:rsid w:val="00B9592F"/>
    <w:rsid w:val="00BA5E8D"/>
    <w:rsid w:val="00BA6A6E"/>
    <w:rsid w:val="00BB6C0A"/>
    <w:rsid w:val="00BB6F61"/>
    <w:rsid w:val="00BF7936"/>
    <w:rsid w:val="00C15B74"/>
    <w:rsid w:val="00C410A8"/>
    <w:rsid w:val="00C46FB5"/>
    <w:rsid w:val="00C5067D"/>
    <w:rsid w:val="00C7070D"/>
    <w:rsid w:val="00C76E54"/>
    <w:rsid w:val="00C913AF"/>
    <w:rsid w:val="00CB5AA1"/>
    <w:rsid w:val="00CB60FA"/>
    <w:rsid w:val="00CE6662"/>
    <w:rsid w:val="00CE7426"/>
    <w:rsid w:val="00CF5DFF"/>
    <w:rsid w:val="00CF7B35"/>
    <w:rsid w:val="00D00CC9"/>
    <w:rsid w:val="00D10F67"/>
    <w:rsid w:val="00D23AB2"/>
    <w:rsid w:val="00D96135"/>
    <w:rsid w:val="00D97315"/>
    <w:rsid w:val="00DB0A71"/>
    <w:rsid w:val="00DB4ECD"/>
    <w:rsid w:val="00DD750D"/>
    <w:rsid w:val="00DE6A7E"/>
    <w:rsid w:val="00DF623E"/>
    <w:rsid w:val="00E02A21"/>
    <w:rsid w:val="00E038AF"/>
    <w:rsid w:val="00E16E4B"/>
    <w:rsid w:val="00E42AAC"/>
    <w:rsid w:val="00E4781C"/>
    <w:rsid w:val="00E63840"/>
    <w:rsid w:val="00E92D4B"/>
    <w:rsid w:val="00EA4E1B"/>
    <w:rsid w:val="00EB1B13"/>
    <w:rsid w:val="00EB3B11"/>
    <w:rsid w:val="00EB3FC4"/>
    <w:rsid w:val="00EC5B46"/>
    <w:rsid w:val="00EC7B8B"/>
    <w:rsid w:val="00ED6493"/>
    <w:rsid w:val="00ED6A6D"/>
    <w:rsid w:val="00EE1AC4"/>
    <w:rsid w:val="00EE43D4"/>
    <w:rsid w:val="00EE72EF"/>
    <w:rsid w:val="00F11395"/>
    <w:rsid w:val="00F12345"/>
    <w:rsid w:val="00F30661"/>
    <w:rsid w:val="00F54ADB"/>
    <w:rsid w:val="00F708B8"/>
    <w:rsid w:val="00F84833"/>
    <w:rsid w:val="00F917DA"/>
    <w:rsid w:val="00FA4EFE"/>
    <w:rsid w:val="00FE7DF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404F33"/>
    <w:rPr>
      <w:color w:val="0563C1" w:themeColor="hyperlink"/>
      <w:u w:val="single"/>
    </w:rPr>
  </w:style>
  <w:style w:type="character" w:styleId="MenoPendente">
    <w:name w:val="Unresolved Mention"/>
    <w:basedOn w:val="Fontepargpadro"/>
    <w:uiPriority w:val="99"/>
    <w:semiHidden/>
    <w:unhideWhenUsed/>
    <w:rsid w:val="005A6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taprosa17@gmail.com1" TargetMode="External"/><Relationship Id="rId13" Type="http://schemas.openxmlformats.org/officeDocument/2006/relationships/hyperlink" Target="https://www-sciencedirect.ez83.periodicos.capes.gov.br/topics/agricultural-and-biological-sciences/hexos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sciencedirect.ez83.periodicos.capes.gov.br/topics/agricultural-and-biological-sciences/polysaccharid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sciencedirect.ez83.periodicos.capes.gov.br/topics/food-science/phenylpropanoid"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ez83.periodicos.capes.gov.br/topics/agricultural-and-biological-sciences/uronic-acid" TargetMode="External"/><Relationship Id="rId23" Type="http://schemas.openxmlformats.org/officeDocument/2006/relationships/fontTable" Target="fontTable.xml"/><Relationship Id="rId10" Type="http://schemas.openxmlformats.org/officeDocument/2006/relationships/hyperlink" Target="mailto:monicamarquesuerj@gmail.com3"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angela.sanches.rocha@gmail.com2" TargetMode="External"/><Relationship Id="rId14" Type="http://schemas.openxmlformats.org/officeDocument/2006/relationships/hyperlink" Target="https://www-sciencedirect.ez83.periodicos.capes.gov.br/topics/agricultural-and-biological-sciences/pentose" TargetMode="Externa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2641</Words>
  <Characters>14266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tata_rosa21@outlook.com</cp:lastModifiedBy>
  <cp:revision>10</cp:revision>
  <dcterms:created xsi:type="dcterms:W3CDTF">2023-06-23T14:41:00Z</dcterms:created>
  <dcterms:modified xsi:type="dcterms:W3CDTF">2023-06-25T01:47:00Z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