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36F81B6A" w:rsidR="00EA4E1B" w:rsidRPr="00245B68" w:rsidRDefault="0063190E" w:rsidP="00A33D21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Efeito de Compensação Cinético</w:t>
      </w:r>
      <w:r w:rsidR="00256978" w:rsidRPr="00245B68">
        <w:rPr>
          <w:sz w:val="32"/>
          <w:lang w:val="pt-BR"/>
        </w:rPr>
        <w:t>:</w:t>
      </w:r>
      <w:r>
        <w:rPr>
          <w:sz w:val="32"/>
          <w:lang w:val="pt-BR"/>
        </w:rPr>
        <w:t xml:space="preserve"> Um Estudo de Caso</w:t>
      </w:r>
    </w:p>
    <w:p w14:paraId="4FBD7AD4" w14:textId="1B3AA85C" w:rsidR="00422F1C" w:rsidRPr="000504DC" w:rsidRDefault="00422F1C" w:rsidP="00422F1C">
      <w:pPr>
        <w:pStyle w:val="BBAuthorName"/>
        <w:spacing w:after="120"/>
        <w:ind w:right="0"/>
        <w:jc w:val="both"/>
        <w:rPr>
          <w:rFonts w:ascii="Times New Roman" w:hAnsi="Times New Roman"/>
          <w:b w:val="0"/>
          <w:bCs/>
          <w:sz w:val="20"/>
          <w:lang w:val="pt-BR"/>
        </w:rPr>
      </w:pPr>
    </w:p>
    <w:p w14:paraId="223FEA1B" w14:textId="77777777" w:rsidR="00422F1C" w:rsidRPr="00245B68" w:rsidRDefault="00422F1C" w:rsidP="00422F1C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 w:rsidRPr="00245B68">
        <w:rPr>
          <w:rFonts w:ascii="Times New Roman" w:hAnsi="Times New Roman"/>
          <w:sz w:val="20"/>
          <w:lang w:val="pt-BR"/>
        </w:rPr>
        <w:t>Roger Kober</w:t>
      </w:r>
      <w:r w:rsidRPr="00245B68">
        <w:rPr>
          <w:rFonts w:ascii="Times New Roman" w:hAnsi="Times New Roman"/>
          <w:sz w:val="20"/>
          <w:vertAlign w:val="superscript"/>
          <w:lang w:val="pt-BR"/>
        </w:rPr>
        <w:t>1*</w:t>
      </w:r>
      <w:r w:rsidRPr="00245B68">
        <w:rPr>
          <w:rFonts w:ascii="Times New Roman" w:hAnsi="Times New Roman"/>
          <w:sz w:val="20"/>
          <w:lang w:val="pt-BR"/>
        </w:rPr>
        <w:t>, Marcio Schwaab</w:t>
      </w:r>
      <w:r w:rsidRPr="00245B68">
        <w:rPr>
          <w:rFonts w:ascii="Times New Roman" w:hAnsi="Times New Roman"/>
          <w:sz w:val="20"/>
          <w:vertAlign w:val="superscript"/>
          <w:lang w:val="pt-BR"/>
        </w:rPr>
        <w:t>1</w:t>
      </w:r>
      <w:r w:rsidRPr="00245B68">
        <w:rPr>
          <w:rFonts w:ascii="Times New Roman" w:hAnsi="Times New Roman"/>
          <w:sz w:val="20"/>
          <w:lang w:val="pt-BR"/>
        </w:rPr>
        <w:t>,</w:t>
      </w:r>
      <w:r w:rsidRPr="00245B68"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 w:rsidRPr="00245B68">
        <w:rPr>
          <w:rFonts w:ascii="Times New Roman" w:hAnsi="Times New Roman"/>
          <w:sz w:val="20"/>
          <w:lang w:val="pt-BR"/>
        </w:rPr>
        <w:t>Elisa B. Coutinho</w:t>
      </w:r>
      <w:r w:rsidRPr="00245B68">
        <w:rPr>
          <w:rFonts w:ascii="Times New Roman" w:hAnsi="Times New Roman"/>
          <w:sz w:val="20"/>
          <w:vertAlign w:val="superscript"/>
          <w:lang w:val="pt-BR"/>
        </w:rPr>
        <w:t>2</w:t>
      </w:r>
      <w:r w:rsidRPr="00245B68">
        <w:rPr>
          <w:rFonts w:ascii="Times New Roman" w:hAnsi="Times New Roman"/>
          <w:sz w:val="20"/>
          <w:lang w:val="pt-BR"/>
        </w:rPr>
        <w:t>, André L. Alberton</w:t>
      </w:r>
      <w:r w:rsidRPr="00245B68">
        <w:rPr>
          <w:rFonts w:ascii="Times New Roman" w:hAnsi="Times New Roman"/>
          <w:sz w:val="20"/>
          <w:vertAlign w:val="superscript"/>
          <w:lang w:val="pt-BR"/>
        </w:rPr>
        <w:t>3</w:t>
      </w:r>
      <w:r w:rsidRPr="00245B68">
        <w:rPr>
          <w:rFonts w:ascii="Times New Roman" w:hAnsi="Times New Roman"/>
          <w:sz w:val="20"/>
          <w:lang w:val="pt-BR"/>
        </w:rPr>
        <w:t>, José C. Pinto</w:t>
      </w:r>
      <w:r w:rsidRPr="00245B68">
        <w:rPr>
          <w:rFonts w:ascii="Times New Roman" w:hAnsi="Times New Roman"/>
          <w:sz w:val="20"/>
          <w:vertAlign w:val="superscript"/>
          <w:lang w:val="pt-BR"/>
        </w:rPr>
        <w:t>4</w:t>
      </w:r>
    </w:p>
    <w:p w14:paraId="22D38595" w14:textId="0B597296" w:rsidR="00EA4E1B" w:rsidRPr="00245B68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 w:rsidRPr="00245B68">
        <w:rPr>
          <w:vertAlign w:val="superscript"/>
          <w:lang w:val="pt-BR"/>
        </w:rPr>
        <w:t>1</w:t>
      </w:r>
      <w:r w:rsidR="00802AE1" w:rsidRPr="00245B68">
        <w:rPr>
          <w:lang w:val="pt-BR"/>
        </w:rPr>
        <w:t xml:space="preserve">Departamento de Engenharia Química, Escola de Engenharia, Universidade Federal do Rio Grande do Sul, Rua </w:t>
      </w:r>
      <w:r w:rsidR="004E66C0" w:rsidRPr="00245B68">
        <w:rPr>
          <w:lang w:val="pt-BR"/>
        </w:rPr>
        <w:t>Ramiro Barcelos, 2777 – Prédio 22202</w:t>
      </w:r>
      <w:r w:rsidR="008D5DA1" w:rsidRPr="00245B68">
        <w:rPr>
          <w:lang w:val="pt-BR"/>
        </w:rPr>
        <w:t>, Porto Alegre, RS, 90035-007, Brasil.</w:t>
      </w:r>
    </w:p>
    <w:p w14:paraId="31CDF270" w14:textId="7795F74B" w:rsidR="008D5DA1" w:rsidRPr="00245B68" w:rsidRDefault="008D5DA1" w:rsidP="008D5DA1">
      <w:pPr>
        <w:pStyle w:val="BCAuthorAddress"/>
        <w:spacing w:after="0"/>
        <w:ind w:right="0"/>
        <w:jc w:val="both"/>
        <w:rPr>
          <w:lang w:val="pt-BR"/>
        </w:rPr>
      </w:pPr>
      <w:r w:rsidRPr="00245B68">
        <w:rPr>
          <w:vertAlign w:val="superscript"/>
          <w:lang w:val="pt-BR"/>
        </w:rPr>
        <w:t>2</w:t>
      </w:r>
      <w:r w:rsidRPr="00245B68">
        <w:rPr>
          <w:lang w:val="pt-BR"/>
        </w:rPr>
        <w:t>Departamento de Físico</w:t>
      </w:r>
      <w:r w:rsidR="00FC7E46" w:rsidRPr="00245B68">
        <w:rPr>
          <w:lang w:val="pt-BR"/>
        </w:rPr>
        <w:t>-</w:t>
      </w:r>
      <w:r w:rsidRPr="00245B68">
        <w:rPr>
          <w:lang w:val="pt-BR"/>
        </w:rPr>
        <w:t xml:space="preserve">Química, </w:t>
      </w:r>
      <w:r w:rsidR="00FC7E46" w:rsidRPr="00245B68">
        <w:rPr>
          <w:lang w:val="pt-BR"/>
        </w:rPr>
        <w:t>Instituto de Química</w:t>
      </w:r>
      <w:r w:rsidRPr="00245B68">
        <w:rPr>
          <w:lang w:val="pt-BR"/>
        </w:rPr>
        <w:t xml:space="preserve">, Universidade Federal do Rio Grande do Sul, </w:t>
      </w:r>
      <w:r w:rsidR="00FC7E46" w:rsidRPr="00245B68">
        <w:rPr>
          <w:lang w:val="pt-BR"/>
        </w:rPr>
        <w:t>Av.</w:t>
      </w:r>
      <w:r w:rsidRPr="00245B68">
        <w:rPr>
          <w:lang w:val="pt-BR"/>
        </w:rPr>
        <w:t xml:space="preserve"> </w:t>
      </w:r>
      <w:r w:rsidR="00FC7E46" w:rsidRPr="00245B68">
        <w:rPr>
          <w:lang w:val="pt-BR"/>
        </w:rPr>
        <w:t>Bento Gonçalves</w:t>
      </w:r>
      <w:r w:rsidRPr="00245B68">
        <w:rPr>
          <w:lang w:val="pt-BR"/>
        </w:rPr>
        <w:t xml:space="preserve">, </w:t>
      </w:r>
      <w:r w:rsidR="00CE16E5" w:rsidRPr="00245B68">
        <w:rPr>
          <w:lang w:val="pt-BR"/>
        </w:rPr>
        <w:t>9500,</w:t>
      </w:r>
      <w:r w:rsidRPr="00245B68">
        <w:rPr>
          <w:lang w:val="pt-BR"/>
        </w:rPr>
        <w:t xml:space="preserve"> Porto Alegre, RS, 9</w:t>
      </w:r>
      <w:r w:rsidR="00CE16E5" w:rsidRPr="00245B68">
        <w:rPr>
          <w:lang w:val="pt-BR"/>
        </w:rPr>
        <w:t>1501</w:t>
      </w:r>
      <w:r w:rsidRPr="00245B68">
        <w:rPr>
          <w:lang w:val="pt-BR"/>
        </w:rPr>
        <w:t>-</w:t>
      </w:r>
      <w:r w:rsidR="00CE16E5" w:rsidRPr="00245B68">
        <w:rPr>
          <w:lang w:val="pt-BR"/>
        </w:rPr>
        <w:t>970</w:t>
      </w:r>
      <w:r w:rsidRPr="00245B68">
        <w:rPr>
          <w:lang w:val="pt-BR"/>
        </w:rPr>
        <w:t>, Brasil.</w:t>
      </w:r>
    </w:p>
    <w:p w14:paraId="16F136BB" w14:textId="79A71746" w:rsidR="00213E88" w:rsidRPr="006525D4" w:rsidRDefault="00213E88" w:rsidP="00213E88">
      <w:pPr>
        <w:pStyle w:val="BCAuthorAddress"/>
        <w:spacing w:after="0"/>
        <w:ind w:right="0"/>
        <w:jc w:val="both"/>
        <w:rPr>
          <w:lang w:val="pt-BR"/>
        </w:rPr>
      </w:pPr>
      <w:r w:rsidRPr="00245B68">
        <w:rPr>
          <w:vertAlign w:val="superscript"/>
          <w:lang w:val="pt-BR"/>
        </w:rPr>
        <w:t>3</w:t>
      </w:r>
      <w:r w:rsidR="006525D4" w:rsidRPr="006525D4">
        <w:rPr>
          <w:lang w:val="pt-BR"/>
        </w:rPr>
        <w:t>Programa de Pós-Graduação em Engenharia Química, Universidade do Estado do Rio de Janeiro, Rua São Francisco Xavier, 524, Maracanã, Rio de Janeiro, 20550-900, Brasil.</w:t>
      </w:r>
    </w:p>
    <w:p w14:paraId="469B5DF1" w14:textId="77777777" w:rsidR="00991310" w:rsidRPr="006525D4" w:rsidRDefault="00245B68" w:rsidP="00991310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4</w:t>
      </w:r>
      <w:r w:rsidR="00E72AC5" w:rsidRPr="00245B68">
        <w:rPr>
          <w:lang w:val="pt-BR"/>
        </w:rPr>
        <w:t>Programa de Engenharia Química / COPPE, Universidade Federal do Rio de Janeiro. Cidade Universitária - CP: 68502, Rio de Janeiro, RJ, 21941-972, Brasil.</w:t>
      </w:r>
      <w:r w:rsidR="00991310">
        <w:rPr>
          <w:lang w:val="pt-BR"/>
        </w:rPr>
        <w:t xml:space="preserve"> </w:t>
      </w:r>
    </w:p>
    <w:p w14:paraId="66F6681F" w14:textId="4A67EE03" w:rsidR="00925570" w:rsidRPr="001B58BD" w:rsidRDefault="001B58BD" w:rsidP="00991310">
      <w:pPr>
        <w:pStyle w:val="BCAuthorAddress"/>
        <w:spacing w:after="0"/>
        <w:ind w:right="0"/>
        <w:jc w:val="both"/>
      </w:pPr>
      <w:r w:rsidRPr="001B58BD">
        <w:t>*Email: roger.kober@ufrgs.b</w:t>
      </w:r>
      <w:r>
        <w:t>r</w:t>
      </w:r>
    </w:p>
    <w:bookmarkEnd w:id="0"/>
    <w:p w14:paraId="238E7EC1" w14:textId="5D4AB3B8" w:rsidR="00AF0400" w:rsidRPr="001B58BD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0B8CA1D9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</w:t>
                            </w:r>
                            <w:r w:rsidR="00D215A2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0B8CA1D9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</w:t>
                      </w:r>
                      <w:r w:rsidR="00D215A2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1B58BD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2B3DA561" w14:textId="6A3632B6" w:rsidR="00DE4D32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DE0552">
        <w:rPr>
          <w:rFonts w:ascii="Times New Roman" w:hAnsi="Times New Roman"/>
          <w:b w:val="0"/>
          <w:sz w:val="20"/>
          <w:lang w:val="pt-BR"/>
        </w:rPr>
        <w:t>–</w:t>
      </w:r>
      <w:r w:rsidR="00C25C9A">
        <w:rPr>
          <w:rFonts w:ascii="Times New Roman" w:hAnsi="Times New Roman"/>
          <w:b w:val="0"/>
          <w:sz w:val="20"/>
          <w:lang w:val="pt-BR"/>
        </w:rPr>
        <w:t xml:space="preserve"> </w:t>
      </w:r>
      <w:r w:rsidR="00EC6B61">
        <w:rPr>
          <w:rFonts w:ascii="Times New Roman" w:hAnsi="Times New Roman"/>
          <w:b w:val="0"/>
          <w:sz w:val="20"/>
          <w:lang w:val="pt-BR"/>
        </w:rPr>
        <w:t xml:space="preserve">Neste trabalho foram avaliadas diferentes metodologias para a modelagem cinética da desidrogenação de cicloexano </w:t>
      </w:r>
      <w:r w:rsidR="000510CC">
        <w:rPr>
          <w:rFonts w:ascii="Times New Roman" w:hAnsi="Times New Roman"/>
          <w:b w:val="0"/>
          <w:sz w:val="20"/>
          <w:lang w:val="pt-BR"/>
        </w:rPr>
        <w:t xml:space="preserve">na presença de um catalisador de platina suportada em alumina, a fim de permitir a </w:t>
      </w:r>
      <w:r w:rsidR="004210D8">
        <w:rPr>
          <w:rFonts w:ascii="Times New Roman" w:hAnsi="Times New Roman"/>
          <w:b w:val="0"/>
          <w:sz w:val="20"/>
          <w:lang w:val="pt-BR"/>
        </w:rPr>
        <w:t>identificação de um efeito de compensação entre os parâmetros da equação de Arrhenius. Os resultados mostram que</w:t>
      </w:r>
      <w:r w:rsidR="004714F6">
        <w:rPr>
          <w:rFonts w:ascii="Times New Roman" w:hAnsi="Times New Roman"/>
          <w:b w:val="0"/>
          <w:sz w:val="20"/>
          <w:lang w:val="pt-BR"/>
        </w:rPr>
        <w:t xml:space="preserve">, ao separar os dados experimentais de acordo com </w:t>
      </w:r>
      <w:r w:rsidR="003E6862">
        <w:rPr>
          <w:rFonts w:ascii="Times New Roman" w:hAnsi="Times New Roman"/>
          <w:b w:val="0"/>
          <w:sz w:val="20"/>
          <w:lang w:val="pt-BR"/>
        </w:rPr>
        <w:t>su</w:t>
      </w:r>
      <w:r w:rsidR="004714F6">
        <w:rPr>
          <w:rFonts w:ascii="Times New Roman" w:hAnsi="Times New Roman"/>
          <w:b w:val="0"/>
          <w:sz w:val="20"/>
          <w:lang w:val="pt-BR"/>
        </w:rPr>
        <w:t xml:space="preserve">as condições </w:t>
      </w:r>
      <w:r w:rsidR="003E6862">
        <w:rPr>
          <w:rFonts w:ascii="Times New Roman" w:hAnsi="Times New Roman"/>
          <w:b w:val="0"/>
          <w:sz w:val="20"/>
          <w:lang w:val="pt-BR"/>
        </w:rPr>
        <w:t xml:space="preserve">reacionais </w:t>
      </w:r>
      <w:r w:rsidR="004714F6">
        <w:rPr>
          <w:rFonts w:ascii="Times New Roman" w:hAnsi="Times New Roman"/>
          <w:b w:val="0"/>
          <w:sz w:val="20"/>
          <w:lang w:val="pt-BR"/>
        </w:rPr>
        <w:t xml:space="preserve">e aplicar a equação de Arrhenius em sua forma tradicional, são obtidas estimativas </w:t>
      </w:r>
      <w:r w:rsidR="00BA4D91">
        <w:rPr>
          <w:rFonts w:ascii="Times New Roman" w:hAnsi="Times New Roman"/>
          <w:b w:val="0"/>
          <w:sz w:val="20"/>
          <w:lang w:val="pt-BR"/>
        </w:rPr>
        <w:t>com elevadas correlações</w:t>
      </w:r>
      <w:r w:rsidR="00224F06">
        <w:rPr>
          <w:rFonts w:ascii="Times New Roman" w:hAnsi="Times New Roman"/>
          <w:b w:val="0"/>
          <w:sz w:val="20"/>
          <w:lang w:val="pt-BR"/>
        </w:rPr>
        <w:t xml:space="preserve"> e </w:t>
      </w:r>
      <w:r w:rsidR="007A3969">
        <w:rPr>
          <w:rFonts w:ascii="Times New Roman" w:hAnsi="Times New Roman"/>
          <w:b w:val="0"/>
          <w:sz w:val="20"/>
          <w:lang w:val="pt-BR"/>
        </w:rPr>
        <w:t>regiões de confiança alongadas</w:t>
      </w:r>
      <w:r w:rsidR="00486669">
        <w:rPr>
          <w:rFonts w:ascii="Times New Roman" w:hAnsi="Times New Roman"/>
          <w:b w:val="0"/>
          <w:sz w:val="20"/>
          <w:lang w:val="pt-BR"/>
        </w:rPr>
        <w:t xml:space="preserve">, </w:t>
      </w:r>
      <w:r w:rsidR="007A3969">
        <w:rPr>
          <w:rFonts w:ascii="Times New Roman" w:hAnsi="Times New Roman"/>
          <w:b w:val="0"/>
          <w:sz w:val="20"/>
          <w:lang w:val="pt-BR"/>
        </w:rPr>
        <w:t>próxima</w:t>
      </w:r>
      <w:r w:rsidR="00486669">
        <w:rPr>
          <w:rFonts w:ascii="Times New Roman" w:hAnsi="Times New Roman"/>
          <w:b w:val="0"/>
          <w:sz w:val="20"/>
          <w:lang w:val="pt-BR"/>
        </w:rPr>
        <w:t>s</w:t>
      </w:r>
      <w:r w:rsidR="007A3969">
        <w:rPr>
          <w:rFonts w:ascii="Times New Roman" w:hAnsi="Times New Roman"/>
          <w:b w:val="0"/>
          <w:sz w:val="20"/>
          <w:lang w:val="pt-BR"/>
        </w:rPr>
        <w:t xml:space="preserve"> a uma reta, levando à identificação de um efeito de compensação aparente. </w:t>
      </w:r>
      <w:r w:rsidR="00AE35B9">
        <w:rPr>
          <w:rFonts w:ascii="Times New Roman" w:hAnsi="Times New Roman"/>
          <w:b w:val="0"/>
          <w:sz w:val="20"/>
          <w:lang w:val="pt-BR"/>
        </w:rPr>
        <w:t xml:space="preserve">Este efeito de compensação, contudo, deixou de ser observado ao ser utilizada uma forma </w:t>
      </w:r>
      <w:proofErr w:type="spellStart"/>
      <w:r w:rsidR="00AE35B9">
        <w:rPr>
          <w:rFonts w:ascii="Times New Roman" w:hAnsi="Times New Roman"/>
          <w:b w:val="0"/>
          <w:sz w:val="20"/>
          <w:lang w:val="pt-BR"/>
        </w:rPr>
        <w:t>reparametrizada</w:t>
      </w:r>
      <w:proofErr w:type="spellEnd"/>
      <w:r w:rsidR="00AE35B9">
        <w:rPr>
          <w:rFonts w:ascii="Times New Roman" w:hAnsi="Times New Roman"/>
          <w:b w:val="0"/>
          <w:sz w:val="20"/>
          <w:lang w:val="pt-BR"/>
        </w:rPr>
        <w:t xml:space="preserve"> da equação de Arrhenius</w:t>
      </w:r>
      <w:r w:rsidR="00A3351F">
        <w:rPr>
          <w:rFonts w:ascii="Times New Roman" w:hAnsi="Times New Roman"/>
          <w:b w:val="0"/>
          <w:sz w:val="20"/>
          <w:lang w:val="pt-BR"/>
        </w:rPr>
        <w:t xml:space="preserve"> e contabilização das incertezas experimentais, devido à redução das correlações e incertezas das estimativas paramétricas. Por fim, foi mostrado que</w:t>
      </w:r>
      <w:r w:rsidR="001445E7">
        <w:rPr>
          <w:rFonts w:ascii="Times New Roman" w:hAnsi="Times New Roman"/>
          <w:b w:val="0"/>
          <w:sz w:val="20"/>
          <w:lang w:val="pt-BR"/>
        </w:rPr>
        <w:t xml:space="preserve"> </w:t>
      </w:r>
      <w:r w:rsidR="00813116">
        <w:rPr>
          <w:rFonts w:ascii="Times New Roman" w:hAnsi="Times New Roman"/>
          <w:b w:val="0"/>
          <w:sz w:val="20"/>
          <w:lang w:val="pt-BR"/>
        </w:rPr>
        <w:t>o uso de todos os dados experimentais</w:t>
      </w:r>
      <w:r w:rsidR="00B216E1">
        <w:rPr>
          <w:rFonts w:ascii="Times New Roman" w:hAnsi="Times New Roman"/>
          <w:b w:val="0"/>
          <w:sz w:val="20"/>
          <w:lang w:val="pt-BR"/>
        </w:rPr>
        <w:t xml:space="preserve"> simultaneamente</w:t>
      </w:r>
      <w:r w:rsidR="00813116">
        <w:rPr>
          <w:rFonts w:ascii="Times New Roman" w:hAnsi="Times New Roman"/>
          <w:b w:val="0"/>
          <w:sz w:val="20"/>
          <w:lang w:val="pt-BR"/>
        </w:rPr>
        <w:t xml:space="preserve"> </w:t>
      </w:r>
      <w:r w:rsidR="004C18FF">
        <w:rPr>
          <w:rFonts w:ascii="Times New Roman" w:hAnsi="Times New Roman"/>
          <w:b w:val="0"/>
          <w:sz w:val="20"/>
          <w:lang w:val="pt-BR"/>
        </w:rPr>
        <w:t>levou aos melhores resultados, indicando que a separação destes em subconjuntos deve ser realizada de forma criteriosa</w:t>
      </w:r>
      <w:r w:rsidR="00486669">
        <w:rPr>
          <w:rFonts w:ascii="Times New Roman" w:hAnsi="Times New Roman"/>
          <w:b w:val="0"/>
          <w:sz w:val="20"/>
          <w:lang w:val="pt-BR"/>
        </w:rPr>
        <w:t>,</w:t>
      </w:r>
      <w:r w:rsidR="004C18FF">
        <w:rPr>
          <w:rFonts w:ascii="Times New Roman" w:hAnsi="Times New Roman"/>
          <w:b w:val="0"/>
          <w:sz w:val="20"/>
          <w:lang w:val="pt-BR"/>
        </w:rPr>
        <w:t xml:space="preserve"> </w:t>
      </w:r>
      <w:r w:rsidR="00486669">
        <w:rPr>
          <w:rFonts w:ascii="Times New Roman" w:hAnsi="Times New Roman"/>
          <w:b w:val="0"/>
          <w:sz w:val="20"/>
          <w:lang w:val="pt-BR"/>
        </w:rPr>
        <w:t>evitando</w:t>
      </w:r>
      <w:r w:rsidR="004C18FF">
        <w:rPr>
          <w:rFonts w:ascii="Times New Roman" w:hAnsi="Times New Roman"/>
          <w:b w:val="0"/>
          <w:sz w:val="20"/>
          <w:lang w:val="pt-BR"/>
        </w:rPr>
        <w:t xml:space="preserve"> a </w:t>
      </w:r>
      <w:r w:rsidR="00B216E1">
        <w:rPr>
          <w:rFonts w:ascii="Times New Roman" w:hAnsi="Times New Roman"/>
          <w:b w:val="0"/>
          <w:sz w:val="20"/>
          <w:lang w:val="pt-BR"/>
        </w:rPr>
        <w:t xml:space="preserve">observação </w:t>
      </w:r>
      <w:r w:rsidR="004C18FF">
        <w:rPr>
          <w:rFonts w:ascii="Times New Roman" w:hAnsi="Times New Roman"/>
          <w:b w:val="0"/>
          <w:sz w:val="20"/>
          <w:lang w:val="pt-BR"/>
        </w:rPr>
        <w:t xml:space="preserve">de um efeito de compensação aparente entre </w:t>
      </w:r>
      <w:r w:rsidR="00486669">
        <w:rPr>
          <w:rFonts w:ascii="Times New Roman" w:hAnsi="Times New Roman"/>
          <w:b w:val="0"/>
          <w:sz w:val="20"/>
          <w:lang w:val="pt-BR"/>
        </w:rPr>
        <w:t>os parâmetros cinéticos da reação</w:t>
      </w:r>
      <w:r w:rsidR="004C18FF">
        <w:rPr>
          <w:rFonts w:ascii="Times New Roman" w:hAnsi="Times New Roman"/>
          <w:b w:val="0"/>
          <w:sz w:val="20"/>
          <w:lang w:val="pt-BR"/>
        </w:rPr>
        <w:t xml:space="preserve">. </w:t>
      </w:r>
    </w:p>
    <w:p w14:paraId="09B41B70" w14:textId="6D60D597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43244B">
        <w:rPr>
          <w:rFonts w:ascii="Times New Roman" w:hAnsi="Times New Roman"/>
          <w:b w:val="0"/>
          <w:i/>
          <w:sz w:val="20"/>
          <w:lang w:val="pt-BR"/>
        </w:rPr>
        <w:t>efeito de compensação cinético, cinética química, desidrogenação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5BEB5D46" w14:textId="2C3F36EB" w:rsidR="00CD18E2" w:rsidRPr="00FC121A" w:rsidRDefault="00EA4E1B" w:rsidP="007E6146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FC121A">
        <w:rPr>
          <w:rFonts w:ascii="Times New Roman" w:hAnsi="Times New Roman"/>
          <w:b w:val="0"/>
          <w:sz w:val="20"/>
        </w:rPr>
        <w:t>ABSTRACT -</w:t>
      </w:r>
      <w:r w:rsidR="00951438" w:rsidRPr="00951438">
        <w:t xml:space="preserve"> </w:t>
      </w:r>
      <w:r w:rsidR="00951438" w:rsidRPr="00951438">
        <w:rPr>
          <w:rFonts w:ascii="Times New Roman" w:hAnsi="Times New Roman"/>
          <w:b w:val="0"/>
          <w:sz w:val="20"/>
        </w:rPr>
        <w:t xml:space="preserve">In this work, different methodologies were evaluated for the kinetic modeling of cyclohexane dehydrogenation in the presence of a platinum catalyst supported on alumina, aiming to identify a compensation effect among the parameters of the Arrhenius equation. The results show that, by separating the experimental data according to the </w:t>
      </w:r>
      <w:r w:rsidR="00951438">
        <w:rPr>
          <w:rFonts w:ascii="Times New Roman" w:hAnsi="Times New Roman"/>
          <w:b w:val="0"/>
          <w:sz w:val="20"/>
        </w:rPr>
        <w:t xml:space="preserve">reaction </w:t>
      </w:r>
      <w:r w:rsidR="00951438" w:rsidRPr="00951438">
        <w:rPr>
          <w:rFonts w:ascii="Times New Roman" w:hAnsi="Times New Roman"/>
          <w:b w:val="0"/>
          <w:sz w:val="20"/>
        </w:rPr>
        <w:t xml:space="preserve">conditions and applying the Arrhenius equation in its traditional form, parameter estimates with high correlations </w:t>
      </w:r>
      <w:r w:rsidR="00224F06">
        <w:rPr>
          <w:rFonts w:ascii="Times New Roman" w:hAnsi="Times New Roman"/>
          <w:b w:val="0"/>
          <w:sz w:val="20"/>
        </w:rPr>
        <w:t>and</w:t>
      </w:r>
      <w:r w:rsidR="00951438" w:rsidRPr="00951438">
        <w:rPr>
          <w:rFonts w:ascii="Times New Roman" w:hAnsi="Times New Roman"/>
          <w:b w:val="0"/>
          <w:sz w:val="20"/>
        </w:rPr>
        <w:t xml:space="preserve"> elongated confidence regions near a straight line</w:t>
      </w:r>
      <w:r w:rsidR="0099137A">
        <w:rPr>
          <w:rFonts w:ascii="Times New Roman" w:hAnsi="Times New Roman"/>
          <w:b w:val="0"/>
          <w:sz w:val="20"/>
        </w:rPr>
        <w:t xml:space="preserve"> were obtained</w:t>
      </w:r>
      <w:r w:rsidR="00951438" w:rsidRPr="00951438">
        <w:rPr>
          <w:rFonts w:ascii="Times New Roman" w:hAnsi="Times New Roman"/>
          <w:b w:val="0"/>
          <w:sz w:val="20"/>
        </w:rPr>
        <w:t xml:space="preserve">, </w:t>
      </w:r>
      <w:r w:rsidR="0080571F">
        <w:rPr>
          <w:rFonts w:ascii="Times New Roman" w:hAnsi="Times New Roman"/>
          <w:b w:val="0"/>
          <w:sz w:val="20"/>
        </w:rPr>
        <w:t xml:space="preserve">thus </w:t>
      </w:r>
      <w:r w:rsidR="00951438" w:rsidRPr="00951438">
        <w:rPr>
          <w:rFonts w:ascii="Times New Roman" w:hAnsi="Times New Roman"/>
          <w:b w:val="0"/>
          <w:sz w:val="20"/>
        </w:rPr>
        <w:t xml:space="preserve">leading to the identification of an apparent compensation effect. However, this compensation effect was no longer observed </w:t>
      </w:r>
      <w:r w:rsidR="00566C02">
        <w:rPr>
          <w:rFonts w:ascii="Times New Roman" w:hAnsi="Times New Roman"/>
          <w:b w:val="0"/>
          <w:sz w:val="20"/>
        </w:rPr>
        <w:t>after accounting for the uncertainties on the experimental measurements and reparameterization of the Arrhenius equation</w:t>
      </w:r>
      <w:r w:rsidR="00951438" w:rsidRPr="00951438">
        <w:rPr>
          <w:rFonts w:ascii="Times New Roman" w:hAnsi="Times New Roman"/>
          <w:b w:val="0"/>
          <w:sz w:val="20"/>
        </w:rPr>
        <w:t xml:space="preserve">, due to the reduction of the correlations and uncertainties </w:t>
      </w:r>
      <w:r w:rsidR="00566C02">
        <w:rPr>
          <w:rFonts w:ascii="Times New Roman" w:hAnsi="Times New Roman"/>
          <w:b w:val="0"/>
          <w:sz w:val="20"/>
        </w:rPr>
        <w:t>on</w:t>
      </w:r>
      <w:r w:rsidR="00951438" w:rsidRPr="00951438">
        <w:rPr>
          <w:rFonts w:ascii="Times New Roman" w:hAnsi="Times New Roman"/>
          <w:b w:val="0"/>
          <w:sz w:val="20"/>
        </w:rPr>
        <w:t xml:space="preserve"> the parametric estimates. Finally, it was shown that the use of all experimental data</w:t>
      </w:r>
      <w:r w:rsidR="00B216E1">
        <w:rPr>
          <w:rFonts w:ascii="Times New Roman" w:hAnsi="Times New Roman"/>
          <w:b w:val="0"/>
          <w:sz w:val="20"/>
        </w:rPr>
        <w:t xml:space="preserve"> simultaneously</w:t>
      </w:r>
      <w:r w:rsidR="00951438" w:rsidRPr="00951438">
        <w:rPr>
          <w:rFonts w:ascii="Times New Roman" w:hAnsi="Times New Roman"/>
          <w:b w:val="0"/>
          <w:sz w:val="20"/>
        </w:rPr>
        <w:t xml:space="preserve"> led to the best results, indicating that the separation of the</w:t>
      </w:r>
      <w:r w:rsidR="00F351C1">
        <w:rPr>
          <w:rFonts w:ascii="Times New Roman" w:hAnsi="Times New Roman"/>
          <w:b w:val="0"/>
          <w:sz w:val="20"/>
        </w:rPr>
        <w:t xml:space="preserve"> data points</w:t>
      </w:r>
      <w:r w:rsidR="00951438" w:rsidRPr="00951438">
        <w:rPr>
          <w:rFonts w:ascii="Times New Roman" w:hAnsi="Times New Roman"/>
          <w:b w:val="0"/>
          <w:sz w:val="20"/>
        </w:rPr>
        <w:t xml:space="preserve"> into subsets should be performed carefully, </w:t>
      </w:r>
      <w:proofErr w:type="gramStart"/>
      <w:r w:rsidR="00F351C1">
        <w:rPr>
          <w:rFonts w:ascii="Times New Roman" w:hAnsi="Times New Roman"/>
          <w:b w:val="0"/>
          <w:sz w:val="20"/>
        </w:rPr>
        <w:t>in order to</w:t>
      </w:r>
      <w:proofErr w:type="gramEnd"/>
      <w:r w:rsidR="00F351C1">
        <w:rPr>
          <w:rFonts w:ascii="Times New Roman" w:hAnsi="Times New Roman"/>
          <w:b w:val="0"/>
          <w:sz w:val="20"/>
        </w:rPr>
        <w:t xml:space="preserve"> avoid </w:t>
      </w:r>
      <w:r w:rsidR="00650DD3">
        <w:rPr>
          <w:rFonts w:ascii="Times New Roman" w:hAnsi="Times New Roman"/>
          <w:b w:val="0"/>
          <w:sz w:val="20"/>
        </w:rPr>
        <w:t xml:space="preserve">the observation of </w:t>
      </w:r>
      <w:r w:rsidR="00951438" w:rsidRPr="00951438">
        <w:rPr>
          <w:rFonts w:ascii="Times New Roman" w:hAnsi="Times New Roman"/>
          <w:b w:val="0"/>
          <w:sz w:val="20"/>
        </w:rPr>
        <w:t>an apparent compensation effect among the kinetic parameters of the reaction.</w:t>
      </w:r>
    </w:p>
    <w:p w14:paraId="5F4A84E8" w14:textId="04EDC2F6" w:rsidR="00EA4E1B" w:rsidRPr="00803017" w:rsidRDefault="00EA4E1B" w:rsidP="007E6146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</w:rPr>
      </w:pPr>
      <w:r w:rsidRPr="00803017">
        <w:rPr>
          <w:rFonts w:ascii="Times New Roman" w:hAnsi="Times New Roman"/>
          <w:b w:val="0"/>
          <w:i/>
          <w:sz w:val="20"/>
        </w:rPr>
        <w:t xml:space="preserve">Keywords: </w:t>
      </w:r>
      <w:r w:rsidR="00363A5F" w:rsidRPr="00803017">
        <w:rPr>
          <w:rFonts w:ascii="Times New Roman" w:hAnsi="Times New Roman"/>
          <w:b w:val="0"/>
          <w:i/>
          <w:sz w:val="20"/>
        </w:rPr>
        <w:t>kinetic compensa</w:t>
      </w:r>
      <w:r w:rsidR="00803017" w:rsidRPr="00803017">
        <w:rPr>
          <w:rFonts w:ascii="Times New Roman" w:hAnsi="Times New Roman"/>
          <w:b w:val="0"/>
          <w:i/>
          <w:sz w:val="20"/>
        </w:rPr>
        <w:t xml:space="preserve">tion effect, </w:t>
      </w:r>
      <w:r w:rsidR="00803017">
        <w:rPr>
          <w:rFonts w:ascii="Times New Roman" w:hAnsi="Times New Roman"/>
          <w:b w:val="0"/>
          <w:i/>
          <w:sz w:val="20"/>
        </w:rPr>
        <w:t>reaction kinetics, dehydrogenation</w:t>
      </w:r>
    </w:p>
    <w:bookmarkEnd w:id="1"/>
    <w:p w14:paraId="48D9B0C4" w14:textId="77777777" w:rsidR="00EA4E1B" w:rsidRPr="00803017" w:rsidRDefault="00EA4E1B" w:rsidP="00EA4E1B">
      <w:pPr>
        <w:rPr>
          <w:lang w:val="en-US"/>
        </w:rPr>
        <w:sectPr w:rsidR="00EA4E1B" w:rsidRPr="00803017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A71D57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23F74CA2" w14:textId="4D20E3DD" w:rsidR="00FC2A12" w:rsidRPr="00776504" w:rsidRDefault="000D5DA1" w:rsidP="00DD7EC7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avaliação do</w:t>
      </w:r>
      <w:r w:rsidR="002B7823">
        <w:rPr>
          <w:rFonts w:ascii="Times New Roman" w:hAnsi="Times New Roman"/>
          <w:lang w:val="pt-BR"/>
        </w:rPr>
        <w:t xml:space="preserve"> efeito da temperatura sobre a</w:t>
      </w:r>
      <w:r>
        <w:rPr>
          <w:rFonts w:ascii="Times New Roman" w:hAnsi="Times New Roman"/>
          <w:lang w:val="pt-BR"/>
        </w:rPr>
        <w:t xml:space="preserve"> cinética reacional</w:t>
      </w:r>
      <w:r w:rsidR="002B782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é </w:t>
      </w:r>
      <w:r w:rsidR="001415D5">
        <w:rPr>
          <w:rFonts w:ascii="Times New Roman" w:hAnsi="Times New Roman"/>
          <w:lang w:val="pt-BR"/>
        </w:rPr>
        <w:t xml:space="preserve">comumente </w:t>
      </w:r>
      <w:r>
        <w:rPr>
          <w:rFonts w:ascii="Times New Roman" w:hAnsi="Times New Roman"/>
          <w:lang w:val="pt-BR"/>
        </w:rPr>
        <w:t xml:space="preserve">realizada através da aplicação da </w:t>
      </w:r>
      <w:r w:rsidR="001415D5">
        <w:rPr>
          <w:rFonts w:ascii="Times New Roman" w:hAnsi="Times New Roman"/>
          <w:lang w:val="pt-BR"/>
        </w:rPr>
        <w:t xml:space="preserve">bastante difundida </w:t>
      </w:r>
      <w:r>
        <w:rPr>
          <w:rFonts w:ascii="Times New Roman" w:hAnsi="Times New Roman"/>
          <w:lang w:val="pt-BR"/>
        </w:rPr>
        <w:t>equação de</w:t>
      </w:r>
      <w:r w:rsidR="002B7823">
        <w:rPr>
          <w:rFonts w:ascii="Times New Roman" w:hAnsi="Times New Roman"/>
          <w:lang w:val="pt-BR"/>
        </w:rPr>
        <w:t xml:space="preserve"> Arrhenius</w:t>
      </w:r>
      <w:r w:rsidR="00021C61">
        <w:rPr>
          <w:rFonts w:ascii="Times New Roman" w:hAnsi="Times New Roman"/>
          <w:lang w:val="pt-BR"/>
        </w:rPr>
        <w:t xml:space="preserve"> </w:t>
      </w:r>
      <w:r w:rsidR="00167B2E">
        <w:rPr>
          <w:rFonts w:ascii="Times New Roman" w:hAnsi="Times New Roman"/>
          <w:lang w:val="pt-BR"/>
        </w:rPr>
        <w:t>e ajuste</w:t>
      </w:r>
      <w:r w:rsidR="00021C61">
        <w:rPr>
          <w:rFonts w:ascii="Times New Roman" w:hAnsi="Times New Roman"/>
          <w:lang w:val="pt-BR"/>
        </w:rPr>
        <w:t xml:space="preserve"> do modelo cinético proposto a dados obtidos experimentalmente </w:t>
      </w:r>
      <w:r w:rsidR="007A7338">
        <w:rPr>
          <w:rFonts w:ascii="Times New Roman" w:hAnsi="Times New Roman"/>
          <w:lang w:val="pt-BR"/>
        </w:rPr>
        <w:t>(</w:t>
      </w:r>
      <w:r w:rsidR="00F76F43">
        <w:rPr>
          <w:rFonts w:ascii="Times New Roman" w:hAnsi="Times New Roman"/>
          <w:lang w:val="pt-BR"/>
        </w:rPr>
        <w:t>1</w:t>
      </w:r>
      <w:r w:rsidR="00821173">
        <w:rPr>
          <w:rFonts w:ascii="Times New Roman" w:hAnsi="Times New Roman"/>
          <w:lang w:val="pt-BR"/>
        </w:rPr>
        <w:t>-2</w:t>
      </w:r>
      <w:r w:rsidR="007A7338">
        <w:rPr>
          <w:rFonts w:ascii="Times New Roman" w:hAnsi="Times New Roman"/>
          <w:lang w:val="pt-BR"/>
        </w:rPr>
        <w:t>).</w:t>
      </w:r>
      <w:r w:rsidR="00E04DE2">
        <w:rPr>
          <w:rFonts w:ascii="Times New Roman" w:hAnsi="Times New Roman"/>
          <w:lang w:val="pt-BR"/>
        </w:rPr>
        <w:t xml:space="preserve"> Para</w:t>
      </w:r>
      <w:r w:rsidR="007474C5">
        <w:rPr>
          <w:rFonts w:ascii="Times New Roman" w:hAnsi="Times New Roman"/>
          <w:lang w:val="pt-BR"/>
        </w:rPr>
        <w:t xml:space="preserve"> </w:t>
      </w:r>
      <w:r w:rsidR="00021C61">
        <w:rPr>
          <w:rFonts w:ascii="Times New Roman" w:hAnsi="Times New Roman"/>
          <w:lang w:val="pt-BR"/>
        </w:rPr>
        <w:t xml:space="preserve">uma série de reações </w:t>
      </w:r>
      <w:r w:rsidR="00603A62">
        <w:rPr>
          <w:rFonts w:ascii="Times New Roman" w:hAnsi="Times New Roman"/>
          <w:lang w:val="pt-BR"/>
        </w:rPr>
        <w:t>intimamente relacionadas</w:t>
      </w:r>
      <w:r w:rsidR="00AF6F83">
        <w:rPr>
          <w:rFonts w:ascii="Times New Roman" w:hAnsi="Times New Roman"/>
          <w:lang w:val="pt-BR"/>
        </w:rPr>
        <w:t>,</w:t>
      </w:r>
      <w:r w:rsidR="008C7001">
        <w:rPr>
          <w:rFonts w:ascii="Times New Roman" w:hAnsi="Times New Roman"/>
          <w:lang w:val="pt-BR"/>
        </w:rPr>
        <w:t xml:space="preserve"> como,</w:t>
      </w:r>
      <w:r w:rsidR="00691BC6">
        <w:rPr>
          <w:rFonts w:ascii="Times New Roman" w:hAnsi="Times New Roman"/>
          <w:lang w:val="pt-BR"/>
        </w:rPr>
        <w:t xml:space="preserve"> por exemplo, </w:t>
      </w:r>
      <w:r w:rsidR="00523F67">
        <w:rPr>
          <w:rFonts w:ascii="Times New Roman" w:hAnsi="Times New Roman"/>
          <w:lang w:val="pt-BR"/>
        </w:rPr>
        <w:t>uma mesma reação avaliada na presença de diferentes catalisadores heterogêneos</w:t>
      </w:r>
      <w:r w:rsidR="0099788D">
        <w:rPr>
          <w:rFonts w:ascii="Times New Roman" w:hAnsi="Times New Roman"/>
          <w:lang w:val="pt-BR"/>
        </w:rPr>
        <w:t xml:space="preserve">, </w:t>
      </w:r>
      <w:r w:rsidR="00760405">
        <w:rPr>
          <w:rFonts w:ascii="Times New Roman" w:hAnsi="Times New Roman"/>
          <w:lang w:val="pt-BR"/>
        </w:rPr>
        <w:t xml:space="preserve">podemos representar </w:t>
      </w:r>
      <w:r w:rsidR="005865A8">
        <w:rPr>
          <w:rFonts w:ascii="Times New Roman" w:hAnsi="Times New Roman"/>
          <w:lang w:val="pt-BR"/>
        </w:rPr>
        <w:t xml:space="preserve">a equação de Arrhenius </w:t>
      </w:r>
      <w:r w:rsidR="00471346">
        <w:rPr>
          <w:rFonts w:ascii="Times New Roman" w:hAnsi="Times New Roman"/>
          <w:lang w:val="pt-BR"/>
        </w:rPr>
        <w:t>pela Equação</w:t>
      </w:r>
      <w:r w:rsidR="0090152D">
        <w:rPr>
          <w:rFonts w:ascii="Times New Roman" w:hAnsi="Times New Roman"/>
          <w:lang w:val="pt-BR"/>
        </w:rPr>
        <w:t> </w:t>
      </w:r>
      <w:r w:rsidR="00471346">
        <w:rPr>
          <w:rFonts w:ascii="Times New Roman" w:hAnsi="Times New Roman"/>
          <w:lang w:val="pt-BR"/>
        </w:rPr>
        <w:t>(1), dada por</w:t>
      </w:r>
    </w:p>
    <w:p w14:paraId="275CE860" w14:textId="77777777" w:rsidR="00C032B0" w:rsidRDefault="00C032B0" w:rsidP="00C032B0">
      <w:pPr>
        <w:pStyle w:val="TAMainText"/>
        <w:ind w:firstLine="0"/>
        <w:rPr>
          <w:rFonts w:ascii="Times New Roman" w:hAnsi="Times New Roman"/>
          <w:lang w:val="pt-BR"/>
        </w:rPr>
      </w:pPr>
    </w:p>
    <w:p w14:paraId="04487765" w14:textId="388399D5" w:rsidR="003A755E" w:rsidRDefault="003A755E" w:rsidP="00536ED9">
      <w:pPr>
        <w:pStyle w:val="TextFirstParagraph"/>
        <w:widowControl w:val="0"/>
        <w:tabs>
          <w:tab w:val="center" w:pos="2364"/>
          <w:tab w:val="right" w:pos="4734"/>
        </w:tabs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ab/>
      </w:r>
      <w:r w:rsidR="007F4E3B" w:rsidRPr="007F4E3B">
        <w:rPr>
          <w:noProof/>
          <w:position w:val="-28"/>
        </w:rPr>
        <w:object w:dxaOrig="2160" w:dyaOrig="660" w14:anchorId="1019B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3pt" o:ole="">
            <v:imagedata r:id="rId9" o:title=""/>
          </v:shape>
          <o:OLEObject Type="Embed" ProgID="Equation.DSMT4" ShapeID="_x0000_i1025" DrawAspect="Content" ObjectID="_1744365364" r:id="rId10"/>
        </w:object>
      </w:r>
      <w:r>
        <w:rPr>
          <w:sz w:val="20"/>
          <w:szCs w:val="20"/>
          <w:lang w:val="pt-BR"/>
        </w:rPr>
        <w:tab/>
        <w:t>(1)</w:t>
      </w:r>
    </w:p>
    <w:p w14:paraId="489C4D5A" w14:textId="77777777" w:rsidR="0076363D" w:rsidRDefault="0076363D" w:rsidP="00C032B0">
      <w:pPr>
        <w:pStyle w:val="TextFirstParagraph"/>
        <w:widowControl w:val="0"/>
        <w:tabs>
          <w:tab w:val="center" w:pos="2364"/>
          <w:tab w:val="right" w:pos="4734"/>
        </w:tabs>
        <w:spacing w:line="240" w:lineRule="exact"/>
        <w:rPr>
          <w:sz w:val="20"/>
          <w:szCs w:val="20"/>
          <w:lang w:val="pt-BR"/>
        </w:rPr>
      </w:pPr>
    </w:p>
    <w:p w14:paraId="7D51BB0D" w14:textId="6596BAE3" w:rsidR="00DE7C2F" w:rsidRDefault="005A5459" w:rsidP="00952DF6">
      <w:pPr>
        <w:pStyle w:val="TextFirstParagraph"/>
        <w:widowControl w:val="0"/>
        <w:tabs>
          <w:tab w:val="center" w:pos="2364"/>
          <w:tab w:val="right" w:pos="4734"/>
        </w:tabs>
        <w:spacing w:line="240" w:lineRule="exac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onde </w:t>
      </w:r>
      <w:r w:rsidRPr="00471346">
        <w:rPr>
          <w:i/>
          <w:iCs/>
          <w:sz w:val="20"/>
          <w:szCs w:val="20"/>
          <w:lang w:val="pt-BR"/>
        </w:rPr>
        <w:t>A</w:t>
      </w:r>
      <w:proofErr w:type="gramStart"/>
      <w:r w:rsidRPr="00471346">
        <w:rPr>
          <w:sz w:val="20"/>
          <w:szCs w:val="20"/>
          <w:vertAlign w:val="subscript"/>
          <w:lang w:val="pt-BR"/>
        </w:rPr>
        <w:t>0,</w:t>
      </w:r>
      <w:r w:rsidRPr="00471346">
        <w:rPr>
          <w:i/>
          <w:iCs/>
          <w:sz w:val="20"/>
          <w:szCs w:val="20"/>
          <w:vertAlign w:val="subscript"/>
          <w:lang w:val="pt-BR"/>
        </w:rPr>
        <w:t>i</w:t>
      </w:r>
      <w:proofErr w:type="gramEnd"/>
      <w:r>
        <w:rPr>
          <w:sz w:val="20"/>
          <w:szCs w:val="20"/>
          <w:lang w:val="pt-BR"/>
        </w:rPr>
        <w:t xml:space="preserve"> é o fator </w:t>
      </w:r>
      <w:proofErr w:type="spellStart"/>
      <w:r>
        <w:rPr>
          <w:sz w:val="20"/>
          <w:szCs w:val="20"/>
          <w:lang w:val="pt-BR"/>
        </w:rPr>
        <w:t>pré-exponencal</w:t>
      </w:r>
      <w:proofErr w:type="spellEnd"/>
      <w:r>
        <w:rPr>
          <w:sz w:val="20"/>
          <w:szCs w:val="20"/>
          <w:lang w:val="pt-BR"/>
        </w:rPr>
        <w:t xml:space="preserve">, </w:t>
      </w:r>
      <w:proofErr w:type="spellStart"/>
      <w:r w:rsidRPr="00471346">
        <w:rPr>
          <w:i/>
          <w:iCs/>
          <w:sz w:val="20"/>
          <w:szCs w:val="20"/>
          <w:lang w:val="pt-BR"/>
        </w:rPr>
        <w:t>E</w:t>
      </w:r>
      <w:r w:rsidRPr="00B07590">
        <w:rPr>
          <w:i/>
          <w:iCs/>
          <w:sz w:val="20"/>
          <w:szCs w:val="20"/>
          <w:vertAlign w:val="subscript"/>
          <w:lang w:val="pt-BR"/>
        </w:rPr>
        <w:t>a</w:t>
      </w:r>
      <w:proofErr w:type="spellEnd"/>
      <w:r>
        <w:rPr>
          <w:sz w:val="20"/>
          <w:szCs w:val="20"/>
          <w:lang w:val="pt-BR"/>
        </w:rPr>
        <w:t xml:space="preserve"> é a energia de ativação</w:t>
      </w:r>
      <w:r w:rsidR="0091080D">
        <w:rPr>
          <w:sz w:val="20"/>
          <w:szCs w:val="20"/>
          <w:lang w:val="pt-BR"/>
        </w:rPr>
        <w:t xml:space="preserve">, </w:t>
      </w:r>
      <w:r w:rsidR="0091080D" w:rsidRPr="00B07590">
        <w:rPr>
          <w:i/>
          <w:iCs/>
          <w:sz w:val="20"/>
          <w:szCs w:val="20"/>
          <w:lang w:val="pt-BR"/>
        </w:rPr>
        <w:t>R</w:t>
      </w:r>
      <w:r w:rsidR="0091080D">
        <w:rPr>
          <w:sz w:val="20"/>
          <w:szCs w:val="20"/>
          <w:lang w:val="pt-BR"/>
        </w:rPr>
        <w:t xml:space="preserve"> é a constante universal dos gases e </w:t>
      </w:r>
      <w:r w:rsidR="0091080D" w:rsidRPr="00471346">
        <w:rPr>
          <w:i/>
          <w:iCs/>
          <w:sz w:val="20"/>
          <w:szCs w:val="20"/>
          <w:lang w:val="pt-BR"/>
        </w:rPr>
        <w:t>T</w:t>
      </w:r>
      <w:r w:rsidR="0091080D">
        <w:rPr>
          <w:sz w:val="20"/>
          <w:szCs w:val="20"/>
          <w:lang w:val="pt-BR"/>
        </w:rPr>
        <w:t xml:space="preserve"> é a temperatur</w:t>
      </w:r>
      <w:r w:rsidR="00471346">
        <w:rPr>
          <w:sz w:val="20"/>
          <w:szCs w:val="20"/>
          <w:lang w:val="pt-BR"/>
        </w:rPr>
        <w:t>a de reação</w:t>
      </w:r>
      <w:r w:rsidR="00D4658C">
        <w:rPr>
          <w:sz w:val="20"/>
          <w:szCs w:val="20"/>
          <w:lang w:val="pt-BR"/>
        </w:rPr>
        <w:t xml:space="preserve">, sendo o subscrito </w:t>
      </w:r>
      <w:r w:rsidR="00025BDB">
        <w:rPr>
          <w:i/>
          <w:iCs/>
          <w:sz w:val="20"/>
          <w:szCs w:val="20"/>
          <w:lang w:val="pt-BR"/>
        </w:rPr>
        <w:t>j</w:t>
      </w:r>
      <w:r w:rsidR="00D4658C">
        <w:rPr>
          <w:sz w:val="20"/>
          <w:szCs w:val="20"/>
          <w:lang w:val="pt-BR"/>
        </w:rPr>
        <w:t xml:space="preserve"> utilizado para identificar </w:t>
      </w:r>
      <w:r w:rsidR="00F6046E">
        <w:rPr>
          <w:sz w:val="20"/>
          <w:szCs w:val="20"/>
          <w:lang w:val="pt-BR"/>
        </w:rPr>
        <w:t xml:space="preserve">a </w:t>
      </w:r>
      <w:r w:rsidR="00025BDB" w:rsidRPr="00025BDB">
        <w:rPr>
          <w:i/>
          <w:iCs/>
          <w:sz w:val="20"/>
          <w:szCs w:val="20"/>
          <w:lang w:val="pt-BR"/>
        </w:rPr>
        <w:t>j</w:t>
      </w:r>
      <w:r w:rsidR="00F6046E">
        <w:rPr>
          <w:sz w:val="20"/>
          <w:szCs w:val="20"/>
          <w:lang w:val="pt-BR"/>
        </w:rPr>
        <w:t>-</w:t>
      </w:r>
      <w:proofErr w:type="spellStart"/>
      <w:r w:rsidR="00F6046E">
        <w:rPr>
          <w:sz w:val="20"/>
          <w:szCs w:val="20"/>
          <w:lang w:val="pt-BR"/>
        </w:rPr>
        <w:t>ésima</w:t>
      </w:r>
      <w:proofErr w:type="spellEnd"/>
      <w:r w:rsidR="00F6046E">
        <w:rPr>
          <w:sz w:val="20"/>
          <w:szCs w:val="20"/>
          <w:lang w:val="pt-BR"/>
        </w:rPr>
        <w:t xml:space="preserve"> </w:t>
      </w:r>
      <w:r w:rsidR="00CC4844">
        <w:rPr>
          <w:sz w:val="20"/>
          <w:szCs w:val="20"/>
          <w:lang w:val="pt-BR"/>
        </w:rPr>
        <w:t>reação</w:t>
      </w:r>
      <w:r w:rsidR="00F6046E">
        <w:rPr>
          <w:sz w:val="20"/>
          <w:szCs w:val="20"/>
          <w:lang w:val="pt-BR"/>
        </w:rPr>
        <w:t xml:space="preserve"> </w:t>
      </w:r>
      <w:r w:rsidR="00CC4844">
        <w:rPr>
          <w:sz w:val="20"/>
          <w:szCs w:val="20"/>
          <w:lang w:val="pt-BR"/>
        </w:rPr>
        <w:t>na série de reações avaliadas</w:t>
      </w:r>
      <w:r w:rsidR="00523F67">
        <w:rPr>
          <w:sz w:val="20"/>
          <w:szCs w:val="20"/>
          <w:lang w:val="pt-BR"/>
        </w:rPr>
        <w:t xml:space="preserve"> </w:t>
      </w:r>
      <w:r w:rsidR="0021787B">
        <w:rPr>
          <w:sz w:val="20"/>
          <w:szCs w:val="20"/>
          <w:lang w:val="pt-BR"/>
        </w:rPr>
        <w:t>(</w:t>
      </w:r>
      <w:r w:rsidR="003C2E4D">
        <w:rPr>
          <w:sz w:val="20"/>
          <w:szCs w:val="20"/>
          <w:lang w:val="pt-BR"/>
        </w:rPr>
        <w:t>3-4</w:t>
      </w:r>
      <w:r w:rsidR="002C029F">
        <w:rPr>
          <w:sz w:val="20"/>
          <w:szCs w:val="20"/>
          <w:lang w:val="pt-BR"/>
        </w:rPr>
        <w:t>)</w:t>
      </w:r>
      <w:r w:rsidR="00471346">
        <w:rPr>
          <w:sz w:val="20"/>
          <w:szCs w:val="20"/>
          <w:lang w:val="pt-BR"/>
        </w:rPr>
        <w:t>.</w:t>
      </w:r>
      <w:r w:rsidR="002C029F">
        <w:rPr>
          <w:sz w:val="20"/>
          <w:szCs w:val="20"/>
          <w:lang w:val="pt-BR"/>
        </w:rPr>
        <w:t xml:space="preserve"> </w:t>
      </w:r>
    </w:p>
    <w:p w14:paraId="7F472ADC" w14:textId="6017056F" w:rsidR="008273B7" w:rsidRDefault="00952DF6" w:rsidP="00E121E9">
      <w:pPr>
        <w:pStyle w:val="TextFirstParagraph"/>
        <w:widowControl w:val="0"/>
        <w:tabs>
          <w:tab w:val="center" w:pos="2364"/>
          <w:tab w:val="right" w:pos="4734"/>
        </w:tabs>
        <w:spacing w:line="240" w:lineRule="exact"/>
        <w:ind w:firstLine="204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F</w:t>
      </w:r>
      <w:r w:rsidR="00DB0622">
        <w:rPr>
          <w:sz w:val="20"/>
          <w:szCs w:val="20"/>
          <w:lang w:val="pt-BR"/>
        </w:rPr>
        <w:t>requentemente</w:t>
      </w:r>
      <w:r w:rsidR="00E121E9">
        <w:rPr>
          <w:sz w:val="20"/>
          <w:szCs w:val="20"/>
          <w:lang w:val="pt-BR"/>
        </w:rPr>
        <w:t xml:space="preserve"> é observada</w:t>
      </w:r>
      <w:r w:rsidR="00DB0622">
        <w:rPr>
          <w:sz w:val="20"/>
          <w:szCs w:val="20"/>
          <w:lang w:val="pt-BR"/>
        </w:rPr>
        <w:t xml:space="preserve"> uma relação linear entre </w:t>
      </w:r>
      <w:r w:rsidR="00E121E9">
        <w:rPr>
          <w:sz w:val="20"/>
          <w:szCs w:val="20"/>
          <w:lang w:val="pt-BR"/>
        </w:rPr>
        <w:t xml:space="preserve">os parâmetros </w:t>
      </w:r>
      <w:proofErr w:type="spellStart"/>
      <w:r w:rsidR="00DB0622" w:rsidRPr="004A43FD">
        <w:rPr>
          <w:i/>
          <w:iCs/>
          <w:sz w:val="20"/>
          <w:szCs w:val="20"/>
          <w:lang w:val="pt-BR"/>
        </w:rPr>
        <w:t>ln</w:t>
      </w:r>
      <w:proofErr w:type="spellEnd"/>
      <w:r w:rsidR="00DB0622">
        <w:rPr>
          <w:sz w:val="20"/>
          <w:szCs w:val="20"/>
          <w:lang w:val="pt-BR"/>
        </w:rPr>
        <w:t>(</w:t>
      </w:r>
      <w:r w:rsidR="00DB0622" w:rsidRPr="004A43FD">
        <w:rPr>
          <w:i/>
          <w:iCs/>
          <w:sz w:val="20"/>
          <w:szCs w:val="20"/>
          <w:lang w:val="pt-BR"/>
        </w:rPr>
        <w:t>A</w:t>
      </w:r>
      <w:proofErr w:type="gramStart"/>
      <w:r w:rsidR="00DB0622" w:rsidRPr="0034151A">
        <w:rPr>
          <w:sz w:val="20"/>
          <w:szCs w:val="20"/>
          <w:vertAlign w:val="subscript"/>
          <w:lang w:val="pt-BR"/>
        </w:rPr>
        <w:t>0,</w:t>
      </w:r>
      <w:r w:rsidR="00025BDB">
        <w:rPr>
          <w:i/>
          <w:iCs/>
          <w:sz w:val="20"/>
          <w:szCs w:val="20"/>
          <w:vertAlign w:val="subscript"/>
          <w:lang w:val="pt-BR"/>
        </w:rPr>
        <w:t>j</w:t>
      </w:r>
      <w:proofErr w:type="gramEnd"/>
      <w:r w:rsidR="00DB0622">
        <w:rPr>
          <w:sz w:val="20"/>
          <w:szCs w:val="20"/>
          <w:lang w:val="pt-BR"/>
        </w:rPr>
        <w:t xml:space="preserve">) e </w:t>
      </w:r>
      <w:proofErr w:type="spellStart"/>
      <w:r w:rsidR="00DB0622" w:rsidRPr="004A43FD">
        <w:rPr>
          <w:i/>
          <w:iCs/>
          <w:sz w:val="20"/>
          <w:szCs w:val="20"/>
          <w:lang w:val="pt-BR"/>
        </w:rPr>
        <w:t>E</w:t>
      </w:r>
      <w:r w:rsidR="00DB0622" w:rsidRPr="004A43FD">
        <w:rPr>
          <w:i/>
          <w:iCs/>
          <w:sz w:val="20"/>
          <w:szCs w:val="20"/>
          <w:vertAlign w:val="subscript"/>
          <w:lang w:val="pt-BR"/>
        </w:rPr>
        <w:t>a</w:t>
      </w:r>
      <w:r w:rsidR="00DB0622" w:rsidRPr="004A43FD">
        <w:rPr>
          <w:sz w:val="20"/>
          <w:szCs w:val="20"/>
          <w:vertAlign w:val="subscript"/>
          <w:lang w:val="pt-BR"/>
        </w:rPr>
        <w:t>,</w:t>
      </w:r>
      <w:r w:rsidR="00025BDB">
        <w:rPr>
          <w:i/>
          <w:iCs/>
          <w:sz w:val="20"/>
          <w:szCs w:val="20"/>
          <w:vertAlign w:val="subscript"/>
          <w:lang w:val="pt-BR"/>
        </w:rPr>
        <w:t>j</w:t>
      </w:r>
      <w:proofErr w:type="spellEnd"/>
      <w:r w:rsidR="00CC36A3">
        <w:rPr>
          <w:sz w:val="20"/>
          <w:szCs w:val="20"/>
          <w:lang w:val="pt-BR"/>
        </w:rPr>
        <w:t xml:space="preserve"> presentes na equação de Arrhenius, </w:t>
      </w:r>
      <w:r w:rsidR="00D973DD">
        <w:rPr>
          <w:sz w:val="20"/>
          <w:szCs w:val="20"/>
          <w:lang w:val="pt-BR"/>
        </w:rPr>
        <w:t>onde</w:t>
      </w:r>
      <w:r w:rsidR="00DB0622">
        <w:rPr>
          <w:sz w:val="20"/>
          <w:szCs w:val="20"/>
          <w:lang w:val="pt-BR"/>
        </w:rPr>
        <w:t xml:space="preserve"> um aumento da energia de</w:t>
      </w:r>
      <w:r w:rsidR="00E121E9">
        <w:rPr>
          <w:sz w:val="20"/>
          <w:szCs w:val="20"/>
          <w:lang w:val="pt-BR"/>
        </w:rPr>
        <w:t xml:space="preserve"> </w:t>
      </w:r>
      <w:r w:rsidR="00DB0622">
        <w:rPr>
          <w:sz w:val="20"/>
          <w:szCs w:val="20"/>
          <w:lang w:val="pt-BR"/>
        </w:rPr>
        <w:t xml:space="preserve">ativação </w:t>
      </w:r>
      <w:r w:rsidR="00D973DD">
        <w:rPr>
          <w:sz w:val="20"/>
          <w:szCs w:val="20"/>
          <w:lang w:val="pt-BR"/>
        </w:rPr>
        <w:t>é</w:t>
      </w:r>
      <w:r w:rsidR="00DB0622">
        <w:rPr>
          <w:sz w:val="20"/>
          <w:szCs w:val="20"/>
          <w:lang w:val="pt-BR"/>
        </w:rPr>
        <w:t xml:space="preserve"> acompanhad</w:t>
      </w:r>
      <w:r w:rsidR="00422449">
        <w:rPr>
          <w:sz w:val="20"/>
          <w:szCs w:val="20"/>
          <w:lang w:val="pt-BR"/>
        </w:rPr>
        <w:t>o</w:t>
      </w:r>
      <w:r w:rsidR="00DB0622">
        <w:rPr>
          <w:sz w:val="20"/>
          <w:szCs w:val="20"/>
          <w:lang w:val="pt-BR"/>
        </w:rPr>
        <w:t xml:space="preserve"> por um aumento </w:t>
      </w:r>
      <w:r w:rsidR="00C3413C">
        <w:rPr>
          <w:sz w:val="20"/>
          <w:szCs w:val="20"/>
          <w:lang w:val="pt-BR"/>
        </w:rPr>
        <w:t xml:space="preserve">do fator </w:t>
      </w:r>
      <w:proofErr w:type="spellStart"/>
      <w:r w:rsidR="00C3413C">
        <w:rPr>
          <w:sz w:val="20"/>
          <w:szCs w:val="20"/>
          <w:lang w:val="pt-BR"/>
        </w:rPr>
        <w:t>pré</w:t>
      </w:r>
      <w:proofErr w:type="spellEnd"/>
      <w:r w:rsidR="00C3413C">
        <w:rPr>
          <w:sz w:val="20"/>
          <w:szCs w:val="20"/>
          <w:lang w:val="pt-BR"/>
        </w:rPr>
        <w:t>-exponencial</w:t>
      </w:r>
      <w:r w:rsidR="00D973DD">
        <w:rPr>
          <w:sz w:val="20"/>
          <w:szCs w:val="20"/>
          <w:lang w:val="pt-BR"/>
        </w:rPr>
        <w:t xml:space="preserve"> </w:t>
      </w:r>
      <w:r w:rsidR="00037F09">
        <w:rPr>
          <w:sz w:val="20"/>
          <w:szCs w:val="20"/>
          <w:lang w:val="pt-BR"/>
        </w:rPr>
        <w:t>na série de reações relacionadas</w:t>
      </w:r>
      <w:r w:rsidR="00C3413C">
        <w:rPr>
          <w:sz w:val="20"/>
          <w:szCs w:val="20"/>
          <w:lang w:val="pt-BR"/>
        </w:rPr>
        <w:t xml:space="preserve">, mantendo </w:t>
      </w:r>
      <w:r w:rsidR="00C3413C" w:rsidRPr="004A43FD">
        <w:rPr>
          <w:i/>
          <w:iCs/>
          <w:sz w:val="20"/>
          <w:szCs w:val="20"/>
          <w:lang w:val="pt-BR"/>
        </w:rPr>
        <w:t>k</w:t>
      </w:r>
      <w:r w:rsidR="00025BDB">
        <w:rPr>
          <w:i/>
          <w:iCs/>
          <w:sz w:val="20"/>
          <w:szCs w:val="20"/>
          <w:vertAlign w:val="subscript"/>
          <w:lang w:val="pt-BR"/>
        </w:rPr>
        <w:t>j</w:t>
      </w:r>
      <w:r w:rsidR="00C3413C">
        <w:rPr>
          <w:sz w:val="20"/>
          <w:szCs w:val="20"/>
          <w:lang w:val="pt-BR"/>
        </w:rPr>
        <w:t xml:space="preserve"> </w:t>
      </w:r>
      <w:r w:rsidR="00DD0583">
        <w:rPr>
          <w:sz w:val="20"/>
          <w:szCs w:val="20"/>
          <w:lang w:val="pt-BR"/>
        </w:rPr>
        <w:t xml:space="preserve">relativamente </w:t>
      </w:r>
      <w:r w:rsidR="00D67E46">
        <w:rPr>
          <w:sz w:val="20"/>
          <w:szCs w:val="20"/>
          <w:lang w:val="pt-BR"/>
        </w:rPr>
        <w:t>constante</w:t>
      </w:r>
      <w:r w:rsidR="00C3413C">
        <w:rPr>
          <w:sz w:val="20"/>
          <w:szCs w:val="20"/>
          <w:lang w:val="pt-BR"/>
        </w:rPr>
        <w:t xml:space="preserve">. Este </w:t>
      </w:r>
      <w:r w:rsidR="008729DA">
        <w:rPr>
          <w:sz w:val="20"/>
          <w:szCs w:val="20"/>
          <w:lang w:val="pt-BR"/>
        </w:rPr>
        <w:t>comportamento</w:t>
      </w:r>
      <w:r w:rsidR="00C3413C">
        <w:rPr>
          <w:sz w:val="20"/>
          <w:szCs w:val="20"/>
          <w:lang w:val="pt-BR"/>
        </w:rPr>
        <w:t xml:space="preserve"> é denominado </w:t>
      </w:r>
      <w:r w:rsidR="004A43FD">
        <w:rPr>
          <w:sz w:val="20"/>
          <w:szCs w:val="20"/>
          <w:lang w:val="pt-BR"/>
        </w:rPr>
        <w:t>de efeito de compensação,</w:t>
      </w:r>
      <w:r w:rsidR="00CF0233">
        <w:rPr>
          <w:sz w:val="20"/>
          <w:szCs w:val="20"/>
          <w:lang w:val="pt-BR"/>
        </w:rPr>
        <w:t xml:space="preserve"> </w:t>
      </w:r>
      <w:r w:rsidR="002A53DC">
        <w:rPr>
          <w:sz w:val="20"/>
          <w:szCs w:val="20"/>
          <w:lang w:val="pt-BR"/>
        </w:rPr>
        <w:t>sendo</w:t>
      </w:r>
      <w:r w:rsidR="00CF0233">
        <w:rPr>
          <w:sz w:val="20"/>
          <w:szCs w:val="20"/>
          <w:lang w:val="pt-BR"/>
        </w:rPr>
        <w:t xml:space="preserve"> descrito pela primeira vez no contexto da catálise</w:t>
      </w:r>
      <w:r w:rsidR="007E04ED">
        <w:rPr>
          <w:sz w:val="20"/>
          <w:szCs w:val="20"/>
          <w:lang w:val="pt-BR"/>
        </w:rPr>
        <w:t xml:space="preserve"> heterogênea</w:t>
      </w:r>
      <w:r w:rsidR="00CF0233">
        <w:rPr>
          <w:sz w:val="20"/>
          <w:szCs w:val="20"/>
          <w:lang w:val="pt-BR"/>
        </w:rPr>
        <w:t xml:space="preserve"> por </w:t>
      </w:r>
      <w:proofErr w:type="spellStart"/>
      <w:r w:rsidR="00613CF9">
        <w:rPr>
          <w:sz w:val="20"/>
          <w:szCs w:val="20"/>
          <w:lang w:val="pt-BR"/>
        </w:rPr>
        <w:t>Constabl</w:t>
      </w:r>
      <w:r w:rsidR="005D5575">
        <w:rPr>
          <w:sz w:val="20"/>
          <w:szCs w:val="20"/>
          <w:lang w:val="pt-BR"/>
        </w:rPr>
        <w:t>e</w:t>
      </w:r>
      <w:proofErr w:type="spellEnd"/>
      <w:r w:rsidR="0030162E">
        <w:rPr>
          <w:sz w:val="20"/>
          <w:szCs w:val="20"/>
          <w:lang w:val="pt-BR"/>
        </w:rPr>
        <w:t xml:space="preserve">, ao investigar a </w:t>
      </w:r>
      <w:proofErr w:type="spellStart"/>
      <w:r w:rsidR="0030162E">
        <w:rPr>
          <w:sz w:val="20"/>
          <w:szCs w:val="20"/>
          <w:lang w:val="pt-BR"/>
        </w:rPr>
        <w:t>deshidrogenação</w:t>
      </w:r>
      <w:proofErr w:type="spellEnd"/>
      <w:r w:rsidR="0030162E">
        <w:rPr>
          <w:sz w:val="20"/>
          <w:szCs w:val="20"/>
          <w:lang w:val="pt-BR"/>
        </w:rPr>
        <w:t xml:space="preserve"> </w:t>
      </w:r>
      <w:r w:rsidR="00CC3C09">
        <w:rPr>
          <w:sz w:val="20"/>
          <w:szCs w:val="20"/>
          <w:lang w:val="pt-BR"/>
        </w:rPr>
        <w:t xml:space="preserve">de </w:t>
      </w:r>
      <w:r w:rsidR="004D7EBF">
        <w:rPr>
          <w:sz w:val="20"/>
          <w:szCs w:val="20"/>
          <w:lang w:val="pt-BR"/>
        </w:rPr>
        <w:t xml:space="preserve">etanol na presença de diferentes catalisadores de </w:t>
      </w:r>
      <w:r w:rsidR="00544C43">
        <w:rPr>
          <w:sz w:val="20"/>
          <w:szCs w:val="20"/>
          <w:lang w:val="pt-BR"/>
        </w:rPr>
        <w:t>cobre</w:t>
      </w:r>
      <w:r w:rsidR="005D5575">
        <w:rPr>
          <w:sz w:val="20"/>
          <w:szCs w:val="20"/>
          <w:lang w:val="pt-BR"/>
        </w:rPr>
        <w:t xml:space="preserve"> (</w:t>
      </w:r>
      <w:r w:rsidR="003C2E4D">
        <w:rPr>
          <w:sz w:val="20"/>
          <w:szCs w:val="20"/>
          <w:lang w:val="pt-BR"/>
        </w:rPr>
        <w:t>5</w:t>
      </w:r>
      <w:r w:rsidR="003C5F41">
        <w:rPr>
          <w:sz w:val="20"/>
          <w:szCs w:val="20"/>
          <w:lang w:val="pt-BR"/>
        </w:rPr>
        <w:t xml:space="preserve">). </w:t>
      </w:r>
      <w:r w:rsidR="00EC1CEB">
        <w:rPr>
          <w:sz w:val="20"/>
          <w:szCs w:val="20"/>
          <w:lang w:val="pt-BR"/>
        </w:rPr>
        <w:t xml:space="preserve">Desde então, esta relação foi </w:t>
      </w:r>
      <w:r w:rsidR="00654D6B">
        <w:rPr>
          <w:sz w:val="20"/>
          <w:szCs w:val="20"/>
          <w:lang w:val="pt-BR"/>
        </w:rPr>
        <w:lastRenderedPageBreak/>
        <w:t>identificada em outras reações catalíticas,</w:t>
      </w:r>
      <w:r w:rsidR="00187517">
        <w:rPr>
          <w:sz w:val="20"/>
          <w:szCs w:val="20"/>
          <w:lang w:val="pt-BR"/>
        </w:rPr>
        <w:t xml:space="preserve"> como </w:t>
      </w:r>
      <w:r w:rsidR="00745350">
        <w:rPr>
          <w:sz w:val="20"/>
          <w:szCs w:val="20"/>
          <w:lang w:val="pt-BR"/>
        </w:rPr>
        <w:t xml:space="preserve">a oxidação de CO </w:t>
      </w:r>
      <w:r w:rsidR="00F25680">
        <w:rPr>
          <w:sz w:val="20"/>
          <w:szCs w:val="20"/>
          <w:lang w:val="pt-BR"/>
        </w:rPr>
        <w:t>(</w:t>
      </w:r>
      <w:r w:rsidR="003C2E4D">
        <w:rPr>
          <w:sz w:val="20"/>
          <w:szCs w:val="20"/>
          <w:lang w:val="pt-BR"/>
        </w:rPr>
        <w:t>6</w:t>
      </w:r>
      <w:r w:rsidR="00A03DD6">
        <w:rPr>
          <w:sz w:val="20"/>
          <w:szCs w:val="20"/>
          <w:lang w:val="pt-BR"/>
        </w:rPr>
        <w:t>), reforma</w:t>
      </w:r>
      <w:r w:rsidR="00B13138">
        <w:rPr>
          <w:sz w:val="20"/>
          <w:szCs w:val="20"/>
          <w:lang w:val="pt-BR"/>
        </w:rPr>
        <w:t xml:space="preserve"> </w:t>
      </w:r>
      <w:r w:rsidR="006363DA">
        <w:rPr>
          <w:sz w:val="20"/>
          <w:szCs w:val="20"/>
          <w:lang w:val="pt-BR"/>
        </w:rPr>
        <w:t>a vapor</w:t>
      </w:r>
      <w:r w:rsidR="00F27B50">
        <w:rPr>
          <w:sz w:val="20"/>
          <w:szCs w:val="20"/>
          <w:lang w:val="pt-BR"/>
        </w:rPr>
        <w:t xml:space="preserve"> d</w:t>
      </w:r>
      <w:r w:rsidR="006363DA">
        <w:rPr>
          <w:sz w:val="20"/>
          <w:szCs w:val="20"/>
          <w:lang w:val="pt-BR"/>
        </w:rPr>
        <w:t>o</w:t>
      </w:r>
      <w:r w:rsidR="00F27B50">
        <w:rPr>
          <w:sz w:val="20"/>
          <w:szCs w:val="20"/>
          <w:lang w:val="pt-BR"/>
        </w:rPr>
        <w:t xml:space="preserve"> metano</w:t>
      </w:r>
      <w:r w:rsidR="00A507E3">
        <w:rPr>
          <w:sz w:val="20"/>
          <w:szCs w:val="20"/>
          <w:lang w:val="pt-BR"/>
        </w:rPr>
        <w:t xml:space="preserve"> </w:t>
      </w:r>
      <w:r w:rsidR="00471BBD">
        <w:rPr>
          <w:sz w:val="20"/>
          <w:szCs w:val="20"/>
          <w:lang w:val="pt-BR"/>
        </w:rPr>
        <w:t>(</w:t>
      </w:r>
      <w:r w:rsidR="003C2E4D">
        <w:rPr>
          <w:sz w:val="20"/>
          <w:szCs w:val="20"/>
          <w:lang w:val="pt-BR"/>
        </w:rPr>
        <w:t>7</w:t>
      </w:r>
      <w:r w:rsidR="00B5584C">
        <w:rPr>
          <w:sz w:val="20"/>
          <w:szCs w:val="20"/>
          <w:lang w:val="pt-BR"/>
        </w:rPr>
        <w:t>)</w:t>
      </w:r>
      <w:r w:rsidR="00E36F3E">
        <w:rPr>
          <w:sz w:val="20"/>
          <w:szCs w:val="20"/>
          <w:lang w:val="pt-BR"/>
        </w:rPr>
        <w:t xml:space="preserve">, </w:t>
      </w:r>
      <w:r w:rsidR="00F5373D">
        <w:rPr>
          <w:sz w:val="20"/>
          <w:szCs w:val="20"/>
          <w:lang w:val="pt-BR"/>
        </w:rPr>
        <w:t xml:space="preserve">hidrogenação de benzeno </w:t>
      </w:r>
      <w:r w:rsidR="00B13138">
        <w:rPr>
          <w:sz w:val="20"/>
          <w:szCs w:val="20"/>
          <w:lang w:val="pt-BR"/>
        </w:rPr>
        <w:t>(</w:t>
      </w:r>
      <w:r w:rsidR="002A63ED">
        <w:rPr>
          <w:sz w:val="20"/>
          <w:szCs w:val="20"/>
          <w:lang w:val="pt-BR"/>
        </w:rPr>
        <w:t>8</w:t>
      </w:r>
      <w:r w:rsidR="00C471B4">
        <w:rPr>
          <w:sz w:val="20"/>
          <w:szCs w:val="20"/>
          <w:lang w:val="pt-BR"/>
        </w:rPr>
        <w:t>)</w:t>
      </w:r>
      <w:r w:rsidR="00E36F3E">
        <w:rPr>
          <w:sz w:val="20"/>
          <w:szCs w:val="20"/>
          <w:lang w:val="pt-BR"/>
        </w:rPr>
        <w:t xml:space="preserve"> e </w:t>
      </w:r>
      <w:r w:rsidR="00C963D5">
        <w:rPr>
          <w:sz w:val="20"/>
          <w:szCs w:val="20"/>
          <w:lang w:val="pt-BR"/>
        </w:rPr>
        <w:t>síntese de amônia</w:t>
      </w:r>
      <w:r w:rsidR="00F7038A">
        <w:rPr>
          <w:sz w:val="20"/>
          <w:szCs w:val="20"/>
          <w:lang w:val="pt-BR"/>
        </w:rPr>
        <w:t xml:space="preserve"> (</w:t>
      </w:r>
      <w:r w:rsidR="002A63ED">
        <w:rPr>
          <w:sz w:val="20"/>
          <w:szCs w:val="20"/>
          <w:lang w:val="pt-BR"/>
        </w:rPr>
        <w:t>9</w:t>
      </w:r>
      <w:r w:rsidR="00F7038A">
        <w:rPr>
          <w:sz w:val="20"/>
          <w:szCs w:val="20"/>
          <w:lang w:val="pt-BR"/>
        </w:rPr>
        <w:t>)</w:t>
      </w:r>
      <w:r w:rsidR="008273B7">
        <w:rPr>
          <w:sz w:val="20"/>
          <w:szCs w:val="20"/>
          <w:lang w:val="pt-BR"/>
        </w:rPr>
        <w:t>.</w:t>
      </w:r>
    </w:p>
    <w:p w14:paraId="10D61F09" w14:textId="14C47023" w:rsidR="00F065D0" w:rsidRDefault="00787F6F" w:rsidP="000530B3">
      <w:pPr>
        <w:pStyle w:val="TextFirstParagraph"/>
        <w:widowControl w:val="0"/>
        <w:tabs>
          <w:tab w:val="center" w:pos="2364"/>
          <w:tab w:val="right" w:pos="4734"/>
        </w:tabs>
        <w:spacing w:line="240" w:lineRule="exact"/>
        <w:ind w:firstLine="204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D</w:t>
      </w:r>
      <w:r w:rsidR="00210E24">
        <w:rPr>
          <w:sz w:val="20"/>
          <w:szCs w:val="20"/>
          <w:lang w:val="pt-BR"/>
        </w:rPr>
        <w:t>iferentes</w:t>
      </w:r>
      <w:r>
        <w:rPr>
          <w:sz w:val="20"/>
          <w:szCs w:val="20"/>
          <w:lang w:val="pt-BR"/>
        </w:rPr>
        <w:t xml:space="preserve"> </w:t>
      </w:r>
      <w:r w:rsidR="00AE03CA">
        <w:rPr>
          <w:sz w:val="20"/>
          <w:szCs w:val="20"/>
          <w:lang w:val="pt-BR"/>
        </w:rPr>
        <w:t>hipóteses</w:t>
      </w:r>
      <w:r w:rsidR="00DD0EC8">
        <w:rPr>
          <w:sz w:val="20"/>
          <w:szCs w:val="20"/>
          <w:lang w:val="pt-BR"/>
        </w:rPr>
        <w:t xml:space="preserve"> </w:t>
      </w:r>
      <w:r w:rsidR="007D3C2E">
        <w:rPr>
          <w:sz w:val="20"/>
          <w:szCs w:val="20"/>
          <w:lang w:val="pt-BR"/>
        </w:rPr>
        <w:t>para a existência do efeito de compensação</w:t>
      </w:r>
      <w:r w:rsidR="00DD0EC8">
        <w:rPr>
          <w:sz w:val="20"/>
          <w:szCs w:val="20"/>
          <w:lang w:val="pt-BR"/>
        </w:rPr>
        <w:t xml:space="preserve"> foram propostas na literatura</w:t>
      </w:r>
      <w:r w:rsidR="007D3C2E">
        <w:rPr>
          <w:sz w:val="20"/>
          <w:szCs w:val="20"/>
          <w:lang w:val="pt-BR"/>
        </w:rPr>
        <w:t xml:space="preserve">. </w:t>
      </w:r>
      <w:r w:rsidR="00EE4715">
        <w:rPr>
          <w:sz w:val="20"/>
          <w:szCs w:val="20"/>
          <w:lang w:val="pt-BR"/>
        </w:rPr>
        <w:t xml:space="preserve">No contexto de </w:t>
      </w:r>
      <w:r w:rsidR="00925BA8">
        <w:rPr>
          <w:sz w:val="20"/>
          <w:szCs w:val="20"/>
          <w:lang w:val="pt-BR"/>
        </w:rPr>
        <w:t>reações heterogêneas</w:t>
      </w:r>
      <w:r w:rsidR="0094139D">
        <w:rPr>
          <w:sz w:val="20"/>
          <w:szCs w:val="20"/>
          <w:lang w:val="pt-BR"/>
        </w:rPr>
        <w:t>, por exemplo,</w:t>
      </w:r>
      <w:r w:rsidR="00925BA8">
        <w:rPr>
          <w:sz w:val="20"/>
          <w:szCs w:val="20"/>
          <w:lang w:val="pt-BR"/>
        </w:rPr>
        <w:t xml:space="preserve"> algumas da</w:t>
      </w:r>
      <w:r w:rsidR="00B6753D">
        <w:rPr>
          <w:sz w:val="20"/>
          <w:szCs w:val="20"/>
          <w:lang w:val="pt-BR"/>
        </w:rPr>
        <w:t>s</w:t>
      </w:r>
      <w:r w:rsidR="00925BA8">
        <w:rPr>
          <w:sz w:val="20"/>
          <w:szCs w:val="20"/>
          <w:lang w:val="pt-BR"/>
        </w:rPr>
        <w:t xml:space="preserve"> possíveis </w:t>
      </w:r>
      <w:r w:rsidR="00AE03CA">
        <w:rPr>
          <w:sz w:val="20"/>
          <w:szCs w:val="20"/>
          <w:lang w:val="pt-BR"/>
        </w:rPr>
        <w:t>razões</w:t>
      </w:r>
      <w:r w:rsidR="00B6753D">
        <w:rPr>
          <w:sz w:val="20"/>
          <w:szCs w:val="20"/>
          <w:lang w:val="pt-BR"/>
        </w:rPr>
        <w:t xml:space="preserve"> para o efeito de compensação são</w:t>
      </w:r>
      <w:r w:rsidR="00040E54">
        <w:rPr>
          <w:sz w:val="20"/>
          <w:szCs w:val="20"/>
          <w:lang w:val="pt-BR"/>
        </w:rPr>
        <w:t xml:space="preserve"> a </w:t>
      </w:r>
      <w:r w:rsidR="003E5D4B">
        <w:rPr>
          <w:sz w:val="20"/>
          <w:szCs w:val="20"/>
          <w:lang w:val="pt-BR"/>
        </w:rPr>
        <w:t xml:space="preserve">existência de uma superfície </w:t>
      </w:r>
      <w:r w:rsidR="00526226">
        <w:rPr>
          <w:sz w:val="20"/>
          <w:szCs w:val="20"/>
          <w:lang w:val="pt-BR"/>
        </w:rPr>
        <w:t xml:space="preserve">energeticamente heterogênea, </w:t>
      </w:r>
      <w:r w:rsidR="00F91DB4">
        <w:rPr>
          <w:sz w:val="20"/>
          <w:szCs w:val="20"/>
          <w:lang w:val="pt-BR"/>
        </w:rPr>
        <w:t>variações na disponibilidade de reagentes na superfície</w:t>
      </w:r>
      <w:r w:rsidR="00DC28E0">
        <w:rPr>
          <w:sz w:val="20"/>
          <w:szCs w:val="20"/>
          <w:lang w:val="pt-BR"/>
        </w:rPr>
        <w:t xml:space="preserve"> </w:t>
      </w:r>
      <w:r w:rsidR="00130D8F">
        <w:rPr>
          <w:sz w:val="20"/>
          <w:szCs w:val="20"/>
          <w:lang w:val="pt-BR"/>
        </w:rPr>
        <w:t xml:space="preserve">e </w:t>
      </w:r>
      <w:r w:rsidR="007A3D52">
        <w:rPr>
          <w:sz w:val="20"/>
          <w:szCs w:val="20"/>
          <w:lang w:val="pt-BR"/>
        </w:rPr>
        <w:t xml:space="preserve">ou mesmo </w:t>
      </w:r>
      <w:r w:rsidR="00F46CA6">
        <w:rPr>
          <w:sz w:val="20"/>
          <w:szCs w:val="20"/>
          <w:lang w:val="pt-BR"/>
        </w:rPr>
        <w:t>a</w:t>
      </w:r>
      <w:r w:rsidR="005E69C2">
        <w:rPr>
          <w:sz w:val="20"/>
          <w:szCs w:val="20"/>
          <w:lang w:val="pt-BR"/>
        </w:rPr>
        <w:t xml:space="preserve"> termodinâmica de adsorção</w:t>
      </w:r>
      <w:r w:rsidR="00961ABD">
        <w:rPr>
          <w:sz w:val="20"/>
          <w:szCs w:val="20"/>
          <w:lang w:val="pt-BR"/>
        </w:rPr>
        <w:t xml:space="preserve"> </w:t>
      </w:r>
      <w:r w:rsidR="00A12D34">
        <w:rPr>
          <w:sz w:val="20"/>
          <w:szCs w:val="20"/>
          <w:lang w:val="pt-BR"/>
        </w:rPr>
        <w:t>dos reagentes e produtos no catalisador</w:t>
      </w:r>
      <w:r w:rsidR="00B6753D">
        <w:rPr>
          <w:sz w:val="20"/>
          <w:szCs w:val="20"/>
          <w:lang w:val="pt-BR"/>
        </w:rPr>
        <w:t xml:space="preserve"> </w:t>
      </w:r>
      <w:r w:rsidR="00FC2E95">
        <w:rPr>
          <w:sz w:val="20"/>
          <w:szCs w:val="20"/>
          <w:lang w:val="pt-BR"/>
        </w:rPr>
        <w:t>(</w:t>
      </w:r>
      <w:r w:rsidR="00A135C5">
        <w:rPr>
          <w:sz w:val="20"/>
          <w:szCs w:val="20"/>
          <w:lang w:val="pt-BR"/>
        </w:rPr>
        <w:t>10-11</w:t>
      </w:r>
      <w:r w:rsidR="00FC2E95">
        <w:rPr>
          <w:sz w:val="20"/>
          <w:szCs w:val="20"/>
          <w:lang w:val="pt-BR"/>
        </w:rPr>
        <w:t>).</w:t>
      </w:r>
      <w:r w:rsidR="00CD01CB">
        <w:rPr>
          <w:sz w:val="20"/>
          <w:szCs w:val="20"/>
          <w:lang w:val="pt-BR"/>
        </w:rPr>
        <w:t xml:space="preserve"> </w:t>
      </w:r>
      <w:r w:rsidR="00F322D4">
        <w:rPr>
          <w:sz w:val="20"/>
          <w:szCs w:val="20"/>
          <w:lang w:val="pt-BR"/>
        </w:rPr>
        <w:t>Apesar das diferentes explicações propostas</w:t>
      </w:r>
      <w:r w:rsidR="000530B3">
        <w:rPr>
          <w:sz w:val="20"/>
          <w:szCs w:val="20"/>
          <w:lang w:val="pt-BR"/>
        </w:rPr>
        <w:t xml:space="preserve">, </w:t>
      </w:r>
      <w:r w:rsidR="001E63E3">
        <w:rPr>
          <w:sz w:val="20"/>
          <w:szCs w:val="20"/>
          <w:lang w:val="pt-BR"/>
        </w:rPr>
        <w:t xml:space="preserve">outros trabalhos </w:t>
      </w:r>
      <w:r w:rsidR="00C34E47">
        <w:rPr>
          <w:sz w:val="20"/>
          <w:szCs w:val="20"/>
          <w:lang w:val="pt-BR"/>
        </w:rPr>
        <w:t>apontam que</w:t>
      </w:r>
      <w:r w:rsidR="00513DCD">
        <w:rPr>
          <w:sz w:val="20"/>
          <w:szCs w:val="20"/>
          <w:lang w:val="pt-BR"/>
        </w:rPr>
        <w:t xml:space="preserve">, em muitos casos, </w:t>
      </w:r>
      <w:r w:rsidR="00555C15">
        <w:rPr>
          <w:sz w:val="20"/>
          <w:szCs w:val="20"/>
          <w:lang w:val="pt-BR"/>
        </w:rPr>
        <w:t>o efeito de compensação pode</w:t>
      </w:r>
      <w:r w:rsidR="00995736">
        <w:rPr>
          <w:sz w:val="20"/>
          <w:szCs w:val="20"/>
          <w:lang w:val="pt-BR"/>
        </w:rPr>
        <w:t xml:space="preserve"> não passar de um </w:t>
      </w:r>
      <w:r w:rsidR="00C56AD6">
        <w:rPr>
          <w:sz w:val="20"/>
          <w:szCs w:val="20"/>
          <w:lang w:val="pt-BR"/>
        </w:rPr>
        <w:t>artefato matemático, introduzido pelo uso de modelos cinéticos impróprios</w:t>
      </w:r>
      <w:r w:rsidR="00613C57">
        <w:rPr>
          <w:sz w:val="20"/>
          <w:szCs w:val="20"/>
          <w:lang w:val="pt-BR"/>
        </w:rPr>
        <w:t xml:space="preserve"> </w:t>
      </w:r>
      <w:r w:rsidR="00A135C5">
        <w:rPr>
          <w:sz w:val="20"/>
          <w:szCs w:val="20"/>
          <w:lang w:val="pt-BR"/>
        </w:rPr>
        <w:t>(10-11)</w:t>
      </w:r>
      <w:r w:rsidR="00C56AD6">
        <w:rPr>
          <w:sz w:val="20"/>
          <w:szCs w:val="20"/>
          <w:lang w:val="pt-BR"/>
        </w:rPr>
        <w:t xml:space="preserve"> ou pela existência de </w:t>
      </w:r>
      <w:r w:rsidR="00CE0CAB">
        <w:rPr>
          <w:sz w:val="20"/>
          <w:szCs w:val="20"/>
          <w:lang w:val="pt-BR"/>
        </w:rPr>
        <w:t>erros experimentais aleatórios ou sistemáticos</w:t>
      </w:r>
      <w:r w:rsidR="000B2F1A">
        <w:rPr>
          <w:sz w:val="20"/>
          <w:szCs w:val="20"/>
          <w:lang w:val="pt-BR"/>
        </w:rPr>
        <w:t xml:space="preserve"> (</w:t>
      </w:r>
      <w:r w:rsidR="00197A10">
        <w:rPr>
          <w:sz w:val="20"/>
          <w:szCs w:val="20"/>
          <w:lang w:val="pt-BR"/>
        </w:rPr>
        <w:t>3</w:t>
      </w:r>
      <w:r w:rsidR="0090152D">
        <w:rPr>
          <w:sz w:val="20"/>
          <w:szCs w:val="20"/>
          <w:lang w:val="pt-BR"/>
        </w:rPr>
        <w:t>,12)</w:t>
      </w:r>
      <w:r w:rsidR="00CE0CAB">
        <w:rPr>
          <w:sz w:val="20"/>
          <w:szCs w:val="20"/>
          <w:lang w:val="pt-BR"/>
        </w:rPr>
        <w:t>.</w:t>
      </w:r>
    </w:p>
    <w:p w14:paraId="7784471B" w14:textId="1007D90C" w:rsidR="00E974B1" w:rsidRDefault="00FD79AD" w:rsidP="001C7054">
      <w:pPr>
        <w:pStyle w:val="TextFirstParagraph"/>
        <w:widowControl w:val="0"/>
        <w:tabs>
          <w:tab w:val="center" w:pos="2364"/>
          <w:tab w:val="right" w:pos="4734"/>
        </w:tabs>
        <w:spacing w:line="240" w:lineRule="exact"/>
        <w:ind w:firstLine="204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Como mostrado por </w:t>
      </w:r>
      <w:proofErr w:type="spellStart"/>
      <w:r>
        <w:rPr>
          <w:sz w:val="20"/>
          <w:szCs w:val="20"/>
          <w:lang w:val="pt-BR"/>
        </w:rPr>
        <w:t>Barrie</w:t>
      </w:r>
      <w:proofErr w:type="spellEnd"/>
      <w:r>
        <w:rPr>
          <w:sz w:val="20"/>
          <w:szCs w:val="20"/>
          <w:lang w:val="pt-BR"/>
        </w:rPr>
        <w:t xml:space="preserve"> (</w:t>
      </w:r>
      <w:r w:rsidR="002B1876">
        <w:rPr>
          <w:sz w:val="20"/>
          <w:szCs w:val="20"/>
          <w:lang w:val="pt-BR"/>
        </w:rPr>
        <w:t>3</w:t>
      </w:r>
      <w:r>
        <w:rPr>
          <w:sz w:val="20"/>
          <w:szCs w:val="20"/>
          <w:lang w:val="pt-BR"/>
        </w:rPr>
        <w:t>), um efeito de compensação aparente pode ser ob</w:t>
      </w:r>
      <w:r w:rsidR="00857CB3">
        <w:rPr>
          <w:sz w:val="20"/>
          <w:szCs w:val="20"/>
          <w:lang w:val="pt-BR"/>
        </w:rPr>
        <w:t>servado</w:t>
      </w:r>
      <w:r>
        <w:rPr>
          <w:sz w:val="20"/>
          <w:szCs w:val="20"/>
          <w:lang w:val="pt-BR"/>
        </w:rPr>
        <w:t xml:space="preserve"> </w:t>
      </w:r>
      <w:r w:rsidR="00B96FAF">
        <w:rPr>
          <w:sz w:val="20"/>
          <w:szCs w:val="20"/>
          <w:lang w:val="pt-BR"/>
        </w:rPr>
        <w:t xml:space="preserve">devido às altas correlações </w:t>
      </w:r>
      <w:r w:rsidR="00857CB3">
        <w:rPr>
          <w:sz w:val="20"/>
          <w:szCs w:val="20"/>
          <w:lang w:val="pt-BR"/>
        </w:rPr>
        <w:t xml:space="preserve">obtidas </w:t>
      </w:r>
      <w:r w:rsidR="00B96FAF">
        <w:rPr>
          <w:sz w:val="20"/>
          <w:szCs w:val="20"/>
          <w:lang w:val="pt-BR"/>
        </w:rPr>
        <w:t>entre as estimativas dos</w:t>
      </w:r>
      <w:r w:rsidR="006E7D03">
        <w:rPr>
          <w:sz w:val="20"/>
          <w:szCs w:val="20"/>
          <w:lang w:val="pt-BR"/>
        </w:rPr>
        <w:t xml:space="preserve"> parâmetros </w:t>
      </w:r>
      <w:proofErr w:type="spellStart"/>
      <w:r w:rsidR="006E7D03" w:rsidRPr="006E7D03">
        <w:rPr>
          <w:i/>
          <w:iCs/>
          <w:sz w:val="20"/>
          <w:szCs w:val="20"/>
          <w:lang w:val="pt-BR"/>
        </w:rPr>
        <w:t>ln</w:t>
      </w:r>
      <w:proofErr w:type="spellEnd"/>
      <w:r w:rsidR="006E7D03">
        <w:rPr>
          <w:sz w:val="20"/>
          <w:szCs w:val="20"/>
          <w:lang w:val="pt-BR"/>
        </w:rPr>
        <w:t>(</w:t>
      </w:r>
      <w:r w:rsidR="006E7D03" w:rsidRPr="006E7D03">
        <w:rPr>
          <w:i/>
          <w:iCs/>
          <w:sz w:val="20"/>
          <w:szCs w:val="20"/>
          <w:lang w:val="pt-BR"/>
        </w:rPr>
        <w:t>A</w:t>
      </w:r>
      <w:r w:rsidR="006E7D03">
        <w:rPr>
          <w:sz w:val="20"/>
          <w:szCs w:val="20"/>
          <w:vertAlign w:val="subscript"/>
          <w:lang w:val="pt-BR"/>
        </w:rPr>
        <w:t>0</w:t>
      </w:r>
      <w:r w:rsidR="006E7D03">
        <w:rPr>
          <w:sz w:val="20"/>
          <w:szCs w:val="20"/>
          <w:lang w:val="pt-BR"/>
        </w:rPr>
        <w:t xml:space="preserve">) e </w:t>
      </w:r>
      <w:proofErr w:type="spellStart"/>
      <w:r w:rsidR="006E7D03" w:rsidRPr="00440C5F">
        <w:rPr>
          <w:i/>
          <w:iCs/>
          <w:sz w:val="20"/>
          <w:szCs w:val="20"/>
          <w:lang w:val="pt-BR"/>
        </w:rPr>
        <w:t>E</w:t>
      </w:r>
      <w:r w:rsidR="006E7D03" w:rsidRPr="00440C5F">
        <w:rPr>
          <w:i/>
          <w:iCs/>
          <w:sz w:val="20"/>
          <w:szCs w:val="20"/>
          <w:vertAlign w:val="subscript"/>
          <w:lang w:val="pt-BR"/>
        </w:rPr>
        <w:t>a</w:t>
      </w:r>
      <w:proofErr w:type="spellEnd"/>
      <w:r w:rsidR="003D39D2">
        <w:rPr>
          <w:sz w:val="20"/>
          <w:szCs w:val="20"/>
          <w:lang w:val="pt-BR"/>
        </w:rPr>
        <w:t xml:space="preserve"> ao realizar o ajuste da equação de Arrhenius na forma linear ou não linear. Estas altas correlações resultam em regiões de confiança </w:t>
      </w:r>
      <w:r w:rsidR="004D0E31">
        <w:rPr>
          <w:sz w:val="20"/>
          <w:szCs w:val="20"/>
          <w:lang w:val="pt-BR"/>
        </w:rPr>
        <w:t xml:space="preserve">das estimativas paramétricas bastante estreitas, se aproximando a uma linha reta e resultando na observação de um efeito de compensação, mesmo que </w:t>
      </w:r>
      <w:r w:rsidR="00617780">
        <w:rPr>
          <w:sz w:val="20"/>
          <w:szCs w:val="20"/>
          <w:lang w:val="pt-BR"/>
        </w:rPr>
        <w:t xml:space="preserve">os valores reais para </w:t>
      </w:r>
      <w:proofErr w:type="spellStart"/>
      <w:r w:rsidR="009160E1" w:rsidRPr="006E7D03">
        <w:rPr>
          <w:i/>
          <w:iCs/>
          <w:sz w:val="20"/>
          <w:szCs w:val="20"/>
          <w:lang w:val="pt-BR"/>
        </w:rPr>
        <w:t>ln</w:t>
      </w:r>
      <w:proofErr w:type="spellEnd"/>
      <w:r w:rsidR="009160E1">
        <w:rPr>
          <w:sz w:val="20"/>
          <w:szCs w:val="20"/>
          <w:lang w:val="pt-BR"/>
        </w:rPr>
        <w:t>(</w:t>
      </w:r>
      <w:r w:rsidR="009160E1" w:rsidRPr="006E7D03">
        <w:rPr>
          <w:i/>
          <w:iCs/>
          <w:sz w:val="20"/>
          <w:szCs w:val="20"/>
          <w:lang w:val="pt-BR"/>
        </w:rPr>
        <w:t>A</w:t>
      </w:r>
      <w:r w:rsidR="009160E1">
        <w:rPr>
          <w:sz w:val="20"/>
          <w:szCs w:val="20"/>
          <w:vertAlign w:val="subscript"/>
          <w:lang w:val="pt-BR"/>
        </w:rPr>
        <w:t>0</w:t>
      </w:r>
      <w:r w:rsidR="009160E1">
        <w:rPr>
          <w:sz w:val="20"/>
          <w:szCs w:val="20"/>
          <w:lang w:val="pt-BR"/>
        </w:rPr>
        <w:t xml:space="preserve">) e </w:t>
      </w:r>
      <w:proofErr w:type="spellStart"/>
      <w:r w:rsidR="009160E1" w:rsidRPr="00440C5F">
        <w:rPr>
          <w:i/>
          <w:iCs/>
          <w:sz w:val="20"/>
          <w:szCs w:val="20"/>
          <w:lang w:val="pt-BR"/>
        </w:rPr>
        <w:t>E</w:t>
      </w:r>
      <w:r w:rsidR="009160E1" w:rsidRPr="00440C5F">
        <w:rPr>
          <w:i/>
          <w:iCs/>
          <w:sz w:val="20"/>
          <w:szCs w:val="20"/>
          <w:vertAlign w:val="subscript"/>
          <w:lang w:val="pt-BR"/>
        </w:rPr>
        <w:t>a</w:t>
      </w:r>
      <w:proofErr w:type="spellEnd"/>
      <w:r w:rsidR="009160E1">
        <w:rPr>
          <w:sz w:val="20"/>
          <w:szCs w:val="20"/>
          <w:lang w:val="pt-BR"/>
        </w:rPr>
        <w:t xml:space="preserve"> na séri</w:t>
      </w:r>
      <w:r w:rsidR="00CB5D3E">
        <w:rPr>
          <w:sz w:val="20"/>
          <w:szCs w:val="20"/>
          <w:lang w:val="pt-BR"/>
        </w:rPr>
        <w:t>e</w:t>
      </w:r>
      <w:r w:rsidR="009160E1">
        <w:rPr>
          <w:sz w:val="20"/>
          <w:szCs w:val="20"/>
          <w:lang w:val="pt-BR"/>
        </w:rPr>
        <w:t xml:space="preserve"> de reações seja constante. </w:t>
      </w:r>
      <w:r w:rsidR="00A8688D">
        <w:rPr>
          <w:sz w:val="20"/>
          <w:szCs w:val="20"/>
          <w:lang w:val="pt-BR"/>
        </w:rPr>
        <w:t xml:space="preserve">Em um segundo trabalho, </w:t>
      </w:r>
      <w:proofErr w:type="spellStart"/>
      <w:r w:rsidR="00A8688D">
        <w:rPr>
          <w:sz w:val="20"/>
          <w:szCs w:val="20"/>
          <w:lang w:val="pt-BR"/>
        </w:rPr>
        <w:t>Barrie</w:t>
      </w:r>
      <w:proofErr w:type="spellEnd"/>
      <w:r w:rsidR="00A8688D">
        <w:rPr>
          <w:sz w:val="20"/>
          <w:szCs w:val="20"/>
          <w:lang w:val="pt-BR"/>
        </w:rPr>
        <w:t xml:space="preserve"> (</w:t>
      </w:r>
      <w:r w:rsidR="002B1876">
        <w:rPr>
          <w:sz w:val="20"/>
          <w:szCs w:val="20"/>
          <w:lang w:val="pt-BR"/>
        </w:rPr>
        <w:t>12</w:t>
      </w:r>
      <w:r w:rsidR="00A8688D">
        <w:rPr>
          <w:sz w:val="20"/>
          <w:szCs w:val="20"/>
          <w:lang w:val="pt-BR"/>
        </w:rPr>
        <w:t xml:space="preserve">) </w:t>
      </w:r>
      <w:r w:rsidR="003B002B">
        <w:rPr>
          <w:sz w:val="20"/>
          <w:szCs w:val="20"/>
          <w:lang w:val="pt-BR"/>
        </w:rPr>
        <w:t>mostra que</w:t>
      </w:r>
      <w:r w:rsidR="005364AD">
        <w:rPr>
          <w:sz w:val="20"/>
          <w:szCs w:val="20"/>
          <w:lang w:val="pt-BR"/>
        </w:rPr>
        <w:t xml:space="preserve"> um</w:t>
      </w:r>
      <w:r w:rsidR="003B002B">
        <w:rPr>
          <w:sz w:val="20"/>
          <w:szCs w:val="20"/>
          <w:lang w:val="pt-BR"/>
        </w:rPr>
        <w:t xml:space="preserve"> efeito de compensação aparente também </w:t>
      </w:r>
      <w:r w:rsidR="005364AD">
        <w:rPr>
          <w:sz w:val="20"/>
          <w:szCs w:val="20"/>
          <w:lang w:val="pt-BR"/>
        </w:rPr>
        <w:t>é observado</w:t>
      </w:r>
      <w:r w:rsidR="003B002B">
        <w:rPr>
          <w:sz w:val="20"/>
          <w:szCs w:val="20"/>
          <w:lang w:val="pt-BR"/>
        </w:rPr>
        <w:t xml:space="preserve"> quando </w:t>
      </w:r>
      <w:r w:rsidR="00FF5EF7">
        <w:rPr>
          <w:sz w:val="20"/>
          <w:szCs w:val="20"/>
          <w:lang w:val="pt-BR"/>
        </w:rPr>
        <w:t xml:space="preserve">os valores de </w:t>
      </w:r>
      <w:r w:rsidR="00FF5EF7" w:rsidRPr="00FF5EF7">
        <w:rPr>
          <w:i/>
          <w:iCs/>
          <w:sz w:val="20"/>
          <w:szCs w:val="20"/>
          <w:lang w:val="pt-BR"/>
        </w:rPr>
        <w:t>k</w:t>
      </w:r>
      <w:r w:rsidR="00025BDB">
        <w:rPr>
          <w:i/>
          <w:iCs/>
          <w:sz w:val="20"/>
          <w:szCs w:val="20"/>
          <w:vertAlign w:val="subscript"/>
          <w:lang w:val="pt-BR"/>
        </w:rPr>
        <w:t>j</w:t>
      </w:r>
      <w:r w:rsidR="00FF5EF7">
        <w:rPr>
          <w:sz w:val="20"/>
          <w:szCs w:val="20"/>
          <w:lang w:val="pt-BR"/>
        </w:rPr>
        <w:t xml:space="preserve"> ou </w:t>
      </w:r>
      <w:proofErr w:type="spellStart"/>
      <w:r w:rsidR="00FF5EF7" w:rsidRPr="00FF5EF7">
        <w:rPr>
          <w:i/>
          <w:iCs/>
          <w:sz w:val="20"/>
          <w:szCs w:val="20"/>
          <w:lang w:val="pt-BR"/>
        </w:rPr>
        <w:t>ln</w:t>
      </w:r>
      <w:proofErr w:type="spellEnd"/>
      <w:r w:rsidR="00FF5EF7">
        <w:rPr>
          <w:sz w:val="20"/>
          <w:szCs w:val="20"/>
          <w:lang w:val="pt-BR"/>
        </w:rPr>
        <w:t>(</w:t>
      </w:r>
      <w:r w:rsidR="00FF5EF7" w:rsidRPr="00FF5EF7">
        <w:rPr>
          <w:i/>
          <w:iCs/>
          <w:sz w:val="20"/>
          <w:szCs w:val="20"/>
          <w:lang w:val="pt-BR"/>
        </w:rPr>
        <w:t>k</w:t>
      </w:r>
      <w:r w:rsidR="00025BDB">
        <w:rPr>
          <w:i/>
          <w:iCs/>
          <w:sz w:val="20"/>
          <w:szCs w:val="20"/>
          <w:vertAlign w:val="subscript"/>
          <w:lang w:val="pt-BR"/>
        </w:rPr>
        <w:t>j</w:t>
      </w:r>
      <w:r w:rsidR="00FF5EF7">
        <w:rPr>
          <w:sz w:val="20"/>
          <w:szCs w:val="20"/>
          <w:lang w:val="pt-BR"/>
        </w:rPr>
        <w:t>)</w:t>
      </w:r>
      <w:r w:rsidR="00BD46FC">
        <w:rPr>
          <w:sz w:val="20"/>
          <w:szCs w:val="20"/>
          <w:lang w:val="pt-BR"/>
        </w:rPr>
        <w:t xml:space="preserve"> apresentam</w:t>
      </w:r>
      <w:r w:rsidR="00FF5EF7">
        <w:rPr>
          <w:sz w:val="20"/>
          <w:szCs w:val="20"/>
          <w:lang w:val="pt-BR"/>
        </w:rPr>
        <w:t xml:space="preserve"> </w:t>
      </w:r>
      <w:r w:rsidR="003B002B">
        <w:rPr>
          <w:sz w:val="20"/>
          <w:szCs w:val="20"/>
          <w:lang w:val="pt-BR"/>
        </w:rPr>
        <w:t>um erro sistemátic</w:t>
      </w:r>
      <w:r w:rsidR="00BD46FC">
        <w:rPr>
          <w:sz w:val="20"/>
          <w:szCs w:val="20"/>
          <w:lang w:val="pt-BR"/>
        </w:rPr>
        <w:t xml:space="preserve">o, o qual pode ser constante ou </w:t>
      </w:r>
      <w:r w:rsidR="00D703EB">
        <w:rPr>
          <w:sz w:val="20"/>
          <w:szCs w:val="20"/>
          <w:lang w:val="pt-BR"/>
        </w:rPr>
        <w:t>função de variáveis do processo, como a temperatura</w:t>
      </w:r>
      <w:r w:rsidR="00BD46FC">
        <w:rPr>
          <w:sz w:val="20"/>
          <w:szCs w:val="20"/>
          <w:lang w:val="pt-BR"/>
        </w:rPr>
        <w:t xml:space="preserve">. </w:t>
      </w:r>
      <w:r w:rsidR="00D703EB">
        <w:rPr>
          <w:sz w:val="20"/>
          <w:szCs w:val="20"/>
          <w:lang w:val="pt-BR"/>
        </w:rPr>
        <w:t>A</w:t>
      </w:r>
      <w:r w:rsidR="00C23F2B">
        <w:rPr>
          <w:sz w:val="20"/>
          <w:szCs w:val="20"/>
          <w:lang w:val="pt-BR"/>
        </w:rPr>
        <w:t>demais, os autores mostram que</w:t>
      </w:r>
      <w:r w:rsidR="00CB5429">
        <w:rPr>
          <w:sz w:val="20"/>
          <w:szCs w:val="20"/>
          <w:lang w:val="pt-BR"/>
        </w:rPr>
        <w:t xml:space="preserve"> </w:t>
      </w:r>
      <w:r w:rsidR="00B62654">
        <w:rPr>
          <w:sz w:val="20"/>
          <w:szCs w:val="20"/>
          <w:lang w:val="pt-BR"/>
        </w:rPr>
        <w:t xml:space="preserve">casos </w:t>
      </w:r>
      <w:r w:rsidR="00BD0073">
        <w:rPr>
          <w:sz w:val="20"/>
          <w:szCs w:val="20"/>
          <w:lang w:val="pt-BR"/>
        </w:rPr>
        <w:t>em que</w:t>
      </w:r>
      <w:r w:rsidR="000A45C0">
        <w:rPr>
          <w:sz w:val="20"/>
          <w:szCs w:val="20"/>
          <w:lang w:val="pt-BR"/>
        </w:rPr>
        <w:t xml:space="preserve"> </w:t>
      </w:r>
      <w:r w:rsidR="00232B4F">
        <w:rPr>
          <w:sz w:val="20"/>
          <w:szCs w:val="20"/>
          <w:lang w:val="pt-BR"/>
        </w:rPr>
        <w:t xml:space="preserve">uma taxa de reação global é utilizada para a estimativa de </w:t>
      </w:r>
      <w:proofErr w:type="spellStart"/>
      <w:r w:rsidR="00232B4F" w:rsidRPr="006E7D03">
        <w:rPr>
          <w:i/>
          <w:iCs/>
          <w:sz w:val="20"/>
          <w:szCs w:val="20"/>
          <w:lang w:val="pt-BR"/>
        </w:rPr>
        <w:t>ln</w:t>
      </w:r>
      <w:proofErr w:type="spellEnd"/>
      <w:r w:rsidR="00232B4F">
        <w:rPr>
          <w:sz w:val="20"/>
          <w:szCs w:val="20"/>
          <w:lang w:val="pt-BR"/>
        </w:rPr>
        <w:t>(</w:t>
      </w:r>
      <w:r w:rsidR="00232B4F" w:rsidRPr="006E7D03">
        <w:rPr>
          <w:i/>
          <w:iCs/>
          <w:sz w:val="20"/>
          <w:szCs w:val="20"/>
          <w:lang w:val="pt-BR"/>
        </w:rPr>
        <w:t>A</w:t>
      </w:r>
      <w:r w:rsidR="00232B4F">
        <w:rPr>
          <w:sz w:val="20"/>
          <w:szCs w:val="20"/>
          <w:vertAlign w:val="subscript"/>
          <w:lang w:val="pt-BR"/>
        </w:rPr>
        <w:t>0</w:t>
      </w:r>
      <w:r w:rsidR="00232B4F">
        <w:rPr>
          <w:sz w:val="20"/>
          <w:szCs w:val="20"/>
          <w:lang w:val="pt-BR"/>
        </w:rPr>
        <w:t xml:space="preserve">) e </w:t>
      </w:r>
      <w:proofErr w:type="spellStart"/>
      <w:r w:rsidR="00232B4F" w:rsidRPr="00C23F2B">
        <w:rPr>
          <w:sz w:val="20"/>
          <w:szCs w:val="20"/>
          <w:lang w:val="pt-BR"/>
        </w:rPr>
        <w:t>E</w:t>
      </w:r>
      <w:r w:rsidR="00232B4F" w:rsidRPr="00C23F2B">
        <w:rPr>
          <w:sz w:val="20"/>
          <w:szCs w:val="20"/>
          <w:vertAlign w:val="subscript"/>
          <w:lang w:val="pt-BR"/>
        </w:rPr>
        <w:t>a</w:t>
      </w:r>
      <w:proofErr w:type="spellEnd"/>
      <w:r w:rsidR="00C23F2B" w:rsidRPr="00C23F2B">
        <w:rPr>
          <w:sz w:val="20"/>
          <w:szCs w:val="20"/>
          <w:lang w:val="pt-BR"/>
        </w:rPr>
        <w:t>,</w:t>
      </w:r>
      <w:r w:rsidR="00C23F2B">
        <w:rPr>
          <w:sz w:val="20"/>
          <w:szCs w:val="20"/>
          <w:lang w:val="pt-BR"/>
        </w:rPr>
        <w:t xml:space="preserve"> </w:t>
      </w:r>
      <w:r w:rsidR="00317AA2">
        <w:rPr>
          <w:sz w:val="20"/>
          <w:szCs w:val="20"/>
          <w:lang w:val="pt-BR"/>
        </w:rPr>
        <w:t>no lugar</w:t>
      </w:r>
      <w:r w:rsidR="00232B4F">
        <w:rPr>
          <w:sz w:val="20"/>
          <w:szCs w:val="20"/>
          <w:lang w:val="pt-BR"/>
        </w:rPr>
        <w:t xml:space="preserve"> </w:t>
      </w:r>
      <w:r w:rsidR="00317AA2">
        <w:rPr>
          <w:sz w:val="20"/>
          <w:szCs w:val="20"/>
          <w:lang w:val="pt-BR"/>
        </w:rPr>
        <w:t>de modelos</w:t>
      </w:r>
      <w:r w:rsidR="00232B4F">
        <w:rPr>
          <w:sz w:val="20"/>
          <w:szCs w:val="20"/>
          <w:lang w:val="pt-BR"/>
        </w:rPr>
        <w:t xml:space="preserve"> </w:t>
      </w:r>
      <w:r w:rsidR="007048D9">
        <w:rPr>
          <w:sz w:val="20"/>
          <w:szCs w:val="20"/>
          <w:lang w:val="pt-BR"/>
        </w:rPr>
        <w:t>que descreva</w:t>
      </w:r>
      <w:r w:rsidR="00317AA2">
        <w:rPr>
          <w:sz w:val="20"/>
          <w:szCs w:val="20"/>
          <w:lang w:val="pt-BR"/>
        </w:rPr>
        <w:t>m</w:t>
      </w:r>
      <w:r w:rsidR="007048D9">
        <w:rPr>
          <w:sz w:val="20"/>
          <w:szCs w:val="20"/>
          <w:lang w:val="pt-BR"/>
        </w:rPr>
        <w:t xml:space="preserve"> </w:t>
      </w:r>
      <w:r w:rsidR="00632F99">
        <w:rPr>
          <w:sz w:val="20"/>
          <w:szCs w:val="20"/>
          <w:lang w:val="pt-BR"/>
        </w:rPr>
        <w:t>a reação de forma mais próxima à realida</w:t>
      </w:r>
      <w:r w:rsidR="00317AA2">
        <w:rPr>
          <w:sz w:val="20"/>
          <w:szCs w:val="20"/>
          <w:lang w:val="pt-BR"/>
        </w:rPr>
        <w:t>de</w:t>
      </w:r>
      <w:r w:rsidR="00962417">
        <w:rPr>
          <w:sz w:val="20"/>
          <w:szCs w:val="20"/>
          <w:lang w:val="pt-BR"/>
        </w:rPr>
        <w:t xml:space="preserve">, também </w:t>
      </w:r>
      <w:r w:rsidR="00E864C1">
        <w:rPr>
          <w:sz w:val="20"/>
          <w:szCs w:val="20"/>
          <w:lang w:val="pt-BR"/>
        </w:rPr>
        <w:t>geram um efeito de compensação aparente</w:t>
      </w:r>
      <w:r w:rsidR="009F1529">
        <w:rPr>
          <w:sz w:val="20"/>
          <w:szCs w:val="20"/>
          <w:lang w:val="pt-BR"/>
        </w:rPr>
        <w:t xml:space="preserve">. </w:t>
      </w:r>
    </w:p>
    <w:p w14:paraId="758F4930" w14:textId="11E94C20" w:rsidR="00C17259" w:rsidRPr="00483C82" w:rsidRDefault="00DA2741" w:rsidP="00483C82">
      <w:pPr>
        <w:pStyle w:val="TextFirstParagraph"/>
        <w:widowControl w:val="0"/>
        <w:tabs>
          <w:tab w:val="center" w:pos="2364"/>
          <w:tab w:val="right" w:pos="4734"/>
        </w:tabs>
        <w:spacing w:line="240" w:lineRule="exact"/>
        <w:ind w:firstLine="204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As correlações entre </w:t>
      </w:r>
      <w:r w:rsidR="000A4FEF">
        <w:rPr>
          <w:sz w:val="20"/>
          <w:szCs w:val="20"/>
          <w:lang w:val="pt-BR"/>
        </w:rPr>
        <w:t>as estimativas dos</w:t>
      </w:r>
      <w:r>
        <w:rPr>
          <w:sz w:val="20"/>
          <w:szCs w:val="20"/>
          <w:lang w:val="pt-BR"/>
        </w:rPr>
        <w:t xml:space="preserve"> parâmetros da equação de Arrhenius podem ser </w:t>
      </w:r>
      <w:r w:rsidR="000A4FEF">
        <w:rPr>
          <w:sz w:val="20"/>
          <w:szCs w:val="20"/>
          <w:lang w:val="pt-BR"/>
        </w:rPr>
        <w:t xml:space="preserve">reduzidas através da </w:t>
      </w:r>
      <w:proofErr w:type="spellStart"/>
      <w:r w:rsidR="000A4FEF">
        <w:rPr>
          <w:sz w:val="20"/>
          <w:szCs w:val="20"/>
          <w:lang w:val="pt-BR"/>
        </w:rPr>
        <w:t>r</w:t>
      </w:r>
      <w:r w:rsidR="00E41710">
        <w:rPr>
          <w:sz w:val="20"/>
          <w:szCs w:val="20"/>
          <w:lang w:val="pt-BR"/>
        </w:rPr>
        <w:t>e</w:t>
      </w:r>
      <w:r w:rsidR="000A4FEF">
        <w:rPr>
          <w:sz w:val="20"/>
          <w:szCs w:val="20"/>
          <w:lang w:val="pt-BR"/>
        </w:rPr>
        <w:t>paramet</w:t>
      </w:r>
      <w:r w:rsidR="00AF74F6">
        <w:rPr>
          <w:sz w:val="20"/>
          <w:szCs w:val="20"/>
          <w:lang w:val="pt-BR"/>
        </w:rPr>
        <w:t>rização</w:t>
      </w:r>
      <w:proofErr w:type="spellEnd"/>
      <w:r w:rsidR="00AF74F6">
        <w:rPr>
          <w:sz w:val="20"/>
          <w:szCs w:val="20"/>
          <w:lang w:val="pt-BR"/>
        </w:rPr>
        <w:t xml:space="preserve"> desta equação e seleção de uma temperatura de referência apropriada</w:t>
      </w:r>
      <w:r w:rsidR="008E0F8F">
        <w:rPr>
          <w:sz w:val="20"/>
          <w:szCs w:val="20"/>
          <w:lang w:val="pt-BR"/>
        </w:rPr>
        <w:t xml:space="preserve">, o que pode auxiliar na </w:t>
      </w:r>
      <w:r w:rsidR="00286D28">
        <w:rPr>
          <w:sz w:val="20"/>
          <w:szCs w:val="20"/>
          <w:lang w:val="pt-BR"/>
        </w:rPr>
        <w:t>eliminação de efeitos de compensação aparentes</w:t>
      </w:r>
      <w:r w:rsidR="006A2516">
        <w:rPr>
          <w:sz w:val="20"/>
          <w:szCs w:val="20"/>
          <w:lang w:val="pt-BR"/>
        </w:rPr>
        <w:t xml:space="preserve"> (</w:t>
      </w:r>
      <w:r w:rsidR="002B1876">
        <w:rPr>
          <w:sz w:val="20"/>
          <w:szCs w:val="20"/>
          <w:lang w:val="pt-BR"/>
        </w:rPr>
        <w:t>13-14</w:t>
      </w:r>
      <w:r w:rsidR="001C7054">
        <w:rPr>
          <w:sz w:val="20"/>
          <w:szCs w:val="20"/>
          <w:lang w:val="pt-BR"/>
        </w:rPr>
        <w:t xml:space="preserve">). </w:t>
      </w:r>
      <w:r w:rsidR="00834F2C">
        <w:rPr>
          <w:sz w:val="20"/>
          <w:szCs w:val="20"/>
          <w:lang w:val="pt-BR"/>
        </w:rPr>
        <w:t xml:space="preserve">Além disso, </w:t>
      </w:r>
      <w:r w:rsidR="00524FA1">
        <w:rPr>
          <w:sz w:val="20"/>
          <w:szCs w:val="20"/>
          <w:lang w:val="pt-BR"/>
        </w:rPr>
        <w:t>a utilização de métodos</w:t>
      </w:r>
      <w:r w:rsidR="00DA3603">
        <w:rPr>
          <w:sz w:val="20"/>
          <w:szCs w:val="20"/>
          <w:lang w:val="pt-BR"/>
        </w:rPr>
        <w:t xml:space="preserve"> matemáticos</w:t>
      </w:r>
      <w:r w:rsidR="00524FA1">
        <w:rPr>
          <w:sz w:val="20"/>
          <w:szCs w:val="20"/>
          <w:lang w:val="pt-BR"/>
        </w:rPr>
        <w:t xml:space="preserve"> apropriados para o ajuste de um ou mais modelos cinéticos</w:t>
      </w:r>
      <w:r w:rsidR="0058097B">
        <w:rPr>
          <w:sz w:val="20"/>
          <w:szCs w:val="20"/>
          <w:lang w:val="pt-BR"/>
        </w:rPr>
        <w:t>, contabilizando as incertezas das medidas experimentais de conversão, pressão parcial ou concentração d</w:t>
      </w:r>
      <w:r w:rsidR="00DA3603">
        <w:rPr>
          <w:sz w:val="20"/>
          <w:szCs w:val="20"/>
          <w:lang w:val="pt-BR"/>
        </w:rPr>
        <w:t xml:space="preserve">as espécies envolvidas na reação, pode auxiliar na seleção de modelos e obtenção de </w:t>
      </w:r>
      <w:r w:rsidR="00CB2CC8">
        <w:rPr>
          <w:sz w:val="20"/>
          <w:szCs w:val="20"/>
          <w:lang w:val="pt-BR"/>
        </w:rPr>
        <w:t xml:space="preserve">estimativas paramétricas com menores incertezas e correlações, tendo em vista que frequentemente </w:t>
      </w:r>
      <w:r w:rsidR="00826719">
        <w:rPr>
          <w:sz w:val="20"/>
          <w:szCs w:val="20"/>
          <w:lang w:val="pt-BR"/>
        </w:rPr>
        <w:t xml:space="preserve">estas incertezas experimentais não são caracterizadas e podem variar com as </w:t>
      </w:r>
      <w:r w:rsidR="000D4051">
        <w:rPr>
          <w:sz w:val="20"/>
          <w:szCs w:val="20"/>
          <w:lang w:val="pt-BR"/>
        </w:rPr>
        <w:t>condições experimentais utilizadas</w:t>
      </w:r>
      <w:r w:rsidR="00826719">
        <w:rPr>
          <w:sz w:val="20"/>
          <w:szCs w:val="20"/>
          <w:lang w:val="pt-BR"/>
        </w:rPr>
        <w:t xml:space="preserve"> (</w:t>
      </w:r>
      <w:r w:rsidR="000807B0">
        <w:rPr>
          <w:sz w:val="20"/>
          <w:szCs w:val="20"/>
          <w:lang w:val="pt-BR"/>
        </w:rPr>
        <w:t>15-16</w:t>
      </w:r>
      <w:r w:rsidR="00B332D8">
        <w:rPr>
          <w:sz w:val="20"/>
          <w:szCs w:val="20"/>
          <w:lang w:val="pt-BR"/>
        </w:rPr>
        <w:t>)</w:t>
      </w:r>
      <w:r w:rsidR="00826719">
        <w:rPr>
          <w:sz w:val="20"/>
          <w:szCs w:val="20"/>
          <w:lang w:val="pt-BR"/>
        </w:rPr>
        <w:t xml:space="preserve">. </w:t>
      </w:r>
    </w:p>
    <w:p w14:paraId="15C8F2E1" w14:textId="6583C517" w:rsidR="00F8328B" w:rsidRDefault="00DD7EC7" w:rsidP="00DD7EC7">
      <w:pPr>
        <w:pStyle w:val="TAMainText"/>
        <w:ind w:firstLine="204"/>
        <w:rPr>
          <w:rFonts w:ascii="Times New Roman" w:hAnsi="Times New Roman"/>
          <w:lang w:val="pt-BR"/>
        </w:rPr>
      </w:pPr>
      <w:r w:rsidRPr="00DD7EC7">
        <w:rPr>
          <w:rFonts w:ascii="Times New Roman" w:hAnsi="Times New Roman"/>
          <w:lang w:val="pt-BR"/>
        </w:rPr>
        <w:t xml:space="preserve">Levando em consideração os aspectos discutidos, este trabalho tem por objetivo demonstrar como o uso </w:t>
      </w:r>
      <w:r w:rsidR="008C6523">
        <w:rPr>
          <w:rFonts w:ascii="Times New Roman" w:hAnsi="Times New Roman"/>
          <w:lang w:val="pt-BR"/>
        </w:rPr>
        <w:t xml:space="preserve">rigoroso </w:t>
      </w:r>
      <w:r w:rsidRPr="00DD7EC7">
        <w:rPr>
          <w:rFonts w:ascii="Times New Roman" w:hAnsi="Times New Roman"/>
          <w:lang w:val="pt-BR"/>
        </w:rPr>
        <w:t>de ferramentas estatísticas impacta a análise de parâmetros cinéticos</w:t>
      </w:r>
      <w:r w:rsidR="00660E66">
        <w:rPr>
          <w:rFonts w:ascii="Times New Roman" w:hAnsi="Times New Roman"/>
          <w:lang w:val="pt-BR"/>
        </w:rPr>
        <w:t xml:space="preserve"> de uma reação heterogênea.</w:t>
      </w:r>
      <w:r w:rsidR="00E2112D">
        <w:rPr>
          <w:rFonts w:ascii="Times New Roman" w:hAnsi="Times New Roman"/>
          <w:lang w:val="pt-BR"/>
        </w:rPr>
        <w:t xml:space="preserve"> Para isso, serão analisados dados experimentais da desidrogenação de </w:t>
      </w:r>
      <w:r w:rsidR="00E2112D">
        <w:rPr>
          <w:rFonts w:ascii="Times New Roman" w:hAnsi="Times New Roman"/>
          <w:lang w:val="pt-BR"/>
        </w:rPr>
        <w:t>cicloexano</w:t>
      </w:r>
      <w:r w:rsidR="000D2D64">
        <w:rPr>
          <w:rFonts w:ascii="Times New Roman" w:hAnsi="Times New Roman"/>
          <w:lang w:val="pt-BR"/>
        </w:rPr>
        <w:t xml:space="preserve"> na presença de um catalisador heterogênea, utilizando métodos estatísticos </w:t>
      </w:r>
      <w:r w:rsidR="00940079">
        <w:rPr>
          <w:rFonts w:ascii="Times New Roman" w:hAnsi="Times New Roman"/>
          <w:lang w:val="pt-BR"/>
        </w:rPr>
        <w:t xml:space="preserve">para determinar a possibilidade da existência de um efeito de compensação entre os parâmetros cinéticos em diferentes condições reacionais.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69FAEF83" w14:textId="00914916" w:rsidR="00BA544E" w:rsidRPr="00577F68" w:rsidRDefault="00BA544E" w:rsidP="00875E0F">
      <w:pPr>
        <w:pStyle w:val="TAMainText"/>
        <w:ind w:firstLine="204"/>
        <w:rPr>
          <w:rFonts w:ascii="Times New Roman" w:hAnsi="Times New Roman"/>
          <w:lang w:val="pt-BR"/>
        </w:rPr>
      </w:pPr>
      <w:r w:rsidRPr="00577F68">
        <w:rPr>
          <w:rFonts w:ascii="Times New Roman" w:hAnsi="Times New Roman"/>
          <w:lang w:val="pt-BR"/>
        </w:rPr>
        <w:t>As reações de desidrogenação do cicl</w:t>
      </w:r>
      <w:r w:rsidR="00483C82" w:rsidRPr="00577F68">
        <w:rPr>
          <w:rFonts w:ascii="Times New Roman" w:hAnsi="Times New Roman"/>
          <w:lang w:val="pt-BR"/>
        </w:rPr>
        <w:t>o</w:t>
      </w:r>
      <w:r w:rsidRPr="00577F68">
        <w:rPr>
          <w:rFonts w:ascii="Times New Roman" w:hAnsi="Times New Roman"/>
          <w:lang w:val="pt-BR"/>
        </w:rPr>
        <w:t>exano foram conduzidas em um reator de quartzo em U contendo um c</w:t>
      </w:r>
      <w:r w:rsidR="00984E0E" w:rsidRPr="00577F68">
        <w:rPr>
          <w:rFonts w:ascii="Times New Roman" w:hAnsi="Times New Roman"/>
          <w:lang w:val="pt-BR"/>
        </w:rPr>
        <w:t>atalisador de platina suportada em alumina</w:t>
      </w:r>
      <w:r w:rsidR="00224FC6" w:rsidRPr="00577F68">
        <w:rPr>
          <w:rFonts w:ascii="Times New Roman" w:hAnsi="Times New Roman"/>
          <w:lang w:val="pt-BR"/>
        </w:rPr>
        <w:t>, com uma concentração de 5% em massa</w:t>
      </w:r>
      <w:r w:rsidRPr="00577F68">
        <w:rPr>
          <w:rFonts w:ascii="Times New Roman" w:hAnsi="Times New Roman"/>
          <w:lang w:val="pt-BR"/>
        </w:rPr>
        <w:t xml:space="preserve">. Um saturador contendo cicloexano </w:t>
      </w:r>
      <w:r w:rsidR="00B63062" w:rsidRPr="00577F68">
        <w:rPr>
          <w:rFonts w:ascii="Times New Roman" w:hAnsi="Times New Roman"/>
          <w:lang w:val="pt-BR"/>
        </w:rPr>
        <w:t>foi</w:t>
      </w:r>
      <w:r w:rsidRPr="00577F68">
        <w:rPr>
          <w:rFonts w:ascii="Times New Roman" w:hAnsi="Times New Roman"/>
          <w:lang w:val="pt-BR"/>
        </w:rPr>
        <w:t xml:space="preserve"> responsável pela alimentação do reator, </w:t>
      </w:r>
      <w:r w:rsidR="00B63062" w:rsidRPr="00577F68">
        <w:rPr>
          <w:rFonts w:ascii="Times New Roman" w:hAnsi="Times New Roman"/>
          <w:lang w:val="pt-BR"/>
        </w:rPr>
        <w:t>utilizando uma corrente de H</w:t>
      </w:r>
      <w:r w:rsidR="00B63062" w:rsidRPr="00577F68">
        <w:rPr>
          <w:rFonts w:ascii="Times New Roman" w:hAnsi="Times New Roman"/>
          <w:vertAlign w:val="subscript"/>
          <w:lang w:val="pt-BR"/>
        </w:rPr>
        <w:t>2</w:t>
      </w:r>
      <w:r w:rsidRPr="00577F68">
        <w:rPr>
          <w:rFonts w:ascii="Times New Roman" w:hAnsi="Times New Roman"/>
          <w:lang w:val="pt-BR"/>
        </w:rPr>
        <w:t xml:space="preserve"> para </w:t>
      </w:r>
      <w:r w:rsidR="00B63062" w:rsidRPr="00577F68">
        <w:rPr>
          <w:rFonts w:ascii="Times New Roman" w:hAnsi="Times New Roman"/>
          <w:lang w:val="pt-BR"/>
        </w:rPr>
        <w:t xml:space="preserve">o </w:t>
      </w:r>
      <w:r w:rsidRPr="00577F68">
        <w:rPr>
          <w:rFonts w:ascii="Times New Roman" w:hAnsi="Times New Roman"/>
          <w:lang w:val="pt-BR"/>
        </w:rPr>
        <w:t xml:space="preserve">arraste e diluição do reagente de interesse. </w:t>
      </w:r>
      <w:r w:rsidR="00023231" w:rsidRPr="00577F68">
        <w:rPr>
          <w:rFonts w:ascii="Times New Roman" w:hAnsi="Times New Roman"/>
          <w:lang w:val="pt-BR"/>
        </w:rPr>
        <w:t>A composição d</w:t>
      </w:r>
      <w:r w:rsidR="00860747" w:rsidRPr="00577F68">
        <w:rPr>
          <w:rFonts w:ascii="Times New Roman" w:hAnsi="Times New Roman"/>
          <w:lang w:val="pt-BR"/>
        </w:rPr>
        <w:t>o gás de saída do reator foi determinad</w:t>
      </w:r>
      <w:r w:rsidR="003E30E4" w:rsidRPr="00577F68">
        <w:rPr>
          <w:rFonts w:ascii="Times New Roman" w:hAnsi="Times New Roman"/>
          <w:lang w:val="pt-BR"/>
        </w:rPr>
        <w:t>a</w:t>
      </w:r>
      <w:r w:rsidR="00860747" w:rsidRPr="00577F68">
        <w:rPr>
          <w:rFonts w:ascii="Times New Roman" w:hAnsi="Times New Roman"/>
          <w:lang w:val="pt-BR"/>
        </w:rPr>
        <w:t xml:space="preserve"> através de cromatografia gasosa</w:t>
      </w:r>
      <w:r w:rsidR="003E30E4" w:rsidRPr="00577F68">
        <w:rPr>
          <w:rFonts w:ascii="Times New Roman" w:hAnsi="Times New Roman"/>
          <w:lang w:val="pt-BR"/>
        </w:rPr>
        <w:t xml:space="preserve">. </w:t>
      </w:r>
    </w:p>
    <w:p w14:paraId="5E3D9A3E" w14:textId="06865A2E" w:rsidR="00C8030B" w:rsidRPr="00577F68" w:rsidRDefault="006E6BEF" w:rsidP="0026766A">
      <w:pPr>
        <w:pStyle w:val="TextFirstParagraph"/>
        <w:widowControl w:val="0"/>
        <w:spacing w:line="240" w:lineRule="exact"/>
        <w:ind w:firstLine="204"/>
        <w:rPr>
          <w:sz w:val="20"/>
          <w:szCs w:val="20"/>
          <w:lang w:val="pt-BR"/>
        </w:rPr>
      </w:pPr>
      <w:r w:rsidRPr="00577F68">
        <w:rPr>
          <w:sz w:val="20"/>
          <w:szCs w:val="20"/>
          <w:lang w:val="pt-BR"/>
        </w:rPr>
        <w:t xml:space="preserve">A malha experimental foi definida </w:t>
      </w:r>
      <w:r w:rsidR="003E1D23" w:rsidRPr="00577F68">
        <w:rPr>
          <w:sz w:val="20"/>
          <w:szCs w:val="20"/>
          <w:lang w:val="pt-BR"/>
        </w:rPr>
        <w:t xml:space="preserve">através de um plano experimental fatorial a dois níveis, com adição de </w:t>
      </w:r>
      <w:proofErr w:type="spellStart"/>
      <w:r w:rsidR="003E1D23" w:rsidRPr="00577F68">
        <w:rPr>
          <w:sz w:val="20"/>
          <w:szCs w:val="20"/>
          <w:lang w:val="pt-BR"/>
        </w:rPr>
        <w:t>qu</w:t>
      </w:r>
      <w:r w:rsidR="000626DB" w:rsidRPr="00577F68">
        <w:rPr>
          <w:sz w:val="20"/>
          <w:szCs w:val="20"/>
          <w:lang w:val="pt-BR"/>
        </w:rPr>
        <w:t>adr</w:t>
      </w:r>
      <w:r w:rsidR="003E1D23" w:rsidRPr="00577F68">
        <w:rPr>
          <w:sz w:val="20"/>
          <w:szCs w:val="20"/>
          <w:lang w:val="pt-BR"/>
        </w:rPr>
        <w:t>uplicatas</w:t>
      </w:r>
      <w:proofErr w:type="spellEnd"/>
      <w:r w:rsidR="003E1D23" w:rsidRPr="00577F68">
        <w:rPr>
          <w:sz w:val="20"/>
          <w:szCs w:val="20"/>
          <w:lang w:val="pt-BR"/>
        </w:rPr>
        <w:t xml:space="preserve"> no ponto central. </w:t>
      </w:r>
      <w:r w:rsidR="00F439B4" w:rsidRPr="00577F68">
        <w:rPr>
          <w:sz w:val="20"/>
          <w:szCs w:val="20"/>
          <w:lang w:val="pt-BR"/>
        </w:rPr>
        <w:t>As variáveis controladas</w:t>
      </w:r>
      <w:r w:rsidR="00C53993" w:rsidRPr="00577F68">
        <w:rPr>
          <w:sz w:val="20"/>
          <w:szCs w:val="20"/>
          <w:lang w:val="pt-BR"/>
        </w:rPr>
        <w:t xml:space="preserve"> nos experimentos</w:t>
      </w:r>
      <w:r w:rsidR="00F439B4" w:rsidRPr="00577F68">
        <w:rPr>
          <w:sz w:val="20"/>
          <w:szCs w:val="20"/>
          <w:lang w:val="pt-BR"/>
        </w:rPr>
        <w:t xml:space="preserve"> foram a massa de catalisador</w:t>
      </w:r>
      <w:r w:rsidR="00CD09C5" w:rsidRPr="00577F68">
        <w:rPr>
          <w:sz w:val="20"/>
          <w:szCs w:val="20"/>
          <w:lang w:val="pt-BR"/>
        </w:rPr>
        <w:t xml:space="preserve">, temperatura </w:t>
      </w:r>
      <w:r w:rsidR="00EC347B">
        <w:rPr>
          <w:sz w:val="20"/>
          <w:szCs w:val="20"/>
          <w:lang w:val="pt-BR"/>
        </w:rPr>
        <w:t xml:space="preserve">do saturador </w:t>
      </w:r>
      <w:r w:rsidR="00E973D8" w:rsidRPr="00577F68">
        <w:rPr>
          <w:sz w:val="20"/>
          <w:szCs w:val="20"/>
          <w:lang w:val="pt-BR"/>
        </w:rPr>
        <w:t xml:space="preserve">e a temperatura de reação, </w:t>
      </w:r>
      <w:r w:rsidR="009A1047" w:rsidRPr="00577F68">
        <w:rPr>
          <w:sz w:val="20"/>
          <w:szCs w:val="20"/>
          <w:lang w:val="pt-BR"/>
        </w:rPr>
        <w:t>variadas entre</w:t>
      </w:r>
      <w:r w:rsidR="00F439B4" w:rsidRPr="00577F68">
        <w:rPr>
          <w:sz w:val="20"/>
          <w:szCs w:val="20"/>
          <w:lang w:val="pt-BR"/>
        </w:rPr>
        <w:t xml:space="preserve"> 10 </w:t>
      </w:r>
      <w:r w:rsidR="00C9437F" w:rsidRPr="00577F68">
        <w:rPr>
          <w:sz w:val="20"/>
          <w:szCs w:val="20"/>
          <w:lang w:val="pt-BR"/>
        </w:rPr>
        <w:t>e</w:t>
      </w:r>
      <w:r w:rsidR="00F439B4" w:rsidRPr="00577F68">
        <w:rPr>
          <w:sz w:val="20"/>
          <w:szCs w:val="20"/>
          <w:lang w:val="pt-BR"/>
        </w:rPr>
        <w:t xml:space="preserve"> 20</w:t>
      </w:r>
      <w:r w:rsidR="00954BFD" w:rsidRPr="00577F68">
        <w:rPr>
          <w:sz w:val="20"/>
          <w:szCs w:val="20"/>
          <w:lang w:val="pt-BR"/>
        </w:rPr>
        <w:t> </w:t>
      </w:r>
      <w:r w:rsidR="00F439B4" w:rsidRPr="00577F68">
        <w:rPr>
          <w:sz w:val="20"/>
          <w:szCs w:val="20"/>
          <w:lang w:val="pt-BR"/>
        </w:rPr>
        <w:t>mg</w:t>
      </w:r>
      <w:r w:rsidR="009A1047" w:rsidRPr="00577F68">
        <w:rPr>
          <w:sz w:val="20"/>
          <w:szCs w:val="20"/>
          <w:lang w:val="pt-BR"/>
        </w:rPr>
        <w:t xml:space="preserve">, </w:t>
      </w:r>
      <w:r w:rsidR="00F439B4" w:rsidRPr="00577F68">
        <w:rPr>
          <w:sz w:val="20"/>
          <w:szCs w:val="20"/>
          <w:lang w:val="pt-BR"/>
        </w:rPr>
        <w:t>10 a 20</w:t>
      </w:r>
      <w:r w:rsidR="00954BFD" w:rsidRPr="00577F68">
        <w:rPr>
          <w:sz w:val="20"/>
          <w:szCs w:val="20"/>
          <w:lang w:val="pt-BR"/>
        </w:rPr>
        <w:t> </w:t>
      </w:r>
      <w:r w:rsidR="00F439B4" w:rsidRPr="00577F68">
        <w:rPr>
          <w:sz w:val="20"/>
          <w:szCs w:val="20"/>
          <w:lang w:val="pt-BR"/>
        </w:rPr>
        <w:t>°C</w:t>
      </w:r>
      <w:r w:rsidR="009A1047" w:rsidRPr="00577F68">
        <w:rPr>
          <w:sz w:val="20"/>
          <w:szCs w:val="20"/>
          <w:lang w:val="pt-BR"/>
        </w:rPr>
        <w:t xml:space="preserve"> e </w:t>
      </w:r>
      <w:r w:rsidR="00F439B4" w:rsidRPr="00577F68">
        <w:rPr>
          <w:sz w:val="20"/>
          <w:szCs w:val="20"/>
          <w:lang w:val="pt-BR"/>
        </w:rPr>
        <w:t>250 a 350</w:t>
      </w:r>
      <w:r w:rsidR="00954BFD" w:rsidRPr="00577F68">
        <w:rPr>
          <w:sz w:val="20"/>
          <w:szCs w:val="20"/>
          <w:lang w:val="pt-BR"/>
        </w:rPr>
        <w:t> </w:t>
      </w:r>
      <w:r w:rsidR="00F439B4" w:rsidRPr="00577F68">
        <w:rPr>
          <w:sz w:val="20"/>
          <w:szCs w:val="20"/>
          <w:lang w:val="pt-BR"/>
        </w:rPr>
        <w:t xml:space="preserve">°C, </w:t>
      </w:r>
      <w:r w:rsidR="009A1047" w:rsidRPr="00577F68">
        <w:rPr>
          <w:sz w:val="20"/>
          <w:szCs w:val="20"/>
          <w:lang w:val="pt-BR"/>
        </w:rPr>
        <w:t>respectivamente</w:t>
      </w:r>
      <w:r w:rsidR="00F439B4" w:rsidRPr="00577F68">
        <w:rPr>
          <w:sz w:val="20"/>
          <w:szCs w:val="20"/>
          <w:lang w:val="pt-BR"/>
        </w:rPr>
        <w:t>.</w:t>
      </w:r>
      <w:r w:rsidR="005E04BE" w:rsidRPr="00577F68">
        <w:rPr>
          <w:sz w:val="20"/>
          <w:szCs w:val="20"/>
          <w:lang w:val="pt-BR"/>
        </w:rPr>
        <w:t xml:space="preserve"> Para a avaliação da presença de um efeito de compensação, estes experimentos foram subdivididos </w:t>
      </w:r>
      <w:r w:rsidR="00882D6F" w:rsidRPr="00577F68">
        <w:rPr>
          <w:sz w:val="20"/>
          <w:szCs w:val="20"/>
          <w:lang w:val="pt-BR"/>
        </w:rPr>
        <w:t>de acordo com os valores</w:t>
      </w:r>
      <w:r w:rsidR="0029184C" w:rsidRPr="00577F68">
        <w:rPr>
          <w:sz w:val="20"/>
          <w:szCs w:val="20"/>
          <w:lang w:val="pt-BR"/>
        </w:rPr>
        <w:t xml:space="preserve"> de </w:t>
      </w:r>
      <w:r w:rsidR="00882D6F" w:rsidRPr="00577F68">
        <w:rPr>
          <w:sz w:val="20"/>
          <w:szCs w:val="20"/>
          <w:lang w:val="pt-BR"/>
        </w:rPr>
        <w:t xml:space="preserve">massa de catalisador e </w:t>
      </w:r>
      <w:r w:rsidR="002A6A5C" w:rsidRPr="00577F68">
        <w:rPr>
          <w:sz w:val="20"/>
          <w:szCs w:val="20"/>
          <w:lang w:val="pt-BR"/>
        </w:rPr>
        <w:t xml:space="preserve">temperatura </w:t>
      </w:r>
      <w:r w:rsidR="00EC347B">
        <w:rPr>
          <w:sz w:val="20"/>
          <w:szCs w:val="20"/>
          <w:lang w:val="pt-BR"/>
        </w:rPr>
        <w:t>do saturador</w:t>
      </w:r>
      <w:r w:rsidR="002A6A5C" w:rsidRPr="00577F68">
        <w:rPr>
          <w:sz w:val="20"/>
          <w:szCs w:val="20"/>
          <w:lang w:val="pt-BR"/>
        </w:rPr>
        <w:t xml:space="preserve"> utilizados</w:t>
      </w:r>
      <w:r w:rsidR="00E162A1" w:rsidRPr="00577F68">
        <w:rPr>
          <w:sz w:val="20"/>
          <w:szCs w:val="20"/>
          <w:lang w:val="pt-BR"/>
        </w:rPr>
        <w:t>, variando a temperatura de reação em passos de 25</w:t>
      </w:r>
      <w:r w:rsidR="00DB0855">
        <w:rPr>
          <w:sz w:val="20"/>
          <w:szCs w:val="20"/>
          <w:lang w:val="pt-BR"/>
        </w:rPr>
        <w:t> </w:t>
      </w:r>
      <w:r w:rsidR="00E162A1" w:rsidRPr="00577F68">
        <w:rPr>
          <w:sz w:val="20"/>
          <w:szCs w:val="20"/>
          <w:lang w:val="pt-BR"/>
        </w:rPr>
        <w:t>°C dentro da faixa experimental mencionada.</w:t>
      </w:r>
    </w:p>
    <w:p w14:paraId="08C9DEF5" w14:textId="5D52A39A" w:rsidR="0026766A" w:rsidRPr="00E01CD0" w:rsidRDefault="0026766A" w:rsidP="0026766A">
      <w:pPr>
        <w:pStyle w:val="TextFirstParagraph"/>
        <w:widowControl w:val="0"/>
        <w:spacing w:line="240" w:lineRule="exact"/>
        <w:ind w:firstLine="204"/>
        <w:rPr>
          <w:sz w:val="20"/>
          <w:szCs w:val="20"/>
          <w:lang w:val="pt-BR"/>
        </w:rPr>
      </w:pPr>
      <w:r w:rsidRPr="00577F68">
        <w:rPr>
          <w:sz w:val="20"/>
          <w:szCs w:val="20"/>
          <w:lang w:val="pt-BR"/>
        </w:rPr>
        <w:t>Para a discussão proposta neste trabalho foi realizada a modelagem da cinética reacional através da integração da equação diferencial apresentada na Eq</w:t>
      </w:r>
      <w:r w:rsidR="000C639E" w:rsidRPr="00577F68">
        <w:rPr>
          <w:sz w:val="20"/>
          <w:szCs w:val="20"/>
          <w:lang w:val="pt-BR"/>
        </w:rPr>
        <w:t>uação</w:t>
      </w:r>
      <w:r w:rsidRPr="00577F68">
        <w:rPr>
          <w:sz w:val="20"/>
          <w:szCs w:val="20"/>
          <w:lang w:val="pt-BR"/>
        </w:rPr>
        <w:t> (</w:t>
      </w:r>
      <w:r w:rsidR="00FE4C41" w:rsidRPr="00577F68">
        <w:rPr>
          <w:sz w:val="20"/>
          <w:szCs w:val="20"/>
          <w:lang w:val="pt-BR"/>
        </w:rPr>
        <w:t>2</w:t>
      </w:r>
      <w:r w:rsidRPr="00577F68">
        <w:rPr>
          <w:sz w:val="20"/>
          <w:szCs w:val="20"/>
          <w:lang w:val="pt-BR"/>
        </w:rPr>
        <w:t xml:space="preserve">) onde </w:t>
      </w:r>
      <w:r w:rsidRPr="00577F68">
        <w:rPr>
          <w:i/>
          <w:iCs/>
          <w:sz w:val="20"/>
          <w:szCs w:val="20"/>
          <w:lang w:val="pt-BR"/>
        </w:rPr>
        <w:t>X</w:t>
      </w:r>
      <w:r w:rsidR="00995957" w:rsidRPr="00577F68">
        <w:rPr>
          <w:i/>
          <w:iCs/>
          <w:sz w:val="20"/>
          <w:szCs w:val="20"/>
          <w:vertAlign w:val="subscript"/>
          <w:lang w:val="pt-BR"/>
        </w:rPr>
        <w:t>C</w:t>
      </w:r>
      <w:r w:rsidR="006A6BCA" w:rsidRPr="00577F68">
        <w:rPr>
          <w:i/>
          <w:iCs/>
          <w:sz w:val="20"/>
          <w:szCs w:val="20"/>
          <w:vertAlign w:val="subscript"/>
          <w:lang w:val="pt-BR"/>
        </w:rPr>
        <w:t>E</w:t>
      </w:r>
      <w:r w:rsidRPr="00577F68">
        <w:rPr>
          <w:sz w:val="20"/>
          <w:szCs w:val="20"/>
          <w:lang w:val="pt-BR"/>
        </w:rPr>
        <w:t xml:space="preserve"> é a conversão de </w:t>
      </w:r>
      <w:proofErr w:type="spellStart"/>
      <w:r w:rsidRPr="00577F68">
        <w:rPr>
          <w:sz w:val="20"/>
          <w:szCs w:val="20"/>
          <w:lang w:val="pt-BR"/>
        </w:rPr>
        <w:t>cicloexano</w:t>
      </w:r>
      <w:proofErr w:type="spellEnd"/>
      <w:r w:rsidRPr="00577F68">
        <w:rPr>
          <w:sz w:val="20"/>
          <w:szCs w:val="20"/>
          <w:lang w:val="pt-BR"/>
        </w:rPr>
        <w:t xml:space="preserve">, </w:t>
      </w:r>
      <w:proofErr w:type="spellStart"/>
      <w:r w:rsidRPr="00577F68">
        <w:rPr>
          <w:i/>
          <w:iCs/>
          <w:sz w:val="20"/>
          <w:szCs w:val="20"/>
          <w:lang w:val="pt-BR"/>
        </w:rPr>
        <w:t>m</w:t>
      </w:r>
      <w:r w:rsidRPr="00577F68">
        <w:rPr>
          <w:i/>
          <w:iCs/>
          <w:sz w:val="20"/>
          <w:szCs w:val="20"/>
          <w:vertAlign w:val="subscript"/>
          <w:lang w:val="pt-BR"/>
        </w:rPr>
        <w:t>cat</w:t>
      </w:r>
      <w:proofErr w:type="spellEnd"/>
      <w:r w:rsidRPr="00577F68">
        <w:rPr>
          <w:sz w:val="20"/>
          <w:szCs w:val="20"/>
          <w:lang w:val="pt-BR"/>
        </w:rPr>
        <w:t xml:space="preserve"> é a massa total de catalisador no reator, </w:t>
      </w:r>
      <w:proofErr w:type="spellStart"/>
      <w:r w:rsidRPr="00577F68">
        <w:rPr>
          <w:i/>
          <w:iCs/>
          <w:sz w:val="20"/>
          <w:szCs w:val="20"/>
          <w:lang w:val="pt-BR"/>
        </w:rPr>
        <w:t>r</w:t>
      </w:r>
      <w:r w:rsidR="00995957" w:rsidRPr="00577F68">
        <w:rPr>
          <w:i/>
          <w:iCs/>
          <w:sz w:val="20"/>
          <w:szCs w:val="20"/>
          <w:vertAlign w:val="subscript"/>
          <w:lang w:val="pt-BR"/>
        </w:rPr>
        <w:t>C</w:t>
      </w:r>
      <w:r w:rsidR="006A6BCA" w:rsidRPr="00577F68">
        <w:rPr>
          <w:i/>
          <w:iCs/>
          <w:sz w:val="20"/>
          <w:szCs w:val="20"/>
          <w:vertAlign w:val="subscript"/>
          <w:lang w:val="pt-BR"/>
        </w:rPr>
        <w:t>E</w:t>
      </w:r>
      <w:proofErr w:type="spellEnd"/>
      <w:r w:rsidR="00E01CD0" w:rsidRPr="00577F68">
        <w:rPr>
          <w:sz w:val="20"/>
          <w:szCs w:val="20"/>
          <w:lang w:val="pt-BR"/>
        </w:rPr>
        <w:t xml:space="preserve"> é a taxa de reação</w:t>
      </w:r>
      <w:r w:rsidR="00FA3950" w:rsidRPr="00577F68">
        <w:rPr>
          <w:sz w:val="20"/>
          <w:szCs w:val="20"/>
          <w:lang w:val="pt-BR"/>
        </w:rPr>
        <w:t xml:space="preserve"> do cicloexano</w:t>
      </w:r>
      <w:r w:rsidR="00483B36" w:rsidRPr="00577F68">
        <w:rPr>
          <w:sz w:val="20"/>
          <w:szCs w:val="20"/>
          <w:lang w:val="pt-BR"/>
        </w:rPr>
        <w:t xml:space="preserve">, </w:t>
      </w:r>
      <w:r w:rsidR="00937D1C" w:rsidRPr="00577F68">
        <w:rPr>
          <w:i/>
          <w:iCs/>
          <w:sz w:val="20"/>
          <w:szCs w:val="20"/>
          <w:lang w:val="pt-BR"/>
        </w:rPr>
        <w:t>η</w:t>
      </w:r>
      <w:r w:rsidR="0016522F" w:rsidRPr="00577F68">
        <w:rPr>
          <w:i/>
          <w:iCs/>
          <w:sz w:val="20"/>
          <w:szCs w:val="20"/>
          <w:lang w:val="pt-BR"/>
        </w:rPr>
        <w:t xml:space="preserve"> </w:t>
      </w:r>
      <w:r w:rsidR="0016522F" w:rsidRPr="00577F68">
        <w:rPr>
          <w:sz w:val="20"/>
          <w:szCs w:val="20"/>
          <w:lang w:val="pt-BR"/>
        </w:rPr>
        <w:t xml:space="preserve">é a </w:t>
      </w:r>
      <w:r w:rsidR="000343E5" w:rsidRPr="00577F68">
        <w:rPr>
          <w:sz w:val="20"/>
          <w:szCs w:val="20"/>
          <w:lang w:val="pt-BR"/>
        </w:rPr>
        <w:t>massa de catalisador relativa</w:t>
      </w:r>
      <w:r w:rsidR="00FA3950" w:rsidRPr="00577F68">
        <w:rPr>
          <w:sz w:val="20"/>
          <w:szCs w:val="20"/>
          <w:lang w:val="pt-BR"/>
        </w:rPr>
        <w:t xml:space="preserve"> à massa total</w:t>
      </w:r>
      <w:r w:rsidR="00FE4C41" w:rsidRPr="00577F68">
        <w:rPr>
          <w:sz w:val="20"/>
          <w:szCs w:val="20"/>
          <w:lang w:val="pt-BR"/>
        </w:rPr>
        <w:t xml:space="preserve"> no reator</w:t>
      </w:r>
      <w:r w:rsidR="00FA3950" w:rsidRPr="00577F68">
        <w:rPr>
          <w:sz w:val="20"/>
          <w:szCs w:val="20"/>
          <w:lang w:val="pt-BR"/>
        </w:rPr>
        <w:t xml:space="preserve"> e</w:t>
      </w:r>
      <w:r w:rsidR="00E01CD0" w:rsidRPr="00577F68">
        <w:rPr>
          <w:sz w:val="20"/>
          <w:szCs w:val="20"/>
          <w:lang w:val="pt-BR"/>
        </w:rPr>
        <w:t xml:space="preserve"> </w:t>
      </w:r>
      <w:r w:rsidR="00E01CD0" w:rsidRPr="00577F68">
        <w:rPr>
          <w:i/>
          <w:iCs/>
          <w:sz w:val="20"/>
          <w:szCs w:val="20"/>
          <w:lang w:val="pt-BR"/>
        </w:rPr>
        <w:t>F</w:t>
      </w:r>
      <w:r w:rsidR="00995957" w:rsidRPr="00577F68">
        <w:rPr>
          <w:i/>
          <w:iCs/>
          <w:sz w:val="20"/>
          <w:szCs w:val="20"/>
          <w:vertAlign w:val="subscript"/>
          <w:lang w:val="pt-BR"/>
        </w:rPr>
        <w:t>C</w:t>
      </w:r>
      <w:r w:rsidR="006A6BCA" w:rsidRPr="00577F68">
        <w:rPr>
          <w:i/>
          <w:iCs/>
          <w:sz w:val="20"/>
          <w:szCs w:val="20"/>
          <w:vertAlign w:val="subscript"/>
          <w:lang w:val="pt-BR"/>
        </w:rPr>
        <w:t>E</w:t>
      </w:r>
      <w:r w:rsidR="00E01CD0" w:rsidRPr="00577F68">
        <w:rPr>
          <w:sz w:val="20"/>
          <w:szCs w:val="20"/>
          <w:vertAlign w:val="subscript"/>
          <w:lang w:val="pt-BR"/>
        </w:rPr>
        <w:t>0</w:t>
      </w:r>
      <w:r w:rsidR="00E01CD0" w:rsidRPr="00577F68">
        <w:rPr>
          <w:sz w:val="20"/>
          <w:szCs w:val="20"/>
          <w:lang w:val="pt-BR"/>
        </w:rPr>
        <w:t xml:space="preserve"> é a vazão molar de cicloexano alimentada ao reator</w:t>
      </w:r>
      <w:r w:rsidR="00C31991" w:rsidRPr="00577F68">
        <w:rPr>
          <w:sz w:val="20"/>
          <w:szCs w:val="20"/>
          <w:lang w:val="pt-BR"/>
        </w:rPr>
        <w:t xml:space="preserve">. </w:t>
      </w:r>
    </w:p>
    <w:p w14:paraId="3AB307E1" w14:textId="3530C53E" w:rsidR="00AF1EAE" w:rsidRDefault="00AF1EAE" w:rsidP="009E0874">
      <w:pPr>
        <w:pStyle w:val="TextFirstParagraph"/>
        <w:widowControl w:val="0"/>
        <w:rPr>
          <w:sz w:val="20"/>
          <w:szCs w:val="20"/>
          <w:lang w:val="pt-BR"/>
        </w:rPr>
      </w:pPr>
    </w:p>
    <w:p w14:paraId="21C297FC" w14:textId="27C6B24F" w:rsidR="00AF1EAE" w:rsidRDefault="00290BB6" w:rsidP="00290BB6">
      <w:pPr>
        <w:pStyle w:val="TextFirstParagraph"/>
        <w:widowControl w:val="0"/>
        <w:tabs>
          <w:tab w:val="center" w:pos="2364"/>
          <w:tab w:val="right" w:pos="4734"/>
        </w:tabs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ab/>
      </w:r>
      <w:r w:rsidR="00BF738A" w:rsidRPr="00290BB6">
        <w:rPr>
          <w:position w:val="-26"/>
          <w:sz w:val="20"/>
          <w:szCs w:val="20"/>
          <w:lang w:val="pt-BR"/>
        </w:rPr>
        <w:object w:dxaOrig="1440" w:dyaOrig="600" w14:anchorId="17630E85">
          <v:shape id="_x0000_i1026" type="#_x0000_t75" style="width:1in;height:30pt" o:ole="">
            <v:imagedata r:id="rId11" o:title=""/>
          </v:shape>
          <o:OLEObject Type="Embed" ProgID="Equation.DSMT4" ShapeID="_x0000_i1026" DrawAspect="Content" ObjectID="_1744365365" r:id="rId12"/>
        </w:object>
      </w:r>
      <w:r>
        <w:rPr>
          <w:sz w:val="20"/>
          <w:szCs w:val="20"/>
          <w:lang w:val="pt-BR"/>
        </w:rPr>
        <w:tab/>
      </w:r>
      <w:r w:rsidR="00C14773">
        <w:rPr>
          <w:sz w:val="20"/>
          <w:szCs w:val="20"/>
          <w:lang w:val="pt-BR"/>
        </w:rPr>
        <w:t>(</w:t>
      </w:r>
      <w:r w:rsidR="000C639E">
        <w:rPr>
          <w:sz w:val="20"/>
          <w:szCs w:val="20"/>
          <w:lang w:val="pt-BR"/>
        </w:rPr>
        <w:t>2</w:t>
      </w:r>
      <w:r w:rsidR="00C14773">
        <w:rPr>
          <w:sz w:val="20"/>
          <w:szCs w:val="20"/>
          <w:lang w:val="pt-BR"/>
        </w:rPr>
        <w:t>)</w:t>
      </w:r>
    </w:p>
    <w:p w14:paraId="46129827" w14:textId="67D22BC6" w:rsidR="008F64A7" w:rsidRDefault="008F64A7" w:rsidP="00FE4C41">
      <w:pPr>
        <w:pStyle w:val="TextFirstParagraph"/>
        <w:widowControl w:val="0"/>
        <w:spacing w:line="240" w:lineRule="exact"/>
        <w:rPr>
          <w:sz w:val="20"/>
          <w:szCs w:val="20"/>
          <w:lang w:val="pt-BR"/>
        </w:rPr>
      </w:pPr>
    </w:p>
    <w:p w14:paraId="621E7AD1" w14:textId="50B0B7A4" w:rsidR="00217C70" w:rsidRPr="004B0A39" w:rsidRDefault="00E6486D" w:rsidP="008F4BD4">
      <w:pPr>
        <w:pStyle w:val="TextFirstParagraph"/>
        <w:widowControl w:val="0"/>
        <w:spacing w:line="240" w:lineRule="exact"/>
        <w:ind w:firstLine="204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 taxa de reação </w:t>
      </w:r>
      <w:r w:rsidR="000C639E">
        <w:rPr>
          <w:sz w:val="20"/>
          <w:szCs w:val="20"/>
          <w:lang w:val="pt-BR"/>
        </w:rPr>
        <w:t>utilizada para este estudo é apresentada na Equação (3)</w:t>
      </w:r>
      <w:r w:rsidR="00451E67">
        <w:rPr>
          <w:sz w:val="20"/>
          <w:szCs w:val="20"/>
          <w:lang w:val="pt-BR"/>
        </w:rPr>
        <w:t xml:space="preserve">, onde </w:t>
      </w:r>
      <w:proofErr w:type="spellStart"/>
      <w:r w:rsidR="004B0A39">
        <w:rPr>
          <w:i/>
          <w:iCs/>
          <w:sz w:val="20"/>
          <w:szCs w:val="20"/>
          <w:lang w:val="pt-BR"/>
        </w:rPr>
        <w:t>K</w:t>
      </w:r>
      <w:r w:rsidR="004B0A39">
        <w:rPr>
          <w:i/>
          <w:iCs/>
          <w:sz w:val="20"/>
          <w:szCs w:val="20"/>
          <w:vertAlign w:val="subscript"/>
          <w:lang w:val="pt-BR"/>
        </w:rPr>
        <w:t>eq</w:t>
      </w:r>
      <w:proofErr w:type="spellEnd"/>
      <w:r w:rsidR="004B0A39">
        <w:rPr>
          <w:sz w:val="20"/>
          <w:szCs w:val="20"/>
          <w:lang w:val="pt-BR"/>
        </w:rPr>
        <w:t xml:space="preserve"> é a constante de equilíbrio da reação, </w:t>
      </w:r>
      <w:r w:rsidR="003B04C9">
        <w:rPr>
          <w:sz w:val="20"/>
          <w:szCs w:val="20"/>
          <w:lang w:val="pt-BR"/>
        </w:rPr>
        <w:t>computada segundo a relação apresentada por</w:t>
      </w:r>
      <w:r w:rsidR="003B04C9" w:rsidRPr="001D0CCA">
        <w:rPr>
          <w:sz w:val="20"/>
          <w:szCs w:val="20"/>
          <w:lang w:val="pt-BR"/>
        </w:rPr>
        <w:t xml:space="preserve"> </w:t>
      </w:r>
      <w:proofErr w:type="spellStart"/>
      <w:r w:rsidR="003B04C9" w:rsidRPr="001D0CCA">
        <w:rPr>
          <w:sz w:val="20"/>
          <w:szCs w:val="20"/>
          <w:lang w:val="pt-BR"/>
        </w:rPr>
        <w:t>Kokes</w:t>
      </w:r>
      <w:proofErr w:type="spellEnd"/>
      <w:r w:rsidR="003B04C9" w:rsidRPr="001D0CCA">
        <w:rPr>
          <w:sz w:val="20"/>
          <w:szCs w:val="20"/>
          <w:lang w:val="pt-BR"/>
        </w:rPr>
        <w:t xml:space="preserve"> </w:t>
      </w:r>
      <w:r w:rsidR="003B04C9" w:rsidRPr="000807B0">
        <w:rPr>
          <w:i/>
          <w:iCs/>
          <w:sz w:val="20"/>
          <w:szCs w:val="20"/>
          <w:lang w:val="pt-BR"/>
        </w:rPr>
        <w:t>et al</w:t>
      </w:r>
      <w:r w:rsidR="003B04C9" w:rsidRPr="001D0CCA">
        <w:rPr>
          <w:sz w:val="20"/>
          <w:szCs w:val="20"/>
          <w:lang w:val="pt-BR"/>
        </w:rPr>
        <w:t>. (</w:t>
      </w:r>
      <w:r w:rsidR="000807B0">
        <w:rPr>
          <w:sz w:val="20"/>
          <w:szCs w:val="20"/>
          <w:lang w:val="pt-BR"/>
        </w:rPr>
        <w:t>17</w:t>
      </w:r>
      <w:r w:rsidR="003B04C9" w:rsidRPr="001D0CCA">
        <w:rPr>
          <w:sz w:val="20"/>
          <w:szCs w:val="20"/>
          <w:lang w:val="pt-BR"/>
        </w:rPr>
        <w:t>)</w:t>
      </w:r>
      <w:r w:rsidR="007934B4">
        <w:rPr>
          <w:sz w:val="20"/>
          <w:szCs w:val="20"/>
          <w:lang w:val="pt-BR"/>
        </w:rPr>
        <w:t xml:space="preserve">, </w:t>
      </w:r>
      <w:r w:rsidR="007934B4" w:rsidRPr="000A6459">
        <w:rPr>
          <w:i/>
          <w:iCs/>
          <w:sz w:val="20"/>
          <w:szCs w:val="20"/>
          <w:lang w:val="pt-BR"/>
        </w:rPr>
        <w:t>P</w:t>
      </w:r>
      <w:r w:rsidR="007934B4" w:rsidRPr="000A6459">
        <w:rPr>
          <w:i/>
          <w:iCs/>
          <w:sz w:val="20"/>
          <w:szCs w:val="20"/>
          <w:vertAlign w:val="subscript"/>
          <w:lang w:val="pt-BR"/>
        </w:rPr>
        <w:t>C</w:t>
      </w:r>
      <w:r w:rsidR="002A5530">
        <w:rPr>
          <w:i/>
          <w:iCs/>
          <w:sz w:val="20"/>
          <w:szCs w:val="20"/>
          <w:vertAlign w:val="subscript"/>
          <w:lang w:val="pt-BR"/>
        </w:rPr>
        <w:t>E</w:t>
      </w:r>
      <w:r w:rsidR="007934B4">
        <w:rPr>
          <w:sz w:val="20"/>
          <w:szCs w:val="20"/>
          <w:lang w:val="pt-BR"/>
        </w:rPr>
        <w:t xml:space="preserve"> é a pressão parcial de </w:t>
      </w:r>
      <w:proofErr w:type="spellStart"/>
      <w:r w:rsidR="007934B4">
        <w:rPr>
          <w:sz w:val="20"/>
          <w:szCs w:val="20"/>
          <w:lang w:val="pt-BR"/>
        </w:rPr>
        <w:t>cicloexano</w:t>
      </w:r>
      <w:proofErr w:type="spellEnd"/>
      <w:r w:rsidR="007934B4">
        <w:rPr>
          <w:sz w:val="20"/>
          <w:szCs w:val="20"/>
          <w:lang w:val="pt-BR"/>
        </w:rPr>
        <w:t xml:space="preserve">, </w:t>
      </w:r>
      <w:r w:rsidR="007934B4" w:rsidRPr="000A6459">
        <w:rPr>
          <w:i/>
          <w:iCs/>
          <w:sz w:val="20"/>
          <w:szCs w:val="20"/>
          <w:lang w:val="pt-BR"/>
        </w:rPr>
        <w:t>P</w:t>
      </w:r>
      <w:r w:rsidR="007934B4" w:rsidRPr="000A6459">
        <w:rPr>
          <w:i/>
          <w:iCs/>
          <w:sz w:val="20"/>
          <w:szCs w:val="20"/>
          <w:vertAlign w:val="subscript"/>
          <w:lang w:val="pt-BR"/>
        </w:rPr>
        <w:t>BZ</w:t>
      </w:r>
      <w:r w:rsidR="007934B4">
        <w:rPr>
          <w:sz w:val="20"/>
          <w:szCs w:val="20"/>
          <w:lang w:val="pt-BR"/>
        </w:rPr>
        <w:t xml:space="preserve"> é a pressão parcial de benzeno e </w:t>
      </w:r>
      <w:r w:rsidR="007934B4" w:rsidRPr="000A6459">
        <w:rPr>
          <w:i/>
          <w:iCs/>
          <w:sz w:val="20"/>
          <w:szCs w:val="20"/>
          <w:lang w:val="pt-BR"/>
        </w:rPr>
        <w:t>P</w:t>
      </w:r>
      <w:r w:rsidR="007934B4" w:rsidRPr="000A6459">
        <w:rPr>
          <w:i/>
          <w:iCs/>
          <w:sz w:val="20"/>
          <w:szCs w:val="20"/>
          <w:vertAlign w:val="subscript"/>
          <w:lang w:val="pt-BR"/>
        </w:rPr>
        <w:t>H</w:t>
      </w:r>
      <w:r w:rsidR="00B91655">
        <w:rPr>
          <w:i/>
          <w:iCs/>
          <w:sz w:val="20"/>
          <w:szCs w:val="20"/>
          <w:vertAlign w:val="subscript"/>
          <w:lang w:val="pt-BR"/>
        </w:rPr>
        <w:t>2</w:t>
      </w:r>
      <w:r w:rsidR="00A67897">
        <w:rPr>
          <w:sz w:val="20"/>
          <w:szCs w:val="20"/>
          <w:lang w:val="pt-BR"/>
        </w:rPr>
        <w:t xml:space="preserve"> é a pressão parcial de hidrogênio no reator.</w:t>
      </w:r>
    </w:p>
    <w:p w14:paraId="197AAFA9" w14:textId="77777777" w:rsidR="00217C70" w:rsidRDefault="00217C70" w:rsidP="00BF7BA7">
      <w:pPr>
        <w:pStyle w:val="TextFirstParagraph"/>
        <w:widowControl w:val="0"/>
        <w:spacing w:line="240" w:lineRule="exact"/>
        <w:rPr>
          <w:sz w:val="20"/>
          <w:szCs w:val="20"/>
          <w:lang w:val="pt-BR"/>
        </w:rPr>
      </w:pPr>
    </w:p>
    <w:p w14:paraId="454B9072" w14:textId="14103CE4" w:rsidR="00217C70" w:rsidRDefault="00C50C50" w:rsidP="00C50C50">
      <w:pPr>
        <w:pStyle w:val="TextFirstParagraph"/>
        <w:widowControl w:val="0"/>
        <w:tabs>
          <w:tab w:val="center" w:pos="2364"/>
          <w:tab w:val="right" w:pos="4734"/>
        </w:tabs>
        <w:spacing w:line="36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ab/>
      </w:r>
      <w:r w:rsidR="002A5530" w:rsidRPr="00824BD0">
        <w:rPr>
          <w:position w:val="-30"/>
          <w:sz w:val="20"/>
          <w:szCs w:val="20"/>
          <w:lang w:val="pt-BR"/>
        </w:rPr>
        <w:object w:dxaOrig="1980" w:dyaOrig="700" w14:anchorId="68659400">
          <v:shape id="_x0000_i1027" type="#_x0000_t75" style="width:99pt;height:34.8pt" o:ole="">
            <v:imagedata r:id="rId13" o:title=""/>
          </v:shape>
          <o:OLEObject Type="Embed" ProgID="Equation.DSMT4" ShapeID="_x0000_i1027" DrawAspect="Content" ObjectID="_1744365366" r:id="rId14"/>
        </w:object>
      </w:r>
      <w:r>
        <w:rPr>
          <w:sz w:val="20"/>
          <w:szCs w:val="20"/>
          <w:lang w:val="pt-BR"/>
        </w:rPr>
        <w:tab/>
        <w:t>(</w:t>
      </w:r>
      <w:r w:rsidR="000C639E">
        <w:rPr>
          <w:sz w:val="20"/>
          <w:szCs w:val="20"/>
          <w:lang w:val="pt-BR"/>
        </w:rPr>
        <w:t>3</w:t>
      </w:r>
      <w:r>
        <w:rPr>
          <w:sz w:val="20"/>
          <w:szCs w:val="20"/>
          <w:lang w:val="pt-BR"/>
        </w:rPr>
        <w:t>)</w:t>
      </w:r>
    </w:p>
    <w:p w14:paraId="23037108" w14:textId="63EE11DC" w:rsidR="008F64A7" w:rsidRDefault="008F64A7" w:rsidP="00BF7BA7">
      <w:pPr>
        <w:pStyle w:val="TextFirstParagraph"/>
        <w:widowControl w:val="0"/>
        <w:tabs>
          <w:tab w:val="center" w:pos="2364"/>
          <w:tab w:val="right" w:pos="4734"/>
        </w:tabs>
        <w:spacing w:line="240" w:lineRule="exact"/>
        <w:rPr>
          <w:sz w:val="20"/>
          <w:szCs w:val="20"/>
          <w:lang w:val="pt-BR"/>
        </w:rPr>
      </w:pPr>
    </w:p>
    <w:p w14:paraId="779FC3E5" w14:textId="6F55E36F" w:rsidR="004A3CDC" w:rsidRDefault="00A67897" w:rsidP="00A67897">
      <w:pPr>
        <w:pStyle w:val="TextFirstParagraph"/>
        <w:widowControl w:val="0"/>
        <w:tabs>
          <w:tab w:val="center" w:pos="2364"/>
          <w:tab w:val="right" w:pos="4734"/>
        </w:tabs>
        <w:spacing w:line="240" w:lineRule="exact"/>
        <w:ind w:firstLine="204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 dependência d</w:t>
      </w:r>
      <w:r w:rsidR="000A6459">
        <w:rPr>
          <w:sz w:val="20"/>
          <w:szCs w:val="20"/>
          <w:lang w:val="pt-BR"/>
        </w:rPr>
        <w:t>e</w:t>
      </w:r>
      <w:r>
        <w:rPr>
          <w:sz w:val="20"/>
          <w:szCs w:val="20"/>
          <w:lang w:val="pt-BR"/>
        </w:rPr>
        <w:t xml:space="preserve"> </w:t>
      </w:r>
      <w:r>
        <w:rPr>
          <w:i/>
          <w:iCs/>
          <w:sz w:val="20"/>
          <w:szCs w:val="20"/>
          <w:lang w:val="pt-BR"/>
        </w:rPr>
        <w:t>k</w:t>
      </w:r>
      <w:r>
        <w:rPr>
          <w:sz w:val="20"/>
          <w:szCs w:val="20"/>
          <w:lang w:val="pt-BR"/>
        </w:rPr>
        <w:t xml:space="preserve"> com a temperatura de reação foi avaliada uti</w:t>
      </w:r>
      <w:r w:rsidR="00E73056">
        <w:rPr>
          <w:sz w:val="20"/>
          <w:szCs w:val="20"/>
          <w:lang w:val="pt-BR"/>
        </w:rPr>
        <w:t xml:space="preserve">lizando a Equação (1) ou </w:t>
      </w:r>
      <w:r w:rsidR="00745B4C">
        <w:rPr>
          <w:sz w:val="20"/>
          <w:szCs w:val="20"/>
          <w:lang w:val="pt-BR"/>
        </w:rPr>
        <w:t xml:space="preserve">através de uma forma </w:t>
      </w:r>
      <w:proofErr w:type="spellStart"/>
      <w:r w:rsidR="00745B4C">
        <w:rPr>
          <w:sz w:val="20"/>
          <w:szCs w:val="20"/>
          <w:lang w:val="pt-BR"/>
        </w:rPr>
        <w:t>reparametrizada</w:t>
      </w:r>
      <w:proofErr w:type="spellEnd"/>
      <w:r w:rsidR="00745B4C">
        <w:rPr>
          <w:sz w:val="20"/>
          <w:szCs w:val="20"/>
          <w:lang w:val="pt-BR"/>
        </w:rPr>
        <w:t xml:space="preserve"> da equação de Arrhenius (</w:t>
      </w:r>
      <w:r w:rsidR="000807B0">
        <w:rPr>
          <w:sz w:val="20"/>
          <w:szCs w:val="20"/>
          <w:lang w:val="pt-BR"/>
        </w:rPr>
        <w:t>13</w:t>
      </w:r>
      <w:r w:rsidR="00745B4C">
        <w:rPr>
          <w:sz w:val="20"/>
          <w:szCs w:val="20"/>
          <w:lang w:val="pt-BR"/>
        </w:rPr>
        <w:t>), conforme apresentado na</w:t>
      </w:r>
      <w:r w:rsidR="00E73056">
        <w:rPr>
          <w:sz w:val="20"/>
          <w:szCs w:val="20"/>
          <w:lang w:val="pt-BR"/>
        </w:rPr>
        <w:t xml:space="preserve"> Equação (4)</w:t>
      </w:r>
      <w:r w:rsidR="00A4471D">
        <w:rPr>
          <w:sz w:val="20"/>
          <w:szCs w:val="20"/>
          <w:lang w:val="pt-BR"/>
        </w:rPr>
        <w:t>, dada por</w:t>
      </w:r>
    </w:p>
    <w:p w14:paraId="2F21B391" w14:textId="77777777" w:rsidR="00A67897" w:rsidRPr="00A67897" w:rsidRDefault="00A67897" w:rsidP="00E526F9">
      <w:pPr>
        <w:pStyle w:val="TextFirstParagraph"/>
        <w:widowControl w:val="0"/>
        <w:tabs>
          <w:tab w:val="center" w:pos="2364"/>
          <w:tab w:val="right" w:pos="4734"/>
        </w:tabs>
        <w:spacing w:line="360" w:lineRule="auto"/>
        <w:rPr>
          <w:sz w:val="20"/>
          <w:szCs w:val="20"/>
          <w:lang w:val="pt-BR"/>
        </w:rPr>
      </w:pPr>
    </w:p>
    <w:p w14:paraId="2EDAA0D2" w14:textId="35EF9738" w:rsidR="00AD68CD" w:rsidRDefault="0086630B" w:rsidP="00804F5D">
      <w:pPr>
        <w:pStyle w:val="TextFirstParagraph"/>
        <w:widowControl w:val="0"/>
        <w:tabs>
          <w:tab w:val="center" w:pos="2364"/>
          <w:tab w:val="right" w:pos="4734"/>
        </w:tabs>
        <w:spacing w:line="36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lastRenderedPageBreak/>
        <w:tab/>
      </w:r>
      <w:r w:rsidR="009C5793" w:rsidRPr="00666F92">
        <w:rPr>
          <w:noProof/>
          <w:position w:val="-30"/>
        </w:rPr>
        <w:object w:dxaOrig="3300" w:dyaOrig="700" w14:anchorId="1649C41E">
          <v:shape id="_x0000_i1028" type="#_x0000_t75" style="width:165.6pt;height:34.8pt" o:ole="">
            <v:imagedata r:id="rId15" o:title=""/>
          </v:shape>
          <o:OLEObject Type="Embed" ProgID="Equation.DSMT4" ShapeID="_x0000_i1028" DrawAspect="Content" ObjectID="_1744365367" r:id="rId16"/>
        </w:object>
      </w:r>
      <w:r>
        <w:rPr>
          <w:sz w:val="20"/>
          <w:szCs w:val="20"/>
          <w:lang w:val="pt-BR"/>
        </w:rPr>
        <w:tab/>
        <w:t>(</w:t>
      </w:r>
      <w:r w:rsidR="000C639E">
        <w:rPr>
          <w:sz w:val="20"/>
          <w:szCs w:val="20"/>
          <w:lang w:val="pt-BR"/>
        </w:rPr>
        <w:t>4</w:t>
      </w:r>
      <w:r>
        <w:rPr>
          <w:sz w:val="20"/>
          <w:szCs w:val="20"/>
          <w:lang w:val="pt-BR"/>
        </w:rPr>
        <w:t>)</w:t>
      </w:r>
    </w:p>
    <w:p w14:paraId="2168B570" w14:textId="77777777" w:rsidR="004A3CDC" w:rsidRDefault="004A3CDC" w:rsidP="004A3CDC">
      <w:pPr>
        <w:pStyle w:val="TextFirstParagraph"/>
        <w:widowControl w:val="0"/>
        <w:spacing w:line="240" w:lineRule="exact"/>
        <w:rPr>
          <w:sz w:val="20"/>
          <w:szCs w:val="20"/>
          <w:lang w:val="pt-BR"/>
        </w:rPr>
      </w:pPr>
    </w:p>
    <w:p w14:paraId="044DDA23" w14:textId="1D8E00DF" w:rsidR="00804F5D" w:rsidRPr="00DF39B6" w:rsidRDefault="00A4471D" w:rsidP="004A3CDC">
      <w:pPr>
        <w:pStyle w:val="TextFirstParagraph"/>
        <w:widowControl w:val="0"/>
        <w:spacing w:line="240" w:lineRule="exact"/>
        <w:rPr>
          <w:b/>
          <w:bCs/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onde </w:t>
      </w:r>
      <w:proofErr w:type="spellStart"/>
      <w:proofErr w:type="gramStart"/>
      <w:r w:rsidRPr="00AD7E52">
        <w:rPr>
          <w:i/>
          <w:iCs/>
          <w:sz w:val="20"/>
          <w:szCs w:val="20"/>
          <w:lang w:val="pt-BR"/>
        </w:rPr>
        <w:t>ln</w:t>
      </w:r>
      <w:proofErr w:type="spellEnd"/>
      <w:r>
        <w:rPr>
          <w:sz w:val="20"/>
          <w:szCs w:val="20"/>
          <w:lang w:val="pt-BR"/>
        </w:rPr>
        <w:t>(</w:t>
      </w:r>
      <w:proofErr w:type="spellStart"/>
      <w:proofErr w:type="gramEnd"/>
      <w:r w:rsidRPr="00AD7E52">
        <w:rPr>
          <w:i/>
          <w:iCs/>
          <w:sz w:val="20"/>
          <w:szCs w:val="20"/>
          <w:lang w:val="pt-BR"/>
        </w:rPr>
        <w:t>A</w:t>
      </w:r>
      <w:r w:rsidRPr="00AD7E52">
        <w:rPr>
          <w:i/>
          <w:iCs/>
          <w:sz w:val="20"/>
          <w:szCs w:val="20"/>
          <w:vertAlign w:val="subscript"/>
          <w:lang w:val="pt-BR"/>
        </w:rPr>
        <w:t>ref</w:t>
      </w:r>
      <w:r w:rsidR="00D67682">
        <w:rPr>
          <w:i/>
          <w:iCs/>
          <w:sz w:val="20"/>
          <w:szCs w:val="20"/>
          <w:vertAlign w:val="subscript"/>
          <w:lang w:val="pt-BR"/>
        </w:rPr>
        <w:t>,j</w:t>
      </w:r>
      <w:proofErr w:type="spellEnd"/>
      <w:r>
        <w:rPr>
          <w:sz w:val="20"/>
          <w:szCs w:val="20"/>
          <w:lang w:val="pt-BR"/>
        </w:rPr>
        <w:t xml:space="preserve">) é o fator </w:t>
      </w:r>
      <w:proofErr w:type="spellStart"/>
      <w:r>
        <w:rPr>
          <w:sz w:val="20"/>
          <w:szCs w:val="20"/>
          <w:lang w:val="pt-BR"/>
        </w:rPr>
        <w:t>pré</w:t>
      </w:r>
      <w:proofErr w:type="spellEnd"/>
      <w:r>
        <w:rPr>
          <w:sz w:val="20"/>
          <w:szCs w:val="20"/>
          <w:lang w:val="pt-BR"/>
        </w:rPr>
        <w:t xml:space="preserve">-exponencial avaliado </w:t>
      </w:r>
      <w:r w:rsidR="00D67682">
        <w:rPr>
          <w:sz w:val="20"/>
          <w:szCs w:val="20"/>
          <w:lang w:val="pt-BR"/>
        </w:rPr>
        <w:t>em</w:t>
      </w:r>
      <w:r>
        <w:rPr>
          <w:sz w:val="20"/>
          <w:szCs w:val="20"/>
          <w:lang w:val="pt-BR"/>
        </w:rPr>
        <w:t xml:space="preserve"> um</w:t>
      </w:r>
      <w:r w:rsidR="00D67682">
        <w:rPr>
          <w:sz w:val="20"/>
          <w:szCs w:val="20"/>
          <w:lang w:val="pt-BR"/>
        </w:rPr>
        <w:t>a</w:t>
      </w:r>
      <w:r>
        <w:rPr>
          <w:sz w:val="20"/>
          <w:szCs w:val="20"/>
          <w:lang w:val="pt-BR"/>
        </w:rPr>
        <w:t xml:space="preserve"> temperatura de referência </w:t>
      </w:r>
      <w:proofErr w:type="spellStart"/>
      <w:r w:rsidRPr="00AD7E52">
        <w:rPr>
          <w:i/>
          <w:iCs/>
          <w:sz w:val="20"/>
          <w:szCs w:val="20"/>
          <w:lang w:val="pt-BR"/>
        </w:rPr>
        <w:t>T</w:t>
      </w:r>
      <w:r w:rsidRPr="00AD7E52">
        <w:rPr>
          <w:i/>
          <w:iCs/>
          <w:sz w:val="20"/>
          <w:szCs w:val="20"/>
          <w:vertAlign w:val="subscript"/>
          <w:lang w:val="pt-BR"/>
        </w:rPr>
        <w:t>ref</w:t>
      </w:r>
      <w:proofErr w:type="spellEnd"/>
      <w:r w:rsidR="00AD7E52" w:rsidRPr="00AD7E52">
        <w:rPr>
          <w:sz w:val="20"/>
          <w:szCs w:val="20"/>
          <w:lang w:val="pt-BR"/>
        </w:rPr>
        <w:t>.</w:t>
      </w:r>
      <w:r w:rsidR="00D67682">
        <w:rPr>
          <w:sz w:val="20"/>
          <w:szCs w:val="20"/>
          <w:lang w:val="pt-BR"/>
        </w:rPr>
        <w:t xml:space="preserve"> </w:t>
      </w:r>
      <w:r w:rsidR="00347751">
        <w:rPr>
          <w:sz w:val="20"/>
          <w:szCs w:val="20"/>
          <w:lang w:val="pt-BR"/>
        </w:rPr>
        <w:t xml:space="preserve">Neste trabalho, uma temperatura de referência igual a </w:t>
      </w:r>
      <w:r w:rsidR="00344507">
        <w:rPr>
          <w:sz w:val="20"/>
          <w:szCs w:val="20"/>
          <w:lang w:val="pt-BR"/>
        </w:rPr>
        <w:t>300</w:t>
      </w:r>
      <w:r w:rsidR="00110F19">
        <w:rPr>
          <w:sz w:val="20"/>
          <w:szCs w:val="20"/>
          <w:lang w:val="pt-BR"/>
        </w:rPr>
        <w:t> </w:t>
      </w:r>
      <w:r w:rsidR="00344507">
        <w:rPr>
          <w:sz w:val="20"/>
          <w:szCs w:val="20"/>
          <w:lang w:val="pt-BR"/>
        </w:rPr>
        <w:t>°C</w:t>
      </w:r>
      <w:r w:rsidR="00B4066C">
        <w:rPr>
          <w:sz w:val="20"/>
          <w:szCs w:val="20"/>
          <w:lang w:val="pt-BR"/>
        </w:rPr>
        <w:t xml:space="preserve"> foi utilizada.</w:t>
      </w:r>
      <w:r w:rsidR="00DF39B6">
        <w:rPr>
          <w:sz w:val="20"/>
          <w:szCs w:val="20"/>
          <w:lang w:val="pt-BR"/>
        </w:rPr>
        <w:t xml:space="preserve"> </w:t>
      </w:r>
      <w:r w:rsidR="0051391E">
        <w:rPr>
          <w:sz w:val="20"/>
          <w:szCs w:val="20"/>
          <w:lang w:val="pt-BR"/>
        </w:rPr>
        <w:t xml:space="preserve">Em todos </w:t>
      </w:r>
      <w:r w:rsidR="00A00800">
        <w:rPr>
          <w:sz w:val="20"/>
          <w:szCs w:val="20"/>
          <w:lang w:val="pt-BR"/>
        </w:rPr>
        <w:t xml:space="preserve">os </w:t>
      </w:r>
      <w:r w:rsidR="0051391E">
        <w:rPr>
          <w:sz w:val="20"/>
          <w:szCs w:val="20"/>
          <w:lang w:val="pt-BR"/>
        </w:rPr>
        <w:t xml:space="preserve">casos </w:t>
      </w:r>
      <w:r w:rsidR="0051391E" w:rsidRPr="00A00800">
        <w:rPr>
          <w:i/>
          <w:iCs/>
          <w:sz w:val="20"/>
          <w:szCs w:val="20"/>
          <w:lang w:val="pt-BR"/>
        </w:rPr>
        <w:t>A</w:t>
      </w:r>
      <w:r w:rsidR="0051391E" w:rsidRPr="00A00800">
        <w:rPr>
          <w:i/>
          <w:iCs/>
          <w:sz w:val="20"/>
          <w:szCs w:val="20"/>
          <w:vertAlign w:val="subscript"/>
          <w:lang w:val="pt-BR"/>
        </w:rPr>
        <w:t>0</w:t>
      </w:r>
      <w:r w:rsidR="0051391E">
        <w:rPr>
          <w:sz w:val="20"/>
          <w:szCs w:val="20"/>
          <w:lang w:val="pt-BR"/>
        </w:rPr>
        <w:t xml:space="preserve"> e </w:t>
      </w:r>
      <w:r w:rsidR="0051391E" w:rsidRPr="00A00800">
        <w:rPr>
          <w:i/>
          <w:iCs/>
          <w:sz w:val="20"/>
          <w:szCs w:val="20"/>
          <w:lang w:val="pt-BR"/>
        </w:rPr>
        <w:t>A</w:t>
      </w:r>
      <w:r w:rsidR="0051391E" w:rsidRPr="00A00800">
        <w:rPr>
          <w:i/>
          <w:iCs/>
          <w:sz w:val="20"/>
          <w:szCs w:val="20"/>
          <w:vertAlign w:val="subscript"/>
          <w:lang w:val="pt-BR"/>
        </w:rPr>
        <w:t>ref</w:t>
      </w:r>
      <w:r w:rsidR="0051391E">
        <w:rPr>
          <w:sz w:val="20"/>
          <w:szCs w:val="20"/>
          <w:lang w:val="pt-BR"/>
        </w:rPr>
        <w:t xml:space="preserve"> apresentaram unidades de</w:t>
      </w:r>
      <w:r w:rsidR="005A7E29">
        <w:rPr>
          <w:sz w:val="20"/>
          <w:szCs w:val="20"/>
          <w:lang w:val="pt-BR"/>
        </w:rPr>
        <w:t> </w:t>
      </w:r>
      <w:r w:rsidR="00513B76">
        <w:rPr>
          <w:sz w:val="20"/>
          <w:szCs w:val="20"/>
          <w:lang w:val="pt-BR"/>
        </w:rPr>
        <w:t>mol/</w:t>
      </w:r>
      <w:proofErr w:type="spellStart"/>
      <w:r w:rsidR="00513B76">
        <w:rPr>
          <w:sz w:val="20"/>
          <w:szCs w:val="20"/>
          <w:lang w:val="pt-BR"/>
        </w:rPr>
        <w:t>g</w:t>
      </w:r>
      <w:r w:rsidR="00200414">
        <w:rPr>
          <w:sz w:val="20"/>
          <w:szCs w:val="20"/>
          <w:lang w:val="pt-BR"/>
        </w:rPr>
        <w:t>∙min∙bar</w:t>
      </w:r>
      <w:proofErr w:type="spellEnd"/>
      <w:r w:rsidR="008F3880">
        <w:rPr>
          <w:sz w:val="20"/>
          <w:szCs w:val="20"/>
          <w:lang w:val="pt-BR"/>
        </w:rPr>
        <w:t xml:space="preserve">, enquanto </w:t>
      </w:r>
      <w:proofErr w:type="spellStart"/>
      <w:r w:rsidR="008F3880" w:rsidRPr="00A00800">
        <w:rPr>
          <w:i/>
          <w:iCs/>
          <w:sz w:val="20"/>
          <w:szCs w:val="20"/>
          <w:lang w:val="pt-BR"/>
        </w:rPr>
        <w:t>E</w:t>
      </w:r>
      <w:r w:rsidR="008F3880" w:rsidRPr="00A00800">
        <w:rPr>
          <w:i/>
          <w:iCs/>
          <w:sz w:val="20"/>
          <w:szCs w:val="20"/>
          <w:vertAlign w:val="subscript"/>
          <w:lang w:val="pt-BR"/>
        </w:rPr>
        <w:t>a</w:t>
      </w:r>
      <w:proofErr w:type="spellEnd"/>
      <w:r w:rsidR="008F3880">
        <w:rPr>
          <w:sz w:val="20"/>
          <w:szCs w:val="20"/>
          <w:lang w:val="pt-BR"/>
        </w:rPr>
        <w:t xml:space="preserve"> apresentou unidades de </w:t>
      </w:r>
      <w:r w:rsidR="00506851">
        <w:rPr>
          <w:sz w:val="20"/>
          <w:szCs w:val="20"/>
          <w:lang w:val="pt-BR"/>
        </w:rPr>
        <w:t>kJ</w:t>
      </w:r>
      <w:r w:rsidR="00A00800">
        <w:rPr>
          <w:sz w:val="20"/>
          <w:szCs w:val="20"/>
          <w:lang w:val="pt-BR"/>
        </w:rPr>
        <w:t>/</w:t>
      </w:r>
      <w:proofErr w:type="spellStart"/>
      <w:r w:rsidR="00A00800">
        <w:rPr>
          <w:sz w:val="20"/>
          <w:szCs w:val="20"/>
          <w:lang w:val="pt-BR"/>
        </w:rPr>
        <w:t>mol∙K</w:t>
      </w:r>
      <w:proofErr w:type="spellEnd"/>
      <w:r w:rsidR="00A00800">
        <w:rPr>
          <w:sz w:val="20"/>
          <w:szCs w:val="20"/>
          <w:lang w:val="pt-BR"/>
        </w:rPr>
        <w:t>.</w:t>
      </w:r>
    </w:p>
    <w:p w14:paraId="34362382" w14:textId="2BB445B7" w:rsidR="00981535" w:rsidRPr="00A4471D" w:rsidRDefault="00981535" w:rsidP="00934215">
      <w:pPr>
        <w:pStyle w:val="TextFirstParagraph"/>
        <w:widowControl w:val="0"/>
        <w:spacing w:line="240" w:lineRule="exact"/>
        <w:ind w:firstLine="204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As estimativas para os parâmetros cinéticos </w:t>
      </w:r>
      <w:proofErr w:type="spellStart"/>
      <w:r w:rsidRPr="00BD2977">
        <w:rPr>
          <w:i/>
          <w:iCs/>
          <w:sz w:val="20"/>
          <w:szCs w:val="20"/>
          <w:lang w:val="pt-BR"/>
        </w:rPr>
        <w:t>ln</w:t>
      </w:r>
      <w:proofErr w:type="spellEnd"/>
      <w:r>
        <w:rPr>
          <w:sz w:val="20"/>
          <w:szCs w:val="20"/>
          <w:lang w:val="pt-BR"/>
        </w:rPr>
        <w:t>(</w:t>
      </w:r>
      <w:r w:rsidRPr="00BD2977">
        <w:rPr>
          <w:i/>
          <w:iCs/>
          <w:sz w:val="20"/>
          <w:szCs w:val="20"/>
          <w:lang w:val="pt-BR"/>
        </w:rPr>
        <w:t>A</w:t>
      </w:r>
      <w:r w:rsidRPr="00BD2977">
        <w:rPr>
          <w:i/>
          <w:iCs/>
          <w:sz w:val="20"/>
          <w:szCs w:val="20"/>
          <w:vertAlign w:val="subscript"/>
          <w:lang w:val="pt-BR"/>
        </w:rPr>
        <w:t>0</w:t>
      </w:r>
      <w:r>
        <w:rPr>
          <w:sz w:val="20"/>
          <w:szCs w:val="20"/>
          <w:lang w:val="pt-BR"/>
        </w:rPr>
        <w:t xml:space="preserve">), </w:t>
      </w:r>
      <w:proofErr w:type="spellStart"/>
      <w:proofErr w:type="gramStart"/>
      <w:r w:rsidRPr="00BD2977">
        <w:rPr>
          <w:i/>
          <w:iCs/>
          <w:sz w:val="20"/>
          <w:szCs w:val="20"/>
          <w:lang w:val="pt-BR"/>
        </w:rPr>
        <w:t>ln</w:t>
      </w:r>
      <w:proofErr w:type="spellEnd"/>
      <w:r>
        <w:rPr>
          <w:sz w:val="20"/>
          <w:szCs w:val="20"/>
          <w:lang w:val="pt-BR"/>
        </w:rPr>
        <w:t>(</w:t>
      </w:r>
      <w:proofErr w:type="gramEnd"/>
      <w:r w:rsidRPr="00BD2977">
        <w:rPr>
          <w:i/>
          <w:iCs/>
          <w:sz w:val="20"/>
          <w:szCs w:val="20"/>
          <w:lang w:val="pt-BR"/>
        </w:rPr>
        <w:t>A</w:t>
      </w:r>
      <w:r w:rsidRPr="00BD2977">
        <w:rPr>
          <w:i/>
          <w:iCs/>
          <w:sz w:val="20"/>
          <w:szCs w:val="20"/>
          <w:vertAlign w:val="subscript"/>
          <w:lang w:val="pt-BR"/>
        </w:rPr>
        <w:t>ref</w:t>
      </w:r>
      <w:r>
        <w:rPr>
          <w:sz w:val="20"/>
          <w:szCs w:val="20"/>
          <w:lang w:val="pt-BR"/>
        </w:rPr>
        <w:t xml:space="preserve">) e </w:t>
      </w:r>
      <w:proofErr w:type="spellStart"/>
      <w:r w:rsidRPr="00BD2977">
        <w:rPr>
          <w:i/>
          <w:iCs/>
          <w:sz w:val="20"/>
          <w:szCs w:val="20"/>
          <w:lang w:val="pt-BR"/>
        </w:rPr>
        <w:t>E</w:t>
      </w:r>
      <w:r w:rsidRPr="00BD2977">
        <w:rPr>
          <w:i/>
          <w:iCs/>
          <w:sz w:val="20"/>
          <w:szCs w:val="20"/>
          <w:vertAlign w:val="subscript"/>
          <w:lang w:val="pt-BR"/>
        </w:rPr>
        <w:t>a</w:t>
      </w:r>
      <w:proofErr w:type="spellEnd"/>
      <w:r>
        <w:rPr>
          <w:sz w:val="20"/>
          <w:szCs w:val="20"/>
          <w:lang w:val="pt-BR"/>
        </w:rPr>
        <w:t xml:space="preserve"> fo</w:t>
      </w:r>
      <w:r w:rsidR="00F911EB">
        <w:rPr>
          <w:sz w:val="20"/>
          <w:szCs w:val="20"/>
          <w:lang w:val="pt-BR"/>
        </w:rPr>
        <w:t xml:space="preserve">ram obtidas através da </w:t>
      </w:r>
      <w:r w:rsidR="00851C62">
        <w:rPr>
          <w:sz w:val="20"/>
          <w:szCs w:val="20"/>
          <w:lang w:val="pt-BR"/>
        </w:rPr>
        <w:t xml:space="preserve">minimização da Equação (5), ao considerar as incertezas nas medidas experimentais </w:t>
      </w:r>
      <w:r w:rsidR="00347D2C">
        <w:rPr>
          <w:sz w:val="20"/>
          <w:szCs w:val="20"/>
          <w:lang w:val="pt-BR"/>
        </w:rPr>
        <w:t>constantes</w:t>
      </w:r>
      <w:r w:rsidR="00EB4F68">
        <w:rPr>
          <w:sz w:val="20"/>
          <w:szCs w:val="20"/>
          <w:lang w:val="pt-BR"/>
        </w:rPr>
        <w:t>,</w:t>
      </w:r>
      <w:r w:rsidR="00347D2C">
        <w:rPr>
          <w:sz w:val="20"/>
          <w:szCs w:val="20"/>
          <w:lang w:val="pt-BR"/>
        </w:rPr>
        <w:t xml:space="preserve"> ou da Equação (6)</w:t>
      </w:r>
      <w:r w:rsidR="00EB4F68">
        <w:rPr>
          <w:sz w:val="20"/>
          <w:szCs w:val="20"/>
          <w:lang w:val="pt-BR"/>
        </w:rPr>
        <w:t>,</w:t>
      </w:r>
      <w:r w:rsidR="00347D2C">
        <w:rPr>
          <w:sz w:val="20"/>
          <w:szCs w:val="20"/>
          <w:lang w:val="pt-BR"/>
        </w:rPr>
        <w:t xml:space="preserve"> </w:t>
      </w:r>
      <w:r w:rsidR="00652EEC">
        <w:rPr>
          <w:sz w:val="20"/>
          <w:szCs w:val="20"/>
          <w:lang w:val="pt-BR"/>
        </w:rPr>
        <w:t xml:space="preserve">nos casos onde </w:t>
      </w:r>
      <w:r w:rsidR="00EB4F68">
        <w:rPr>
          <w:sz w:val="20"/>
          <w:szCs w:val="20"/>
          <w:lang w:val="pt-BR"/>
        </w:rPr>
        <w:t>estas incertezas foram determinadas para cada condição experimental</w:t>
      </w:r>
      <w:r w:rsidR="00F20CD0">
        <w:rPr>
          <w:sz w:val="20"/>
          <w:szCs w:val="20"/>
          <w:lang w:val="pt-BR"/>
        </w:rPr>
        <w:t xml:space="preserve">. Nestas equações </w:t>
      </w:r>
      <w:r w:rsidR="007A56E1" w:rsidRPr="00652EEC">
        <w:rPr>
          <w:i/>
          <w:iCs/>
          <w:sz w:val="20"/>
          <w:szCs w:val="20"/>
          <w:lang w:val="pt-BR"/>
        </w:rPr>
        <w:t>N</w:t>
      </w:r>
      <w:r w:rsidR="007A56E1">
        <w:rPr>
          <w:sz w:val="20"/>
          <w:szCs w:val="20"/>
          <w:lang w:val="pt-BR"/>
        </w:rPr>
        <w:t xml:space="preserve"> corresponde ao número de </w:t>
      </w:r>
      <w:r w:rsidR="007A56E1" w:rsidRPr="007F1717">
        <w:rPr>
          <w:sz w:val="20"/>
          <w:szCs w:val="20"/>
          <w:lang w:val="pt-BR"/>
        </w:rPr>
        <w:t>pontos experimentais</w:t>
      </w:r>
      <w:r w:rsidR="00F65938" w:rsidRPr="007F1717">
        <w:rPr>
          <w:sz w:val="20"/>
          <w:szCs w:val="20"/>
          <w:lang w:val="pt-BR"/>
        </w:rPr>
        <w:t xml:space="preserve"> e</w:t>
      </w:r>
      <w:r w:rsidR="00692003" w:rsidRPr="007F1717">
        <w:rPr>
          <w:sz w:val="20"/>
          <w:szCs w:val="20"/>
          <w:lang w:val="pt-BR"/>
        </w:rPr>
        <w:t xml:space="preserve"> </w:t>
      </w:r>
      <w:proofErr w:type="spellStart"/>
      <w:proofErr w:type="gramStart"/>
      <w:r w:rsidR="00692003" w:rsidRPr="007F1717">
        <w:rPr>
          <w:i/>
          <w:iCs/>
          <w:sz w:val="20"/>
          <w:szCs w:val="20"/>
          <w:lang w:val="pt-BR"/>
        </w:rPr>
        <w:t>X</w:t>
      </w:r>
      <w:r w:rsidR="00692003" w:rsidRPr="007F1717">
        <w:rPr>
          <w:i/>
          <w:iCs/>
          <w:sz w:val="20"/>
          <w:szCs w:val="20"/>
          <w:vertAlign w:val="subscript"/>
          <w:lang w:val="pt-BR"/>
        </w:rPr>
        <w:t>CE</w:t>
      </w:r>
      <w:r w:rsidR="00692003" w:rsidRPr="007F1717">
        <w:rPr>
          <w:sz w:val="20"/>
          <w:szCs w:val="20"/>
          <w:vertAlign w:val="subscript"/>
          <w:lang w:val="pt-BR"/>
        </w:rPr>
        <w:t>,</w:t>
      </w:r>
      <w:r w:rsidR="00692003" w:rsidRPr="007F1717">
        <w:rPr>
          <w:i/>
          <w:iCs/>
          <w:sz w:val="20"/>
          <w:szCs w:val="20"/>
          <w:vertAlign w:val="subscript"/>
          <w:lang w:val="pt-BR"/>
        </w:rPr>
        <w:t>i</w:t>
      </w:r>
      <w:proofErr w:type="spellEnd"/>
      <w:proofErr w:type="gramEnd"/>
      <w:r w:rsidR="00665183" w:rsidRPr="007F1717">
        <w:rPr>
          <w:sz w:val="20"/>
          <w:szCs w:val="20"/>
          <w:lang w:val="pt-BR"/>
        </w:rPr>
        <w:t xml:space="preserve"> </w:t>
      </w:r>
      <w:r w:rsidR="004D34C6" w:rsidRPr="007F1717">
        <w:rPr>
          <w:sz w:val="20"/>
          <w:szCs w:val="22"/>
          <w:lang w:val="pt-BR"/>
        </w:rPr>
        <w:t xml:space="preserve">à conversão de </w:t>
      </w:r>
      <w:proofErr w:type="spellStart"/>
      <w:r w:rsidR="004D34C6" w:rsidRPr="007F1717">
        <w:rPr>
          <w:sz w:val="20"/>
          <w:szCs w:val="22"/>
          <w:lang w:val="pt-BR"/>
        </w:rPr>
        <w:t>cicloexano</w:t>
      </w:r>
      <w:proofErr w:type="spellEnd"/>
      <w:r w:rsidR="004D34C6" w:rsidRPr="007F1717">
        <w:rPr>
          <w:sz w:val="20"/>
          <w:szCs w:val="22"/>
          <w:lang w:val="pt-BR"/>
        </w:rPr>
        <w:t xml:space="preserve"> na </w:t>
      </w:r>
      <w:r w:rsidR="004D34C6" w:rsidRPr="007F1717">
        <w:rPr>
          <w:i/>
          <w:iCs/>
          <w:sz w:val="20"/>
          <w:szCs w:val="22"/>
          <w:lang w:val="pt-BR"/>
        </w:rPr>
        <w:t>i</w:t>
      </w:r>
      <w:r w:rsidR="00F65938" w:rsidRPr="007F1717">
        <w:rPr>
          <w:sz w:val="20"/>
          <w:szCs w:val="22"/>
          <w:lang w:val="pt-BR"/>
        </w:rPr>
        <w:t>-</w:t>
      </w:r>
      <w:proofErr w:type="spellStart"/>
      <w:r w:rsidR="00F65938" w:rsidRPr="007F1717">
        <w:rPr>
          <w:sz w:val="20"/>
          <w:szCs w:val="22"/>
          <w:lang w:val="pt-BR"/>
        </w:rPr>
        <w:t>ésima</w:t>
      </w:r>
      <w:proofErr w:type="spellEnd"/>
      <w:r w:rsidR="00F65938" w:rsidRPr="007F1717">
        <w:rPr>
          <w:sz w:val="20"/>
          <w:szCs w:val="22"/>
          <w:lang w:val="pt-BR"/>
        </w:rPr>
        <w:t xml:space="preserve"> condição experimental. </w:t>
      </w:r>
      <w:r w:rsidR="007F1717" w:rsidRPr="007F1717">
        <w:rPr>
          <w:sz w:val="20"/>
          <w:szCs w:val="22"/>
          <w:lang w:val="pt-BR"/>
        </w:rPr>
        <w:t xml:space="preserve">Nesta equação, os </w:t>
      </w:r>
      <w:proofErr w:type="spellStart"/>
      <w:r w:rsidR="007F1717" w:rsidRPr="007F1717">
        <w:rPr>
          <w:sz w:val="20"/>
          <w:szCs w:val="22"/>
          <w:lang w:val="pt-BR"/>
        </w:rPr>
        <w:t>superscritos</w:t>
      </w:r>
      <w:proofErr w:type="spellEnd"/>
      <w:r w:rsidR="007F1717" w:rsidRPr="007F1717">
        <w:rPr>
          <w:sz w:val="20"/>
          <w:szCs w:val="22"/>
          <w:lang w:val="pt-BR"/>
        </w:rPr>
        <w:t xml:space="preserve"> </w:t>
      </w:r>
      <w:proofErr w:type="spellStart"/>
      <w:r w:rsidR="007F1717" w:rsidRPr="0042610C">
        <w:rPr>
          <w:i/>
          <w:iCs/>
          <w:sz w:val="20"/>
          <w:szCs w:val="20"/>
          <w:lang w:val="pt-BR"/>
        </w:rPr>
        <w:t>exp</w:t>
      </w:r>
      <w:proofErr w:type="spellEnd"/>
      <w:r w:rsidR="0042610C" w:rsidRPr="0042610C">
        <w:rPr>
          <w:sz w:val="20"/>
          <w:szCs w:val="20"/>
          <w:lang w:val="pt-BR"/>
        </w:rPr>
        <w:t xml:space="preserve"> e </w:t>
      </w:r>
      <w:proofErr w:type="spellStart"/>
      <w:r w:rsidR="0042610C" w:rsidRPr="0042610C">
        <w:rPr>
          <w:i/>
          <w:iCs/>
          <w:sz w:val="20"/>
          <w:szCs w:val="20"/>
          <w:lang w:val="pt-BR"/>
        </w:rPr>
        <w:t>mod</w:t>
      </w:r>
      <w:proofErr w:type="spellEnd"/>
      <w:r w:rsidR="0042610C" w:rsidRPr="0042610C">
        <w:rPr>
          <w:sz w:val="20"/>
          <w:szCs w:val="20"/>
          <w:lang w:val="pt-BR"/>
        </w:rPr>
        <w:t xml:space="preserve"> </w:t>
      </w:r>
      <w:r w:rsidR="0042610C">
        <w:rPr>
          <w:sz w:val="20"/>
          <w:szCs w:val="20"/>
          <w:lang w:val="pt-BR"/>
        </w:rPr>
        <w:t xml:space="preserve">se referem </w:t>
      </w:r>
      <w:r w:rsidR="003A7135">
        <w:rPr>
          <w:sz w:val="20"/>
          <w:szCs w:val="20"/>
          <w:lang w:val="pt-BR"/>
        </w:rPr>
        <w:t>às</w:t>
      </w:r>
      <w:r w:rsidR="0042610C">
        <w:rPr>
          <w:sz w:val="20"/>
          <w:szCs w:val="20"/>
          <w:lang w:val="pt-BR"/>
        </w:rPr>
        <w:t xml:space="preserve"> medidas experimentais ou </w:t>
      </w:r>
      <w:r w:rsidR="003A7135">
        <w:rPr>
          <w:sz w:val="20"/>
          <w:szCs w:val="20"/>
          <w:lang w:val="pt-BR"/>
        </w:rPr>
        <w:t xml:space="preserve">às predições </w:t>
      </w:r>
      <w:r w:rsidR="00F6216A" w:rsidRPr="0042610C">
        <w:rPr>
          <w:sz w:val="20"/>
          <w:szCs w:val="20"/>
          <w:lang w:val="pt-BR"/>
        </w:rPr>
        <w:t>obtida</w:t>
      </w:r>
      <w:r w:rsidR="003A7135">
        <w:rPr>
          <w:sz w:val="20"/>
          <w:szCs w:val="20"/>
          <w:lang w:val="pt-BR"/>
        </w:rPr>
        <w:t>s</w:t>
      </w:r>
      <w:r w:rsidR="00F6216A" w:rsidRPr="0042610C">
        <w:rPr>
          <w:sz w:val="20"/>
          <w:szCs w:val="20"/>
          <w:lang w:val="pt-BR"/>
        </w:rPr>
        <w:t xml:space="preserve"> pel</w:t>
      </w:r>
      <w:r w:rsidR="00CE1301" w:rsidRPr="0042610C">
        <w:rPr>
          <w:sz w:val="20"/>
          <w:szCs w:val="20"/>
          <w:lang w:val="pt-BR"/>
        </w:rPr>
        <w:t xml:space="preserve">a substituição das Equações (1) ou (4) </w:t>
      </w:r>
      <w:r w:rsidR="00E451A7" w:rsidRPr="0042610C">
        <w:rPr>
          <w:sz w:val="20"/>
          <w:szCs w:val="20"/>
          <w:lang w:val="pt-BR"/>
        </w:rPr>
        <w:t>na Equação (3) e integração da Equação (2).</w:t>
      </w:r>
      <w:r w:rsidR="00216B7E" w:rsidRPr="0042610C">
        <w:rPr>
          <w:sz w:val="20"/>
          <w:szCs w:val="20"/>
          <w:lang w:val="pt-BR"/>
        </w:rPr>
        <w:t xml:space="preserve"> </w:t>
      </w:r>
      <w:r w:rsidR="00152475" w:rsidRPr="00152475">
        <w:rPr>
          <w:sz w:val="20"/>
          <w:szCs w:val="20"/>
          <w:lang w:val="pt-BR"/>
        </w:rPr>
        <w:t>A minimização das funções objetivo foi realizada com auxílio do método de otimização por Enxame de Partículas</w:t>
      </w:r>
      <w:r w:rsidR="00721AF5">
        <w:rPr>
          <w:sz w:val="20"/>
          <w:szCs w:val="20"/>
          <w:lang w:val="pt-BR"/>
        </w:rPr>
        <w:t xml:space="preserve"> </w:t>
      </w:r>
      <w:r w:rsidR="0010683D">
        <w:rPr>
          <w:sz w:val="20"/>
          <w:szCs w:val="20"/>
          <w:lang w:val="pt-BR"/>
        </w:rPr>
        <w:t>aliado a</w:t>
      </w:r>
      <w:r w:rsidR="00152475" w:rsidRPr="00152475">
        <w:rPr>
          <w:sz w:val="20"/>
          <w:szCs w:val="20"/>
          <w:lang w:val="pt-BR"/>
        </w:rPr>
        <w:t>o método de Gauss-Newton</w:t>
      </w:r>
      <w:r w:rsidR="0010683D">
        <w:rPr>
          <w:sz w:val="20"/>
          <w:szCs w:val="20"/>
          <w:lang w:val="pt-BR"/>
        </w:rPr>
        <w:t>, conforme apresentado na literatura (</w:t>
      </w:r>
      <w:r w:rsidR="00784266">
        <w:rPr>
          <w:sz w:val="20"/>
          <w:szCs w:val="20"/>
          <w:lang w:val="pt-BR"/>
        </w:rPr>
        <w:t>18</w:t>
      </w:r>
      <w:r w:rsidR="002C47D9">
        <w:rPr>
          <w:sz w:val="20"/>
          <w:szCs w:val="20"/>
          <w:lang w:val="pt-BR"/>
        </w:rPr>
        <w:t>)</w:t>
      </w:r>
    </w:p>
    <w:p w14:paraId="4956FF12" w14:textId="77777777" w:rsidR="004A3CDC" w:rsidRPr="003E30E4" w:rsidRDefault="004A3CDC" w:rsidP="004A3CDC">
      <w:pPr>
        <w:pStyle w:val="TextFirstParagraph"/>
        <w:widowControl w:val="0"/>
        <w:spacing w:line="240" w:lineRule="exact"/>
        <w:rPr>
          <w:sz w:val="20"/>
          <w:szCs w:val="20"/>
          <w:lang w:val="pt-BR"/>
        </w:rPr>
      </w:pPr>
    </w:p>
    <w:p w14:paraId="08B0217C" w14:textId="1C591A8D" w:rsidR="00AB2CE2" w:rsidRPr="003E30E4" w:rsidRDefault="0060637A" w:rsidP="00804F5D">
      <w:pPr>
        <w:pStyle w:val="Recuodecorpodetexto2"/>
        <w:tabs>
          <w:tab w:val="center" w:pos="2364"/>
          <w:tab w:val="right" w:pos="4734"/>
        </w:tabs>
        <w:spacing w:before="0" w:after="0" w:line="360" w:lineRule="auto"/>
        <w:ind w:right="0" w:firstLine="204"/>
        <w:jc w:val="left"/>
        <w:rPr>
          <w:rFonts w:ascii="Times New Roman" w:hAnsi="Times New Roman" w:cs="Times New Roman"/>
          <w:sz w:val="20"/>
          <w:lang w:val="pt-BR"/>
        </w:rPr>
      </w:pPr>
      <w:r>
        <w:rPr>
          <w:rFonts w:ascii="Times New Roman" w:hAnsi="Times New Roman" w:cs="Times New Roman"/>
          <w:sz w:val="20"/>
          <w:lang w:val="pt-BR"/>
        </w:rPr>
        <w:tab/>
      </w:r>
      <w:r w:rsidR="003B6BE7" w:rsidRPr="00767AB4">
        <w:rPr>
          <w:position w:val="-24"/>
        </w:rPr>
        <w:object w:dxaOrig="2060" w:dyaOrig="580" w14:anchorId="32DE2B18">
          <v:shape id="_x0000_i1029" type="#_x0000_t75" style="width:102.6pt;height:28.8pt" o:ole="">
            <v:imagedata r:id="rId17" o:title=""/>
          </v:shape>
          <o:OLEObject Type="Embed" ProgID="Equation.DSMT4" ShapeID="_x0000_i1029" DrawAspect="Content" ObjectID="_1744365368" r:id="rId18"/>
        </w:object>
      </w:r>
      <w:r>
        <w:rPr>
          <w:rFonts w:ascii="Times New Roman" w:hAnsi="Times New Roman" w:cs="Times New Roman"/>
          <w:sz w:val="20"/>
          <w:lang w:val="pt-BR"/>
        </w:rPr>
        <w:tab/>
      </w:r>
      <w:r w:rsidR="00AB2CE2" w:rsidRPr="003E30E4">
        <w:rPr>
          <w:rFonts w:ascii="Times New Roman" w:hAnsi="Times New Roman" w:cs="Times New Roman"/>
          <w:sz w:val="20"/>
          <w:lang w:val="pt-BR"/>
        </w:rPr>
        <w:t>(</w:t>
      </w:r>
      <w:r w:rsidR="00804F5D">
        <w:rPr>
          <w:rFonts w:ascii="Times New Roman" w:hAnsi="Times New Roman" w:cs="Times New Roman"/>
          <w:sz w:val="20"/>
          <w:lang w:val="pt-BR"/>
        </w:rPr>
        <w:t>5</w:t>
      </w:r>
      <w:r w:rsidR="00AB2CE2" w:rsidRPr="003E30E4">
        <w:rPr>
          <w:rFonts w:ascii="Times New Roman" w:hAnsi="Times New Roman" w:cs="Times New Roman"/>
          <w:sz w:val="20"/>
          <w:lang w:val="pt-BR"/>
        </w:rPr>
        <w:t>)</w:t>
      </w:r>
    </w:p>
    <w:p w14:paraId="2EF2A261" w14:textId="16B62F8C" w:rsidR="00CD7BD0" w:rsidRDefault="00CD7BD0" w:rsidP="00CD7BD0">
      <w:pPr>
        <w:pStyle w:val="TextFirstParagraph"/>
        <w:widowControl w:val="0"/>
        <w:tabs>
          <w:tab w:val="center" w:pos="2364"/>
          <w:tab w:val="right" w:pos="4734"/>
        </w:tabs>
        <w:spacing w:line="36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ab/>
      </w:r>
      <w:r w:rsidR="00BD3F3F" w:rsidRPr="00BD3F3F">
        <w:rPr>
          <w:position w:val="-28"/>
          <w:sz w:val="20"/>
          <w:lang w:val="pt-BR"/>
        </w:rPr>
        <w:object w:dxaOrig="2079" w:dyaOrig="740" w14:anchorId="2BA9B695">
          <v:shape id="_x0000_i1030" type="#_x0000_t75" style="width:104.4pt;height:37.2pt" o:ole="">
            <v:imagedata r:id="rId19" o:title=""/>
          </v:shape>
          <o:OLEObject Type="Embed" ProgID="Equation.DSMT4" ShapeID="_x0000_i1030" DrawAspect="Content" ObjectID="_1744365369" r:id="rId20"/>
        </w:object>
      </w:r>
      <w:r>
        <w:rPr>
          <w:sz w:val="20"/>
          <w:szCs w:val="20"/>
          <w:lang w:val="pt-BR"/>
        </w:rPr>
        <w:tab/>
        <w:t>(6)</w:t>
      </w:r>
    </w:p>
    <w:p w14:paraId="66883103" w14:textId="77777777" w:rsidR="00CD7BD0" w:rsidRDefault="00CD7BD0" w:rsidP="00476AD3">
      <w:pPr>
        <w:pStyle w:val="Recuodecorpodetexto2"/>
        <w:spacing w:before="0" w:after="0" w:line="240" w:lineRule="exact"/>
        <w:ind w:right="0" w:firstLine="0"/>
        <w:rPr>
          <w:rFonts w:ascii="Times New Roman" w:hAnsi="Times New Roman" w:cs="Times New Roman"/>
          <w:sz w:val="20"/>
          <w:lang w:val="pt-BR"/>
        </w:rPr>
      </w:pPr>
    </w:p>
    <w:p w14:paraId="3EDA5F81" w14:textId="218187C9" w:rsidR="00377AC0" w:rsidRDefault="00AB2CE2" w:rsidP="00875E0F">
      <w:pPr>
        <w:pStyle w:val="Recuodecorpodetexto2"/>
        <w:spacing w:before="0" w:after="0" w:line="240" w:lineRule="exact"/>
        <w:ind w:right="0" w:firstLine="204"/>
        <w:rPr>
          <w:rFonts w:ascii="Times New Roman" w:hAnsi="Times New Roman" w:cs="Times New Roman"/>
          <w:sz w:val="20"/>
          <w:lang w:val="pt-BR"/>
        </w:rPr>
      </w:pPr>
      <w:r w:rsidRPr="003E30E4">
        <w:rPr>
          <w:rFonts w:ascii="Times New Roman" w:hAnsi="Times New Roman" w:cs="Times New Roman"/>
          <w:sz w:val="20"/>
          <w:lang w:val="pt-BR"/>
        </w:rPr>
        <w:t>A variância da conversão para cada ponto experimental foi determinada pela Equação</w:t>
      </w:r>
      <w:r w:rsidR="001376D2">
        <w:rPr>
          <w:rFonts w:ascii="Times New Roman" w:hAnsi="Times New Roman" w:cs="Times New Roman"/>
          <w:sz w:val="20"/>
          <w:lang w:val="pt-BR"/>
        </w:rPr>
        <w:t> (7)</w:t>
      </w:r>
      <w:r w:rsidRPr="003E30E4">
        <w:rPr>
          <w:rFonts w:ascii="Times New Roman" w:hAnsi="Times New Roman" w:cs="Times New Roman"/>
          <w:sz w:val="20"/>
          <w:lang w:val="pt-BR"/>
        </w:rPr>
        <w:t xml:space="preserve">, que estabelece como esta variância muda com a conversão </w:t>
      </w:r>
      <w:r w:rsidR="001D0CCA">
        <w:rPr>
          <w:rFonts w:ascii="Times New Roman" w:hAnsi="Times New Roman" w:cs="Times New Roman"/>
          <w:sz w:val="20"/>
          <w:lang w:val="pt-BR"/>
        </w:rPr>
        <w:t>(</w:t>
      </w:r>
      <w:r w:rsidR="00784266">
        <w:rPr>
          <w:rFonts w:ascii="Times New Roman" w:hAnsi="Times New Roman" w:cs="Times New Roman"/>
          <w:sz w:val="20"/>
          <w:lang w:val="pt-BR"/>
        </w:rPr>
        <w:t>16</w:t>
      </w:r>
      <w:r w:rsidR="001D0CCA">
        <w:rPr>
          <w:rFonts w:ascii="Times New Roman" w:hAnsi="Times New Roman" w:cs="Times New Roman"/>
          <w:sz w:val="20"/>
          <w:lang w:val="pt-BR"/>
        </w:rPr>
        <w:t>)</w:t>
      </w:r>
      <w:r w:rsidRPr="003E30E4">
        <w:rPr>
          <w:rFonts w:ascii="Times New Roman" w:hAnsi="Times New Roman" w:cs="Times New Roman"/>
          <w:sz w:val="20"/>
          <w:lang w:val="pt-BR"/>
        </w:rPr>
        <w:t>. Para o uso desta equação, fo</w:t>
      </w:r>
      <w:r w:rsidR="00332655">
        <w:rPr>
          <w:rFonts w:ascii="Times New Roman" w:hAnsi="Times New Roman" w:cs="Times New Roman"/>
          <w:sz w:val="20"/>
          <w:lang w:val="pt-BR"/>
        </w:rPr>
        <w:t>ram obtidas estimativas para os parâmetros</w:t>
      </w:r>
      <w:r w:rsidRPr="003E30E4">
        <w:rPr>
          <w:rFonts w:ascii="Times New Roman" w:hAnsi="Times New Roman" w:cs="Times New Roman"/>
          <w:sz w:val="20"/>
          <w:lang w:val="pt-BR"/>
        </w:rPr>
        <w:t xml:space="preserve"> de </w:t>
      </w:r>
      <w:r w:rsidRPr="00BE591B">
        <w:rPr>
          <w:rFonts w:ascii="Times New Roman" w:hAnsi="Times New Roman" w:cs="Times New Roman"/>
          <w:i/>
          <w:iCs/>
          <w:sz w:val="20"/>
          <w:lang w:val="pt-BR"/>
        </w:rPr>
        <w:t>C</w:t>
      </w:r>
      <w:r w:rsidRPr="003E30E4">
        <w:rPr>
          <w:rFonts w:ascii="Times New Roman" w:hAnsi="Times New Roman" w:cs="Times New Roman"/>
          <w:sz w:val="20"/>
          <w:lang w:val="pt-BR"/>
        </w:rPr>
        <w:t xml:space="preserve"> e</w:t>
      </w:r>
      <w:r w:rsidR="008B3903">
        <w:rPr>
          <w:rFonts w:ascii="Times New Roman" w:hAnsi="Times New Roman" w:cs="Times New Roman"/>
          <w:sz w:val="20"/>
          <w:lang w:val="pt-BR"/>
        </w:rPr>
        <w:t xml:space="preserve"> </w:t>
      </w:r>
      <w:r w:rsidR="00BD3F3F" w:rsidRPr="00BD3F3F">
        <w:rPr>
          <w:rFonts w:ascii="Times New Roman" w:hAnsi="Times New Roman" w:cs="Times New Roman"/>
          <w:position w:val="-12"/>
          <w:sz w:val="20"/>
          <w:lang w:val="pt-BR"/>
        </w:rPr>
        <w:object w:dxaOrig="420" w:dyaOrig="340" w14:anchorId="276328F1">
          <v:shape id="_x0000_i1031" type="#_x0000_t75" style="width:21.6pt;height:16.8pt" o:ole="">
            <v:imagedata r:id="rId21" o:title=""/>
          </v:shape>
          <o:OLEObject Type="Embed" ProgID="Equation.DSMT4" ShapeID="_x0000_i1031" DrawAspect="Content" ObjectID="_1744365370" r:id="rId22"/>
        </w:object>
      </w:r>
      <w:r w:rsidR="001965EE">
        <w:rPr>
          <w:rFonts w:ascii="Times New Roman" w:hAnsi="Times New Roman" w:cs="Times New Roman"/>
          <w:sz w:val="20"/>
          <w:lang w:val="pt-BR"/>
        </w:rPr>
        <w:t>,</w:t>
      </w:r>
      <w:r w:rsidRPr="003E30E4">
        <w:rPr>
          <w:rFonts w:ascii="Times New Roman" w:hAnsi="Times New Roman" w:cs="Times New Roman"/>
          <w:sz w:val="20"/>
          <w:lang w:val="pt-BR"/>
        </w:rPr>
        <w:t xml:space="preserve"> </w:t>
      </w:r>
      <w:r w:rsidR="00681759">
        <w:rPr>
          <w:rFonts w:ascii="Times New Roman" w:hAnsi="Times New Roman" w:cs="Times New Roman"/>
          <w:sz w:val="20"/>
          <w:lang w:val="pt-BR"/>
        </w:rPr>
        <w:t xml:space="preserve">através do ajuste da Equação (7) às medidas </w:t>
      </w:r>
      <w:r w:rsidR="007E58AF">
        <w:rPr>
          <w:rFonts w:ascii="Times New Roman" w:hAnsi="Times New Roman" w:cs="Times New Roman"/>
          <w:sz w:val="20"/>
          <w:lang w:val="pt-BR"/>
        </w:rPr>
        <w:t xml:space="preserve">da variância determinadas pelas réplicas do ponto central da malha experimental. </w:t>
      </w:r>
    </w:p>
    <w:p w14:paraId="2496AE99" w14:textId="77777777" w:rsidR="00031ED8" w:rsidRDefault="00031ED8" w:rsidP="006F65CC">
      <w:pPr>
        <w:pStyle w:val="Recuodecorpodetexto2"/>
        <w:spacing w:before="0" w:after="0" w:line="240" w:lineRule="exact"/>
        <w:ind w:right="0" w:firstLine="0"/>
        <w:rPr>
          <w:rFonts w:ascii="Times New Roman" w:hAnsi="Times New Roman" w:cs="Times New Roman"/>
          <w:sz w:val="20"/>
          <w:lang w:val="pt-BR"/>
        </w:rPr>
      </w:pPr>
    </w:p>
    <w:p w14:paraId="103932EB" w14:textId="61B7EB27" w:rsidR="00377AC0" w:rsidRDefault="0069698B" w:rsidP="0069698B">
      <w:pPr>
        <w:pStyle w:val="Recuodecorpodetexto2"/>
        <w:tabs>
          <w:tab w:val="center" w:pos="2364"/>
          <w:tab w:val="right" w:pos="4734"/>
        </w:tabs>
        <w:spacing w:before="0" w:after="0" w:line="360" w:lineRule="auto"/>
        <w:ind w:right="0" w:firstLine="0"/>
        <w:rPr>
          <w:rFonts w:ascii="Times New Roman" w:hAnsi="Times New Roman" w:cs="Times New Roman"/>
          <w:sz w:val="20"/>
          <w:lang w:val="pt-BR"/>
        </w:rPr>
      </w:pPr>
      <w:r>
        <w:rPr>
          <w:rFonts w:ascii="Times New Roman" w:hAnsi="Times New Roman" w:cs="Times New Roman"/>
          <w:sz w:val="20"/>
          <w:lang w:val="pt-BR"/>
        </w:rPr>
        <w:tab/>
      </w:r>
      <w:r w:rsidR="00855DC9" w:rsidRPr="00855DC9">
        <w:rPr>
          <w:rFonts w:ascii="Times New Roman" w:hAnsi="Times New Roman" w:cs="Times New Roman"/>
          <w:position w:val="-16"/>
          <w:sz w:val="20"/>
          <w:lang w:val="pt-BR"/>
        </w:rPr>
        <w:object w:dxaOrig="3460" w:dyaOrig="460" w14:anchorId="2AD36F26">
          <v:shape id="_x0000_i1032" type="#_x0000_t75" style="width:172.8pt;height:23.4pt" o:ole="">
            <v:imagedata r:id="rId23" o:title=""/>
          </v:shape>
          <o:OLEObject Type="Embed" ProgID="Equation.DSMT4" ShapeID="_x0000_i1032" DrawAspect="Content" ObjectID="_1744365371" r:id="rId24"/>
        </w:object>
      </w:r>
      <w:r>
        <w:rPr>
          <w:rFonts w:ascii="Times New Roman" w:hAnsi="Times New Roman" w:cs="Times New Roman"/>
          <w:sz w:val="20"/>
          <w:lang w:val="pt-BR"/>
        </w:rPr>
        <w:tab/>
        <w:t>(7)</w:t>
      </w:r>
    </w:p>
    <w:p w14:paraId="007735C0" w14:textId="77777777" w:rsidR="001965EE" w:rsidRDefault="001965EE" w:rsidP="006F65CC">
      <w:pPr>
        <w:pStyle w:val="Recuodecorpodetexto2"/>
        <w:spacing w:before="0" w:after="0" w:line="240" w:lineRule="exact"/>
        <w:ind w:right="0" w:firstLine="0"/>
        <w:rPr>
          <w:rFonts w:ascii="Times New Roman" w:hAnsi="Times New Roman" w:cs="Times New Roman"/>
          <w:sz w:val="20"/>
          <w:lang w:val="pt-BR"/>
        </w:rPr>
      </w:pPr>
    </w:p>
    <w:p w14:paraId="601307F1" w14:textId="11DEE0B9" w:rsidR="00377AC0" w:rsidRPr="00BC2086" w:rsidRDefault="00523D9F" w:rsidP="00494CDA">
      <w:pPr>
        <w:pStyle w:val="Recuodecorpodetexto2"/>
        <w:spacing w:before="0" w:after="0" w:line="240" w:lineRule="exact"/>
        <w:ind w:right="0" w:firstLine="204"/>
        <w:rPr>
          <w:rFonts w:ascii="Times New Roman" w:hAnsi="Times New Roman" w:cs="Times New Roman"/>
          <w:sz w:val="20"/>
          <w:lang w:val="pt-BR"/>
        </w:rPr>
      </w:pPr>
      <w:r>
        <w:rPr>
          <w:rFonts w:ascii="Times New Roman" w:hAnsi="Times New Roman" w:cs="Times New Roman"/>
          <w:sz w:val="20"/>
          <w:lang w:val="pt-BR"/>
        </w:rPr>
        <w:t>As incertezas das estimativas paramétricas foram</w:t>
      </w:r>
      <w:r w:rsidR="00292909">
        <w:rPr>
          <w:rFonts w:ascii="Times New Roman" w:hAnsi="Times New Roman" w:cs="Times New Roman"/>
          <w:sz w:val="20"/>
          <w:lang w:val="pt-BR"/>
        </w:rPr>
        <w:t xml:space="preserve"> </w:t>
      </w:r>
      <w:r w:rsidR="00375335">
        <w:rPr>
          <w:rFonts w:ascii="Times New Roman" w:hAnsi="Times New Roman" w:cs="Times New Roman"/>
          <w:sz w:val="20"/>
          <w:lang w:val="pt-BR"/>
        </w:rPr>
        <w:t>determinadas</w:t>
      </w:r>
      <w:r w:rsidR="00292909">
        <w:rPr>
          <w:rFonts w:ascii="Times New Roman" w:hAnsi="Times New Roman" w:cs="Times New Roman"/>
          <w:sz w:val="20"/>
          <w:lang w:val="pt-BR"/>
        </w:rPr>
        <w:t xml:space="preserve"> pela co</w:t>
      </w:r>
      <w:r w:rsidR="00E63E30">
        <w:rPr>
          <w:rFonts w:ascii="Times New Roman" w:hAnsi="Times New Roman" w:cs="Times New Roman"/>
          <w:sz w:val="20"/>
          <w:lang w:val="pt-BR"/>
        </w:rPr>
        <w:t xml:space="preserve">mputação da matriz de covariâncias dos parâmetros, </w:t>
      </w:r>
      <w:proofErr w:type="spellStart"/>
      <w:r w:rsidR="00E63E30" w:rsidRPr="00523D9F">
        <w:rPr>
          <w:rFonts w:ascii="Times New Roman" w:hAnsi="Times New Roman" w:cs="Times New Roman"/>
          <w:b/>
          <w:bCs/>
          <w:sz w:val="20"/>
          <w:lang w:val="pt-BR"/>
        </w:rPr>
        <w:t>V</w:t>
      </w:r>
      <w:r w:rsidR="00E63E30" w:rsidRPr="00523D9F">
        <w:rPr>
          <w:rFonts w:ascii="Times New Roman" w:hAnsi="Times New Roman" w:cs="Times New Roman"/>
          <w:b/>
          <w:bCs/>
          <w:sz w:val="20"/>
          <w:vertAlign w:val="subscript"/>
          <w:lang w:val="pt-BR"/>
        </w:rPr>
        <w:t>θ</w:t>
      </w:r>
      <w:proofErr w:type="spellEnd"/>
      <w:r w:rsidR="00E63E30" w:rsidRPr="003F497D">
        <w:rPr>
          <w:rFonts w:ascii="Times New Roman" w:hAnsi="Times New Roman" w:cs="Times New Roman"/>
          <w:sz w:val="20"/>
          <w:lang w:val="pt-BR"/>
        </w:rPr>
        <w:t>,</w:t>
      </w:r>
      <w:r w:rsidR="00E63E30">
        <w:rPr>
          <w:rFonts w:ascii="Times New Roman" w:hAnsi="Times New Roman" w:cs="Times New Roman"/>
          <w:sz w:val="20"/>
          <w:lang w:val="pt-BR"/>
        </w:rPr>
        <w:t xml:space="preserve"> dada pela Equação (8)</w:t>
      </w:r>
      <w:r>
        <w:rPr>
          <w:rFonts w:ascii="Times New Roman" w:hAnsi="Times New Roman" w:cs="Times New Roman"/>
          <w:sz w:val="20"/>
          <w:lang w:val="pt-BR"/>
        </w:rPr>
        <w:t xml:space="preserve">. Nesta equação, </w:t>
      </w:r>
      <w:r w:rsidRPr="00214287">
        <w:rPr>
          <w:rFonts w:ascii="Times New Roman" w:hAnsi="Times New Roman" w:cs="Times New Roman"/>
          <w:b/>
          <w:bCs/>
          <w:sz w:val="20"/>
          <w:lang w:val="pt-BR"/>
        </w:rPr>
        <w:t>B</w:t>
      </w:r>
      <w:r>
        <w:rPr>
          <w:rFonts w:ascii="Times New Roman" w:hAnsi="Times New Roman" w:cs="Times New Roman"/>
          <w:sz w:val="20"/>
          <w:lang w:val="pt-BR"/>
        </w:rPr>
        <w:t xml:space="preserve"> é a matriz de sensibilidades do modelo, que </w:t>
      </w:r>
      <w:r w:rsidR="007F7B7A">
        <w:rPr>
          <w:rFonts w:ascii="Times New Roman" w:hAnsi="Times New Roman" w:cs="Times New Roman"/>
          <w:sz w:val="20"/>
          <w:lang w:val="pt-BR"/>
        </w:rPr>
        <w:t>é constituída pelas derivadas do modelo em relação aos seus parâmetros</w:t>
      </w:r>
      <w:r w:rsidR="007D47DF">
        <w:rPr>
          <w:rFonts w:ascii="Times New Roman" w:hAnsi="Times New Roman" w:cs="Times New Roman"/>
          <w:sz w:val="20"/>
          <w:lang w:val="pt-BR"/>
        </w:rPr>
        <w:t xml:space="preserve">, e </w:t>
      </w:r>
      <w:r w:rsidR="00DB4DD5" w:rsidRPr="00DB4DD5">
        <w:rPr>
          <w:rFonts w:ascii="Times New Roman" w:hAnsi="Times New Roman" w:cs="Times New Roman"/>
          <w:b/>
          <w:bCs/>
          <w:sz w:val="20"/>
          <w:lang w:val="pt-BR"/>
        </w:rPr>
        <w:t>V</w:t>
      </w:r>
      <w:r w:rsidR="00DB4DD5" w:rsidRPr="00DB4DD5">
        <w:rPr>
          <w:rFonts w:ascii="Times New Roman" w:hAnsi="Times New Roman" w:cs="Times New Roman"/>
          <w:sz w:val="20"/>
          <w:vertAlign w:val="subscript"/>
          <w:lang w:val="pt-BR"/>
        </w:rPr>
        <w:t>y</w:t>
      </w:r>
      <w:r w:rsidR="00DB4DD5" w:rsidRPr="00DB4DD5">
        <w:rPr>
          <w:rFonts w:ascii="Times New Roman" w:hAnsi="Times New Roman" w:cs="Times New Roman"/>
          <w:sz w:val="20"/>
          <w:vertAlign w:val="superscript"/>
          <w:lang w:val="pt-BR"/>
        </w:rPr>
        <w:t>-</w:t>
      </w:r>
      <w:r w:rsidR="002D2494">
        <w:rPr>
          <w:rFonts w:ascii="Times New Roman" w:hAnsi="Times New Roman" w:cs="Times New Roman"/>
          <w:sz w:val="20"/>
          <w:vertAlign w:val="superscript"/>
          <w:lang w:val="pt-BR"/>
        </w:rPr>
        <w:t>1</w:t>
      </w:r>
      <w:r w:rsidR="002D2494">
        <w:rPr>
          <w:rFonts w:ascii="Times New Roman" w:hAnsi="Times New Roman" w:cs="Times New Roman"/>
          <w:sz w:val="20"/>
          <w:lang w:val="pt-BR"/>
        </w:rPr>
        <w:t xml:space="preserve"> é a matriz de covariâncias </w:t>
      </w:r>
      <w:r w:rsidR="00375335">
        <w:rPr>
          <w:rFonts w:ascii="Times New Roman" w:hAnsi="Times New Roman" w:cs="Times New Roman"/>
          <w:sz w:val="20"/>
          <w:lang w:val="pt-BR"/>
        </w:rPr>
        <w:t>das medidas experimentais</w:t>
      </w:r>
      <w:r w:rsidR="002D2494">
        <w:rPr>
          <w:rFonts w:ascii="Times New Roman" w:hAnsi="Times New Roman" w:cs="Times New Roman"/>
          <w:sz w:val="20"/>
          <w:lang w:val="pt-BR"/>
        </w:rPr>
        <w:t xml:space="preserve"> de </w:t>
      </w:r>
      <w:r w:rsidR="002D2494" w:rsidRPr="00375335">
        <w:rPr>
          <w:rFonts w:ascii="Times New Roman" w:hAnsi="Times New Roman" w:cs="Times New Roman"/>
          <w:i/>
          <w:iCs/>
          <w:sz w:val="20"/>
          <w:lang w:val="pt-BR"/>
        </w:rPr>
        <w:t>X</w:t>
      </w:r>
      <w:r w:rsidR="002D2494" w:rsidRPr="00375335">
        <w:rPr>
          <w:rFonts w:ascii="Times New Roman" w:hAnsi="Times New Roman" w:cs="Times New Roman"/>
          <w:i/>
          <w:iCs/>
          <w:sz w:val="20"/>
          <w:vertAlign w:val="subscript"/>
          <w:lang w:val="pt-BR"/>
        </w:rPr>
        <w:t>CE</w:t>
      </w:r>
      <w:r w:rsidR="00375335">
        <w:rPr>
          <w:rFonts w:ascii="Times New Roman" w:hAnsi="Times New Roman" w:cs="Times New Roman"/>
          <w:sz w:val="20"/>
          <w:lang w:val="pt-BR"/>
        </w:rPr>
        <w:t>.</w:t>
      </w:r>
      <w:r w:rsidR="00950830">
        <w:rPr>
          <w:rFonts w:ascii="Times New Roman" w:hAnsi="Times New Roman" w:cs="Times New Roman"/>
          <w:sz w:val="20"/>
          <w:lang w:val="pt-BR"/>
        </w:rPr>
        <w:t xml:space="preserve"> </w:t>
      </w:r>
      <w:r w:rsidR="00C00553">
        <w:rPr>
          <w:rFonts w:ascii="Times New Roman" w:hAnsi="Times New Roman" w:cs="Times New Roman"/>
          <w:sz w:val="20"/>
          <w:lang w:val="pt-BR"/>
        </w:rPr>
        <w:t xml:space="preserve">Além de </w:t>
      </w:r>
      <w:r w:rsidR="00BC635E">
        <w:rPr>
          <w:rFonts w:ascii="Times New Roman" w:hAnsi="Times New Roman" w:cs="Times New Roman"/>
          <w:sz w:val="20"/>
          <w:lang w:val="pt-BR"/>
        </w:rPr>
        <w:t xml:space="preserve">fornecer os valores das variâncias e covariâncias das estimativas paramétricas, </w:t>
      </w:r>
      <w:r w:rsidR="003F497D">
        <w:rPr>
          <w:rFonts w:ascii="Times New Roman" w:hAnsi="Times New Roman" w:cs="Times New Roman"/>
          <w:sz w:val="20"/>
          <w:lang w:val="pt-BR"/>
        </w:rPr>
        <w:t xml:space="preserve">a matriz </w:t>
      </w:r>
      <w:proofErr w:type="spellStart"/>
      <w:r w:rsidR="003F497D" w:rsidRPr="00523D9F">
        <w:rPr>
          <w:rFonts w:ascii="Times New Roman" w:hAnsi="Times New Roman" w:cs="Times New Roman"/>
          <w:b/>
          <w:bCs/>
          <w:sz w:val="20"/>
          <w:lang w:val="pt-BR"/>
        </w:rPr>
        <w:t>V</w:t>
      </w:r>
      <w:r w:rsidR="003F497D" w:rsidRPr="00523D9F">
        <w:rPr>
          <w:rFonts w:ascii="Times New Roman" w:hAnsi="Times New Roman" w:cs="Times New Roman"/>
          <w:b/>
          <w:bCs/>
          <w:sz w:val="20"/>
          <w:vertAlign w:val="subscript"/>
          <w:lang w:val="pt-BR"/>
        </w:rPr>
        <w:t>θ</w:t>
      </w:r>
      <w:proofErr w:type="spellEnd"/>
      <w:r w:rsidR="003F497D">
        <w:rPr>
          <w:rFonts w:ascii="Times New Roman" w:hAnsi="Times New Roman" w:cs="Times New Roman"/>
          <w:b/>
          <w:bCs/>
          <w:sz w:val="20"/>
          <w:lang w:val="pt-BR"/>
        </w:rPr>
        <w:t xml:space="preserve"> </w:t>
      </w:r>
      <w:r w:rsidR="003F497D">
        <w:rPr>
          <w:rFonts w:ascii="Times New Roman" w:hAnsi="Times New Roman" w:cs="Times New Roman"/>
          <w:sz w:val="20"/>
          <w:lang w:val="pt-BR"/>
        </w:rPr>
        <w:t xml:space="preserve">foi também utilizada para a determinação das regiões de </w:t>
      </w:r>
      <w:r w:rsidR="003F497D">
        <w:rPr>
          <w:rFonts w:ascii="Times New Roman" w:hAnsi="Times New Roman" w:cs="Times New Roman"/>
          <w:sz w:val="20"/>
          <w:lang w:val="pt-BR"/>
        </w:rPr>
        <w:t xml:space="preserve">confiança </w:t>
      </w:r>
      <w:r w:rsidR="00D035D4">
        <w:rPr>
          <w:rFonts w:ascii="Times New Roman" w:hAnsi="Times New Roman" w:cs="Times New Roman"/>
          <w:sz w:val="20"/>
          <w:lang w:val="pt-BR"/>
        </w:rPr>
        <w:t>dos parâmetros, para um nível de confiança de 95%.</w:t>
      </w:r>
    </w:p>
    <w:p w14:paraId="49BB0EDC" w14:textId="77777777" w:rsidR="00292909" w:rsidRDefault="00292909" w:rsidP="00855DC9">
      <w:pPr>
        <w:pStyle w:val="Recuodecorpodetexto2"/>
        <w:spacing w:before="0" w:after="0" w:line="240" w:lineRule="exact"/>
        <w:ind w:right="0" w:firstLine="0"/>
        <w:rPr>
          <w:rFonts w:ascii="Times New Roman" w:hAnsi="Times New Roman" w:cs="Times New Roman"/>
          <w:sz w:val="20"/>
          <w:lang w:val="pt-BR"/>
        </w:rPr>
      </w:pPr>
    </w:p>
    <w:p w14:paraId="2E28E4DC" w14:textId="071DB559" w:rsidR="00A53973" w:rsidRDefault="000E2EDB" w:rsidP="00A53973">
      <w:pPr>
        <w:pStyle w:val="Recuodecorpodetexto2"/>
        <w:tabs>
          <w:tab w:val="center" w:pos="2364"/>
          <w:tab w:val="right" w:pos="4734"/>
        </w:tabs>
        <w:spacing w:before="0" w:after="0" w:line="360" w:lineRule="auto"/>
        <w:ind w:right="0" w:firstLine="0"/>
        <w:rPr>
          <w:rFonts w:ascii="Times New Roman" w:hAnsi="Times New Roman" w:cs="Times New Roman"/>
          <w:sz w:val="20"/>
          <w:lang w:val="pt-BR"/>
        </w:rPr>
      </w:pPr>
      <w:r>
        <w:rPr>
          <w:rFonts w:ascii="Times New Roman" w:hAnsi="Times New Roman" w:cs="Times New Roman"/>
          <w:sz w:val="20"/>
          <w:lang w:val="pt-BR"/>
        </w:rPr>
        <w:tab/>
      </w:r>
      <w:r w:rsidRPr="00997112">
        <w:rPr>
          <w:rFonts w:ascii="Times New Roman" w:hAnsi="Times New Roman" w:cs="Times New Roman"/>
          <w:position w:val="-14"/>
          <w:sz w:val="20"/>
          <w:lang w:val="pt-BR"/>
        </w:rPr>
        <w:object w:dxaOrig="1440" w:dyaOrig="420" w14:anchorId="74C4AAE0">
          <v:shape id="_x0000_i1033" type="#_x0000_t75" style="width:1in;height:21.6pt" o:ole="">
            <v:imagedata r:id="rId25" o:title=""/>
          </v:shape>
          <o:OLEObject Type="Embed" ProgID="Equation.DSMT4" ShapeID="_x0000_i1033" DrawAspect="Content" ObjectID="_1744365372" r:id="rId26"/>
        </w:object>
      </w:r>
      <w:r>
        <w:rPr>
          <w:rFonts w:ascii="Times New Roman" w:hAnsi="Times New Roman" w:cs="Times New Roman"/>
          <w:sz w:val="20"/>
          <w:lang w:val="pt-BR"/>
        </w:rPr>
        <w:tab/>
        <w:t>(8)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307595D3" w14:textId="6F1C60BF" w:rsidR="00E038AF" w:rsidRPr="00925815" w:rsidRDefault="00AB0732" w:rsidP="00A56579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 estimativas obtidas para os parâmetros </w:t>
      </w:r>
      <w:proofErr w:type="spellStart"/>
      <w:r w:rsidR="002F3B22" w:rsidRPr="00197A85">
        <w:rPr>
          <w:rFonts w:ascii="Times New Roman" w:hAnsi="Times New Roman"/>
          <w:i/>
          <w:iCs/>
          <w:lang w:val="pt-BR"/>
        </w:rPr>
        <w:t>ln</w:t>
      </w:r>
      <w:proofErr w:type="spellEnd"/>
      <w:r w:rsidR="002F3B22">
        <w:rPr>
          <w:rFonts w:ascii="Times New Roman" w:hAnsi="Times New Roman"/>
          <w:lang w:val="pt-BR"/>
        </w:rPr>
        <w:t>(</w:t>
      </w:r>
      <w:r w:rsidR="002F3B22" w:rsidRPr="00197A85">
        <w:rPr>
          <w:rFonts w:ascii="Times New Roman" w:hAnsi="Times New Roman"/>
          <w:i/>
          <w:iCs/>
          <w:lang w:val="pt-BR"/>
        </w:rPr>
        <w:t>A</w:t>
      </w:r>
      <w:r w:rsidR="002F3B22" w:rsidRPr="00770FFA">
        <w:rPr>
          <w:rFonts w:ascii="Times New Roman" w:hAnsi="Times New Roman"/>
          <w:vertAlign w:val="subscript"/>
          <w:lang w:val="pt-BR"/>
        </w:rPr>
        <w:t>0</w:t>
      </w:r>
      <w:r w:rsidR="002F3B22">
        <w:rPr>
          <w:rFonts w:ascii="Times New Roman" w:hAnsi="Times New Roman"/>
          <w:lang w:val="pt-BR"/>
        </w:rPr>
        <w:t xml:space="preserve">) e </w:t>
      </w:r>
      <w:proofErr w:type="spellStart"/>
      <w:r w:rsidR="002F3B22" w:rsidRPr="00197A85">
        <w:rPr>
          <w:rFonts w:ascii="Times New Roman" w:hAnsi="Times New Roman"/>
          <w:i/>
          <w:iCs/>
          <w:lang w:val="pt-BR"/>
        </w:rPr>
        <w:t>E</w:t>
      </w:r>
      <w:r w:rsidR="002F3B22" w:rsidRPr="00197A85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2F3B22">
        <w:rPr>
          <w:rFonts w:ascii="Times New Roman" w:hAnsi="Times New Roman"/>
          <w:lang w:val="pt-BR"/>
        </w:rPr>
        <w:t xml:space="preserve"> </w:t>
      </w:r>
      <w:r w:rsidR="005B2C2C">
        <w:rPr>
          <w:rFonts w:ascii="Times New Roman" w:hAnsi="Times New Roman"/>
          <w:lang w:val="pt-BR"/>
        </w:rPr>
        <w:t>através da mini</w:t>
      </w:r>
      <w:r w:rsidR="00526DBB">
        <w:rPr>
          <w:rFonts w:ascii="Times New Roman" w:hAnsi="Times New Roman"/>
          <w:lang w:val="pt-BR"/>
        </w:rPr>
        <w:t>mi</w:t>
      </w:r>
      <w:r w:rsidR="005B2C2C">
        <w:rPr>
          <w:rFonts w:ascii="Times New Roman" w:hAnsi="Times New Roman"/>
          <w:lang w:val="pt-BR"/>
        </w:rPr>
        <w:t>zação da Equação (5</w:t>
      </w:r>
      <w:r w:rsidR="00526DBB">
        <w:rPr>
          <w:rFonts w:ascii="Times New Roman" w:hAnsi="Times New Roman"/>
          <w:lang w:val="pt-BR"/>
        </w:rPr>
        <w:t>) e</w:t>
      </w:r>
      <w:r w:rsidR="002F3B22">
        <w:rPr>
          <w:rFonts w:ascii="Times New Roman" w:hAnsi="Times New Roman"/>
          <w:lang w:val="pt-BR"/>
        </w:rPr>
        <w:t xml:space="preserve"> </w:t>
      </w:r>
      <w:r w:rsidR="00D32BDE">
        <w:rPr>
          <w:rFonts w:ascii="Times New Roman" w:hAnsi="Times New Roman"/>
          <w:lang w:val="pt-BR"/>
        </w:rPr>
        <w:t xml:space="preserve">utilização da equação de Arrhenius na forma não </w:t>
      </w:r>
      <w:proofErr w:type="spellStart"/>
      <w:r w:rsidR="00D32BDE">
        <w:rPr>
          <w:rFonts w:ascii="Times New Roman" w:hAnsi="Times New Roman"/>
          <w:lang w:val="pt-BR"/>
        </w:rPr>
        <w:t>reparametrizada</w:t>
      </w:r>
      <w:proofErr w:type="spellEnd"/>
      <w:r w:rsidR="00D32BDE">
        <w:rPr>
          <w:rFonts w:ascii="Times New Roman" w:hAnsi="Times New Roman"/>
          <w:lang w:val="pt-BR"/>
        </w:rPr>
        <w:t xml:space="preserve"> –</w:t>
      </w:r>
      <w:r w:rsidR="002F3B22">
        <w:rPr>
          <w:rFonts w:ascii="Times New Roman" w:hAnsi="Times New Roman"/>
          <w:lang w:val="pt-BR"/>
        </w:rPr>
        <w:t xml:space="preserve"> Equação (1)</w:t>
      </w:r>
      <w:r w:rsidR="00D32BDE">
        <w:rPr>
          <w:rFonts w:ascii="Times New Roman" w:hAnsi="Times New Roman"/>
          <w:lang w:val="pt-BR"/>
        </w:rPr>
        <w:t xml:space="preserve"> –</w:t>
      </w:r>
      <w:r w:rsidR="002F3B22">
        <w:rPr>
          <w:rFonts w:ascii="Times New Roman" w:hAnsi="Times New Roman"/>
          <w:lang w:val="pt-BR"/>
        </w:rPr>
        <w:t xml:space="preserve"> são apresentadas na Figura 1</w:t>
      </w:r>
      <w:r w:rsidR="001A6E65">
        <w:rPr>
          <w:rFonts w:ascii="Times New Roman" w:hAnsi="Times New Roman"/>
          <w:lang w:val="pt-BR"/>
        </w:rPr>
        <w:t xml:space="preserve">. Nesta figura, cada par </w:t>
      </w:r>
      <w:proofErr w:type="spellStart"/>
      <w:r w:rsidR="001A6E65" w:rsidRPr="00197A85">
        <w:rPr>
          <w:rFonts w:ascii="Times New Roman" w:hAnsi="Times New Roman"/>
          <w:i/>
          <w:iCs/>
          <w:lang w:val="pt-BR"/>
        </w:rPr>
        <w:t>ln</w:t>
      </w:r>
      <w:proofErr w:type="spellEnd"/>
      <w:r w:rsidR="001A6E65">
        <w:rPr>
          <w:rFonts w:ascii="Times New Roman" w:hAnsi="Times New Roman"/>
          <w:lang w:val="pt-BR"/>
        </w:rPr>
        <w:t>(</w:t>
      </w:r>
      <w:r w:rsidR="001A6E65" w:rsidRPr="00197A85">
        <w:rPr>
          <w:rFonts w:ascii="Times New Roman" w:hAnsi="Times New Roman"/>
          <w:i/>
          <w:iCs/>
          <w:lang w:val="pt-BR"/>
        </w:rPr>
        <w:t>A</w:t>
      </w:r>
      <w:proofErr w:type="gramStart"/>
      <w:r w:rsidR="001A6E65" w:rsidRPr="00197A85">
        <w:rPr>
          <w:rFonts w:ascii="Times New Roman" w:hAnsi="Times New Roman"/>
          <w:vertAlign w:val="subscript"/>
          <w:lang w:val="pt-BR"/>
        </w:rPr>
        <w:t>0</w:t>
      </w:r>
      <w:r w:rsidR="001A6E65">
        <w:rPr>
          <w:rFonts w:ascii="Times New Roman" w:hAnsi="Times New Roman"/>
          <w:lang w:val="pt-BR"/>
        </w:rPr>
        <w:t>)-</w:t>
      </w:r>
      <w:proofErr w:type="spellStart"/>
      <w:proofErr w:type="gramEnd"/>
      <w:r w:rsidR="001A6E65" w:rsidRPr="00197A85">
        <w:rPr>
          <w:rFonts w:ascii="Times New Roman" w:hAnsi="Times New Roman"/>
          <w:i/>
          <w:iCs/>
          <w:lang w:val="pt-BR"/>
        </w:rPr>
        <w:t>E</w:t>
      </w:r>
      <w:r w:rsidR="001A6E65" w:rsidRPr="00197A85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1A6E65">
        <w:rPr>
          <w:rFonts w:ascii="Times New Roman" w:hAnsi="Times New Roman"/>
          <w:lang w:val="pt-BR"/>
        </w:rPr>
        <w:t xml:space="preserve"> é representado por um ponto</w:t>
      </w:r>
      <w:r w:rsidR="006466CF">
        <w:rPr>
          <w:rFonts w:ascii="Times New Roman" w:hAnsi="Times New Roman"/>
          <w:lang w:val="pt-BR"/>
        </w:rPr>
        <w:t xml:space="preserve"> obtido a </w:t>
      </w:r>
      <w:r w:rsidR="006466CF" w:rsidRPr="001E606C">
        <w:rPr>
          <w:rFonts w:ascii="Times New Roman" w:hAnsi="Times New Roman"/>
          <w:lang w:val="pt-BR"/>
        </w:rPr>
        <w:t xml:space="preserve">partir de um subconjunto de reações com </w:t>
      </w:r>
      <w:r w:rsidR="001E606C" w:rsidRPr="001E606C">
        <w:rPr>
          <w:rFonts w:ascii="Times New Roman" w:hAnsi="Times New Roman"/>
          <w:lang w:val="pt-BR"/>
        </w:rPr>
        <w:t>mesmos valores de massa de catalisador e temperatura do saturador. A</w:t>
      </w:r>
      <w:r w:rsidR="00925815" w:rsidRPr="001E606C">
        <w:rPr>
          <w:rFonts w:ascii="Times New Roman" w:hAnsi="Times New Roman"/>
          <w:lang w:val="pt-BR"/>
        </w:rPr>
        <w:t xml:space="preserve"> reta</w:t>
      </w:r>
      <w:r w:rsidR="00925815">
        <w:rPr>
          <w:rFonts w:ascii="Times New Roman" w:hAnsi="Times New Roman"/>
          <w:lang w:val="pt-BR"/>
        </w:rPr>
        <w:t xml:space="preserve"> da regressão de </w:t>
      </w:r>
      <w:proofErr w:type="spellStart"/>
      <w:r w:rsidR="00925815" w:rsidRPr="00925815">
        <w:rPr>
          <w:rFonts w:ascii="Times New Roman" w:hAnsi="Times New Roman"/>
          <w:i/>
          <w:iCs/>
          <w:lang w:val="pt-BR"/>
        </w:rPr>
        <w:t>ln</w:t>
      </w:r>
      <w:proofErr w:type="spellEnd"/>
      <w:r w:rsidR="00925815">
        <w:rPr>
          <w:rFonts w:ascii="Times New Roman" w:hAnsi="Times New Roman"/>
          <w:lang w:val="pt-BR"/>
        </w:rPr>
        <w:t>(</w:t>
      </w:r>
      <w:r w:rsidR="00925815" w:rsidRPr="00925815">
        <w:rPr>
          <w:rFonts w:ascii="Times New Roman" w:hAnsi="Times New Roman"/>
          <w:i/>
          <w:iCs/>
          <w:lang w:val="pt-BR"/>
        </w:rPr>
        <w:t>A</w:t>
      </w:r>
      <w:r w:rsidR="00925815" w:rsidRPr="00925815">
        <w:rPr>
          <w:rFonts w:ascii="Times New Roman" w:hAnsi="Times New Roman"/>
          <w:vertAlign w:val="subscript"/>
          <w:lang w:val="pt-BR"/>
        </w:rPr>
        <w:t>0</w:t>
      </w:r>
      <w:r w:rsidR="00925815">
        <w:rPr>
          <w:rFonts w:ascii="Times New Roman" w:hAnsi="Times New Roman"/>
          <w:lang w:val="pt-BR"/>
        </w:rPr>
        <w:t xml:space="preserve">) </w:t>
      </w:r>
      <w:proofErr w:type="spellStart"/>
      <w:r w:rsidR="00925815" w:rsidRPr="00925815">
        <w:rPr>
          <w:rFonts w:ascii="Times New Roman" w:hAnsi="Times New Roman"/>
          <w:i/>
          <w:iCs/>
          <w:lang w:val="pt-BR"/>
        </w:rPr>
        <w:t>vs</w:t>
      </w:r>
      <w:proofErr w:type="spellEnd"/>
      <w:r w:rsidR="00925815">
        <w:rPr>
          <w:rFonts w:ascii="Times New Roman" w:hAnsi="Times New Roman"/>
          <w:lang w:val="pt-BR"/>
        </w:rPr>
        <w:t xml:space="preserve"> </w:t>
      </w:r>
      <w:proofErr w:type="spellStart"/>
      <w:r w:rsidR="00925815" w:rsidRPr="00925815">
        <w:rPr>
          <w:rFonts w:ascii="Times New Roman" w:hAnsi="Times New Roman"/>
          <w:i/>
          <w:iCs/>
          <w:lang w:val="pt-BR"/>
        </w:rPr>
        <w:t>E</w:t>
      </w:r>
      <w:r w:rsidR="00925815" w:rsidRPr="00925815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925815">
        <w:rPr>
          <w:rFonts w:ascii="Times New Roman" w:hAnsi="Times New Roman"/>
          <w:lang w:val="pt-BR"/>
        </w:rPr>
        <w:t xml:space="preserve"> </w:t>
      </w:r>
      <w:r w:rsidR="00230DC0">
        <w:rPr>
          <w:rFonts w:ascii="Times New Roman" w:hAnsi="Times New Roman"/>
          <w:lang w:val="pt-BR"/>
        </w:rPr>
        <w:t>é dada pela linha pontilhada</w:t>
      </w:r>
      <w:r w:rsidR="005B2C2C">
        <w:rPr>
          <w:rFonts w:ascii="Times New Roman" w:hAnsi="Times New Roman"/>
          <w:lang w:val="pt-BR"/>
        </w:rPr>
        <w:t xml:space="preserve">. </w:t>
      </w:r>
      <w:r w:rsidR="00592E62">
        <w:rPr>
          <w:rFonts w:ascii="Times New Roman" w:hAnsi="Times New Roman"/>
          <w:lang w:val="pt-BR"/>
        </w:rPr>
        <w:t>Em uma rápida inspeção é</w:t>
      </w:r>
      <w:r w:rsidR="00230DC0">
        <w:rPr>
          <w:rFonts w:ascii="Times New Roman" w:hAnsi="Times New Roman"/>
          <w:lang w:val="pt-BR"/>
        </w:rPr>
        <w:t xml:space="preserve"> possível </w:t>
      </w:r>
      <w:r w:rsidR="00D55699">
        <w:rPr>
          <w:rFonts w:ascii="Times New Roman" w:hAnsi="Times New Roman"/>
          <w:lang w:val="pt-BR"/>
        </w:rPr>
        <w:t xml:space="preserve">observar </w:t>
      </w:r>
      <w:r w:rsidR="005C3E6D">
        <w:rPr>
          <w:rFonts w:ascii="Times New Roman" w:hAnsi="Times New Roman"/>
          <w:lang w:val="pt-BR"/>
        </w:rPr>
        <w:t>um</w:t>
      </w:r>
      <w:r w:rsidR="00131484">
        <w:rPr>
          <w:rFonts w:ascii="Times New Roman" w:hAnsi="Times New Roman"/>
          <w:lang w:val="pt-BR"/>
        </w:rPr>
        <w:t>a relação linear entre estes parâmetros</w:t>
      </w:r>
      <w:r w:rsidR="00BE3221">
        <w:rPr>
          <w:rFonts w:ascii="Times New Roman" w:hAnsi="Times New Roman"/>
          <w:lang w:val="pt-BR"/>
        </w:rPr>
        <w:t xml:space="preserve">, onde um aumento de </w:t>
      </w:r>
      <w:proofErr w:type="spellStart"/>
      <w:r w:rsidR="00BE3221" w:rsidRPr="00BD2E0D">
        <w:rPr>
          <w:rFonts w:ascii="Times New Roman" w:hAnsi="Times New Roman"/>
          <w:i/>
          <w:iCs/>
          <w:lang w:val="pt-BR"/>
        </w:rPr>
        <w:t>E</w:t>
      </w:r>
      <w:r w:rsidR="00BE3221" w:rsidRPr="00BD2E0D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BE3221">
        <w:rPr>
          <w:rFonts w:ascii="Times New Roman" w:hAnsi="Times New Roman"/>
          <w:lang w:val="pt-BR"/>
        </w:rPr>
        <w:t xml:space="preserve"> é </w:t>
      </w:r>
      <w:r w:rsidR="000D760C">
        <w:rPr>
          <w:rFonts w:ascii="Times New Roman" w:hAnsi="Times New Roman"/>
          <w:lang w:val="pt-BR"/>
        </w:rPr>
        <w:t>acompanhado</w:t>
      </w:r>
      <w:r w:rsidR="00BE3221">
        <w:rPr>
          <w:rFonts w:ascii="Times New Roman" w:hAnsi="Times New Roman"/>
          <w:lang w:val="pt-BR"/>
        </w:rPr>
        <w:t xml:space="preserve"> </w:t>
      </w:r>
      <w:r w:rsidR="00846858">
        <w:rPr>
          <w:rFonts w:ascii="Times New Roman" w:hAnsi="Times New Roman"/>
          <w:lang w:val="pt-BR"/>
        </w:rPr>
        <w:t xml:space="preserve">pelo aumento de </w:t>
      </w:r>
      <w:proofErr w:type="spellStart"/>
      <w:r w:rsidR="00846858" w:rsidRPr="008E5867">
        <w:rPr>
          <w:rFonts w:ascii="Times New Roman" w:hAnsi="Times New Roman"/>
          <w:i/>
          <w:iCs/>
          <w:lang w:val="pt-BR"/>
        </w:rPr>
        <w:t>ln</w:t>
      </w:r>
      <w:proofErr w:type="spellEnd"/>
      <w:r w:rsidR="00846858">
        <w:rPr>
          <w:rFonts w:ascii="Times New Roman" w:hAnsi="Times New Roman"/>
          <w:lang w:val="pt-BR"/>
        </w:rPr>
        <w:t>(</w:t>
      </w:r>
      <w:r w:rsidR="00846858" w:rsidRPr="008E5867">
        <w:rPr>
          <w:rFonts w:ascii="Times New Roman" w:hAnsi="Times New Roman"/>
          <w:i/>
          <w:iCs/>
          <w:lang w:val="pt-BR"/>
        </w:rPr>
        <w:t>A</w:t>
      </w:r>
      <w:r w:rsidR="00846858" w:rsidRPr="008E5867">
        <w:rPr>
          <w:rFonts w:ascii="Times New Roman" w:hAnsi="Times New Roman"/>
          <w:vertAlign w:val="subscript"/>
          <w:lang w:val="pt-BR"/>
        </w:rPr>
        <w:t>0</w:t>
      </w:r>
      <w:r w:rsidR="00846858">
        <w:rPr>
          <w:rFonts w:ascii="Times New Roman" w:hAnsi="Times New Roman"/>
          <w:lang w:val="pt-BR"/>
        </w:rPr>
        <w:t>)</w:t>
      </w:r>
      <w:r w:rsidR="000D760C">
        <w:rPr>
          <w:rFonts w:ascii="Times New Roman" w:hAnsi="Times New Roman"/>
          <w:lang w:val="pt-BR"/>
        </w:rPr>
        <w:t>.</w:t>
      </w:r>
      <w:r w:rsidR="008240D9">
        <w:rPr>
          <w:rFonts w:ascii="Times New Roman" w:hAnsi="Times New Roman"/>
          <w:lang w:val="pt-BR"/>
        </w:rPr>
        <w:t xml:space="preserve"> Isso </w:t>
      </w:r>
      <w:r w:rsidR="00644EF1">
        <w:rPr>
          <w:rFonts w:ascii="Times New Roman" w:hAnsi="Times New Roman"/>
          <w:lang w:val="pt-BR"/>
        </w:rPr>
        <w:t xml:space="preserve">é evidenciado pelo </w:t>
      </w:r>
      <w:r w:rsidR="00EC2DC1">
        <w:rPr>
          <w:rFonts w:ascii="Times New Roman" w:hAnsi="Times New Roman"/>
          <w:lang w:val="pt-BR"/>
        </w:rPr>
        <w:t xml:space="preserve">valor de </w:t>
      </w:r>
      <w:r w:rsidR="00EC2DC1" w:rsidRPr="00830D50">
        <w:rPr>
          <w:rFonts w:ascii="Times New Roman" w:hAnsi="Times New Roman"/>
          <w:i/>
          <w:iCs/>
          <w:lang w:val="pt-BR"/>
        </w:rPr>
        <w:t>R</w:t>
      </w:r>
      <w:r w:rsidR="00EC2DC1">
        <w:rPr>
          <w:rFonts w:ascii="Times New Roman" w:hAnsi="Times New Roman"/>
          <w:lang w:val="pt-BR"/>
        </w:rPr>
        <w:t>², igual a 0.9705</w:t>
      </w:r>
      <w:r w:rsidR="000F54C7">
        <w:rPr>
          <w:rFonts w:ascii="Times New Roman" w:hAnsi="Times New Roman"/>
          <w:lang w:val="pt-BR"/>
        </w:rPr>
        <w:t>,</w:t>
      </w:r>
      <w:r w:rsidR="000E2B05">
        <w:rPr>
          <w:rFonts w:ascii="Times New Roman" w:hAnsi="Times New Roman"/>
          <w:lang w:val="pt-BR"/>
        </w:rPr>
        <w:t xml:space="preserve"> e pelo valor positivo obtido p</w:t>
      </w:r>
      <w:r w:rsidR="00630696">
        <w:rPr>
          <w:rFonts w:ascii="Times New Roman" w:hAnsi="Times New Roman"/>
          <w:lang w:val="pt-BR"/>
        </w:rPr>
        <w:t xml:space="preserve">ara a inclinação da regressão de </w:t>
      </w:r>
      <w:proofErr w:type="spellStart"/>
      <w:r w:rsidR="00630696" w:rsidRPr="00925815">
        <w:rPr>
          <w:rFonts w:ascii="Times New Roman" w:hAnsi="Times New Roman"/>
          <w:i/>
          <w:iCs/>
          <w:lang w:val="pt-BR"/>
        </w:rPr>
        <w:t>ln</w:t>
      </w:r>
      <w:proofErr w:type="spellEnd"/>
      <w:r w:rsidR="00630696">
        <w:rPr>
          <w:rFonts w:ascii="Times New Roman" w:hAnsi="Times New Roman"/>
          <w:lang w:val="pt-BR"/>
        </w:rPr>
        <w:t>(</w:t>
      </w:r>
      <w:r w:rsidR="00630696" w:rsidRPr="00925815">
        <w:rPr>
          <w:rFonts w:ascii="Times New Roman" w:hAnsi="Times New Roman"/>
          <w:i/>
          <w:iCs/>
          <w:lang w:val="pt-BR"/>
        </w:rPr>
        <w:t>A</w:t>
      </w:r>
      <w:r w:rsidR="00630696" w:rsidRPr="00925815">
        <w:rPr>
          <w:rFonts w:ascii="Times New Roman" w:hAnsi="Times New Roman"/>
          <w:vertAlign w:val="subscript"/>
          <w:lang w:val="pt-BR"/>
        </w:rPr>
        <w:t>0</w:t>
      </w:r>
      <w:r w:rsidR="00630696">
        <w:rPr>
          <w:rFonts w:ascii="Times New Roman" w:hAnsi="Times New Roman"/>
          <w:lang w:val="pt-BR"/>
        </w:rPr>
        <w:t xml:space="preserve">) </w:t>
      </w:r>
      <w:proofErr w:type="spellStart"/>
      <w:r w:rsidR="00630696" w:rsidRPr="00925815">
        <w:rPr>
          <w:rFonts w:ascii="Times New Roman" w:hAnsi="Times New Roman"/>
          <w:i/>
          <w:iCs/>
          <w:lang w:val="pt-BR"/>
        </w:rPr>
        <w:t>vs</w:t>
      </w:r>
      <w:proofErr w:type="spellEnd"/>
      <w:r w:rsidR="00630696">
        <w:rPr>
          <w:rFonts w:ascii="Times New Roman" w:hAnsi="Times New Roman"/>
          <w:lang w:val="pt-BR"/>
        </w:rPr>
        <w:t xml:space="preserve"> </w:t>
      </w:r>
      <w:proofErr w:type="spellStart"/>
      <w:r w:rsidR="00630696" w:rsidRPr="00925815">
        <w:rPr>
          <w:rFonts w:ascii="Times New Roman" w:hAnsi="Times New Roman"/>
          <w:i/>
          <w:iCs/>
          <w:lang w:val="pt-BR"/>
        </w:rPr>
        <w:t>E</w:t>
      </w:r>
      <w:r w:rsidR="00630696" w:rsidRPr="00925815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6E498A">
        <w:rPr>
          <w:rFonts w:ascii="Times New Roman" w:hAnsi="Times New Roman"/>
          <w:lang w:val="pt-BR"/>
        </w:rPr>
        <w:t xml:space="preserve">, indicando que há um efeito de compensação </w:t>
      </w:r>
      <w:r w:rsidR="005065E5">
        <w:rPr>
          <w:rFonts w:ascii="Times New Roman" w:hAnsi="Times New Roman"/>
          <w:lang w:val="pt-BR"/>
        </w:rPr>
        <w:t>para a reação estudada, ao serem alteradas algumas variáveis experimentais.</w:t>
      </w:r>
    </w:p>
    <w:p w14:paraId="38CA9766" w14:textId="77777777" w:rsidR="00CD4A47" w:rsidRDefault="00CD4A47" w:rsidP="00A75C28">
      <w:pPr>
        <w:pStyle w:val="TAMainText"/>
        <w:ind w:firstLine="0"/>
        <w:rPr>
          <w:lang w:val="pt-BR"/>
        </w:rPr>
      </w:pPr>
    </w:p>
    <w:p w14:paraId="1A34CF00" w14:textId="594D978D" w:rsidR="0077196C" w:rsidRDefault="00B2680C" w:rsidP="0077196C">
      <w:pPr>
        <w:jc w:val="center"/>
      </w:pPr>
      <w:r>
        <w:rPr>
          <w:noProof/>
        </w:rPr>
        <w:drawing>
          <wp:inline distT="0" distB="0" distL="0" distR="0" wp14:anchorId="10BBCFD9" wp14:editId="00AE4107">
            <wp:extent cx="3027680" cy="1892300"/>
            <wp:effectExtent l="0" t="0" r="127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5E3DA" w14:textId="04AA4846" w:rsidR="0077196C" w:rsidRPr="00E038AF" w:rsidRDefault="0077196C" w:rsidP="0077196C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9A1543">
        <w:rPr>
          <w:rFonts w:ascii="Times New Roman" w:hAnsi="Times New Roman"/>
          <w:b/>
          <w:lang w:val="pt-BR"/>
        </w:rPr>
        <w:t>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FC0291">
        <w:rPr>
          <w:rFonts w:ascii="Times New Roman" w:hAnsi="Times New Roman"/>
          <w:lang w:val="pt-BR"/>
        </w:rPr>
        <w:t xml:space="preserve">Efeito de compensação entre </w:t>
      </w:r>
      <w:proofErr w:type="spellStart"/>
      <w:r w:rsidR="00FC0291" w:rsidRPr="00FC0291">
        <w:rPr>
          <w:rFonts w:ascii="Times New Roman" w:hAnsi="Times New Roman"/>
          <w:i/>
          <w:iCs/>
          <w:lang w:val="pt-BR"/>
        </w:rPr>
        <w:t>ln</w:t>
      </w:r>
      <w:proofErr w:type="spellEnd"/>
      <w:r w:rsidR="00FC0291">
        <w:rPr>
          <w:rFonts w:ascii="Times New Roman" w:hAnsi="Times New Roman"/>
          <w:lang w:val="pt-BR"/>
        </w:rPr>
        <w:t>(</w:t>
      </w:r>
      <w:r w:rsidR="00FC0291" w:rsidRPr="00FC0291">
        <w:rPr>
          <w:rFonts w:ascii="Times New Roman" w:hAnsi="Times New Roman"/>
          <w:i/>
          <w:iCs/>
          <w:lang w:val="pt-BR"/>
        </w:rPr>
        <w:t>A</w:t>
      </w:r>
      <w:r w:rsidR="00FC0291" w:rsidRPr="00FC0291">
        <w:rPr>
          <w:rFonts w:ascii="Times New Roman" w:hAnsi="Times New Roman"/>
          <w:vertAlign w:val="subscript"/>
          <w:lang w:val="pt-BR"/>
        </w:rPr>
        <w:t>0</w:t>
      </w:r>
      <w:r w:rsidR="00FC0291">
        <w:rPr>
          <w:rFonts w:ascii="Times New Roman" w:hAnsi="Times New Roman"/>
          <w:lang w:val="pt-BR"/>
        </w:rPr>
        <w:t xml:space="preserve">) e </w:t>
      </w:r>
      <w:proofErr w:type="spellStart"/>
      <w:r w:rsidR="00FC0291" w:rsidRPr="00FC0291">
        <w:rPr>
          <w:rFonts w:ascii="Times New Roman" w:hAnsi="Times New Roman"/>
          <w:i/>
          <w:iCs/>
          <w:lang w:val="pt-BR"/>
        </w:rPr>
        <w:t>E</w:t>
      </w:r>
      <w:r w:rsidR="00FC0291" w:rsidRPr="00FC0291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Pr="00E038AF">
        <w:rPr>
          <w:rFonts w:ascii="Times New Roman" w:hAnsi="Times New Roman"/>
          <w:lang w:val="pt-BR"/>
        </w:rPr>
        <w:t>.</w:t>
      </w:r>
    </w:p>
    <w:p w14:paraId="18EA7A90" w14:textId="77777777" w:rsidR="0077196C" w:rsidRDefault="0077196C" w:rsidP="00EA4E1B">
      <w:pPr>
        <w:pStyle w:val="TAMainText"/>
        <w:ind w:firstLine="187"/>
        <w:rPr>
          <w:lang w:val="pt-BR"/>
        </w:rPr>
      </w:pPr>
    </w:p>
    <w:p w14:paraId="42E10330" w14:textId="2AD14BAC" w:rsidR="0077196C" w:rsidRPr="00392FFA" w:rsidRDefault="00FB028B" w:rsidP="00963206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Para </w:t>
      </w:r>
      <w:r w:rsidR="00F2401B">
        <w:rPr>
          <w:lang w:val="pt-BR"/>
        </w:rPr>
        <w:t xml:space="preserve">avaliar a </w:t>
      </w:r>
      <w:r w:rsidR="00126FBB">
        <w:rPr>
          <w:lang w:val="pt-BR"/>
        </w:rPr>
        <w:t xml:space="preserve">possibilidade de que o efeito de compensação apresentado na Figura 1 seja um efeito aparente, </w:t>
      </w:r>
      <w:r>
        <w:rPr>
          <w:lang w:val="pt-BR"/>
        </w:rPr>
        <w:t xml:space="preserve">foram calculadas as regiões de confiança para cada um dos pares </w:t>
      </w:r>
      <w:proofErr w:type="spellStart"/>
      <w:r w:rsidR="00392FFA" w:rsidRPr="00197A85">
        <w:rPr>
          <w:rFonts w:ascii="Times New Roman" w:hAnsi="Times New Roman"/>
          <w:i/>
          <w:iCs/>
          <w:lang w:val="pt-BR"/>
        </w:rPr>
        <w:t>ln</w:t>
      </w:r>
      <w:proofErr w:type="spellEnd"/>
      <w:r w:rsidR="00392FFA">
        <w:rPr>
          <w:rFonts w:ascii="Times New Roman" w:hAnsi="Times New Roman"/>
          <w:lang w:val="pt-BR"/>
        </w:rPr>
        <w:t>(</w:t>
      </w:r>
      <w:r w:rsidR="00392FFA" w:rsidRPr="00197A85">
        <w:rPr>
          <w:rFonts w:ascii="Times New Roman" w:hAnsi="Times New Roman"/>
          <w:i/>
          <w:iCs/>
          <w:lang w:val="pt-BR"/>
        </w:rPr>
        <w:t>A</w:t>
      </w:r>
      <w:proofErr w:type="gramStart"/>
      <w:r w:rsidR="00392FFA" w:rsidRPr="00197A85">
        <w:rPr>
          <w:rFonts w:ascii="Times New Roman" w:hAnsi="Times New Roman"/>
          <w:vertAlign w:val="subscript"/>
          <w:lang w:val="pt-BR"/>
        </w:rPr>
        <w:t>0</w:t>
      </w:r>
      <w:r w:rsidR="00392FFA">
        <w:rPr>
          <w:rFonts w:ascii="Times New Roman" w:hAnsi="Times New Roman"/>
          <w:lang w:val="pt-BR"/>
        </w:rPr>
        <w:t>)-</w:t>
      </w:r>
      <w:proofErr w:type="spellStart"/>
      <w:proofErr w:type="gramEnd"/>
      <w:r w:rsidR="00392FFA" w:rsidRPr="00197A85">
        <w:rPr>
          <w:rFonts w:ascii="Times New Roman" w:hAnsi="Times New Roman"/>
          <w:i/>
          <w:iCs/>
          <w:lang w:val="pt-BR"/>
        </w:rPr>
        <w:t>E</w:t>
      </w:r>
      <w:r w:rsidR="00392FFA" w:rsidRPr="00197A85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63601C">
        <w:rPr>
          <w:rFonts w:ascii="Times New Roman" w:hAnsi="Times New Roman"/>
          <w:lang w:val="pt-BR"/>
        </w:rPr>
        <w:t>. Estas regiões de confiança</w:t>
      </w:r>
      <w:r w:rsidR="00126FBB">
        <w:rPr>
          <w:rFonts w:ascii="Times New Roman" w:hAnsi="Times New Roman"/>
          <w:lang w:val="pt-BR"/>
        </w:rPr>
        <w:t xml:space="preserve"> são </w:t>
      </w:r>
      <w:r w:rsidR="00392FFA">
        <w:rPr>
          <w:rFonts w:ascii="Times New Roman" w:hAnsi="Times New Roman"/>
          <w:lang w:val="pt-BR"/>
        </w:rPr>
        <w:t xml:space="preserve">apresentadas na Figura 2. Como é possível notar, ao utilizar a função objetivo de mínimos quadrados – Equação (5) – </w:t>
      </w:r>
      <w:r w:rsidR="0018019A">
        <w:rPr>
          <w:rFonts w:ascii="Times New Roman" w:hAnsi="Times New Roman"/>
          <w:lang w:val="pt-BR"/>
        </w:rPr>
        <w:t xml:space="preserve">são obtidas </w:t>
      </w:r>
      <w:r w:rsidR="00445B7F">
        <w:rPr>
          <w:rFonts w:ascii="Times New Roman" w:hAnsi="Times New Roman"/>
          <w:lang w:val="pt-BR"/>
        </w:rPr>
        <w:t xml:space="preserve">regiões de confiança </w:t>
      </w:r>
      <w:r w:rsidR="00B042BA">
        <w:rPr>
          <w:rFonts w:ascii="Times New Roman" w:hAnsi="Times New Roman"/>
          <w:lang w:val="pt-BR"/>
        </w:rPr>
        <w:t xml:space="preserve">alongadas, características de casos </w:t>
      </w:r>
      <w:r w:rsidR="0018019A">
        <w:rPr>
          <w:rFonts w:ascii="Times New Roman" w:hAnsi="Times New Roman"/>
          <w:lang w:val="pt-BR"/>
        </w:rPr>
        <w:t>com</w:t>
      </w:r>
      <w:r w:rsidR="00B042BA">
        <w:rPr>
          <w:rFonts w:ascii="Times New Roman" w:hAnsi="Times New Roman"/>
          <w:lang w:val="pt-BR"/>
        </w:rPr>
        <w:t xml:space="preserve"> </w:t>
      </w:r>
      <w:r w:rsidR="00E33A4B">
        <w:rPr>
          <w:rFonts w:ascii="Times New Roman" w:hAnsi="Times New Roman"/>
          <w:lang w:val="pt-BR"/>
        </w:rPr>
        <w:t xml:space="preserve">elevadas </w:t>
      </w:r>
      <w:r w:rsidR="00B042BA">
        <w:rPr>
          <w:rFonts w:ascii="Times New Roman" w:hAnsi="Times New Roman"/>
          <w:lang w:val="pt-BR"/>
        </w:rPr>
        <w:t>correlações entre as estimativas paramétricas</w:t>
      </w:r>
      <w:r w:rsidR="00963206">
        <w:rPr>
          <w:rFonts w:ascii="Times New Roman" w:hAnsi="Times New Roman"/>
          <w:lang w:val="pt-BR"/>
        </w:rPr>
        <w:t xml:space="preserve">. </w:t>
      </w:r>
      <w:r w:rsidR="00D66D72">
        <w:rPr>
          <w:rFonts w:ascii="Times New Roman" w:hAnsi="Times New Roman"/>
          <w:lang w:val="pt-BR"/>
        </w:rPr>
        <w:t xml:space="preserve">Devido a esta correlação e geometria das regiões de confiança, </w:t>
      </w:r>
      <w:r w:rsidR="006214F3">
        <w:rPr>
          <w:rFonts w:ascii="Times New Roman" w:hAnsi="Times New Roman"/>
          <w:lang w:val="pt-BR"/>
        </w:rPr>
        <w:t>flutuações nos valores estimados dos parâmetros</w:t>
      </w:r>
      <w:r w:rsidR="006B0C50">
        <w:rPr>
          <w:rFonts w:ascii="Times New Roman" w:hAnsi="Times New Roman"/>
          <w:lang w:val="pt-BR"/>
        </w:rPr>
        <w:t xml:space="preserve"> </w:t>
      </w:r>
      <w:proofErr w:type="spellStart"/>
      <w:r w:rsidR="006B0C50" w:rsidRPr="00FC0291">
        <w:rPr>
          <w:rFonts w:ascii="Times New Roman" w:hAnsi="Times New Roman"/>
          <w:i/>
          <w:iCs/>
          <w:lang w:val="pt-BR"/>
        </w:rPr>
        <w:t>ln</w:t>
      </w:r>
      <w:proofErr w:type="spellEnd"/>
      <w:r w:rsidR="006B0C50">
        <w:rPr>
          <w:rFonts w:ascii="Times New Roman" w:hAnsi="Times New Roman"/>
          <w:lang w:val="pt-BR"/>
        </w:rPr>
        <w:t>(</w:t>
      </w:r>
      <w:r w:rsidR="006B0C50" w:rsidRPr="00FC0291">
        <w:rPr>
          <w:rFonts w:ascii="Times New Roman" w:hAnsi="Times New Roman"/>
          <w:i/>
          <w:iCs/>
          <w:lang w:val="pt-BR"/>
        </w:rPr>
        <w:t>A</w:t>
      </w:r>
      <w:r w:rsidR="006B0C50" w:rsidRPr="00FC0291">
        <w:rPr>
          <w:rFonts w:ascii="Times New Roman" w:hAnsi="Times New Roman"/>
          <w:vertAlign w:val="subscript"/>
          <w:lang w:val="pt-BR"/>
        </w:rPr>
        <w:t>0</w:t>
      </w:r>
      <w:r w:rsidR="006B0C50">
        <w:rPr>
          <w:rFonts w:ascii="Times New Roman" w:hAnsi="Times New Roman"/>
          <w:lang w:val="pt-BR"/>
        </w:rPr>
        <w:t xml:space="preserve">) e </w:t>
      </w:r>
      <w:proofErr w:type="spellStart"/>
      <w:r w:rsidR="006B0C50" w:rsidRPr="00FC0291">
        <w:rPr>
          <w:rFonts w:ascii="Times New Roman" w:hAnsi="Times New Roman"/>
          <w:i/>
          <w:iCs/>
          <w:lang w:val="pt-BR"/>
        </w:rPr>
        <w:t>E</w:t>
      </w:r>
      <w:r w:rsidR="006B0C50" w:rsidRPr="00FC0291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737076">
        <w:rPr>
          <w:rFonts w:ascii="Times New Roman" w:hAnsi="Times New Roman"/>
          <w:lang w:val="pt-BR"/>
        </w:rPr>
        <w:t xml:space="preserve"> </w:t>
      </w:r>
      <w:r w:rsidR="003E5B4B">
        <w:rPr>
          <w:rFonts w:ascii="Times New Roman" w:hAnsi="Times New Roman"/>
          <w:lang w:val="pt-BR"/>
        </w:rPr>
        <w:t xml:space="preserve">se encontram em um espaço muito próximo ao de uma linha reta, </w:t>
      </w:r>
      <w:r w:rsidR="006474A6">
        <w:rPr>
          <w:rFonts w:ascii="Times New Roman" w:hAnsi="Times New Roman"/>
          <w:lang w:val="pt-BR"/>
        </w:rPr>
        <w:t>levando a um feito de compensação aparente (</w:t>
      </w:r>
      <w:r w:rsidR="00784266">
        <w:rPr>
          <w:rFonts w:ascii="Times New Roman" w:hAnsi="Times New Roman"/>
          <w:lang w:val="pt-BR"/>
        </w:rPr>
        <w:t>3</w:t>
      </w:r>
      <w:r w:rsidR="006474A6">
        <w:rPr>
          <w:rFonts w:ascii="Times New Roman" w:hAnsi="Times New Roman"/>
          <w:lang w:val="pt-BR"/>
        </w:rPr>
        <w:t>).</w:t>
      </w:r>
    </w:p>
    <w:p w14:paraId="4A28CC5C" w14:textId="77777777" w:rsidR="0077196C" w:rsidRDefault="0077196C" w:rsidP="00EA4E1B">
      <w:pPr>
        <w:pStyle w:val="TAMainText"/>
        <w:ind w:firstLine="187"/>
        <w:rPr>
          <w:lang w:val="pt-BR"/>
        </w:rPr>
      </w:pPr>
    </w:p>
    <w:p w14:paraId="7F644015" w14:textId="1A66DA39" w:rsidR="00EA4E1B" w:rsidRDefault="00B2680C" w:rsidP="00EA4E1B">
      <w:pPr>
        <w:jc w:val="center"/>
      </w:pPr>
      <w:r>
        <w:rPr>
          <w:noProof/>
        </w:rPr>
        <w:lastRenderedPageBreak/>
        <w:drawing>
          <wp:inline distT="0" distB="0" distL="0" distR="0" wp14:anchorId="76CE8635" wp14:editId="1AAE2A73">
            <wp:extent cx="3027680" cy="1892300"/>
            <wp:effectExtent l="0" t="0" r="1270" b="0"/>
            <wp:docPr id="8" name="Imagem 8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Gráfico&#10;&#10;Descrição gerada automaticament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E7515" w14:textId="64449F76" w:rsidR="00EA4E1B" w:rsidRPr="00E038AF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9A1543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1F521F">
        <w:rPr>
          <w:rFonts w:ascii="Times New Roman" w:hAnsi="Times New Roman"/>
          <w:lang w:val="pt-BR"/>
        </w:rPr>
        <w:t xml:space="preserve">Regiões de confiança para as estimativas de </w:t>
      </w:r>
      <w:proofErr w:type="spellStart"/>
      <w:r w:rsidR="001F521F" w:rsidRPr="008C0F97">
        <w:rPr>
          <w:rFonts w:ascii="Times New Roman" w:hAnsi="Times New Roman"/>
          <w:i/>
          <w:iCs/>
          <w:lang w:val="pt-BR"/>
        </w:rPr>
        <w:t>ln</w:t>
      </w:r>
      <w:proofErr w:type="spellEnd"/>
      <w:r w:rsidR="001F521F">
        <w:rPr>
          <w:rFonts w:ascii="Times New Roman" w:hAnsi="Times New Roman"/>
          <w:lang w:val="pt-BR"/>
        </w:rPr>
        <w:t>(</w:t>
      </w:r>
      <w:r w:rsidR="001F521F" w:rsidRPr="008C0F97">
        <w:rPr>
          <w:rFonts w:ascii="Times New Roman" w:hAnsi="Times New Roman"/>
          <w:i/>
          <w:iCs/>
          <w:lang w:val="pt-BR"/>
        </w:rPr>
        <w:t>A</w:t>
      </w:r>
      <w:r w:rsidR="001F521F" w:rsidRPr="008C0F97">
        <w:rPr>
          <w:rFonts w:ascii="Times New Roman" w:hAnsi="Times New Roman"/>
          <w:i/>
          <w:iCs/>
          <w:vertAlign w:val="subscript"/>
          <w:lang w:val="pt-BR"/>
        </w:rPr>
        <w:t>0</w:t>
      </w:r>
      <w:r w:rsidR="001F521F">
        <w:rPr>
          <w:rFonts w:ascii="Times New Roman" w:hAnsi="Times New Roman"/>
          <w:lang w:val="pt-BR"/>
        </w:rPr>
        <w:t xml:space="preserve">) e </w:t>
      </w:r>
      <w:proofErr w:type="spellStart"/>
      <w:r w:rsidR="001F521F" w:rsidRPr="008C0F97">
        <w:rPr>
          <w:rFonts w:ascii="Times New Roman" w:hAnsi="Times New Roman"/>
          <w:i/>
          <w:iCs/>
          <w:lang w:val="pt-BR"/>
        </w:rPr>
        <w:t>E</w:t>
      </w:r>
      <w:r w:rsidR="001F521F" w:rsidRPr="008C0F97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Pr="00E038AF">
        <w:rPr>
          <w:rFonts w:ascii="Times New Roman" w:hAnsi="Times New Roman"/>
          <w:lang w:val="pt-BR"/>
        </w:rPr>
        <w:t>.</w:t>
      </w:r>
    </w:p>
    <w:p w14:paraId="49AE8C02" w14:textId="77777777" w:rsidR="00EA4E1B" w:rsidRDefault="00EA4E1B" w:rsidP="006D4945">
      <w:pPr>
        <w:pStyle w:val="TAMainText"/>
        <w:ind w:firstLine="204"/>
        <w:rPr>
          <w:lang w:val="pt-BR"/>
        </w:rPr>
      </w:pPr>
    </w:p>
    <w:p w14:paraId="47E27FE6" w14:textId="69901DD5" w:rsidR="004E68D1" w:rsidRPr="00577F68" w:rsidRDefault="00311947" w:rsidP="006D4945">
      <w:pPr>
        <w:pStyle w:val="TAMainText"/>
        <w:ind w:firstLine="204"/>
        <w:rPr>
          <w:rFonts w:ascii="Times New Roman" w:hAnsi="Times New Roman"/>
          <w:lang w:val="pt-BR"/>
        </w:rPr>
      </w:pPr>
      <w:r w:rsidRPr="00577F68">
        <w:rPr>
          <w:rFonts w:ascii="Times New Roman" w:hAnsi="Times New Roman"/>
          <w:lang w:val="pt-BR"/>
        </w:rPr>
        <w:t>Ainda</w:t>
      </w:r>
      <w:r w:rsidR="006474A6" w:rsidRPr="00577F68">
        <w:rPr>
          <w:rFonts w:ascii="Times New Roman" w:hAnsi="Times New Roman"/>
          <w:lang w:val="pt-BR"/>
        </w:rPr>
        <w:t>,</w:t>
      </w:r>
      <w:r w:rsidRPr="00577F68">
        <w:rPr>
          <w:rFonts w:ascii="Times New Roman" w:hAnsi="Times New Roman"/>
          <w:lang w:val="pt-BR"/>
        </w:rPr>
        <w:t xml:space="preserve"> é possível observar que</w:t>
      </w:r>
      <w:r w:rsidR="006474A6" w:rsidRPr="00577F68">
        <w:rPr>
          <w:rFonts w:ascii="Times New Roman" w:hAnsi="Times New Roman"/>
          <w:lang w:val="pt-BR"/>
        </w:rPr>
        <w:t xml:space="preserve"> há uma sobreposição das regiões de confiança para cada par </w:t>
      </w:r>
      <w:proofErr w:type="spellStart"/>
      <w:r w:rsidR="006474A6" w:rsidRPr="00577F68">
        <w:rPr>
          <w:rFonts w:ascii="Times New Roman" w:hAnsi="Times New Roman"/>
          <w:i/>
          <w:iCs/>
          <w:lang w:val="pt-BR"/>
        </w:rPr>
        <w:t>ln</w:t>
      </w:r>
      <w:proofErr w:type="spellEnd"/>
      <w:r w:rsidR="006474A6" w:rsidRPr="00577F68">
        <w:rPr>
          <w:rFonts w:ascii="Times New Roman" w:hAnsi="Times New Roman"/>
          <w:lang w:val="pt-BR"/>
        </w:rPr>
        <w:t>(</w:t>
      </w:r>
      <w:r w:rsidR="006474A6" w:rsidRPr="00577F68">
        <w:rPr>
          <w:rFonts w:ascii="Times New Roman" w:hAnsi="Times New Roman"/>
          <w:i/>
          <w:iCs/>
          <w:lang w:val="pt-BR"/>
        </w:rPr>
        <w:t>A</w:t>
      </w:r>
      <w:proofErr w:type="gramStart"/>
      <w:r w:rsidR="006474A6" w:rsidRPr="00577F68">
        <w:rPr>
          <w:rFonts w:ascii="Times New Roman" w:hAnsi="Times New Roman"/>
          <w:vertAlign w:val="subscript"/>
          <w:lang w:val="pt-BR"/>
        </w:rPr>
        <w:t>0</w:t>
      </w:r>
      <w:r w:rsidR="006474A6" w:rsidRPr="00577F68">
        <w:rPr>
          <w:rFonts w:ascii="Times New Roman" w:hAnsi="Times New Roman"/>
          <w:lang w:val="pt-BR"/>
        </w:rPr>
        <w:t>)-</w:t>
      </w:r>
      <w:proofErr w:type="spellStart"/>
      <w:proofErr w:type="gramEnd"/>
      <w:r w:rsidR="006474A6" w:rsidRPr="00577F68">
        <w:rPr>
          <w:rFonts w:ascii="Times New Roman" w:hAnsi="Times New Roman"/>
          <w:i/>
          <w:iCs/>
          <w:lang w:val="pt-BR"/>
        </w:rPr>
        <w:t>E</w:t>
      </w:r>
      <w:r w:rsidR="006474A6" w:rsidRPr="00577F68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D52A8E" w:rsidRPr="00577F68">
        <w:rPr>
          <w:rFonts w:ascii="Times New Roman" w:hAnsi="Times New Roman"/>
          <w:lang w:val="pt-BR"/>
        </w:rPr>
        <w:t xml:space="preserve">. Isso </w:t>
      </w:r>
      <w:r w:rsidR="00EE3904" w:rsidRPr="00577F68">
        <w:rPr>
          <w:rFonts w:ascii="Times New Roman" w:hAnsi="Times New Roman"/>
          <w:lang w:val="pt-BR"/>
        </w:rPr>
        <w:t xml:space="preserve">determina que </w:t>
      </w:r>
      <w:r w:rsidR="006474A6" w:rsidRPr="00577F68">
        <w:rPr>
          <w:rFonts w:ascii="Times New Roman" w:hAnsi="Times New Roman"/>
          <w:lang w:val="pt-BR"/>
        </w:rPr>
        <w:t xml:space="preserve">estas estimativas </w:t>
      </w:r>
      <w:r w:rsidR="00EE3904" w:rsidRPr="00577F68">
        <w:rPr>
          <w:rFonts w:ascii="Times New Roman" w:hAnsi="Times New Roman"/>
          <w:lang w:val="pt-BR"/>
        </w:rPr>
        <w:t>podem ser consideradas estatisticamente equivalentes entre si</w:t>
      </w:r>
      <w:r w:rsidR="006474A6" w:rsidRPr="00577F68">
        <w:rPr>
          <w:rFonts w:ascii="Times New Roman" w:hAnsi="Times New Roman"/>
          <w:lang w:val="pt-BR"/>
        </w:rPr>
        <w:t>.</w:t>
      </w:r>
      <w:r w:rsidR="00EE3904" w:rsidRPr="00577F68">
        <w:rPr>
          <w:rFonts w:ascii="Times New Roman" w:hAnsi="Times New Roman"/>
          <w:lang w:val="pt-BR"/>
        </w:rPr>
        <w:t xml:space="preserve"> </w:t>
      </w:r>
      <w:r w:rsidR="004E68D1" w:rsidRPr="00577F68">
        <w:rPr>
          <w:rFonts w:ascii="Times New Roman" w:hAnsi="Times New Roman"/>
          <w:lang w:val="pt-BR"/>
        </w:rPr>
        <w:t>E</w:t>
      </w:r>
      <w:r w:rsidR="007C6538" w:rsidRPr="00577F68">
        <w:rPr>
          <w:rFonts w:ascii="Times New Roman" w:hAnsi="Times New Roman"/>
          <w:lang w:val="pt-BR"/>
        </w:rPr>
        <w:t>s</w:t>
      </w:r>
      <w:r w:rsidR="004E68D1" w:rsidRPr="00577F68">
        <w:rPr>
          <w:rFonts w:ascii="Times New Roman" w:hAnsi="Times New Roman"/>
          <w:lang w:val="pt-BR"/>
        </w:rPr>
        <w:t>tes resultados mostram que, apesar de em uma primeira inspeção</w:t>
      </w:r>
      <w:r w:rsidR="001F38C1" w:rsidRPr="00577F68">
        <w:rPr>
          <w:rFonts w:ascii="Times New Roman" w:hAnsi="Times New Roman"/>
          <w:lang w:val="pt-BR"/>
        </w:rPr>
        <w:t xml:space="preserve"> </w:t>
      </w:r>
      <w:r w:rsidR="00723ED2" w:rsidRPr="00577F68">
        <w:rPr>
          <w:rFonts w:ascii="Times New Roman" w:hAnsi="Times New Roman"/>
          <w:lang w:val="pt-BR"/>
        </w:rPr>
        <w:t>ser</w:t>
      </w:r>
      <w:r w:rsidR="00D93896" w:rsidRPr="00577F68">
        <w:rPr>
          <w:rFonts w:ascii="Times New Roman" w:hAnsi="Times New Roman"/>
          <w:lang w:val="pt-BR"/>
        </w:rPr>
        <w:t xml:space="preserve"> possível observar uma aparente relação linear entre os parâmetros </w:t>
      </w:r>
      <w:proofErr w:type="spellStart"/>
      <w:r w:rsidR="00D93896" w:rsidRPr="00577F68">
        <w:rPr>
          <w:rFonts w:ascii="Times New Roman" w:hAnsi="Times New Roman"/>
          <w:i/>
          <w:iCs/>
          <w:lang w:val="pt-BR"/>
        </w:rPr>
        <w:t>ln</w:t>
      </w:r>
      <w:proofErr w:type="spellEnd"/>
      <w:r w:rsidR="00D93896" w:rsidRPr="00577F68">
        <w:rPr>
          <w:rFonts w:ascii="Times New Roman" w:hAnsi="Times New Roman"/>
          <w:lang w:val="pt-BR"/>
        </w:rPr>
        <w:t>(</w:t>
      </w:r>
      <w:r w:rsidR="00D93896" w:rsidRPr="00577F68">
        <w:rPr>
          <w:rFonts w:ascii="Times New Roman" w:hAnsi="Times New Roman"/>
          <w:i/>
          <w:iCs/>
          <w:lang w:val="pt-BR"/>
        </w:rPr>
        <w:t>A</w:t>
      </w:r>
      <w:r w:rsidR="00D93896" w:rsidRPr="00577F68">
        <w:rPr>
          <w:rFonts w:ascii="Times New Roman" w:hAnsi="Times New Roman"/>
          <w:vertAlign w:val="subscript"/>
          <w:lang w:val="pt-BR"/>
        </w:rPr>
        <w:t>0</w:t>
      </w:r>
      <w:r w:rsidR="00D93896" w:rsidRPr="00577F68">
        <w:rPr>
          <w:rFonts w:ascii="Times New Roman" w:hAnsi="Times New Roman"/>
          <w:lang w:val="pt-BR"/>
        </w:rPr>
        <w:t xml:space="preserve">) e </w:t>
      </w:r>
      <w:proofErr w:type="spellStart"/>
      <w:r w:rsidR="00D93896" w:rsidRPr="00577F68">
        <w:rPr>
          <w:rFonts w:ascii="Times New Roman" w:hAnsi="Times New Roman"/>
          <w:i/>
          <w:iCs/>
          <w:lang w:val="pt-BR"/>
        </w:rPr>
        <w:t>E</w:t>
      </w:r>
      <w:r w:rsidR="00D93896" w:rsidRPr="00577F68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5F0602" w:rsidRPr="00577F68">
        <w:rPr>
          <w:rFonts w:ascii="Times New Roman" w:hAnsi="Times New Roman"/>
          <w:lang w:val="pt-BR"/>
        </w:rPr>
        <w:t xml:space="preserve">, a avaliação das regiões de confiança, que contabilizam </w:t>
      </w:r>
      <w:r w:rsidR="00753E64" w:rsidRPr="00577F68">
        <w:rPr>
          <w:rFonts w:ascii="Times New Roman" w:hAnsi="Times New Roman"/>
          <w:lang w:val="pt-BR"/>
        </w:rPr>
        <w:t>as correlações entre as estimativas dos parâmetros e suas incertezas</w:t>
      </w:r>
      <w:r w:rsidR="00D555EC" w:rsidRPr="00577F68">
        <w:rPr>
          <w:rFonts w:ascii="Times New Roman" w:hAnsi="Times New Roman"/>
          <w:lang w:val="pt-BR"/>
        </w:rPr>
        <w:t xml:space="preserve">, mostra que na realidade </w:t>
      </w:r>
      <w:r w:rsidR="00227DED" w:rsidRPr="00577F68">
        <w:rPr>
          <w:rFonts w:ascii="Times New Roman" w:hAnsi="Times New Roman"/>
          <w:lang w:val="pt-BR"/>
        </w:rPr>
        <w:t>não é possível afirmar que de fato há uma alteração nos valores obti</w:t>
      </w:r>
      <w:r w:rsidR="00C1646C" w:rsidRPr="00577F68">
        <w:rPr>
          <w:rFonts w:ascii="Times New Roman" w:hAnsi="Times New Roman"/>
          <w:lang w:val="pt-BR"/>
        </w:rPr>
        <w:t xml:space="preserve">dos para os parâmetros estimados. Ou seja, </w:t>
      </w:r>
      <w:r w:rsidR="00151011" w:rsidRPr="00577F68">
        <w:rPr>
          <w:rFonts w:ascii="Times New Roman" w:hAnsi="Times New Roman"/>
          <w:lang w:val="pt-BR"/>
        </w:rPr>
        <w:t>apenas são observadas flutuações nestes valores decorrentes da</w:t>
      </w:r>
      <w:r w:rsidR="006F1CB3" w:rsidRPr="00577F68">
        <w:rPr>
          <w:rFonts w:ascii="Times New Roman" w:hAnsi="Times New Roman"/>
          <w:lang w:val="pt-BR"/>
        </w:rPr>
        <w:t xml:space="preserve"> existência de incertezas nas medidas experimentais da variável de resposta do sistema, neste caso, a conversão de cicloexano. </w:t>
      </w:r>
    </w:p>
    <w:p w14:paraId="6BA31016" w14:textId="04D014AD" w:rsidR="004E68D1" w:rsidRDefault="00C14F30" w:rsidP="006D4945">
      <w:pPr>
        <w:pStyle w:val="TAMainText"/>
        <w:ind w:firstLine="204"/>
        <w:rPr>
          <w:rFonts w:ascii="Times New Roman" w:hAnsi="Times New Roman"/>
          <w:lang w:val="pt-BR"/>
        </w:rPr>
      </w:pPr>
      <w:r w:rsidRPr="00AA2C25">
        <w:rPr>
          <w:rFonts w:ascii="Times New Roman" w:hAnsi="Times New Roman"/>
          <w:lang w:val="pt-BR"/>
        </w:rPr>
        <w:t>A fim de a</w:t>
      </w:r>
      <w:r w:rsidR="002F3F09" w:rsidRPr="00AA2C25">
        <w:rPr>
          <w:rFonts w:ascii="Times New Roman" w:hAnsi="Times New Roman"/>
          <w:lang w:val="pt-BR"/>
        </w:rPr>
        <w:t xml:space="preserve">valiar o efeito da </w:t>
      </w:r>
      <w:proofErr w:type="spellStart"/>
      <w:r w:rsidR="009B6E2D" w:rsidRPr="00AA2C25">
        <w:rPr>
          <w:rFonts w:ascii="Times New Roman" w:hAnsi="Times New Roman"/>
          <w:lang w:val="pt-BR"/>
        </w:rPr>
        <w:t>reparametrização</w:t>
      </w:r>
      <w:proofErr w:type="spellEnd"/>
      <w:r w:rsidR="009B6E2D" w:rsidRPr="00AA2C25">
        <w:rPr>
          <w:rFonts w:ascii="Times New Roman" w:hAnsi="Times New Roman"/>
          <w:lang w:val="pt-BR"/>
        </w:rPr>
        <w:t xml:space="preserve"> da equação de Arrhenius </w:t>
      </w:r>
      <w:r w:rsidR="00A34E8D" w:rsidRPr="00AA2C25">
        <w:rPr>
          <w:rFonts w:ascii="Times New Roman" w:hAnsi="Times New Roman"/>
          <w:lang w:val="pt-BR"/>
        </w:rPr>
        <w:t xml:space="preserve">e </w:t>
      </w:r>
      <w:r w:rsidR="00081684" w:rsidRPr="00AA2C25">
        <w:rPr>
          <w:rFonts w:ascii="Times New Roman" w:hAnsi="Times New Roman"/>
          <w:lang w:val="pt-BR"/>
        </w:rPr>
        <w:t xml:space="preserve">da </w:t>
      </w:r>
      <w:r w:rsidR="00A34E8D" w:rsidRPr="00AA2C25">
        <w:rPr>
          <w:rFonts w:ascii="Times New Roman" w:hAnsi="Times New Roman"/>
          <w:lang w:val="pt-BR"/>
        </w:rPr>
        <w:t>contabilização das incertezas das medidas experimentais</w:t>
      </w:r>
      <w:r w:rsidR="00F10CE3" w:rsidRPr="00AA2C25">
        <w:rPr>
          <w:rFonts w:ascii="Times New Roman" w:hAnsi="Times New Roman"/>
          <w:lang w:val="pt-BR"/>
        </w:rPr>
        <w:t xml:space="preserve"> sobre a modelagem cinética da reação estudada, estimativas de </w:t>
      </w:r>
      <w:proofErr w:type="spellStart"/>
      <w:proofErr w:type="gramStart"/>
      <w:r w:rsidR="00F10CE3" w:rsidRPr="00AA2C25">
        <w:rPr>
          <w:rFonts w:ascii="Times New Roman" w:hAnsi="Times New Roman"/>
          <w:i/>
          <w:iCs/>
          <w:lang w:val="pt-BR"/>
        </w:rPr>
        <w:t>ln</w:t>
      </w:r>
      <w:proofErr w:type="spellEnd"/>
      <w:r w:rsidR="00F10CE3" w:rsidRPr="00AA2C25">
        <w:rPr>
          <w:rFonts w:ascii="Times New Roman" w:hAnsi="Times New Roman"/>
          <w:lang w:val="pt-BR"/>
        </w:rPr>
        <w:t>(</w:t>
      </w:r>
      <w:proofErr w:type="gramEnd"/>
      <w:r w:rsidR="00F10CE3" w:rsidRPr="00AA2C25">
        <w:rPr>
          <w:rFonts w:ascii="Times New Roman" w:hAnsi="Times New Roman"/>
          <w:i/>
          <w:iCs/>
          <w:lang w:val="pt-BR"/>
        </w:rPr>
        <w:t>A</w:t>
      </w:r>
      <w:r w:rsidR="00F10CE3" w:rsidRPr="00AA2C25">
        <w:rPr>
          <w:rFonts w:ascii="Times New Roman" w:hAnsi="Times New Roman"/>
          <w:i/>
          <w:iCs/>
          <w:vertAlign w:val="subscript"/>
          <w:lang w:val="pt-BR"/>
        </w:rPr>
        <w:t>ref</w:t>
      </w:r>
      <w:r w:rsidR="00F10CE3" w:rsidRPr="00AA2C25">
        <w:rPr>
          <w:rFonts w:ascii="Times New Roman" w:hAnsi="Times New Roman"/>
          <w:lang w:val="pt-BR"/>
        </w:rPr>
        <w:t xml:space="preserve">) e </w:t>
      </w:r>
      <w:proofErr w:type="spellStart"/>
      <w:r w:rsidR="00F10CE3" w:rsidRPr="00AA2C25">
        <w:rPr>
          <w:rFonts w:ascii="Times New Roman" w:hAnsi="Times New Roman"/>
          <w:i/>
          <w:iCs/>
          <w:lang w:val="pt-BR"/>
        </w:rPr>
        <w:t>E</w:t>
      </w:r>
      <w:r w:rsidR="00F10CE3" w:rsidRPr="00AA2C25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F10CE3" w:rsidRPr="00AA2C25">
        <w:rPr>
          <w:rFonts w:ascii="Times New Roman" w:hAnsi="Times New Roman"/>
          <w:lang w:val="pt-BR"/>
        </w:rPr>
        <w:t xml:space="preserve"> foram obtidas</w:t>
      </w:r>
      <w:r w:rsidR="00AA2C25" w:rsidRPr="00AA2C25">
        <w:rPr>
          <w:rFonts w:ascii="Times New Roman" w:hAnsi="Times New Roman"/>
          <w:lang w:val="pt-BR"/>
        </w:rPr>
        <w:t xml:space="preserve"> através do uso de Equação (4) e da minimização da função objetivo dada pela Equação (6).</w:t>
      </w:r>
      <w:r w:rsidR="00F10CE3" w:rsidRPr="00577F68">
        <w:rPr>
          <w:rFonts w:ascii="Times New Roman" w:hAnsi="Times New Roman"/>
          <w:lang w:val="pt-BR"/>
        </w:rPr>
        <w:t xml:space="preserve"> Os resultados obtidos são mostrados na Figura 3. </w:t>
      </w:r>
      <w:r w:rsidR="008D337F">
        <w:rPr>
          <w:rFonts w:ascii="Times New Roman" w:hAnsi="Times New Roman"/>
          <w:lang w:val="pt-BR"/>
        </w:rPr>
        <w:t>Similar ao</w:t>
      </w:r>
      <w:r w:rsidR="00011712" w:rsidRPr="00577F68">
        <w:rPr>
          <w:rFonts w:ascii="Times New Roman" w:hAnsi="Times New Roman"/>
          <w:lang w:val="pt-BR"/>
        </w:rPr>
        <w:t xml:space="preserve"> caso anterior</w:t>
      </w:r>
      <w:r w:rsidR="009D5521" w:rsidRPr="00577F68">
        <w:rPr>
          <w:rFonts w:ascii="Times New Roman" w:hAnsi="Times New Roman"/>
          <w:lang w:val="pt-BR"/>
        </w:rPr>
        <w:t xml:space="preserve">, </w:t>
      </w:r>
      <w:r w:rsidR="00011712" w:rsidRPr="00577F68">
        <w:rPr>
          <w:rFonts w:ascii="Times New Roman" w:hAnsi="Times New Roman"/>
          <w:lang w:val="pt-BR"/>
        </w:rPr>
        <w:t xml:space="preserve">nesta figura </w:t>
      </w:r>
      <w:r w:rsidR="009D5521" w:rsidRPr="00577F68">
        <w:rPr>
          <w:rFonts w:ascii="Times New Roman" w:hAnsi="Times New Roman"/>
          <w:lang w:val="pt-BR"/>
        </w:rPr>
        <w:t>a estimativ</w:t>
      </w:r>
      <w:r w:rsidR="00A93DEF" w:rsidRPr="00577F68">
        <w:rPr>
          <w:rFonts w:ascii="Times New Roman" w:hAnsi="Times New Roman"/>
          <w:lang w:val="pt-BR"/>
        </w:rPr>
        <w:t>a</w:t>
      </w:r>
      <w:r w:rsidR="009D5521" w:rsidRPr="00577F68">
        <w:rPr>
          <w:rFonts w:ascii="Times New Roman" w:hAnsi="Times New Roman"/>
          <w:lang w:val="pt-BR"/>
        </w:rPr>
        <w:t xml:space="preserve"> </w:t>
      </w:r>
      <w:r w:rsidR="00FE08FA" w:rsidRPr="00577F68">
        <w:rPr>
          <w:rFonts w:ascii="Times New Roman" w:hAnsi="Times New Roman"/>
          <w:lang w:val="pt-BR"/>
        </w:rPr>
        <w:t>de cada par</w:t>
      </w:r>
      <w:r w:rsidR="009D5521" w:rsidRPr="00577F68">
        <w:rPr>
          <w:rFonts w:ascii="Times New Roman" w:hAnsi="Times New Roman"/>
          <w:lang w:val="pt-BR"/>
        </w:rPr>
        <w:t xml:space="preserve"> </w:t>
      </w:r>
      <w:proofErr w:type="spellStart"/>
      <w:proofErr w:type="gramStart"/>
      <w:r w:rsidR="009D5521" w:rsidRPr="00577F68">
        <w:rPr>
          <w:rFonts w:ascii="Times New Roman" w:hAnsi="Times New Roman"/>
          <w:i/>
          <w:iCs/>
          <w:lang w:val="pt-BR"/>
        </w:rPr>
        <w:t>ln</w:t>
      </w:r>
      <w:proofErr w:type="spellEnd"/>
      <w:r w:rsidR="009D5521" w:rsidRPr="00577F68">
        <w:rPr>
          <w:rFonts w:ascii="Times New Roman" w:hAnsi="Times New Roman"/>
          <w:lang w:val="pt-BR"/>
        </w:rPr>
        <w:t>(</w:t>
      </w:r>
      <w:proofErr w:type="gramEnd"/>
      <w:r w:rsidR="009D5521" w:rsidRPr="00577F68">
        <w:rPr>
          <w:rFonts w:ascii="Times New Roman" w:hAnsi="Times New Roman"/>
          <w:i/>
          <w:iCs/>
          <w:lang w:val="pt-BR"/>
        </w:rPr>
        <w:t>A</w:t>
      </w:r>
      <w:r w:rsidR="009D5521" w:rsidRPr="00577F68">
        <w:rPr>
          <w:rFonts w:ascii="Times New Roman" w:hAnsi="Times New Roman"/>
          <w:i/>
          <w:iCs/>
          <w:vertAlign w:val="subscript"/>
          <w:lang w:val="pt-BR"/>
        </w:rPr>
        <w:t>ref</w:t>
      </w:r>
      <w:r w:rsidR="009D5521" w:rsidRPr="00577F68">
        <w:rPr>
          <w:rFonts w:ascii="Times New Roman" w:hAnsi="Times New Roman"/>
          <w:lang w:val="pt-BR"/>
        </w:rPr>
        <w:t>)</w:t>
      </w:r>
      <w:r w:rsidR="00011712" w:rsidRPr="00577F68">
        <w:rPr>
          <w:rFonts w:ascii="Times New Roman" w:hAnsi="Times New Roman"/>
          <w:lang w:val="pt-BR"/>
        </w:rPr>
        <w:t>-</w:t>
      </w:r>
      <w:proofErr w:type="spellStart"/>
      <w:r w:rsidR="009D5521" w:rsidRPr="00577F68">
        <w:rPr>
          <w:rFonts w:ascii="Times New Roman" w:hAnsi="Times New Roman"/>
          <w:i/>
          <w:iCs/>
          <w:lang w:val="pt-BR"/>
        </w:rPr>
        <w:t>E</w:t>
      </w:r>
      <w:r w:rsidR="009D5521" w:rsidRPr="00577F68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9D5521" w:rsidRPr="00577F68">
        <w:rPr>
          <w:rFonts w:ascii="Times New Roman" w:hAnsi="Times New Roman"/>
          <w:lang w:val="pt-BR"/>
        </w:rPr>
        <w:t xml:space="preserve"> </w:t>
      </w:r>
      <w:r w:rsidR="00FE08FA" w:rsidRPr="00577F68">
        <w:rPr>
          <w:rFonts w:ascii="Times New Roman" w:hAnsi="Times New Roman"/>
          <w:lang w:val="pt-BR"/>
        </w:rPr>
        <w:t xml:space="preserve">é </w:t>
      </w:r>
      <w:r w:rsidR="009D5521" w:rsidRPr="00577F68">
        <w:rPr>
          <w:rFonts w:ascii="Times New Roman" w:hAnsi="Times New Roman"/>
          <w:lang w:val="pt-BR"/>
        </w:rPr>
        <w:t>representad</w:t>
      </w:r>
      <w:r w:rsidR="00FE08FA" w:rsidRPr="00577F68">
        <w:rPr>
          <w:rFonts w:ascii="Times New Roman" w:hAnsi="Times New Roman"/>
          <w:lang w:val="pt-BR"/>
        </w:rPr>
        <w:t>a</w:t>
      </w:r>
      <w:r w:rsidR="009D5521" w:rsidRPr="00577F68">
        <w:rPr>
          <w:rFonts w:ascii="Times New Roman" w:hAnsi="Times New Roman"/>
          <w:lang w:val="pt-BR"/>
        </w:rPr>
        <w:t xml:space="preserve"> p</w:t>
      </w:r>
      <w:r w:rsidR="00FE08FA" w:rsidRPr="00577F68">
        <w:rPr>
          <w:rFonts w:ascii="Times New Roman" w:hAnsi="Times New Roman"/>
          <w:lang w:val="pt-BR"/>
        </w:rPr>
        <w:t xml:space="preserve">or um ponto, enquanto a linha pontilhada representa a reta </w:t>
      </w:r>
      <w:r w:rsidR="00656380" w:rsidRPr="00577F68">
        <w:rPr>
          <w:rFonts w:ascii="Times New Roman" w:hAnsi="Times New Roman"/>
          <w:lang w:val="pt-BR"/>
        </w:rPr>
        <w:t xml:space="preserve">de regressão de </w:t>
      </w:r>
      <w:proofErr w:type="spellStart"/>
      <w:r w:rsidR="00656380" w:rsidRPr="00577F68">
        <w:rPr>
          <w:rFonts w:ascii="Times New Roman" w:hAnsi="Times New Roman"/>
          <w:i/>
          <w:iCs/>
          <w:lang w:val="pt-BR"/>
        </w:rPr>
        <w:t>ln</w:t>
      </w:r>
      <w:proofErr w:type="spellEnd"/>
      <w:r w:rsidR="00656380" w:rsidRPr="00577F68">
        <w:rPr>
          <w:rFonts w:ascii="Times New Roman" w:hAnsi="Times New Roman"/>
          <w:lang w:val="pt-BR"/>
        </w:rPr>
        <w:t>(</w:t>
      </w:r>
      <w:r w:rsidR="00656380" w:rsidRPr="00577F68">
        <w:rPr>
          <w:rFonts w:ascii="Times New Roman" w:hAnsi="Times New Roman"/>
          <w:i/>
          <w:iCs/>
          <w:lang w:val="pt-BR"/>
        </w:rPr>
        <w:t>A</w:t>
      </w:r>
      <w:r w:rsidR="00656380" w:rsidRPr="00577F68">
        <w:rPr>
          <w:rFonts w:ascii="Times New Roman" w:hAnsi="Times New Roman"/>
          <w:i/>
          <w:iCs/>
          <w:vertAlign w:val="subscript"/>
          <w:lang w:val="pt-BR"/>
        </w:rPr>
        <w:t>ref</w:t>
      </w:r>
      <w:r w:rsidR="00656380" w:rsidRPr="00577F68">
        <w:rPr>
          <w:rFonts w:ascii="Times New Roman" w:hAnsi="Times New Roman"/>
          <w:lang w:val="pt-BR"/>
        </w:rPr>
        <w:t xml:space="preserve">) </w:t>
      </w:r>
      <w:proofErr w:type="spellStart"/>
      <w:r w:rsidR="00656380" w:rsidRPr="00DF02B1">
        <w:rPr>
          <w:rFonts w:ascii="Times New Roman" w:hAnsi="Times New Roman"/>
          <w:i/>
          <w:iCs/>
          <w:lang w:val="pt-BR"/>
        </w:rPr>
        <w:t>vs</w:t>
      </w:r>
      <w:proofErr w:type="spellEnd"/>
      <w:r w:rsidR="00656380" w:rsidRPr="00577F68">
        <w:rPr>
          <w:rFonts w:ascii="Times New Roman" w:hAnsi="Times New Roman"/>
          <w:lang w:val="pt-BR"/>
        </w:rPr>
        <w:t xml:space="preserve"> </w:t>
      </w:r>
      <w:proofErr w:type="spellStart"/>
      <w:r w:rsidR="00656380" w:rsidRPr="00577F68">
        <w:rPr>
          <w:rFonts w:ascii="Times New Roman" w:hAnsi="Times New Roman"/>
          <w:i/>
          <w:iCs/>
          <w:lang w:val="pt-BR"/>
        </w:rPr>
        <w:t>E</w:t>
      </w:r>
      <w:r w:rsidR="00656380" w:rsidRPr="00577F68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656380" w:rsidRPr="00577F68">
        <w:rPr>
          <w:rFonts w:ascii="Times New Roman" w:hAnsi="Times New Roman"/>
          <w:lang w:val="pt-BR"/>
        </w:rPr>
        <w:t>.</w:t>
      </w:r>
      <w:r w:rsidR="00EE059A" w:rsidRPr="00577F68">
        <w:rPr>
          <w:rFonts w:ascii="Times New Roman" w:hAnsi="Times New Roman"/>
          <w:lang w:val="pt-BR"/>
        </w:rPr>
        <w:t xml:space="preserve"> </w:t>
      </w:r>
      <w:r w:rsidR="00835CC0" w:rsidRPr="00577F68">
        <w:rPr>
          <w:rFonts w:ascii="Times New Roman" w:hAnsi="Times New Roman"/>
          <w:lang w:val="pt-BR"/>
        </w:rPr>
        <w:t xml:space="preserve">É </w:t>
      </w:r>
      <w:r w:rsidR="00EA3F72" w:rsidRPr="00577F68">
        <w:rPr>
          <w:rFonts w:ascii="Times New Roman" w:hAnsi="Times New Roman"/>
          <w:lang w:val="pt-BR"/>
        </w:rPr>
        <w:t>possível observar que agora não há uma relação clara entre os parâmetros estimados</w:t>
      </w:r>
      <w:r w:rsidR="00577F68" w:rsidRPr="00577F68">
        <w:rPr>
          <w:rFonts w:ascii="Times New Roman" w:hAnsi="Times New Roman"/>
          <w:lang w:val="pt-BR"/>
        </w:rPr>
        <w:t xml:space="preserve">, o que é evidenciado pelo valor baixo de </w:t>
      </w:r>
      <w:r w:rsidR="00577F68" w:rsidRPr="0085238C">
        <w:rPr>
          <w:rFonts w:ascii="Times New Roman" w:hAnsi="Times New Roman"/>
          <w:i/>
          <w:iCs/>
          <w:lang w:val="pt-BR"/>
        </w:rPr>
        <w:t>R</w:t>
      </w:r>
      <w:r w:rsidR="00577F68" w:rsidRPr="00577F68">
        <w:rPr>
          <w:rFonts w:ascii="Times New Roman" w:hAnsi="Times New Roman"/>
          <w:lang w:val="pt-BR"/>
        </w:rPr>
        <w:t xml:space="preserve">² para a regressão de </w:t>
      </w:r>
      <w:proofErr w:type="spellStart"/>
      <w:proofErr w:type="gramStart"/>
      <w:r w:rsidR="00577F68" w:rsidRPr="00577F68">
        <w:rPr>
          <w:rFonts w:ascii="Times New Roman" w:hAnsi="Times New Roman"/>
          <w:i/>
          <w:iCs/>
          <w:lang w:val="pt-BR"/>
        </w:rPr>
        <w:t>ln</w:t>
      </w:r>
      <w:proofErr w:type="spellEnd"/>
      <w:r w:rsidR="00577F68" w:rsidRPr="00577F68">
        <w:rPr>
          <w:rFonts w:ascii="Times New Roman" w:hAnsi="Times New Roman"/>
          <w:lang w:val="pt-BR"/>
        </w:rPr>
        <w:t>(</w:t>
      </w:r>
      <w:proofErr w:type="gramEnd"/>
      <w:r w:rsidR="00577F68" w:rsidRPr="00577F68">
        <w:rPr>
          <w:rFonts w:ascii="Times New Roman" w:hAnsi="Times New Roman"/>
          <w:i/>
          <w:iCs/>
          <w:lang w:val="pt-BR"/>
        </w:rPr>
        <w:t>A</w:t>
      </w:r>
      <w:r w:rsidR="00577F68" w:rsidRPr="00577F68">
        <w:rPr>
          <w:rFonts w:ascii="Times New Roman" w:hAnsi="Times New Roman"/>
          <w:i/>
          <w:iCs/>
          <w:vertAlign w:val="subscript"/>
          <w:lang w:val="pt-BR"/>
        </w:rPr>
        <w:t>ref</w:t>
      </w:r>
      <w:r w:rsidR="00577F68" w:rsidRPr="00577F68">
        <w:rPr>
          <w:rFonts w:ascii="Times New Roman" w:hAnsi="Times New Roman"/>
          <w:lang w:val="pt-BR"/>
        </w:rPr>
        <w:t xml:space="preserve">) </w:t>
      </w:r>
      <w:proofErr w:type="spellStart"/>
      <w:r w:rsidR="00577F68" w:rsidRPr="00DF02B1">
        <w:rPr>
          <w:rFonts w:ascii="Times New Roman" w:hAnsi="Times New Roman"/>
          <w:i/>
          <w:iCs/>
          <w:lang w:val="pt-BR"/>
        </w:rPr>
        <w:t>vs</w:t>
      </w:r>
      <w:proofErr w:type="spellEnd"/>
      <w:r w:rsidR="00577F68" w:rsidRPr="00577F68">
        <w:rPr>
          <w:rFonts w:ascii="Times New Roman" w:hAnsi="Times New Roman"/>
          <w:lang w:val="pt-BR"/>
        </w:rPr>
        <w:t xml:space="preserve"> </w:t>
      </w:r>
      <w:proofErr w:type="spellStart"/>
      <w:r w:rsidR="00577F68" w:rsidRPr="00577F68">
        <w:rPr>
          <w:rFonts w:ascii="Times New Roman" w:hAnsi="Times New Roman"/>
          <w:i/>
          <w:iCs/>
          <w:lang w:val="pt-BR"/>
        </w:rPr>
        <w:t>E</w:t>
      </w:r>
      <w:r w:rsidR="00577F68" w:rsidRPr="00577F68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85238C">
        <w:rPr>
          <w:rFonts w:ascii="Times New Roman" w:hAnsi="Times New Roman"/>
          <w:lang w:val="pt-BR"/>
        </w:rPr>
        <w:t>, neste caso igual a 0,0245</w:t>
      </w:r>
      <w:r w:rsidR="00483906">
        <w:rPr>
          <w:rFonts w:ascii="Times New Roman" w:hAnsi="Times New Roman"/>
          <w:lang w:val="pt-BR"/>
        </w:rPr>
        <w:t xml:space="preserve">. Portanto, fica evidente que a aparente relação linear entre os parâmetros da equação de Arrhenius </w:t>
      </w:r>
      <w:r w:rsidR="00DA63C7">
        <w:rPr>
          <w:rFonts w:ascii="Times New Roman" w:hAnsi="Times New Roman"/>
          <w:lang w:val="pt-BR"/>
        </w:rPr>
        <w:t xml:space="preserve">é eliminada </w:t>
      </w:r>
      <w:r w:rsidR="00882F68">
        <w:rPr>
          <w:rFonts w:ascii="Times New Roman" w:hAnsi="Times New Roman"/>
          <w:lang w:val="pt-BR"/>
        </w:rPr>
        <w:t xml:space="preserve">ao </w:t>
      </w:r>
      <w:proofErr w:type="spellStart"/>
      <w:r w:rsidR="007B0B0A">
        <w:rPr>
          <w:rFonts w:ascii="Times New Roman" w:hAnsi="Times New Roman"/>
          <w:lang w:val="pt-BR"/>
        </w:rPr>
        <w:t>reperametrizar</w:t>
      </w:r>
      <w:proofErr w:type="spellEnd"/>
      <w:r w:rsidR="007B0B0A">
        <w:rPr>
          <w:rFonts w:ascii="Times New Roman" w:hAnsi="Times New Roman"/>
          <w:lang w:val="pt-BR"/>
        </w:rPr>
        <w:t xml:space="preserve"> esta equação</w:t>
      </w:r>
      <w:r w:rsidR="0085006B">
        <w:rPr>
          <w:rFonts w:ascii="Times New Roman" w:hAnsi="Times New Roman"/>
          <w:lang w:val="pt-BR"/>
        </w:rPr>
        <w:t xml:space="preserve">. </w:t>
      </w:r>
    </w:p>
    <w:p w14:paraId="2722F289" w14:textId="77777777" w:rsidR="009A1543" w:rsidRDefault="009A1543" w:rsidP="00D51251">
      <w:pPr>
        <w:pStyle w:val="TAMainText"/>
        <w:ind w:firstLine="0"/>
        <w:rPr>
          <w:lang w:val="pt-BR"/>
        </w:rPr>
      </w:pPr>
    </w:p>
    <w:p w14:paraId="65C1AD98" w14:textId="64E75721" w:rsidR="009A1543" w:rsidRDefault="00197A85" w:rsidP="009A1543">
      <w:pPr>
        <w:jc w:val="center"/>
      </w:pPr>
      <w:r>
        <w:rPr>
          <w:noProof/>
        </w:rPr>
        <w:drawing>
          <wp:inline distT="0" distB="0" distL="0" distR="0" wp14:anchorId="1A067AC3" wp14:editId="175CC301">
            <wp:extent cx="3027600" cy="1892250"/>
            <wp:effectExtent l="0" t="0" r="190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00" cy="18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7A82" w14:textId="3A470F5A" w:rsidR="009A1543" w:rsidRPr="00E038AF" w:rsidRDefault="009A1543" w:rsidP="009A1543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="005D2EED">
        <w:rPr>
          <w:rFonts w:ascii="Times New Roman" w:hAnsi="Times New Roman"/>
          <w:lang w:val="pt-BR"/>
        </w:rPr>
        <w:t xml:space="preserve"> E</w:t>
      </w:r>
      <w:r w:rsidR="00D766F9">
        <w:rPr>
          <w:rFonts w:ascii="Times New Roman" w:hAnsi="Times New Roman"/>
          <w:lang w:val="pt-BR"/>
        </w:rPr>
        <w:t xml:space="preserve">feito de compensação </w:t>
      </w:r>
      <w:r w:rsidR="002D5E02">
        <w:rPr>
          <w:rFonts w:ascii="Times New Roman" w:hAnsi="Times New Roman"/>
          <w:lang w:val="pt-BR"/>
        </w:rPr>
        <w:t xml:space="preserve">entre </w:t>
      </w:r>
      <w:proofErr w:type="spellStart"/>
      <w:proofErr w:type="gramStart"/>
      <w:r w:rsidR="002D5E02" w:rsidRPr="002D5E02">
        <w:rPr>
          <w:rFonts w:ascii="Times New Roman" w:hAnsi="Times New Roman"/>
          <w:i/>
          <w:iCs/>
          <w:lang w:val="pt-BR"/>
        </w:rPr>
        <w:t>ln</w:t>
      </w:r>
      <w:proofErr w:type="spellEnd"/>
      <w:r w:rsidR="002D5E02">
        <w:rPr>
          <w:rFonts w:ascii="Times New Roman" w:hAnsi="Times New Roman"/>
          <w:lang w:val="pt-BR"/>
        </w:rPr>
        <w:t>(</w:t>
      </w:r>
      <w:proofErr w:type="gramEnd"/>
      <w:r w:rsidR="002D5E02" w:rsidRPr="002D5E02">
        <w:rPr>
          <w:rFonts w:ascii="Times New Roman" w:hAnsi="Times New Roman"/>
          <w:i/>
          <w:iCs/>
          <w:lang w:val="pt-BR"/>
        </w:rPr>
        <w:t>A</w:t>
      </w:r>
      <w:r w:rsidR="002D5E02" w:rsidRPr="002D5E02">
        <w:rPr>
          <w:rFonts w:ascii="Times New Roman" w:hAnsi="Times New Roman"/>
          <w:i/>
          <w:iCs/>
          <w:vertAlign w:val="subscript"/>
          <w:lang w:val="pt-BR"/>
        </w:rPr>
        <w:t>ref</w:t>
      </w:r>
      <w:r w:rsidR="002D5E02">
        <w:rPr>
          <w:rFonts w:ascii="Times New Roman" w:hAnsi="Times New Roman"/>
          <w:lang w:val="pt-BR"/>
        </w:rPr>
        <w:t xml:space="preserve">) e </w:t>
      </w:r>
      <w:proofErr w:type="spellStart"/>
      <w:r w:rsidR="002D5E02" w:rsidRPr="002D5E02">
        <w:rPr>
          <w:rFonts w:ascii="Times New Roman" w:hAnsi="Times New Roman"/>
          <w:i/>
          <w:iCs/>
          <w:lang w:val="pt-BR"/>
        </w:rPr>
        <w:t>E</w:t>
      </w:r>
      <w:r w:rsidR="002D5E02" w:rsidRPr="002D5E02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2D5E02">
        <w:rPr>
          <w:rFonts w:ascii="Times New Roman" w:hAnsi="Times New Roman"/>
          <w:lang w:val="pt-BR"/>
        </w:rPr>
        <w:t xml:space="preserve">. </w:t>
      </w:r>
    </w:p>
    <w:p w14:paraId="7AA2CC71" w14:textId="77777777" w:rsidR="009A1543" w:rsidRDefault="009A1543" w:rsidP="00EA4E1B">
      <w:pPr>
        <w:pStyle w:val="TAMainText"/>
        <w:rPr>
          <w:lang w:val="pt-BR"/>
        </w:rPr>
      </w:pPr>
    </w:p>
    <w:p w14:paraId="30206633" w14:textId="1E39E2E1" w:rsidR="001474F7" w:rsidRPr="00577F68" w:rsidRDefault="001474F7" w:rsidP="001474F7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Analisando as regiões de confiança para os parâmetros </w:t>
      </w:r>
      <w:proofErr w:type="spellStart"/>
      <w:proofErr w:type="gramStart"/>
      <w:r w:rsidRPr="00577F68">
        <w:rPr>
          <w:rFonts w:ascii="Times New Roman" w:hAnsi="Times New Roman"/>
          <w:i/>
          <w:iCs/>
          <w:lang w:val="pt-BR"/>
        </w:rPr>
        <w:t>ln</w:t>
      </w:r>
      <w:proofErr w:type="spellEnd"/>
      <w:r w:rsidRPr="00577F68">
        <w:rPr>
          <w:rFonts w:ascii="Times New Roman" w:hAnsi="Times New Roman"/>
          <w:lang w:val="pt-BR"/>
        </w:rPr>
        <w:t>(</w:t>
      </w:r>
      <w:proofErr w:type="gramEnd"/>
      <w:r w:rsidRPr="00577F68">
        <w:rPr>
          <w:rFonts w:ascii="Times New Roman" w:hAnsi="Times New Roman"/>
          <w:i/>
          <w:iCs/>
          <w:lang w:val="pt-BR"/>
        </w:rPr>
        <w:t>A</w:t>
      </w:r>
      <w:r w:rsidRPr="00577F68">
        <w:rPr>
          <w:rFonts w:ascii="Times New Roman" w:hAnsi="Times New Roman"/>
          <w:i/>
          <w:iCs/>
          <w:vertAlign w:val="subscript"/>
          <w:lang w:val="pt-BR"/>
        </w:rPr>
        <w:t>ref</w:t>
      </w:r>
      <w:r w:rsidRPr="00577F68">
        <w:rPr>
          <w:rFonts w:ascii="Times New Roman" w:hAnsi="Times New Roman"/>
          <w:lang w:val="pt-BR"/>
        </w:rPr>
        <w:t xml:space="preserve">) e </w:t>
      </w:r>
      <w:proofErr w:type="spellStart"/>
      <w:r w:rsidRPr="003B25CF">
        <w:rPr>
          <w:rFonts w:ascii="Times New Roman" w:hAnsi="Times New Roman"/>
          <w:i/>
          <w:iCs/>
          <w:lang w:val="pt-BR"/>
        </w:rPr>
        <w:t>E</w:t>
      </w:r>
      <w:r w:rsidRPr="003B25CF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>
        <w:rPr>
          <w:rFonts w:ascii="Times New Roman" w:hAnsi="Times New Roman"/>
          <w:lang w:val="pt-BR"/>
        </w:rPr>
        <w:t xml:space="preserve">, é possível notar que, neste caso, regiões menos alongadas são obtidas, o que é característico de parâmetros com menores correlações. Comparado ao uso da Equação (1), onde correlação entre 0,959 e 0,999 foram obtidas entre os parâmetros </w:t>
      </w:r>
      <w:proofErr w:type="spellStart"/>
      <w:r w:rsidRPr="002E3566">
        <w:rPr>
          <w:rFonts w:ascii="Times New Roman" w:hAnsi="Times New Roman"/>
          <w:i/>
          <w:iCs/>
          <w:lang w:val="pt-BR"/>
        </w:rPr>
        <w:t>ln</w:t>
      </w:r>
      <w:proofErr w:type="spellEnd"/>
      <w:r>
        <w:rPr>
          <w:rFonts w:ascii="Times New Roman" w:hAnsi="Times New Roman"/>
          <w:lang w:val="pt-BR"/>
        </w:rPr>
        <w:t>(</w:t>
      </w:r>
      <w:r w:rsidRPr="002E3566">
        <w:rPr>
          <w:rFonts w:ascii="Times New Roman" w:hAnsi="Times New Roman"/>
          <w:i/>
          <w:iCs/>
          <w:lang w:val="pt-BR"/>
        </w:rPr>
        <w:t>A</w:t>
      </w:r>
      <w:r w:rsidRPr="002E3566">
        <w:rPr>
          <w:rFonts w:ascii="Times New Roman" w:hAnsi="Times New Roman"/>
          <w:vertAlign w:val="subscript"/>
          <w:lang w:val="pt-BR"/>
        </w:rPr>
        <w:t>0</w:t>
      </w:r>
      <w:r>
        <w:rPr>
          <w:rFonts w:ascii="Times New Roman" w:hAnsi="Times New Roman"/>
          <w:lang w:val="pt-BR"/>
        </w:rPr>
        <w:t xml:space="preserve">) e </w:t>
      </w:r>
      <w:proofErr w:type="spellStart"/>
      <w:r w:rsidRPr="002E3566">
        <w:rPr>
          <w:rFonts w:ascii="Times New Roman" w:hAnsi="Times New Roman"/>
          <w:i/>
          <w:iCs/>
          <w:lang w:val="pt-BR"/>
        </w:rPr>
        <w:t>E</w:t>
      </w:r>
      <w:r w:rsidRPr="002E3566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>
        <w:rPr>
          <w:rFonts w:ascii="Times New Roman" w:hAnsi="Times New Roman"/>
          <w:lang w:val="pt-BR"/>
        </w:rPr>
        <w:t xml:space="preserve">, o uso da Equação (4) leva a parâmetros com correlações entre -0,439 e -0,307, permitindo uma avaliação dos valores de </w:t>
      </w:r>
      <w:proofErr w:type="spellStart"/>
      <w:proofErr w:type="gramStart"/>
      <w:r w:rsidRPr="00AC7B2D">
        <w:rPr>
          <w:rFonts w:ascii="Times New Roman" w:hAnsi="Times New Roman"/>
          <w:i/>
          <w:iCs/>
          <w:lang w:val="pt-BR"/>
        </w:rPr>
        <w:t>ln</w:t>
      </w:r>
      <w:proofErr w:type="spellEnd"/>
      <w:r>
        <w:rPr>
          <w:rFonts w:ascii="Times New Roman" w:hAnsi="Times New Roman"/>
          <w:lang w:val="pt-BR"/>
        </w:rPr>
        <w:t>(</w:t>
      </w:r>
      <w:proofErr w:type="gramEnd"/>
      <w:r w:rsidRPr="00AC7B2D">
        <w:rPr>
          <w:rFonts w:ascii="Times New Roman" w:hAnsi="Times New Roman"/>
          <w:i/>
          <w:iCs/>
          <w:lang w:val="pt-BR"/>
        </w:rPr>
        <w:t>A</w:t>
      </w:r>
      <w:r w:rsidRPr="00AC7B2D">
        <w:rPr>
          <w:rFonts w:ascii="Times New Roman" w:hAnsi="Times New Roman"/>
          <w:i/>
          <w:iCs/>
          <w:vertAlign w:val="subscript"/>
          <w:lang w:val="pt-BR"/>
        </w:rPr>
        <w:t>ref</w:t>
      </w:r>
      <w:r>
        <w:rPr>
          <w:rFonts w:ascii="Times New Roman" w:hAnsi="Times New Roman"/>
          <w:lang w:val="pt-BR"/>
        </w:rPr>
        <w:t xml:space="preserve">) e </w:t>
      </w:r>
      <w:proofErr w:type="spellStart"/>
      <w:r w:rsidRPr="00AC7B2D">
        <w:rPr>
          <w:rFonts w:ascii="Times New Roman" w:hAnsi="Times New Roman"/>
          <w:i/>
          <w:iCs/>
          <w:lang w:val="pt-BR"/>
        </w:rPr>
        <w:t>E</w:t>
      </w:r>
      <w:r w:rsidRPr="00AC7B2D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>
        <w:rPr>
          <w:rFonts w:ascii="Times New Roman" w:hAnsi="Times New Roman"/>
          <w:lang w:val="pt-BR"/>
        </w:rPr>
        <w:t xml:space="preserve"> de forma mais independente do que no caso anterior. </w:t>
      </w:r>
      <w:r w:rsidR="00870DCF">
        <w:rPr>
          <w:rFonts w:ascii="Times New Roman" w:hAnsi="Times New Roman"/>
          <w:lang w:val="pt-BR"/>
        </w:rPr>
        <w:t xml:space="preserve">De forma similar ao caso anterior, </w:t>
      </w:r>
      <w:r w:rsidR="00F078EC">
        <w:rPr>
          <w:rFonts w:ascii="Times New Roman" w:hAnsi="Times New Roman"/>
          <w:lang w:val="pt-BR"/>
        </w:rPr>
        <w:t>é observada uma sobreposição das regiões de confiança das estimativas paramétricas obtidas, de forma que estas sejam, na realidade, estatisticamente equivalentes entre si</w:t>
      </w:r>
      <w:r w:rsidR="00FD7256">
        <w:rPr>
          <w:rFonts w:ascii="Times New Roman" w:hAnsi="Times New Roman"/>
          <w:lang w:val="pt-BR"/>
        </w:rPr>
        <w:t>.</w:t>
      </w:r>
    </w:p>
    <w:p w14:paraId="6E944882" w14:textId="77777777" w:rsidR="001474F7" w:rsidRDefault="001474F7" w:rsidP="00DD5C3B">
      <w:pPr>
        <w:pStyle w:val="TAMainText"/>
        <w:ind w:firstLine="0"/>
        <w:rPr>
          <w:lang w:val="pt-BR"/>
        </w:rPr>
      </w:pPr>
    </w:p>
    <w:p w14:paraId="36588154" w14:textId="13F8680A" w:rsidR="00FB24E5" w:rsidRDefault="000873A8" w:rsidP="00FB24E5">
      <w:pPr>
        <w:jc w:val="center"/>
      </w:pPr>
      <w:r w:rsidRPr="00214287">
        <w:rPr>
          <w:b/>
          <w:bCs/>
          <w:noProof/>
        </w:rPr>
        <w:drawing>
          <wp:inline distT="0" distB="0" distL="0" distR="0" wp14:anchorId="2DF612BD" wp14:editId="1485DAFD">
            <wp:extent cx="3023616" cy="1889760"/>
            <wp:effectExtent l="0" t="0" r="5715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616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65452" w14:textId="74AC8EF8" w:rsidR="00FB24E5" w:rsidRPr="00E038AF" w:rsidRDefault="00FB24E5" w:rsidP="00FB24E5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8950A9"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E43642">
        <w:rPr>
          <w:rFonts w:ascii="Times New Roman" w:hAnsi="Times New Roman"/>
          <w:lang w:val="pt-BR"/>
        </w:rPr>
        <w:t xml:space="preserve">Regiões de confiança para as estimativas </w:t>
      </w:r>
      <w:proofErr w:type="spellStart"/>
      <w:proofErr w:type="gramStart"/>
      <w:r w:rsidR="00E43642" w:rsidRPr="00E43642">
        <w:rPr>
          <w:rFonts w:ascii="Times New Roman" w:hAnsi="Times New Roman"/>
          <w:i/>
          <w:iCs/>
          <w:lang w:val="pt-BR"/>
        </w:rPr>
        <w:t>ln</w:t>
      </w:r>
      <w:proofErr w:type="spellEnd"/>
      <w:r w:rsidR="00E43642">
        <w:rPr>
          <w:rFonts w:ascii="Times New Roman" w:hAnsi="Times New Roman"/>
          <w:lang w:val="pt-BR"/>
        </w:rPr>
        <w:t>(</w:t>
      </w:r>
      <w:proofErr w:type="gramEnd"/>
      <w:r w:rsidR="00E43642" w:rsidRPr="00E43642">
        <w:rPr>
          <w:rFonts w:ascii="Times New Roman" w:hAnsi="Times New Roman"/>
          <w:i/>
          <w:iCs/>
          <w:lang w:val="pt-BR"/>
        </w:rPr>
        <w:t>A</w:t>
      </w:r>
      <w:r w:rsidR="00E43642" w:rsidRPr="00E43642">
        <w:rPr>
          <w:rFonts w:ascii="Times New Roman" w:hAnsi="Times New Roman"/>
          <w:i/>
          <w:iCs/>
          <w:vertAlign w:val="subscript"/>
          <w:lang w:val="pt-BR"/>
        </w:rPr>
        <w:t>ref</w:t>
      </w:r>
      <w:r w:rsidR="00E43642">
        <w:rPr>
          <w:rFonts w:ascii="Times New Roman" w:hAnsi="Times New Roman"/>
          <w:lang w:val="pt-BR"/>
        </w:rPr>
        <w:t xml:space="preserve">) e </w:t>
      </w:r>
      <w:proofErr w:type="spellStart"/>
      <w:r w:rsidR="00E43642" w:rsidRPr="00E43642">
        <w:rPr>
          <w:rFonts w:ascii="Times New Roman" w:hAnsi="Times New Roman"/>
          <w:i/>
          <w:iCs/>
          <w:lang w:val="pt-BR"/>
        </w:rPr>
        <w:t>E</w:t>
      </w:r>
      <w:r w:rsidR="00E43642" w:rsidRPr="00E43642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E43642">
        <w:rPr>
          <w:rFonts w:ascii="Times New Roman" w:hAnsi="Times New Roman"/>
          <w:lang w:val="pt-BR"/>
        </w:rPr>
        <w:t xml:space="preserve">. </w:t>
      </w:r>
    </w:p>
    <w:p w14:paraId="36A80003" w14:textId="77777777" w:rsidR="001D3615" w:rsidRDefault="001D3615" w:rsidP="00FD7256">
      <w:pPr>
        <w:pStyle w:val="TAMainText"/>
        <w:ind w:firstLine="0"/>
        <w:rPr>
          <w:lang w:val="pt-BR"/>
        </w:rPr>
      </w:pPr>
    </w:p>
    <w:p w14:paraId="4F29D0B8" w14:textId="2CAA37E8" w:rsidR="00235800" w:rsidRDefault="00666852" w:rsidP="0002789E">
      <w:pPr>
        <w:pStyle w:val="TAMainText"/>
        <w:ind w:firstLine="204"/>
        <w:rPr>
          <w:lang w:val="pt-BR"/>
        </w:rPr>
      </w:pPr>
      <w:r>
        <w:rPr>
          <w:lang w:val="pt-BR"/>
        </w:rPr>
        <w:t>Nos dois casos anterio</w:t>
      </w:r>
      <w:r w:rsidR="004630EB">
        <w:rPr>
          <w:lang w:val="pt-BR"/>
        </w:rPr>
        <w:t xml:space="preserve">rmente discutidos as estimativas dos parâmetros equação de </w:t>
      </w:r>
      <w:proofErr w:type="spellStart"/>
      <w:r w:rsidR="004630EB">
        <w:rPr>
          <w:lang w:val="pt-BR"/>
        </w:rPr>
        <w:t>Arrhenius</w:t>
      </w:r>
      <w:proofErr w:type="spellEnd"/>
      <w:r w:rsidR="00CD06CF">
        <w:rPr>
          <w:lang w:val="pt-BR"/>
        </w:rPr>
        <w:t xml:space="preserve">, na forma </w:t>
      </w:r>
      <w:proofErr w:type="spellStart"/>
      <w:r w:rsidR="00CD06CF">
        <w:rPr>
          <w:lang w:val="pt-BR"/>
        </w:rPr>
        <w:t>reparametrizada</w:t>
      </w:r>
      <w:proofErr w:type="spellEnd"/>
      <w:r w:rsidR="00CD06CF">
        <w:rPr>
          <w:lang w:val="pt-BR"/>
        </w:rPr>
        <w:t xml:space="preserve"> ou não, foram obtidas </w:t>
      </w:r>
      <w:r w:rsidR="00990324">
        <w:rPr>
          <w:lang w:val="pt-BR"/>
        </w:rPr>
        <w:t xml:space="preserve">dividindo os dados experimentais em subconjuntos </w:t>
      </w:r>
      <w:r w:rsidR="00924F4D">
        <w:rPr>
          <w:lang w:val="pt-BR"/>
        </w:rPr>
        <w:t xml:space="preserve">diferenciados pelos valores de massa de catalisador e temperatura de saturação </w:t>
      </w:r>
      <w:r w:rsidR="006E3108">
        <w:rPr>
          <w:lang w:val="pt-BR"/>
        </w:rPr>
        <w:t xml:space="preserve">utilizados, esta última sendo responsável pela </w:t>
      </w:r>
      <w:r w:rsidR="00F54FF2">
        <w:rPr>
          <w:lang w:val="pt-BR"/>
        </w:rPr>
        <w:t>pressão parcial de cicloexano na entrada do reator.</w:t>
      </w:r>
      <w:r w:rsidR="00957690">
        <w:rPr>
          <w:lang w:val="pt-BR"/>
        </w:rPr>
        <w:t xml:space="preserve"> Um efeito de compensação também é observado em outros trabalhos onde as condições inicias ou de entrada do reator são alteradas, como </w:t>
      </w:r>
      <w:r w:rsidR="00766AE7">
        <w:rPr>
          <w:lang w:val="pt-BR"/>
        </w:rPr>
        <w:t>n</w:t>
      </w:r>
      <w:r w:rsidR="00957690">
        <w:rPr>
          <w:lang w:val="pt-BR"/>
        </w:rPr>
        <w:t>o trabalho desenvolvido p</w:t>
      </w:r>
      <w:r w:rsidR="00766AE7">
        <w:rPr>
          <w:lang w:val="pt-BR"/>
        </w:rPr>
        <w:t>or</w:t>
      </w:r>
      <w:r w:rsidR="00957690">
        <w:rPr>
          <w:lang w:val="pt-BR"/>
        </w:rPr>
        <w:t xml:space="preserve"> </w:t>
      </w:r>
      <w:proofErr w:type="spellStart"/>
      <w:r w:rsidR="00957690">
        <w:rPr>
          <w:lang w:val="pt-BR"/>
        </w:rPr>
        <w:t>Bratlie</w:t>
      </w:r>
      <w:proofErr w:type="spellEnd"/>
      <w:r w:rsidR="00957690">
        <w:rPr>
          <w:lang w:val="pt-BR"/>
        </w:rPr>
        <w:t xml:space="preserve"> </w:t>
      </w:r>
      <w:r w:rsidR="00957690" w:rsidRPr="004342D0">
        <w:rPr>
          <w:i/>
          <w:iCs/>
          <w:lang w:val="pt-BR"/>
        </w:rPr>
        <w:t>et a</w:t>
      </w:r>
      <w:r w:rsidR="00D258EB" w:rsidRPr="004342D0">
        <w:rPr>
          <w:i/>
          <w:iCs/>
          <w:lang w:val="pt-BR"/>
        </w:rPr>
        <w:t>l</w:t>
      </w:r>
      <w:r w:rsidR="004342D0">
        <w:rPr>
          <w:lang w:val="pt-BR"/>
        </w:rPr>
        <w:t> </w:t>
      </w:r>
      <w:r w:rsidR="00D258EB">
        <w:rPr>
          <w:lang w:val="pt-BR"/>
        </w:rPr>
        <w:t>(200</w:t>
      </w:r>
      <w:r w:rsidR="00CF4636">
        <w:rPr>
          <w:lang w:val="pt-BR"/>
        </w:rPr>
        <w:t>7)</w:t>
      </w:r>
      <w:r w:rsidR="00D258EB">
        <w:rPr>
          <w:lang w:val="pt-BR"/>
        </w:rPr>
        <w:t xml:space="preserve">, por </w:t>
      </w:r>
      <w:r w:rsidR="00D258EB">
        <w:rPr>
          <w:lang w:val="pt-BR"/>
        </w:rPr>
        <w:lastRenderedPageBreak/>
        <w:t>exemplo</w:t>
      </w:r>
      <w:r w:rsidR="00F54FF2">
        <w:rPr>
          <w:lang w:val="pt-BR"/>
        </w:rPr>
        <w:t xml:space="preserve"> Como destacado por </w:t>
      </w:r>
      <w:proofErr w:type="spellStart"/>
      <w:r w:rsidR="00F54FF2">
        <w:rPr>
          <w:lang w:val="pt-BR"/>
        </w:rPr>
        <w:t>Barrie</w:t>
      </w:r>
      <w:proofErr w:type="spellEnd"/>
      <w:r w:rsidR="005905C0">
        <w:rPr>
          <w:lang w:val="pt-BR"/>
        </w:rPr>
        <w:t> </w:t>
      </w:r>
      <w:r w:rsidR="00F54FF2">
        <w:rPr>
          <w:lang w:val="pt-BR"/>
        </w:rPr>
        <w:t>(</w:t>
      </w:r>
      <w:r w:rsidR="00931F2F">
        <w:rPr>
          <w:lang w:val="pt-BR"/>
        </w:rPr>
        <w:t>3, 12</w:t>
      </w:r>
      <w:r w:rsidR="00B21515">
        <w:rPr>
          <w:lang w:val="pt-BR"/>
        </w:rPr>
        <w:t>),</w:t>
      </w:r>
      <w:r w:rsidR="001D5D87">
        <w:rPr>
          <w:lang w:val="pt-BR"/>
        </w:rPr>
        <w:t xml:space="preserve"> contudo,</w:t>
      </w:r>
      <w:r w:rsidR="00B21515">
        <w:rPr>
          <w:lang w:val="pt-BR"/>
        </w:rPr>
        <w:t xml:space="preserve"> a presença de incertezas experimentais e</w:t>
      </w:r>
      <w:r w:rsidR="00766AE7">
        <w:rPr>
          <w:lang w:val="pt-BR"/>
        </w:rPr>
        <w:t>/ou</w:t>
      </w:r>
      <w:r w:rsidR="00B21515">
        <w:rPr>
          <w:lang w:val="pt-BR"/>
        </w:rPr>
        <w:t xml:space="preserve"> </w:t>
      </w:r>
      <w:r w:rsidR="00B90D3D">
        <w:rPr>
          <w:lang w:val="pt-BR"/>
        </w:rPr>
        <w:t xml:space="preserve">erros sistemáticos </w:t>
      </w:r>
      <w:r w:rsidR="001D40C6">
        <w:rPr>
          <w:lang w:val="pt-BR"/>
        </w:rPr>
        <w:t>em experimentos com diferentes condições experimentais como, por exemplo, diferentes concentrações iniciais, pode resultar em um efeito de compensação aparente</w:t>
      </w:r>
      <w:r w:rsidR="001D5D87">
        <w:rPr>
          <w:lang w:val="pt-BR"/>
        </w:rPr>
        <w:t xml:space="preserve">, o que é observado </w:t>
      </w:r>
      <w:r w:rsidR="00D50BFC">
        <w:rPr>
          <w:lang w:val="pt-BR"/>
        </w:rPr>
        <w:t>nos dados apresentados aqui quando a forma tradicional da equação de Arrhenius é utilizada.</w:t>
      </w:r>
      <w:r w:rsidR="00E85C9D">
        <w:rPr>
          <w:lang w:val="pt-BR"/>
        </w:rPr>
        <w:t xml:space="preserve"> </w:t>
      </w:r>
    </w:p>
    <w:p w14:paraId="65ADA412" w14:textId="450D39B6" w:rsidR="00F16582" w:rsidRPr="0065326C" w:rsidRDefault="00235800" w:rsidP="0002789E">
      <w:pPr>
        <w:pStyle w:val="TAMainText"/>
        <w:ind w:firstLine="204"/>
        <w:rPr>
          <w:lang w:val="pt-BR"/>
        </w:rPr>
      </w:pPr>
      <w:r>
        <w:rPr>
          <w:lang w:val="pt-BR"/>
        </w:rPr>
        <w:t xml:space="preserve">Devido aos pontos discutidos </w:t>
      </w:r>
      <w:r w:rsidR="00EB179E">
        <w:rPr>
          <w:lang w:val="pt-BR"/>
        </w:rPr>
        <w:t xml:space="preserve">anteriormente, </w:t>
      </w:r>
      <w:r w:rsidR="00A27485">
        <w:rPr>
          <w:lang w:val="pt-BR"/>
        </w:rPr>
        <w:t xml:space="preserve">um novo processo de estimação dos parâmetros </w:t>
      </w:r>
      <w:r w:rsidR="00EB011A">
        <w:rPr>
          <w:lang w:val="pt-BR"/>
        </w:rPr>
        <w:t>foi realizado, desta vez utilizando todos os dados experimentais dis</w:t>
      </w:r>
      <w:r w:rsidR="00EB179E">
        <w:rPr>
          <w:lang w:val="pt-BR"/>
        </w:rPr>
        <w:t>poníveis</w:t>
      </w:r>
      <w:r w:rsidR="009B77DB">
        <w:rPr>
          <w:lang w:val="pt-BR"/>
        </w:rPr>
        <w:t>. Novamente, a equação de Arrhenius foi representada pela Equação (</w:t>
      </w:r>
      <w:r w:rsidR="0061767F">
        <w:rPr>
          <w:lang w:val="pt-BR"/>
        </w:rPr>
        <w:t>4</w:t>
      </w:r>
      <w:r w:rsidR="009B77DB">
        <w:rPr>
          <w:lang w:val="pt-BR"/>
        </w:rPr>
        <w:t xml:space="preserve">) e os parâmetros foram estimados através da minimização da </w:t>
      </w:r>
      <w:r w:rsidR="0061767F">
        <w:rPr>
          <w:lang w:val="pt-BR"/>
        </w:rPr>
        <w:t>função objetivo dada pela Equação (6)</w:t>
      </w:r>
      <w:r w:rsidR="00EB011A">
        <w:rPr>
          <w:lang w:val="pt-BR"/>
        </w:rPr>
        <w:t xml:space="preserve">. </w:t>
      </w:r>
      <w:r w:rsidR="00EB179E">
        <w:rPr>
          <w:lang w:val="pt-BR"/>
        </w:rPr>
        <w:t xml:space="preserve">Neste caso, apenas um valor é obtido </w:t>
      </w:r>
      <w:r w:rsidR="0061767F">
        <w:rPr>
          <w:lang w:val="pt-BR"/>
        </w:rPr>
        <w:t>para</w:t>
      </w:r>
      <w:r w:rsidR="00C11D93">
        <w:rPr>
          <w:lang w:val="pt-BR"/>
        </w:rPr>
        <w:t xml:space="preserve"> cada parâmetro, que são apresentados na Figura 5, junto com </w:t>
      </w:r>
      <w:r w:rsidR="005736DB">
        <w:rPr>
          <w:lang w:val="pt-BR"/>
        </w:rPr>
        <w:t>su</w:t>
      </w:r>
      <w:r w:rsidR="00C11D93">
        <w:rPr>
          <w:lang w:val="pt-BR"/>
        </w:rPr>
        <w:t>a região de confiança</w:t>
      </w:r>
      <w:r w:rsidR="00023ED8">
        <w:rPr>
          <w:lang w:val="pt-BR"/>
        </w:rPr>
        <w:t>. É possível notar</w:t>
      </w:r>
      <w:r w:rsidR="009612C0">
        <w:rPr>
          <w:lang w:val="pt-BR"/>
        </w:rPr>
        <w:t>, comparado aos dois casos anteriores, a região de confiança é bastante reduzi</w:t>
      </w:r>
      <w:r w:rsidR="001C10C7">
        <w:rPr>
          <w:lang w:val="pt-BR"/>
        </w:rPr>
        <w:t>d</w:t>
      </w:r>
      <w:r w:rsidR="009612C0">
        <w:rPr>
          <w:lang w:val="pt-BR"/>
        </w:rPr>
        <w:t>a e não alongada, característica de estimativas paramétricas com menores incertezas e correlações</w:t>
      </w:r>
      <w:r w:rsidR="00B624D0">
        <w:rPr>
          <w:lang w:val="pt-BR"/>
        </w:rPr>
        <w:t>.</w:t>
      </w:r>
      <w:r w:rsidR="00713E48">
        <w:rPr>
          <w:lang w:val="pt-BR"/>
        </w:rPr>
        <w:t xml:space="preserve"> Através desta abordagem</w:t>
      </w:r>
      <w:r w:rsidR="00B624D0">
        <w:rPr>
          <w:lang w:val="pt-BR"/>
        </w:rPr>
        <w:t>, uma correlação</w:t>
      </w:r>
      <w:r w:rsidR="00BF130F">
        <w:rPr>
          <w:lang w:val="pt-BR"/>
        </w:rPr>
        <w:t xml:space="preserve"> de</w:t>
      </w:r>
      <w:r w:rsidR="00B624D0">
        <w:rPr>
          <w:lang w:val="pt-BR"/>
        </w:rPr>
        <w:t xml:space="preserve"> </w:t>
      </w:r>
      <w:r w:rsidR="00713E48">
        <w:rPr>
          <w:lang w:val="pt-BR"/>
        </w:rPr>
        <w:t>-</w:t>
      </w:r>
      <w:r w:rsidR="0065326C">
        <w:rPr>
          <w:lang w:val="pt-BR"/>
        </w:rPr>
        <w:t xml:space="preserve">0,344 entre os parâmetros </w:t>
      </w:r>
      <w:proofErr w:type="spellStart"/>
      <w:proofErr w:type="gramStart"/>
      <w:r w:rsidR="0065326C" w:rsidRPr="0065326C">
        <w:rPr>
          <w:i/>
          <w:iCs/>
          <w:lang w:val="pt-BR"/>
        </w:rPr>
        <w:t>ln</w:t>
      </w:r>
      <w:proofErr w:type="spellEnd"/>
      <w:r w:rsidR="0065326C">
        <w:rPr>
          <w:lang w:val="pt-BR"/>
        </w:rPr>
        <w:t>(</w:t>
      </w:r>
      <w:proofErr w:type="gramEnd"/>
      <w:r w:rsidR="0065326C" w:rsidRPr="0065326C">
        <w:rPr>
          <w:i/>
          <w:iCs/>
          <w:lang w:val="pt-BR"/>
        </w:rPr>
        <w:t>A</w:t>
      </w:r>
      <w:r w:rsidR="0065326C" w:rsidRPr="0065326C">
        <w:rPr>
          <w:i/>
          <w:iCs/>
          <w:vertAlign w:val="subscript"/>
          <w:lang w:val="pt-BR"/>
        </w:rPr>
        <w:t>ref</w:t>
      </w:r>
      <w:r w:rsidR="0065326C">
        <w:rPr>
          <w:lang w:val="pt-BR"/>
        </w:rPr>
        <w:t xml:space="preserve">) e </w:t>
      </w:r>
      <w:proofErr w:type="spellStart"/>
      <w:r w:rsidR="0065326C" w:rsidRPr="0065326C">
        <w:rPr>
          <w:i/>
          <w:iCs/>
          <w:lang w:val="pt-BR"/>
        </w:rPr>
        <w:t>E</w:t>
      </w:r>
      <w:r w:rsidR="0065326C" w:rsidRPr="0065326C">
        <w:rPr>
          <w:i/>
          <w:iCs/>
          <w:vertAlign w:val="subscript"/>
          <w:lang w:val="pt-BR"/>
        </w:rPr>
        <w:t>a</w:t>
      </w:r>
      <w:proofErr w:type="spellEnd"/>
      <w:r w:rsidR="00244D01">
        <w:rPr>
          <w:lang w:val="pt-BR"/>
        </w:rPr>
        <w:t xml:space="preserve"> foi obtida, os quais apresentaram valores de -2,69</w:t>
      </w:r>
      <w:r w:rsidR="00244D01">
        <w:rPr>
          <w:rFonts w:cs="Times"/>
          <w:lang w:val="pt-BR"/>
        </w:rPr>
        <w:t>±</w:t>
      </w:r>
      <w:r w:rsidR="001C6B19">
        <w:rPr>
          <w:lang w:val="pt-BR"/>
        </w:rPr>
        <w:t xml:space="preserve">0,08 e </w:t>
      </w:r>
      <w:r w:rsidR="00021E75">
        <w:rPr>
          <w:lang w:val="pt-BR"/>
        </w:rPr>
        <w:t>76,76</w:t>
      </w:r>
      <w:r w:rsidR="0022106D">
        <w:rPr>
          <w:rFonts w:cs="Times"/>
          <w:lang w:val="pt-BR"/>
        </w:rPr>
        <w:t>±6,9</w:t>
      </w:r>
      <w:r w:rsidR="00AA48DD">
        <w:rPr>
          <w:rFonts w:cs="Times"/>
          <w:lang w:val="pt-BR"/>
        </w:rPr>
        <w:t>, respectivamente</w:t>
      </w:r>
      <w:r w:rsidR="00B64538">
        <w:rPr>
          <w:rFonts w:cs="Times"/>
          <w:lang w:val="pt-BR"/>
        </w:rPr>
        <w:t xml:space="preserve">. </w:t>
      </w:r>
    </w:p>
    <w:p w14:paraId="33B2EECA" w14:textId="613D4AB2" w:rsidR="003D303F" w:rsidRDefault="003D303F" w:rsidP="003D303F">
      <w:pPr>
        <w:jc w:val="center"/>
      </w:pPr>
      <w:r>
        <w:rPr>
          <w:noProof/>
        </w:rPr>
        <w:drawing>
          <wp:inline distT="0" distB="0" distL="0" distR="0" wp14:anchorId="07678B20" wp14:editId="67F3FBC1">
            <wp:extent cx="3027680" cy="1892300"/>
            <wp:effectExtent l="0" t="0" r="127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F9A77" w14:textId="2715C6CF" w:rsidR="003D303F" w:rsidRPr="00E038AF" w:rsidRDefault="003D303F" w:rsidP="003D303F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583692">
        <w:rPr>
          <w:rFonts w:ascii="Times New Roman" w:hAnsi="Times New Roman"/>
          <w:b/>
          <w:lang w:val="pt-BR"/>
        </w:rPr>
        <w:t>5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AB499F">
        <w:rPr>
          <w:rFonts w:ascii="Times New Roman" w:hAnsi="Times New Roman"/>
          <w:lang w:val="pt-BR"/>
        </w:rPr>
        <w:t xml:space="preserve">Região de confiança </w:t>
      </w:r>
      <w:r w:rsidR="00E97519">
        <w:rPr>
          <w:rFonts w:ascii="Times New Roman" w:hAnsi="Times New Roman"/>
          <w:lang w:val="pt-BR"/>
        </w:rPr>
        <w:t xml:space="preserve">e estimativas de </w:t>
      </w:r>
      <w:proofErr w:type="spellStart"/>
      <w:proofErr w:type="gramStart"/>
      <w:r w:rsidR="00E97519" w:rsidRPr="00E97519">
        <w:rPr>
          <w:rFonts w:ascii="Times New Roman" w:hAnsi="Times New Roman"/>
          <w:i/>
          <w:iCs/>
          <w:lang w:val="pt-BR"/>
        </w:rPr>
        <w:t>ln</w:t>
      </w:r>
      <w:proofErr w:type="spellEnd"/>
      <w:r w:rsidR="00E97519">
        <w:rPr>
          <w:rFonts w:ascii="Times New Roman" w:hAnsi="Times New Roman"/>
          <w:lang w:val="pt-BR"/>
        </w:rPr>
        <w:t>(</w:t>
      </w:r>
      <w:proofErr w:type="gramEnd"/>
      <w:r w:rsidR="00E97519" w:rsidRPr="00E97519">
        <w:rPr>
          <w:rFonts w:ascii="Times New Roman" w:hAnsi="Times New Roman"/>
          <w:i/>
          <w:iCs/>
          <w:lang w:val="pt-BR"/>
        </w:rPr>
        <w:t>A</w:t>
      </w:r>
      <w:r w:rsidR="00E97519" w:rsidRPr="00E97519">
        <w:rPr>
          <w:rFonts w:ascii="Times New Roman" w:hAnsi="Times New Roman"/>
          <w:i/>
          <w:iCs/>
          <w:vertAlign w:val="subscript"/>
          <w:lang w:val="pt-BR"/>
        </w:rPr>
        <w:t>ref</w:t>
      </w:r>
      <w:r w:rsidR="00E97519">
        <w:rPr>
          <w:rFonts w:ascii="Times New Roman" w:hAnsi="Times New Roman"/>
          <w:lang w:val="pt-BR"/>
        </w:rPr>
        <w:t xml:space="preserve">) e </w:t>
      </w:r>
      <w:proofErr w:type="spellStart"/>
      <w:r w:rsidR="00E97519" w:rsidRPr="00E97519">
        <w:rPr>
          <w:rFonts w:ascii="Times New Roman" w:hAnsi="Times New Roman"/>
          <w:i/>
          <w:iCs/>
          <w:lang w:val="pt-BR"/>
        </w:rPr>
        <w:t>E</w:t>
      </w:r>
      <w:r w:rsidR="00E97519" w:rsidRPr="00E97519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E97519">
        <w:rPr>
          <w:rFonts w:ascii="Times New Roman" w:hAnsi="Times New Roman"/>
          <w:lang w:val="pt-BR"/>
        </w:rPr>
        <w:t xml:space="preserve"> ao considerar a totalidade dos dados experimentais. </w:t>
      </w:r>
    </w:p>
    <w:p w14:paraId="465EC53B" w14:textId="77777777" w:rsidR="007948B7" w:rsidRDefault="007948B7" w:rsidP="00EA4E1B">
      <w:pPr>
        <w:pStyle w:val="TAMainText"/>
        <w:rPr>
          <w:lang w:val="pt-BR"/>
        </w:rPr>
      </w:pPr>
    </w:p>
    <w:p w14:paraId="431675C6" w14:textId="6D4166DD" w:rsidR="003A5427" w:rsidRDefault="006F7D51" w:rsidP="00EA4E1B">
      <w:pPr>
        <w:pStyle w:val="TAMainText"/>
        <w:rPr>
          <w:lang w:val="pt-BR"/>
        </w:rPr>
      </w:pPr>
      <w:r>
        <w:rPr>
          <w:lang w:val="pt-BR"/>
        </w:rPr>
        <w:t xml:space="preserve">Os resultados apresentados na Figura 5 mostram que o uso </w:t>
      </w:r>
      <w:r w:rsidR="001C10C7">
        <w:rPr>
          <w:lang w:val="pt-BR"/>
        </w:rPr>
        <w:t xml:space="preserve">simultâneo de todo </w:t>
      </w:r>
      <w:r>
        <w:rPr>
          <w:lang w:val="pt-BR"/>
        </w:rPr>
        <w:t xml:space="preserve">o conjunto </w:t>
      </w:r>
      <w:r w:rsidR="005B1B18">
        <w:rPr>
          <w:lang w:val="pt-BR"/>
        </w:rPr>
        <w:t>de dados leva a estimativas com menores incertezas e correlações, o que facilita a interpretação estatística e física dos parâmetros</w:t>
      </w:r>
      <w:r w:rsidR="006C23FB">
        <w:rPr>
          <w:lang w:val="pt-BR"/>
        </w:rPr>
        <w:t xml:space="preserve"> do modelo. Portanto, </w:t>
      </w:r>
      <w:r w:rsidR="006D6319">
        <w:rPr>
          <w:lang w:val="pt-BR"/>
        </w:rPr>
        <w:t xml:space="preserve">a não ser que os dados experimentais possam ser separados devido ao uso de diferentes catalisadores ou reagentes, caracterizando uma série de reações homólogas, </w:t>
      </w:r>
      <w:r w:rsidR="000E7836">
        <w:rPr>
          <w:lang w:val="pt-BR"/>
        </w:rPr>
        <w:t>recomenda-se utilizar o conjunto total de dados experimentais disponíveis para a modelagem cinética da reação estudada</w:t>
      </w:r>
      <w:r w:rsidR="00E57A60">
        <w:rPr>
          <w:lang w:val="pt-BR"/>
        </w:rPr>
        <w:t xml:space="preserve">, evitando a identificação de um efeito de compensação aparente </w:t>
      </w:r>
      <w:r w:rsidR="00F9426D">
        <w:rPr>
          <w:lang w:val="pt-BR"/>
        </w:rPr>
        <w:t xml:space="preserve">entre os parâmetros da equação de Arrhenius. </w:t>
      </w:r>
    </w:p>
    <w:p w14:paraId="21113C9C" w14:textId="7932FABE" w:rsidR="00A37DFB" w:rsidRDefault="00F9426D" w:rsidP="009033EE">
      <w:pPr>
        <w:pStyle w:val="TAMainText"/>
        <w:rPr>
          <w:lang w:val="pt-BR"/>
        </w:rPr>
      </w:pPr>
      <w:r>
        <w:rPr>
          <w:lang w:val="pt-BR"/>
        </w:rPr>
        <w:t xml:space="preserve">É importante ressaltar que os resultados </w:t>
      </w:r>
      <w:r w:rsidR="007C7918">
        <w:rPr>
          <w:lang w:val="pt-BR"/>
        </w:rPr>
        <w:t xml:space="preserve">apresentados neste trabalho não determinam que o efeito de compensação não seja um fenômeno </w:t>
      </w:r>
      <w:r w:rsidR="00ED02BB">
        <w:rPr>
          <w:lang w:val="pt-BR"/>
        </w:rPr>
        <w:t xml:space="preserve">real em alguns sistemas reacionais. </w:t>
      </w:r>
      <w:r w:rsidR="00101ABD">
        <w:rPr>
          <w:lang w:val="pt-BR"/>
        </w:rPr>
        <w:t xml:space="preserve">Os resultados mostram, contudo, que ao realizar um estudo </w:t>
      </w:r>
      <w:r w:rsidR="00101ABD">
        <w:rPr>
          <w:lang w:val="pt-BR"/>
        </w:rPr>
        <w:t xml:space="preserve">cinético de uma reação de interesse </w:t>
      </w:r>
      <w:r w:rsidR="006510CA">
        <w:rPr>
          <w:lang w:val="pt-BR"/>
        </w:rPr>
        <w:t>é importante realizar uma análise estatística rigorosa das estimativas obtidas para os parâmetros do modelo, permitindo avaliar se</w:t>
      </w:r>
      <w:r w:rsidR="00832BD8">
        <w:rPr>
          <w:lang w:val="pt-BR"/>
        </w:rPr>
        <w:t xml:space="preserve"> este efeito de compensação tem origem matemática </w:t>
      </w:r>
      <w:r w:rsidR="00326F17">
        <w:rPr>
          <w:lang w:val="pt-BR"/>
        </w:rPr>
        <w:t xml:space="preserve">– </w:t>
      </w:r>
      <w:r w:rsidR="00832BD8">
        <w:rPr>
          <w:lang w:val="pt-BR"/>
        </w:rPr>
        <w:t>devido a altas correlações entre os parâmetros, por e</w:t>
      </w:r>
      <w:r w:rsidR="00326F17">
        <w:rPr>
          <w:lang w:val="pt-BR"/>
        </w:rPr>
        <w:t xml:space="preserve">xemplo – ou não. </w:t>
      </w:r>
      <w:r w:rsidR="003C6F7B">
        <w:rPr>
          <w:lang w:val="pt-BR"/>
        </w:rPr>
        <w:t>Além disso</w:t>
      </w:r>
      <w:r w:rsidR="00326F17">
        <w:rPr>
          <w:lang w:val="pt-BR"/>
        </w:rPr>
        <w:t xml:space="preserve">, </w:t>
      </w:r>
      <w:r w:rsidR="0082090B">
        <w:rPr>
          <w:lang w:val="pt-BR"/>
        </w:rPr>
        <w:t xml:space="preserve">é </w:t>
      </w:r>
      <w:r w:rsidR="003C6F7B">
        <w:rPr>
          <w:lang w:val="pt-BR"/>
        </w:rPr>
        <w:t>importante</w:t>
      </w:r>
      <w:r w:rsidR="0082090B">
        <w:rPr>
          <w:lang w:val="pt-BR"/>
        </w:rPr>
        <w:t xml:space="preserve"> </w:t>
      </w:r>
      <w:r w:rsidR="007B4D1F">
        <w:rPr>
          <w:lang w:val="pt-BR"/>
        </w:rPr>
        <w:t>a caracterização das incertezas experimentais</w:t>
      </w:r>
      <w:r w:rsidR="00AA29B4">
        <w:rPr>
          <w:lang w:val="pt-BR"/>
        </w:rPr>
        <w:t>, permitindo o uso d</w:t>
      </w:r>
      <w:r w:rsidR="00BB5438">
        <w:rPr>
          <w:lang w:val="pt-BR"/>
        </w:rPr>
        <w:t xml:space="preserve">a função objetivo </w:t>
      </w:r>
      <w:r w:rsidR="007341F8">
        <w:rPr>
          <w:lang w:val="pt-BR"/>
        </w:rPr>
        <w:t xml:space="preserve">apresentada na Equação (6), que </w:t>
      </w:r>
      <w:r w:rsidR="0082090B">
        <w:rPr>
          <w:lang w:val="pt-BR"/>
        </w:rPr>
        <w:t>possibilita</w:t>
      </w:r>
      <w:r w:rsidR="00E323B8">
        <w:rPr>
          <w:lang w:val="pt-BR"/>
        </w:rPr>
        <w:t xml:space="preserve"> uma avaliação estatisticamente rigorosa do ajuste do modelo aos dados experimentais (</w:t>
      </w:r>
      <w:r w:rsidR="00931F2F">
        <w:rPr>
          <w:lang w:val="pt-BR"/>
        </w:rPr>
        <w:t>15</w:t>
      </w:r>
      <w:r w:rsidR="00E323B8">
        <w:rPr>
          <w:lang w:val="pt-BR"/>
        </w:rPr>
        <w:t>).</w:t>
      </w:r>
    </w:p>
    <w:p w14:paraId="357354AD" w14:textId="551DA52F" w:rsidR="00A0039F" w:rsidRPr="00080449" w:rsidRDefault="00EA4E1B" w:rsidP="00080449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35F0BCF4" w14:textId="336C681F" w:rsidR="002E7265" w:rsidRDefault="009F35FD" w:rsidP="000A27B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Neste trabalho foram avaliadas diferentes formas </w:t>
      </w:r>
      <w:r w:rsidR="004F370C">
        <w:rPr>
          <w:rFonts w:ascii="Times New Roman" w:hAnsi="Times New Roman"/>
          <w:lang w:val="pt-BR"/>
        </w:rPr>
        <w:t>para a estimação dos parâmetros da equação de Arrhenius, partindo de dados experimentais da desidrogenação de cicloexano em benzeno e hidrogênio</w:t>
      </w:r>
      <w:r w:rsidR="00DB584B">
        <w:rPr>
          <w:rFonts w:ascii="Times New Roman" w:hAnsi="Times New Roman"/>
          <w:lang w:val="pt-BR"/>
        </w:rPr>
        <w:t xml:space="preserve">, a fim de identificar a existência de um efeito de compensação cinético nas condições experimentais avaliadas. </w:t>
      </w:r>
      <w:r w:rsidR="006000EC">
        <w:rPr>
          <w:rFonts w:ascii="Times New Roman" w:hAnsi="Times New Roman"/>
          <w:lang w:val="pt-BR"/>
        </w:rPr>
        <w:t>Pode-se observar que, ao separar as condições experimentais de acordo com diferentes condições experimentais</w:t>
      </w:r>
      <w:r w:rsidR="0092375A">
        <w:rPr>
          <w:rFonts w:ascii="Times New Roman" w:hAnsi="Times New Roman"/>
          <w:lang w:val="pt-BR"/>
        </w:rPr>
        <w:t>,</w:t>
      </w:r>
      <w:r w:rsidR="006000EC">
        <w:rPr>
          <w:rFonts w:ascii="Times New Roman" w:hAnsi="Times New Roman"/>
          <w:lang w:val="pt-BR"/>
        </w:rPr>
        <w:t xml:space="preserve"> </w:t>
      </w:r>
      <w:r w:rsidR="001A0B9D">
        <w:rPr>
          <w:rFonts w:ascii="Times New Roman" w:hAnsi="Times New Roman"/>
          <w:lang w:val="pt-BR"/>
        </w:rPr>
        <w:t>utilizar a equação de Arrhenius em sua forma tradicional</w:t>
      </w:r>
      <w:r w:rsidR="0092375A">
        <w:rPr>
          <w:rFonts w:ascii="Times New Roman" w:hAnsi="Times New Roman"/>
          <w:lang w:val="pt-BR"/>
        </w:rPr>
        <w:t xml:space="preserve"> e realizar o processo de estimação de parâmetros sem a caracterização das incertezas experimentais,</w:t>
      </w:r>
      <w:r w:rsidR="00FA78F9">
        <w:rPr>
          <w:rFonts w:ascii="Times New Roman" w:hAnsi="Times New Roman"/>
          <w:lang w:val="pt-BR"/>
        </w:rPr>
        <w:t xml:space="preserve"> </w:t>
      </w:r>
      <w:r w:rsidR="000D355B">
        <w:rPr>
          <w:rFonts w:ascii="Times New Roman" w:hAnsi="Times New Roman"/>
          <w:lang w:val="pt-BR"/>
        </w:rPr>
        <w:t>um</w:t>
      </w:r>
      <w:r w:rsidR="00FA78F9">
        <w:rPr>
          <w:rFonts w:ascii="Times New Roman" w:hAnsi="Times New Roman"/>
          <w:lang w:val="pt-BR"/>
        </w:rPr>
        <w:t xml:space="preserve"> aumento da energia de ativação</w:t>
      </w:r>
      <w:r w:rsidR="00DC37BC">
        <w:rPr>
          <w:rFonts w:ascii="Times New Roman" w:hAnsi="Times New Roman"/>
          <w:lang w:val="pt-BR"/>
        </w:rPr>
        <w:t xml:space="preserve">, </w:t>
      </w:r>
      <w:proofErr w:type="spellStart"/>
      <w:r w:rsidR="00DC37BC" w:rsidRPr="00DC37BC">
        <w:rPr>
          <w:rFonts w:ascii="Times New Roman" w:hAnsi="Times New Roman"/>
          <w:i/>
          <w:iCs/>
          <w:lang w:val="pt-BR"/>
        </w:rPr>
        <w:t>E</w:t>
      </w:r>
      <w:r w:rsidR="00DC37BC" w:rsidRPr="00DC37BC">
        <w:rPr>
          <w:rFonts w:ascii="Times New Roman" w:hAnsi="Times New Roman"/>
          <w:i/>
          <w:iCs/>
          <w:vertAlign w:val="subscript"/>
          <w:lang w:val="pt-BR"/>
        </w:rPr>
        <w:t>a</w:t>
      </w:r>
      <w:proofErr w:type="spellEnd"/>
      <w:r w:rsidR="00DC37BC">
        <w:rPr>
          <w:rFonts w:ascii="Times New Roman" w:hAnsi="Times New Roman"/>
          <w:lang w:val="pt-BR"/>
        </w:rPr>
        <w:t>,</w:t>
      </w:r>
      <w:r w:rsidR="000D355B" w:rsidRPr="000D355B">
        <w:rPr>
          <w:rFonts w:ascii="Times New Roman" w:hAnsi="Times New Roman"/>
          <w:lang w:val="pt-BR"/>
        </w:rPr>
        <w:t xml:space="preserve"> </w:t>
      </w:r>
      <w:r w:rsidR="000D355B">
        <w:rPr>
          <w:rFonts w:ascii="Times New Roman" w:hAnsi="Times New Roman"/>
          <w:lang w:val="pt-BR"/>
        </w:rPr>
        <w:t xml:space="preserve">é acompanhado por um aumento do logaritmo do fator </w:t>
      </w:r>
      <w:proofErr w:type="spellStart"/>
      <w:r w:rsidR="000D355B">
        <w:rPr>
          <w:rFonts w:ascii="Times New Roman" w:hAnsi="Times New Roman"/>
          <w:lang w:val="pt-BR"/>
        </w:rPr>
        <w:t>pré</w:t>
      </w:r>
      <w:proofErr w:type="spellEnd"/>
      <w:r w:rsidR="000D355B">
        <w:rPr>
          <w:rFonts w:ascii="Times New Roman" w:hAnsi="Times New Roman"/>
          <w:lang w:val="pt-BR"/>
        </w:rPr>
        <w:t xml:space="preserve">-exponencial, </w:t>
      </w:r>
      <w:proofErr w:type="spellStart"/>
      <w:r w:rsidR="000D355B" w:rsidRPr="00DC37BC">
        <w:rPr>
          <w:rFonts w:ascii="Times New Roman" w:hAnsi="Times New Roman"/>
          <w:i/>
          <w:iCs/>
          <w:lang w:val="pt-BR"/>
        </w:rPr>
        <w:t>ln</w:t>
      </w:r>
      <w:proofErr w:type="spellEnd"/>
      <w:r w:rsidR="000D355B">
        <w:rPr>
          <w:rFonts w:ascii="Times New Roman" w:hAnsi="Times New Roman"/>
          <w:lang w:val="pt-BR"/>
        </w:rPr>
        <w:t>(</w:t>
      </w:r>
      <w:r w:rsidR="000D355B" w:rsidRPr="00DC37BC">
        <w:rPr>
          <w:rFonts w:ascii="Times New Roman" w:hAnsi="Times New Roman"/>
          <w:i/>
          <w:iCs/>
          <w:lang w:val="pt-BR"/>
        </w:rPr>
        <w:t>A</w:t>
      </w:r>
      <w:r w:rsidR="000D355B" w:rsidRPr="00DC37BC">
        <w:rPr>
          <w:rFonts w:ascii="Times New Roman" w:hAnsi="Times New Roman"/>
          <w:vertAlign w:val="subscript"/>
          <w:lang w:val="pt-BR"/>
        </w:rPr>
        <w:t>0</w:t>
      </w:r>
      <w:r w:rsidR="000D355B">
        <w:rPr>
          <w:rFonts w:ascii="Times New Roman" w:hAnsi="Times New Roman"/>
          <w:lang w:val="pt-BR"/>
        </w:rPr>
        <w:t>)</w:t>
      </w:r>
      <w:r w:rsidR="007564AF">
        <w:rPr>
          <w:rFonts w:ascii="Times New Roman" w:hAnsi="Times New Roman"/>
          <w:lang w:val="pt-BR"/>
        </w:rPr>
        <w:t xml:space="preserve">. </w:t>
      </w:r>
      <w:r w:rsidR="00E046FD">
        <w:rPr>
          <w:rFonts w:ascii="Times New Roman" w:hAnsi="Times New Roman"/>
          <w:lang w:val="pt-BR"/>
        </w:rPr>
        <w:t xml:space="preserve">Contudo, ao avaliar as regiões de confiança </w:t>
      </w:r>
      <w:r w:rsidR="00547203">
        <w:rPr>
          <w:rFonts w:ascii="Times New Roman" w:hAnsi="Times New Roman"/>
          <w:lang w:val="pt-BR"/>
        </w:rPr>
        <w:t>de</w:t>
      </w:r>
      <w:r w:rsidR="00E046FD">
        <w:rPr>
          <w:rFonts w:ascii="Times New Roman" w:hAnsi="Times New Roman"/>
          <w:lang w:val="pt-BR"/>
        </w:rPr>
        <w:t>stes parâmetros, são observadas regiões altamente</w:t>
      </w:r>
      <w:r w:rsidR="00BC293A">
        <w:rPr>
          <w:rFonts w:ascii="Times New Roman" w:hAnsi="Times New Roman"/>
          <w:lang w:val="pt-BR"/>
        </w:rPr>
        <w:t xml:space="preserve"> alongadas, resultantes da</w:t>
      </w:r>
      <w:r w:rsidR="00547203">
        <w:rPr>
          <w:rFonts w:ascii="Times New Roman" w:hAnsi="Times New Roman"/>
          <w:lang w:val="pt-BR"/>
        </w:rPr>
        <w:t>s suas elevadas incertezas e correlações.</w:t>
      </w:r>
    </w:p>
    <w:p w14:paraId="2902E4D9" w14:textId="637F5B4F" w:rsidR="006F34C3" w:rsidRDefault="002E7265" w:rsidP="000A27B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fim de </w:t>
      </w:r>
      <w:r w:rsidR="00651FE3">
        <w:rPr>
          <w:rFonts w:ascii="Times New Roman" w:hAnsi="Times New Roman"/>
          <w:lang w:val="pt-BR"/>
        </w:rPr>
        <w:t>reduzir as correlações entre os parâmetros</w:t>
      </w:r>
      <w:r w:rsidR="00843DB1">
        <w:rPr>
          <w:rFonts w:ascii="Times New Roman" w:hAnsi="Times New Roman"/>
          <w:lang w:val="pt-BR"/>
        </w:rPr>
        <w:t xml:space="preserve">, foi realizada a modelagem cinética fazendo uso de uma forma </w:t>
      </w:r>
      <w:proofErr w:type="spellStart"/>
      <w:r w:rsidR="00843DB1">
        <w:rPr>
          <w:rFonts w:ascii="Times New Roman" w:hAnsi="Times New Roman"/>
          <w:lang w:val="pt-BR"/>
        </w:rPr>
        <w:t>reparametrizada</w:t>
      </w:r>
      <w:proofErr w:type="spellEnd"/>
      <w:r w:rsidR="000A27B1">
        <w:rPr>
          <w:rFonts w:ascii="Times New Roman" w:hAnsi="Times New Roman"/>
          <w:lang w:val="pt-BR"/>
        </w:rPr>
        <w:t xml:space="preserve"> da equação de Arrhenius, </w:t>
      </w:r>
      <w:r w:rsidR="002E0C28">
        <w:rPr>
          <w:rFonts w:ascii="Times New Roman" w:hAnsi="Times New Roman"/>
          <w:lang w:val="pt-BR"/>
        </w:rPr>
        <w:t>com base em uma temperatura de referência – neste caso igual a 300 °C</w:t>
      </w:r>
      <w:r w:rsidR="00843DB1">
        <w:rPr>
          <w:rFonts w:ascii="Times New Roman" w:hAnsi="Times New Roman"/>
          <w:lang w:val="pt-BR"/>
        </w:rPr>
        <w:t xml:space="preserve">. Nesse caso foi possível notar que a </w:t>
      </w:r>
      <w:r w:rsidR="00C10B9F">
        <w:rPr>
          <w:rFonts w:ascii="Times New Roman" w:hAnsi="Times New Roman"/>
          <w:lang w:val="pt-BR"/>
        </w:rPr>
        <w:t>relação</w:t>
      </w:r>
      <w:r w:rsidR="00843DB1">
        <w:rPr>
          <w:rFonts w:ascii="Times New Roman" w:hAnsi="Times New Roman"/>
          <w:lang w:val="pt-BR"/>
        </w:rPr>
        <w:t xml:space="preserve"> </w:t>
      </w:r>
      <w:r w:rsidR="00C10B9F">
        <w:rPr>
          <w:rFonts w:ascii="Times New Roman" w:hAnsi="Times New Roman"/>
          <w:lang w:val="pt-BR"/>
        </w:rPr>
        <w:t xml:space="preserve">linear observada anteriormente </w:t>
      </w:r>
      <w:r w:rsidR="00843DB1">
        <w:rPr>
          <w:rFonts w:ascii="Times New Roman" w:hAnsi="Times New Roman"/>
          <w:lang w:val="pt-BR"/>
        </w:rPr>
        <w:t>entre os parâmetros da equação de Arrhenius</w:t>
      </w:r>
      <w:r w:rsidR="009B24C1">
        <w:rPr>
          <w:rFonts w:ascii="Times New Roman" w:hAnsi="Times New Roman"/>
          <w:lang w:val="pt-BR"/>
        </w:rPr>
        <w:t xml:space="preserve"> se torna </w:t>
      </w:r>
      <w:r w:rsidR="009B24C1" w:rsidRPr="001F0C6B">
        <w:rPr>
          <w:rFonts w:ascii="Times New Roman" w:hAnsi="Times New Roman"/>
          <w:lang w:val="pt-BR"/>
        </w:rPr>
        <w:t>menos intensa</w:t>
      </w:r>
      <w:r w:rsidR="009B24C1">
        <w:rPr>
          <w:rFonts w:ascii="Times New Roman" w:hAnsi="Times New Roman"/>
          <w:lang w:val="pt-BR"/>
        </w:rPr>
        <w:t xml:space="preserve">, </w:t>
      </w:r>
      <w:r w:rsidR="007567E2">
        <w:rPr>
          <w:rFonts w:ascii="Times New Roman" w:hAnsi="Times New Roman"/>
          <w:lang w:val="pt-BR"/>
        </w:rPr>
        <w:t xml:space="preserve">como resultado da redução das correlações entre </w:t>
      </w:r>
      <w:r w:rsidR="00474170">
        <w:rPr>
          <w:rFonts w:ascii="Times New Roman" w:hAnsi="Times New Roman"/>
          <w:lang w:val="pt-BR"/>
        </w:rPr>
        <w:t>os parâmetros. Ainda, de forma similar ao caso anterior, é possível observar, ao analisar as regiões de confianç</w:t>
      </w:r>
      <w:r w:rsidR="006F34C3">
        <w:rPr>
          <w:rFonts w:ascii="Times New Roman" w:hAnsi="Times New Roman"/>
          <w:lang w:val="pt-BR"/>
        </w:rPr>
        <w:t>a dos parâmetros, que as estimativas obtidas são estatisticamente equivalentes. Isso é evidenciado pela sobreposição das regiões de confiança, computadas para um nível de confiança de 95%.</w:t>
      </w:r>
    </w:p>
    <w:p w14:paraId="4C200095" w14:textId="73406DBB" w:rsidR="000A27B1" w:rsidRDefault="006F34C3" w:rsidP="000A27B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Por fim, foi mostrado que</w:t>
      </w:r>
      <w:r w:rsidR="00A20348">
        <w:rPr>
          <w:rFonts w:ascii="Times New Roman" w:hAnsi="Times New Roman"/>
          <w:lang w:val="pt-BR"/>
        </w:rPr>
        <w:t>,</w:t>
      </w:r>
      <w:r w:rsidR="000C3407">
        <w:rPr>
          <w:rFonts w:ascii="Times New Roman" w:hAnsi="Times New Roman"/>
          <w:lang w:val="pt-BR"/>
        </w:rPr>
        <w:t xml:space="preserve"> </w:t>
      </w:r>
      <w:r w:rsidR="00825BBB">
        <w:rPr>
          <w:rFonts w:ascii="Times New Roman" w:hAnsi="Times New Roman"/>
          <w:lang w:val="pt-BR"/>
        </w:rPr>
        <w:t xml:space="preserve">ao usar o conjunto de dados completo para a estimação dos parâmetros cinéticos, aliado </w:t>
      </w:r>
      <w:r w:rsidR="005900EF">
        <w:rPr>
          <w:rFonts w:ascii="Times New Roman" w:hAnsi="Times New Roman"/>
          <w:lang w:val="pt-BR"/>
        </w:rPr>
        <w:t xml:space="preserve">à caracterização das incertezas experimentais e à </w:t>
      </w:r>
      <w:proofErr w:type="spellStart"/>
      <w:r w:rsidR="005900EF">
        <w:rPr>
          <w:rFonts w:ascii="Times New Roman" w:hAnsi="Times New Roman"/>
          <w:lang w:val="pt-BR"/>
        </w:rPr>
        <w:t>reparametrização</w:t>
      </w:r>
      <w:proofErr w:type="spellEnd"/>
      <w:r w:rsidR="005900EF">
        <w:rPr>
          <w:rFonts w:ascii="Times New Roman" w:hAnsi="Times New Roman"/>
          <w:lang w:val="pt-BR"/>
        </w:rPr>
        <w:t xml:space="preserve"> da equação de Arrhenius, fo</w:t>
      </w:r>
      <w:r w:rsidR="00451CD8">
        <w:rPr>
          <w:rFonts w:ascii="Times New Roman" w:hAnsi="Times New Roman"/>
          <w:lang w:val="pt-BR"/>
        </w:rPr>
        <w:t xml:space="preserve">i obtida a menor região de confiança das estimativas paramétricas, além da redução da correlação entre os parâmetros. </w:t>
      </w:r>
      <w:r w:rsidR="00253C87">
        <w:rPr>
          <w:rFonts w:ascii="Times New Roman" w:hAnsi="Times New Roman"/>
          <w:lang w:val="pt-BR"/>
        </w:rPr>
        <w:t>Isto mostra que a separação dos dados em subconjuntos deve ser realizada de forma criteriosa, pois pode levar a uma falsa identificação de um efeito de compensação</w:t>
      </w:r>
      <w:r w:rsidR="001F0C6B">
        <w:rPr>
          <w:rFonts w:ascii="Times New Roman" w:hAnsi="Times New Roman"/>
          <w:lang w:val="pt-BR"/>
        </w:rPr>
        <w:t xml:space="preserve"> e a estimativas com maiores incertezas. 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Agradecimentos</w:t>
      </w:r>
    </w:p>
    <w:p w14:paraId="05A178F9" w14:textId="4F3A6EFC" w:rsidR="00EA4E1B" w:rsidRPr="00656959" w:rsidRDefault="00656959" w:rsidP="003A1008">
      <w:pPr>
        <w:pStyle w:val="TAMainText"/>
        <w:ind w:firstLine="204"/>
        <w:rPr>
          <w:rFonts w:ascii="Times New Roman" w:hAnsi="Times New Roman"/>
          <w:lang w:val="pt-BR"/>
        </w:rPr>
      </w:pPr>
      <w:r w:rsidRPr="00656959">
        <w:rPr>
          <w:rFonts w:ascii="Times New Roman" w:hAnsi="Times New Roman"/>
          <w:lang w:val="pt-BR"/>
        </w:rPr>
        <w:t>Este estudo foi financiado em parte pelo Conselho Nacional de Desenvolvimento Científico e Tecnológico - Brasil (CNPq) e pela Coordenação de Aperfeiçoamento de Pessoal de Nível Superior - Brasil (CAPES) - Código de Financiamento 001.</w:t>
      </w:r>
    </w:p>
    <w:p w14:paraId="5919713A" w14:textId="77777777" w:rsidR="00656959" w:rsidRPr="001F25B2" w:rsidRDefault="00656959" w:rsidP="00656959">
      <w:pPr>
        <w:pStyle w:val="TAMainText"/>
        <w:ind w:firstLine="0"/>
        <w:rPr>
          <w:rFonts w:ascii="Times New Roman" w:hAnsi="Times New Roman"/>
          <w:lang w:val="pt-BR"/>
        </w:rPr>
      </w:pP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58D911D" w14:textId="37CE2A9C" w:rsidR="00EA4E1B" w:rsidRDefault="00EA4E1B" w:rsidP="00EA4E1B">
      <w:pPr>
        <w:pStyle w:val="TAMainText"/>
        <w:ind w:firstLine="0"/>
        <w:rPr>
          <w:lang w:val="pt-BR"/>
        </w:rPr>
      </w:pPr>
    </w:p>
    <w:p w14:paraId="7304CE4A" w14:textId="68D885D0" w:rsidR="00EA4E1B" w:rsidRDefault="00EA4E1B" w:rsidP="006A4A8D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6A4A8D">
        <w:rPr>
          <w:b/>
        </w:rPr>
        <w:t xml:space="preserve"> </w:t>
      </w:r>
      <w:r w:rsidR="005F4431">
        <w:rPr>
          <w:rFonts w:ascii="Times New Roman" w:hAnsi="Times New Roman"/>
        </w:rPr>
        <w:t>G</w:t>
      </w:r>
      <w:r w:rsidR="006A4A8D" w:rsidRPr="00E038AF">
        <w:rPr>
          <w:rFonts w:ascii="Times New Roman" w:hAnsi="Times New Roman"/>
        </w:rPr>
        <w:t xml:space="preserve">. </w:t>
      </w:r>
      <w:proofErr w:type="spellStart"/>
      <w:r w:rsidR="005F4431">
        <w:rPr>
          <w:rFonts w:ascii="Times New Roman" w:hAnsi="Times New Roman"/>
        </w:rPr>
        <w:t>Froment</w:t>
      </w:r>
      <w:proofErr w:type="spellEnd"/>
      <w:r w:rsidR="005F4431">
        <w:rPr>
          <w:rFonts w:ascii="Times New Roman" w:hAnsi="Times New Roman"/>
        </w:rPr>
        <w:t xml:space="preserve">; J. </w:t>
      </w:r>
      <w:proofErr w:type="spellStart"/>
      <w:r w:rsidR="005F4431">
        <w:rPr>
          <w:rFonts w:ascii="Times New Roman" w:hAnsi="Times New Roman"/>
        </w:rPr>
        <w:t>DeWilde</w:t>
      </w:r>
      <w:proofErr w:type="spellEnd"/>
      <w:r w:rsidR="005F4431">
        <w:rPr>
          <w:rFonts w:ascii="Times New Roman" w:hAnsi="Times New Roman"/>
        </w:rPr>
        <w:t>; K. Bischoff</w:t>
      </w:r>
      <w:r w:rsidR="006A4A8D" w:rsidRPr="00E038AF">
        <w:rPr>
          <w:rFonts w:ascii="Times New Roman" w:hAnsi="Times New Roman"/>
        </w:rPr>
        <w:t xml:space="preserve">, </w:t>
      </w:r>
      <w:r w:rsidR="00CE75F3">
        <w:rPr>
          <w:rFonts w:ascii="Times New Roman" w:hAnsi="Times New Roman"/>
          <w:i/>
        </w:rPr>
        <w:t>Chemical Reactor Analysis and Design</w:t>
      </w:r>
      <w:r w:rsidR="006A4A8D" w:rsidRPr="00E038AF">
        <w:rPr>
          <w:rFonts w:ascii="Times New Roman" w:hAnsi="Times New Roman"/>
          <w:i/>
        </w:rPr>
        <w:t xml:space="preserve">, </w:t>
      </w:r>
      <w:r w:rsidR="006A4A8D" w:rsidRPr="00E038AF">
        <w:rPr>
          <w:rFonts w:ascii="Times New Roman" w:hAnsi="Times New Roman"/>
        </w:rPr>
        <w:t xml:space="preserve">John Wiley &amp; Sons, New York, </w:t>
      </w:r>
      <w:r w:rsidR="00813B26">
        <w:rPr>
          <w:rFonts w:ascii="Times New Roman" w:hAnsi="Times New Roman"/>
        </w:rPr>
        <w:t>2011.</w:t>
      </w:r>
    </w:p>
    <w:p w14:paraId="36A60151" w14:textId="4253F65E" w:rsidR="003F7B7F" w:rsidRPr="006101C6" w:rsidRDefault="00190774" w:rsidP="006A4A8D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6101C6">
        <w:rPr>
          <w:rFonts w:ascii="Times New Roman" w:hAnsi="Times New Roman"/>
        </w:rPr>
        <w:t xml:space="preserve">H. S. </w:t>
      </w:r>
      <w:proofErr w:type="spellStart"/>
      <w:r w:rsidRPr="006101C6">
        <w:rPr>
          <w:rFonts w:ascii="Times New Roman" w:hAnsi="Times New Roman"/>
        </w:rPr>
        <w:t>Fogler</w:t>
      </w:r>
      <w:proofErr w:type="spellEnd"/>
      <w:r w:rsidR="003F7B7F" w:rsidRPr="006101C6">
        <w:rPr>
          <w:rFonts w:ascii="Times New Roman" w:hAnsi="Times New Roman"/>
        </w:rPr>
        <w:t xml:space="preserve">, </w:t>
      </w:r>
      <w:r w:rsidR="006101C6" w:rsidRPr="006101C6">
        <w:rPr>
          <w:rFonts w:ascii="Times New Roman" w:hAnsi="Times New Roman"/>
          <w:i/>
        </w:rPr>
        <w:t>Elements of Chemical Reaction Engineer</w:t>
      </w:r>
      <w:r w:rsidR="006101C6">
        <w:rPr>
          <w:rFonts w:ascii="Times New Roman" w:hAnsi="Times New Roman"/>
          <w:i/>
        </w:rPr>
        <w:t>ing</w:t>
      </w:r>
      <w:r w:rsidR="00412AE7">
        <w:rPr>
          <w:rFonts w:ascii="Times New Roman" w:hAnsi="Times New Roman"/>
          <w:iCs/>
        </w:rPr>
        <w:t>, Prentice Hall</w:t>
      </w:r>
      <w:r w:rsidR="003F7B7F" w:rsidRPr="006101C6">
        <w:rPr>
          <w:rFonts w:ascii="Times New Roman" w:hAnsi="Times New Roman"/>
        </w:rPr>
        <w:t xml:space="preserve">, New </w:t>
      </w:r>
      <w:r w:rsidR="00412AE7">
        <w:rPr>
          <w:rFonts w:ascii="Times New Roman" w:hAnsi="Times New Roman"/>
        </w:rPr>
        <w:t>Jersey</w:t>
      </w:r>
      <w:r w:rsidR="003F7B7F" w:rsidRPr="006101C6">
        <w:rPr>
          <w:rFonts w:ascii="Times New Roman" w:hAnsi="Times New Roman"/>
        </w:rPr>
        <w:t>, 20</w:t>
      </w:r>
      <w:r w:rsidR="00412AE7">
        <w:rPr>
          <w:rFonts w:ascii="Times New Roman" w:hAnsi="Times New Roman"/>
        </w:rPr>
        <w:t>06</w:t>
      </w:r>
      <w:r w:rsidR="003F7B7F" w:rsidRPr="006101C6">
        <w:rPr>
          <w:rFonts w:ascii="Times New Roman" w:hAnsi="Times New Roman"/>
        </w:rPr>
        <w:t>.</w:t>
      </w:r>
    </w:p>
    <w:p w14:paraId="351BC29D" w14:textId="78DE5710" w:rsidR="006E338E" w:rsidRPr="0029060E" w:rsidRDefault="0029060E" w:rsidP="00196C2B">
      <w:pPr>
        <w:pStyle w:val="TAMainText"/>
        <w:numPr>
          <w:ilvl w:val="0"/>
          <w:numId w:val="1"/>
        </w:numPr>
      </w:pPr>
      <w:r w:rsidRPr="0029060E">
        <w:t>P</w:t>
      </w:r>
      <w:r w:rsidR="00196C2B" w:rsidRPr="0029060E">
        <w:t>.</w:t>
      </w:r>
      <w:r w:rsidRPr="0029060E">
        <w:t xml:space="preserve"> J.</w:t>
      </w:r>
      <w:r w:rsidR="00196C2B" w:rsidRPr="0029060E">
        <w:t xml:space="preserve"> </w:t>
      </w:r>
      <w:r w:rsidRPr="0029060E">
        <w:t>Barrie</w:t>
      </w:r>
      <w:r w:rsidR="00196C2B" w:rsidRPr="0029060E">
        <w:t xml:space="preserve">, </w:t>
      </w:r>
      <w:r>
        <w:rPr>
          <w:i/>
        </w:rPr>
        <w:t>Phys</w:t>
      </w:r>
      <w:r w:rsidR="00196C2B" w:rsidRPr="0029060E">
        <w:rPr>
          <w:i/>
        </w:rPr>
        <w:t>. Chem.</w:t>
      </w:r>
      <w:r>
        <w:rPr>
          <w:i/>
        </w:rPr>
        <w:t xml:space="preserve"> </w:t>
      </w:r>
      <w:r w:rsidRPr="0029060E">
        <w:rPr>
          <w:i/>
        </w:rPr>
        <w:t>Chem</w:t>
      </w:r>
      <w:r>
        <w:rPr>
          <w:iCs/>
        </w:rPr>
        <w:t>.</w:t>
      </w:r>
      <w:r w:rsidR="00A143F5">
        <w:rPr>
          <w:iCs/>
        </w:rPr>
        <w:t xml:space="preserve"> </w:t>
      </w:r>
      <w:r w:rsidR="00A143F5">
        <w:rPr>
          <w:i/>
        </w:rPr>
        <w:t>Phys</w:t>
      </w:r>
      <w:r w:rsidR="00A143F5" w:rsidRPr="00A143F5">
        <w:rPr>
          <w:iCs/>
        </w:rPr>
        <w:t>.</w:t>
      </w:r>
      <w:r w:rsidR="00196C2B" w:rsidRPr="0029060E">
        <w:t xml:space="preserve"> </w:t>
      </w:r>
      <w:r w:rsidR="00A143F5">
        <w:rPr>
          <w:b/>
        </w:rPr>
        <w:t>2012</w:t>
      </w:r>
      <w:r w:rsidR="00196C2B" w:rsidRPr="0029060E">
        <w:rPr>
          <w:b/>
        </w:rPr>
        <w:t>,</w:t>
      </w:r>
      <w:r w:rsidR="00196C2B" w:rsidRPr="0029060E">
        <w:rPr>
          <w:i/>
        </w:rPr>
        <w:t xml:space="preserve"> </w:t>
      </w:r>
      <w:r w:rsidR="00966070">
        <w:rPr>
          <w:i/>
        </w:rPr>
        <w:t>14</w:t>
      </w:r>
      <w:r w:rsidR="00196C2B" w:rsidRPr="0029060E">
        <w:rPr>
          <w:i/>
        </w:rPr>
        <w:t>,</w:t>
      </w:r>
      <w:r w:rsidR="00196C2B" w:rsidRPr="0029060E">
        <w:t xml:space="preserve"> </w:t>
      </w:r>
      <w:r w:rsidR="00966070">
        <w:t>318</w:t>
      </w:r>
      <w:r w:rsidR="00196C2B" w:rsidRPr="0029060E">
        <w:t>-</w:t>
      </w:r>
      <w:r w:rsidR="00966070">
        <w:t>326</w:t>
      </w:r>
      <w:r w:rsidR="00196C2B" w:rsidRPr="0029060E">
        <w:t>.</w:t>
      </w:r>
      <w:r w:rsidR="00196C2B" w:rsidRPr="0029060E">
        <w:rPr>
          <w:b/>
        </w:rPr>
        <w:t xml:space="preserve"> </w:t>
      </w:r>
    </w:p>
    <w:p w14:paraId="1A6AD509" w14:textId="5FA40AD3" w:rsidR="00EA4E1B" w:rsidRDefault="00CC7B0F" w:rsidP="00CC7B0F">
      <w:pPr>
        <w:pStyle w:val="TAMainText"/>
        <w:numPr>
          <w:ilvl w:val="0"/>
          <w:numId w:val="1"/>
        </w:numPr>
        <w:rPr>
          <w:lang w:val="de-DE"/>
        </w:rPr>
      </w:pPr>
      <w:r w:rsidRPr="00BC6AD9">
        <w:rPr>
          <w:lang w:val="de-DE"/>
        </w:rPr>
        <w:t>W. Linert</w:t>
      </w:r>
      <w:r w:rsidR="00BC6AD9" w:rsidRPr="00BC6AD9">
        <w:rPr>
          <w:lang w:val="de-DE"/>
        </w:rPr>
        <w:t>; R. F.</w:t>
      </w:r>
      <w:r w:rsidR="00BC6AD9">
        <w:rPr>
          <w:lang w:val="de-DE"/>
        </w:rPr>
        <w:t xml:space="preserve"> Jameson</w:t>
      </w:r>
      <w:r w:rsidRPr="00BC6AD9">
        <w:rPr>
          <w:lang w:val="de-DE"/>
        </w:rPr>
        <w:t xml:space="preserve">, </w:t>
      </w:r>
      <w:r w:rsidRPr="00BC6AD9">
        <w:rPr>
          <w:i/>
          <w:lang w:val="de-DE"/>
        </w:rPr>
        <w:t xml:space="preserve">Chem. </w:t>
      </w:r>
      <w:r w:rsidR="00BC6AD9">
        <w:rPr>
          <w:i/>
          <w:lang w:val="de-DE"/>
        </w:rPr>
        <w:t>Soc</w:t>
      </w:r>
      <w:r w:rsidRPr="00BC6AD9">
        <w:rPr>
          <w:iCs/>
          <w:lang w:val="de-DE"/>
        </w:rPr>
        <w:t xml:space="preserve">. </w:t>
      </w:r>
      <w:r w:rsidR="00BC6AD9">
        <w:rPr>
          <w:i/>
          <w:lang w:val="de-DE"/>
        </w:rPr>
        <w:t>Rev</w:t>
      </w:r>
      <w:r w:rsidRPr="00BC6AD9">
        <w:rPr>
          <w:iCs/>
          <w:lang w:val="de-DE"/>
        </w:rPr>
        <w:t>.</w:t>
      </w:r>
      <w:r w:rsidRPr="00BC6AD9">
        <w:rPr>
          <w:lang w:val="de-DE"/>
        </w:rPr>
        <w:t xml:space="preserve"> </w:t>
      </w:r>
      <w:r w:rsidR="00213DFA">
        <w:rPr>
          <w:b/>
          <w:lang w:val="de-DE"/>
        </w:rPr>
        <w:t>1989</w:t>
      </w:r>
      <w:r w:rsidRPr="00BC6AD9">
        <w:rPr>
          <w:b/>
          <w:lang w:val="de-DE"/>
        </w:rPr>
        <w:t>,</w:t>
      </w:r>
      <w:r w:rsidRPr="00BC6AD9">
        <w:rPr>
          <w:i/>
          <w:lang w:val="de-DE"/>
        </w:rPr>
        <w:t xml:space="preserve"> 1</w:t>
      </w:r>
      <w:r w:rsidR="00213DFA">
        <w:rPr>
          <w:i/>
          <w:lang w:val="de-DE"/>
        </w:rPr>
        <w:t>8</w:t>
      </w:r>
      <w:r w:rsidRPr="00BC6AD9">
        <w:rPr>
          <w:i/>
          <w:lang w:val="de-DE"/>
        </w:rPr>
        <w:t>,</w:t>
      </w:r>
      <w:r w:rsidRPr="00BC6AD9">
        <w:rPr>
          <w:lang w:val="de-DE"/>
        </w:rPr>
        <w:t xml:space="preserve"> </w:t>
      </w:r>
      <w:r w:rsidR="00213DFA">
        <w:rPr>
          <w:lang w:val="de-DE"/>
        </w:rPr>
        <w:t>477</w:t>
      </w:r>
      <w:r w:rsidRPr="00BC6AD9">
        <w:rPr>
          <w:lang w:val="de-DE"/>
        </w:rPr>
        <w:t>-</w:t>
      </w:r>
      <w:r w:rsidR="00213DFA">
        <w:rPr>
          <w:lang w:val="de-DE"/>
        </w:rPr>
        <w:t>505</w:t>
      </w:r>
      <w:r w:rsidRPr="00BC6AD9">
        <w:rPr>
          <w:lang w:val="de-DE"/>
        </w:rPr>
        <w:t>.</w:t>
      </w:r>
    </w:p>
    <w:p w14:paraId="75C76521" w14:textId="6D004880" w:rsidR="001A5467" w:rsidRPr="001A5467" w:rsidRDefault="001A5467" w:rsidP="001A5467">
      <w:pPr>
        <w:pStyle w:val="TAMainText"/>
        <w:numPr>
          <w:ilvl w:val="0"/>
          <w:numId w:val="1"/>
        </w:numPr>
      </w:pPr>
      <w:r>
        <w:t>F</w:t>
      </w:r>
      <w:r w:rsidRPr="001A5467">
        <w:t>.</w:t>
      </w:r>
      <w:r>
        <w:t xml:space="preserve"> H.</w:t>
      </w:r>
      <w:r w:rsidRPr="001A5467">
        <w:t xml:space="preserve"> Constable, </w:t>
      </w:r>
      <w:r w:rsidR="00746C33">
        <w:rPr>
          <w:i/>
        </w:rPr>
        <w:t>Proc</w:t>
      </w:r>
      <w:r w:rsidRPr="001A5467">
        <w:rPr>
          <w:i/>
        </w:rPr>
        <w:t xml:space="preserve">. </w:t>
      </w:r>
      <w:r w:rsidR="00746C33">
        <w:rPr>
          <w:i/>
        </w:rPr>
        <w:t>R. Soc</w:t>
      </w:r>
      <w:r w:rsidRPr="001A5467">
        <w:rPr>
          <w:iCs/>
        </w:rPr>
        <w:t xml:space="preserve">. </w:t>
      </w:r>
      <w:r w:rsidR="00746C33">
        <w:rPr>
          <w:i/>
        </w:rPr>
        <w:t>London</w:t>
      </w:r>
      <w:r w:rsidRPr="001A5467">
        <w:rPr>
          <w:iCs/>
        </w:rPr>
        <w:t>.</w:t>
      </w:r>
      <w:r w:rsidRPr="001A5467">
        <w:t xml:space="preserve"> </w:t>
      </w:r>
      <w:r w:rsidRPr="001A5467">
        <w:rPr>
          <w:b/>
        </w:rPr>
        <w:t>19</w:t>
      </w:r>
      <w:r w:rsidR="00746C33">
        <w:rPr>
          <w:b/>
        </w:rPr>
        <w:t>25</w:t>
      </w:r>
      <w:r w:rsidRPr="001A5467">
        <w:rPr>
          <w:b/>
        </w:rPr>
        <w:t>,</w:t>
      </w:r>
      <w:r w:rsidRPr="001A5467">
        <w:rPr>
          <w:i/>
        </w:rPr>
        <w:t xml:space="preserve"> </w:t>
      </w:r>
      <w:r w:rsidR="00CA3328">
        <w:rPr>
          <w:i/>
        </w:rPr>
        <w:t>A108</w:t>
      </w:r>
      <w:r w:rsidRPr="001A5467">
        <w:rPr>
          <w:i/>
        </w:rPr>
        <w:t>,</w:t>
      </w:r>
      <w:r w:rsidRPr="001A5467">
        <w:t xml:space="preserve"> </w:t>
      </w:r>
      <w:r w:rsidR="00CA3328">
        <w:t>355</w:t>
      </w:r>
      <w:r w:rsidRPr="001A5467">
        <w:t>-</w:t>
      </w:r>
      <w:r w:rsidR="00CB7A6C">
        <w:t>378</w:t>
      </w:r>
      <w:r w:rsidRPr="001A5467">
        <w:t>.</w:t>
      </w:r>
    </w:p>
    <w:p w14:paraId="6798D28F" w14:textId="3867DE4C" w:rsidR="00E22932" w:rsidRPr="001A5467" w:rsidRDefault="00E22932" w:rsidP="00E22932">
      <w:pPr>
        <w:pStyle w:val="TAMainText"/>
        <w:numPr>
          <w:ilvl w:val="0"/>
          <w:numId w:val="1"/>
        </w:numPr>
      </w:pPr>
      <w:r w:rsidRPr="00DA6AE0">
        <w:rPr>
          <w:lang w:val="pt-BR"/>
        </w:rPr>
        <w:t xml:space="preserve">J. </w:t>
      </w:r>
      <w:proofErr w:type="spellStart"/>
      <w:r w:rsidRPr="00DA6AE0">
        <w:rPr>
          <w:lang w:val="pt-BR"/>
        </w:rPr>
        <w:t>Brindle</w:t>
      </w:r>
      <w:proofErr w:type="spellEnd"/>
      <w:r w:rsidRPr="00DA6AE0">
        <w:rPr>
          <w:lang w:val="pt-BR"/>
        </w:rPr>
        <w:t xml:space="preserve">; M. M. </w:t>
      </w:r>
      <w:proofErr w:type="spellStart"/>
      <w:r w:rsidRPr="00DA6AE0">
        <w:rPr>
          <w:lang w:val="pt-BR"/>
        </w:rPr>
        <w:t>Nigra</w:t>
      </w:r>
      <w:proofErr w:type="spellEnd"/>
      <w:r w:rsidRPr="00DA6AE0">
        <w:rPr>
          <w:lang w:val="pt-BR"/>
        </w:rPr>
        <w:t xml:space="preserve">, </w:t>
      </w:r>
      <w:r w:rsidR="00DA6AE0" w:rsidRPr="00DA6AE0">
        <w:rPr>
          <w:i/>
          <w:lang w:val="pt-BR"/>
        </w:rPr>
        <w:t xml:space="preserve">ACS </w:t>
      </w:r>
      <w:proofErr w:type="spellStart"/>
      <w:r w:rsidR="00DA6AE0" w:rsidRPr="00DA6AE0">
        <w:rPr>
          <w:i/>
          <w:lang w:val="pt-BR"/>
        </w:rPr>
        <w:t>Omega</w:t>
      </w:r>
      <w:proofErr w:type="spellEnd"/>
      <w:r w:rsidRPr="00DA6AE0">
        <w:rPr>
          <w:iCs/>
          <w:lang w:val="pt-BR"/>
        </w:rPr>
        <w:t>.</w:t>
      </w:r>
      <w:r w:rsidRPr="00DA6AE0">
        <w:rPr>
          <w:lang w:val="pt-BR"/>
        </w:rPr>
        <w:t xml:space="preserve"> </w:t>
      </w:r>
      <w:r w:rsidR="00DA6AE0">
        <w:rPr>
          <w:b/>
        </w:rPr>
        <w:t>2021</w:t>
      </w:r>
      <w:r w:rsidRPr="001A5467">
        <w:rPr>
          <w:b/>
        </w:rPr>
        <w:t>,</w:t>
      </w:r>
      <w:r w:rsidRPr="001A5467">
        <w:rPr>
          <w:i/>
        </w:rPr>
        <w:t xml:space="preserve"> </w:t>
      </w:r>
      <w:r w:rsidR="00DA6AE0">
        <w:rPr>
          <w:i/>
        </w:rPr>
        <w:t>6</w:t>
      </w:r>
      <w:r w:rsidRPr="001A5467">
        <w:rPr>
          <w:i/>
        </w:rPr>
        <w:t>,</w:t>
      </w:r>
      <w:r w:rsidRPr="001A5467">
        <w:t xml:space="preserve"> </w:t>
      </w:r>
      <w:r w:rsidR="00DA6AE0">
        <w:t>24269</w:t>
      </w:r>
      <w:r w:rsidRPr="001A5467">
        <w:t>-</w:t>
      </w:r>
      <w:r w:rsidR="00DA6AE0">
        <w:t>24279</w:t>
      </w:r>
      <w:r w:rsidRPr="001A5467">
        <w:t>.</w:t>
      </w:r>
    </w:p>
    <w:p w14:paraId="0FF6E9FD" w14:textId="70BB33BD" w:rsidR="00EA4E1B" w:rsidRPr="00224944" w:rsidRDefault="00224944" w:rsidP="00224944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>K. O. Rocha</w:t>
      </w:r>
      <w:r w:rsidRPr="00DA6AE0">
        <w:rPr>
          <w:lang w:val="pt-BR"/>
        </w:rPr>
        <w:t xml:space="preserve">; </w:t>
      </w:r>
      <w:r w:rsidR="00EE4322">
        <w:rPr>
          <w:lang w:val="pt-BR"/>
        </w:rPr>
        <w:t>C. M. P. Marques; J. M. C. Bueno</w:t>
      </w:r>
      <w:r w:rsidRPr="00DA6AE0">
        <w:rPr>
          <w:lang w:val="pt-BR"/>
        </w:rPr>
        <w:t xml:space="preserve">, </w:t>
      </w:r>
      <w:proofErr w:type="spellStart"/>
      <w:r w:rsidR="0035307A">
        <w:rPr>
          <w:i/>
          <w:lang w:val="pt-BR"/>
        </w:rPr>
        <w:t>Chem</w:t>
      </w:r>
      <w:proofErr w:type="spellEnd"/>
      <w:r w:rsidR="0035307A">
        <w:rPr>
          <w:i/>
          <w:lang w:val="pt-BR"/>
        </w:rPr>
        <w:t xml:space="preserve">. Eng. </w:t>
      </w:r>
      <w:proofErr w:type="spellStart"/>
      <w:r w:rsidR="0035307A">
        <w:rPr>
          <w:i/>
          <w:lang w:val="pt-BR"/>
        </w:rPr>
        <w:t>Sci</w:t>
      </w:r>
      <w:proofErr w:type="spellEnd"/>
      <w:r w:rsidRPr="00DA6AE0">
        <w:rPr>
          <w:iCs/>
          <w:lang w:val="pt-BR"/>
        </w:rPr>
        <w:t>.</w:t>
      </w:r>
      <w:r w:rsidRPr="00DA6AE0">
        <w:rPr>
          <w:lang w:val="pt-BR"/>
        </w:rPr>
        <w:t xml:space="preserve"> </w:t>
      </w:r>
      <w:r w:rsidRPr="00224944">
        <w:rPr>
          <w:b/>
          <w:lang w:val="pt-BR"/>
        </w:rPr>
        <w:t>20</w:t>
      </w:r>
      <w:r w:rsidR="0035307A">
        <w:rPr>
          <w:b/>
          <w:lang w:val="pt-BR"/>
        </w:rPr>
        <w:t>19</w:t>
      </w:r>
      <w:r w:rsidRPr="00224944">
        <w:rPr>
          <w:b/>
          <w:lang w:val="pt-BR"/>
        </w:rPr>
        <w:t>,</w:t>
      </w:r>
      <w:r w:rsidRPr="00224944">
        <w:rPr>
          <w:i/>
          <w:lang w:val="pt-BR"/>
        </w:rPr>
        <w:t xml:space="preserve"> </w:t>
      </w:r>
      <w:r w:rsidR="0035307A">
        <w:rPr>
          <w:i/>
          <w:lang w:val="pt-BR"/>
        </w:rPr>
        <w:t>207</w:t>
      </w:r>
      <w:r w:rsidRPr="00224944">
        <w:rPr>
          <w:i/>
          <w:lang w:val="pt-BR"/>
        </w:rPr>
        <w:t>,</w:t>
      </w:r>
      <w:r w:rsidRPr="00224944">
        <w:rPr>
          <w:lang w:val="pt-BR"/>
        </w:rPr>
        <w:t xml:space="preserve"> </w:t>
      </w:r>
      <w:r w:rsidR="0035307A">
        <w:rPr>
          <w:lang w:val="pt-BR"/>
        </w:rPr>
        <w:t>844</w:t>
      </w:r>
      <w:r w:rsidRPr="00224944">
        <w:rPr>
          <w:lang w:val="pt-BR"/>
        </w:rPr>
        <w:t>-</w:t>
      </w:r>
      <w:r w:rsidR="0035307A">
        <w:rPr>
          <w:lang w:val="pt-BR"/>
        </w:rPr>
        <w:t>852</w:t>
      </w:r>
      <w:r w:rsidRPr="00224944">
        <w:rPr>
          <w:lang w:val="pt-BR"/>
        </w:rPr>
        <w:t>.</w:t>
      </w:r>
    </w:p>
    <w:p w14:paraId="0E7B4FBA" w14:textId="1A787FF3" w:rsidR="00EA4E1B" w:rsidRPr="00D83E6A" w:rsidRDefault="00D83E6A" w:rsidP="00D83E6A">
      <w:pPr>
        <w:pStyle w:val="TAMainText"/>
        <w:numPr>
          <w:ilvl w:val="0"/>
          <w:numId w:val="1"/>
        </w:numPr>
        <w:rPr>
          <w:lang w:val="de-DE"/>
        </w:rPr>
      </w:pPr>
      <w:r w:rsidRPr="00662D93">
        <w:t xml:space="preserve">K. M. </w:t>
      </w:r>
      <w:proofErr w:type="spellStart"/>
      <w:r w:rsidRPr="00662D93">
        <w:t>Bratlie</w:t>
      </w:r>
      <w:proofErr w:type="spellEnd"/>
      <w:r w:rsidRPr="00662D93">
        <w:t xml:space="preserve">; Y. Li; R. Larsson, </w:t>
      </w:r>
      <w:proofErr w:type="spellStart"/>
      <w:r w:rsidR="00662D93" w:rsidRPr="00662D93">
        <w:rPr>
          <w:i/>
        </w:rPr>
        <w:t>Catal</w:t>
      </w:r>
      <w:proofErr w:type="spellEnd"/>
      <w:r w:rsidR="00662D93" w:rsidRPr="00662D93">
        <w:rPr>
          <w:i/>
        </w:rPr>
        <w:t xml:space="preserve">. </w:t>
      </w:r>
      <w:r w:rsidR="00662D93">
        <w:rPr>
          <w:i/>
        </w:rPr>
        <w:t>Lett.</w:t>
      </w:r>
      <w:r w:rsidRPr="00D83E6A">
        <w:rPr>
          <w:lang w:val="de-DE"/>
        </w:rPr>
        <w:t xml:space="preserve"> </w:t>
      </w:r>
      <w:r w:rsidRPr="00D83E6A">
        <w:rPr>
          <w:b/>
          <w:lang w:val="de-DE"/>
        </w:rPr>
        <w:t>20</w:t>
      </w:r>
      <w:r w:rsidR="00662D93">
        <w:rPr>
          <w:b/>
          <w:lang w:val="de-DE"/>
        </w:rPr>
        <w:t>08</w:t>
      </w:r>
      <w:r w:rsidRPr="00D83E6A">
        <w:rPr>
          <w:b/>
          <w:lang w:val="de-DE"/>
        </w:rPr>
        <w:t>,</w:t>
      </w:r>
      <w:r w:rsidRPr="00D83E6A">
        <w:rPr>
          <w:i/>
          <w:lang w:val="de-DE"/>
        </w:rPr>
        <w:t xml:space="preserve"> </w:t>
      </w:r>
      <w:r w:rsidR="00662D93">
        <w:rPr>
          <w:i/>
          <w:lang w:val="de-DE"/>
        </w:rPr>
        <w:t>121</w:t>
      </w:r>
      <w:r w:rsidRPr="00D83E6A">
        <w:rPr>
          <w:i/>
          <w:lang w:val="de-DE"/>
        </w:rPr>
        <w:t>,</w:t>
      </w:r>
      <w:r w:rsidRPr="00D83E6A">
        <w:rPr>
          <w:lang w:val="de-DE"/>
        </w:rPr>
        <w:t xml:space="preserve"> </w:t>
      </w:r>
      <w:r w:rsidR="00662D93">
        <w:rPr>
          <w:lang w:val="de-DE"/>
        </w:rPr>
        <w:t>173</w:t>
      </w:r>
      <w:r w:rsidRPr="00D83E6A">
        <w:rPr>
          <w:lang w:val="de-DE"/>
        </w:rPr>
        <w:t>-</w:t>
      </w:r>
      <w:r w:rsidR="00662D93">
        <w:rPr>
          <w:lang w:val="de-DE"/>
        </w:rPr>
        <w:t>178</w:t>
      </w:r>
      <w:r w:rsidRPr="00D83E6A">
        <w:rPr>
          <w:lang w:val="de-DE"/>
        </w:rPr>
        <w:t>.</w:t>
      </w:r>
    </w:p>
    <w:p w14:paraId="2BAE4A9E" w14:textId="0CBFF25C" w:rsidR="00EA4E1B" w:rsidRDefault="008F26C3" w:rsidP="00B344C9">
      <w:pPr>
        <w:pStyle w:val="TAMainText"/>
        <w:numPr>
          <w:ilvl w:val="0"/>
          <w:numId w:val="1"/>
        </w:numPr>
      </w:pPr>
      <w:r w:rsidRPr="000C26D2">
        <w:t>T</w:t>
      </w:r>
      <w:r w:rsidR="00B344C9" w:rsidRPr="000C26D2">
        <w:t xml:space="preserve">. </w:t>
      </w:r>
      <w:proofErr w:type="spellStart"/>
      <w:r w:rsidR="00B344C9" w:rsidRPr="000C26D2">
        <w:t>B</w:t>
      </w:r>
      <w:r w:rsidRPr="000C26D2">
        <w:t>ligaard</w:t>
      </w:r>
      <w:proofErr w:type="spellEnd"/>
      <w:r w:rsidR="00B344C9" w:rsidRPr="000C26D2">
        <w:t xml:space="preserve">; </w:t>
      </w:r>
      <w:r w:rsidRPr="000C26D2">
        <w:t>K</w:t>
      </w:r>
      <w:r w:rsidR="00B344C9" w:rsidRPr="000C26D2">
        <w:t xml:space="preserve">. </w:t>
      </w:r>
      <w:proofErr w:type="spellStart"/>
      <w:r w:rsidRPr="000C26D2">
        <w:t>Honkala</w:t>
      </w:r>
      <w:proofErr w:type="spellEnd"/>
      <w:r w:rsidR="00B344C9" w:rsidRPr="000C26D2">
        <w:t xml:space="preserve">; </w:t>
      </w:r>
      <w:r w:rsidR="000C26D2" w:rsidRPr="000C26D2">
        <w:t>A</w:t>
      </w:r>
      <w:r w:rsidR="00B344C9" w:rsidRPr="000C26D2">
        <w:t xml:space="preserve">. </w:t>
      </w:r>
      <w:proofErr w:type="spellStart"/>
      <w:r w:rsidR="000C26D2" w:rsidRPr="000C26D2">
        <w:t>Logadottir</w:t>
      </w:r>
      <w:proofErr w:type="spellEnd"/>
      <w:r w:rsidR="000C26D2" w:rsidRPr="000C26D2">
        <w:t xml:space="preserve">; J. K. </w:t>
      </w:r>
      <w:proofErr w:type="spellStart"/>
      <w:r w:rsidR="000C26D2" w:rsidRPr="000C26D2">
        <w:t>Norskov</w:t>
      </w:r>
      <w:proofErr w:type="spellEnd"/>
      <w:r w:rsidR="00B344C9" w:rsidRPr="000C26D2">
        <w:t xml:space="preserve">, </w:t>
      </w:r>
      <w:r w:rsidR="000C26D2" w:rsidRPr="000C26D2">
        <w:rPr>
          <w:i/>
        </w:rPr>
        <w:t>J. Phys. Chem.</w:t>
      </w:r>
      <w:r w:rsidR="00B344C9" w:rsidRPr="008F26C3">
        <w:t xml:space="preserve"> </w:t>
      </w:r>
      <w:r w:rsidR="00B344C9" w:rsidRPr="008F26C3">
        <w:rPr>
          <w:b/>
        </w:rPr>
        <w:t>200</w:t>
      </w:r>
      <w:r w:rsidR="000C26D2">
        <w:rPr>
          <w:b/>
        </w:rPr>
        <w:t>3</w:t>
      </w:r>
      <w:r w:rsidR="00B344C9" w:rsidRPr="008F26C3">
        <w:rPr>
          <w:b/>
        </w:rPr>
        <w:t>,</w:t>
      </w:r>
      <w:r w:rsidR="00B344C9" w:rsidRPr="008F26C3">
        <w:rPr>
          <w:i/>
        </w:rPr>
        <w:t xml:space="preserve"> 1</w:t>
      </w:r>
      <w:r w:rsidR="000C26D2">
        <w:rPr>
          <w:i/>
        </w:rPr>
        <w:t>07</w:t>
      </w:r>
      <w:r w:rsidR="00B344C9" w:rsidRPr="008F26C3">
        <w:rPr>
          <w:i/>
        </w:rPr>
        <w:t>,</w:t>
      </w:r>
      <w:r w:rsidR="00B344C9" w:rsidRPr="008F26C3">
        <w:t xml:space="preserve"> </w:t>
      </w:r>
      <w:r w:rsidR="000C26D2">
        <w:t>9325</w:t>
      </w:r>
      <w:r w:rsidR="00B344C9" w:rsidRPr="008F26C3">
        <w:t>-</w:t>
      </w:r>
      <w:r w:rsidR="000C26D2">
        <w:t>9331</w:t>
      </w:r>
      <w:r w:rsidR="00B344C9" w:rsidRPr="008F26C3">
        <w:t>.</w:t>
      </w:r>
    </w:p>
    <w:p w14:paraId="6FE86F5D" w14:textId="7165E17A" w:rsidR="00433C2C" w:rsidRDefault="00433C2C" w:rsidP="00433C2C">
      <w:pPr>
        <w:pStyle w:val="TAMainText"/>
        <w:numPr>
          <w:ilvl w:val="0"/>
          <w:numId w:val="1"/>
        </w:numPr>
      </w:pPr>
      <w:r>
        <w:t>A. K.</w:t>
      </w:r>
      <w:r w:rsidRPr="000C26D2">
        <w:t xml:space="preserve"> </w:t>
      </w:r>
      <w:r>
        <w:t>Galway</w:t>
      </w:r>
      <w:r w:rsidRPr="000C26D2">
        <w:t xml:space="preserve">, </w:t>
      </w:r>
      <w:r w:rsidR="00C94579">
        <w:rPr>
          <w:i/>
        </w:rPr>
        <w:t>Adv</w:t>
      </w:r>
      <w:r w:rsidRPr="000C26D2">
        <w:rPr>
          <w:i/>
        </w:rPr>
        <w:t xml:space="preserve">. </w:t>
      </w:r>
      <w:r w:rsidR="00C94579">
        <w:rPr>
          <w:i/>
        </w:rPr>
        <w:t>Cat</w:t>
      </w:r>
      <w:r w:rsidRPr="000C26D2">
        <w:rPr>
          <w:i/>
        </w:rPr>
        <w:t>.</w:t>
      </w:r>
      <w:r w:rsidRPr="008F26C3">
        <w:t xml:space="preserve"> </w:t>
      </w:r>
      <w:r w:rsidR="000C43AF">
        <w:rPr>
          <w:b/>
        </w:rPr>
        <w:t>19</w:t>
      </w:r>
      <w:r w:rsidR="00D00018">
        <w:rPr>
          <w:b/>
        </w:rPr>
        <w:t>77</w:t>
      </w:r>
      <w:r w:rsidRPr="00D00018">
        <w:rPr>
          <w:bCs/>
        </w:rPr>
        <w:t>,</w:t>
      </w:r>
      <w:r w:rsidRPr="00D00018">
        <w:rPr>
          <w:bCs/>
          <w:i/>
        </w:rPr>
        <w:t xml:space="preserve"> </w:t>
      </w:r>
      <w:r w:rsidR="00D00018">
        <w:rPr>
          <w:i/>
        </w:rPr>
        <w:t>26</w:t>
      </w:r>
      <w:r w:rsidRPr="008F26C3">
        <w:rPr>
          <w:i/>
        </w:rPr>
        <w:t>,</w:t>
      </w:r>
      <w:r w:rsidRPr="008F26C3">
        <w:t xml:space="preserve"> </w:t>
      </w:r>
      <w:r w:rsidR="00D00018">
        <w:t>247</w:t>
      </w:r>
      <w:r w:rsidRPr="008F26C3">
        <w:t>-</w:t>
      </w:r>
      <w:r w:rsidR="00D00018">
        <w:t>322</w:t>
      </w:r>
      <w:r w:rsidRPr="008F26C3">
        <w:t>.</w:t>
      </w:r>
    </w:p>
    <w:p w14:paraId="0998DFC7" w14:textId="66407BC6" w:rsidR="000817CD" w:rsidRDefault="00303BB4" w:rsidP="000817CD">
      <w:pPr>
        <w:pStyle w:val="TAMainText"/>
        <w:numPr>
          <w:ilvl w:val="0"/>
          <w:numId w:val="1"/>
        </w:numPr>
      </w:pPr>
      <w:r>
        <w:t>L. Liu</w:t>
      </w:r>
      <w:r w:rsidR="006A5507">
        <w:t>; Q. Guo</w:t>
      </w:r>
      <w:r w:rsidR="000817CD" w:rsidRPr="000C26D2">
        <w:t xml:space="preserve">, </w:t>
      </w:r>
      <w:r w:rsidR="000817CD" w:rsidRPr="000C26D2">
        <w:rPr>
          <w:i/>
        </w:rPr>
        <w:t>Chem</w:t>
      </w:r>
      <w:r>
        <w:rPr>
          <w:i/>
        </w:rPr>
        <w:t>. Rev</w:t>
      </w:r>
      <w:r w:rsidR="000817CD" w:rsidRPr="000C26D2">
        <w:rPr>
          <w:i/>
        </w:rPr>
        <w:t>.</w:t>
      </w:r>
      <w:r w:rsidR="000817CD" w:rsidRPr="008F26C3">
        <w:t xml:space="preserve"> </w:t>
      </w:r>
      <w:r w:rsidR="000817CD" w:rsidRPr="008F26C3">
        <w:rPr>
          <w:b/>
        </w:rPr>
        <w:t>200</w:t>
      </w:r>
      <w:r>
        <w:rPr>
          <w:b/>
        </w:rPr>
        <w:t>1</w:t>
      </w:r>
      <w:r w:rsidR="000817CD" w:rsidRPr="008F26C3">
        <w:rPr>
          <w:b/>
        </w:rPr>
        <w:t>,</w:t>
      </w:r>
      <w:r w:rsidR="000817CD" w:rsidRPr="008F26C3">
        <w:rPr>
          <w:i/>
        </w:rPr>
        <w:t xml:space="preserve"> 1</w:t>
      </w:r>
      <w:r w:rsidR="000817CD">
        <w:rPr>
          <w:i/>
        </w:rPr>
        <w:t>0</w:t>
      </w:r>
      <w:r>
        <w:rPr>
          <w:i/>
        </w:rPr>
        <w:t>1</w:t>
      </w:r>
      <w:r w:rsidR="000817CD" w:rsidRPr="008F26C3">
        <w:rPr>
          <w:i/>
        </w:rPr>
        <w:t>,</w:t>
      </w:r>
      <w:r w:rsidR="000817CD" w:rsidRPr="008F26C3">
        <w:t xml:space="preserve"> </w:t>
      </w:r>
      <w:r>
        <w:t>673</w:t>
      </w:r>
      <w:r w:rsidR="000817CD" w:rsidRPr="008F26C3">
        <w:t>-</w:t>
      </w:r>
      <w:r w:rsidR="000817CD">
        <w:t>695</w:t>
      </w:r>
      <w:r w:rsidR="000817CD" w:rsidRPr="008F26C3">
        <w:t>.</w:t>
      </w:r>
    </w:p>
    <w:p w14:paraId="353CDD69" w14:textId="35616030" w:rsidR="006A5507" w:rsidRDefault="006A5507" w:rsidP="003C2D14">
      <w:pPr>
        <w:pStyle w:val="TAMainText"/>
        <w:numPr>
          <w:ilvl w:val="0"/>
          <w:numId w:val="1"/>
        </w:numPr>
      </w:pPr>
      <w:r w:rsidRPr="0029060E">
        <w:t xml:space="preserve">P. J. Barrie, </w:t>
      </w:r>
      <w:r>
        <w:rPr>
          <w:i/>
        </w:rPr>
        <w:t>Phys</w:t>
      </w:r>
      <w:r w:rsidRPr="0029060E">
        <w:rPr>
          <w:i/>
        </w:rPr>
        <w:t>. Chem.</w:t>
      </w:r>
      <w:r>
        <w:rPr>
          <w:i/>
        </w:rPr>
        <w:t xml:space="preserve"> </w:t>
      </w:r>
      <w:r w:rsidRPr="0029060E">
        <w:rPr>
          <w:i/>
        </w:rPr>
        <w:t>Chem</w:t>
      </w:r>
      <w:r>
        <w:rPr>
          <w:iCs/>
        </w:rPr>
        <w:t xml:space="preserve">. </w:t>
      </w:r>
      <w:r>
        <w:rPr>
          <w:i/>
        </w:rPr>
        <w:t>Phys</w:t>
      </w:r>
      <w:r w:rsidRPr="00A143F5">
        <w:rPr>
          <w:iCs/>
        </w:rPr>
        <w:t>.</w:t>
      </w:r>
      <w:r w:rsidRPr="0029060E">
        <w:t xml:space="preserve"> </w:t>
      </w:r>
      <w:r>
        <w:rPr>
          <w:b/>
        </w:rPr>
        <w:t>2012</w:t>
      </w:r>
      <w:r w:rsidRPr="0029060E">
        <w:rPr>
          <w:b/>
        </w:rPr>
        <w:t>,</w:t>
      </w:r>
      <w:r w:rsidRPr="0029060E">
        <w:rPr>
          <w:i/>
        </w:rPr>
        <w:t xml:space="preserve"> </w:t>
      </w:r>
      <w:r>
        <w:rPr>
          <w:i/>
        </w:rPr>
        <w:t>14</w:t>
      </w:r>
      <w:r w:rsidRPr="0029060E">
        <w:rPr>
          <w:i/>
        </w:rPr>
        <w:t>,</w:t>
      </w:r>
      <w:r w:rsidRPr="0029060E">
        <w:t xml:space="preserve"> </w:t>
      </w:r>
      <w:r>
        <w:t>3</w:t>
      </w:r>
      <w:r w:rsidR="003C2D14">
        <w:t>37</w:t>
      </w:r>
      <w:r w:rsidRPr="0029060E">
        <w:t>-</w:t>
      </w:r>
      <w:r>
        <w:t>3</w:t>
      </w:r>
      <w:r w:rsidR="003C2D14">
        <w:t>36</w:t>
      </w:r>
      <w:r w:rsidRPr="0029060E">
        <w:t>.</w:t>
      </w:r>
      <w:r w:rsidRPr="0029060E">
        <w:rPr>
          <w:b/>
        </w:rPr>
        <w:t xml:space="preserve"> </w:t>
      </w:r>
    </w:p>
    <w:p w14:paraId="604F57E5" w14:textId="11D7AACF" w:rsidR="003C2D14" w:rsidRPr="00B800E9" w:rsidRDefault="003C2D14" w:rsidP="003C2D14">
      <w:pPr>
        <w:pStyle w:val="TAMainText"/>
        <w:numPr>
          <w:ilvl w:val="0"/>
          <w:numId w:val="1"/>
        </w:numPr>
        <w:rPr>
          <w:lang w:val="de-DE"/>
        </w:rPr>
      </w:pPr>
      <w:r w:rsidRPr="00B800E9">
        <w:rPr>
          <w:lang w:val="de-DE"/>
        </w:rPr>
        <w:t>M. Schwaab</w:t>
      </w:r>
      <w:r w:rsidR="00B800E9" w:rsidRPr="00B800E9">
        <w:rPr>
          <w:lang w:val="de-DE"/>
        </w:rPr>
        <w:t>; J. C.</w:t>
      </w:r>
      <w:r w:rsidR="00B800E9">
        <w:rPr>
          <w:lang w:val="de-DE"/>
        </w:rPr>
        <w:t xml:space="preserve"> Pinto</w:t>
      </w:r>
      <w:r w:rsidRPr="00B800E9">
        <w:rPr>
          <w:lang w:val="de-DE"/>
        </w:rPr>
        <w:t xml:space="preserve">, </w:t>
      </w:r>
      <w:r w:rsidRPr="00B800E9">
        <w:rPr>
          <w:i/>
          <w:lang w:val="de-DE"/>
        </w:rPr>
        <w:t xml:space="preserve">Chem. </w:t>
      </w:r>
      <w:r w:rsidR="00B800E9">
        <w:rPr>
          <w:i/>
          <w:lang w:val="de-DE"/>
        </w:rPr>
        <w:t>Eng</w:t>
      </w:r>
      <w:r w:rsidRPr="00B800E9">
        <w:rPr>
          <w:iCs/>
          <w:lang w:val="de-DE"/>
        </w:rPr>
        <w:t xml:space="preserve">. </w:t>
      </w:r>
      <w:r w:rsidR="00B800E9">
        <w:rPr>
          <w:i/>
          <w:lang w:val="de-DE"/>
        </w:rPr>
        <w:t>Sci</w:t>
      </w:r>
      <w:r w:rsidRPr="00B800E9">
        <w:rPr>
          <w:iCs/>
          <w:lang w:val="de-DE"/>
        </w:rPr>
        <w:t>.</w:t>
      </w:r>
      <w:r w:rsidRPr="00B800E9">
        <w:rPr>
          <w:lang w:val="de-DE"/>
        </w:rPr>
        <w:t xml:space="preserve"> </w:t>
      </w:r>
      <w:r w:rsidRPr="00B800E9">
        <w:rPr>
          <w:b/>
          <w:lang w:val="de-DE"/>
        </w:rPr>
        <w:t>20</w:t>
      </w:r>
      <w:r w:rsidR="00B800E9">
        <w:rPr>
          <w:b/>
          <w:lang w:val="de-DE"/>
        </w:rPr>
        <w:t>07</w:t>
      </w:r>
      <w:r w:rsidRPr="00B800E9">
        <w:rPr>
          <w:b/>
          <w:lang w:val="de-DE"/>
        </w:rPr>
        <w:t>,</w:t>
      </w:r>
      <w:r w:rsidRPr="00B800E9">
        <w:rPr>
          <w:i/>
          <w:lang w:val="de-DE"/>
        </w:rPr>
        <w:t xml:space="preserve"> </w:t>
      </w:r>
      <w:r w:rsidR="002A0BB4">
        <w:rPr>
          <w:i/>
          <w:lang w:val="de-DE"/>
        </w:rPr>
        <w:t>62</w:t>
      </w:r>
      <w:r w:rsidRPr="00B800E9">
        <w:rPr>
          <w:i/>
          <w:lang w:val="de-DE"/>
        </w:rPr>
        <w:t>,</w:t>
      </w:r>
      <w:r w:rsidRPr="00B800E9">
        <w:rPr>
          <w:lang w:val="de-DE"/>
        </w:rPr>
        <w:t xml:space="preserve"> </w:t>
      </w:r>
      <w:r w:rsidR="002A0BB4">
        <w:rPr>
          <w:lang w:val="de-DE"/>
        </w:rPr>
        <w:t>2750</w:t>
      </w:r>
      <w:r w:rsidRPr="00B800E9">
        <w:rPr>
          <w:lang w:val="de-DE"/>
        </w:rPr>
        <w:t>-</w:t>
      </w:r>
      <w:r w:rsidR="002A0BB4">
        <w:rPr>
          <w:lang w:val="de-DE"/>
        </w:rPr>
        <w:t>2764</w:t>
      </w:r>
      <w:r w:rsidRPr="00B800E9">
        <w:rPr>
          <w:lang w:val="de-DE"/>
        </w:rPr>
        <w:t>.</w:t>
      </w:r>
      <w:r w:rsidRPr="00B800E9">
        <w:rPr>
          <w:b/>
          <w:lang w:val="de-DE"/>
        </w:rPr>
        <w:t xml:space="preserve"> </w:t>
      </w:r>
    </w:p>
    <w:p w14:paraId="568FA8E6" w14:textId="7A508FAB" w:rsidR="003C2D14" w:rsidRDefault="002A0BB4" w:rsidP="003C2D14">
      <w:pPr>
        <w:pStyle w:val="TAMainText"/>
        <w:numPr>
          <w:ilvl w:val="0"/>
          <w:numId w:val="1"/>
        </w:numPr>
        <w:rPr>
          <w:lang w:val="pt-BR"/>
        </w:rPr>
      </w:pPr>
      <w:r w:rsidRPr="005D7BBA">
        <w:rPr>
          <w:lang w:val="pt-BR"/>
        </w:rPr>
        <w:t>M. Schwaab;</w:t>
      </w:r>
      <w:r w:rsidR="004B48BC" w:rsidRPr="005D7BBA">
        <w:rPr>
          <w:lang w:val="pt-BR"/>
        </w:rPr>
        <w:t xml:space="preserve"> L. P. Lemos;</w:t>
      </w:r>
      <w:r w:rsidRPr="005D7BBA">
        <w:rPr>
          <w:lang w:val="pt-BR"/>
        </w:rPr>
        <w:t xml:space="preserve"> J. C. Pinto, </w:t>
      </w:r>
      <w:proofErr w:type="spellStart"/>
      <w:r w:rsidRPr="005D7BBA">
        <w:rPr>
          <w:i/>
          <w:lang w:val="pt-BR"/>
        </w:rPr>
        <w:t>Chem</w:t>
      </w:r>
      <w:proofErr w:type="spellEnd"/>
      <w:r w:rsidRPr="005D7BBA">
        <w:rPr>
          <w:i/>
          <w:lang w:val="pt-BR"/>
        </w:rPr>
        <w:t>. Eng</w:t>
      </w:r>
      <w:r w:rsidRPr="005D7BBA">
        <w:rPr>
          <w:iCs/>
          <w:lang w:val="pt-BR"/>
        </w:rPr>
        <w:t xml:space="preserve">. </w:t>
      </w:r>
      <w:proofErr w:type="spellStart"/>
      <w:r w:rsidRPr="005D7BBA">
        <w:rPr>
          <w:i/>
          <w:lang w:val="pt-BR"/>
        </w:rPr>
        <w:t>Sci</w:t>
      </w:r>
      <w:proofErr w:type="spellEnd"/>
      <w:r w:rsidRPr="005D7BBA">
        <w:rPr>
          <w:iCs/>
          <w:lang w:val="pt-BR"/>
        </w:rPr>
        <w:t>.</w:t>
      </w:r>
      <w:r w:rsidRPr="005D7BBA">
        <w:rPr>
          <w:lang w:val="pt-BR"/>
        </w:rPr>
        <w:t xml:space="preserve"> </w:t>
      </w:r>
      <w:r w:rsidRPr="005D7BBA">
        <w:rPr>
          <w:b/>
          <w:lang w:val="pt-BR"/>
        </w:rPr>
        <w:t>2008,</w:t>
      </w:r>
      <w:r w:rsidRPr="005D7BBA">
        <w:rPr>
          <w:i/>
          <w:lang w:val="pt-BR"/>
        </w:rPr>
        <w:t xml:space="preserve"> 63,</w:t>
      </w:r>
      <w:r w:rsidRPr="005D7BBA">
        <w:rPr>
          <w:lang w:val="pt-BR"/>
        </w:rPr>
        <w:t xml:space="preserve"> 2895-2</w:t>
      </w:r>
      <w:r w:rsidR="004B48BC" w:rsidRPr="005D7BBA">
        <w:rPr>
          <w:lang w:val="pt-BR"/>
        </w:rPr>
        <w:t>906</w:t>
      </w:r>
      <w:r w:rsidRPr="005D7BBA">
        <w:rPr>
          <w:lang w:val="pt-BR"/>
        </w:rPr>
        <w:t>.</w:t>
      </w:r>
    </w:p>
    <w:p w14:paraId="5D978A8F" w14:textId="32B09CDB" w:rsidR="005D7BBA" w:rsidRPr="006016EE" w:rsidRDefault="005D7BBA" w:rsidP="005D7BBA">
      <w:pPr>
        <w:pStyle w:val="TAMainText"/>
        <w:numPr>
          <w:ilvl w:val="0"/>
          <w:numId w:val="1"/>
        </w:numPr>
        <w:rPr>
          <w:lang w:val="pt-BR"/>
        </w:rPr>
      </w:pPr>
      <w:r w:rsidRPr="006016EE">
        <w:rPr>
          <w:lang w:val="pt-BR"/>
        </w:rPr>
        <w:t xml:space="preserve">J. C. Pinto; M. W. </w:t>
      </w:r>
      <w:proofErr w:type="spellStart"/>
      <w:r w:rsidRPr="006016EE">
        <w:rPr>
          <w:lang w:val="pt-BR"/>
        </w:rPr>
        <w:t>Lobao</w:t>
      </w:r>
      <w:proofErr w:type="spellEnd"/>
      <w:r w:rsidR="0031547D" w:rsidRPr="006016EE">
        <w:rPr>
          <w:lang w:val="pt-BR"/>
        </w:rPr>
        <w:t xml:space="preserve">; A. L. </w:t>
      </w:r>
      <w:proofErr w:type="spellStart"/>
      <w:r w:rsidR="0031547D" w:rsidRPr="006016EE">
        <w:rPr>
          <w:lang w:val="pt-BR"/>
        </w:rPr>
        <w:t>Alberton</w:t>
      </w:r>
      <w:proofErr w:type="spellEnd"/>
      <w:r w:rsidR="0031547D" w:rsidRPr="006016EE">
        <w:rPr>
          <w:lang w:val="pt-BR"/>
        </w:rPr>
        <w:t>; M. Schwaab; M. Embiruçu; S. V. de Melo</w:t>
      </w:r>
      <w:r w:rsidRPr="006016EE">
        <w:rPr>
          <w:lang w:val="pt-BR"/>
        </w:rPr>
        <w:t xml:space="preserve">, </w:t>
      </w:r>
      <w:r w:rsidR="006016EE" w:rsidRPr="006016EE">
        <w:rPr>
          <w:i/>
          <w:lang w:val="pt-BR"/>
        </w:rPr>
        <w:t>Int</w:t>
      </w:r>
      <w:r w:rsidRPr="006016EE">
        <w:rPr>
          <w:i/>
          <w:lang w:val="pt-BR"/>
        </w:rPr>
        <w:t xml:space="preserve">. </w:t>
      </w:r>
      <w:r w:rsidR="006016EE">
        <w:rPr>
          <w:i/>
          <w:lang w:val="pt-BR"/>
        </w:rPr>
        <w:t>J</w:t>
      </w:r>
      <w:r w:rsidRPr="006016EE">
        <w:rPr>
          <w:iCs/>
          <w:lang w:val="pt-BR"/>
        </w:rPr>
        <w:t xml:space="preserve">. </w:t>
      </w:r>
      <w:proofErr w:type="spellStart"/>
      <w:r w:rsidR="006016EE">
        <w:rPr>
          <w:i/>
          <w:lang w:val="pt-BR"/>
        </w:rPr>
        <w:t>Chem</w:t>
      </w:r>
      <w:proofErr w:type="spellEnd"/>
      <w:r w:rsidR="006016EE">
        <w:rPr>
          <w:i/>
          <w:lang w:val="pt-BR"/>
        </w:rPr>
        <w:t xml:space="preserve">. </w:t>
      </w:r>
      <w:proofErr w:type="spellStart"/>
      <w:r w:rsidR="006016EE">
        <w:rPr>
          <w:i/>
          <w:lang w:val="pt-BR"/>
        </w:rPr>
        <w:t>Reac</w:t>
      </w:r>
      <w:proofErr w:type="spellEnd"/>
      <w:r w:rsidR="006016EE">
        <w:rPr>
          <w:i/>
          <w:lang w:val="pt-BR"/>
        </w:rPr>
        <w:t>. Eng</w:t>
      </w:r>
      <w:r w:rsidRPr="006016EE">
        <w:rPr>
          <w:iCs/>
          <w:lang w:val="pt-BR"/>
        </w:rPr>
        <w:t>.</w:t>
      </w:r>
      <w:r w:rsidRPr="006016EE">
        <w:rPr>
          <w:lang w:val="pt-BR"/>
        </w:rPr>
        <w:t xml:space="preserve"> </w:t>
      </w:r>
      <w:r w:rsidRPr="006016EE">
        <w:rPr>
          <w:b/>
          <w:lang w:val="pt-BR"/>
        </w:rPr>
        <w:t>20</w:t>
      </w:r>
      <w:r w:rsidR="00726D77">
        <w:rPr>
          <w:b/>
          <w:lang w:val="pt-BR"/>
        </w:rPr>
        <w:t>11</w:t>
      </w:r>
      <w:r w:rsidRPr="006016EE">
        <w:rPr>
          <w:b/>
          <w:lang w:val="pt-BR"/>
        </w:rPr>
        <w:t>,</w:t>
      </w:r>
      <w:r w:rsidRPr="006016EE">
        <w:rPr>
          <w:i/>
          <w:lang w:val="pt-BR"/>
        </w:rPr>
        <w:t xml:space="preserve"> </w:t>
      </w:r>
      <w:r w:rsidR="00726D77">
        <w:rPr>
          <w:i/>
          <w:lang w:val="pt-BR"/>
        </w:rPr>
        <w:t>9</w:t>
      </w:r>
      <w:r w:rsidRPr="006016EE">
        <w:rPr>
          <w:i/>
          <w:lang w:val="pt-BR"/>
        </w:rPr>
        <w:t>,</w:t>
      </w:r>
      <w:r w:rsidRPr="006016EE">
        <w:rPr>
          <w:lang w:val="pt-BR"/>
        </w:rPr>
        <w:t xml:space="preserve"> </w:t>
      </w:r>
      <w:r w:rsidR="00064ACF">
        <w:rPr>
          <w:lang w:val="pt-BR"/>
        </w:rPr>
        <w:t>A87</w:t>
      </w:r>
      <w:r w:rsidRPr="006016EE">
        <w:rPr>
          <w:lang w:val="pt-BR"/>
        </w:rPr>
        <w:t>.</w:t>
      </w:r>
    </w:p>
    <w:p w14:paraId="140EB892" w14:textId="726A1CBB" w:rsidR="00C322FB" w:rsidRDefault="00C322FB" w:rsidP="00C322FB">
      <w:pPr>
        <w:pStyle w:val="TAMainText"/>
        <w:numPr>
          <w:ilvl w:val="0"/>
          <w:numId w:val="1"/>
        </w:numPr>
        <w:rPr>
          <w:lang w:val="de-DE"/>
        </w:rPr>
      </w:pPr>
      <w:r w:rsidRPr="00735B4E">
        <w:rPr>
          <w:lang w:val="de-DE"/>
        </w:rPr>
        <w:t xml:space="preserve">A. L. Alberton; M. Schwaab; </w:t>
      </w:r>
      <w:r w:rsidR="00735B4E" w:rsidRPr="00735B4E">
        <w:rPr>
          <w:lang w:val="de-DE"/>
        </w:rPr>
        <w:t xml:space="preserve">M. Schmal; </w:t>
      </w:r>
      <w:r w:rsidRPr="00735B4E">
        <w:rPr>
          <w:lang w:val="de-DE"/>
        </w:rPr>
        <w:t>J. C. Pinto;</w:t>
      </w:r>
      <w:r w:rsidR="00735B4E" w:rsidRPr="00735B4E">
        <w:rPr>
          <w:lang w:val="de-DE"/>
        </w:rPr>
        <w:t xml:space="preserve"> </w:t>
      </w:r>
      <w:r w:rsidR="00735B4E" w:rsidRPr="00735B4E">
        <w:rPr>
          <w:i/>
          <w:lang w:val="de-DE"/>
        </w:rPr>
        <w:t>Chem</w:t>
      </w:r>
      <w:r w:rsidRPr="00735B4E">
        <w:rPr>
          <w:i/>
          <w:lang w:val="de-DE"/>
        </w:rPr>
        <w:t>.</w:t>
      </w:r>
      <w:r w:rsidR="00735B4E">
        <w:rPr>
          <w:i/>
          <w:lang w:val="de-DE"/>
        </w:rPr>
        <w:t xml:space="preserve"> Eng. J</w:t>
      </w:r>
      <w:r w:rsidRPr="00735B4E">
        <w:rPr>
          <w:i/>
          <w:lang w:val="de-DE"/>
        </w:rPr>
        <w:t>.</w:t>
      </w:r>
      <w:r w:rsidRPr="00735B4E">
        <w:rPr>
          <w:lang w:val="de-DE"/>
        </w:rPr>
        <w:t xml:space="preserve"> </w:t>
      </w:r>
      <w:r w:rsidRPr="00735B4E">
        <w:rPr>
          <w:b/>
          <w:lang w:val="de-DE"/>
        </w:rPr>
        <w:t>20</w:t>
      </w:r>
      <w:r w:rsidR="004C4B3B">
        <w:rPr>
          <w:b/>
          <w:lang w:val="de-DE"/>
        </w:rPr>
        <w:t>09</w:t>
      </w:r>
      <w:r w:rsidRPr="00735B4E">
        <w:rPr>
          <w:b/>
          <w:lang w:val="de-DE"/>
        </w:rPr>
        <w:t>,</w:t>
      </w:r>
      <w:r w:rsidRPr="00735B4E">
        <w:rPr>
          <w:i/>
          <w:lang w:val="de-DE"/>
        </w:rPr>
        <w:t xml:space="preserve"> </w:t>
      </w:r>
      <w:r w:rsidR="004C4B3B">
        <w:rPr>
          <w:i/>
          <w:lang w:val="de-DE"/>
        </w:rPr>
        <w:t>155</w:t>
      </w:r>
      <w:r w:rsidRPr="00735B4E">
        <w:rPr>
          <w:i/>
          <w:lang w:val="de-DE"/>
        </w:rPr>
        <w:t>,</w:t>
      </w:r>
      <w:r w:rsidRPr="00735B4E">
        <w:rPr>
          <w:lang w:val="de-DE"/>
        </w:rPr>
        <w:t xml:space="preserve"> </w:t>
      </w:r>
      <w:r w:rsidR="004C4B3B">
        <w:rPr>
          <w:lang w:val="de-DE"/>
        </w:rPr>
        <w:t>816-823</w:t>
      </w:r>
      <w:r w:rsidRPr="00735B4E">
        <w:rPr>
          <w:lang w:val="de-DE"/>
        </w:rPr>
        <w:t>.</w:t>
      </w:r>
    </w:p>
    <w:p w14:paraId="22BD90E0" w14:textId="1939211E" w:rsidR="00DA3FBC" w:rsidRPr="00510749" w:rsidRDefault="00FE5E52" w:rsidP="00C322FB">
      <w:pPr>
        <w:pStyle w:val="TAMainText"/>
        <w:numPr>
          <w:ilvl w:val="0"/>
          <w:numId w:val="1"/>
        </w:numPr>
        <w:rPr>
          <w:lang w:val="de-DE"/>
        </w:rPr>
      </w:pPr>
      <w:r w:rsidRPr="00510749">
        <w:rPr>
          <w:lang w:val="de-DE"/>
        </w:rPr>
        <w:t>R. J. Kokes</w:t>
      </w:r>
      <w:r w:rsidR="00510749" w:rsidRPr="00510749">
        <w:rPr>
          <w:lang w:val="de-DE"/>
        </w:rPr>
        <w:t>; M. K. Dorf</w:t>
      </w:r>
      <w:r w:rsidR="00510749">
        <w:rPr>
          <w:lang w:val="de-DE"/>
        </w:rPr>
        <w:t xml:space="preserve">man; </w:t>
      </w:r>
      <w:r w:rsidR="00CF0A6D">
        <w:rPr>
          <w:lang w:val="de-DE"/>
        </w:rPr>
        <w:t xml:space="preserve">T. Mathia, </w:t>
      </w:r>
      <w:r w:rsidR="00CF0A6D">
        <w:rPr>
          <w:i/>
          <w:iCs/>
          <w:lang w:val="de-DE"/>
        </w:rPr>
        <w:t>J. Chem. Ed.</w:t>
      </w:r>
      <w:r w:rsidR="00CF0A6D">
        <w:rPr>
          <w:lang w:val="de-DE"/>
        </w:rPr>
        <w:t xml:space="preserve"> </w:t>
      </w:r>
      <w:r w:rsidR="00CF0A6D">
        <w:rPr>
          <w:b/>
          <w:bCs/>
          <w:lang w:val="de-DE"/>
        </w:rPr>
        <w:t>1962</w:t>
      </w:r>
      <w:r w:rsidR="00CF0A6D">
        <w:rPr>
          <w:lang w:val="de-DE"/>
        </w:rPr>
        <w:t xml:space="preserve">, 39, </w:t>
      </w:r>
      <w:r w:rsidR="00557E2B">
        <w:rPr>
          <w:lang w:val="de-DE"/>
        </w:rPr>
        <w:t>91</w:t>
      </w:r>
      <w:r w:rsidR="00CD5DDF">
        <w:rPr>
          <w:lang w:val="de-DE"/>
        </w:rPr>
        <w:t>-93.</w:t>
      </w:r>
    </w:p>
    <w:p w14:paraId="56BEF7F0" w14:textId="0B44D737" w:rsidR="00EB0BE7" w:rsidRPr="00DA3FBC" w:rsidRDefault="004C4B3B" w:rsidP="00DA3FBC">
      <w:pPr>
        <w:pStyle w:val="TAMainText"/>
        <w:numPr>
          <w:ilvl w:val="0"/>
          <w:numId w:val="1"/>
        </w:numPr>
        <w:rPr>
          <w:lang w:val="pt-BR"/>
        </w:rPr>
      </w:pPr>
      <w:r w:rsidRPr="00C17ECD">
        <w:rPr>
          <w:lang w:val="pt-BR"/>
        </w:rPr>
        <w:t xml:space="preserve">M. Schwaab; </w:t>
      </w:r>
      <w:r w:rsidR="00C17ECD" w:rsidRPr="00C17ECD">
        <w:rPr>
          <w:lang w:val="pt-BR"/>
        </w:rPr>
        <w:t>E. C. Biscaia</w:t>
      </w:r>
      <w:r w:rsidRPr="00C17ECD">
        <w:rPr>
          <w:lang w:val="pt-BR"/>
        </w:rPr>
        <w:t>;</w:t>
      </w:r>
      <w:r w:rsidR="00C17ECD" w:rsidRPr="00C17ECD">
        <w:rPr>
          <w:lang w:val="pt-BR"/>
        </w:rPr>
        <w:t xml:space="preserve"> J. L. Monteiro;</w:t>
      </w:r>
      <w:r w:rsidRPr="00C17ECD">
        <w:rPr>
          <w:lang w:val="pt-BR"/>
        </w:rPr>
        <w:t xml:space="preserve"> J. C. Pinto, </w:t>
      </w:r>
      <w:proofErr w:type="spellStart"/>
      <w:r w:rsidRPr="00C17ECD">
        <w:rPr>
          <w:i/>
          <w:lang w:val="pt-BR"/>
        </w:rPr>
        <w:t>Chem</w:t>
      </w:r>
      <w:proofErr w:type="spellEnd"/>
      <w:r w:rsidRPr="00C17ECD">
        <w:rPr>
          <w:i/>
          <w:lang w:val="pt-BR"/>
        </w:rPr>
        <w:t>. Eng</w:t>
      </w:r>
      <w:r w:rsidRPr="00C17ECD">
        <w:rPr>
          <w:iCs/>
          <w:lang w:val="pt-BR"/>
        </w:rPr>
        <w:t xml:space="preserve">. </w:t>
      </w:r>
      <w:proofErr w:type="spellStart"/>
      <w:r w:rsidRPr="00C17ECD">
        <w:rPr>
          <w:i/>
          <w:lang w:val="pt-BR"/>
        </w:rPr>
        <w:t>Sci</w:t>
      </w:r>
      <w:proofErr w:type="spellEnd"/>
      <w:r w:rsidRPr="00C17ECD">
        <w:rPr>
          <w:iCs/>
          <w:lang w:val="pt-BR"/>
        </w:rPr>
        <w:t>.</w:t>
      </w:r>
      <w:r w:rsidRPr="00C17ECD">
        <w:rPr>
          <w:lang w:val="pt-BR"/>
        </w:rPr>
        <w:t xml:space="preserve"> </w:t>
      </w:r>
      <w:r w:rsidRPr="00C17ECD">
        <w:rPr>
          <w:b/>
          <w:lang w:val="pt-BR"/>
        </w:rPr>
        <w:t>200</w:t>
      </w:r>
      <w:r w:rsidR="00C17ECD">
        <w:rPr>
          <w:b/>
          <w:lang w:val="pt-BR"/>
        </w:rPr>
        <w:t>8</w:t>
      </w:r>
      <w:r w:rsidRPr="00C17ECD">
        <w:rPr>
          <w:b/>
          <w:lang w:val="pt-BR"/>
        </w:rPr>
        <w:t>,</w:t>
      </w:r>
      <w:r w:rsidRPr="00C17ECD">
        <w:rPr>
          <w:i/>
          <w:lang w:val="pt-BR"/>
        </w:rPr>
        <w:t xml:space="preserve"> 63,</w:t>
      </w:r>
      <w:r w:rsidRPr="00C17ECD">
        <w:rPr>
          <w:lang w:val="pt-BR"/>
        </w:rPr>
        <w:t xml:space="preserve"> </w:t>
      </w:r>
      <w:r w:rsidR="00C17ECD">
        <w:rPr>
          <w:lang w:val="pt-BR"/>
        </w:rPr>
        <w:t>1542</w:t>
      </w:r>
      <w:r w:rsidRPr="00C17ECD">
        <w:rPr>
          <w:lang w:val="pt-BR"/>
        </w:rPr>
        <w:t>-</w:t>
      </w:r>
      <w:r w:rsidR="00C17ECD">
        <w:rPr>
          <w:lang w:val="pt-BR"/>
        </w:rPr>
        <w:t>1552</w:t>
      </w:r>
      <w:r w:rsidRPr="00C17ECD">
        <w:rPr>
          <w:lang w:val="pt-BR"/>
        </w:rPr>
        <w:t>.</w:t>
      </w:r>
    </w:p>
    <w:p w14:paraId="58716424" w14:textId="77777777"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C92C" w14:textId="77777777" w:rsidR="007B3E01" w:rsidRDefault="007B3E01" w:rsidP="00EA4E1B">
      <w:pPr>
        <w:spacing w:after="0" w:line="240" w:lineRule="auto"/>
      </w:pPr>
      <w:r>
        <w:separator/>
      </w:r>
    </w:p>
  </w:endnote>
  <w:endnote w:type="continuationSeparator" w:id="0">
    <w:p w14:paraId="554B9BFA" w14:textId="77777777" w:rsidR="007B3E01" w:rsidRDefault="007B3E01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A384" w14:textId="77777777" w:rsidR="007B3E01" w:rsidRDefault="007B3E01" w:rsidP="00EA4E1B">
      <w:pPr>
        <w:spacing w:after="0" w:line="240" w:lineRule="auto"/>
      </w:pPr>
      <w:r>
        <w:separator/>
      </w:r>
    </w:p>
  </w:footnote>
  <w:footnote w:type="continuationSeparator" w:id="0">
    <w:p w14:paraId="0EE4267A" w14:textId="77777777" w:rsidR="007B3E01" w:rsidRDefault="007B3E01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7" name="Imagem 7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229B"/>
    <w:rsid w:val="00003DE6"/>
    <w:rsid w:val="000062C9"/>
    <w:rsid w:val="00010C0B"/>
    <w:rsid w:val="00011712"/>
    <w:rsid w:val="0001264A"/>
    <w:rsid w:val="00013090"/>
    <w:rsid w:val="00017CF1"/>
    <w:rsid w:val="00020702"/>
    <w:rsid w:val="00021C61"/>
    <w:rsid w:val="00021E75"/>
    <w:rsid w:val="00023205"/>
    <w:rsid w:val="00023231"/>
    <w:rsid w:val="00023ED8"/>
    <w:rsid w:val="00024FE5"/>
    <w:rsid w:val="00025BDB"/>
    <w:rsid w:val="00026C79"/>
    <w:rsid w:val="0002789E"/>
    <w:rsid w:val="00031ED8"/>
    <w:rsid w:val="0003258C"/>
    <w:rsid w:val="000343E5"/>
    <w:rsid w:val="00035B10"/>
    <w:rsid w:val="00036087"/>
    <w:rsid w:val="00037F09"/>
    <w:rsid w:val="00040E54"/>
    <w:rsid w:val="000410F9"/>
    <w:rsid w:val="000453DE"/>
    <w:rsid w:val="00045695"/>
    <w:rsid w:val="000504DC"/>
    <w:rsid w:val="000510CC"/>
    <w:rsid w:val="000530B3"/>
    <w:rsid w:val="000538A8"/>
    <w:rsid w:val="00054313"/>
    <w:rsid w:val="00054FCA"/>
    <w:rsid w:val="00055298"/>
    <w:rsid w:val="000614E9"/>
    <w:rsid w:val="00061A72"/>
    <w:rsid w:val="000626DB"/>
    <w:rsid w:val="00064ACF"/>
    <w:rsid w:val="0006663B"/>
    <w:rsid w:val="000712E3"/>
    <w:rsid w:val="00074606"/>
    <w:rsid w:val="00080449"/>
    <w:rsid w:val="000807B0"/>
    <w:rsid w:val="00081684"/>
    <w:rsid w:val="000817CD"/>
    <w:rsid w:val="00082C53"/>
    <w:rsid w:val="00082FCE"/>
    <w:rsid w:val="00085F03"/>
    <w:rsid w:val="000873A8"/>
    <w:rsid w:val="00093972"/>
    <w:rsid w:val="00095329"/>
    <w:rsid w:val="000A15EF"/>
    <w:rsid w:val="000A27B1"/>
    <w:rsid w:val="000A45C0"/>
    <w:rsid w:val="000A4FEF"/>
    <w:rsid w:val="000A6459"/>
    <w:rsid w:val="000A7720"/>
    <w:rsid w:val="000A7994"/>
    <w:rsid w:val="000B179E"/>
    <w:rsid w:val="000B2A73"/>
    <w:rsid w:val="000B2F1A"/>
    <w:rsid w:val="000B3D6D"/>
    <w:rsid w:val="000B4C68"/>
    <w:rsid w:val="000B4CF1"/>
    <w:rsid w:val="000B6D46"/>
    <w:rsid w:val="000C26D2"/>
    <w:rsid w:val="000C3407"/>
    <w:rsid w:val="000C43AF"/>
    <w:rsid w:val="000C5482"/>
    <w:rsid w:val="000C60F1"/>
    <w:rsid w:val="000C639E"/>
    <w:rsid w:val="000C7C26"/>
    <w:rsid w:val="000C7D5C"/>
    <w:rsid w:val="000D2D64"/>
    <w:rsid w:val="000D355B"/>
    <w:rsid w:val="000D4051"/>
    <w:rsid w:val="000D5394"/>
    <w:rsid w:val="000D5DA1"/>
    <w:rsid w:val="000D61A0"/>
    <w:rsid w:val="000D66F0"/>
    <w:rsid w:val="000D760C"/>
    <w:rsid w:val="000E282F"/>
    <w:rsid w:val="000E2B05"/>
    <w:rsid w:val="000E2EDB"/>
    <w:rsid w:val="000E31EC"/>
    <w:rsid w:val="000E67CA"/>
    <w:rsid w:val="000E7836"/>
    <w:rsid w:val="000F1D24"/>
    <w:rsid w:val="000F31D5"/>
    <w:rsid w:val="000F4A63"/>
    <w:rsid w:val="000F54C7"/>
    <w:rsid w:val="000F7F6B"/>
    <w:rsid w:val="00101ABD"/>
    <w:rsid w:val="0010451B"/>
    <w:rsid w:val="0010509D"/>
    <w:rsid w:val="0010573E"/>
    <w:rsid w:val="00106143"/>
    <w:rsid w:val="0010683D"/>
    <w:rsid w:val="00106957"/>
    <w:rsid w:val="00110F19"/>
    <w:rsid w:val="00113C00"/>
    <w:rsid w:val="001218C1"/>
    <w:rsid w:val="001243C6"/>
    <w:rsid w:val="001247C2"/>
    <w:rsid w:val="001253B2"/>
    <w:rsid w:val="00126FBB"/>
    <w:rsid w:val="00127B6D"/>
    <w:rsid w:val="001301EE"/>
    <w:rsid w:val="00130D8F"/>
    <w:rsid w:val="00131484"/>
    <w:rsid w:val="00134A47"/>
    <w:rsid w:val="001366F9"/>
    <w:rsid w:val="00137517"/>
    <w:rsid w:val="001376D2"/>
    <w:rsid w:val="00141377"/>
    <w:rsid w:val="001415D5"/>
    <w:rsid w:val="001443DF"/>
    <w:rsid w:val="001445E7"/>
    <w:rsid w:val="00144EF2"/>
    <w:rsid w:val="00144F57"/>
    <w:rsid w:val="00145377"/>
    <w:rsid w:val="001474F7"/>
    <w:rsid w:val="001476EC"/>
    <w:rsid w:val="00151011"/>
    <w:rsid w:val="00152475"/>
    <w:rsid w:val="00153381"/>
    <w:rsid w:val="001609A3"/>
    <w:rsid w:val="00161A84"/>
    <w:rsid w:val="00163B19"/>
    <w:rsid w:val="0016522F"/>
    <w:rsid w:val="001654C1"/>
    <w:rsid w:val="00167B2E"/>
    <w:rsid w:val="001711A8"/>
    <w:rsid w:val="0018019A"/>
    <w:rsid w:val="001807C6"/>
    <w:rsid w:val="0018081A"/>
    <w:rsid w:val="00182D88"/>
    <w:rsid w:val="00187517"/>
    <w:rsid w:val="00187A01"/>
    <w:rsid w:val="00190774"/>
    <w:rsid w:val="00194132"/>
    <w:rsid w:val="001965EE"/>
    <w:rsid w:val="00196C2B"/>
    <w:rsid w:val="00196FFC"/>
    <w:rsid w:val="00197A10"/>
    <w:rsid w:val="00197A85"/>
    <w:rsid w:val="001A0B9D"/>
    <w:rsid w:val="001A167C"/>
    <w:rsid w:val="001A1D87"/>
    <w:rsid w:val="001A32F4"/>
    <w:rsid w:val="001A5467"/>
    <w:rsid w:val="001A6E65"/>
    <w:rsid w:val="001B0A4D"/>
    <w:rsid w:val="001B23E9"/>
    <w:rsid w:val="001B5103"/>
    <w:rsid w:val="001B58BD"/>
    <w:rsid w:val="001C10C7"/>
    <w:rsid w:val="001C6B19"/>
    <w:rsid w:val="001C7054"/>
    <w:rsid w:val="001D0CCA"/>
    <w:rsid w:val="001D1FFF"/>
    <w:rsid w:val="001D293E"/>
    <w:rsid w:val="001D3615"/>
    <w:rsid w:val="001D40C6"/>
    <w:rsid w:val="001D5D87"/>
    <w:rsid w:val="001D61A4"/>
    <w:rsid w:val="001D7307"/>
    <w:rsid w:val="001E2044"/>
    <w:rsid w:val="001E50C7"/>
    <w:rsid w:val="001E58A9"/>
    <w:rsid w:val="001E606C"/>
    <w:rsid w:val="001E63E3"/>
    <w:rsid w:val="001E7396"/>
    <w:rsid w:val="001E74D1"/>
    <w:rsid w:val="001F0C6B"/>
    <w:rsid w:val="001F25B2"/>
    <w:rsid w:val="001F38C1"/>
    <w:rsid w:val="001F521F"/>
    <w:rsid w:val="001F7FC6"/>
    <w:rsid w:val="00200414"/>
    <w:rsid w:val="002053AD"/>
    <w:rsid w:val="002063D1"/>
    <w:rsid w:val="00210E24"/>
    <w:rsid w:val="002128FF"/>
    <w:rsid w:val="00213427"/>
    <w:rsid w:val="0021379D"/>
    <w:rsid w:val="00213DFA"/>
    <w:rsid w:val="00213E88"/>
    <w:rsid w:val="00213F08"/>
    <w:rsid w:val="00214287"/>
    <w:rsid w:val="00216B7E"/>
    <w:rsid w:val="002170D1"/>
    <w:rsid w:val="0021763C"/>
    <w:rsid w:val="0021787B"/>
    <w:rsid w:val="00217C70"/>
    <w:rsid w:val="0022106D"/>
    <w:rsid w:val="0022184D"/>
    <w:rsid w:val="00222230"/>
    <w:rsid w:val="00224944"/>
    <w:rsid w:val="00224F06"/>
    <w:rsid w:val="00224FC6"/>
    <w:rsid w:val="0022758E"/>
    <w:rsid w:val="00227DED"/>
    <w:rsid w:val="00230DC0"/>
    <w:rsid w:val="00232B4F"/>
    <w:rsid w:val="00233204"/>
    <w:rsid w:val="00233B46"/>
    <w:rsid w:val="00235800"/>
    <w:rsid w:val="00240957"/>
    <w:rsid w:val="00244D01"/>
    <w:rsid w:val="00245B68"/>
    <w:rsid w:val="00245D65"/>
    <w:rsid w:val="00250964"/>
    <w:rsid w:val="00253A21"/>
    <w:rsid w:val="00253C87"/>
    <w:rsid w:val="00256978"/>
    <w:rsid w:val="0026766A"/>
    <w:rsid w:val="0026778B"/>
    <w:rsid w:val="002708C4"/>
    <w:rsid w:val="0027444D"/>
    <w:rsid w:val="0028094A"/>
    <w:rsid w:val="00281F05"/>
    <w:rsid w:val="00284861"/>
    <w:rsid w:val="00286D28"/>
    <w:rsid w:val="0029060E"/>
    <w:rsid w:val="00290BB6"/>
    <w:rsid w:val="0029184C"/>
    <w:rsid w:val="002920AE"/>
    <w:rsid w:val="00292909"/>
    <w:rsid w:val="002A0BB4"/>
    <w:rsid w:val="002A1693"/>
    <w:rsid w:val="002A32BE"/>
    <w:rsid w:val="002A398E"/>
    <w:rsid w:val="002A53DC"/>
    <w:rsid w:val="002A5530"/>
    <w:rsid w:val="002A63ED"/>
    <w:rsid w:val="002A6A5C"/>
    <w:rsid w:val="002B0B89"/>
    <w:rsid w:val="002B1876"/>
    <w:rsid w:val="002B2B37"/>
    <w:rsid w:val="002B7823"/>
    <w:rsid w:val="002C029F"/>
    <w:rsid w:val="002C0596"/>
    <w:rsid w:val="002C1663"/>
    <w:rsid w:val="002C3332"/>
    <w:rsid w:val="002C39CD"/>
    <w:rsid w:val="002C43BD"/>
    <w:rsid w:val="002C47D9"/>
    <w:rsid w:val="002C740D"/>
    <w:rsid w:val="002D2494"/>
    <w:rsid w:val="002D5E02"/>
    <w:rsid w:val="002D6491"/>
    <w:rsid w:val="002D68F3"/>
    <w:rsid w:val="002D69FC"/>
    <w:rsid w:val="002D74EA"/>
    <w:rsid w:val="002E0C28"/>
    <w:rsid w:val="002E0E42"/>
    <w:rsid w:val="002E3566"/>
    <w:rsid w:val="002E3C4C"/>
    <w:rsid w:val="002E7265"/>
    <w:rsid w:val="002F002B"/>
    <w:rsid w:val="002F1217"/>
    <w:rsid w:val="002F1E03"/>
    <w:rsid w:val="002F1F1D"/>
    <w:rsid w:val="002F3B22"/>
    <w:rsid w:val="002F3F09"/>
    <w:rsid w:val="002F5265"/>
    <w:rsid w:val="002F7BD1"/>
    <w:rsid w:val="002F7FC5"/>
    <w:rsid w:val="003002E6"/>
    <w:rsid w:val="0030162E"/>
    <w:rsid w:val="0030277A"/>
    <w:rsid w:val="00303BB4"/>
    <w:rsid w:val="00303CC7"/>
    <w:rsid w:val="00305F4D"/>
    <w:rsid w:val="00311947"/>
    <w:rsid w:val="003144B4"/>
    <w:rsid w:val="0031547D"/>
    <w:rsid w:val="003155C2"/>
    <w:rsid w:val="00316230"/>
    <w:rsid w:val="0031796E"/>
    <w:rsid w:val="00317AA2"/>
    <w:rsid w:val="0032317B"/>
    <w:rsid w:val="003250D6"/>
    <w:rsid w:val="00326F17"/>
    <w:rsid w:val="0032713C"/>
    <w:rsid w:val="0033170D"/>
    <w:rsid w:val="00332655"/>
    <w:rsid w:val="00340A1C"/>
    <w:rsid w:val="00340B1E"/>
    <w:rsid w:val="003412A2"/>
    <w:rsid w:val="0034151A"/>
    <w:rsid w:val="0034332A"/>
    <w:rsid w:val="00344507"/>
    <w:rsid w:val="0034724D"/>
    <w:rsid w:val="00347751"/>
    <w:rsid w:val="00347D2C"/>
    <w:rsid w:val="0035159F"/>
    <w:rsid w:val="0035307A"/>
    <w:rsid w:val="00363A5F"/>
    <w:rsid w:val="003651D8"/>
    <w:rsid w:val="00373C9E"/>
    <w:rsid w:val="0037422E"/>
    <w:rsid w:val="00375335"/>
    <w:rsid w:val="00377AC0"/>
    <w:rsid w:val="003811F8"/>
    <w:rsid w:val="00383BBD"/>
    <w:rsid w:val="00392FFA"/>
    <w:rsid w:val="003A1008"/>
    <w:rsid w:val="003A191F"/>
    <w:rsid w:val="003A5427"/>
    <w:rsid w:val="003A7135"/>
    <w:rsid w:val="003A71A7"/>
    <w:rsid w:val="003A755E"/>
    <w:rsid w:val="003B002B"/>
    <w:rsid w:val="003B04C9"/>
    <w:rsid w:val="003B0938"/>
    <w:rsid w:val="003B228B"/>
    <w:rsid w:val="003B25CF"/>
    <w:rsid w:val="003B5A1B"/>
    <w:rsid w:val="003B6BE7"/>
    <w:rsid w:val="003B7860"/>
    <w:rsid w:val="003C02AF"/>
    <w:rsid w:val="003C10FB"/>
    <w:rsid w:val="003C2D14"/>
    <w:rsid w:val="003C2E4D"/>
    <w:rsid w:val="003C4ACD"/>
    <w:rsid w:val="003C4CF4"/>
    <w:rsid w:val="003C5F41"/>
    <w:rsid w:val="003C6F7B"/>
    <w:rsid w:val="003D26B0"/>
    <w:rsid w:val="003D303F"/>
    <w:rsid w:val="003D39D2"/>
    <w:rsid w:val="003D528E"/>
    <w:rsid w:val="003D5690"/>
    <w:rsid w:val="003D5BC4"/>
    <w:rsid w:val="003D6531"/>
    <w:rsid w:val="003D79FC"/>
    <w:rsid w:val="003E11EF"/>
    <w:rsid w:val="003E1D23"/>
    <w:rsid w:val="003E2776"/>
    <w:rsid w:val="003E30E4"/>
    <w:rsid w:val="003E5B4B"/>
    <w:rsid w:val="003E5D4B"/>
    <w:rsid w:val="003E6862"/>
    <w:rsid w:val="003E7003"/>
    <w:rsid w:val="003F164F"/>
    <w:rsid w:val="003F22A4"/>
    <w:rsid w:val="003F4457"/>
    <w:rsid w:val="003F497D"/>
    <w:rsid w:val="003F4D31"/>
    <w:rsid w:val="003F7B7F"/>
    <w:rsid w:val="004012F9"/>
    <w:rsid w:val="00402F3E"/>
    <w:rsid w:val="00403B6D"/>
    <w:rsid w:val="00406002"/>
    <w:rsid w:val="00406F58"/>
    <w:rsid w:val="0041142D"/>
    <w:rsid w:val="00412AE7"/>
    <w:rsid w:val="00412BC4"/>
    <w:rsid w:val="004149C6"/>
    <w:rsid w:val="004210D8"/>
    <w:rsid w:val="00422449"/>
    <w:rsid w:val="0042262A"/>
    <w:rsid w:val="00422F1C"/>
    <w:rsid w:val="004233F0"/>
    <w:rsid w:val="004253BF"/>
    <w:rsid w:val="0042610C"/>
    <w:rsid w:val="00431234"/>
    <w:rsid w:val="0043244B"/>
    <w:rsid w:val="004328E3"/>
    <w:rsid w:val="00433C2C"/>
    <w:rsid w:val="004342D0"/>
    <w:rsid w:val="0043557C"/>
    <w:rsid w:val="00440C5F"/>
    <w:rsid w:val="004418F7"/>
    <w:rsid w:val="004430AB"/>
    <w:rsid w:val="0044463B"/>
    <w:rsid w:val="00444A21"/>
    <w:rsid w:val="00445B7F"/>
    <w:rsid w:val="00451CD8"/>
    <w:rsid w:val="00451E67"/>
    <w:rsid w:val="00453A33"/>
    <w:rsid w:val="004548DC"/>
    <w:rsid w:val="004577F0"/>
    <w:rsid w:val="004630EB"/>
    <w:rsid w:val="00465470"/>
    <w:rsid w:val="0046586D"/>
    <w:rsid w:val="00470E89"/>
    <w:rsid w:val="00471346"/>
    <w:rsid w:val="004714F6"/>
    <w:rsid w:val="004719B5"/>
    <w:rsid w:val="00471BBD"/>
    <w:rsid w:val="00474170"/>
    <w:rsid w:val="004751E7"/>
    <w:rsid w:val="00476AD3"/>
    <w:rsid w:val="0047771C"/>
    <w:rsid w:val="00480006"/>
    <w:rsid w:val="004803F3"/>
    <w:rsid w:val="00480D57"/>
    <w:rsid w:val="00481EB0"/>
    <w:rsid w:val="00483906"/>
    <w:rsid w:val="00483B36"/>
    <w:rsid w:val="00483C82"/>
    <w:rsid w:val="004855CA"/>
    <w:rsid w:val="0048662A"/>
    <w:rsid w:val="00486669"/>
    <w:rsid w:val="004870DF"/>
    <w:rsid w:val="00490265"/>
    <w:rsid w:val="004917B3"/>
    <w:rsid w:val="00493BD9"/>
    <w:rsid w:val="00494699"/>
    <w:rsid w:val="00494CDA"/>
    <w:rsid w:val="004A05F8"/>
    <w:rsid w:val="004A0D63"/>
    <w:rsid w:val="004A162D"/>
    <w:rsid w:val="004A281F"/>
    <w:rsid w:val="004A3CDC"/>
    <w:rsid w:val="004A43FD"/>
    <w:rsid w:val="004A682C"/>
    <w:rsid w:val="004A78AF"/>
    <w:rsid w:val="004B0A39"/>
    <w:rsid w:val="004B0EA9"/>
    <w:rsid w:val="004B1769"/>
    <w:rsid w:val="004B339A"/>
    <w:rsid w:val="004B48BC"/>
    <w:rsid w:val="004C18FF"/>
    <w:rsid w:val="004C257E"/>
    <w:rsid w:val="004C4A5C"/>
    <w:rsid w:val="004C4B3B"/>
    <w:rsid w:val="004C4E86"/>
    <w:rsid w:val="004D0E31"/>
    <w:rsid w:val="004D2DBC"/>
    <w:rsid w:val="004D34C6"/>
    <w:rsid w:val="004D6B54"/>
    <w:rsid w:val="004D75A4"/>
    <w:rsid w:val="004D7EBF"/>
    <w:rsid w:val="004E0183"/>
    <w:rsid w:val="004E3615"/>
    <w:rsid w:val="004E66C0"/>
    <w:rsid w:val="004E686D"/>
    <w:rsid w:val="004E68D1"/>
    <w:rsid w:val="004E73E5"/>
    <w:rsid w:val="004E7BA7"/>
    <w:rsid w:val="004F2413"/>
    <w:rsid w:val="004F370C"/>
    <w:rsid w:val="004F3990"/>
    <w:rsid w:val="004F3C4D"/>
    <w:rsid w:val="004F3F42"/>
    <w:rsid w:val="004F52AA"/>
    <w:rsid w:val="004F73E4"/>
    <w:rsid w:val="005065E5"/>
    <w:rsid w:val="00506851"/>
    <w:rsid w:val="00510749"/>
    <w:rsid w:val="0051160E"/>
    <w:rsid w:val="00511C3E"/>
    <w:rsid w:val="0051391E"/>
    <w:rsid w:val="00513B76"/>
    <w:rsid w:val="00513C58"/>
    <w:rsid w:val="00513DCD"/>
    <w:rsid w:val="00513E26"/>
    <w:rsid w:val="00513F68"/>
    <w:rsid w:val="005205FE"/>
    <w:rsid w:val="0052112E"/>
    <w:rsid w:val="005215FD"/>
    <w:rsid w:val="00523D9F"/>
    <w:rsid w:val="00523F67"/>
    <w:rsid w:val="00524FA1"/>
    <w:rsid w:val="00525117"/>
    <w:rsid w:val="005253F2"/>
    <w:rsid w:val="00526226"/>
    <w:rsid w:val="0052632C"/>
    <w:rsid w:val="00526DBB"/>
    <w:rsid w:val="005361DD"/>
    <w:rsid w:val="005364AD"/>
    <w:rsid w:val="00536ED9"/>
    <w:rsid w:val="00537F76"/>
    <w:rsid w:val="00542CEC"/>
    <w:rsid w:val="005433C0"/>
    <w:rsid w:val="00544C43"/>
    <w:rsid w:val="00547203"/>
    <w:rsid w:val="00553E0F"/>
    <w:rsid w:val="00555C15"/>
    <w:rsid w:val="00557E2B"/>
    <w:rsid w:val="00566C02"/>
    <w:rsid w:val="005736DB"/>
    <w:rsid w:val="00575B69"/>
    <w:rsid w:val="00577F68"/>
    <w:rsid w:val="0058097B"/>
    <w:rsid w:val="00582D00"/>
    <w:rsid w:val="00583692"/>
    <w:rsid w:val="0058403B"/>
    <w:rsid w:val="00584130"/>
    <w:rsid w:val="00585BAA"/>
    <w:rsid w:val="005865A8"/>
    <w:rsid w:val="005900EF"/>
    <w:rsid w:val="005905C0"/>
    <w:rsid w:val="00591002"/>
    <w:rsid w:val="0059159E"/>
    <w:rsid w:val="00592E62"/>
    <w:rsid w:val="00593940"/>
    <w:rsid w:val="005A5459"/>
    <w:rsid w:val="005A661E"/>
    <w:rsid w:val="005A7E29"/>
    <w:rsid w:val="005B19BE"/>
    <w:rsid w:val="005B1B18"/>
    <w:rsid w:val="005B2BCB"/>
    <w:rsid w:val="005B2C2C"/>
    <w:rsid w:val="005B33B2"/>
    <w:rsid w:val="005B6207"/>
    <w:rsid w:val="005C2775"/>
    <w:rsid w:val="005C2A8A"/>
    <w:rsid w:val="005C3E6D"/>
    <w:rsid w:val="005C40B4"/>
    <w:rsid w:val="005D24F3"/>
    <w:rsid w:val="005D2EED"/>
    <w:rsid w:val="005D3694"/>
    <w:rsid w:val="005D4200"/>
    <w:rsid w:val="005D44E5"/>
    <w:rsid w:val="005D52C4"/>
    <w:rsid w:val="005D5575"/>
    <w:rsid w:val="005D5E55"/>
    <w:rsid w:val="005D6236"/>
    <w:rsid w:val="005D65EB"/>
    <w:rsid w:val="005D7BBA"/>
    <w:rsid w:val="005E04BE"/>
    <w:rsid w:val="005E1CF8"/>
    <w:rsid w:val="005E69C2"/>
    <w:rsid w:val="005F0337"/>
    <w:rsid w:val="005F0602"/>
    <w:rsid w:val="005F4431"/>
    <w:rsid w:val="005F6A5D"/>
    <w:rsid w:val="006000EC"/>
    <w:rsid w:val="00601393"/>
    <w:rsid w:val="006016EE"/>
    <w:rsid w:val="00602C7C"/>
    <w:rsid w:val="00603A62"/>
    <w:rsid w:val="00604718"/>
    <w:rsid w:val="00604C9D"/>
    <w:rsid w:val="0060637A"/>
    <w:rsid w:val="006101C6"/>
    <w:rsid w:val="006105F4"/>
    <w:rsid w:val="00613C57"/>
    <w:rsid w:val="00613CF9"/>
    <w:rsid w:val="00614399"/>
    <w:rsid w:val="00616243"/>
    <w:rsid w:val="0061767F"/>
    <w:rsid w:val="00617780"/>
    <w:rsid w:val="00617927"/>
    <w:rsid w:val="00620C58"/>
    <w:rsid w:val="006214F3"/>
    <w:rsid w:val="00622346"/>
    <w:rsid w:val="00630173"/>
    <w:rsid w:val="00630696"/>
    <w:rsid w:val="0063190E"/>
    <w:rsid w:val="00632F99"/>
    <w:rsid w:val="00634209"/>
    <w:rsid w:val="0063601C"/>
    <w:rsid w:val="006363DA"/>
    <w:rsid w:val="006365D0"/>
    <w:rsid w:val="006375C8"/>
    <w:rsid w:val="00640980"/>
    <w:rsid w:val="00644EF1"/>
    <w:rsid w:val="006466CF"/>
    <w:rsid w:val="006474A6"/>
    <w:rsid w:val="00650DD3"/>
    <w:rsid w:val="006510CA"/>
    <w:rsid w:val="00651FE3"/>
    <w:rsid w:val="00651FF1"/>
    <w:rsid w:val="006525D4"/>
    <w:rsid w:val="00652815"/>
    <w:rsid w:val="00652EEC"/>
    <w:rsid w:val="0065326C"/>
    <w:rsid w:val="00654D6B"/>
    <w:rsid w:val="006558C3"/>
    <w:rsid w:val="00656380"/>
    <w:rsid w:val="00656959"/>
    <w:rsid w:val="00656D3C"/>
    <w:rsid w:val="0065782B"/>
    <w:rsid w:val="006578E5"/>
    <w:rsid w:val="006602BA"/>
    <w:rsid w:val="00660E66"/>
    <w:rsid w:val="00661D7A"/>
    <w:rsid w:val="00662D93"/>
    <w:rsid w:val="00664A9D"/>
    <w:rsid w:val="00665183"/>
    <w:rsid w:val="00665302"/>
    <w:rsid w:val="00665310"/>
    <w:rsid w:val="00666852"/>
    <w:rsid w:val="00666F92"/>
    <w:rsid w:val="006672B4"/>
    <w:rsid w:val="00670F96"/>
    <w:rsid w:val="0067304A"/>
    <w:rsid w:val="0067630A"/>
    <w:rsid w:val="00681759"/>
    <w:rsid w:val="006834BD"/>
    <w:rsid w:val="00683DEE"/>
    <w:rsid w:val="00687607"/>
    <w:rsid w:val="00691BC6"/>
    <w:rsid w:val="00692003"/>
    <w:rsid w:val="00692510"/>
    <w:rsid w:val="00695667"/>
    <w:rsid w:val="0069698B"/>
    <w:rsid w:val="006A0352"/>
    <w:rsid w:val="006A2516"/>
    <w:rsid w:val="006A28C2"/>
    <w:rsid w:val="006A4A8D"/>
    <w:rsid w:val="006A5507"/>
    <w:rsid w:val="006A6BCA"/>
    <w:rsid w:val="006B0C50"/>
    <w:rsid w:val="006B4CE0"/>
    <w:rsid w:val="006C208E"/>
    <w:rsid w:val="006C23FB"/>
    <w:rsid w:val="006C3E5A"/>
    <w:rsid w:val="006C419E"/>
    <w:rsid w:val="006C5044"/>
    <w:rsid w:val="006C6F54"/>
    <w:rsid w:val="006D26CF"/>
    <w:rsid w:val="006D4945"/>
    <w:rsid w:val="006D4E99"/>
    <w:rsid w:val="006D6319"/>
    <w:rsid w:val="006D72EA"/>
    <w:rsid w:val="006E02FB"/>
    <w:rsid w:val="006E3108"/>
    <w:rsid w:val="006E338E"/>
    <w:rsid w:val="006E4120"/>
    <w:rsid w:val="006E498A"/>
    <w:rsid w:val="006E4BBB"/>
    <w:rsid w:val="006E61F1"/>
    <w:rsid w:val="006E6BEF"/>
    <w:rsid w:val="006E7D03"/>
    <w:rsid w:val="006F1CB3"/>
    <w:rsid w:val="006F34C3"/>
    <w:rsid w:val="006F5796"/>
    <w:rsid w:val="006F599B"/>
    <w:rsid w:val="006F65CC"/>
    <w:rsid w:val="006F668A"/>
    <w:rsid w:val="006F7D51"/>
    <w:rsid w:val="00702E8F"/>
    <w:rsid w:val="007040A0"/>
    <w:rsid w:val="007048D9"/>
    <w:rsid w:val="00712A92"/>
    <w:rsid w:val="00713E48"/>
    <w:rsid w:val="00716432"/>
    <w:rsid w:val="00721AF5"/>
    <w:rsid w:val="00722618"/>
    <w:rsid w:val="00723ED2"/>
    <w:rsid w:val="00724B86"/>
    <w:rsid w:val="00726D77"/>
    <w:rsid w:val="00732545"/>
    <w:rsid w:val="007333D3"/>
    <w:rsid w:val="00733E9C"/>
    <w:rsid w:val="007341F8"/>
    <w:rsid w:val="00735B4E"/>
    <w:rsid w:val="00737076"/>
    <w:rsid w:val="00740D56"/>
    <w:rsid w:val="007435C2"/>
    <w:rsid w:val="00745350"/>
    <w:rsid w:val="00745B4C"/>
    <w:rsid w:val="00746C33"/>
    <w:rsid w:val="007474C5"/>
    <w:rsid w:val="0075079C"/>
    <w:rsid w:val="00753E64"/>
    <w:rsid w:val="00754EF0"/>
    <w:rsid w:val="007564AF"/>
    <w:rsid w:val="007567E2"/>
    <w:rsid w:val="00757CCE"/>
    <w:rsid w:val="00760405"/>
    <w:rsid w:val="0076363D"/>
    <w:rsid w:val="00766AE7"/>
    <w:rsid w:val="007670A0"/>
    <w:rsid w:val="00767AB4"/>
    <w:rsid w:val="00770FFA"/>
    <w:rsid w:val="0077196C"/>
    <w:rsid w:val="00776504"/>
    <w:rsid w:val="00781685"/>
    <w:rsid w:val="00781E46"/>
    <w:rsid w:val="0078265C"/>
    <w:rsid w:val="00784266"/>
    <w:rsid w:val="00787F6F"/>
    <w:rsid w:val="007926E3"/>
    <w:rsid w:val="007934B4"/>
    <w:rsid w:val="007948B7"/>
    <w:rsid w:val="007A3969"/>
    <w:rsid w:val="007A3A67"/>
    <w:rsid w:val="007A3C57"/>
    <w:rsid w:val="007A3D52"/>
    <w:rsid w:val="007A4286"/>
    <w:rsid w:val="007A56E1"/>
    <w:rsid w:val="007A7338"/>
    <w:rsid w:val="007B060A"/>
    <w:rsid w:val="007B0B0A"/>
    <w:rsid w:val="007B3E01"/>
    <w:rsid w:val="007B43F0"/>
    <w:rsid w:val="007B4B2B"/>
    <w:rsid w:val="007B4D1F"/>
    <w:rsid w:val="007C6538"/>
    <w:rsid w:val="007C7918"/>
    <w:rsid w:val="007D0646"/>
    <w:rsid w:val="007D3856"/>
    <w:rsid w:val="007D3C2E"/>
    <w:rsid w:val="007D47DF"/>
    <w:rsid w:val="007E04ED"/>
    <w:rsid w:val="007E3EEC"/>
    <w:rsid w:val="007E58AF"/>
    <w:rsid w:val="007E6146"/>
    <w:rsid w:val="007E713A"/>
    <w:rsid w:val="007F1717"/>
    <w:rsid w:val="007F4E3B"/>
    <w:rsid w:val="007F623F"/>
    <w:rsid w:val="007F7B7A"/>
    <w:rsid w:val="00802AE1"/>
    <w:rsid w:val="00803017"/>
    <w:rsid w:val="00803DB6"/>
    <w:rsid w:val="00804F5D"/>
    <w:rsid w:val="0080571F"/>
    <w:rsid w:val="00806601"/>
    <w:rsid w:val="008076D7"/>
    <w:rsid w:val="008079E1"/>
    <w:rsid w:val="00812C15"/>
    <w:rsid w:val="00813116"/>
    <w:rsid w:val="00813B26"/>
    <w:rsid w:val="0082090B"/>
    <w:rsid w:val="00821173"/>
    <w:rsid w:val="00822FA4"/>
    <w:rsid w:val="008240D9"/>
    <w:rsid w:val="00824BD0"/>
    <w:rsid w:val="00825BBB"/>
    <w:rsid w:val="00826719"/>
    <w:rsid w:val="008273B7"/>
    <w:rsid w:val="00830D50"/>
    <w:rsid w:val="00831D7D"/>
    <w:rsid w:val="00832BD8"/>
    <w:rsid w:val="008347BB"/>
    <w:rsid w:val="00834F2C"/>
    <w:rsid w:val="00835470"/>
    <w:rsid w:val="00835CC0"/>
    <w:rsid w:val="008369FF"/>
    <w:rsid w:val="00837D05"/>
    <w:rsid w:val="0084154F"/>
    <w:rsid w:val="00841EBA"/>
    <w:rsid w:val="008423B8"/>
    <w:rsid w:val="00843DB1"/>
    <w:rsid w:val="00846858"/>
    <w:rsid w:val="00846ED9"/>
    <w:rsid w:val="0085006B"/>
    <w:rsid w:val="00851A2C"/>
    <w:rsid w:val="00851C62"/>
    <w:rsid w:val="0085238C"/>
    <w:rsid w:val="00852425"/>
    <w:rsid w:val="00853FD1"/>
    <w:rsid w:val="00855DC9"/>
    <w:rsid w:val="008565CE"/>
    <w:rsid w:val="00857CB3"/>
    <w:rsid w:val="00860747"/>
    <w:rsid w:val="0086630B"/>
    <w:rsid w:val="00866822"/>
    <w:rsid w:val="008668BF"/>
    <w:rsid w:val="00870DCF"/>
    <w:rsid w:val="00871C0F"/>
    <w:rsid w:val="00871EAB"/>
    <w:rsid w:val="008729DA"/>
    <w:rsid w:val="00872A26"/>
    <w:rsid w:val="008734BA"/>
    <w:rsid w:val="008745F5"/>
    <w:rsid w:val="00875E0F"/>
    <w:rsid w:val="00876464"/>
    <w:rsid w:val="00877599"/>
    <w:rsid w:val="00877BED"/>
    <w:rsid w:val="008803BD"/>
    <w:rsid w:val="00882D6F"/>
    <w:rsid w:val="00882F68"/>
    <w:rsid w:val="008950A9"/>
    <w:rsid w:val="0089537C"/>
    <w:rsid w:val="008A0FE5"/>
    <w:rsid w:val="008A1362"/>
    <w:rsid w:val="008A227C"/>
    <w:rsid w:val="008A3ADA"/>
    <w:rsid w:val="008B0FE8"/>
    <w:rsid w:val="008B1683"/>
    <w:rsid w:val="008B18F6"/>
    <w:rsid w:val="008B2949"/>
    <w:rsid w:val="008B3903"/>
    <w:rsid w:val="008B43FB"/>
    <w:rsid w:val="008B616C"/>
    <w:rsid w:val="008C0F97"/>
    <w:rsid w:val="008C1B30"/>
    <w:rsid w:val="008C6523"/>
    <w:rsid w:val="008C7001"/>
    <w:rsid w:val="008C7F9A"/>
    <w:rsid w:val="008D337F"/>
    <w:rsid w:val="008D5DA1"/>
    <w:rsid w:val="008D7F25"/>
    <w:rsid w:val="008E0F8F"/>
    <w:rsid w:val="008E3ABB"/>
    <w:rsid w:val="008E5445"/>
    <w:rsid w:val="008E5867"/>
    <w:rsid w:val="008F26C3"/>
    <w:rsid w:val="008F2BCE"/>
    <w:rsid w:val="008F33D5"/>
    <w:rsid w:val="008F3880"/>
    <w:rsid w:val="008F3C7D"/>
    <w:rsid w:val="008F4BD4"/>
    <w:rsid w:val="008F64A7"/>
    <w:rsid w:val="0090152D"/>
    <w:rsid w:val="0090280D"/>
    <w:rsid w:val="00902CCC"/>
    <w:rsid w:val="009033EE"/>
    <w:rsid w:val="009100E4"/>
    <w:rsid w:val="0091080D"/>
    <w:rsid w:val="00913341"/>
    <w:rsid w:val="00913E3A"/>
    <w:rsid w:val="00915179"/>
    <w:rsid w:val="009160E1"/>
    <w:rsid w:val="0092375A"/>
    <w:rsid w:val="00924F4D"/>
    <w:rsid w:val="0092511A"/>
    <w:rsid w:val="00925570"/>
    <w:rsid w:val="00925815"/>
    <w:rsid w:val="00925BA8"/>
    <w:rsid w:val="00931F2F"/>
    <w:rsid w:val="00934215"/>
    <w:rsid w:val="00934A7C"/>
    <w:rsid w:val="009351AF"/>
    <w:rsid w:val="00937D1C"/>
    <w:rsid w:val="00940079"/>
    <w:rsid w:val="0094139D"/>
    <w:rsid w:val="00944C5A"/>
    <w:rsid w:val="00946E56"/>
    <w:rsid w:val="00950830"/>
    <w:rsid w:val="00951438"/>
    <w:rsid w:val="00952DF6"/>
    <w:rsid w:val="00954012"/>
    <w:rsid w:val="00954BFD"/>
    <w:rsid w:val="00957690"/>
    <w:rsid w:val="00960AE9"/>
    <w:rsid w:val="009612C0"/>
    <w:rsid w:val="00961ABD"/>
    <w:rsid w:val="00962417"/>
    <w:rsid w:val="00963206"/>
    <w:rsid w:val="009656D9"/>
    <w:rsid w:val="00966070"/>
    <w:rsid w:val="00966FF7"/>
    <w:rsid w:val="00971138"/>
    <w:rsid w:val="00973A5E"/>
    <w:rsid w:val="0097563B"/>
    <w:rsid w:val="00981535"/>
    <w:rsid w:val="00981920"/>
    <w:rsid w:val="00983476"/>
    <w:rsid w:val="00984E0E"/>
    <w:rsid w:val="0098516E"/>
    <w:rsid w:val="00990324"/>
    <w:rsid w:val="00991310"/>
    <w:rsid w:val="0099137A"/>
    <w:rsid w:val="00995736"/>
    <w:rsid w:val="00995957"/>
    <w:rsid w:val="0099595F"/>
    <w:rsid w:val="00997112"/>
    <w:rsid w:val="0099788D"/>
    <w:rsid w:val="009A1047"/>
    <w:rsid w:val="009A11F0"/>
    <w:rsid w:val="009A1543"/>
    <w:rsid w:val="009A6682"/>
    <w:rsid w:val="009B1502"/>
    <w:rsid w:val="009B1B04"/>
    <w:rsid w:val="009B1C40"/>
    <w:rsid w:val="009B24C1"/>
    <w:rsid w:val="009B2EF2"/>
    <w:rsid w:val="009B6E2D"/>
    <w:rsid w:val="009B717A"/>
    <w:rsid w:val="009B77DB"/>
    <w:rsid w:val="009C2B23"/>
    <w:rsid w:val="009C3DD2"/>
    <w:rsid w:val="009C5793"/>
    <w:rsid w:val="009C70D5"/>
    <w:rsid w:val="009C7CB0"/>
    <w:rsid w:val="009C7D89"/>
    <w:rsid w:val="009D3658"/>
    <w:rsid w:val="009D5521"/>
    <w:rsid w:val="009D60BF"/>
    <w:rsid w:val="009D6CF0"/>
    <w:rsid w:val="009D6FB0"/>
    <w:rsid w:val="009E0874"/>
    <w:rsid w:val="009E5BBF"/>
    <w:rsid w:val="009E6683"/>
    <w:rsid w:val="009E79B5"/>
    <w:rsid w:val="009F0BAB"/>
    <w:rsid w:val="009F1529"/>
    <w:rsid w:val="009F2C63"/>
    <w:rsid w:val="009F35FD"/>
    <w:rsid w:val="009F397F"/>
    <w:rsid w:val="00A0039F"/>
    <w:rsid w:val="00A00800"/>
    <w:rsid w:val="00A0256C"/>
    <w:rsid w:val="00A03668"/>
    <w:rsid w:val="00A03DD6"/>
    <w:rsid w:val="00A12D34"/>
    <w:rsid w:val="00A135C5"/>
    <w:rsid w:val="00A143F5"/>
    <w:rsid w:val="00A16026"/>
    <w:rsid w:val="00A1654E"/>
    <w:rsid w:val="00A16C25"/>
    <w:rsid w:val="00A1753D"/>
    <w:rsid w:val="00A17D85"/>
    <w:rsid w:val="00A20348"/>
    <w:rsid w:val="00A22EEA"/>
    <w:rsid w:val="00A255A5"/>
    <w:rsid w:val="00A25D7B"/>
    <w:rsid w:val="00A27485"/>
    <w:rsid w:val="00A3351F"/>
    <w:rsid w:val="00A33D21"/>
    <w:rsid w:val="00A34E8D"/>
    <w:rsid w:val="00A35659"/>
    <w:rsid w:val="00A37DFB"/>
    <w:rsid w:val="00A4471D"/>
    <w:rsid w:val="00A507E3"/>
    <w:rsid w:val="00A53973"/>
    <w:rsid w:val="00A56579"/>
    <w:rsid w:val="00A57FB0"/>
    <w:rsid w:val="00A63DF4"/>
    <w:rsid w:val="00A67897"/>
    <w:rsid w:val="00A70799"/>
    <w:rsid w:val="00A71D57"/>
    <w:rsid w:val="00A74774"/>
    <w:rsid w:val="00A75C28"/>
    <w:rsid w:val="00A83055"/>
    <w:rsid w:val="00A84833"/>
    <w:rsid w:val="00A8688D"/>
    <w:rsid w:val="00A87CE8"/>
    <w:rsid w:val="00A92B0B"/>
    <w:rsid w:val="00A93DEF"/>
    <w:rsid w:val="00A954D9"/>
    <w:rsid w:val="00A95979"/>
    <w:rsid w:val="00A95AB8"/>
    <w:rsid w:val="00A97F4A"/>
    <w:rsid w:val="00AA182E"/>
    <w:rsid w:val="00AA2724"/>
    <w:rsid w:val="00AA29B4"/>
    <w:rsid w:val="00AA2C25"/>
    <w:rsid w:val="00AA3B41"/>
    <w:rsid w:val="00AA48DD"/>
    <w:rsid w:val="00AA5EED"/>
    <w:rsid w:val="00AB01CA"/>
    <w:rsid w:val="00AB0732"/>
    <w:rsid w:val="00AB0886"/>
    <w:rsid w:val="00AB27C7"/>
    <w:rsid w:val="00AB2CE2"/>
    <w:rsid w:val="00AB499F"/>
    <w:rsid w:val="00AC2972"/>
    <w:rsid w:val="00AC3AEC"/>
    <w:rsid w:val="00AC7B2D"/>
    <w:rsid w:val="00AD0A8B"/>
    <w:rsid w:val="00AD496B"/>
    <w:rsid w:val="00AD6455"/>
    <w:rsid w:val="00AD68CD"/>
    <w:rsid w:val="00AD7E52"/>
    <w:rsid w:val="00AE03CA"/>
    <w:rsid w:val="00AE09B6"/>
    <w:rsid w:val="00AE1A7D"/>
    <w:rsid w:val="00AE1BA0"/>
    <w:rsid w:val="00AE35B9"/>
    <w:rsid w:val="00AE6407"/>
    <w:rsid w:val="00AE715C"/>
    <w:rsid w:val="00AE7E7C"/>
    <w:rsid w:val="00AF0400"/>
    <w:rsid w:val="00AF1EAE"/>
    <w:rsid w:val="00AF4F1A"/>
    <w:rsid w:val="00AF6F83"/>
    <w:rsid w:val="00AF74F6"/>
    <w:rsid w:val="00B024E5"/>
    <w:rsid w:val="00B042BA"/>
    <w:rsid w:val="00B04A75"/>
    <w:rsid w:val="00B06777"/>
    <w:rsid w:val="00B07590"/>
    <w:rsid w:val="00B12145"/>
    <w:rsid w:val="00B13138"/>
    <w:rsid w:val="00B168EB"/>
    <w:rsid w:val="00B21515"/>
    <w:rsid w:val="00B216E1"/>
    <w:rsid w:val="00B2680C"/>
    <w:rsid w:val="00B27464"/>
    <w:rsid w:val="00B30AEB"/>
    <w:rsid w:val="00B332D8"/>
    <w:rsid w:val="00B33ACF"/>
    <w:rsid w:val="00B344C9"/>
    <w:rsid w:val="00B352B7"/>
    <w:rsid w:val="00B4066C"/>
    <w:rsid w:val="00B4185D"/>
    <w:rsid w:val="00B42474"/>
    <w:rsid w:val="00B54142"/>
    <w:rsid w:val="00B5584C"/>
    <w:rsid w:val="00B55D3C"/>
    <w:rsid w:val="00B57786"/>
    <w:rsid w:val="00B624D0"/>
    <w:rsid w:val="00B62545"/>
    <w:rsid w:val="00B62654"/>
    <w:rsid w:val="00B63062"/>
    <w:rsid w:val="00B63138"/>
    <w:rsid w:val="00B64061"/>
    <w:rsid w:val="00B64538"/>
    <w:rsid w:val="00B6753D"/>
    <w:rsid w:val="00B704D9"/>
    <w:rsid w:val="00B71AA1"/>
    <w:rsid w:val="00B751D1"/>
    <w:rsid w:val="00B76370"/>
    <w:rsid w:val="00B800E9"/>
    <w:rsid w:val="00B81F49"/>
    <w:rsid w:val="00B822A3"/>
    <w:rsid w:val="00B858B6"/>
    <w:rsid w:val="00B87287"/>
    <w:rsid w:val="00B90D3D"/>
    <w:rsid w:val="00B91655"/>
    <w:rsid w:val="00B938F4"/>
    <w:rsid w:val="00B94CC9"/>
    <w:rsid w:val="00B95EDC"/>
    <w:rsid w:val="00B96FAF"/>
    <w:rsid w:val="00BA2F7E"/>
    <w:rsid w:val="00BA4D91"/>
    <w:rsid w:val="00BA544E"/>
    <w:rsid w:val="00BA6A6E"/>
    <w:rsid w:val="00BA708D"/>
    <w:rsid w:val="00BA7463"/>
    <w:rsid w:val="00BB2700"/>
    <w:rsid w:val="00BB2B73"/>
    <w:rsid w:val="00BB481C"/>
    <w:rsid w:val="00BB5438"/>
    <w:rsid w:val="00BC017B"/>
    <w:rsid w:val="00BC2086"/>
    <w:rsid w:val="00BC293A"/>
    <w:rsid w:val="00BC635E"/>
    <w:rsid w:val="00BC6AD9"/>
    <w:rsid w:val="00BC7081"/>
    <w:rsid w:val="00BD0073"/>
    <w:rsid w:val="00BD2977"/>
    <w:rsid w:val="00BD2E0D"/>
    <w:rsid w:val="00BD3F3F"/>
    <w:rsid w:val="00BD46FC"/>
    <w:rsid w:val="00BD7D75"/>
    <w:rsid w:val="00BE069D"/>
    <w:rsid w:val="00BE3221"/>
    <w:rsid w:val="00BE3D5D"/>
    <w:rsid w:val="00BE3F02"/>
    <w:rsid w:val="00BE42BA"/>
    <w:rsid w:val="00BE455F"/>
    <w:rsid w:val="00BE58A4"/>
    <w:rsid w:val="00BE591B"/>
    <w:rsid w:val="00BE5CA5"/>
    <w:rsid w:val="00BE751D"/>
    <w:rsid w:val="00BF130F"/>
    <w:rsid w:val="00BF4339"/>
    <w:rsid w:val="00BF6B93"/>
    <w:rsid w:val="00BF738A"/>
    <w:rsid w:val="00BF7BA7"/>
    <w:rsid w:val="00C00553"/>
    <w:rsid w:val="00C00FFD"/>
    <w:rsid w:val="00C032B0"/>
    <w:rsid w:val="00C03760"/>
    <w:rsid w:val="00C05D93"/>
    <w:rsid w:val="00C10B9F"/>
    <w:rsid w:val="00C11D93"/>
    <w:rsid w:val="00C13DC1"/>
    <w:rsid w:val="00C14773"/>
    <w:rsid w:val="00C14F30"/>
    <w:rsid w:val="00C162E6"/>
    <w:rsid w:val="00C1646C"/>
    <w:rsid w:val="00C16EAE"/>
    <w:rsid w:val="00C17259"/>
    <w:rsid w:val="00C17ECD"/>
    <w:rsid w:val="00C20D1F"/>
    <w:rsid w:val="00C23F2B"/>
    <w:rsid w:val="00C25C9A"/>
    <w:rsid w:val="00C2714C"/>
    <w:rsid w:val="00C31991"/>
    <w:rsid w:val="00C322FB"/>
    <w:rsid w:val="00C328C3"/>
    <w:rsid w:val="00C3413C"/>
    <w:rsid w:val="00C34E47"/>
    <w:rsid w:val="00C360AA"/>
    <w:rsid w:val="00C41105"/>
    <w:rsid w:val="00C413BC"/>
    <w:rsid w:val="00C440A5"/>
    <w:rsid w:val="00C46E3B"/>
    <w:rsid w:val="00C471B4"/>
    <w:rsid w:val="00C50C50"/>
    <w:rsid w:val="00C50E37"/>
    <w:rsid w:val="00C53993"/>
    <w:rsid w:val="00C559F2"/>
    <w:rsid w:val="00C56AD6"/>
    <w:rsid w:val="00C5733B"/>
    <w:rsid w:val="00C60F40"/>
    <w:rsid w:val="00C61DF4"/>
    <w:rsid w:val="00C61E68"/>
    <w:rsid w:val="00C70219"/>
    <w:rsid w:val="00C752FC"/>
    <w:rsid w:val="00C76E54"/>
    <w:rsid w:val="00C774B2"/>
    <w:rsid w:val="00C7786B"/>
    <w:rsid w:val="00C80192"/>
    <w:rsid w:val="00C8030B"/>
    <w:rsid w:val="00C81AAF"/>
    <w:rsid w:val="00C81B43"/>
    <w:rsid w:val="00C830B7"/>
    <w:rsid w:val="00C878F1"/>
    <w:rsid w:val="00C92508"/>
    <w:rsid w:val="00C928AD"/>
    <w:rsid w:val="00C9437F"/>
    <w:rsid w:val="00C94579"/>
    <w:rsid w:val="00C963D5"/>
    <w:rsid w:val="00CA3328"/>
    <w:rsid w:val="00CA4005"/>
    <w:rsid w:val="00CA688D"/>
    <w:rsid w:val="00CB2CC8"/>
    <w:rsid w:val="00CB5429"/>
    <w:rsid w:val="00CB56F8"/>
    <w:rsid w:val="00CB5D3E"/>
    <w:rsid w:val="00CB7A6C"/>
    <w:rsid w:val="00CC36A3"/>
    <w:rsid w:val="00CC3945"/>
    <w:rsid w:val="00CC3C09"/>
    <w:rsid w:val="00CC4844"/>
    <w:rsid w:val="00CC48C4"/>
    <w:rsid w:val="00CC5161"/>
    <w:rsid w:val="00CC7B0F"/>
    <w:rsid w:val="00CD01CB"/>
    <w:rsid w:val="00CD06CF"/>
    <w:rsid w:val="00CD09C5"/>
    <w:rsid w:val="00CD18E2"/>
    <w:rsid w:val="00CD2E32"/>
    <w:rsid w:val="00CD3C39"/>
    <w:rsid w:val="00CD4A47"/>
    <w:rsid w:val="00CD5DDF"/>
    <w:rsid w:val="00CD6926"/>
    <w:rsid w:val="00CD79A3"/>
    <w:rsid w:val="00CD7BD0"/>
    <w:rsid w:val="00CE0CAB"/>
    <w:rsid w:val="00CE1301"/>
    <w:rsid w:val="00CE16E5"/>
    <w:rsid w:val="00CE1DE2"/>
    <w:rsid w:val="00CE31B7"/>
    <w:rsid w:val="00CE475A"/>
    <w:rsid w:val="00CE75F3"/>
    <w:rsid w:val="00CE77B1"/>
    <w:rsid w:val="00CF0233"/>
    <w:rsid w:val="00CF0A6D"/>
    <w:rsid w:val="00CF232C"/>
    <w:rsid w:val="00CF4636"/>
    <w:rsid w:val="00D00018"/>
    <w:rsid w:val="00D035D4"/>
    <w:rsid w:val="00D15FF0"/>
    <w:rsid w:val="00D214A6"/>
    <w:rsid w:val="00D215A2"/>
    <w:rsid w:val="00D222A5"/>
    <w:rsid w:val="00D22A63"/>
    <w:rsid w:val="00D22DBC"/>
    <w:rsid w:val="00D23D46"/>
    <w:rsid w:val="00D258EB"/>
    <w:rsid w:val="00D30A3E"/>
    <w:rsid w:val="00D32BDE"/>
    <w:rsid w:val="00D34293"/>
    <w:rsid w:val="00D3430C"/>
    <w:rsid w:val="00D361D5"/>
    <w:rsid w:val="00D4093E"/>
    <w:rsid w:val="00D412B3"/>
    <w:rsid w:val="00D42152"/>
    <w:rsid w:val="00D427F9"/>
    <w:rsid w:val="00D45569"/>
    <w:rsid w:val="00D4658C"/>
    <w:rsid w:val="00D50BFC"/>
    <w:rsid w:val="00D51251"/>
    <w:rsid w:val="00D52A8E"/>
    <w:rsid w:val="00D5552E"/>
    <w:rsid w:val="00D555EC"/>
    <w:rsid w:val="00D55699"/>
    <w:rsid w:val="00D572C3"/>
    <w:rsid w:val="00D57518"/>
    <w:rsid w:val="00D62E7F"/>
    <w:rsid w:val="00D66D72"/>
    <w:rsid w:val="00D67682"/>
    <w:rsid w:val="00D67E46"/>
    <w:rsid w:val="00D703EB"/>
    <w:rsid w:val="00D70AD0"/>
    <w:rsid w:val="00D73C3F"/>
    <w:rsid w:val="00D766F9"/>
    <w:rsid w:val="00D805C8"/>
    <w:rsid w:val="00D8182E"/>
    <w:rsid w:val="00D82AAA"/>
    <w:rsid w:val="00D83CE8"/>
    <w:rsid w:val="00D83E6A"/>
    <w:rsid w:val="00D92108"/>
    <w:rsid w:val="00D93896"/>
    <w:rsid w:val="00D945CE"/>
    <w:rsid w:val="00D947D7"/>
    <w:rsid w:val="00D94AB5"/>
    <w:rsid w:val="00D96135"/>
    <w:rsid w:val="00D96FAA"/>
    <w:rsid w:val="00D973DD"/>
    <w:rsid w:val="00DA2741"/>
    <w:rsid w:val="00DA33FF"/>
    <w:rsid w:val="00DA3603"/>
    <w:rsid w:val="00DA3FBC"/>
    <w:rsid w:val="00DA61FE"/>
    <w:rsid w:val="00DA63C7"/>
    <w:rsid w:val="00DA6AE0"/>
    <w:rsid w:val="00DB053C"/>
    <w:rsid w:val="00DB0622"/>
    <w:rsid w:val="00DB0855"/>
    <w:rsid w:val="00DB23FD"/>
    <w:rsid w:val="00DB4DD5"/>
    <w:rsid w:val="00DB584B"/>
    <w:rsid w:val="00DB73F8"/>
    <w:rsid w:val="00DC28E0"/>
    <w:rsid w:val="00DC37BC"/>
    <w:rsid w:val="00DC4BF3"/>
    <w:rsid w:val="00DC5869"/>
    <w:rsid w:val="00DC7AEA"/>
    <w:rsid w:val="00DD0583"/>
    <w:rsid w:val="00DD0EC8"/>
    <w:rsid w:val="00DD1B22"/>
    <w:rsid w:val="00DD297F"/>
    <w:rsid w:val="00DD29DC"/>
    <w:rsid w:val="00DD4A92"/>
    <w:rsid w:val="00DD4D26"/>
    <w:rsid w:val="00DD5B5E"/>
    <w:rsid w:val="00DD5C3B"/>
    <w:rsid w:val="00DD5EF5"/>
    <w:rsid w:val="00DD6D61"/>
    <w:rsid w:val="00DD7EC7"/>
    <w:rsid w:val="00DE0552"/>
    <w:rsid w:val="00DE3547"/>
    <w:rsid w:val="00DE4D32"/>
    <w:rsid w:val="00DE593E"/>
    <w:rsid w:val="00DE7C2F"/>
    <w:rsid w:val="00DF02B1"/>
    <w:rsid w:val="00DF38C0"/>
    <w:rsid w:val="00DF39B6"/>
    <w:rsid w:val="00E01CD0"/>
    <w:rsid w:val="00E02A21"/>
    <w:rsid w:val="00E038AF"/>
    <w:rsid w:val="00E046FD"/>
    <w:rsid w:val="00E04DE2"/>
    <w:rsid w:val="00E06726"/>
    <w:rsid w:val="00E111B4"/>
    <w:rsid w:val="00E11E33"/>
    <w:rsid w:val="00E121E9"/>
    <w:rsid w:val="00E13B20"/>
    <w:rsid w:val="00E14C89"/>
    <w:rsid w:val="00E162A1"/>
    <w:rsid w:val="00E1775B"/>
    <w:rsid w:val="00E17FFC"/>
    <w:rsid w:val="00E20332"/>
    <w:rsid w:val="00E2112D"/>
    <w:rsid w:val="00E22932"/>
    <w:rsid w:val="00E2354C"/>
    <w:rsid w:val="00E24C11"/>
    <w:rsid w:val="00E27745"/>
    <w:rsid w:val="00E30819"/>
    <w:rsid w:val="00E323B8"/>
    <w:rsid w:val="00E328D2"/>
    <w:rsid w:val="00E33A4B"/>
    <w:rsid w:val="00E3536F"/>
    <w:rsid w:val="00E36EE4"/>
    <w:rsid w:val="00E36F3E"/>
    <w:rsid w:val="00E402B4"/>
    <w:rsid w:val="00E41710"/>
    <w:rsid w:val="00E42831"/>
    <w:rsid w:val="00E43642"/>
    <w:rsid w:val="00E438A9"/>
    <w:rsid w:val="00E43A24"/>
    <w:rsid w:val="00E44E4C"/>
    <w:rsid w:val="00E451A7"/>
    <w:rsid w:val="00E47165"/>
    <w:rsid w:val="00E509D2"/>
    <w:rsid w:val="00E526F9"/>
    <w:rsid w:val="00E54703"/>
    <w:rsid w:val="00E56356"/>
    <w:rsid w:val="00E57A60"/>
    <w:rsid w:val="00E63E30"/>
    <w:rsid w:val="00E6486D"/>
    <w:rsid w:val="00E6527F"/>
    <w:rsid w:val="00E674C0"/>
    <w:rsid w:val="00E727F2"/>
    <w:rsid w:val="00E72AC5"/>
    <w:rsid w:val="00E73056"/>
    <w:rsid w:val="00E75167"/>
    <w:rsid w:val="00E7670A"/>
    <w:rsid w:val="00E77598"/>
    <w:rsid w:val="00E776F0"/>
    <w:rsid w:val="00E85C9D"/>
    <w:rsid w:val="00E864C1"/>
    <w:rsid w:val="00E90B02"/>
    <w:rsid w:val="00E917BA"/>
    <w:rsid w:val="00E921AA"/>
    <w:rsid w:val="00E94154"/>
    <w:rsid w:val="00E973D8"/>
    <w:rsid w:val="00E974B1"/>
    <w:rsid w:val="00E97519"/>
    <w:rsid w:val="00EA0457"/>
    <w:rsid w:val="00EA3A26"/>
    <w:rsid w:val="00EA3F72"/>
    <w:rsid w:val="00EA4E1B"/>
    <w:rsid w:val="00EB011A"/>
    <w:rsid w:val="00EB0463"/>
    <w:rsid w:val="00EB0BE7"/>
    <w:rsid w:val="00EB179E"/>
    <w:rsid w:val="00EB402B"/>
    <w:rsid w:val="00EB4F68"/>
    <w:rsid w:val="00EC1BCB"/>
    <w:rsid w:val="00EC1CEB"/>
    <w:rsid w:val="00EC2DC1"/>
    <w:rsid w:val="00EC347B"/>
    <w:rsid w:val="00EC3961"/>
    <w:rsid w:val="00EC3BCE"/>
    <w:rsid w:val="00EC6B61"/>
    <w:rsid w:val="00ED02BB"/>
    <w:rsid w:val="00ED1019"/>
    <w:rsid w:val="00ED1BF0"/>
    <w:rsid w:val="00ED1F43"/>
    <w:rsid w:val="00ED32D1"/>
    <w:rsid w:val="00ED78CD"/>
    <w:rsid w:val="00EE059A"/>
    <w:rsid w:val="00EE3904"/>
    <w:rsid w:val="00EE4322"/>
    <w:rsid w:val="00EE4715"/>
    <w:rsid w:val="00EE6C36"/>
    <w:rsid w:val="00EF034F"/>
    <w:rsid w:val="00EF230E"/>
    <w:rsid w:val="00EF4930"/>
    <w:rsid w:val="00EF6493"/>
    <w:rsid w:val="00EF6A8E"/>
    <w:rsid w:val="00EF7C08"/>
    <w:rsid w:val="00F00709"/>
    <w:rsid w:val="00F009B7"/>
    <w:rsid w:val="00F05953"/>
    <w:rsid w:val="00F05FBB"/>
    <w:rsid w:val="00F065D0"/>
    <w:rsid w:val="00F06C54"/>
    <w:rsid w:val="00F06CA6"/>
    <w:rsid w:val="00F078EC"/>
    <w:rsid w:val="00F10CE3"/>
    <w:rsid w:val="00F12643"/>
    <w:rsid w:val="00F147C1"/>
    <w:rsid w:val="00F16582"/>
    <w:rsid w:val="00F20CD0"/>
    <w:rsid w:val="00F2401B"/>
    <w:rsid w:val="00F25093"/>
    <w:rsid w:val="00F25680"/>
    <w:rsid w:val="00F25DC6"/>
    <w:rsid w:val="00F2703E"/>
    <w:rsid w:val="00F27B50"/>
    <w:rsid w:val="00F30661"/>
    <w:rsid w:val="00F322D4"/>
    <w:rsid w:val="00F34BCC"/>
    <w:rsid w:val="00F351C1"/>
    <w:rsid w:val="00F3520E"/>
    <w:rsid w:val="00F37EA2"/>
    <w:rsid w:val="00F439B4"/>
    <w:rsid w:val="00F46CA6"/>
    <w:rsid w:val="00F47828"/>
    <w:rsid w:val="00F5373D"/>
    <w:rsid w:val="00F540A4"/>
    <w:rsid w:val="00F54FF2"/>
    <w:rsid w:val="00F6046E"/>
    <w:rsid w:val="00F6195F"/>
    <w:rsid w:val="00F6216A"/>
    <w:rsid w:val="00F65938"/>
    <w:rsid w:val="00F7038A"/>
    <w:rsid w:val="00F7059B"/>
    <w:rsid w:val="00F76F43"/>
    <w:rsid w:val="00F80159"/>
    <w:rsid w:val="00F81F0F"/>
    <w:rsid w:val="00F82D51"/>
    <w:rsid w:val="00F8328B"/>
    <w:rsid w:val="00F83A25"/>
    <w:rsid w:val="00F83EF1"/>
    <w:rsid w:val="00F841EF"/>
    <w:rsid w:val="00F867D1"/>
    <w:rsid w:val="00F90A59"/>
    <w:rsid w:val="00F911EB"/>
    <w:rsid w:val="00F917D3"/>
    <w:rsid w:val="00F917DA"/>
    <w:rsid w:val="00F91DB4"/>
    <w:rsid w:val="00F9426D"/>
    <w:rsid w:val="00F947D4"/>
    <w:rsid w:val="00F95D5B"/>
    <w:rsid w:val="00FA3950"/>
    <w:rsid w:val="00FA59B9"/>
    <w:rsid w:val="00FA626F"/>
    <w:rsid w:val="00FA78F9"/>
    <w:rsid w:val="00FB028B"/>
    <w:rsid w:val="00FB24E5"/>
    <w:rsid w:val="00FB3CE2"/>
    <w:rsid w:val="00FB7604"/>
    <w:rsid w:val="00FC0291"/>
    <w:rsid w:val="00FC0452"/>
    <w:rsid w:val="00FC103D"/>
    <w:rsid w:val="00FC121A"/>
    <w:rsid w:val="00FC1898"/>
    <w:rsid w:val="00FC2A12"/>
    <w:rsid w:val="00FC2E95"/>
    <w:rsid w:val="00FC59CC"/>
    <w:rsid w:val="00FC7E46"/>
    <w:rsid w:val="00FD23CA"/>
    <w:rsid w:val="00FD7256"/>
    <w:rsid w:val="00FD79AD"/>
    <w:rsid w:val="00FE08FA"/>
    <w:rsid w:val="00FE0A42"/>
    <w:rsid w:val="00FE4725"/>
    <w:rsid w:val="00FE4C41"/>
    <w:rsid w:val="00FE5E52"/>
    <w:rsid w:val="00FF1E47"/>
    <w:rsid w:val="00FF4272"/>
    <w:rsid w:val="00FF4FB4"/>
    <w:rsid w:val="00FF5EF7"/>
    <w:rsid w:val="00FF7105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BA54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54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54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54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544E"/>
    <w:rPr>
      <w:b/>
      <w:bCs/>
      <w:sz w:val="20"/>
      <w:szCs w:val="20"/>
    </w:rPr>
  </w:style>
  <w:style w:type="paragraph" w:customStyle="1" w:styleId="TextFirstParagraph">
    <w:name w:val="Text_First_Paragraph"/>
    <w:basedOn w:val="Normal"/>
    <w:link w:val="TextFirstParagraphChar"/>
    <w:rsid w:val="00F439B4"/>
    <w:pPr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4"/>
      <w:lang w:val="en-GB" w:eastAsia="it-IT"/>
    </w:rPr>
  </w:style>
  <w:style w:type="character" w:customStyle="1" w:styleId="TextFirstParagraphChar">
    <w:name w:val="Text_First_Paragraph Char"/>
    <w:basedOn w:val="Fontepargpadro"/>
    <w:link w:val="TextFirstParagraph"/>
    <w:rsid w:val="00F439B4"/>
    <w:rPr>
      <w:rFonts w:ascii="Times New Roman" w:eastAsia="Times New Roman" w:hAnsi="Times New Roman" w:cs="Times New Roman"/>
      <w:sz w:val="22"/>
      <w:szCs w:val="24"/>
      <w:lang w:val="en-GB" w:eastAsia="it-IT"/>
    </w:rPr>
  </w:style>
  <w:style w:type="paragraph" w:styleId="Recuodecorpodetexto2">
    <w:name w:val="Body Text Indent 2"/>
    <w:basedOn w:val="Normal"/>
    <w:link w:val="Recuodecorpodetexto2Char"/>
    <w:rsid w:val="00AB2CE2"/>
    <w:pPr>
      <w:spacing w:before="120" w:after="120" w:line="240" w:lineRule="auto"/>
      <w:ind w:right="45" w:firstLine="709"/>
      <w:jc w:val="both"/>
    </w:pPr>
    <w:rPr>
      <w:rFonts w:ascii="Arial" w:eastAsia="Times New Roman" w:hAnsi="Arial" w:cs="Arial"/>
      <w:color w:val="000000"/>
      <w:sz w:val="22"/>
      <w:szCs w:val="20"/>
      <w:lang w:val="es-ES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B2CE2"/>
    <w:rPr>
      <w:rFonts w:ascii="Arial" w:eastAsia="Times New Roman" w:hAnsi="Arial" w:cs="Arial"/>
      <w:color w:val="000000"/>
      <w:sz w:val="22"/>
      <w:szCs w:val="20"/>
      <w:lang w:val="es-ES" w:eastAsia="pt-BR"/>
    </w:rPr>
  </w:style>
  <w:style w:type="character" w:styleId="TextodoEspaoReservado">
    <w:name w:val="Placeholder Text"/>
    <w:basedOn w:val="Fontepargpadro"/>
    <w:uiPriority w:val="99"/>
    <w:semiHidden/>
    <w:rsid w:val="00984E0E"/>
    <w:rPr>
      <w:color w:val="808080"/>
    </w:rPr>
  </w:style>
  <w:style w:type="paragraph" w:styleId="Reviso">
    <w:name w:val="Revision"/>
    <w:hidden/>
    <w:uiPriority w:val="99"/>
    <w:semiHidden/>
    <w:rsid w:val="00E94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tiff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6.tif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tiff"/><Relationship Id="rId30" Type="http://schemas.openxmlformats.org/officeDocument/2006/relationships/image" Target="media/image15.tiff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B9CDF3-784D-4D36-87F2-29F302111D0B}">
  <we:reference id="wa104381909" version="3.5.1.0" store="en-US" storeType="OMEX"/>
  <we:alternateReferences>
    <we:reference id="wa104381909" version="3.5.1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3215</TotalTime>
  <Pages>6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Roger Kober</cp:lastModifiedBy>
  <cp:revision>1350</cp:revision>
  <dcterms:created xsi:type="dcterms:W3CDTF">2022-12-12T17:08:00Z</dcterms:created>
  <dcterms:modified xsi:type="dcterms:W3CDTF">2023-04-30T16:09:00Z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MTWinEqns">
    <vt:bool>true</vt:bool>
  </property>
</Properties>
</file>