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00" w:rsidRDefault="00B9458F" w:rsidP="00EA4E1B">
      <w:pPr>
        <w:pStyle w:val="BATitle"/>
        <w:spacing w:before="0" w:after="0" w:line="240" w:lineRule="auto"/>
        <w:ind w:right="0"/>
        <w:jc w:val="both"/>
        <w:rPr>
          <w:sz w:val="32"/>
          <w:lang w:val="pt-BR"/>
        </w:rPr>
      </w:pPr>
      <w:bookmarkStart w:id="0" w:name="_Hlk1324517"/>
      <w:bookmarkStart w:id="1" w:name="_Hlk1324670"/>
      <w:r>
        <w:rPr>
          <w:noProof/>
          <w:sz w:val="32"/>
          <w:lang w:val="pt-BR"/>
        </w:rPr>
        <w:pict>
          <v:rect id="Retângulo 3" o:spid="_x0000_s2051" style="position:absolute;left:0;text-align:left;margin-left:0;margin-top:0;width:512.4pt;height:13.2pt;z-index:251660287;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" fillcolor="#9a0000" stroked="f" strokeweight="1pt">
            <v:textbox style="mso-next-textbox:#Retângulo 3" inset=",0,,0">
              <w:txbxContent>
                <w:p w:rsidR="002A6C4A" w:rsidRPr="008C1B30" w:rsidRDefault="002A6C4A" w:rsidP="00866822">
                  <w:pPr>
                    <w:pStyle w:val="BDAbstract"/>
                    <w:spacing w:before="0" w:after="0" w:line="240" w:lineRule="auto"/>
                    <w:rPr>
                      <w:rFonts w:cs="Helvetica"/>
                      <w:bCs/>
                      <w:sz w:val="20"/>
                      <w:lang w:val="pt-BR"/>
                    </w:rPr>
                  </w:pPr>
                </w:p>
                <w:p w:rsidR="002A6C4A" w:rsidRPr="008C1B30" w:rsidRDefault="002A6C4A" w:rsidP="00866822">
                  <w:pPr>
                    <w:pStyle w:val="SemEspaamento"/>
                  </w:pPr>
                </w:p>
              </w:txbxContent>
            </v:textbox>
            <w10:wrap anchorx="margin"/>
          </v:rect>
        </w:pict>
      </w:r>
    </w:p>
    <w:p w:rsidR="00EA4E1B" w:rsidRDefault="00A70F71" w:rsidP="00EA4E1B">
      <w:pPr>
        <w:pStyle w:val="BATitle"/>
        <w:spacing w:before="0" w:after="0" w:line="240" w:lineRule="auto"/>
        <w:ind w:right="0"/>
        <w:jc w:val="both"/>
        <w:rPr>
          <w:sz w:val="32"/>
          <w:lang w:val="pt-BR"/>
        </w:rPr>
      </w:pPr>
      <w:r w:rsidRPr="00A70F71">
        <w:rPr>
          <w:sz w:val="32"/>
          <w:lang w:val="pt-BR"/>
        </w:rPr>
        <w:t>Efeito promotor de aluminatos MAl</w:t>
      </w:r>
      <w:r w:rsidRPr="00A70F71">
        <w:rPr>
          <w:sz w:val="32"/>
          <w:vertAlign w:val="subscript"/>
          <w:lang w:val="pt-BR"/>
        </w:rPr>
        <w:t>2</w:t>
      </w:r>
      <w:r w:rsidRPr="00A70F71">
        <w:rPr>
          <w:sz w:val="32"/>
          <w:lang w:val="pt-BR"/>
        </w:rPr>
        <w:t>O</w:t>
      </w:r>
      <w:r w:rsidRPr="00A70F71">
        <w:rPr>
          <w:sz w:val="32"/>
          <w:vertAlign w:val="subscript"/>
          <w:lang w:val="pt-BR"/>
        </w:rPr>
        <w:t>4</w:t>
      </w:r>
      <w:r w:rsidRPr="00A70F71">
        <w:rPr>
          <w:sz w:val="32"/>
          <w:lang w:val="pt-BR"/>
        </w:rPr>
        <w:t xml:space="preserve"> (M= Co e Ni) no desempenho do catalisador Pt/Al</w:t>
      </w:r>
      <w:r w:rsidRPr="00A70F71">
        <w:rPr>
          <w:sz w:val="32"/>
          <w:vertAlign w:val="subscript"/>
          <w:lang w:val="pt-BR"/>
        </w:rPr>
        <w:t>2</w:t>
      </w:r>
      <w:r w:rsidRPr="00A70F71">
        <w:rPr>
          <w:sz w:val="32"/>
          <w:lang w:val="pt-BR"/>
        </w:rPr>
        <w:t>O</w:t>
      </w:r>
      <w:r w:rsidRPr="00A70F71">
        <w:rPr>
          <w:sz w:val="32"/>
          <w:vertAlign w:val="subscript"/>
          <w:lang w:val="pt-BR"/>
        </w:rPr>
        <w:t>3</w:t>
      </w:r>
      <w:r w:rsidRPr="00A70F71">
        <w:rPr>
          <w:sz w:val="32"/>
          <w:lang w:val="pt-BR"/>
        </w:rPr>
        <w:t xml:space="preserve"> para reação </w:t>
      </w:r>
      <w:r>
        <w:rPr>
          <w:sz w:val="32"/>
          <w:lang w:val="pt-BR"/>
        </w:rPr>
        <w:t>de oxidação preferencial do CO (</w:t>
      </w:r>
      <w:r w:rsidRPr="00A70F71">
        <w:rPr>
          <w:sz w:val="32"/>
          <w:lang w:val="pt-BR"/>
        </w:rPr>
        <w:t>PROX</w:t>
      </w:r>
      <w:r>
        <w:rPr>
          <w:sz w:val="32"/>
          <w:lang w:val="pt-BR"/>
        </w:rPr>
        <w:t>-CO)</w:t>
      </w:r>
      <w:r w:rsidR="00EA4E1B">
        <w:rPr>
          <w:sz w:val="32"/>
          <w:lang w:val="pt-BR"/>
        </w:rPr>
        <w:t xml:space="preserve"> </w:t>
      </w:r>
    </w:p>
    <w:p w:rsidR="00AC25D7" w:rsidRDefault="00AC25D7" w:rsidP="00EA4E1B">
      <w:pPr>
        <w:pStyle w:val="BBAuthorName"/>
        <w:spacing w:after="120"/>
        <w:ind w:right="0"/>
        <w:jc w:val="both"/>
        <w:rPr>
          <w:rFonts w:ascii="Times New Roman" w:hAnsi="Times New Roman"/>
          <w:sz w:val="20"/>
          <w:lang w:val="pt-BR"/>
        </w:rPr>
      </w:pPr>
    </w:p>
    <w:p w:rsidR="00EA4E1B" w:rsidRPr="00AC25D7" w:rsidRDefault="00A70F71" w:rsidP="00EA4E1B">
      <w:pPr>
        <w:pStyle w:val="BBAuthorName"/>
        <w:spacing w:after="120"/>
        <w:ind w:right="0"/>
        <w:jc w:val="both"/>
        <w:rPr>
          <w:rFonts w:ascii="Times New Roman" w:hAnsi="Times New Roman"/>
          <w:sz w:val="20"/>
          <w:lang w:val="pt-BR"/>
        </w:rPr>
      </w:pPr>
      <w:r w:rsidRPr="00A70F71">
        <w:rPr>
          <w:rFonts w:ascii="Times New Roman" w:hAnsi="Times New Roman"/>
          <w:sz w:val="20"/>
          <w:lang w:val="pt-BR"/>
        </w:rPr>
        <w:t>Carlos Alberto Chagas</w:t>
      </w:r>
      <w:r w:rsidR="00AC25D7">
        <w:rPr>
          <w:rFonts w:ascii="Times New Roman" w:hAnsi="Times New Roman"/>
          <w:sz w:val="20"/>
          <w:vertAlign w:val="superscript"/>
          <w:lang w:val="pt-BR"/>
        </w:rPr>
        <w:t>1</w:t>
      </w:r>
      <w:r w:rsidRPr="00A70F71">
        <w:rPr>
          <w:rFonts w:ascii="Times New Roman" w:hAnsi="Times New Roman"/>
          <w:sz w:val="20"/>
          <w:vertAlign w:val="superscript"/>
          <w:lang w:val="pt-BR"/>
        </w:rPr>
        <w:t>*</w:t>
      </w:r>
      <w:r w:rsidR="00AC25D7" w:rsidRPr="00AC25D7">
        <w:rPr>
          <w:rFonts w:ascii="Times New Roman" w:hAnsi="Times New Roman"/>
          <w:sz w:val="20"/>
          <w:lang w:val="pt-BR"/>
        </w:rPr>
        <w:t xml:space="preserve"> </w:t>
      </w:r>
      <w:r w:rsidR="00896123">
        <w:rPr>
          <w:rFonts w:ascii="Times New Roman" w:hAnsi="Times New Roman"/>
          <w:sz w:val="20"/>
          <w:lang w:val="pt-BR"/>
        </w:rPr>
        <w:t>e</w:t>
      </w:r>
      <w:r w:rsidR="00AC25D7">
        <w:rPr>
          <w:rFonts w:ascii="Times New Roman" w:hAnsi="Times New Roman"/>
          <w:sz w:val="20"/>
          <w:lang w:val="pt-BR"/>
        </w:rPr>
        <w:t xml:space="preserve"> </w:t>
      </w:r>
      <w:r w:rsidR="00AC25D7" w:rsidRPr="00A70F71">
        <w:rPr>
          <w:rFonts w:ascii="Times New Roman" w:hAnsi="Times New Roman"/>
          <w:sz w:val="20"/>
          <w:lang w:val="pt-BR"/>
        </w:rPr>
        <w:t>Martin Schmal</w:t>
      </w:r>
      <w:r w:rsidR="00AC25D7">
        <w:rPr>
          <w:rFonts w:ascii="Times New Roman" w:hAnsi="Times New Roman"/>
          <w:sz w:val="20"/>
          <w:vertAlign w:val="superscript"/>
          <w:lang w:val="pt-BR"/>
        </w:rPr>
        <w:t>2</w:t>
      </w:r>
    </w:p>
    <w:p w:rsidR="00AC25D7" w:rsidRPr="00827C6B" w:rsidRDefault="00AC25D7" w:rsidP="00AC25D7">
      <w:pPr>
        <w:pStyle w:val="BCAuthorAddress"/>
        <w:spacing w:after="0"/>
        <w:ind w:right="0"/>
        <w:jc w:val="both"/>
        <w:rPr>
          <w:lang w:val="pt-BR"/>
        </w:rPr>
      </w:pPr>
      <w:r w:rsidRPr="00827C6B">
        <w:rPr>
          <w:vertAlign w:val="superscript"/>
          <w:lang w:val="pt-BR"/>
        </w:rPr>
        <w:t>1</w:t>
      </w:r>
      <w:r w:rsidR="000D7507" w:rsidRPr="00827C6B">
        <w:rPr>
          <w:lang w:val="pt-BR"/>
        </w:rPr>
        <w:t>Escola de Química,</w:t>
      </w:r>
      <w:r w:rsidRPr="00827C6B">
        <w:rPr>
          <w:lang w:val="pt-BR"/>
        </w:rPr>
        <w:t xml:space="preserve"> </w:t>
      </w:r>
      <w:r w:rsidR="000D7507" w:rsidRPr="00827C6B">
        <w:rPr>
          <w:lang w:val="pt-BR"/>
        </w:rPr>
        <w:t xml:space="preserve">Universidade </w:t>
      </w:r>
      <w:r w:rsidRPr="00827C6B">
        <w:rPr>
          <w:lang w:val="pt-BR"/>
        </w:rPr>
        <w:t xml:space="preserve">Federal </w:t>
      </w:r>
      <w:r w:rsidR="000D7507" w:rsidRPr="00827C6B">
        <w:rPr>
          <w:lang w:val="pt-BR"/>
        </w:rPr>
        <w:t>do</w:t>
      </w:r>
      <w:r w:rsidRPr="00827C6B">
        <w:rPr>
          <w:lang w:val="pt-BR"/>
        </w:rPr>
        <w:t xml:space="preserve"> Rio de Janeiro, CEP 21941-909 - Rio de</w:t>
      </w:r>
      <w:r w:rsidR="000D7507" w:rsidRPr="00827C6B">
        <w:rPr>
          <w:lang w:val="pt-BR"/>
        </w:rPr>
        <w:t xml:space="preserve"> Janeiro/RJ, Bras</w:t>
      </w:r>
      <w:r w:rsidRPr="00827C6B">
        <w:rPr>
          <w:lang w:val="pt-BR"/>
        </w:rPr>
        <w:t>il.</w:t>
      </w:r>
    </w:p>
    <w:p w:rsidR="00AC25D7" w:rsidRPr="00827C6B" w:rsidRDefault="00AC25D7" w:rsidP="00A70F71">
      <w:pPr>
        <w:pStyle w:val="BCAuthorAddress"/>
        <w:spacing w:after="0"/>
        <w:jc w:val="both"/>
        <w:rPr>
          <w:vertAlign w:val="superscript"/>
          <w:lang w:val="pt-BR"/>
        </w:rPr>
      </w:pPr>
    </w:p>
    <w:p w:rsidR="00A70F71" w:rsidRPr="00827C6B" w:rsidRDefault="00AC25D7" w:rsidP="00AC25D7">
      <w:pPr>
        <w:pStyle w:val="BCAuthorAddress"/>
        <w:spacing w:after="0"/>
        <w:ind w:right="0"/>
        <w:jc w:val="both"/>
        <w:rPr>
          <w:lang w:val="pt-BR"/>
        </w:rPr>
      </w:pPr>
      <w:r w:rsidRPr="00827C6B">
        <w:rPr>
          <w:vertAlign w:val="superscript"/>
          <w:lang w:val="pt-BR"/>
        </w:rPr>
        <w:t>2</w:t>
      </w:r>
      <w:r w:rsidR="000D7507" w:rsidRPr="00827C6B">
        <w:rPr>
          <w:lang w:val="pt-BR"/>
        </w:rPr>
        <w:t xml:space="preserve"> Programa de Engenharia Química/</w:t>
      </w:r>
      <w:r w:rsidR="00A70F71" w:rsidRPr="00827C6B">
        <w:rPr>
          <w:lang w:val="pt-BR"/>
        </w:rPr>
        <w:t xml:space="preserve">COPPE, </w:t>
      </w:r>
      <w:r w:rsidR="00813250" w:rsidRPr="00827C6B">
        <w:rPr>
          <w:lang w:val="pt-BR"/>
        </w:rPr>
        <w:t>Universidade Federal</w:t>
      </w:r>
      <w:r w:rsidR="00A70F71" w:rsidRPr="00827C6B">
        <w:rPr>
          <w:lang w:val="pt-BR"/>
        </w:rPr>
        <w:t xml:space="preserve"> do</w:t>
      </w:r>
      <w:r w:rsidRPr="00827C6B">
        <w:rPr>
          <w:lang w:val="pt-BR"/>
        </w:rPr>
        <w:t xml:space="preserve"> R</w:t>
      </w:r>
      <w:r w:rsidR="00A70F71" w:rsidRPr="00827C6B">
        <w:rPr>
          <w:lang w:val="pt-BR"/>
        </w:rPr>
        <w:t>io de Janeiro, CEP 21941-914 - Rio de Janeiro/RJ, Bra</w:t>
      </w:r>
      <w:r w:rsidR="00813250" w:rsidRPr="00827C6B">
        <w:rPr>
          <w:lang w:val="pt-BR"/>
        </w:rPr>
        <w:t>s</w:t>
      </w:r>
      <w:r w:rsidR="00A70F71" w:rsidRPr="00827C6B">
        <w:rPr>
          <w:lang w:val="pt-BR"/>
        </w:rPr>
        <w:t>il.</w:t>
      </w:r>
    </w:p>
    <w:bookmarkEnd w:id="0"/>
    <w:p w:rsidR="00AF0400" w:rsidRDefault="00B9458F" w:rsidP="00EA4E1B">
      <w:pPr>
        <w:pStyle w:val="BDAbstract"/>
        <w:spacing w:before="0" w:after="0" w:line="240" w:lineRule="auto"/>
        <w:rPr>
          <w:rFonts w:ascii="Times New Roman" w:hAnsi="Times New Roman"/>
          <w:b w:val="0"/>
          <w:sz w:val="20"/>
          <w:lang w:val="pt-BR"/>
        </w:rPr>
      </w:pPr>
      <w:r w:rsidRPr="00B9458F">
        <w:rPr>
          <w:noProof/>
          <w:sz w:val="32"/>
          <w:lang w:val="pt-BR"/>
        </w:rPr>
        <w:pict>
          <v:rect id="Retângulo 4" o:spid="_x0000_s2050" style="position:absolute;left:0;text-align:left;margin-left:2823.2pt;margin-top:2.75pt;width:512.4pt;height:13.2pt;z-index:251658239;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" fillcolor="#9a0000" stroked="f" strokeweight="1pt">
            <v:textbox style="mso-next-textbox:#Retângulo 4" inset=",0,,0">
              <w:txbxContent>
                <w:p w:rsidR="002A6C4A" w:rsidRPr="008C1B30" w:rsidRDefault="002A6C4A"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rsidR="002A6C4A" w:rsidRPr="008C1B30" w:rsidRDefault="002A6C4A" w:rsidP="008C1B30">
                  <w:pPr>
                    <w:pStyle w:val="SemEspaamento"/>
                  </w:pPr>
                </w:p>
              </w:txbxContent>
            </v:textbox>
            <w10:wrap anchorx="margin"/>
          </v:rect>
        </w:pict>
      </w:r>
    </w:p>
    <w:p w:rsidR="00AF0400" w:rsidRDefault="00AF0400" w:rsidP="00EA4E1B">
      <w:pPr>
        <w:pStyle w:val="BDAbstract"/>
        <w:spacing w:before="0" w:after="0" w:line="240" w:lineRule="auto"/>
        <w:rPr>
          <w:rFonts w:ascii="Times New Roman" w:hAnsi="Times New Roman"/>
          <w:b w:val="0"/>
          <w:sz w:val="20"/>
          <w:lang w:val="pt-BR"/>
        </w:rPr>
      </w:pPr>
    </w:p>
    <w:p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813250" w:rsidRPr="00813250">
        <w:rPr>
          <w:rFonts w:ascii="Times New Roman" w:hAnsi="Times New Roman"/>
          <w:b w:val="0"/>
          <w:sz w:val="20"/>
          <w:lang w:val="pt-BR"/>
        </w:rPr>
        <w:t>Neste estudo</w:t>
      </w:r>
      <w:r w:rsidR="00813250">
        <w:rPr>
          <w:rFonts w:ascii="Times New Roman" w:hAnsi="Times New Roman"/>
          <w:b w:val="0"/>
          <w:sz w:val="20"/>
          <w:lang w:val="pt-BR"/>
        </w:rPr>
        <w:t>, o desempenho catalítico da Pt/alumina modificada</w:t>
      </w:r>
      <w:r w:rsidR="00813250" w:rsidRPr="00813250">
        <w:rPr>
          <w:rFonts w:ascii="Times New Roman" w:hAnsi="Times New Roman"/>
          <w:b w:val="0"/>
          <w:sz w:val="20"/>
          <w:lang w:val="pt-BR"/>
        </w:rPr>
        <w:t xml:space="preserve"> pela adição d</w:t>
      </w:r>
      <w:r w:rsidR="000D7507">
        <w:rPr>
          <w:rFonts w:ascii="Times New Roman" w:hAnsi="Times New Roman"/>
          <w:b w:val="0"/>
          <w:sz w:val="20"/>
          <w:lang w:val="pt-BR"/>
        </w:rPr>
        <w:t>e</w:t>
      </w:r>
      <w:r w:rsidR="00813250" w:rsidRPr="00813250">
        <w:rPr>
          <w:rFonts w:ascii="Times New Roman" w:hAnsi="Times New Roman"/>
          <w:b w:val="0"/>
          <w:sz w:val="20"/>
          <w:lang w:val="pt-BR"/>
        </w:rPr>
        <w:t xml:space="preserve"> promotor</w:t>
      </w:r>
      <w:r w:rsidR="00813250">
        <w:rPr>
          <w:rFonts w:ascii="Times New Roman" w:hAnsi="Times New Roman"/>
          <w:b w:val="0"/>
          <w:sz w:val="20"/>
          <w:lang w:val="pt-BR"/>
        </w:rPr>
        <w:t>es</w:t>
      </w:r>
      <w:r w:rsidR="00813250" w:rsidRPr="00813250">
        <w:rPr>
          <w:rFonts w:ascii="Times New Roman" w:hAnsi="Times New Roman"/>
          <w:b w:val="0"/>
          <w:sz w:val="20"/>
          <w:lang w:val="pt-BR"/>
        </w:rPr>
        <w:t xml:space="preserve"> de aluminatos MAl</w:t>
      </w:r>
      <w:r w:rsidR="00813250" w:rsidRPr="005D7D2C">
        <w:rPr>
          <w:rFonts w:ascii="Times New Roman" w:hAnsi="Times New Roman"/>
          <w:b w:val="0"/>
          <w:sz w:val="20"/>
          <w:vertAlign w:val="subscript"/>
          <w:lang w:val="pt-BR"/>
        </w:rPr>
        <w:t>2</w:t>
      </w:r>
      <w:r w:rsidR="00813250" w:rsidRPr="00813250">
        <w:rPr>
          <w:rFonts w:ascii="Times New Roman" w:hAnsi="Times New Roman"/>
          <w:b w:val="0"/>
          <w:sz w:val="20"/>
          <w:lang w:val="pt-BR"/>
        </w:rPr>
        <w:t>O</w:t>
      </w:r>
      <w:r w:rsidR="00813250" w:rsidRPr="005D7D2C">
        <w:rPr>
          <w:rFonts w:ascii="Times New Roman" w:hAnsi="Times New Roman"/>
          <w:b w:val="0"/>
          <w:sz w:val="20"/>
          <w:vertAlign w:val="subscript"/>
          <w:lang w:val="pt-BR"/>
        </w:rPr>
        <w:t>3</w:t>
      </w:r>
      <w:r w:rsidR="00813250" w:rsidRPr="00813250">
        <w:rPr>
          <w:rFonts w:ascii="Times New Roman" w:hAnsi="Times New Roman"/>
          <w:b w:val="0"/>
          <w:sz w:val="20"/>
          <w:lang w:val="pt-BR"/>
        </w:rPr>
        <w:t xml:space="preserve"> (Co e Ni) foi testado para a oxidação preferencial d</w:t>
      </w:r>
      <w:r w:rsidR="00813250">
        <w:rPr>
          <w:rFonts w:ascii="Times New Roman" w:hAnsi="Times New Roman"/>
          <w:b w:val="0"/>
          <w:sz w:val="20"/>
          <w:lang w:val="pt-BR"/>
        </w:rPr>
        <w:t>e CO em corrente rica em H</w:t>
      </w:r>
      <w:r w:rsidR="00813250" w:rsidRPr="000D7507">
        <w:rPr>
          <w:rFonts w:ascii="Times New Roman" w:hAnsi="Times New Roman"/>
          <w:b w:val="0"/>
          <w:sz w:val="20"/>
          <w:vertAlign w:val="subscript"/>
          <w:lang w:val="pt-BR"/>
        </w:rPr>
        <w:t>2</w:t>
      </w:r>
      <w:r w:rsidR="00813250">
        <w:rPr>
          <w:rFonts w:ascii="Times New Roman" w:hAnsi="Times New Roman"/>
          <w:b w:val="0"/>
          <w:sz w:val="20"/>
          <w:lang w:val="pt-BR"/>
        </w:rPr>
        <w:t xml:space="preserve"> (</w:t>
      </w:r>
      <w:r w:rsidR="00813250" w:rsidRPr="00813250">
        <w:rPr>
          <w:rFonts w:ascii="Times New Roman" w:hAnsi="Times New Roman"/>
          <w:b w:val="0"/>
          <w:sz w:val="20"/>
          <w:lang w:val="pt-BR"/>
        </w:rPr>
        <w:t>PROX</w:t>
      </w:r>
      <w:r w:rsidR="00813250">
        <w:rPr>
          <w:rFonts w:ascii="Times New Roman" w:hAnsi="Times New Roman"/>
          <w:b w:val="0"/>
          <w:sz w:val="20"/>
          <w:lang w:val="pt-BR"/>
        </w:rPr>
        <w:t>-CO</w:t>
      </w:r>
      <w:r w:rsidR="000D7507">
        <w:rPr>
          <w:rFonts w:ascii="Times New Roman" w:hAnsi="Times New Roman"/>
          <w:b w:val="0"/>
          <w:sz w:val="20"/>
          <w:lang w:val="pt-BR"/>
        </w:rPr>
        <w:t>). A atividade e</w:t>
      </w:r>
      <w:r w:rsidR="00813250" w:rsidRPr="00813250">
        <w:rPr>
          <w:rFonts w:ascii="Times New Roman" w:hAnsi="Times New Roman"/>
          <w:b w:val="0"/>
          <w:sz w:val="20"/>
          <w:lang w:val="pt-BR"/>
        </w:rPr>
        <w:t xml:space="preserve"> seletividade foram superiores </w:t>
      </w:r>
      <w:r w:rsidR="00827C6B">
        <w:rPr>
          <w:rFonts w:ascii="Times New Roman" w:hAnsi="Times New Roman"/>
          <w:b w:val="0"/>
          <w:sz w:val="20"/>
          <w:lang w:val="pt-BR"/>
        </w:rPr>
        <w:t>a</w:t>
      </w:r>
      <w:r w:rsidR="00813250" w:rsidRPr="00813250">
        <w:rPr>
          <w:rFonts w:ascii="Times New Roman" w:hAnsi="Times New Roman"/>
          <w:b w:val="0"/>
          <w:sz w:val="20"/>
          <w:lang w:val="pt-BR"/>
        </w:rPr>
        <w:t xml:space="preserve">s de um sistema de referência </w:t>
      </w:r>
      <w:r w:rsidR="00827C6B">
        <w:rPr>
          <w:rFonts w:ascii="Times New Roman" w:hAnsi="Times New Roman"/>
          <w:b w:val="0"/>
          <w:sz w:val="20"/>
          <w:lang w:val="pt-BR"/>
        </w:rPr>
        <w:t>(</w:t>
      </w:r>
      <w:r w:rsidR="00813250" w:rsidRPr="00813250">
        <w:rPr>
          <w:rFonts w:ascii="Times New Roman" w:hAnsi="Times New Roman"/>
          <w:b w:val="0"/>
          <w:sz w:val="20"/>
          <w:lang w:val="pt-BR"/>
        </w:rPr>
        <w:t>Pt/alumina</w:t>
      </w:r>
      <w:r w:rsidR="00827C6B">
        <w:rPr>
          <w:rFonts w:ascii="Times New Roman" w:hAnsi="Times New Roman"/>
          <w:b w:val="0"/>
          <w:sz w:val="20"/>
          <w:lang w:val="pt-BR"/>
        </w:rPr>
        <w:t>)</w:t>
      </w:r>
      <w:r w:rsidR="00813250" w:rsidRPr="00813250">
        <w:rPr>
          <w:rFonts w:ascii="Times New Roman" w:hAnsi="Times New Roman"/>
          <w:b w:val="0"/>
          <w:sz w:val="20"/>
          <w:lang w:val="pt-BR"/>
        </w:rPr>
        <w:t>, que requer temperaturas mais altas (acima de 150 °C) para operar a taxas razoáveis. Para todos os catalisadores modificados, a conversão máxima ocorre a 150 °C, valor que está dentro da faixa de trabalho aceitável para este processo. Os resultados das caracterizações indicam que a presença de aluminato</w:t>
      </w:r>
      <w:r w:rsidR="00827C6B">
        <w:rPr>
          <w:rFonts w:ascii="Times New Roman" w:hAnsi="Times New Roman"/>
          <w:b w:val="0"/>
          <w:sz w:val="20"/>
          <w:lang w:val="pt-BR"/>
        </w:rPr>
        <w:t>s</w:t>
      </w:r>
      <w:r w:rsidR="00813250" w:rsidRPr="00813250">
        <w:rPr>
          <w:rFonts w:ascii="Times New Roman" w:hAnsi="Times New Roman"/>
          <w:b w:val="0"/>
          <w:sz w:val="20"/>
          <w:lang w:val="pt-BR"/>
        </w:rPr>
        <w:t xml:space="preserve"> facilitou a transferência de elétrons de Pt para </w:t>
      </w:r>
      <w:r w:rsidR="000D7507">
        <w:rPr>
          <w:rFonts w:ascii="Times New Roman" w:hAnsi="Times New Roman"/>
          <w:b w:val="0"/>
          <w:sz w:val="20"/>
          <w:lang w:val="pt-BR"/>
        </w:rPr>
        <w:t xml:space="preserve">o </w:t>
      </w:r>
      <w:r w:rsidR="00813250" w:rsidRPr="00813250">
        <w:rPr>
          <w:rFonts w:ascii="Times New Roman" w:hAnsi="Times New Roman"/>
          <w:b w:val="0"/>
          <w:sz w:val="20"/>
          <w:lang w:val="pt-BR"/>
        </w:rPr>
        <w:t>promo</w:t>
      </w:r>
      <w:r w:rsidR="000D7507">
        <w:rPr>
          <w:rFonts w:ascii="Times New Roman" w:hAnsi="Times New Roman"/>
          <w:b w:val="0"/>
          <w:sz w:val="20"/>
          <w:lang w:val="pt-BR"/>
        </w:rPr>
        <w:t>tor</w:t>
      </w:r>
      <w:r w:rsidR="00813250" w:rsidRPr="00813250">
        <w:rPr>
          <w:rFonts w:ascii="Times New Roman" w:hAnsi="Times New Roman"/>
          <w:b w:val="0"/>
          <w:sz w:val="20"/>
          <w:lang w:val="pt-BR"/>
        </w:rPr>
        <w:t xml:space="preserve"> (causada pelo contato próximo </w:t>
      </w:r>
      <w:r w:rsidR="00827C6B">
        <w:rPr>
          <w:rFonts w:ascii="Times New Roman" w:hAnsi="Times New Roman"/>
          <w:b w:val="0"/>
          <w:sz w:val="20"/>
          <w:lang w:val="pt-BR"/>
        </w:rPr>
        <w:t>entre</w:t>
      </w:r>
      <w:r w:rsidR="00813250" w:rsidRPr="00813250">
        <w:rPr>
          <w:rFonts w:ascii="Times New Roman" w:hAnsi="Times New Roman"/>
          <w:b w:val="0"/>
          <w:sz w:val="20"/>
          <w:lang w:val="pt-BR"/>
        </w:rPr>
        <w:t xml:space="preserve"> Pt e MAl</w:t>
      </w:r>
      <w:r w:rsidR="00813250" w:rsidRPr="000D7507">
        <w:rPr>
          <w:rFonts w:ascii="Times New Roman" w:hAnsi="Times New Roman"/>
          <w:b w:val="0"/>
          <w:sz w:val="20"/>
          <w:vertAlign w:val="subscript"/>
          <w:lang w:val="pt-BR"/>
        </w:rPr>
        <w:t>2</w:t>
      </w:r>
      <w:r w:rsidR="00813250" w:rsidRPr="00813250">
        <w:rPr>
          <w:rFonts w:ascii="Times New Roman" w:hAnsi="Times New Roman"/>
          <w:b w:val="0"/>
          <w:sz w:val="20"/>
          <w:lang w:val="pt-BR"/>
        </w:rPr>
        <w:t>O</w:t>
      </w:r>
      <w:r w:rsidR="00813250" w:rsidRPr="000D7507">
        <w:rPr>
          <w:rFonts w:ascii="Times New Roman" w:hAnsi="Times New Roman"/>
          <w:b w:val="0"/>
          <w:sz w:val="20"/>
          <w:vertAlign w:val="subscript"/>
          <w:lang w:val="pt-BR"/>
        </w:rPr>
        <w:t>4</w:t>
      </w:r>
      <w:r w:rsidR="00813250" w:rsidRPr="00813250">
        <w:rPr>
          <w:rFonts w:ascii="Times New Roman" w:hAnsi="Times New Roman"/>
          <w:b w:val="0"/>
          <w:sz w:val="20"/>
          <w:lang w:val="pt-BR"/>
        </w:rPr>
        <w:t xml:space="preserve">), resultando na diminuição da força de adsorção de CO e aumento da atividade </w:t>
      </w:r>
      <w:r w:rsidR="00827C6B">
        <w:rPr>
          <w:rFonts w:ascii="Times New Roman" w:hAnsi="Times New Roman"/>
          <w:b w:val="0"/>
          <w:sz w:val="20"/>
          <w:lang w:val="pt-BR"/>
        </w:rPr>
        <w:t>a</w:t>
      </w:r>
      <w:r w:rsidR="00813250" w:rsidRPr="00813250">
        <w:rPr>
          <w:rFonts w:ascii="Times New Roman" w:hAnsi="Times New Roman"/>
          <w:b w:val="0"/>
          <w:sz w:val="20"/>
          <w:lang w:val="pt-BR"/>
        </w:rPr>
        <w:t xml:space="preserve"> baixa temperatura. Os catalisadores modificados seguiram o mecanismo de Langmuir-Hinshelwood dual-site com CO adsorvendo preferencialmente nos sítios Pt e O</w:t>
      </w:r>
      <w:r w:rsidR="00813250" w:rsidRPr="000D7507">
        <w:rPr>
          <w:rFonts w:ascii="Times New Roman" w:hAnsi="Times New Roman"/>
          <w:b w:val="0"/>
          <w:sz w:val="20"/>
          <w:vertAlign w:val="subscript"/>
          <w:lang w:val="pt-BR"/>
        </w:rPr>
        <w:t>2</w:t>
      </w:r>
      <w:r w:rsidR="00813250" w:rsidRPr="00813250">
        <w:rPr>
          <w:rFonts w:ascii="Times New Roman" w:hAnsi="Times New Roman"/>
          <w:b w:val="0"/>
          <w:sz w:val="20"/>
          <w:lang w:val="pt-BR"/>
        </w:rPr>
        <w:t xml:space="preserve"> adsorvendo nos sítios</w:t>
      </w:r>
      <w:r w:rsidR="00827C6B">
        <w:rPr>
          <w:rFonts w:ascii="Times New Roman" w:hAnsi="Times New Roman"/>
          <w:b w:val="0"/>
          <w:sz w:val="20"/>
          <w:lang w:val="pt-BR"/>
        </w:rPr>
        <w:t xml:space="preserve"> dos</w:t>
      </w:r>
      <w:r w:rsidR="00813250" w:rsidRPr="00813250">
        <w:rPr>
          <w:rFonts w:ascii="Times New Roman" w:hAnsi="Times New Roman"/>
          <w:b w:val="0"/>
          <w:sz w:val="20"/>
          <w:lang w:val="pt-BR"/>
        </w:rPr>
        <w:t xml:space="preserve"> aluminatos. Além disso, a excelente estabilidade apresentada pelos catalisadores modificados após 30 horas </w:t>
      </w:r>
      <w:r w:rsidR="000D7507">
        <w:rPr>
          <w:rFonts w:ascii="Times New Roman" w:hAnsi="Times New Roman"/>
          <w:b w:val="0"/>
          <w:sz w:val="20"/>
          <w:lang w:val="pt-BR"/>
        </w:rPr>
        <w:t>de reação</w:t>
      </w:r>
      <w:r w:rsidR="00813250" w:rsidRPr="00813250">
        <w:rPr>
          <w:rFonts w:ascii="Times New Roman" w:hAnsi="Times New Roman"/>
          <w:b w:val="0"/>
          <w:sz w:val="20"/>
          <w:lang w:val="pt-BR"/>
        </w:rPr>
        <w:t xml:space="preserve"> a 200 °C demonstra seu alto potencial para aplic</w:t>
      </w:r>
      <w:r w:rsidR="005D7D2C">
        <w:rPr>
          <w:rFonts w:ascii="Times New Roman" w:hAnsi="Times New Roman"/>
          <w:b w:val="0"/>
          <w:sz w:val="20"/>
          <w:lang w:val="pt-BR"/>
        </w:rPr>
        <w:t>ações práticas de PROX-CO</w:t>
      </w:r>
      <w:r>
        <w:rPr>
          <w:rFonts w:ascii="Times New Roman" w:hAnsi="Times New Roman"/>
          <w:b w:val="0"/>
          <w:sz w:val="20"/>
          <w:lang w:val="pt-BR"/>
        </w:rPr>
        <w:t>.</w:t>
      </w:r>
    </w:p>
    <w:p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5D7D2C">
        <w:rPr>
          <w:rFonts w:ascii="Times New Roman" w:hAnsi="Times New Roman"/>
          <w:b w:val="0"/>
          <w:i/>
          <w:sz w:val="20"/>
          <w:lang w:val="pt-BR"/>
        </w:rPr>
        <w:t>Aluminatos, Níquel, Cobalto, Pt/alumina, Reação PROX-CO</w:t>
      </w:r>
      <w:r>
        <w:rPr>
          <w:rFonts w:ascii="Times New Roman" w:hAnsi="Times New Roman"/>
          <w:b w:val="0"/>
          <w:i/>
          <w:sz w:val="20"/>
          <w:lang w:val="pt-BR"/>
        </w:rPr>
        <w:t>.</w:t>
      </w:r>
    </w:p>
    <w:p w:rsidR="00EA4E1B" w:rsidRPr="00DA4DFC" w:rsidRDefault="00EA4E1B" w:rsidP="00EA4E1B">
      <w:pPr>
        <w:pStyle w:val="BDAbstract"/>
        <w:spacing w:before="0" w:after="0" w:line="240" w:lineRule="auto"/>
        <w:rPr>
          <w:rFonts w:ascii="Times New Roman" w:hAnsi="Times New Roman"/>
          <w:b w:val="0"/>
          <w:sz w:val="20"/>
          <w:lang w:val="pt-BR"/>
        </w:rPr>
      </w:pPr>
    </w:p>
    <w:p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ABSTRACT - </w:t>
      </w:r>
      <w:r w:rsidR="00813250" w:rsidRPr="00813250">
        <w:rPr>
          <w:rFonts w:ascii="Times New Roman" w:hAnsi="Times New Roman"/>
          <w:b w:val="0"/>
          <w:sz w:val="20"/>
          <w:lang w:val="pt-BR"/>
        </w:rPr>
        <w:t>In this study, the catalytic performance of Pt on alumina catalyst modified by adding MAl</w:t>
      </w:r>
      <w:r w:rsidR="00813250" w:rsidRPr="005D7D2C">
        <w:rPr>
          <w:rFonts w:ascii="Times New Roman" w:hAnsi="Times New Roman"/>
          <w:b w:val="0"/>
          <w:sz w:val="20"/>
          <w:vertAlign w:val="subscript"/>
          <w:lang w:val="pt-BR"/>
        </w:rPr>
        <w:t>2</w:t>
      </w:r>
      <w:r w:rsidR="00813250" w:rsidRPr="00813250">
        <w:rPr>
          <w:rFonts w:ascii="Times New Roman" w:hAnsi="Times New Roman"/>
          <w:b w:val="0"/>
          <w:sz w:val="20"/>
          <w:lang w:val="pt-BR"/>
        </w:rPr>
        <w:t>O</w:t>
      </w:r>
      <w:r w:rsidR="00813250" w:rsidRPr="005D7D2C">
        <w:rPr>
          <w:rFonts w:ascii="Times New Roman" w:hAnsi="Times New Roman"/>
          <w:b w:val="0"/>
          <w:sz w:val="20"/>
          <w:vertAlign w:val="subscript"/>
          <w:lang w:val="pt-BR"/>
        </w:rPr>
        <w:t>3</w:t>
      </w:r>
      <w:r w:rsidR="00813250" w:rsidRPr="00813250">
        <w:rPr>
          <w:rFonts w:ascii="Times New Roman" w:hAnsi="Times New Roman"/>
          <w:b w:val="0"/>
          <w:sz w:val="20"/>
          <w:lang w:val="pt-BR"/>
        </w:rPr>
        <w:t xml:space="preserve"> (Co and Ni) aluminates promoter has been tested for the preferential oxidation of CO in H</w:t>
      </w:r>
      <w:r w:rsidR="00813250" w:rsidRPr="000D7507">
        <w:rPr>
          <w:rFonts w:ascii="Times New Roman" w:hAnsi="Times New Roman"/>
          <w:b w:val="0"/>
          <w:sz w:val="20"/>
          <w:vertAlign w:val="subscript"/>
          <w:lang w:val="pt-BR"/>
        </w:rPr>
        <w:t>2</w:t>
      </w:r>
      <w:r w:rsidR="00813250" w:rsidRPr="00813250">
        <w:rPr>
          <w:rFonts w:ascii="Times New Roman" w:hAnsi="Times New Roman"/>
          <w:b w:val="0"/>
          <w:sz w:val="20"/>
          <w:lang w:val="pt-BR"/>
        </w:rPr>
        <w:t>-rich stream (CO-PROX). Activity and selectivity were superior compared to those of a reference Pt/alumina system, which requires</w:t>
      </w:r>
      <w:r w:rsidR="00813250">
        <w:rPr>
          <w:rFonts w:ascii="Times New Roman" w:hAnsi="Times New Roman"/>
          <w:b w:val="0"/>
          <w:sz w:val="20"/>
          <w:lang w:val="pt-BR"/>
        </w:rPr>
        <w:t xml:space="preserve"> higher temperatures (above 150 </w:t>
      </w:r>
      <w:r w:rsidR="00813250" w:rsidRPr="00813250">
        <w:rPr>
          <w:rFonts w:ascii="Times New Roman" w:hAnsi="Times New Roman"/>
          <w:b w:val="0"/>
          <w:sz w:val="20"/>
          <w:lang w:val="pt-BR"/>
        </w:rPr>
        <w:t>°C) to operate at reasonable rates. For all the modified catalysts, the maximum conversion occurs at 150 °C, a value that is within the acceptable working range for this process. Characterizations results indicate that the presence of aluminates oxides facilitated the electron transfer from Pt to promotes (caused by Pt and MAl</w:t>
      </w:r>
      <w:r w:rsidR="00813250" w:rsidRPr="00813250">
        <w:rPr>
          <w:rFonts w:ascii="Times New Roman" w:hAnsi="Times New Roman"/>
          <w:b w:val="0"/>
          <w:sz w:val="20"/>
          <w:vertAlign w:val="subscript"/>
          <w:lang w:val="pt-BR"/>
        </w:rPr>
        <w:t>2</w:t>
      </w:r>
      <w:r w:rsidR="00813250" w:rsidRPr="00813250">
        <w:rPr>
          <w:rFonts w:ascii="Times New Roman" w:hAnsi="Times New Roman"/>
          <w:b w:val="0"/>
          <w:sz w:val="20"/>
          <w:lang w:val="pt-BR"/>
        </w:rPr>
        <w:t>O</w:t>
      </w:r>
      <w:r w:rsidR="00813250" w:rsidRPr="00813250">
        <w:rPr>
          <w:rFonts w:ascii="Times New Roman" w:hAnsi="Times New Roman"/>
          <w:b w:val="0"/>
          <w:sz w:val="20"/>
          <w:vertAlign w:val="subscript"/>
          <w:lang w:val="pt-BR"/>
        </w:rPr>
        <w:t>4</w:t>
      </w:r>
      <w:r w:rsidR="00813250" w:rsidRPr="00813250">
        <w:rPr>
          <w:rFonts w:ascii="Times New Roman" w:hAnsi="Times New Roman"/>
          <w:b w:val="0"/>
          <w:sz w:val="20"/>
          <w:lang w:val="pt-BR"/>
        </w:rPr>
        <w:t xml:space="preserve"> close contact), resulting in the decrease of CO adsorption strength and the enhancement of low-temperature activity. The modified catalysts followed the dual-site Langmuir-Hinshelwood mechanism with CO preferentially adsorbing at the Pt sites and O2 adsorbing at the aluminates sites. Also, the excellent stability presented by modified catalysts after 30 hours on stream at 200 °C demonstrates theirs high potential for practical CO-PROX applications.</w:t>
      </w:r>
      <w:r>
        <w:rPr>
          <w:rFonts w:ascii="Times New Roman" w:hAnsi="Times New Roman"/>
          <w:b w:val="0"/>
          <w:sz w:val="20"/>
          <w:lang w:val="pt-BR"/>
        </w:rPr>
        <w:t>.</w:t>
      </w:r>
    </w:p>
    <w:p w:rsidR="00EA4E1B" w:rsidRDefault="00EA4E1B" w:rsidP="00EA4E1B">
      <w:pPr>
        <w:pStyle w:val="BDAbstract"/>
        <w:spacing w:before="0" w:after="120" w:line="240" w:lineRule="auto"/>
        <w:rPr>
          <w:rFonts w:ascii="Times New Roman" w:hAnsi="Times New Roman"/>
          <w:b w:val="0"/>
          <w:i/>
          <w:sz w:val="20"/>
          <w:lang w:val="pt-BR"/>
        </w:rPr>
      </w:pPr>
      <w:r w:rsidRPr="00870522">
        <w:rPr>
          <w:rFonts w:ascii="Times New Roman" w:hAnsi="Times New Roman"/>
          <w:b w:val="0"/>
          <w:i/>
          <w:sz w:val="20"/>
          <w:lang w:val="pt-BR"/>
        </w:rPr>
        <w:t xml:space="preserve">Keywords: </w:t>
      </w:r>
      <w:r w:rsidR="005D7D2C" w:rsidRPr="005D7D2C">
        <w:rPr>
          <w:rFonts w:ascii="Times New Roman" w:hAnsi="Times New Roman"/>
          <w:b w:val="0"/>
          <w:i/>
          <w:sz w:val="20"/>
          <w:lang w:val="pt-BR"/>
        </w:rPr>
        <w:t>Aluminates; Nickel; Cobalt; Pt/alumina; CO-PROX reaction</w:t>
      </w:r>
    </w:p>
    <w:bookmarkEnd w:id="1"/>
    <w:p w:rsidR="00EA4E1B" w:rsidRDefault="00EA4E1B" w:rsidP="00EA4E1B">
      <w:pPr>
        <w:sectPr w:rsidR="00EA4E1B" w:rsidSect="00EA4E1B">
          <w:headerReference w:type="default" r:id="rId8"/>
          <w:endnotePr>
            <w:numFmt w:val="decimal"/>
          </w:endnotePr>
          <w:pgSz w:w="11906" w:h="16838"/>
          <w:pgMar w:top="1418" w:right="1094" w:bottom="1418" w:left="567" w:header="709" w:footer="709" w:gutter="0"/>
          <w:cols w:space="708"/>
          <w:docGrid w:linePitch="360"/>
        </w:sectPr>
      </w:pPr>
    </w:p>
    <w:p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lastRenderedPageBreak/>
        <w:t>Introdução</w:t>
      </w:r>
    </w:p>
    <w:p w:rsidR="00813250" w:rsidRDefault="00813250" w:rsidP="00EA4E1B">
      <w:pPr>
        <w:pStyle w:val="TAMainText"/>
        <w:rPr>
          <w:rFonts w:ascii="Times New Roman" w:hAnsi="Times New Roman"/>
          <w:lang w:val="pt-BR"/>
        </w:rPr>
      </w:pPr>
      <w:r w:rsidRPr="00813250">
        <w:rPr>
          <w:rFonts w:ascii="Times New Roman" w:hAnsi="Times New Roman"/>
          <w:lang w:val="pt-BR"/>
        </w:rPr>
        <w:t>A oxidação preferencial de CO por O</w:t>
      </w:r>
      <w:r w:rsidRPr="00B818AB">
        <w:rPr>
          <w:rFonts w:ascii="Times New Roman" w:hAnsi="Times New Roman"/>
          <w:vertAlign w:val="subscript"/>
          <w:lang w:val="pt-BR"/>
        </w:rPr>
        <w:t>2</w:t>
      </w:r>
      <w:r w:rsidRPr="00813250">
        <w:rPr>
          <w:rFonts w:ascii="Times New Roman" w:hAnsi="Times New Roman"/>
          <w:lang w:val="pt-BR"/>
        </w:rPr>
        <w:t xml:space="preserve"> em </w:t>
      </w:r>
      <w:r w:rsidR="00B818AB">
        <w:rPr>
          <w:rFonts w:ascii="Times New Roman" w:hAnsi="Times New Roman"/>
          <w:lang w:val="pt-BR"/>
        </w:rPr>
        <w:t>excesso de H</w:t>
      </w:r>
      <w:r w:rsidR="00B818AB" w:rsidRPr="00B818AB">
        <w:rPr>
          <w:rFonts w:ascii="Times New Roman" w:hAnsi="Times New Roman"/>
          <w:vertAlign w:val="subscript"/>
          <w:lang w:val="pt-BR"/>
        </w:rPr>
        <w:t>2</w:t>
      </w:r>
      <w:r w:rsidR="00B818AB">
        <w:rPr>
          <w:rFonts w:ascii="Times New Roman" w:hAnsi="Times New Roman"/>
          <w:lang w:val="pt-BR"/>
        </w:rPr>
        <w:t xml:space="preserve"> (</w:t>
      </w:r>
      <w:r w:rsidRPr="00813250">
        <w:rPr>
          <w:rFonts w:ascii="Times New Roman" w:hAnsi="Times New Roman"/>
          <w:lang w:val="pt-BR"/>
        </w:rPr>
        <w:t>PROX</w:t>
      </w:r>
      <w:r w:rsidR="00B818AB">
        <w:rPr>
          <w:rFonts w:ascii="Times New Roman" w:hAnsi="Times New Roman"/>
          <w:lang w:val="pt-BR"/>
        </w:rPr>
        <w:t>-CO</w:t>
      </w:r>
      <w:r w:rsidRPr="00813250">
        <w:rPr>
          <w:rFonts w:ascii="Times New Roman" w:hAnsi="Times New Roman"/>
          <w:lang w:val="pt-BR"/>
        </w:rPr>
        <w:t>) tem sido proposta como uma das tecnologias promissoras para remover o CO produzido a partir da reforma a vapor de hidrocarbonetos com o mínimo consumo de H</w:t>
      </w:r>
      <w:r w:rsidRPr="00121B19">
        <w:rPr>
          <w:rFonts w:ascii="Times New Roman" w:hAnsi="Times New Roman"/>
          <w:vertAlign w:val="subscript"/>
          <w:lang w:val="pt-BR"/>
        </w:rPr>
        <w:t>2</w:t>
      </w:r>
      <w:r w:rsidRPr="00813250">
        <w:rPr>
          <w:rFonts w:ascii="Times New Roman" w:hAnsi="Times New Roman"/>
          <w:lang w:val="pt-BR"/>
        </w:rPr>
        <w:t xml:space="preserve"> antes de sua introdução </w:t>
      </w:r>
      <w:r w:rsidR="00121B19">
        <w:rPr>
          <w:rFonts w:ascii="Times New Roman" w:hAnsi="Times New Roman"/>
          <w:lang w:val="pt-BR"/>
        </w:rPr>
        <w:t>em</w:t>
      </w:r>
      <w:r w:rsidRPr="00813250">
        <w:rPr>
          <w:rFonts w:ascii="Times New Roman" w:hAnsi="Times New Roman"/>
          <w:lang w:val="pt-BR"/>
        </w:rPr>
        <w:t xml:space="preserve"> células de combustível </w:t>
      </w:r>
      <w:r w:rsidR="00121B19" w:rsidRPr="00121B19">
        <w:rPr>
          <w:rFonts w:ascii="Times New Roman" w:hAnsi="Times New Roman"/>
          <w:lang w:val="pt-BR"/>
        </w:rPr>
        <w:t xml:space="preserve">de membrana de troca de prótons </w:t>
      </w:r>
      <w:r w:rsidRPr="00813250">
        <w:rPr>
          <w:rFonts w:ascii="Times New Roman" w:hAnsi="Times New Roman"/>
          <w:lang w:val="pt-BR"/>
        </w:rPr>
        <w:t>(PEMFC</w:t>
      </w:r>
      <w:r w:rsidR="002B20CC">
        <w:rPr>
          <w:rFonts w:ascii="Times New Roman" w:hAnsi="Times New Roman"/>
          <w:lang w:val="pt-BR"/>
        </w:rPr>
        <w:t>) [</w:t>
      </w:r>
      <w:r w:rsidR="00FE34B2">
        <w:rPr>
          <w:rFonts w:ascii="Times New Roman" w:hAnsi="Times New Roman"/>
          <w:lang w:val="pt-BR"/>
        </w:rPr>
        <w:t>1</w:t>
      </w:r>
      <w:r w:rsidRPr="00813250">
        <w:rPr>
          <w:rFonts w:ascii="Times New Roman" w:hAnsi="Times New Roman"/>
          <w:lang w:val="pt-BR"/>
        </w:rPr>
        <w:t xml:space="preserve">]. A reação </w:t>
      </w:r>
      <w:r w:rsidR="00B818AB" w:rsidRPr="00813250">
        <w:rPr>
          <w:rFonts w:ascii="Times New Roman" w:hAnsi="Times New Roman"/>
          <w:lang w:val="pt-BR"/>
        </w:rPr>
        <w:t>PROX</w:t>
      </w:r>
      <w:r w:rsidR="00B818AB">
        <w:rPr>
          <w:rFonts w:ascii="Times New Roman" w:hAnsi="Times New Roman"/>
          <w:lang w:val="pt-BR"/>
        </w:rPr>
        <w:t>-CO</w:t>
      </w:r>
      <w:r w:rsidRPr="00813250">
        <w:rPr>
          <w:rFonts w:ascii="Times New Roman" w:hAnsi="Times New Roman"/>
          <w:lang w:val="pt-BR"/>
        </w:rPr>
        <w:t xml:space="preserve"> é uma reação catalítica em fase gasosa </w:t>
      </w:r>
      <w:r w:rsidR="00121B19">
        <w:rPr>
          <w:rFonts w:ascii="Times New Roman" w:hAnsi="Times New Roman"/>
          <w:lang w:val="pt-BR"/>
        </w:rPr>
        <w:t>por meio</w:t>
      </w:r>
      <w:r w:rsidRPr="00813250">
        <w:rPr>
          <w:rFonts w:ascii="Times New Roman" w:hAnsi="Times New Roman"/>
          <w:lang w:val="pt-BR"/>
        </w:rPr>
        <w:t xml:space="preserve"> da qual o CO é transformado em CO</w:t>
      </w:r>
      <w:r w:rsidRPr="00B818AB">
        <w:rPr>
          <w:rFonts w:ascii="Times New Roman" w:hAnsi="Times New Roman"/>
          <w:vertAlign w:val="subscript"/>
          <w:lang w:val="pt-BR"/>
        </w:rPr>
        <w:t>2</w:t>
      </w:r>
      <w:r w:rsidRPr="00813250">
        <w:rPr>
          <w:rFonts w:ascii="Times New Roman" w:hAnsi="Times New Roman"/>
          <w:lang w:val="pt-BR"/>
        </w:rPr>
        <w:t>, produto que não interfere no funcionamento normal d</w:t>
      </w:r>
      <w:r w:rsidR="00121B19">
        <w:rPr>
          <w:rFonts w:ascii="Times New Roman" w:hAnsi="Times New Roman"/>
          <w:lang w:val="pt-BR"/>
        </w:rPr>
        <w:t>a</w:t>
      </w:r>
      <w:r w:rsidRPr="00813250">
        <w:rPr>
          <w:rFonts w:ascii="Times New Roman" w:hAnsi="Times New Roman"/>
          <w:lang w:val="pt-BR"/>
        </w:rPr>
        <w:t xml:space="preserve"> PEMFC. Na reação </w:t>
      </w:r>
      <w:r w:rsidR="00B818AB" w:rsidRPr="00813250">
        <w:rPr>
          <w:rFonts w:ascii="Times New Roman" w:hAnsi="Times New Roman"/>
          <w:lang w:val="pt-BR"/>
        </w:rPr>
        <w:t>PROX</w:t>
      </w:r>
      <w:r w:rsidR="00B818AB">
        <w:rPr>
          <w:rFonts w:ascii="Times New Roman" w:hAnsi="Times New Roman"/>
          <w:lang w:val="pt-BR"/>
        </w:rPr>
        <w:t>-CO</w:t>
      </w:r>
      <w:r w:rsidRPr="00813250">
        <w:rPr>
          <w:rFonts w:ascii="Times New Roman" w:hAnsi="Times New Roman"/>
          <w:lang w:val="pt-BR"/>
        </w:rPr>
        <w:t>, a oxidação de CO (CO</w:t>
      </w:r>
      <w:r w:rsidRPr="00B818AB">
        <w:rPr>
          <w:rFonts w:ascii="Times New Roman" w:hAnsi="Times New Roman"/>
          <w:vertAlign w:val="subscript"/>
          <w:lang w:val="pt-BR"/>
        </w:rPr>
        <w:t>(g)</w:t>
      </w:r>
      <w:r w:rsidRPr="00813250">
        <w:rPr>
          <w:rFonts w:ascii="Times New Roman" w:hAnsi="Times New Roman"/>
          <w:lang w:val="pt-BR"/>
        </w:rPr>
        <w:t xml:space="preserve"> + 0,5O</w:t>
      </w:r>
      <w:r w:rsidRPr="00B818AB">
        <w:rPr>
          <w:rFonts w:ascii="Times New Roman" w:hAnsi="Times New Roman"/>
          <w:vertAlign w:val="subscript"/>
          <w:lang w:val="pt-BR"/>
        </w:rPr>
        <w:t>2(g)</w:t>
      </w:r>
      <w:r w:rsidRPr="00813250">
        <w:rPr>
          <w:rFonts w:ascii="Times New Roman" w:hAnsi="Times New Roman"/>
          <w:lang w:val="pt-BR"/>
        </w:rPr>
        <w:t xml:space="preserve"> → CO</w:t>
      </w:r>
      <w:r w:rsidRPr="00B818AB">
        <w:rPr>
          <w:rFonts w:ascii="Times New Roman" w:hAnsi="Times New Roman"/>
          <w:vertAlign w:val="subscript"/>
          <w:lang w:val="pt-BR"/>
        </w:rPr>
        <w:t>2(g)</w:t>
      </w:r>
      <w:r w:rsidRPr="00813250">
        <w:rPr>
          <w:rFonts w:ascii="Times New Roman" w:hAnsi="Times New Roman"/>
          <w:lang w:val="pt-BR"/>
        </w:rPr>
        <w:t>; ΔH</w:t>
      </w:r>
      <w:r w:rsidRPr="00B818AB">
        <w:rPr>
          <w:rFonts w:ascii="Times New Roman" w:hAnsi="Times New Roman"/>
          <w:vertAlign w:val="subscript"/>
          <w:lang w:val="pt-BR"/>
        </w:rPr>
        <w:t>298K</w:t>
      </w:r>
      <w:r w:rsidRPr="00813250">
        <w:rPr>
          <w:rFonts w:ascii="Times New Roman" w:hAnsi="Times New Roman"/>
          <w:lang w:val="pt-BR"/>
        </w:rPr>
        <w:t>= -283 kJ/mol) é a reação alvo, enquanto a oxidação de H</w:t>
      </w:r>
      <w:r w:rsidRPr="00B818AB">
        <w:rPr>
          <w:rFonts w:ascii="Times New Roman" w:hAnsi="Times New Roman"/>
          <w:vertAlign w:val="subscript"/>
          <w:lang w:val="pt-BR"/>
        </w:rPr>
        <w:t>2</w:t>
      </w:r>
      <w:r w:rsidRPr="00813250">
        <w:rPr>
          <w:rFonts w:ascii="Times New Roman" w:hAnsi="Times New Roman"/>
          <w:lang w:val="pt-BR"/>
        </w:rPr>
        <w:t xml:space="preserve"> ( H</w:t>
      </w:r>
      <w:r w:rsidRPr="00B818AB">
        <w:rPr>
          <w:rFonts w:ascii="Times New Roman" w:hAnsi="Times New Roman"/>
          <w:vertAlign w:val="subscript"/>
          <w:lang w:val="pt-BR"/>
        </w:rPr>
        <w:t>2(g)</w:t>
      </w:r>
      <w:r w:rsidRPr="00813250">
        <w:rPr>
          <w:rFonts w:ascii="Times New Roman" w:hAnsi="Times New Roman"/>
          <w:lang w:val="pt-BR"/>
        </w:rPr>
        <w:t xml:space="preserve"> + 0,5O</w:t>
      </w:r>
      <w:r w:rsidRPr="00B818AB">
        <w:rPr>
          <w:rFonts w:ascii="Times New Roman" w:hAnsi="Times New Roman"/>
          <w:vertAlign w:val="subscript"/>
          <w:lang w:val="pt-BR"/>
        </w:rPr>
        <w:t>2(g)</w:t>
      </w:r>
      <w:r w:rsidRPr="00813250">
        <w:rPr>
          <w:rFonts w:ascii="Times New Roman" w:hAnsi="Times New Roman"/>
          <w:lang w:val="pt-BR"/>
        </w:rPr>
        <w:t xml:space="preserve"> → H</w:t>
      </w:r>
      <w:r w:rsidRPr="00B818AB">
        <w:rPr>
          <w:rFonts w:ascii="Times New Roman" w:hAnsi="Times New Roman"/>
          <w:vertAlign w:val="subscript"/>
          <w:lang w:val="pt-BR"/>
        </w:rPr>
        <w:t>2</w:t>
      </w:r>
      <w:r w:rsidRPr="00813250">
        <w:rPr>
          <w:rFonts w:ascii="Times New Roman" w:hAnsi="Times New Roman"/>
          <w:lang w:val="pt-BR"/>
        </w:rPr>
        <w:t>O</w:t>
      </w:r>
      <w:r w:rsidRPr="00B818AB">
        <w:rPr>
          <w:rFonts w:ascii="Times New Roman" w:hAnsi="Times New Roman"/>
          <w:vertAlign w:val="subscript"/>
          <w:lang w:val="pt-BR"/>
        </w:rPr>
        <w:t>(v)</w:t>
      </w:r>
      <w:r w:rsidRPr="00813250">
        <w:rPr>
          <w:rFonts w:ascii="Times New Roman" w:hAnsi="Times New Roman"/>
          <w:lang w:val="pt-BR"/>
        </w:rPr>
        <w:t>; ΔH</w:t>
      </w:r>
      <w:r w:rsidRPr="00B818AB">
        <w:rPr>
          <w:rFonts w:ascii="Times New Roman" w:hAnsi="Times New Roman"/>
          <w:vertAlign w:val="subscript"/>
          <w:lang w:val="pt-BR"/>
        </w:rPr>
        <w:t>298K</w:t>
      </w:r>
      <w:r w:rsidRPr="00813250">
        <w:rPr>
          <w:rFonts w:ascii="Times New Roman" w:hAnsi="Times New Roman"/>
          <w:lang w:val="pt-BR"/>
        </w:rPr>
        <w:t>= -242 kJ/mol) é uma reação secundár</w:t>
      </w:r>
      <w:r w:rsidR="002B20CC">
        <w:rPr>
          <w:rFonts w:ascii="Times New Roman" w:hAnsi="Times New Roman"/>
          <w:lang w:val="pt-BR"/>
        </w:rPr>
        <w:t>ia que deve ser minimizada [</w:t>
      </w:r>
      <w:r w:rsidR="00FE34B2">
        <w:rPr>
          <w:rFonts w:ascii="Times New Roman" w:hAnsi="Times New Roman"/>
          <w:lang w:val="pt-BR"/>
        </w:rPr>
        <w:t>2</w:t>
      </w:r>
      <w:r w:rsidRPr="00813250">
        <w:rPr>
          <w:rFonts w:ascii="Times New Roman" w:hAnsi="Times New Roman"/>
          <w:lang w:val="pt-BR"/>
        </w:rPr>
        <w:t xml:space="preserve">]. De fato, em altas temperaturas, podem </w:t>
      </w:r>
      <w:r w:rsidRPr="00813250">
        <w:rPr>
          <w:rFonts w:ascii="Times New Roman" w:hAnsi="Times New Roman"/>
          <w:lang w:val="pt-BR"/>
        </w:rPr>
        <w:lastRenderedPageBreak/>
        <w:t xml:space="preserve">ocorrer outras reações indesejadas, como a reação reversa de deslocamento gás-água e metanação de CO. Essas reações devem ser evitadas porque consomem </w:t>
      </w:r>
      <w:r w:rsidR="00121B19">
        <w:rPr>
          <w:rFonts w:ascii="Times New Roman" w:hAnsi="Times New Roman"/>
          <w:lang w:val="pt-BR"/>
        </w:rPr>
        <w:t>um e três mol</w:t>
      </w:r>
      <w:r w:rsidRPr="00813250">
        <w:rPr>
          <w:rFonts w:ascii="Times New Roman" w:hAnsi="Times New Roman"/>
          <w:lang w:val="pt-BR"/>
        </w:rPr>
        <w:t>s de H</w:t>
      </w:r>
      <w:r w:rsidRPr="00B818AB">
        <w:rPr>
          <w:rFonts w:ascii="Times New Roman" w:hAnsi="Times New Roman"/>
          <w:vertAlign w:val="subscript"/>
          <w:lang w:val="pt-BR"/>
        </w:rPr>
        <w:t>2</w:t>
      </w:r>
      <w:r w:rsidRPr="00813250">
        <w:rPr>
          <w:rFonts w:ascii="Times New Roman" w:hAnsi="Times New Roman"/>
          <w:lang w:val="pt-BR"/>
        </w:rPr>
        <w:t xml:space="preserve"> por mol de CO, respectivamente, envolvendo uma perda significativa de H</w:t>
      </w:r>
      <w:r w:rsidRPr="00B818AB">
        <w:rPr>
          <w:rFonts w:ascii="Times New Roman" w:hAnsi="Times New Roman"/>
          <w:vertAlign w:val="subscript"/>
          <w:lang w:val="pt-BR"/>
        </w:rPr>
        <w:t>2</w:t>
      </w:r>
      <w:r w:rsidR="000D7507">
        <w:rPr>
          <w:rFonts w:ascii="Times New Roman" w:hAnsi="Times New Roman"/>
          <w:lang w:val="pt-BR"/>
        </w:rPr>
        <w:t xml:space="preserve"> [</w:t>
      </w:r>
      <w:r w:rsidR="00FE34B2">
        <w:rPr>
          <w:rFonts w:ascii="Times New Roman" w:hAnsi="Times New Roman"/>
          <w:lang w:val="pt-BR"/>
        </w:rPr>
        <w:t>3</w:t>
      </w:r>
      <w:r w:rsidR="000D7507">
        <w:rPr>
          <w:rFonts w:ascii="Times New Roman" w:hAnsi="Times New Roman"/>
          <w:lang w:val="pt-BR"/>
        </w:rPr>
        <w:t>]. Outro aspecto</w:t>
      </w:r>
      <w:r w:rsidRPr="00813250">
        <w:rPr>
          <w:rFonts w:ascii="Times New Roman" w:hAnsi="Times New Roman"/>
          <w:lang w:val="pt-BR"/>
        </w:rPr>
        <w:t xml:space="preserve"> q</w:t>
      </w:r>
      <w:r w:rsidR="000D7507">
        <w:rPr>
          <w:rFonts w:ascii="Times New Roman" w:hAnsi="Times New Roman"/>
          <w:lang w:val="pt-BR"/>
        </w:rPr>
        <w:t>ue também devem ser considerado</w:t>
      </w:r>
      <w:r w:rsidRPr="00813250">
        <w:rPr>
          <w:rFonts w:ascii="Times New Roman" w:hAnsi="Times New Roman"/>
          <w:lang w:val="pt-BR"/>
        </w:rPr>
        <w:t xml:space="preserve"> para aplicação prática </w:t>
      </w:r>
      <w:r w:rsidR="000D7507">
        <w:rPr>
          <w:rFonts w:ascii="Times New Roman" w:hAnsi="Times New Roman"/>
          <w:lang w:val="pt-BR"/>
        </w:rPr>
        <w:t xml:space="preserve">é sua </w:t>
      </w:r>
      <w:r w:rsidRPr="00813250">
        <w:rPr>
          <w:rFonts w:ascii="Times New Roman" w:hAnsi="Times New Roman"/>
          <w:lang w:val="pt-BR"/>
        </w:rPr>
        <w:t>resistência à desativação, principalmente para os estudos envolvidos em industrializações.</w:t>
      </w:r>
    </w:p>
    <w:p w:rsidR="00813250" w:rsidRPr="00813250" w:rsidRDefault="00813250" w:rsidP="00813250">
      <w:pPr>
        <w:pStyle w:val="TAMainText"/>
        <w:rPr>
          <w:rFonts w:ascii="Times New Roman" w:hAnsi="Times New Roman"/>
          <w:lang w:val="pt-BR"/>
        </w:rPr>
      </w:pPr>
      <w:r w:rsidRPr="00813250">
        <w:rPr>
          <w:rFonts w:ascii="Times New Roman" w:hAnsi="Times New Roman"/>
          <w:lang w:val="pt-BR"/>
        </w:rPr>
        <w:t xml:space="preserve">A eficiência de um catalisador </w:t>
      </w:r>
      <w:r w:rsidR="00B818AB" w:rsidRPr="00813250">
        <w:rPr>
          <w:rFonts w:ascii="Times New Roman" w:hAnsi="Times New Roman"/>
          <w:lang w:val="pt-BR"/>
        </w:rPr>
        <w:t>PROX</w:t>
      </w:r>
      <w:r w:rsidR="00B818AB">
        <w:rPr>
          <w:rFonts w:ascii="Times New Roman" w:hAnsi="Times New Roman"/>
          <w:lang w:val="pt-BR"/>
        </w:rPr>
        <w:t>-CO</w:t>
      </w:r>
      <w:r w:rsidR="00B818AB" w:rsidRPr="00813250">
        <w:rPr>
          <w:rFonts w:ascii="Times New Roman" w:hAnsi="Times New Roman"/>
          <w:lang w:val="pt-BR"/>
        </w:rPr>
        <w:t xml:space="preserve"> </w:t>
      </w:r>
      <w:r w:rsidRPr="00813250">
        <w:rPr>
          <w:rFonts w:ascii="Times New Roman" w:hAnsi="Times New Roman"/>
          <w:lang w:val="pt-BR"/>
        </w:rPr>
        <w:t>depende de sua oxidação seletiva de CO, ao mesmo tempo em que inibe a reação indesejada de oxidação de hidrogênio mencionada acima, e de sua resistência à desativação. Os catalisadores de Pt/alumina representam os principais componentes do catalis</w:t>
      </w:r>
      <w:r w:rsidR="00B818AB">
        <w:rPr>
          <w:rFonts w:ascii="Times New Roman" w:hAnsi="Times New Roman"/>
          <w:lang w:val="pt-BR"/>
        </w:rPr>
        <w:t xml:space="preserve">ador comercial para a reação </w:t>
      </w:r>
      <w:r w:rsidRPr="00813250">
        <w:rPr>
          <w:rFonts w:ascii="Times New Roman" w:hAnsi="Times New Roman"/>
          <w:lang w:val="pt-BR"/>
        </w:rPr>
        <w:t>PROX</w:t>
      </w:r>
      <w:r w:rsidR="00B818AB">
        <w:rPr>
          <w:rFonts w:ascii="Times New Roman" w:hAnsi="Times New Roman"/>
          <w:lang w:val="pt-BR"/>
        </w:rPr>
        <w:t>-CO</w:t>
      </w:r>
      <w:r w:rsidRPr="00813250">
        <w:rPr>
          <w:rFonts w:ascii="Times New Roman" w:hAnsi="Times New Roman"/>
          <w:lang w:val="pt-BR"/>
        </w:rPr>
        <w:t xml:space="preserve">, como foi relatado pela primeira vez para tal </w:t>
      </w:r>
      <w:r w:rsidRPr="00813250">
        <w:rPr>
          <w:rFonts w:ascii="Times New Roman" w:hAnsi="Times New Roman"/>
          <w:lang w:val="pt-BR"/>
        </w:rPr>
        <w:lastRenderedPageBreak/>
        <w:t>reação para purificar o hidrogênio usado na síntese</w:t>
      </w:r>
      <w:r w:rsidR="002B20CC">
        <w:rPr>
          <w:rFonts w:ascii="Times New Roman" w:hAnsi="Times New Roman"/>
          <w:lang w:val="pt-BR"/>
        </w:rPr>
        <w:t xml:space="preserve"> de amônia [</w:t>
      </w:r>
      <w:r w:rsidR="00FE34B2">
        <w:rPr>
          <w:rFonts w:ascii="Times New Roman" w:hAnsi="Times New Roman"/>
          <w:lang w:val="pt-BR"/>
        </w:rPr>
        <w:t>4</w:t>
      </w:r>
      <w:r w:rsidR="00827C6B">
        <w:rPr>
          <w:rFonts w:ascii="Times New Roman" w:hAnsi="Times New Roman"/>
          <w:lang w:val="pt-BR"/>
        </w:rPr>
        <w:t>]. Atualmente</w:t>
      </w:r>
      <w:r w:rsidRPr="00813250">
        <w:rPr>
          <w:rFonts w:ascii="Times New Roman" w:hAnsi="Times New Roman"/>
          <w:lang w:val="pt-BR"/>
        </w:rPr>
        <w:t xml:space="preserve"> é bem conhecido que a oxidação de CO em catalisadores de Pt/alumina segue um mecanismo de Langmuir-Hinshelwood competitivo de sítio único, onde CO e O</w:t>
      </w:r>
      <w:r w:rsidRPr="00B818AB">
        <w:rPr>
          <w:rFonts w:ascii="Times New Roman" w:hAnsi="Times New Roman"/>
          <w:vertAlign w:val="subscript"/>
          <w:lang w:val="pt-BR"/>
        </w:rPr>
        <w:t>2</w:t>
      </w:r>
      <w:r w:rsidRPr="00813250">
        <w:rPr>
          <w:rFonts w:ascii="Times New Roman" w:hAnsi="Times New Roman"/>
          <w:lang w:val="pt-BR"/>
        </w:rPr>
        <w:t xml:space="preserve"> adsorvem competitivamente nos sítios livres de Pt [</w:t>
      </w:r>
      <w:r w:rsidR="00FE34B2">
        <w:rPr>
          <w:rFonts w:ascii="Times New Roman" w:hAnsi="Times New Roman"/>
          <w:lang w:val="pt-BR"/>
        </w:rPr>
        <w:t>5</w:t>
      </w:r>
      <w:r w:rsidRPr="00813250">
        <w:rPr>
          <w:rFonts w:ascii="Times New Roman" w:hAnsi="Times New Roman"/>
          <w:lang w:val="pt-BR"/>
        </w:rPr>
        <w:t>]. No entanto, como o calor de adsorção na superfície da Pt é muito maior para CO do que para O</w:t>
      </w:r>
      <w:r w:rsidRPr="00B818AB">
        <w:rPr>
          <w:rFonts w:ascii="Times New Roman" w:hAnsi="Times New Roman"/>
          <w:vertAlign w:val="subscript"/>
          <w:lang w:val="pt-BR"/>
        </w:rPr>
        <w:t>2</w:t>
      </w:r>
      <w:r w:rsidRPr="00813250">
        <w:rPr>
          <w:rFonts w:ascii="Times New Roman" w:hAnsi="Times New Roman"/>
          <w:lang w:val="pt-BR"/>
        </w:rPr>
        <w:t>, a superfície é predominantemente coberta por CO em pressões ambientes e baixas temperaturas, bloqueando assim a adsorção dissociativa de O</w:t>
      </w:r>
      <w:r w:rsidRPr="00B818AB">
        <w:rPr>
          <w:rFonts w:ascii="Times New Roman" w:hAnsi="Times New Roman"/>
          <w:vertAlign w:val="subscript"/>
          <w:lang w:val="pt-BR"/>
        </w:rPr>
        <w:t>2</w:t>
      </w:r>
      <w:r w:rsidRPr="00813250">
        <w:rPr>
          <w:rFonts w:ascii="Times New Roman" w:hAnsi="Times New Roman"/>
          <w:lang w:val="pt-BR"/>
        </w:rPr>
        <w:t xml:space="preserve"> [</w:t>
      </w:r>
      <w:r w:rsidR="00FE34B2">
        <w:rPr>
          <w:rFonts w:ascii="Times New Roman" w:hAnsi="Times New Roman"/>
          <w:lang w:val="pt-BR"/>
        </w:rPr>
        <w:t>6</w:t>
      </w:r>
      <w:r w:rsidRPr="00813250">
        <w:rPr>
          <w:rFonts w:ascii="Times New Roman" w:hAnsi="Times New Roman"/>
          <w:lang w:val="pt-BR"/>
        </w:rPr>
        <w:t>]. Consequentemente, a reação de oxidação deve ocorrer acima da temperatura de dessorção do CO</w:t>
      </w:r>
      <w:r w:rsidRPr="00F80A06">
        <w:rPr>
          <w:rFonts w:ascii="Times New Roman" w:hAnsi="Times New Roman"/>
          <w:lang w:val="pt-BR"/>
        </w:rPr>
        <w:t xml:space="preserve">, e a temperatura </w:t>
      </w:r>
      <w:r w:rsidR="00DB5F97" w:rsidRPr="00F80A06">
        <w:rPr>
          <w:rFonts w:ascii="Times New Roman" w:hAnsi="Times New Roman"/>
          <w:lang w:val="pt-BR"/>
        </w:rPr>
        <w:t>na qual a</w:t>
      </w:r>
      <w:r w:rsidRPr="00F80A06">
        <w:rPr>
          <w:rFonts w:ascii="Times New Roman" w:hAnsi="Times New Roman"/>
          <w:lang w:val="pt-BR"/>
        </w:rPr>
        <w:t xml:space="preserve"> conversão</w:t>
      </w:r>
      <w:r w:rsidR="00DB5F97" w:rsidRPr="00F80A06">
        <w:rPr>
          <w:rFonts w:ascii="Times New Roman" w:hAnsi="Times New Roman"/>
          <w:lang w:val="pt-BR"/>
        </w:rPr>
        <w:t xml:space="preserve"> é de 100%</w:t>
      </w:r>
      <w:r w:rsidRPr="00F80A06">
        <w:rPr>
          <w:rFonts w:ascii="Times New Roman" w:hAnsi="Times New Roman"/>
          <w:lang w:val="pt-BR"/>
        </w:rPr>
        <w:t xml:space="preserve"> é gera</w:t>
      </w:r>
      <w:r w:rsidR="00DB5F97" w:rsidRPr="00F80A06">
        <w:rPr>
          <w:rFonts w:ascii="Times New Roman" w:hAnsi="Times New Roman"/>
          <w:lang w:val="pt-BR"/>
        </w:rPr>
        <w:t>lmente superior a 150 </w:t>
      </w:r>
      <w:r w:rsidR="002B20CC" w:rsidRPr="00F80A06">
        <w:rPr>
          <w:rFonts w:ascii="Times New Roman" w:hAnsi="Times New Roman"/>
          <w:lang w:val="pt-BR"/>
        </w:rPr>
        <w:t>°C [</w:t>
      </w:r>
      <w:r w:rsidR="00FE34B2" w:rsidRPr="00F80A06">
        <w:rPr>
          <w:rFonts w:ascii="Times New Roman" w:hAnsi="Times New Roman"/>
          <w:lang w:val="pt-BR"/>
        </w:rPr>
        <w:t>7</w:t>
      </w:r>
      <w:r w:rsidRPr="00F80A06">
        <w:rPr>
          <w:rFonts w:ascii="Times New Roman" w:hAnsi="Times New Roman"/>
          <w:lang w:val="pt-BR"/>
        </w:rPr>
        <w:t>].</w:t>
      </w:r>
    </w:p>
    <w:p w:rsidR="00813250" w:rsidRDefault="00813250" w:rsidP="00813250">
      <w:pPr>
        <w:pStyle w:val="TAMainText"/>
        <w:rPr>
          <w:rFonts w:ascii="Times New Roman" w:hAnsi="Times New Roman"/>
          <w:lang w:val="pt-BR"/>
        </w:rPr>
      </w:pPr>
      <w:r w:rsidRPr="00813250">
        <w:rPr>
          <w:rFonts w:ascii="Times New Roman" w:hAnsi="Times New Roman"/>
          <w:lang w:val="pt-BR"/>
        </w:rPr>
        <w:t>A fim de melhorar os catalisadores de Pt/Al</w:t>
      </w:r>
      <w:r w:rsidRPr="00B818AB">
        <w:rPr>
          <w:rFonts w:ascii="Times New Roman" w:hAnsi="Times New Roman"/>
          <w:vertAlign w:val="subscript"/>
          <w:lang w:val="pt-BR"/>
        </w:rPr>
        <w:t>2</w:t>
      </w:r>
      <w:r w:rsidRPr="00813250">
        <w:rPr>
          <w:rFonts w:ascii="Times New Roman" w:hAnsi="Times New Roman"/>
          <w:lang w:val="pt-BR"/>
        </w:rPr>
        <w:t>O</w:t>
      </w:r>
      <w:r w:rsidRPr="00B818AB">
        <w:rPr>
          <w:rFonts w:ascii="Times New Roman" w:hAnsi="Times New Roman"/>
          <w:vertAlign w:val="subscript"/>
          <w:lang w:val="pt-BR"/>
        </w:rPr>
        <w:t>3</w:t>
      </w:r>
      <w:r w:rsidRPr="00813250">
        <w:rPr>
          <w:rFonts w:ascii="Times New Roman" w:hAnsi="Times New Roman"/>
          <w:lang w:val="pt-BR"/>
        </w:rPr>
        <w:t xml:space="preserve"> para oxidação de CO em baixas temperaturas, estratégias necessárias devem ser adotadas para enfraquecer a adsorção de CO e aumentar a adsorção de O</w:t>
      </w:r>
      <w:r w:rsidRPr="00B818AB">
        <w:rPr>
          <w:rFonts w:ascii="Times New Roman" w:hAnsi="Times New Roman"/>
          <w:vertAlign w:val="subscript"/>
          <w:lang w:val="pt-BR"/>
        </w:rPr>
        <w:t>2</w:t>
      </w:r>
      <w:r w:rsidRPr="00813250">
        <w:rPr>
          <w:rFonts w:ascii="Times New Roman" w:hAnsi="Times New Roman"/>
          <w:lang w:val="pt-BR"/>
        </w:rPr>
        <w:t xml:space="preserve">, que é essencial para a oxidação de CO em baixa temperatura. Nesse sentido, um catalisador de Pt promovido com um óxido metálico </w:t>
      </w:r>
      <w:r w:rsidRPr="00F80A06">
        <w:rPr>
          <w:rFonts w:ascii="Times New Roman" w:hAnsi="Times New Roman"/>
          <w:lang w:val="pt-BR"/>
        </w:rPr>
        <w:t xml:space="preserve">mostra-se </w:t>
      </w:r>
      <w:r w:rsidR="00DB5F97" w:rsidRPr="00F80A06">
        <w:rPr>
          <w:rFonts w:ascii="Times New Roman" w:hAnsi="Times New Roman"/>
          <w:lang w:val="pt-BR"/>
        </w:rPr>
        <w:t>mais ativo (conversão de CO)</w:t>
      </w:r>
      <w:r w:rsidRPr="00F80A06">
        <w:rPr>
          <w:rFonts w:ascii="Times New Roman" w:hAnsi="Times New Roman"/>
          <w:lang w:val="pt-BR"/>
        </w:rPr>
        <w:t xml:space="preserve"> e seletiv</w:t>
      </w:r>
      <w:r w:rsidR="00DB5F97" w:rsidRPr="00F80A06">
        <w:rPr>
          <w:rFonts w:ascii="Times New Roman" w:hAnsi="Times New Roman"/>
          <w:lang w:val="pt-BR"/>
        </w:rPr>
        <w:t>o (seletividade a CO</w:t>
      </w:r>
      <w:r w:rsidR="00DB5F97" w:rsidRPr="00F80A06">
        <w:rPr>
          <w:rFonts w:ascii="Times New Roman" w:hAnsi="Times New Roman"/>
          <w:vertAlign w:val="subscript"/>
          <w:lang w:val="pt-BR"/>
        </w:rPr>
        <w:t>2</w:t>
      </w:r>
      <w:r w:rsidR="00DB5F97" w:rsidRPr="00F80A06">
        <w:rPr>
          <w:rFonts w:ascii="Times New Roman" w:hAnsi="Times New Roman"/>
          <w:lang w:val="pt-BR"/>
        </w:rPr>
        <w:t>)</w:t>
      </w:r>
      <w:r w:rsidRPr="00F80A06">
        <w:rPr>
          <w:rFonts w:ascii="Times New Roman" w:hAnsi="Times New Roman"/>
          <w:lang w:val="pt-BR"/>
        </w:rPr>
        <w:t xml:space="preserve"> </w:t>
      </w:r>
      <w:r w:rsidR="00DB5F97" w:rsidRPr="00F80A06">
        <w:rPr>
          <w:rFonts w:ascii="Times New Roman" w:hAnsi="Times New Roman"/>
          <w:lang w:val="pt-BR"/>
        </w:rPr>
        <w:t xml:space="preserve">em comparação com o monometálico </w:t>
      </w:r>
      <w:r w:rsidR="00F80A06" w:rsidRPr="00F80A06">
        <w:rPr>
          <w:rFonts w:ascii="Times New Roman" w:hAnsi="Times New Roman"/>
          <w:lang w:val="pt-BR"/>
        </w:rPr>
        <w:t xml:space="preserve">contendo apenas platina </w:t>
      </w:r>
      <w:r w:rsidR="00DB5F97" w:rsidRPr="00F80A06">
        <w:rPr>
          <w:rFonts w:ascii="Times New Roman" w:hAnsi="Times New Roman"/>
          <w:lang w:val="pt-BR"/>
        </w:rPr>
        <w:t>(Pt/</w:t>
      </w:r>
      <w:r w:rsidR="00DB5F97">
        <w:rPr>
          <w:rFonts w:ascii="Times New Roman" w:hAnsi="Times New Roman"/>
          <w:lang w:val="pt-BR"/>
        </w:rPr>
        <w:t>Al</w:t>
      </w:r>
      <w:r w:rsidR="00DB5F97" w:rsidRPr="00F80A06">
        <w:rPr>
          <w:rFonts w:ascii="Times New Roman" w:hAnsi="Times New Roman"/>
          <w:vertAlign w:val="subscript"/>
          <w:lang w:val="pt-BR"/>
        </w:rPr>
        <w:t>2</w:t>
      </w:r>
      <w:r w:rsidR="00DB5F97">
        <w:rPr>
          <w:rFonts w:ascii="Times New Roman" w:hAnsi="Times New Roman"/>
          <w:lang w:val="pt-BR"/>
        </w:rPr>
        <w:t>O</w:t>
      </w:r>
      <w:r w:rsidR="00DB5F97" w:rsidRPr="00F80A06">
        <w:rPr>
          <w:rFonts w:ascii="Times New Roman" w:hAnsi="Times New Roman"/>
          <w:vertAlign w:val="subscript"/>
          <w:lang w:val="pt-BR"/>
        </w:rPr>
        <w:t>3</w:t>
      </w:r>
      <w:r w:rsidR="00DB5F97">
        <w:rPr>
          <w:rFonts w:ascii="Times New Roman" w:hAnsi="Times New Roman"/>
          <w:lang w:val="pt-BR"/>
        </w:rPr>
        <w:t>)</w:t>
      </w:r>
      <w:r w:rsidRPr="00813250">
        <w:rPr>
          <w:rFonts w:ascii="Times New Roman" w:hAnsi="Times New Roman"/>
          <w:lang w:val="pt-BR"/>
        </w:rPr>
        <w:t xml:space="preserve"> [</w:t>
      </w:r>
      <w:r w:rsidR="00FE34B2">
        <w:rPr>
          <w:rFonts w:ascii="Times New Roman" w:hAnsi="Times New Roman"/>
          <w:lang w:val="pt-BR"/>
        </w:rPr>
        <w:t>2</w:t>
      </w:r>
      <w:r w:rsidRPr="00813250">
        <w:rPr>
          <w:rFonts w:ascii="Times New Roman" w:hAnsi="Times New Roman"/>
          <w:lang w:val="pt-BR"/>
        </w:rPr>
        <w:t xml:space="preserve">]. </w:t>
      </w:r>
      <w:r w:rsidR="00A71993">
        <w:rPr>
          <w:rFonts w:ascii="Times New Roman" w:hAnsi="Times New Roman"/>
          <w:lang w:val="pt-BR"/>
        </w:rPr>
        <w:t>Seu aumento de atividade</w:t>
      </w:r>
      <w:r w:rsidRPr="00813250">
        <w:rPr>
          <w:rFonts w:ascii="Times New Roman" w:hAnsi="Times New Roman"/>
          <w:lang w:val="pt-BR"/>
        </w:rPr>
        <w:t xml:space="preserve"> é dev</w:t>
      </w:r>
      <w:r w:rsidR="00A71993">
        <w:rPr>
          <w:rFonts w:ascii="Times New Roman" w:hAnsi="Times New Roman"/>
          <w:lang w:val="pt-BR"/>
        </w:rPr>
        <w:t>ido</w:t>
      </w:r>
      <w:r w:rsidRPr="00813250">
        <w:rPr>
          <w:rFonts w:ascii="Times New Roman" w:hAnsi="Times New Roman"/>
          <w:lang w:val="pt-BR"/>
        </w:rPr>
        <w:t xml:space="preserve"> à presença de um promotor de óxido metálico, que fornece um local adicional para adsorção dissociativa de O</w:t>
      </w:r>
      <w:r w:rsidRPr="00121B19">
        <w:rPr>
          <w:rFonts w:ascii="Times New Roman" w:hAnsi="Times New Roman"/>
          <w:vertAlign w:val="subscript"/>
          <w:lang w:val="pt-BR"/>
        </w:rPr>
        <w:t>2</w:t>
      </w:r>
      <w:r w:rsidRPr="00813250">
        <w:rPr>
          <w:rFonts w:ascii="Times New Roman" w:hAnsi="Times New Roman"/>
          <w:lang w:val="pt-BR"/>
        </w:rPr>
        <w:t xml:space="preserve"> e, portanto, elimina a inibição normal observada na oxidação de CO em catalisadores de Pt [</w:t>
      </w:r>
      <w:r w:rsidR="00FE34B2">
        <w:rPr>
          <w:rFonts w:ascii="Times New Roman" w:hAnsi="Times New Roman"/>
          <w:lang w:val="pt-BR"/>
        </w:rPr>
        <w:t>8</w:t>
      </w:r>
      <w:r w:rsidRPr="00813250">
        <w:rPr>
          <w:rFonts w:ascii="Times New Roman" w:hAnsi="Times New Roman"/>
          <w:lang w:val="pt-BR"/>
        </w:rPr>
        <w:t>]. A presença de MO</w:t>
      </w:r>
      <w:r w:rsidRPr="00B818AB">
        <w:rPr>
          <w:rFonts w:ascii="Times New Roman" w:hAnsi="Times New Roman"/>
          <w:vertAlign w:val="subscript"/>
          <w:lang w:val="pt-BR"/>
        </w:rPr>
        <w:t>x</w:t>
      </w:r>
      <w:r w:rsidRPr="00813250">
        <w:rPr>
          <w:rFonts w:ascii="Times New Roman" w:hAnsi="Times New Roman"/>
          <w:lang w:val="pt-BR"/>
        </w:rPr>
        <w:t xml:space="preserve"> não apenas fornece oxigênio reativo, mas também enfraquece a adsorção de CO nos sítios de metais nobres devido à forte interação entre os metais nobres e o MO</w:t>
      </w:r>
      <w:r w:rsidRPr="00B818AB">
        <w:rPr>
          <w:rFonts w:ascii="Times New Roman" w:hAnsi="Times New Roman"/>
          <w:vertAlign w:val="subscript"/>
          <w:lang w:val="pt-BR"/>
        </w:rPr>
        <w:t>x</w:t>
      </w:r>
      <w:r w:rsidRPr="00813250">
        <w:rPr>
          <w:rFonts w:ascii="Times New Roman" w:hAnsi="Times New Roman"/>
          <w:lang w:val="pt-BR"/>
        </w:rPr>
        <w:t xml:space="preserve"> e, assim, aumenta a atividade de oxidação d</w:t>
      </w:r>
      <w:r w:rsidR="002B20CC">
        <w:rPr>
          <w:rFonts w:ascii="Times New Roman" w:hAnsi="Times New Roman"/>
          <w:lang w:val="pt-BR"/>
        </w:rPr>
        <w:t>e CO em baixa temperatura [</w:t>
      </w:r>
      <w:r w:rsidR="00FE34B2">
        <w:rPr>
          <w:rFonts w:ascii="Times New Roman" w:hAnsi="Times New Roman"/>
          <w:lang w:val="pt-BR"/>
        </w:rPr>
        <w:t>3</w:t>
      </w:r>
      <w:r w:rsidRPr="00813250">
        <w:rPr>
          <w:rFonts w:ascii="Times New Roman" w:hAnsi="Times New Roman"/>
          <w:lang w:val="pt-BR"/>
        </w:rPr>
        <w:t xml:space="preserve">]. Além disso, diferentemente dos sistemas monometálicos </w:t>
      </w:r>
      <w:r w:rsidR="00A71993">
        <w:rPr>
          <w:rFonts w:ascii="Times New Roman" w:hAnsi="Times New Roman"/>
          <w:lang w:val="pt-BR"/>
        </w:rPr>
        <w:t>(</w:t>
      </w:r>
      <w:r w:rsidRPr="00813250">
        <w:rPr>
          <w:rFonts w:ascii="Times New Roman" w:hAnsi="Times New Roman"/>
          <w:lang w:val="pt-BR"/>
        </w:rPr>
        <w:t>Pt/Al</w:t>
      </w:r>
      <w:r w:rsidRPr="00B818AB">
        <w:rPr>
          <w:rFonts w:ascii="Times New Roman" w:hAnsi="Times New Roman"/>
          <w:vertAlign w:val="subscript"/>
          <w:lang w:val="pt-BR"/>
        </w:rPr>
        <w:t>2</w:t>
      </w:r>
      <w:r w:rsidRPr="00813250">
        <w:rPr>
          <w:rFonts w:ascii="Times New Roman" w:hAnsi="Times New Roman"/>
          <w:lang w:val="pt-BR"/>
        </w:rPr>
        <w:t>O</w:t>
      </w:r>
      <w:r w:rsidRPr="00B818AB">
        <w:rPr>
          <w:rFonts w:ascii="Times New Roman" w:hAnsi="Times New Roman"/>
          <w:vertAlign w:val="subscript"/>
          <w:lang w:val="pt-BR"/>
        </w:rPr>
        <w:t>3</w:t>
      </w:r>
      <w:r w:rsidR="00A71993">
        <w:rPr>
          <w:rFonts w:ascii="Times New Roman" w:hAnsi="Times New Roman"/>
          <w:lang w:val="pt-BR"/>
        </w:rPr>
        <w:t>),</w:t>
      </w:r>
      <w:r w:rsidRPr="00813250">
        <w:rPr>
          <w:rFonts w:ascii="Times New Roman" w:hAnsi="Times New Roman"/>
          <w:lang w:val="pt-BR"/>
        </w:rPr>
        <w:t xml:space="preserve"> os catalisadores bimetálicos exibem um mecanismo de Langmuir-Hinshelwood dual-site não competitivo, no qual o CO adsorvido nos sítios de Pt reage com as espécies ativas de oxigênio fornecidas pelas espécies MO</w:t>
      </w:r>
      <w:r w:rsidRPr="00B818AB">
        <w:rPr>
          <w:rFonts w:ascii="Times New Roman" w:hAnsi="Times New Roman"/>
          <w:vertAlign w:val="subscript"/>
          <w:lang w:val="pt-BR"/>
        </w:rPr>
        <w:t>x</w:t>
      </w:r>
      <w:r w:rsidR="002B20CC">
        <w:rPr>
          <w:rFonts w:ascii="Times New Roman" w:hAnsi="Times New Roman"/>
          <w:lang w:val="pt-BR"/>
        </w:rPr>
        <w:t xml:space="preserve"> [</w:t>
      </w:r>
      <w:r w:rsidR="00FE34B2">
        <w:rPr>
          <w:rFonts w:ascii="Times New Roman" w:hAnsi="Times New Roman"/>
          <w:lang w:val="pt-BR"/>
        </w:rPr>
        <w:t>3</w:t>
      </w:r>
      <w:r w:rsidRPr="00813250">
        <w:rPr>
          <w:rFonts w:ascii="Times New Roman" w:hAnsi="Times New Roman"/>
          <w:lang w:val="pt-BR"/>
        </w:rPr>
        <w:t>].</w:t>
      </w:r>
    </w:p>
    <w:p w:rsidR="00813250" w:rsidRDefault="00813250" w:rsidP="00813250">
      <w:pPr>
        <w:pStyle w:val="TAMainText"/>
        <w:rPr>
          <w:rFonts w:ascii="Times New Roman" w:hAnsi="Times New Roman"/>
          <w:lang w:val="pt-BR"/>
        </w:rPr>
      </w:pPr>
      <w:r w:rsidRPr="00813250">
        <w:rPr>
          <w:rFonts w:ascii="Times New Roman" w:hAnsi="Times New Roman"/>
          <w:lang w:val="pt-BR"/>
        </w:rPr>
        <w:t>No presente estudo, o desempenho catalítico da Pt sobre o catalisador de alumina modificado pela adição de aluminatos de cobalto e níquel (CoAl</w:t>
      </w:r>
      <w:r w:rsidRPr="00B818AB">
        <w:rPr>
          <w:rFonts w:ascii="Times New Roman" w:hAnsi="Times New Roman"/>
          <w:vertAlign w:val="subscript"/>
          <w:lang w:val="pt-BR"/>
        </w:rPr>
        <w:t>2</w:t>
      </w:r>
      <w:r w:rsidRPr="00813250">
        <w:rPr>
          <w:rFonts w:ascii="Times New Roman" w:hAnsi="Times New Roman"/>
          <w:lang w:val="pt-BR"/>
        </w:rPr>
        <w:t>O</w:t>
      </w:r>
      <w:r w:rsidRPr="00B818AB">
        <w:rPr>
          <w:rFonts w:ascii="Times New Roman" w:hAnsi="Times New Roman"/>
          <w:vertAlign w:val="subscript"/>
          <w:lang w:val="pt-BR"/>
        </w:rPr>
        <w:t>4</w:t>
      </w:r>
      <w:r w:rsidRPr="00813250">
        <w:rPr>
          <w:rFonts w:ascii="Times New Roman" w:hAnsi="Times New Roman"/>
          <w:lang w:val="pt-BR"/>
        </w:rPr>
        <w:t xml:space="preserve"> e NiAl</w:t>
      </w:r>
      <w:r w:rsidRPr="00B818AB">
        <w:rPr>
          <w:rFonts w:ascii="Times New Roman" w:hAnsi="Times New Roman"/>
          <w:vertAlign w:val="subscript"/>
          <w:lang w:val="pt-BR"/>
        </w:rPr>
        <w:t>2</w:t>
      </w:r>
      <w:r w:rsidRPr="00813250">
        <w:rPr>
          <w:rFonts w:ascii="Times New Roman" w:hAnsi="Times New Roman"/>
          <w:lang w:val="pt-BR"/>
        </w:rPr>
        <w:t>O</w:t>
      </w:r>
      <w:r w:rsidRPr="00B818AB">
        <w:rPr>
          <w:rFonts w:ascii="Times New Roman" w:hAnsi="Times New Roman"/>
          <w:vertAlign w:val="subscript"/>
          <w:lang w:val="pt-BR"/>
        </w:rPr>
        <w:t>4</w:t>
      </w:r>
      <w:r w:rsidRPr="00813250">
        <w:rPr>
          <w:rFonts w:ascii="Times New Roman" w:hAnsi="Times New Roman"/>
          <w:lang w:val="pt-BR"/>
        </w:rPr>
        <w:t>, respectivamente) à formulação do catalisador</w:t>
      </w:r>
      <w:r w:rsidR="00827C6B">
        <w:rPr>
          <w:rFonts w:ascii="Times New Roman" w:hAnsi="Times New Roman"/>
          <w:lang w:val="pt-BR"/>
        </w:rPr>
        <w:t xml:space="preserve"> referência foi avaliado</w:t>
      </w:r>
      <w:r w:rsidRPr="00813250">
        <w:rPr>
          <w:rFonts w:ascii="Times New Roman" w:hAnsi="Times New Roman"/>
          <w:lang w:val="pt-BR"/>
        </w:rPr>
        <w:t xml:space="preserve">. Esses catalisadores foram testados para reação </w:t>
      </w:r>
      <w:r w:rsidR="00B818AB" w:rsidRPr="00813250">
        <w:rPr>
          <w:rFonts w:ascii="Times New Roman" w:hAnsi="Times New Roman"/>
          <w:lang w:val="pt-BR"/>
        </w:rPr>
        <w:t>PROX</w:t>
      </w:r>
      <w:r w:rsidR="00B818AB">
        <w:rPr>
          <w:rFonts w:ascii="Times New Roman" w:hAnsi="Times New Roman"/>
          <w:lang w:val="pt-BR"/>
        </w:rPr>
        <w:t>-CO</w:t>
      </w:r>
      <w:r w:rsidR="00B818AB" w:rsidRPr="00813250">
        <w:rPr>
          <w:rFonts w:ascii="Times New Roman" w:hAnsi="Times New Roman"/>
          <w:lang w:val="pt-BR"/>
        </w:rPr>
        <w:t xml:space="preserve"> </w:t>
      </w:r>
      <w:r w:rsidRPr="00813250">
        <w:rPr>
          <w:rFonts w:ascii="Times New Roman" w:hAnsi="Times New Roman"/>
          <w:lang w:val="pt-BR"/>
        </w:rPr>
        <w:t>em excesso de H</w:t>
      </w:r>
      <w:r w:rsidRPr="00B818AB">
        <w:rPr>
          <w:rFonts w:ascii="Times New Roman" w:hAnsi="Times New Roman"/>
          <w:vertAlign w:val="subscript"/>
          <w:lang w:val="pt-BR"/>
        </w:rPr>
        <w:t>2</w:t>
      </w:r>
      <w:r w:rsidRPr="00813250">
        <w:rPr>
          <w:rFonts w:ascii="Times New Roman" w:hAnsi="Times New Roman"/>
          <w:lang w:val="pt-BR"/>
        </w:rPr>
        <w:t xml:space="preserve">. Uma série de experimentos de caracterização foram realizados a fim de explorar a relação estrutura-atividade e a natureza dos centros ativos dos catalisadores modificados e de referência. </w:t>
      </w:r>
      <w:r w:rsidR="00827C6B">
        <w:rPr>
          <w:rFonts w:ascii="Times New Roman" w:hAnsi="Times New Roman"/>
          <w:lang w:val="pt-BR"/>
        </w:rPr>
        <w:t>E</w:t>
      </w:r>
      <w:r w:rsidRPr="00813250">
        <w:rPr>
          <w:rFonts w:ascii="Times New Roman" w:hAnsi="Times New Roman"/>
          <w:lang w:val="pt-BR"/>
        </w:rPr>
        <w:t xml:space="preserve">xperimentos </w:t>
      </w:r>
      <w:r w:rsidR="00827C6B">
        <w:rPr>
          <w:rFonts w:ascii="Times New Roman" w:hAnsi="Times New Roman"/>
          <w:lang w:val="pt-BR"/>
        </w:rPr>
        <w:t>para avaliar a</w:t>
      </w:r>
      <w:r w:rsidRPr="00813250">
        <w:rPr>
          <w:rFonts w:ascii="Times New Roman" w:hAnsi="Times New Roman"/>
          <w:lang w:val="pt-BR"/>
        </w:rPr>
        <w:t xml:space="preserve"> estabilidade também </w:t>
      </w:r>
      <w:r w:rsidR="00A71993">
        <w:rPr>
          <w:rFonts w:ascii="Times New Roman" w:hAnsi="Times New Roman"/>
          <w:lang w:val="pt-BR"/>
        </w:rPr>
        <w:t xml:space="preserve">foram </w:t>
      </w:r>
      <w:r w:rsidR="00827C6B">
        <w:rPr>
          <w:rFonts w:ascii="Times New Roman" w:hAnsi="Times New Roman"/>
          <w:lang w:val="pt-BR"/>
        </w:rPr>
        <w:t>realiza</w:t>
      </w:r>
      <w:r w:rsidR="00A71993">
        <w:rPr>
          <w:rFonts w:ascii="Times New Roman" w:hAnsi="Times New Roman"/>
          <w:lang w:val="pt-BR"/>
        </w:rPr>
        <w:t xml:space="preserve">dos durante 30 h de reação </w:t>
      </w:r>
      <w:r w:rsidRPr="00813250">
        <w:rPr>
          <w:rFonts w:ascii="Times New Roman" w:hAnsi="Times New Roman"/>
          <w:lang w:val="pt-BR"/>
        </w:rPr>
        <w:t>a 200 °C.</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rsidR="00EA4E1B" w:rsidRPr="001F25B2" w:rsidRDefault="00226BCB" w:rsidP="00EA4E1B">
      <w:pPr>
        <w:pStyle w:val="TAMainText"/>
        <w:ind w:firstLine="0"/>
        <w:rPr>
          <w:rFonts w:ascii="Times New Roman" w:hAnsi="Times New Roman"/>
          <w:i/>
          <w:lang w:val="pt-BR"/>
        </w:rPr>
      </w:pPr>
      <w:r w:rsidRPr="00226BCB">
        <w:rPr>
          <w:rFonts w:ascii="Times New Roman" w:hAnsi="Times New Roman"/>
          <w:i/>
          <w:lang w:val="pt-BR"/>
        </w:rPr>
        <w:t>2.1. Preparação do</w:t>
      </w:r>
      <w:r>
        <w:rPr>
          <w:rFonts w:ascii="Times New Roman" w:hAnsi="Times New Roman"/>
          <w:i/>
          <w:lang w:val="pt-BR"/>
        </w:rPr>
        <w:t>s</w:t>
      </w:r>
      <w:r w:rsidRPr="00226BCB">
        <w:rPr>
          <w:rFonts w:ascii="Times New Roman" w:hAnsi="Times New Roman"/>
          <w:i/>
          <w:lang w:val="pt-BR"/>
        </w:rPr>
        <w:t xml:space="preserve"> catalisador</w:t>
      </w:r>
      <w:r>
        <w:rPr>
          <w:rFonts w:ascii="Times New Roman" w:hAnsi="Times New Roman"/>
          <w:i/>
          <w:lang w:val="pt-BR"/>
        </w:rPr>
        <w:t>es</w:t>
      </w:r>
      <w:r w:rsidR="00EA4E1B" w:rsidRPr="001F25B2">
        <w:rPr>
          <w:rFonts w:ascii="Times New Roman" w:hAnsi="Times New Roman"/>
          <w:i/>
          <w:lang w:val="pt-BR"/>
        </w:rPr>
        <w:t>.</w:t>
      </w:r>
    </w:p>
    <w:p w:rsidR="00121B19" w:rsidRPr="00121B19" w:rsidRDefault="00121B19" w:rsidP="00121B19">
      <w:pPr>
        <w:pStyle w:val="TAMainText"/>
        <w:rPr>
          <w:rFonts w:ascii="Times New Roman" w:hAnsi="Times New Roman"/>
          <w:lang w:val="pt-BR"/>
        </w:rPr>
      </w:pPr>
      <w:r w:rsidRPr="00121B19">
        <w:rPr>
          <w:rFonts w:ascii="Times New Roman" w:hAnsi="Times New Roman"/>
          <w:lang w:val="pt-BR"/>
        </w:rPr>
        <w:t>O γ-Al</w:t>
      </w:r>
      <w:r w:rsidRPr="00226BCB">
        <w:rPr>
          <w:rFonts w:ascii="Times New Roman" w:hAnsi="Times New Roman"/>
          <w:vertAlign w:val="subscript"/>
          <w:lang w:val="pt-BR"/>
        </w:rPr>
        <w:t>2</w:t>
      </w:r>
      <w:r w:rsidRPr="00121B19">
        <w:rPr>
          <w:rFonts w:ascii="Times New Roman" w:hAnsi="Times New Roman"/>
          <w:lang w:val="pt-BR"/>
        </w:rPr>
        <w:t>O</w:t>
      </w:r>
      <w:r w:rsidRPr="00226BCB">
        <w:rPr>
          <w:rFonts w:ascii="Times New Roman" w:hAnsi="Times New Roman"/>
          <w:vertAlign w:val="subscript"/>
          <w:lang w:val="pt-BR"/>
        </w:rPr>
        <w:t>3</w:t>
      </w:r>
      <w:r w:rsidRPr="00121B19">
        <w:rPr>
          <w:rFonts w:ascii="Times New Roman" w:hAnsi="Times New Roman"/>
          <w:lang w:val="pt-BR"/>
        </w:rPr>
        <w:t xml:space="preserve"> usado como suporte (AlO) foi obtido pela calcinação da boemita a 700 °C por 6 h em uma mufla usand</w:t>
      </w:r>
      <w:r w:rsidR="00226BCB">
        <w:rPr>
          <w:rFonts w:ascii="Times New Roman" w:hAnsi="Times New Roman"/>
          <w:lang w:val="pt-BR"/>
        </w:rPr>
        <w:t xml:space="preserve">o uma taxa de aquecimento de 10 </w:t>
      </w:r>
      <w:r w:rsidRPr="00121B19">
        <w:rPr>
          <w:rFonts w:ascii="Times New Roman" w:hAnsi="Times New Roman"/>
          <w:lang w:val="pt-BR"/>
        </w:rPr>
        <w:t xml:space="preserve">°C/min para </w:t>
      </w:r>
      <w:r w:rsidRPr="00121B19">
        <w:rPr>
          <w:rFonts w:ascii="Times New Roman" w:hAnsi="Times New Roman"/>
          <w:lang w:val="pt-BR"/>
        </w:rPr>
        <w:lastRenderedPageBreak/>
        <w:t>melhorar sua estabilidade térmica e eliminar as impurezas da superfície. O catalisador de platina (PtAlO) foi preparado por impregnação úmida do suporte de AlO, empregando uma solução aquosa de precursor de platina para produzir uma carga de Pt de 2,0% em peso no catalisador final. Após a impregnação, a amo</w:t>
      </w:r>
      <w:r w:rsidR="00896123">
        <w:rPr>
          <w:rFonts w:ascii="Times New Roman" w:hAnsi="Times New Roman"/>
          <w:lang w:val="pt-BR"/>
        </w:rPr>
        <w:t>stra foi seca a 110 °C durante à</w:t>
      </w:r>
      <w:r w:rsidRPr="00121B19">
        <w:rPr>
          <w:rFonts w:ascii="Times New Roman" w:hAnsi="Times New Roman"/>
          <w:lang w:val="pt-BR"/>
        </w:rPr>
        <w:t xml:space="preserve"> noite, seguida de calcinação a 600 °C </w:t>
      </w:r>
      <w:r w:rsidR="00896123">
        <w:rPr>
          <w:rFonts w:ascii="Times New Roman" w:hAnsi="Times New Roman"/>
          <w:lang w:val="pt-BR"/>
        </w:rPr>
        <w:t>em</w:t>
      </w:r>
      <w:r w:rsidRPr="00121B19">
        <w:rPr>
          <w:rFonts w:ascii="Times New Roman" w:hAnsi="Times New Roman"/>
          <w:lang w:val="pt-BR"/>
        </w:rPr>
        <w:t xml:space="preserve"> ar por 1 h. Este catalisador foi utilizado como referência para representar o catalisador comercial.</w:t>
      </w:r>
    </w:p>
    <w:p w:rsidR="00121B19" w:rsidRDefault="00121B19" w:rsidP="00121B19">
      <w:pPr>
        <w:pStyle w:val="TAMainText"/>
        <w:rPr>
          <w:rFonts w:ascii="Times New Roman" w:hAnsi="Times New Roman"/>
          <w:lang w:val="pt-BR"/>
        </w:rPr>
      </w:pPr>
      <w:r w:rsidRPr="00121B19">
        <w:rPr>
          <w:rFonts w:ascii="Times New Roman" w:hAnsi="Times New Roman"/>
          <w:lang w:val="pt-BR"/>
        </w:rPr>
        <w:t xml:space="preserve">A adição de Co e Ni </w:t>
      </w:r>
      <w:r w:rsidR="00896123">
        <w:rPr>
          <w:rFonts w:ascii="Times New Roman" w:hAnsi="Times New Roman"/>
          <w:lang w:val="pt-BR"/>
        </w:rPr>
        <w:t>para obtenção dos</w:t>
      </w:r>
      <w:r w:rsidRPr="00121B19">
        <w:rPr>
          <w:rFonts w:ascii="Times New Roman" w:hAnsi="Times New Roman"/>
          <w:lang w:val="pt-BR"/>
        </w:rPr>
        <w:t xml:space="preserve"> catalisadores modificados foi realizada por impregnação sequencial do catalisador PtAlO (após calcinação) usando uma solução aquosa dos sais precursores de nitratos de níquel e cobalto. Os sólidos obtidos foram novamente secos e calcinados seguindo o mesmo procedimento descrito </w:t>
      </w:r>
      <w:r w:rsidR="00896123">
        <w:rPr>
          <w:rFonts w:ascii="Times New Roman" w:hAnsi="Times New Roman"/>
          <w:lang w:val="pt-BR"/>
        </w:rPr>
        <w:t>anteriormente</w:t>
      </w:r>
      <w:r w:rsidRPr="00121B19">
        <w:rPr>
          <w:rFonts w:ascii="Times New Roman" w:hAnsi="Times New Roman"/>
          <w:lang w:val="pt-BR"/>
        </w:rPr>
        <w:t>. A carga nominal de metal para esses catalisadores bimetálicos foi de 3,0% em peso para Ni e Co e denotad</w:t>
      </w:r>
      <w:r w:rsidR="00131E6A">
        <w:rPr>
          <w:rFonts w:ascii="Times New Roman" w:hAnsi="Times New Roman"/>
          <w:lang w:val="pt-BR"/>
        </w:rPr>
        <w:t>os</w:t>
      </w:r>
      <w:r w:rsidRPr="00121B19">
        <w:rPr>
          <w:rFonts w:ascii="Times New Roman" w:hAnsi="Times New Roman"/>
          <w:lang w:val="pt-BR"/>
        </w:rPr>
        <w:t xml:space="preserve"> como NiPtAlO e CoPtAlO, respectivamente. </w:t>
      </w:r>
    </w:p>
    <w:p w:rsidR="00AC25D7" w:rsidRPr="00121B19" w:rsidRDefault="00AC25D7" w:rsidP="00121B19">
      <w:pPr>
        <w:pStyle w:val="TAMainText"/>
        <w:rPr>
          <w:rFonts w:ascii="Times New Roman" w:hAnsi="Times New Roman"/>
          <w:lang w:val="pt-BR"/>
        </w:rPr>
      </w:pPr>
    </w:p>
    <w:p w:rsidR="00121B19" w:rsidRPr="00226BCB" w:rsidRDefault="00226BCB" w:rsidP="00226BCB">
      <w:pPr>
        <w:pStyle w:val="TAMainText"/>
        <w:ind w:firstLine="0"/>
        <w:rPr>
          <w:rFonts w:ascii="Times New Roman" w:hAnsi="Times New Roman"/>
          <w:i/>
          <w:lang w:val="pt-BR"/>
        </w:rPr>
      </w:pPr>
      <w:r>
        <w:rPr>
          <w:rFonts w:ascii="Times New Roman" w:hAnsi="Times New Roman"/>
          <w:i/>
          <w:lang w:val="pt-BR"/>
        </w:rPr>
        <w:t>2.2. C</w:t>
      </w:r>
      <w:r w:rsidR="00121B19" w:rsidRPr="00226BCB">
        <w:rPr>
          <w:rFonts w:ascii="Times New Roman" w:hAnsi="Times New Roman"/>
          <w:i/>
          <w:lang w:val="pt-BR"/>
        </w:rPr>
        <w:t>aracterização do</w:t>
      </w:r>
      <w:r>
        <w:rPr>
          <w:rFonts w:ascii="Times New Roman" w:hAnsi="Times New Roman"/>
          <w:i/>
          <w:lang w:val="pt-BR"/>
        </w:rPr>
        <w:t>s</w:t>
      </w:r>
      <w:r w:rsidR="00121B19" w:rsidRPr="00226BCB">
        <w:rPr>
          <w:rFonts w:ascii="Times New Roman" w:hAnsi="Times New Roman"/>
          <w:i/>
          <w:lang w:val="pt-BR"/>
        </w:rPr>
        <w:t xml:space="preserve"> catalisador</w:t>
      </w:r>
      <w:r>
        <w:rPr>
          <w:rFonts w:ascii="Times New Roman" w:hAnsi="Times New Roman"/>
          <w:i/>
          <w:lang w:val="pt-BR"/>
        </w:rPr>
        <w:t>es</w:t>
      </w:r>
    </w:p>
    <w:p w:rsidR="00121B19" w:rsidRPr="00121B19" w:rsidRDefault="00121B19" w:rsidP="00121B19">
      <w:pPr>
        <w:pStyle w:val="TAMainText"/>
        <w:rPr>
          <w:rFonts w:ascii="Times New Roman" w:hAnsi="Times New Roman"/>
          <w:lang w:val="pt-BR"/>
        </w:rPr>
      </w:pPr>
      <w:r w:rsidRPr="00121B19">
        <w:rPr>
          <w:rFonts w:ascii="Times New Roman" w:hAnsi="Times New Roman"/>
          <w:lang w:val="pt-BR"/>
        </w:rPr>
        <w:t>A análise da composição química foi realizada por espectroscopia de fluorescência de raios-X (</w:t>
      </w:r>
      <w:r w:rsidR="00226BCB">
        <w:rPr>
          <w:rFonts w:ascii="Times New Roman" w:hAnsi="Times New Roman"/>
          <w:lang w:val="pt-BR"/>
        </w:rPr>
        <w:t>FRX</w:t>
      </w:r>
      <w:r w:rsidRPr="00121B19">
        <w:rPr>
          <w:rFonts w:ascii="Times New Roman" w:hAnsi="Times New Roman"/>
          <w:lang w:val="pt-BR"/>
        </w:rPr>
        <w:t>) usando um espectrômetro Rigaku modelo RIX 3100. As propriedades texturais foram determinadas por experimentos de fisissorção de nitrogênio. As isotermas de adsorção/dessorção de N</w:t>
      </w:r>
      <w:r w:rsidRPr="00226BCB">
        <w:rPr>
          <w:rFonts w:ascii="Times New Roman" w:hAnsi="Times New Roman"/>
          <w:vertAlign w:val="subscript"/>
          <w:lang w:val="pt-BR"/>
        </w:rPr>
        <w:t>2</w:t>
      </w:r>
      <w:r w:rsidRPr="00121B19">
        <w:rPr>
          <w:rFonts w:ascii="Times New Roman" w:hAnsi="Times New Roman"/>
          <w:lang w:val="pt-BR"/>
        </w:rPr>
        <w:t xml:space="preserve"> foram coletadas na temperatura do nitrogênio líquido usando um equipamento ASAP modelo 2020. Todas as amostras foram desgaseificadas a 200 °C por 24 horas ante</w:t>
      </w:r>
      <w:r w:rsidR="00226BCB">
        <w:rPr>
          <w:rFonts w:ascii="Times New Roman" w:hAnsi="Times New Roman"/>
          <w:lang w:val="pt-BR"/>
        </w:rPr>
        <w:t xml:space="preserve">s dos experimentos de adsorção. </w:t>
      </w:r>
      <w:r w:rsidRPr="00121B19">
        <w:rPr>
          <w:rFonts w:ascii="Times New Roman" w:hAnsi="Times New Roman"/>
          <w:lang w:val="pt-BR"/>
        </w:rPr>
        <w:t>As medidas de difra</w:t>
      </w:r>
      <w:r w:rsidR="00131E6A">
        <w:rPr>
          <w:rFonts w:ascii="Times New Roman" w:hAnsi="Times New Roman"/>
          <w:lang w:val="pt-BR"/>
        </w:rPr>
        <w:t>tometria</w:t>
      </w:r>
      <w:r w:rsidRPr="00121B19">
        <w:rPr>
          <w:rFonts w:ascii="Times New Roman" w:hAnsi="Times New Roman"/>
          <w:lang w:val="pt-BR"/>
        </w:rPr>
        <w:t xml:space="preserve"> de raios X (</w:t>
      </w:r>
      <w:r w:rsidR="00E96632">
        <w:rPr>
          <w:rFonts w:ascii="Times New Roman" w:hAnsi="Times New Roman"/>
          <w:lang w:val="pt-BR"/>
        </w:rPr>
        <w:t>DRX</w:t>
      </w:r>
      <w:r w:rsidRPr="00121B19">
        <w:rPr>
          <w:rFonts w:ascii="Times New Roman" w:hAnsi="Times New Roman"/>
          <w:lang w:val="pt-BR"/>
        </w:rPr>
        <w:t>) foram realizadas em um difratômetro Miniflex Rigaku operado a 30 kV e 15 mA e usando CuKα (λ = 1,5406 Å) como fonte de radiação. Os dados foram coletados na faixa 2θ de 10-80° com um tamanho de passo de 0,05° e tempo de contagem de 1 s por passo</w:t>
      </w:r>
      <w:r w:rsidR="00226BCB">
        <w:rPr>
          <w:rFonts w:ascii="Times New Roman" w:hAnsi="Times New Roman"/>
          <w:lang w:val="pt-BR"/>
        </w:rPr>
        <w:t>.</w:t>
      </w:r>
      <w:r w:rsidRPr="00121B19">
        <w:rPr>
          <w:rFonts w:ascii="Times New Roman" w:hAnsi="Times New Roman"/>
          <w:lang w:val="pt-BR"/>
        </w:rPr>
        <w:t xml:space="preserve"> Experimentos de redução de temperatura programada de hidrogênio (TPR</w:t>
      </w:r>
      <w:r w:rsidR="00226BCB">
        <w:rPr>
          <w:rFonts w:ascii="Times New Roman" w:hAnsi="Times New Roman"/>
          <w:lang w:val="pt-BR"/>
        </w:rPr>
        <w:t>-H</w:t>
      </w:r>
      <w:r w:rsidR="00226BCB" w:rsidRPr="00226BCB">
        <w:rPr>
          <w:rFonts w:ascii="Times New Roman" w:hAnsi="Times New Roman"/>
          <w:vertAlign w:val="subscript"/>
          <w:lang w:val="pt-BR"/>
        </w:rPr>
        <w:t>2</w:t>
      </w:r>
      <w:r w:rsidRPr="00121B19">
        <w:rPr>
          <w:rFonts w:ascii="Times New Roman" w:hAnsi="Times New Roman"/>
          <w:lang w:val="pt-BR"/>
        </w:rPr>
        <w:t>) foram realizados em um sistema equipado com um detector de condutividade térmica (TCD) para quantificar o H</w:t>
      </w:r>
      <w:r w:rsidRPr="00E96632">
        <w:rPr>
          <w:rFonts w:ascii="Times New Roman" w:hAnsi="Times New Roman"/>
          <w:vertAlign w:val="subscript"/>
          <w:lang w:val="pt-BR"/>
        </w:rPr>
        <w:t>2</w:t>
      </w:r>
      <w:r w:rsidRPr="00121B19">
        <w:rPr>
          <w:rFonts w:ascii="Times New Roman" w:hAnsi="Times New Roman"/>
          <w:lang w:val="pt-BR"/>
        </w:rPr>
        <w:t xml:space="preserve"> consumido. Antes dos experimentos de redução, os catalisadores foram secos a 150 °C por 30 </w:t>
      </w:r>
      <w:r w:rsidRPr="00F80A06">
        <w:rPr>
          <w:rFonts w:ascii="Times New Roman" w:hAnsi="Times New Roman"/>
          <w:lang w:val="pt-BR"/>
        </w:rPr>
        <w:t xml:space="preserve">min em </w:t>
      </w:r>
      <w:r w:rsidR="00E96632" w:rsidRPr="00F80A06">
        <w:rPr>
          <w:rFonts w:ascii="Times New Roman" w:hAnsi="Times New Roman"/>
          <w:lang w:val="pt-BR"/>
        </w:rPr>
        <w:t>corrente</w:t>
      </w:r>
      <w:r w:rsidRPr="00121B19">
        <w:rPr>
          <w:rFonts w:ascii="Times New Roman" w:hAnsi="Times New Roman"/>
          <w:lang w:val="pt-BR"/>
        </w:rPr>
        <w:t xml:space="preserve"> de Ar de 30 mL/min para remover a umidade adsorvida. Após resfriamento à temperatura ambiente, os catalisadores foram aquecidos a 1000 °C a uma taxa de aquecimento de 10 °C/min, empregando uma mistura gasosa de 1,53% em volume de H</w:t>
      </w:r>
      <w:r w:rsidRPr="00E96632">
        <w:rPr>
          <w:rFonts w:ascii="Times New Roman" w:hAnsi="Times New Roman"/>
          <w:vertAlign w:val="subscript"/>
          <w:lang w:val="pt-BR"/>
        </w:rPr>
        <w:t>2</w:t>
      </w:r>
      <w:r w:rsidRPr="00121B19">
        <w:rPr>
          <w:rFonts w:ascii="Times New Roman" w:hAnsi="Times New Roman"/>
          <w:lang w:val="pt-BR"/>
        </w:rPr>
        <w:t>/Ar (30 mL/min). O estado químico da superfície dos átomos e sua abundância relativa foram avaliados por espectroscopia de fotoelétrons de raios X (XPS) usando um espectrômetro ESCALAB 250 (Thermo Scientific), empregando Al Kα monocromático (1486,6 eV) como fonte de raios X..</w:t>
      </w:r>
    </w:p>
    <w:p w:rsidR="00121B19" w:rsidRPr="00121B19" w:rsidRDefault="00121B19" w:rsidP="00121B19">
      <w:pPr>
        <w:pStyle w:val="TAMainText"/>
        <w:rPr>
          <w:rFonts w:ascii="Times New Roman" w:hAnsi="Times New Roman"/>
          <w:lang w:val="pt-BR"/>
        </w:rPr>
      </w:pPr>
    </w:p>
    <w:p w:rsidR="00121B19" w:rsidRPr="00226BCB" w:rsidRDefault="00121B19" w:rsidP="00226BCB">
      <w:pPr>
        <w:pStyle w:val="TAMainText"/>
        <w:ind w:firstLine="0"/>
        <w:rPr>
          <w:rFonts w:ascii="Times New Roman" w:hAnsi="Times New Roman"/>
          <w:i/>
          <w:lang w:val="pt-BR"/>
        </w:rPr>
      </w:pPr>
      <w:r w:rsidRPr="00226BCB">
        <w:rPr>
          <w:rFonts w:ascii="Times New Roman" w:hAnsi="Times New Roman"/>
          <w:i/>
          <w:lang w:val="pt-BR"/>
        </w:rPr>
        <w:t>2.3. Testes catalíticos</w:t>
      </w:r>
    </w:p>
    <w:p w:rsidR="00EA4E1B" w:rsidRPr="001F25B2" w:rsidRDefault="00121B19" w:rsidP="00121B19">
      <w:pPr>
        <w:pStyle w:val="TAMainText"/>
        <w:rPr>
          <w:rFonts w:ascii="Times New Roman" w:hAnsi="Times New Roman"/>
          <w:lang w:val="pt-BR"/>
        </w:rPr>
      </w:pPr>
      <w:r w:rsidRPr="00121B19">
        <w:rPr>
          <w:rFonts w:ascii="Times New Roman" w:hAnsi="Times New Roman"/>
          <w:lang w:val="pt-BR"/>
        </w:rPr>
        <w:t xml:space="preserve">A atividade catalítica foi avaliada à pressão atmosférica e diferentes temperaturas (entre 50 e 200 °C) em um reator </w:t>
      </w:r>
      <w:r w:rsidRPr="00121B19">
        <w:rPr>
          <w:rFonts w:ascii="Times New Roman" w:hAnsi="Times New Roman"/>
          <w:lang w:val="pt-BR"/>
        </w:rPr>
        <w:lastRenderedPageBreak/>
        <w:t xml:space="preserve">de quartzo de leito fixo de fluxo contínuo. Antes do teste catalítico, os catalisadores (150 mg) foram pré-tratados em </w:t>
      </w:r>
      <w:r w:rsidR="00E96632">
        <w:rPr>
          <w:rFonts w:ascii="Times New Roman" w:hAnsi="Times New Roman"/>
          <w:lang w:val="pt-BR"/>
        </w:rPr>
        <w:t>corrente</w:t>
      </w:r>
      <w:r w:rsidRPr="00121B19">
        <w:rPr>
          <w:rFonts w:ascii="Times New Roman" w:hAnsi="Times New Roman"/>
          <w:lang w:val="pt-BR"/>
        </w:rPr>
        <w:t xml:space="preserve"> de He (60 </w:t>
      </w:r>
      <w:r w:rsidR="00226BCB">
        <w:rPr>
          <w:rFonts w:ascii="Times New Roman" w:hAnsi="Times New Roman"/>
          <w:lang w:val="pt-BR"/>
        </w:rPr>
        <w:t>mL</w:t>
      </w:r>
      <w:r w:rsidRPr="00121B19">
        <w:rPr>
          <w:rFonts w:ascii="Times New Roman" w:hAnsi="Times New Roman"/>
          <w:lang w:val="pt-BR"/>
        </w:rPr>
        <w:t>/min) a 200 °C por 60 min, seguido de resfriamento até a temperatura inicial de reação em hélio. O gás de alimentação consistindo de CO (1 vol.%) e O2 (1 vol.%), H</w:t>
      </w:r>
      <w:r w:rsidRPr="00226BCB">
        <w:rPr>
          <w:rFonts w:ascii="Times New Roman" w:hAnsi="Times New Roman"/>
          <w:vertAlign w:val="subscript"/>
          <w:lang w:val="pt-BR"/>
        </w:rPr>
        <w:t>2</w:t>
      </w:r>
      <w:r w:rsidRPr="00121B19">
        <w:rPr>
          <w:rFonts w:ascii="Times New Roman" w:hAnsi="Times New Roman"/>
          <w:lang w:val="pt-BR"/>
        </w:rPr>
        <w:t xml:space="preserve"> (60 vol.%) e equilíbrio He e a vazão total </w:t>
      </w:r>
      <w:r w:rsidR="00226BCB">
        <w:rPr>
          <w:rFonts w:ascii="Times New Roman" w:hAnsi="Times New Roman"/>
          <w:lang w:val="pt-BR"/>
        </w:rPr>
        <w:t>foi mantida constante em 100 mL/</w:t>
      </w:r>
      <w:r w:rsidRPr="00121B19">
        <w:rPr>
          <w:rFonts w:ascii="Times New Roman" w:hAnsi="Times New Roman"/>
          <w:lang w:val="pt-BR"/>
        </w:rPr>
        <w:t>min. Os gases de saída foram analisados online por um cromatógrafo a gás (Varian, modelo CP3800) equipado com uma coluna Carboxen</w:t>
      </w:r>
      <w:r w:rsidRPr="00226BCB">
        <w:rPr>
          <w:rFonts w:ascii="Times New Roman" w:hAnsi="Times New Roman"/>
          <w:vertAlign w:val="superscript"/>
          <w:lang w:val="pt-BR"/>
        </w:rPr>
        <w:t>®</w:t>
      </w:r>
      <w:r w:rsidRPr="00121B19">
        <w:rPr>
          <w:rFonts w:ascii="Times New Roman" w:hAnsi="Times New Roman"/>
          <w:lang w:val="pt-BR"/>
        </w:rPr>
        <w:t xml:space="preserve">-1010 com hélio como carreador e então quantificados usando detectores TCD e FID. </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rsidR="001420E7" w:rsidRPr="001420E7" w:rsidRDefault="001420E7" w:rsidP="001420E7">
      <w:pPr>
        <w:pStyle w:val="TAMainText"/>
        <w:ind w:firstLine="0"/>
        <w:rPr>
          <w:rFonts w:ascii="Times New Roman" w:hAnsi="Times New Roman"/>
          <w:i/>
          <w:lang w:val="pt-BR"/>
        </w:rPr>
      </w:pPr>
      <w:r w:rsidRPr="001420E7">
        <w:rPr>
          <w:rFonts w:ascii="Times New Roman" w:hAnsi="Times New Roman"/>
          <w:i/>
          <w:lang w:val="pt-BR"/>
        </w:rPr>
        <w:t>Atividade catalítica na reação PROX</w:t>
      </w:r>
      <w:r>
        <w:rPr>
          <w:rFonts w:ascii="Times New Roman" w:hAnsi="Times New Roman"/>
          <w:i/>
          <w:lang w:val="pt-BR"/>
        </w:rPr>
        <w:t>-CO</w:t>
      </w:r>
    </w:p>
    <w:p w:rsidR="001420E7" w:rsidRPr="001420E7" w:rsidRDefault="001420E7" w:rsidP="001420E7">
      <w:pPr>
        <w:pStyle w:val="TAMainText"/>
        <w:ind w:firstLine="187"/>
        <w:rPr>
          <w:rFonts w:ascii="Times New Roman" w:hAnsi="Times New Roman"/>
          <w:lang w:val="pt-BR"/>
        </w:rPr>
      </w:pPr>
      <w:r w:rsidRPr="001420E7">
        <w:rPr>
          <w:rFonts w:ascii="Times New Roman" w:hAnsi="Times New Roman"/>
          <w:lang w:val="pt-BR"/>
        </w:rPr>
        <w:t xml:space="preserve">As curvas de conversão de CO em função da temperatura de reação para </w:t>
      </w:r>
      <w:r w:rsidR="00131E6A">
        <w:rPr>
          <w:rFonts w:ascii="Times New Roman" w:hAnsi="Times New Roman"/>
          <w:lang w:val="pt-BR"/>
        </w:rPr>
        <w:t xml:space="preserve">os </w:t>
      </w:r>
      <w:r w:rsidRPr="001420E7">
        <w:rPr>
          <w:rFonts w:ascii="Times New Roman" w:hAnsi="Times New Roman"/>
          <w:lang w:val="pt-BR"/>
        </w:rPr>
        <w:t>catalisadores modificados são apresentadas na Fig. 1A. Para comparação, a conversão de CO do catalisador de referência PtAlO também está incluída. Como pode ser observado, a conversão de CO para o catalisador PtAlO é baixa e atingiu um valor máximo de 39% a 200 °C. Esta forma da curva de conversão de CO é típica de um catalisador inibido por CO e é semelhante àquelas relatadas na literatura para Pt/Al</w:t>
      </w:r>
      <w:r w:rsidRPr="00E96632">
        <w:rPr>
          <w:rFonts w:ascii="Times New Roman" w:hAnsi="Times New Roman"/>
          <w:vertAlign w:val="subscript"/>
          <w:lang w:val="pt-BR"/>
        </w:rPr>
        <w:t>2</w:t>
      </w:r>
      <w:r w:rsidRPr="001420E7">
        <w:rPr>
          <w:rFonts w:ascii="Times New Roman" w:hAnsi="Times New Roman"/>
          <w:lang w:val="pt-BR"/>
        </w:rPr>
        <w:t>O</w:t>
      </w:r>
      <w:r w:rsidRPr="00E96632">
        <w:rPr>
          <w:rFonts w:ascii="Times New Roman" w:hAnsi="Times New Roman"/>
          <w:vertAlign w:val="subscript"/>
          <w:lang w:val="pt-BR"/>
        </w:rPr>
        <w:t>3</w:t>
      </w:r>
      <w:r w:rsidR="002B20CC">
        <w:rPr>
          <w:rFonts w:ascii="Times New Roman" w:hAnsi="Times New Roman"/>
          <w:lang w:val="pt-BR"/>
        </w:rPr>
        <w:t xml:space="preserve"> [</w:t>
      </w:r>
      <w:r w:rsidR="00FE34B2">
        <w:rPr>
          <w:rFonts w:ascii="Times New Roman" w:hAnsi="Times New Roman"/>
          <w:lang w:val="pt-BR"/>
        </w:rPr>
        <w:t>2</w:t>
      </w:r>
      <w:r w:rsidRPr="001420E7">
        <w:rPr>
          <w:rFonts w:ascii="Times New Roman" w:hAnsi="Times New Roman"/>
          <w:lang w:val="pt-BR"/>
        </w:rPr>
        <w:t>]. Isso ocorreu devido a uma forte tendência de adsorção de CO em baixas temperaturas que envenena a superfície da Pt. Esses catalisadores são caracterizados por operar em temperaturas em torno de 170 a 200 °C [</w:t>
      </w:r>
      <w:r w:rsidR="00FE34B2">
        <w:rPr>
          <w:rFonts w:ascii="Times New Roman" w:hAnsi="Times New Roman"/>
          <w:lang w:val="pt-BR"/>
        </w:rPr>
        <w:t>9</w:t>
      </w:r>
      <w:r w:rsidRPr="001420E7">
        <w:rPr>
          <w:rFonts w:ascii="Times New Roman" w:hAnsi="Times New Roman"/>
          <w:lang w:val="pt-BR"/>
        </w:rPr>
        <w:t>]. Na faixa de temperatura aqui investigada, o suporte de alumina (AlO) foi inativo na reação.</w:t>
      </w:r>
    </w:p>
    <w:p w:rsidR="001420E7" w:rsidRDefault="001420E7" w:rsidP="001420E7">
      <w:pPr>
        <w:pStyle w:val="TAMainText"/>
        <w:ind w:firstLine="187"/>
        <w:rPr>
          <w:rFonts w:ascii="Times New Roman" w:hAnsi="Times New Roman"/>
          <w:lang w:val="pt-BR"/>
        </w:rPr>
      </w:pPr>
      <w:r w:rsidRPr="001420E7">
        <w:rPr>
          <w:rFonts w:ascii="Times New Roman" w:hAnsi="Times New Roman"/>
          <w:lang w:val="pt-BR"/>
        </w:rPr>
        <w:t>Por outro lado</w:t>
      </w:r>
      <w:r w:rsidRPr="00F80A06">
        <w:rPr>
          <w:rFonts w:ascii="Times New Roman" w:hAnsi="Times New Roman"/>
          <w:lang w:val="pt-BR"/>
        </w:rPr>
        <w:t xml:space="preserve">, </w:t>
      </w:r>
      <w:r w:rsidR="00F80A06" w:rsidRPr="00F80A06">
        <w:rPr>
          <w:rFonts w:ascii="Times New Roman" w:hAnsi="Times New Roman"/>
          <w:lang w:val="pt-BR"/>
        </w:rPr>
        <w:t>a</w:t>
      </w:r>
      <w:r w:rsidRPr="00F80A06">
        <w:rPr>
          <w:rFonts w:ascii="Times New Roman" w:hAnsi="Times New Roman"/>
          <w:lang w:val="pt-BR"/>
        </w:rPr>
        <w:t xml:space="preserve"> conversão</w:t>
      </w:r>
      <w:r w:rsidR="00F80A06" w:rsidRPr="00F80A06">
        <w:rPr>
          <w:rFonts w:ascii="Times New Roman" w:hAnsi="Times New Roman"/>
          <w:lang w:val="pt-BR"/>
        </w:rPr>
        <w:t xml:space="preserve"> de 100%</w:t>
      </w:r>
      <w:r w:rsidRPr="00F80A06">
        <w:rPr>
          <w:rFonts w:ascii="Times New Roman" w:hAnsi="Times New Roman"/>
          <w:lang w:val="pt-BR"/>
        </w:rPr>
        <w:t xml:space="preserve"> sobre o catalisador NiPtAlO foi obtid</w:t>
      </w:r>
      <w:r w:rsidR="00F80A06" w:rsidRPr="00F80A06">
        <w:rPr>
          <w:rFonts w:ascii="Times New Roman" w:hAnsi="Times New Roman"/>
          <w:lang w:val="pt-BR"/>
        </w:rPr>
        <w:t>a</w:t>
      </w:r>
      <w:r w:rsidRPr="00F80A06">
        <w:rPr>
          <w:rFonts w:ascii="Times New Roman" w:hAnsi="Times New Roman"/>
          <w:lang w:val="pt-BR"/>
        </w:rPr>
        <w:t xml:space="preserve"> a 150 °C e foi mantido com</w:t>
      </w:r>
      <w:r w:rsidRPr="001420E7">
        <w:rPr>
          <w:rFonts w:ascii="Times New Roman" w:hAnsi="Times New Roman"/>
          <w:lang w:val="pt-BR"/>
        </w:rPr>
        <w:t xml:space="preserve"> o aumento adicional da temperatura da reação. Considerando que o valor máximo de conversão de CO de 96% foi alcançado a 125 °C para o catalisador CoPtAlO e com o aumento adicional na temperatura de reação para 200 °C diminuiu ligeiramente para aproximadamente 88%. </w:t>
      </w:r>
    </w:p>
    <w:p w:rsidR="001420E7" w:rsidRDefault="00DA59EE" w:rsidP="001420E7">
      <w:pPr>
        <w:pStyle w:val="TAMainText"/>
        <w:ind w:firstLine="187"/>
        <w:rPr>
          <w:rFonts w:ascii="Times New Roman" w:hAnsi="Times New Roman"/>
          <w:lang w:val="pt-BR"/>
        </w:rPr>
      </w:pPr>
      <w:r>
        <w:rPr>
          <w:rFonts w:ascii="Times New Roman" w:hAnsi="Times New Roman"/>
          <w:noProof/>
          <w:lang w:val="pt-BR"/>
        </w:rPr>
        <w:drawing>
          <wp:anchor distT="0" distB="0" distL="114300" distR="114300" simplePos="0" relativeHeight="251672575" behindDoc="0" locked="0" layoutInCell="1" allowOverlap="1">
            <wp:simplePos x="0" y="0"/>
            <wp:positionH relativeFrom="column">
              <wp:posOffset>1527175</wp:posOffset>
            </wp:positionH>
            <wp:positionV relativeFrom="paragraph">
              <wp:posOffset>74930</wp:posOffset>
            </wp:positionV>
            <wp:extent cx="1515110" cy="1796415"/>
            <wp:effectExtent l="19050" t="0" r="8890" b="0"/>
            <wp:wrapNone/>
            <wp:docPr id="22"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l="2201" t="11082" r="12264" b="5412"/>
                    <a:stretch>
                      <a:fillRect/>
                    </a:stretch>
                  </pic:blipFill>
                  <pic:spPr bwMode="auto">
                    <a:xfrm>
                      <a:off x="0" y="0"/>
                      <a:ext cx="1515110" cy="1796415"/>
                    </a:xfrm>
                    <a:prstGeom prst="rect">
                      <a:avLst/>
                    </a:prstGeom>
                    <a:noFill/>
                    <a:ln w="9525">
                      <a:noFill/>
                      <a:miter lim="800000"/>
                      <a:headEnd/>
                      <a:tailEnd/>
                    </a:ln>
                  </pic:spPr>
                </pic:pic>
              </a:graphicData>
            </a:graphic>
          </wp:anchor>
        </w:drawing>
      </w:r>
      <w:r>
        <w:rPr>
          <w:rFonts w:ascii="Times New Roman" w:hAnsi="Times New Roman"/>
          <w:noProof/>
          <w:lang w:val="pt-BR"/>
        </w:rPr>
        <w:drawing>
          <wp:anchor distT="0" distB="0" distL="114300" distR="114300" simplePos="0" relativeHeight="251671551" behindDoc="0" locked="0" layoutInCell="1" allowOverlap="1">
            <wp:simplePos x="0" y="0"/>
            <wp:positionH relativeFrom="column">
              <wp:posOffset>40667</wp:posOffset>
            </wp:positionH>
            <wp:positionV relativeFrom="paragraph">
              <wp:posOffset>106818</wp:posOffset>
            </wp:positionV>
            <wp:extent cx="1475796" cy="1796995"/>
            <wp:effectExtent l="19050" t="0" r="0" b="0"/>
            <wp:wrapNone/>
            <wp:docPr id="21"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l="3145" t="11082" r="12893" b="5155"/>
                    <a:stretch>
                      <a:fillRect/>
                    </a:stretch>
                  </pic:blipFill>
                  <pic:spPr bwMode="auto">
                    <a:xfrm>
                      <a:off x="0" y="0"/>
                      <a:ext cx="1475796" cy="1796995"/>
                    </a:xfrm>
                    <a:prstGeom prst="rect">
                      <a:avLst/>
                    </a:prstGeom>
                    <a:noFill/>
                    <a:ln w="9525">
                      <a:noFill/>
                      <a:miter lim="800000"/>
                      <a:headEnd/>
                      <a:tailEnd/>
                    </a:ln>
                  </pic:spPr>
                </pic:pic>
              </a:graphicData>
            </a:graphic>
          </wp:anchor>
        </w:drawing>
      </w: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8F567D" w:rsidRDefault="008F567D" w:rsidP="001420E7">
      <w:pPr>
        <w:pStyle w:val="TAMainText"/>
        <w:ind w:firstLine="187"/>
        <w:rPr>
          <w:rFonts w:ascii="Times New Roman" w:hAnsi="Times New Roman"/>
          <w:lang w:val="pt-BR"/>
        </w:rPr>
      </w:pPr>
    </w:p>
    <w:p w:rsidR="00DA59EE" w:rsidRDefault="00DA59EE" w:rsidP="001420E7">
      <w:pPr>
        <w:pStyle w:val="VAFigureCaption"/>
        <w:spacing w:before="0"/>
        <w:rPr>
          <w:rFonts w:ascii="Times New Roman" w:hAnsi="Times New Roman"/>
          <w:b/>
          <w:lang w:val="pt-BR"/>
        </w:rPr>
      </w:pPr>
    </w:p>
    <w:p w:rsidR="001420E7" w:rsidRPr="00E038AF" w:rsidRDefault="001420E7" w:rsidP="001420E7">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Pr="001420E7">
        <w:rPr>
          <w:rFonts w:ascii="Times New Roman" w:hAnsi="Times New Roman"/>
          <w:lang w:val="pt-BR"/>
        </w:rPr>
        <w:t>Atividade e seletividade dos catalisadores: conversão de CO (A) e seletividade de CO</w:t>
      </w:r>
      <w:r w:rsidRPr="00915AC7">
        <w:rPr>
          <w:rFonts w:ascii="Times New Roman" w:hAnsi="Times New Roman"/>
          <w:vertAlign w:val="subscript"/>
          <w:lang w:val="pt-BR"/>
        </w:rPr>
        <w:t>2</w:t>
      </w:r>
      <w:r w:rsidR="008F567D">
        <w:rPr>
          <w:rFonts w:ascii="Times New Roman" w:hAnsi="Times New Roman"/>
          <w:lang w:val="pt-BR"/>
        </w:rPr>
        <w:t xml:space="preserve"> (B</w:t>
      </w:r>
      <w:r w:rsidRPr="001420E7">
        <w:rPr>
          <w:rFonts w:ascii="Times New Roman" w:hAnsi="Times New Roman"/>
          <w:lang w:val="pt-BR"/>
        </w:rPr>
        <w:t>).</w:t>
      </w:r>
    </w:p>
    <w:p w:rsidR="001420E7" w:rsidRDefault="001420E7" w:rsidP="001420E7">
      <w:pPr>
        <w:pStyle w:val="TAMainText"/>
        <w:ind w:firstLine="187"/>
        <w:rPr>
          <w:rFonts w:ascii="Times New Roman" w:hAnsi="Times New Roman"/>
          <w:lang w:val="pt-BR"/>
        </w:rPr>
      </w:pPr>
    </w:p>
    <w:p w:rsidR="00DA59EE" w:rsidRDefault="00DA59EE" w:rsidP="00DA59EE">
      <w:pPr>
        <w:pStyle w:val="TAMainText"/>
        <w:ind w:firstLine="187"/>
        <w:rPr>
          <w:rFonts w:ascii="Times New Roman" w:hAnsi="Times New Roman"/>
          <w:lang w:val="pt-BR"/>
        </w:rPr>
      </w:pPr>
      <w:r w:rsidRPr="001420E7">
        <w:rPr>
          <w:rFonts w:ascii="Times New Roman" w:hAnsi="Times New Roman"/>
          <w:lang w:val="pt-BR"/>
        </w:rPr>
        <w:t xml:space="preserve">A atividade catalítica é comumente associada em termos de temperatura correspondente a 30 e 50% de conversão de </w:t>
      </w:r>
      <w:r w:rsidRPr="001420E7">
        <w:rPr>
          <w:rFonts w:ascii="Times New Roman" w:hAnsi="Times New Roman"/>
          <w:lang w:val="pt-BR"/>
        </w:rPr>
        <w:lastRenderedPageBreak/>
        <w:t>CO a CO</w:t>
      </w:r>
      <w:r w:rsidRPr="00915AC7">
        <w:rPr>
          <w:rFonts w:ascii="Times New Roman" w:hAnsi="Times New Roman"/>
          <w:vertAlign w:val="subscript"/>
          <w:lang w:val="pt-BR"/>
        </w:rPr>
        <w:t>2</w:t>
      </w:r>
      <w:r w:rsidRPr="001420E7">
        <w:rPr>
          <w:rFonts w:ascii="Times New Roman" w:hAnsi="Times New Roman"/>
          <w:lang w:val="pt-BR"/>
        </w:rPr>
        <w:t xml:space="preserve"> (T</w:t>
      </w:r>
      <w:r w:rsidRPr="00915AC7">
        <w:rPr>
          <w:rFonts w:ascii="Times New Roman" w:hAnsi="Times New Roman"/>
          <w:vertAlign w:val="subscript"/>
          <w:lang w:val="pt-BR"/>
        </w:rPr>
        <w:t>30%CO</w:t>
      </w:r>
      <w:r w:rsidRPr="001420E7">
        <w:rPr>
          <w:rFonts w:ascii="Times New Roman" w:hAnsi="Times New Roman"/>
          <w:lang w:val="pt-BR"/>
        </w:rPr>
        <w:t xml:space="preserve"> e T</w:t>
      </w:r>
      <w:r w:rsidRPr="00915AC7">
        <w:rPr>
          <w:rFonts w:ascii="Times New Roman" w:hAnsi="Times New Roman"/>
          <w:vertAlign w:val="subscript"/>
          <w:lang w:val="pt-BR"/>
        </w:rPr>
        <w:t>50%CO</w:t>
      </w:r>
      <w:r w:rsidRPr="001420E7">
        <w:rPr>
          <w:rFonts w:ascii="Times New Roman" w:hAnsi="Times New Roman"/>
          <w:lang w:val="pt-BR"/>
        </w:rPr>
        <w:t>, respectivamente). À luz desses resultados, pode-se concluir que CoPtAlO e NiPtAlO exibem excelente atividade para a reação PROX</w:t>
      </w:r>
      <w:r>
        <w:rPr>
          <w:rFonts w:ascii="Times New Roman" w:hAnsi="Times New Roman"/>
          <w:lang w:val="pt-BR"/>
        </w:rPr>
        <w:t>-CO</w:t>
      </w:r>
      <w:r w:rsidRPr="001420E7">
        <w:rPr>
          <w:rFonts w:ascii="Times New Roman" w:hAnsi="Times New Roman"/>
          <w:lang w:val="pt-BR"/>
        </w:rPr>
        <w:t xml:space="preserve"> em comparação com o catalisador PtAlO. Esse desempenho evidenciou a superioridade da atividade dos catalisadores m</w:t>
      </w:r>
      <w:r>
        <w:rPr>
          <w:rFonts w:ascii="Times New Roman" w:hAnsi="Times New Roman"/>
          <w:lang w:val="pt-BR"/>
        </w:rPr>
        <w:t>odificados quando comparados ao</w:t>
      </w:r>
      <w:r w:rsidRPr="001420E7">
        <w:rPr>
          <w:rFonts w:ascii="Times New Roman" w:hAnsi="Times New Roman"/>
          <w:lang w:val="pt-BR"/>
        </w:rPr>
        <w:t xml:space="preserve"> de referência. Além disso, a temperatura na qual a conversão de CO atingiu 50% (T</w:t>
      </w:r>
      <w:r w:rsidRPr="00915AC7">
        <w:rPr>
          <w:rFonts w:ascii="Times New Roman" w:hAnsi="Times New Roman"/>
          <w:vertAlign w:val="subscript"/>
          <w:lang w:val="pt-BR"/>
        </w:rPr>
        <w:t>50%CO</w:t>
      </w:r>
      <w:r w:rsidRPr="001420E7">
        <w:rPr>
          <w:rFonts w:ascii="Times New Roman" w:hAnsi="Times New Roman"/>
          <w:lang w:val="pt-BR"/>
        </w:rPr>
        <w:t>) para os catalisadores CoPtAlO é de 90 °C, muito inferior aos 110 °C do catalisador NiPtAlO.</w:t>
      </w:r>
    </w:p>
    <w:p w:rsidR="001420E7" w:rsidRDefault="001420E7" w:rsidP="001420E7">
      <w:pPr>
        <w:pStyle w:val="TAMainText"/>
        <w:ind w:firstLine="187"/>
        <w:rPr>
          <w:rFonts w:ascii="Times New Roman" w:hAnsi="Times New Roman"/>
          <w:lang w:val="pt-BR"/>
        </w:rPr>
      </w:pPr>
      <w:r w:rsidRPr="001420E7">
        <w:rPr>
          <w:rFonts w:ascii="Times New Roman" w:hAnsi="Times New Roman"/>
          <w:lang w:val="pt-BR"/>
        </w:rPr>
        <w:t>As curvas de seletividade de CO</w:t>
      </w:r>
      <w:r w:rsidRPr="00915AC7">
        <w:rPr>
          <w:rFonts w:ascii="Times New Roman" w:hAnsi="Times New Roman"/>
          <w:vertAlign w:val="subscript"/>
          <w:lang w:val="pt-BR"/>
        </w:rPr>
        <w:t>2</w:t>
      </w:r>
      <w:r w:rsidRPr="001420E7">
        <w:rPr>
          <w:rFonts w:ascii="Times New Roman" w:hAnsi="Times New Roman"/>
          <w:lang w:val="pt-BR"/>
        </w:rPr>
        <w:t xml:space="preserve"> são apresentadas na Fig. 1</w:t>
      </w:r>
      <w:r w:rsidR="008F567D">
        <w:rPr>
          <w:rFonts w:ascii="Times New Roman" w:hAnsi="Times New Roman"/>
          <w:lang w:val="pt-BR"/>
        </w:rPr>
        <w:t>B</w:t>
      </w:r>
      <w:r w:rsidRPr="001420E7">
        <w:rPr>
          <w:rFonts w:ascii="Times New Roman" w:hAnsi="Times New Roman"/>
          <w:lang w:val="pt-BR"/>
        </w:rPr>
        <w:t>. Este perfil é muito importante para determinar a adequação do catalisador para uma possível aplicação industrial. Ambos os catalisadores NiPtAlO e CoPtAlO apresentaram seletividade para CO</w:t>
      </w:r>
      <w:r w:rsidRPr="00896123">
        <w:rPr>
          <w:rFonts w:ascii="Times New Roman" w:hAnsi="Times New Roman"/>
          <w:vertAlign w:val="subscript"/>
          <w:lang w:val="pt-BR"/>
        </w:rPr>
        <w:t>2</w:t>
      </w:r>
      <w:r w:rsidRPr="001420E7">
        <w:rPr>
          <w:rFonts w:ascii="Times New Roman" w:hAnsi="Times New Roman"/>
          <w:lang w:val="pt-BR"/>
        </w:rPr>
        <w:t xml:space="preserve"> de 100% em baixa temperatura (até 75 °C), mas esses valores diminuíram drasticamente para 67 e 63%, respectivamente, quando a temperatura da reação aumentou de 75 para 125 °C. Esse fenômeno é causado pela adsorção e oxidação competitivas de H</w:t>
      </w:r>
      <w:r w:rsidRPr="00896123">
        <w:rPr>
          <w:rFonts w:ascii="Times New Roman" w:hAnsi="Times New Roman"/>
          <w:vertAlign w:val="subscript"/>
          <w:lang w:val="pt-BR"/>
        </w:rPr>
        <w:t>2</w:t>
      </w:r>
      <w:r w:rsidRPr="001420E7">
        <w:rPr>
          <w:rFonts w:ascii="Times New Roman" w:hAnsi="Times New Roman"/>
          <w:lang w:val="pt-BR"/>
        </w:rPr>
        <w:t>, o que implica na formação de H</w:t>
      </w:r>
      <w:r w:rsidRPr="00915AC7">
        <w:rPr>
          <w:rFonts w:ascii="Times New Roman" w:hAnsi="Times New Roman"/>
          <w:vertAlign w:val="subscript"/>
          <w:lang w:val="pt-BR"/>
        </w:rPr>
        <w:t>2</w:t>
      </w:r>
      <w:r w:rsidRPr="001420E7">
        <w:rPr>
          <w:rFonts w:ascii="Times New Roman" w:hAnsi="Times New Roman"/>
          <w:lang w:val="pt-BR"/>
        </w:rPr>
        <w:t>O em vez de CO</w:t>
      </w:r>
      <w:r w:rsidRPr="00915AC7">
        <w:rPr>
          <w:rFonts w:ascii="Times New Roman" w:hAnsi="Times New Roman"/>
          <w:vertAlign w:val="subscript"/>
          <w:lang w:val="pt-BR"/>
        </w:rPr>
        <w:t>2</w:t>
      </w:r>
      <w:r w:rsidRPr="001420E7">
        <w:rPr>
          <w:rFonts w:ascii="Times New Roman" w:hAnsi="Times New Roman"/>
          <w:lang w:val="pt-BR"/>
        </w:rPr>
        <w:t>. Como esperado para o catalisador de referência PtAlO, a seletividade ao CO</w:t>
      </w:r>
      <w:r w:rsidRPr="00915AC7">
        <w:rPr>
          <w:rFonts w:ascii="Times New Roman" w:hAnsi="Times New Roman"/>
          <w:vertAlign w:val="subscript"/>
          <w:lang w:val="pt-BR"/>
        </w:rPr>
        <w:t>2</w:t>
      </w:r>
      <w:r w:rsidRPr="001420E7">
        <w:rPr>
          <w:rFonts w:ascii="Times New Roman" w:hAnsi="Times New Roman"/>
          <w:lang w:val="pt-BR"/>
        </w:rPr>
        <w:t xml:space="preserve"> nunca chegou a 100 % permanecendo praticamente nula até cerca de 125 °C, atingindo o valor máximo de 27% a 200 °C. Além disso, uma pequena quantidade de metano (não mostrada) foi detectada para todos os catalisadores, provavelmente devido às indesejáveis reações de metanação de CO ou CO</w:t>
      </w:r>
      <w:r w:rsidRPr="00915AC7">
        <w:rPr>
          <w:rFonts w:ascii="Times New Roman" w:hAnsi="Times New Roman"/>
          <w:vertAlign w:val="subscript"/>
          <w:lang w:val="pt-BR"/>
        </w:rPr>
        <w:t>2</w:t>
      </w:r>
      <w:r w:rsidRPr="001420E7">
        <w:rPr>
          <w:rFonts w:ascii="Times New Roman" w:hAnsi="Times New Roman"/>
          <w:lang w:val="pt-BR"/>
        </w:rPr>
        <w:t xml:space="preserve"> presentes em temperaturas de reação acima de 150 °C [</w:t>
      </w:r>
      <w:r w:rsidR="00FE34B2">
        <w:rPr>
          <w:rFonts w:ascii="Times New Roman" w:hAnsi="Times New Roman"/>
          <w:lang w:val="pt-BR"/>
        </w:rPr>
        <w:t>10</w:t>
      </w:r>
      <w:r w:rsidRPr="001420E7">
        <w:rPr>
          <w:rFonts w:ascii="Times New Roman" w:hAnsi="Times New Roman"/>
          <w:lang w:val="pt-BR"/>
        </w:rPr>
        <w:t xml:space="preserve">]. Isso é consistente com nossos trabalhos anteriores, onde encontramos evidências de metanação </w:t>
      </w:r>
      <w:r w:rsidR="002B20CC">
        <w:rPr>
          <w:rFonts w:ascii="Times New Roman" w:hAnsi="Times New Roman"/>
          <w:lang w:val="pt-BR"/>
        </w:rPr>
        <w:t>acima de pelo menos 150 °C [</w:t>
      </w:r>
      <w:r w:rsidR="00FE34B2">
        <w:rPr>
          <w:rFonts w:ascii="Times New Roman" w:hAnsi="Times New Roman"/>
          <w:lang w:val="pt-BR"/>
        </w:rPr>
        <w:t>1</w:t>
      </w:r>
      <w:r w:rsidRPr="001420E7">
        <w:rPr>
          <w:rFonts w:ascii="Times New Roman" w:hAnsi="Times New Roman"/>
          <w:lang w:val="pt-BR"/>
        </w:rPr>
        <w:t>].</w:t>
      </w:r>
    </w:p>
    <w:p w:rsidR="001420E7" w:rsidRDefault="001420E7" w:rsidP="001420E7">
      <w:pPr>
        <w:pStyle w:val="TAMainText"/>
        <w:ind w:firstLine="187"/>
        <w:rPr>
          <w:rFonts w:ascii="Times New Roman" w:hAnsi="Times New Roman"/>
          <w:lang w:val="pt-BR"/>
        </w:rPr>
      </w:pPr>
      <w:r w:rsidRPr="001420E7">
        <w:rPr>
          <w:rFonts w:ascii="Times New Roman" w:hAnsi="Times New Roman"/>
          <w:lang w:val="pt-BR"/>
        </w:rPr>
        <w:t>Para avaliar a estabilidade</w:t>
      </w:r>
      <w:r w:rsidR="00915AC7">
        <w:rPr>
          <w:rFonts w:ascii="Times New Roman" w:hAnsi="Times New Roman"/>
          <w:lang w:val="pt-BR"/>
        </w:rPr>
        <w:t xml:space="preserve"> dos catalisadores na reação </w:t>
      </w:r>
      <w:r w:rsidRPr="001420E7">
        <w:rPr>
          <w:rFonts w:ascii="Times New Roman" w:hAnsi="Times New Roman"/>
          <w:lang w:val="pt-BR"/>
        </w:rPr>
        <w:t>PROX</w:t>
      </w:r>
      <w:r w:rsidR="00915AC7">
        <w:rPr>
          <w:rFonts w:ascii="Times New Roman" w:hAnsi="Times New Roman"/>
          <w:lang w:val="pt-BR"/>
        </w:rPr>
        <w:t>-CO</w:t>
      </w:r>
      <w:r w:rsidRPr="001420E7">
        <w:rPr>
          <w:rFonts w:ascii="Times New Roman" w:hAnsi="Times New Roman"/>
          <w:lang w:val="pt-BR"/>
        </w:rPr>
        <w:t xml:space="preserve">, experimentos adicionais foram realizados a 200 °C durante 30 horas </w:t>
      </w:r>
      <w:r w:rsidR="00896123">
        <w:rPr>
          <w:rFonts w:ascii="Times New Roman" w:hAnsi="Times New Roman"/>
          <w:lang w:val="pt-BR"/>
        </w:rPr>
        <w:t>de reação</w:t>
      </w:r>
      <w:r w:rsidRPr="001420E7">
        <w:rPr>
          <w:rFonts w:ascii="Times New Roman" w:hAnsi="Times New Roman"/>
          <w:lang w:val="pt-BR"/>
        </w:rPr>
        <w:t xml:space="preserve">. A Fig. 2 mostra </w:t>
      </w:r>
      <w:r w:rsidR="00896123">
        <w:rPr>
          <w:rFonts w:ascii="Times New Roman" w:hAnsi="Times New Roman"/>
          <w:lang w:val="pt-BR"/>
        </w:rPr>
        <w:t>a</w:t>
      </w:r>
      <w:r w:rsidRPr="001420E7">
        <w:rPr>
          <w:rFonts w:ascii="Times New Roman" w:hAnsi="Times New Roman"/>
          <w:lang w:val="pt-BR"/>
        </w:rPr>
        <w:t xml:space="preserve"> convers</w:t>
      </w:r>
      <w:r w:rsidR="00896123">
        <w:rPr>
          <w:rFonts w:ascii="Times New Roman" w:hAnsi="Times New Roman"/>
          <w:lang w:val="pt-BR"/>
        </w:rPr>
        <w:t>ão</w:t>
      </w:r>
      <w:r w:rsidRPr="001420E7">
        <w:rPr>
          <w:rFonts w:ascii="Times New Roman" w:hAnsi="Times New Roman"/>
          <w:lang w:val="pt-BR"/>
        </w:rPr>
        <w:t xml:space="preserve"> de CO e a seletividade para CO</w:t>
      </w:r>
      <w:r w:rsidRPr="00915AC7">
        <w:rPr>
          <w:rFonts w:ascii="Times New Roman" w:hAnsi="Times New Roman"/>
          <w:vertAlign w:val="subscript"/>
          <w:lang w:val="pt-BR"/>
        </w:rPr>
        <w:t>2</w:t>
      </w:r>
      <w:r w:rsidRPr="001420E7">
        <w:rPr>
          <w:rFonts w:ascii="Times New Roman" w:hAnsi="Times New Roman"/>
          <w:lang w:val="pt-BR"/>
        </w:rPr>
        <w:t xml:space="preserve"> em função do tempo </w:t>
      </w:r>
      <w:r w:rsidR="00896123">
        <w:rPr>
          <w:rFonts w:ascii="Times New Roman" w:hAnsi="Times New Roman"/>
          <w:lang w:val="pt-BR"/>
        </w:rPr>
        <w:t>para</w:t>
      </w:r>
      <w:r w:rsidRPr="001420E7">
        <w:rPr>
          <w:rFonts w:ascii="Times New Roman" w:hAnsi="Times New Roman"/>
          <w:lang w:val="pt-BR"/>
        </w:rPr>
        <w:t xml:space="preserve"> todos os catalisadores. Os catalisadores NiPtAlO e CoPtAlO apresentaram boa estabilidade em termos de atividade (conversão de CO) e seletividade de CO</w:t>
      </w:r>
      <w:r w:rsidRPr="00915AC7">
        <w:rPr>
          <w:rFonts w:ascii="Times New Roman" w:hAnsi="Times New Roman"/>
          <w:vertAlign w:val="subscript"/>
          <w:lang w:val="pt-BR"/>
        </w:rPr>
        <w:t>2</w:t>
      </w:r>
      <w:r w:rsidRPr="001420E7">
        <w:rPr>
          <w:rFonts w:ascii="Times New Roman" w:hAnsi="Times New Roman"/>
          <w:lang w:val="pt-BR"/>
        </w:rPr>
        <w:t xml:space="preserve"> durante 30 horas em operação, demonstrando que os catalisadores têm potencial para aplicação prática na reação PROX</w:t>
      </w:r>
      <w:r w:rsidR="00915AC7">
        <w:rPr>
          <w:rFonts w:ascii="Times New Roman" w:hAnsi="Times New Roman"/>
          <w:lang w:val="pt-BR"/>
        </w:rPr>
        <w:t>-CO</w:t>
      </w:r>
      <w:r w:rsidRPr="001420E7">
        <w:rPr>
          <w:rFonts w:ascii="Times New Roman" w:hAnsi="Times New Roman"/>
          <w:lang w:val="pt-BR"/>
        </w:rPr>
        <w:t>.</w:t>
      </w:r>
    </w:p>
    <w:p w:rsidR="00DA59EE" w:rsidRDefault="00DA59EE" w:rsidP="00DA59EE">
      <w:pPr>
        <w:pStyle w:val="TAMainText"/>
        <w:ind w:firstLine="187"/>
        <w:rPr>
          <w:rFonts w:ascii="Times New Roman" w:hAnsi="Times New Roman"/>
          <w:lang w:val="pt-BR"/>
        </w:rPr>
      </w:pPr>
      <w:r w:rsidRPr="003753EA">
        <w:rPr>
          <w:rFonts w:ascii="Times New Roman" w:hAnsi="Times New Roman"/>
          <w:lang w:val="pt-BR"/>
        </w:rPr>
        <w:t>Por outro lado, o catalisador PtAlO apresentou um leve aumento de atividade e seletividade nas primeiras 20 horas de reação, permanecendo praticamente constantes em até 20 horas. A fim de investigar e entender a diferença nos comportamentos catalíticos entre os catalisadores modificados (CoPtAlO e NiPtAlO) e PtAlO, caracterizações adicionais são conduzidas na seção a seguir.</w:t>
      </w:r>
    </w:p>
    <w:p w:rsidR="00DA59EE" w:rsidRDefault="00DA59EE" w:rsidP="001420E7">
      <w:pPr>
        <w:pStyle w:val="TAMainText"/>
        <w:ind w:firstLine="187"/>
        <w:rPr>
          <w:rFonts w:ascii="Times New Roman" w:hAnsi="Times New Roman"/>
          <w:lang w:val="pt-BR"/>
        </w:rPr>
      </w:pPr>
    </w:p>
    <w:p w:rsidR="002B20CC" w:rsidRDefault="002B20CC" w:rsidP="001420E7">
      <w:pPr>
        <w:pStyle w:val="TAMainText"/>
        <w:ind w:firstLine="187"/>
        <w:rPr>
          <w:rFonts w:ascii="Times New Roman" w:hAnsi="Times New Roman"/>
          <w:lang w:val="pt-BR"/>
        </w:rPr>
      </w:pPr>
    </w:p>
    <w:p w:rsidR="002B20CC" w:rsidRDefault="002B20CC" w:rsidP="001420E7">
      <w:pPr>
        <w:pStyle w:val="TAMainText"/>
        <w:ind w:firstLine="187"/>
        <w:rPr>
          <w:rFonts w:ascii="Times New Roman" w:hAnsi="Times New Roman"/>
          <w:lang w:val="pt-BR"/>
        </w:rPr>
      </w:pPr>
    </w:p>
    <w:p w:rsidR="00915AC7" w:rsidRDefault="00915AC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DA59EE" w:rsidP="001420E7">
      <w:pPr>
        <w:pStyle w:val="TAMainText"/>
        <w:ind w:firstLine="187"/>
        <w:rPr>
          <w:rFonts w:ascii="Times New Roman" w:hAnsi="Times New Roman"/>
          <w:lang w:val="pt-BR"/>
        </w:rPr>
      </w:pPr>
      <w:r>
        <w:rPr>
          <w:rFonts w:ascii="Times New Roman" w:hAnsi="Times New Roman"/>
          <w:noProof/>
          <w:lang w:val="pt-BR"/>
        </w:rPr>
        <w:lastRenderedPageBreak/>
        <w:drawing>
          <wp:anchor distT="0" distB="0" distL="114300" distR="114300" simplePos="0" relativeHeight="251674623" behindDoc="0" locked="0" layoutInCell="1" allowOverlap="1">
            <wp:simplePos x="0" y="0"/>
            <wp:positionH relativeFrom="column">
              <wp:posOffset>1476070</wp:posOffset>
            </wp:positionH>
            <wp:positionV relativeFrom="paragraph">
              <wp:posOffset>381</wp:posOffset>
            </wp:positionV>
            <wp:extent cx="1528877" cy="1799539"/>
            <wp:effectExtent l="0" t="0" r="0" b="0"/>
            <wp:wrapNone/>
            <wp:docPr id="2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l="1251" t="9536" r="12893" b="6959"/>
                    <a:stretch>
                      <a:fillRect/>
                    </a:stretch>
                  </pic:blipFill>
                  <pic:spPr bwMode="auto">
                    <a:xfrm>
                      <a:off x="0" y="0"/>
                      <a:ext cx="1528877" cy="1799539"/>
                    </a:xfrm>
                    <a:prstGeom prst="rect">
                      <a:avLst/>
                    </a:prstGeom>
                    <a:noFill/>
                    <a:ln w="9525">
                      <a:noFill/>
                      <a:miter lim="800000"/>
                      <a:headEnd/>
                      <a:tailEnd/>
                    </a:ln>
                  </pic:spPr>
                </pic:pic>
              </a:graphicData>
            </a:graphic>
          </wp:anchor>
        </w:drawing>
      </w:r>
      <w:r>
        <w:rPr>
          <w:rFonts w:ascii="Times New Roman" w:hAnsi="Times New Roman"/>
          <w:noProof/>
          <w:lang w:val="pt-BR"/>
        </w:rPr>
        <w:drawing>
          <wp:anchor distT="0" distB="0" distL="114300" distR="114300" simplePos="0" relativeHeight="251673599" behindDoc="0" locked="0" layoutInCell="1" allowOverlap="1">
            <wp:simplePos x="0" y="0"/>
            <wp:positionH relativeFrom="column">
              <wp:posOffset>10135</wp:posOffset>
            </wp:positionH>
            <wp:positionV relativeFrom="paragraph">
              <wp:posOffset>29642</wp:posOffset>
            </wp:positionV>
            <wp:extent cx="1495196" cy="1799539"/>
            <wp:effectExtent l="19050" t="0" r="0" b="0"/>
            <wp:wrapNone/>
            <wp:docPr id="2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l="4088" t="11082" r="13208" b="6443"/>
                    <a:stretch>
                      <a:fillRect/>
                    </a:stretch>
                  </pic:blipFill>
                  <pic:spPr bwMode="auto">
                    <a:xfrm>
                      <a:off x="0" y="0"/>
                      <a:ext cx="1495196" cy="1799539"/>
                    </a:xfrm>
                    <a:prstGeom prst="rect">
                      <a:avLst/>
                    </a:prstGeom>
                    <a:noFill/>
                    <a:ln w="9525">
                      <a:noFill/>
                      <a:miter lim="800000"/>
                      <a:headEnd/>
                      <a:tailEnd/>
                    </a:ln>
                  </pic:spPr>
                </pic:pic>
              </a:graphicData>
            </a:graphic>
          </wp:anchor>
        </w:drawing>
      </w: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1420E7" w:rsidRDefault="001420E7" w:rsidP="001420E7">
      <w:pPr>
        <w:pStyle w:val="TAMainText"/>
        <w:ind w:firstLine="187"/>
        <w:rPr>
          <w:rFonts w:ascii="Times New Roman" w:hAnsi="Times New Roman"/>
          <w:lang w:val="pt-BR"/>
        </w:rPr>
      </w:pPr>
    </w:p>
    <w:p w:rsidR="008F567D" w:rsidRDefault="008F567D" w:rsidP="001420E7">
      <w:pPr>
        <w:pStyle w:val="TAMainText"/>
        <w:ind w:firstLine="187"/>
        <w:rPr>
          <w:rFonts w:ascii="Times New Roman" w:hAnsi="Times New Roman"/>
          <w:lang w:val="pt-BR"/>
        </w:rPr>
      </w:pPr>
    </w:p>
    <w:p w:rsidR="008F567D" w:rsidRDefault="008F567D" w:rsidP="001420E7">
      <w:pPr>
        <w:pStyle w:val="TAMainText"/>
        <w:ind w:firstLine="187"/>
        <w:rPr>
          <w:rFonts w:ascii="Times New Roman" w:hAnsi="Times New Roman"/>
          <w:lang w:val="pt-BR"/>
        </w:rPr>
      </w:pPr>
    </w:p>
    <w:p w:rsidR="008F567D" w:rsidRDefault="008F567D" w:rsidP="001420E7">
      <w:pPr>
        <w:pStyle w:val="TAMainText"/>
        <w:ind w:firstLine="187"/>
        <w:rPr>
          <w:rFonts w:ascii="Times New Roman" w:hAnsi="Times New Roman"/>
          <w:lang w:val="pt-BR"/>
        </w:rPr>
      </w:pPr>
    </w:p>
    <w:p w:rsidR="001420E7" w:rsidRPr="00E038AF" w:rsidRDefault="001420E7" w:rsidP="001420E7">
      <w:pPr>
        <w:pStyle w:val="VAFigureCaption"/>
        <w:spacing w:before="0"/>
        <w:rPr>
          <w:rFonts w:ascii="Times New Roman" w:hAnsi="Times New Roman"/>
          <w:lang w:val="pt-BR"/>
        </w:rPr>
      </w:pPr>
      <w:r w:rsidRPr="00E038AF">
        <w:rPr>
          <w:rFonts w:ascii="Times New Roman" w:hAnsi="Times New Roman"/>
          <w:b/>
          <w:lang w:val="pt-BR"/>
        </w:rPr>
        <w:t xml:space="preserve">Figura </w:t>
      </w:r>
      <w:r w:rsidR="00DA59EE">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E</w:t>
      </w:r>
      <w:r w:rsidRPr="001420E7">
        <w:rPr>
          <w:rFonts w:ascii="Times New Roman" w:hAnsi="Times New Roman"/>
          <w:lang w:val="pt-BR"/>
        </w:rPr>
        <w:t xml:space="preserve">stabilidade </w:t>
      </w:r>
      <w:r w:rsidR="003753EA">
        <w:rPr>
          <w:rFonts w:ascii="Times New Roman" w:hAnsi="Times New Roman"/>
          <w:lang w:val="pt-BR"/>
        </w:rPr>
        <w:t>d</w:t>
      </w:r>
      <w:r w:rsidRPr="001420E7">
        <w:rPr>
          <w:rFonts w:ascii="Times New Roman" w:hAnsi="Times New Roman"/>
          <w:lang w:val="pt-BR"/>
        </w:rPr>
        <w:t>os catalisadores a 200 °C por 30 h na reação</w:t>
      </w:r>
      <w:r w:rsidR="00896123">
        <w:rPr>
          <w:rFonts w:ascii="Times New Roman" w:hAnsi="Times New Roman"/>
          <w:lang w:val="pt-BR"/>
        </w:rPr>
        <w:t xml:space="preserve"> </w:t>
      </w:r>
      <w:r w:rsidRPr="001420E7">
        <w:rPr>
          <w:rFonts w:ascii="Times New Roman" w:hAnsi="Times New Roman"/>
          <w:lang w:val="pt-BR"/>
        </w:rPr>
        <w:t>PROX</w:t>
      </w:r>
      <w:r w:rsidR="00896123">
        <w:rPr>
          <w:rFonts w:ascii="Times New Roman" w:hAnsi="Times New Roman"/>
          <w:lang w:val="pt-BR"/>
        </w:rPr>
        <w:t>-CO</w:t>
      </w:r>
      <w:r w:rsidRPr="001420E7">
        <w:rPr>
          <w:rFonts w:ascii="Times New Roman" w:hAnsi="Times New Roman"/>
          <w:lang w:val="pt-BR"/>
        </w:rPr>
        <w:t>.</w:t>
      </w:r>
    </w:p>
    <w:p w:rsidR="00AC25D7" w:rsidRDefault="00AC25D7" w:rsidP="00AC25D7">
      <w:pPr>
        <w:pStyle w:val="TAMainText"/>
        <w:ind w:firstLine="0"/>
        <w:rPr>
          <w:rFonts w:ascii="Times New Roman" w:hAnsi="Times New Roman"/>
          <w:i/>
          <w:lang w:val="pt-BR"/>
        </w:rPr>
      </w:pPr>
    </w:p>
    <w:p w:rsidR="003753EA" w:rsidRPr="00AC25D7" w:rsidRDefault="003753EA" w:rsidP="00AC25D7">
      <w:pPr>
        <w:pStyle w:val="TAMainText"/>
        <w:ind w:firstLine="0"/>
        <w:rPr>
          <w:rFonts w:ascii="Times New Roman" w:hAnsi="Times New Roman"/>
          <w:i/>
          <w:lang w:val="pt-BR"/>
        </w:rPr>
      </w:pPr>
      <w:r w:rsidRPr="00AC25D7">
        <w:rPr>
          <w:rFonts w:ascii="Times New Roman" w:hAnsi="Times New Roman"/>
          <w:i/>
          <w:lang w:val="pt-BR"/>
        </w:rPr>
        <w:t>Compo</w:t>
      </w:r>
      <w:r w:rsidR="00915AC7">
        <w:rPr>
          <w:rFonts w:ascii="Times New Roman" w:hAnsi="Times New Roman"/>
          <w:i/>
          <w:lang w:val="pt-BR"/>
        </w:rPr>
        <w:t xml:space="preserve">sição química e propriedades </w:t>
      </w:r>
      <w:r w:rsidRPr="00AC25D7">
        <w:rPr>
          <w:rFonts w:ascii="Times New Roman" w:hAnsi="Times New Roman"/>
          <w:i/>
          <w:lang w:val="pt-BR"/>
        </w:rPr>
        <w:t>textur</w:t>
      </w:r>
      <w:r w:rsidR="00915AC7">
        <w:rPr>
          <w:rFonts w:ascii="Times New Roman" w:hAnsi="Times New Roman"/>
          <w:i/>
          <w:lang w:val="pt-BR"/>
        </w:rPr>
        <w:t>ais</w:t>
      </w:r>
    </w:p>
    <w:p w:rsidR="003753EA" w:rsidRDefault="003753EA" w:rsidP="003753EA">
      <w:pPr>
        <w:pStyle w:val="TAMainText"/>
        <w:ind w:firstLine="187"/>
        <w:rPr>
          <w:rFonts w:ascii="Times New Roman" w:hAnsi="Times New Roman"/>
          <w:lang w:val="pt-BR"/>
        </w:rPr>
      </w:pPr>
      <w:r w:rsidRPr="003753EA">
        <w:rPr>
          <w:rFonts w:ascii="Times New Roman" w:hAnsi="Times New Roman"/>
          <w:lang w:val="pt-BR"/>
        </w:rPr>
        <w:t xml:space="preserve">As composições dos catalisadores foram verificadas por análise de </w:t>
      </w:r>
      <w:r w:rsidR="00BF6814">
        <w:rPr>
          <w:rFonts w:ascii="Times New Roman" w:hAnsi="Times New Roman"/>
          <w:lang w:val="pt-BR"/>
        </w:rPr>
        <w:t>FRX (Tabela 1)</w:t>
      </w:r>
      <w:r w:rsidRPr="003753EA">
        <w:rPr>
          <w:rFonts w:ascii="Times New Roman" w:hAnsi="Times New Roman"/>
          <w:lang w:val="pt-BR"/>
        </w:rPr>
        <w:t xml:space="preserve"> e </w:t>
      </w:r>
      <w:r w:rsidR="00AC25D7">
        <w:rPr>
          <w:rFonts w:ascii="Times New Roman" w:hAnsi="Times New Roman"/>
          <w:lang w:val="pt-BR"/>
        </w:rPr>
        <w:t>os resultados obtido</w:t>
      </w:r>
      <w:r w:rsidRPr="003753EA">
        <w:rPr>
          <w:rFonts w:ascii="Times New Roman" w:hAnsi="Times New Roman"/>
          <w:lang w:val="pt-BR"/>
        </w:rPr>
        <w:t>s</w:t>
      </w:r>
      <w:r w:rsidR="00AC25D7">
        <w:rPr>
          <w:rFonts w:ascii="Times New Roman" w:hAnsi="Times New Roman"/>
          <w:lang w:val="pt-BR"/>
        </w:rPr>
        <w:t xml:space="preserve"> mostraram que as </w:t>
      </w:r>
      <w:r w:rsidRPr="003753EA">
        <w:rPr>
          <w:rFonts w:ascii="Times New Roman" w:hAnsi="Times New Roman"/>
          <w:lang w:val="pt-BR"/>
        </w:rPr>
        <w:t xml:space="preserve">quantidades de Co, Ni e Pt carregadas no suporte de alumina coincidem com os valores nominais dentro do erro experimental. Esta descoberta indica que todos os metais foram impregnados com sucesso na alumina. </w:t>
      </w:r>
      <w:r w:rsidR="00AC25D7">
        <w:rPr>
          <w:rFonts w:ascii="Times New Roman" w:hAnsi="Times New Roman"/>
          <w:lang w:val="pt-BR"/>
        </w:rPr>
        <w:t>T</w:t>
      </w:r>
      <w:r w:rsidRPr="003753EA">
        <w:rPr>
          <w:rFonts w:ascii="Times New Roman" w:hAnsi="Times New Roman"/>
          <w:lang w:val="pt-BR"/>
        </w:rPr>
        <w:t>odas as isotermas</w:t>
      </w:r>
      <w:r w:rsidR="00AC25D7">
        <w:rPr>
          <w:rFonts w:ascii="Times New Roman" w:hAnsi="Times New Roman"/>
          <w:lang w:val="pt-BR"/>
        </w:rPr>
        <w:t xml:space="preserve"> (não mostradas aqui)</w:t>
      </w:r>
      <w:r w:rsidRPr="003753EA">
        <w:rPr>
          <w:rFonts w:ascii="Times New Roman" w:hAnsi="Times New Roman"/>
          <w:lang w:val="pt-BR"/>
        </w:rPr>
        <w:t xml:space="preserve"> exibiram características comuns e são semelhantes em forma ao tipo IV com loops de histerese H1 de acordo com a última definição da IUPAC em 2015 [</w:t>
      </w:r>
      <w:r w:rsidR="00FE34B2">
        <w:rPr>
          <w:rFonts w:ascii="Times New Roman" w:hAnsi="Times New Roman"/>
          <w:lang w:val="pt-BR"/>
        </w:rPr>
        <w:t>11</w:t>
      </w:r>
      <w:r w:rsidRPr="003753EA">
        <w:rPr>
          <w:rFonts w:ascii="Times New Roman" w:hAnsi="Times New Roman"/>
          <w:lang w:val="pt-BR"/>
        </w:rPr>
        <w:t xml:space="preserve">], que são características de materiais mesoporosos com poro cilíndrico. </w:t>
      </w:r>
    </w:p>
    <w:p w:rsidR="00915AC7" w:rsidRDefault="00915AC7" w:rsidP="003753EA">
      <w:pPr>
        <w:pStyle w:val="TAMainText"/>
        <w:ind w:firstLine="187"/>
        <w:rPr>
          <w:rFonts w:ascii="Times New Roman" w:hAnsi="Times New Roman"/>
          <w:lang w:val="pt-BR"/>
        </w:rPr>
      </w:pPr>
    </w:p>
    <w:p w:rsidR="00BF6814" w:rsidRDefault="00BF6814" w:rsidP="00BF6814">
      <w:pPr>
        <w:pStyle w:val="VDTableTitle"/>
        <w:spacing w:after="120"/>
        <w:jc w:val="both"/>
        <w:rPr>
          <w:lang w:val="pt-BR"/>
        </w:rPr>
      </w:pPr>
      <w:r w:rsidRPr="00E038AF">
        <w:rPr>
          <w:rFonts w:ascii="Times New Roman" w:hAnsi="Times New Roman"/>
          <w:b/>
          <w:lang w:val="pt-BR"/>
        </w:rPr>
        <w:t>Tabela 1.</w:t>
      </w:r>
      <w:r w:rsidRPr="00E038AF">
        <w:rPr>
          <w:rFonts w:ascii="Times New Roman" w:hAnsi="Times New Roman"/>
          <w:lang w:val="pt-BR"/>
        </w:rPr>
        <w:t xml:space="preserve"> </w:t>
      </w:r>
      <w:r>
        <w:rPr>
          <w:rFonts w:ascii="Times New Roman" w:hAnsi="Times New Roman"/>
          <w:lang w:val="pt-BR"/>
        </w:rPr>
        <w:t>Propriedades texturais e resultados de FRX.</w:t>
      </w:r>
    </w:p>
    <w:tbl>
      <w:tblPr>
        <w:tblStyle w:val="Tabelacomgrade"/>
        <w:tblW w:w="4820" w:type="dxa"/>
        <w:tblInd w:w="108" w:type="dxa"/>
        <w:tblLayout w:type="fixed"/>
        <w:tblLook w:val="04A0"/>
      </w:tblPr>
      <w:tblGrid>
        <w:gridCol w:w="993"/>
        <w:gridCol w:w="708"/>
        <w:gridCol w:w="851"/>
        <w:gridCol w:w="567"/>
        <w:gridCol w:w="567"/>
        <w:gridCol w:w="567"/>
        <w:gridCol w:w="567"/>
      </w:tblGrid>
      <w:tr w:rsidR="00BF6814" w:rsidTr="002A6C4A">
        <w:tc>
          <w:tcPr>
            <w:tcW w:w="993" w:type="dxa"/>
            <w:vMerge w:val="restart"/>
            <w:vAlign w:val="center"/>
          </w:tcPr>
          <w:p w:rsidR="00BF6814" w:rsidRPr="000012BA" w:rsidRDefault="00BF6814" w:rsidP="002A6C4A">
            <w:pPr>
              <w:pStyle w:val="TAMainText"/>
              <w:ind w:firstLine="0"/>
              <w:jc w:val="center"/>
              <w:rPr>
                <w:rFonts w:cs="Times"/>
                <w:sz w:val="18"/>
                <w:szCs w:val="18"/>
                <w:lang w:val="pt-BR"/>
              </w:rPr>
            </w:pPr>
            <w:r w:rsidRPr="000012BA">
              <w:rPr>
                <w:rFonts w:cs="Times"/>
                <w:sz w:val="18"/>
                <w:szCs w:val="18"/>
                <w:lang w:val="pt-BR"/>
              </w:rPr>
              <w:t>Amostras</w:t>
            </w:r>
          </w:p>
        </w:tc>
        <w:tc>
          <w:tcPr>
            <w:tcW w:w="708" w:type="dxa"/>
            <w:vMerge w:val="restart"/>
            <w:vAlign w:val="center"/>
          </w:tcPr>
          <w:p w:rsidR="00BF6814" w:rsidRPr="000012BA" w:rsidRDefault="00BF6814" w:rsidP="002A6C4A">
            <w:pPr>
              <w:jc w:val="center"/>
              <w:textAlignment w:val="baseline"/>
              <w:rPr>
                <w:rFonts w:ascii="Times" w:hAnsi="Times" w:cs="Times"/>
                <w:sz w:val="18"/>
                <w:szCs w:val="18"/>
                <w:vertAlign w:val="superscript"/>
              </w:rPr>
            </w:pPr>
            <w:r w:rsidRPr="000012BA">
              <w:rPr>
                <w:rFonts w:ascii="Times" w:hAnsi="Times" w:cs="Times"/>
                <w:sz w:val="18"/>
                <w:szCs w:val="18"/>
              </w:rPr>
              <w:t>S</w:t>
            </w:r>
            <w:r w:rsidRPr="000012BA">
              <w:rPr>
                <w:rFonts w:ascii="Times" w:hAnsi="Times" w:cs="Times"/>
                <w:sz w:val="18"/>
                <w:szCs w:val="18"/>
                <w:vertAlign w:val="subscript"/>
              </w:rPr>
              <w:t>BET</w:t>
            </w:r>
            <w:r w:rsidRPr="000012BA">
              <w:rPr>
                <w:rFonts w:ascii="Times" w:hAnsi="Times" w:cs="Times"/>
                <w:sz w:val="18"/>
                <w:szCs w:val="18"/>
                <w:vertAlign w:val="superscript"/>
              </w:rPr>
              <w:t xml:space="preserve"> </w:t>
            </w:r>
            <w:r w:rsidRPr="000012BA">
              <w:rPr>
                <w:rFonts w:ascii="Times" w:hAnsi="Times" w:cs="Times"/>
                <w:sz w:val="18"/>
                <w:szCs w:val="18"/>
              </w:rPr>
              <w:t>(m</w:t>
            </w:r>
            <w:r w:rsidRPr="000012BA">
              <w:rPr>
                <w:rFonts w:ascii="Times" w:hAnsi="Times" w:cs="Times"/>
                <w:sz w:val="18"/>
                <w:szCs w:val="18"/>
                <w:vertAlign w:val="superscript"/>
              </w:rPr>
              <w:t>2</w:t>
            </w:r>
            <w:r w:rsidRPr="000012BA">
              <w:rPr>
                <w:rFonts w:ascii="Times" w:hAnsi="Times" w:cs="Times"/>
                <w:sz w:val="18"/>
                <w:szCs w:val="18"/>
              </w:rPr>
              <w:t>/g)</w:t>
            </w:r>
          </w:p>
        </w:tc>
        <w:tc>
          <w:tcPr>
            <w:tcW w:w="851" w:type="dxa"/>
            <w:vMerge w:val="restart"/>
            <w:vAlign w:val="center"/>
          </w:tcPr>
          <w:p w:rsidR="00BF6814" w:rsidRPr="000012BA" w:rsidRDefault="00BF6814" w:rsidP="002A6C4A">
            <w:pPr>
              <w:jc w:val="center"/>
              <w:textAlignment w:val="baseline"/>
              <w:rPr>
                <w:rFonts w:ascii="Times" w:hAnsi="Times" w:cs="Times"/>
                <w:sz w:val="18"/>
                <w:szCs w:val="18"/>
                <w:vertAlign w:val="superscript"/>
              </w:rPr>
            </w:pPr>
            <w:r w:rsidRPr="000012BA">
              <w:rPr>
                <w:rFonts w:ascii="Times" w:hAnsi="Times" w:cs="Times"/>
                <w:sz w:val="18"/>
                <w:szCs w:val="18"/>
              </w:rPr>
              <w:t>V</w:t>
            </w:r>
            <w:r w:rsidRPr="000012BA">
              <w:rPr>
                <w:rFonts w:ascii="Times" w:hAnsi="Times" w:cs="Times"/>
                <w:sz w:val="18"/>
                <w:szCs w:val="18"/>
                <w:vertAlign w:val="subscript"/>
              </w:rPr>
              <w:t>total</w:t>
            </w:r>
          </w:p>
          <w:p w:rsidR="00BF6814" w:rsidRPr="000012BA" w:rsidRDefault="00BF6814" w:rsidP="002A6C4A">
            <w:pPr>
              <w:jc w:val="center"/>
              <w:textAlignment w:val="baseline"/>
              <w:rPr>
                <w:rFonts w:ascii="Times" w:hAnsi="Times" w:cs="Times"/>
                <w:sz w:val="18"/>
                <w:szCs w:val="18"/>
                <w:vertAlign w:val="superscript"/>
              </w:rPr>
            </w:pPr>
            <w:r w:rsidRPr="000012BA">
              <w:rPr>
                <w:rFonts w:ascii="Times" w:hAnsi="Times" w:cs="Times"/>
                <w:sz w:val="18"/>
                <w:szCs w:val="18"/>
              </w:rPr>
              <w:t>(cm</w:t>
            </w:r>
            <w:r w:rsidRPr="000012BA">
              <w:rPr>
                <w:rFonts w:ascii="Times" w:hAnsi="Times" w:cs="Times"/>
                <w:sz w:val="18"/>
                <w:szCs w:val="18"/>
                <w:vertAlign w:val="superscript"/>
              </w:rPr>
              <w:t>3</w:t>
            </w:r>
            <w:r w:rsidRPr="000012BA">
              <w:rPr>
                <w:rFonts w:ascii="Times" w:hAnsi="Times" w:cs="Times"/>
                <w:sz w:val="18"/>
                <w:szCs w:val="18"/>
              </w:rPr>
              <w:t>/g)</w:t>
            </w:r>
          </w:p>
        </w:tc>
        <w:tc>
          <w:tcPr>
            <w:tcW w:w="567" w:type="dxa"/>
            <w:vMerge w:val="restart"/>
            <w:vAlign w:val="center"/>
          </w:tcPr>
          <w:p w:rsidR="00BF6814" w:rsidRPr="000012BA" w:rsidRDefault="00BF6814" w:rsidP="002A6C4A">
            <w:pPr>
              <w:jc w:val="center"/>
              <w:textAlignment w:val="baseline"/>
              <w:rPr>
                <w:rFonts w:ascii="Times" w:hAnsi="Times" w:cs="Times"/>
                <w:sz w:val="18"/>
                <w:szCs w:val="18"/>
                <w:vertAlign w:val="superscript"/>
              </w:rPr>
            </w:pPr>
            <w:r w:rsidRPr="000012BA">
              <w:rPr>
                <w:rFonts w:ascii="Times" w:hAnsi="Times" w:cs="Times"/>
                <w:sz w:val="18"/>
                <w:szCs w:val="18"/>
              </w:rPr>
              <w:t>D</w:t>
            </w:r>
            <w:r w:rsidRPr="000012BA">
              <w:rPr>
                <w:rFonts w:ascii="Times" w:hAnsi="Times" w:cs="Times"/>
                <w:sz w:val="18"/>
                <w:szCs w:val="18"/>
                <w:vertAlign w:val="subscript"/>
              </w:rPr>
              <w:t>BJH</w:t>
            </w:r>
          </w:p>
          <w:p w:rsidR="00BF6814" w:rsidRPr="000012BA" w:rsidRDefault="00BF6814" w:rsidP="002A6C4A">
            <w:pPr>
              <w:jc w:val="center"/>
              <w:textAlignment w:val="baseline"/>
              <w:rPr>
                <w:rFonts w:ascii="Times" w:hAnsi="Times" w:cs="Times"/>
                <w:sz w:val="18"/>
                <w:szCs w:val="18"/>
              </w:rPr>
            </w:pPr>
            <w:r w:rsidRPr="000012BA">
              <w:rPr>
                <w:rFonts w:ascii="Times" w:hAnsi="Times" w:cs="Times"/>
                <w:sz w:val="18"/>
                <w:szCs w:val="18"/>
              </w:rPr>
              <w:t>(Å)</w:t>
            </w:r>
          </w:p>
        </w:tc>
        <w:tc>
          <w:tcPr>
            <w:tcW w:w="1701" w:type="dxa"/>
            <w:gridSpan w:val="3"/>
            <w:vAlign w:val="center"/>
          </w:tcPr>
          <w:p w:rsidR="00BF6814" w:rsidRDefault="00BF6814" w:rsidP="002A6C4A">
            <w:pPr>
              <w:jc w:val="center"/>
              <w:textAlignment w:val="baseline"/>
            </w:pPr>
            <w:r w:rsidRPr="000012BA">
              <w:rPr>
                <w:rFonts w:ascii="Times" w:hAnsi="Times" w:cs="Times"/>
                <w:sz w:val="18"/>
                <w:szCs w:val="18"/>
              </w:rPr>
              <w:t>Composição Química (%p/p)</w:t>
            </w:r>
          </w:p>
        </w:tc>
      </w:tr>
      <w:tr w:rsidR="00BF6814" w:rsidTr="002A6C4A">
        <w:tc>
          <w:tcPr>
            <w:tcW w:w="993" w:type="dxa"/>
            <w:vMerge/>
            <w:vAlign w:val="center"/>
          </w:tcPr>
          <w:p w:rsidR="00BF6814" w:rsidRPr="000012BA" w:rsidRDefault="00BF6814" w:rsidP="002A6C4A">
            <w:pPr>
              <w:pStyle w:val="TAMainText"/>
              <w:ind w:firstLine="0"/>
              <w:jc w:val="center"/>
              <w:rPr>
                <w:rFonts w:cs="Times"/>
                <w:sz w:val="18"/>
                <w:szCs w:val="18"/>
                <w:lang w:val="pt-BR"/>
              </w:rPr>
            </w:pPr>
          </w:p>
        </w:tc>
        <w:tc>
          <w:tcPr>
            <w:tcW w:w="708" w:type="dxa"/>
            <w:vMerge/>
            <w:vAlign w:val="center"/>
          </w:tcPr>
          <w:p w:rsidR="00BF6814" w:rsidRPr="000012BA" w:rsidRDefault="00BF6814" w:rsidP="002A6C4A">
            <w:pPr>
              <w:jc w:val="center"/>
              <w:rPr>
                <w:rFonts w:ascii="Times" w:hAnsi="Times" w:cs="Times"/>
                <w:sz w:val="18"/>
                <w:szCs w:val="18"/>
              </w:rPr>
            </w:pPr>
          </w:p>
        </w:tc>
        <w:tc>
          <w:tcPr>
            <w:tcW w:w="851" w:type="dxa"/>
            <w:vMerge/>
            <w:vAlign w:val="center"/>
          </w:tcPr>
          <w:p w:rsidR="00BF6814" w:rsidRPr="000012BA" w:rsidRDefault="00BF6814" w:rsidP="002A6C4A">
            <w:pPr>
              <w:jc w:val="center"/>
              <w:rPr>
                <w:rFonts w:ascii="Times" w:hAnsi="Times" w:cs="Times"/>
                <w:sz w:val="18"/>
                <w:szCs w:val="18"/>
              </w:rPr>
            </w:pPr>
          </w:p>
        </w:tc>
        <w:tc>
          <w:tcPr>
            <w:tcW w:w="567" w:type="dxa"/>
            <w:vMerge/>
            <w:vAlign w:val="center"/>
          </w:tcPr>
          <w:p w:rsidR="00BF6814" w:rsidRPr="000012BA" w:rsidRDefault="00BF6814" w:rsidP="002A6C4A">
            <w:pPr>
              <w:jc w:val="center"/>
              <w:rPr>
                <w:rFonts w:ascii="Times" w:hAnsi="Times" w:cs="Times"/>
                <w:sz w:val="18"/>
                <w:szCs w:val="18"/>
              </w:rPr>
            </w:pPr>
          </w:p>
        </w:tc>
        <w:tc>
          <w:tcPr>
            <w:tcW w:w="567"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Pt</w:t>
            </w:r>
          </w:p>
        </w:tc>
        <w:tc>
          <w:tcPr>
            <w:tcW w:w="567"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NiO</w:t>
            </w:r>
          </w:p>
        </w:tc>
        <w:tc>
          <w:tcPr>
            <w:tcW w:w="567"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CoO</w:t>
            </w:r>
          </w:p>
        </w:tc>
      </w:tr>
      <w:tr w:rsidR="00BF6814" w:rsidTr="002A6C4A">
        <w:tc>
          <w:tcPr>
            <w:tcW w:w="993" w:type="dxa"/>
            <w:vAlign w:val="center"/>
          </w:tcPr>
          <w:p w:rsidR="00BF6814" w:rsidRPr="000012BA" w:rsidRDefault="00BF6814" w:rsidP="002A6C4A">
            <w:pPr>
              <w:pStyle w:val="TAMainText"/>
              <w:ind w:firstLine="0"/>
              <w:jc w:val="center"/>
              <w:rPr>
                <w:rFonts w:cs="Times"/>
                <w:sz w:val="18"/>
                <w:szCs w:val="18"/>
                <w:lang w:val="pt-BR"/>
              </w:rPr>
            </w:pPr>
            <w:r w:rsidRPr="000012BA">
              <w:rPr>
                <w:rFonts w:cs="Times"/>
                <w:sz w:val="18"/>
                <w:szCs w:val="18"/>
                <w:lang w:val="pt-BR"/>
              </w:rPr>
              <w:t>AlO</w:t>
            </w:r>
          </w:p>
        </w:tc>
        <w:tc>
          <w:tcPr>
            <w:tcW w:w="708"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140</w:t>
            </w:r>
          </w:p>
        </w:tc>
        <w:tc>
          <w:tcPr>
            <w:tcW w:w="851"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0.364</w:t>
            </w:r>
          </w:p>
        </w:tc>
        <w:tc>
          <w:tcPr>
            <w:tcW w:w="567"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73</w:t>
            </w:r>
          </w:p>
        </w:tc>
        <w:tc>
          <w:tcPr>
            <w:tcW w:w="567" w:type="dxa"/>
            <w:vAlign w:val="center"/>
          </w:tcPr>
          <w:p w:rsidR="00BF6814" w:rsidRPr="000012BA" w:rsidRDefault="00BF6814" w:rsidP="002A6C4A">
            <w:pPr>
              <w:pStyle w:val="TAMainText"/>
              <w:ind w:firstLine="0"/>
              <w:jc w:val="center"/>
              <w:rPr>
                <w:rFonts w:cs="Times"/>
                <w:sz w:val="18"/>
                <w:szCs w:val="18"/>
                <w:lang w:val="pt-BR"/>
              </w:rPr>
            </w:pPr>
            <w:r>
              <w:rPr>
                <w:rFonts w:cs="Times"/>
                <w:sz w:val="18"/>
                <w:szCs w:val="18"/>
                <w:lang w:val="pt-BR"/>
              </w:rPr>
              <w:t>-</w:t>
            </w:r>
          </w:p>
        </w:tc>
        <w:tc>
          <w:tcPr>
            <w:tcW w:w="567" w:type="dxa"/>
            <w:vAlign w:val="center"/>
          </w:tcPr>
          <w:p w:rsidR="00BF6814" w:rsidRDefault="00BF6814" w:rsidP="002A6C4A">
            <w:pPr>
              <w:pStyle w:val="TAMainText"/>
              <w:ind w:firstLine="0"/>
              <w:jc w:val="center"/>
              <w:rPr>
                <w:lang w:val="pt-BR"/>
              </w:rPr>
            </w:pPr>
            <w:r>
              <w:rPr>
                <w:lang w:val="pt-BR"/>
              </w:rPr>
              <w:t>-</w:t>
            </w:r>
          </w:p>
        </w:tc>
        <w:tc>
          <w:tcPr>
            <w:tcW w:w="567" w:type="dxa"/>
            <w:vAlign w:val="center"/>
          </w:tcPr>
          <w:p w:rsidR="00BF6814" w:rsidRDefault="00BF6814" w:rsidP="002A6C4A">
            <w:pPr>
              <w:pStyle w:val="TAMainText"/>
              <w:ind w:firstLine="0"/>
              <w:jc w:val="center"/>
              <w:rPr>
                <w:lang w:val="pt-BR"/>
              </w:rPr>
            </w:pPr>
            <w:r>
              <w:rPr>
                <w:lang w:val="pt-BR"/>
              </w:rPr>
              <w:t>-</w:t>
            </w:r>
          </w:p>
        </w:tc>
      </w:tr>
      <w:tr w:rsidR="00BF6814" w:rsidTr="002A6C4A">
        <w:tc>
          <w:tcPr>
            <w:tcW w:w="993" w:type="dxa"/>
            <w:vAlign w:val="center"/>
          </w:tcPr>
          <w:p w:rsidR="00BF6814" w:rsidRPr="000012BA" w:rsidRDefault="00BF6814" w:rsidP="002A6C4A">
            <w:pPr>
              <w:pStyle w:val="TAMainText"/>
              <w:ind w:firstLine="0"/>
              <w:jc w:val="center"/>
              <w:rPr>
                <w:rFonts w:cs="Times"/>
                <w:sz w:val="18"/>
                <w:szCs w:val="18"/>
                <w:lang w:val="pt-BR"/>
              </w:rPr>
            </w:pPr>
            <w:r w:rsidRPr="000012BA">
              <w:rPr>
                <w:rFonts w:cs="Times"/>
                <w:sz w:val="18"/>
                <w:szCs w:val="18"/>
                <w:lang w:val="pt-BR"/>
              </w:rPr>
              <w:t>PtAlO</w:t>
            </w:r>
          </w:p>
        </w:tc>
        <w:tc>
          <w:tcPr>
            <w:tcW w:w="708"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135</w:t>
            </w:r>
          </w:p>
        </w:tc>
        <w:tc>
          <w:tcPr>
            <w:tcW w:w="851"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0.413</w:t>
            </w:r>
          </w:p>
        </w:tc>
        <w:tc>
          <w:tcPr>
            <w:tcW w:w="567"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79</w:t>
            </w:r>
          </w:p>
        </w:tc>
        <w:tc>
          <w:tcPr>
            <w:tcW w:w="567" w:type="dxa"/>
            <w:vAlign w:val="center"/>
          </w:tcPr>
          <w:p w:rsidR="00BF6814" w:rsidRPr="000012BA" w:rsidRDefault="00BF6814" w:rsidP="002A6C4A">
            <w:pPr>
              <w:pStyle w:val="TAMainText"/>
              <w:ind w:firstLine="0"/>
              <w:jc w:val="center"/>
              <w:rPr>
                <w:rFonts w:cs="Times"/>
                <w:sz w:val="18"/>
                <w:szCs w:val="18"/>
                <w:lang w:val="pt-BR"/>
              </w:rPr>
            </w:pPr>
            <w:r>
              <w:rPr>
                <w:rFonts w:cs="Times"/>
                <w:sz w:val="18"/>
                <w:szCs w:val="18"/>
                <w:lang w:val="pt-BR"/>
              </w:rPr>
              <w:t>2,1</w:t>
            </w:r>
          </w:p>
        </w:tc>
        <w:tc>
          <w:tcPr>
            <w:tcW w:w="567" w:type="dxa"/>
            <w:vAlign w:val="center"/>
          </w:tcPr>
          <w:p w:rsidR="00BF6814" w:rsidRDefault="00BF6814" w:rsidP="002A6C4A">
            <w:pPr>
              <w:pStyle w:val="TAMainText"/>
              <w:ind w:firstLine="0"/>
              <w:jc w:val="center"/>
              <w:rPr>
                <w:lang w:val="pt-BR"/>
              </w:rPr>
            </w:pPr>
            <w:r>
              <w:rPr>
                <w:lang w:val="pt-BR"/>
              </w:rPr>
              <w:t>-</w:t>
            </w:r>
          </w:p>
        </w:tc>
        <w:tc>
          <w:tcPr>
            <w:tcW w:w="567" w:type="dxa"/>
            <w:vAlign w:val="center"/>
          </w:tcPr>
          <w:p w:rsidR="00BF6814" w:rsidRDefault="00BF6814" w:rsidP="002A6C4A">
            <w:pPr>
              <w:pStyle w:val="TAMainText"/>
              <w:ind w:firstLine="0"/>
              <w:jc w:val="center"/>
              <w:rPr>
                <w:lang w:val="pt-BR"/>
              </w:rPr>
            </w:pPr>
            <w:r>
              <w:rPr>
                <w:lang w:val="pt-BR"/>
              </w:rPr>
              <w:t>-</w:t>
            </w:r>
          </w:p>
        </w:tc>
      </w:tr>
      <w:tr w:rsidR="00BF6814" w:rsidTr="002A6C4A">
        <w:tc>
          <w:tcPr>
            <w:tcW w:w="993" w:type="dxa"/>
            <w:vAlign w:val="center"/>
          </w:tcPr>
          <w:p w:rsidR="00BF6814" w:rsidRPr="000012BA" w:rsidRDefault="00BF6814" w:rsidP="002A6C4A">
            <w:pPr>
              <w:pStyle w:val="TAMainText"/>
              <w:ind w:firstLine="0"/>
              <w:jc w:val="center"/>
              <w:rPr>
                <w:rFonts w:cs="Times"/>
                <w:sz w:val="18"/>
                <w:szCs w:val="18"/>
                <w:lang w:val="pt-BR"/>
              </w:rPr>
            </w:pPr>
            <w:r w:rsidRPr="000012BA">
              <w:rPr>
                <w:rFonts w:cs="Times"/>
                <w:sz w:val="18"/>
                <w:szCs w:val="18"/>
                <w:lang w:val="pt-BR"/>
              </w:rPr>
              <w:t>CoPtAlO</w:t>
            </w:r>
          </w:p>
        </w:tc>
        <w:tc>
          <w:tcPr>
            <w:tcW w:w="708"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130</w:t>
            </w:r>
          </w:p>
        </w:tc>
        <w:tc>
          <w:tcPr>
            <w:tcW w:w="851"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0.393</w:t>
            </w:r>
          </w:p>
        </w:tc>
        <w:tc>
          <w:tcPr>
            <w:tcW w:w="567"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79</w:t>
            </w:r>
          </w:p>
        </w:tc>
        <w:tc>
          <w:tcPr>
            <w:tcW w:w="567" w:type="dxa"/>
            <w:vAlign w:val="center"/>
          </w:tcPr>
          <w:p w:rsidR="00BF6814" w:rsidRPr="000012BA" w:rsidRDefault="00BF6814" w:rsidP="002A6C4A">
            <w:pPr>
              <w:pStyle w:val="TAMainText"/>
              <w:ind w:firstLine="0"/>
              <w:jc w:val="center"/>
              <w:rPr>
                <w:rFonts w:cs="Times"/>
                <w:sz w:val="18"/>
                <w:szCs w:val="18"/>
                <w:lang w:val="pt-BR"/>
              </w:rPr>
            </w:pPr>
            <w:r>
              <w:rPr>
                <w:rFonts w:cs="Times"/>
                <w:sz w:val="18"/>
                <w:szCs w:val="18"/>
                <w:lang w:val="pt-BR"/>
              </w:rPr>
              <w:t>2,1</w:t>
            </w:r>
          </w:p>
        </w:tc>
        <w:tc>
          <w:tcPr>
            <w:tcW w:w="567" w:type="dxa"/>
            <w:vAlign w:val="center"/>
          </w:tcPr>
          <w:p w:rsidR="00BF6814" w:rsidRDefault="00BF6814" w:rsidP="002A6C4A">
            <w:pPr>
              <w:pStyle w:val="TAMainText"/>
              <w:ind w:firstLine="0"/>
              <w:jc w:val="center"/>
              <w:rPr>
                <w:lang w:val="pt-BR"/>
              </w:rPr>
            </w:pPr>
            <w:r>
              <w:rPr>
                <w:lang w:val="pt-BR"/>
              </w:rPr>
              <w:t>-</w:t>
            </w:r>
          </w:p>
        </w:tc>
        <w:tc>
          <w:tcPr>
            <w:tcW w:w="567" w:type="dxa"/>
            <w:vAlign w:val="center"/>
          </w:tcPr>
          <w:p w:rsidR="00BF6814" w:rsidRDefault="00BF6814" w:rsidP="002A6C4A">
            <w:pPr>
              <w:pStyle w:val="TAMainText"/>
              <w:ind w:firstLine="0"/>
              <w:jc w:val="center"/>
              <w:rPr>
                <w:lang w:val="pt-BR"/>
              </w:rPr>
            </w:pPr>
            <w:r>
              <w:rPr>
                <w:lang w:val="pt-BR"/>
              </w:rPr>
              <w:t>3,1</w:t>
            </w:r>
          </w:p>
        </w:tc>
      </w:tr>
      <w:tr w:rsidR="00BF6814" w:rsidTr="002A6C4A">
        <w:tc>
          <w:tcPr>
            <w:tcW w:w="993" w:type="dxa"/>
            <w:vAlign w:val="center"/>
          </w:tcPr>
          <w:p w:rsidR="00BF6814" w:rsidRPr="000012BA" w:rsidRDefault="00BF6814" w:rsidP="002A6C4A">
            <w:pPr>
              <w:pStyle w:val="TAMainText"/>
              <w:ind w:firstLine="0"/>
              <w:jc w:val="center"/>
              <w:rPr>
                <w:rFonts w:cs="Times"/>
                <w:sz w:val="18"/>
                <w:szCs w:val="18"/>
                <w:lang w:val="pt-BR"/>
              </w:rPr>
            </w:pPr>
            <w:r w:rsidRPr="000012BA">
              <w:rPr>
                <w:rFonts w:cs="Times"/>
                <w:sz w:val="18"/>
                <w:szCs w:val="18"/>
                <w:lang w:val="pt-BR"/>
              </w:rPr>
              <w:t>NiPtAlO</w:t>
            </w:r>
          </w:p>
        </w:tc>
        <w:tc>
          <w:tcPr>
            <w:tcW w:w="708"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133</w:t>
            </w:r>
          </w:p>
        </w:tc>
        <w:tc>
          <w:tcPr>
            <w:tcW w:w="851"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0.377</w:t>
            </w:r>
          </w:p>
        </w:tc>
        <w:tc>
          <w:tcPr>
            <w:tcW w:w="567" w:type="dxa"/>
            <w:vAlign w:val="center"/>
          </w:tcPr>
          <w:p w:rsidR="00BF6814" w:rsidRPr="000012BA" w:rsidRDefault="00BF6814" w:rsidP="002A6C4A">
            <w:pPr>
              <w:jc w:val="center"/>
              <w:rPr>
                <w:rFonts w:ascii="Times" w:hAnsi="Times" w:cs="Times"/>
                <w:sz w:val="18"/>
                <w:szCs w:val="18"/>
              </w:rPr>
            </w:pPr>
            <w:r w:rsidRPr="000012BA">
              <w:rPr>
                <w:rFonts w:ascii="Times" w:hAnsi="Times" w:cs="Times"/>
                <w:sz w:val="18"/>
                <w:szCs w:val="18"/>
              </w:rPr>
              <w:t>78</w:t>
            </w:r>
          </w:p>
        </w:tc>
        <w:tc>
          <w:tcPr>
            <w:tcW w:w="567" w:type="dxa"/>
            <w:vAlign w:val="center"/>
          </w:tcPr>
          <w:p w:rsidR="00BF6814" w:rsidRPr="000012BA" w:rsidRDefault="00BF6814" w:rsidP="002A6C4A">
            <w:pPr>
              <w:pStyle w:val="TAMainText"/>
              <w:ind w:firstLine="0"/>
              <w:jc w:val="center"/>
              <w:rPr>
                <w:rFonts w:cs="Times"/>
                <w:sz w:val="18"/>
                <w:szCs w:val="18"/>
                <w:lang w:val="pt-BR"/>
              </w:rPr>
            </w:pPr>
            <w:r>
              <w:rPr>
                <w:rFonts w:cs="Times"/>
                <w:sz w:val="18"/>
                <w:szCs w:val="18"/>
                <w:lang w:val="pt-BR"/>
              </w:rPr>
              <w:t>2,1</w:t>
            </w:r>
          </w:p>
        </w:tc>
        <w:tc>
          <w:tcPr>
            <w:tcW w:w="567" w:type="dxa"/>
            <w:vAlign w:val="center"/>
          </w:tcPr>
          <w:p w:rsidR="00BF6814" w:rsidRDefault="00BF6814" w:rsidP="002A6C4A">
            <w:pPr>
              <w:pStyle w:val="TAMainText"/>
              <w:ind w:firstLine="0"/>
              <w:jc w:val="center"/>
              <w:rPr>
                <w:lang w:val="pt-BR"/>
              </w:rPr>
            </w:pPr>
            <w:r>
              <w:rPr>
                <w:lang w:val="pt-BR"/>
              </w:rPr>
              <w:t>2,9</w:t>
            </w:r>
          </w:p>
        </w:tc>
        <w:tc>
          <w:tcPr>
            <w:tcW w:w="567" w:type="dxa"/>
            <w:vAlign w:val="center"/>
          </w:tcPr>
          <w:p w:rsidR="00BF6814" w:rsidRDefault="00BF6814" w:rsidP="002A6C4A">
            <w:pPr>
              <w:pStyle w:val="TAMainText"/>
              <w:ind w:firstLine="0"/>
              <w:jc w:val="center"/>
              <w:rPr>
                <w:lang w:val="pt-BR"/>
              </w:rPr>
            </w:pPr>
            <w:r>
              <w:rPr>
                <w:lang w:val="pt-BR"/>
              </w:rPr>
              <w:t>-</w:t>
            </w:r>
          </w:p>
        </w:tc>
      </w:tr>
    </w:tbl>
    <w:p w:rsidR="00BF6814" w:rsidRPr="00CC04AB" w:rsidRDefault="00BF6814" w:rsidP="00BF6814">
      <w:pPr>
        <w:pStyle w:val="TAMainText"/>
        <w:rPr>
          <w:lang w:val="pt-BR"/>
        </w:rPr>
      </w:pPr>
    </w:p>
    <w:p w:rsidR="00915AC7" w:rsidRPr="00915AC7" w:rsidRDefault="00915AC7" w:rsidP="00915AC7">
      <w:pPr>
        <w:pStyle w:val="TAMainText"/>
        <w:ind w:firstLine="0"/>
        <w:rPr>
          <w:rFonts w:ascii="Times New Roman" w:hAnsi="Times New Roman"/>
          <w:i/>
          <w:lang w:val="pt-BR"/>
        </w:rPr>
      </w:pPr>
      <w:r w:rsidRPr="00915AC7">
        <w:rPr>
          <w:rFonts w:ascii="Times New Roman" w:hAnsi="Times New Roman"/>
          <w:i/>
          <w:lang w:val="pt-BR"/>
        </w:rPr>
        <w:t>Propriedades estruturais e superficiais dos catalisadores</w:t>
      </w:r>
    </w:p>
    <w:p w:rsidR="003753EA" w:rsidRDefault="005D7D2C" w:rsidP="00915AC7">
      <w:pPr>
        <w:pStyle w:val="TAMainText"/>
        <w:ind w:firstLine="187"/>
        <w:rPr>
          <w:rFonts w:ascii="Times New Roman" w:hAnsi="Times New Roman"/>
          <w:lang w:val="pt-BR"/>
        </w:rPr>
      </w:pPr>
      <w:r>
        <w:rPr>
          <w:rFonts w:ascii="Times New Roman" w:hAnsi="Times New Roman"/>
          <w:lang w:val="pt-BR"/>
        </w:rPr>
        <w:t>Os resultados</w:t>
      </w:r>
      <w:r w:rsidR="00915AC7" w:rsidRPr="00915AC7">
        <w:rPr>
          <w:rFonts w:ascii="Times New Roman" w:hAnsi="Times New Roman"/>
          <w:lang w:val="pt-BR"/>
        </w:rPr>
        <w:t xml:space="preserve"> </w:t>
      </w:r>
      <w:r w:rsidR="00F80A06" w:rsidRPr="00F80A06">
        <w:rPr>
          <w:rFonts w:ascii="Times New Roman" w:hAnsi="Times New Roman"/>
          <w:lang w:val="pt-BR"/>
        </w:rPr>
        <w:t>das anális</w:t>
      </w:r>
      <w:r w:rsidRPr="00F80A06">
        <w:rPr>
          <w:rFonts w:ascii="Times New Roman" w:hAnsi="Times New Roman"/>
          <w:lang w:val="pt-BR"/>
        </w:rPr>
        <w:t xml:space="preserve">es de DRX </w:t>
      </w:r>
      <w:r w:rsidR="00915AC7" w:rsidRPr="00F80A06">
        <w:rPr>
          <w:rFonts w:ascii="Times New Roman" w:hAnsi="Times New Roman"/>
          <w:lang w:val="pt-BR"/>
        </w:rPr>
        <w:t>são apresentados na Figura 3. O suporte de AlO exibe</w:t>
      </w:r>
      <w:r w:rsidR="00915AC7" w:rsidRPr="00915AC7">
        <w:rPr>
          <w:rFonts w:ascii="Times New Roman" w:hAnsi="Times New Roman"/>
          <w:lang w:val="pt-BR"/>
        </w:rPr>
        <w:t xml:space="preserve"> picos largos localizados em torno de 2θ = 37,2, 39,3, 45,4, 59,4 e 66,7° correspondentes a os planos de difração (311), (222), (400), (511) e (440), respectivamente, característicos da fase γ-Al</w:t>
      </w:r>
      <w:r w:rsidR="00915AC7" w:rsidRPr="00915AC7">
        <w:rPr>
          <w:rFonts w:ascii="Times New Roman" w:hAnsi="Times New Roman"/>
          <w:vertAlign w:val="subscript"/>
          <w:lang w:val="pt-BR"/>
        </w:rPr>
        <w:t>2</w:t>
      </w:r>
      <w:r w:rsidR="00915AC7" w:rsidRPr="00915AC7">
        <w:rPr>
          <w:rFonts w:ascii="Times New Roman" w:hAnsi="Times New Roman"/>
          <w:lang w:val="pt-BR"/>
        </w:rPr>
        <w:t>O</w:t>
      </w:r>
      <w:r w:rsidR="00915AC7" w:rsidRPr="00915AC7">
        <w:rPr>
          <w:rFonts w:ascii="Times New Roman" w:hAnsi="Times New Roman"/>
          <w:vertAlign w:val="subscript"/>
          <w:lang w:val="pt-BR"/>
        </w:rPr>
        <w:t>3</w:t>
      </w:r>
      <w:r w:rsidR="00915AC7" w:rsidRPr="00915AC7">
        <w:rPr>
          <w:rFonts w:ascii="Times New Roman" w:hAnsi="Times New Roman"/>
          <w:lang w:val="pt-BR"/>
        </w:rPr>
        <w:t xml:space="preserve"> (JCPDS 10-0425) com baixa cristalinidade. Essas reflexões também foram observadas nos padrões XRD de todos os catalisadores. Nenhum outro pico de difração devido a precursores ou impurezas foi detectado. É importante ressaltar que um pequeno pico de difração localizado em 2θ = 33,5° no padrão </w:t>
      </w:r>
      <w:r>
        <w:rPr>
          <w:rFonts w:ascii="Times New Roman" w:hAnsi="Times New Roman"/>
          <w:lang w:val="pt-BR"/>
        </w:rPr>
        <w:t>DRX</w:t>
      </w:r>
      <w:r w:rsidR="00915AC7" w:rsidRPr="00915AC7">
        <w:rPr>
          <w:rFonts w:ascii="Times New Roman" w:hAnsi="Times New Roman"/>
          <w:lang w:val="pt-BR"/>
        </w:rPr>
        <w:t xml:space="preserve"> do catalisador PtAlO</w:t>
      </w:r>
      <w:r>
        <w:rPr>
          <w:rFonts w:ascii="Times New Roman" w:hAnsi="Times New Roman"/>
          <w:lang w:val="pt-BR"/>
        </w:rPr>
        <w:t>,</w:t>
      </w:r>
      <w:r w:rsidR="00915AC7" w:rsidRPr="00915AC7">
        <w:rPr>
          <w:rFonts w:ascii="Times New Roman" w:hAnsi="Times New Roman"/>
          <w:lang w:val="pt-BR"/>
        </w:rPr>
        <w:t xml:space="preserve"> correspondente às facetas (101)</w:t>
      </w:r>
      <w:r>
        <w:rPr>
          <w:rFonts w:ascii="Times New Roman" w:hAnsi="Times New Roman"/>
          <w:lang w:val="pt-BR"/>
        </w:rPr>
        <w:t>,</w:t>
      </w:r>
      <w:r w:rsidR="00915AC7" w:rsidRPr="00915AC7">
        <w:rPr>
          <w:rFonts w:ascii="Times New Roman" w:hAnsi="Times New Roman"/>
          <w:lang w:val="pt-BR"/>
        </w:rPr>
        <w:t xml:space="preserve"> pode ser associado à fase PtO (JCPDS 42-0866). Um resultado semelhante foi observado </w:t>
      </w:r>
      <w:r>
        <w:rPr>
          <w:rFonts w:ascii="Times New Roman" w:hAnsi="Times New Roman"/>
          <w:lang w:val="pt-BR"/>
        </w:rPr>
        <w:t>para o</w:t>
      </w:r>
      <w:r w:rsidR="00915AC7" w:rsidRPr="00915AC7">
        <w:rPr>
          <w:rFonts w:ascii="Times New Roman" w:hAnsi="Times New Roman"/>
          <w:lang w:val="pt-BR"/>
        </w:rPr>
        <w:t xml:space="preserve"> catalisador NiPtAlO, sugerindo que as espécies de Pt foram pouco dispersas no suporte de alumina.</w:t>
      </w:r>
    </w:p>
    <w:p w:rsidR="005D7D2C" w:rsidRDefault="00DA59EE" w:rsidP="00915AC7">
      <w:pPr>
        <w:pStyle w:val="TAMainText"/>
        <w:ind w:firstLine="187"/>
        <w:rPr>
          <w:rFonts w:ascii="Times New Roman" w:hAnsi="Times New Roman"/>
          <w:lang w:val="pt-BR"/>
        </w:rPr>
      </w:pPr>
      <w:r w:rsidRPr="003753EA">
        <w:rPr>
          <w:rFonts w:ascii="Times New Roman" w:hAnsi="Times New Roman"/>
          <w:lang w:val="pt-BR"/>
        </w:rPr>
        <w:lastRenderedPageBreak/>
        <w:t>O catalisador CoPtAlO exibiu apenas picos de difração localizados em 2θ = 31,2, 36,8 e 59,5° além daqueles relativos à alumina. Esses picos são consistentes com aqueles correspondentes às estruturas Co</w:t>
      </w:r>
      <w:r w:rsidRPr="005D7D2C">
        <w:rPr>
          <w:rFonts w:ascii="Times New Roman" w:hAnsi="Times New Roman"/>
          <w:vertAlign w:val="subscript"/>
          <w:lang w:val="pt-BR"/>
        </w:rPr>
        <w:t>3</w:t>
      </w:r>
      <w:r w:rsidRPr="003753EA">
        <w:rPr>
          <w:rFonts w:ascii="Times New Roman" w:hAnsi="Times New Roman"/>
          <w:lang w:val="pt-BR"/>
        </w:rPr>
        <w:t>O</w:t>
      </w:r>
      <w:r w:rsidRPr="005D7D2C">
        <w:rPr>
          <w:rFonts w:ascii="Times New Roman" w:hAnsi="Times New Roman"/>
          <w:vertAlign w:val="subscript"/>
          <w:lang w:val="pt-BR"/>
        </w:rPr>
        <w:t>4</w:t>
      </w:r>
      <w:r w:rsidRPr="003753EA">
        <w:rPr>
          <w:rFonts w:ascii="Times New Roman" w:hAnsi="Times New Roman"/>
          <w:lang w:val="pt-BR"/>
        </w:rPr>
        <w:t xml:space="preserve"> (JCPDS 43-1003) ou CoAl</w:t>
      </w:r>
      <w:r w:rsidRPr="005D7D2C">
        <w:rPr>
          <w:rFonts w:ascii="Times New Roman" w:hAnsi="Times New Roman"/>
          <w:vertAlign w:val="subscript"/>
          <w:lang w:val="pt-BR"/>
        </w:rPr>
        <w:t>2</w:t>
      </w:r>
      <w:r w:rsidRPr="003753EA">
        <w:rPr>
          <w:rFonts w:ascii="Times New Roman" w:hAnsi="Times New Roman"/>
          <w:lang w:val="pt-BR"/>
        </w:rPr>
        <w:t>O</w:t>
      </w:r>
      <w:r w:rsidRPr="005D7D2C">
        <w:rPr>
          <w:rFonts w:ascii="Times New Roman" w:hAnsi="Times New Roman"/>
          <w:vertAlign w:val="subscript"/>
          <w:lang w:val="pt-BR"/>
        </w:rPr>
        <w:t>4</w:t>
      </w:r>
      <w:r w:rsidRPr="003753EA">
        <w:rPr>
          <w:rFonts w:ascii="Times New Roman" w:hAnsi="Times New Roman"/>
          <w:lang w:val="pt-BR"/>
        </w:rPr>
        <w:t xml:space="preserve"> (JCPDS 44-0160). Observe que eles têm um padrão de pico semelhante e as posições do</w:t>
      </w:r>
      <w:r>
        <w:rPr>
          <w:rFonts w:ascii="Times New Roman" w:hAnsi="Times New Roman"/>
          <w:lang w:val="pt-BR"/>
        </w:rPr>
        <w:t>s</w:t>
      </w:r>
      <w:r w:rsidRPr="003753EA">
        <w:rPr>
          <w:rFonts w:ascii="Times New Roman" w:hAnsi="Times New Roman"/>
          <w:lang w:val="pt-BR"/>
        </w:rPr>
        <w:t xml:space="preserve"> pico</w:t>
      </w:r>
      <w:r>
        <w:rPr>
          <w:rFonts w:ascii="Times New Roman" w:hAnsi="Times New Roman"/>
          <w:lang w:val="pt-BR"/>
        </w:rPr>
        <w:t>s</w:t>
      </w:r>
      <w:r w:rsidRPr="003753EA">
        <w:rPr>
          <w:rFonts w:ascii="Times New Roman" w:hAnsi="Times New Roman"/>
          <w:lang w:val="pt-BR"/>
        </w:rPr>
        <w:t xml:space="preserve"> são quase as mesmas com uma pequena diferença na constante de rede (a=8,111 para CoAl</w:t>
      </w:r>
      <w:r w:rsidRPr="005D7D2C">
        <w:rPr>
          <w:rFonts w:ascii="Times New Roman" w:hAnsi="Times New Roman"/>
          <w:vertAlign w:val="subscript"/>
          <w:lang w:val="pt-BR"/>
        </w:rPr>
        <w:t>2</w:t>
      </w:r>
      <w:r w:rsidRPr="003753EA">
        <w:rPr>
          <w:rFonts w:ascii="Times New Roman" w:hAnsi="Times New Roman"/>
          <w:lang w:val="pt-BR"/>
        </w:rPr>
        <w:t>O</w:t>
      </w:r>
      <w:r w:rsidRPr="005D7D2C">
        <w:rPr>
          <w:rFonts w:ascii="Times New Roman" w:hAnsi="Times New Roman"/>
          <w:vertAlign w:val="subscript"/>
          <w:lang w:val="pt-BR"/>
        </w:rPr>
        <w:t>4</w:t>
      </w:r>
      <w:r w:rsidRPr="003753EA">
        <w:rPr>
          <w:rFonts w:ascii="Times New Roman" w:hAnsi="Times New Roman"/>
          <w:lang w:val="pt-BR"/>
        </w:rPr>
        <w:t xml:space="preserve"> e a=8,088 para Co</w:t>
      </w:r>
      <w:r w:rsidRPr="005D7D2C">
        <w:rPr>
          <w:rFonts w:ascii="Times New Roman" w:hAnsi="Times New Roman"/>
          <w:vertAlign w:val="subscript"/>
          <w:lang w:val="pt-BR"/>
        </w:rPr>
        <w:t>3</w:t>
      </w:r>
      <w:r w:rsidRPr="003753EA">
        <w:rPr>
          <w:rFonts w:ascii="Times New Roman" w:hAnsi="Times New Roman"/>
          <w:lang w:val="pt-BR"/>
        </w:rPr>
        <w:t>O</w:t>
      </w:r>
      <w:r w:rsidRPr="005D7D2C">
        <w:rPr>
          <w:rFonts w:ascii="Times New Roman" w:hAnsi="Times New Roman"/>
          <w:vertAlign w:val="subscript"/>
          <w:lang w:val="pt-BR"/>
        </w:rPr>
        <w:t>4</w:t>
      </w:r>
      <w:r w:rsidRPr="003753EA">
        <w:rPr>
          <w:rFonts w:ascii="Times New Roman" w:hAnsi="Times New Roman"/>
          <w:lang w:val="pt-BR"/>
        </w:rPr>
        <w:t xml:space="preserve">). Assim, não foi possível distinguir essas duas fases por </w:t>
      </w:r>
      <w:r>
        <w:rPr>
          <w:rFonts w:ascii="Times New Roman" w:hAnsi="Times New Roman"/>
          <w:lang w:val="pt-BR"/>
        </w:rPr>
        <w:t>DRX</w:t>
      </w:r>
      <w:r w:rsidRPr="003753EA">
        <w:rPr>
          <w:rFonts w:ascii="Times New Roman" w:hAnsi="Times New Roman"/>
          <w:lang w:val="pt-BR"/>
        </w:rPr>
        <w:t>.</w:t>
      </w:r>
    </w:p>
    <w:p w:rsidR="003753EA" w:rsidRDefault="00DA59EE" w:rsidP="003753EA">
      <w:pPr>
        <w:pStyle w:val="TAMainText"/>
        <w:ind w:firstLine="187"/>
        <w:rPr>
          <w:rFonts w:ascii="Times New Roman" w:hAnsi="Times New Roman"/>
          <w:lang w:val="pt-BR"/>
        </w:rPr>
      </w:pPr>
      <w:r>
        <w:rPr>
          <w:rFonts w:ascii="Times New Roman" w:hAnsi="Times New Roman"/>
          <w:noProof/>
          <w:lang w:val="pt-BR"/>
        </w:rPr>
        <w:drawing>
          <wp:anchor distT="0" distB="0" distL="114300" distR="114300" simplePos="0" relativeHeight="251675647" behindDoc="0" locked="0" layoutInCell="1" allowOverlap="1">
            <wp:simplePos x="0" y="0"/>
            <wp:positionH relativeFrom="column">
              <wp:posOffset>153899</wp:posOffset>
            </wp:positionH>
            <wp:positionV relativeFrom="paragraph">
              <wp:posOffset>61341</wp:posOffset>
            </wp:positionV>
            <wp:extent cx="2278049" cy="2232000"/>
            <wp:effectExtent l="19050" t="0" r="7951" b="0"/>
            <wp:wrapNone/>
            <wp:docPr id="2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srcRect l="8805" t="30184" r="7547" b="1575"/>
                    <a:stretch>
                      <a:fillRect/>
                    </a:stretch>
                  </pic:blipFill>
                  <pic:spPr bwMode="auto">
                    <a:xfrm>
                      <a:off x="0" y="0"/>
                      <a:ext cx="2278049" cy="2232000"/>
                    </a:xfrm>
                    <a:prstGeom prst="rect">
                      <a:avLst/>
                    </a:prstGeom>
                    <a:noFill/>
                    <a:ln w="9525">
                      <a:noFill/>
                      <a:miter lim="800000"/>
                      <a:headEnd/>
                      <a:tailEnd/>
                    </a:ln>
                  </pic:spPr>
                </pic:pic>
              </a:graphicData>
            </a:graphic>
          </wp:anchor>
        </w:drawing>
      </w: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Default="003753EA" w:rsidP="003753EA">
      <w:pPr>
        <w:pStyle w:val="TAMainText"/>
        <w:ind w:firstLine="187"/>
        <w:rPr>
          <w:rFonts w:ascii="Times New Roman" w:hAnsi="Times New Roman"/>
          <w:lang w:val="pt-BR"/>
        </w:rPr>
      </w:pPr>
    </w:p>
    <w:p w:rsidR="003753EA" w:rsidRPr="00E038AF" w:rsidRDefault="003753EA" w:rsidP="003753EA">
      <w:pPr>
        <w:pStyle w:val="VAFigureCaption"/>
        <w:spacing w:before="0"/>
        <w:rPr>
          <w:rFonts w:ascii="Times New Roman" w:hAnsi="Times New Roman"/>
          <w:lang w:val="pt-BR"/>
        </w:rPr>
      </w:pPr>
      <w:r w:rsidRPr="00E038AF">
        <w:rPr>
          <w:rFonts w:ascii="Times New Roman" w:hAnsi="Times New Roman"/>
          <w:b/>
          <w:lang w:val="pt-BR"/>
        </w:rPr>
        <w:t xml:space="preserve">Figura </w:t>
      </w:r>
      <w:r w:rsidR="005D7D2C">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Difratometria de raios X dos catalisadores</w:t>
      </w:r>
      <w:r w:rsidRPr="001420E7">
        <w:rPr>
          <w:rFonts w:ascii="Times New Roman" w:hAnsi="Times New Roman"/>
          <w:lang w:val="pt-BR"/>
        </w:rPr>
        <w:t>.</w:t>
      </w:r>
    </w:p>
    <w:p w:rsidR="003753EA" w:rsidRDefault="003753EA" w:rsidP="003753EA">
      <w:pPr>
        <w:pStyle w:val="TAMainText"/>
        <w:ind w:firstLine="187"/>
        <w:rPr>
          <w:rFonts w:ascii="Times New Roman" w:hAnsi="Times New Roman"/>
          <w:lang w:val="pt-BR"/>
        </w:rPr>
      </w:pPr>
    </w:p>
    <w:p w:rsidR="003753EA" w:rsidRDefault="005D7D2C" w:rsidP="003753EA">
      <w:pPr>
        <w:pStyle w:val="TAMainText"/>
        <w:ind w:firstLine="187"/>
        <w:rPr>
          <w:rFonts w:ascii="Times New Roman" w:hAnsi="Times New Roman"/>
          <w:lang w:val="pt-BR"/>
        </w:rPr>
      </w:pPr>
      <w:r>
        <w:rPr>
          <w:rFonts w:ascii="Times New Roman" w:hAnsi="Times New Roman"/>
          <w:lang w:val="pt-BR"/>
        </w:rPr>
        <w:t xml:space="preserve">Para </w:t>
      </w:r>
      <w:r w:rsidR="003753EA" w:rsidRPr="003753EA">
        <w:rPr>
          <w:rFonts w:ascii="Times New Roman" w:hAnsi="Times New Roman"/>
          <w:lang w:val="pt-BR"/>
        </w:rPr>
        <w:t>o catalisador NiPtAlO, não foram detectados picos de difração correspondentes às espécies de NiO. Isso sugere que essas espécies são muito pequenas para serem detectadas por DRX ou que reagiram com o suporte γ-Al</w:t>
      </w:r>
      <w:r w:rsidR="003753EA" w:rsidRPr="005D7D2C">
        <w:rPr>
          <w:rFonts w:ascii="Times New Roman" w:hAnsi="Times New Roman"/>
          <w:vertAlign w:val="subscript"/>
          <w:lang w:val="pt-BR"/>
        </w:rPr>
        <w:t>2</w:t>
      </w:r>
      <w:r w:rsidR="003753EA" w:rsidRPr="003753EA">
        <w:rPr>
          <w:rFonts w:ascii="Times New Roman" w:hAnsi="Times New Roman"/>
          <w:lang w:val="pt-BR"/>
        </w:rPr>
        <w:t>O</w:t>
      </w:r>
      <w:r w:rsidR="003753EA" w:rsidRPr="005D7D2C">
        <w:rPr>
          <w:rFonts w:ascii="Times New Roman" w:hAnsi="Times New Roman"/>
          <w:vertAlign w:val="subscript"/>
          <w:lang w:val="pt-BR"/>
        </w:rPr>
        <w:t>3</w:t>
      </w:r>
      <w:r>
        <w:rPr>
          <w:rFonts w:ascii="Times New Roman" w:hAnsi="Times New Roman"/>
          <w:lang w:val="pt-BR"/>
        </w:rPr>
        <w:t xml:space="preserve"> para formar uma fase </w:t>
      </w:r>
      <w:r w:rsidR="00131E6A">
        <w:rPr>
          <w:rFonts w:ascii="Times New Roman" w:hAnsi="Times New Roman"/>
          <w:lang w:val="pt-BR"/>
        </w:rPr>
        <w:t xml:space="preserve">do tipo </w:t>
      </w:r>
      <w:r w:rsidRPr="00131E6A">
        <w:rPr>
          <w:rFonts w:ascii="Times New Roman" w:hAnsi="Times New Roman"/>
          <w:lang w:val="pt-BR"/>
        </w:rPr>
        <w:t>espinel</w:t>
      </w:r>
      <w:r w:rsidR="00131E6A" w:rsidRPr="00131E6A">
        <w:rPr>
          <w:rFonts w:ascii="Times New Roman" w:hAnsi="Times New Roman"/>
          <w:lang w:val="pt-BR"/>
        </w:rPr>
        <w:t xml:space="preserve"> </w:t>
      </w:r>
      <w:r w:rsidR="003753EA" w:rsidRPr="003753EA">
        <w:rPr>
          <w:rFonts w:ascii="Times New Roman" w:hAnsi="Times New Roman"/>
          <w:lang w:val="pt-BR"/>
        </w:rPr>
        <w:t>(NiAl</w:t>
      </w:r>
      <w:r w:rsidR="003753EA" w:rsidRPr="005D7D2C">
        <w:rPr>
          <w:rFonts w:ascii="Times New Roman" w:hAnsi="Times New Roman"/>
          <w:vertAlign w:val="subscript"/>
          <w:lang w:val="pt-BR"/>
        </w:rPr>
        <w:t>2</w:t>
      </w:r>
      <w:r w:rsidR="003753EA" w:rsidRPr="003753EA">
        <w:rPr>
          <w:rFonts w:ascii="Times New Roman" w:hAnsi="Times New Roman"/>
          <w:lang w:val="pt-BR"/>
        </w:rPr>
        <w:t>O</w:t>
      </w:r>
      <w:r w:rsidR="003753EA" w:rsidRPr="005D7D2C">
        <w:rPr>
          <w:rFonts w:ascii="Times New Roman" w:hAnsi="Times New Roman"/>
          <w:vertAlign w:val="subscript"/>
          <w:lang w:val="pt-BR"/>
        </w:rPr>
        <w:t>4</w:t>
      </w:r>
      <w:r w:rsidR="003753EA" w:rsidRPr="003753EA">
        <w:rPr>
          <w:rFonts w:ascii="Times New Roman" w:hAnsi="Times New Roman"/>
          <w:lang w:val="pt-BR"/>
        </w:rPr>
        <w:t xml:space="preserve">), uma vez que uma pequena quantidade desse composto intersticial pode ser formada mesmo em uma temperatura </w:t>
      </w:r>
      <w:r w:rsidR="002B20CC">
        <w:rPr>
          <w:rFonts w:ascii="Times New Roman" w:hAnsi="Times New Roman"/>
          <w:lang w:val="pt-BR"/>
        </w:rPr>
        <w:t>de calcinação de 500 °C [</w:t>
      </w:r>
      <w:r w:rsidR="00FE34B2">
        <w:rPr>
          <w:rFonts w:ascii="Times New Roman" w:hAnsi="Times New Roman"/>
          <w:lang w:val="pt-BR"/>
        </w:rPr>
        <w:t>12</w:t>
      </w:r>
      <w:r w:rsidR="003753EA" w:rsidRPr="003753EA">
        <w:rPr>
          <w:rFonts w:ascii="Times New Roman" w:hAnsi="Times New Roman"/>
          <w:lang w:val="pt-BR"/>
        </w:rPr>
        <w:t>]. É muito difícil discriminar entre as fases de NiAl</w:t>
      </w:r>
      <w:r w:rsidR="003753EA" w:rsidRPr="005D7D2C">
        <w:rPr>
          <w:rFonts w:ascii="Times New Roman" w:hAnsi="Times New Roman"/>
          <w:vertAlign w:val="subscript"/>
          <w:lang w:val="pt-BR"/>
        </w:rPr>
        <w:t>2</w:t>
      </w:r>
      <w:r w:rsidR="003753EA" w:rsidRPr="003753EA">
        <w:rPr>
          <w:rFonts w:ascii="Times New Roman" w:hAnsi="Times New Roman"/>
          <w:lang w:val="pt-BR"/>
        </w:rPr>
        <w:t>O</w:t>
      </w:r>
      <w:r w:rsidR="003753EA" w:rsidRPr="005D7D2C">
        <w:rPr>
          <w:rFonts w:ascii="Times New Roman" w:hAnsi="Times New Roman"/>
          <w:vertAlign w:val="subscript"/>
          <w:lang w:val="pt-BR"/>
        </w:rPr>
        <w:t>4</w:t>
      </w:r>
      <w:r w:rsidR="003753EA" w:rsidRPr="003753EA">
        <w:rPr>
          <w:rFonts w:ascii="Times New Roman" w:hAnsi="Times New Roman"/>
          <w:lang w:val="pt-BR"/>
        </w:rPr>
        <w:t xml:space="preserve"> e γ-Al</w:t>
      </w:r>
      <w:r w:rsidR="003753EA" w:rsidRPr="005D7D2C">
        <w:rPr>
          <w:rFonts w:ascii="Times New Roman" w:hAnsi="Times New Roman"/>
          <w:vertAlign w:val="subscript"/>
          <w:lang w:val="pt-BR"/>
        </w:rPr>
        <w:t>2</w:t>
      </w:r>
      <w:r w:rsidR="003753EA" w:rsidRPr="003753EA">
        <w:rPr>
          <w:rFonts w:ascii="Times New Roman" w:hAnsi="Times New Roman"/>
          <w:lang w:val="pt-BR"/>
        </w:rPr>
        <w:t>O</w:t>
      </w:r>
      <w:r w:rsidR="003753EA" w:rsidRPr="005D7D2C">
        <w:rPr>
          <w:rFonts w:ascii="Times New Roman" w:hAnsi="Times New Roman"/>
          <w:vertAlign w:val="subscript"/>
          <w:lang w:val="pt-BR"/>
        </w:rPr>
        <w:t>3</w:t>
      </w:r>
      <w:r w:rsidR="003753EA" w:rsidRPr="003753EA">
        <w:rPr>
          <w:rFonts w:ascii="Times New Roman" w:hAnsi="Times New Roman"/>
          <w:lang w:val="pt-BR"/>
        </w:rPr>
        <w:t xml:space="preserve"> com base apenas nas características de </w:t>
      </w:r>
      <w:r>
        <w:rPr>
          <w:rFonts w:ascii="Times New Roman" w:hAnsi="Times New Roman"/>
          <w:lang w:val="pt-BR"/>
        </w:rPr>
        <w:t>DRX</w:t>
      </w:r>
      <w:r w:rsidR="003753EA" w:rsidRPr="003753EA">
        <w:rPr>
          <w:rFonts w:ascii="Times New Roman" w:hAnsi="Times New Roman"/>
          <w:lang w:val="pt-BR"/>
        </w:rPr>
        <w:t xml:space="preserve"> porque tanto NiAl</w:t>
      </w:r>
      <w:r w:rsidR="003753EA" w:rsidRPr="005D7D2C">
        <w:rPr>
          <w:rFonts w:ascii="Times New Roman" w:hAnsi="Times New Roman"/>
          <w:vertAlign w:val="subscript"/>
          <w:lang w:val="pt-BR"/>
        </w:rPr>
        <w:t>2</w:t>
      </w:r>
      <w:r w:rsidR="003753EA" w:rsidRPr="003753EA">
        <w:rPr>
          <w:rFonts w:ascii="Times New Roman" w:hAnsi="Times New Roman"/>
          <w:lang w:val="pt-BR"/>
        </w:rPr>
        <w:t>O</w:t>
      </w:r>
      <w:r w:rsidR="003753EA" w:rsidRPr="005D7D2C">
        <w:rPr>
          <w:rFonts w:ascii="Times New Roman" w:hAnsi="Times New Roman"/>
          <w:vertAlign w:val="subscript"/>
          <w:lang w:val="pt-BR"/>
        </w:rPr>
        <w:t>4</w:t>
      </w:r>
      <w:r w:rsidR="003753EA" w:rsidRPr="003753EA">
        <w:rPr>
          <w:rFonts w:ascii="Times New Roman" w:hAnsi="Times New Roman"/>
          <w:lang w:val="pt-BR"/>
        </w:rPr>
        <w:t xml:space="preserve"> quanto γ-Al</w:t>
      </w:r>
      <w:r w:rsidR="003753EA" w:rsidRPr="005D7D2C">
        <w:rPr>
          <w:rFonts w:ascii="Times New Roman" w:hAnsi="Times New Roman"/>
          <w:vertAlign w:val="subscript"/>
          <w:lang w:val="pt-BR"/>
        </w:rPr>
        <w:t>2</w:t>
      </w:r>
      <w:r w:rsidR="003753EA" w:rsidRPr="003753EA">
        <w:rPr>
          <w:rFonts w:ascii="Times New Roman" w:hAnsi="Times New Roman"/>
          <w:lang w:val="pt-BR"/>
        </w:rPr>
        <w:t>O</w:t>
      </w:r>
      <w:r w:rsidR="003753EA" w:rsidRPr="005D7D2C">
        <w:rPr>
          <w:rFonts w:ascii="Times New Roman" w:hAnsi="Times New Roman"/>
          <w:vertAlign w:val="subscript"/>
          <w:lang w:val="pt-BR"/>
        </w:rPr>
        <w:t>3</w:t>
      </w:r>
      <w:r w:rsidR="003753EA" w:rsidRPr="003753EA">
        <w:rPr>
          <w:rFonts w:ascii="Times New Roman" w:hAnsi="Times New Roman"/>
          <w:lang w:val="pt-BR"/>
        </w:rPr>
        <w:t xml:space="preserve"> </w:t>
      </w:r>
      <w:r>
        <w:rPr>
          <w:rFonts w:ascii="Times New Roman" w:hAnsi="Times New Roman"/>
          <w:lang w:val="pt-BR"/>
        </w:rPr>
        <w:t>possue</w:t>
      </w:r>
      <w:r w:rsidR="003753EA" w:rsidRPr="003753EA">
        <w:rPr>
          <w:rFonts w:ascii="Times New Roman" w:hAnsi="Times New Roman"/>
          <w:lang w:val="pt-BR"/>
        </w:rPr>
        <w:t xml:space="preserve">m estruturas de espinélio com padrões de </w:t>
      </w:r>
      <w:r w:rsidR="002B20CC">
        <w:rPr>
          <w:rFonts w:ascii="Times New Roman" w:hAnsi="Times New Roman"/>
          <w:lang w:val="pt-BR"/>
        </w:rPr>
        <w:t>difração quase idênticos</w:t>
      </w:r>
      <w:r w:rsidR="003753EA" w:rsidRPr="003753EA">
        <w:rPr>
          <w:rFonts w:ascii="Times New Roman" w:hAnsi="Times New Roman"/>
          <w:lang w:val="pt-BR"/>
        </w:rPr>
        <w:t>. No entanto, a formação desse composto foi confirmada e explorada pelas análises XPS e TPR</w:t>
      </w:r>
      <w:r w:rsidR="00DF61A5">
        <w:rPr>
          <w:rFonts w:ascii="Times New Roman" w:hAnsi="Times New Roman"/>
          <w:lang w:val="pt-BR"/>
        </w:rPr>
        <w:t>-H</w:t>
      </w:r>
      <w:r w:rsidR="00DF61A5" w:rsidRPr="00DF61A5">
        <w:rPr>
          <w:rFonts w:ascii="Times New Roman" w:hAnsi="Times New Roman"/>
          <w:vertAlign w:val="subscript"/>
          <w:lang w:val="pt-BR"/>
        </w:rPr>
        <w:t>2</w:t>
      </w:r>
      <w:r w:rsidR="003753EA" w:rsidRPr="003753EA">
        <w:rPr>
          <w:rFonts w:ascii="Times New Roman" w:hAnsi="Times New Roman"/>
          <w:lang w:val="pt-BR"/>
        </w:rPr>
        <w:t>, conforme mostrado na sequência.</w:t>
      </w:r>
    </w:p>
    <w:p w:rsidR="00915AC7" w:rsidRDefault="00915AC7" w:rsidP="003753EA">
      <w:pPr>
        <w:pStyle w:val="TAMainText"/>
        <w:ind w:firstLine="187"/>
        <w:rPr>
          <w:rFonts w:ascii="Times New Roman" w:hAnsi="Times New Roman"/>
          <w:lang w:val="pt-BR"/>
        </w:rPr>
      </w:pPr>
      <w:r w:rsidRPr="00915AC7">
        <w:rPr>
          <w:rFonts w:ascii="Times New Roman" w:hAnsi="Times New Roman"/>
          <w:lang w:val="pt-BR"/>
        </w:rPr>
        <w:t>Os espectros de XP</w:t>
      </w:r>
      <w:r>
        <w:rPr>
          <w:rFonts w:ascii="Times New Roman" w:hAnsi="Times New Roman"/>
          <w:lang w:val="pt-BR"/>
        </w:rPr>
        <w:t>S</w:t>
      </w:r>
      <w:r w:rsidRPr="00915AC7">
        <w:rPr>
          <w:rFonts w:ascii="Times New Roman" w:hAnsi="Times New Roman"/>
          <w:lang w:val="pt-BR"/>
        </w:rPr>
        <w:t xml:space="preserve"> para o catalisador PtAlO</w:t>
      </w:r>
      <w:r>
        <w:rPr>
          <w:rFonts w:ascii="Times New Roman" w:hAnsi="Times New Roman"/>
          <w:lang w:val="pt-BR"/>
        </w:rPr>
        <w:t xml:space="preserve"> (não mostrados aqui)</w:t>
      </w:r>
      <w:r w:rsidRPr="00915AC7">
        <w:rPr>
          <w:rFonts w:ascii="Times New Roman" w:hAnsi="Times New Roman"/>
          <w:lang w:val="pt-BR"/>
        </w:rPr>
        <w:t xml:space="preserve"> revelou a presença dos elementos Al, O, Pt e C. O último está presente devido à contaminação do meio ambiente. Devido à intensa sobreposição entre os sinais Al 2p e Pt 4f, o estado químico da Pt na superfície do catalisador foi determinado</w:t>
      </w:r>
      <w:r w:rsidR="002B20CC">
        <w:rPr>
          <w:rFonts w:ascii="Times New Roman" w:hAnsi="Times New Roman"/>
          <w:lang w:val="pt-BR"/>
        </w:rPr>
        <w:t xml:space="preserve"> monitorando o sinal Pt 4d [</w:t>
      </w:r>
      <w:r w:rsidR="00FE34B2">
        <w:rPr>
          <w:rFonts w:ascii="Times New Roman" w:hAnsi="Times New Roman"/>
          <w:lang w:val="pt-BR"/>
        </w:rPr>
        <w:t>13</w:t>
      </w:r>
      <w:r w:rsidRPr="00915AC7">
        <w:rPr>
          <w:rFonts w:ascii="Times New Roman" w:hAnsi="Times New Roman"/>
          <w:lang w:val="pt-BR"/>
        </w:rPr>
        <w:t xml:space="preserve">]. </w:t>
      </w:r>
      <w:r w:rsidR="00D51537">
        <w:rPr>
          <w:rFonts w:ascii="Times New Roman" w:hAnsi="Times New Roman"/>
          <w:lang w:val="pt-BR"/>
        </w:rPr>
        <w:t>A</w:t>
      </w:r>
      <w:r w:rsidRPr="00915AC7">
        <w:rPr>
          <w:rFonts w:ascii="Times New Roman" w:hAnsi="Times New Roman"/>
          <w:lang w:val="pt-BR"/>
        </w:rPr>
        <w:t>s energias de ligação do Pt 4d</w:t>
      </w:r>
      <w:r w:rsidRPr="002B20CC">
        <w:rPr>
          <w:rFonts w:ascii="Times New Roman" w:hAnsi="Times New Roman"/>
          <w:vertAlign w:val="subscript"/>
          <w:lang w:val="pt-BR"/>
        </w:rPr>
        <w:t>5/2</w:t>
      </w:r>
      <w:r w:rsidRPr="00915AC7">
        <w:rPr>
          <w:rFonts w:ascii="Times New Roman" w:hAnsi="Times New Roman"/>
          <w:lang w:val="pt-BR"/>
        </w:rPr>
        <w:t xml:space="preserve"> e Pt 4d</w:t>
      </w:r>
      <w:r w:rsidRPr="002B20CC">
        <w:rPr>
          <w:rFonts w:ascii="Times New Roman" w:hAnsi="Times New Roman"/>
          <w:vertAlign w:val="subscript"/>
          <w:lang w:val="pt-BR"/>
        </w:rPr>
        <w:t>3/2</w:t>
      </w:r>
      <w:r w:rsidRPr="00915AC7">
        <w:rPr>
          <w:rFonts w:ascii="Times New Roman" w:hAnsi="Times New Roman"/>
          <w:lang w:val="pt-BR"/>
        </w:rPr>
        <w:t xml:space="preserve"> para o catalisador PtAlO apa</w:t>
      </w:r>
      <w:r w:rsidR="00D51537">
        <w:rPr>
          <w:rFonts w:ascii="Times New Roman" w:hAnsi="Times New Roman"/>
          <w:lang w:val="pt-BR"/>
        </w:rPr>
        <w:t>recem em cerca de 316,8 e 333,6 </w:t>
      </w:r>
      <w:r w:rsidRPr="00915AC7">
        <w:rPr>
          <w:rFonts w:ascii="Times New Roman" w:hAnsi="Times New Roman"/>
          <w:lang w:val="pt-BR"/>
        </w:rPr>
        <w:t>eV, respectivamente. Este resultado indica a existência apenas de espécies Pt</w:t>
      </w:r>
      <w:r w:rsidRPr="002B20CC">
        <w:rPr>
          <w:rFonts w:ascii="Times New Roman" w:hAnsi="Times New Roman"/>
          <w:vertAlign w:val="superscript"/>
          <w:lang w:val="pt-BR"/>
        </w:rPr>
        <w:t>2+</w:t>
      </w:r>
      <w:r w:rsidRPr="00915AC7">
        <w:rPr>
          <w:rFonts w:ascii="Times New Roman" w:hAnsi="Times New Roman"/>
          <w:lang w:val="pt-BR"/>
        </w:rPr>
        <w:t xml:space="preserve"> oxidadas com</w:t>
      </w:r>
      <w:r w:rsidR="002B20CC">
        <w:rPr>
          <w:rFonts w:ascii="Times New Roman" w:hAnsi="Times New Roman"/>
          <w:lang w:val="pt-BR"/>
        </w:rPr>
        <w:t>o PtO na superfície PtAlO [</w:t>
      </w:r>
      <w:r w:rsidR="00FE34B2">
        <w:rPr>
          <w:rFonts w:ascii="Times New Roman" w:hAnsi="Times New Roman"/>
          <w:lang w:val="pt-BR"/>
        </w:rPr>
        <w:t>13</w:t>
      </w:r>
      <w:r w:rsidRPr="00915AC7">
        <w:rPr>
          <w:rFonts w:ascii="Times New Roman" w:hAnsi="Times New Roman"/>
          <w:lang w:val="pt-BR"/>
        </w:rPr>
        <w:t>]. Essa atribuição do estado de oxidação da Pt é difícil, e os dados da li</w:t>
      </w:r>
      <w:r w:rsidR="002B20CC">
        <w:rPr>
          <w:rFonts w:ascii="Times New Roman" w:hAnsi="Times New Roman"/>
          <w:lang w:val="pt-BR"/>
        </w:rPr>
        <w:t>teratura são contraditórios</w:t>
      </w:r>
      <w:r w:rsidRPr="00915AC7">
        <w:rPr>
          <w:rFonts w:ascii="Times New Roman" w:hAnsi="Times New Roman"/>
          <w:lang w:val="pt-BR"/>
        </w:rPr>
        <w:t>. No entanto, a presença de Pt</w:t>
      </w:r>
      <w:r w:rsidRPr="002B20CC">
        <w:rPr>
          <w:rFonts w:ascii="Times New Roman" w:hAnsi="Times New Roman"/>
          <w:vertAlign w:val="superscript"/>
          <w:lang w:val="pt-BR"/>
        </w:rPr>
        <w:t>2+</w:t>
      </w:r>
      <w:r w:rsidRPr="00915AC7">
        <w:rPr>
          <w:rFonts w:ascii="Times New Roman" w:hAnsi="Times New Roman"/>
          <w:lang w:val="pt-BR"/>
        </w:rPr>
        <w:t xml:space="preserve"> é suportada por experimentos </w:t>
      </w:r>
      <w:r w:rsidR="00131E6A">
        <w:rPr>
          <w:rFonts w:ascii="Times New Roman" w:hAnsi="Times New Roman"/>
          <w:lang w:val="pt-BR"/>
        </w:rPr>
        <w:t>DRX</w:t>
      </w:r>
      <w:r w:rsidRPr="00915AC7">
        <w:rPr>
          <w:rFonts w:ascii="Times New Roman" w:hAnsi="Times New Roman"/>
          <w:lang w:val="pt-BR"/>
        </w:rPr>
        <w:t xml:space="preserve">. O </w:t>
      </w:r>
      <w:r w:rsidRPr="00915AC7">
        <w:rPr>
          <w:rFonts w:ascii="Times New Roman" w:hAnsi="Times New Roman"/>
          <w:lang w:val="pt-BR"/>
        </w:rPr>
        <w:lastRenderedPageBreak/>
        <w:t>espectro Al 2s de alta re</w:t>
      </w:r>
      <w:r w:rsidR="002B20CC">
        <w:rPr>
          <w:rFonts w:ascii="Times New Roman" w:hAnsi="Times New Roman"/>
          <w:lang w:val="pt-BR"/>
        </w:rPr>
        <w:t>solução mostra um pico em 119,1 </w:t>
      </w:r>
      <w:r w:rsidRPr="00915AC7">
        <w:rPr>
          <w:rFonts w:ascii="Times New Roman" w:hAnsi="Times New Roman"/>
          <w:lang w:val="pt-BR"/>
        </w:rPr>
        <w:t>eV, que corresponde ao alumínio no estado</w:t>
      </w:r>
      <w:r w:rsidR="002B20CC">
        <w:rPr>
          <w:rFonts w:ascii="Times New Roman" w:hAnsi="Times New Roman"/>
          <w:lang w:val="pt-BR"/>
        </w:rPr>
        <w:t xml:space="preserve"> Al</w:t>
      </w:r>
      <w:r w:rsidR="002B20CC" w:rsidRPr="002B20CC">
        <w:rPr>
          <w:rFonts w:ascii="Times New Roman" w:hAnsi="Times New Roman"/>
          <w:vertAlign w:val="superscript"/>
          <w:lang w:val="pt-BR"/>
        </w:rPr>
        <w:t>3+</w:t>
      </w:r>
      <w:r w:rsidR="002B20CC">
        <w:rPr>
          <w:rFonts w:ascii="Times New Roman" w:hAnsi="Times New Roman"/>
          <w:lang w:val="pt-BR"/>
        </w:rPr>
        <w:t xml:space="preserve"> em óxidos de alumínio</w:t>
      </w:r>
      <w:r w:rsidRPr="00915AC7">
        <w:rPr>
          <w:rFonts w:ascii="Times New Roman" w:hAnsi="Times New Roman"/>
          <w:lang w:val="pt-BR"/>
        </w:rPr>
        <w:t>. O espectro de O 1s exibiu apenas um pico acentuado em 531,2 eV devido</w:t>
      </w:r>
      <w:r w:rsidR="002B20CC">
        <w:rPr>
          <w:rFonts w:ascii="Times New Roman" w:hAnsi="Times New Roman"/>
          <w:lang w:val="pt-BR"/>
        </w:rPr>
        <w:t xml:space="preserve"> à presença da ligação Al-O</w:t>
      </w:r>
      <w:r w:rsidRPr="00915AC7">
        <w:rPr>
          <w:rFonts w:ascii="Times New Roman" w:hAnsi="Times New Roman"/>
          <w:lang w:val="pt-BR"/>
        </w:rPr>
        <w:t>.</w:t>
      </w:r>
    </w:p>
    <w:p w:rsidR="00D51537" w:rsidRDefault="00D51537" w:rsidP="003753EA">
      <w:pPr>
        <w:pStyle w:val="TAMainText"/>
        <w:ind w:firstLine="187"/>
        <w:rPr>
          <w:rFonts w:ascii="Times New Roman" w:hAnsi="Times New Roman"/>
          <w:lang w:val="pt-BR"/>
        </w:rPr>
      </w:pPr>
      <w:r>
        <w:rPr>
          <w:rFonts w:ascii="Times New Roman" w:hAnsi="Times New Roman"/>
          <w:lang w:val="pt-BR"/>
        </w:rPr>
        <w:t>O</w:t>
      </w:r>
      <w:r w:rsidRPr="00D51537">
        <w:rPr>
          <w:rFonts w:ascii="Times New Roman" w:hAnsi="Times New Roman"/>
          <w:lang w:val="pt-BR"/>
        </w:rPr>
        <w:t>s espectros XP</w:t>
      </w:r>
      <w:r>
        <w:rPr>
          <w:rFonts w:ascii="Times New Roman" w:hAnsi="Times New Roman"/>
          <w:lang w:val="pt-BR"/>
        </w:rPr>
        <w:t>S</w:t>
      </w:r>
      <w:r w:rsidRPr="00D51537">
        <w:rPr>
          <w:rFonts w:ascii="Times New Roman" w:hAnsi="Times New Roman"/>
          <w:lang w:val="pt-BR"/>
        </w:rPr>
        <w:t xml:space="preserve"> de alta resolução do catalisador NiPtAlO são apresentados na Figura 4. O espectro relativo à região Pt 4d mostrou dois picos em 317,4 e 334,3 eV, que são características da espécie Pt</w:t>
      </w:r>
      <w:r w:rsidRPr="002B20CC">
        <w:rPr>
          <w:rFonts w:ascii="Times New Roman" w:hAnsi="Times New Roman"/>
          <w:vertAlign w:val="superscript"/>
          <w:lang w:val="pt-BR"/>
        </w:rPr>
        <w:t>2+</w:t>
      </w:r>
      <w:r w:rsidR="002B20CC">
        <w:rPr>
          <w:rFonts w:ascii="Times New Roman" w:hAnsi="Times New Roman"/>
          <w:lang w:val="pt-BR"/>
        </w:rPr>
        <w:t xml:space="preserve"> na forma de PtO</w:t>
      </w:r>
      <w:r w:rsidRPr="00D51537">
        <w:rPr>
          <w:rFonts w:ascii="Times New Roman" w:hAnsi="Times New Roman"/>
          <w:lang w:val="pt-BR"/>
        </w:rPr>
        <w:t>. O espectro do níquel exibiu o pico principal em torno de 856,3 eV correspondente à linha Ni 2p</w:t>
      </w:r>
      <w:r w:rsidRPr="00DA59EE">
        <w:rPr>
          <w:rFonts w:ascii="Times New Roman" w:hAnsi="Times New Roman"/>
          <w:vertAlign w:val="subscript"/>
          <w:lang w:val="pt-BR"/>
        </w:rPr>
        <w:t>3/2</w:t>
      </w:r>
      <w:r w:rsidRPr="00D51537">
        <w:rPr>
          <w:rFonts w:ascii="Times New Roman" w:hAnsi="Times New Roman"/>
          <w:lang w:val="pt-BR"/>
        </w:rPr>
        <w:t>, seguido por um pico satélite shake-up relativamente intenso em torno de 862,2 eV, características de espécies tetraédricas de Ni</w:t>
      </w:r>
      <w:r w:rsidRPr="00DA59EE">
        <w:rPr>
          <w:rFonts w:ascii="Times New Roman" w:hAnsi="Times New Roman"/>
          <w:vertAlign w:val="superscript"/>
          <w:lang w:val="pt-BR"/>
        </w:rPr>
        <w:t>2+</w:t>
      </w:r>
      <w:r w:rsidRPr="00D51537">
        <w:rPr>
          <w:rFonts w:ascii="Times New Roman" w:hAnsi="Times New Roman"/>
          <w:lang w:val="pt-BR"/>
        </w:rPr>
        <w:t xml:space="preserve"> na forma de fase NiAl</w:t>
      </w:r>
      <w:r w:rsidRPr="00DA59EE">
        <w:rPr>
          <w:rFonts w:ascii="Times New Roman" w:hAnsi="Times New Roman"/>
          <w:vertAlign w:val="subscript"/>
          <w:lang w:val="pt-BR"/>
        </w:rPr>
        <w:t>2</w:t>
      </w:r>
      <w:r w:rsidRPr="00D51537">
        <w:rPr>
          <w:rFonts w:ascii="Times New Roman" w:hAnsi="Times New Roman"/>
          <w:lang w:val="pt-BR"/>
        </w:rPr>
        <w:t>O</w:t>
      </w:r>
      <w:r w:rsidRPr="00DA59EE">
        <w:rPr>
          <w:rFonts w:ascii="Times New Roman" w:hAnsi="Times New Roman"/>
          <w:vertAlign w:val="subscript"/>
          <w:lang w:val="pt-BR"/>
        </w:rPr>
        <w:t>4</w:t>
      </w:r>
      <w:r w:rsidR="002B20CC">
        <w:rPr>
          <w:rFonts w:ascii="Times New Roman" w:hAnsi="Times New Roman"/>
          <w:lang w:val="pt-BR"/>
        </w:rPr>
        <w:t xml:space="preserve"> [</w:t>
      </w:r>
      <w:r w:rsidR="00FE34B2">
        <w:rPr>
          <w:rFonts w:ascii="Times New Roman" w:hAnsi="Times New Roman"/>
          <w:lang w:val="pt-BR"/>
        </w:rPr>
        <w:t>14]</w:t>
      </w:r>
      <w:r w:rsidRPr="00D51537">
        <w:rPr>
          <w:rFonts w:ascii="Times New Roman" w:hAnsi="Times New Roman"/>
          <w:lang w:val="pt-BR"/>
        </w:rPr>
        <w:t>. Tais posições confirmam a formação de solução de óxido de níquel-alumina e excluem a presença de NiO puro cuja energia de liga</w:t>
      </w:r>
      <w:r w:rsidR="00FE34B2">
        <w:rPr>
          <w:rFonts w:ascii="Times New Roman" w:hAnsi="Times New Roman"/>
          <w:lang w:val="pt-BR"/>
        </w:rPr>
        <w:t>ção seria esperada em 854 eV [14</w:t>
      </w:r>
      <w:r w:rsidRPr="00D51537">
        <w:rPr>
          <w:rFonts w:ascii="Times New Roman" w:hAnsi="Times New Roman"/>
          <w:lang w:val="pt-BR"/>
        </w:rPr>
        <w:t xml:space="preserve">]. Esta descoberta concorda com a análise de </w:t>
      </w:r>
      <w:r w:rsidR="00DA59EE">
        <w:rPr>
          <w:rFonts w:ascii="Times New Roman" w:hAnsi="Times New Roman"/>
          <w:lang w:val="pt-BR"/>
        </w:rPr>
        <w:t>DRX</w:t>
      </w:r>
      <w:r w:rsidRPr="00D51537">
        <w:rPr>
          <w:rFonts w:ascii="Times New Roman" w:hAnsi="Times New Roman"/>
          <w:lang w:val="pt-BR"/>
        </w:rPr>
        <w:t xml:space="preserve"> discutida anteriormente. </w:t>
      </w:r>
    </w:p>
    <w:p w:rsidR="00F04B3E" w:rsidRDefault="00323078" w:rsidP="003753EA">
      <w:pPr>
        <w:pStyle w:val="TAMainText"/>
        <w:ind w:firstLine="187"/>
        <w:rPr>
          <w:rFonts w:ascii="Times New Roman" w:hAnsi="Times New Roman"/>
          <w:lang w:val="pt-BR"/>
        </w:rPr>
      </w:pPr>
      <w:r>
        <w:rPr>
          <w:rFonts w:ascii="Times New Roman" w:hAnsi="Times New Roman"/>
          <w:noProof/>
          <w:lang w:val="pt-BR"/>
        </w:rPr>
        <w:drawing>
          <wp:anchor distT="0" distB="0" distL="114300" distR="114300" simplePos="0" relativeHeight="251677695" behindDoc="0" locked="0" layoutInCell="1" allowOverlap="1">
            <wp:simplePos x="0" y="0"/>
            <wp:positionH relativeFrom="column">
              <wp:posOffset>1465859</wp:posOffset>
            </wp:positionH>
            <wp:positionV relativeFrom="paragraph">
              <wp:posOffset>100355</wp:posOffset>
            </wp:positionV>
            <wp:extent cx="1590294" cy="1799539"/>
            <wp:effectExtent l="19050" t="0" r="0" b="0"/>
            <wp:wrapNone/>
            <wp:docPr id="29"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l="10423" t="11043" r="10424" b="3681"/>
                    <a:stretch>
                      <a:fillRect/>
                    </a:stretch>
                  </pic:blipFill>
                  <pic:spPr bwMode="auto">
                    <a:xfrm>
                      <a:off x="0" y="0"/>
                      <a:ext cx="1590294" cy="1799539"/>
                    </a:xfrm>
                    <a:prstGeom prst="rect">
                      <a:avLst/>
                    </a:prstGeom>
                    <a:noFill/>
                    <a:ln w="9525">
                      <a:noFill/>
                      <a:miter lim="800000"/>
                      <a:headEnd/>
                      <a:tailEnd/>
                    </a:ln>
                  </pic:spPr>
                </pic:pic>
              </a:graphicData>
            </a:graphic>
          </wp:anchor>
        </w:drawing>
      </w:r>
      <w:r>
        <w:rPr>
          <w:rFonts w:ascii="Times New Roman" w:hAnsi="Times New Roman"/>
          <w:noProof/>
          <w:lang w:val="pt-BR"/>
        </w:rPr>
        <w:drawing>
          <wp:anchor distT="0" distB="0" distL="114300" distR="114300" simplePos="0" relativeHeight="251676671" behindDoc="0" locked="0" layoutInCell="1" allowOverlap="1">
            <wp:simplePos x="0" y="0"/>
            <wp:positionH relativeFrom="column">
              <wp:posOffset>-26441</wp:posOffset>
            </wp:positionH>
            <wp:positionV relativeFrom="paragraph">
              <wp:posOffset>100355</wp:posOffset>
            </wp:positionV>
            <wp:extent cx="1552143" cy="1799539"/>
            <wp:effectExtent l="19050" t="0" r="0" b="0"/>
            <wp:wrapNone/>
            <wp:docPr id="28"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l="10749" t="11043" r="10423" b="3681"/>
                    <a:stretch>
                      <a:fillRect/>
                    </a:stretch>
                  </pic:blipFill>
                  <pic:spPr bwMode="auto">
                    <a:xfrm>
                      <a:off x="0" y="0"/>
                      <a:ext cx="1552143" cy="1799539"/>
                    </a:xfrm>
                    <a:prstGeom prst="rect">
                      <a:avLst/>
                    </a:prstGeom>
                    <a:noFill/>
                    <a:ln w="9525">
                      <a:noFill/>
                      <a:miter lim="800000"/>
                      <a:headEnd/>
                      <a:tailEnd/>
                    </a:ln>
                  </pic:spPr>
                </pic:pic>
              </a:graphicData>
            </a:graphic>
          </wp:anchor>
        </w:drawing>
      </w:r>
    </w:p>
    <w:p w:rsidR="00F04B3E" w:rsidRDefault="00F04B3E" w:rsidP="003753EA">
      <w:pPr>
        <w:pStyle w:val="TAMainText"/>
        <w:ind w:firstLine="187"/>
        <w:rPr>
          <w:rFonts w:ascii="Times New Roman" w:hAnsi="Times New Roman"/>
          <w:lang w:val="pt-BR"/>
        </w:rPr>
      </w:pPr>
    </w:p>
    <w:p w:rsidR="00F04B3E" w:rsidRDefault="00F04B3E" w:rsidP="003753EA">
      <w:pPr>
        <w:pStyle w:val="TAMainText"/>
        <w:ind w:firstLine="187"/>
        <w:rPr>
          <w:rFonts w:ascii="Times New Roman" w:hAnsi="Times New Roman"/>
          <w:lang w:val="pt-BR"/>
        </w:rPr>
      </w:pPr>
    </w:p>
    <w:p w:rsidR="00F04B3E" w:rsidRDefault="00F04B3E" w:rsidP="003753EA">
      <w:pPr>
        <w:pStyle w:val="TAMainText"/>
        <w:ind w:firstLine="187"/>
        <w:rPr>
          <w:rFonts w:ascii="Times New Roman" w:hAnsi="Times New Roman"/>
          <w:lang w:val="pt-BR"/>
        </w:rPr>
      </w:pPr>
    </w:p>
    <w:p w:rsidR="00F04B3E" w:rsidRDefault="00F04B3E" w:rsidP="003753EA">
      <w:pPr>
        <w:pStyle w:val="TAMainText"/>
        <w:ind w:firstLine="187"/>
        <w:rPr>
          <w:rFonts w:ascii="Times New Roman" w:hAnsi="Times New Roman"/>
          <w:lang w:val="pt-BR"/>
        </w:rPr>
      </w:pPr>
    </w:p>
    <w:p w:rsidR="00F04B3E" w:rsidRDefault="00F04B3E" w:rsidP="00D51537">
      <w:pPr>
        <w:pStyle w:val="TAMainText"/>
        <w:ind w:firstLine="187"/>
        <w:rPr>
          <w:rFonts w:ascii="Times New Roman" w:hAnsi="Times New Roman"/>
          <w:lang w:val="pt-BR"/>
        </w:rPr>
      </w:pPr>
    </w:p>
    <w:p w:rsidR="00F04B3E" w:rsidRDefault="00F04B3E" w:rsidP="00D51537">
      <w:pPr>
        <w:pStyle w:val="TAMainText"/>
        <w:ind w:firstLine="187"/>
        <w:rPr>
          <w:rFonts w:ascii="Times New Roman" w:hAnsi="Times New Roman"/>
          <w:lang w:val="pt-BR"/>
        </w:rPr>
      </w:pPr>
    </w:p>
    <w:p w:rsidR="00F04B3E" w:rsidRDefault="00F04B3E" w:rsidP="00D51537">
      <w:pPr>
        <w:pStyle w:val="TAMainText"/>
        <w:ind w:firstLine="187"/>
        <w:rPr>
          <w:rFonts w:ascii="Times New Roman" w:hAnsi="Times New Roman"/>
          <w:lang w:val="pt-BR"/>
        </w:rPr>
      </w:pPr>
    </w:p>
    <w:p w:rsidR="00F04B3E" w:rsidRDefault="00F04B3E"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323078" w:rsidRDefault="00323078" w:rsidP="00304EB6">
      <w:pPr>
        <w:pStyle w:val="VAFigureCaption"/>
        <w:spacing w:before="0"/>
        <w:rPr>
          <w:rFonts w:ascii="Times New Roman" w:hAnsi="Times New Roman"/>
          <w:b/>
          <w:lang w:val="pt-BR"/>
        </w:rPr>
      </w:pPr>
    </w:p>
    <w:p w:rsidR="00304EB6" w:rsidRPr="00E038AF" w:rsidRDefault="00304EB6" w:rsidP="00304EB6">
      <w:pPr>
        <w:pStyle w:val="VAFigureCaption"/>
        <w:spacing w:before="0"/>
        <w:rPr>
          <w:rFonts w:ascii="Times New Roman" w:hAnsi="Times New Roman"/>
          <w:lang w:val="pt-BR"/>
        </w:rPr>
      </w:pPr>
      <w:r w:rsidRPr="00E038AF">
        <w:rPr>
          <w:rFonts w:ascii="Times New Roman" w:hAnsi="Times New Roman"/>
          <w:b/>
          <w:lang w:val="pt-BR"/>
        </w:rPr>
        <w:t xml:space="preserve">Figura </w:t>
      </w:r>
      <w:r w:rsidR="00E96632">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sidR="00E96632">
        <w:rPr>
          <w:rFonts w:ascii="Times New Roman" w:hAnsi="Times New Roman"/>
          <w:lang w:val="pt-BR"/>
        </w:rPr>
        <w:t>Análise de XPS</w:t>
      </w:r>
      <w:r>
        <w:rPr>
          <w:rFonts w:ascii="Times New Roman" w:hAnsi="Times New Roman"/>
          <w:lang w:val="pt-BR"/>
        </w:rPr>
        <w:t xml:space="preserve"> do</w:t>
      </w:r>
      <w:r w:rsidR="00E96632">
        <w:rPr>
          <w:rFonts w:ascii="Times New Roman" w:hAnsi="Times New Roman"/>
          <w:lang w:val="pt-BR"/>
        </w:rPr>
        <w:t xml:space="preserve"> catalisador NiPtAlO</w:t>
      </w:r>
      <w:r w:rsidRPr="001420E7">
        <w:rPr>
          <w:rFonts w:ascii="Times New Roman" w:hAnsi="Times New Roman"/>
          <w:lang w:val="pt-BR"/>
        </w:rPr>
        <w:t>.</w:t>
      </w:r>
    </w:p>
    <w:p w:rsidR="00304EB6" w:rsidRDefault="00304EB6" w:rsidP="00304EB6">
      <w:pPr>
        <w:pStyle w:val="TAMainText"/>
        <w:ind w:firstLine="187"/>
        <w:rPr>
          <w:rFonts w:ascii="Times New Roman" w:hAnsi="Times New Roman"/>
          <w:lang w:val="pt-BR"/>
        </w:rPr>
      </w:pPr>
    </w:p>
    <w:p w:rsidR="00FE34B2" w:rsidRDefault="00D51537" w:rsidP="00323078">
      <w:pPr>
        <w:pStyle w:val="TAMainText"/>
        <w:ind w:firstLine="187"/>
        <w:rPr>
          <w:rFonts w:ascii="Times New Roman" w:hAnsi="Times New Roman"/>
          <w:lang w:val="pt-BR"/>
        </w:rPr>
      </w:pPr>
      <w:r w:rsidRPr="00D51537">
        <w:rPr>
          <w:rFonts w:ascii="Times New Roman" w:hAnsi="Times New Roman"/>
          <w:lang w:val="pt-BR"/>
        </w:rPr>
        <w:t>A Figura 5 ilustra os espectros de XP</w:t>
      </w:r>
      <w:r w:rsidR="00323078">
        <w:rPr>
          <w:rFonts w:ascii="Times New Roman" w:hAnsi="Times New Roman"/>
          <w:lang w:val="pt-BR"/>
        </w:rPr>
        <w:t>S</w:t>
      </w:r>
      <w:r w:rsidRPr="00D51537">
        <w:rPr>
          <w:rFonts w:ascii="Times New Roman" w:hAnsi="Times New Roman"/>
          <w:lang w:val="pt-BR"/>
        </w:rPr>
        <w:t xml:space="preserve"> do catalisador CoPtAlO. O espectro Pt 4d apresentou dois picos principais em 317,5 e 334,5 eV que podem ser </w:t>
      </w:r>
      <w:r w:rsidR="002B20CC">
        <w:rPr>
          <w:rFonts w:ascii="Times New Roman" w:hAnsi="Times New Roman"/>
          <w:lang w:val="pt-BR"/>
        </w:rPr>
        <w:t>atribuídos à espécie Pt</w:t>
      </w:r>
      <w:r w:rsidRPr="00D51537">
        <w:rPr>
          <w:rFonts w:ascii="Times New Roman" w:hAnsi="Times New Roman"/>
          <w:lang w:val="pt-BR"/>
        </w:rPr>
        <w:t>. Curiosamente, os picos principais (4d</w:t>
      </w:r>
      <w:r w:rsidRPr="00323078">
        <w:rPr>
          <w:rFonts w:ascii="Times New Roman" w:hAnsi="Times New Roman"/>
          <w:vertAlign w:val="subscript"/>
          <w:lang w:val="pt-BR"/>
        </w:rPr>
        <w:t>5/2</w:t>
      </w:r>
      <w:r w:rsidRPr="00D51537">
        <w:rPr>
          <w:rFonts w:ascii="Times New Roman" w:hAnsi="Times New Roman"/>
          <w:lang w:val="pt-BR"/>
        </w:rPr>
        <w:t>) referidos ao Pt</w:t>
      </w:r>
      <w:r w:rsidRPr="002B20CC">
        <w:rPr>
          <w:rFonts w:ascii="Times New Roman" w:hAnsi="Times New Roman"/>
          <w:vertAlign w:val="superscript"/>
          <w:lang w:val="pt-BR"/>
        </w:rPr>
        <w:t>2+</w:t>
      </w:r>
      <w:r w:rsidRPr="00D51537">
        <w:rPr>
          <w:rFonts w:ascii="Times New Roman" w:hAnsi="Times New Roman"/>
          <w:lang w:val="pt-BR"/>
        </w:rPr>
        <w:t xml:space="preserve"> são deslocados para energias de ligação mais altas (317,4 +</w:t>
      </w:r>
      <w:r w:rsidR="00323078">
        <w:rPr>
          <w:rFonts w:ascii="Times New Roman" w:hAnsi="Times New Roman"/>
          <w:lang w:val="pt-BR"/>
        </w:rPr>
        <w:t xml:space="preserve"> </w:t>
      </w:r>
      <w:r w:rsidRPr="00D51537">
        <w:rPr>
          <w:rFonts w:ascii="Times New Roman" w:hAnsi="Times New Roman"/>
          <w:lang w:val="pt-BR"/>
        </w:rPr>
        <w:t>0,1 eV) para ambos os catalisadores modificados em comparação co</w:t>
      </w:r>
      <w:r w:rsidR="00323078">
        <w:rPr>
          <w:rFonts w:ascii="Times New Roman" w:hAnsi="Times New Roman"/>
          <w:lang w:val="pt-BR"/>
        </w:rPr>
        <w:t>m o PtAlO (316,8 eV</w:t>
      </w:r>
      <w:r w:rsidRPr="00D51537">
        <w:rPr>
          <w:rFonts w:ascii="Times New Roman" w:hAnsi="Times New Roman"/>
          <w:lang w:val="pt-BR"/>
        </w:rPr>
        <w:t>). Este resultado revela uma mudança na densidade eletrônica dos átomos de platina (Pt</w:t>
      </w:r>
      <w:r w:rsidRPr="00323078">
        <w:rPr>
          <w:rFonts w:ascii="Times New Roman" w:hAnsi="Times New Roman"/>
          <w:vertAlign w:val="superscript"/>
          <w:lang w:val="pt-BR"/>
        </w:rPr>
        <w:t>δ+</w:t>
      </w:r>
      <w:r w:rsidRPr="00D51537">
        <w:rPr>
          <w:rFonts w:ascii="Times New Roman" w:hAnsi="Times New Roman"/>
          <w:lang w:val="pt-BR"/>
        </w:rPr>
        <w:t>) devido à presença de óxidos metálicos em contato próximo com os átomos de Pt.</w:t>
      </w:r>
    </w:p>
    <w:p w:rsidR="00BF6814" w:rsidRDefault="00BF6814" w:rsidP="00BF6814">
      <w:pPr>
        <w:pStyle w:val="TAMainText"/>
        <w:ind w:firstLine="187"/>
        <w:rPr>
          <w:rFonts w:ascii="Times New Roman" w:hAnsi="Times New Roman"/>
          <w:lang w:val="pt-BR"/>
        </w:rPr>
      </w:pPr>
      <w:r w:rsidRPr="00D51537">
        <w:rPr>
          <w:rFonts w:ascii="Times New Roman" w:hAnsi="Times New Roman"/>
          <w:lang w:val="pt-BR"/>
        </w:rPr>
        <w:t>O espectro Co</w:t>
      </w:r>
      <w:r w:rsidR="00131E6A">
        <w:rPr>
          <w:rFonts w:ascii="Times New Roman" w:hAnsi="Times New Roman"/>
          <w:lang w:val="pt-BR"/>
        </w:rPr>
        <w:t xml:space="preserve"> </w:t>
      </w:r>
      <w:r w:rsidRPr="00D51537">
        <w:rPr>
          <w:rFonts w:ascii="Times New Roman" w:hAnsi="Times New Roman"/>
          <w:lang w:val="pt-BR"/>
        </w:rPr>
        <w:t>2p XPS exibiu dois picos principais em 781,4 e 796,8 eV associados às regiões do dupleto Co 2p</w:t>
      </w:r>
      <w:r w:rsidRPr="002B20CC">
        <w:rPr>
          <w:rFonts w:ascii="Times New Roman" w:hAnsi="Times New Roman"/>
          <w:vertAlign w:val="subscript"/>
          <w:lang w:val="pt-BR"/>
        </w:rPr>
        <w:t>3/2</w:t>
      </w:r>
      <w:r w:rsidRPr="00D51537">
        <w:rPr>
          <w:rFonts w:ascii="Times New Roman" w:hAnsi="Times New Roman"/>
          <w:lang w:val="pt-BR"/>
        </w:rPr>
        <w:t xml:space="preserve"> e Co 2p</w:t>
      </w:r>
      <w:r w:rsidRPr="002B20CC">
        <w:rPr>
          <w:rFonts w:ascii="Times New Roman" w:hAnsi="Times New Roman"/>
          <w:vertAlign w:val="subscript"/>
          <w:lang w:val="pt-BR"/>
        </w:rPr>
        <w:t>1/2</w:t>
      </w:r>
      <w:r w:rsidRPr="00D51537">
        <w:rPr>
          <w:rFonts w:ascii="Times New Roman" w:hAnsi="Times New Roman"/>
          <w:lang w:val="pt-BR"/>
        </w:rPr>
        <w:t>, respectivamente. Esses resultados revelaram que os átomos de cobalto estão em um estado de oxidação 2+ com coordenação tetraédrica na rede da</w:t>
      </w:r>
      <w:r>
        <w:rPr>
          <w:rFonts w:ascii="Times New Roman" w:hAnsi="Times New Roman"/>
          <w:lang w:val="pt-BR"/>
        </w:rPr>
        <w:t xml:space="preserve"> fase espinélio CoAl</w:t>
      </w:r>
      <w:r w:rsidRPr="002B20CC">
        <w:rPr>
          <w:rFonts w:ascii="Times New Roman" w:hAnsi="Times New Roman"/>
          <w:vertAlign w:val="subscript"/>
          <w:lang w:val="pt-BR"/>
        </w:rPr>
        <w:t>2</w:t>
      </w:r>
      <w:r>
        <w:rPr>
          <w:rFonts w:ascii="Times New Roman" w:hAnsi="Times New Roman"/>
          <w:lang w:val="pt-BR"/>
        </w:rPr>
        <w:t>O</w:t>
      </w:r>
      <w:r w:rsidRPr="002B20CC">
        <w:rPr>
          <w:rFonts w:ascii="Times New Roman" w:hAnsi="Times New Roman"/>
          <w:vertAlign w:val="subscript"/>
          <w:lang w:val="pt-BR"/>
        </w:rPr>
        <w:t>4</w:t>
      </w:r>
      <w:r w:rsidRPr="00D51537">
        <w:rPr>
          <w:rFonts w:ascii="Times New Roman" w:hAnsi="Times New Roman"/>
          <w:lang w:val="pt-BR"/>
        </w:rPr>
        <w:t>. Além disso, a ausência de picos em torno de 780,4 e 779,7 eV confirma que a espécie Co</w:t>
      </w:r>
      <w:r w:rsidRPr="002B20CC">
        <w:rPr>
          <w:rFonts w:ascii="Times New Roman" w:hAnsi="Times New Roman"/>
          <w:vertAlign w:val="subscript"/>
          <w:lang w:val="pt-BR"/>
        </w:rPr>
        <w:t>3</w:t>
      </w:r>
      <w:r w:rsidRPr="00D51537">
        <w:rPr>
          <w:rFonts w:ascii="Times New Roman" w:hAnsi="Times New Roman"/>
          <w:lang w:val="pt-BR"/>
        </w:rPr>
        <w:t>O</w:t>
      </w:r>
      <w:r w:rsidRPr="002B20CC">
        <w:rPr>
          <w:rFonts w:ascii="Times New Roman" w:hAnsi="Times New Roman"/>
          <w:vertAlign w:val="subscript"/>
          <w:lang w:val="pt-BR"/>
        </w:rPr>
        <w:t>4</w:t>
      </w:r>
      <w:r>
        <w:rPr>
          <w:rFonts w:ascii="Times New Roman" w:hAnsi="Times New Roman"/>
          <w:lang w:val="pt-BR"/>
        </w:rPr>
        <w:t xml:space="preserve"> não foi formada</w:t>
      </w:r>
      <w:r w:rsidRPr="00D51537">
        <w:rPr>
          <w:rFonts w:ascii="Times New Roman" w:hAnsi="Times New Roman"/>
          <w:lang w:val="pt-BR"/>
        </w:rPr>
        <w:t>.</w:t>
      </w:r>
    </w:p>
    <w:p w:rsidR="00BF6814" w:rsidRDefault="00BF6814" w:rsidP="00323078">
      <w:pPr>
        <w:pStyle w:val="TAMainText"/>
        <w:ind w:firstLine="187"/>
        <w:rPr>
          <w:rFonts w:ascii="Times New Roman" w:hAnsi="Times New Roman"/>
          <w:lang w:val="pt-BR"/>
        </w:rPr>
      </w:pPr>
    </w:p>
    <w:p w:rsidR="008E6BFA" w:rsidRDefault="00D51537" w:rsidP="00323078">
      <w:pPr>
        <w:pStyle w:val="TAMainText"/>
        <w:ind w:firstLine="187"/>
        <w:rPr>
          <w:rFonts w:ascii="Times New Roman" w:hAnsi="Times New Roman"/>
          <w:lang w:val="pt-BR"/>
        </w:rPr>
      </w:pPr>
      <w:r w:rsidRPr="00D51537">
        <w:rPr>
          <w:rFonts w:ascii="Times New Roman" w:hAnsi="Times New Roman"/>
          <w:lang w:val="pt-BR"/>
        </w:rPr>
        <w:t xml:space="preserve"> </w:t>
      </w:r>
    </w:p>
    <w:p w:rsidR="008E6BFA" w:rsidRDefault="008E6BFA" w:rsidP="00D51537">
      <w:pPr>
        <w:pStyle w:val="TAMainText"/>
        <w:ind w:firstLine="187"/>
        <w:rPr>
          <w:rFonts w:ascii="Times New Roman" w:hAnsi="Times New Roman"/>
          <w:lang w:val="pt-BR"/>
        </w:rPr>
      </w:pPr>
    </w:p>
    <w:p w:rsidR="008E6BFA" w:rsidRDefault="00BF6814" w:rsidP="00D51537">
      <w:pPr>
        <w:pStyle w:val="TAMainText"/>
        <w:ind w:firstLine="187"/>
        <w:rPr>
          <w:rFonts w:ascii="Times New Roman" w:hAnsi="Times New Roman"/>
          <w:lang w:val="pt-BR"/>
        </w:rPr>
      </w:pPr>
      <w:r>
        <w:rPr>
          <w:rFonts w:ascii="Times New Roman" w:hAnsi="Times New Roman"/>
          <w:noProof/>
          <w:lang w:val="pt-BR"/>
        </w:rPr>
        <w:lastRenderedPageBreak/>
        <w:drawing>
          <wp:anchor distT="0" distB="0" distL="114300" distR="114300" simplePos="0" relativeHeight="251679743" behindDoc="0" locked="0" layoutInCell="1" allowOverlap="1">
            <wp:simplePos x="0" y="0"/>
            <wp:positionH relativeFrom="column">
              <wp:posOffset>1573047</wp:posOffset>
            </wp:positionH>
            <wp:positionV relativeFrom="paragraph">
              <wp:posOffset>-6934</wp:posOffset>
            </wp:positionV>
            <wp:extent cx="1524458" cy="1799539"/>
            <wp:effectExtent l="19050" t="0" r="0" b="0"/>
            <wp:wrapNone/>
            <wp:docPr id="34"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l="10003" t="11059" r="12771" b="3294"/>
                    <a:stretch>
                      <a:fillRect/>
                    </a:stretch>
                  </pic:blipFill>
                  <pic:spPr bwMode="auto">
                    <a:xfrm>
                      <a:off x="0" y="0"/>
                      <a:ext cx="1524458" cy="1799539"/>
                    </a:xfrm>
                    <a:prstGeom prst="rect">
                      <a:avLst/>
                    </a:prstGeom>
                    <a:noFill/>
                    <a:ln w="9525">
                      <a:noFill/>
                      <a:miter lim="800000"/>
                      <a:headEnd/>
                      <a:tailEnd/>
                    </a:ln>
                  </pic:spPr>
                </pic:pic>
              </a:graphicData>
            </a:graphic>
          </wp:anchor>
        </w:drawing>
      </w:r>
      <w:r>
        <w:rPr>
          <w:rFonts w:ascii="Times New Roman" w:hAnsi="Times New Roman"/>
          <w:noProof/>
          <w:lang w:val="pt-BR"/>
        </w:rPr>
        <w:drawing>
          <wp:anchor distT="0" distB="0" distL="114300" distR="114300" simplePos="0" relativeHeight="251678719" behindDoc="0" locked="0" layoutInCell="1" allowOverlap="1">
            <wp:simplePos x="0" y="0"/>
            <wp:positionH relativeFrom="column">
              <wp:posOffset>4699</wp:posOffset>
            </wp:positionH>
            <wp:positionV relativeFrom="paragraph">
              <wp:posOffset>381</wp:posOffset>
            </wp:positionV>
            <wp:extent cx="1590294" cy="1836115"/>
            <wp:effectExtent l="19050" t="0" r="0" b="0"/>
            <wp:wrapNone/>
            <wp:docPr id="30"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srcRect l="10423" t="11043" r="10424" b="3681"/>
                    <a:stretch>
                      <a:fillRect/>
                    </a:stretch>
                  </pic:blipFill>
                  <pic:spPr bwMode="auto">
                    <a:xfrm>
                      <a:off x="0" y="0"/>
                      <a:ext cx="1590294" cy="1836115"/>
                    </a:xfrm>
                    <a:prstGeom prst="rect">
                      <a:avLst/>
                    </a:prstGeom>
                    <a:noFill/>
                    <a:ln w="9525">
                      <a:noFill/>
                      <a:miter lim="800000"/>
                      <a:headEnd/>
                      <a:tailEnd/>
                    </a:ln>
                  </pic:spPr>
                </pic:pic>
              </a:graphicData>
            </a:graphic>
          </wp:anchor>
        </w:drawing>
      </w: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8E6BFA" w:rsidRDefault="008E6BFA" w:rsidP="00D51537">
      <w:pPr>
        <w:pStyle w:val="TAMainText"/>
        <w:ind w:firstLine="187"/>
        <w:rPr>
          <w:rFonts w:ascii="Times New Roman" w:hAnsi="Times New Roman"/>
          <w:lang w:val="pt-BR"/>
        </w:rPr>
      </w:pPr>
    </w:p>
    <w:p w:rsidR="00E96632" w:rsidRDefault="00E96632" w:rsidP="00E96632">
      <w:pPr>
        <w:pStyle w:val="TAMainText"/>
        <w:ind w:firstLine="0"/>
        <w:rPr>
          <w:rFonts w:ascii="Times New Roman" w:hAnsi="Times New Roman"/>
          <w:lang w:val="pt-BR"/>
        </w:rPr>
      </w:pPr>
    </w:p>
    <w:p w:rsidR="00E96632" w:rsidRDefault="00E96632" w:rsidP="00E96632">
      <w:pPr>
        <w:pStyle w:val="TAMainText"/>
        <w:ind w:firstLine="0"/>
        <w:rPr>
          <w:rFonts w:ascii="Times New Roman" w:hAnsi="Times New Roman"/>
          <w:lang w:val="pt-BR"/>
        </w:rPr>
      </w:pPr>
    </w:p>
    <w:p w:rsidR="00E96632" w:rsidRDefault="00E96632" w:rsidP="00E96632">
      <w:pPr>
        <w:pStyle w:val="TAMainText"/>
        <w:ind w:firstLin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Análise de XPS do catalisador CoPtAlO.</w:t>
      </w:r>
    </w:p>
    <w:p w:rsidR="00E96632" w:rsidRDefault="00E96632" w:rsidP="00D51537">
      <w:pPr>
        <w:pStyle w:val="TAMainText"/>
        <w:ind w:firstLine="187"/>
        <w:rPr>
          <w:rFonts w:ascii="Times New Roman" w:hAnsi="Times New Roman"/>
          <w:lang w:val="pt-BR"/>
        </w:rPr>
      </w:pPr>
    </w:p>
    <w:p w:rsidR="00D51537" w:rsidRDefault="00D51537" w:rsidP="00D51537">
      <w:pPr>
        <w:pStyle w:val="TAMainText"/>
        <w:ind w:firstLine="187"/>
        <w:rPr>
          <w:rFonts w:ascii="Times New Roman" w:hAnsi="Times New Roman"/>
          <w:lang w:val="pt-BR"/>
        </w:rPr>
      </w:pPr>
      <w:r w:rsidRPr="00D51537">
        <w:rPr>
          <w:rFonts w:ascii="Times New Roman" w:hAnsi="Times New Roman"/>
          <w:lang w:val="pt-BR"/>
        </w:rPr>
        <w:t xml:space="preserve">Os perfis de redução </w:t>
      </w:r>
      <w:r w:rsidRPr="00131E6A">
        <w:rPr>
          <w:rFonts w:ascii="Times New Roman" w:hAnsi="Times New Roman"/>
          <w:lang w:val="pt-BR"/>
        </w:rPr>
        <w:t>(</w:t>
      </w:r>
      <w:r w:rsidR="00F24B86" w:rsidRPr="00131E6A">
        <w:rPr>
          <w:rFonts w:ascii="Times New Roman" w:hAnsi="Times New Roman"/>
          <w:lang w:val="pt-BR"/>
        </w:rPr>
        <w:t>Fig. 6</w:t>
      </w:r>
      <w:r w:rsidRPr="00131E6A">
        <w:rPr>
          <w:rFonts w:ascii="Times New Roman" w:hAnsi="Times New Roman"/>
          <w:lang w:val="pt-BR"/>
        </w:rPr>
        <w:t>) revelaram</w:t>
      </w:r>
      <w:r>
        <w:rPr>
          <w:rFonts w:ascii="Times New Roman" w:hAnsi="Times New Roman"/>
          <w:lang w:val="pt-BR"/>
        </w:rPr>
        <w:t>, como esperado</w:t>
      </w:r>
      <w:r w:rsidRPr="00D51537">
        <w:rPr>
          <w:rFonts w:ascii="Times New Roman" w:hAnsi="Times New Roman"/>
          <w:lang w:val="pt-BR"/>
        </w:rPr>
        <w:t>,</w:t>
      </w:r>
      <w:r>
        <w:rPr>
          <w:rFonts w:ascii="Times New Roman" w:hAnsi="Times New Roman"/>
          <w:lang w:val="pt-BR"/>
        </w:rPr>
        <w:t xml:space="preserve"> que</w:t>
      </w:r>
      <w:r w:rsidRPr="00D51537">
        <w:rPr>
          <w:rFonts w:ascii="Times New Roman" w:hAnsi="Times New Roman"/>
          <w:lang w:val="pt-BR"/>
        </w:rPr>
        <w:t xml:space="preserve"> nenhum pico de redução foi observado para o suporte γ-Al</w:t>
      </w:r>
      <w:r w:rsidRPr="00DA59EE">
        <w:rPr>
          <w:rFonts w:ascii="Times New Roman" w:hAnsi="Times New Roman"/>
          <w:vertAlign w:val="subscript"/>
          <w:lang w:val="pt-BR"/>
        </w:rPr>
        <w:t>2</w:t>
      </w:r>
      <w:r w:rsidRPr="00D51537">
        <w:rPr>
          <w:rFonts w:ascii="Times New Roman" w:hAnsi="Times New Roman"/>
          <w:lang w:val="pt-BR"/>
        </w:rPr>
        <w:t>O</w:t>
      </w:r>
      <w:r w:rsidRPr="00DA59EE">
        <w:rPr>
          <w:rFonts w:ascii="Times New Roman" w:hAnsi="Times New Roman"/>
          <w:vertAlign w:val="subscript"/>
          <w:lang w:val="pt-BR"/>
        </w:rPr>
        <w:t>3</w:t>
      </w:r>
      <w:r w:rsidRPr="00D51537">
        <w:rPr>
          <w:rFonts w:ascii="Times New Roman" w:hAnsi="Times New Roman"/>
          <w:lang w:val="pt-BR"/>
        </w:rPr>
        <w:t xml:space="preserve"> na faixa de temperatura analisada, confirmando que o suporte de alumina é estável sob atmosfera de redução. O catalisador CoPtAlO exibiu um perfil TPR</w:t>
      </w:r>
      <w:r w:rsidR="00DA59EE">
        <w:rPr>
          <w:rFonts w:ascii="Times New Roman" w:hAnsi="Times New Roman"/>
          <w:lang w:val="pt-BR"/>
        </w:rPr>
        <w:t>-H</w:t>
      </w:r>
      <w:r w:rsidR="00DA59EE" w:rsidRPr="00DA59EE">
        <w:rPr>
          <w:rFonts w:ascii="Times New Roman" w:hAnsi="Times New Roman"/>
          <w:vertAlign w:val="subscript"/>
          <w:lang w:val="pt-BR"/>
        </w:rPr>
        <w:t>2</w:t>
      </w:r>
      <w:r w:rsidRPr="00D51537">
        <w:rPr>
          <w:rFonts w:ascii="Times New Roman" w:hAnsi="Times New Roman"/>
          <w:lang w:val="pt-BR"/>
        </w:rPr>
        <w:t xml:space="preserve"> formado por duas regiões de temperatura consecutivas associadas à redução de espécies de cobalto (de Co</w:t>
      </w:r>
      <w:r w:rsidRPr="002B20CC">
        <w:rPr>
          <w:rFonts w:ascii="Times New Roman" w:hAnsi="Times New Roman"/>
          <w:vertAlign w:val="superscript"/>
          <w:lang w:val="pt-BR"/>
        </w:rPr>
        <w:t>2+</w:t>
      </w:r>
      <w:r w:rsidRPr="00D51537">
        <w:rPr>
          <w:rFonts w:ascii="Times New Roman" w:hAnsi="Times New Roman"/>
          <w:lang w:val="pt-BR"/>
        </w:rPr>
        <w:t xml:space="preserve"> para Co</w:t>
      </w:r>
      <w:r w:rsidRPr="002B20CC">
        <w:rPr>
          <w:rFonts w:ascii="Times New Roman" w:hAnsi="Times New Roman"/>
          <w:vertAlign w:val="superscript"/>
          <w:lang w:val="pt-BR"/>
        </w:rPr>
        <w:t>0</w:t>
      </w:r>
      <w:r w:rsidRPr="00D51537">
        <w:rPr>
          <w:rFonts w:ascii="Times New Roman" w:hAnsi="Times New Roman"/>
          <w:lang w:val="pt-BR"/>
        </w:rPr>
        <w:t>) na forma CoAl</w:t>
      </w:r>
      <w:r w:rsidRPr="002B20CC">
        <w:rPr>
          <w:rFonts w:ascii="Times New Roman" w:hAnsi="Times New Roman"/>
          <w:vertAlign w:val="subscript"/>
          <w:lang w:val="pt-BR"/>
        </w:rPr>
        <w:t>2</w:t>
      </w:r>
      <w:r w:rsidRPr="00D51537">
        <w:rPr>
          <w:rFonts w:ascii="Times New Roman" w:hAnsi="Times New Roman"/>
          <w:lang w:val="pt-BR"/>
        </w:rPr>
        <w:t>O</w:t>
      </w:r>
      <w:r w:rsidRPr="002B20CC">
        <w:rPr>
          <w:rFonts w:ascii="Times New Roman" w:hAnsi="Times New Roman"/>
          <w:vertAlign w:val="subscript"/>
          <w:lang w:val="pt-BR"/>
        </w:rPr>
        <w:t>4</w:t>
      </w:r>
      <w:r w:rsidRPr="00D51537">
        <w:rPr>
          <w:rFonts w:ascii="Times New Roman" w:hAnsi="Times New Roman"/>
          <w:lang w:val="pt-BR"/>
        </w:rPr>
        <w:t>. Isso foi corroborado pela análise XPS, onde a existência de espécies de Co</w:t>
      </w:r>
      <w:r w:rsidRPr="002B20CC">
        <w:rPr>
          <w:rFonts w:ascii="Times New Roman" w:hAnsi="Times New Roman"/>
          <w:vertAlign w:val="superscript"/>
          <w:lang w:val="pt-BR"/>
        </w:rPr>
        <w:t>3+</w:t>
      </w:r>
      <w:r w:rsidRPr="00D51537">
        <w:rPr>
          <w:rFonts w:ascii="Times New Roman" w:hAnsi="Times New Roman"/>
          <w:lang w:val="pt-BR"/>
        </w:rPr>
        <w:t xml:space="preserve"> foi praticamente descartada. A primeira região de redução ocorre entre 210 e 450 °C e está associada à redução de espécies de cobalto facilmente redutíveis que existiam na superfície do óxido de cobalto-aluminato (CoAl</w:t>
      </w:r>
      <w:r w:rsidRPr="002B20CC">
        <w:rPr>
          <w:rFonts w:ascii="Times New Roman" w:hAnsi="Times New Roman"/>
          <w:vertAlign w:val="subscript"/>
          <w:lang w:val="pt-BR"/>
        </w:rPr>
        <w:t>2</w:t>
      </w:r>
      <w:r w:rsidRPr="00D51537">
        <w:rPr>
          <w:rFonts w:ascii="Times New Roman" w:hAnsi="Times New Roman"/>
          <w:lang w:val="pt-BR"/>
        </w:rPr>
        <w:t>O</w:t>
      </w:r>
      <w:r w:rsidRPr="002B20CC">
        <w:rPr>
          <w:rFonts w:ascii="Times New Roman" w:hAnsi="Times New Roman"/>
          <w:vertAlign w:val="subscript"/>
          <w:lang w:val="pt-BR"/>
        </w:rPr>
        <w:t>4</w:t>
      </w:r>
      <w:r w:rsidRPr="00D51537">
        <w:rPr>
          <w:rFonts w:ascii="Times New Roman" w:hAnsi="Times New Roman"/>
          <w:lang w:val="pt-BR"/>
        </w:rPr>
        <w:t>/γ-Al</w:t>
      </w:r>
      <w:r w:rsidRPr="002B20CC">
        <w:rPr>
          <w:rFonts w:ascii="Times New Roman" w:hAnsi="Times New Roman"/>
          <w:vertAlign w:val="subscript"/>
          <w:lang w:val="pt-BR"/>
        </w:rPr>
        <w:t>2</w:t>
      </w:r>
      <w:r w:rsidRPr="00D51537">
        <w:rPr>
          <w:rFonts w:ascii="Times New Roman" w:hAnsi="Times New Roman"/>
          <w:lang w:val="pt-BR"/>
        </w:rPr>
        <w:t>O</w:t>
      </w:r>
      <w:r w:rsidRPr="002B20CC">
        <w:rPr>
          <w:rFonts w:ascii="Times New Roman" w:hAnsi="Times New Roman"/>
          <w:vertAlign w:val="subscript"/>
          <w:lang w:val="pt-BR"/>
        </w:rPr>
        <w:t>3</w:t>
      </w:r>
      <w:r w:rsidRPr="00D51537">
        <w:rPr>
          <w:rFonts w:ascii="Times New Roman" w:hAnsi="Times New Roman"/>
          <w:lang w:val="pt-BR"/>
        </w:rPr>
        <w:t>). A segunda região de redução ocorre entre 450 e 800 °C, expressando a redução das espécies de Co na estrutura do bulk. A redução de espécies de cobalto no espinela de CoAl</w:t>
      </w:r>
      <w:r w:rsidRPr="002B20CC">
        <w:rPr>
          <w:rFonts w:ascii="Times New Roman" w:hAnsi="Times New Roman"/>
          <w:vertAlign w:val="subscript"/>
          <w:lang w:val="pt-BR"/>
        </w:rPr>
        <w:t>2</w:t>
      </w:r>
      <w:r w:rsidRPr="00D51537">
        <w:rPr>
          <w:rFonts w:ascii="Times New Roman" w:hAnsi="Times New Roman"/>
          <w:lang w:val="pt-BR"/>
        </w:rPr>
        <w:t>O</w:t>
      </w:r>
      <w:r w:rsidRPr="002B20CC">
        <w:rPr>
          <w:rFonts w:ascii="Times New Roman" w:hAnsi="Times New Roman"/>
          <w:vertAlign w:val="subscript"/>
          <w:lang w:val="pt-BR"/>
        </w:rPr>
        <w:t>4</w:t>
      </w:r>
      <w:r w:rsidRPr="00D51537">
        <w:rPr>
          <w:rFonts w:ascii="Times New Roman" w:hAnsi="Times New Roman"/>
          <w:lang w:val="pt-BR"/>
        </w:rPr>
        <w:t xml:space="preserve"> a granel é geralmente difícil de reduzir, ocorrendo em temp</w:t>
      </w:r>
      <w:r w:rsidR="00D45117">
        <w:rPr>
          <w:rFonts w:ascii="Times New Roman" w:hAnsi="Times New Roman"/>
          <w:lang w:val="pt-BR"/>
        </w:rPr>
        <w:t>eraturas acima de 600 °C</w:t>
      </w:r>
      <w:r w:rsidRPr="00D51537">
        <w:rPr>
          <w:rFonts w:ascii="Times New Roman" w:hAnsi="Times New Roman"/>
          <w:lang w:val="pt-BR"/>
        </w:rPr>
        <w:t>. No entanto, nosso resultado demonstra que a Pt pode atuar como promotora de picos de deslocamento para temperaturas mais baixas, melhorando a redutibilidade do cobalto, especialmente para as espécies de superfície. Observações semelhantes são relatadas na literatura para catalisadores à base de CoAl</w:t>
      </w:r>
      <w:r w:rsidRPr="00D45117">
        <w:rPr>
          <w:rFonts w:ascii="Times New Roman" w:hAnsi="Times New Roman"/>
          <w:vertAlign w:val="subscript"/>
          <w:lang w:val="pt-BR"/>
        </w:rPr>
        <w:t>2</w:t>
      </w:r>
      <w:r w:rsidRPr="00D51537">
        <w:rPr>
          <w:rFonts w:ascii="Times New Roman" w:hAnsi="Times New Roman"/>
          <w:lang w:val="pt-BR"/>
        </w:rPr>
        <w:t>O</w:t>
      </w:r>
      <w:r w:rsidRPr="00D45117">
        <w:rPr>
          <w:rFonts w:ascii="Times New Roman" w:hAnsi="Times New Roman"/>
          <w:vertAlign w:val="subscript"/>
          <w:lang w:val="pt-BR"/>
        </w:rPr>
        <w:t>4</w:t>
      </w:r>
      <w:r w:rsidRPr="00D51537">
        <w:rPr>
          <w:rFonts w:ascii="Times New Roman" w:hAnsi="Times New Roman"/>
          <w:lang w:val="pt-BR"/>
        </w:rPr>
        <w:t xml:space="preserve"> promovidos c</w:t>
      </w:r>
      <w:r w:rsidR="00D45117">
        <w:rPr>
          <w:rFonts w:ascii="Times New Roman" w:hAnsi="Times New Roman"/>
          <w:lang w:val="pt-BR"/>
        </w:rPr>
        <w:t>om metais nobres [</w:t>
      </w:r>
      <w:r w:rsidR="00FE34B2">
        <w:rPr>
          <w:rFonts w:ascii="Times New Roman" w:hAnsi="Times New Roman"/>
          <w:lang w:val="pt-BR"/>
        </w:rPr>
        <w:t>15</w:t>
      </w:r>
      <w:r w:rsidRPr="00D51537">
        <w:rPr>
          <w:rFonts w:ascii="Times New Roman" w:hAnsi="Times New Roman"/>
          <w:lang w:val="pt-BR"/>
        </w:rPr>
        <w:t>]. É amplamente sugerido que a dissociação de H</w:t>
      </w:r>
      <w:r w:rsidRPr="00D45117">
        <w:rPr>
          <w:rFonts w:ascii="Times New Roman" w:hAnsi="Times New Roman"/>
          <w:vertAlign w:val="subscript"/>
          <w:lang w:val="pt-BR"/>
        </w:rPr>
        <w:t>2</w:t>
      </w:r>
      <w:r w:rsidRPr="00D51537">
        <w:rPr>
          <w:rFonts w:ascii="Times New Roman" w:hAnsi="Times New Roman"/>
          <w:lang w:val="pt-BR"/>
        </w:rPr>
        <w:t xml:space="preserve"> e o transbordamento na superfície do metal Pt são provavelmente um mecanismo catalítico para acelerar a redução de espécies de cobalto, embora o mecanismo permaneça obscuro.</w:t>
      </w:r>
    </w:p>
    <w:p w:rsidR="00BF6814" w:rsidRPr="00D51537" w:rsidRDefault="00BF6814" w:rsidP="00BF6814">
      <w:pPr>
        <w:pStyle w:val="TAMainText"/>
        <w:ind w:firstLine="187"/>
        <w:rPr>
          <w:rFonts w:ascii="Times New Roman" w:hAnsi="Times New Roman"/>
          <w:lang w:val="pt-BR"/>
        </w:rPr>
      </w:pPr>
      <w:r w:rsidRPr="00D51537">
        <w:rPr>
          <w:rFonts w:ascii="Times New Roman" w:hAnsi="Times New Roman"/>
          <w:lang w:val="pt-BR"/>
        </w:rPr>
        <w:t>O perfil de redução do catalisador NiPtAlO apresentou três picos de redução consecutivos que demonstram diferentes graus de interação entre as espécies de Ni e o suporte de alumina. O pico de redução observado a 365 °C é atribuído à redução da espécie Ni de superfície (Ni</w:t>
      </w:r>
      <w:r w:rsidRPr="00D45117">
        <w:rPr>
          <w:rFonts w:ascii="Times New Roman" w:hAnsi="Times New Roman"/>
          <w:vertAlign w:val="superscript"/>
          <w:lang w:val="pt-BR"/>
        </w:rPr>
        <w:t>2+</w:t>
      </w:r>
      <w:r w:rsidRPr="00D51537">
        <w:rPr>
          <w:rFonts w:ascii="Times New Roman" w:hAnsi="Times New Roman"/>
          <w:lang w:val="pt-BR"/>
        </w:rPr>
        <w:t>→Ni</w:t>
      </w:r>
      <w:r w:rsidRPr="00D45117">
        <w:rPr>
          <w:rFonts w:ascii="Times New Roman" w:hAnsi="Times New Roman"/>
          <w:vertAlign w:val="superscript"/>
          <w:lang w:val="pt-BR"/>
        </w:rPr>
        <w:t>0</w:t>
      </w:r>
      <w:r w:rsidRPr="00D51537">
        <w:rPr>
          <w:rFonts w:ascii="Times New Roman" w:hAnsi="Times New Roman"/>
          <w:lang w:val="pt-BR"/>
        </w:rPr>
        <w:t xml:space="preserve">) que existe na superfície do catalisador. Considerando que o segundo pico de </w:t>
      </w:r>
      <w:r>
        <w:rPr>
          <w:rFonts w:ascii="Times New Roman" w:hAnsi="Times New Roman"/>
          <w:lang w:val="pt-BR"/>
        </w:rPr>
        <w:t>redução ampla em torno de 730 °</w:t>
      </w:r>
      <w:r w:rsidRPr="00D51537">
        <w:rPr>
          <w:rFonts w:ascii="Times New Roman" w:hAnsi="Times New Roman"/>
          <w:lang w:val="pt-BR"/>
        </w:rPr>
        <w:t>C corresponde à fase de NiAl</w:t>
      </w:r>
      <w:r w:rsidRPr="00D45117">
        <w:rPr>
          <w:rFonts w:ascii="Times New Roman" w:hAnsi="Times New Roman"/>
          <w:vertAlign w:val="subscript"/>
          <w:lang w:val="pt-BR"/>
        </w:rPr>
        <w:t>2</w:t>
      </w:r>
      <w:r w:rsidRPr="00D51537">
        <w:rPr>
          <w:rFonts w:ascii="Times New Roman" w:hAnsi="Times New Roman"/>
          <w:lang w:val="pt-BR"/>
        </w:rPr>
        <w:t>O</w:t>
      </w:r>
      <w:r w:rsidRPr="00D45117">
        <w:rPr>
          <w:rFonts w:ascii="Times New Roman" w:hAnsi="Times New Roman"/>
          <w:vertAlign w:val="subscript"/>
          <w:lang w:val="pt-BR"/>
        </w:rPr>
        <w:t>4</w:t>
      </w:r>
      <w:r w:rsidRPr="00D51537">
        <w:rPr>
          <w:rFonts w:ascii="Times New Roman" w:hAnsi="Times New Roman"/>
          <w:lang w:val="pt-BR"/>
        </w:rPr>
        <w:t xml:space="preserve"> em massa, onde as espécies de Ni não foram completamente integradas na estrutura do espinélio (NiO-Al</w:t>
      </w:r>
      <w:r w:rsidRPr="00D45117">
        <w:rPr>
          <w:rFonts w:ascii="Times New Roman" w:hAnsi="Times New Roman"/>
          <w:vertAlign w:val="subscript"/>
          <w:lang w:val="pt-BR"/>
        </w:rPr>
        <w:t>2</w:t>
      </w:r>
      <w:r w:rsidRPr="00D51537">
        <w:rPr>
          <w:rFonts w:ascii="Times New Roman" w:hAnsi="Times New Roman"/>
          <w:lang w:val="pt-BR"/>
        </w:rPr>
        <w:t>O</w:t>
      </w:r>
      <w:r w:rsidRPr="00D45117">
        <w:rPr>
          <w:rFonts w:ascii="Times New Roman" w:hAnsi="Times New Roman"/>
          <w:vertAlign w:val="subscript"/>
          <w:lang w:val="pt-BR"/>
        </w:rPr>
        <w:t>3</w:t>
      </w:r>
      <w:r w:rsidRPr="00D51537">
        <w:rPr>
          <w:rFonts w:ascii="Times New Roman" w:hAnsi="Times New Roman"/>
          <w:lang w:val="pt-BR"/>
        </w:rPr>
        <w:t>) com redutibilidade em</w:t>
      </w:r>
      <w:r>
        <w:rPr>
          <w:rFonts w:ascii="Times New Roman" w:hAnsi="Times New Roman"/>
          <w:lang w:val="pt-BR"/>
        </w:rPr>
        <w:t xml:space="preserve"> temperaturas moderadas</w:t>
      </w:r>
      <w:r w:rsidRPr="00D51537">
        <w:rPr>
          <w:rFonts w:ascii="Times New Roman" w:hAnsi="Times New Roman"/>
          <w:lang w:val="pt-BR"/>
        </w:rPr>
        <w:t xml:space="preserve">. Finalmente, o </w:t>
      </w:r>
      <w:r w:rsidRPr="00D51537">
        <w:rPr>
          <w:rFonts w:ascii="Times New Roman" w:hAnsi="Times New Roman"/>
          <w:lang w:val="pt-BR"/>
        </w:rPr>
        <w:lastRenderedPageBreak/>
        <w:t>último pico de redução ampla em torno de 915 °C corresponde à espécie de Ni menos redutível integrada à fase espinélio, que devido à sua alta estabilidade reduz acima de 900 °C [</w:t>
      </w:r>
      <w:r>
        <w:rPr>
          <w:rFonts w:ascii="Times New Roman" w:hAnsi="Times New Roman"/>
          <w:lang w:val="pt-BR"/>
        </w:rPr>
        <w:t>16</w:t>
      </w:r>
      <w:r w:rsidRPr="00D51537">
        <w:rPr>
          <w:rFonts w:ascii="Times New Roman" w:hAnsi="Times New Roman"/>
          <w:lang w:val="pt-BR"/>
        </w:rPr>
        <w:t>]. Esta observação confirma que espécies de Ni foram inseridas na estrutura da alumina para formação da fase aluminato de níquel bem dispersa na matriz de alumina (NiAl</w:t>
      </w:r>
      <w:r w:rsidRPr="00D45117">
        <w:rPr>
          <w:rFonts w:ascii="Times New Roman" w:hAnsi="Times New Roman"/>
          <w:vertAlign w:val="subscript"/>
          <w:lang w:val="pt-BR"/>
        </w:rPr>
        <w:t>2</w:t>
      </w:r>
      <w:r w:rsidRPr="00D51537">
        <w:rPr>
          <w:rFonts w:ascii="Times New Roman" w:hAnsi="Times New Roman"/>
          <w:lang w:val="pt-BR"/>
        </w:rPr>
        <w:t>O</w:t>
      </w:r>
      <w:r w:rsidRPr="00D45117">
        <w:rPr>
          <w:rFonts w:ascii="Times New Roman" w:hAnsi="Times New Roman"/>
          <w:vertAlign w:val="subscript"/>
          <w:lang w:val="pt-BR"/>
        </w:rPr>
        <w:t>4</w:t>
      </w:r>
      <w:r w:rsidRPr="00D51537">
        <w:rPr>
          <w:rFonts w:ascii="Times New Roman" w:hAnsi="Times New Roman"/>
          <w:lang w:val="pt-BR"/>
        </w:rPr>
        <w:t>/γ-Al</w:t>
      </w:r>
      <w:r w:rsidRPr="00D45117">
        <w:rPr>
          <w:rFonts w:ascii="Times New Roman" w:hAnsi="Times New Roman"/>
          <w:vertAlign w:val="subscript"/>
          <w:lang w:val="pt-BR"/>
        </w:rPr>
        <w:t>2</w:t>
      </w:r>
      <w:r w:rsidRPr="00D51537">
        <w:rPr>
          <w:rFonts w:ascii="Times New Roman" w:hAnsi="Times New Roman"/>
          <w:lang w:val="pt-BR"/>
        </w:rPr>
        <w:t>O</w:t>
      </w:r>
      <w:r w:rsidRPr="00D45117">
        <w:rPr>
          <w:rFonts w:ascii="Times New Roman" w:hAnsi="Times New Roman"/>
          <w:vertAlign w:val="subscript"/>
          <w:lang w:val="pt-BR"/>
        </w:rPr>
        <w:t>3</w:t>
      </w:r>
      <w:r w:rsidRPr="00D51537">
        <w:rPr>
          <w:rFonts w:ascii="Times New Roman" w:hAnsi="Times New Roman"/>
          <w:lang w:val="pt-BR"/>
        </w:rPr>
        <w:t>).</w:t>
      </w:r>
    </w:p>
    <w:p w:rsidR="00F24B86" w:rsidRDefault="00F24B86" w:rsidP="00D51537">
      <w:pPr>
        <w:pStyle w:val="TAMainText"/>
        <w:ind w:firstLine="187"/>
        <w:rPr>
          <w:rFonts w:ascii="Times New Roman" w:hAnsi="Times New Roman"/>
          <w:lang w:val="pt-BR"/>
        </w:rPr>
      </w:pPr>
      <w:r>
        <w:rPr>
          <w:rFonts w:ascii="Times New Roman" w:hAnsi="Times New Roman"/>
          <w:noProof/>
          <w:lang w:val="pt-BR"/>
        </w:rPr>
        <w:drawing>
          <wp:anchor distT="0" distB="0" distL="114300" distR="114300" simplePos="0" relativeHeight="251680767" behindDoc="0" locked="0" layoutInCell="1" allowOverlap="1">
            <wp:simplePos x="0" y="0"/>
            <wp:positionH relativeFrom="column">
              <wp:posOffset>295275</wp:posOffset>
            </wp:positionH>
            <wp:positionV relativeFrom="paragraph">
              <wp:posOffset>102870</wp:posOffset>
            </wp:positionV>
            <wp:extent cx="2468245" cy="2026285"/>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l="9662" t="45739" r="8696" b="6087"/>
                    <a:stretch>
                      <a:fillRect/>
                    </a:stretch>
                  </pic:blipFill>
                  <pic:spPr bwMode="auto">
                    <a:xfrm>
                      <a:off x="0" y="0"/>
                      <a:ext cx="2468245" cy="2026285"/>
                    </a:xfrm>
                    <a:prstGeom prst="rect">
                      <a:avLst/>
                    </a:prstGeom>
                    <a:noFill/>
                    <a:ln w="9525">
                      <a:noFill/>
                      <a:miter lim="800000"/>
                      <a:headEnd/>
                      <a:tailEnd/>
                    </a:ln>
                  </pic:spPr>
                </pic:pic>
              </a:graphicData>
            </a:graphic>
          </wp:anchor>
        </w:drawing>
      </w: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D51537">
      <w:pPr>
        <w:pStyle w:val="TAMainText"/>
        <w:ind w:firstLine="187"/>
        <w:rPr>
          <w:rFonts w:ascii="Times New Roman" w:hAnsi="Times New Roman"/>
          <w:lang w:val="pt-BR"/>
        </w:rPr>
      </w:pPr>
    </w:p>
    <w:p w:rsidR="00F24B86" w:rsidRDefault="00F24B86" w:rsidP="00F24B86">
      <w:pPr>
        <w:pStyle w:val="TAMainText"/>
        <w:ind w:firstLin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6</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Perfis de TPR-H</w:t>
      </w:r>
      <w:r w:rsidRPr="00F24B86">
        <w:rPr>
          <w:rFonts w:ascii="Times New Roman" w:hAnsi="Times New Roman"/>
          <w:vertAlign w:val="subscript"/>
          <w:lang w:val="pt-BR"/>
        </w:rPr>
        <w:t>2</w:t>
      </w:r>
      <w:r>
        <w:rPr>
          <w:rFonts w:ascii="Times New Roman" w:hAnsi="Times New Roman"/>
          <w:lang w:val="pt-BR"/>
        </w:rPr>
        <w:t xml:space="preserve"> dos catalisadores.</w:t>
      </w:r>
    </w:p>
    <w:p w:rsidR="00F24B86" w:rsidRPr="00D51537" w:rsidRDefault="00F24B86" w:rsidP="00D51537">
      <w:pPr>
        <w:pStyle w:val="TAMainText"/>
        <w:ind w:firstLine="187"/>
        <w:rPr>
          <w:rFonts w:ascii="Times New Roman" w:hAnsi="Times New Roman"/>
          <w:lang w:val="pt-BR"/>
        </w:rPr>
      </w:pPr>
    </w:p>
    <w:p w:rsidR="00D51537" w:rsidRDefault="00D51537" w:rsidP="00D51537">
      <w:pPr>
        <w:pStyle w:val="TAMainText"/>
        <w:ind w:firstLine="187"/>
        <w:rPr>
          <w:rFonts w:ascii="Times New Roman" w:hAnsi="Times New Roman"/>
          <w:lang w:val="pt-BR"/>
        </w:rPr>
      </w:pPr>
      <w:r w:rsidRPr="00D51537">
        <w:rPr>
          <w:rFonts w:ascii="Times New Roman" w:hAnsi="Times New Roman"/>
          <w:lang w:val="pt-BR"/>
        </w:rPr>
        <w:t>A partir das curvas H</w:t>
      </w:r>
      <w:r w:rsidRPr="00131E6A">
        <w:rPr>
          <w:rFonts w:ascii="Times New Roman" w:hAnsi="Times New Roman"/>
          <w:vertAlign w:val="subscript"/>
          <w:lang w:val="pt-BR"/>
        </w:rPr>
        <w:t>2</w:t>
      </w:r>
      <w:r w:rsidRPr="00D51537">
        <w:rPr>
          <w:rFonts w:ascii="Times New Roman" w:hAnsi="Times New Roman"/>
          <w:lang w:val="pt-BR"/>
        </w:rPr>
        <w:t xml:space="preserve">-TPR também é verificado que para ambos os catalisadores NiPtAlO e CoPtAlO o processo de redução começou apenas acima de 200 °C, indicando que as espécies promotoras são estáveis (na forma de óxido) dentro da faixa de temperatura e atmosfera redutora utilizada em nossos testes catalíticos. Por outro lado, todos os catalisadores exibiram uma redução de espécies de Pt à temperatura ambiente, confirmando que durante os testes do catalisador a platina está em uma forma reduzida. Isso é característico da redução de espécies livres de PtO (detectadas anteriormente por medição </w:t>
      </w:r>
      <w:r w:rsidR="00131E6A">
        <w:rPr>
          <w:rFonts w:ascii="Times New Roman" w:hAnsi="Times New Roman"/>
          <w:lang w:val="pt-BR"/>
        </w:rPr>
        <w:t>de DRX</w:t>
      </w:r>
      <w:r w:rsidRPr="00D51537">
        <w:rPr>
          <w:rFonts w:ascii="Times New Roman" w:hAnsi="Times New Roman"/>
          <w:lang w:val="pt-BR"/>
        </w:rPr>
        <w:t>) com interação</w:t>
      </w:r>
      <w:r w:rsidR="00D45117">
        <w:rPr>
          <w:rFonts w:ascii="Times New Roman" w:hAnsi="Times New Roman"/>
          <w:lang w:val="pt-BR"/>
        </w:rPr>
        <w:t xml:space="preserve"> fraca com o suporte de alumina</w:t>
      </w:r>
      <w:r w:rsidRPr="00D51537">
        <w:rPr>
          <w:rFonts w:ascii="Times New Roman" w:hAnsi="Times New Roman"/>
          <w:lang w:val="pt-BR"/>
        </w:rPr>
        <w:t>.</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rsidR="00EA4E1B" w:rsidRPr="001F25B2" w:rsidRDefault="000A40CC" w:rsidP="00EA4E1B">
      <w:pPr>
        <w:pStyle w:val="TAMainText"/>
        <w:ind w:firstLine="187"/>
        <w:rPr>
          <w:rFonts w:ascii="Times New Roman" w:hAnsi="Times New Roman"/>
          <w:lang w:val="pt-BR"/>
        </w:rPr>
      </w:pPr>
      <w:r w:rsidRPr="000A40CC">
        <w:rPr>
          <w:rFonts w:ascii="Times New Roman" w:hAnsi="Times New Roman"/>
          <w:lang w:val="pt-BR"/>
        </w:rPr>
        <w:t>Em resumo, a atividade catalítica da Pt em catalisadores de alumina com aluminatos de MAl</w:t>
      </w:r>
      <w:r w:rsidRPr="00D45117">
        <w:rPr>
          <w:rFonts w:ascii="Times New Roman" w:hAnsi="Times New Roman"/>
          <w:vertAlign w:val="subscript"/>
          <w:lang w:val="pt-BR"/>
        </w:rPr>
        <w:t>2</w:t>
      </w:r>
      <w:r w:rsidRPr="000A40CC">
        <w:rPr>
          <w:rFonts w:ascii="Times New Roman" w:hAnsi="Times New Roman"/>
          <w:lang w:val="pt-BR"/>
        </w:rPr>
        <w:t>O</w:t>
      </w:r>
      <w:r w:rsidRPr="00D45117">
        <w:rPr>
          <w:rFonts w:ascii="Times New Roman" w:hAnsi="Times New Roman"/>
          <w:vertAlign w:val="subscript"/>
          <w:lang w:val="pt-BR"/>
        </w:rPr>
        <w:t>3</w:t>
      </w:r>
      <w:r w:rsidRPr="000A40CC">
        <w:rPr>
          <w:rFonts w:ascii="Times New Roman" w:hAnsi="Times New Roman"/>
          <w:lang w:val="pt-BR"/>
        </w:rPr>
        <w:t xml:space="preserve"> (Co e Ni) incorporados à formulação </w:t>
      </w:r>
      <w:r w:rsidR="00D45117">
        <w:rPr>
          <w:rFonts w:ascii="Times New Roman" w:hAnsi="Times New Roman"/>
          <w:lang w:val="pt-BR"/>
        </w:rPr>
        <w:t xml:space="preserve">do catalisador para a reação </w:t>
      </w:r>
      <w:r w:rsidRPr="000A40CC">
        <w:rPr>
          <w:rFonts w:ascii="Times New Roman" w:hAnsi="Times New Roman"/>
          <w:lang w:val="pt-BR"/>
        </w:rPr>
        <w:t>PROX</w:t>
      </w:r>
      <w:r w:rsidR="00D45117">
        <w:rPr>
          <w:rFonts w:ascii="Times New Roman" w:hAnsi="Times New Roman"/>
          <w:lang w:val="pt-BR"/>
        </w:rPr>
        <w:t>-CO</w:t>
      </w:r>
      <w:r w:rsidRPr="000A40CC">
        <w:rPr>
          <w:rFonts w:ascii="Times New Roman" w:hAnsi="Times New Roman"/>
          <w:lang w:val="pt-BR"/>
        </w:rPr>
        <w:t xml:space="preserve"> foi estudada na</w:t>
      </w:r>
      <w:r w:rsidR="00D45117">
        <w:rPr>
          <w:rFonts w:ascii="Times New Roman" w:hAnsi="Times New Roman"/>
          <w:lang w:val="pt-BR"/>
        </w:rPr>
        <w:t xml:space="preserve"> faixa de temperatura de 50–200 </w:t>
      </w:r>
      <w:r w:rsidRPr="000A40CC">
        <w:rPr>
          <w:rFonts w:ascii="Times New Roman" w:hAnsi="Times New Roman"/>
          <w:lang w:val="pt-BR"/>
        </w:rPr>
        <w:t>°C. Mostramos que os catalisadores modificados de Pt/alumina são uma excelen</w:t>
      </w:r>
      <w:r w:rsidR="00D45117">
        <w:rPr>
          <w:rFonts w:ascii="Times New Roman" w:hAnsi="Times New Roman"/>
          <w:lang w:val="pt-BR"/>
        </w:rPr>
        <w:t xml:space="preserve">te alternativa para a reação </w:t>
      </w:r>
      <w:r w:rsidRPr="000A40CC">
        <w:rPr>
          <w:rFonts w:ascii="Times New Roman" w:hAnsi="Times New Roman"/>
          <w:lang w:val="pt-BR"/>
        </w:rPr>
        <w:t>PROX</w:t>
      </w:r>
      <w:r w:rsidR="00D45117">
        <w:rPr>
          <w:rFonts w:ascii="Times New Roman" w:hAnsi="Times New Roman"/>
          <w:lang w:val="pt-BR"/>
        </w:rPr>
        <w:t>-CO</w:t>
      </w:r>
      <w:r w:rsidRPr="000A40CC">
        <w:rPr>
          <w:rFonts w:ascii="Times New Roman" w:hAnsi="Times New Roman"/>
          <w:lang w:val="pt-BR"/>
        </w:rPr>
        <w:t xml:space="preserve"> em temperaturas mais baixas. Nossos resultados sugerem que a presença de óxidos de aluminatos facilitou a transferência de elétrons da Pt para o fomento, resultando na diminuição da força de adsorção de CO e aumento da ativação do oxigênio. Os catalisadores modificados seguiram o mecanismo de Langmuir-Hinshelwood dual-site com CO adsorvendo preferencialmente nos sítios Pt e O</w:t>
      </w:r>
      <w:r w:rsidRPr="00D45117">
        <w:rPr>
          <w:rFonts w:ascii="Times New Roman" w:hAnsi="Times New Roman"/>
          <w:vertAlign w:val="subscript"/>
          <w:lang w:val="pt-BR"/>
        </w:rPr>
        <w:t>2</w:t>
      </w:r>
      <w:r w:rsidRPr="000A40CC">
        <w:rPr>
          <w:rFonts w:ascii="Times New Roman" w:hAnsi="Times New Roman"/>
          <w:lang w:val="pt-BR"/>
        </w:rPr>
        <w:t xml:space="preserve"> adsorvendo nos sítios aluminatos. Comparando nossos resultados com aqueles relatados na literatura, podemos concluir que nossos </w:t>
      </w:r>
      <w:r w:rsidRPr="000A40CC">
        <w:rPr>
          <w:rFonts w:ascii="Times New Roman" w:hAnsi="Times New Roman"/>
          <w:lang w:val="pt-BR"/>
        </w:rPr>
        <w:lastRenderedPageBreak/>
        <w:t>catalisadores são materiais adequados para purificação de hidrogênio pela reação CO-PROX em temperaturas mais baixas, mas a taxa de oxidação de H</w:t>
      </w:r>
      <w:r w:rsidRPr="00D45117">
        <w:rPr>
          <w:rFonts w:ascii="Times New Roman" w:hAnsi="Times New Roman"/>
          <w:vertAlign w:val="subscript"/>
          <w:lang w:val="pt-BR"/>
        </w:rPr>
        <w:t>2</w:t>
      </w:r>
      <w:r w:rsidRPr="000A40CC">
        <w:rPr>
          <w:rFonts w:ascii="Times New Roman" w:hAnsi="Times New Roman"/>
          <w:lang w:val="pt-BR"/>
        </w:rPr>
        <w:t xml:space="preserve"> deve ser diminuída para apli</w:t>
      </w:r>
      <w:r>
        <w:rPr>
          <w:rFonts w:ascii="Times New Roman" w:hAnsi="Times New Roman"/>
          <w:lang w:val="pt-BR"/>
        </w:rPr>
        <w:t>cações em células a combustível</w:t>
      </w:r>
      <w:r w:rsidR="00EA4E1B" w:rsidRPr="001F25B2">
        <w:rPr>
          <w:rFonts w:ascii="Times New Roman" w:hAnsi="Times New Roman"/>
          <w:lang w:val="pt-BR"/>
        </w:rPr>
        <w:t>.</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rsidR="00EA4E1B" w:rsidRPr="001F25B2" w:rsidRDefault="00FE6792" w:rsidP="00EA4E1B">
      <w:pPr>
        <w:pStyle w:val="TAMainText"/>
        <w:rPr>
          <w:rFonts w:ascii="Times New Roman" w:hAnsi="Times New Roman"/>
          <w:lang w:val="pt-BR"/>
        </w:rPr>
      </w:pPr>
      <w:r w:rsidRPr="00FE6792">
        <w:rPr>
          <w:rFonts w:ascii="Times New Roman" w:hAnsi="Times New Roman"/>
          <w:lang w:val="pt-BR"/>
        </w:rPr>
        <w:t xml:space="preserve">Os autores agradecem </w:t>
      </w:r>
      <w:r w:rsidR="008B1F36">
        <w:rPr>
          <w:rFonts w:ascii="Times New Roman" w:hAnsi="Times New Roman"/>
          <w:lang w:val="pt-BR"/>
        </w:rPr>
        <w:t>a</w:t>
      </w:r>
      <w:r w:rsidRPr="00FE6792">
        <w:rPr>
          <w:rFonts w:ascii="Times New Roman" w:hAnsi="Times New Roman"/>
          <w:lang w:val="pt-BR"/>
        </w:rPr>
        <w:t xml:space="preserve"> CAPES (Coordenação de Aperfeiçoamento de Pessoal de Nível Superior), CNPq (Conselho Nacional de Desenvolvimento Científico) e FAPERJ (Fundação de Amparo à Pesquisa do Estado do Rio de Janeiro) pelo apoio financeiro. Os autores agradecem ao RECAT/UFF (Laboratório de Cinética, Catálise e Reatores Químicos da Universidade Feder</w:t>
      </w:r>
      <w:r>
        <w:rPr>
          <w:rFonts w:ascii="Times New Roman" w:hAnsi="Times New Roman"/>
          <w:lang w:val="pt-BR"/>
        </w:rPr>
        <w:t>al Fluminense) pela análise</w:t>
      </w:r>
      <w:r w:rsidR="00131E6A">
        <w:rPr>
          <w:rFonts w:ascii="Times New Roman" w:hAnsi="Times New Roman"/>
          <w:lang w:val="pt-BR"/>
        </w:rPr>
        <w:t xml:space="preserve"> de</w:t>
      </w:r>
      <w:r>
        <w:rPr>
          <w:rFonts w:ascii="Times New Roman" w:hAnsi="Times New Roman"/>
          <w:lang w:val="pt-BR"/>
        </w:rPr>
        <w:t xml:space="preserve"> XPS</w:t>
      </w:r>
      <w:r w:rsidR="00EA4E1B" w:rsidRPr="001F25B2">
        <w:rPr>
          <w:rFonts w:ascii="Times New Roman" w:hAnsi="Times New Roman"/>
          <w:lang w:val="pt-BR"/>
        </w:rPr>
        <w:t>.</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rsidR="00EA4E1B" w:rsidRDefault="00EA4E1B" w:rsidP="00EA4E1B">
      <w:pPr>
        <w:pStyle w:val="TAMainText"/>
        <w:ind w:firstLine="0"/>
        <w:rPr>
          <w:lang w:val="pt-BR"/>
        </w:rPr>
      </w:pPr>
    </w:p>
    <w:p w:rsidR="00CC04AB" w:rsidRPr="00CC04AB" w:rsidRDefault="00CC04AB" w:rsidP="009269C3">
      <w:pPr>
        <w:pStyle w:val="TAMainText"/>
        <w:numPr>
          <w:ilvl w:val="0"/>
          <w:numId w:val="1"/>
        </w:numPr>
        <w:rPr>
          <w:lang w:val="pt-BR"/>
        </w:rPr>
      </w:pPr>
      <w:r w:rsidRPr="00CC04AB">
        <w:rPr>
          <w:lang w:val="pt-BR"/>
        </w:rPr>
        <w:t>Chagas C</w:t>
      </w:r>
      <w:r>
        <w:rPr>
          <w:lang w:val="pt-BR"/>
        </w:rPr>
        <w:t xml:space="preserve">. </w:t>
      </w:r>
      <w:r w:rsidRPr="00CC04AB">
        <w:rPr>
          <w:lang w:val="pt-BR"/>
        </w:rPr>
        <w:t>A, de Souza E</w:t>
      </w:r>
      <w:r>
        <w:rPr>
          <w:lang w:val="pt-BR"/>
        </w:rPr>
        <w:t xml:space="preserve">. </w:t>
      </w:r>
      <w:r w:rsidRPr="00CC04AB">
        <w:rPr>
          <w:lang w:val="pt-BR"/>
        </w:rPr>
        <w:t>F, Manfro R</w:t>
      </w:r>
      <w:r>
        <w:rPr>
          <w:lang w:val="pt-BR"/>
        </w:rPr>
        <w:t xml:space="preserve">. </w:t>
      </w:r>
      <w:r w:rsidRPr="00CC04AB">
        <w:rPr>
          <w:lang w:val="pt-BR"/>
        </w:rPr>
        <w:t>L, et al</w:t>
      </w:r>
      <w:r w:rsidRPr="00CC04AB">
        <w:rPr>
          <w:i/>
          <w:lang w:val="pt-BR"/>
        </w:rPr>
        <w:t>., Appl. Catal., B.</w:t>
      </w:r>
      <w:r>
        <w:rPr>
          <w:lang w:val="pt-BR"/>
        </w:rPr>
        <w:t xml:space="preserve"> </w:t>
      </w:r>
      <w:r w:rsidRPr="00CC04AB">
        <w:rPr>
          <w:b/>
          <w:lang w:val="pt-BR"/>
        </w:rPr>
        <w:t>2016,</w:t>
      </w:r>
      <w:r>
        <w:rPr>
          <w:lang w:val="pt-BR"/>
        </w:rPr>
        <w:t xml:space="preserve"> 182, 257-265.</w:t>
      </w:r>
    </w:p>
    <w:p w:rsidR="0068146B" w:rsidRPr="0068146B" w:rsidRDefault="0068146B" w:rsidP="009269C3">
      <w:pPr>
        <w:pStyle w:val="TAMainText"/>
        <w:numPr>
          <w:ilvl w:val="0"/>
          <w:numId w:val="1"/>
        </w:numPr>
        <w:rPr>
          <w:lang w:val="pt-BR"/>
        </w:rPr>
      </w:pPr>
      <w:r w:rsidRPr="00CC04AB">
        <w:rPr>
          <w:lang w:val="pt-BR"/>
        </w:rPr>
        <w:t>Jain SK, Crabb EM, Smart LE, et al</w:t>
      </w:r>
      <w:r w:rsidR="00CC04AB">
        <w:rPr>
          <w:lang w:val="pt-BR"/>
        </w:rPr>
        <w:t>.,</w:t>
      </w:r>
      <w:r w:rsidRPr="00CC04AB">
        <w:rPr>
          <w:lang w:val="pt-BR"/>
        </w:rPr>
        <w:t xml:space="preserve"> </w:t>
      </w:r>
      <w:r w:rsidR="00CC04AB" w:rsidRPr="00CC04AB">
        <w:rPr>
          <w:i/>
          <w:lang w:val="pt-BR"/>
        </w:rPr>
        <w:t>Appl. Catal., B.</w:t>
      </w:r>
      <w:r w:rsidRPr="00CC04AB">
        <w:rPr>
          <w:lang w:val="pt-BR"/>
        </w:rPr>
        <w:t xml:space="preserve"> </w:t>
      </w:r>
      <w:r w:rsidR="00CC04AB" w:rsidRPr="00CC04AB">
        <w:rPr>
          <w:b/>
          <w:lang w:val="pt-BR"/>
        </w:rPr>
        <w:t>2009</w:t>
      </w:r>
      <w:r w:rsidR="00CC04AB">
        <w:rPr>
          <w:lang w:val="pt-BR"/>
        </w:rPr>
        <w:t xml:space="preserve">, </w:t>
      </w:r>
      <w:r w:rsidRPr="00CC04AB">
        <w:rPr>
          <w:lang w:val="pt-BR"/>
        </w:rPr>
        <w:t xml:space="preserve">89:349–355. </w:t>
      </w:r>
    </w:p>
    <w:p w:rsidR="0068146B" w:rsidRDefault="0068146B" w:rsidP="009269C3">
      <w:pPr>
        <w:pStyle w:val="TAMainText"/>
        <w:numPr>
          <w:ilvl w:val="0"/>
          <w:numId w:val="1"/>
        </w:numPr>
        <w:rPr>
          <w:lang w:val="pt-BR"/>
        </w:rPr>
      </w:pPr>
      <w:r w:rsidRPr="0068146B">
        <w:rPr>
          <w:lang w:val="pt-BR"/>
        </w:rPr>
        <w:t xml:space="preserve">Liu </w:t>
      </w:r>
      <w:r w:rsidR="00CC04AB">
        <w:rPr>
          <w:lang w:val="pt-BR"/>
        </w:rPr>
        <w:t xml:space="preserve">X, Korotkikh O, Farrauto R, </w:t>
      </w:r>
      <w:r w:rsidR="00CC04AB">
        <w:rPr>
          <w:i/>
          <w:lang w:val="pt-BR"/>
        </w:rPr>
        <w:t>Appl. Catal., A</w:t>
      </w:r>
      <w:r w:rsidR="00CC04AB" w:rsidRPr="00CC04AB">
        <w:rPr>
          <w:i/>
          <w:lang w:val="pt-BR"/>
        </w:rPr>
        <w:t>.</w:t>
      </w:r>
      <w:r w:rsidR="00CC04AB">
        <w:rPr>
          <w:i/>
          <w:lang w:val="pt-BR"/>
        </w:rPr>
        <w:t xml:space="preserve"> </w:t>
      </w:r>
      <w:r w:rsidR="00CC04AB" w:rsidRPr="00CC04AB">
        <w:rPr>
          <w:b/>
          <w:lang w:val="pt-BR"/>
        </w:rPr>
        <w:t>2002,</w:t>
      </w:r>
      <w:r w:rsidR="00CC04AB">
        <w:rPr>
          <w:i/>
          <w:lang w:val="pt-BR"/>
        </w:rPr>
        <w:t xml:space="preserve"> </w:t>
      </w:r>
      <w:r w:rsidRPr="0068146B">
        <w:rPr>
          <w:lang w:val="pt-BR"/>
        </w:rPr>
        <w:t xml:space="preserve">226:293–303. </w:t>
      </w:r>
    </w:p>
    <w:p w:rsidR="0068146B" w:rsidRPr="00D45117" w:rsidRDefault="0068146B" w:rsidP="00D45117">
      <w:pPr>
        <w:pStyle w:val="TAMainText"/>
        <w:numPr>
          <w:ilvl w:val="0"/>
          <w:numId w:val="1"/>
        </w:numPr>
        <w:rPr>
          <w:lang w:val="pt-BR"/>
        </w:rPr>
      </w:pPr>
      <w:r w:rsidRPr="0068146B">
        <w:rPr>
          <w:lang w:val="pt-BR"/>
        </w:rPr>
        <w:t>Brown ML, Green JAW (1963) U.S. Patent 3 088 919</w:t>
      </w:r>
    </w:p>
    <w:p w:rsidR="0068146B" w:rsidRDefault="0068146B" w:rsidP="009269C3">
      <w:pPr>
        <w:pStyle w:val="TAMainText"/>
        <w:numPr>
          <w:ilvl w:val="0"/>
          <w:numId w:val="1"/>
        </w:numPr>
        <w:rPr>
          <w:lang w:val="pt-BR"/>
        </w:rPr>
      </w:pPr>
      <w:r w:rsidRPr="0068146B">
        <w:rPr>
          <w:lang w:val="pt-BR"/>
        </w:rPr>
        <w:t>Ayastuy JL, González-Marc</w:t>
      </w:r>
      <w:r w:rsidR="00405A45">
        <w:rPr>
          <w:lang w:val="pt-BR"/>
        </w:rPr>
        <w:t>os MP, Gutiérrez-Ortiz MA</w:t>
      </w:r>
      <w:r w:rsidRPr="0068146B">
        <w:rPr>
          <w:lang w:val="pt-BR"/>
        </w:rPr>
        <w:t xml:space="preserve">. </w:t>
      </w:r>
      <w:r w:rsidR="00405A45" w:rsidRPr="00405A45">
        <w:rPr>
          <w:lang w:val="pt-BR"/>
        </w:rPr>
        <w:t xml:space="preserve">Catal. Commun. </w:t>
      </w:r>
      <w:r w:rsidR="00405A45" w:rsidRPr="00405A45">
        <w:rPr>
          <w:b/>
          <w:lang w:val="pt-BR"/>
        </w:rPr>
        <w:t>2011,</w:t>
      </w:r>
      <w:r w:rsidR="00405A45">
        <w:rPr>
          <w:lang w:val="pt-BR"/>
        </w:rPr>
        <w:t xml:space="preserve"> </w:t>
      </w:r>
      <w:r w:rsidRPr="0068146B">
        <w:rPr>
          <w:lang w:val="pt-BR"/>
        </w:rPr>
        <w:t xml:space="preserve">12:895–900. </w:t>
      </w:r>
    </w:p>
    <w:p w:rsidR="0068146B" w:rsidRDefault="0068146B" w:rsidP="009269C3">
      <w:pPr>
        <w:pStyle w:val="TAMainText"/>
        <w:numPr>
          <w:ilvl w:val="0"/>
          <w:numId w:val="1"/>
        </w:numPr>
        <w:rPr>
          <w:lang w:val="pt-BR"/>
        </w:rPr>
      </w:pPr>
      <w:r w:rsidRPr="0068146B">
        <w:rPr>
          <w:lang w:val="pt-BR"/>
        </w:rPr>
        <w:t>Newton MA, Ferr</w:t>
      </w:r>
      <w:r w:rsidR="00405A45">
        <w:rPr>
          <w:lang w:val="pt-BR"/>
        </w:rPr>
        <w:t xml:space="preserve">i D, Smolentsev G, et al., </w:t>
      </w:r>
      <w:r w:rsidR="00405A45" w:rsidRPr="00405A45">
        <w:rPr>
          <w:lang w:val="pt-BR"/>
        </w:rPr>
        <w:t xml:space="preserve">Nat. Commun. </w:t>
      </w:r>
      <w:r w:rsidR="00405A45" w:rsidRPr="00405A45">
        <w:rPr>
          <w:b/>
          <w:lang w:val="pt-BR"/>
        </w:rPr>
        <w:t>2015,</w:t>
      </w:r>
      <w:r w:rsidR="00405A45">
        <w:rPr>
          <w:lang w:val="pt-BR"/>
        </w:rPr>
        <w:t xml:space="preserve"> </w:t>
      </w:r>
      <w:r w:rsidRPr="0068146B">
        <w:rPr>
          <w:lang w:val="pt-BR"/>
        </w:rPr>
        <w:t xml:space="preserve">6:1–7. </w:t>
      </w:r>
    </w:p>
    <w:p w:rsidR="0068146B" w:rsidRPr="0068146B" w:rsidRDefault="00405A45" w:rsidP="009269C3">
      <w:pPr>
        <w:pStyle w:val="TAMainText"/>
        <w:numPr>
          <w:ilvl w:val="0"/>
          <w:numId w:val="1"/>
        </w:numPr>
        <w:rPr>
          <w:lang w:val="pt-BR"/>
        </w:rPr>
      </w:pPr>
      <w:r>
        <w:rPr>
          <w:lang w:val="pt-BR"/>
        </w:rPr>
        <w:t>Liu K, Wang A, Zhang T.</w:t>
      </w:r>
      <w:r w:rsidR="0068146B" w:rsidRPr="0068146B">
        <w:rPr>
          <w:lang w:val="pt-BR"/>
        </w:rPr>
        <w:t xml:space="preserve"> </w:t>
      </w:r>
      <w:r w:rsidRPr="00405A45">
        <w:rPr>
          <w:lang w:val="pt-BR"/>
        </w:rPr>
        <w:t xml:space="preserve">ACS Catal. </w:t>
      </w:r>
      <w:r w:rsidRPr="00405A45">
        <w:rPr>
          <w:b/>
          <w:lang w:val="pt-BR"/>
        </w:rPr>
        <w:t>2012,</w:t>
      </w:r>
      <w:r>
        <w:rPr>
          <w:lang w:val="pt-BR"/>
        </w:rPr>
        <w:t xml:space="preserve"> </w:t>
      </w:r>
      <w:r w:rsidR="0068146B" w:rsidRPr="0068146B">
        <w:rPr>
          <w:lang w:val="pt-BR"/>
        </w:rPr>
        <w:t>2:1165–1178</w:t>
      </w:r>
      <w:r w:rsidR="009D3EDE">
        <w:rPr>
          <w:lang w:val="pt-BR"/>
        </w:rPr>
        <w:t>.</w:t>
      </w:r>
    </w:p>
    <w:p w:rsidR="0068146B" w:rsidRPr="0068146B" w:rsidRDefault="0068146B" w:rsidP="009269C3">
      <w:pPr>
        <w:pStyle w:val="TAMainText"/>
        <w:numPr>
          <w:ilvl w:val="0"/>
          <w:numId w:val="1"/>
        </w:numPr>
        <w:rPr>
          <w:lang w:val="pt-BR"/>
        </w:rPr>
      </w:pPr>
      <w:r w:rsidRPr="0068146B">
        <w:rPr>
          <w:lang w:val="pt-BR"/>
        </w:rPr>
        <w:t xml:space="preserve">Kumar J, Deo G, Kunzru D (2016) </w:t>
      </w:r>
      <w:r w:rsidR="00405A45" w:rsidRPr="00405A45">
        <w:rPr>
          <w:lang w:val="pt-BR"/>
        </w:rPr>
        <w:t>Int. J. Hydrog. Energy.</w:t>
      </w:r>
      <w:r w:rsidR="00405A45">
        <w:rPr>
          <w:lang w:val="pt-BR"/>
        </w:rPr>
        <w:t xml:space="preserve"> </w:t>
      </w:r>
      <w:r w:rsidR="00405A45" w:rsidRPr="00405A45">
        <w:rPr>
          <w:b/>
          <w:lang w:val="pt-BR"/>
        </w:rPr>
        <w:t>2016,</w:t>
      </w:r>
      <w:r w:rsidR="00405A45">
        <w:rPr>
          <w:lang w:val="pt-BR"/>
        </w:rPr>
        <w:t xml:space="preserve"> </w:t>
      </w:r>
      <w:r w:rsidRPr="0068146B">
        <w:rPr>
          <w:lang w:val="pt-BR"/>
        </w:rPr>
        <w:t xml:space="preserve"> 41:18494–18501. </w:t>
      </w:r>
    </w:p>
    <w:p w:rsidR="009D3EDE" w:rsidRDefault="0068146B" w:rsidP="009269C3">
      <w:pPr>
        <w:pStyle w:val="TAMainText"/>
        <w:numPr>
          <w:ilvl w:val="0"/>
          <w:numId w:val="1"/>
        </w:numPr>
        <w:rPr>
          <w:lang w:val="pt-BR"/>
        </w:rPr>
      </w:pPr>
      <w:r w:rsidRPr="0068146B">
        <w:rPr>
          <w:lang w:val="pt-BR"/>
        </w:rPr>
        <w:t>Ayastuy JL, González-Marcos MP, González-Velas</w:t>
      </w:r>
      <w:r w:rsidR="00CC04AB">
        <w:rPr>
          <w:lang w:val="pt-BR"/>
        </w:rPr>
        <w:t>co JR, Gutiérrez-Ortiz MA,</w:t>
      </w:r>
      <w:r w:rsidRPr="0068146B">
        <w:rPr>
          <w:lang w:val="pt-BR"/>
        </w:rPr>
        <w:t xml:space="preserve"> </w:t>
      </w:r>
      <w:r w:rsidR="00CC04AB" w:rsidRPr="00CC04AB">
        <w:rPr>
          <w:i/>
          <w:lang w:val="pt-BR"/>
        </w:rPr>
        <w:t>Appl. Catal., B.</w:t>
      </w:r>
      <w:r w:rsidRPr="00CC04AB">
        <w:rPr>
          <w:b/>
          <w:lang w:val="pt-BR"/>
        </w:rPr>
        <w:t xml:space="preserve"> </w:t>
      </w:r>
      <w:r w:rsidR="00CC04AB" w:rsidRPr="00CC04AB">
        <w:rPr>
          <w:b/>
          <w:lang w:val="pt-BR"/>
        </w:rPr>
        <w:t>2007</w:t>
      </w:r>
      <w:r w:rsidR="00CC04AB">
        <w:rPr>
          <w:lang w:val="pt-BR"/>
        </w:rPr>
        <w:t xml:space="preserve">, </w:t>
      </w:r>
      <w:r w:rsidRPr="0068146B">
        <w:rPr>
          <w:lang w:val="pt-BR"/>
        </w:rPr>
        <w:t xml:space="preserve">70:532–541. </w:t>
      </w:r>
    </w:p>
    <w:p w:rsidR="0068146B" w:rsidRPr="0068146B" w:rsidRDefault="0068146B" w:rsidP="009269C3">
      <w:pPr>
        <w:pStyle w:val="TAMainText"/>
        <w:numPr>
          <w:ilvl w:val="0"/>
          <w:numId w:val="1"/>
        </w:numPr>
        <w:rPr>
          <w:lang w:val="pt-BR"/>
        </w:rPr>
      </w:pPr>
      <w:r w:rsidRPr="0068146B">
        <w:rPr>
          <w:lang w:val="pt-BR"/>
        </w:rPr>
        <w:t xml:space="preserve">Nguyen TS, </w:t>
      </w:r>
      <w:r w:rsidR="00D823B8">
        <w:rPr>
          <w:lang w:val="pt-BR"/>
        </w:rPr>
        <w:t>Morfin F, Aouine M, et al</w:t>
      </w:r>
      <w:r w:rsidRPr="0068146B">
        <w:rPr>
          <w:lang w:val="pt-BR"/>
        </w:rPr>
        <w:t>.</w:t>
      </w:r>
      <w:r w:rsidR="00D823B8">
        <w:rPr>
          <w:lang w:val="pt-BR"/>
        </w:rPr>
        <w:t>,</w:t>
      </w:r>
      <w:r w:rsidRPr="0068146B">
        <w:rPr>
          <w:lang w:val="pt-BR"/>
        </w:rPr>
        <w:t xml:space="preserve"> </w:t>
      </w:r>
      <w:r w:rsidR="00CC04AB" w:rsidRPr="00CC04AB">
        <w:rPr>
          <w:lang w:val="pt-BR"/>
        </w:rPr>
        <w:t>Catal. Today</w:t>
      </w:r>
      <w:r w:rsidR="00CC04AB">
        <w:rPr>
          <w:lang w:val="pt-BR"/>
        </w:rPr>
        <w:t xml:space="preserve">, </w:t>
      </w:r>
      <w:r w:rsidR="00CC04AB" w:rsidRPr="00CC04AB">
        <w:rPr>
          <w:b/>
          <w:lang w:val="pt-BR"/>
        </w:rPr>
        <w:t>2015</w:t>
      </w:r>
      <w:r w:rsidR="00CC04AB">
        <w:rPr>
          <w:lang w:val="pt-BR"/>
        </w:rPr>
        <w:t xml:space="preserve">, </w:t>
      </w:r>
      <w:r w:rsidRPr="0068146B">
        <w:rPr>
          <w:lang w:val="pt-BR"/>
        </w:rPr>
        <w:t xml:space="preserve">253:106–114. </w:t>
      </w:r>
    </w:p>
    <w:p w:rsidR="0068146B" w:rsidRPr="0068146B" w:rsidRDefault="0068146B" w:rsidP="009269C3">
      <w:pPr>
        <w:pStyle w:val="TAMainText"/>
        <w:numPr>
          <w:ilvl w:val="0"/>
          <w:numId w:val="1"/>
        </w:numPr>
        <w:rPr>
          <w:lang w:val="pt-BR"/>
        </w:rPr>
      </w:pPr>
      <w:r w:rsidRPr="0068146B">
        <w:rPr>
          <w:lang w:val="pt-BR"/>
        </w:rPr>
        <w:t>Thommes M, Kane</w:t>
      </w:r>
      <w:r w:rsidR="00D823B8">
        <w:rPr>
          <w:lang w:val="pt-BR"/>
        </w:rPr>
        <w:t>ko K, Neimark A V., et al.,</w:t>
      </w:r>
      <w:r w:rsidRPr="0068146B">
        <w:rPr>
          <w:lang w:val="pt-BR"/>
        </w:rPr>
        <w:t xml:space="preserve"> </w:t>
      </w:r>
      <w:r w:rsidR="00405A45" w:rsidRPr="00405A45">
        <w:rPr>
          <w:lang w:val="pt-BR"/>
        </w:rPr>
        <w:t xml:space="preserve">Pure Appl. Chem. </w:t>
      </w:r>
      <w:r w:rsidR="00405A45" w:rsidRPr="00405A45">
        <w:rPr>
          <w:b/>
          <w:lang w:val="pt-BR"/>
        </w:rPr>
        <w:t>2015,</w:t>
      </w:r>
      <w:r w:rsidR="00405A45">
        <w:rPr>
          <w:lang w:val="pt-BR"/>
        </w:rPr>
        <w:t xml:space="preserve"> </w:t>
      </w:r>
      <w:r w:rsidRPr="0068146B">
        <w:rPr>
          <w:lang w:val="pt-BR"/>
        </w:rPr>
        <w:t xml:space="preserve">87:1051–1069. </w:t>
      </w:r>
    </w:p>
    <w:p w:rsidR="009D3EDE" w:rsidRDefault="00D823B8" w:rsidP="009269C3">
      <w:pPr>
        <w:pStyle w:val="TAMainText"/>
        <w:numPr>
          <w:ilvl w:val="0"/>
          <w:numId w:val="1"/>
        </w:numPr>
        <w:rPr>
          <w:lang w:val="pt-BR"/>
        </w:rPr>
      </w:pPr>
      <w:r>
        <w:rPr>
          <w:lang w:val="pt-BR"/>
        </w:rPr>
        <w:t xml:space="preserve">Gao Z, Cui L, Ma H. </w:t>
      </w:r>
      <w:r w:rsidR="00CC04AB" w:rsidRPr="00CC04AB">
        <w:rPr>
          <w:lang w:val="pt-BR"/>
        </w:rPr>
        <w:t xml:space="preserve">Int. J. Hydrog. Energy. </w:t>
      </w:r>
      <w:r w:rsidR="00405A45" w:rsidRPr="00405A45">
        <w:rPr>
          <w:b/>
          <w:lang w:val="pt-BR"/>
        </w:rPr>
        <w:t>2016,</w:t>
      </w:r>
      <w:r w:rsidR="00405A45">
        <w:rPr>
          <w:lang w:val="pt-BR"/>
        </w:rPr>
        <w:t xml:space="preserve"> </w:t>
      </w:r>
      <w:r w:rsidR="0068146B" w:rsidRPr="0068146B">
        <w:rPr>
          <w:lang w:val="pt-BR"/>
        </w:rPr>
        <w:t xml:space="preserve">41:5484–5493. </w:t>
      </w:r>
    </w:p>
    <w:p w:rsidR="0068146B" w:rsidRDefault="0068146B" w:rsidP="009269C3">
      <w:pPr>
        <w:pStyle w:val="TAMainText"/>
        <w:numPr>
          <w:ilvl w:val="0"/>
          <w:numId w:val="1"/>
        </w:numPr>
        <w:rPr>
          <w:lang w:val="pt-BR"/>
        </w:rPr>
      </w:pPr>
      <w:r w:rsidRPr="0068146B">
        <w:rPr>
          <w:lang w:val="pt-BR"/>
        </w:rPr>
        <w:t>Navarro RM, Álvarez-Galván MC, S</w:t>
      </w:r>
      <w:r w:rsidR="00D823B8">
        <w:rPr>
          <w:lang w:val="pt-BR"/>
        </w:rPr>
        <w:t>ánchez-Sánchez MC, et al</w:t>
      </w:r>
      <w:r w:rsidR="005F5DC6">
        <w:rPr>
          <w:lang w:val="pt-BR"/>
        </w:rPr>
        <w:t>.</w:t>
      </w:r>
      <w:r w:rsidR="00D823B8">
        <w:rPr>
          <w:lang w:val="pt-BR"/>
        </w:rPr>
        <w:t xml:space="preserve"> </w:t>
      </w:r>
      <w:r w:rsidR="00CC04AB" w:rsidRPr="00CC04AB">
        <w:rPr>
          <w:i/>
          <w:lang w:val="pt-BR"/>
        </w:rPr>
        <w:t>Appl. Catal., B.</w:t>
      </w:r>
      <w:r w:rsidR="00CC04AB">
        <w:rPr>
          <w:i/>
          <w:lang w:val="pt-BR"/>
        </w:rPr>
        <w:t xml:space="preserve"> </w:t>
      </w:r>
      <w:r w:rsidR="00D823B8" w:rsidRPr="00D823B8">
        <w:rPr>
          <w:b/>
          <w:lang w:val="pt-BR"/>
        </w:rPr>
        <w:t>2005,</w:t>
      </w:r>
      <w:r w:rsidR="00D823B8">
        <w:rPr>
          <w:i/>
          <w:lang w:val="pt-BR"/>
        </w:rPr>
        <w:t xml:space="preserve"> </w:t>
      </w:r>
      <w:r w:rsidRPr="0068146B">
        <w:rPr>
          <w:lang w:val="pt-BR"/>
        </w:rPr>
        <w:t xml:space="preserve">55:229–241. </w:t>
      </w:r>
    </w:p>
    <w:p w:rsidR="0068146B" w:rsidRDefault="0068146B" w:rsidP="00CC04AB">
      <w:pPr>
        <w:pStyle w:val="TAMainText"/>
        <w:numPr>
          <w:ilvl w:val="0"/>
          <w:numId w:val="1"/>
        </w:numPr>
        <w:rPr>
          <w:lang w:val="pt-BR"/>
        </w:rPr>
      </w:pPr>
      <w:r w:rsidRPr="00CC04AB">
        <w:rPr>
          <w:lang w:val="pt-BR"/>
        </w:rPr>
        <w:t>Farahani MD, Das</w:t>
      </w:r>
      <w:r w:rsidR="00D823B8">
        <w:rPr>
          <w:lang w:val="pt-BR"/>
        </w:rPr>
        <w:t>ireddy VDBC, Friedrich HB</w:t>
      </w:r>
      <w:r w:rsidR="009269C3" w:rsidRPr="00CC04AB">
        <w:rPr>
          <w:lang w:val="pt-BR"/>
        </w:rPr>
        <w:t>.</w:t>
      </w:r>
      <w:r w:rsidRPr="00CC04AB">
        <w:rPr>
          <w:lang w:val="pt-BR"/>
        </w:rPr>
        <w:t xml:space="preserve"> ChemCatChem</w:t>
      </w:r>
      <w:r w:rsidR="00D823B8">
        <w:rPr>
          <w:lang w:val="pt-BR"/>
        </w:rPr>
        <w:t xml:space="preserve">, </w:t>
      </w:r>
      <w:r w:rsidR="00D823B8" w:rsidRPr="00D823B8">
        <w:rPr>
          <w:b/>
          <w:lang w:val="pt-BR"/>
        </w:rPr>
        <w:t>2018,</w:t>
      </w:r>
      <w:r w:rsidRPr="00CC04AB">
        <w:rPr>
          <w:lang w:val="pt-BR"/>
        </w:rPr>
        <w:t xml:space="preserve"> 10:2059–2069. </w:t>
      </w:r>
    </w:p>
    <w:p w:rsidR="0068146B" w:rsidRDefault="0068146B" w:rsidP="00CC04AB">
      <w:pPr>
        <w:pStyle w:val="TAMainText"/>
        <w:numPr>
          <w:ilvl w:val="0"/>
          <w:numId w:val="1"/>
        </w:numPr>
        <w:rPr>
          <w:lang w:val="pt-BR"/>
        </w:rPr>
      </w:pPr>
      <w:r w:rsidRPr="00CC04AB">
        <w:rPr>
          <w:lang w:val="pt-BR"/>
        </w:rPr>
        <w:t>Horiuchi H, Sh</w:t>
      </w:r>
      <w:r w:rsidR="00D823B8">
        <w:rPr>
          <w:lang w:val="pt-BR"/>
        </w:rPr>
        <w:t>ishido T, Saitow A, et al.,</w:t>
      </w:r>
      <w:r w:rsidRPr="00CC04AB">
        <w:rPr>
          <w:lang w:val="pt-BR"/>
        </w:rPr>
        <w:t xml:space="preserve"> </w:t>
      </w:r>
      <w:r w:rsidR="00D823B8">
        <w:rPr>
          <w:lang w:val="pt-BR"/>
        </w:rPr>
        <w:t xml:space="preserve">Mater. Sci. Eng. </w:t>
      </w:r>
      <w:r w:rsidRPr="00CC04AB">
        <w:rPr>
          <w:lang w:val="pt-BR"/>
        </w:rPr>
        <w:t>A</w:t>
      </w:r>
      <w:r w:rsidR="00D823B8">
        <w:rPr>
          <w:lang w:val="pt-BR"/>
        </w:rPr>
        <w:t xml:space="preserve"> </w:t>
      </w:r>
      <w:r w:rsidR="00D823B8" w:rsidRPr="00D823B8">
        <w:rPr>
          <w:b/>
          <w:lang w:val="pt-BR"/>
        </w:rPr>
        <w:t>2001,</w:t>
      </w:r>
      <w:r w:rsidRPr="00CC04AB">
        <w:rPr>
          <w:lang w:val="pt-BR"/>
        </w:rPr>
        <w:t xml:space="preserve"> 312:237–243. </w:t>
      </w:r>
    </w:p>
    <w:p w:rsidR="0068146B" w:rsidRDefault="0068146B" w:rsidP="00CC04AB">
      <w:pPr>
        <w:pStyle w:val="TAMainText"/>
        <w:numPr>
          <w:ilvl w:val="0"/>
          <w:numId w:val="1"/>
        </w:numPr>
        <w:rPr>
          <w:lang w:val="pt-BR"/>
        </w:rPr>
      </w:pPr>
      <w:r w:rsidRPr="00CC04AB">
        <w:rPr>
          <w:lang w:val="pt-BR"/>
        </w:rPr>
        <w:t>Salehi E, Az</w:t>
      </w:r>
      <w:r w:rsidR="00D823B8">
        <w:rPr>
          <w:lang w:val="pt-BR"/>
        </w:rPr>
        <w:t>ad FS, Harding T, Abedi J</w:t>
      </w:r>
      <w:r w:rsidRPr="00CC04AB">
        <w:rPr>
          <w:lang w:val="pt-BR"/>
        </w:rPr>
        <w:t xml:space="preserve">. </w:t>
      </w:r>
      <w:r w:rsidR="00D823B8" w:rsidRPr="00D823B8">
        <w:rPr>
          <w:lang w:val="pt-BR"/>
        </w:rPr>
        <w:t>Fuel Process. Technol.</w:t>
      </w:r>
      <w:r w:rsidR="00D823B8">
        <w:rPr>
          <w:lang w:val="pt-BR"/>
        </w:rPr>
        <w:t xml:space="preserve"> </w:t>
      </w:r>
      <w:r w:rsidR="00D823B8" w:rsidRPr="00D823B8">
        <w:rPr>
          <w:b/>
          <w:lang w:val="pt-BR"/>
        </w:rPr>
        <w:t>2011,</w:t>
      </w:r>
      <w:r w:rsidR="00D823B8">
        <w:rPr>
          <w:lang w:val="pt-BR"/>
        </w:rPr>
        <w:t xml:space="preserve"> </w:t>
      </w:r>
      <w:r w:rsidR="00D823B8" w:rsidRPr="00D823B8">
        <w:rPr>
          <w:lang w:val="pt-BR"/>
        </w:rPr>
        <w:t>92:2203–2210.</w:t>
      </w:r>
      <w:r w:rsidRPr="00CC04AB">
        <w:rPr>
          <w:lang w:val="pt-BR"/>
        </w:rPr>
        <w:t xml:space="preserve"> </w:t>
      </w:r>
    </w:p>
    <w:p w:rsidR="00D76C6C" w:rsidRDefault="00D76C6C" w:rsidP="00D76C6C">
      <w:pPr>
        <w:pStyle w:val="TAMainText"/>
        <w:rPr>
          <w:lang w:val="pt-BR"/>
        </w:rPr>
      </w:pPr>
    </w:p>
    <w:sectPr w:rsidR="00D76C6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9F7" w:rsidRDefault="008419F7" w:rsidP="00EA4E1B">
      <w:pPr>
        <w:spacing w:after="0" w:line="240" w:lineRule="auto"/>
      </w:pPr>
      <w:r>
        <w:separator/>
      </w:r>
    </w:p>
  </w:endnote>
  <w:endnote w:type="continuationSeparator" w:id="1">
    <w:p w:rsidR="008419F7" w:rsidRDefault="008419F7" w:rsidP="00EA4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9F7" w:rsidRDefault="008419F7" w:rsidP="00EA4E1B">
      <w:pPr>
        <w:spacing w:after="0" w:line="240" w:lineRule="auto"/>
      </w:pPr>
      <w:r>
        <w:separator/>
      </w:r>
    </w:p>
  </w:footnote>
  <w:footnote w:type="continuationSeparator" w:id="1">
    <w:p w:rsidR="008419F7" w:rsidRDefault="008419F7" w:rsidP="00EA4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C4A" w:rsidRDefault="002A6C4A" w:rsidP="00EA4E1B">
    <w:pPr>
      <w:pStyle w:val="Cabealho"/>
      <w:jc w:val="center"/>
    </w:pPr>
    <w:r>
      <w:rPr>
        <w:noProof/>
        <w:lang w:eastAsia="pt-BR"/>
      </w:rPr>
      <w:drawing>
        <wp:inline distT="0" distB="0" distL="0" distR="0">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Pr>
        <w:noProof/>
        <w:lang w:eastAsia="pt-BR"/>
      </w:rPr>
      <w:drawing>
        <wp:inline distT="0" distB="0" distL="0" distR="0">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2290"/>
  </w:hdrShapeDefaults>
  <w:footnotePr>
    <w:footnote w:id="0"/>
    <w:footnote w:id="1"/>
  </w:footnotePr>
  <w:endnotePr>
    <w:numFmt w:val="decimal"/>
    <w:endnote w:id="0"/>
    <w:endnote w:id="1"/>
  </w:endnotePr>
  <w:compat>
    <w:useFELayout/>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2BA"/>
    <w:rsid w:val="0001264A"/>
    <w:rsid w:val="00061A72"/>
    <w:rsid w:val="000A40CC"/>
    <w:rsid w:val="000D7507"/>
    <w:rsid w:val="000F1D24"/>
    <w:rsid w:val="00121B19"/>
    <w:rsid w:val="00131E6A"/>
    <w:rsid w:val="001420E7"/>
    <w:rsid w:val="001E58A9"/>
    <w:rsid w:val="001E72BC"/>
    <w:rsid w:val="001F25B2"/>
    <w:rsid w:val="00222230"/>
    <w:rsid w:val="00226BCB"/>
    <w:rsid w:val="002437C7"/>
    <w:rsid w:val="002A0649"/>
    <w:rsid w:val="002A6C4A"/>
    <w:rsid w:val="002B20CC"/>
    <w:rsid w:val="002E32F2"/>
    <w:rsid w:val="00304EB6"/>
    <w:rsid w:val="00323078"/>
    <w:rsid w:val="00340B1E"/>
    <w:rsid w:val="003753EA"/>
    <w:rsid w:val="00402F3E"/>
    <w:rsid w:val="00405A45"/>
    <w:rsid w:val="004F3F42"/>
    <w:rsid w:val="0052112E"/>
    <w:rsid w:val="005C2775"/>
    <w:rsid w:val="005D2C2E"/>
    <w:rsid w:val="005D65EB"/>
    <w:rsid w:val="005D7D2C"/>
    <w:rsid w:val="005F5DC6"/>
    <w:rsid w:val="00604718"/>
    <w:rsid w:val="00652815"/>
    <w:rsid w:val="0068146B"/>
    <w:rsid w:val="006F599B"/>
    <w:rsid w:val="00741F8B"/>
    <w:rsid w:val="007670A0"/>
    <w:rsid w:val="00781685"/>
    <w:rsid w:val="007B4B2B"/>
    <w:rsid w:val="007F70D0"/>
    <w:rsid w:val="00813250"/>
    <w:rsid w:val="00827C6B"/>
    <w:rsid w:val="008419F7"/>
    <w:rsid w:val="00866822"/>
    <w:rsid w:val="00896123"/>
    <w:rsid w:val="008B1683"/>
    <w:rsid w:val="008B1F36"/>
    <w:rsid w:val="008C1B30"/>
    <w:rsid w:val="008E6BFA"/>
    <w:rsid w:val="008F567D"/>
    <w:rsid w:val="00915AC7"/>
    <w:rsid w:val="009269C3"/>
    <w:rsid w:val="00964152"/>
    <w:rsid w:val="009656D9"/>
    <w:rsid w:val="009C7CB0"/>
    <w:rsid w:val="009D3EDE"/>
    <w:rsid w:val="00A17D85"/>
    <w:rsid w:val="00A70F71"/>
    <w:rsid w:val="00A71993"/>
    <w:rsid w:val="00A87CE8"/>
    <w:rsid w:val="00AA182E"/>
    <w:rsid w:val="00AC25D7"/>
    <w:rsid w:val="00AF0400"/>
    <w:rsid w:val="00B30AEB"/>
    <w:rsid w:val="00B818AB"/>
    <w:rsid w:val="00B9458F"/>
    <w:rsid w:val="00BA6A6E"/>
    <w:rsid w:val="00BE536E"/>
    <w:rsid w:val="00BF6814"/>
    <w:rsid w:val="00C41927"/>
    <w:rsid w:val="00C76E54"/>
    <w:rsid w:val="00CC04AB"/>
    <w:rsid w:val="00D13616"/>
    <w:rsid w:val="00D45117"/>
    <w:rsid w:val="00D51537"/>
    <w:rsid w:val="00D76C6C"/>
    <w:rsid w:val="00D823B8"/>
    <w:rsid w:val="00D96135"/>
    <w:rsid w:val="00DA59EE"/>
    <w:rsid w:val="00DB5F97"/>
    <w:rsid w:val="00DF61A5"/>
    <w:rsid w:val="00E02A21"/>
    <w:rsid w:val="00E038AF"/>
    <w:rsid w:val="00E96632"/>
    <w:rsid w:val="00EA4E1B"/>
    <w:rsid w:val="00F04B3E"/>
    <w:rsid w:val="00F24B86"/>
    <w:rsid w:val="00F30661"/>
    <w:rsid w:val="00F80A06"/>
    <w:rsid w:val="00F917DA"/>
    <w:rsid w:val="00FE34B2"/>
    <w:rsid w:val="00FE6792"/>
    <w:rsid w:val="00FF1E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D76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4089</Words>
  <Characters>22084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EQ</cp:lastModifiedBy>
  <cp:revision>4</cp:revision>
  <dcterms:created xsi:type="dcterms:W3CDTF">2023-04-12T17:07:00Z</dcterms:created>
  <dcterms:modified xsi:type="dcterms:W3CDTF">2023-05-30T23:43:00Z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