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4A04" w14:textId="77777777" w:rsidR="00AF0400" w:rsidRDefault="00000000" w:rsidP="00EA4E1B">
      <w:pPr>
        <w:pStyle w:val="BATitle"/>
        <w:spacing w:before="0" w:after="0" w:line="240" w:lineRule="auto"/>
        <w:ind w:right="0"/>
        <w:jc w:val="both"/>
        <w:rPr>
          <w:sz w:val="32"/>
          <w:lang w:val="pt-BR"/>
        </w:rPr>
      </w:pPr>
      <w:bookmarkStart w:id="0" w:name="_Hlk1324517"/>
      <w:bookmarkStart w:id="1" w:name="_Hlk1324670"/>
      <w:r>
        <w:rPr>
          <w:noProof/>
          <w:sz w:val="32"/>
          <w:lang w:val="pt-BR"/>
        </w:rPr>
        <w:pict w14:anchorId="15030AF2">
          <v:rect id="Retângulo 2" o:spid="_x0000_s2051" style="position:absolute;left:0;text-align:left;margin-left:0;margin-top:0;width:512.4pt;height:13.2pt;z-index:251660287;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" fillcolor="#9a0000" stroked="f" strokeweight="1pt">
            <v:textbox inset=",0,,0">
              <w:txbxContent>
                <w:p w14:paraId="542FD5CC" w14:textId="77777777" w:rsidR="00866822" w:rsidRPr="008C1B30" w:rsidRDefault="00866822" w:rsidP="00866822">
                  <w:pPr>
                    <w:pStyle w:val="BDAbstract"/>
                    <w:spacing w:before="0" w:after="0" w:line="240" w:lineRule="auto"/>
                    <w:rPr>
                      <w:rFonts w:cs="Helvetica"/>
                      <w:bCs/>
                      <w:sz w:val="20"/>
                      <w:lang w:val="pt-BR"/>
                    </w:rPr>
                  </w:pPr>
                </w:p>
                <w:p w14:paraId="4A29DEEE" w14:textId="77777777" w:rsidR="00866822" w:rsidRPr="008C1B30" w:rsidRDefault="00866822" w:rsidP="00866822">
                  <w:pPr>
                    <w:pStyle w:val="SemEspaamento"/>
                  </w:pPr>
                </w:p>
              </w:txbxContent>
            </v:textbox>
            <w10:wrap anchorx="margin"/>
          </v:rect>
        </w:pict>
      </w:r>
    </w:p>
    <w:p w14:paraId="56EC5764" w14:textId="77777777" w:rsidR="00EA4E1B" w:rsidRPr="001F0124" w:rsidRDefault="00DD4356" w:rsidP="001F0124">
      <w:pPr>
        <w:pStyle w:val="BATitle"/>
        <w:spacing w:before="0" w:after="0" w:line="240" w:lineRule="auto"/>
        <w:ind w:right="0"/>
        <w:jc w:val="both"/>
        <w:rPr>
          <w:sz w:val="32"/>
          <w:lang w:val="pt-BR"/>
        </w:rPr>
      </w:pPr>
      <w:r>
        <w:rPr>
          <w:sz w:val="32"/>
          <w:lang w:val="pt-BR"/>
        </w:rPr>
        <w:t xml:space="preserve">Avaliação de catalisadores de </w:t>
      </w:r>
      <w:proofErr w:type="spellStart"/>
      <w:r>
        <w:rPr>
          <w:sz w:val="32"/>
          <w:lang w:val="pt-BR"/>
        </w:rPr>
        <w:t>Pd</w:t>
      </w:r>
      <w:proofErr w:type="spellEnd"/>
      <w:r>
        <w:rPr>
          <w:sz w:val="32"/>
          <w:lang w:val="pt-BR"/>
        </w:rPr>
        <w:t xml:space="preserve"> e Ru suportados em SiO</w:t>
      </w:r>
      <w:r w:rsidRPr="00DD4356">
        <w:rPr>
          <w:sz w:val="32"/>
          <w:vertAlign w:val="subscript"/>
          <w:lang w:val="pt-BR"/>
        </w:rPr>
        <w:t>2</w:t>
      </w:r>
      <w:r>
        <w:rPr>
          <w:sz w:val="32"/>
          <w:lang w:val="pt-BR"/>
        </w:rPr>
        <w:t>/Al</w:t>
      </w:r>
      <w:r w:rsidRPr="00DD4356">
        <w:rPr>
          <w:sz w:val="32"/>
          <w:vertAlign w:val="subscript"/>
          <w:lang w:val="pt-BR"/>
        </w:rPr>
        <w:t>2</w:t>
      </w:r>
      <w:r>
        <w:rPr>
          <w:sz w:val="32"/>
          <w:lang w:val="pt-BR"/>
        </w:rPr>
        <w:t>O</w:t>
      </w:r>
      <w:r>
        <w:rPr>
          <w:sz w:val="32"/>
          <w:vertAlign w:val="subscript"/>
          <w:lang w:val="pt-BR"/>
        </w:rPr>
        <w:t>3</w:t>
      </w:r>
      <w:r>
        <w:rPr>
          <w:sz w:val="32"/>
          <w:lang w:val="pt-BR"/>
        </w:rPr>
        <w:t xml:space="preserve"> </w:t>
      </w:r>
      <w:r w:rsidR="000C2CAA">
        <w:rPr>
          <w:sz w:val="32"/>
          <w:lang w:val="pt-BR"/>
        </w:rPr>
        <w:t>com heteropoliácido</w:t>
      </w:r>
      <w:r>
        <w:rPr>
          <w:sz w:val="32"/>
          <w:lang w:val="pt-BR"/>
        </w:rPr>
        <w:t xml:space="preserve"> para a valorização do glicerol</w:t>
      </w:r>
    </w:p>
    <w:p w14:paraId="43E16C4C" w14:textId="77777777" w:rsidR="00EA4E1B" w:rsidRPr="001F25B2" w:rsidRDefault="00DD4356" w:rsidP="001F0124">
      <w:pPr>
        <w:pStyle w:val="BBAuthorName"/>
        <w:spacing w:before="120" w:after="120"/>
        <w:ind w:right="0"/>
        <w:jc w:val="both"/>
        <w:rPr>
          <w:rFonts w:ascii="Times New Roman" w:hAnsi="Times New Roman"/>
          <w:sz w:val="20"/>
          <w:lang w:val="pt-BR"/>
        </w:rPr>
      </w:pPr>
      <w:r>
        <w:rPr>
          <w:rFonts w:ascii="Times New Roman" w:hAnsi="Times New Roman"/>
          <w:sz w:val="20"/>
          <w:lang w:val="pt-BR"/>
        </w:rPr>
        <w:t xml:space="preserve">Vinicius Chindelar, </w:t>
      </w:r>
      <w:r w:rsidR="0032544E">
        <w:rPr>
          <w:rFonts w:ascii="Times New Roman" w:hAnsi="Times New Roman"/>
          <w:sz w:val="20"/>
          <w:lang w:val="pt-BR"/>
        </w:rPr>
        <w:t>Italo O. Monteiro</w:t>
      </w:r>
      <w:r w:rsidR="001E3AA5">
        <w:rPr>
          <w:rFonts w:ascii="Times New Roman" w:hAnsi="Times New Roman"/>
          <w:sz w:val="20"/>
          <w:lang w:val="pt-BR"/>
        </w:rPr>
        <w:t xml:space="preserve">, </w:t>
      </w:r>
      <w:r w:rsidR="005A64DA">
        <w:rPr>
          <w:rFonts w:ascii="Times New Roman" w:hAnsi="Times New Roman"/>
          <w:sz w:val="20"/>
          <w:lang w:val="pt-BR"/>
        </w:rPr>
        <w:t xml:space="preserve">Marcelo A. dos Santos, </w:t>
      </w:r>
      <w:r>
        <w:rPr>
          <w:rFonts w:ascii="Times New Roman" w:hAnsi="Times New Roman"/>
          <w:sz w:val="20"/>
          <w:lang w:val="pt-BR"/>
        </w:rPr>
        <w:t>Alexandre B</w:t>
      </w:r>
      <w:r w:rsidR="00B728EB">
        <w:rPr>
          <w:rFonts w:ascii="Times New Roman" w:hAnsi="Times New Roman"/>
          <w:sz w:val="20"/>
          <w:lang w:val="pt-BR"/>
        </w:rPr>
        <w:t>.</w:t>
      </w:r>
      <w:r>
        <w:rPr>
          <w:rFonts w:ascii="Times New Roman" w:hAnsi="Times New Roman"/>
          <w:sz w:val="20"/>
          <w:lang w:val="pt-BR"/>
        </w:rPr>
        <w:t xml:space="preserve"> Gaspar</w:t>
      </w:r>
      <w:r>
        <w:rPr>
          <w:rFonts w:ascii="Times New Roman" w:hAnsi="Times New Roman"/>
          <w:sz w:val="20"/>
          <w:vertAlign w:val="superscript"/>
          <w:lang w:val="pt-BR"/>
        </w:rPr>
        <w:t>*</w:t>
      </w:r>
    </w:p>
    <w:p w14:paraId="3A0478B3" w14:textId="77777777" w:rsidR="0073691B" w:rsidRDefault="00EA4E1B" w:rsidP="00EA4E1B">
      <w:pPr>
        <w:pStyle w:val="BCAuthorAddress"/>
        <w:spacing w:after="0"/>
        <w:ind w:right="0"/>
        <w:jc w:val="both"/>
        <w:rPr>
          <w:lang w:val="pt-BR"/>
        </w:rPr>
      </w:pPr>
      <w:r>
        <w:rPr>
          <w:lang w:val="pt-BR"/>
        </w:rPr>
        <w:t>Ins</w:t>
      </w:r>
      <w:r w:rsidR="0073691B">
        <w:rPr>
          <w:lang w:val="pt-BR"/>
        </w:rPr>
        <w:t xml:space="preserve">tituto Nacional de Tecnologia, Av. Venezuela, 82 </w:t>
      </w:r>
      <w:proofErr w:type="spellStart"/>
      <w:r w:rsidR="0073691B">
        <w:rPr>
          <w:lang w:val="pt-BR"/>
        </w:rPr>
        <w:t>sl</w:t>
      </w:r>
      <w:proofErr w:type="spellEnd"/>
      <w:r w:rsidR="0073691B">
        <w:rPr>
          <w:lang w:val="pt-BR"/>
        </w:rPr>
        <w:t>. 518, Centro, Rio de Janeiro, RJ, 20081-312, Tel.: (21)21231176</w:t>
      </w:r>
    </w:p>
    <w:p w14:paraId="589743BE" w14:textId="77777777" w:rsidR="00121D67" w:rsidRPr="00121D67" w:rsidRDefault="0073691B" w:rsidP="00121D67">
      <w:pPr>
        <w:pStyle w:val="BCAuthorAddress"/>
        <w:spacing w:after="0" w:line="240" w:lineRule="auto"/>
        <w:ind w:right="0"/>
        <w:jc w:val="both"/>
        <w:rPr>
          <w:lang w:val="pt-BR"/>
        </w:rPr>
      </w:pPr>
      <w:r>
        <w:rPr>
          <w:vertAlign w:val="superscript"/>
          <w:lang w:val="pt-BR"/>
        </w:rPr>
        <w:t>*</w:t>
      </w:r>
      <w:r>
        <w:rPr>
          <w:lang w:val="pt-BR"/>
        </w:rPr>
        <w:t xml:space="preserve">alexandre.gaspar@int.gov.br </w:t>
      </w:r>
    </w:p>
    <w:bookmarkEnd w:id="0"/>
    <w:p w14:paraId="3E0EAC43" w14:textId="77777777" w:rsidR="00AF0400" w:rsidRDefault="00000000" w:rsidP="00EA4E1B">
      <w:pPr>
        <w:pStyle w:val="BDAbstract"/>
        <w:spacing w:before="0" w:after="0" w:line="240" w:lineRule="auto"/>
        <w:rPr>
          <w:rFonts w:ascii="Times New Roman" w:hAnsi="Times New Roman"/>
          <w:b w:val="0"/>
          <w:sz w:val="20"/>
          <w:lang w:val="pt-BR"/>
        </w:rPr>
      </w:pPr>
      <w:r>
        <w:rPr>
          <w:noProof/>
          <w:sz w:val="32"/>
          <w:lang w:val="pt-BR"/>
        </w:rPr>
        <w:pict w14:anchorId="30C7B4D1">
          <v:rect id="Retângulo 1" o:spid="_x0000_s2050" style="position:absolute;left:0;text-align:left;margin-left:1394.8pt;margin-top:2.75pt;width:512.4pt;height:13.2pt;z-index:251658239;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" fillcolor="#9a0000" stroked="f" strokeweight="1pt">
            <v:textbox inset=",0,,0">
              <w:txbxContent>
                <w:p w14:paraId="7746246C" w14:textId="7777777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w:t>
                  </w:r>
                  <w:r w:rsidR="0032544E">
                    <w:rPr>
                      <w:rFonts w:cs="Helvetica"/>
                      <w:bCs/>
                      <w:sz w:val="20"/>
                      <w:lang w:val="pt-BR"/>
                    </w:rPr>
                    <w:t>mo/Abstract</w:t>
                  </w:r>
                </w:p>
                <w:p w14:paraId="58F04502" w14:textId="77777777" w:rsidR="00AF0400" w:rsidRPr="008C1B30" w:rsidRDefault="00AF0400" w:rsidP="008C1B30">
                  <w:pPr>
                    <w:pStyle w:val="SemEspaamento"/>
                  </w:pPr>
                </w:p>
              </w:txbxContent>
            </v:textbox>
            <w10:wrap anchorx="margin"/>
          </v:rect>
        </w:pict>
      </w:r>
    </w:p>
    <w:p w14:paraId="53F350D1" w14:textId="77777777" w:rsidR="00AF0400" w:rsidRDefault="00AF0400" w:rsidP="00EA4E1B">
      <w:pPr>
        <w:pStyle w:val="BDAbstract"/>
        <w:spacing w:before="0" w:after="0" w:line="240" w:lineRule="auto"/>
        <w:rPr>
          <w:rFonts w:ascii="Times New Roman" w:hAnsi="Times New Roman"/>
          <w:b w:val="0"/>
          <w:sz w:val="20"/>
          <w:lang w:val="pt-BR"/>
        </w:rPr>
      </w:pPr>
    </w:p>
    <w:p w14:paraId="387050E5" w14:textId="77777777"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926732">
        <w:rPr>
          <w:rFonts w:ascii="Times New Roman" w:hAnsi="Times New Roman"/>
          <w:b w:val="0"/>
          <w:sz w:val="20"/>
          <w:lang w:val="pt-BR"/>
        </w:rPr>
        <w:t>–</w:t>
      </w:r>
      <w:r>
        <w:rPr>
          <w:rFonts w:ascii="Times New Roman" w:hAnsi="Times New Roman"/>
          <w:b w:val="0"/>
          <w:sz w:val="20"/>
          <w:lang w:val="pt-BR"/>
        </w:rPr>
        <w:t xml:space="preserve"> </w:t>
      </w:r>
      <w:r w:rsidR="00926732">
        <w:rPr>
          <w:rFonts w:ascii="Times New Roman" w:hAnsi="Times New Roman"/>
          <w:b w:val="0"/>
          <w:sz w:val="20"/>
          <w:lang w:val="pt-BR"/>
        </w:rPr>
        <w:t>Processos de valorização do glicerol como a hidrogenólise do glicerol são de interesse industrial por permitir obter 1,2-propoanodiol</w:t>
      </w:r>
      <w:r w:rsidR="00AB0DCB">
        <w:rPr>
          <w:rFonts w:ascii="Times New Roman" w:hAnsi="Times New Roman"/>
          <w:b w:val="0"/>
          <w:sz w:val="20"/>
          <w:lang w:val="pt-BR"/>
        </w:rPr>
        <w:t xml:space="preserve"> (1,2-PDO)</w:t>
      </w:r>
      <w:r w:rsidR="00926732">
        <w:rPr>
          <w:rFonts w:ascii="Times New Roman" w:hAnsi="Times New Roman"/>
          <w:b w:val="0"/>
          <w:sz w:val="20"/>
          <w:lang w:val="pt-BR"/>
        </w:rPr>
        <w:t xml:space="preserve">, 1,3-propanodiol </w:t>
      </w:r>
      <w:r w:rsidR="00AB0DCB">
        <w:rPr>
          <w:rFonts w:ascii="Times New Roman" w:hAnsi="Times New Roman"/>
          <w:b w:val="0"/>
          <w:sz w:val="20"/>
          <w:lang w:val="pt-BR"/>
        </w:rPr>
        <w:t xml:space="preserve">(1,3-PDO) </w:t>
      </w:r>
      <w:r w:rsidR="00926732">
        <w:rPr>
          <w:rFonts w:ascii="Times New Roman" w:hAnsi="Times New Roman"/>
          <w:b w:val="0"/>
          <w:sz w:val="20"/>
          <w:lang w:val="pt-BR"/>
        </w:rPr>
        <w:t>e etilenoglicol</w:t>
      </w:r>
      <w:r w:rsidR="00AB0DCB">
        <w:rPr>
          <w:rFonts w:ascii="Times New Roman" w:hAnsi="Times New Roman"/>
          <w:b w:val="0"/>
          <w:sz w:val="20"/>
          <w:lang w:val="pt-BR"/>
        </w:rPr>
        <w:t xml:space="preserve"> (EG)</w:t>
      </w:r>
      <w:r w:rsidR="00926732">
        <w:rPr>
          <w:rFonts w:ascii="Times New Roman" w:hAnsi="Times New Roman"/>
          <w:b w:val="0"/>
          <w:sz w:val="20"/>
          <w:lang w:val="pt-BR"/>
        </w:rPr>
        <w:t xml:space="preserve">, importantes intermediários químicos. Catalisadores a base de Ru e </w:t>
      </w:r>
      <w:proofErr w:type="spellStart"/>
      <w:r w:rsidR="00926732">
        <w:rPr>
          <w:rFonts w:ascii="Times New Roman" w:hAnsi="Times New Roman"/>
          <w:b w:val="0"/>
          <w:sz w:val="20"/>
          <w:lang w:val="pt-BR"/>
        </w:rPr>
        <w:t>Pd</w:t>
      </w:r>
      <w:proofErr w:type="spellEnd"/>
      <w:r w:rsidR="00926732">
        <w:rPr>
          <w:rFonts w:ascii="Times New Roman" w:hAnsi="Times New Roman"/>
          <w:b w:val="0"/>
          <w:sz w:val="20"/>
          <w:lang w:val="pt-BR"/>
        </w:rPr>
        <w:t xml:space="preserve"> foram preparados sobre suporte comercial </w:t>
      </w:r>
      <w:proofErr w:type="spellStart"/>
      <w:r w:rsidR="00926732">
        <w:rPr>
          <w:rFonts w:ascii="Times New Roman" w:hAnsi="Times New Roman"/>
          <w:b w:val="0"/>
          <w:sz w:val="20"/>
          <w:lang w:val="pt-BR"/>
        </w:rPr>
        <w:t>Siral</w:t>
      </w:r>
      <w:proofErr w:type="spellEnd"/>
      <w:r w:rsidR="00926732">
        <w:rPr>
          <w:rFonts w:ascii="Times New Roman" w:hAnsi="Times New Roman"/>
          <w:b w:val="0"/>
          <w:sz w:val="20"/>
          <w:lang w:val="pt-BR"/>
        </w:rPr>
        <w:t xml:space="preserve"> (40%SiO</w:t>
      </w:r>
      <w:r w:rsidR="00926732" w:rsidRPr="00926732">
        <w:rPr>
          <w:rFonts w:ascii="Times New Roman" w:hAnsi="Times New Roman"/>
          <w:b w:val="0"/>
          <w:sz w:val="20"/>
          <w:vertAlign w:val="subscript"/>
          <w:lang w:val="pt-BR"/>
        </w:rPr>
        <w:t>2</w:t>
      </w:r>
      <w:r w:rsidR="00926732">
        <w:rPr>
          <w:rFonts w:ascii="Times New Roman" w:hAnsi="Times New Roman"/>
          <w:b w:val="0"/>
          <w:sz w:val="20"/>
          <w:lang w:val="pt-BR"/>
        </w:rPr>
        <w:t>-60%Al</w:t>
      </w:r>
      <w:r w:rsidR="00926732" w:rsidRPr="00926732">
        <w:rPr>
          <w:rFonts w:ascii="Times New Roman" w:hAnsi="Times New Roman"/>
          <w:b w:val="0"/>
          <w:sz w:val="20"/>
          <w:vertAlign w:val="subscript"/>
          <w:lang w:val="pt-BR"/>
        </w:rPr>
        <w:t>2</w:t>
      </w:r>
      <w:r w:rsidR="00926732">
        <w:rPr>
          <w:rFonts w:ascii="Times New Roman" w:hAnsi="Times New Roman"/>
          <w:b w:val="0"/>
          <w:sz w:val="20"/>
          <w:lang w:val="pt-BR"/>
        </w:rPr>
        <w:t>O</w:t>
      </w:r>
      <w:r w:rsidR="00926732" w:rsidRPr="00926732">
        <w:rPr>
          <w:rFonts w:ascii="Times New Roman" w:hAnsi="Times New Roman"/>
          <w:b w:val="0"/>
          <w:sz w:val="20"/>
          <w:vertAlign w:val="subscript"/>
          <w:lang w:val="pt-BR"/>
        </w:rPr>
        <w:t>3</w:t>
      </w:r>
      <w:r w:rsidR="00926732">
        <w:rPr>
          <w:rFonts w:ascii="Times New Roman" w:hAnsi="Times New Roman"/>
          <w:b w:val="0"/>
          <w:sz w:val="20"/>
          <w:lang w:val="pt-BR"/>
        </w:rPr>
        <w:t xml:space="preserve">) impregnado com ácido </w:t>
      </w:r>
      <w:proofErr w:type="spellStart"/>
      <w:r w:rsidR="00926732">
        <w:rPr>
          <w:rFonts w:ascii="Times New Roman" w:hAnsi="Times New Roman"/>
          <w:b w:val="0"/>
          <w:sz w:val="20"/>
          <w:lang w:val="pt-BR"/>
        </w:rPr>
        <w:t>fosfotungstico</w:t>
      </w:r>
      <w:proofErr w:type="spellEnd"/>
      <w:r w:rsidR="00926732">
        <w:rPr>
          <w:rFonts w:ascii="Times New Roman" w:hAnsi="Times New Roman"/>
          <w:b w:val="0"/>
          <w:sz w:val="20"/>
          <w:lang w:val="pt-BR"/>
        </w:rPr>
        <w:t xml:space="preserve"> (HPW)</w:t>
      </w:r>
      <w:r>
        <w:rPr>
          <w:rFonts w:ascii="Times New Roman" w:hAnsi="Times New Roman"/>
          <w:b w:val="0"/>
          <w:sz w:val="20"/>
          <w:lang w:val="pt-BR"/>
        </w:rPr>
        <w:t>.</w:t>
      </w:r>
      <w:r w:rsidR="00926732">
        <w:rPr>
          <w:rFonts w:ascii="Times New Roman" w:hAnsi="Times New Roman"/>
          <w:b w:val="0"/>
          <w:sz w:val="20"/>
          <w:lang w:val="pt-BR"/>
        </w:rPr>
        <w:t xml:space="preserve"> Verificou-se a formação de WO</w:t>
      </w:r>
      <w:r w:rsidR="00926732" w:rsidRPr="00926732">
        <w:rPr>
          <w:rFonts w:ascii="Times New Roman" w:hAnsi="Times New Roman"/>
          <w:b w:val="0"/>
          <w:sz w:val="20"/>
          <w:vertAlign w:val="subscript"/>
          <w:lang w:val="pt-BR"/>
        </w:rPr>
        <w:t>3</w:t>
      </w:r>
      <w:r w:rsidR="00926732">
        <w:rPr>
          <w:rFonts w:ascii="Times New Roman" w:hAnsi="Times New Roman"/>
          <w:b w:val="0"/>
          <w:sz w:val="20"/>
          <w:lang w:val="pt-BR"/>
        </w:rPr>
        <w:t xml:space="preserve"> por decomposição térmica do HPW. Os catalisadores se mostraram ativos na reação e </w:t>
      </w:r>
      <w:r w:rsidR="00EF0BDA">
        <w:rPr>
          <w:rFonts w:ascii="Times New Roman" w:hAnsi="Times New Roman"/>
          <w:b w:val="0"/>
          <w:sz w:val="20"/>
          <w:lang w:val="pt-BR"/>
        </w:rPr>
        <w:t xml:space="preserve">foi verificada a influência do metal (Ru mais ativo do que </w:t>
      </w:r>
      <w:proofErr w:type="spellStart"/>
      <w:r w:rsidR="00EF0BDA">
        <w:rPr>
          <w:rFonts w:ascii="Times New Roman" w:hAnsi="Times New Roman"/>
          <w:b w:val="0"/>
          <w:sz w:val="20"/>
          <w:lang w:val="pt-BR"/>
        </w:rPr>
        <w:t>Pd</w:t>
      </w:r>
      <w:proofErr w:type="spellEnd"/>
      <w:r w:rsidR="00EF0BDA">
        <w:rPr>
          <w:rFonts w:ascii="Times New Roman" w:hAnsi="Times New Roman"/>
          <w:b w:val="0"/>
          <w:sz w:val="20"/>
          <w:lang w:val="pt-BR"/>
        </w:rPr>
        <w:t xml:space="preserve">) e do precursor (cloreto mais ativo do que nitrato). A maior atividade do catalisador </w:t>
      </w:r>
      <w:r w:rsidR="00CF6CE9">
        <w:rPr>
          <w:rFonts w:ascii="Times New Roman" w:hAnsi="Times New Roman"/>
          <w:b w:val="0"/>
          <w:sz w:val="20"/>
          <w:lang w:val="pt-BR"/>
        </w:rPr>
        <w:t xml:space="preserve">bimetálico </w:t>
      </w:r>
      <w:proofErr w:type="spellStart"/>
      <w:r w:rsidR="00EF0BDA">
        <w:rPr>
          <w:rFonts w:ascii="Times New Roman" w:hAnsi="Times New Roman"/>
          <w:b w:val="0"/>
          <w:sz w:val="20"/>
          <w:lang w:val="pt-BR"/>
        </w:rPr>
        <w:t>PdRuSiralHPW</w:t>
      </w:r>
      <w:proofErr w:type="spellEnd"/>
      <w:r w:rsidR="00EF0BDA">
        <w:rPr>
          <w:rFonts w:ascii="Times New Roman" w:hAnsi="Times New Roman"/>
          <w:b w:val="0"/>
          <w:sz w:val="20"/>
          <w:lang w:val="pt-BR"/>
        </w:rPr>
        <w:t xml:space="preserve"> </w:t>
      </w:r>
      <w:r w:rsidR="00AB0DCB">
        <w:rPr>
          <w:rFonts w:ascii="Times New Roman" w:hAnsi="Times New Roman"/>
          <w:b w:val="0"/>
          <w:sz w:val="20"/>
          <w:lang w:val="pt-BR"/>
        </w:rPr>
        <w:t xml:space="preserve">(2,45 </w:t>
      </w:r>
      <w:r w:rsidR="00AB0DCB" w:rsidRPr="00AB0DCB">
        <w:rPr>
          <w:rFonts w:ascii="Times New Roman" w:hAnsi="Times New Roman"/>
          <w:b w:val="0"/>
          <w:sz w:val="20"/>
          <w:lang w:val="pt-BR"/>
        </w:rPr>
        <w:t>mol Gli</w:t>
      </w:r>
      <w:r w:rsidR="00CF6CE9">
        <w:rPr>
          <w:rFonts w:ascii="Times New Roman" w:hAnsi="Times New Roman"/>
          <w:b w:val="0"/>
          <w:sz w:val="20"/>
          <w:lang w:val="pt-BR"/>
        </w:rPr>
        <w:t>.</w:t>
      </w:r>
      <w:r w:rsidR="00AB0DCB" w:rsidRPr="00AB0DCB">
        <w:rPr>
          <w:rFonts w:ascii="Times New Roman" w:hAnsi="Times New Roman"/>
          <w:b w:val="0"/>
          <w:sz w:val="20"/>
          <w:lang w:val="pt-BR"/>
        </w:rPr>
        <w:t>h</w:t>
      </w:r>
      <w:r w:rsidR="00CF6CE9" w:rsidRPr="00CF6CE9">
        <w:rPr>
          <w:rFonts w:ascii="Times New Roman" w:hAnsi="Times New Roman"/>
          <w:b w:val="0"/>
          <w:sz w:val="20"/>
          <w:vertAlign w:val="superscript"/>
          <w:lang w:val="pt-BR"/>
        </w:rPr>
        <w:t>-</w:t>
      </w:r>
      <w:proofErr w:type="gramStart"/>
      <w:r w:rsidR="00CF6CE9" w:rsidRPr="00CF6CE9">
        <w:rPr>
          <w:rFonts w:ascii="Times New Roman" w:hAnsi="Times New Roman"/>
          <w:b w:val="0"/>
          <w:sz w:val="20"/>
          <w:vertAlign w:val="superscript"/>
          <w:lang w:val="pt-BR"/>
        </w:rPr>
        <w:t>1</w:t>
      </w:r>
      <w:r w:rsidR="00AB0DCB" w:rsidRPr="00AB0DCB">
        <w:rPr>
          <w:rFonts w:ascii="Times New Roman" w:hAnsi="Times New Roman"/>
          <w:b w:val="0"/>
          <w:sz w:val="20"/>
          <w:lang w:val="pt-BR"/>
        </w:rPr>
        <w:t>.gMe</w:t>
      </w:r>
      <w:proofErr w:type="gramEnd"/>
      <w:r w:rsidR="00CF6CE9" w:rsidRPr="00CF6CE9">
        <w:rPr>
          <w:rFonts w:ascii="Times New Roman" w:hAnsi="Times New Roman"/>
          <w:b w:val="0"/>
          <w:sz w:val="20"/>
          <w:vertAlign w:val="superscript"/>
          <w:lang w:val="pt-BR"/>
        </w:rPr>
        <w:t>-1</w:t>
      </w:r>
      <w:r w:rsidR="00AB0DCB">
        <w:rPr>
          <w:rFonts w:ascii="Times New Roman" w:hAnsi="Times New Roman"/>
          <w:b w:val="0"/>
          <w:sz w:val="20"/>
          <w:lang w:val="pt-BR"/>
        </w:rPr>
        <w:t xml:space="preserve">) </w:t>
      </w:r>
      <w:r w:rsidR="00EF0BDA">
        <w:rPr>
          <w:rFonts w:ascii="Times New Roman" w:hAnsi="Times New Roman"/>
          <w:b w:val="0"/>
          <w:sz w:val="20"/>
          <w:lang w:val="pt-BR"/>
        </w:rPr>
        <w:t>foi associada ao efeito promotor da redução do RuO</w:t>
      </w:r>
      <w:r w:rsidR="00EF0BDA" w:rsidRPr="00EF0BDA">
        <w:rPr>
          <w:rFonts w:ascii="Times New Roman" w:hAnsi="Times New Roman"/>
          <w:b w:val="0"/>
          <w:sz w:val="20"/>
          <w:vertAlign w:val="subscript"/>
          <w:lang w:val="pt-BR"/>
        </w:rPr>
        <w:t>2</w:t>
      </w:r>
      <w:r w:rsidR="00EF0BDA">
        <w:rPr>
          <w:rFonts w:ascii="Times New Roman" w:hAnsi="Times New Roman"/>
          <w:b w:val="0"/>
          <w:sz w:val="20"/>
          <w:lang w:val="pt-BR"/>
        </w:rPr>
        <w:t xml:space="preserve"> pelo </w:t>
      </w:r>
      <w:proofErr w:type="spellStart"/>
      <w:r w:rsidR="00EF0BDA">
        <w:rPr>
          <w:rFonts w:ascii="Times New Roman" w:hAnsi="Times New Roman"/>
          <w:b w:val="0"/>
          <w:sz w:val="20"/>
          <w:lang w:val="pt-BR"/>
        </w:rPr>
        <w:t>Pd</w:t>
      </w:r>
      <w:proofErr w:type="spellEnd"/>
      <w:r w:rsidR="00EF0BDA">
        <w:rPr>
          <w:rFonts w:ascii="Times New Roman" w:hAnsi="Times New Roman"/>
          <w:b w:val="0"/>
          <w:sz w:val="20"/>
          <w:lang w:val="pt-BR"/>
        </w:rPr>
        <w:t xml:space="preserve">. </w:t>
      </w:r>
      <w:r w:rsidR="00CF6CE9">
        <w:rPr>
          <w:rFonts w:ascii="Times New Roman" w:hAnsi="Times New Roman"/>
          <w:b w:val="0"/>
          <w:sz w:val="20"/>
          <w:lang w:val="pt-BR"/>
        </w:rPr>
        <w:t>C</w:t>
      </w:r>
      <w:r w:rsidR="00AB0DCB">
        <w:rPr>
          <w:rFonts w:ascii="Times New Roman" w:hAnsi="Times New Roman"/>
          <w:b w:val="0"/>
          <w:sz w:val="20"/>
          <w:lang w:val="pt-BR"/>
        </w:rPr>
        <w:t>loro residual foi responsável pela presença de sítios ácidos adequados para a formação de até 11,5% de 1,3-PDO. O metanol foi o principal produto da hidrogenólise extensiva.</w:t>
      </w:r>
    </w:p>
    <w:p w14:paraId="47DC3B68" w14:textId="77777777"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0C2CAA">
        <w:rPr>
          <w:rFonts w:ascii="Times New Roman" w:hAnsi="Times New Roman"/>
          <w:b w:val="0"/>
          <w:i/>
          <w:sz w:val="20"/>
          <w:lang w:val="pt-BR"/>
        </w:rPr>
        <w:t xml:space="preserve">hidrogenólise do glicerol, </w:t>
      </w:r>
      <w:proofErr w:type="spellStart"/>
      <w:r w:rsidR="000C2CAA">
        <w:rPr>
          <w:rFonts w:ascii="Times New Roman" w:hAnsi="Times New Roman"/>
          <w:b w:val="0"/>
          <w:i/>
          <w:sz w:val="20"/>
          <w:lang w:val="pt-BR"/>
        </w:rPr>
        <w:t>heteropoliácido</w:t>
      </w:r>
      <w:proofErr w:type="spellEnd"/>
      <w:r w:rsidR="000C2CAA">
        <w:rPr>
          <w:rFonts w:ascii="Times New Roman" w:hAnsi="Times New Roman"/>
          <w:b w:val="0"/>
          <w:i/>
          <w:sz w:val="20"/>
          <w:lang w:val="pt-BR"/>
        </w:rPr>
        <w:t>, 1,3-propanodiol, paládio, rutênio</w:t>
      </w:r>
      <w:r>
        <w:rPr>
          <w:rFonts w:ascii="Times New Roman" w:hAnsi="Times New Roman"/>
          <w:b w:val="0"/>
          <w:i/>
          <w:sz w:val="20"/>
          <w:lang w:val="pt-BR"/>
        </w:rPr>
        <w:t>.</w:t>
      </w:r>
    </w:p>
    <w:p w14:paraId="66DFD2EE" w14:textId="77777777" w:rsidR="00EA4E1B" w:rsidRPr="00DA4DFC" w:rsidRDefault="00EA4E1B" w:rsidP="00EA4E1B">
      <w:pPr>
        <w:pStyle w:val="BDAbstract"/>
        <w:spacing w:before="0" w:after="0" w:line="240" w:lineRule="auto"/>
        <w:rPr>
          <w:rFonts w:ascii="Times New Roman" w:hAnsi="Times New Roman"/>
          <w:b w:val="0"/>
          <w:sz w:val="20"/>
          <w:lang w:val="pt-BR"/>
        </w:rPr>
      </w:pPr>
    </w:p>
    <w:p w14:paraId="33ABDF9C" w14:textId="77777777" w:rsidR="00EA4E1B" w:rsidRPr="00C71144" w:rsidRDefault="00EA4E1B" w:rsidP="00EA4E1B">
      <w:pPr>
        <w:pStyle w:val="BDAbstract"/>
        <w:spacing w:before="0" w:after="0" w:line="240" w:lineRule="auto"/>
        <w:rPr>
          <w:rFonts w:ascii="Times New Roman" w:hAnsi="Times New Roman"/>
          <w:b w:val="0"/>
          <w:sz w:val="20"/>
        </w:rPr>
      </w:pPr>
      <w:r w:rsidRPr="00AB0DCB">
        <w:rPr>
          <w:rFonts w:ascii="Times New Roman" w:hAnsi="Times New Roman"/>
          <w:b w:val="0"/>
          <w:sz w:val="20"/>
        </w:rPr>
        <w:t xml:space="preserve">ABSTRACT - </w:t>
      </w:r>
      <w:r w:rsidR="00AB0DCB" w:rsidRPr="00AB0DCB">
        <w:rPr>
          <w:rFonts w:ascii="Times New Roman" w:hAnsi="Times New Roman"/>
          <w:b w:val="0"/>
          <w:sz w:val="20"/>
        </w:rPr>
        <w:t xml:space="preserve">Glycerol recovery processes such as glycerol hydrogenolysis are of industrial interest as they allow obtaining 1,2-propanediol (1,2-PDO), 1,3-propanediol (1,3-PDO) and ethylene glycol (EG), important </w:t>
      </w:r>
      <w:r w:rsidR="00CF6CE9" w:rsidRPr="00AB0DCB">
        <w:rPr>
          <w:rFonts w:ascii="Times New Roman" w:hAnsi="Times New Roman"/>
          <w:b w:val="0"/>
          <w:sz w:val="20"/>
        </w:rPr>
        <w:t xml:space="preserve">chemicals </w:t>
      </w:r>
      <w:r w:rsidR="00AB0DCB" w:rsidRPr="00AB0DCB">
        <w:rPr>
          <w:rFonts w:ascii="Times New Roman" w:hAnsi="Times New Roman"/>
          <w:b w:val="0"/>
          <w:sz w:val="20"/>
        </w:rPr>
        <w:t xml:space="preserve">intermediates. Ru and Pd-based catalysts were prepared on commercial </w:t>
      </w:r>
      <w:proofErr w:type="spellStart"/>
      <w:r w:rsidR="00AB0DCB" w:rsidRPr="00AB0DCB">
        <w:rPr>
          <w:rFonts w:ascii="Times New Roman" w:hAnsi="Times New Roman"/>
          <w:b w:val="0"/>
          <w:sz w:val="20"/>
        </w:rPr>
        <w:t>Siral</w:t>
      </w:r>
      <w:proofErr w:type="spellEnd"/>
      <w:r w:rsidR="00AB0DCB" w:rsidRPr="00AB0DCB">
        <w:rPr>
          <w:rFonts w:ascii="Times New Roman" w:hAnsi="Times New Roman"/>
          <w:b w:val="0"/>
          <w:sz w:val="20"/>
        </w:rPr>
        <w:t xml:space="preserve"> support (40%SiO</w:t>
      </w:r>
      <w:r w:rsidR="00AB0DCB" w:rsidRPr="00CF6CE9">
        <w:rPr>
          <w:rFonts w:ascii="Times New Roman" w:hAnsi="Times New Roman"/>
          <w:b w:val="0"/>
          <w:sz w:val="20"/>
          <w:vertAlign w:val="subscript"/>
        </w:rPr>
        <w:t>2</w:t>
      </w:r>
      <w:r w:rsidR="00AB0DCB" w:rsidRPr="00AB0DCB">
        <w:rPr>
          <w:rFonts w:ascii="Times New Roman" w:hAnsi="Times New Roman"/>
          <w:b w:val="0"/>
          <w:sz w:val="20"/>
        </w:rPr>
        <w:t>-60%Al</w:t>
      </w:r>
      <w:r w:rsidR="00AB0DCB" w:rsidRPr="00CF6CE9">
        <w:rPr>
          <w:rFonts w:ascii="Times New Roman" w:hAnsi="Times New Roman"/>
          <w:b w:val="0"/>
          <w:sz w:val="20"/>
          <w:vertAlign w:val="subscript"/>
        </w:rPr>
        <w:t>2</w:t>
      </w:r>
      <w:r w:rsidR="00AB0DCB" w:rsidRPr="00AB0DCB">
        <w:rPr>
          <w:rFonts w:ascii="Times New Roman" w:hAnsi="Times New Roman"/>
          <w:b w:val="0"/>
          <w:sz w:val="20"/>
        </w:rPr>
        <w:t>O</w:t>
      </w:r>
      <w:r w:rsidR="00AB0DCB" w:rsidRPr="00CF6CE9">
        <w:rPr>
          <w:rFonts w:ascii="Times New Roman" w:hAnsi="Times New Roman"/>
          <w:b w:val="0"/>
          <w:sz w:val="20"/>
          <w:vertAlign w:val="subscript"/>
        </w:rPr>
        <w:t>3</w:t>
      </w:r>
      <w:r w:rsidR="00AB0DCB" w:rsidRPr="00AB0DCB">
        <w:rPr>
          <w:rFonts w:ascii="Times New Roman" w:hAnsi="Times New Roman"/>
          <w:b w:val="0"/>
          <w:sz w:val="20"/>
        </w:rPr>
        <w:t xml:space="preserve">) impregnated with </w:t>
      </w:r>
      <w:proofErr w:type="spellStart"/>
      <w:r w:rsidR="00AB0DCB" w:rsidRPr="00AB0DCB">
        <w:rPr>
          <w:rFonts w:ascii="Times New Roman" w:hAnsi="Times New Roman"/>
          <w:b w:val="0"/>
          <w:sz w:val="20"/>
        </w:rPr>
        <w:t>phosphotungstic</w:t>
      </w:r>
      <w:proofErr w:type="spellEnd"/>
      <w:r w:rsidR="00AB0DCB" w:rsidRPr="00AB0DCB">
        <w:rPr>
          <w:rFonts w:ascii="Times New Roman" w:hAnsi="Times New Roman"/>
          <w:b w:val="0"/>
          <w:sz w:val="20"/>
        </w:rPr>
        <w:t xml:space="preserve"> acid (HPW). The formation of WO</w:t>
      </w:r>
      <w:r w:rsidR="00AB0DCB" w:rsidRPr="00CF6CE9">
        <w:rPr>
          <w:rFonts w:ascii="Times New Roman" w:hAnsi="Times New Roman"/>
          <w:b w:val="0"/>
          <w:sz w:val="20"/>
          <w:vertAlign w:val="subscript"/>
        </w:rPr>
        <w:t>3</w:t>
      </w:r>
      <w:r w:rsidR="00AB0DCB" w:rsidRPr="00AB0DCB">
        <w:rPr>
          <w:rFonts w:ascii="Times New Roman" w:hAnsi="Times New Roman"/>
          <w:b w:val="0"/>
          <w:sz w:val="20"/>
        </w:rPr>
        <w:t xml:space="preserve"> was verified by thermal decomposition of HPW. The catalysts were active in the reaction and the influence of the metal (Ru more active than Pd) and the precursor (chloride more active than nitrate) w</w:t>
      </w:r>
      <w:r w:rsidR="00CF6CE9">
        <w:rPr>
          <w:rFonts w:ascii="Times New Roman" w:hAnsi="Times New Roman"/>
          <w:b w:val="0"/>
          <w:sz w:val="20"/>
        </w:rPr>
        <w:t>ere</w:t>
      </w:r>
      <w:r w:rsidR="00AB0DCB" w:rsidRPr="00AB0DCB">
        <w:rPr>
          <w:rFonts w:ascii="Times New Roman" w:hAnsi="Times New Roman"/>
          <w:b w:val="0"/>
          <w:sz w:val="20"/>
        </w:rPr>
        <w:t xml:space="preserve"> verified. The greater activity of the </w:t>
      </w:r>
      <w:r w:rsidR="00CF6CE9">
        <w:rPr>
          <w:rFonts w:ascii="Times New Roman" w:hAnsi="Times New Roman"/>
          <w:b w:val="0"/>
          <w:sz w:val="20"/>
        </w:rPr>
        <w:t xml:space="preserve">bimetallic </w:t>
      </w:r>
      <w:proofErr w:type="spellStart"/>
      <w:r w:rsidR="00AB0DCB" w:rsidRPr="00AB0DCB">
        <w:rPr>
          <w:rFonts w:ascii="Times New Roman" w:hAnsi="Times New Roman"/>
          <w:b w:val="0"/>
          <w:sz w:val="20"/>
        </w:rPr>
        <w:t>PdRuSiralHPW</w:t>
      </w:r>
      <w:proofErr w:type="spellEnd"/>
      <w:r w:rsidR="00AB0DCB" w:rsidRPr="00AB0DCB">
        <w:rPr>
          <w:rFonts w:ascii="Times New Roman" w:hAnsi="Times New Roman"/>
          <w:b w:val="0"/>
          <w:sz w:val="20"/>
        </w:rPr>
        <w:t xml:space="preserve"> catalyst (2.45 </w:t>
      </w:r>
      <w:r w:rsidR="00CF6CE9" w:rsidRPr="00CF6CE9">
        <w:rPr>
          <w:rFonts w:ascii="Times New Roman" w:hAnsi="Times New Roman"/>
          <w:b w:val="0"/>
          <w:sz w:val="20"/>
        </w:rPr>
        <w:t>mol Gl</w:t>
      </w:r>
      <w:r w:rsidR="00CF6CE9">
        <w:rPr>
          <w:rFonts w:ascii="Times New Roman" w:hAnsi="Times New Roman"/>
          <w:b w:val="0"/>
          <w:sz w:val="20"/>
        </w:rPr>
        <w:t>y</w:t>
      </w:r>
      <w:r w:rsidR="00CF6CE9" w:rsidRPr="00CF6CE9">
        <w:rPr>
          <w:rFonts w:ascii="Times New Roman" w:hAnsi="Times New Roman"/>
          <w:b w:val="0"/>
          <w:sz w:val="20"/>
        </w:rPr>
        <w:t>.h</w:t>
      </w:r>
      <w:r w:rsidR="00CF6CE9" w:rsidRPr="00CF6CE9">
        <w:rPr>
          <w:rFonts w:ascii="Times New Roman" w:hAnsi="Times New Roman"/>
          <w:b w:val="0"/>
          <w:sz w:val="20"/>
          <w:vertAlign w:val="superscript"/>
        </w:rPr>
        <w:t>-1</w:t>
      </w:r>
      <w:r w:rsidR="00CF6CE9" w:rsidRPr="00CF6CE9">
        <w:rPr>
          <w:rFonts w:ascii="Times New Roman" w:hAnsi="Times New Roman"/>
          <w:b w:val="0"/>
          <w:sz w:val="20"/>
        </w:rPr>
        <w:t>.gMe</w:t>
      </w:r>
      <w:r w:rsidR="00CF6CE9" w:rsidRPr="00CF6CE9">
        <w:rPr>
          <w:rFonts w:ascii="Times New Roman" w:hAnsi="Times New Roman"/>
          <w:b w:val="0"/>
          <w:sz w:val="20"/>
          <w:vertAlign w:val="superscript"/>
        </w:rPr>
        <w:t>-1</w:t>
      </w:r>
      <w:r w:rsidR="00AB0DCB" w:rsidRPr="00AB0DCB">
        <w:rPr>
          <w:rFonts w:ascii="Times New Roman" w:hAnsi="Times New Roman"/>
          <w:b w:val="0"/>
          <w:sz w:val="20"/>
        </w:rPr>
        <w:t>) was associated with the promoting effect of RuO</w:t>
      </w:r>
      <w:r w:rsidR="00AB0DCB" w:rsidRPr="00CF6CE9">
        <w:rPr>
          <w:rFonts w:ascii="Times New Roman" w:hAnsi="Times New Roman"/>
          <w:b w:val="0"/>
          <w:sz w:val="20"/>
          <w:vertAlign w:val="subscript"/>
        </w:rPr>
        <w:t>2</w:t>
      </w:r>
      <w:r w:rsidR="00AB0DCB" w:rsidRPr="00AB0DCB">
        <w:rPr>
          <w:rFonts w:ascii="Times New Roman" w:hAnsi="Times New Roman"/>
          <w:b w:val="0"/>
          <w:sz w:val="20"/>
        </w:rPr>
        <w:t xml:space="preserve"> reduction by Pd. </w:t>
      </w:r>
      <w:r w:rsidR="00CF6CE9">
        <w:rPr>
          <w:rFonts w:ascii="Times New Roman" w:hAnsi="Times New Roman"/>
          <w:b w:val="0"/>
          <w:sz w:val="20"/>
        </w:rPr>
        <w:t>R</w:t>
      </w:r>
      <w:r w:rsidR="00AB0DCB" w:rsidRPr="00AB0DCB">
        <w:rPr>
          <w:rFonts w:ascii="Times New Roman" w:hAnsi="Times New Roman"/>
          <w:b w:val="0"/>
          <w:sz w:val="20"/>
        </w:rPr>
        <w:t xml:space="preserve">esidual chlorine was responsible for the presence of acidic sites suitable for the formation of up to 11.5% of 1,3-PDO. </w:t>
      </w:r>
      <w:r w:rsidR="00AB0DCB" w:rsidRPr="00C71144">
        <w:rPr>
          <w:rFonts w:ascii="Times New Roman" w:hAnsi="Times New Roman"/>
          <w:b w:val="0"/>
          <w:sz w:val="20"/>
        </w:rPr>
        <w:t>Methanol was the main product of the extensive hydrogenolysis.</w:t>
      </w:r>
    </w:p>
    <w:p w14:paraId="63AE33C5" w14:textId="77777777" w:rsidR="00EA4E1B" w:rsidRPr="00AB16E0" w:rsidRDefault="00EA4E1B" w:rsidP="00EA4E1B">
      <w:pPr>
        <w:pStyle w:val="BDAbstract"/>
        <w:spacing w:before="0" w:after="120" w:line="240" w:lineRule="auto"/>
        <w:rPr>
          <w:rFonts w:ascii="Times New Roman" w:hAnsi="Times New Roman"/>
          <w:b w:val="0"/>
          <w:i/>
          <w:sz w:val="20"/>
        </w:rPr>
      </w:pPr>
      <w:r w:rsidRPr="00AB16E0">
        <w:rPr>
          <w:rFonts w:ascii="Times New Roman" w:hAnsi="Times New Roman"/>
          <w:b w:val="0"/>
          <w:i/>
          <w:sz w:val="20"/>
        </w:rPr>
        <w:t xml:space="preserve">Keywords: </w:t>
      </w:r>
      <w:r w:rsidR="000C2CAA" w:rsidRPr="00AB16E0">
        <w:rPr>
          <w:rFonts w:ascii="Times New Roman" w:hAnsi="Times New Roman"/>
          <w:b w:val="0"/>
          <w:i/>
          <w:sz w:val="20"/>
        </w:rPr>
        <w:t xml:space="preserve">glycerol hydrogenolysis, </w:t>
      </w:r>
      <w:proofErr w:type="spellStart"/>
      <w:r w:rsidR="000C2CAA" w:rsidRPr="00AB16E0">
        <w:rPr>
          <w:rFonts w:ascii="Times New Roman" w:hAnsi="Times New Roman"/>
          <w:b w:val="0"/>
          <w:i/>
          <w:sz w:val="20"/>
        </w:rPr>
        <w:t>heteropolyacid</w:t>
      </w:r>
      <w:proofErr w:type="spellEnd"/>
      <w:r w:rsidR="000C2CAA" w:rsidRPr="00AB16E0">
        <w:rPr>
          <w:rFonts w:ascii="Times New Roman" w:hAnsi="Times New Roman"/>
          <w:b w:val="0"/>
          <w:i/>
          <w:sz w:val="20"/>
        </w:rPr>
        <w:t>, 1,3-propanediol, palladium, ruthenium.</w:t>
      </w:r>
    </w:p>
    <w:bookmarkEnd w:id="1"/>
    <w:p w14:paraId="2D04ED13" w14:textId="77777777" w:rsidR="00EA4E1B" w:rsidRPr="00AB16E0" w:rsidRDefault="00EA4E1B" w:rsidP="00EA4E1B">
      <w:pPr>
        <w:rPr>
          <w:lang w:val="en-US"/>
        </w:rPr>
        <w:sectPr w:rsidR="00EA4E1B" w:rsidRPr="00AB16E0" w:rsidSect="00EA4E1B">
          <w:headerReference w:type="default" r:id="rId8"/>
          <w:endnotePr>
            <w:numFmt w:val="decimal"/>
          </w:endnotePr>
          <w:pgSz w:w="11906" w:h="16838"/>
          <w:pgMar w:top="1418" w:right="1094" w:bottom="1418" w:left="567" w:header="709" w:footer="709" w:gutter="0"/>
          <w:cols w:space="708"/>
          <w:docGrid w:linePitch="360"/>
        </w:sectPr>
      </w:pPr>
    </w:p>
    <w:p w14:paraId="3107C9F2"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12DB0CCD" w14:textId="77777777" w:rsidR="005849E6" w:rsidRPr="005849E6" w:rsidRDefault="005849E6" w:rsidP="005849E6">
      <w:pPr>
        <w:pStyle w:val="TAMainText"/>
        <w:rPr>
          <w:rFonts w:ascii="Times New Roman" w:hAnsi="Times New Roman"/>
          <w:lang w:val="pt-BR"/>
        </w:rPr>
      </w:pPr>
      <w:r>
        <w:rPr>
          <w:rFonts w:ascii="Times New Roman" w:hAnsi="Times New Roman"/>
          <w:lang w:val="pt-BR"/>
        </w:rPr>
        <w:t>O b</w:t>
      </w:r>
      <w:r w:rsidRPr="005849E6">
        <w:rPr>
          <w:rFonts w:ascii="Times New Roman" w:hAnsi="Times New Roman"/>
          <w:lang w:val="pt-BR"/>
        </w:rPr>
        <w:t>iodiesel</w:t>
      </w:r>
      <w:r>
        <w:rPr>
          <w:rFonts w:ascii="Times New Roman" w:hAnsi="Times New Roman"/>
          <w:lang w:val="pt-BR"/>
        </w:rPr>
        <w:t xml:space="preserve"> é</w:t>
      </w:r>
      <w:r w:rsidRPr="005849E6">
        <w:rPr>
          <w:rFonts w:ascii="Times New Roman" w:hAnsi="Times New Roman"/>
          <w:lang w:val="pt-BR"/>
        </w:rPr>
        <w:t xml:space="preserve"> um combustível renovável </w:t>
      </w:r>
      <w:r>
        <w:rPr>
          <w:rFonts w:ascii="Times New Roman" w:hAnsi="Times New Roman"/>
          <w:lang w:val="pt-BR"/>
        </w:rPr>
        <w:t>e tem recebido</w:t>
      </w:r>
      <w:r w:rsidRPr="005849E6">
        <w:rPr>
          <w:rFonts w:ascii="Times New Roman" w:hAnsi="Times New Roman"/>
          <w:lang w:val="pt-BR"/>
        </w:rPr>
        <w:t xml:space="preserve"> atenção considerável nos úl</w:t>
      </w:r>
      <w:r>
        <w:rPr>
          <w:rFonts w:ascii="Times New Roman" w:hAnsi="Times New Roman"/>
          <w:lang w:val="pt-BR"/>
        </w:rPr>
        <w:t xml:space="preserve">timos anos </w:t>
      </w:r>
      <w:r w:rsidR="00AB16E0">
        <w:rPr>
          <w:rFonts w:ascii="Times New Roman" w:hAnsi="Times New Roman"/>
          <w:lang w:val="pt-BR"/>
        </w:rPr>
        <w:t>em misturas</w:t>
      </w:r>
      <w:r w:rsidRPr="005849E6">
        <w:rPr>
          <w:rFonts w:ascii="Times New Roman" w:hAnsi="Times New Roman"/>
          <w:lang w:val="pt-BR"/>
        </w:rPr>
        <w:t xml:space="preserve"> para motores diesel, pois possui características similares ao diesel derivado do petróleo. No entanto, um dos principais problemas na produção do biodiesel é a formação de uma quantidade considerável de glicerol como subproduto</w:t>
      </w:r>
      <w:r>
        <w:rPr>
          <w:rFonts w:ascii="Times New Roman" w:hAnsi="Times New Roman"/>
          <w:lang w:val="pt-BR"/>
        </w:rPr>
        <w:t xml:space="preserve"> </w:t>
      </w:r>
      <w:r w:rsidR="000C2CAA">
        <w:rPr>
          <w:rFonts w:ascii="Times New Roman" w:hAnsi="Times New Roman"/>
          <w:lang w:val="pt-BR"/>
        </w:rPr>
        <w:t>(</w:t>
      </w:r>
      <w:r w:rsidR="00BA766E">
        <w:rPr>
          <w:rFonts w:ascii="Times New Roman" w:hAnsi="Times New Roman"/>
          <w:lang w:val="pt-BR"/>
        </w:rPr>
        <w:t>1</w:t>
      </w:r>
      <w:r w:rsidR="000C2CAA">
        <w:rPr>
          <w:rFonts w:ascii="Times New Roman" w:hAnsi="Times New Roman"/>
          <w:lang w:val="pt-BR"/>
        </w:rPr>
        <w:t>)</w:t>
      </w:r>
      <w:r w:rsidR="00BA766E">
        <w:rPr>
          <w:rFonts w:ascii="Times New Roman" w:hAnsi="Times New Roman"/>
          <w:lang w:val="pt-BR"/>
        </w:rPr>
        <w:t>.</w:t>
      </w:r>
    </w:p>
    <w:p w14:paraId="7886DDAD" w14:textId="77777777" w:rsidR="005849E6" w:rsidRDefault="005849E6" w:rsidP="005849E6">
      <w:pPr>
        <w:pStyle w:val="TAMainText"/>
        <w:rPr>
          <w:rFonts w:ascii="Times New Roman" w:hAnsi="Times New Roman"/>
          <w:lang w:val="pt-BR"/>
        </w:rPr>
      </w:pPr>
      <w:r w:rsidRPr="005849E6">
        <w:rPr>
          <w:rFonts w:ascii="Times New Roman" w:hAnsi="Times New Roman"/>
          <w:lang w:val="pt-BR"/>
        </w:rPr>
        <w:t xml:space="preserve">Como consequência, alternativas para a transformação </w:t>
      </w:r>
      <w:r w:rsidR="00AB16E0">
        <w:rPr>
          <w:rFonts w:ascii="Times New Roman" w:hAnsi="Times New Roman"/>
          <w:lang w:val="pt-BR"/>
        </w:rPr>
        <w:t>desse</w:t>
      </w:r>
      <w:r w:rsidRPr="005849E6">
        <w:rPr>
          <w:rFonts w:ascii="Times New Roman" w:hAnsi="Times New Roman"/>
          <w:lang w:val="pt-BR"/>
        </w:rPr>
        <w:t xml:space="preserve"> glicerol </w:t>
      </w:r>
      <w:r w:rsidR="00AB16E0">
        <w:rPr>
          <w:rFonts w:ascii="Times New Roman" w:hAnsi="Times New Roman"/>
          <w:lang w:val="pt-BR"/>
        </w:rPr>
        <w:t xml:space="preserve">excedente </w:t>
      </w:r>
      <w:r w:rsidRPr="005849E6">
        <w:rPr>
          <w:rFonts w:ascii="Times New Roman" w:hAnsi="Times New Roman"/>
          <w:lang w:val="pt-BR"/>
        </w:rPr>
        <w:t xml:space="preserve">em outros produtos químicos têm sido intensamente estudadas nos últimos anos. A hidrogenólise de glicerol é um desses processos para obtenção de 1,2 e 1,3-propanodiol e etilenoglicol, principalmente. Para esta reação, vários catalisadores metálicos foram explorados, incluindo Ru, Rh, </w:t>
      </w:r>
      <w:proofErr w:type="spellStart"/>
      <w:r w:rsidRPr="005849E6">
        <w:rPr>
          <w:rFonts w:ascii="Times New Roman" w:hAnsi="Times New Roman"/>
          <w:lang w:val="pt-BR"/>
        </w:rPr>
        <w:t>Pt</w:t>
      </w:r>
      <w:proofErr w:type="spellEnd"/>
      <w:r w:rsidRPr="005849E6">
        <w:rPr>
          <w:rFonts w:ascii="Times New Roman" w:hAnsi="Times New Roman"/>
          <w:lang w:val="pt-BR"/>
        </w:rPr>
        <w:t xml:space="preserve">, </w:t>
      </w:r>
      <w:proofErr w:type="spellStart"/>
      <w:r w:rsidRPr="005849E6">
        <w:rPr>
          <w:rFonts w:ascii="Times New Roman" w:hAnsi="Times New Roman"/>
          <w:lang w:val="pt-BR"/>
        </w:rPr>
        <w:t>Pd</w:t>
      </w:r>
      <w:proofErr w:type="spellEnd"/>
      <w:r w:rsidRPr="005849E6">
        <w:rPr>
          <w:rFonts w:ascii="Times New Roman" w:hAnsi="Times New Roman"/>
          <w:lang w:val="pt-BR"/>
        </w:rPr>
        <w:t xml:space="preserve">, Ir, Ni, Co, Cu e Ag. Especificamente, os metais nobres, isto é, Ru, Rh, </w:t>
      </w:r>
      <w:proofErr w:type="spellStart"/>
      <w:r w:rsidRPr="005849E6">
        <w:rPr>
          <w:rFonts w:ascii="Times New Roman" w:hAnsi="Times New Roman"/>
          <w:lang w:val="pt-BR"/>
        </w:rPr>
        <w:t>Pt</w:t>
      </w:r>
      <w:proofErr w:type="spellEnd"/>
      <w:r w:rsidRPr="005849E6">
        <w:rPr>
          <w:rFonts w:ascii="Times New Roman" w:hAnsi="Times New Roman"/>
          <w:lang w:val="pt-BR"/>
        </w:rPr>
        <w:t xml:space="preserve"> e </w:t>
      </w:r>
      <w:proofErr w:type="spellStart"/>
      <w:r w:rsidRPr="005849E6">
        <w:rPr>
          <w:rFonts w:ascii="Times New Roman" w:hAnsi="Times New Roman"/>
          <w:lang w:val="pt-BR"/>
        </w:rPr>
        <w:t>Pd</w:t>
      </w:r>
      <w:proofErr w:type="spellEnd"/>
      <w:r w:rsidRPr="005849E6">
        <w:rPr>
          <w:rFonts w:ascii="Times New Roman" w:hAnsi="Times New Roman"/>
          <w:lang w:val="pt-BR"/>
        </w:rPr>
        <w:t xml:space="preserve"> receberam grande atenção por causa de sua atividade catalítica superior e estabilidade hidrotérmica na hidrogenólise de glicerol </w:t>
      </w:r>
      <w:r w:rsidR="000C2CAA">
        <w:rPr>
          <w:rFonts w:ascii="Times New Roman" w:hAnsi="Times New Roman"/>
          <w:lang w:val="pt-BR"/>
        </w:rPr>
        <w:t>(</w:t>
      </w:r>
      <w:r w:rsidRPr="005849E6">
        <w:rPr>
          <w:rFonts w:ascii="Times New Roman" w:hAnsi="Times New Roman"/>
          <w:lang w:val="pt-BR"/>
        </w:rPr>
        <w:t>2</w:t>
      </w:r>
      <w:r w:rsidR="00B20565">
        <w:rPr>
          <w:rFonts w:ascii="Times New Roman" w:hAnsi="Times New Roman"/>
          <w:lang w:val="pt-BR"/>
        </w:rPr>
        <w:t>,3</w:t>
      </w:r>
      <w:r w:rsidR="000C2CAA">
        <w:rPr>
          <w:rFonts w:ascii="Times New Roman" w:hAnsi="Times New Roman"/>
          <w:lang w:val="pt-BR"/>
        </w:rPr>
        <w:t>)</w:t>
      </w:r>
      <w:r w:rsidRPr="005849E6">
        <w:rPr>
          <w:rFonts w:ascii="Times New Roman" w:hAnsi="Times New Roman"/>
          <w:lang w:val="pt-BR"/>
        </w:rPr>
        <w:t>.</w:t>
      </w:r>
    </w:p>
    <w:p w14:paraId="68F32171" w14:textId="77777777" w:rsidR="00BA766E" w:rsidRDefault="00F312A5" w:rsidP="0032544E">
      <w:pPr>
        <w:pStyle w:val="TAMainText"/>
        <w:rPr>
          <w:rFonts w:ascii="Times New Roman" w:hAnsi="Times New Roman"/>
          <w:lang w:val="pt-BR"/>
        </w:rPr>
      </w:pPr>
      <w:r>
        <w:rPr>
          <w:rFonts w:ascii="Times New Roman" w:hAnsi="Times New Roman"/>
          <w:lang w:val="pt-BR"/>
        </w:rPr>
        <w:t>A literatura</w:t>
      </w:r>
      <w:r w:rsidR="005849E6" w:rsidRPr="005849E6">
        <w:rPr>
          <w:rFonts w:ascii="Times New Roman" w:hAnsi="Times New Roman"/>
          <w:lang w:val="pt-BR"/>
        </w:rPr>
        <w:t xml:space="preserve"> cita a utilização de catalisadores formados por um suporte com adição de tungstênio</w:t>
      </w:r>
      <w:r w:rsidR="00AB16E0">
        <w:rPr>
          <w:rFonts w:ascii="Times New Roman" w:hAnsi="Times New Roman"/>
          <w:lang w:val="pt-BR"/>
        </w:rPr>
        <w:t xml:space="preserve"> nesta reação</w:t>
      </w:r>
      <w:r w:rsidR="00B20565">
        <w:rPr>
          <w:rFonts w:ascii="Times New Roman" w:hAnsi="Times New Roman"/>
          <w:lang w:val="pt-BR"/>
        </w:rPr>
        <w:t xml:space="preserve"> (</w:t>
      </w:r>
      <w:r w:rsidR="0057022B">
        <w:rPr>
          <w:rFonts w:ascii="Times New Roman" w:hAnsi="Times New Roman"/>
          <w:lang w:val="pt-BR"/>
        </w:rPr>
        <w:t>1</w:t>
      </w:r>
      <w:r w:rsidR="00B20565">
        <w:rPr>
          <w:rFonts w:ascii="Times New Roman" w:hAnsi="Times New Roman"/>
          <w:lang w:val="pt-BR"/>
        </w:rPr>
        <w:t>)</w:t>
      </w:r>
      <w:r w:rsidR="005849E6" w:rsidRPr="005849E6">
        <w:rPr>
          <w:rFonts w:ascii="Times New Roman" w:hAnsi="Times New Roman"/>
          <w:lang w:val="pt-BR"/>
        </w:rPr>
        <w:t>. Essa adição ocorre normalmente em forma de WO</w:t>
      </w:r>
      <w:r w:rsidR="005849E6" w:rsidRPr="00BA766E">
        <w:rPr>
          <w:rFonts w:ascii="Times New Roman" w:hAnsi="Times New Roman"/>
          <w:vertAlign w:val="subscript"/>
          <w:lang w:val="pt-BR"/>
        </w:rPr>
        <w:t>4</w:t>
      </w:r>
      <w:r w:rsidR="005849E6" w:rsidRPr="00BA766E">
        <w:rPr>
          <w:rFonts w:ascii="Times New Roman" w:hAnsi="Times New Roman"/>
          <w:vertAlign w:val="superscript"/>
          <w:lang w:val="pt-BR"/>
        </w:rPr>
        <w:t>2-</w:t>
      </w:r>
      <w:r w:rsidR="005849E6" w:rsidRPr="005849E6">
        <w:rPr>
          <w:rFonts w:ascii="Times New Roman" w:hAnsi="Times New Roman"/>
          <w:lang w:val="pt-BR"/>
        </w:rPr>
        <w:t>, uma vez que na hidrogenólise do glicerol para 1,2-PDO são necessários sítios ácidos de Lewis e para produção do 1,3-</w:t>
      </w:r>
      <w:r w:rsidR="005849E6" w:rsidRPr="005849E6">
        <w:rPr>
          <w:rFonts w:ascii="Times New Roman" w:hAnsi="Times New Roman"/>
          <w:lang w:val="pt-BR"/>
        </w:rPr>
        <w:t xml:space="preserve">PDO são necessários sítios ácidos de </w:t>
      </w:r>
      <w:proofErr w:type="spellStart"/>
      <w:r w:rsidR="005849E6" w:rsidRPr="005849E6">
        <w:rPr>
          <w:rFonts w:ascii="Times New Roman" w:hAnsi="Times New Roman"/>
          <w:lang w:val="pt-BR"/>
        </w:rPr>
        <w:t>Bronsted</w:t>
      </w:r>
      <w:proofErr w:type="spellEnd"/>
      <w:r w:rsidR="007E18F5">
        <w:rPr>
          <w:rFonts w:ascii="Times New Roman" w:hAnsi="Times New Roman"/>
          <w:lang w:val="pt-BR"/>
        </w:rPr>
        <w:t xml:space="preserve"> (</w:t>
      </w:r>
      <w:r w:rsidR="0057022B">
        <w:rPr>
          <w:rFonts w:ascii="Times New Roman" w:hAnsi="Times New Roman"/>
          <w:lang w:val="pt-BR"/>
        </w:rPr>
        <w:t>4</w:t>
      </w:r>
      <w:r w:rsidR="007E18F5">
        <w:rPr>
          <w:rFonts w:ascii="Times New Roman" w:hAnsi="Times New Roman"/>
          <w:lang w:val="pt-BR"/>
        </w:rPr>
        <w:t>)</w:t>
      </w:r>
      <w:r w:rsidR="005849E6" w:rsidRPr="005849E6">
        <w:rPr>
          <w:rFonts w:ascii="Times New Roman" w:hAnsi="Times New Roman"/>
          <w:lang w:val="pt-BR"/>
        </w:rPr>
        <w:t xml:space="preserve">. </w:t>
      </w:r>
      <w:proofErr w:type="spellStart"/>
      <w:r w:rsidR="0032544E" w:rsidRPr="0032544E">
        <w:rPr>
          <w:rFonts w:ascii="Times New Roman" w:hAnsi="Times New Roman"/>
          <w:lang w:val="pt-BR"/>
        </w:rPr>
        <w:t>Polioxometalatos</w:t>
      </w:r>
      <w:proofErr w:type="spellEnd"/>
      <w:r w:rsidR="0032544E" w:rsidRPr="0032544E">
        <w:rPr>
          <w:rFonts w:ascii="Times New Roman" w:hAnsi="Times New Roman"/>
          <w:lang w:val="pt-BR"/>
        </w:rPr>
        <w:t xml:space="preserve">, em particular </w:t>
      </w:r>
      <w:proofErr w:type="spellStart"/>
      <w:r w:rsidR="0032544E" w:rsidRPr="0032544E">
        <w:rPr>
          <w:rFonts w:ascii="Times New Roman" w:hAnsi="Times New Roman"/>
          <w:lang w:val="pt-BR"/>
        </w:rPr>
        <w:t>heteropoliácidos</w:t>
      </w:r>
      <w:proofErr w:type="spellEnd"/>
      <w:r w:rsidR="00C30A64">
        <w:rPr>
          <w:rFonts w:ascii="Times New Roman" w:hAnsi="Times New Roman"/>
          <w:lang w:val="pt-BR"/>
        </w:rPr>
        <w:t xml:space="preserve"> como o </w:t>
      </w:r>
      <w:r w:rsidR="00C30A64" w:rsidRPr="00C30A64">
        <w:rPr>
          <w:rFonts w:ascii="Times New Roman" w:hAnsi="Times New Roman"/>
          <w:lang w:val="pt-BR"/>
        </w:rPr>
        <w:t>H</w:t>
      </w:r>
      <w:r w:rsidR="00C30A64" w:rsidRPr="00C30A64">
        <w:rPr>
          <w:rFonts w:ascii="Times New Roman" w:hAnsi="Times New Roman"/>
          <w:vertAlign w:val="subscript"/>
          <w:lang w:val="pt-BR"/>
        </w:rPr>
        <w:t>3</w:t>
      </w:r>
      <w:r w:rsidR="00C30A64" w:rsidRPr="00C30A64">
        <w:rPr>
          <w:rFonts w:ascii="Times New Roman" w:hAnsi="Times New Roman"/>
          <w:lang w:val="pt-BR"/>
        </w:rPr>
        <w:t>PW</w:t>
      </w:r>
      <w:r w:rsidR="00C30A64" w:rsidRPr="00C30A64">
        <w:rPr>
          <w:rFonts w:ascii="Times New Roman" w:hAnsi="Times New Roman"/>
          <w:vertAlign w:val="subscript"/>
          <w:lang w:val="pt-BR"/>
        </w:rPr>
        <w:t>12</w:t>
      </w:r>
      <w:r w:rsidR="00C30A64" w:rsidRPr="00C30A64">
        <w:rPr>
          <w:rFonts w:ascii="Times New Roman" w:hAnsi="Times New Roman"/>
          <w:lang w:val="pt-BR"/>
        </w:rPr>
        <w:t>O</w:t>
      </w:r>
      <w:r w:rsidR="00C30A64" w:rsidRPr="00C30A64">
        <w:rPr>
          <w:rFonts w:ascii="Times New Roman" w:hAnsi="Times New Roman"/>
          <w:vertAlign w:val="subscript"/>
          <w:lang w:val="pt-BR"/>
        </w:rPr>
        <w:t>40</w:t>
      </w:r>
      <w:r w:rsidR="00C30A64" w:rsidRPr="00C30A64">
        <w:rPr>
          <w:rFonts w:ascii="Times New Roman" w:hAnsi="Times New Roman"/>
          <w:lang w:val="pt-BR"/>
        </w:rPr>
        <w:t xml:space="preserve"> (HPW)</w:t>
      </w:r>
      <w:r w:rsidR="0032544E" w:rsidRPr="0032544E">
        <w:rPr>
          <w:rFonts w:ascii="Times New Roman" w:hAnsi="Times New Roman"/>
          <w:lang w:val="pt-BR"/>
        </w:rPr>
        <w:t>, são excelentes catalisadores ácidos</w:t>
      </w:r>
      <w:r w:rsidR="000C2CAA">
        <w:rPr>
          <w:rFonts w:ascii="Times New Roman" w:hAnsi="Times New Roman"/>
          <w:lang w:val="pt-BR"/>
        </w:rPr>
        <w:t xml:space="preserve"> de </w:t>
      </w:r>
      <w:proofErr w:type="spellStart"/>
      <w:r w:rsidR="000C2CAA">
        <w:rPr>
          <w:rFonts w:ascii="Times New Roman" w:hAnsi="Times New Roman"/>
          <w:lang w:val="pt-BR"/>
        </w:rPr>
        <w:t>Bronsted</w:t>
      </w:r>
      <w:proofErr w:type="spellEnd"/>
      <w:r w:rsidR="000C2CAA">
        <w:rPr>
          <w:rFonts w:ascii="Times New Roman" w:hAnsi="Times New Roman"/>
          <w:lang w:val="pt-BR"/>
        </w:rPr>
        <w:t xml:space="preserve"> (</w:t>
      </w:r>
      <w:r w:rsidR="00DF453E">
        <w:rPr>
          <w:rFonts w:ascii="Times New Roman" w:hAnsi="Times New Roman"/>
          <w:lang w:val="pt-BR"/>
        </w:rPr>
        <w:t>5</w:t>
      </w:r>
      <w:r w:rsidR="000C2CAA">
        <w:rPr>
          <w:rFonts w:ascii="Times New Roman" w:hAnsi="Times New Roman"/>
          <w:lang w:val="pt-BR"/>
        </w:rPr>
        <w:t>)</w:t>
      </w:r>
      <w:r w:rsidR="00EB5D58">
        <w:rPr>
          <w:rFonts w:ascii="Times New Roman" w:hAnsi="Times New Roman"/>
          <w:lang w:val="pt-BR"/>
        </w:rPr>
        <w:t>, mas</w:t>
      </w:r>
      <w:r w:rsidR="008B6AF1">
        <w:rPr>
          <w:rFonts w:ascii="Times New Roman" w:hAnsi="Times New Roman"/>
          <w:lang w:val="pt-BR"/>
        </w:rPr>
        <w:t xml:space="preserve"> </w:t>
      </w:r>
      <w:r w:rsidR="00EB5D58">
        <w:rPr>
          <w:rFonts w:ascii="Times New Roman" w:hAnsi="Times New Roman"/>
          <w:lang w:val="pt-BR"/>
        </w:rPr>
        <w:t>são</w:t>
      </w:r>
      <w:r w:rsidR="00AB16E0">
        <w:rPr>
          <w:rFonts w:ascii="Times New Roman" w:hAnsi="Times New Roman"/>
          <w:lang w:val="pt-BR"/>
        </w:rPr>
        <w:t xml:space="preserve"> </w:t>
      </w:r>
      <w:r w:rsidR="00EB5D58">
        <w:rPr>
          <w:rFonts w:ascii="Times New Roman" w:hAnsi="Times New Roman"/>
          <w:lang w:val="pt-BR"/>
        </w:rPr>
        <w:t xml:space="preserve">pouco </w:t>
      </w:r>
      <w:r w:rsidR="00AB16E0">
        <w:rPr>
          <w:rFonts w:ascii="Times New Roman" w:hAnsi="Times New Roman"/>
          <w:lang w:val="pt-BR"/>
        </w:rPr>
        <w:t>u</w:t>
      </w:r>
      <w:r w:rsidR="00EB5D58">
        <w:rPr>
          <w:rFonts w:ascii="Times New Roman" w:hAnsi="Times New Roman"/>
          <w:lang w:val="pt-BR"/>
        </w:rPr>
        <w:t>s</w:t>
      </w:r>
      <w:r w:rsidR="00AB16E0">
        <w:rPr>
          <w:rFonts w:ascii="Times New Roman" w:hAnsi="Times New Roman"/>
          <w:lang w:val="pt-BR"/>
        </w:rPr>
        <w:t>ados nesta reação (</w:t>
      </w:r>
      <w:r w:rsidR="00DF453E">
        <w:rPr>
          <w:rFonts w:ascii="Times New Roman" w:hAnsi="Times New Roman"/>
          <w:lang w:val="pt-BR"/>
        </w:rPr>
        <w:t>6,7</w:t>
      </w:r>
      <w:r w:rsidR="00AB16E0">
        <w:rPr>
          <w:rFonts w:ascii="Times New Roman" w:hAnsi="Times New Roman"/>
          <w:lang w:val="pt-BR"/>
        </w:rPr>
        <w:t>)</w:t>
      </w:r>
      <w:r w:rsidR="0032544E" w:rsidRPr="0032544E">
        <w:rPr>
          <w:rFonts w:ascii="Times New Roman" w:hAnsi="Times New Roman"/>
          <w:lang w:val="pt-BR"/>
        </w:rPr>
        <w:t>.</w:t>
      </w:r>
    </w:p>
    <w:p w14:paraId="5256E5F5" w14:textId="552C8F11" w:rsidR="008B6AF1" w:rsidRDefault="00C30A64" w:rsidP="00C30A64">
      <w:pPr>
        <w:pStyle w:val="TAMainText"/>
        <w:rPr>
          <w:rFonts w:ascii="Times New Roman" w:hAnsi="Times New Roman"/>
          <w:lang w:val="pt-BR"/>
        </w:rPr>
      </w:pPr>
      <w:r>
        <w:rPr>
          <w:rFonts w:ascii="Times New Roman" w:hAnsi="Times New Roman"/>
          <w:lang w:val="pt-BR"/>
        </w:rPr>
        <w:t>Zhu e col. (6) obtiveram 50</w:t>
      </w:r>
      <w:r w:rsidR="008C3C2B">
        <w:rPr>
          <w:rFonts w:ascii="Times New Roman" w:hAnsi="Times New Roman"/>
          <w:lang w:val="pt-BR"/>
        </w:rPr>
        <w:t xml:space="preserve"> </w:t>
      </w:r>
      <w:r>
        <w:rPr>
          <w:rFonts w:ascii="Times New Roman" w:hAnsi="Times New Roman"/>
          <w:lang w:val="pt-BR"/>
        </w:rPr>
        <w:t>% de conversão do glicerol e 25</w:t>
      </w:r>
      <w:r w:rsidR="008C3C2B">
        <w:rPr>
          <w:rFonts w:ascii="Times New Roman" w:hAnsi="Times New Roman"/>
          <w:lang w:val="pt-BR"/>
        </w:rPr>
        <w:t xml:space="preserve"> </w:t>
      </w:r>
      <w:r>
        <w:rPr>
          <w:rFonts w:ascii="Times New Roman" w:hAnsi="Times New Roman"/>
          <w:lang w:val="pt-BR"/>
        </w:rPr>
        <w:t>% de seletividade a 1,3-propanodiol a 200</w:t>
      </w:r>
      <w:r w:rsidR="008C3C2B">
        <w:rPr>
          <w:rFonts w:ascii="Times New Roman" w:hAnsi="Times New Roman"/>
          <w:lang w:val="pt-BR"/>
        </w:rPr>
        <w:t xml:space="preserve"> °</w:t>
      </w:r>
      <w:r>
        <w:rPr>
          <w:rFonts w:ascii="Times New Roman" w:hAnsi="Times New Roman"/>
          <w:lang w:val="pt-BR"/>
        </w:rPr>
        <w:t>C, 50</w:t>
      </w:r>
      <w:r w:rsidR="008C3C2B">
        <w:rPr>
          <w:rFonts w:ascii="Times New Roman" w:hAnsi="Times New Roman"/>
          <w:lang w:val="pt-BR"/>
        </w:rPr>
        <w:t xml:space="preserve"> </w:t>
      </w:r>
      <w:r>
        <w:rPr>
          <w:rFonts w:ascii="Times New Roman" w:hAnsi="Times New Roman"/>
          <w:lang w:val="pt-BR"/>
        </w:rPr>
        <w:t>bar e 10</w:t>
      </w:r>
      <w:r w:rsidR="008C3C2B">
        <w:rPr>
          <w:rFonts w:ascii="Times New Roman" w:hAnsi="Times New Roman"/>
          <w:lang w:val="pt-BR"/>
        </w:rPr>
        <w:t xml:space="preserve"> </w:t>
      </w:r>
      <w:r>
        <w:rPr>
          <w:rFonts w:ascii="Times New Roman" w:hAnsi="Times New Roman"/>
          <w:lang w:val="pt-BR"/>
        </w:rPr>
        <w:t xml:space="preserve">% glicerol em solução aquosa num reator de leito fixo utilizando </w:t>
      </w:r>
      <w:r w:rsidR="00C7480C">
        <w:rPr>
          <w:rFonts w:ascii="Times New Roman" w:hAnsi="Times New Roman"/>
          <w:lang w:val="pt-BR"/>
        </w:rPr>
        <w:t>2</w:t>
      </w:r>
      <w:r w:rsidR="008C3C2B">
        <w:rPr>
          <w:rFonts w:ascii="Times New Roman" w:hAnsi="Times New Roman"/>
          <w:lang w:val="pt-BR"/>
        </w:rPr>
        <w:t xml:space="preserve"> </w:t>
      </w:r>
      <w:r w:rsidR="00C7480C">
        <w:rPr>
          <w:rFonts w:ascii="Times New Roman" w:hAnsi="Times New Roman"/>
          <w:lang w:val="pt-BR"/>
        </w:rPr>
        <w:t xml:space="preserve">g de </w:t>
      </w:r>
      <w:r>
        <w:rPr>
          <w:rFonts w:ascii="Times New Roman" w:hAnsi="Times New Roman"/>
          <w:lang w:val="pt-BR"/>
        </w:rPr>
        <w:t xml:space="preserve">um catalisador </w:t>
      </w:r>
      <w:proofErr w:type="spellStart"/>
      <w:r>
        <w:rPr>
          <w:rFonts w:ascii="Times New Roman" w:hAnsi="Times New Roman"/>
          <w:lang w:val="pt-BR"/>
        </w:rPr>
        <w:t>Pt</w:t>
      </w:r>
      <w:proofErr w:type="spellEnd"/>
      <w:r w:rsidRPr="00C30A64">
        <w:rPr>
          <w:rFonts w:ascii="Times New Roman" w:hAnsi="Times New Roman"/>
          <w:lang w:val="pt-BR"/>
        </w:rPr>
        <w:t>-HPW/ZrO</w:t>
      </w:r>
      <w:r w:rsidRPr="00C30A64">
        <w:rPr>
          <w:rFonts w:ascii="Times New Roman" w:hAnsi="Times New Roman"/>
          <w:vertAlign w:val="subscript"/>
          <w:lang w:val="pt-BR"/>
        </w:rPr>
        <w:t>2</w:t>
      </w:r>
      <w:r>
        <w:rPr>
          <w:rFonts w:ascii="Times New Roman" w:hAnsi="Times New Roman"/>
          <w:lang w:val="pt-BR"/>
        </w:rPr>
        <w:t xml:space="preserve"> contendo </w:t>
      </w:r>
      <w:r w:rsidRPr="00C30A64">
        <w:rPr>
          <w:rFonts w:ascii="Times New Roman" w:hAnsi="Times New Roman"/>
          <w:lang w:val="pt-BR"/>
        </w:rPr>
        <w:t xml:space="preserve">2 % </w:t>
      </w:r>
      <w:proofErr w:type="spellStart"/>
      <w:r>
        <w:rPr>
          <w:rFonts w:ascii="Times New Roman" w:hAnsi="Times New Roman"/>
          <w:lang w:val="pt-BR"/>
        </w:rPr>
        <w:t>Pt</w:t>
      </w:r>
      <w:proofErr w:type="spellEnd"/>
      <w:r>
        <w:rPr>
          <w:rFonts w:ascii="Times New Roman" w:hAnsi="Times New Roman"/>
          <w:lang w:val="pt-BR"/>
        </w:rPr>
        <w:t xml:space="preserve"> e </w:t>
      </w:r>
      <w:r w:rsidRPr="00C30A64">
        <w:rPr>
          <w:rFonts w:ascii="Times New Roman" w:hAnsi="Times New Roman"/>
          <w:lang w:val="pt-BR"/>
        </w:rPr>
        <w:t>15 %</w:t>
      </w:r>
      <w:r>
        <w:rPr>
          <w:rFonts w:ascii="Times New Roman" w:hAnsi="Times New Roman"/>
          <w:lang w:val="pt-BR"/>
        </w:rPr>
        <w:t xml:space="preserve"> HPW.</w:t>
      </w:r>
      <w:r w:rsidR="00C7480C">
        <w:rPr>
          <w:rFonts w:ascii="Times New Roman" w:hAnsi="Times New Roman"/>
          <w:lang w:val="pt-BR"/>
        </w:rPr>
        <w:t xml:space="preserve"> Dam e col. (7) obtiveram 32</w:t>
      </w:r>
      <w:r w:rsidR="008C3C2B">
        <w:rPr>
          <w:rFonts w:ascii="Times New Roman" w:hAnsi="Times New Roman"/>
          <w:lang w:val="pt-BR"/>
        </w:rPr>
        <w:t xml:space="preserve"> </w:t>
      </w:r>
      <w:r w:rsidR="00C7480C">
        <w:rPr>
          <w:rFonts w:ascii="Times New Roman" w:hAnsi="Times New Roman"/>
          <w:lang w:val="pt-BR"/>
        </w:rPr>
        <w:t>% de conversão de glicerol e 8</w:t>
      </w:r>
      <w:r w:rsidR="008C3C2B">
        <w:rPr>
          <w:rFonts w:ascii="Times New Roman" w:hAnsi="Times New Roman"/>
          <w:lang w:val="pt-BR"/>
        </w:rPr>
        <w:t xml:space="preserve"> </w:t>
      </w:r>
      <w:r w:rsidR="00C7480C">
        <w:rPr>
          <w:rFonts w:ascii="Times New Roman" w:hAnsi="Times New Roman"/>
          <w:lang w:val="pt-BR"/>
        </w:rPr>
        <w:t>% de seletividade a 1,3-propanodiol a 200</w:t>
      </w:r>
      <w:r w:rsidR="008C3C2B">
        <w:rPr>
          <w:rFonts w:ascii="Times New Roman" w:hAnsi="Times New Roman"/>
          <w:lang w:val="pt-BR"/>
        </w:rPr>
        <w:t xml:space="preserve"> °</w:t>
      </w:r>
      <w:r w:rsidR="00C7480C">
        <w:rPr>
          <w:rFonts w:ascii="Times New Roman" w:hAnsi="Times New Roman"/>
          <w:lang w:val="pt-BR"/>
        </w:rPr>
        <w:t>C, 40</w:t>
      </w:r>
      <w:r w:rsidR="008C3C2B">
        <w:rPr>
          <w:rFonts w:ascii="Times New Roman" w:hAnsi="Times New Roman"/>
          <w:lang w:val="pt-BR"/>
        </w:rPr>
        <w:t xml:space="preserve"> </w:t>
      </w:r>
      <w:r w:rsidR="00C7480C">
        <w:rPr>
          <w:rFonts w:ascii="Times New Roman" w:hAnsi="Times New Roman"/>
          <w:lang w:val="pt-BR"/>
        </w:rPr>
        <w:t xml:space="preserve">bar e </w:t>
      </w:r>
      <w:r w:rsidR="005B042C">
        <w:rPr>
          <w:rFonts w:ascii="Times New Roman" w:hAnsi="Times New Roman"/>
          <w:lang w:val="pt-BR"/>
        </w:rPr>
        <w:t>5 mL de 0,2</w:t>
      </w:r>
      <w:r w:rsidR="008C3C2B">
        <w:rPr>
          <w:rFonts w:ascii="Times New Roman" w:hAnsi="Times New Roman"/>
          <w:lang w:val="pt-BR"/>
        </w:rPr>
        <w:t xml:space="preserve"> </w:t>
      </w:r>
      <w:r w:rsidR="005B042C">
        <w:rPr>
          <w:rFonts w:ascii="Times New Roman" w:hAnsi="Times New Roman"/>
          <w:lang w:val="pt-BR"/>
        </w:rPr>
        <w:t>% glicerol em solução aquosa num reator batelada utilizando 0,003</w:t>
      </w:r>
      <w:r w:rsidR="008C3C2B">
        <w:rPr>
          <w:rFonts w:ascii="Times New Roman" w:hAnsi="Times New Roman"/>
          <w:lang w:val="pt-BR"/>
        </w:rPr>
        <w:t xml:space="preserve"> </w:t>
      </w:r>
      <w:r w:rsidR="005B042C">
        <w:rPr>
          <w:rFonts w:ascii="Times New Roman" w:hAnsi="Times New Roman"/>
          <w:lang w:val="pt-BR"/>
        </w:rPr>
        <w:t>g de um catalisador 5</w:t>
      </w:r>
      <w:r w:rsidR="008C3C2B">
        <w:rPr>
          <w:rFonts w:ascii="Times New Roman" w:hAnsi="Times New Roman"/>
          <w:lang w:val="pt-BR"/>
        </w:rPr>
        <w:t xml:space="preserve"> </w:t>
      </w:r>
      <w:r w:rsidR="005B042C">
        <w:rPr>
          <w:rFonts w:ascii="Times New Roman" w:hAnsi="Times New Roman"/>
          <w:lang w:val="pt-BR"/>
        </w:rPr>
        <w:t xml:space="preserve">% </w:t>
      </w:r>
      <w:proofErr w:type="spellStart"/>
      <w:r w:rsidR="005B042C">
        <w:rPr>
          <w:rFonts w:ascii="Times New Roman" w:hAnsi="Times New Roman"/>
          <w:lang w:val="pt-BR"/>
        </w:rPr>
        <w:t>Pd</w:t>
      </w:r>
      <w:proofErr w:type="spellEnd"/>
      <w:r w:rsidR="005B042C">
        <w:rPr>
          <w:rFonts w:ascii="Times New Roman" w:hAnsi="Times New Roman"/>
          <w:lang w:val="pt-BR"/>
        </w:rPr>
        <w:t>/Al</w:t>
      </w:r>
      <w:r w:rsidR="005B042C" w:rsidRPr="005B042C">
        <w:rPr>
          <w:rFonts w:ascii="Times New Roman" w:hAnsi="Times New Roman"/>
          <w:vertAlign w:val="subscript"/>
          <w:lang w:val="pt-BR"/>
        </w:rPr>
        <w:t>2</w:t>
      </w:r>
      <w:r w:rsidR="005B042C">
        <w:rPr>
          <w:rFonts w:ascii="Times New Roman" w:hAnsi="Times New Roman"/>
          <w:lang w:val="pt-BR"/>
        </w:rPr>
        <w:t>O</w:t>
      </w:r>
      <w:r w:rsidR="005B042C" w:rsidRPr="005B042C">
        <w:rPr>
          <w:rFonts w:ascii="Times New Roman" w:hAnsi="Times New Roman"/>
          <w:vertAlign w:val="subscript"/>
          <w:lang w:val="pt-BR"/>
        </w:rPr>
        <w:t>3</w:t>
      </w:r>
      <w:r w:rsidR="005B042C">
        <w:rPr>
          <w:rFonts w:ascii="Times New Roman" w:hAnsi="Times New Roman"/>
          <w:lang w:val="pt-BR"/>
        </w:rPr>
        <w:t xml:space="preserve"> e adição </w:t>
      </w:r>
      <w:r w:rsidR="00D26809">
        <w:rPr>
          <w:rFonts w:ascii="Times New Roman" w:hAnsi="Times New Roman"/>
          <w:lang w:val="pt-BR"/>
        </w:rPr>
        <w:t>de 0,58</w:t>
      </w:r>
      <w:r w:rsidR="008C3C2B">
        <w:rPr>
          <w:rFonts w:ascii="Times New Roman" w:hAnsi="Times New Roman"/>
          <w:lang w:val="pt-BR"/>
        </w:rPr>
        <w:t xml:space="preserve"> </w:t>
      </w:r>
      <w:r w:rsidR="00D26809">
        <w:rPr>
          <w:rFonts w:ascii="Times New Roman" w:hAnsi="Times New Roman"/>
          <w:lang w:val="pt-BR"/>
        </w:rPr>
        <w:t>g de HPW em fase homogênea.</w:t>
      </w:r>
      <w:r w:rsidR="005B042C">
        <w:rPr>
          <w:rFonts w:ascii="Times New Roman" w:hAnsi="Times New Roman"/>
          <w:lang w:val="pt-BR"/>
        </w:rPr>
        <w:t xml:space="preserve"> </w:t>
      </w:r>
    </w:p>
    <w:p w14:paraId="6AC0D625" w14:textId="77777777" w:rsidR="004055DB" w:rsidRDefault="005849E6" w:rsidP="005849E6">
      <w:pPr>
        <w:pStyle w:val="TAMainText"/>
        <w:rPr>
          <w:rFonts w:ascii="Times New Roman" w:hAnsi="Times New Roman"/>
          <w:b/>
          <w:lang w:val="pt-BR"/>
        </w:rPr>
      </w:pPr>
      <w:r w:rsidRPr="005849E6">
        <w:rPr>
          <w:rFonts w:ascii="Times New Roman" w:hAnsi="Times New Roman"/>
          <w:lang w:val="pt-BR"/>
        </w:rPr>
        <w:t xml:space="preserve">Desse modo, o artigo trata do estudo do preparo caracterização e avaliação de propriedades ácidas e metálicas de catalisadores </w:t>
      </w:r>
      <w:proofErr w:type="spellStart"/>
      <w:r w:rsidRPr="005849E6">
        <w:rPr>
          <w:rFonts w:ascii="Times New Roman" w:hAnsi="Times New Roman"/>
          <w:lang w:val="pt-BR"/>
        </w:rPr>
        <w:t>Pd</w:t>
      </w:r>
      <w:proofErr w:type="spellEnd"/>
      <w:r w:rsidRPr="005849E6">
        <w:rPr>
          <w:rFonts w:ascii="Times New Roman" w:hAnsi="Times New Roman"/>
          <w:lang w:val="pt-BR"/>
        </w:rPr>
        <w:t xml:space="preserve"> e Ru em suporte comercia</w:t>
      </w:r>
      <w:r>
        <w:rPr>
          <w:rFonts w:ascii="Times New Roman" w:hAnsi="Times New Roman"/>
          <w:lang w:val="pt-BR"/>
        </w:rPr>
        <w:t>l</w:t>
      </w:r>
      <w:r w:rsidRPr="005849E6">
        <w:rPr>
          <w:rFonts w:ascii="Times New Roman" w:hAnsi="Times New Roman"/>
          <w:lang w:val="pt-BR"/>
        </w:rPr>
        <w:t xml:space="preserve"> Si</w:t>
      </w:r>
      <w:r w:rsidR="00D26809">
        <w:rPr>
          <w:rFonts w:ascii="Times New Roman" w:hAnsi="Times New Roman"/>
          <w:lang w:val="pt-BR"/>
        </w:rPr>
        <w:t>O</w:t>
      </w:r>
      <w:r w:rsidR="00D26809" w:rsidRPr="00D26809">
        <w:rPr>
          <w:rFonts w:ascii="Times New Roman" w:hAnsi="Times New Roman"/>
          <w:vertAlign w:val="subscript"/>
          <w:lang w:val="pt-BR"/>
        </w:rPr>
        <w:t>2</w:t>
      </w:r>
      <w:r w:rsidR="00D26809">
        <w:rPr>
          <w:rFonts w:ascii="Times New Roman" w:hAnsi="Times New Roman"/>
          <w:lang w:val="pt-BR"/>
        </w:rPr>
        <w:t>-Al</w:t>
      </w:r>
      <w:r w:rsidR="00D26809" w:rsidRPr="00D26809">
        <w:rPr>
          <w:rFonts w:ascii="Times New Roman" w:hAnsi="Times New Roman"/>
          <w:vertAlign w:val="subscript"/>
          <w:lang w:val="pt-BR"/>
        </w:rPr>
        <w:t>2</w:t>
      </w:r>
      <w:r w:rsidR="00D26809">
        <w:rPr>
          <w:rFonts w:ascii="Times New Roman" w:hAnsi="Times New Roman"/>
          <w:lang w:val="pt-BR"/>
        </w:rPr>
        <w:t>O</w:t>
      </w:r>
      <w:r w:rsidR="00D26809" w:rsidRPr="00D26809">
        <w:rPr>
          <w:rFonts w:ascii="Times New Roman" w:hAnsi="Times New Roman"/>
          <w:vertAlign w:val="subscript"/>
          <w:lang w:val="pt-BR"/>
        </w:rPr>
        <w:t>3</w:t>
      </w:r>
      <w:r w:rsidRPr="005849E6">
        <w:rPr>
          <w:rFonts w:ascii="Times New Roman" w:hAnsi="Times New Roman"/>
          <w:lang w:val="pt-BR"/>
        </w:rPr>
        <w:t xml:space="preserve"> </w:t>
      </w:r>
      <w:r w:rsidR="00D26809">
        <w:rPr>
          <w:rFonts w:ascii="Times New Roman" w:hAnsi="Times New Roman"/>
          <w:lang w:val="pt-BR"/>
        </w:rPr>
        <w:t>(</w:t>
      </w:r>
      <w:proofErr w:type="spellStart"/>
      <w:r w:rsidR="00D26809">
        <w:rPr>
          <w:rFonts w:ascii="Times New Roman" w:hAnsi="Times New Roman"/>
          <w:lang w:val="pt-BR"/>
        </w:rPr>
        <w:t>Siral</w:t>
      </w:r>
      <w:proofErr w:type="spellEnd"/>
      <w:r w:rsidR="00D26809">
        <w:rPr>
          <w:rFonts w:ascii="Times New Roman" w:hAnsi="Times New Roman"/>
          <w:lang w:val="pt-BR"/>
        </w:rPr>
        <w:t xml:space="preserve">) </w:t>
      </w:r>
      <w:r>
        <w:rPr>
          <w:rFonts w:ascii="Times New Roman" w:hAnsi="Times New Roman"/>
          <w:lang w:val="pt-BR"/>
        </w:rPr>
        <w:t>com adição de heteropoliácido (HPW)</w:t>
      </w:r>
      <w:r w:rsidRPr="005849E6">
        <w:rPr>
          <w:rFonts w:ascii="Times New Roman" w:hAnsi="Times New Roman"/>
          <w:lang w:val="pt-BR"/>
        </w:rPr>
        <w:t xml:space="preserve"> visando sua aplicação na hidrogenólise de glicerol </w:t>
      </w:r>
    </w:p>
    <w:p w14:paraId="02E44A1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0AFB4FD7" w14:textId="77777777" w:rsidR="00EA4E1B" w:rsidRPr="001F25B2" w:rsidRDefault="00A9387B" w:rsidP="00B5369C">
      <w:pPr>
        <w:pStyle w:val="TAMainText"/>
        <w:ind w:firstLine="0"/>
        <w:rPr>
          <w:rFonts w:ascii="Times New Roman" w:hAnsi="Times New Roman"/>
          <w:i/>
          <w:lang w:val="pt-BR"/>
        </w:rPr>
      </w:pPr>
      <w:r>
        <w:rPr>
          <w:rFonts w:ascii="Times New Roman" w:hAnsi="Times New Roman"/>
          <w:i/>
          <w:lang w:val="pt-BR"/>
        </w:rPr>
        <w:t>Preparo dos catalisadores</w:t>
      </w:r>
      <w:r w:rsidR="00EA4E1B" w:rsidRPr="001F25B2">
        <w:rPr>
          <w:rFonts w:ascii="Times New Roman" w:hAnsi="Times New Roman"/>
          <w:i/>
          <w:lang w:val="pt-BR"/>
        </w:rPr>
        <w:t>.</w:t>
      </w:r>
    </w:p>
    <w:p w14:paraId="6632ABC5" w14:textId="77777777" w:rsidR="002F7CBD" w:rsidRPr="00905A26" w:rsidRDefault="00A9387B" w:rsidP="00667097">
      <w:pPr>
        <w:pStyle w:val="TAMainText"/>
        <w:ind w:firstLine="204"/>
        <w:rPr>
          <w:rFonts w:ascii="Times New Roman" w:hAnsi="Times New Roman"/>
          <w:lang w:val="pt-BR"/>
        </w:rPr>
      </w:pPr>
      <w:r>
        <w:rPr>
          <w:rFonts w:ascii="Times New Roman" w:hAnsi="Times New Roman"/>
          <w:lang w:val="pt-BR"/>
        </w:rPr>
        <w:t>Para a síntese dos catalisadores</w:t>
      </w:r>
      <w:r w:rsidR="00CC29DA">
        <w:rPr>
          <w:rFonts w:ascii="Times New Roman" w:hAnsi="Times New Roman"/>
          <w:lang w:val="pt-BR"/>
        </w:rPr>
        <w:t xml:space="preserve"> foi usado</w:t>
      </w:r>
      <w:r>
        <w:rPr>
          <w:rFonts w:ascii="Times New Roman" w:hAnsi="Times New Roman"/>
          <w:lang w:val="pt-BR"/>
        </w:rPr>
        <w:t xml:space="preserve"> o suporte </w:t>
      </w:r>
      <w:proofErr w:type="spellStart"/>
      <w:r>
        <w:rPr>
          <w:rFonts w:ascii="Times New Roman" w:hAnsi="Times New Roman"/>
          <w:lang w:val="pt-BR"/>
        </w:rPr>
        <w:t>Siral</w:t>
      </w:r>
      <w:proofErr w:type="spellEnd"/>
      <w:r>
        <w:rPr>
          <w:rFonts w:ascii="Times New Roman" w:hAnsi="Times New Roman"/>
          <w:lang w:val="pt-BR"/>
        </w:rPr>
        <w:t xml:space="preserve"> 40</w:t>
      </w:r>
      <w:r w:rsidR="00CE6F06">
        <w:rPr>
          <w:rFonts w:ascii="Times New Roman" w:hAnsi="Times New Roman"/>
          <w:lang w:val="pt-BR"/>
        </w:rPr>
        <w:t>, gentilmente cedido pela Sasol</w:t>
      </w:r>
      <w:r w:rsidR="00CC29DA">
        <w:rPr>
          <w:rFonts w:ascii="Times New Roman" w:hAnsi="Times New Roman"/>
          <w:lang w:val="pt-BR"/>
        </w:rPr>
        <w:t xml:space="preserve">. Esse material é </w:t>
      </w:r>
      <w:r w:rsidR="00CC29DA">
        <w:rPr>
          <w:rFonts w:ascii="Times New Roman" w:hAnsi="Times New Roman"/>
          <w:lang w:val="pt-BR"/>
        </w:rPr>
        <w:lastRenderedPageBreak/>
        <w:t>composto de SiO</w:t>
      </w:r>
      <w:r w:rsidR="00CC29DA" w:rsidRPr="00CC29DA">
        <w:rPr>
          <w:rFonts w:ascii="Times New Roman" w:hAnsi="Times New Roman"/>
          <w:vertAlign w:val="subscript"/>
          <w:lang w:val="pt-BR"/>
        </w:rPr>
        <w:t>2</w:t>
      </w:r>
      <w:r w:rsidR="00CC29DA">
        <w:rPr>
          <w:rFonts w:ascii="Times New Roman" w:hAnsi="Times New Roman"/>
          <w:lang w:val="pt-BR"/>
        </w:rPr>
        <w:t xml:space="preserve"> e Al</w:t>
      </w:r>
      <w:r w:rsidR="00CC29DA" w:rsidRPr="00CC29DA">
        <w:rPr>
          <w:rFonts w:ascii="Times New Roman" w:hAnsi="Times New Roman"/>
          <w:vertAlign w:val="subscript"/>
          <w:lang w:val="pt-BR"/>
        </w:rPr>
        <w:t>2</w:t>
      </w:r>
      <w:r w:rsidR="00CC29DA">
        <w:rPr>
          <w:rFonts w:ascii="Times New Roman" w:hAnsi="Times New Roman"/>
          <w:lang w:val="pt-BR"/>
        </w:rPr>
        <w:t>O</w:t>
      </w:r>
      <w:r w:rsidR="00CC29DA" w:rsidRPr="00CC29DA">
        <w:rPr>
          <w:rFonts w:ascii="Times New Roman" w:hAnsi="Times New Roman"/>
          <w:vertAlign w:val="subscript"/>
          <w:lang w:val="pt-BR"/>
        </w:rPr>
        <w:t>3</w:t>
      </w:r>
      <w:r w:rsidR="00CC29DA">
        <w:rPr>
          <w:rFonts w:ascii="Times New Roman" w:hAnsi="Times New Roman"/>
          <w:lang w:val="pt-BR"/>
        </w:rPr>
        <w:t xml:space="preserve"> na proporção 40:60, e superfície específica de 500 m</w:t>
      </w:r>
      <w:r w:rsidR="00CC29DA" w:rsidRPr="00CC29DA">
        <w:rPr>
          <w:rFonts w:ascii="Times New Roman" w:hAnsi="Times New Roman"/>
          <w:vertAlign w:val="superscript"/>
          <w:lang w:val="pt-BR"/>
        </w:rPr>
        <w:t>2</w:t>
      </w:r>
      <w:r w:rsidR="00CC29DA">
        <w:rPr>
          <w:rFonts w:ascii="Times New Roman" w:hAnsi="Times New Roman"/>
          <w:lang w:val="pt-BR"/>
        </w:rPr>
        <w:t>.g</w:t>
      </w:r>
      <w:r w:rsidR="00CC29DA" w:rsidRPr="00CC29DA">
        <w:rPr>
          <w:rFonts w:ascii="Times New Roman" w:hAnsi="Times New Roman"/>
          <w:vertAlign w:val="superscript"/>
          <w:lang w:val="pt-BR"/>
        </w:rPr>
        <w:t>-1</w:t>
      </w:r>
      <w:r w:rsidR="00CC29DA">
        <w:rPr>
          <w:rFonts w:ascii="Times New Roman" w:hAnsi="Times New Roman"/>
          <w:lang w:val="pt-BR"/>
        </w:rPr>
        <w:t xml:space="preserve"> (8).</w:t>
      </w:r>
      <w:r>
        <w:rPr>
          <w:rFonts w:ascii="Times New Roman" w:hAnsi="Times New Roman"/>
          <w:lang w:val="pt-BR"/>
        </w:rPr>
        <w:t xml:space="preserve"> </w:t>
      </w:r>
      <w:r w:rsidR="00CC29DA">
        <w:rPr>
          <w:rFonts w:ascii="Times New Roman" w:hAnsi="Times New Roman"/>
          <w:lang w:val="pt-BR"/>
        </w:rPr>
        <w:t xml:space="preserve">O </w:t>
      </w:r>
      <w:proofErr w:type="spellStart"/>
      <w:r w:rsidR="00CC29DA">
        <w:rPr>
          <w:rFonts w:ascii="Times New Roman" w:hAnsi="Times New Roman"/>
          <w:lang w:val="pt-BR"/>
        </w:rPr>
        <w:t>Siral</w:t>
      </w:r>
      <w:proofErr w:type="spellEnd"/>
      <w:r w:rsidR="00CC29DA">
        <w:rPr>
          <w:rFonts w:ascii="Times New Roman" w:hAnsi="Times New Roman"/>
          <w:lang w:val="pt-BR"/>
        </w:rPr>
        <w:t xml:space="preserve"> </w:t>
      </w:r>
      <w:r>
        <w:rPr>
          <w:rFonts w:ascii="Times New Roman" w:hAnsi="Times New Roman"/>
          <w:lang w:val="pt-BR"/>
        </w:rPr>
        <w:t>foi inicialmente calcinado a 500 °C (10 °C.min</w:t>
      </w:r>
      <w:r>
        <w:rPr>
          <w:rFonts w:ascii="Times New Roman" w:hAnsi="Times New Roman"/>
          <w:vertAlign w:val="superscript"/>
          <w:lang w:val="pt-BR"/>
        </w:rPr>
        <w:t>-1</w:t>
      </w:r>
      <w:r>
        <w:rPr>
          <w:rFonts w:ascii="Times New Roman" w:hAnsi="Times New Roman"/>
          <w:lang w:val="pt-BR"/>
        </w:rPr>
        <w:t xml:space="preserve">) durante 4 horas. </w:t>
      </w:r>
      <w:r w:rsidR="0032544E">
        <w:rPr>
          <w:rFonts w:ascii="Times New Roman" w:hAnsi="Times New Roman"/>
          <w:lang w:val="pt-BR"/>
        </w:rPr>
        <w:t>Em seguida,</w:t>
      </w:r>
      <w:r>
        <w:rPr>
          <w:rFonts w:ascii="Times New Roman" w:hAnsi="Times New Roman"/>
          <w:lang w:val="pt-BR"/>
        </w:rPr>
        <w:t xml:space="preserve"> uma quantidade apropriada de </w:t>
      </w:r>
      <w:r w:rsidR="00B5369C">
        <w:rPr>
          <w:rFonts w:ascii="Times New Roman" w:hAnsi="Times New Roman"/>
          <w:lang w:val="pt-BR"/>
        </w:rPr>
        <w:t>á</w:t>
      </w:r>
      <w:r>
        <w:rPr>
          <w:rFonts w:ascii="Times New Roman" w:hAnsi="Times New Roman"/>
          <w:lang w:val="pt-BR"/>
        </w:rPr>
        <w:t xml:space="preserve">cido </w:t>
      </w:r>
      <w:proofErr w:type="spellStart"/>
      <w:r w:rsidR="00B5369C">
        <w:rPr>
          <w:rFonts w:ascii="Times New Roman" w:hAnsi="Times New Roman"/>
          <w:lang w:val="pt-BR"/>
        </w:rPr>
        <w:t>f</w:t>
      </w:r>
      <w:r>
        <w:rPr>
          <w:rFonts w:ascii="Times New Roman" w:hAnsi="Times New Roman"/>
          <w:lang w:val="pt-BR"/>
        </w:rPr>
        <w:t>osfotungstíco</w:t>
      </w:r>
      <w:proofErr w:type="spellEnd"/>
      <w:r>
        <w:rPr>
          <w:rFonts w:ascii="Times New Roman" w:hAnsi="Times New Roman"/>
          <w:lang w:val="pt-BR"/>
        </w:rPr>
        <w:t xml:space="preserve"> (</w:t>
      </w:r>
      <w:r w:rsidR="005F2C29">
        <w:rPr>
          <w:rFonts w:ascii="Times New Roman" w:hAnsi="Times New Roman"/>
          <w:lang w:val="pt-BR"/>
        </w:rPr>
        <w:t>H</w:t>
      </w:r>
      <w:r w:rsidR="005F2C29" w:rsidRPr="005F2C29">
        <w:rPr>
          <w:rFonts w:ascii="Times New Roman" w:hAnsi="Times New Roman"/>
          <w:vertAlign w:val="subscript"/>
          <w:lang w:val="pt-BR"/>
        </w:rPr>
        <w:t>3</w:t>
      </w:r>
      <w:r w:rsidR="005F2C29">
        <w:rPr>
          <w:rFonts w:ascii="Times New Roman" w:hAnsi="Times New Roman"/>
          <w:lang w:val="pt-BR"/>
        </w:rPr>
        <w:t>[P(W</w:t>
      </w:r>
      <w:r w:rsidR="005F2C29" w:rsidRPr="005F2C29">
        <w:rPr>
          <w:rFonts w:ascii="Times New Roman" w:hAnsi="Times New Roman"/>
          <w:vertAlign w:val="subscript"/>
          <w:lang w:val="pt-BR"/>
        </w:rPr>
        <w:t>3</w:t>
      </w:r>
      <w:r w:rsidR="005F2C29">
        <w:rPr>
          <w:rFonts w:ascii="Times New Roman" w:hAnsi="Times New Roman"/>
          <w:lang w:val="pt-BR"/>
        </w:rPr>
        <w:t>O</w:t>
      </w:r>
      <w:r w:rsidR="005F2C29" w:rsidRPr="005F2C29">
        <w:rPr>
          <w:rFonts w:ascii="Times New Roman" w:hAnsi="Times New Roman"/>
          <w:vertAlign w:val="subscript"/>
          <w:lang w:val="pt-BR"/>
        </w:rPr>
        <w:t>10</w:t>
      </w:r>
      <w:r w:rsidR="005F2C29">
        <w:rPr>
          <w:rFonts w:ascii="Times New Roman" w:hAnsi="Times New Roman"/>
          <w:lang w:val="pt-BR"/>
        </w:rPr>
        <w:t>)</w:t>
      </w:r>
      <w:r w:rsidR="005F2C29" w:rsidRPr="005F2C29">
        <w:rPr>
          <w:rFonts w:ascii="Times New Roman" w:hAnsi="Times New Roman"/>
          <w:vertAlign w:val="subscript"/>
          <w:lang w:val="pt-BR"/>
        </w:rPr>
        <w:t>4</w:t>
      </w:r>
      <w:proofErr w:type="gramStart"/>
      <w:r w:rsidR="005F2C29">
        <w:rPr>
          <w:rFonts w:ascii="Times New Roman" w:hAnsi="Times New Roman"/>
          <w:lang w:val="pt-BR"/>
        </w:rPr>
        <w:t>].xH</w:t>
      </w:r>
      <w:proofErr w:type="gramEnd"/>
      <w:r w:rsidR="005F2C29" w:rsidRPr="005F2C29">
        <w:rPr>
          <w:rFonts w:ascii="Times New Roman" w:hAnsi="Times New Roman"/>
          <w:vertAlign w:val="subscript"/>
          <w:lang w:val="pt-BR"/>
        </w:rPr>
        <w:t>2</w:t>
      </w:r>
      <w:r w:rsidR="005F2C29">
        <w:rPr>
          <w:rFonts w:ascii="Times New Roman" w:hAnsi="Times New Roman"/>
          <w:lang w:val="pt-BR"/>
        </w:rPr>
        <w:t xml:space="preserve">O, </w:t>
      </w:r>
      <w:proofErr w:type="spellStart"/>
      <w:r w:rsidR="005F2C29">
        <w:rPr>
          <w:rFonts w:ascii="Times New Roman" w:hAnsi="Times New Roman"/>
          <w:lang w:val="pt-BR"/>
        </w:rPr>
        <w:t>Vetec</w:t>
      </w:r>
      <w:proofErr w:type="spellEnd"/>
      <w:r w:rsidR="005F2C29">
        <w:rPr>
          <w:rFonts w:ascii="Times New Roman" w:hAnsi="Times New Roman"/>
          <w:lang w:val="pt-BR"/>
        </w:rPr>
        <w:t>, ≥ 99%)</w:t>
      </w:r>
      <w:r w:rsidR="0032544E">
        <w:rPr>
          <w:rFonts w:ascii="Times New Roman" w:hAnsi="Times New Roman"/>
          <w:lang w:val="pt-BR"/>
        </w:rPr>
        <w:t xml:space="preserve"> foi impregnada por via úmida</w:t>
      </w:r>
      <w:r w:rsidR="00EB5D58">
        <w:rPr>
          <w:rFonts w:ascii="Times New Roman" w:hAnsi="Times New Roman"/>
          <w:lang w:val="pt-BR"/>
        </w:rPr>
        <w:t>.</w:t>
      </w:r>
      <w:r w:rsidR="005F2C29">
        <w:rPr>
          <w:rFonts w:ascii="Times New Roman" w:hAnsi="Times New Roman"/>
          <w:lang w:val="pt-BR"/>
        </w:rPr>
        <w:t xml:space="preserve"> </w:t>
      </w:r>
      <w:r w:rsidR="00EB5D58">
        <w:rPr>
          <w:rFonts w:ascii="Times New Roman" w:hAnsi="Times New Roman"/>
          <w:lang w:val="pt-BR"/>
        </w:rPr>
        <w:t>O</w:t>
      </w:r>
      <w:r w:rsidR="0032544E">
        <w:rPr>
          <w:rFonts w:ascii="Times New Roman" w:hAnsi="Times New Roman"/>
          <w:lang w:val="pt-BR"/>
        </w:rPr>
        <w:t xml:space="preserve"> material foi </w:t>
      </w:r>
      <w:r w:rsidR="005F2C29">
        <w:rPr>
          <w:rFonts w:ascii="Times New Roman" w:hAnsi="Times New Roman"/>
          <w:lang w:val="pt-BR"/>
        </w:rPr>
        <w:t>seco em estufa a 100 °C durante a noite</w:t>
      </w:r>
      <w:r w:rsidR="00D26809">
        <w:rPr>
          <w:rFonts w:ascii="Times New Roman" w:hAnsi="Times New Roman"/>
          <w:lang w:val="pt-BR"/>
        </w:rPr>
        <w:t>,</w:t>
      </w:r>
      <w:r w:rsidR="005F2C29">
        <w:rPr>
          <w:rFonts w:ascii="Times New Roman" w:hAnsi="Times New Roman"/>
          <w:lang w:val="pt-BR"/>
        </w:rPr>
        <w:t xml:space="preserve"> seguid</w:t>
      </w:r>
      <w:r w:rsidR="00D26809">
        <w:rPr>
          <w:rFonts w:ascii="Times New Roman" w:hAnsi="Times New Roman"/>
          <w:lang w:val="pt-BR"/>
        </w:rPr>
        <w:t>o</w:t>
      </w:r>
      <w:r w:rsidR="005F2C29">
        <w:rPr>
          <w:rFonts w:ascii="Times New Roman" w:hAnsi="Times New Roman"/>
          <w:lang w:val="pt-BR"/>
        </w:rPr>
        <w:t xml:space="preserve"> </w:t>
      </w:r>
      <w:r w:rsidR="00D26809">
        <w:rPr>
          <w:rFonts w:ascii="Times New Roman" w:hAnsi="Times New Roman"/>
          <w:lang w:val="pt-BR"/>
        </w:rPr>
        <w:t xml:space="preserve">de </w:t>
      </w:r>
      <w:r w:rsidR="005F2C29">
        <w:rPr>
          <w:rFonts w:ascii="Times New Roman" w:hAnsi="Times New Roman"/>
          <w:lang w:val="pt-BR"/>
        </w:rPr>
        <w:t>calcina</w:t>
      </w:r>
      <w:r w:rsidR="00D26809">
        <w:rPr>
          <w:rFonts w:ascii="Times New Roman" w:hAnsi="Times New Roman"/>
          <w:lang w:val="pt-BR"/>
        </w:rPr>
        <w:t>ção</w:t>
      </w:r>
      <w:r w:rsidR="005F2C29">
        <w:rPr>
          <w:rFonts w:ascii="Times New Roman" w:hAnsi="Times New Roman"/>
          <w:lang w:val="pt-BR"/>
        </w:rPr>
        <w:t xml:space="preserve"> a 500° C (10 °C.min</w:t>
      </w:r>
      <w:r w:rsidR="005F2C29">
        <w:rPr>
          <w:rFonts w:ascii="Times New Roman" w:hAnsi="Times New Roman"/>
          <w:vertAlign w:val="superscript"/>
          <w:lang w:val="pt-BR"/>
        </w:rPr>
        <w:t>-1</w:t>
      </w:r>
      <w:r w:rsidR="005F2C29">
        <w:rPr>
          <w:rFonts w:ascii="Times New Roman" w:hAnsi="Times New Roman"/>
          <w:lang w:val="pt-BR"/>
        </w:rPr>
        <w:t xml:space="preserve">) durante 4 h. </w:t>
      </w:r>
      <w:proofErr w:type="spellStart"/>
      <w:r w:rsidR="005F2C29">
        <w:rPr>
          <w:rFonts w:ascii="Times New Roman" w:hAnsi="Times New Roman"/>
          <w:lang w:val="pt-BR"/>
        </w:rPr>
        <w:t>Pd</w:t>
      </w:r>
      <w:proofErr w:type="spellEnd"/>
      <w:r w:rsidR="005F2C29">
        <w:rPr>
          <w:rFonts w:ascii="Times New Roman" w:hAnsi="Times New Roman"/>
          <w:lang w:val="pt-BR"/>
        </w:rPr>
        <w:t xml:space="preserve"> e Ru foram inseridos no suporte </w:t>
      </w:r>
      <w:proofErr w:type="spellStart"/>
      <w:r w:rsidR="005F2C29">
        <w:rPr>
          <w:rFonts w:ascii="Times New Roman" w:hAnsi="Times New Roman"/>
          <w:lang w:val="pt-BR"/>
        </w:rPr>
        <w:t>tungstanado</w:t>
      </w:r>
      <w:proofErr w:type="spellEnd"/>
      <w:r w:rsidR="005F2C29">
        <w:rPr>
          <w:rFonts w:ascii="Times New Roman" w:hAnsi="Times New Roman"/>
          <w:lang w:val="pt-BR"/>
        </w:rPr>
        <w:t xml:space="preserve"> por impregnação seca, utilizando </w:t>
      </w:r>
      <w:r w:rsidR="00323010">
        <w:rPr>
          <w:rFonts w:ascii="Times New Roman" w:hAnsi="Times New Roman"/>
          <w:lang w:val="pt-BR"/>
        </w:rPr>
        <w:t>PdCl</w:t>
      </w:r>
      <w:r w:rsidR="00323010" w:rsidRPr="00323010">
        <w:rPr>
          <w:rFonts w:ascii="Times New Roman" w:hAnsi="Times New Roman"/>
          <w:vertAlign w:val="subscript"/>
          <w:lang w:val="pt-BR"/>
        </w:rPr>
        <w:t>2</w:t>
      </w:r>
      <w:r w:rsidR="00323010">
        <w:rPr>
          <w:rFonts w:ascii="Times New Roman" w:hAnsi="Times New Roman"/>
          <w:lang w:val="pt-BR"/>
        </w:rPr>
        <w:t xml:space="preserve"> (Nuclear, Brasil), RuCl</w:t>
      </w:r>
      <w:r w:rsidR="00323010" w:rsidRPr="00323010">
        <w:rPr>
          <w:rFonts w:ascii="Times New Roman" w:hAnsi="Times New Roman"/>
          <w:vertAlign w:val="subscript"/>
          <w:lang w:val="pt-BR"/>
        </w:rPr>
        <w:t>3</w:t>
      </w:r>
      <w:r w:rsidR="00323010">
        <w:rPr>
          <w:rFonts w:ascii="Times New Roman" w:hAnsi="Times New Roman"/>
          <w:lang w:val="pt-BR"/>
        </w:rPr>
        <w:t>.xH</w:t>
      </w:r>
      <w:r w:rsidR="00323010" w:rsidRPr="00323010">
        <w:rPr>
          <w:rFonts w:ascii="Times New Roman" w:hAnsi="Times New Roman"/>
          <w:vertAlign w:val="subscript"/>
          <w:lang w:val="pt-BR"/>
        </w:rPr>
        <w:t>2</w:t>
      </w:r>
      <w:r w:rsidR="00323010">
        <w:rPr>
          <w:rFonts w:ascii="Times New Roman" w:hAnsi="Times New Roman"/>
          <w:lang w:val="pt-BR"/>
        </w:rPr>
        <w:t xml:space="preserve">O (Alfa </w:t>
      </w:r>
      <w:proofErr w:type="spellStart"/>
      <w:r w:rsidR="00323010">
        <w:rPr>
          <w:rFonts w:ascii="Times New Roman" w:hAnsi="Times New Roman"/>
          <w:lang w:val="pt-BR"/>
        </w:rPr>
        <w:t>Aesar</w:t>
      </w:r>
      <w:proofErr w:type="spellEnd"/>
      <w:r w:rsidR="00323010">
        <w:rPr>
          <w:rFonts w:ascii="Times New Roman" w:hAnsi="Times New Roman"/>
          <w:lang w:val="pt-BR"/>
        </w:rPr>
        <w:t xml:space="preserve">, Estados Unidos) </w:t>
      </w:r>
      <w:r w:rsidR="0032544E">
        <w:rPr>
          <w:rFonts w:ascii="Times New Roman" w:hAnsi="Times New Roman"/>
          <w:lang w:val="pt-BR"/>
        </w:rPr>
        <w:t>ou</w:t>
      </w:r>
      <w:r w:rsidR="00323010">
        <w:rPr>
          <w:rFonts w:ascii="Times New Roman" w:hAnsi="Times New Roman"/>
          <w:lang w:val="pt-BR"/>
        </w:rPr>
        <w:t xml:space="preserve"> </w:t>
      </w:r>
      <w:proofErr w:type="gramStart"/>
      <w:r w:rsidR="00323010" w:rsidRPr="00323010">
        <w:rPr>
          <w:rFonts w:ascii="Times New Roman" w:hAnsi="Times New Roman"/>
          <w:lang w:val="pt-BR"/>
        </w:rPr>
        <w:t>Ru(</w:t>
      </w:r>
      <w:proofErr w:type="gramEnd"/>
      <w:r w:rsidR="00323010" w:rsidRPr="00323010">
        <w:rPr>
          <w:rFonts w:ascii="Times New Roman" w:hAnsi="Times New Roman"/>
          <w:lang w:val="pt-BR"/>
        </w:rPr>
        <w:t>NO)(NO</w:t>
      </w:r>
      <w:r w:rsidR="00323010" w:rsidRPr="007C7654">
        <w:rPr>
          <w:rFonts w:ascii="Times New Roman" w:hAnsi="Times New Roman"/>
          <w:vertAlign w:val="subscript"/>
          <w:lang w:val="pt-BR"/>
        </w:rPr>
        <w:t>3</w:t>
      </w:r>
      <w:r w:rsidR="00323010" w:rsidRPr="00323010">
        <w:rPr>
          <w:rFonts w:ascii="Times New Roman" w:hAnsi="Times New Roman"/>
          <w:lang w:val="pt-BR"/>
        </w:rPr>
        <w:t>)</w:t>
      </w:r>
      <w:r w:rsidR="00323010" w:rsidRPr="007C7654">
        <w:rPr>
          <w:rFonts w:ascii="Times New Roman" w:hAnsi="Times New Roman"/>
          <w:vertAlign w:val="subscript"/>
          <w:lang w:val="pt-BR"/>
        </w:rPr>
        <w:t>x</w:t>
      </w:r>
      <w:r w:rsidR="00323010" w:rsidRPr="00323010">
        <w:rPr>
          <w:rFonts w:ascii="Times New Roman" w:hAnsi="Times New Roman"/>
          <w:lang w:val="pt-BR"/>
        </w:rPr>
        <w:t>(OH)</w:t>
      </w:r>
      <w:r w:rsidR="00323010" w:rsidRPr="007C7654">
        <w:rPr>
          <w:rFonts w:ascii="Times New Roman" w:hAnsi="Times New Roman"/>
          <w:vertAlign w:val="subscript"/>
          <w:lang w:val="pt-BR"/>
        </w:rPr>
        <w:t>y</w:t>
      </w:r>
      <w:r w:rsidR="00323010" w:rsidRPr="00323010">
        <w:rPr>
          <w:rFonts w:ascii="Times New Roman" w:hAnsi="Times New Roman"/>
          <w:lang w:val="pt-BR"/>
        </w:rPr>
        <w:t xml:space="preserve">, </w:t>
      </w:r>
      <w:proofErr w:type="spellStart"/>
      <w:r w:rsidR="00323010" w:rsidRPr="00323010">
        <w:rPr>
          <w:rFonts w:ascii="Times New Roman" w:hAnsi="Times New Roman"/>
          <w:lang w:val="pt-BR"/>
        </w:rPr>
        <w:t>x+y</w:t>
      </w:r>
      <w:proofErr w:type="spellEnd"/>
      <w:r w:rsidR="00323010" w:rsidRPr="00323010">
        <w:rPr>
          <w:rFonts w:ascii="Times New Roman" w:hAnsi="Times New Roman"/>
          <w:lang w:val="pt-BR"/>
        </w:rPr>
        <w:t>=3</w:t>
      </w:r>
      <w:r w:rsidR="00323010">
        <w:rPr>
          <w:rFonts w:ascii="Times New Roman" w:hAnsi="Times New Roman"/>
          <w:lang w:val="pt-BR"/>
        </w:rPr>
        <w:t xml:space="preserve"> (Sigma Aldrich, Estados Unidos). </w:t>
      </w:r>
      <w:r w:rsidR="0032544E">
        <w:rPr>
          <w:rFonts w:ascii="Times New Roman" w:hAnsi="Times New Roman"/>
          <w:lang w:val="pt-BR"/>
        </w:rPr>
        <w:t>Então,</w:t>
      </w:r>
      <w:r w:rsidR="00323010">
        <w:rPr>
          <w:rFonts w:ascii="Times New Roman" w:hAnsi="Times New Roman"/>
          <w:lang w:val="pt-BR"/>
        </w:rPr>
        <w:t xml:space="preserve"> os catalisadores foram secos estufa a 100 °C durante a noite e calcinados a 500° C (10 °C.min</w:t>
      </w:r>
      <w:r w:rsidR="00323010">
        <w:rPr>
          <w:rFonts w:ascii="Times New Roman" w:hAnsi="Times New Roman"/>
          <w:vertAlign w:val="superscript"/>
          <w:lang w:val="pt-BR"/>
        </w:rPr>
        <w:t>-1</w:t>
      </w:r>
      <w:r w:rsidR="00323010">
        <w:rPr>
          <w:rFonts w:ascii="Times New Roman" w:hAnsi="Times New Roman"/>
          <w:lang w:val="pt-BR"/>
        </w:rPr>
        <w:t xml:space="preserve">) durante 4 h. </w:t>
      </w:r>
      <w:r w:rsidR="005B7DDB">
        <w:rPr>
          <w:rFonts w:ascii="Times New Roman" w:hAnsi="Times New Roman"/>
          <w:lang w:val="pt-BR"/>
        </w:rPr>
        <w:t xml:space="preserve">Estudos prévios mostraram que o HPW </w:t>
      </w:r>
      <w:r w:rsidR="00CE6F06">
        <w:rPr>
          <w:rFonts w:ascii="Times New Roman" w:hAnsi="Times New Roman"/>
          <w:lang w:val="pt-BR"/>
        </w:rPr>
        <w:t xml:space="preserve">mássico </w:t>
      </w:r>
      <w:r w:rsidR="005B7DDB">
        <w:rPr>
          <w:rFonts w:ascii="Times New Roman" w:hAnsi="Times New Roman"/>
          <w:lang w:val="pt-BR"/>
        </w:rPr>
        <w:t xml:space="preserve">é estável ao menos até </w:t>
      </w:r>
      <w:r w:rsidR="00527A0F">
        <w:rPr>
          <w:rFonts w:ascii="Times New Roman" w:hAnsi="Times New Roman"/>
          <w:lang w:val="pt-BR"/>
        </w:rPr>
        <w:t>8</w:t>
      </w:r>
      <w:r w:rsidR="005B7DDB">
        <w:rPr>
          <w:rFonts w:ascii="Times New Roman" w:hAnsi="Times New Roman"/>
          <w:lang w:val="pt-BR"/>
        </w:rPr>
        <w:t>00</w:t>
      </w:r>
      <w:r w:rsidR="005B7DDB" w:rsidRPr="00CE6F06">
        <w:rPr>
          <w:rFonts w:ascii="Times New Roman" w:hAnsi="Times New Roman"/>
          <w:vertAlign w:val="superscript"/>
          <w:lang w:val="pt-BR"/>
        </w:rPr>
        <w:t>o</w:t>
      </w:r>
      <w:r w:rsidR="005B7DDB">
        <w:rPr>
          <w:rFonts w:ascii="Times New Roman" w:hAnsi="Times New Roman"/>
          <w:lang w:val="pt-BR"/>
        </w:rPr>
        <w:t>C (</w:t>
      </w:r>
      <w:r w:rsidR="00CC29DA">
        <w:rPr>
          <w:rFonts w:ascii="Times New Roman" w:hAnsi="Times New Roman"/>
          <w:lang w:val="pt-BR"/>
        </w:rPr>
        <w:t>9</w:t>
      </w:r>
      <w:r w:rsidR="005B7DDB">
        <w:rPr>
          <w:rFonts w:ascii="Times New Roman" w:hAnsi="Times New Roman"/>
          <w:lang w:val="pt-BR"/>
        </w:rPr>
        <w:t xml:space="preserve">). </w:t>
      </w:r>
      <w:r w:rsidR="00323010">
        <w:rPr>
          <w:rFonts w:ascii="Times New Roman" w:hAnsi="Times New Roman"/>
          <w:lang w:val="pt-BR"/>
        </w:rPr>
        <w:t xml:space="preserve">Os catalisadores sintetizados foram denominados como </w:t>
      </w:r>
      <w:proofErr w:type="spellStart"/>
      <w:r w:rsidR="00323010" w:rsidRPr="000C2CAA">
        <w:rPr>
          <w:rFonts w:ascii="Times New Roman" w:hAnsi="Times New Roman"/>
          <w:bCs/>
          <w:lang w:val="pt-BR"/>
        </w:rPr>
        <w:t>RuSiralHPW</w:t>
      </w:r>
      <w:proofErr w:type="spellEnd"/>
      <w:r w:rsidR="00323010" w:rsidRPr="000C2CAA">
        <w:rPr>
          <w:rFonts w:ascii="Times New Roman" w:hAnsi="Times New Roman"/>
          <w:lang w:val="pt-BR"/>
        </w:rPr>
        <w:t xml:space="preserve">, </w:t>
      </w:r>
      <w:proofErr w:type="gramStart"/>
      <w:r w:rsidR="00323010" w:rsidRPr="000C2CAA">
        <w:rPr>
          <w:rFonts w:ascii="Times New Roman" w:hAnsi="Times New Roman"/>
          <w:bCs/>
          <w:lang w:val="pt-BR"/>
        </w:rPr>
        <w:t>Ru(</w:t>
      </w:r>
      <w:proofErr w:type="gramEnd"/>
      <w:r w:rsidR="00323010" w:rsidRPr="000C2CAA">
        <w:rPr>
          <w:rFonts w:ascii="Times New Roman" w:hAnsi="Times New Roman"/>
          <w:bCs/>
          <w:lang w:val="pt-BR"/>
        </w:rPr>
        <w:t>NO)</w:t>
      </w:r>
      <w:proofErr w:type="spellStart"/>
      <w:r w:rsidR="00323010" w:rsidRPr="000C2CAA">
        <w:rPr>
          <w:rFonts w:ascii="Times New Roman" w:hAnsi="Times New Roman"/>
          <w:bCs/>
          <w:lang w:val="pt-BR"/>
        </w:rPr>
        <w:t>SiralHPW</w:t>
      </w:r>
      <w:proofErr w:type="spellEnd"/>
      <w:r w:rsidR="00323010" w:rsidRPr="000C2CAA">
        <w:rPr>
          <w:rFonts w:ascii="Times New Roman" w:hAnsi="Times New Roman"/>
          <w:lang w:val="pt-BR"/>
        </w:rPr>
        <w:t xml:space="preserve"> (</w:t>
      </w:r>
      <w:r w:rsidR="0032544E" w:rsidRPr="000C2CAA">
        <w:rPr>
          <w:rFonts w:ascii="Times New Roman" w:hAnsi="Times New Roman"/>
          <w:lang w:val="pt-BR"/>
        </w:rPr>
        <w:t>p</w:t>
      </w:r>
      <w:r w:rsidR="007C7654" w:rsidRPr="000C2CAA">
        <w:rPr>
          <w:rFonts w:ascii="Times New Roman" w:hAnsi="Times New Roman"/>
          <w:lang w:val="pt-BR"/>
        </w:rPr>
        <w:t>recursor Ru(NO)(NO</w:t>
      </w:r>
      <w:r w:rsidR="007C7654" w:rsidRPr="000C2CAA">
        <w:rPr>
          <w:rFonts w:ascii="Times New Roman" w:hAnsi="Times New Roman"/>
          <w:vertAlign w:val="subscript"/>
          <w:lang w:val="pt-BR"/>
        </w:rPr>
        <w:t>3</w:t>
      </w:r>
      <w:r w:rsidR="007C7654" w:rsidRPr="000C2CAA">
        <w:rPr>
          <w:rFonts w:ascii="Times New Roman" w:hAnsi="Times New Roman"/>
          <w:lang w:val="pt-BR"/>
        </w:rPr>
        <w:t>)</w:t>
      </w:r>
      <w:r w:rsidR="007C7654" w:rsidRPr="000C2CAA">
        <w:rPr>
          <w:rFonts w:ascii="Times New Roman" w:hAnsi="Times New Roman"/>
          <w:vertAlign w:val="subscript"/>
          <w:lang w:val="pt-BR"/>
        </w:rPr>
        <w:t>x</w:t>
      </w:r>
      <w:r w:rsidR="007C7654" w:rsidRPr="000C2CAA">
        <w:rPr>
          <w:rFonts w:ascii="Times New Roman" w:hAnsi="Times New Roman"/>
          <w:lang w:val="pt-BR"/>
        </w:rPr>
        <w:t>(OH)</w:t>
      </w:r>
      <w:r w:rsidR="007C7654" w:rsidRPr="000C2CAA">
        <w:rPr>
          <w:rFonts w:ascii="Times New Roman" w:hAnsi="Times New Roman"/>
          <w:vertAlign w:val="subscript"/>
          <w:lang w:val="pt-BR"/>
        </w:rPr>
        <w:t>y</w:t>
      </w:r>
      <w:r w:rsidR="007C7654" w:rsidRPr="000C2CAA">
        <w:rPr>
          <w:rFonts w:ascii="Times New Roman" w:hAnsi="Times New Roman"/>
          <w:lang w:val="pt-BR"/>
        </w:rPr>
        <w:t xml:space="preserve">), </w:t>
      </w:r>
      <w:proofErr w:type="spellStart"/>
      <w:r w:rsidR="007C7654" w:rsidRPr="000C2CAA">
        <w:rPr>
          <w:rFonts w:ascii="Times New Roman" w:hAnsi="Times New Roman"/>
          <w:bCs/>
          <w:lang w:val="pt-BR"/>
        </w:rPr>
        <w:t>PdSiralHPW</w:t>
      </w:r>
      <w:proofErr w:type="spellEnd"/>
      <w:r w:rsidR="007C7654" w:rsidRPr="000C2CAA">
        <w:rPr>
          <w:rFonts w:ascii="Times New Roman" w:hAnsi="Times New Roman"/>
          <w:lang w:val="pt-BR"/>
        </w:rPr>
        <w:t xml:space="preserve"> e </w:t>
      </w:r>
      <w:proofErr w:type="spellStart"/>
      <w:r w:rsidR="007C7654" w:rsidRPr="000C2CAA">
        <w:rPr>
          <w:rFonts w:ascii="Times New Roman" w:hAnsi="Times New Roman"/>
          <w:bCs/>
          <w:lang w:val="pt-BR"/>
        </w:rPr>
        <w:t>PdRuSiralHPW</w:t>
      </w:r>
      <w:proofErr w:type="spellEnd"/>
      <w:r w:rsidR="007C7654" w:rsidRPr="000C2CAA">
        <w:rPr>
          <w:rFonts w:ascii="Times New Roman" w:hAnsi="Times New Roman"/>
          <w:lang w:val="pt-BR"/>
        </w:rPr>
        <w:t>.</w:t>
      </w:r>
    </w:p>
    <w:p w14:paraId="40F48C09" w14:textId="77777777" w:rsidR="00D1468A" w:rsidRPr="001F25B2" w:rsidRDefault="00D1468A" w:rsidP="00B5369C">
      <w:pPr>
        <w:pStyle w:val="TAMainText"/>
        <w:ind w:firstLine="0"/>
        <w:rPr>
          <w:rFonts w:ascii="Times New Roman" w:hAnsi="Times New Roman"/>
          <w:i/>
          <w:lang w:val="pt-BR"/>
        </w:rPr>
      </w:pPr>
      <w:proofErr w:type="spellStart"/>
      <w:r>
        <w:rPr>
          <w:rFonts w:ascii="Times New Roman" w:hAnsi="Times New Roman"/>
          <w:i/>
          <w:lang w:val="pt-BR"/>
        </w:rPr>
        <w:t>Fisissorção</w:t>
      </w:r>
      <w:proofErr w:type="spellEnd"/>
      <w:r>
        <w:rPr>
          <w:rFonts w:ascii="Times New Roman" w:hAnsi="Times New Roman"/>
          <w:i/>
          <w:lang w:val="pt-BR"/>
        </w:rPr>
        <w:t xml:space="preserve"> de N</w:t>
      </w:r>
      <w:r>
        <w:rPr>
          <w:rFonts w:ascii="Times New Roman" w:hAnsi="Times New Roman"/>
          <w:i/>
          <w:vertAlign w:val="subscript"/>
          <w:lang w:val="pt-BR"/>
        </w:rPr>
        <w:t>2</w:t>
      </w:r>
    </w:p>
    <w:p w14:paraId="00ACF9E8" w14:textId="77777777" w:rsidR="002F7CBD" w:rsidRPr="004055DB" w:rsidRDefault="0032544E" w:rsidP="00667097">
      <w:pPr>
        <w:pStyle w:val="TAMainText"/>
        <w:ind w:firstLine="204"/>
        <w:rPr>
          <w:rFonts w:ascii="Times New Roman" w:hAnsi="Times New Roman"/>
          <w:lang w:val="pt-BR"/>
        </w:rPr>
      </w:pPr>
      <w:r>
        <w:rPr>
          <w:rFonts w:ascii="Times New Roman" w:hAnsi="Times New Roman"/>
          <w:lang w:val="pt-BR"/>
        </w:rPr>
        <w:t xml:space="preserve">A análise </w:t>
      </w:r>
      <w:proofErr w:type="spellStart"/>
      <w:r>
        <w:rPr>
          <w:rFonts w:ascii="Times New Roman" w:hAnsi="Times New Roman"/>
          <w:lang w:val="pt-BR"/>
        </w:rPr>
        <w:t>textural</w:t>
      </w:r>
      <w:proofErr w:type="spellEnd"/>
      <w:r>
        <w:rPr>
          <w:rFonts w:ascii="Times New Roman" w:hAnsi="Times New Roman"/>
          <w:lang w:val="pt-BR"/>
        </w:rPr>
        <w:t xml:space="preserve"> dos c</w:t>
      </w:r>
      <w:r w:rsidR="002F7CBD">
        <w:rPr>
          <w:rFonts w:ascii="Times New Roman" w:hAnsi="Times New Roman"/>
          <w:lang w:val="pt-BR"/>
        </w:rPr>
        <w:t>atalisador</w:t>
      </w:r>
      <w:r>
        <w:rPr>
          <w:rFonts w:ascii="Times New Roman" w:hAnsi="Times New Roman"/>
          <w:lang w:val="pt-BR"/>
        </w:rPr>
        <w:t>es</w:t>
      </w:r>
      <w:r w:rsidR="002F7CBD">
        <w:rPr>
          <w:rFonts w:ascii="Times New Roman" w:hAnsi="Times New Roman"/>
          <w:lang w:val="pt-BR"/>
        </w:rPr>
        <w:t xml:space="preserve"> foi </w:t>
      </w:r>
      <w:r>
        <w:rPr>
          <w:rFonts w:ascii="Times New Roman" w:hAnsi="Times New Roman"/>
          <w:lang w:val="pt-BR"/>
        </w:rPr>
        <w:t>obtida p</w:t>
      </w:r>
      <w:r w:rsidR="00D26809">
        <w:rPr>
          <w:rFonts w:ascii="Times New Roman" w:hAnsi="Times New Roman"/>
          <w:lang w:val="pt-BR"/>
        </w:rPr>
        <w:t>or</w:t>
      </w:r>
      <w:r w:rsidR="002F7CBD">
        <w:rPr>
          <w:rFonts w:ascii="Times New Roman" w:hAnsi="Times New Roman"/>
          <w:lang w:val="pt-BR"/>
        </w:rPr>
        <w:t xml:space="preserve"> </w:t>
      </w:r>
      <w:proofErr w:type="spellStart"/>
      <w:r w:rsidR="002F7CBD">
        <w:rPr>
          <w:rFonts w:ascii="Times New Roman" w:hAnsi="Times New Roman"/>
          <w:lang w:val="pt-BR"/>
        </w:rPr>
        <w:t>fisissorção</w:t>
      </w:r>
      <w:proofErr w:type="spellEnd"/>
      <w:r w:rsidR="002F7CBD">
        <w:rPr>
          <w:rFonts w:ascii="Times New Roman" w:hAnsi="Times New Roman"/>
          <w:lang w:val="pt-BR"/>
        </w:rPr>
        <w:t xml:space="preserve"> de N</w:t>
      </w:r>
      <w:r w:rsidR="002F7CBD">
        <w:rPr>
          <w:rFonts w:ascii="Times New Roman" w:hAnsi="Times New Roman"/>
          <w:vertAlign w:val="subscript"/>
          <w:lang w:val="pt-BR"/>
        </w:rPr>
        <w:t>2</w:t>
      </w:r>
      <w:r w:rsidR="002F7CBD">
        <w:rPr>
          <w:rFonts w:ascii="Times New Roman" w:hAnsi="Times New Roman"/>
          <w:lang w:val="pt-BR"/>
        </w:rPr>
        <w:t xml:space="preserve"> através de um equipamento ASAP 2020</w:t>
      </w:r>
      <w:r w:rsidR="00D26809">
        <w:rPr>
          <w:rFonts w:ascii="Times New Roman" w:hAnsi="Times New Roman"/>
          <w:lang w:val="pt-BR"/>
        </w:rPr>
        <w:t xml:space="preserve"> da Micromeritics</w:t>
      </w:r>
      <w:r>
        <w:rPr>
          <w:rFonts w:ascii="Times New Roman" w:hAnsi="Times New Roman"/>
          <w:lang w:val="pt-BR"/>
        </w:rPr>
        <w:t>.</w:t>
      </w:r>
      <w:r w:rsidR="002F7CBD">
        <w:rPr>
          <w:rFonts w:ascii="Times New Roman" w:hAnsi="Times New Roman"/>
          <w:lang w:val="pt-BR"/>
        </w:rPr>
        <w:t xml:space="preserve"> </w:t>
      </w:r>
      <w:r>
        <w:rPr>
          <w:rFonts w:ascii="Times New Roman" w:hAnsi="Times New Roman"/>
          <w:lang w:val="pt-BR"/>
        </w:rPr>
        <w:t>A</w:t>
      </w:r>
      <w:r w:rsidR="002F7CBD">
        <w:rPr>
          <w:rFonts w:ascii="Times New Roman" w:hAnsi="Times New Roman"/>
          <w:lang w:val="pt-BR"/>
        </w:rPr>
        <w:t xml:space="preserve">s amostras foram submetidas a um pré-tratamento térmico sob vácuo, a 150 °C, por 3 horas. Os valores de área específica </w:t>
      </w:r>
      <w:r w:rsidR="00177699">
        <w:rPr>
          <w:rFonts w:ascii="Times New Roman" w:hAnsi="Times New Roman"/>
          <w:lang w:val="pt-BR"/>
        </w:rPr>
        <w:t>e volume e diâmetro de poros foram obtidos</w:t>
      </w:r>
      <w:r w:rsidR="002F7CBD">
        <w:rPr>
          <w:rFonts w:ascii="Times New Roman" w:hAnsi="Times New Roman"/>
          <w:lang w:val="pt-BR"/>
        </w:rPr>
        <w:t xml:space="preserve"> </w:t>
      </w:r>
      <w:r w:rsidR="00177699">
        <w:rPr>
          <w:rFonts w:ascii="Times New Roman" w:hAnsi="Times New Roman"/>
          <w:lang w:val="pt-BR"/>
        </w:rPr>
        <w:t xml:space="preserve">pelos </w:t>
      </w:r>
      <w:r w:rsidR="002F7CBD">
        <w:rPr>
          <w:rFonts w:ascii="Times New Roman" w:hAnsi="Times New Roman"/>
          <w:lang w:val="pt-BR"/>
        </w:rPr>
        <w:t>método</w:t>
      </w:r>
      <w:r w:rsidR="00177699">
        <w:rPr>
          <w:rFonts w:ascii="Times New Roman" w:hAnsi="Times New Roman"/>
          <w:lang w:val="pt-BR"/>
        </w:rPr>
        <w:t>s</w:t>
      </w:r>
      <w:r w:rsidR="002F7CBD">
        <w:rPr>
          <w:rFonts w:ascii="Times New Roman" w:hAnsi="Times New Roman"/>
          <w:lang w:val="pt-BR"/>
        </w:rPr>
        <w:t xml:space="preserve"> BET </w:t>
      </w:r>
      <w:r w:rsidR="00177699">
        <w:rPr>
          <w:rFonts w:ascii="Times New Roman" w:hAnsi="Times New Roman"/>
          <w:lang w:val="pt-BR"/>
        </w:rPr>
        <w:t xml:space="preserve">e BJH, respectivamente, </w:t>
      </w:r>
      <w:r w:rsidR="002F7CBD">
        <w:rPr>
          <w:rFonts w:ascii="Times New Roman" w:hAnsi="Times New Roman"/>
          <w:lang w:val="pt-BR"/>
        </w:rPr>
        <w:t>com adsorção de N</w:t>
      </w:r>
      <w:r w:rsidR="002F7CBD">
        <w:rPr>
          <w:rFonts w:ascii="Times New Roman" w:hAnsi="Times New Roman"/>
          <w:vertAlign w:val="subscript"/>
          <w:lang w:val="pt-BR"/>
        </w:rPr>
        <w:t>2</w:t>
      </w:r>
      <w:r w:rsidR="002F7CBD">
        <w:rPr>
          <w:rFonts w:ascii="Times New Roman" w:hAnsi="Times New Roman"/>
          <w:lang w:val="pt-BR"/>
        </w:rPr>
        <w:t xml:space="preserve"> </w:t>
      </w:r>
      <w:r w:rsidR="00D26809">
        <w:rPr>
          <w:rFonts w:ascii="Times New Roman" w:hAnsi="Times New Roman"/>
          <w:lang w:val="pt-BR"/>
        </w:rPr>
        <w:t>a</w:t>
      </w:r>
      <w:r w:rsidR="002F7CBD">
        <w:rPr>
          <w:rFonts w:ascii="Times New Roman" w:hAnsi="Times New Roman"/>
          <w:lang w:val="pt-BR"/>
        </w:rPr>
        <w:t xml:space="preserve"> -196 °C.</w:t>
      </w:r>
    </w:p>
    <w:p w14:paraId="06FBFB72" w14:textId="77777777" w:rsidR="002F7CBD" w:rsidRPr="001F25B2" w:rsidRDefault="002F7CBD" w:rsidP="00B5369C">
      <w:pPr>
        <w:pStyle w:val="TAMainText"/>
        <w:ind w:firstLine="0"/>
        <w:rPr>
          <w:rFonts w:ascii="Times New Roman" w:hAnsi="Times New Roman"/>
          <w:i/>
          <w:lang w:val="pt-BR"/>
        </w:rPr>
      </w:pPr>
      <w:r>
        <w:rPr>
          <w:rFonts w:ascii="Times New Roman" w:hAnsi="Times New Roman"/>
          <w:i/>
          <w:lang w:val="pt-BR"/>
        </w:rPr>
        <w:t>Espectroscopia por Reflectância Difusa (DRS)</w:t>
      </w:r>
      <w:r w:rsidRPr="001F25B2">
        <w:rPr>
          <w:rFonts w:ascii="Times New Roman" w:hAnsi="Times New Roman"/>
          <w:i/>
          <w:lang w:val="pt-BR"/>
        </w:rPr>
        <w:t>.</w:t>
      </w:r>
    </w:p>
    <w:p w14:paraId="0BEA06CE" w14:textId="77777777" w:rsidR="00740450" w:rsidRDefault="002F7CBD" w:rsidP="00667097">
      <w:pPr>
        <w:pStyle w:val="TAMainText"/>
        <w:ind w:firstLine="204"/>
        <w:rPr>
          <w:rFonts w:ascii="Times New Roman" w:hAnsi="Times New Roman"/>
          <w:lang w:val="pt-BR"/>
        </w:rPr>
      </w:pPr>
      <w:r>
        <w:rPr>
          <w:rFonts w:ascii="Times New Roman" w:hAnsi="Times New Roman"/>
          <w:lang w:val="pt-BR"/>
        </w:rPr>
        <w:t xml:space="preserve">A espectroscopia por reflectância difusa foi realizada em um espectrofotômetro </w:t>
      </w:r>
      <w:r w:rsidRPr="002F7CBD">
        <w:rPr>
          <w:rFonts w:ascii="Times New Roman" w:hAnsi="Times New Roman"/>
          <w:lang w:val="pt-BR"/>
        </w:rPr>
        <w:t xml:space="preserve">Varian Cary 5 com faixa de varredura no UV-VIS, com acessório de refletância difusa </w:t>
      </w:r>
      <w:proofErr w:type="spellStart"/>
      <w:r w:rsidRPr="002F7CBD">
        <w:rPr>
          <w:rFonts w:ascii="Times New Roman" w:hAnsi="Times New Roman"/>
          <w:lang w:val="pt-BR"/>
        </w:rPr>
        <w:t>Harrick</w:t>
      </w:r>
      <w:proofErr w:type="spellEnd"/>
      <w:r w:rsidRPr="002F7CBD">
        <w:rPr>
          <w:rFonts w:ascii="Times New Roman" w:hAnsi="Times New Roman"/>
          <w:lang w:val="pt-BR"/>
        </w:rPr>
        <w:t xml:space="preserve"> de geometria </w:t>
      </w:r>
      <w:proofErr w:type="spellStart"/>
      <w:r w:rsidRPr="002F7CBD">
        <w:rPr>
          <w:rFonts w:ascii="Times New Roman" w:hAnsi="Times New Roman"/>
          <w:lang w:val="pt-BR"/>
        </w:rPr>
        <w:t>Praying</w:t>
      </w:r>
      <w:proofErr w:type="spellEnd"/>
      <w:r w:rsidRPr="002F7CBD">
        <w:rPr>
          <w:rFonts w:ascii="Times New Roman" w:hAnsi="Times New Roman"/>
          <w:lang w:val="pt-BR"/>
        </w:rPr>
        <w:t xml:space="preserve"> Mantis</w:t>
      </w:r>
      <w:r w:rsidR="00A9310C">
        <w:rPr>
          <w:rFonts w:ascii="Times New Roman" w:hAnsi="Times New Roman"/>
          <w:lang w:val="pt-BR"/>
        </w:rPr>
        <w:t>.</w:t>
      </w:r>
      <w:r w:rsidR="00A9310C" w:rsidRPr="00A9310C">
        <w:rPr>
          <w:lang w:val="pt-BR"/>
        </w:rPr>
        <w:t xml:space="preserve"> </w:t>
      </w:r>
      <w:r w:rsidR="00A9310C" w:rsidRPr="00A9310C">
        <w:rPr>
          <w:rFonts w:ascii="Times New Roman" w:hAnsi="Times New Roman"/>
          <w:lang w:val="pt-BR"/>
        </w:rPr>
        <w:t>Os espectros foram obtidos utilizando a função F(R) da teoria de Schuster-</w:t>
      </w:r>
      <w:proofErr w:type="spellStart"/>
      <w:r w:rsidR="00A9310C" w:rsidRPr="00A9310C">
        <w:rPr>
          <w:rFonts w:ascii="Times New Roman" w:hAnsi="Times New Roman"/>
          <w:lang w:val="pt-BR"/>
        </w:rPr>
        <w:t>Kubelka</w:t>
      </w:r>
      <w:proofErr w:type="spellEnd"/>
      <w:r w:rsidR="00A9310C" w:rsidRPr="00A9310C">
        <w:rPr>
          <w:rFonts w:ascii="Times New Roman" w:hAnsi="Times New Roman"/>
          <w:lang w:val="pt-BR"/>
        </w:rPr>
        <w:t>-</w:t>
      </w:r>
      <w:proofErr w:type="spellStart"/>
      <w:r w:rsidR="00A9310C" w:rsidRPr="00A9310C">
        <w:rPr>
          <w:rFonts w:ascii="Times New Roman" w:hAnsi="Times New Roman"/>
          <w:lang w:val="pt-BR"/>
        </w:rPr>
        <w:t>Munk</w:t>
      </w:r>
      <w:proofErr w:type="spellEnd"/>
      <w:r w:rsidR="00A9310C" w:rsidRPr="00A9310C">
        <w:rPr>
          <w:rFonts w:ascii="Times New Roman" w:hAnsi="Times New Roman"/>
          <w:lang w:val="pt-BR"/>
        </w:rPr>
        <w:t xml:space="preserve"> (SKM)</w:t>
      </w:r>
      <w:r w:rsidR="00D26809">
        <w:rPr>
          <w:rFonts w:ascii="Times New Roman" w:hAnsi="Times New Roman"/>
          <w:lang w:val="pt-BR"/>
        </w:rPr>
        <w:t>.</w:t>
      </w:r>
      <w:r w:rsidR="00A9310C" w:rsidRPr="00A9310C">
        <w:rPr>
          <w:rFonts w:ascii="Times New Roman" w:hAnsi="Times New Roman"/>
          <w:lang w:val="pt-BR"/>
        </w:rPr>
        <w:t xml:space="preserve"> Foi utilizado BaSO</w:t>
      </w:r>
      <w:r w:rsidR="00A9310C" w:rsidRPr="00A9310C">
        <w:rPr>
          <w:rFonts w:ascii="Times New Roman" w:hAnsi="Times New Roman"/>
          <w:vertAlign w:val="subscript"/>
          <w:lang w:val="pt-BR"/>
        </w:rPr>
        <w:t>4</w:t>
      </w:r>
      <w:r w:rsidR="00A9310C" w:rsidRPr="00A9310C">
        <w:rPr>
          <w:rFonts w:ascii="Times New Roman" w:hAnsi="Times New Roman"/>
          <w:lang w:val="pt-BR"/>
        </w:rPr>
        <w:t xml:space="preserve"> como referência</w:t>
      </w:r>
      <w:r w:rsidR="00F83FB9">
        <w:rPr>
          <w:rFonts w:ascii="Times New Roman" w:hAnsi="Times New Roman"/>
          <w:lang w:val="pt-BR"/>
        </w:rPr>
        <w:t xml:space="preserve"> para o suporte </w:t>
      </w:r>
      <w:proofErr w:type="spellStart"/>
      <w:r w:rsidR="00F83FB9">
        <w:rPr>
          <w:rFonts w:ascii="Times New Roman" w:hAnsi="Times New Roman"/>
          <w:lang w:val="pt-BR"/>
        </w:rPr>
        <w:t>Siral</w:t>
      </w:r>
      <w:proofErr w:type="spellEnd"/>
      <w:r w:rsidR="00F83FB9">
        <w:rPr>
          <w:rFonts w:ascii="Times New Roman" w:hAnsi="Times New Roman"/>
          <w:lang w:val="pt-BR"/>
        </w:rPr>
        <w:t xml:space="preserve">. Para o suporte </w:t>
      </w:r>
      <w:proofErr w:type="spellStart"/>
      <w:r w:rsidR="00F83FB9">
        <w:rPr>
          <w:rFonts w:ascii="Times New Roman" w:hAnsi="Times New Roman"/>
          <w:lang w:val="pt-BR"/>
        </w:rPr>
        <w:t>SiralHPW</w:t>
      </w:r>
      <w:proofErr w:type="spellEnd"/>
      <w:r w:rsidR="00F83FB9">
        <w:rPr>
          <w:rFonts w:ascii="Times New Roman" w:hAnsi="Times New Roman"/>
          <w:lang w:val="pt-BR"/>
        </w:rPr>
        <w:t xml:space="preserve"> foi utilizado o suporte </w:t>
      </w:r>
      <w:proofErr w:type="spellStart"/>
      <w:r w:rsidR="00F83FB9">
        <w:rPr>
          <w:rFonts w:ascii="Times New Roman" w:hAnsi="Times New Roman"/>
          <w:lang w:val="pt-BR"/>
        </w:rPr>
        <w:t>Siral</w:t>
      </w:r>
      <w:proofErr w:type="spellEnd"/>
      <w:r w:rsidR="00F83FB9">
        <w:rPr>
          <w:rFonts w:ascii="Times New Roman" w:hAnsi="Times New Roman"/>
          <w:lang w:val="pt-BR"/>
        </w:rPr>
        <w:t xml:space="preserve"> como referência. E o </w:t>
      </w:r>
      <w:proofErr w:type="spellStart"/>
      <w:r w:rsidR="00F83FB9">
        <w:rPr>
          <w:rFonts w:ascii="Times New Roman" w:hAnsi="Times New Roman"/>
          <w:lang w:val="pt-BR"/>
        </w:rPr>
        <w:t>SiralHPW</w:t>
      </w:r>
      <w:proofErr w:type="spellEnd"/>
      <w:r w:rsidR="00F83FB9">
        <w:rPr>
          <w:rFonts w:ascii="Times New Roman" w:hAnsi="Times New Roman"/>
          <w:lang w:val="pt-BR"/>
        </w:rPr>
        <w:t xml:space="preserve"> foi utilizado como referência para os catalisadores com </w:t>
      </w:r>
      <w:proofErr w:type="spellStart"/>
      <w:r w:rsidR="00F83FB9">
        <w:rPr>
          <w:rFonts w:ascii="Times New Roman" w:hAnsi="Times New Roman"/>
          <w:lang w:val="pt-BR"/>
        </w:rPr>
        <w:t>Pd</w:t>
      </w:r>
      <w:proofErr w:type="spellEnd"/>
      <w:r w:rsidR="00F83FB9">
        <w:rPr>
          <w:rFonts w:ascii="Times New Roman" w:hAnsi="Times New Roman"/>
          <w:lang w:val="pt-BR"/>
        </w:rPr>
        <w:t xml:space="preserve"> e Ru</w:t>
      </w:r>
      <w:r w:rsidR="00A9310C" w:rsidRPr="00A9310C">
        <w:rPr>
          <w:rFonts w:ascii="Times New Roman" w:hAnsi="Times New Roman"/>
          <w:lang w:val="pt-BR"/>
        </w:rPr>
        <w:t>.</w:t>
      </w:r>
      <w:r w:rsidR="00A9310C">
        <w:rPr>
          <w:rFonts w:ascii="Times New Roman" w:hAnsi="Times New Roman"/>
          <w:lang w:val="pt-BR"/>
        </w:rPr>
        <w:t xml:space="preserve"> </w:t>
      </w:r>
      <w:r w:rsidR="00A9310C" w:rsidRPr="00A9310C">
        <w:rPr>
          <w:rFonts w:ascii="Times New Roman" w:hAnsi="Times New Roman"/>
          <w:lang w:val="pt-BR"/>
        </w:rPr>
        <w:t xml:space="preserve">As amostras calcinadas foram analisadas na faixa de 800 a 200 </w:t>
      </w:r>
      <w:proofErr w:type="spellStart"/>
      <w:r w:rsidR="00A9310C" w:rsidRPr="00A9310C">
        <w:rPr>
          <w:rFonts w:ascii="Times New Roman" w:hAnsi="Times New Roman"/>
          <w:lang w:val="pt-BR"/>
        </w:rPr>
        <w:t>nm</w:t>
      </w:r>
      <w:proofErr w:type="spellEnd"/>
      <w:r w:rsidR="00A9310C" w:rsidRPr="00A9310C">
        <w:rPr>
          <w:rFonts w:ascii="Times New Roman" w:hAnsi="Times New Roman"/>
          <w:lang w:val="pt-BR"/>
        </w:rPr>
        <w:t xml:space="preserve"> (UV-VIS).</w:t>
      </w:r>
    </w:p>
    <w:p w14:paraId="2C13C944" w14:textId="77777777" w:rsidR="00740450" w:rsidRPr="001F25B2" w:rsidRDefault="00D81324" w:rsidP="00B5369C">
      <w:pPr>
        <w:pStyle w:val="TAMainText"/>
        <w:ind w:firstLine="0"/>
        <w:rPr>
          <w:rFonts w:ascii="Times New Roman" w:hAnsi="Times New Roman"/>
          <w:i/>
          <w:lang w:val="pt-BR"/>
        </w:rPr>
      </w:pPr>
      <w:r>
        <w:rPr>
          <w:rFonts w:ascii="Times New Roman" w:hAnsi="Times New Roman"/>
          <w:i/>
          <w:lang w:val="pt-BR"/>
        </w:rPr>
        <w:t>Difração de Raios-X (DRX)</w:t>
      </w:r>
      <w:r w:rsidR="00740450" w:rsidRPr="001F25B2">
        <w:rPr>
          <w:rFonts w:ascii="Times New Roman" w:hAnsi="Times New Roman"/>
          <w:i/>
          <w:lang w:val="pt-BR"/>
        </w:rPr>
        <w:t>.</w:t>
      </w:r>
    </w:p>
    <w:p w14:paraId="0E1D0F49" w14:textId="77777777" w:rsidR="00D81324" w:rsidRDefault="00D26809" w:rsidP="00667097">
      <w:pPr>
        <w:pStyle w:val="TAMainText"/>
        <w:ind w:firstLine="204"/>
        <w:rPr>
          <w:rFonts w:ascii="Times New Roman" w:hAnsi="Times New Roman"/>
          <w:lang w:val="pt-BR"/>
        </w:rPr>
      </w:pPr>
      <w:r>
        <w:rPr>
          <w:rFonts w:ascii="Times New Roman" w:hAnsi="Times New Roman"/>
          <w:lang w:val="pt-BR"/>
        </w:rPr>
        <w:t>O</w:t>
      </w:r>
      <w:r w:rsidR="00D81324">
        <w:rPr>
          <w:rFonts w:ascii="Times New Roman" w:hAnsi="Times New Roman"/>
          <w:lang w:val="pt-BR"/>
        </w:rPr>
        <w:t>s catalisadores foram estudad</w:t>
      </w:r>
      <w:r>
        <w:rPr>
          <w:rFonts w:ascii="Times New Roman" w:hAnsi="Times New Roman"/>
          <w:lang w:val="pt-BR"/>
        </w:rPr>
        <w:t>o</w:t>
      </w:r>
      <w:r w:rsidR="00D81324">
        <w:rPr>
          <w:rFonts w:ascii="Times New Roman" w:hAnsi="Times New Roman"/>
          <w:lang w:val="pt-BR"/>
        </w:rPr>
        <w:t xml:space="preserve">s </w:t>
      </w:r>
      <w:r>
        <w:rPr>
          <w:rFonts w:ascii="Times New Roman" w:hAnsi="Times New Roman"/>
          <w:lang w:val="pt-BR"/>
        </w:rPr>
        <w:t>n</w:t>
      </w:r>
      <w:r w:rsidR="00D81324">
        <w:rPr>
          <w:rFonts w:ascii="Times New Roman" w:hAnsi="Times New Roman"/>
          <w:lang w:val="pt-BR"/>
        </w:rPr>
        <w:t xml:space="preserve">um </w:t>
      </w:r>
      <w:proofErr w:type="spellStart"/>
      <w:r w:rsidR="00D81324">
        <w:rPr>
          <w:rFonts w:ascii="Times New Roman" w:hAnsi="Times New Roman"/>
          <w:lang w:val="pt-BR"/>
        </w:rPr>
        <w:t>Difratômetro</w:t>
      </w:r>
      <w:proofErr w:type="spellEnd"/>
      <w:r w:rsidR="00D81324">
        <w:rPr>
          <w:rFonts w:ascii="Times New Roman" w:hAnsi="Times New Roman"/>
          <w:lang w:val="pt-BR"/>
        </w:rPr>
        <w:t xml:space="preserve"> de Raios-X </w:t>
      </w:r>
      <w:proofErr w:type="spellStart"/>
      <w:r w:rsidR="00D81324">
        <w:rPr>
          <w:rFonts w:ascii="Times New Roman" w:hAnsi="Times New Roman"/>
          <w:lang w:val="pt-BR"/>
        </w:rPr>
        <w:t>Bruker</w:t>
      </w:r>
      <w:proofErr w:type="spellEnd"/>
      <w:r w:rsidR="00D81324">
        <w:rPr>
          <w:rFonts w:ascii="Times New Roman" w:hAnsi="Times New Roman"/>
          <w:lang w:val="pt-BR"/>
        </w:rPr>
        <w:t xml:space="preserve"> D8, utilizando radiação </w:t>
      </w:r>
      <w:proofErr w:type="spellStart"/>
      <w:r w:rsidR="00D81324">
        <w:rPr>
          <w:rFonts w:ascii="Times New Roman" w:hAnsi="Times New Roman"/>
          <w:lang w:val="pt-BR"/>
        </w:rPr>
        <w:t>CuK</w:t>
      </w:r>
      <w:proofErr w:type="spellEnd"/>
      <w:r w:rsidR="00D81324">
        <w:rPr>
          <w:rFonts w:ascii="Times New Roman" w:hAnsi="Times New Roman"/>
          <w:lang w:val="pt-BR"/>
        </w:rPr>
        <w:t xml:space="preserve">α, 30 </w:t>
      </w:r>
      <w:proofErr w:type="spellStart"/>
      <w:r w:rsidR="00D81324">
        <w:rPr>
          <w:rFonts w:ascii="Times New Roman" w:hAnsi="Times New Roman"/>
          <w:lang w:val="pt-BR"/>
        </w:rPr>
        <w:t>kv</w:t>
      </w:r>
      <w:proofErr w:type="spellEnd"/>
      <w:r w:rsidR="00D81324">
        <w:rPr>
          <w:rFonts w:ascii="Times New Roman" w:hAnsi="Times New Roman"/>
          <w:lang w:val="pt-BR"/>
        </w:rPr>
        <w:t xml:space="preserve"> e 15 mA e com medições feitas em 2θ variando de 10 à 90°, com passo de 0,02°.</w:t>
      </w:r>
    </w:p>
    <w:p w14:paraId="0BE009A0" w14:textId="77777777" w:rsidR="00D81324" w:rsidRPr="001F25B2" w:rsidRDefault="00D81324" w:rsidP="00B5369C">
      <w:pPr>
        <w:pStyle w:val="TAMainText"/>
        <w:ind w:firstLine="0"/>
        <w:rPr>
          <w:rFonts w:ascii="Times New Roman" w:hAnsi="Times New Roman"/>
          <w:i/>
          <w:lang w:val="pt-BR"/>
        </w:rPr>
      </w:pPr>
      <w:r>
        <w:rPr>
          <w:rFonts w:ascii="Times New Roman" w:hAnsi="Times New Roman"/>
          <w:i/>
          <w:lang w:val="pt-BR"/>
        </w:rPr>
        <w:t>Microscopia Eletrônica de Varredura (MEV)</w:t>
      </w:r>
      <w:r w:rsidRPr="001F25B2">
        <w:rPr>
          <w:rFonts w:ascii="Times New Roman" w:hAnsi="Times New Roman"/>
          <w:i/>
          <w:lang w:val="pt-BR"/>
        </w:rPr>
        <w:t>.</w:t>
      </w:r>
    </w:p>
    <w:p w14:paraId="2CDDED65" w14:textId="77777777" w:rsidR="002F7CBD" w:rsidRPr="002F7CBD" w:rsidRDefault="00916292" w:rsidP="00667097">
      <w:pPr>
        <w:pStyle w:val="TAMainText"/>
        <w:ind w:firstLine="204"/>
        <w:rPr>
          <w:rFonts w:ascii="Times New Roman" w:hAnsi="Times New Roman"/>
          <w:lang w:val="pt-BR"/>
        </w:rPr>
      </w:pPr>
      <w:r>
        <w:rPr>
          <w:rFonts w:ascii="Times New Roman" w:hAnsi="Times New Roman"/>
          <w:lang w:val="pt-BR"/>
        </w:rPr>
        <w:t xml:space="preserve">A análise </w:t>
      </w:r>
      <w:r w:rsidR="00D26809">
        <w:rPr>
          <w:rFonts w:ascii="Times New Roman" w:hAnsi="Times New Roman"/>
          <w:lang w:val="pt-BR"/>
        </w:rPr>
        <w:t xml:space="preserve">de MEV-EDS </w:t>
      </w:r>
      <w:r>
        <w:rPr>
          <w:rFonts w:ascii="Times New Roman" w:hAnsi="Times New Roman"/>
          <w:lang w:val="pt-BR"/>
        </w:rPr>
        <w:t xml:space="preserve">foi conduzida através de um </w:t>
      </w:r>
      <w:r w:rsidRPr="00916292">
        <w:rPr>
          <w:rFonts w:ascii="Times New Roman" w:hAnsi="Times New Roman"/>
          <w:lang w:val="pt-BR"/>
        </w:rPr>
        <w:t>Microscópio Eletrônico de</w:t>
      </w:r>
      <w:r>
        <w:rPr>
          <w:rFonts w:ascii="Times New Roman" w:hAnsi="Times New Roman"/>
          <w:lang w:val="pt-BR"/>
        </w:rPr>
        <w:t xml:space="preserve"> </w:t>
      </w:r>
      <w:r w:rsidRPr="00916292">
        <w:rPr>
          <w:rFonts w:ascii="Times New Roman" w:hAnsi="Times New Roman"/>
          <w:lang w:val="pt-BR"/>
        </w:rPr>
        <w:t>Varredura (MEV) Quanta FEG 450 FEI/Thermo</w:t>
      </w:r>
      <w:r>
        <w:rPr>
          <w:rFonts w:ascii="Times New Roman" w:hAnsi="Times New Roman"/>
          <w:lang w:val="pt-BR"/>
        </w:rPr>
        <w:t xml:space="preserve"> </w:t>
      </w:r>
      <w:r w:rsidRPr="00916292">
        <w:rPr>
          <w:rFonts w:ascii="Times New Roman" w:hAnsi="Times New Roman"/>
          <w:lang w:val="pt-BR"/>
        </w:rPr>
        <w:t>Fisher, com detector semiquantitativo EDS.</w:t>
      </w:r>
    </w:p>
    <w:p w14:paraId="58E9089B" w14:textId="77777777" w:rsidR="00A9387B" w:rsidRPr="001F25B2" w:rsidRDefault="00D81324" w:rsidP="00B5369C">
      <w:pPr>
        <w:pStyle w:val="TAMainText"/>
        <w:ind w:firstLine="0"/>
        <w:rPr>
          <w:rFonts w:ascii="Times New Roman" w:hAnsi="Times New Roman"/>
          <w:i/>
          <w:lang w:val="pt-BR"/>
        </w:rPr>
      </w:pPr>
      <w:r>
        <w:rPr>
          <w:rFonts w:ascii="Times New Roman" w:hAnsi="Times New Roman"/>
          <w:i/>
          <w:lang w:val="pt-BR"/>
        </w:rPr>
        <w:t xml:space="preserve">Dessorção </w:t>
      </w:r>
      <w:r w:rsidR="00B5369C">
        <w:rPr>
          <w:rFonts w:ascii="Times New Roman" w:hAnsi="Times New Roman"/>
          <w:i/>
          <w:lang w:val="pt-BR"/>
        </w:rPr>
        <w:t>de</w:t>
      </w:r>
      <w:r w:rsidR="00B5369C" w:rsidRPr="00B5369C">
        <w:rPr>
          <w:rFonts w:ascii="Times New Roman" w:hAnsi="Times New Roman"/>
          <w:i/>
          <w:lang w:val="pt-BR"/>
        </w:rPr>
        <w:t xml:space="preserve"> </w:t>
      </w:r>
      <w:r w:rsidR="00B5369C">
        <w:rPr>
          <w:rFonts w:ascii="Times New Roman" w:hAnsi="Times New Roman"/>
          <w:i/>
          <w:lang w:val="pt-BR"/>
        </w:rPr>
        <w:t>NH</w:t>
      </w:r>
      <w:r w:rsidR="00B5369C" w:rsidRPr="00B5369C">
        <w:rPr>
          <w:rFonts w:ascii="Times New Roman" w:hAnsi="Times New Roman"/>
          <w:i/>
          <w:vertAlign w:val="subscript"/>
          <w:lang w:val="pt-BR"/>
        </w:rPr>
        <w:t>3</w:t>
      </w:r>
      <w:r w:rsidR="00B5369C">
        <w:rPr>
          <w:rFonts w:ascii="Times New Roman" w:hAnsi="Times New Roman"/>
          <w:i/>
          <w:lang w:val="pt-BR"/>
        </w:rPr>
        <w:t xml:space="preserve"> a</w:t>
      </w:r>
      <w:r>
        <w:rPr>
          <w:rFonts w:ascii="Times New Roman" w:hAnsi="Times New Roman"/>
          <w:i/>
          <w:lang w:val="pt-BR"/>
        </w:rPr>
        <w:t xml:space="preserve"> temperatura programada </w:t>
      </w:r>
      <w:r w:rsidR="00BA070F">
        <w:rPr>
          <w:rFonts w:ascii="Times New Roman" w:hAnsi="Times New Roman"/>
          <w:i/>
          <w:lang w:val="pt-BR"/>
        </w:rPr>
        <w:t>(TPD-NH</w:t>
      </w:r>
      <w:r w:rsidR="00BA070F" w:rsidRPr="00BA070F">
        <w:rPr>
          <w:rFonts w:ascii="Times New Roman" w:hAnsi="Times New Roman"/>
          <w:i/>
          <w:vertAlign w:val="subscript"/>
          <w:lang w:val="pt-BR"/>
        </w:rPr>
        <w:t>3</w:t>
      </w:r>
      <w:r w:rsidR="00BA070F">
        <w:rPr>
          <w:rFonts w:ascii="Times New Roman" w:hAnsi="Times New Roman"/>
          <w:i/>
          <w:lang w:val="pt-BR"/>
        </w:rPr>
        <w:t>)</w:t>
      </w:r>
      <w:r w:rsidR="00A9387B" w:rsidRPr="001F25B2">
        <w:rPr>
          <w:rFonts w:ascii="Times New Roman" w:hAnsi="Times New Roman"/>
          <w:i/>
          <w:lang w:val="pt-BR"/>
        </w:rPr>
        <w:t>.</w:t>
      </w:r>
    </w:p>
    <w:p w14:paraId="7EFBFA62" w14:textId="77777777" w:rsidR="002F7CBD" w:rsidRDefault="00F33181" w:rsidP="00667097">
      <w:pPr>
        <w:pStyle w:val="TAMainText"/>
        <w:ind w:firstLine="204"/>
        <w:rPr>
          <w:rFonts w:ascii="Times New Roman" w:hAnsi="Times New Roman"/>
          <w:lang w:val="pt-BR"/>
        </w:rPr>
      </w:pPr>
      <w:r>
        <w:rPr>
          <w:rFonts w:ascii="Times New Roman" w:hAnsi="Times New Roman"/>
          <w:lang w:val="pt-BR"/>
        </w:rPr>
        <w:t>A dessorção a temperatura programada de NH</w:t>
      </w:r>
      <w:r>
        <w:rPr>
          <w:rFonts w:ascii="Times New Roman" w:hAnsi="Times New Roman"/>
          <w:vertAlign w:val="subscript"/>
          <w:lang w:val="pt-BR"/>
        </w:rPr>
        <w:t>3</w:t>
      </w:r>
      <w:r>
        <w:rPr>
          <w:rFonts w:ascii="Times New Roman" w:hAnsi="Times New Roman"/>
          <w:lang w:val="pt-BR"/>
        </w:rPr>
        <w:t xml:space="preserve"> foi utilizada para caracterizar os sítios ácidos presentes na </w:t>
      </w:r>
      <w:r w:rsidRPr="00D26809">
        <w:rPr>
          <w:rFonts w:ascii="Times New Roman" w:hAnsi="Times New Roman"/>
          <w:lang w:val="pt-BR"/>
        </w:rPr>
        <w:t xml:space="preserve">superfície do suporte </w:t>
      </w:r>
      <w:proofErr w:type="spellStart"/>
      <w:r w:rsidRPr="00D26809">
        <w:rPr>
          <w:rFonts w:ascii="Times New Roman" w:hAnsi="Times New Roman"/>
          <w:lang w:val="pt-BR"/>
        </w:rPr>
        <w:t>Siral</w:t>
      </w:r>
      <w:proofErr w:type="spellEnd"/>
      <w:r w:rsidRPr="00D26809">
        <w:rPr>
          <w:rFonts w:ascii="Times New Roman" w:hAnsi="Times New Roman"/>
          <w:lang w:val="pt-BR"/>
        </w:rPr>
        <w:t xml:space="preserve"> e do suporte </w:t>
      </w:r>
      <w:proofErr w:type="spellStart"/>
      <w:r w:rsidRPr="00D26809">
        <w:rPr>
          <w:rFonts w:ascii="Times New Roman" w:hAnsi="Times New Roman"/>
          <w:lang w:val="pt-BR"/>
        </w:rPr>
        <w:t>tungstanado</w:t>
      </w:r>
      <w:proofErr w:type="spellEnd"/>
      <w:r w:rsidRPr="00D26809">
        <w:rPr>
          <w:rFonts w:ascii="Times New Roman" w:hAnsi="Times New Roman"/>
          <w:lang w:val="pt-BR"/>
        </w:rPr>
        <w:t xml:space="preserve"> </w:t>
      </w:r>
      <w:proofErr w:type="spellStart"/>
      <w:r w:rsidRPr="00D26809">
        <w:rPr>
          <w:rFonts w:ascii="Times New Roman" w:hAnsi="Times New Roman"/>
          <w:lang w:val="pt-BR"/>
        </w:rPr>
        <w:t>SiralHPW</w:t>
      </w:r>
      <w:proofErr w:type="spellEnd"/>
      <w:r w:rsidRPr="00D26809">
        <w:rPr>
          <w:rFonts w:ascii="Times New Roman" w:hAnsi="Times New Roman"/>
          <w:lang w:val="pt-BR"/>
        </w:rPr>
        <w:t xml:space="preserve">. </w:t>
      </w:r>
      <w:r w:rsidR="00D26809">
        <w:rPr>
          <w:rFonts w:ascii="Times New Roman" w:hAnsi="Times New Roman"/>
          <w:lang w:val="pt-BR"/>
        </w:rPr>
        <w:t>Foi usado um</w:t>
      </w:r>
      <w:r w:rsidRPr="00D26809">
        <w:rPr>
          <w:rFonts w:ascii="Times New Roman" w:hAnsi="Times New Roman"/>
          <w:lang w:val="pt-BR"/>
        </w:rPr>
        <w:t xml:space="preserve"> equipamento</w:t>
      </w:r>
      <w:r w:rsidRPr="00F33181">
        <w:rPr>
          <w:rFonts w:ascii="Times New Roman" w:hAnsi="Times New Roman"/>
          <w:lang w:val="pt-BR"/>
        </w:rPr>
        <w:t xml:space="preserve"> Autochem 2920</w:t>
      </w:r>
      <w:r>
        <w:rPr>
          <w:rFonts w:ascii="Times New Roman" w:hAnsi="Times New Roman"/>
          <w:lang w:val="pt-BR"/>
        </w:rPr>
        <w:t xml:space="preserve"> </w:t>
      </w:r>
      <w:r w:rsidR="005B7DDB">
        <w:rPr>
          <w:rFonts w:ascii="Times New Roman" w:hAnsi="Times New Roman"/>
          <w:lang w:val="pt-BR"/>
        </w:rPr>
        <w:t>(</w:t>
      </w:r>
      <w:proofErr w:type="spellStart"/>
      <w:r w:rsidRPr="00F33181">
        <w:rPr>
          <w:rFonts w:ascii="Times New Roman" w:hAnsi="Times New Roman"/>
          <w:lang w:val="pt-BR"/>
        </w:rPr>
        <w:t>Micromeritics</w:t>
      </w:r>
      <w:proofErr w:type="spellEnd"/>
      <w:r w:rsidR="005B7DDB">
        <w:rPr>
          <w:rFonts w:ascii="Times New Roman" w:hAnsi="Times New Roman"/>
          <w:lang w:val="pt-BR"/>
        </w:rPr>
        <w:t>)</w:t>
      </w:r>
      <w:r w:rsidRPr="00F33181">
        <w:rPr>
          <w:rFonts w:ascii="Times New Roman" w:hAnsi="Times New Roman"/>
          <w:lang w:val="pt-BR"/>
        </w:rPr>
        <w:t xml:space="preserve"> com um detector TCD. Os</w:t>
      </w:r>
      <w:r>
        <w:rPr>
          <w:rFonts w:ascii="Times New Roman" w:hAnsi="Times New Roman"/>
          <w:lang w:val="pt-BR"/>
        </w:rPr>
        <w:t xml:space="preserve"> </w:t>
      </w:r>
      <w:r w:rsidRPr="00F33181">
        <w:rPr>
          <w:rFonts w:ascii="Times New Roman" w:hAnsi="Times New Roman"/>
          <w:lang w:val="pt-BR"/>
        </w:rPr>
        <w:t xml:space="preserve">catalisadores </w:t>
      </w:r>
      <w:r w:rsidRPr="00F33181">
        <w:rPr>
          <w:rFonts w:ascii="Times New Roman" w:hAnsi="Times New Roman"/>
          <w:lang w:val="pt-BR"/>
        </w:rPr>
        <w:t xml:space="preserve">foram </w:t>
      </w:r>
      <w:proofErr w:type="spellStart"/>
      <w:r w:rsidRPr="00F33181">
        <w:rPr>
          <w:rFonts w:ascii="Times New Roman" w:hAnsi="Times New Roman"/>
          <w:lang w:val="pt-BR"/>
        </w:rPr>
        <w:t>pré-tratados</w:t>
      </w:r>
      <w:proofErr w:type="spellEnd"/>
      <w:r w:rsidRPr="00F33181">
        <w:rPr>
          <w:rFonts w:ascii="Times New Roman" w:hAnsi="Times New Roman"/>
          <w:lang w:val="pt-BR"/>
        </w:rPr>
        <w:t xml:space="preserve"> </w:t>
      </w:r>
      <w:r w:rsidRPr="00A51852">
        <w:rPr>
          <w:rFonts w:ascii="Times New Roman" w:hAnsi="Times New Roman"/>
          <w:i/>
          <w:iCs/>
          <w:lang w:val="pt-BR"/>
        </w:rPr>
        <w:t>in situ</w:t>
      </w:r>
      <w:r w:rsidRPr="00F33181">
        <w:rPr>
          <w:rFonts w:ascii="Times New Roman" w:hAnsi="Times New Roman"/>
          <w:lang w:val="pt-BR"/>
        </w:rPr>
        <w:t xml:space="preserve"> à 500 </w:t>
      </w:r>
      <w:r w:rsidR="00A51852">
        <w:rPr>
          <w:rFonts w:ascii="Times New Roman" w:hAnsi="Times New Roman"/>
          <w:lang w:val="pt-BR"/>
        </w:rPr>
        <w:t>°</w:t>
      </w:r>
      <w:r w:rsidRPr="00F33181">
        <w:rPr>
          <w:rFonts w:ascii="Times New Roman" w:hAnsi="Times New Roman"/>
          <w:lang w:val="pt-BR"/>
        </w:rPr>
        <w:t>C</w:t>
      </w:r>
      <w:r>
        <w:rPr>
          <w:rFonts w:ascii="Times New Roman" w:hAnsi="Times New Roman"/>
          <w:lang w:val="pt-BR"/>
        </w:rPr>
        <w:t xml:space="preserve"> </w:t>
      </w:r>
      <w:r w:rsidRPr="00F33181">
        <w:rPr>
          <w:rFonts w:ascii="Times New Roman" w:hAnsi="Times New Roman"/>
          <w:lang w:val="pt-BR"/>
        </w:rPr>
        <w:t>sob um fluxo de He a 50 ml</w:t>
      </w:r>
      <w:r w:rsidR="00A51852">
        <w:rPr>
          <w:rFonts w:ascii="Times New Roman" w:hAnsi="Times New Roman"/>
          <w:lang w:val="pt-BR"/>
        </w:rPr>
        <w:t>.</w:t>
      </w:r>
      <w:r w:rsidRPr="00F33181">
        <w:rPr>
          <w:rFonts w:ascii="Times New Roman" w:hAnsi="Times New Roman"/>
          <w:lang w:val="pt-BR"/>
        </w:rPr>
        <w:t>min</w:t>
      </w:r>
      <w:r w:rsidRPr="00A51852">
        <w:rPr>
          <w:rFonts w:ascii="Times New Roman" w:hAnsi="Times New Roman"/>
          <w:vertAlign w:val="superscript"/>
          <w:lang w:val="pt-BR"/>
        </w:rPr>
        <w:t>-1</w:t>
      </w:r>
      <w:r w:rsidRPr="00F33181">
        <w:rPr>
          <w:rFonts w:ascii="Times New Roman" w:hAnsi="Times New Roman"/>
          <w:lang w:val="pt-BR"/>
        </w:rPr>
        <w:t xml:space="preserve"> por 1 h. </w:t>
      </w:r>
      <w:r w:rsidR="005B7DDB">
        <w:rPr>
          <w:rFonts w:ascii="Times New Roman" w:hAnsi="Times New Roman"/>
          <w:lang w:val="pt-BR"/>
        </w:rPr>
        <w:t>Então,</w:t>
      </w:r>
      <w:r w:rsidRPr="00F33181">
        <w:rPr>
          <w:rFonts w:ascii="Times New Roman" w:hAnsi="Times New Roman"/>
          <w:lang w:val="pt-BR"/>
        </w:rPr>
        <w:t xml:space="preserve"> a temperatura foi reduzida para</w:t>
      </w:r>
      <w:r>
        <w:rPr>
          <w:rFonts w:ascii="Times New Roman" w:hAnsi="Times New Roman"/>
          <w:lang w:val="pt-BR"/>
        </w:rPr>
        <w:t xml:space="preserve"> </w:t>
      </w:r>
      <w:r w:rsidRPr="00F33181">
        <w:rPr>
          <w:rFonts w:ascii="Times New Roman" w:hAnsi="Times New Roman"/>
          <w:lang w:val="pt-BR"/>
        </w:rPr>
        <w:t xml:space="preserve">100 </w:t>
      </w:r>
      <w:r w:rsidR="00A51852">
        <w:rPr>
          <w:rFonts w:ascii="Times New Roman" w:hAnsi="Times New Roman"/>
          <w:lang w:val="pt-BR"/>
        </w:rPr>
        <w:t>°</w:t>
      </w:r>
      <w:r w:rsidRPr="00F33181">
        <w:rPr>
          <w:rFonts w:ascii="Times New Roman" w:hAnsi="Times New Roman"/>
          <w:lang w:val="pt-BR"/>
        </w:rPr>
        <w:t>C e o fluxo de gás foi modificado para uma</w:t>
      </w:r>
      <w:r>
        <w:rPr>
          <w:rFonts w:ascii="Times New Roman" w:hAnsi="Times New Roman"/>
          <w:lang w:val="pt-BR"/>
        </w:rPr>
        <w:t xml:space="preserve"> </w:t>
      </w:r>
      <w:r w:rsidRPr="00F33181">
        <w:rPr>
          <w:rFonts w:ascii="Times New Roman" w:hAnsi="Times New Roman"/>
          <w:lang w:val="pt-BR"/>
        </w:rPr>
        <w:t>mistura de 4</w:t>
      </w:r>
      <w:r w:rsidR="004D5BB6">
        <w:rPr>
          <w:rFonts w:ascii="Times New Roman" w:hAnsi="Times New Roman"/>
          <w:lang w:val="pt-BR"/>
        </w:rPr>
        <w:t xml:space="preserve"> </w:t>
      </w:r>
      <w:r w:rsidRPr="00F33181">
        <w:rPr>
          <w:rFonts w:ascii="Times New Roman" w:hAnsi="Times New Roman"/>
          <w:lang w:val="pt-BR"/>
        </w:rPr>
        <w:t>% de NH</w:t>
      </w:r>
      <w:r w:rsidRPr="00A51852">
        <w:rPr>
          <w:rFonts w:ascii="Times New Roman" w:hAnsi="Times New Roman"/>
          <w:vertAlign w:val="subscript"/>
          <w:lang w:val="pt-BR"/>
        </w:rPr>
        <w:t>3</w:t>
      </w:r>
      <w:r w:rsidRPr="00F33181">
        <w:rPr>
          <w:rFonts w:ascii="Times New Roman" w:hAnsi="Times New Roman"/>
          <w:lang w:val="pt-BR"/>
        </w:rPr>
        <w:t>/He. O sistema foi purgado</w:t>
      </w:r>
      <w:r>
        <w:rPr>
          <w:rFonts w:ascii="Times New Roman" w:hAnsi="Times New Roman"/>
          <w:lang w:val="pt-BR"/>
        </w:rPr>
        <w:t xml:space="preserve"> </w:t>
      </w:r>
      <w:r w:rsidRPr="00F33181">
        <w:rPr>
          <w:rFonts w:ascii="Times New Roman" w:hAnsi="Times New Roman"/>
          <w:lang w:val="pt-BR"/>
        </w:rPr>
        <w:t>com He antes da dessorção de NH</w:t>
      </w:r>
      <w:r w:rsidRPr="00A51852">
        <w:rPr>
          <w:rFonts w:ascii="Times New Roman" w:hAnsi="Times New Roman"/>
          <w:vertAlign w:val="subscript"/>
          <w:lang w:val="pt-BR"/>
        </w:rPr>
        <w:t>3</w:t>
      </w:r>
      <w:r w:rsidRPr="00F33181">
        <w:rPr>
          <w:rFonts w:ascii="Times New Roman" w:hAnsi="Times New Roman"/>
          <w:lang w:val="pt-BR"/>
        </w:rPr>
        <w:t xml:space="preserve"> por 5 minutos</w:t>
      </w:r>
      <w:r>
        <w:rPr>
          <w:rFonts w:ascii="Times New Roman" w:hAnsi="Times New Roman"/>
          <w:lang w:val="pt-BR"/>
        </w:rPr>
        <w:t xml:space="preserve"> </w:t>
      </w:r>
      <w:r w:rsidRPr="00F33181">
        <w:rPr>
          <w:rFonts w:ascii="Times New Roman" w:hAnsi="Times New Roman"/>
          <w:lang w:val="pt-BR"/>
        </w:rPr>
        <w:t xml:space="preserve">e ele foi utilizado como gás </w:t>
      </w:r>
      <w:r w:rsidR="005B7DDB">
        <w:rPr>
          <w:rFonts w:ascii="Times New Roman" w:hAnsi="Times New Roman"/>
          <w:lang w:val="pt-BR"/>
        </w:rPr>
        <w:t>carreador</w:t>
      </w:r>
      <w:r w:rsidRPr="00F33181">
        <w:rPr>
          <w:rFonts w:ascii="Times New Roman" w:hAnsi="Times New Roman"/>
          <w:lang w:val="pt-BR"/>
        </w:rPr>
        <w:t xml:space="preserve"> (30 ml</w:t>
      </w:r>
      <w:r>
        <w:rPr>
          <w:rFonts w:ascii="Times New Roman" w:hAnsi="Times New Roman"/>
          <w:lang w:val="pt-BR"/>
        </w:rPr>
        <w:t>.</w:t>
      </w:r>
      <w:r w:rsidRPr="00F33181">
        <w:rPr>
          <w:rFonts w:ascii="Times New Roman" w:hAnsi="Times New Roman"/>
          <w:lang w:val="pt-BR"/>
        </w:rPr>
        <w:t>min</w:t>
      </w:r>
      <w:r w:rsidRPr="00A51852">
        <w:rPr>
          <w:rFonts w:ascii="Times New Roman" w:hAnsi="Times New Roman"/>
          <w:vertAlign w:val="superscript"/>
          <w:lang w:val="pt-BR"/>
        </w:rPr>
        <w:t>-1</w:t>
      </w:r>
      <w:r w:rsidRPr="00F33181">
        <w:rPr>
          <w:rFonts w:ascii="Times New Roman" w:hAnsi="Times New Roman"/>
          <w:lang w:val="pt-BR"/>
        </w:rPr>
        <w:t>). Em seguida, o sistema foi aquecido até 500</w:t>
      </w:r>
      <w:r w:rsidR="004D5BB6">
        <w:rPr>
          <w:rFonts w:ascii="Times New Roman" w:hAnsi="Times New Roman"/>
          <w:lang w:val="pt-BR"/>
        </w:rPr>
        <w:t xml:space="preserve"> </w:t>
      </w:r>
      <w:r w:rsidR="00A51852">
        <w:rPr>
          <w:rFonts w:ascii="Times New Roman" w:hAnsi="Times New Roman"/>
          <w:lang w:val="pt-BR"/>
        </w:rPr>
        <w:t>°</w:t>
      </w:r>
      <w:r w:rsidRPr="00F33181">
        <w:rPr>
          <w:rFonts w:ascii="Times New Roman" w:hAnsi="Times New Roman"/>
          <w:lang w:val="pt-BR"/>
        </w:rPr>
        <w:t xml:space="preserve">C (10 </w:t>
      </w:r>
      <w:r w:rsidR="00A51852">
        <w:rPr>
          <w:rFonts w:ascii="Times New Roman" w:hAnsi="Times New Roman"/>
          <w:lang w:val="pt-BR"/>
        </w:rPr>
        <w:t>°</w:t>
      </w:r>
      <w:r w:rsidRPr="00F33181">
        <w:rPr>
          <w:rFonts w:ascii="Times New Roman" w:hAnsi="Times New Roman"/>
          <w:lang w:val="pt-BR"/>
        </w:rPr>
        <w:t>C</w:t>
      </w:r>
      <w:r w:rsidR="00A51852">
        <w:rPr>
          <w:rFonts w:ascii="Times New Roman" w:hAnsi="Times New Roman"/>
          <w:lang w:val="pt-BR"/>
        </w:rPr>
        <w:t>.</w:t>
      </w:r>
      <w:r w:rsidRPr="00F33181">
        <w:rPr>
          <w:rFonts w:ascii="Times New Roman" w:hAnsi="Times New Roman"/>
          <w:lang w:val="pt-BR"/>
        </w:rPr>
        <w:t>min</w:t>
      </w:r>
      <w:r w:rsidRPr="00A51852">
        <w:rPr>
          <w:rFonts w:ascii="Times New Roman" w:hAnsi="Times New Roman"/>
          <w:vertAlign w:val="superscript"/>
          <w:lang w:val="pt-BR"/>
        </w:rPr>
        <w:t>-1</w:t>
      </w:r>
      <w:r w:rsidRPr="00F33181">
        <w:rPr>
          <w:rFonts w:ascii="Times New Roman" w:hAnsi="Times New Roman"/>
          <w:lang w:val="pt-BR"/>
        </w:rPr>
        <w:t>).</w:t>
      </w:r>
    </w:p>
    <w:p w14:paraId="23C1827B" w14:textId="77777777" w:rsidR="00A9387B" w:rsidRPr="001F25B2" w:rsidRDefault="00BA070F" w:rsidP="00B5369C">
      <w:pPr>
        <w:pStyle w:val="TAMainText"/>
        <w:ind w:firstLine="0"/>
        <w:rPr>
          <w:rFonts w:ascii="Times New Roman" w:hAnsi="Times New Roman"/>
          <w:i/>
          <w:lang w:val="pt-BR"/>
        </w:rPr>
      </w:pPr>
      <w:r>
        <w:rPr>
          <w:rFonts w:ascii="Times New Roman" w:hAnsi="Times New Roman"/>
          <w:i/>
          <w:lang w:val="pt-BR"/>
        </w:rPr>
        <w:t xml:space="preserve">Redução à temperatura programada de </w:t>
      </w:r>
      <w:r w:rsidRPr="00BA070F">
        <w:rPr>
          <w:rFonts w:ascii="Times New Roman" w:hAnsi="Times New Roman"/>
          <w:i/>
          <w:lang w:val="pt-BR"/>
        </w:rPr>
        <w:t>H</w:t>
      </w:r>
      <w:r>
        <w:rPr>
          <w:rFonts w:ascii="Times New Roman" w:hAnsi="Times New Roman"/>
          <w:i/>
          <w:vertAlign w:val="subscript"/>
          <w:lang w:val="pt-BR"/>
        </w:rPr>
        <w:t>2</w:t>
      </w:r>
      <w:r>
        <w:rPr>
          <w:rFonts w:ascii="Times New Roman" w:hAnsi="Times New Roman"/>
          <w:i/>
          <w:lang w:val="pt-BR"/>
        </w:rPr>
        <w:t xml:space="preserve"> (TPR-H</w:t>
      </w:r>
      <w:r>
        <w:rPr>
          <w:rFonts w:ascii="Times New Roman" w:hAnsi="Times New Roman"/>
          <w:i/>
          <w:vertAlign w:val="subscript"/>
          <w:lang w:val="pt-BR"/>
        </w:rPr>
        <w:t>2</w:t>
      </w:r>
      <w:r>
        <w:rPr>
          <w:rFonts w:ascii="Times New Roman" w:hAnsi="Times New Roman"/>
          <w:i/>
          <w:lang w:val="pt-BR"/>
        </w:rPr>
        <w:t>)</w:t>
      </w:r>
      <w:r w:rsidR="00A9387B" w:rsidRPr="001F25B2">
        <w:rPr>
          <w:rFonts w:ascii="Times New Roman" w:hAnsi="Times New Roman"/>
          <w:i/>
          <w:lang w:val="pt-BR"/>
        </w:rPr>
        <w:t>.</w:t>
      </w:r>
    </w:p>
    <w:p w14:paraId="51B76C58" w14:textId="77777777" w:rsidR="00BA070F" w:rsidRDefault="00A51852" w:rsidP="00667097">
      <w:pPr>
        <w:pStyle w:val="TAMainText"/>
        <w:ind w:firstLine="204"/>
        <w:rPr>
          <w:rFonts w:ascii="Times New Roman" w:hAnsi="Times New Roman"/>
          <w:lang w:val="pt-BR"/>
        </w:rPr>
      </w:pPr>
      <w:r w:rsidRPr="00A51852">
        <w:rPr>
          <w:rFonts w:ascii="Times New Roman" w:hAnsi="Times New Roman"/>
          <w:lang w:val="pt-BR"/>
        </w:rPr>
        <w:t>A análise da redução a</w:t>
      </w:r>
      <w:r>
        <w:rPr>
          <w:rFonts w:ascii="Times New Roman" w:hAnsi="Times New Roman"/>
          <w:lang w:val="pt-BR"/>
        </w:rPr>
        <w:t xml:space="preserve"> </w:t>
      </w:r>
      <w:r w:rsidRPr="00A51852">
        <w:rPr>
          <w:rFonts w:ascii="Times New Roman" w:hAnsi="Times New Roman"/>
          <w:lang w:val="pt-BR"/>
        </w:rPr>
        <w:t>temperatura programada (TPR) foi realizada</w:t>
      </w:r>
      <w:r>
        <w:rPr>
          <w:rFonts w:ascii="Times New Roman" w:hAnsi="Times New Roman"/>
          <w:lang w:val="pt-BR"/>
        </w:rPr>
        <w:t xml:space="preserve"> </w:t>
      </w:r>
      <w:r w:rsidRPr="00A51852">
        <w:rPr>
          <w:rFonts w:ascii="Times New Roman" w:hAnsi="Times New Roman"/>
          <w:lang w:val="pt-BR"/>
        </w:rPr>
        <w:t xml:space="preserve">utilizando o equipamento Autochem </w:t>
      </w:r>
      <w:r w:rsidR="005B7DDB">
        <w:rPr>
          <w:rFonts w:ascii="Times New Roman" w:hAnsi="Times New Roman"/>
          <w:lang w:val="pt-BR"/>
        </w:rPr>
        <w:t>2920</w:t>
      </w:r>
      <w:r w:rsidRPr="00A51852">
        <w:rPr>
          <w:rFonts w:ascii="Times New Roman" w:hAnsi="Times New Roman"/>
          <w:lang w:val="pt-BR"/>
        </w:rPr>
        <w:t xml:space="preserve"> </w:t>
      </w:r>
      <w:r w:rsidR="005B7DDB">
        <w:rPr>
          <w:rFonts w:ascii="Times New Roman" w:hAnsi="Times New Roman"/>
          <w:lang w:val="pt-BR"/>
        </w:rPr>
        <w:t>(</w:t>
      </w:r>
      <w:proofErr w:type="spellStart"/>
      <w:r w:rsidRPr="00A51852">
        <w:rPr>
          <w:rFonts w:ascii="Times New Roman" w:hAnsi="Times New Roman"/>
          <w:lang w:val="pt-BR"/>
        </w:rPr>
        <w:t>Micromeritics</w:t>
      </w:r>
      <w:proofErr w:type="spellEnd"/>
      <w:r w:rsidR="005B7DDB">
        <w:rPr>
          <w:rFonts w:ascii="Times New Roman" w:hAnsi="Times New Roman"/>
          <w:lang w:val="pt-BR"/>
        </w:rPr>
        <w:t>)</w:t>
      </w:r>
      <w:r w:rsidRPr="00A51852">
        <w:rPr>
          <w:rFonts w:ascii="Times New Roman" w:hAnsi="Times New Roman"/>
          <w:lang w:val="pt-BR"/>
        </w:rPr>
        <w:t xml:space="preserve">. Os materiais foram secos a 150 </w:t>
      </w:r>
      <w:r>
        <w:rPr>
          <w:rFonts w:ascii="Times New Roman" w:hAnsi="Times New Roman"/>
          <w:lang w:val="pt-BR"/>
        </w:rPr>
        <w:t>°</w:t>
      </w:r>
      <w:r w:rsidRPr="00A51852">
        <w:rPr>
          <w:rFonts w:ascii="Times New Roman" w:hAnsi="Times New Roman"/>
          <w:lang w:val="pt-BR"/>
        </w:rPr>
        <w:t>C,</w:t>
      </w:r>
      <w:r>
        <w:rPr>
          <w:rFonts w:ascii="Times New Roman" w:hAnsi="Times New Roman"/>
          <w:lang w:val="pt-BR"/>
        </w:rPr>
        <w:t xml:space="preserve"> </w:t>
      </w:r>
      <w:r w:rsidRPr="00A51852">
        <w:rPr>
          <w:rFonts w:ascii="Times New Roman" w:hAnsi="Times New Roman"/>
          <w:lang w:val="pt-BR"/>
        </w:rPr>
        <w:t>por 1</w:t>
      </w:r>
      <w:r w:rsidR="004D5BB6">
        <w:rPr>
          <w:rFonts w:ascii="Times New Roman" w:hAnsi="Times New Roman"/>
          <w:lang w:val="pt-BR"/>
        </w:rPr>
        <w:t xml:space="preserve"> </w:t>
      </w:r>
      <w:r w:rsidRPr="00A51852">
        <w:rPr>
          <w:rFonts w:ascii="Times New Roman" w:hAnsi="Times New Roman"/>
          <w:lang w:val="pt-BR"/>
        </w:rPr>
        <w:t>h com N</w:t>
      </w:r>
      <w:r w:rsidRPr="00A51852">
        <w:rPr>
          <w:rFonts w:ascii="Times New Roman" w:hAnsi="Times New Roman"/>
          <w:vertAlign w:val="subscript"/>
          <w:lang w:val="pt-BR"/>
        </w:rPr>
        <w:t>2</w:t>
      </w:r>
      <w:r w:rsidRPr="00A51852">
        <w:rPr>
          <w:rFonts w:ascii="Times New Roman" w:hAnsi="Times New Roman"/>
          <w:lang w:val="pt-BR"/>
        </w:rPr>
        <w:t>. Após essa etapa, a redução foi</w:t>
      </w:r>
      <w:r>
        <w:rPr>
          <w:rFonts w:ascii="Times New Roman" w:hAnsi="Times New Roman"/>
          <w:lang w:val="pt-BR"/>
        </w:rPr>
        <w:t xml:space="preserve"> </w:t>
      </w:r>
      <w:r w:rsidRPr="00A51852">
        <w:rPr>
          <w:rFonts w:ascii="Times New Roman" w:hAnsi="Times New Roman"/>
          <w:lang w:val="pt-BR"/>
        </w:rPr>
        <w:t xml:space="preserve">realizada da temperatura ambiente até 500 </w:t>
      </w:r>
      <w:r>
        <w:rPr>
          <w:rFonts w:ascii="Times New Roman" w:hAnsi="Times New Roman"/>
          <w:lang w:val="pt-BR"/>
        </w:rPr>
        <w:t>°</w:t>
      </w:r>
      <w:r w:rsidRPr="00A51852">
        <w:rPr>
          <w:rFonts w:ascii="Times New Roman" w:hAnsi="Times New Roman"/>
          <w:lang w:val="pt-BR"/>
        </w:rPr>
        <w:t>C (10</w:t>
      </w:r>
      <w:r>
        <w:rPr>
          <w:rFonts w:ascii="Times New Roman" w:hAnsi="Times New Roman"/>
          <w:lang w:val="pt-BR"/>
        </w:rPr>
        <w:t xml:space="preserve"> °</w:t>
      </w:r>
      <w:r w:rsidRPr="00A51852">
        <w:rPr>
          <w:rFonts w:ascii="Times New Roman" w:hAnsi="Times New Roman"/>
          <w:lang w:val="pt-BR"/>
        </w:rPr>
        <w:t>C</w:t>
      </w:r>
      <w:r>
        <w:rPr>
          <w:rFonts w:ascii="Times New Roman" w:hAnsi="Times New Roman"/>
          <w:lang w:val="pt-BR"/>
        </w:rPr>
        <w:t>.</w:t>
      </w:r>
      <w:r w:rsidRPr="00A51852">
        <w:rPr>
          <w:rFonts w:ascii="Times New Roman" w:hAnsi="Times New Roman"/>
          <w:lang w:val="pt-BR"/>
        </w:rPr>
        <w:t>min</w:t>
      </w:r>
      <w:r w:rsidRPr="00A51852">
        <w:rPr>
          <w:rFonts w:ascii="Times New Roman" w:hAnsi="Times New Roman"/>
          <w:vertAlign w:val="superscript"/>
          <w:lang w:val="pt-BR"/>
        </w:rPr>
        <w:t>-1</w:t>
      </w:r>
      <w:r w:rsidRPr="00A51852">
        <w:rPr>
          <w:rFonts w:ascii="Times New Roman" w:hAnsi="Times New Roman"/>
          <w:lang w:val="pt-BR"/>
        </w:rPr>
        <w:t>) sob um fluxo de 10% H</w:t>
      </w:r>
      <w:r w:rsidRPr="00A51852">
        <w:rPr>
          <w:rFonts w:ascii="Times New Roman" w:hAnsi="Times New Roman"/>
          <w:vertAlign w:val="subscript"/>
          <w:lang w:val="pt-BR"/>
        </w:rPr>
        <w:t>2</w:t>
      </w:r>
      <w:r w:rsidRPr="00A51852">
        <w:rPr>
          <w:rFonts w:ascii="Times New Roman" w:hAnsi="Times New Roman"/>
          <w:lang w:val="pt-BR"/>
        </w:rPr>
        <w:t>/N</w:t>
      </w:r>
      <w:r w:rsidRPr="00A51852">
        <w:rPr>
          <w:rFonts w:ascii="Times New Roman" w:hAnsi="Times New Roman"/>
          <w:vertAlign w:val="subscript"/>
          <w:lang w:val="pt-BR"/>
        </w:rPr>
        <w:t>2</w:t>
      </w:r>
      <w:r w:rsidRPr="00A51852">
        <w:rPr>
          <w:rFonts w:ascii="Times New Roman" w:hAnsi="Times New Roman"/>
          <w:lang w:val="pt-BR"/>
        </w:rPr>
        <w:t xml:space="preserve"> (50 ml</w:t>
      </w:r>
      <w:r>
        <w:rPr>
          <w:rFonts w:ascii="Times New Roman" w:hAnsi="Times New Roman"/>
          <w:lang w:val="pt-BR"/>
        </w:rPr>
        <w:t>.</w:t>
      </w:r>
      <w:r w:rsidRPr="00A51852">
        <w:rPr>
          <w:rFonts w:ascii="Times New Roman" w:hAnsi="Times New Roman"/>
          <w:lang w:val="pt-BR"/>
        </w:rPr>
        <w:t>min</w:t>
      </w:r>
      <w:r w:rsidRPr="00A51852">
        <w:rPr>
          <w:rFonts w:ascii="Times New Roman" w:hAnsi="Times New Roman"/>
          <w:vertAlign w:val="superscript"/>
          <w:lang w:val="pt-BR"/>
        </w:rPr>
        <w:t>-1</w:t>
      </w:r>
      <w:r w:rsidRPr="00A51852">
        <w:rPr>
          <w:rFonts w:ascii="Times New Roman" w:hAnsi="Times New Roman"/>
          <w:lang w:val="pt-BR"/>
        </w:rPr>
        <w:t>).</w:t>
      </w:r>
    </w:p>
    <w:p w14:paraId="04C446A3" w14:textId="77777777" w:rsidR="00BA070F" w:rsidRPr="001F25B2" w:rsidRDefault="00BA070F" w:rsidP="00B5369C">
      <w:pPr>
        <w:pStyle w:val="TAMainText"/>
        <w:ind w:firstLine="0"/>
        <w:rPr>
          <w:rFonts w:ascii="Times New Roman" w:hAnsi="Times New Roman"/>
          <w:i/>
          <w:lang w:val="pt-BR"/>
        </w:rPr>
      </w:pPr>
      <w:r>
        <w:rPr>
          <w:rFonts w:ascii="Times New Roman" w:hAnsi="Times New Roman"/>
          <w:i/>
          <w:lang w:val="pt-BR"/>
        </w:rPr>
        <w:t>Teste Catalítico.</w:t>
      </w:r>
    </w:p>
    <w:p w14:paraId="78D68672" w14:textId="77777777" w:rsidR="00BA070F" w:rsidRPr="001F25B2" w:rsidRDefault="00BA070F" w:rsidP="00B5369C">
      <w:pPr>
        <w:pStyle w:val="TAMainText"/>
        <w:ind w:firstLine="0"/>
        <w:rPr>
          <w:rFonts w:ascii="Times New Roman" w:hAnsi="Times New Roman"/>
          <w:i/>
          <w:lang w:val="pt-BR"/>
        </w:rPr>
      </w:pPr>
      <w:r>
        <w:rPr>
          <w:rFonts w:ascii="Times New Roman" w:hAnsi="Times New Roman"/>
          <w:i/>
          <w:lang w:val="pt-BR"/>
        </w:rPr>
        <w:t>Reação de Hidrogenólise do Glicerol</w:t>
      </w:r>
      <w:r w:rsidRPr="001F25B2">
        <w:rPr>
          <w:rFonts w:ascii="Times New Roman" w:hAnsi="Times New Roman"/>
          <w:i/>
          <w:lang w:val="pt-BR"/>
        </w:rPr>
        <w:t>.</w:t>
      </w:r>
    </w:p>
    <w:p w14:paraId="58F0BC33" w14:textId="77777777" w:rsidR="00F81F02" w:rsidRPr="001F25B2" w:rsidRDefault="007A370B" w:rsidP="004055DB">
      <w:pPr>
        <w:pStyle w:val="TAMainText"/>
        <w:rPr>
          <w:rFonts w:ascii="Times New Roman" w:hAnsi="Times New Roman"/>
          <w:lang w:val="pt-BR"/>
        </w:rPr>
      </w:pPr>
      <w:r w:rsidRPr="007A370B">
        <w:rPr>
          <w:rFonts w:ascii="Times New Roman" w:hAnsi="Times New Roman"/>
          <w:lang w:val="pt-BR"/>
        </w:rPr>
        <w:t xml:space="preserve">A hidrogenólise do glicerol foi conduzida </w:t>
      </w:r>
      <w:r w:rsidR="005B7DDB">
        <w:rPr>
          <w:rFonts w:ascii="Times New Roman" w:hAnsi="Times New Roman"/>
          <w:lang w:val="pt-BR"/>
        </w:rPr>
        <w:t>n</w:t>
      </w:r>
      <w:r w:rsidRPr="007A370B">
        <w:rPr>
          <w:rFonts w:ascii="Times New Roman" w:hAnsi="Times New Roman"/>
          <w:lang w:val="pt-BR"/>
        </w:rPr>
        <w:t>um reator</w:t>
      </w:r>
      <w:r>
        <w:rPr>
          <w:rFonts w:ascii="Times New Roman" w:hAnsi="Times New Roman"/>
          <w:lang w:val="pt-BR"/>
        </w:rPr>
        <w:t xml:space="preserve"> </w:t>
      </w:r>
      <w:r w:rsidRPr="007A370B">
        <w:rPr>
          <w:rFonts w:ascii="Times New Roman" w:hAnsi="Times New Roman"/>
          <w:lang w:val="pt-BR"/>
        </w:rPr>
        <w:t xml:space="preserve">PARR </w:t>
      </w:r>
      <w:proofErr w:type="spellStart"/>
      <w:r w:rsidRPr="007A370B">
        <w:rPr>
          <w:rFonts w:ascii="Times New Roman" w:hAnsi="Times New Roman"/>
          <w:lang w:val="pt-BR"/>
        </w:rPr>
        <w:t>Instruments</w:t>
      </w:r>
      <w:proofErr w:type="spellEnd"/>
      <w:r w:rsidRPr="007A370B">
        <w:rPr>
          <w:rFonts w:ascii="Times New Roman" w:hAnsi="Times New Roman"/>
          <w:lang w:val="pt-BR"/>
        </w:rPr>
        <w:t xml:space="preserve"> com capacidade</w:t>
      </w:r>
      <w:r>
        <w:rPr>
          <w:rFonts w:ascii="Times New Roman" w:hAnsi="Times New Roman"/>
          <w:lang w:val="pt-BR"/>
        </w:rPr>
        <w:t xml:space="preserve"> </w:t>
      </w:r>
      <w:r w:rsidRPr="007A370B">
        <w:rPr>
          <w:rFonts w:ascii="Times New Roman" w:hAnsi="Times New Roman"/>
          <w:lang w:val="pt-BR"/>
        </w:rPr>
        <w:t>de 300</w:t>
      </w:r>
      <w:r>
        <w:rPr>
          <w:rFonts w:ascii="Times New Roman" w:hAnsi="Times New Roman"/>
          <w:lang w:val="pt-BR"/>
        </w:rPr>
        <w:t xml:space="preserve"> </w:t>
      </w:r>
      <w:r w:rsidRPr="007A370B">
        <w:rPr>
          <w:rFonts w:ascii="Times New Roman" w:hAnsi="Times New Roman"/>
          <w:lang w:val="pt-BR"/>
        </w:rPr>
        <w:t xml:space="preserve">mL. Em cada reação foi utilizado </w:t>
      </w:r>
      <w:r>
        <w:rPr>
          <w:rFonts w:ascii="Times New Roman" w:hAnsi="Times New Roman"/>
          <w:lang w:val="pt-BR"/>
        </w:rPr>
        <w:t>500 m</w:t>
      </w:r>
      <w:r w:rsidRPr="007A370B">
        <w:rPr>
          <w:rFonts w:ascii="Times New Roman" w:hAnsi="Times New Roman"/>
          <w:lang w:val="pt-BR"/>
        </w:rPr>
        <w:t>g de catalisador, que foi previamente reduzido in situ à</w:t>
      </w:r>
      <w:r>
        <w:rPr>
          <w:rFonts w:ascii="Times New Roman" w:hAnsi="Times New Roman"/>
          <w:lang w:val="pt-BR"/>
        </w:rPr>
        <w:t xml:space="preserve"> </w:t>
      </w:r>
      <w:r w:rsidRPr="007A370B">
        <w:rPr>
          <w:rFonts w:ascii="Times New Roman" w:hAnsi="Times New Roman"/>
          <w:lang w:val="pt-BR"/>
        </w:rPr>
        <w:t>150</w:t>
      </w:r>
      <w:r>
        <w:rPr>
          <w:rFonts w:ascii="Times New Roman" w:hAnsi="Times New Roman"/>
          <w:lang w:val="pt-BR"/>
        </w:rPr>
        <w:t xml:space="preserve"> </w:t>
      </w:r>
      <w:r w:rsidRPr="007A370B">
        <w:rPr>
          <w:rFonts w:ascii="Times New Roman" w:hAnsi="Times New Roman"/>
          <w:lang w:val="pt-BR"/>
        </w:rPr>
        <w:t>°C por 30 minutos sob o fluxo de 50</w:t>
      </w:r>
      <w:r>
        <w:rPr>
          <w:rFonts w:ascii="Times New Roman" w:hAnsi="Times New Roman"/>
          <w:lang w:val="pt-BR"/>
        </w:rPr>
        <w:t xml:space="preserve"> </w:t>
      </w:r>
      <w:r w:rsidRPr="007A370B">
        <w:rPr>
          <w:rFonts w:ascii="Times New Roman" w:hAnsi="Times New Roman"/>
          <w:lang w:val="pt-BR"/>
        </w:rPr>
        <w:t>mL.min</w:t>
      </w:r>
      <w:r w:rsidRPr="006F06B8">
        <w:rPr>
          <w:rFonts w:ascii="Times New Roman" w:hAnsi="Times New Roman"/>
          <w:vertAlign w:val="superscript"/>
          <w:lang w:val="pt-BR"/>
        </w:rPr>
        <w:t>-1</w:t>
      </w:r>
      <w:r w:rsidRPr="007A370B">
        <w:rPr>
          <w:rFonts w:ascii="Times New Roman" w:hAnsi="Times New Roman"/>
          <w:lang w:val="pt-BR"/>
        </w:rPr>
        <w:t xml:space="preserve"> de H</w:t>
      </w:r>
      <w:r w:rsidRPr="006F06B8">
        <w:rPr>
          <w:rFonts w:ascii="Times New Roman" w:hAnsi="Times New Roman"/>
          <w:vertAlign w:val="subscript"/>
          <w:lang w:val="pt-BR"/>
        </w:rPr>
        <w:t>2</w:t>
      </w:r>
      <w:r w:rsidRPr="007A370B">
        <w:rPr>
          <w:rFonts w:ascii="Times New Roman" w:hAnsi="Times New Roman"/>
          <w:lang w:val="pt-BR"/>
        </w:rPr>
        <w:t xml:space="preserve">. Após a redução, o sistema </w:t>
      </w:r>
      <w:r w:rsidR="005B7DDB">
        <w:rPr>
          <w:rFonts w:ascii="Times New Roman" w:hAnsi="Times New Roman"/>
          <w:lang w:val="pt-BR"/>
        </w:rPr>
        <w:t>foi</w:t>
      </w:r>
      <w:r w:rsidRPr="007A370B">
        <w:rPr>
          <w:rFonts w:ascii="Times New Roman" w:hAnsi="Times New Roman"/>
          <w:lang w:val="pt-BR"/>
        </w:rPr>
        <w:t xml:space="preserve"> resfriado sob</w:t>
      </w:r>
      <w:r>
        <w:rPr>
          <w:rFonts w:ascii="Times New Roman" w:hAnsi="Times New Roman"/>
          <w:lang w:val="pt-BR"/>
        </w:rPr>
        <w:t xml:space="preserve"> </w:t>
      </w:r>
      <w:r w:rsidRPr="007A370B">
        <w:rPr>
          <w:rFonts w:ascii="Times New Roman" w:hAnsi="Times New Roman"/>
          <w:lang w:val="pt-BR"/>
        </w:rPr>
        <w:t>o fluxo de N</w:t>
      </w:r>
      <w:r w:rsidRPr="006F06B8">
        <w:rPr>
          <w:rFonts w:ascii="Times New Roman" w:hAnsi="Times New Roman"/>
          <w:vertAlign w:val="subscript"/>
          <w:lang w:val="pt-BR"/>
        </w:rPr>
        <w:t>2</w:t>
      </w:r>
      <w:r w:rsidRPr="007A370B">
        <w:rPr>
          <w:rFonts w:ascii="Times New Roman" w:hAnsi="Times New Roman"/>
          <w:lang w:val="pt-BR"/>
        </w:rPr>
        <w:t xml:space="preserve"> até temperatura ambiente. Em seguida</w:t>
      </w:r>
      <w:r w:rsidR="00EB5D58">
        <w:rPr>
          <w:rFonts w:ascii="Times New Roman" w:hAnsi="Times New Roman"/>
          <w:lang w:val="pt-BR"/>
        </w:rPr>
        <w:t>,</w:t>
      </w:r>
      <w:r w:rsidRPr="007A370B">
        <w:rPr>
          <w:rFonts w:ascii="Times New Roman" w:hAnsi="Times New Roman"/>
          <w:lang w:val="pt-BR"/>
        </w:rPr>
        <w:t xml:space="preserve"> foram introduzidos 100</w:t>
      </w:r>
      <w:r w:rsidR="006F06B8">
        <w:rPr>
          <w:rFonts w:ascii="Times New Roman" w:hAnsi="Times New Roman"/>
          <w:lang w:val="pt-BR"/>
        </w:rPr>
        <w:t xml:space="preserve"> </w:t>
      </w:r>
      <w:r w:rsidRPr="007A370B">
        <w:rPr>
          <w:rFonts w:ascii="Times New Roman" w:hAnsi="Times New Roman"/>
          <w:lang w:val="pt-BR"/>
        </w:rPr>
        <w:t>mL de uma solução</w:t>
      </w:r>
      <w:r>
        <w:rPr>
          <w:rFonts w:ascii="Times New Roman" w:hAnsi="Times New Roman"/>
          <w:lang w:val="pt-BR"/>
        </w:rPr>
        <w:t xml:space="preserve"> </w:t>
      </w:r>
      <w:r w:rsidRPr="007A370B">
        <w:rPr>
          <w:rFonts w:ascii="Times New Roman" w:hAnsi="Times New Roman"/>
          <w:lang w:val="pt-BR"/>
        </w:rPr>
        <w:t>aquosa 10</w:t>
      </w:r>
      <w:r w:rsidR="006F06B8">
        <w:rPr>
          <w:rFonts w:ascii="Times New Roman" w:hAnsi="Times New Roman"/>
          <w:lang w:val="pt-BR"/>
        </w:rPr>
        <w:t xml:space="preserve"> </w:t>
      </w:r>
      <w:r w:rsidRPr="007A370B">
        <w:rPr>
          <w:rFonts w:ascii="Times New Roman" w:hAnsi="Times New Roman"/>
          <w:lang w:val="pt-BR"/>
        </w:rPr>
        <w:t>% (vol.) de glicerol (</w:t>
      </w:r>
      <w:proofErr w:type="spellStart"/>
      <w:r>
        <w:rPr>
          <w:rFonts w:ascii="Times New Roman" w:hAnsi="Times New Roman"/>
          <w:lang w:val="pt-BR"/>
        </w:rPr>
        <w:t>Vetec</w:t>
      </w:r>
      <w:proofErr w:type="spellEnd"/>
      <w:r w:rsidRPr="007A370B">
        <w:rPr>
          <w:rFonts w:ascii="Times New Roman" w:hAnsi="Times New Roman"/>
          <w:lang w:val="pt-BR"/>
        </w:rPr>
        <w:t>). A reação foi realizada a 200</w:t>
      </w:r>
      <w:r w:rsidR="006F06B8">
        <w:rPr>
          <w:rFonts w:ascii="Times New Roman" w:hAnsi="Times New Roman"/>
          <w:lang w:val="pt-BR"/>
        </w:rPr>
        <w:t xml:space="preserve"> </w:t>
      </w:r>
      <w:r w:rsidRPr="007A370B">
        <w:rPr>
          <w:rFonts w:ascii="Times New Roman" w:hAnsi="Times New Roman"/>
          <w:lang w:val="pt-BR"/>
        </w:rPr>
        <w:t>°C sob pressão de 50</w:t>
      </w:r>
      <w:r w:rsidR="006F06B8">
        <w:rPr>
          <w:rFonts w:ascii="Times New Roman" w:hAnsi="Times New Roman"/>
          <w:lang w:val="pt-BR"/>
        </w:rPr>
        <w:t xml:space="preserve"> </w:t>
      </w:r>
      <w:r w:rsidRPr="007A370B">
        <w:rPr>
          <w:rFonts w:ascii="Times New Roman" w:hAnsi="Times New Roman"/>
          <w:lang w:val="pt-BR"/>
        </w:rPr>
        <w:t>bar</w:t>
      </w:r>
      <w:r>
        <w:rPr>
          <w:rFonts w:ascii="Times New Roman" w:hAnsi="Times New Roman"/>
          <w:lang w:val="pt-BR"/>
        </w:rPr>
        <w:t xml:space="preserve"> </w:t>
      </w:r>
      <w:r w:rsidRPr="007A370B">
        <w:rPr>
          <w:rFonts w:ascii="Times New Roman" w:hAnsi="Times New Roman"/>
          <w:lang w:val="pt-BR"/>
        </w:rPr>
        <w:t>de H</w:t>
      </w:r>
      <w:r w:rsidRPr="006F06B8">
        <w:rPr>
          <w:rFonts w:ascii="Times New Roman" w:hAnsi="Times New Roman"/>
          <w:vertAlign w:val="subscript"/>
          <w:lang w:val="pt-BR"/>
        </w:rPr>
        <w:t>2</w:t>
      </w:r>
      <w:r w:rsidRPr="007A370B">
        <w:rPr>
          <w:rFonts w:ascii="Times New Roman" w:hAnsi="Times New Roman"/>
          <w:lang w:val="pt-BR"/>
        </w:rPr>
        <w:t xml:space="preserve"> e agitação de 600</w:t>
      </w:r>
      <w:r w:rsidR="006F06B8">
        <w:rPr>
          <w:rFonts w:ascii="Times New Roman" w:hAnsi="Times New Roman"/>
          <w:lang w:val="pt-BR"/>
        </w:rPr>
        <w:t xml:space="preserve"> </w:t>
      </w:r>
      <w:r w:rsidRPr="007A370B">
        <w:rPr>
          <w:rFonts w:ascii="Times New Roman" w:hAnsi="Times New Roman"/>
          <w:lang w:val="pt-BR"/>
        </w:rPr>
        <w:t>rpm durante 6</w:t>
      </w:r>
      <w:r w:rsidR="006F06B8">
        <w:rPr>
          <w:rFonts w:ascii="Times New Roman" w:hAnsi="Times New Roman"/>
          <w:lang w:val="pt-BR"/>
        </w:rPr>
        <w:t xml:space="preserve"> </w:t>
      </w:r>
      <w:r w:rsidRPr="007A370B">
        <w:rPr>
          <w:rFonts w:ascii="Times New Roman" w:hAnsi="Times New Roman"/>
          <w:lang w:val="pt-BR"/>
        </w:rPr>
        <w:t xml:space="preserve">h. Alíquotas foram retiradas em intervalos regulares de </w:t>
      </w:r>
      <w:r w:rsidR="00B03474">
        <w:rPr>
          <w:rFonts w:ascii="Times New Roman" w:hAnsi="Times New Roman"/>
          <w:lang w:val="pt-BR"/>
        </w:rPr>
        <w:t>2</w:t>
      </w:r>
      <w:r w:rsidR="006F06B8">
        <w:rPr>
          <w:rFonts w:ascii="Times New Roman" w:hAnsi="Times New Roman"/>
          <w:lang w:val="pt-BR"/>
        </w:rPr>
        <w:t xml:space="preserve"> </w:t>
      </w:r>
      <w:r w:rsidRPr="007A370B">
        <w:rPr>
          <w:rFonts w:ascii="Times New Roman" w:hAnsi="Times New Roman"/>
          <w:lang w:val="pt-BR"/>
        </w:rPr>
        <w:t>h e</w:t>
      </w:r>
      <w:r>
        <w:rPr>
          <w:rFonts w:ascii="Times New Roman" w:hAnsi="Times New Roman"/>
          <w:lang w:val="pt-BR"/>
        </w:rPr>
        <w:t xml:space="preserve"> </w:t>
      </w:r>
      <w:r w:rsidRPr="007A370B">
        <w:rPr>
          <w:rFonts w:ascii="Times New Roman" w:hAnsi="Times New Roman"/>
          <w:lang w:val="pt-BR"/>
        </w:rPr>
        <w:t>analisadas em cromatógrafo a gás com detectores FID e TCD.</w:t>
      </w:r>
      <w:r w:rsidR="006F06B8" w:rsidRPr="006F06B8">
        <w:rPr>
          <w:lang w:val="pt-BR"/>
        </w:rPr>
        <w:t xml:space="preserve"> </w:t>
      </w:r>
      <w:r w:rsidR="006F06B8" w:rsidRPr="006F06B8">
        <w:rPr>
          <w:rFonts w:ascii="Times New Roman" w:hAnsi="Times New Roman"/>
          <w:lang w:val="pt-BR"/>
        </w:rPr>
        <w:t>A conversão (</w:t>
      </w:r>
      <w:proofErr w:type="gramStart"/>
      <w:r w:rsidR="006F06B8" w:rsidRPr="006F06B8">
        <w:rPr>
          <w:rFonts w:ascii="Times New Roman" w:hAnsi="Times New Roman"/>
          <w:lang w:val="pt-BR"/>
        </w:rPr>
        <w:t>C(</w:t>
      </w:r>
      <w:proofErr w:type="gramEnd"/>
      <w:r w:rsidR="006F06B8" w:rsidRPr="006F06B8">
        <w:rPr>
          <w:rFonts w:ascii="Times New Roman" w:hAnsi="Times New Roman"/>
          <w:lang w:val="pt-BR"/>
        </w:rPr>
        <w:t>%)) e a seletividade (S(%)) foram calculadas conforme</w:t>
      </w:r>
      <w:r w:rsidR="006F06B8">
        <w:rPr>
          <w:rFonts w:ascii="Times New Roman" w:hAnsi="Times New Roman"/>
          <w:lang w:val="pt-BR"/>
        </w:rPr>
        <w:t xml:space="preserve"> </w:t>
      </w:r>
      <w:r w:rsidR="006F06B8" w:rsidRPr="006F06B8">
        <w:rPr>
          <w:rFonts w:ascii="Times New Roman" w:hAnsi="Times New Roman"/>
          <w:lang w:val="pt-BR"/>
        </w:rPr>
        <w:t xml:space="preserve">as equações: C(%) = </w:t>
      </w:r>
      <w:r w:rsidR="005B7DDB">
        <w:rPr>
          <w:rFonts w:ascii="Times New Roman" w:hAnsi="Times New Roman"/>
          <w:lang w:val="pt-BR"/>
        </w:rPr>
        <w:t>(</w:t>
      </w:r>
      <w:r w:rsidR="006F06B8" w:rsidRPr="006F06B8">
        <w:rPr>
          <w:rFonts w:ascii="Times New Roman" w:hAnsi="Times New Roman"/>
          <w:lang w:val="pt-BR"/>
        </w:rPr>
        <w:t xml:space="preserve">mols </w:t>
      </w:r>
      <w:proofErr w:type="spellStart"/>
      <w:r w:rsidR="005B7DDB">
        <w:rPr>
          <w:rFonts w:ascii="Times New Roman" w:hAnsi="Times New Roman"/>
          <w:lang w:val="pt-BR"/>
        </w:rPr>
        <w:t>Gl</w:t>
      </w:r>
      <w:r w:rsidR="00EB5D58">
        <w:rPr>
          <w:rFonts w:ascii="Times New Roman" w:hAnsi="Times New Roman"/>
          <w:lang w:val="pt-BR"/>
        </w:rPr>
        <w:t>i</w:t>
      </w:r>
      <w:r w:rsidR="005B7DDB" w:rsidRPr="005B7DDB">
        <w:rPr>
          <w:rFonts w:ascii="Times New Roman" w:hAnsi="Times New Roman"/>
          <w:vertAlign w:val="subscript"/>
          <w:lang w:val="pt-BR"/>
        </w:rPr>
        <w:t>o</w:t>
      </w:r>
      <w:proofErr w:type="spellEnd"/>
      <w:r w:rsidR="006F06B8" w:rsidRPr="006F06B8">
        <w:rPr>
          <w:rFonts w:ascii="Times New Roman" w:hAnsi="Times New Roman"/>
          <w:lang w:val="pt-BR"/>
        </w:rPr>
        <w:t xml:space="preserve"> </w:t>
      </w:r>
      <w:r w:rsidR="005B7DDB">
        <w:rPr>
          <w:rFonts w:ascii="Times New Roman" w:hAnsi="Times New Roman"/>
          <w:lang w:val="pt-BR"/>
        </w:rPr>
        <w:t xml:space="preserve">– mols </w:t>
      </w:r>
      <w:proofErr w:type="spellStart"/>
      <w:r w:rsidR="005B7DDB">
        <w:rPr>
          <w:rFonts w:ascii="Times New Roman" w:hAnsi="Times New Roman"/>
          <w:lang w:val="pt-BR"/>
        </w:rPr>
        <w:t>Gl</w:t>
      </w:r>
      <w:r w:rsidR="00EB5D58">
        <w:rPr>
          <w:rFonts w:ascii="Times New Roman" w:hAnsi="Times New Roman"/>
          <w:lang w:val="pt-BR"/>
        </w:rPr>
        <w:t>i</w:t>
      </w:r>
      <w:r w:rsidR="005B7DDB" w:rsidRPr="005B7DDB">
        <w:rPr>
          <w:rFonts w:ascii="Times New Roman" w:hAnsi="Times New Roman"/>
          <w:vertAlign w:val="subscript"/>
          <w:lang w:val="pt-BR"/>
        </w:rPr>
        <w:t>t</w:t>
      </w:r>
      <w:proofErr w:type="spellEnd"/>
      <w:r w:rsidR="005B7DDB" w:rsidRPr="005B7DDB">
        <w:rPr>
          <w:rFonts w:ascii="Times New Roman" w:hAnsi="Times New Roman"/>
          <w:lang w:val="pt-BR"/>
        </w:rPr>
        <w:t>)</w:t>
      </w:r>
      <w:r w:rsidR="005B7DDB">
        <w:rPr>
          <w:rFonts w:ascii="Times New Roman" w:hAnsi="Times New Roman"/>
          <w:lang w:val="pt-BR"/>
        </w:rPr>
        <w:t xml:space="preserve"> </w:t>
      </w:r>
      <w:r w:rsidR="006F06B8" w:rsidRPr="006F06B8">
        <w:rPr>
          <w:rFonts w:ascii="Times New Roman" w:hAnsi="Times New Roman"/>
          <w:lang w:val="pt-BR"/>
        </w:rPr>
        <w:t xml:space="preserve">x 100/ </w:t>
      </w:r>
      <w:r w:rsidR="005B7DDB" w:rsidRPr="006F06B8">
        <w:rPr>
          <w:rFonts w:ascii="Times New Roman" w:hAnsi="Times New Roman"/>
          <w:lang w:val="pt-BR"/>
        </w:rPr>
        <w:t xml:space="preserve">mols </w:t>
      </w:r>
      <w:proofErr w:type="spellStart"/>
      <w:r w:rsidR="005B7DDB">
        <w:rPr>
          <w:rFonts w:ascii="Times New Roman" w:hAnsi="Times New Roman"/>
          <w:lang w:val="pt-BR"/>
        </w:rPr>
        <w:t>Gl</w:t>
      </w:r>
      <w:r w:rsidR="00EB5D58">
        <w:rPr>
          <w:rFonts w:ascii="Times New Roman" w:hAnsi="Times New Roman"/>
          <w:lang w:val="pt-BR"/>
        </w:rPr>
        <w:t>i</w:t>
      </w:r>
      <w:r w:rsidR="005B7DDB" w:rsidRPr="005B7DDB">
        <w:rPr>
          <w:rFonts w:ascii="Times New Roman" w:hAnsi="Times New Roman"/>
          <w:vertAlign w:val="subscript"/>
          <w:lang w:val="pt-BR"/>
        </w:rPr>
        <w:t>o</w:t>
      </w:r>
      <w:proofErr w:type="spellEnd"/>
      <w:r w:rsidR="006F06B8" w:rsidRPr="006F06B8">
        <w:rPr>
          <w:rFonts w:ascii="Times New Roman" w:hAnsi="Times New Roman"/>
          <w:lang w:val="pt-BR"/>
        </w:rPr>
        <w:t xml:space="preserve"> e S(%) =</w:t>
      </w:r>
      <w:r w:rsidR="006F06B8">
        <w:rPr>
          <w:rFonts w:ascii="Times New Roman" w:hAnsi="Times New Roman"/>
          <w:lang w:val="pt-BR"/>
        </w:rPr>
        <w:t xml:space="preserve"> </w:t>
      </w:r>
      <w:r w:rsidR="006F06B8" w:rsidRPr="006F06B8">
        <w:rPr>
          <w:rFonts w:ascii="Times New Roman" w:hAnsi="Times New Roman"/>
          <w:lang w:val="pt-BR"/>
        </w:rPr>
        <w:t>(mols de um produto) x 100/</w:t>
      </w:r>
      <w:r w:rsidR="005B7DDB">
        <w:rPr>
          <w:rFonts w:ascii="Times New Roman" w:hAnsi="Times New Roman"/>
          <w:lang w:val="pt-BR"/>
        </w:rPr>
        <w:t>(</w:t>
      </w:r>
      <w:r w:rsidR="005B7DDB" w:rsidRPr="006F06B8">
        <w:rPr>
          <w:rFonts w:ascii="Times New Roman" w:hAnsi="Times New Roman"/>
          <w:lang w:val="pt-BR"/>
        </w:rPr>
        <w:t xml:space="preserve">mols </w:t>
      </w:r>
      <w:proofErr w:type="spellStart"/>
      <w:r w:rsidR="005B7DDB">
        <w:rPr>
          <w:rFonts w:ascii="Times New Roman" w:hAnsi="Times New Roman"/>
          <w:lang w:val="pt-BR"/>
        </w:rPr>
        <w:t>Gl</w:t>
      </w:r>
      <w:r w:rsidR="00EB5D58">
        <w:rPr>
          <w:rFonts w:ascii="Times New Roman" w:hAnsi="Times New Roman"/>
          <w:lang w:val="pt-BR"/>
        </w:rPr>
        <w:t>i</w:t>
      </w:r>
      <w:r w:rsidR="005B7DDB" w:rsidRPr="005B7DDB">
        <w:rPr>
          <w:rFonts w:ascii="Times New Roman" w:hAnsi="Times New Roman"/>
          <w:vertAlign w:val="subscript"/>
          <w:lang w:val="pt-BR"/>
        </w:rPr>
        <w:t>o</w:t>
      </w:r>
      <w:proofErr w:type="spellEnd"/>
      <w:r w:rsidR="005B7DDB" w:rsidRPr="006F06B8">
        <w:rPr>
          <w:rFonts w:ascii="Times New Roman" w:hAnsi="Times New Roman"/>
          <w:lang w:val="pt-BR"/>
        </w:rPr>
        <w:t xml:space="preserve"> </w:t>
      </w:r>
      <w:r w:rsidR="005B7DDB">
        <w:rPr>
          <w:rFonts w:ascii="Times New Roman" w:hAnsi="Times New Roman"/>
          <w:lang w:val="pt-BR"/>
        </w:rPr>
        <w:t xml:space="preserve">– mols </w:t>
      </w:r>
      <w:proofErr w:type="spellStart"/>
      <w:r w:rsidR="005B7DDB">
        <w:rPr>
          <w:rFonts w:ascii="Times New Roman" w:hAnsi="Times New Roman"/>
          <w:lang w:val="pt-BR"/>
        </w:rPr>
        <w:t>Gl</w:t>
      </w:r>
      <w:r w:rsidR="00EB5D58">
        <w:rPr>
          <w:rFonts w:ascii="Times New Roman" w:hAnsi="Times New Roman"/>
          <w:lang w:val="pt-BR"/>
        </w:rPr>
        <w:t>i</w:t>
      </w:r>
      <w:r w:rsidR="005B7DDB" w:rsidRPr="005B7DDB">
        <w:rPr>
          <w:rFonts w:ascii="Times New Roman" w:hAnsi="Times New Roman"/>
          <w:vertAlign w:val="subscript"/>
          <w:lang w:val="pt-BR"/>
        </w:rPr>
        <w:t>t</w:t>
      </w:r>
      <w:proofErr w:type="spellEnd"/>
      <w:r w:rsidR="005B7DDB" w:rsidRPr="005B7DDB">
        <w:rPr>
          <w:rFonts w:ascii="Times New Roman" w:hAnsi="Times New Roman"/>
          <w:lang w:val="pt-BR"/>
        </w:rPr>
        <w:t>)</w:t>
      </w:r>
      <w:r w:rsidR="006F06B8">
        <w:rPr>
          <w:rFonts w:ascii="Times New Roman" w:hAnsi="Times New Roman"/>
          <w:lang w:val="pt-BR"/>
        </w:rPr>
        <w:t>.</w:t>
      </w:r>
    </w:p>
    <w:p w14:paraId="2670C2E0" w14:textId="77777777" w:rsidR="00F81F02" w:rsidRPr="008D76FB" w:rsidRDefault="00EA4E1B" w:rsidP="008D76FB">
      <w:pPr>
        <w:pStyle w:val="Ttulo2"/>
        <w:rPr>
          <w:rFonts w:ascii="Helvetica" w:hAnsi="Helvetica" w:cs="Helvetica"/>
          <w:sz w:val="24"/>
          <w:szCs w:val="24"/>
        </w:rPr>
      </w:pPr>
      <w:r w:rsidRPr="001F25B2">
        <w:rPr>
          <w:rFonts w:ascii="Helvetica" w:hAnsi="Helvetica" w:cs="Helvetica"/>
          <w:sz w:val="24"/>
          <w:szCs w:val="24"/>
        </w:rPr>
        <w:t>Resultados e Discussão</w:t>
      </w:r>
    </w:p>
    <w:p w14:paraId="4EF0D6C1" w14:textId="77777777" w:rsidR="00F81F02" w:rsidRPr="001F25B2" w:rsidRDefault="00B5369C" w:rsidP="008D76FB">
      <w:pPr>
        <w:pStyle w:val="TAMainText"/>
        <w:spacing w:before="120"/>
        <w:ind w:firstLine="0"/>
        <w:rPr>
          <w:rFonts w:ascii="Times New Roman" w:hAnsi="Times New Roman"/>
          <w:i/>
          <w:lang w:val="pt-BR"/>
        </w:rPr>
      </w:pPr>
      <w:r>
        <w:rPr>
          <w:rFonts w:ascii="Times New Roman" w:hAnsi="Times New Roman"/>
          <w:i/>
          <w:lang w:val="pt-BR"/>
        </w:rPr>
        <w:t>Caracterização dos catalisadores</w:t>
      </w:r>
      <w:r w:rsidR="00F81F02" w:rsidRPr="001F25B2">
        <w:rPr>
          <w:rFonts w:ascii="Times New Roman" w:hAnsi="Times New Roman"/>
          <w:i/>
          <w:lang w:val="pt-BR"/>
        </w:rPr>
        <w:t>.</w:t>
      </w:r>
    </w:p>
    <w:p w14:paraId="086B799E" w14:textId="77777777" w:rsidR="005B7DDB" w:rsidRDefault="00290847" w:rsidP="00667097">
      <w:pPr>
        <w:pStyle w:val="TAMainText"/>
        <w:spacing w:line="240" w:lineRule="auto"/>
        <w:ind w:firstLine="204"/>
        <w:rPr>
          <w:rFonts w:ascii="Times New Roman" w:hAnsi="Times New Roman"/>
          <w:lang w:val="pt-BR"/>
        </w:rPr>
      </w:pPr>
      <w:r>
        <w:rPr>
          <w:rFonts w:ascii="Times New Roman" w:hAnsi="Times New Roman"/>
          <w:lang w:val="pt-BR"/>
        </w:rPr>
        <w:t>Os resultados dos teores metálicos</w:t>
      </w:r>
      <w:r w:rsidR="00667097">
        <w:rPr>
          <w:rFonts w:ascii="Times New Roman" w:hAnsi="Times New Roman"/>
          <w:lang w:val="pt-BR"/>
        </w:rPr>
        <w:t>,</w:t>
      </w:r>
      <w:r>
        <w:rPr>
          <w:rFonts w:ascii="Times New Roman" w:hAnsi="Times New Roman"/>
          <w:lang w:val="pt-BR"/>
        </w:rPr>
        <w:t xml:space="preserve"> de fósforo e tungstênio </w:t>
      </w:r>
      <w:r w:rsidR="00667097">
        <w:rPr>
          <w:rFonts w:ascii="Times New Roman" w:hAnsi="Times New Roman"/>
          <w:lang w:val="pt-BR"/>
        </w:rPr>
        <w:t>por</w:t>
      </w:r>
      <w:r w:rsidR="005B7DDB">
        <w:rPr>
          <w:rFonts w:ascii="Times New Roman" w:hAnsi="Times New Roman"/>
          <w:lang w:val="pt-BR"/>
        </w:rPr>
        <w:t xml:space="preserve"> MEV-EDS estão representados na tabela </w:t>
      </w:r>
      <w:r>
        <w:rPr>
          <w:rFonts w:ascii="Times New Roman" w:hAnsi="Times New Roman"/>
          <w:lang w:val="pt-BR"/>
        </w:rPr>
        <w:t>1</w:t>
      </w:r>
      <w:r w:rsidR="005B7DDB">
        <w:rPr>
          <w:rFonts w:ascii="Times New Roman" w:hAnsi="Times New Roman"/>
          <w:lang w:val="pt-BR"/>
        </w:rPr>
        <w:t>. Apesar de ser uma técnica semiquantitativa, é possível se obter alguns parâmetros em relação a composição dos catalisadores estudados.</w:t>
      </w:r>
    </w:p>
    <w:p w14:paraId="1E254B29" w14:textId="77777777" w:rsidR="005B7DDB" w:rsidRDefault="005B7DDB" w:rsidP="005B7DDB">
      <w:pPr>
        <w:pStyle w:val="TAMainText"/>
        <w:spacing w:line="240" w:lineRule="auto"/>
        <w:ind w:firstLine="0"/>
        <w:rPr>
          <w:rFonts w:ascii="Times New Roman" w:hAnsi="Times New Roman"/>
          <w:lang w:val="pt-BR"/>
        </w:rPr>
      </w:pPr>
    </w:p>
    <w:p w14:paraId="17C1368B" w14:textId="77777777" w:rsidR="005B7DDB" w:rsidRDefault="005B7DDB" w:rsidP="005B7DDB">
      <w:pPr>
        <w:pStyle w:val="TAMainText"/>
        <w:spacing w:line="240" w:lineRule="auto"/>
        <w:ind w:firstLine="0"/>
        <w:rPr>
          <w:rFonts w:ascii="Times New Roman" w:hAnsi="Times New Roman"/>
          <w:lang w:val="pt-BR"/>
        </w:rPr>
      </w:pPr>
      <w:r w:rsidRPr="00FC64D1">
        <w:rPr>
          <w:rFonts w:ascii="Times New Roman" w:hAnsi="Times New Roman"/>
          <w:b/>
          <w:bCs/>
          <w:lang w:val="pt-BR"/>
        </w:rPr>
        <w:t xml:space="preserve">Tabela </w:t>
      </w:r>
      <w:r w:rsidR="00290847">
        <w:rPr>
          <w:rFonts w:ascii="Times New Roman" w:hAnsi="Times New Roman"/>
          <w:b/>
          <w:bCs/>
          <w:lang w:val="pt-BR"/>
        </w:rPr>
        <w:t>1.</w:t>
      </w:r>
      <w:r>
        <w:rPr>
          <w:rFonts w:ascii="Times New Roman" w:hAnsi="Times New Roman"/>
          <w:lang w:val="pt-BR"/>
        </w:rPr>
        <w:t xml:space="preserve"> </w:t>
      </w:r>
      <w:r w:rsidR="00290847">
        <w:rPr>
          <w:rFonts w:ascii="Times New Roman" w:hAnsi="Times New Roman"/>
          <w:lang w:val="pt-BR"/>
        </w:rPr>
        <w:t>Teores</w:t>
      </w:r>
      <w:r>
        <w:rPr>
          <w:rFonts w:ascii="Times New Roman" w:hAnsi="Times New Roman"/>
          <w:lang w:val="pt-BR"/>
        </w:rPr>
        <w:t xml:space="preserve"> obtidos em % de peso por MEV-EDS.</w:t>
      </w:r>
    </w:p>
    <w:tbl>
      <w:tblPr>
        <w:tblW w:w="401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5"/>
        <w:gridCol w:w="455"/>
        <w:gridCol w:w="545"/>
        <w:gridCol w:w="455"/>
        <w:gridCol w:w="455"/>
        <w:gridCol w:w="545"/>
      </w:tblGrid>
      <w:tr w:rsidR="00521D45" w:rsidRPr="00072C7A" w14:paraId="3A843CCF" w14:textId="77777777" w:rsidTr="00521D45">
        <w:trPr>
          <w:trHeight w:val="340"/>
          <w:jc w:val="center"/>
        </w:trPr>
        <w:tc>
          <w:tcPr>
            <w:tcW w:w="1555" w:type="dxa"/>
            <w:vMerge w:val="restart"/>
            <w:vAlign w:val="center"/>
          </w:tcPr>
          <w:p w14:paraId="6A563362" w14:textId="77777777" w:rsidR="00521D45" w:rsidRDefault="00521D45" w:rsidP="00A239AF">
            <w:pPr>
              <w:pStyle w:val="TCTableBody"/>
              <w:spacing w:after="0"/>
              <w:jc w:val="center"/>
              <w:rPr>
                <w:lang w:val="pt-BR"/>
              </w:rPr>
            </w:pPr>
            <w:r>
              <w:rPr>
                <w:lang w:val="pt-BR"/>
              </w:rPr>
              <w:t>Catalisador</w:t>
            </w:r>
          </w:p>
        </w:tc>
        <w:tc>
          <w:tcPr>
            <w:tcW w:w="2455" w:type="dxa"/>
            <w:gridSpan w:val="5"/>
            <w:vAlign w:val="center"/>
          </w:tcPr>
          <w:p w14:paraId="07FE1BFC" w14:textId="77777777" w:rsidR="00521D45" w:rsidRDefault="00521D45" w:rsidP="00A239AF">
            <w:pPr>
              <w:pStyle w:val="TCTableBody"/>
              <w:spacing w:after="0"/>
              <w:jc w:val="center"/>
              <w:rPr>
                <w:lang w:val="pt-BR"/>
              </w:rPr>
            </w:pPr>
            <w:r>
              <w:rPr>
                <w:lang w:val="pt-BR"/>
              </w:rPr>
              <w:t>Teor (% peso)</w:t>
            </w:r>
          </w:p>
        </w:tc>
      </w:tr>
      <w:tr w:rsidR="00521D45" w:rsidRPr="00072C7A" w14:paraId="6E1F5F18" w14:textId="77777777" w:rsidTr="00521D45">
        <w:trPr>
          <w:trHeight w:val="340"/>
          <w:jc w:val="center"/>
        </w:trPr>
        <w:tc>
          <w:tcPr>
            <w:tcW w:w="1555" w:type="dxa"/>
            <w:vMerge/>
            <w:tcBorders>
              <w:bottom w:val="single" w:sz="4" w:space="0" w:color="auto"/>
            </w:tcBorders>
            <w:vAlign w:val="center"/>
          </w:tcPr>
          <w:p w14:paraId="7E1D95C1" w14:textId="77777777" w:rsidR="00521D45" w:rsidRDefault="00521D45" w:rsidP="00A239AF">
            <w:pPr>
              <w:pStyle w:val="TCTableBody"/>
              <w:spacing w:after="0"/>
              <w:jc w:val="center"/>
              <w:rPr>
                <w:lang w:val="pt-BR"/>
              </w:rPr>
            </w:pPr>
          </w:p>
        </w:tc>
        <w:tc>
          <w:tcPr>
            <w:tcW w:w="455" w:type="dxa"/>
            <w:tcBorders>
              <w:bottom w:val="single" w:sz="4" w:space="0" w:color="auto"/>
            </w:tcBorders>
            <w:vAlign w:val="center"/>
          </w:tcPr>
          <w:p w14:paraId="50071508" w14:textId="77777777" w:rsidR="00521D45" w:rsidRDefault="00521D45" w:rsidP="00A239AF">
            <w:pPr>
              <w:pStyle w:val="TCTableBody"/>
              <w:spacing w:after="0"/>
              <w:jc w:val="center"/>
              <w:rPr>
                <w:lang w:val="pt-BR"/>
              </w:rPr>
            </w:pPr>
            <w:r>
              <w:rPr>
                <w:lang w:val="pt-BR"/>
              </w:rPr>
              <w:t>P</w:t>
            </w:r>
          </w:p>
        </w:tc>
        <w:tc>
          <w:tcPr>
            <w:tcW w:w="545" w:type="dxa"/>
            <w:tcBorders>
              <w:bottom w:val="single" w:sz="4" w:space="0" w:color="auto"/>
            </w:tcBorders>
            <w:vAlign w:val="center"/>
          </w:tcPr>
          <w:p w14:paraId="3ABEC0ED" w14:textId="77777777" w:rsidR="00521D45" w:rsidRDefault="00521D45" w:rsidP="00A239AF">
            <w:pPr>
              <w:pStyle w:val="TCTableBody"/>
              <w:spacing w:after="0"/>
              <w:jc w:val="center"/>
              <w:rPr>
                <w:lang w:val="pt-BR"/>
              </w:rPr>
            </w:pPr>
            <w:r>
              <w:rPr>
                <w:lang w:val="pt-BR"/>
              </w:rPr>
              <w:t>W</w:t>
            </w:r>
          </w:p>
        </w:tc>
        <w:tc>
          <w:tcPr>
            <w:tcW w:w="455" w:type="dxa"/>
            <w:tcBorders>
              <w:bottom w:val="single" w:sz="4" w:space="0" w:color="auto"/>
            </w:tcBorders>
            <w:vAlign w:val="center"/>
          </w:tcPr>
          <w:p w14:paraId="42FC28F4" w14:textId="77777777" w:rsidR="00521D45" w:rsidRDefault="00521D45" w:rsidP="00A239AF">
            <w:pPr>
              <w:pStyle w:val="TCTableBody"/>
              <w:spacing w:after="0"/>
              <w:jc w:val="center"/>
              <w:rPr>
                <w:lang w:val="pt-BR"/>
              </w:rPr>
            </w:pPr>
            <w:r>
              <w:rPr>
                <w:lang w:val="pt-BR"/>
              </w:rPr>
              <w:t>Ru</w:t>
            </w:r>
          </w:p>
        </w:tc>
        <w:tc>
          <w:tcPr>
            <w:tcW w:w="455" w:type="dxa"/>
            <w:tcBorders>
              <w:bottom w:val="single" w:sz="4" w:space="0" w:color="auto"/>
            </w:tcBorders>
            <w:vAlign w:val="center"/>
          </w:tcPr>
          <w:p w14:paraId="5EBBDED9" w14:textId="77777777" w:rsidR="00521D45" w:rsidRDefault="00521D45" w:rsidP="00A239AF">
            <w:pPr>
              <w:pStyle w:val="TCTableBody"/>
              <w:spacing w:after="0"/>
              <w:jc w:val="center"/>
              <w:rPr>
                <w:lang w:val="pt-BR"/>
              </w:rPr>
            </w:pPr>
            <w:proofErr w:type="spellStart"/>
            <w:r>
              <w:rPr>
                <w:lang w:val="pt-BR"/>
              </w:rPr>
              <w:t>Pd</w:t>
            </w:r>
            <w:proofErr w:type="spellEnd"/>
          </w:p>
        </w:tc>
        <w:tc>
          <w:tcPr>
            <w:tcW w:w="545" w:type="dxa"/>
            <w:tcBorders>
              <w:bottom w:val="single" w:sz="4" w:space="0" w:color="auto"/>
            </w:tcBorders>
            <w:vAlign w:val="center"/>
          </w:tcPr>
          <w:p w14:paraId="68610C3D" w14:textId="77777777" w:rsidR="00521D45" w:rsidRDefault="00521D45" w:rsidP="00A239AF">
            <w:pPr>
              <w:pStyle w:val="TCTableBody"/>
              <w:spacing w:after="0"/>
              <w:jc w:val="center"/>
              <w:rPr>
                <w:lang w:val="pt-BR"/>
              </w:rPr>
            </w:pPr>
            <w:r>
              <w:rPr>
                <w:lang w:val="pt-BR"/>
              </w:rPr>
              <w:t>Cl</w:t>
            </w:r>
          </w:p>
        </w:tc>
      </w:tr>
      <w:tr w:rsidR="00521D45" w:rsidRPr="00072C7A" w14:paraId="103F03FE" w14:textId="77777777" w:rsidTr="00521D45">
        <w:trPr>
          <w:trHeight w:val="340"/>
          <w:jc w:val="center"/>
        </w:trPr>
        <w:tc>
          <w:tcPr>
            <w:tcW w:w="1555" w:type="dxa"/>
            <w:tcBorders>
              <w:bottom w:val="single" w:sz="4" w:space="0" w:color="auto"/>
            </w:tcBorders>
            <w:vAlign w:val="center"/>
          </w:tcPr>
          <w:p w14:paraId="448FFAE1" w14:textId="77777777" w:rsidR="00521D45" w:rsidRDefault="00521D45" w:rsidP="00C63DDF">
            <w:pPr>
              <w:pStyle w:val="TCTableBody"/>
              <w:spacing w:after="0"/>
              <w:jc w:val="center"/>
              <w:rPr>
                <w:lang w:val="pt-BR"/>
              </w:rPr>
            </w:pPr>
            <w:proofErr w:type="spellStart"/>
            <w:r>
              <w:rPr>
                <w:lang w:val="pt-BR"/>
              </w:rPr>
              <w:t>RuSiralHPW</w:t>
            </w:r>
            <w:proofErr w:type="spellEnd"/>
          </w:p>
        </w:tc>
        <w:tc>
          <w:tcPr>
            <w:tcW w:w="455" w:type="dxa"/>
            <w:tcBorders>
              <w:bottom w:val="single" w:sz="4" w:space="0" w:color="auto"/>
            </w:tcBorders>
            <w:vAlign w:val="center"/>
          </w:tcPr>
          <w:p w14:paraId="62985796" w14:textId="77777777" w:rsidR="00521D45" w:rsidRPr="00C63DDF" w:rsidRDefault="00521D45" w:rsidP="00C63DDF">
            <w:pPr>
              <w:pStyle w:val="TCTableBody"/>
              <w:spacing w:after="0"/>
              <w:jc w:val="center"/>
              <w:rPr>
                <w:rFonts w:cs="Times"/>
                <w:szCs w:val="18"/>
                <w:lang w:val="pt-BR"/>
              </w:rPr>
            </w:pPr>
            <w:r w:rsidRPr="00C63DDF">
              <w:rPr>
                <w:rFonts w:cs="Times"/>
                <w:szCs w:val="18"/>
              </w:rPr>
              <w:t>0,48</w:t>
            </w:r>
          </w:p>
        </w:tc>
        <w:tc>
          <w:tcPr>
            <w:tcW w:w="545" w:type="dxa"/>
            <w:tcBorders>
              <w:bottom w:val="single" w:sz="4" w:space="0" w:color="auto"/>
            </w:tcBorders>
            <w:vAlign w:val="center"/>
          </w:tcPr>
          <w:p w14:paraId="09650B22" w14:textId="77777777" w:rsidR="00521D45" w:rsidRPr="00C63DDF" w:rsidRDefault="00521D45" w:rsidP="00C63DDF">
            <w:pPr>
              <w:pStyle w:val="TCTableBody"/>
              <w:spacing w:after="0"/>
              <w:jc w:val="center"/>
              <w:rPr>
                <w:rFonts w:cs="Times"/>
                <w:szCs w:val="18"/>
                <w:lang w:val="pt-BR"/>
              </w:rPr>
            </w:pPr>
            <w:r w:rsidRPr="00C63DDF">
              <w:rPr>
                <w:rFonts w:cs="Times"/>
                <w:szCs w:val="18"/>
              </w:rPr>
              <w:t>29,01</w:t>
            </w:r>
          </w:p>
        </w:tc>
        <w:tc>
          <w:tcPr>
            <w:tcW w:w="455" w:type="dxa"/>
            <w:tcBorders>
              <w:bottom w:val="single" w:sz="4" w:space="0" w:color="auto"/>
            </w:tcBorders>
            <w:vAlign w:val="center"/>
          </w:tcPr>
          <w:p w14:paraId="0468D193" w14:textId="77777777" w:rsidR="00521D45" w:rsidRPr="00C63DDF" w:rsidRDefault="00521D45" w:rsidP="00C63DDF">
            <w:pPr>
              <w:pStyle w:val="TCTableBody"/>
              <w:spacing w:after="0"/>
              <w:jc w:val="center"/>
              <w:rPr>
                <w:rFonts w:cs="Times"/>
                <w:szCs w:val="18"/>
                <w:lang w:val="pt-BR"/>
              </w:rPr>
            </w:pPr>
            <w:r w:rsidRPr="00C63DDF">
              <w:rPr>
                <w:rFonts w:cs="Times"/>
                <w:szCs w:val="18"/>
              </w:rPr>
              <w:t>0,68</w:t>
            </w:r>
          </w:p>
        </w:tc>
        <w:tc>
          <w:tcPr>
            <w:tcW w:w="455" w:type="dxa"/>
            <w:tcBorders>
              <w:bottom w:val="single" w:sz="4" w:space="0" w:color="auto"/>
            </w:tcBorders>
            <w:vAlign w:val="center"/>
          </w:tcPr>
          <w:p w14:paraId="443CAD0C" w14:textId="77777777" w:rsidR="00521D45" w:rsidRPr="00C63DDF" w:rsidRDefault="00521D45" w:rsidP="00C63DDF">
            <w:pPr>
              <w:pStyle w:val="TCTableBody"/>
              <w:spacing w:after="0"/>
              <w:jc w:val="center"/>
              <w:rPr>
                <w:rFonts w:cs="Times"/>
                <w:szCs w:val="18"/>
                <w:lang w:val="pt-BR"/>
              </w:rPr>
            </w:pPr>
            <w:r w:rsidRPr="00C63DDF">
              <w:rPr>
                <w:rFonts w:cs="Times"/>
                <w:szCs w:val="18"/>
              </w:rPr>
              <w:t>-</w:t>
            </w:r>
          </w:p>
        </w:tc>
        <w:tc>
          <w:tcPr>
            <w:tcW w:w="545" w:type="dxa"/>
            <w:tcBorders>
              <w:bottom w:val="single" w:sz="4" w:space="0" w:color="auto"/>
            </w:tcBorders>
            <w:vAlign w:val="center"/>
          </w:tcPr>
          <w:p w14:paraId="66C78B7C" w14:textId="77777777" w:rsidR="00521D45" w:rsidRPr="00C63DDF" w:rsidRDefault="00521D45" w:rsidP="00C63DDF">
            <w:pPr>
              <w:pStyle w:val="TCTableBody"/>
              <w:spacing w:after="0"/>
              <w:jc w:val="center"/>
              <w:rPr>
                <w:rFonts w:cs="Times"/>
                <w:szCs w:val="18"/>
              </w:rPr>
            </w:pPr>
            <w:r>
              <w:rPr>
                <w:rFonts w:cs="Times"/>
                <w:szCs w:val="18"/>
              </w:rPr>
              <w:t>0</w:t>
            </w:r>
          </w:p>
        </w:tc>
      </w:tr>
      <w:tr w:rsidR="00521D45" w:rsidRPr="00072C7A" w14:paraId="66130257" w14:textId="77777777" w:rsidTr="00521D45">
        <w:trPr>
          <w:trHeight w:val="340"/>
          <w:jc w:val="center"/>
        </w:trPr>
        <w:tc>
          <w:tcPr>
            <w:tcW w:w="1555" w:type="dxa"/>
            <w:tcBorders>
              <w:bottom w:val="single" w:sz="4" w:space="0" w:color="auto"/>
            </w:tcBorders>
            <w:vAlign w:val="center"/>
          </w:tcPr>
          <w:p w14:paraId="5C88E8FC" w14:textId="77777777" w:rsidR="00521D45" w:rsidRDefault="00521D45" w:rsidP="00C63DDF">
            <w:pPr>
              <w:pStyle w:val="TCTableBody"/>
              <w:spacing w:after="0"/>
              <w:jc w:val="center"/>
              <w:rPr>
                <w:lang w:val="pt-BR"/>
              </w:rPr>
            </w:pPr>
            <w:proofErr w:type="gramStart"/>
            <w:r>
              <w:rPr>
                <w:lang w:val="pt-BR"/>
              </w:rPr>
              <w:t>Ru(</w:t>
            </w:r>
            <w:proofErr w:type="gramEnd"/>
            <w:r>
              <w:rPr>
                <w:lang w:val="pt-BR"/>
              </w:rPr>
              <w:t>NO)</w:t>
            </w:r>
            <w:proofErr w:type="spellStart"/>
            <w:r>
              <w:rPr>
                <w:lang w:val="pt-BR"/>
              </w:rPr>
              <w:t>SiralHPW</w:t>
            </w:r>
            <w:proofErr w:type="spellEnd"/>
          </w:p>
        </w:tc>
        <w:tc>
          <w:tcPr>
            <w:tcW w:w="455" w:type="dxa"/>
            <w:tcBorders>
              <w:bottom w:val="single" w:sz="4" w:space="0" w:color="auto"/>
            </w:tcBorders>
            <w:vAlign w:val="center"/>
          </w:tcPr>
          <w:p w14:paraId="0B5EF0DA" w14:textId="77777777" w:rsidR="00521D45" w:rsidRPr="00C63DDF" w:rsidRDefault="00521D45" w:rsidP="00C63DDF">
            <w:pPr>
              <w:pStyle w:val="TCTableBody"/>
              <w:spacing w:after="0"/>
              <w:jc w:val="center"/>
              <w:rPr>
                <w:rFonts w:cs="Times"/>
                <w:szCs w:val="18"/>
                <w:lang w:val="pt-BR"/>
              </w:rPr>
            </w:pPr>
            <w:r w:rsidRPr="00C63DDF">
              <w:rPr>
                <w:rFonts w:cs="Times"/>
                <w:szCs w:val="18"/>
              </w:rPr>
              <w:t>0,50</w:t>
            </w:r>
          </w:p>
        </w:tc>
        <w:tc>
          <w:tcPr>
            <w:tcW w:w="545" w:type="dxa"/>
            <w:tcBorders>
              <w:bottom w:val="single" w:sz="4" w:space="0" w:color="auto"/>
            </w:tcBorders>
            <w:vAlign w:val="center"/>
          </w:tcPr>
          <w:p w14:paraId="544AA4D9" w14:textId="77777777" w:rsidR="00521D45" w:rsidRPr="00C63DDF" w:rsidRDefault="00521D45" w:rsidP="00C63DDF">
            <w:pPr>
              <w:pStyle w:val="TCTableBody"/>
              <w:spacing w:after="0"/>
              <w:jc w:val="center"/>
              <w:rPr>
                <w:rFonts w:cs="Times"/>
                <w:szCs w:val="18"/>
                <w:lang w:val="pt-BR"/>
              </w:rPr>
            </w:pPr>
            <w:r w:rsidRPr="00C63DDF">
              <w:rPr>
                <w:rFonts w:cs="Times"/>
                <w:szCs w:val="18"/>
              </w:rPr>
              <w:t>30,33</w:t>
            </w:r>
          </w:p>
        </w:tc>
        <w:tc>
          <w:tcPr>
            <w:tcW w:w="455" w:type="dxa"/>
            <w:tcBorders>
              <w:bottom w:val="single" w:sz="4" w:space="0" w:color="auto"/>
            </w:tcBorders>
            <w:vAlign w:val="center"/>
          </w:tcPr>
          <w:p w14:paraId="4EA307E0" w14:textId="77777777" w:rsidR="00521D45" w:rsidRPr="00C63DDF" w:rsidRDefault="00521D45" w:rsidP="00C63DDF">
            <w:pPr>
              <w:pStyle w:val="TCTableBody"/>
              <w:spacing w:after="0"/>
              <w:jc w:val="center"/>
              <w:rPr>
                <w:rFonts w:cs="Times"/>
                <w:szCs w:val="18"/>
                <w:lang w:val="pt-BR"/>
              </w:rPr>
            </w:pPr>
            <w:r w:rsidRPr="00C63DDF">
              <w:rPr>
                <w:rFonts w:cs="Times"/>
                <w:szCs w:val="18"/>
              </w:rPr>
              <w:t>1,20</w:t>
            </w:r>
          </w:p>
        </w:tc>
        <w:tc>
          <w:tcPr>
            <w:tcW w:w="455" w:type="dxa"/>
            <w:tcBorders>
              <w:bottom w:val="single" w:sz="4" w:space="0" w:color="auto"/>
            </w:tcBorders>
            <w:vAlign w:val="center"/>
          </w:tcPr>
          <w:p w14:paraId="5F71FD8E" w14:textId="77777777" w:rsidR="00521D45" w:rsidRPr="00C63DDF" w:rsidRDefault="00521D45" w:rsidP="00C63DDF">
            <w:pPr>
              <w:pStyle w:val="TCTableBody"/>
              <w:spacing w:after="0"/>
              <w:jc w:val="center"/>
              <w:rPr>
                <w:rFonts w:cs="Times"/>
                <w:szCs w:val="18"/>
                <w:lang w:val="pt-BR"/>
              </w:rPr>
            </w:pPr>
            <w:r w:rsidRPr="00C63DDF">
              <w:rPr>
                <w:rFonts w:cs="Times"/>
                <w:szCs w:val="18"/>
              </w:rPr>
              <w:t>-</w:t>
            </w:r>
          </w:p>
        </w:tc>
        <w:tc>
          <w:tcPr>
            <w:tcW w:w="545" w:type="dxa"/>
            <w:tcBorders>
              <w:bottom w:val="single" w:sz="4" w:space="0" w:color="auto"/>
            </w:tcBorders>
            <w:vAlign w:val="center"/>
          </w:tcPr>
          <w:p w14:paraId="331920FB" w14:textId="77777777" w:rsidR="00521D45" w:rsidRPr="00C63DDF" w:rsidRDefault="00521D45" w:rsidP="00C63DDF">
            <w:pPr>
              <w:pStyle w:val="TCTableBody"/>
              <w:spacing w:after="0"/>
              <w:jc w:val="center"/>
              <w:rPr>
                <w:rFonts w:cs="Times"/>
                <w:szCs w:val="18"/>
              </w:rPr>
            </w:pPr>
            <w:r>
              <w:rPr>
                <w:rFonts w:cs="Times"/>
                <w:szCs w:val="18"/>
              </w:rPr>
              <w:t>0</w:t>
            </w:r>
          </w:p>
        </w:tc>
      </w:tr>
      <w:tr w:rsidR="00521D45" w:rsidRPr="00072C7A" w14:paraId="0FCF4457" w14:textId="77777777" w:rsidTr="00521D45">
        <w:trPr>
          <w:trHeight w:val="340"/>
          <w:jc w:val="center"/>
        </w:trPr>
        <w:tc>
          <w:tcPr>
            <w:tcW w:w="1555" w:type="dxa"/>
            <w:tcBorders>
              <w:bottom w:val="single" w:sz="4" w:space="0" w:color="auto"/>
            </w:tcBorders>
            <w:vAlign w:val="center"/>
          </w:tcPr>
          <w:p w14:paraId="024DB68D" w14:textId="77777777" w:rsidR="00521D45" w:rsidRDefault="00521D45" w:rsidP="00C63DDF">
            <w:pPr>
              <w:pStyle w:val="TCTableBody"/>
              <w:spacing w:after="0"/>
              <w:jc w:val="center"/>
              <w:rPr>
                <w:lang w:val="pt-BR"/>
              </w:rPr>
            </w:pPr>
            <w:proofErr w:type="spellStart"/>
            <w:r>
              <w:rPr>
                <w:lang w:val="pt-BR"/>
              </w:rPr>
              <w:t>PdSiralHPW</w:t>
            </w:r>
            <w:proofErr w:type="spellEnd"/>
          </w:p>
        </w:tc>
        <w:tc>
          <w:tcPr>
            <w:tcW w:w="455" w:type="dxa"/>
            <w:tcBorders>
              <w:bottom w:val="single" w:sz="4" w:space="0" w:color="auto"/>
            </w:tcBorders>
            <w:vAlign w:val="center"/>
          </w:tcPr>
          <w:p w14:paraId="7A60E4C2" w14:textId="77777777" w:rsidR="00521D45" w:rsidRPr="00C63DDF" w:rsidRDefault="00521D45" w:rsidP="00C63DDF">
            <w:pPr>
              <w:pStyle w:val="TCTableBody"/>
              <w:spacing w:after="0"/>
              <w:jc w:val="center"/>
              <w:rPr>
                <w:rFonts w:cs="Times"/>
                <w:szCs w:val="18"/>
                <w:lang w:val="pt-BR"/>
              </w:rPr>
            </w:pPr>
            <w:r w:rsidRPr="00C63DDF">
              <w:rPr>
                <w:rFonts w:cs="Times"/>
                <w:szCs w:val="18"/>
              </w:rPr>
              <w:t>0,48</w:t>
            </w:r>
          </w:p>
        </w:tc>
        <w:tc>
          <w:tcPr>
            <w:tcW w:w="545" w:type="dxa"/>
            <w:tcBorders>
              <w:bottom w:val="single" w:sz="4" w:space="0" w:color="auto"/>
            </w:tcBorders>
            <w:vAlign w:val="center"/>
          </w:tcPr>
          <w:p w14:paraId="7234E6C1" w14:textId="77777777" w:rsidR="00521D45" w:rsidRPr="00C63DDF" w:rsidRDefault="00521D45" w:rsidP="00C63DDF">
            <w:pPr>
              <w:pStyle w:val="TCTableBody"/>
              <w:spacing w:after="0"/>
              <w:jc w:val="center"/>
              <w:rPr>
                <w:rFonts w:cs="Times"/>
                <w:szCs w:val="18"/>
                <w:lang w:val="pt-BR"/>
              </w:rPr>
            </w:pPr>
            <w:r w:rsidRPr="00C63DDF">
              <w:rPr>
                <w:rFonts w:cs="Times"/>
                <w:szCs w:val="18"/>
              </w:rPr>
              <w:t>28,37</w:t>
            </w:r>
          </w:p>
        </w:tc>
        <w:tc>
          <w:tcPr>
            <w:tcW w:w="455" w:type="dxa"/>
            <w:tcBorders>
              <w:bottom w:val="single" w:sz="4" w:space="0" w:color="auto"/>
            </w:tcBorders>
            <w:vAlign w:val="center"/>
          </w:tcPr>
          <w:p w14:paraId="728569D4" w14:textId="77777777" w:rsidR="00521D45" w:rsidRPr="00C63DDF" w:rsidRDefault="00521D45" w:rsidP="00C63DDF">
            <w:pPr>
              <w:pStyle w:val="TCTableBody"/>
              <w:spacing w:after="0"/>
              <w:jc w:val="center"/>
              <w:rPr>
                <w:rFonts w:cs="Times"/>
                <w:szCs w:val="18"/>
                <w:lang w:val="pt-BR"/>
              </w:rPr>
            </w:pPr>
            <w:r w:rsidRPr="00C63DDF">
              <w:rPr>
                <w:rFonts w:cs="Times"/>
                <w:szCs w:val="18"/>
              </w:rPr>
              <w:t>-</w:t>
            </w:r>
          </w:p>
        </w:tc>
        <w:tc>
          <w:tcPr>
            <w:tcW w:w="455" w:type="dxa"/>
            <w:tcBorders>
              <w:bottom w:val="single" w:sz="4" w:space="0" w:color="auto"/>
            </w:tcBorders>
            <w:vAlign w:val="center"/>
          </w:tcPr>
          <w:p w14:paraId="0339E3A1" w14:textId="77777777" w:rsidR="00521D45" w:rsidRPr="00C63DDF" w:rsidRDefault="00521D45" w:rsidP="00C63DDF">
            <w:pPr>
              <w:pStyle w:val="TCTableBody"/>
              <w:spacing w:after="0"/>
              <w:jc w:val="center"/>
              <w:rPr>
                <w:rFonts w:cs="Times"/>
                <w:szCs w:val="18"/>
                <w:lang w:val="pt-BR"/>
              </w:rPr>
            </w:pPr>
            <w:r w:rsidRPr="00C63DDF">
              <w:rPr>
                <w:rFonts w:cs="Times"/>
                <w:szCs w:val="18"/>
              </w:rPr>
              <w:t>0,72</w:t>
            </w:r>
          </w:p>
        </w:tc>
        <w:tc>
          <w:tcPr>
            <w:tcW w:w="545" w:type="dxa"/>
            <w:tcBorders>
              <w:bottom w:val="single" w:sz="4" w:space="0" w:color="auto"/>
            </w:tcBorders>
            <w:vAlign w:val="center"/>
          </w:tcPr>
          <w:p w14:paraId="5EDE4378" w14:textId="77777777" w:rsidR="00521D45" w:rsidRPr="00C63DDF" w:rsidRDefault="00521D45" w:rsidP="00C63DDF">
            <w:pPr>
              <w:pStyle w:val="TCTableBody"/>
              <w:spacing w:after="0"/>
              <w:jc w:val="center"/>
              <w:rPr>
                <w:rFonts w:cs="Times"/>
                <w:szCs w:val="18"/>
              </w:rPr>
            </w:pPr>
            <w:r>
              <w:rPr>
                <w:rFonts w:cs="Times"/>
                <w:szCs w:val="18"/>
              </w:rPr>
              <w:t>0,14</w:t>
            </w:r>
          </w:p>
        </w:tc>
      </w:tr>
      <w:tr w:rsidR="00521D45" w:rsidRPr="00072C7A" w14:paraId="3C289DCE" w14:textId="77777777" w:rsidTr="00521D45">
        <w:trPr>
          <w:trHeight w:val="340"/>
          <w:jc w:val="center"/>
        </w:trPr>
        <w:tc>
          <w:tcPr>
            <w:tcW w:w="1555" w:type="dxa"/>
            <w:tcBorders>
              <w:bottom w:val="single" w:sz="4" w:space="0" w:color="auto"/>
            </w:tcBorders>
            <w:vAlign w:val="center"/>
          </w:tcPr>
          <w:p w14:paraId="1D7D7DBF" w14:textId="77777777" w:rsidR="00521D45" w:rsidRDefault="00521D45" w:rsidP="00C63DDF">
            <w:pPr>
              <w:pStyle w:val="TCTableBody"/>
              <w:spacing w:after="0"/>
              <w:jc w:val="center"/>
              <w:rPr>
                <w:lang w:val="pt-BR"/>
              </w:rPr>
            </w:pPr>
            <w:proofErr w:type="spellStart"/>
            <w:r>
              <w:rPr>
                <w:lang w:val="pt-BR"/>
              </w:rPr>
              <w:t>PdRuSiralHPW</w:t>
            </w:r>
            <w:proofErr w:type="spellEnd"/>
          </w:p>
        </w:tc>
        <w:tc>
          <w:tcPr>
            <w:tcW w:w="455" w:type="dxa"/>
            <w:tcBorders>
              <w:bottom w:val="single" w:sz="4" w:space="0" w:color="auto"/>
            </w:tcBorders>
            <w:vAlign w:val="center"/>
          </w:tcPr>
          <w:p w14:paraId="724DCE71" w14:textId="77777777" w:rsidR="00521D45" w:rsidRPr="00C63DDF" w:rsidRDefault="00521D45" w:rsidP="00C63DDF">
            <w:pPr>
              <w:pStyle w:val="TCTableBody"/>
              <w:spacing w:after="0"/>
              <w:jc w:val="center"/>
              <w:rPr>
                <w:rFonts w:cs="Times"/>
                <w:szCs w:val="18"/>
                <w:lang w:val="pt-BR"/>
              </w:rPr>
            </w:pPr>
            <w:r w:rsidRPr="00C63DDF">
              <w:rPr>
                <w:rFonts w:cs="Times"/>
                <w:szCs w:val="18"/>
              </w:rPr>
              <w:t>0,55</w:t>
            </w:r>
          </w:p>
        </w:tc>
        <w:tc>
          <w:tcPr>
            <w:tcW w:w="545" w:type="dxa"/>
            <w:tcBorders>
              <w:bottom w:val="single" w:sz="4" w:space="0" w:color="auto"/>
            </w:tcBorders>
            <w:vAlign w:val="center"/>
          </w:tcPr>
          <w:p w14:paraId="2DF5BEE3" w14:textId="77777777" w:rsidR="00521D45" w:rsidRPr="00C63DDF" w:rsidRDefault="00521D45" w:rsidP="00C63DDF">
            <w:pPr>
              <w:pStyle w:val="TCTableBody"/>
              <w:spacing w:after="0"/>
              <w:jc w:val="center"/>
              <w:rPr>
                <w:rFonts w:cs="Times"/>
                <w:szCs w:val="18"/>
                <w:lang w:val="pt-BR"/>
              </w:rPr>
            </w:pPr>
            <w:r w:rsidRPr="00C63DDF">
              <w:rPr>
                <w:rFonts w:cs="Times"/>
                <w:szCs w:val="18"/>
              </w:rPr>
              <w:t>31,27</w:t>
            </w:r>
          </w:p>
        </w:tc>
        <w:tc>
          <w:tcPr>
            <w:tcW w:w="455" w:type="dxa"/>
            <w:tcBorders>
              <w:bottom w:val="single" w:sz="4" w:space="0" w:color="auto"/>
            </w:tcBorders>
            <w:vAlign w:val="center"/>
          </w:tcPr>
          <w:p w14:paraId="47A8CB6D" w14:textId="77777777" w:rsidR="00521D45" w:rsidRPr="00C63DDF" w:rsidRDefault="00521D45" w:rsidP="00C63DDF">
            <w:pPr>
              <w:pStyle w:val="TCTableBody"/>
              <w:spacing w:after="0"/>
              <w:jc w:val="center"/>
              <w:rPr>
                <w:rFonts w:cs="Times"/>
                <w:szCs w:val="18"/>
                <w:lang w:val="pt-BR"/>
              </w:rPr>
            </w:pPr>
            <w:r w:rsidRPr="00C63DDF">
              <w:rPr>
                <w:rFonts w:cs="Times"/>
                <w:szCs w:val="18"/>
              </w:rPr>
              <w:t>0,30</w:t>
            </w:r>
          </w:p>
        </w:tc>
        <w:tc>
          <w:tcPr>
            <w:tcW w:w="455" w:type="dxa"/>
            <w:tcBorders>
              <w:bottom w:val="single" w:sz="4" w:space="0" w:color="auto"/>
            </w:tcBorders>
            <w:vAlign w:val="center"/>
          </w:tcPr>
          <w:p w14:paraId="319100F2" w14:textId="77777777" w:rsidR="00521D45" w:rsidRPr="00C63DDF" w:rsidRDefault="00521D45" w:rsidP="00C63DDF">
            <w:pPr>
              <w:pStyle w:val="TCTableBody"/>
              <w:spacing w:after="0"/>
              <w:jc w:val="center"/>
              <w:rPr>
                <w:rFonts w:cs="Times"/>
                <w:szCs w:val="18"/>
                <w:lang w:val="pt-BR"/>
              </w:rPr>
            </w:pPr>
            <w:r w:rsidRPr="00C63DDF">
              <w:rPr>
                <w:rFonts w:cs="Times"/>
                <w:szCs w:val="18"/>
              </w:rPr>
              <w:t>0,50</w:t>
            </w:r>
          </w:p>
        </w:tc>
        <w:tc>
          <w:tcPr>
            <w:tcW w:w="545" w:type="dxa"/>
            <w:tcBorders>
              <w:bottom w:val="single" w:sz="4" w:space="0" w:color="auto"/>
            </w:tcBorders>
            <w:vAlign w:val="center"/>
          </w:tcPr>
          <w:p w14:paraId="22DE106B" w14:textId="77777777" w:rsidR="00521D45" w:rsidRPr="00C63DDF" w:rsidRDefault="00521D45" w:rsidP="00C63DDF">
            <w:pPr>
              <w:pStyle w:val="TCTableBody"/>
              <w:spacing w:after="0"/>
              <w:jc w:val="center"/>
              <w:rPr>
                <w:rFonts w:cs="Times"/>
                <w:szCs w:val="18"/>
              </w:rPr>
            </w:pPr>
            <w:r>
              <w:rPr>
                <w:rFonts w:cs="Times"/>
                <w:szCs w:val="18"/>
              </w:rPr>
              <w:t>0,54</w:t>
            </w:r>
          </w:p>
        </w:tc>
      </w:tr>
    </w:tbl>
    <w:p w14:paraId="7D3AC5DE" w14:textId="77777777" w:rsidR="005B7DDB" w:rsidRDefault="005B7DDB" w:rsidP="005B7DDB">
      <w:pPr>
        <w:pStyle w:val="TAMainText"/>
        <w:ind w:firstLine="0"/>
        <w:rPr>
          <w:rFonts w:ascii="Times New Roman" w:hAnsi="Times New Roman"/>
          <w:iCs/>
          <w:lang w:val="pt-BR"/>
        </w:rPr>
      </w:pPr>
    </w:p>
    <w:p w14:paraId="52C5D447" w14:textId="7C1BF4C2" w:rsidR="005B7DDB" w:rsidRPr="00C851C5" w:rsidRDefault="005B7DDB" w:rsidP="005B7DDB">
      <w:pPr>
        <w:pStyle w:val="TAMainText"/>
        <w:ind w:firstLine="187"/>
        <w:rPr>
          <w:rFonts w:ascii="Times New Roman" w:hAnsi="Times New Roman"/>
          <w:iCs/>
          <w:lang w:val="pt-BR"/>
        </w:rPr>
      </w:pPr>
      <w:r>
        <w:rPr>
          <w:rFonts w:ascii="Times New Roman" w:hAnsi="Times New Roman"/>
          <w:iCs/>
          <w:lang w:val="pt-BR"/>
        </w:rPr>
        <w:t xml:space="preserve">Os catalisadores monometálicos foram sintetizados com o objetivo de se obter um teor de </w:t>
      </w:r>
      <w:r w:rsidR="00EB5D58">
        <w:rPr>
          <w:rFonts w:ascii="Times New Roman" w:hAnsi="Times New Roman"/>
          <w:iCs/>
          <w:lang w:val="pt-BR"/>
        </w:rPr>
        <w:t>1</w:t>
      </w:r>
      <w:r>
        <w:rPr>
          <w:rFonts w:ascii="Times New Roman" w:hAnsi="Times New Roman"/>
          <w:iCs/>
          <w:lang w:val="pt-BR"/>
        </w:rPr>
        <w:t xml:space="preserve"> % de </w:t>
      </w:r>
      <w:proofErr w:type="spellStart"/>
      <w:r>
        <w:rPr>
          <w:rFonts w:ascii="Times New Roman" w:hAnsi="Times New Roman"/>
          <w:iCs/>
          <w:lang w:val="pt-BR"/>
        </w:rPr>
        <w:t>Pd</w:t>
      </w:r>
      <w:proofErr w:type="spellEnd"/>
      <w:r>
        <w:rPr>
          <w:rFonts w:ascii="Times New Roman" w:hAnsi="Times New Roman"/>
          <w:iCs/>
          <w:lang w:val="pt-BR"/>
        </w:rPr>
        <w:t xml:space="preserve"> e Ru nos </w:t>
      </w:r>
      <w:r>
        <w:rPr>
          <w:rFonts w:ascii="Times New Roman" w:hAnsi="Times New Roman"/>
          <w:iCs/>
          <w:lang w:val="pt-BR"/>
        </w:rPr>
        <w:lastRenderedPageBreak/>
        <w:t xml:space="preserve">catalisadores, e segundo a análise por EDS é possível observar que os valores se encontram próximos aos valores desejados. Já o catalisador bimetálico foi sintetizado com o objetivo de se obter teores de 0,5 % de </w:t>
      </w:r>
      <w:proofErr w:type="spellStart"/>
      <w:r>
        <w:rPr>
          <w:rFonts w:ascii="Times New Roman" w:hAnsi="Times New Roman"/>
          <w:iCs/>
          <w:lang w:val="pt-BR"/>
        </w:rPr>
        <w:t>Pd</w:t>
      </w:r>
      <w:proofErr w:type="spellEnd"/>
      <w:r>
        <w:rPr>
          <w:rFonts w:ascii="Times New Roman" w:hAnsi="Times New Roman"/>
          <w:iCs/>
          <w:lang w:val="pt-BR"/>
        </w:rPr>
        <w:t xml:space="preserve"> e 0,5 % de Ru no material, e de acordo com os valores obtidos por EDS, o teor de </w:t>
      </w:r>
      <w:proofErr w:type="spellStart"/>
      <w:r>
        <w:rPr>
          <w:rFonts w:ascii="Times New Roman" w:hAnsi="Times New Roman"/>
          <w:iCs/>
          <w:lang w:val="pt-BR"/>
        </w:rPr>
        <w:t>Pd</w:t>
      </w:r>
      <w:proofErr w:type="spellEnd"/>
      <w:r>
        <w:rPr>
          <w:rFonts w:ascii="Times New Roman" w:hAnsi="Times New Roman"/>
          <w:iCs/>
          <w:lang w:val="pt-BR"/>
        </w:rPr>
        <w:t xml:space="preserve"> e Ru presente na amostra foi de 0,5 % e 0,3 %, respectivamente.</w:t>
      </w:r>
      <w:r w:rsidR="00B1419A">
        <w:rPr>
          <w:rFonts w:ascii="Times New Roman" w:hAnsi="Times New Roman"/>
          <w:iCs/>
          <w:lang w:val="pt-BR"/>
        </w:rPr>
        <w:t xml:space="preserve"> A tabela 1 também mostra que os catalisadores </w:t>
      </w:r>
      <w:proofErr w:type="spellStart"/>
      <w:r w:rsidR="00B1419A">
        <w:rPr>
          <w:rFonts w:ascii="Times New Roman" w:hAnsi="Times New Roman"/>
          <w:iCs/>
          <w:lang w:val="pt-BR"/>
        </w:rPr>
        <w:t>PdSiralHPW</w:t>
      </w:r>
      <w:proofErr w:type="spellEnd"/>
      <w:r w:rsidR="00B1419A">
        <w:rPr>
          <w:rFonts w:ascii="Times New Roman" w:hAnsi="Times New Roman"/>
          <w:iCs/>
          <w:lang w:val="pt-BR"/>
        </w:rPr>
        <w:t xml:space="preserve"> e </w:t>
      </w:r>
      <w:proofErr w:type="spellStart"/>
      <w:r w:rsidR="00B1419A">
        <w:rPr>
          <w:rFonts w:ascii="Times New Roman" w:hAnsi="Times New Roman"/>
          <w:iCs/>
          <w:lang w:val="pt-BR"/>
        </w:rPr>
        <w:t>PdRuSiralHPW</w:t>
      </w:r>
      <w:proofErr w:type="spellEnd"/>
      <w:r w:rsidR="00B1419A">
        <w:rPr>
          <w:rFonts w:ascii="Times New Roman" w:hAnsi="Times New Roman"/>
          <w:iCs/>
          <w:lang w:val="pt-BR"/>
        </w:rPr>
        <w:t xml:space="preserve"> apresentaram cloro proveniente do precursor, mesmo após calcinação a 500</w:t>
      </w:r>
      <w:r w:rsidR="003056EA">
        <w:rPr>
          <w:rFonts w:ascii="Times New Roman" w:hAnsi="Times New Roman"/>
          <w:iCs/>
          <w:lang w:val="pt-BR"/>
        </w:rPr>
        <w:t xml:space="preserve"> °</w:t>
      </w:r>
      <w:r w:rsidR="00B1419A">
        <w:rPr>
          <w:rFonts w:ascii="Times New Roman" w:hAnsi="Times New Roman"/>
          <w:iCs/>
          <w:lang w:val="pt-BR"/>
        </w:rPr>
        <w:t>C.</w:t>
      </w:r>
    </w:p>
    <w:p w14:paraId="0A6D80BD" w14:textId="1EB130F1" w:rsidR="005B7DDB" w:rsidRDefault="00C63DDF" w:rsidP="00B5369C">
      <w:pPr>
        <w:pStyle w:val="TAMainText"/>
        <w:spacing w:line="240" w:lineRule="auto"/>
        <w:ind w:firstLine="187"/>
        <w:rPr>
          <w:rFonts w:ascii="Times New Roman" w:hAnsi="Times New Roman"/>
          <w:lang w:val="pt-BR"/>
        </w:rPr>
      </w:pPr>
      <w:r>
        <w:rPr>
          <w:rFonts w:ascii="Times New Roman" w:hAnsi="Times New Roman"/>
          <w:lang w:val="pt-BR"/>
        </w:rPr>
        <w:t xml:space="preserve">Por outro lado, a razão mássica teórica W/P considerando a fórmula </w:t>
      </w:r>
      <w:r w:rsidRPr="00C30A64">
        <w:rPr>
          <w:rFonts w:ascii="Times New Roman" w:hAnsi="Times New Roman"/>
          <w:lang w:val="pt-BR"/>
        </w:rPr>
        <w:t>H</w:t>
      </w:r>
      <w:r w:rsidRPr="00C30A64">
        <w:rPr>
          <w:rFonts w:ascii="Times New Roman" w:hAnsi="Times New Roman"/>
          <w:vertAlign w:val="subscript"/>
          <w:lang w:val="pt-BR"/>
        </w:rPr>
        <w:t>3</w:t>
      </w:r>
      <w:r w:rsidRPr="00C30A64">
        <w:rPr>
          <w:rFonts w:ascii="Times New Roman" w:hAnsi="Times New Roman"/>
          <w:lang w:val="pt-BR"/>
        </w:rPr>
        <w:t>PW</w:t>
      </w:r>
      <w:r w:rsidRPr="00C30A64">
        <w:rPr>
          <w:rFonts w:ascii="Times New Roman" w:hAnsi="Times New Roman"/>
          <w:vertAlign w:val="subscript"/>
          <w:lang w:val="pt-BR"/>
        </w:rPr>
        <w:t>12</w:t>
      </w:r>
      <w:r w:rsidRPr="00C30A64">
        <w:rPr>
          <w:rFonts w:ascii="Times New Roman" w:hAnsi="Times New Roman"/>
          <w:lang w:val="pt-BR"/>
        </w:rPr>
        <w:t>O</w:t>
      </w:r>
      <w:r w:rsidRPr="00C30A64">
        <w:rPr>
          <w:rFonts w:ascii="Times New Roman" w:hAnsi="Times New Roman"/>
          <w:vertAlign w:val="subscript"/>
          <w:lang w:val="pt-BR"/>
        </w:rPr>
        <w:t>40</w:t>
      </w:r>
      <w:r w:rsidRPr="00C30A64">
        <w:rPr>
          <w:rFonts w:ascii="Times New Roman" w:hAnsi="Times New Roman"/>
          <w:lang w:val="pt-BR"/>
        </w:rPr>
        <w:t xml:space="preserve"> </w:t>
      </w:r>
      <w:r>
        <w:rPr>
          <w:rFonts w:ascii="Times New Roman" w:hAnsi="Times New Roman"/>
          <w:lang w:val="pt-BR"/>
        </w:rPr>
        <w:t xml:space="preserve">do </w:t>
      </w:r>
      <w:r w:rsidRPr="00C30A64">
        <w:rPr>
          <w:rFonts w:ascii="Times New Roman" w:hAnsi="Times New Roman"/>
          <w:lang w:val="pt-BR"/>
        </w:rPr>
        <w:t>HPW</w:t>
      </w:r>
      <w:r>
        <w:rPr>
          <w:rFonts w:ascii="Times New Roman" w:hAnsi="Times New Roman"/>
          <w:lang w:val="pt-BR"/>
        </w:rPr>
        <w:t xml:space="preserve"> é de 71,23 e foram encontrados valores menores, entre 57 e 61.</w:t>
      </w:r>
      <w:r w:rsidR="00F57446">
        <w:rPr>
          <w:rFonts w:ascii="Times New Roman" w:hAnsi="Times New Roman"/>
          <w:lang w:val="pt-BR"/>
        </w:rPr>
        <w:t xml:space="preserve"> Isso pode indicar uma alteração na estrutura do ácido </w:t>
      </w:r>
      <w:proofErr w:type="spellStart"/>
      <w:r w:rsidR="00F57446">
        <w:rPr>
          <w:rFonts w:ascii="Times New Roman" w:hAnsi="Times New Roman"/>
          <w:lang w:val="pt-BR"/>
        </w:rPr>
        <w:t>fosfotungstico</w:t>
      </w:r>
      <w:proofErr w:type="spellEnd"/>
      <w:r w:rsidR="00F57446">
        <w:rPr>
          <w:rFonts w:ascii="Times New Roman" w:hAnsi="Times New Roman"/>
          <w:lang w:val="pt-BR"/>
        </w:rPr>
        <w:t xml:space="preserve"> originalmente impregnado no </w:t>
      </w:r>
      <w:proofErr w:type="spellStart"/>
      <w:r w:rsidR="00F57446">
        <w:rPr>
          <w:rFonts w:ascii="Times New Roman" w:hAnsi="Times New Roman"/>
          <w:lang w:val="pt-BR"/>
        </w:rPr>
        <w:t>Siral</w:t>
      </w:r>
      <w:proofErr w:type="spellEnd"/>
      <w:r w:rsidR="00F57446">
        <w:rPr>
          <w:rFonts w:ascii="Times New Roman" w:hAnsi="Times New Roman"/>
          <w:lang w:val="pt-BR"/>
        </w:rPr>
        <w:t xml:space="preserve"> após calcinação a 500</w:t>
      </w:r>
      <w:r w:rsidR="003056EA">
        <w:rPr>
          <w:rFonts w:ascii="Times New Roman" w:hAnsi="Times New Roman"/>
          <w:lang w:val="pt-BR"/>
        </w:rPr>
        <w:t xml:space="preserve"> °</w:t>
      </w:r>
      <w:r w:rsidR="00F57446">
        <w:rPr>
          <w:rFonts w:ascii="Times New Roman" w:hAnsi="Times New Roman"/>
          <w:lang w:val="pt-BR"/>
        </w:rPr>
        <w:t xml:space="preserve">C. </w:t>
      </w:r>
    </w:p>
    <w:p w14:paraId="25F07714" w14:textId="77777777" w:rsidR="00A96CF5" w:rsidRDefault="005B7DDB" w:rsidP="00177699">
      <w:pPr>
        <w:pStyle w:val="TAMainText"/>
        <w:spacing w:line="240" w:lineRule="auto"/>
        <w:ind w:firstLine="187"/>
        <w:rPr>
          <w:rFonts w:ascii="Times New Roman" w:hAnsi="Times New Roman"/>
          <w:lang w:val="pt-BR"/>
        </w:rPr>
      </w:pPr>
      <w:r>
        <w:rPr>
          <w:rFonts w:ascii="Times New Roman" w:hAnsi="Times New Roman"/>
          <w:lang w:val="pt-BR"/>
        </w:rPr>
        <w:t xml:space="preserve">A tabela </w:t>
      </w:r>
      <w:r w:rsidR="001069AD">
        <w:rPr>
          <w:rFonts w:ascii="Times New Roman" w:hAnsi="Times New Roman"/>
          <w:lang w:val="pt-BR"/>
        </w:rPr>
        <w:t>2</w:t>
      </w:r>
      <w:r>
        <w:rPr>
          <w:rFonts w:ascii="Times New Roman" w:hAnsi="Times New Roman"/>
          <w:lang w:val="pt-BR"/>
        </w:rPr>
        <w:t xml:space="preserve"> apresenta os resultados da análise </w:t>
      </w:r>
      <w:proofErr w:type="spellStart"/>
      <w:r>
        <w:rPr>
          <w:rFonts w:ascii="Times New Roman" w:hAnsi="Times New Roman"/>
          <w:lang w:val="pt-BR"/>
        </w:rPr>
        <w:t>textural</w:t>
      </w:r>
      <w:proofErr w:type="spellEnd"/>
      <w:r>
        <w:rPr>
          <w:rFonts w:ascii="Times New Roman" w:hAnsi="Times New Roman"/>
          <w:lang w:val="pt-BR"/>
        </w:rPr>
        <w:t>. É</w:t>
      </w:r>
      <w:r w:rsidR="00E866E4">
        <w:rPr>
          <w:rFonts w:ascii="Times New Roman" w:hAnsi="Times New Roman"/>
          <w:lang w:val="pt-BR"/>
        </w:rPr>
        <w:t xml:space="preserve"> possível observar uma diminuição considerável d</w:t>
      </w:r>
      <w:r>
        <w:rPr>
          <w:rFonts w:ascii="Times New Roman" w:hAnsi="Times New Roman"/>
          <w:lang w:val="pt-BR"/>
        </w:rPr>
        <w:t>a área e volume de poros</w:t>
      </w:r>
      <w:r w:rsidR="00E866E4">
        <w:rPr>
          <w:rFonts w:ascii="Times New Roman" w:hAnsi="Times New Roman"/>
          <w:lang w:val="pt-BR"/>
        </w:rPr>
        <w:t xml:space="preserve"> após a impregnação do ácido </w:t>
      </w:r>
      <w:proofErr w:type="spellStart"/>
      <w:r w:rsidR="00E866E4">
        <w:rPr>
          <w:rFonts w:ascii="Times New Roman" w:hAnsi="Times New Roman"/>
          <w:lang w:val="pt-BR"/>
        </w:rPr>
        <w:t>fosfotungstico</w:t>
      </w:r>
      <w:proofErr w:type="spellEnd"/>
      <w:r w:rsidR="00E866E4">
        <w:rPr>
          <w:rFonts w:ascii="Times New Roman" w:hAnsi="Times New Roman"/>
          <w:lang w:val="pt-BR"/>
        </w:rPr>
        <w:t xml:space="preserve"> (HPW) no suporte (</w:t>
      </w:r>
      <w:proofErr w:type="spellStart"/>
      <w:r w:rsidR="00E866E4">
        <w:rPr>
          <w:rFonts w:ascii="Times New Roman" w:hAnsi="Times New Roman"/>
          <w:lang w:val="pt-BR"/>
        </w:rPr>
        <w:t>Siral</w:t>
      </w:r>
      <w:proofErr w:type="spellEnd"/>
      <w:r w:rsidR="00E866E4">
        <w:rPr>
          <w:rFonts w:ascii="Times New Roman" w:hAnsi="Times New Roman"/>
          <w:lang w:val="pt-BR"/>
        </w:rPr>
        <w:t>)</w:t>
      </w:r>
      <w:r w:rsidR="00D927FE">
        <w:rPr>
          <w:rFonts w:ascii="Times New Roman" w:hAnsi="Times New Roman"/>
          <w:lang w:val="pt-BR"/>
        </w:rPr>
        <w:t>, de acordo com os 46% de HPW adicionados ao suporte original</w:t>
      </w:r>
      <w:r w:rsidR="00E866E4">
        <w:rPr>
          <w:rFonts w:ascii="Times New Roman" w:hAnsi="Times New Roman"/>
          <w:lang w:val="pt-BR"/>
        </w:rPr>
        <w:t xml:space="preserve">. Já em relação a adição de Ru e </w:t>
      </w:r>
      <w:proofErr w:type="spellStart"/>
      <w:r w:rsidR="00E866E4">
        <w:rPr>
          <w:rFonts w:ascii="Times New Roman" w:hAnsi="Times New Roman"/>
          <w:lang w:val="pt-BR"/>
        </w:rPr>
        <w:t>Pd</w:t>
      </w:r>
      <w:proofErr w:type="spellEnd"/>
      <w:r w:rsidR="00E866E4">
        <w:rPr>
          <w:rFonts w:ascii="Times New Roman" w:hAnsi="Times New Roman"/>
          <w:lang w:val="pt-BR"/>
        </w:rPr>
        <w:t xml:space="preserve"> no suporte </w:t>
      </w:r>
      <w:proofErr w:type="spellStart"/>
      <w:r w:rsidR="00E866E4">
        <w:rPr>
          <w:rFonts w:ascii="Times New Roman" w:hAnsi="Times New Roman"/>
          <w:lang w:val="pt-BR"/>
        </w:rPr>
        <w:t>SiralHPW</w:t>
      </w:r>
      <w:proofErr w:type="spellEnd"/>
      <w:r w:rsidR="00E866E4">
        <w:rPr>
          <w:rFonts w:ascii="Times New Roman" w:hAnsi="Times New Roman"/>
          <w:lang w:val="pt-BR"/>
        </w:rPr>
        <w:t xml:space="preserve"> pode se observar </w:t>
      </w:r>
      <w:r>
        <w:rPr>
          <w:rFonts w:ascii="Times New Roman" w:hAnsi="Times New Roman"/>
          <w:lang w:val="pt-BR"/>
        </w:rPr>
        <w:t>que não houve alteração</w:t>
      </w:r>
      <w:r w:rsidR="00E866E4">
        <w:rPr>
          <w:rFonts w:ascii="Times New Roman" w:hAnsi="Times New Roman"/>
          <w:lang w:val="pt-BR"/>
        </w:rPr>
        <w:t>.</w:t>
      </w:r>
      <w:r w:rsidR="00F57446">
        <w:rPr>
          <w:rFonts w:ascii="Times New Roman" w:hAnsi="Times New Roman"/>
          <w:lang w:val="pt-BR"/>
        </w:rPr>
        <w:t xml:space="preserve"> As amostras apresentaram isotermas do tipo IV, típicas de materiais mesoporosos.</w:t>
      </w:r>
    </w:p>
    <w:p w14:paraId="1514F862" w14:textId="77777777" w:rsidR="00177699" w:rsidRDefault="00177699" w:rsidP="00177699">
      <w:pPr>
        <w:pStyle w:val="TAMainText"/>
        <w:spacing w:line="240" w:lineRule="auto"/>
        <w:ind w:firstLine="187"/>
        <w:rPr>
          <w:rFonts w:ascii="Times New Roman" w:hAnsi="Times New Roman"/>
          <w:lang w:val="pt-BR"/>
        </w:rPr>
      </w:pPr>
    </w:p>
    <w:p w14:paraId="60899154" w14:textId="77777777" w:rsidR="00A96CF5" w:rsidRPr="00E866E4" w:rsidRDefault="00A96CF5" w:rsidP="00B5369C">
      <w:pPr>
        <w:pStyle w:val="TAMainText"/>
        <w:spacing w:line="240" w:lineRule="auto"/>
        <w:ind w:firstLine="0"/>
        <w:rPr>
          <w:rFonts w:ascii="Times New Roman" w:hAnsi="Times New Roman"/>
          <w:lang w:val="pt-BR"/>
        </w:rPr>
      </w:pPr>
      <w:r w:rsidRPr="00A63B94">
        <w:rPr>
          <w:rFonts w:ascii="Times New Roman" w:hAnsi="Times New Roman"/>
          <w:b/>
          <w:lang w:val="pt-BR"/>
        </w:rPr>
        <w:t xml:space="preserve">Tabela </w:t>
      </w:r>
      <w:r w:rsidR="001069AD">
        <w:rPr>
          <w:rFonts w:ascii="Times New Roman" w:hAnsi="Times New Roman"/>
          <w:b/>
          <w:lang w:val="pt-BR"/>
        </w:rPr>
        <w:t>2.</w:t>
      </w:r>
      <w:r>
        <w:rPr>
          <w:rFonts w:ascii="Times New Roman" w:hAnsi="Times New Roman"/>
          <w:lang w:val="pt-BR"/>
        </w:rPr>
        <w:t xml:space="preserve"> </w:t>
      </w:r>
      <w:r w:rsidR="00177699">
        <w:rPr>
          <w:rFonts w:ascii="Times New Roman" w:hAnsi="Times New Roman"/>
          <w:lang w:val="pt-BR"/>
        </w:rPr>
        <w:t xml:space="preserve">Caracterização </w:t>
      </w:r>
      <w:proofErr w:type="spellStart"/>
      <w:r w:rsidR="00177699">
        <w:rPr>
          <w:rFonts w:ascii="Times New Roman" w:hAnsi="Times New Roman"/>
          <w:lang w:val="pt-BR"/>
        </w:rPr>
        <w:t>textural</w:t>
      </w:r>
      <w:proofErr w:type="spellEnd"/>
      <w:r>
        <w:rPr>
          <w:rFonts w:ascii="Times New Roman" w:hAnsi="Times New Roman"/>
          <w:lang w:val="pt-BR"/>
        </w:rPr>
        <w:t xml:space="preserve"> dos catalisadores.</w:t>
      </w:r>
    </w:p>
    <w:tbl>
      <w:tblPr>
        <w:tblW w:w="44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91"/>
        <w:gridCol w:w="930"/>
        <w:gridCol w:w="1130"/>
        <w:gridCol w:w="745"/>
      </w:tblGrid>
      <w:tr w:rsidR="00177699" w:rsidRPr="00072C7A" w14:paraId="6D4135BB" w14:textId="77777777" w:rsidTr="00AB0DCB">
        <w:trPr>
          <w:trHeight w:val="340"/>
          <w:jc w:val="center"/>
        </w:trPr>
        <w:tc>
          <w:tcPr>
            <w:tcW w:w="1691" w:type="dxa"/>
            <w:tcBorders>
              <w:bottom w:val="single" w:sz="6" w:space="0" w:color="auto"/>
            </w:tcBorders>
            <w:vAlign w:val="center"/>
          </w:tcPr>
          <w:p w14:paraId="18993988" w14:textId="77777777" w:rsidR="00177699" w:rsidRDefault="00177699" w:rsidP="00F81F02">
            <w:pPr>
              <w:pStyle w:val="TCTableBody"/>
              <w:spacing w:after="0"/>
              <w:jc w:val="center"/>
              <w:rPr>
                <w:lang w:val="pt-BR"/>
              </w:rPr>
            </w:pPr>
            <w:bookmarkStart w:id="2" w:name="_Hlk132788137"/>
            <w:r>
              <w:rPr>
                <w:lang w:val="pt-BR"/>
              </w:rPr>
              <w:t>Catalisador</w:t>
            </w:r>
          </w:p>
        </w:tc>
        <w:tc>
          <w:tcPr>
            <w:tcW w:w="930" w:type="dxa"/>
            <w:tcBorders>
              <w:bottom w:val="single" w:sz="6" w:space="0" w:color="auto"/>
            </w:tcBorders>
            <w:vAlign w:val="center"/>
          </w:tcPr>
          <w:p w14:paraId="4940CD1B" w14:textId="77777777" w:rsidR="00177699" w:rsidRPr="00F81F02" w:rsidRDefault="00177699" w:rsidP="00F81F02">
            <w:pPr>
              <w:pStyle w:val="TCTableBody"/>
              <w:spacing w:after="0"/>
              <w:jc w:val="center"/>
              <w:rPr>
                <w:lang w:val="pt-BR"/>
              </w:rPr>
            </w:pPr>
            <w:r>
              <w:rPr>
                <w:lang w:val="pt-BR"/>
              </w:rPr>
              <w:t>S (m</w:t>
            </w:r>
            <w:r>
              <w:rPr>
                <w:vertAlign w:val="superscript"/>
                <w:lang w:val="pt-BR"/>
              </w:rPr>
              <w:t>2</w:t>
            </w:r>
            <w:r>
              <w:rPr>
                <w:lang w:val="pt-BR"/>
              </w:rPr>
              <w:t>.g</w:t>
            </w:r>
            <w:r>
              <w:rPr>
                <w:vertAlign w:val="superscript"/>
                <w:lang w:val="pt-BR"/>
              </w:rPr>
              <w:t>-1</w:t>
            </w:r>
            <w:r>
              <w:rPr>
                <w:lang w:val="pt-BR"/>
              </w:rPr>
              <w:t>)</w:t>
            </w:r>
          </w:p>
        </w:tc>
        <w:tc>
          <w:tcPr>
            <w:tcW w:w="1130" w:type="dxa"/>
            <w:tcBorders>
              <w:bottom w:val="single" w:sz="6" w:space="0" w:color="auto"/>
            </w:tcBorders>
            <w:vAlign w:val="center"/>
          </w:tcPr>
          <w:p w14:paraId="56094F36" w14:textId="77777777" w:rsidR="00177699" w:rsidRPr="00F81F02" w:rsidRDefault="00177699" w:rsidP="00F81F02">
            <w:pPr>
              <w:pStyle w:val="TCTableBody"/>
              <w:spacing w:after="0"/>
              <w:jc w:val="center"/>
              <w:rPr>
                <w:lang w:val="pt-BR"/>
              </w:rPr>
            </w:pPr>
            <w:proofErr w:type="spellStart"/>
            <w:r>
              <w:rPr>
                <w:lang w:val="pt-BR"/>
              </w:rPr>
              <w:t>Vp</w:t>
            </w:r>
            <w:proofErr w:type="spellEnd"/>
            <w:r>
              <w:rPr>
                <w:lang w:val="pt-BR"/>
              </w:rPr>
              <w:t xml:space="preserve"> (cm</w:t>
            </w:r>
            <w:r>
              <w:rPr>
                <w:vertAlign w:val="superscript"/>
                <w:lang w:val="pt-BR"/>
              </w:rPr>
              <w:t>3</w:t>
            </w:r>
            <w:r>
              <w:rPr>
                <w:lang w:val="pt-BR"/>
              </w:rPr>
              <w:t>.g</w:t>
            </w:r>
            <w:r w:rsidRPr="00F81F02">
              <w:rPr>
                <w:vertAlign w:val="superscript"/>
                <w:lang w:val="pt-BR"/>
              </w:rPr>
              <w:t>-1</w:t>
            </w:r>
            <w:r>
              <w:rPr>
                <w:lang w:val="pt-BR"/>
              </w:rPr>
              <w:t>)</w:t>
            </w:r>
          </w:p>
        </w:tc>
        <w:tc>
          <w:tcPr>
            <w:tcW w:w="745" w:type="dxa"/>
            <w:tcBorders>
              <w:bottom w:val="single" w:sz="6" w:space="0" w:color="auto"/>
            </w:tcBorders>
            <w:vAlign w:val="center"/>
          </w:tcPr>
          <w:p w14:paraId="3E30B29E" w14:textId="77777777" w:rsidR="00177699" w:rsidRDefault="00177699" w:rsidP="00F81F02">
            <w:pPr>
              <w:pStyle w:val="TCTableBody"/>
              <w:spacing w:after="0"/>
              <w:jc w:val="center"/>
              <w:rPr>
                <w:lang w:val="pt-BR"/>
              </w:rPr>
            </w:pPr>
            <w:proofErr w:type="spellStart"/>
            <w:r>
              <w:rPr>
                <w:lang w:val="pt-BR"/>
              </w:rPr>
              <w:t>Dp</w:t>
            </w:r>
            <w:proofErr w:type="spellEnd"/>
            <w:r>
              <w:rPr>
                <w:lang w:val="pt-BR"/>
              </w:rPr>
              <w:t xml:space="preserve"> (</w:t>
            </w:r>
            <w:r>
              <w:rPr>
                <w:rFonts w:cs="Times"/>
                <w:lang w:val="pt-BR"/>
              </w:rPr>
              <w:t>Å</w:t>
            </w:r>
            <w:r>
              <w:rPr>
                <w:lang w:val="pt-BR"/>
              </w:rPr>
              <w:t>)</w:t>
            </w:r>
          </w:p>
        </w:tc>
      </w:tr>
      <w:tr w:rsidR="00177699" w:rsidRPr="00072C7A" w14:paraId="442C0F29" w14:textId="77777777" w:rsidTr="00AB0DCB">
        <w:trPr>
          <w:trHeight w:val="340"/>
          <w:jc w:val="center"/>
        </w:trPr>
        <w:tc>
          <w:tcPr>
            <w:tcW w:w="1691" w:type="dxa"/>
            <w:tcBorders>
              <w:bottom w:val="single" w:sz="6" w:space="0" w:color="auto"/>
            </w:tcBorders>
            <w:vAlign w:val="center"/>
          </w:tcPr>
          <w:p w14:paraId="79B73B12" w14:textId="77777777" w:rsidR="00177699" w:rsidRDefault="00177699" w:rsidP="00F81F02">
            <w:pPr>
              <w:pStyle w:val="TCTableBody"/>
              <w:spacing w:after="0"/>
              <w:jc w:val="center"/>
              <w:rPr>
                <w:lang w:val="pt-BR"/>
              </w:rPr>
            </w:pPr>
            <w:proofErr w:type="spellStart"/>
            <w:r>
              <w:rPr>
                <w:lang w:val="pt-BR"/>
              </w:rPr>
              <w:t>Siral</w:t>
            </w:r>
            <w:proofErr w:type="spellEnd"/>
          </w:p>
        </w:tc>
        <w:tc>
          <w:tcPr>
            <w:tcW w:w="930" w:type="dxa"/>
            <w:tcBorders>
              <w:bottom w:val="single" w:sz="6" w:space="0" w:color="auto"/>
            </w:tcBorders>
            <w:vAlign w:val="center"/>
          </w:tcPr>
          <w:p w14:paraId="0562105D" w14:textId="77777777" w:rsidR="00177699" w:rsidRDefault="00177699" w:rsidP="00F81F02">
            <w:pPr>
              <w:pStyle w:val="TCTableBody"/>
              <w:spacing w:after="0"/>
              <w:jc w:val="center"/>
              <w:rPr>
                <w:lang w:val="pt-BR"/>
              </w:rPr>
            </w:pPr>
            <w:r>
              <w:rPr>
                <w:lang w:val="pt-BR"/>
              </w:rPr>
              <w:t>414</w:t>
            </w:r>
          </w:p>
        </w:tc>
        <w:tc>
          <w:tcPr>
            <w:tcW w:w="1130" w:type="dxa"/>
            <w:tcBorders>
              <w:bottom w:val="single" w:sz="6" w:space="0" w:color="auto"/>
            </w:tcBorders>
            <w:vAlign w:val="center"/>
          </w:tcPr>
          <w:p w14:paraId="1E1A65C7" w14:textId="77777777" w:rsidR="00177699" w:rsidRDefault="00177699" w:rsidP="00F81F02">
            <w:pPr>
              <w:pStyle w:val="TCTableBody"/>
              <w:spacing w:after="0"/>
              <w:jc w:val="center"/>
              <w:rPr>
                <w:lang w:val="pt-BR"/>
              </w:rPr>
            </w:pPr>
            <w:r>
              <w:rPr>
                <w:lang w:val="pt-BR"/>
              </w:rPr>
              <w:t>1,50</w:t>
            </w:r>
          </w:p>
        </w:tc>
        <w:tc>
          <w:tcPr>
            <w:tcW w:w="745" w:type="dxa"/>
            <w:tcBorders>
              <w:bottom w:val="single" w:sz="6" w:space="0" w:color="auto"/>
            </w:tcBorders>
            <w:vAlign w:val="center"/>
          </w:tcPr>
          <w:p w14:paraId="75BF3A4A" w14:textId="77777777" w:rsidR="00177699" w:rsidRDefault="00177699" w:rsidP="00F81F02">
            <w:pPr>
              <w:pStyle w:val="TCTableBody"/>
              <w:spacing w:after="0"/>
              <w:jc w:val="center"/>
              <w:rPr>
                <w:lang w:val="pt-BR"/>
              </w:rPr>
            </w:pPr>
            <w:r>
              <w:rPr>
                <w:lang w:val="pt-BR"/>
              </w:rPr>
              <w:t>94</w:t>
            </w:r>
          </w:p>
        </w:tc>
      </w:tr>
      <w:tr w:rsidR="00177699" w:rsidRPr="00072C7A" w14:paraId="17C89B9E" w14:textId="77777777" w:rsidTr="00AB0DCB">
        <w:trPr>
          <w:trHeight w:val="340"/>
          <w:jc w:val="center"/>
        </w:trPr>
        <w:tc>
          <w:tcPr>
            <w:tcW w:w="1691" w:type="dxa"/>
            <w:tcBorders>
              <w:bottom w:val="single" w:sz="6" w:space="0" w:color="auto"/>
            </w:tcBorders>
            <w:vAlign w:val="center"/>
          </w:tcPr>
          <w:p w14:paraId="694E6F7C" w14:textId="77777777" w:rsidR="00177699" w:rsidRDefault="00177699" w:rsidP="00F81F02">
            <w:pPr>
              <w:pStyle w:val="TCTableBody"/>
              <w:spacing w:after="0"/>
              <w:jc w:val="center"/>
              <w:rPr>
                <w:lang w:val="pt-BR"/>
              </w:rPr>
            </w:pPr>
            <w:proofErr w:type="spellStart"/>
            <w:r>
              <w:rPr>
                <w:lang w:val="pt-BR"/>
              </w:rPr>
              <w:t>SiralHPW</w:t>
            </w:r>
            <w:proofErr w:type="spellEnd"/>
          </w:p>
        </w:tc>
        <w:tc>
          <w:tcPr>
            <w:tcW w:w="930" w:type="dxa"/>
            <w:tcBorders>
              <w:bottom w:val="single" w:sz="6" w:space="0" w:color="auto"/>
            </w:tcBorders>
            <w:vAlign w:val="center"/>
          </w:tcPr>
          <w:p w14:paraId="0117CEDA" w14:textId="77777777" w:rsidR="00177699" w:rsidRDefault="00177699" w:rsidP="00F81F02">
            <w:pPr>
              <w:pStyle w:val="TCTableBody"/>
              <w:spacing w:after="0"/>
              <w:jc w:val="center"/>
              <w:rPr>
                <w:lang w:val="pt-BR"/>
              </w:rPr>
            </w:pPr>
            <w:r>
              <w:rPr>
                <w:lang w:val="pt-BR"/>
              </w:rPr>
              <w:t>191</w:t>
            </w:r>
          </w:p>
        </w:tc>
        <w:tc>
          <w:tcPr>
            <w:tcW w:w="1130" w:type="dxa"/>
            <w:tcBorders>
              <w:bottom w:val="single" w:sz="6" w:space="0" w:color="auto"/>
            </w:tcBorders>
            <w:vAlign w:val="center"/>
          </w:tcPr>
          <w:p w14:paraId="09673CC4" w14:textId="77777777" w:rsidR="00177699" w:rsidRDefault="00177699" w:rsidP="00F81F02">
            <w:pPr>
              <w:pStyle w:val="TCTableBody"/>
              <w:spacing w:after="0"/>
              <w:jc w:val="center"/>
              <w:rPr>
                <w:lang w:val="pt-BR"/>
              </w:rPr>
            </w:pPr>
            <w:r>
              <w:rPr>
                <w:lang w:val="pt-BR"/>
              </w:rPr>
              <w:t>0,67</w:t>
            </w:r>
          </w:p>
        </w:tc>
        <w:tc>
          <w:tcPr>
            <w:tcW w:w="745" w:type="dxa"/>
            <w:tcBorders>
              <w:bottom w:val="single" w:sz="6" w:space="0" w:color="auto"/>
            </w:tcBorders>
            <w:vAlign w:val="center"/>
          </w:tcPr>
          <w:p w14:paraId="5892EE30" w14:textId="77777777" w:rsidR="00177699" w:rsidRDefault="00177699" w:rsidP="00F81F02">
            <w:pPr>
              <w:pStyle w:val="TCTableBody"/>
              <w:spacing w:after="0"/>
              <w:jc w:val="center"/>
              <w:rPr>
                <w:lang w:val="pt-BR"/>
              </w:rPr>
            </w:pPr>
            <w:r>
              <w:rPr>
                <w:lang w:val="pt-BR"/>
              </w:rPr>
              <w:t>95</w:t>
            </w:r>
          </w:p>
        </w:tc>
      </w:tr>
      <w:tr w:rsidR="00177699" w:rsidRPr="00072C7A" w14:paraId="71E71108" w14:textId="77777777" w:rsidTr="00AB0DCB">
        <w:trPr>
          <w:trHeight w:val="340"/>
          <w:jc w:val="center"/>
        </w:trPr>
        <w:tc>
          <w:tcPr>
            <w:tcW w:w="1691" w:type="dxa"/>
            <w:tcBorders>
              <w:bottom w:val="single" w:sz="6" w:space="0" w:color="auto"/>
            </w:tcBorders>
            <w:vAlign w:val="center"/>
          </w:tcPr>
          <w:p w14:paraId="0606B50C" w14:textId="77777777" w:rsidR="00177699" w:rsidRDefault="00177699" w:rsidP="00F81F02">
            <w:pPr>
              <w:pStyle w:val="TCTableBody"/>
              <w:spacing w:after="0"/>
              <w:jc w:val="center"/>
              <w:rPr>
                <w:lang w:val="pt-BR"/>
              </w:rPr>
            </w:pPr>
            <w:proofErr w:type="spellStart"/>
            <w:r>
              <w:rPr>
                <w:lang w:val="pt-BR"/>
              </w:rPr>
              <w:t>RuSiralHPW</w:t>
            </w:r>
            <w:proofErr w:type="spellEnd"/>
          </w:p>
        </w:tc>
        <w:tc>
          <w:tcPr>
            <w:tcW w:w="930" w:type="dxa"/>
            <w:tcBorders>
              <w:bottom w:val="single" w:sz="6" w:space="0" w:color="auto"/>
            </w:tcBorders>
            <w:vAlign w:val="center"/>
          </w:tcPr>
          <w:p w14:paraId="4A5C4D20" w14:textId="77777777" w:rsidR="00177699" w:rsidRDefault="00177699" w:rsidP="00F81F02">
            <w:pPr>
              <w:pStyle w:val="TCTableBody"/>
              <w:spacing w:after="0"/>
              <w:jc w:val="center"/>
              <w:rPr>
                <w:lang w:val="pt-BR"/>
              </w:rPr>
            </w:pPr>
            <w:r>
              <w:rPr>
                <w:lang w:val="pt-BR"/>
              </w:rPr>
              <w:t>174</w:t>
            </w:r>
          </w:p>
        </w:tc>
        <w:tc>
          <w:tcPr>
            <w:tcW w:w="1130" w:type="dxa"/>
            <w:tcBorders>
              <w:bottom w:val="single" w:sz="6" w:space="0" w:color="auto"/>
            </w:tcBorders>
            <w:vAlign w:val="center"/>
          </w:tcPr>
          <w:p w14:paraId="52078E34" w14:textId="77777777" w:rsidR="00177699" w:rsidRDefault="00177699" w:rsidP="00F81F02">
            <w:pPr>
              <w:pStyle w:val="TCTableBody"/>
              <w:spacing w:after="0"/>
              <w:jc w:val="center"/>
              <w:rPr>
                <w:lang w:val="pt-BR"/>
              </w:rPr>
            </w:pPr>
            <w:r>
              <w:rPr>
                <w:lang w:val="pt-BR"/>
              </w:rPr>
              <w:t>0,64</w:t>
            </w:r>
          </w:p>
        </w:tc>
        <w:tc>
          <w:tcPr>
            <w:tcW w:w="745" w:type="dxa"/>
            <w:tcBorders>
              <w:bottom w:val="single" w:sz="6" w:space="0" w:color="auto"/>
            </w:tcBorders>
            <w:vAlign w:val="center"/>
          </w:tcPr>
          <w:p w14:paraId="06E748F8" w14:textId="77777777" w:rsidR="00177699" w:rsidRDefault="00177699" w:rsidP="00F81F02">
            <w:pPr>
              <w:pStyle w:val="TCTableBody"/>
              <w:spacing w:after="0"/>
              <w:jc w:val="center"/>
              <w:rPr>
                <w:lang w:val="pt-BR"/>
              </w:rPr>
            </w:pPr>
            <w:r>
              <w:rPr>
                <w:lang w:val="pt-BR"/>
              </w:rPr>
              <w:t>102</w:t>
            </w:r>
          </w:p>
        </w:tc>
      </w:tr>
      <w:tr w:rsidR="00177699" w:rsidRPr="00072C7A" w14:paraId="1BF9A222" w14:textId="77777777" w:rsidTr="00AB0DCB">
        <w:trPr>
          <w:trHeight w:val="340"/>
          <w:jc w:val="center"/>
        </w:trPr>
        <w:tc>
          <w:tcPr>
            <w:tcW w:w="1691" w:type="dxa"/>
            <w:tcBorders>
              <w:bottom w:val="single" w:sz="6" w:space="0" w:color="auto"/>
            </w:tcBorders>
            <w:vAlign w:val="center"/>
          </w:tcPr>
          <w:p w14:paraId="48854FED" w14:textId="77777777" w:rsidR="00177699" w:rsidRDefault="00177699" w:rsidP="00F81F02">
            <w:pPr>
              <w:pStyle w:val="TCTableBody"/>
              <w:spacing w:after="0"/>
              <w:jc w:val="center"/>
              <w:rPr>
                <w:lang w:val="pt-BR"/>
              </w:rPr>
            </w:pPr>
            <w:proofErr w:type="gramStart"/>
            <w:r>
              <w:rPr>
                <w:lang w:val="pt-BR"/>
              </w:rPr>
              <w:t>Ru(</w:t>
            </w:r>
            <w:proofErr w:type="gramEnd"/>
            <w:r>
              <w:rPr>
                <w:lang w:val="pt-BR"/>
              </w:rPr>
              <w:t>NO)</w:t>
            </w:r>
            <w:proofErr w:type="spellStart"/>
            <w:r>
              <w:rPr>
                <w:lang w:val="pt-BR"/>
              </w:rPr>
              <w:t>SiralHPW</w:t>
            </w:r>
            <w:proofErr w:type="spellEnd"/>
          </w:p>
        </w:tc>
        <w:tc>
          <w:tcPr>
            <w:tcW w:w="930" w:type="dxa"/>
            <w:tcBorders>
              <w:bottom w:val="single" w:sz="6" w:space="0" w:color="auto"/>
            </w:tcBorders>
            <w:vAlign w:val="center"/>
          </w:tcPr>
          <w:p w14:paraId="3D57FFDB" w14:textId="77777777" w:rsidR="00177699" w:rsidRDefault="00177699" w:rsidP="00F81F02">
            <w:pPr>
              <w:pStyle w:val="TCTableBody"/>
              <w:spacing w:after="0"/>
              <w:jc w:val="center"/>
              <w:rPr>
                <w:lang w:val="pt-BR"/>
              </w:rPr>
            </w:pPr>
            <w:r>
              <w:rPr>
                <w:lang w:val="pt-BR"/>
              </w:rPr>
              <w:t>168</w:t>
            </w:r>
          </w:p>
        </w:tc>
        <w:tc>
          <w:tcPr>
            <w:tcW w:w="1130" w:type="dxa"/>
            <w:tcBorders>
              <w:bottom w:val="single" w:sz="6" w:space="0" w:color="auto"/>
            </w:tcBorders>
            <w:vAlign w:val="center"/>
          </w:tcPr>
          <w:p w14:paraId="73FF3658" w14:textId="77777777" w:rsidR="00177699" w:rsidRDefault="00177699" w:rsidP="00F81F02">
            <w:pPr>
              <w:pStyle w:val="TCTableBody"/>
              <w:spacing w:after="0"/>
              <w:jc w:val="center"/>
              <w:rPr>
                <w:lang w:val="pt-BR"/>
              </w:rPr>
            </w:pPr>
            <w:r>
              <w:rPr>
                <w:lang w:val="pt-BR"/>
              </w:rPr>
              <w:t>0,50</w:t>
            </w:r>
          </w:p>
        </w:tc>
        <w:tc>
          <w:tcPr>
            <w:tcW w:w="745" w:type="dxa"/>
            <w:tcBorders>
              <w:bottom w:val="single" w:sz="6" w:space="0" w:color="auto"/>
            </w:tcBorders>
            <w:vAlign w:val="center"/>
          </w:tcPr>
          <w:p w14:paraId="20D4BA3E" w14:textId="77777777" w:rsidR="00177699" w:rsidRDefault="00177699" w:rsidP="00F81F02">
            <w:pPr>
              <w:pStyle w:val="TCTableBody"/>
              <w:spacing w:after="0"/>
              <w:jc w:val="center"/>
              <w:rPr>
                <w:lang w:val="pt-BR"/>
              </w:rPr>
            </w:pPr>
            <w:r>
              <w:rPr>
                <w:lang w:val="pt-BR"/>
              </w:rPr>
              <w:t>87</w:t>
            </w:r>
          </w:p>
        </w:tc>
      </w:tr>
      <w:tr w:rsidR="00177699" w:rsidRPr="00072C7A" w14:paraId="59D1845D" w14:textId="77777777" w:rsidTr="00AB0DCB">
        <w:trPr>
          <w:trHeight w:val="340"/>
          <w:jc w:val="center"/>
        </w:trPr>
        <w:tc>
          <w:tcPr>
            <w:tcW w:w="1691" w:type="dxa"/>
            <w:tcBorders>
              <w:bottom w:val="single" w:sz="6" w:space="0" w:color="auto"/>
            </w:tcBorders>
            <w:vAlign w:val="center"/>
          </w:tcPr>
          <w:p w14:paraId="52CDC260" w14:textId="77777777" w:rsidR="00177699" w:rsidRDefault="00177699" w:rsidP="00F81F02">
            <w:pPr>
              <w:pStyle w:val="TCTableBody"/>
              <w:spacing w:after="0"/>
              <w:jc w:val="center"/>
              <w:rPr>
                <w:lang w:val="pt-BR"/>
              </w:rPr>
            </w:pPr>
            <w:proofErr w:type="spellStart"/>
            <w:r>
              <w:rPr>
                <w:lang w:val="pt-BR"/>
              </w:rPr>
              <w:t>PdSiralHPW</w:t>
            </w:r>
            <w:proofErr w:type="spellEnd"/>
          </w:p>
        </w:tc>
        <w:tc>
          <w:tcPr>
            <w:tcW w:w="930" w:type="dxa"/>
            <w:tcBorders>
              <w:bottom w:val="single" w:sz="6" w:space="0" w:color="auto"/>
            </w:tcBorders>
            <w:vAlign w:val="center"/>
          </w:tcPr>
          <w:p w14:paraId="3AA6B66A" w14:textId="77777777" w:rsidR="00177699" w:rsidRDefault="00177699" w:rsidP="00F81F02">
            <w:pPr>
              <w:pStyle w:val="TCTableBody"/>
              <w:spacing w:after="0"/>
              <w:jc w:val="center"/>
              <w:rPr>
                <w:lang w:val="pt-BR"/>
              </w:rPr>
            </w:pPr>
            <w:r>
              <w:rPr>
                <w:lang w:val="pt-BR"/>
              </w:rPr>
              <w:t>187</w:t>
            </w:r>
          </w:p>
        </w:tc>
        <w:tc>
          <w:tcPr>
            <w:tcW w:w="1130" w:type="dxa"/>
            <w:tcBorders>
              <w:bottom w:val="single" w:sz="6" w:space="0" w:color="auto"/>
            </w:tcBorders>
            <w:vAlign w:val="center"/>
          </w:tcPr>
          <w:p w14:paraId="28B0DCAC" w14:textId="77777777" w:rsidR="00177699" w:rsidRDefault="00177699" w:rsidP="00F81F02">
            <w:pPr>
              <w:pStyle w:val="TCTableBody"/>
              <w:spacing w:after="0"/>
              <w:jc w:val="center"/>
              <w:rPr>
                <w:lang w:val="pt-BR"/>
              </w:rPr>
            </w:pPr>
            <w:r>
              <w:rPr>
                <w:lang w:val="pt-BR"/>
              </w:rPr>
              <w:t>0,67</w:t>
            </w:r>
          </w:p>
        </w:tc>
        <w:tc>
          <w:tcPr>
            <w:tcW w:w="745" w:type="dxa"/>
            <w:tcBorders>
              <w:bottom w:val="single" w:sz="6" w:space="0" w:color="auto"/>
            </w:tcBorders>
            <w:vAlign w:val="center"/>
          </w:tcPr>
          <w:p w14:paraId="240E75FF" w14:textId="77777777" w:rsidR="00177699" w:rsidRDefault="00177699" w:rsidP="00F81F02">
            <w:pPr>
              <w:pStyle w:val="TCTableBody"/>
              <w:spacing w:after="0"/>
              <w:jc w:val="center"/>
              <w:rPr>
                <w:lang w:val="pt-BR"/>
              </w:rPr>
            </w:pPr>
            <w:r>
              <w:rPr>
                <w:lang w:val="pt-BR"/>
              </w:rPr>
              <w:t>99</w:t>
            </w:r>
          </w:p>
        </w:tc>
      </w:tr>
      <w:tr w:rsidR="00177699" w:rsidRPr="00072C7A" w14:paraId="48397E53" w14:textId="77777777" w:rsidTr="00AB0DCB">
        <w:trPr>
          <w:trHeight w:val="340"/>
          <w:jc w:val="center"/>
        </w:trPr>
        <w:tc>
          <w:tcPr>
            <w:tcW w:w="1691" w:type="dxa"/>
            <w:tcBorders>
              <w:bottom w:val="single" w:sz="6" w:space="0" w:color="auto"/>
            </w:tcBorders>
            <w:vAlign w:val="center"/>
          </w:tcPr>
          <w:p w14:paraId="55CFBDA0" w14:textId="77777777" w:rsidR="00177699" w:rsidRDefault="00177699" w:rsidP="00F81F02">
            <w:pPr>
              <w:pStyle w:val="TCTableBody"/>
              <w:spacing w:after="0"/>
              <w:jc w:val="center"/>
              <w:rPr>
                <w:lang w:val="pt-BR"/>
              </w:rPr>
            </w:pPr>
            <w:proofErr w:type="spellStart"/>
            <w:r>
              <w:rPr>
                <w:lang w:val="pt-BR"/>
              </w:rPr>
              <w:t>PdRuSiralHPW</w:t>
            </w:r>
            <w:proofErr w:type="spellEnd"/>
          </w:p>
        </w:tc>
        <w:tc>
          <w:tcPr>
            <w:tcW w:w="930" w:type="dxa"/>
            <w:tcBorders>
              <w:bottom w:val="single" w:sz="6" w:space="0" w:color="auto"/>
            </w:tcBorders>
            <w:vAlign w:val="center"/>
          </w:tcPr>
          <w:p w14:paraId="1DAA74CD" w14:textId="77777777" w:rsidR="00177699" w:rsidRDefault="00177699" w:rsidP="00F81F02">
            <w:pPr>
              <w:pStyle w:val="TCTableBody"/>
              <w:spacing w:after="0"/>
              <w:jc w:val="center"/>
              <w:rPr>
                <w:lang w:val="pt-BR"/>
              </w:rPr>
            </w:pPr>
            <w:r>
              <w:rPr>
                <w:lang w:val="pt-BR"/>
              </w:rPr>
              <w:t>198</w:t>
            </w:r>
          </w:p>
        </w:tc>
        <w:tc>
          <w:tcPr>
            <w:tcW w:w="1130" w:type="dxa"/>
            <w:tcBorders>
              <w:bottom w:val="single" w:sz="6" w:space="0" w:color="auto"/>
            </w:tcBorders>
            <w:vAlign w:val="center"/>
          </w:tcPr>
          <w:p w14:paraId="2F4F8F80" w14:textId="77777777" w:rsidR="00177699" w:rsidRDefault="00177699" w:rsidP="00F81F02">
            <w:pPr>
              <w:pStyle w:val="TCTableBody"/>
              <w:spacing w:after="0"/>
              <w:jc w:val="center"/>
              <w:rPr>
                <w:lang w:val="pt-BR"/>
              </w:rPr>
            </w:pPr>
            <w:r>
              <w:rPr>
                <w:lang w:val="pt-BR"/>
              </w:rPr>
              <w:t>0,69</w:t>
            </w:r>
          </w:p>
        </w:tc>
        <w:tc>
          <w:tcPr>
            <w:tcW w:w="745" w:type="dxa"/>
            <w:tcBorders>
              <w:bottom w:val="single" w:sz="6" w:space="0" w:color="auto"/>
            </w:tcBorders>
            <w:vAlign w:val="center"/>
          </w:tcPr>
          <w:p w14:paraId="1A40EFBA" w14:textId="77777777" w:rsidR="00177699" w:rsidRDefault="00177699" w:rsidP="00F81F02">
            <w:pPr>
              <w:pStyle w:val="TCTableBody"/>
              <w:spacing w:after="0"/>
              <w:jc w:val="center"/>
              <w:rPr>
                <w:lang w:val="pt-BR"/>
              </w:rPr>
            </w:pPr>
            <w:r>
              <w:rPr>
                <w:lang w:val="pt-BR"/>
              </w:rPr>
              <w:t>101</w:t>
            </w:r>
          </w:p>
        </w:tc>
      </w:tr>
      <w:bookmarkEnd w:id="2"/>
    </w:tbl>
    <w:p w14:paraId="60B00221" w14:textId="77777777" w:rsidR="008F19CC" w:rsidRDefault="008F19CC" w:rsidP="008F19CC">
      <w:pPr>
        <w:pStyle w:val="TAMainText"/>
        <w:spacing w:line="240" w:lineRule="auto"/>
        <w:ind w:firstLine="187"/>
        <w:rPr>
          <w:rFonts w:ascii="Times New Roman" w:hAnsi="Times New Roman"/>
          <w:iCs/>
          <w:lang w:val="pt-BR"/>
        </w:rPr>
      </w:pPr>
    </w:p>
    <w:p w14:paraId="5B4E8CDF" w14:textId="77777777" w:rsidR="00CA10C0" w:rsidRDefault="00E03D5D" w:rsidP="00CA10C0">
      <w:pPr>
        <w:pStyle w:val="TAMainText"/>
        <w:spacing w:line="240" w:lineRule="auto"/>
        <w:ind w:firstLine="187"/>
        <w:rPr>
          <w:rFonts w:ascii="Times New Roman" w:hAnsi="Times New Roman"/>
          <w:lang w:val="pt-BR"/>
        </w:rPr>
      </w:pPr>
      <w:r>
        <w:rPr>
          <w:rFonts w:ascii="Times New Roman" w:hAnsi="Times New Roman"/>
          <w:iCs/>
          <w:lang w:val="pt-BR"/>
        </w:rPr>
        <w:t xml:space="preserve">Ao impregnar </w:t>
      </w:r>
      <w:r w:rsidR="00D927FE">
        <w:rPr>
          <w:rFonts w:ascii="Times New Roman" w:hAnsi="Times New Roman"/>
          <w:iCs/>
          <w:lang w:val="pt-BR"/>
        </w:rPr>
        <w:t>HPW</w:t>
      </w:r>
      <w:r>
        <w:rPr>
          <w:rFonts w:ascii="Times New Roman" w:hAnsi="Times New Roman"/>
          <w:iCs/>
          <w:lang w:val="pt-BR"/>
        </w:rPr>
        <w:t xml:space="preserve"> com diferentes concentrações</w:t>
      </w:r>
      <w:r w:rsidR="00D927FE">
        <w:rPr>
          <w:rFonts w:ascii="Times New Roman" w:hAnsi="Times New Roman"/>
          <w:iCs/>
          <w:lang w:val="pt-BR"/>
        </w:rPr>
        <w:t>, entre 5 e 80% peso n</w:t>
      </w:r>
      <w:r>
        <w:rPr>
          <w:rFonts w:ascii="Times New Roman" w:hAnsi="Times New Roman"/>
          <w:iCs/>
          <w:lang w:val="pt-BR"/>
        </w:rPr>
        <w:t>um suporte SiO</w:t>
      </w:r>
      <w:r>
        <w:rPr>
          <w:rFonts w:ascii="Times New Roman" w:hAnsi="Times New Roman"/>
          <w:iCs/>
          <w:vertAlign w:val="subscript"/>
          <w:lang w:val="pt-BR"/>
        </w:rPr>
        <w:t>2</w:t>
      </w:r>
      <w:r>
        <w:rPr>
          <w:rFonts w:ascii="Times New Roman" w:hAnsi="Times New Roman"/>
          <w:iCs/>
          <w:lang w:val="pt-BR"/>
        </w:rPr>
        <w:t>/Al</w:t>
      </w:r>
      <w:r>
        <w:rPr>
          <w:rFonts w:ascii="Times New Roman" w:hAnsi="Times New Roman"/>
          <w:iCs/>
          <w:vertAlign w:val="subscript"/>
          <w:lang w:val="pt-BR"/>
        </w:rPr>
        <w:t>2</w:t>
      </w:r>
      <w:r>
        <w:rPr>
          <w:rFonts w:ascii="Times New Roman" w:hAnsi="Times New Roman"/>
          <w:iCs/>
          <w:lang w:val="pt-BR"/>
        </w:rPr>
        <w:t>O</w:t>
      </w:r>
      <w:r>
        <w:rPr>
          <w:rFonts w:ascii="Times New Roman" w:hAnsi="Times New Roman"/>
          <w:iCs/>
          <w:vertAlign w:val="subscript"/>
          <w:lang w:val="pt-BR"/>
        </w:rPr>
        <w:t>3</w:t>
      </w:r>
      <w:r>
        <w:rPr>
          <w:rFonts w:ascii="Times New Roman" w:hAnsi="Times New Roman"/>
          <w:iCs/>
          <w:lang w:val="pt-BR"/>
        </w:rPr>
        <w:t>, Li</w:t>
      </w:r>
      <w:r w:rsidR="00D927FE">
        <w:rPr>
          <w:rFonts w:ascii="Times New Roman" w:hAnsi="Times New Roman"/>
          <w:iCs/>
          <w:lang w:val="pt-BR"/>
        </w:rPr>
        <w:t xml:space="preserve"> e col.</w:t>
      </w:r>
      <w:r>
        <w:rPr>
          <w:rFonts w:ascii="Times New Roman" w:hAnsi="Times New Roman"/>
          <w:i/>
          <w:lang w:val="pt-BR"/>
        </w:rPr>
        <w:t xml:space="preserve"> </w:t>
      </w:r>
      <w:r>
        <w:rPr>
          <w:rFonts w:ascii="Times New Roman" w:hAnsi="Times New Roman"/>
          <w:iCs/>
          <w:lang w:val="pt-BR"/>
        </w:rPr>
        <w:t>(</w:t>
      </w:r>
      <w:r w:rsidR="00CC29DA">
        <w:rPr>
          <w:rFonts w:ascii="Times New Roman" w:hAnsi="Times New Roman"/>
          <w:iCs/>
          <w:lang w:val="pt-BR"/>
        </w:rPr>
        <w:t>1</w:t>
      </w:r>
      <w:r w:rsidR="00275806">
        <w:rPr>
          <w:rFonts w:ascii="Times New Roman" w:hAnsi="Times New Roman"/>
          <w:iCs/>
          <w:lang w:val="pt-BR"/>
        </w:rPr>
        <w:t>0</w:t>
      </w:r>
      <w:r>
        <w:rPr>
          <w:rFonts w:ascii="Times New Roman" w:hAnsi="Times New Roman"/>
          <w:iCs/>
          <w:lang w:val="pt-BR"/>
        </w:rPr>
        <w:t xml:space="preserve">) </w:t>
      </w:r>
      <w:r w:rsidR="00D927FE">
        <w:rPr>
          <w:rFonts w:ascii="Times New Roman" w:hAnsi="Times New Roman"/>
          <w:iCs/>
          <w:lang w:val="pt-BR"/>
        </w:rPr>
        <w:t xml:space="preserve">também </w:t>
      </w:r>
      <w:r>
        <w:rPr>
          <w:rFonts w:ascii="Times New Roman" w:hAnsi="Times New Roman"/>
          <w:iCs/>
          <w:lang w:val="pt-BR"/>
        </w:rPr>
        <w:t>observ</w:t>
      </w:r>
      <w:r w:rsidR="00D927FE">
        <w:rPr>
          <w:rFonts w:ascii="Times New Roman" w:hAnsi="Times New Roman"/>
          <w:iCs/>
          <w:lang w:val="pt-BR"/>
        </w:rPr>
        <w:t xml:space="preserve">aram </w:t>
      </w:r>
      <w:r>
        <w:rPr>
          <w:rFonts w:ascii="Times New Roman" w:hAnsi="Times New Roman"/>
          <w:iCs/>
          <w:lang w:val="pt-BR"/>
        </w:rPr>
        <w:t xml:space="preserve">um decréscimo nos valores de área </w:t>
      </w:r>
      <w:r w:rsidR="001B6F85">
        <w:rPr>
          <w:rFonts w:ascii="Times New Roman" w:hAnsi="Times New Roman"/>
          <w:iCs/>
          <w:lang w:val="pt-BR"/>
        </w:rPr>
        <w:t>específica</w:t>
      </w:r>
      <w:r>
        <w:rPr>
          <w:rFonts w:ascii="Times New Roman" w:hAnsi="Times New Roman"/>
          <w:iCs/>
          <w:lang w:val="pt-BR"/>
        </w:rPr>
        <w:t xml:space="preserve"> </w:t>
      </w:r>
      <w:r w:rsidR="00E14D45">
        <w:rPr>
          <w:rFonts w:ascii="Times New Roman" w:hAnsi="Times New Roman"/>
          <w:iCs/>
          <w:lang w:val="pt-BR"/>
        </w:rPr>
        <w:t>e volume de poros</w:t>
      </w:r>
      <w:r w:rsidR="001B6F85">
        <w:rPr>
          <w:rFonts w:ascii="Times New Roman" w:hAnsi="Times New Roman"/>
          <w:iCs/>
          <w:lang w:val="pt-BR"/>
        </w:rPr>
        <w:t xml:space="preserve">. Enquanto </w:t>
      </w:r>
      <w:r>
        <w:rPr>
          <w:rFonts w:ascii="Times New Roman" w:hAnsi="Times New Roman"/>
          <w:iCs/>
          <w:lang w:val="pt-BR"/>
        </w:rPr>
        <w:t>o suporte puro obteve S</w:t>
      </w:r>
      <w:r>
        <w:rPr>
          <w:rFonts w:ascii="Times New Roman" w:hAnsi="Times New Roman"/>
          <w:iCs/>
          <w:vertAlign w:val="subscript"/>
          <w:lang w:val="pt-BR"/>
        </w:rPr>
        <w:t>BET</w:t>
      </w:r>
      <w:r>
        <w:rPr>
          <w:rFonts w:ascii="Times New Roman" w:hAnsi="Times New Roman"/>
          <w:iCs/>
          <w:lang w:val="pt-BR"/>
        </w:rPr>
        <w:t xml:space="preserve"> de 328 m</w:t>
      </w:r>
      <w:r>
        <w:rPr>
          <w:rFonts w:ascii="Times New Roman" w:hAnsi="Times New Roman"/>
          <w:iCs/>
          <w:vertAlign w:val="superscript"/>
          <w:lang w:val="pt-BR"/>
        </w:rPr>
        <w:t>2</w:t>
      </w:r>
      <w:r>
        <w:rPr>
          <w:rFonts w:ascii="Times New Roman" w:hAnsi="Times New Roman"/>
          <w:iCs/>
          <w:lang w:val="pt-BR"/>
        </w:rPr>
        <w:t>.g</w:t>
      </w:r>
      <w:r>
        <w:rPr>
          <w:rFonts w:ascii="Times New Roman" w:hAnsi="Times New Roman"/>
          <w:iCs/>
          <w:vertAlign w:val="superscript"/>
          <w:lang w:val="pt-BR"/>
        </w:rPr>
        <w:t>-1</w:t>
      </w:r>
      <w:r w:rsidR="00E14D45">
        <w:rPr>
          <w:rFonts w:ascii="Times New Roman" w:hAnsi="Times New Roman"/>
          <w:iCs/>
          <w:lang w:val="pt-BR"/>
        </w:rPr>
        <w:t xml:space="preserve"> e V</w:t>
      </w:r>
      <w:r w:rsidR="00E14D45">
        <w:rPr>
          <w:rFonts w:ascii="Times New Roman" w:hAnsi="Times New Roman"/>
          <w:iCs/>
          <w:vertAlign w:val="subscript"/>
          <w:lang w:val="pt-BR"/>
        </w:rPr>
        <w:t>P</w:t>
      </w:r>
      <w:r w:rsidR="00E14D45">
        <w:rPr>
          <w:rFonts w:ascii="Times New Roman" w:hAnsi="Times New Roman"/>
          <w:iCs/>
          <w:lang w:val="pt-BR"/>
        </w:rPr>
        <w:t xml:space="preserve"> de 1,72 cm</w:t>
      </w:r>
      <w:r w:rsidR="00E14D45">
        <w:rPr>
          <w:rFonts w:ascii="Times New Roman" w:hAnsi="Times New Roman"/>
          <w:iCs/>
          <w:vertAlign w:val="superscript"/>
          <w:lang w:val="pt-BR"/>
        </w:rPr>
        <w:t>3</w:t>
      </w:r>
      <w:r w:rsidR="00E14D45">
        <w:rPr>
          <w:rFonts w:ascii="Times New Roman" w:hAnsi="Times New Roman"/>
          <w:iCs/>
          <w:lang w:val="pt-BR"/>
        </w:rPr>
        <w:t>.g</w:t>
      </w:r>
      <w:r w:rsidR="00E14D45">
        <w:rPr>
          <w:rFonts w:ascii="Times New Roman" w:hAnsi="Times New Roman"/>
          <w:iCs/>
          <w:vertAlign w:val="superscript"/>
          <w:lang w:val="pt-BR"/>
        </w:rPr>
        <w:t>-1</w:t>
      </w:r>
      <w:r>
        <w:rPr>
          <w:rFonts w:ascii="Times New Roman" w:hAnsi="Times New Roman"/>
          <w:iCs/>
          <w:lang w:val="pt-BR"/>
        </w:rPr>
        <w:t>, o</w:t>
      </w:r>
      <w:r w:rsidR="00E14D45">
        <w:rPr>
          <w:rFonts w:ascii="Times New Roman" w:hAnsi="Times New Roman"/>
          <w:iCs/>
          <w:lang w:val="pt-BR"/>
        </w:rPr>
        <w:t xml:space="preserve"> catalisador </w:t>
      </w:r>
      <w:r w:rsidR="001B6F85">
        <w:rPr>
          <w:rFonts w:ascii="Times New Roman" w:hAnsi="Times New Roman"/>
          <w:iCs/>
          <w:lang w:val="pt-BR"/>
        </w:rPr>
        <w:t>com 40% peso de HPW apresentou</w:t>
      </w:r>
      <w:r w:rsidR="00E14D45">
        <w:rPr>
          <w:rFonts w:ascii="Times New Roman" w:hAnsi="Times New Roman"/>
          <w:iCs/>
          <w:lang w:val="pt-BR"/>
        </w:rPr>
        <w:t xml:space="preserve"> S</w:t>
      </w:r>
      <w:r w:rsidR="00E14D45">
        <w:rPr>
          <w:rFonts w:ascii="Times New Roman" w:hAnsi="Times New Roman"/>
          <w:iCs/>
          <w:vertAlign w:val="subscript"/>
          <w:lang w:val="pt-BR"/>
        </w:rPr>
        <w:t>BET</w:t>
      </w:r>
      <w:r w:rsidR="00E14D45">
        <w:rPr>
          <w:rFonts w:ascii="Times New Roman" w:hAnsi="Times New Roman"/>
          <w:iCs/>
          <w:lang w:val="pt-BR"/>
        </w:rPr>
        <w:t xml:space="preserve"> de 203 m</w:t>
      </w:r>
      <w:r w:rsidR="00E14D45">
        <w:rPr>
          <w:rFonts w:ascii="Times New Roman" w:hAnsi="Times New Roman"/>
          <w:iCs/>
          <w:vertAlign w:val="superscript"/>
          <w:lang w:val="pt-BR"/>
        </w:rPr>
        <w:t>2</w:t>
      </w:r>
      <w:r w:rsidR="00E14D45">
        <w:rPr>
          <w:rFonts w:ascii="Times New Roman" w:hAnsi="Times New Roman"/>
          <w:iCs/>
          <w:lang w:val="pt-BR"/>
        </w:rPr>
        <w:t>.g</w:t>
      </w:r>
      <w:r w:rsidR="00E14D45">
        <w:rPr>
          <w:rFonts w:ascii="Times New Roman" w:hAnsi="Times New Roman"/>
          <w:iCs/>
          <w:vertAlign w:val="superscript"/>
          <w:lang w:val="pt-BR"/>
        </w:rPr>
        <w:t>-1</w:t>
      </w:r>
      <w:r w:rsidR="00E14D45">
        <w:rPr>
          <w:rFonts w:ascii="Times New Roman" w:hAnsi="Times New Roman"/>
          <w:iCs/>
          <w:lang w:val="pt-BR"/>
        </w:rPr>
        <w:t xml:space="preserve"> e V</w:t>
      </w:r>
      <w:r w:rsidR="00E14D45">
        <w:rPr>
          <w:rFonts w:ascii="Times New Roman" w:hAnsi="Times New Roman"/>
          <w:iCs/>
          <w:vertAlign w:val="subscript"/>
          <w:lang w:val="pt-BR"/>
        </w:rPr>
        <w:t>P</w:t>
      </w:r>
      <w:r w:rsidR="00E14D45">
        <w:rPr>
          <w:rFonts w:ascii="Times New Roman" w:hAnsi="Times New Roman"/>
          <w:iCs/>
          <w:lang w:val="pt-BR"/>
        </w:rPr>
        <w:t xml:space="preserve"> de 1,18</w:t>
      </w:r>
      <w:r w:rsidR="001B6F85">
        <w:rPr>
          <w:rFonts w:ascii="Times New Roman" w:hAnsi="Times New Roman"/>
          <w:iCs/>
          <w:lang w:val="pt-BR"/>
        </w:rPr>
        <w:t xml:space="preserve"> cm</w:t>
      </w:r>
      <w:r w:rsidR="001B6F85" w:rsidRPr="001B6F85">
        <w:rPr>
          <w:rFonts w:ascii="Times New Roman" w:hAnsi="Times New Roman"/>
          <w:iCs/>
          <w:vertAlign w:val="superscript"/>
          <w:lang w:val="pt-BR"/>
        </w:rPr>
        <w:t>3</w:t>
      </w:r>
      <w:r w:rsidR="001B6F85">
        <w:rPr>
          <w:rFonts w:ascii="Times New Roman" w:hAnsi="Times New Roman"/>
          <w:iCs/>
          <w:lang w:val="pt-BR"/>
        </w:rPr>
        <w:t>.g</w:t>
      </w:r>
      <w:r w:rsidR="001B6F85" w:rsidRPr="001B6F85">
        <w:rPr>
          <w:rFonts w:ascii="Times New Roman" w:hAnsi="Times New Roman"/>
          <w:iCs/>
          <w:vertAlign w:val="superscript"/>
          <w:lang w:val="pt-BR"/>
        </w:rPr>
        <w:t>-1</w:t>
      </w:r>
      <w:r w:rsidR="00E14D45">
        <w:rPr>
          <w:rFonts w:ascii="Times New Roman" w:hAnsi="Times New Roman"/>
          <w:iCs/>
          <w:lang w:val="pt-BR"/>
        </w:rPr>
        <w:t>.</w:t>
      </w:r>
      <w:r w:rsidR="00CA10C0">
        <w:rPr>
          <w:rFonts w:ascii="Times New Roman" w:hAnsi="Times New Roman"/>
          <w:iCs/>
          <w:lang w:val="pt-BR"/>
        </w:rPr>
        <w:t xml:space="preserve"> </w:t>
      </w:r>
      <w:r w:rsidR="00CA10C0">
        <w:rPr>
          <w:rFonts w:ascii="Times New Roman" w:hAnsi="Times New Roman"/>
          <w:lang w:val="pt-BR"/>
        </w:rPr>
        <w:t>Não houve alteração no diâmetro de poros, de acordo com o tamanho do</w:t>
      </w:r>
      <w:r w:rsidR="00CA10C0" w:rsidRPr="00177699">
        <w:rPr>
          <w:rFonts w:ascii="Times New Roman" w:hAnsi="Times New Roman"/>
          <w:lang w:val="pt-BR"/>
        </w:rPr>
        <w:t xml:space="preserve"> </w:t>
      </w:r>
      <w:r w:rsidR="00CA10C0">
        <w:rPr>
          <w:rFonts w:ascii="Times New Roman" w:hAnsi="Times New Roman"/>
          <w:lang w:val="pt-BR"/>
        </w:rPr>
        <w:t>HPW impregnado (</w:t>
      </w:r>
      <w:r w:rsidR="00CA10C0" w:rsidRPr="00177699">
        <w:rPr>
          <w:rFonts w:ascii="Times New Roman" w:hAnsi="Times New Roman"/>
          <w:lang w:val="pt-BR"/>
        </w:rPr>
        <w:t>11–12</w:t>
      </w:r>
      <w:r w:rsidR="00CA10C0">
        <w:rPr>
          <w:rFonts w:ascii="Times New Roman" w:hAnsi="Times New Roman"/>
          <w:lang w:val="pt-BR"/>
        </w:rPr>
        <w:t xml:space="preserve"> Å</w:t>
      </w:r>
      <w:r w:rsidR="00CA10C0" w:rsidRPr="00177699">
        <w:rPr>
          <w:rFonts w:ascii="Times New Roman" w:hAnsi="Times New Roman"/>
          <w:lang w:val="pt-BR"/>
        </w:rPr>
        <w:t>)</w:t>
      </w:r>
      <w:r w:rsidR="00CA10C0">
        <w:rPr>
          <w:rFonts w:ascii="Times New Roman" w:hAnsi="Times New Roman"/>
          <w:lang w:val="pt-BR"/>
        </w:rPr>
        <w:t xml:space="preserve"> (10).</w:t>
      </w:r>
    </w:p>
    <w:p w14:paraId="6F7F1B87" w14:textId="77777777" w:rsidR="00CA10C0" w:rsidRDefault="00CA10C0" w:rsidP="00CA10C0">
      <w:pPr>
        <w:pStyle w:val="TAMainText"/>
        <w:ind w:firstLine="187"/>
        <w:rPr>
          <w:rFonts w:ascii="Times New Roman" w:hAnsi="Times New Roman"/>
          <w:lang w:val="pt-BR"/>
        </w:rPr>
      </w:pPr>
      <w:r>
        <w:rPr>
          <w:rFonts w:ascii="Times New Roman" w:hAnsi="Times New Roman"/>
          <w:lang w:val="pt-BR"/>
        </w:rPr>
        <w:t xml:space="preserve">Os </w:t>
      </w:r>
      <w:proofErr w:type="spellStart"/>
      <w:r>
        <w:rPr>
          <w:rFonts w:ascii="Times New Roman" w:hAnsi="Times New Roman"/>
          <w:lang w:val="pt-BR"/>
        </w:rPr>
        <w:t>difratogramas</w:t>
      </w:r>
      <w:proofErr w:type="spellEnd"/>
      <w:r>
        <w:rPr>
          <w:rFonts w:ascii="Times New Roman" w:hAnsi="Times New Roman"/>
          <w:lang w:val="pt-BR"/>
        </w:rPr>
        <w:t xml:space="preserve"> de raios–x das amostras são apresentados na figura 1. O suporte </w:t>
      </w:r>
      <w:proofErr w:type="spellStart"/>
      <w:r>
        <w:rPr>
          <w:rFonts w:ascii="Times New Roman" w:hAnsi="Times New Roman"/>
          <w:lang w:val="pt-BR"/>
        </w:rPr>
        <w:t>Siral</w:t>
      </w:r>
      <w:proofErr w:type="spellEnd"/>
      <w:r>
        <w:rPr>
          <w:rFonts w:ascii="Times New Roman" w:hAnsi="Times New Roman"/>
          <w:lang w:val="pt-BR"/>
        </w:rPr>
        <w:t xml:space="preserve"> apresenta baixa cristalinidade com um halo em 25°, característico do SiO</w:t>
      </w:r>
      <w:r>
        <w:rPr>
          <w:rFonts w:ascii="Times New Roman" w:hAnsi="Times New Roman"/>
          <w:vertAlign w:val="subscript"/>
          <w:lang w:val="pt-BR"/>
        </w:rPr>
        <w:t>2</w:t>
      </w:r>
      <w:r>
        <w:rPr>
          <w:rFonts w:ascii="Times New Roman" w:hAnsi="Times New Roman"/>
          <w:lang w:val="pt-BR"/>
        </w:rPr>
        <w:t xml:space="preserve"> amorfo e picos na região 45°–50° e 65°–70° que podem estar relacionados à </w:t>
      </w:r>
      <w:r w:rsidRPr="002519EC">
        <w:rPr>
          <w:rFonts w:ascii="Times New Roman" w:hAnsi="Times New Roman"/>
          <w:lang w:val="pt-BR"/>
        </w:rPr>
        <w:t>γ-Al</w:t>
      </w:r>
      <w:r w:rsidRPr="00955165">
        <w:rPr>
          <w:rFonts w:ascii="Times New Roman" w:hAnsi="Times New Roman"/>
          <w:vertAlign w:val="subscript"/>
          <w:lang w:val="pt-BR"/>
        </w:rPr>
        <w:t>2</w:t>
      </w:r>
      <w:r w:rsidRPr="002519EC">
        <w:rPr>
          <w:rFonts w:ascii="Times New Roman" w:hAnsi="Times New Roman"/>
          <w:lang w:val="pt-BR"/>
        </w:rPr>
        <w:t>O</w:t>
      </w:r>
      <w:r w:rsidRPr="00955165">
        <w:rPr>
          <w:rFonts w:ascii="Times New Roman" w:hAnsi="Times New Roman"/>
          <w:vertAlign w:val="subscript"/>
          <w:lang w:val="pt-BR"/>
        </w:rPr>
        <w:t>3</w:t>
      </w:r>
      <w:r>
        <w:rPr>
          <w:rFonts w:ascii="Times New Roman" w:hAnsi="Times New Roman"/>
          <w:lang w:val="pt-BR"/>
        </w:rPr>
        <w:t>.</w:t>
      </w:r>
      <w:r w:rsidRPr="002519EC">
        <w:rPr>
          <w:rFonts w:ascii="Times New Roman" w:hAnsi="Times New Roman"/>
          <w:lang w:val="pt-BR"/>
        </w:rPr>
        <w:t xml:space="preserve"> (JCPDS-10-0425)</w:t>
      </w:r>
      <w:r>
        <w:rPr>
          <w:rFonts w:ascii="Times New Roman" w:hAnsi="Times New Roman"/>
          <w:lang w:val="pt-BR"/>
        </w:rPr>
        <w:t xml:space="preserve"> </w:t>
      </w:r>
      <w:r w:rsidR="00984BE3">
        <w:rPr>
          <w:rFonts w:ascii="Times New Roman" w:hAnsi="Times New Roman"/>
          <w:lang w:val="pt-BR"/>
        </w:rPr>
        <w:t>(11).</w:t>
      </w:r>
    </w:p>
    <w:p w14:paraId="7A50060C" w14:textId="7899A6F2" w:rsidR="00CA10C0" w:rsidRPr="003D5AD9" w:rsidRDefault="00CA10C0" w:rsidP="00CA10C0">
      <w:pPr>
        <w:pStyle w:val="TAMainText"/>
        <w:ind w:firstLine="187"/>
        <w:rPr>
          <w:rFonts w:ascii="Times New Roman" w:hAnsi="Times New Roman"/>
          <w:lang w:val="pt-BR"/>
        </w:rPr>
      </w:pPr>
      <w:r>
        <w:rPr>
          <w:rFonts w:ascii="Times New Roman" w:hAnsi="Times New Roman"/>
          <w:lang w:val="pt-BR"/>
        </w:rPr>
        <w:t xml:space="preserve">Para os </w:t>
      </w:r>
      <w:proofErr w:type="spellStart"/>
      <w:r>
        <w:rPr>
          <w:rFonts w:ascii="Times New Roman" w:hAnsi="Times New Roman"/>
          <w:lang w:val="pt-BR"/>
        </w:rPr>
        <w:t>difratogramas</w:t>
      </w:r>
      <w:proofErr w:type="spellEnd"/>
      <w:r>
        <w:rPr>
          <w:rFonts w:ascii="Times New Roman" w:hAnsi="Times New Roman"/>
          <w:lang w:val="pt-BR"/>
        </w:rPr>
        <w:t xml:space="preserve"> do suporte </w:t>
      </w:r>
      <w:proofErr w:type="spellStart"/>
      <w:r>
        <w:rPr>
          <w:rFonts w:ascii="Times New Roman" w:hAnsi="Times New Roman"/>
          <w:lang w:val="pt-BR"/>
        </w:rPr>
        <w:t>Siral</w:t>
      </w:r>
      <w:proofErr w:type="spellEnd"/>
      <w:r>
        <w:rPr>
          <w:rFonts w:ascii="Times New Roman" w:hAnsi="Times New Roman"/>
          <w:lang w:val="pt-BR"/>
        </w:rPr>
        <w:t xml:space="preserve">/HPW e dos catalisadores com </w:t>
      </w:r>
      <w:proofErr w:type="spellStart"/>
      <w:r>
        <w:rPr>
          <w:rFonts w:ascii="Times New Roman" w:hAnsi="Times New Roman"/>
          <w:lang w:val="pt-BR"/>
        </w:rPr>
        <w:t>Pd</w:t>
      </w:r>
      <w:proofErr w:type="spellEnd"/>
      <w:r>
        <w:rPr>
          <w:rFonts w:ascii="Times New Roman" w:hAnsi="Times New Roman"/>
          <w:lang w:val="pt-BR"/>
        </w:rPr>
        <w:t xml:space="preserve"> e Ru, é possível observar </w:t>
      </w:r>
      <w:r w:rsidR="00E75FF3">
        <w:rPr>
          <w:rFonts w:ascii="Times New Roman" w:hAnsi="Times New Roman"/>
          <w:lang w:val="pt-BR"/>
        </w:rPr>
        <w:t>perfis</w:t>
      </w:r>
      <w:r>
        <w:rPr>
          <w:rFonts w:ascii="Times New Roman" w:hAnsi="Times New Roman"/>
          <w:lang w:val="pt-BR"/>
        </w:rPr>
        <w:t xml:space="preserve"> característico</w:t>
      </w:r>
      <w:r w:rsidR="00E75FF3">
        <w:rPr>
          <w:rFonts w:ascii="Times New Roman" w:hAnsi="Times New Roman"/>
          <w:lang w:val="pt-BR"/>
        </w:rPr>
        <w:t>s</w:t>
      </w:r>
      <w:r>
        <w:rPr>
          <w:rFonts w:ascii="Times New Roman" w:hAnsi="Times New Roman"/>
          <w:lang w:val="pt-BR"/>
        </w:rPr>
        <w:t xml:space="preserve"> de estruturas cristalinas. </w:t>
      </w:r>
      <w:r w:rsidR="00984BE3">
        <w:rPr>
          <w:rFonts w:ascii="Times New Roman" w:hAnsi="Times New Roman"/>
          <w:lang w:val="pt-BR"/>
        </w:rPr>
        <w:t xml:space="preserve">São </w:t>
      </w:r>
      <w:r>
        <w:rPr>
          <w:rFonts w:ascii="Times New Roman" w:hAnsi="Times New Roman"/>
          <w:lang w:val="pt-BR"/>
        </w:rPr>
        <w:t>observado</w:t>
      </w:r>
      <w:r w:rsidR="00984BE3">
        <w:rPr>
          <w:rFonts w:ascii="Times New Roman" w:hAnsi="Times New Roman"/>
          <w:lang w:val="pt-BR"/>
        </w:rPr>
        <w:t>s</w:t>
      </w:r>
      <w:r>
        <w:rPr>
          <w:rFonts w:ascii="Times New Roman" w:hAnsi="Times New Roman"/>
          <w:lang w:val="pt-BR"/>
        </w:rPr>
        <w:t xml:space="preserve"> </w:t>
      </w:r>
      <w:r>
        <w:rPr>
          <w:rFonts w:ascii="Times New Roman" w:hAnsi="Times New Roman"/>
          <w:lang w:val="pt-BR"/>
        </w:rPr>
        <w:t>picos em 23,11°, 23,56°, 24,30° e em 33,20 e 34,13 indicando a formação de WO</w:t>
      </w:r>
      <w:r w:rsidRPr="00984BE3">
        <w:rPr>
          <w:rFonts w:ascii="Times New Roman" w:hAnsi="Times New Roman"/>
          <w:vertAlign w:val="subscript"/>
          <w:lang w:val="pt-BR"/>
        </w:rPr>
        <w:t>3</w:t>
      </w:r>
      <w:r>
        <w:rPr>
          <w:rFonts w:ascii="Times New Roman" w:hAnsi="Times New Roman"/>
          <w:lang w:val="pt-BR"/>
        </w:rPr>
        <w:t xml:space="preserve"> </w:t>
      </w:r>
      <w:r w:rsidR="006F6183">
        <w:rPr>
          <w:rFonts w:ascii="Times New Roman" w:hAnsi="Times New Roman"/>
          <w:lang w:val="pt-BR"/>
        </w:rPr>
        <w:t>em função da calcinação das amostras a 500</w:t>
      </w:r>
      <w:r w:rsidR="003056EA">
        <w:rPr>
          <w:rFonts w:ascii="Times New Roman" w:hAnsi="Times New Roman"/>
          <w:lang w:val="pt-BR"/>
        </w:rPr>
        <w:t xml:space="preserve"> °</w:t>
      </w:r>
      <w:r w:rsidR="006F6183">
        <w:rPr>
          <w:rFonts w:ascii="Times New Roman" w:hAnsi="Times New Roman"/>
          <w:lang w:val="pt-BR"/>
        </w:rPr>
        <w:t xml:space="preserve">C </w:t>
      </w:r>
      <w:r>
        <w:rPr>
          <w:rFonts w:ascii="Times New Roman" w:hAnsi="Times New Roman"/>
          <w:lang w:val="pt-BR"/>
        </w:rPr>
        <w:t>(1</w:t>
      </w:r>
      <w:r w:rsidR="006F6183">
        <w:rPr>
          <w:rFonts w:ascii="Times New Roman" w:hAnsi="Times New Roman"/>
          <w:lang w:val="pt-BR"/>
        </w:rPr>
        <w:t>2</w:t>
      </w:r>
      <w:r>
        <w:rPr>
          <w:rFonts w:ascii="Times New Roman" w:hAnsi="Times New Roman"/>
          <w:lang w:val="pt-BR"/>
        </w:rPr>
        <w:t xml:space="preserve">). Não foi verificada a presença do HPW original com uma raia de maior intensidade em 27º, representativa da estrutura de </w:t>
      </w:r>
      <w:proofErr w:type="spellStart"/>
      <w:r>
        <w:rPr>
          <w:rFonts w:ascii="Times New Roman" w:hAnsi="Times New Roman"/>
          <w:lang w:val="pt-BR"/>
        </w:rPr>
        <w:t>Keggin</w:t>
      </w:r>
      <w:proofErr w:type="spellEnd"/>
      <w:r>
        <w:rPr>
          <w:rFonts w:ascii="Times New Roman" w:hAnsi="Times New Roman"/>
          <w:lang w:val="pt-BR"/>
        </w:rPr>
        <w:t>. (1</w:t>
      </w:r>
      <w:r w:rsidR="006F6183">
        <w:rPr>
          <w:rFonts w:ascii="Times New Roman" w:hAnsi="Times New Roman"/>
          <w:lang w:val="pt-BR"/>
        </w:rPr>
        <w:t>3</w:t>
      </w:r>
      <w:r>
        <w:rPr>
          <w:rFonts w:ascii="Times New Roman" w:hAnsi="Times New Roman"/>
          <w:lang w:val="pt-BR"/>
        </w:rPr>
        <w:t>)</w:t>
      </w:r>
      <w:r w:rsidR="006F6183">
        <w:rPr>
          <w:rFonts w:ascii="Times New Roman" w:hAnsi="Times New Roman"/>
          <w:lang w:val="pt-BR"/>
        </w:rPr>
        <w:t xml:space="preserve">. </w:t>
      </w:r>
      <w:r>
        <w:rPr>
          <w:rFonts w:ascii="Times New Roman" w:hAnsi="Times New Roman"/>
          <w:lang w:val="pt-BR"/>
        </w:rPr>
        <w:t xml:space="preserve">Devido </w:t>
      </w:r>
      <w:r w:rsidR="006F6183">
        <w:rPr>
          <w:rFonts w:ascii="Times New Roman" w:hAnsi="Times New Roman"/>
          <w:lang w:val="pt-BR"/>
        </w:rPr>
        <w:t>à</w:t>
      </w:r>
      <w:r>
        <w:rPr>
          <w:rFonts w:ascii="Times New Roman" w:hAnsi="Times New Roman"/>
          <w:lang w:val="pt-BR"/>
        </w:rPr>
        <w:t xml:space="preserve"> baixa proporção de </w:t>
      </w:r>
      <w:proofErr w:type="spellStart"/>
      <w:r>
        <w:rPr>
          <w:rFonts w:ascii="Times New Roman" w:hAnsi="Times New Roman"/>
          <w:lang w:val="pt-BR"/>
        </w:rPr>
        <w:t>Pd</w:t>
      </w:r>
      <w:proofErr w:type="spellEnd"/>
      <w:r>
        <w:rPr>
          <w:rFonts w:ascii="Times New Roman" w:hAnsi="Times New Roman"/>
          <w:lang w:val="pt-BR"/>
        </w:rPr>
        <w:t xml:space="preserve"> e Ru impregnados no catalisador, não foi possível observar picos característicos da presença desses metais nos catalisadores.</w:t>
      </w:r>
    </w:p>
    <w:p w14:paraId="6B04EBE0" w14:textId="77777777" w:rsidR="00CA10C0" w:rsidRDefault="00CA10C0" w:rsidP="00CA10C0">
      <w:pPr>
        <w:keepNext/>
        <w:spacing w:after="0" w:line="240" w:lineRule="auto"/>
      </w:pPr>
      <w:r w:rsidRPr="00B5369C">
        <w:rPr>
          <w:noProof/>
          <w:lang w:eastAsia="pt-BR"/>
        </w:rPr>
        <w:drawing>
          <wp:inline distT="0" distB="0" distL="0" distR="0" wp14:anchorId="787073AA" wp14:editId="0D123460">
            <wp:extent cx="3000375" cy="2332408"/>
            <wp:effectExtent l="0" t="0" r="9525"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5031" t="12548" r="8805" b="6464"/>
                    <a:stretch>
                      <a:fillRect/>
                    </a:stretch>
                  </pic:blipFill>
                  <pic:spPr bwMode="auto">
                    <a:xfrm>
                      <a:off x="0" y="0"/>
                      <a:ext cx="3003209" cy="2334611"/>
                    </a:xfrm>
                    <a:prstGeom prst="rect">
                      <a:avLst/>
                    </a:prstGeom>
                    <a:noFill/>
                    <a:ln w="9525">
                      <a:noFill/>
                      <a:miter lim="800000"/>
                      <a:headEnd/>
                      <a:tailEnd/>
                    </a:ln>
                  </pic:spPr>
                </pic:pic>
              </a:graphicData>
            </a:graphic>
          </wp:inline>
        </w:drawing>
      </w:r>
    </w:p>
    <w:p w14:paraId="36D9D168" w14:textId="77777777" w:rsidR="00CA10C0" w:rsidRPr="00C21919" w:rsidRDefault="00CA10C0" w:rsidP="00CA10C0">
      <w:pPr>
        <w:pStyle w:val="Legenda"/>
        <w:spacing w:after="0"/>
        <w:jc w:val="center"/>
        <w:rPr>
          <w:rFonts w:ascii="Times" w:hAnsi="Times" w:cs="Times"/>
          <w:color w:val="000000" w:themeColor="text1"/>
          <w:sz w:val="18"/>
          <w:szCs w:val="18"/>
        </w:rPr>
      </w:pPr>
      <w:r w:rsidRPr="00C21919">
        <w:rPr>
          <w:rFonts w:ascii="Times" w:hAnsi="Times" w:cs="Times"/>
          <w:color w:val="000000" w:themeColor="text1"/>
          <w:sz w:val="18"/>
          <w:szCs w:val="18"/>
        </w:rPr>
        <w:t xml:space="preserve">Figura </w:t>
      </w:r>
      <w:r>
        <w:rPr>
          <w:rFonts w:ascii="Times" w:hAnsi="Times" w:cs="Times"/>
          <w:color w:val="000000" w:themeColor="text1"/>
          <w:sz w:val="18"/>
          <w:szCs w:val="18"/>
        </w:rPr>
        <w:t>1.</w:t>
      </w:r>
      <w:r w:rsidRPr="00C21919">
        <w:rPr>
          <w:rFonts w:ascii="Times" w:hAnsi="Times" w:cs="Times"/>
          <w:color w:val="000000" w:themeColor="text1"/>
          <w:sz w:val="18"/>
          <w:szCs w:val="18"/>
        </w:rPr>
        <w:t xml:space="preserve"> </w:t>
      </w:r>
      <w:proofErr w:type="spellStart"/>
      <w:r w:rsidRPr="00C21919">
        <w:rPr>
          <w:rFonts w:ascii="Times" w:hAnsi="Times" w:cs="Times"/>
          <w:b w:val="0"/>
          <w:bCs w:val="0"/>
          <w:color w:val="000000" w:themeColor="text1"/>
          <w:sz w:val="18"/>
          <w:szCs w:val="18"/>
        </w:rPr>
        <w:t>Difratogramas</w:t>
      </w:r>
      <w:proofErr w:type="spellEnd"/>
      <w:r w:rsidRPr="00C21919">
        <w:rPr>
          <w:rFonts w:ascii="Times" w:hAnsi="Times" w:cs="Times"/>
          <w:b w:val="0"/>
          <w:bCs w:val="0"/>
          <w:color w:val="000000" w:themeColor="text1"/>
          <w:sz w:val="18"/>
          <w:szCs w:val="18"/>
        </w:rPr>
        <w:t xml:space="preserve"> de </w:t>
      </w:r>
      <w:r w:rsidR="00E75FF3">
        <w:rPr>
          <w:rFonts w:ascii="Times" w:hAnsi="Times" w:cs="Times"/>
          <w:b w:val="0"/>
          <w:bCs w:val="0"/>
          <w:color w:val="000000" w:themeColor="text1"/>
          <w:sz w:val="18"/>
          <w:szCs w:val="18"/>
        </w:rPr>
        <w:t>r</w:t>
      </w:r>
      <w:r w:rsidRPr="00C21919">
        <w:rPr>
          <w:rFonts w:ascii="Times" w:hAnsi="Times" w:cs="Times"/>
          <w:b w:val="0"/>
          <w:bCs w:val="0"/>
          <w:color w:val="000000" w:themeColor="text1"/>
          <w:sz w:val="18"/>
          <w:szCs w:val="18"/>
        </w:rPr>
        <w:t>aios-X das amostras estudadas.</w:t>
      </w:r>
    </w:p>
    <w:p w14:paraId="5D43654F" w14:textId="77777777" w:rsidR="00CA10C0" w:rsidRDefault="00CA10C0" w:rsidP="00CA10C0">
      <w:pPr>
        <w:pStyle w:val="TAMainText"/>
        <w:spacing w:line="240" w:lineRule="auto"/>
        <w:ind w:firstLine="187"/>
        <w:rPr>
          <w:rFonts w:ascii="Times New Roman" w:hAnsi="Times New Roman"/>
          <w:lang w:val="pt-BR"/>
        </w:rPr>
      </w:pPr>
    </w:p>
    <w:p w14:paraId="7D92826E" w14:textId="77777777" w:rsidR="00F81F02" w:rsidRDefault="009966A8" w:rsidP="00134E77">
      <w:pPr>
        <w:pStyle w:val="TAMainText"/>
        <w:rPr>
          <w:rFonts w:ascii="Times New Roman" w:hAnsi="Times New Roman"/>
          <w:lang w:val="pt-BR"/>
        </w:rPr>
      </w:pPr>
      <w:r>
        <w:rPr>
          <w:rFonts w:ascii="Times New Roman" w:hAnsi="Times New Roman"/>
          <w:lang w:val="pt-BR"/>
        </w:rPr>
        <w:t xml:space="preserve">A espectroscopia por reflectância difusa permite </w:t>
      </w:r>
      <w:r w:rsidR="007A449F">
        <w:rPr>
          <w:rFonts w:ascii="Times New Roman" w:hAnsi="Times New Roman"/>
          <w:lang w:val="pt-BR"/>
        </w:rPr>
        <w:t>obter</w:t>
      </w:r>
      <w:r>
        <w:rPr>
          <w:rFonts w:ascii="Times New Roman" w:hAnsi="Times New Roman"/>
          <w:lang w:val="pt-BR"/>
        </w:rPr>
        <w:t xml:space="preserve"> maiores informações a respeito das </w:t>
      </w:r>
      <w:r w:rsidR="007A449F">
        <w:rPr>
          <w:rFonts w:ascii="Times New Roman" w:hAnsi="Times New Roman"/>
          <w:lang w:val="pt-BR"/>
        </w:rPr>
        <w:t>espécies presentes</w:t>
      </w:r>
      <w:r>
        <w:rPr>
          <w:rFonts w:ascii="Times New Roman" w:hAnsi="Times New Roman"/>
          <w:lang w:val="pt-BR"/>
        </w:rPr>
        <w:t xml:space="preserve"> </w:t>
      </w:r>
      <w:r w:rsidR="007A449F">
        <w:rPr>
          <w:rFonts w:ascii="Times New Roman" w:hAnsi="Times New Roman"/>
          <w:lang w:val="pt-BR"/>
        </w:rPr>
        <w:t>n</w:t>
      </w:r>
      <w:r>
        <w:rPr>
          <w:rFonts w:ascii="Times New Roman" w:hAnsi="Times New Roman"/>
          <w:lang w:val="pt-BR"/>
        </w:rPr>
        <w:t>os catalisadores</w:t>
      </w:r>
      <w:r w:rsidR="007A449F">
        <w:rPr>
          <w:rFonts w:ascii="Times New Roman" w:hAnsi="Times New Roman"/>
          <w:lang w:val="pt-BR"/>
        </w:rPr>
        <w:t xml:space="preserve"> e suas interações</w:t>
      </w:r>
      <w:r>
        <w:rPr>
          <w:rFonts w:ascii="Times New Roman" w:hAnsi="Times New Roman"/>
          <w:lang w:val="pt-BR"/>
        </w:rPr>
        <w:t xml:space="preserve">. Os </w:t>
      </w:r>
      <w:r w:rsidR="007A449F">
        <w:rPr>
          <w:rFonts w:ascii="Times New Roman" w:hAnsi="Times New Roman"/>
          <w:lang w:val="pt-BR"/>
        </w:rPr>
        <w:t>espectros</w:t>
      </w:r>
      <w:r>
        <w:rPr>
          <w:rFonts w:ascii="Times New Roman" w:hAnsi="Times New Roman"/>
          <w:lang w:val="pt-BR"/>
        </w:rPr>
        <w:t xml:space="preserve"> obtidos nesta análise </w:t>
      </w:r>
      <w:r w:rsidR="007A449F">
        <w:rPr>
          <w:rFonts w:ascii="Times New Roman" w:hAnsi="Times New Roman"/>
          <w:lang w:val="pt-BR"/>
        </w:rPr>
        <w:t>s</w:t>
      </w:r>
      <w:r>
        <w:rPr>
          <w:rFonts w:ascii="Times New Roman" w:hAnsi="Times New Roman"/>
          <w:lang w:val="pt-BR"/>
        </w:rPr>
        <w:t xml:space="preserve">ão </w:t>
      </w:r>
      <w:r w:rsidR="007A449F">
        <w:rPr>
          <w:rFonts w:ascii="Times New Roman" w:hAnsi="Times New Roman"/>
          <w:lang w:val="pt-BR"/>
        </w:rPr>
        <w:t>apresen</w:t>
      </w:r>
      <w:r>
        <w:rPr>
          <w:rFonts w:ascii="Times New Roman" w:hAnsi="Times New Roman"/>
          <w:lang w:val="pt-BR"/>
        </w:rPr>
        <w:t xml:space="preserve">tados na figura </w:t>
      </w:r>
      <w:r w:rsidR="006F6183">
        <w:rPr>
          <w:rFonts w:ascii="Times New Roman" w:hAnsi="Times New Roman"/>
          <w:lang w:val="pt-BR"/>
        </w:rPr>
        <w:t>2</w:t>
      </w:r>
      <w:r>
        <w:rPr>
          <w:rFonts w:ascii="Times New Roman" w:hAnsi="Times New Roman"/>
          <w:lang w:val="pt-BR"/>
        </w:rPr>
        <w:t>.</w:t>
      </w:r>
    </w:p>
    <w:p w14:paraId="78A2A407" w14:textId="77777777" w:rsidR="00EA5D8B" w:rsidRPr="00FA0E03" w:rsidRDefault="00EF7524" w:rsidP="00AB0DCB">
      <w:pPr>
        <w:pStyle w:val="TAMainText"/>
        <w:ind w:firstLine="187"/>
        <w:rPr>
          <w:rFonts w:ascii="Times New Roman" w:hAnsi="Times New Roman"/>
          <w:lang w:val="pt-BR"/>
        </w:rPr>
      </w:pPr>
      <w:r>
        <w:rPr>
          <w:rFonts w:ascii="Times New Roman" w:hAnsi="Times New Roman"/>
          <w:lang w:val="pt-BR"/>
        </w:rPr>
        <w:t xml:space="preserve">A amostra </w:t>
      </w:r>
      <w:proofErr w:type="spellStart"/>
      <w:r>
        <w:rPr>
          <w:rFonts w:ascii="Times New Roman" w:hAnsi="Times New Roman"/>
          <w:lang w:val="pt-BR"/>
        </w:rPr>
        <w:t>SiralHPW</w:t>
      </w:r>
      <w:proofErr w:type="spellEnd"/>
      <w:r>
        <w:rPr>
          <w:rFonts w:ascii="Times New Roman" w:hAnsi="Times New Roman"/>
          <w:lang w:val="pt-BR"/>
        </w:rPr>
        <w:t xml:space="preserve"> apresentou uma larga banda em 295 </w:t>
      </w:r>
      <w:proofErr w:type="spellStart"/>
      <w:r>
        <w:rPr>
          <w:rFonts w:ascii="Times New Roman" w:hAnsi="Times New Roman"/>
          <w:lang w:val="pt-BR"/>
        </w:rPr>
        <w:t>nm</w:t>
      </w:r>
      <w:proofErr w:type="spellEnd"/>
      <w:r>
        <w:rPr>
          <w:rFonts w:ascii="Times New Roman" w:hAnsi="Times New Roman"/>
          <w:lang w:val="pt-BR"/>
        </w:rPr>
        <w:t>.</w:t>
      </w:r>
      <w:r w:rsidRPr="00EF7524">
        <w:rPr>
          <w:rFonts w:ascii="Times New Roman" w:hAnsi="Times New Roman"/>
          <w:lang w:val="pt-BR"/>
        </w:rPr>
        <w:t xml:space="preserve"> </w:t>
      </w:r>
      <w:r>
        <w:rPr>
          <w:rFonts w:ascii="Times New Roman" w:hAnsi="Times New Roman"/>
          <w:lang w:val="pt-BR"/>
        </w:rPr>
        <w:t xml:space="preserve">A literatura </w:t>
      </w:r>
      <w:r w:rsidR="002D6669">
        <w:rPr>
          <w:rFonts w:ascii="Times New Roman" w:hAnsi="Times New Roman"/>
          <w:lang w:val="pt-BR"/>
        </w:rPr>
        <w:t>atribui</w:t>
      </w:r>
      <w:r>
        <w:rPr>
          <w:rFonts w:ascii="Times New Roman" w:hAnsi="Times New Roman"/>
          <w:lang w:val="pt-BR"/>
        </w:rPr>
        <w:t xml:space="preserve"> </w:t>
      </w:r>
      <w:r w:rsidR="002D6669">
        <w:rPr>
          <w:rFonts w:ascii="Times New Roman" w:hAnsi="Times New Roman"/>
          <w:lang w:val="pt-BR"/>
        </w:rPr>
        <w:t xml:space="preserve">a essa </w:t>
      </w:r>
      <w:r>
        <w:rPr>
          <w:rFonts w:ascii="Times New Roman" w:hAnsi="Times New Roman"/>
          <w:lang w:val="pt-BR"/>
        </w:rPr>
        <w:t>banda</w:t>
      </w:r>
      <w:r w:rsidR="002D6669">
        <w:rPr>
          <w:rFonts w:ascii="Times New Roman" w:hAnsi="Times New Roman"/>
          <w:lang w:val="pt-BR"/>
        </w:rPr>
        <w:t>,</w:t>
      </w:r>
      <w:r>
        <w:rPr>
          <w:rFonts w:ascii="Times New Roman" w:hAnsi="Times New Roman"/>
          <w:lang w:val="pt-BR"/>
        </w:rPr>
        <w:t xml:space="preserve"> localizada na região de 290 - 310 </w:t>
      </w:r>
      <w:proofErr w:type="spellStart"/>
      <w:r>
        <w:rPr>
          <w:rFonts w:ascii="Times New Roman" w:hAnsi="Times New Roman"/>
          <w:lang w:val="pt-BR"/>
        </w:rPr>
        <w:t>nm</w:t>
      </w:r>
      <w:proofErr w:type="spellEnd"/>
      <w:r w:rsidR="002D6669">
        <w:rPr>
          <w:rFonts w:ascii="Times New Roman" w:hAnsi="Times New Roman"/>
          <w:lang w:val="pt-BR"/>
        </w:rPr>
        <w:t>, a</w:t>
      </w:r>
      <w:r>
        <w:rPr>
          <w:rFonts w:ascii="Times New Roman" w:hAnsi="Times New Roman"/>
          <w:lang w:val="pt-BR"/>
        </w:rPr>
        <w:t xml:space="preserve"> transição de orbitais </w:t>
      </w:r>
      <w:r w:rsidRPr="00000A93">
        <w:rPr>
          <w:rFonts w:ascii="Times New Roman" w:hAnsi="Times New Roman"/>
          <w:i/>
          <w:iCs/>
          <w:lang w:val="pt-BR"/>
        </w:rPr>
        <w:t>5d</w:t>
      </w:r>
      <w:r>
        <w:rPr>
          <w:rFonts w:ascii="Times New Roman" w:hAnsi="Times New Roman"/>
          <w:lang w:val="pt-BR"/>
        </w:rPr>
        <w:t xml:space="preserve"> de W e orbitais </w:t>
      </w:r>
      <w:r w:rsidRPr="00000A93">
        <w:rPr>
          <w:rFonts w:ascii="Times New Roman" w:hAnsi="Times New Roman"/>
          <w:i/>
          <w:iCs/>
          <w:lang w:val="pt-BR"/>
        </w:rPr>
        <w:t>2p</w:t>
      </w:r>
      <w:r>
        <w:rPr>
          <w:rFonts w:ascii="Times New Roman" w:hAnsi="Times New Roman"/>
          <w:lang w:val="pt-BR"/>
        </w:rPr>
        <w:t xml:space="preserve"> de O, devido a presença de WO</w:t>
      </w:r>
      <w:r w:rsidRPr="00000A93">
        <w:rPr>
          <w:rFonts w:ascii="Times New Roman" w:hAnsi="Times New Roman"/>
          <w:vertAlign w:val="subscript"/>
          <w:lang w:val="pt-BR"/>
        </w:rPr>
        <w:t>3</w:t>
      </w:r>
      <w:r>
        <w:rPr>
          <w:rFonts w:ascii="Times New Roman" w:hAnsi="Times New Roman"/>
          <w:lang w:val="pt-BR"/>
        </w:rPr>
        <w:t xml:space="preserve"> nas amostras</w:t>
      </w:r>
      <w:r w:rsidR="002D6669">
        <w:rPr>
          <w:rFonts w:ascii="Times New Roman" w:hAnsi="Times New Roman"/>
          <w:lang w:val="pt-BR"/>
        </w:rPr>
        <w:t xml:space="preserve"> (</w:t>
      </w:r>
      <w:r w:rsidR="00B240E9">
        <w:rPr>
          <w:rFonts w:ascii="Times New Roman" w:hAnsi="Times New Roman"/>
          <w:lang w:val="pt-BR"/>
        </w:rPr>
        <w:t>1</w:t>
      </w:r>
      <w:r w:rsidR="007268BE">
        <w:rPr>
          <w:rFonts w:ascii="Times New Roman" w:hAnsi="Times New Roman"/>
          <w:lang w:val="pt-BR"/>
        </w:rPr>
        <w:t>4</w:t>
      </w:r>
      <w:r w:rsidR="002D6669">
        <w:rPr>
          <w:rFonts w:ascii="Times New Roman" w:hAnsi="Times New Roman"/>
          <w:lang w:val="pt-BR"/>
        </w:rPr>
        <w:t>).</w:t>
      </w:r>
      <w:r w:rsidR="007268BE">
        <w:rPr>
          <w:rFonts w:ascii="Times New Roman" w:hAnsi="Times New Roman"/>
          <w:lang w:val="pt-BR"/>
        </w:rPr>
        <w:t xml:space="preserve"> Esse resultado está de acordo com o DRX. </w:t>
      </w:r>
    </w:p>
    <w:p w14:paraId="127B9A4E" w14:textId="77777777" w:rsidR="00BF1AC8" w:rsidRDefault="00CC4B4D" w:rsidP="008F19CC">
      <w:pPr>
        <w:keepNext/>
        <w:spacing w:after="0" w:line="240" w:lineRule="auto"/>
        <w:jc w:val="center"/>
      </w:pPr>
      <w:r w:rsidRPr="00CC4B4D">
        <w:rPr>
          <w:noProof/>
          <w:lang w:eastAsia="pt-BR"/>
        </w:rPr>
        <w:drawing>
          <wp:inline distT="0" distB="0" distL="0" distR="0" wp14:anchorId="0E7004D8" wp14:editId="7A768E42">
            <wp:extent cx="3036832" cy="2356339"/>
            <wp:effectExtent l="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5233" t="13240" r="7849" b="5923"/>
                    <a:stretch>
                      <a:fillRect/>
                    </a:stretch>
                  </pic:blipFill>
                  <pic:spPr bwMode="auto">
                    <a:xfrm>
                      <a:off x="0" y="0"/>
                      <a:ext cx="3042477" cy="2360719"/>
                    </a:xfrm>
                    <a:prstGeom prst="rect">
                      <a:avLst/>
                    </a:prstGeom>
                    <a:noFill/>
                    <a:ln w="9525">
                      <a:noFill/>
                      <a:miter lim="800000"/>
                      <a:headEnd/>
                      <a:tailEnd/>
                    </a:ln>
                  </pic:spPr>
                </pic:pic>
              </a:graphicData>
            </a:graphic>
          </wp:inline>
        </w:drawing>
      </w:r>
    </w:p>
    <w:p w14:paraId="2ADB5C42" w14:textId="77777777" w:rsidR="00BF1AC8" w:rsidRPr="00C21919" w:rsidRDefault="00BF1AC8" w:rsidP="008F19CC">
      <w:pPr>
        <w:pStyle w:val="Legenda"/>
        <w:spacing w:after="0"/>
        <w:jc w:val="center"/>
        <w:rPr>
          <w:rFonts w:ascii="Times" w:hAnsi="Times" w:cs="Times"/>
          <w:color w:val="000000" w:themeColor="text1"/>
          <w:sz w:val="18"/>
          <w:szCs w:val="18"/>
        </w:rPr>
      </w:pPr>
      <w:r w:rsidRPr="00C21919">
        <w:rPr>
          <w:rFonts w:ascii="Times" w:hAnsi="Times" w:cs="Times"/>
          <w:color w:val="000000" w:themeColor="text1"/>
          <w:sz w:val="18"/>
          <w:szCs w:val="18"/>
        </w:rPr>
        <w:t xml:space="preserve">Figura </w:t>
      </w:r>
      <w:r w:rsidR="00CA10C0">
        <w:rPr>
          <w:rFonts w:ascii="Times" w:hAnsi="Times" w:cs="Times"/>
          <w:color w:val="000000" w:themeColor="text1"/>
          <w:sz w:val="18"/>
          <w:szCs w:val="18"/>
        </w:rPr>
        <w:t>2.</w:t>
      </w:r>
      <w:r w:rsidRPr="00C21919">
        <w:rPr>
          <w:rFonts w:ascii="Times" w:hAnsi="Times" w:cs="Times"/>
          <w:color w:val="000000" w:themeColor="text1"/>
          <w:sz w:val="18"/>
          <w:szCs w:val="18"/>
        </w:rPr>
        <w:t xml:space="preserve"> </w:t>
      </w:r>
      <w:r w:rsidRPr="00C21919">
        <w:rPr>
          <w:rFonts w:ascii="Times" w:hAnsi="Times" w:cs="Times"/>
          <w:b w:val="0"/>
          <w:bCs w:val="0"/>
          <w:color w:val="000000" w:themeColor="text1"/>
          <w:sz w:val="18"/>
          <w:szCs w:val="18"/>
        </w:rPr>
        <w:t xml:space="preserve">Espectros DRS para </w:t>
      </w:r>
      <w:r w:rsidR="00C21919" w:rsidRPr="00C21919">
        <w:rPr>
          <w:rFonts w:ascii="Times" w:hAnsi="Times" w:cs="Times"/>
          <w:b w:val="0"/>
          <w:bCs w:val="0"/>
          <w:color w:val="000000" w:themeColor="text1"/>
          <w:sz w:val="18"/>
          <w:szCs w:val="18"/>
        </w:rPr>
        <w:t>as amostras</w:t>
      </w:r>
      <w:r w:rsidRPr="00C21919">
        <w:rPr>
          <w:rFonts w:ascii="Times" w:hAnsi="Times" w:cs="Times"/>
          <w:b w:val="0"/>
          <w:bCs w:val="0"/>
          <w:color w:val="000000" w:themeColor="text1"/>
          <w:sz w:val="18"/>
          <w:szCs w:val="18"/>
        </w:rPr>
        <w:t xml:space="preserve"> estudad</w:t>
      </w:r>
      <w:r w:rsidR="00C21919" w:rsidRPr="00C21919">
        <w:rPr>
          <w:rFonts w:ascii="Times" w:hAnsi="Times" w:cs="Times"/>
          <w:b w:val="0"/>
          <w:bCs w:val="0"/>
          <w:color w:val="000000" w:themeColor="text1"/>
          <w:sz w:val="18"/>
          <w:szCs w:val="18"/>
        </w:rPr>
        <w:t>a</w:t>
      </w:r>
      <w:r w:rsidRPr="00C21919">
        <w:rPr>
          <w:rFonts w:ascii="Times" w:hAnsi="Times" w:cs="Times"/>
          <w:b w:val="0"/>
          <w:bCs w:val="0"/>
          <w:color w:val="000000" w:themeColor="text1"/>
          <w:sz w:val="18"/>
          <w:szCs w:val="18"/>
        </w:rPr>
        <w:t>s.</w:t>
      </w:r>
    </w:p>
    <w:p w14:paraId="3C6F131D" w14:textId="77777777" w:rsidR="008F19CC" w:rsidRDefault="008F19CC" w:rsidP="00681797">
      <w:pPr>
        <w:pStyle w:val="TAMainText"/>
        <w:ind w:firstLine="187"/>
        <w:rPr>
          <w:rFonts w:ascii="Times New Roman" w:hAnsi="Times New Roman"/>
          <w:lang w:val="pt-BR"/>
        </w:rPr>
      </w:pPr>
    </w:p>
    <w:p w14:paraId="0C3D0FC9" w14:textId="77777777" w:rsidR="00AB0DCB" w:rsidRPr="001A70D5" w:rsidRDefault="00AB0DCB" w:rsidP="00AB0DCB">
      <w:pPr>
        <w:pStyle w:val="TAMainText"/>
        <w:rPr>
          <w:rFonts w:ascii="Times New Roman" w:hAnsi="Times New Roman"/>
          <w:lang w:val="pt-BR"/>
        </w:rPr>
      </w:pPr>
      <w:r>
        <w:rPr>
          <w:rFonts w:ascii="Times New Roman" w:hAnsi="Times New Roman"/>
          <w:lang w:val="pt-BR"/>
        </w:rPr>
        <w:t xml:space="preserve">Os catalisadores foram analisados usando o </w:t>
      </w:r>
      <w:proofErr w:type="spellStart"/>
      <w:r>
        <w:rPr>
          <w:rFonts w:ascii="Times New Roman" w:hAnsi="Times New Roman"/>
          <w:lang w:val="pt-BR"/>
        </w:rPr>
        <w:t>SiralHPW</w:t>
      </w:r>
      <w:proofErr w:type="spellEnd"/>
      <w:r>
        <w:rPr>
          <w:rFonts w:ascii="Times New Roman" w:hAnsi="Times New Roman"/>
          <w:lang w:val="pt-BR"/>
        </w:rPr>
        <w:t xml:space="preserve"> como referência. Desta forma, os espectros são resultado </w:t>
      </w:r>
      <w:r>
        <w:rPr>
          <w:rFonts w:ascii="Times New Roman" w:hAnsi="Times New Roman"/>
          <w:lang w:val="pt-BR"/>
        </w:rPr>
        <w:lastRenderedPageBreak/>
        <w:t xml:space="preserve">da presença de Ru e </w:t>
      </w:r>
      <w:proofErr w:type="spellStart"/>
      <w:r>
        <w:rPr>
          <w:rFonts w:ascii="Times New Roman" w:hAnsi="Times New Roman"/>
          <w:lang w:val="pt-BR"/>
        </w:rPr>
        <w:t>Pd</w:t>
      </w:r>
      <w:proofErr w:type="spellEnd"/>
      <w:r>
        <w:rPr>
          <w:rFonts w:ascii="Times New Roman" w:hAnsi="Times New Roman"/>
          <w:lang w:val="pt-BR"/>
        </w:rPr>
        <w:t xml:space="preserve">. As amostras </w:t>
      </w:r>
      <w:proofErr w:type="spellStart"/>
      <w:r>
        <w:rPr>
          <w:rFonts w:ascii="Times New Roman" w:hAnsi="Times New Roman"/>
          <w:lang w:val="pt-BR"/>
        </w:rPr>
        <w:t>RuSiral</w:t>
      </w:r>
      <w:proofErr w:type="spellEnd"/>
      <w:r>
        <w:rPr>
          <w:rFonts w:ascii="Times New Roman" w:hAnsi="Times New Roman"/>
          <w:lang w:val="pt-BR"/>
        </w:rPr>
        <w:t xml:space="preserve">/HPW e </w:t>
      </w:r>
      <w:proofErr w:type="gramStart"/>
      <w:r>
        <w:rPr>
          <w:rFonts w:ascii="Times New Roman" w:hAnsi="Times New Roman"/>
          <w:lang w:val="pt-BR"/>
        </w:rPr>
        <w:t>Ru(</w:t>
      </w:r>
      <w:proofErr w:type="gramEnd"/>
      <w:r>
        <w:rPr>
          <w:rFonts w:ascii="Times New Roman" w:hAnsi="Times New Roman"/>
          <w:lang w:val="pt-BR"/>
        </w:rPr>
        <w:t>NO)</w:t>
      </w:r>
      <w:proofErr w:type="spellStart"/>
      <w:r>
        <w:rPr>
          <w:rFonts w:ascii="Times New Roman" w:hAnsi="Times New Roman"/>
          <w:lang w:val="pt-BR"/>
        </w:rPr>
        <w:t>SiralHPW</w:t>
      </w:r>
      <w:proofErr w:type="spellEnd"/>
      <w:r>
        <w:rPr>
          <w:rFonts w:ascii="Times New Roman" w:hAnsi="Times New Roman"/>
          <w:lang w:val="pt-BR"/>
        </w:rPr>
        <w:t xml:space="preserve"> apresentaram espectros semelhantes com uma banda em 335 </w:t>
      </w:r>
      <w:proofErr w:type="spellStart"/>
      <w:r>
        <w:rPr>
          <w:rFonts w:ascii="Times New Roman" w:hAnsi="Times New Roman"/>
          <w:lang w:val="pt-BR"/>
        </w:rPr>
        <w:t>nm</w:t>
      </w:r>
      <w:proofErr w:type="spellEnd"/>
      <w:r>
        <w:rPr>
          <w:rFonts w:ascii="Times New Roman" w:hAnsi="Times New Roman"/>
          <w:lang w:val="pt-BR"/>
        </w:rPr>
        <w:t xml:space="preserve"> e uma banda em 490 </w:t>
      </w:r>
      <w:proofErr w:type="spellStart"/>
      <w:r>
        <w:rPr>
          <w:rFonts w:ascii="Times New Roman" w:hAnsi="Times New Roman"/>
          <w:lang w:val="pt-BR"/>
        </w:rPr>
        <w:t>nm</w:t>
      </w:r>
      <w:proofErr w:type="spellEnd"/>
      <w:r>
        <w:rPr>
          <w:rFonts w:ascii="Times New Roman" w:hAnsi="Times New Roman"/>
          <w:lang w:val="pt-BR"/>
        </w:rPr>
        <w:t xml:space="preserve">. A primeira é devida transferência de carga </w:t>
      </w:r>
      <w:r w:rsidRPr="001A70D5">
        <w:rPr>
          <w:rFonts w:ascii="Times New Roman" w:hAnsi="Times New Roman"/>
          <w:lang w:val="pt-BR"/>
        </w:rPr>
        <w:t>π</w:t>
      </w:r>
      <w:r>
        <w:rPr>
          <w:rFonts w:ascii="Times New Roman" w:hAnsi="Times New Roman"/>
          <w:lang w:val="pt-BR"/>
        </w:rPr>
        <w:t xml:space="preserve"> </w:t>
      </w:r>
      <w:r w:rsidRPr="001A70D5">
        <w:rPr>
          <w:rFonts w:ascii="Times New Roman" w:hAnsi="Times New Roman"/>
          <w:lang w:val="pt-BR"/>
        </w:rPr>
        <w:sym w:font="Wingdings" w:char="F0E0"/>
      </w:r>
      <w:r>
        <w:rPr>
          <w:rFonts w:ascii="Times New Roman" w:hAnsi="Times New Roman"/>
          <w:lang w:val="pt-BR"/>
        </w:rPr>
        <w:t xml:space="preserve"> γ</w:t>
      </w:r>
      <w:r>
        <w:rPr>
          <w:rFonts w:ascii="Times New Roman" w:hAnsi="Times New Roman"/>
          <w:vertAlign w:val="subscript"/>
          <w:lang w:val="pt-BR"/>
        </w:rPr>
        <w:t>3</w:t>
      </w:r>
      <w:r>
        <w:rPr>
          <w:rFonts w:ascii="Times New Roman" w:hAnsi="Times New Roman"/>
          <w:lang w:val="pt-BR"/>
        </w:rPr>
        <w:t xml:space="preserve"> típica de complexo com baixo spin, enquanto a segunda é assinalada a transferência de carga </w:t>
      </w:r>
      <w:r w:rsidRPr="001A70D5">
        <w:rPr>
          <w:rFonts w:ascii="Times New Roman" w:hAnsi="Times New Roman"/>
          <w:lang w:val="pt-BR"/>
        </w:rPr>
        <w:t>π</w:t>
      </w:r>
      <w:r>
        <w:rPr>
          <w:rFonts w:ascii="Times New Roman" w:hAnsi="Times New Roman"/>
          <w:lang w:val="pt-BR"/>
        </w:rPr>
        <w:t xml:space="preserve"> </w:t>
      </w:r>
      <w:r w:rsidRPr="001A70D5">
        <w:rPr>
          <w:rFonts w:ascii="Times New Roman" w:hAnsi="Times New Roman"/>
          <w:lang w:val="pt-BR"/>
        </w:rPr>
        <w:sym w:font="Wingdings" w:char="F0E0"/>
      </w:r>
      <w:r>
        <w:rPr>
          <w:rFonts w:ascii="Times New Roman" w:hAnsi="Times New Roman"/>
          <w:lang w:val="pt-BR"/>
        </w:rPr>
        <w:t xml:space="preserve"> γ</w:t>
      </w:r>
      <w:r>
        <w:rPr>
          <w:rFonts w:ascii="Times New Roman" w:hAnsi="Times New Roman"/>
          <w:vertAlign w:val="subscript"/>
          <w:lang w:val="pt-BR"/>
        </w:rPr>
        <w:t>5</w:t>
      </w:r>
      <w:r>
        <w:rPr>
          <w:rFonts w:ascii="Times New Roman" w:hAnsi="Times New Roman"/>
          <w:lang w:val="pt-BR"/>
        </w:rPr>
        <w:t xml:space="preserve"> (15). O Ru também pode apresentar uma banda características da transferência de carga do RuCl</w:t>
      </w:r>
      <w:r>
        <w:rPr>
          <w:rFonts w:ascii="Times New Roman" w:hAnsi="Times New Roman"/>
          <w:vertAlign w:val="subscript"/>
          <w:lang w:val="pt-BR"/>
        </w:rPr>
        <w:t>3</w:t>
      </w:r>
      <w:r>
        <w:rPr>
          <w:rFonts w:ascii="Times New Roman" w:hAnsi="Times New Roman"/>
          <w:lang w:val="pt-BR"/>
        </w:rPr>
        <w:t xml:space="preserve"> em 240 </w:t>
      </w:r>
      <w:proofErr w:type="spellStart"/>
      <w:r>
        <w:rPr>
          <w:rFonts w:ascii="Times New Roman" w:hAnsi="Times New Roman"/>
          <w:lang w:val="pt-BR"/>
        </w:rPr>
        <w:t>nm</w:t>
      </w:r>
      <w:proofErr w:type="spellEnd"/>
      <w:r>
        <w:rPr>
          <w:rFonts w:ascii="Times New Roman" w:hAnsi="Times New Roman"/>
          <w:lang w:val="pt-BR"/>
        </w:rPr>
        <w:t xml:space="preserve">, porém essa banda não foi observada no espectro do catalisador </w:t>
      </w:r>
      <w:proofErr w:type="spellStart"/>
      <w:r>
        <w:rPr>
          <w:rFonts w:ascii="Times New Roman" w:hAnsi="Times New Roman"/>
          <w:lang w:val="pt-BR"/>
        </w:rPr>
        <w:t>RuSiralHPW</w:t>
      </w:r>
      <w:proofErr w:type="spellEnd"/>
      <w:r>
        <w:rPr>
          <w:rFonts w:ascii="Times New Roman" w:hAnsi="Times New Roman"/>
          <w:lang w:val="pt-BR"/>
        </w:rPr>
        <w:t>. O sal precursor de rutênio não influenciou os espectros de Ru</w:t>
      </w:r>
      <w:r w:rsidR="00B1419A">
        <w:rPr>
          <w:rFonts w:ascii="Times New Roman" w:hAnsi="Times New Roman"/>
          <w:lang w:val="pt-BR"/>
        </w:rPr>
        <w:t>, como verificada ausência de cloro por EDS.</w:t>
      </w:r>
    </w:p>
    <w:p w14:paraId="1D935A1A" w14:textId="77777777" w:rsidR="00681797" w:rsidRDefault="00681797" w:rsidP="00681797">
      <w:pPr>
        <w:pStyle w:val="TAMainText"/>
        <w:ind w:firstLine="187"/>
        <w:rPr>
          <w:rFonts w:ascii="Times New Roman" w:hAnsi="Times New Roman"/>
          <w:lang w:val="pt-BR"/>
        </w:rPr>
      </w:pPr>
      <w:r>
        <w:rPr>
          <w:rFonts w:ascii="Times New Roman" w:hAnsi="Times New Roman"/>
          <w:lang w:val="pt-BR"/>
        </w:rPr>
        <w:t>Para o</w:t>
      </w:r>
      <w:r w:rsidR="00E02AF3">
        <w:rPr>
          <w:rFonts w:ascii="Times New Roman" w:hAnsi="Times New Roman"/>
          <w:lang w:val="pt-BR"/>
        </w:rPr>
        <w:t>s catalisadores contendo paládio (</w:t>
      </w:r>
      <w:proofErr w:type="spellStart"/>
      <w:r w:rsidR="00E02AF3">
        <w:rPr>
          <w:rFonts w:ascii="Times New Roman" w:hAnsi="Times New Roman"/>
          <w:lang w:val="pt-BR"/>
        </w:rPr>
        <w:t>PdSiralHPW</w:t>
      </w:r>
      <w:proofErr w:type="spellEnd"/>
      <w:r w:rsidR="00E02AF3">
        <w:rPr>
          <w:rFonts w:ascii="Times New Roman" w:hAnsi="Times New Roman"/>
          <w:lang w:val="pt-BR"/>
        </w:rPr>
        <w:t xml:space="preserve"> e </w:t>
      </w:r>
      <w:proofErr w:type="spellStart"/>
      <w:r w:rsidR="00E02AF3">
        <w:rPr>
          <w:rFonts w:ascii="Times New Roman" w:hAnsi="Times New Roman"/>
          <w:lang w:val="pt-BR"/>
        </w:rPr>
        <w:t>PdRuSiralHPW</w:t>
      </w:r>
      <w:proofErr w:type="spellEnd"/>
      <w:r w:rsidR="00E02AF3">
        <w:rPr>
          <w:rFonts w:ascii="Times New Roman" w:hAnsi="Times New Roman"/>
          <w:lang w:val="pt-BR"/>
        </w:rPr>
        <w:t>),</w:t>
      </w:r>
      <w:r>
        <w:rPr>
          <w:rFonts w:ascii="Times New Roman" w:hAnsi="Times New Roman"/>
          <w:lang w:val="pt-BR"/>
        </w:rPr>
        <w:t xml:space="preserve"> </w:t>
      </w:r>
      <w:r w:rsidR="00E02AF3">
        <w:rPr>
          <w:rFonts w:ascii="Times New Roman" w:hAnsi="Times New Roman"/>
          <w:lang w:val="pt-BR"/>
        </w:rPr>
        <w:t>são observadas</w:t>
      </w:r>
      <w:r>
        <w:rPr>
          <w:rFonts w:ascii="Times New Roman" w:hAnsi="Times New Roman"/>
          <w:lang w:val="pt-BR"/>
        </w:rPr>
        <w:t xml:space="preserve"> bandas na região de 450 a 490 </w:t>
      </w:r>
      <w:proofErr w:type="spellStart"/>
      <w:r w:rsidR="00C66DFF">
        <w:rPr>
          <w:rFonts w:ascii="Times New Roman" w:hAnsi="Times New Roman"/>
          <w:lang w:val="pt-BR"/>
        </w:rPr>
        <w:t>nm</w:t>
      </w:r>
      <w:proofErr w:type="spellEnd"/>
      <w:r w:rsidR="00E02AF3">
        <w:rPr>
          <w:rFonts w:ascii="Times New Roman" w:hAnsi="Times New Roman"/>
          <w:lang w:val="pt-BR"/>
        </w:rPr>
        <w:t>,</w:t>
      </w:r>
      <w:r w:rsidR="00B02B3D">
        <w:rPr>
          <w:rFonts w:ascii="Times New Roman" w:hAnsi="Times New Roman"/>
          <w:lang w:val="pt-BR"/>
        </w:rPr>
        <w:t xml:space="preserve"> relacionadas a transição </w:t>
      </w:r>
      <w:r w:rsidR="00B02B3D" w:rsidRPr="00B02B3D">
        <w:rPr>
          <w:rFonts w:ascii="Times New Roman" w:hAnsi="Times New Roman"/>
          <w:i/>
          <w:iCs/>
          <w:lang w:val="pt-BR"/>
        </w:rPr>
        <w:t>d-d</w:t>
      </w:r>
      <w:r w:rsidR="00B02B3D">
        <w:rPr>
          <w:rFonts w:ascii="Times New Roman" w:hAnsi="Times New Roman"/>
          <w:lang w:val="pt-BR"/>
        </w:rPr>
        <w:t xml:space="preserve"> no </w:t>
      </w:r>
      <w:proofErr w:type="spellStart"/>
      <w:r w:rsidR="00B02B3D">
        <w:rPr>
          <w:rFonts w:ascii="Times New Roman" w:hAnsi="Times New Roman"/>
          <w:lang w:val="pt-BR"/>
        </w:rPr>
        <w:t>PdO</w:t>
      </w:r>
      <w:proofErr w:type="spellEnd"/>
      <w:r w:rsidR="00B02B3D">
        <w:rPr>
          <w:rFonts w:ascii="Times New Roman" w:hAnsi="Times New Roman"/>
          <w:lang w:val="pt-BR"/>
        </w:rPr>
        <w:t xml:space="preserve">, além de uma banda na região de transferência de carga do </w:t>
      </w:r>
      <w:proofErr w:type="spellStart"/>
      <w:r w:rsidR="00B02B3D">
        <w:rPr>
          <w:rFonts w:ascii="Times New Roman" w:hAnsi="Times New Roman"/>
          <w:lang w:val="pt-BR"/>
        </w:rPr>
        <w:t>PdO</w:t>
      </w:r>
      <w:proofErr w:type="spellEnd"/>
      <w:r w:rsidR="00B02B3D">
        <w:rPr>
          <w:rFonts w:ascii="Times New Roman" w:hAnsi="Times New Roman"/>
          <w:lang w:val="pt-BR"/>
        </w:rPr>
        <w:t xml:space="preserve"> em 330 </w:t>
      </w:r>
      <w:proofErr w:type="spellStart"/>
      <w:r w:rsidR="00C66DFF">
        <w:rPr>
          <w:rFonts w:ascii="Times New Roman" w:hAnsi="Times New Roman"/>
          <w:lang w:val="pt-BR"/>
        </w:rPr>
        <w:t>nm</w:t>
      </w:r>
      <w:proofErr w:type="spellEnd"/>
      <w:r w:rsidR="00E02AF3">
        <w:rPr>
          <w:rFonts w:ascii="Times New Roman" w:hAnsi="Times New Roman"/>
          <w:lang w:val="pt-BR"/>
        </w:rPr>
        <w:t xml:space="preserve"> </w:t>
      </w:r>
      <w:r w:rsidR="00763F50">
        <w:rPr>
          <w:rFonts w:ascii="Times New Roman" w:hAnsi="Times New Roman"/>
          <w:lang w:val="pt-BR"/>
        </w:rPr>
        <w:t xml:space="preserve">(16). </w:t>
      </w:r>
      <w:r w:rsidR="006158E2">
        <w:rPr>
          <w:rFonts w:ascii="Times New Roman" w:hAnsi="Times New Roman"/>
          <w:lang w:val="pt-BR"/>
        </w:rPr>
        <w:t>Também</w:t>
      </w:r>
      <w:r w:rsidR="00763F50">
        <w:rPr>
          <w:rFonts w:ascii="Times New Roman" w:hAnsi="Times New Roman"/>
          <w:lang w:val="pt-BR"/>
        </w:rPr>
        <w:t xml:space="preserve"> são verificadas bandas a </w:t>
      </w:r>
      <w:r w:rsidR="00763F50" w:rsidRPr="00763F50">
        <w:rPr>
          <w:rFonts w:ascii="Times New Roman" w:hAnsi="Times New Roman"/>
          <w:lang w:val="pt-BR"/>
        </w:rPr>
        <w:t>284</w:t>
      </w:r>
      <w:r w:rsidR="00763F50">
        <w:rPr>
          <w:rFonts w:ascii="Times New Roman" w:hAnsi="Times New Roman"/>
          <w:lang w:val="pt-BR"/>
        </w:rPr>
        <w:t xml:space="preserve"> </w:t>
      </w:r>
      <w:proofErr w:type="spellStart"/>
      <w:r w:rsidR="00763F50">
        <w:rPr>
          <w:rFonts w:ascii="Times New Roman" w:hAnsi="Times New Roman"/>
          <w:lang w:val="pt-BR"/>
        </w:rPr>
        <w:t>nm</w:t>
      </w:r>
      <w:proofErr w:type="spellEnd"/>
      <w:r w:rsidR="00763F50">
        <w:rPr>
          <w:rFonts w:ascii="Times New Roman" w:hAnsi="Times New Roman"/>
          <w:lang w:val="pt-BR"/>
        </w:rPr>
        <w:t>, associada a PdCl</w:t>
      </w:r>
      <w:r w:rsidR="00763F50" w:rsidRPr="00763F50">
        <w:rPr>
          <w:rFonts w:ascii="Times New Roman" w:hAnsi="Times New Roman"/>
          <w:vertAlign w:val="subscript"/>
          <w:lang w:val="pt-BR"/>
        </w:rPr>
        <w:t>2</w:t>
      </w:r>
      <w:r w:rsidR="00763F50">
        <w:rPr>
          <w:rFonts w:ascii="Times New Roman" w:hAnsi="Times New Roman"/>
          <w:lang w:val="pt-BR"/>
        </w:rPr>
        <w:t xml:space="preserve"> remanescente na amostra</w:t>
      </w:r>
      <w:r w:rsidR="006158E2">
        <w:rPr>
          <w:rFonts w:ascii="Times New Roman" w:hAnsi="Times New Roman"/>
          <w:lang w:val="pt-BR"/>
        </w:rPr>
        <w:t xml:space="preserve"> (no detalhe)</w:t>
      </w:r>
      <w:r w:rsidR="00763F50">
        <w:rPr>
          <w:rFonts w:ascii="Times New Roman" w:hAnsi="Times New Roman"/>
          <w:lang w:val="pt-BR"/>
        </w:rPr>
        <w:t>.</w:t>
      </w:r>
    </w:p>
    <w:p w14:paraId="38F4673F" w14:textId="77777777" w:rsidR="00F81F02" w:rsidRPr="001108A3" w:rsidRDefault="001108A3" w:rsidP="00DE4FB6">
      <w:pPr>
        <w:pStyle w:val="TAMainText"/>
        <w:ind w:firstLine="187"/>
        <w:rPr>
          <w:rFonts w:ascii="Times New Roman" w:hAnsi="Times New Roman"/>
          <w:lang w:val="pt-BR"/>
        </w:rPr>
      </w:pPr>
      <w:r>
        <w:rPr>
          <w:rFonts w:ascii="Times New Roman" w:hAnsi="Times New Roman"/>
          <w:lang w:val="pt-BR"/>
        </w:rPr>
        <w:t>Os perfis de TPD-NH</w:t>
      </w:r>
      <w:r w:rsidRPr="001108A3">
        <w:rPr>
          <w:rFonts w:ascii="Times New Roman" w:hAnsi="Times New Roman"/>
          <w:vertAlign w:val="subscript"/>
          <w:lang w:val="pt-BR"/>
        </w:rPr>
        <w:t>3</w:t>
      </w:r>
      <w:r>
        <w:rPr>
          <w:rFonts w:ascii="Times New Roman" w:hAnsi="Times New Roman"/>
          <w:lang w:val="pt-BR"/>
        </w:rPr>
        <w:t xml:space="preserve"> dos suportes </w:t>
      </w:r>
      <w:proofErr w:type="spellStart"/>
      <w:r>
        <w:rPr>
          <w:rFonts w:ascii="Times New Roman" w:hAnsi="Times New Roman"/>
          <w:lang w:val="pt-BR"/>
        </w:rPr>
        <w:t>Siral</w:t>
      </w:r>
      <w:proofErr w:type="spellEnd"/>
      <w:r>
        <w:rPr>
          <w:rFonts w:ascii="Times New Roman" w:hAnsi="Times New Roman"/>
          <w:lang w:val="pt-BR"/>
        </w:rPr>
        <w:t xml:space="preserve"> e </w:t>
      </w:r>
      <w:proofErr w:type="spellStart"/>
      <w:r>
        <w:rPr>
          <w:rFonts w:ascii="Times New Roman" w:hAnsi="Times New Roman"/>
          <w:lang w:val="pt-BR"/>
        </w:rPr>
        <w:t>SiralHPW</w:t>
      </w:r>
      <w:proofErr w:type="spellEnd"/>
      <w:r>
        <w:rPr>
          <w:rFonts w:ascii="Times New Roman" w:hAnsi="Times New Roman"/>
          <w:lang w:val="pt-BR"/>
        </w:rPr>
        <w:t xml:space="preserve"> sã</w:t>
      </w:r>
      <w:r w:rsidR="0086327F">
        <w:rPr>
          <w:rFonts w:ascii="Times New Roman" w:hAnsi="Times New Roman"/>
          <w:lang w:val="pt-BR"/>
        </w:rPr>
        <w:t>o</w:t>
      </w:r>
      <w:r>
        <w:rPr>
          <w:rFonts w:ascii="Times New Roman" w:hAnsi="Times New Roman"/>
          <w:lang w:val="pt-BR"/>
        </w:rPr>
        <w:t xml:space="preserve"> apresentados na figura 3, e nela podemos observar uma maior intensidade do perfil do </w:t>
      </w:r>
      <w:proofErr w:type="spellStart"/>
      <w:r>
        <w:rPr>
          <w:rFonts w:ascii="Times New Roman" w:hAnsi="Times New Roman"/>
          <w:lang w:val="pt-BR"/>
        </w:rPr>
        <w:t>SiralHPW</w:t>
      </w:r>
      <w:proofErr w:type="spellEnd"/>
      <w:r>
        <w:rPr>
          <w:rFonts w:ascii="Times New Roman" w:hAnsi="Times New Roman"/>
          <w:lang w:val="pt-BR"/>
        </w:rPr>
        <w:t xml:space="preserve"> em relação ao perfil do </w:t>
      </w:r>
      <w:proofErr w:type="spellStart"/>
      <w:r>
        <w:rPr>
          <w:rFonts w:ascii="Times New Roman" w:hAnsi="Times New Roman"/>
          <w:lang w:val="pt-BR"/>
        </w:rPr>
        <w:t>Siral</w:t>
      </w:r>
      <w:proofErr w:type="spellEnd"/>
      <w:r>
        <w:rPr>
          <w:rFonts w:ascii="Times New Roman" w:hAnsi="Times New Roman"/>
          <w:lang w:val="pt-BR"/>
        </w:rPr>
        <w:t xml:space="preserve">. Isso se deve por um aumento da acidez do material quando impregnado com o ácido </w:t>
      </w:r>
      <w:proofErr w:type="spellStart"/>
      <w:r>
        <w:rPr>
          <w:rFonts w:ascii="Times New Roman" w:hAnsi="Times New Roman"/>
          <w:lang w:val="pt-BR"/>
        </w:rPr>
        <w:t>fosfotungstico</w:t>
      </w:r>
      <w:proofErr w:type="spellEnd"/>
      <w:r>
        <w:rPr>
          <w:rFonts w:ascii="Times New Roman" w:hAnsi="Times New Roman"/>
          <w:lang w:val="pt-BR"/>
        </w:rPr>
        <w:t>.</w:t>
      </w:r>
    </w:p>
    <w:p w14:paraId="1329A086" w14:textId="3A9CB937" w:rsidR="00646C4B" w:rsidRDefault="0013449B" w:rsidP="008F19CC">
      <w:pPr>
        <w:keepNext/>
        <w:spacing w:after="0" w:line="240" w:lineRule="auto"/>
        <w:jc w:val="center"/>
      </w:pPr>
      <w:bookmarkStart w:id="3" w:name="_Hlk132721058"/>
      <w:r w:rsidRPr="0013449B">
        <w:drawing>
          <wp:inline distT="0" distB="0" distL="0" distR="0" wp14:anchorId="6E8E6A64" wp14:editId="5FC8DBBF">
            <wp:extent cx="2886075" cy="2401699"/>
            <wp:effectExtent l="0" t="0" r="0" b="0"/>
            <wp:docPr id="14144367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033" t="5548" r="4992" b="6435"/>
                    <a:stretch/>
                  </pic:blipFill>
                  <pic:spPr bwMode="auto">
                    <a:xfrm>
                      <a:off x="0" y="0"/>
                      <a:ext cx="2891810" cy="2406471"/>
                    </a:xfrm>
                    <a:prstGeom prst="rect">
                      <a:avLst/>
                    </a:prstGeom>
                    <a:noFill/>
                    <a:ln>
                      <a:noFill/>
                    </a:ln>
                    <a:extLst>
                      <a:ext uri="{53640926-AAD7-44D8-BBD7-CCE9431645EC}">
                        <a14:shadowObscured xmlns:a14="http://schemas.microsoft.com/office/drawing/2010/main"/>
                      </a:ext>
                    </a:extLst>
                  </pic:spPr>
                </pic:pic>
              </a:graphicData>
            </a:graphic>
          </wp:inline>
        </w:drawing>
      </w:r>
    </w:p>
    <w:p w14:paraId="3EFFF6D7" w14:textId="77777777" w:rsidR="00646C4B" w:rsidRPr="00DB10E9" w:rsidRDefault="00646C4B" w:rsidP="008F19CC">
      <w:pPr>
        <w:pStyle w:val="Legenda"/>
        <w:spacing w:after="0"/>
        <w:jc w:val="center"/>
        <w:rPr>
          <w:rFonts w:ascii="Times" w:hAnsi="Times" w:cs="Times"/>
          <w:color w:val="auto"/>
          <w:sz w:val="18"/>
          <w:szCs w:val="18"/>
        </w:rPr>
      </w:pPr>
      <w:r w:rsidRPr="00DB10E9">
        <w:rPr>
          <w:rFonts w:ascii="Times" w:hAnsi="Times" w:cs="Times"/>
          <w:color w:val="auto"/>
          <w:sz w:val="18"/>
          <w:szCs w:val="18"/>
        </w:rPr>
        <w:t xml:space="preserve">Figura </w:t>
      </w:r>
      <w:r w:rsidR="00BE47F8" w:rsidRPr="00DB10E9">
        <w:rPr>
          <w:rFonts w:ascii="Times" w:hAnsi="Times" w:cs="Times"/>
          <w:color w:val="auto"/>
          <w:sz w:val="18"/>
          <w:szCs w:val="18"/>
        </w:rPr>
        <w:fldChar w:fldCharType="begin"/>
      </w:r>
      <w:r w:rsidRPr="00DB10E9">
        <w:rPr>
          <w:rFonts w:ascii="Times" w:hAnsi="Times" w:cs="Times"/>
          <w:color w:val="auto"/>
          <w:sz w:val="18"/>
          <w:szCs w:val="18"/>
        </w:rPr>
        <w:instrText xml:space="preserve"> SEQ Figura \* ARABIC </w:instrText>
      </w:r>
      <w:r w:rsidR="00BE47F8" w:rsidRPr="00DB10E9">
        <w:rPr>
          <w:rFonts w:ascii="Times" w:hAnsi="Times" w:cs="Times"/>
          <w:color w:val="auto"/>
          <w:sz w:val="18"/>
          <w:szCs w:val="18"/>
        </w:rPr>
        <w:fldChar w:fldCharType="separate"/>
      </w:r>
      <w:r w:rsidR="00CF2406" w:rsidRPr="00DB10E9">
        <w:rPr>
          <w:rFonts w:ascii="Times" w:hAnsi="Times" w:cs="Times"/>
          <w:noProof/>
          <w:color w:val="auto"/>
          <w:sz w:val="18"/>
          <w:szCs w:val="18"/>
        </w:rPr>
        <w:t>3</w:t>
      </w:r>
      <w:r w:rsidR="00BE47F8" w:rsidRPr="00DB10E9">
        <w:rPr>
          <w:rFonts w:ascii="Times" w:hAnsi="Times" w:cs="Times"/>
          <w:color w:val="auto"/>
          <w:sz w:val="18"/>
          <w:szCs w:val="18"/>
        </w:rPr>
        <w:fldChar w:fldCharType="end"/>
      </w:r>
      <w:r w:rsidRPr="00DB10E9">
        <w:rPr>
          <w:rFonts w:ascii="Times" w:hAnsi="Times" w:cs="Times"/>
          <w:color w:val="auto"/>
          <w:sz w:val="18"/>
          <w:szCs w:val="18"/>
        </w:rPr>
        <w:t xml:space="preserve">: </w:t>
      </w:r>
      <w:r w:rsidRPr="00DB10E9">
        <w:rPr>
          <w:rFonts w:ascii="Times" w:hAnsi="Times" w:cs="Times"/>
          <w:b w:val="0"/>
          <w:bCs w:val="0"/>
          <w:color w:val="auto"/>
          <w:sz w:val="18"/>
          <w:szCs w:val="18"/>
        </w:rPr>
        <w:t>Perfis de TPD-NH</w:t>
      </w:r>
      <w:r w:rsidRPr="00DB10E9">
        <w:rPr>
          <w:rFonts w:ascii="Times" w:hAnsi="Times" w:cs="Times"/>
          <w:b w:val="0"/>
          <w:bCs w:val="0"/>
          <w:color w:val="auto"/>
          <w:sz w:val="18"/>
          <w:szCs w:val="18"/>
          <w:vertAlign w:val="subscript"/>
        </w:rPr>
        <w:t>3</w:t>
      </w:r>
      <w:r w:rsidRPr="00DB10E9">
        <w:rPr>
          <w:rFonts w:ascii="Times" w:hAnsi="Times" w:cs="Times"/>
          <w:b w:val="0"/>
          <w:bCs w:val="0"/>
          <w:color w:val="auto"/>
          <w:sz w:val="18"/>
          <w:szCs w:val="18"/>
        </w:rPr>
        <w:t xml:space="preserve"> dos suportes estudados.</w:t>
      </w:r>
    </w:p>
    <w:p w14:paraId="7CAD7EDA" w14:textId="77777777" w:rsidR="008F19CC" w:rsidRDefault="008F19CC" w:rsidP="008F19CC">
      <w:pPr>
        <w:spacing w:after="0" w:line="240" w:lineRule="auto"/>
        <w:jc w:val="both"/>
        <w:rPr>
          <w:rFonts w:ascii="Times New Roman" w:hAnsi="Times New Roman" w:cs="Times New Roman"/>
          <w:sz w:val="20"/>
          <w:szCs w:val="20"/>
        </w:rPr>
      </w:pPr>
    </w:p>
    <w:p w14:paraId="26E86EDA" w14:textId="77777777" w:rsidR="00C208DF" w:rsidRDefault="00B1419A" w:rsidP="008F19CC">
      <w:pPr>
        <w:spacing w:after="0" w:line="240" w:lineRule="auto"/>
        <w:ind w:firstLine="187"/>
        <w:jc w:val="both"/>
        <w:rPr>
          <w:rFonts w:ascii="Times New Roman" w:hAnsi="Times New Roman" w:cs="Times New Roman"/>
          <w:sz w:val="20"/>
          <w:szCs w:val="20"/>
        </w:rPr>
      </w:pPr>
      <w:r>
        <w:rPr>
          <w:rFonts w:ascii="Times New Roman" w:hAnsi="Times New Roman" w:cs="Times New Roman"/>
          <w:sz w:val="20"/>
          <w:szCs w:val="20"/>
        </w:rPr>
        <w:t>A</w:t>
      </w:r>
      <w:r w:rsidR="001108A3">
        <w:rPr>
          <w:rFonts w:ascii="Times New Roman" w:hAnsi="Times New Roman" w:cs="Times New Roman"/>
          <w:sz w:val="20"/>
          <w:szCs w:val="20"/>
        </w:rPr>
        <w:t xml:space="preserve"> maior acidez do suporte </w:t>
      </w:r>
      <w:proofErr w:type="spellStart"/>
      <w:r w:rsidR="001108A3">
        <w:rPr>
          <w:rFonts w:ascii="Times New Roman" w:hAnsi="Times New Roman" w:cs="Times New Roman"/>
          <w:sz w:val="20"/>
          <w:szCs w:val="20"/>
        </w:rPr>
        <w:t>SiralHPW</w:t>
      </w:r>
      <w:proofErr w:type="spellEnd"/>
      <w:r w:rsidR="001108A3">
        <w:rPr>
          <w:rFonts w:ascii="Times New Roman" w:hAnsi="Times New Roman" w:cs="Times New Roman"/>
          <w:sz w:val="20"/>
          <w:szCs w:val="20"/>
        </w:rPr>
        <w:t xml:space="preserve"> pode ser confirmada pela tabela </w:t>
      </w:r>
      <w:r w:rsidR="0086327F">
        <w:rPr>
          <w:rFonts w:ascii="Times New Roman" w:hAnsi="Times New Roman" w:cs="Times New Roman"/>
          <w:sz w:val="20"/>
          <w:szCs w:val="20"/>
        </w:rPr>
        <w:t>3</w:t>
      </w:r>
      <w:r w:rsidR="001108A3">
        <w:rPr>
          <w:rFonts w:ascii="Times New Roman" w:hAnsi="Times New Roman" w:cs="Times New Roman"/>
          <w:sz w:val="20"/>
          <w:szCs w:val="20"/>
        </w:rPr>
        <w:t xml:space="preserve">, </w:t>
      </w:r>
      <w:r>
        <w:rPr>
          <w:rFonts w:ascii="Times New Roman" w:hAnsi="Times New Roman" w:cs="Times New Roman"/>
          <w:sz w:val="20"/>
          <w:szCs w:val="20"/>
        </w:rPr>
        <w:t>já</w:t>
      </w:r>
      <w:r w:rsidR="001108A3">
        <w:rPr>
          <w:rFonts w:ascii="Times New Roman" w:hAnsi="Times New Roman" w:cs="Times New Roman"/>
          <w:sz w:val="20"/>
          <w:szCs w:val="20"/>
        </w:rPr>
        <w:t xml:space="preserve"> que a quantidade de NH</w:t>
      </w:r>
      <w:r w:rsidR="001108A3">
        <w:rPr>
          <w:rFonts w:ascii="Times New Roman" w:hAnsi="Times New Roman" w:cs="Times New Roman"/>
          <w:sz w:val="20"/>
          <w:szCs w:val="20"/>
          <w:vertAlign w:val="subscript"/>
        </w:rPr>
        <w:t>3</w:t>
      </w:r>
      <w:r w:rsidR="001108A3">
        <w:rPr>
          <w:rFonts w:ascii="Times New Roman" w:hAnsi="Times New Roman" w:cs="Times New Roman"/>
          <w:sz w:val="20"/>
          <w:szCs w:val="20"/>
        </w:rPr>
        <w:t xml:space="preserve"> </w:t>
      </w:r>
      <w:proofErr w:type="spellStart"/>
      <w:r w:rsidR="001108A3">
        <w:rPr>
          <w:rFonts w:ascii="Times New Roman" w:hAnsi="Times New Roman" w:cs="Times New Roman"/>
          <w:sz w:val="20"/>
          <w:szCs w:val="20"/>
        </w:rPr>
        <w:t>dessorvida</w:t>
      </w:r>
      <w:proofErr w:type="spellEnd"/>
      <w:r w:rsidR="001108A3">
        <w:rPr>
          <w:rFonts w:ascii="Times New Roman" w:hAnsi="Times New Roman" w:cs="Times New Roman"/>
          <w:sz w:val="20"/>
          <w:szCs w:val="20"/>
        </w:rPr>
        <w:t xml:space="preserve"> pelo mesmo </w:t>
      </w:r>
      <w:r>
        <w:rPr>
          <w:rFonts w:ascii="Times New Roman" w:hAnsi="Times New Roman" w:cs="Times New Roman"/>
          <w:sz w:val="20"/>
          <w:szCs w:val="20"/>
        </w:rPr>
        <w:t>é</w:t>
      </w:r>
      <w:r w:rsidR="001108A3">
        <w:rPr>
          <w:rFonts w:ascii="Times New Roman" w:hAnsi="Times New Roman" w:cs="Times New Roman"/>
          <w:sz w:val="20"/>
          <w:szCs w:val="20"/>
        </w:rPr>
        <w:t xml:space="preserve"> superior a quantidade </w:t>
      </w:r>
      <w:proofErr w:type="spellStart"/>
      <w:r w:rsidR="001108A3">
        <w:rPr>
          <w:rFonts w:ascii="Times New Roman" w:hAnsi="Times New Roman" w:cs="Times New Roman"/>
          <w:sz w:val="20"/>
          <w:szCs w:val="20"/>
        </w:rPr>
        <w:t>dessorvida</w:t>
      </w:r>
      <w:proofErr w:type="spellEnd"/>
      <w:r w:rsidR="001108A3">
        <w:rPr>
          <w:rFonts w:ascii="Times New Roman" w:hAnsi="Times New Roman" w:cs="Times New Roman"/>
          <w:sz w:val="20"/>
          <w:szCs w:val="20"/>
        </w:rPr>
        <w:t xml:space="preserve"> pelo suporte </w:t>
      </w:r>
      <w:proofErr w:type="spellStart"/>
      <w:r w:rsidR="001108A3">
        <w:rPr>
          <w:rFonts w:ascii="Times New Roman" w:hAnsi="Times New Roman" w:cs="Times New Roman"/>
          <w:sz w:val="20"/>
          <w:szCs w:val="20"/>
        </w:rPr>
        <w:t>Siral</w:t>
      </w:r>
      <w:proofErr w:type="spellEnd"/>
      <w:r w:rsidR="001108A3">
        <w:rPr>
          <w:rFonts w:ascii="Times New Roman" w:hAnsi="Times New Roman" w:cs="Times New Roman"/>
          <w:sz w:val="20"/>
          <w:szCs w:val="20"/>
        </w:rPr>
        <w:t>. Pela dec</w:t>
      </w:r>
      <w:r w:rsidR="000E47CE">
        <w:rPr>
          <w:rFonts w:ascii="Times New Roman" w:hAnsi="Times New Roman" w:cs="Times New Roman"/>
          <w:sz w:val="20"/>
          <w:szCs w:val="20"/>
        </w:rPr>
        <w:t>omposição</w:t>
      </w:r>
      <w:r w:rsidR="001108A3">
        <w:rPr>
          <w:rFonts w:ascii="Times New Roman" w:hAnsi="Times New Roman" w:cs="Times New Roman"/>
          <w:sz w:val="20"/>
          <w:szCs w:val="20"/>
        </w:rPr>
        <w:t xml:space="preserve"> dos perfis de TPD-NH</w:t>
      </w:r>
      <w:r w:rsidR="001108A3" w:rsidRPr="001108A3">
        <w:rPr>
          <w:rFonts w:ascii="Times New Roman" w:hAnsi="Times New Roman" w:cs="Times New Roman"/>
          <w:sz w:val="20"/>
          <w:szCs w:val="20"/>
          <w:vertAlign w:val="subscript"/>
        </w:rPr>
        <w:t>3</w:t>
      </w:r>
      <w:r w:rsidR="001108A3">
        <w:rPr>
          <w:rFonts w:ascii="Times New Roman" w:hAnsi="Times New Roman" w:cs="Times New Roman"/>
          <w:sz w:val="20"/>
          <w:szCs w:val="20"/>
        </w:rPr>
        <w:t xml:space="preserve"> podemos observar a presença de sítios ácido fracos, médios e fortes nos dois suportes estudados, tendo </w:t>
      </w:r>
      <w:r w:rsidR="006158E2">
        <w:rPr>
          <w:rFonts w:ascii="Times New Roman" w:hAnsi="Times New Roman" w:cs="Times New Roman"/>
          <w:sz w:val="20"/>
          <w:szCs w:val="20"/>
        </w:rPr>
        <w:t>ambos</w:t>
      </w:r>
      <w:r w:rsidR="001108A3">
        <w:rPr>
          <w:rFonts w:ascii="Times New Roman" w:hAnsi="Times New Roman" w:cs="Times New Roman"/>
          <w:sz w:val="20"/>
          <w:szCs w:val="20"/>
        </w:rPr>
        <w:t xml:space="preserve"> apresentado mais sítios ácidos médios em sua composição. </w:t>
      </w:r>
    </w:p>
    <w:p w14:paraId="3DF16C33" w14:textId="77777777" w:rsidR="00A96CF5" w:rsidRDefault="00A96CF5" w:rsidP="008F19CC">
      <w:pPr>
        <w:spacing w:after="0" w:line="240" w:lineRule="auto"/>
        <w:jc w:val="both"/>
        <w:rPr>
          <w:rFonts w:ascii="Times New Roman" w:hAnsi="Times New Roman" w:cs="Times New Roman"/>
          <w:sz w:val="20"/>
          <w:szCs w:val="20"/>
        </w:rPr>
      </w:pPr>
    </w:p>
    <w:p w14:paraId="71D0B38C" w14:textId="77777777" w:rsidR="00A96CF5" w:rsidRPr="001108A3" w:rsidRDefault="00A96CF5" w:rsidP="008F19CC">
      <w:pPr>
        <w:spacing w:after="0" w:line="240" w:lineRule="auto"/>
        <w:jc w:val="both"/>
        <w:rPr>
          <w:rFonts w:ascii="Times New Roman" w:hAnsi="Times New Roman" w:cs="Times New Roman"/>
          <w:sz w:val="20"/>
          <w:szCs w:val="20"/>
        </w:rPr>
      </w:pPr>
      <w:r w:rsidRPr="00FC64D1">
        <w:rPr>
          <w:rFonts w:ascii="Times New Roman" w:hAnsi="Times New Roman"/>
          <w:b/>
          <w:bCs/>
        </w:rPr>
        <w:t xml:space="preserve">Tabela </w:t>
      </w:r>
      <w:r>
        <w:rPr>
          <w:rFonts w:ascii="Times New Roman" w:hAnsi="Times New Roman"/>
          <w:b/>
          <w:bCs/>
        </w:rPr>
        <w:t>3</w:t>
      </w:r>
      <w:r w:rsidR="0086327F">
        <w:rPr>
          <w:rFonts w:ascii="Times New Roman" w:hAnsi="Times New Roman"/>
          <w:b/>
          <w:bCs/>
        </w:rPr>
        <w:t>.</w:t>
      </w:r>
      <w:r>
        <w:rPr>
          <w:rFonts w:ascii="Times New Roman" w:hAnsi="Times New Roman"/>
        </w:rPr>
        <w:t xml:space="preserve"> Resultados de TPD-NH</w:t>
      </w:r>
      <w:r w:rsidRPr="00C208DF">
        <w:rPr>
          <w:rFonts w:ascii="Times New Roman" w:hAnsi="Times New Roman"/>
          <w:vertAlign w:val="subscript"/>
        </w:rPr>
        <w:t>3</w:t>
      </w:r>
      <w:r>
        <w:rPr>
          <w:rFonts w:ascii="Times New Roman" w:hAnsi="Times New Roman"/>
        </w:rPr>
        <w:t>.</w:t>
      </w:r>
    </w:p>
    <w:tbl>
      <w:tblPr>
        <w:tblW w:w="44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1276"/>
        <w:gridCol w:w="708"/>
        <w:gridCol w:w="709"/>
        <w:gridCol w:w="738"/>
      </w:tblGrid>
      <w:tr w:rsidR="00C208DF" w:rsidRPr="00072C7A" w14:paraId="43955795" w14:textId="77777777" w:rsidTr="00AB0DCB">
        <w:trPr>
          <w:trHeight w:val="340"/>
          <w:jc w:val="center"/>
        </w:trPr>
        <w:tc>
          <w:tcPr>
            <w:tcW w:w="993" w:type="dxa"/>
            <w:vMerge w:val="restart"/>
            <w:vAlign w:val="center"/>
          </w:tcPr>
          <w:p w14:paraId="6E84E596" w14:textId="77777777" w:rsidR="00C208DF" w:rsidRDefault="00C208DF" w:rsidP="009931F5">
            <w:pPr>
              <w:pStyle w:val="TCTableBody"/>
              <w:spacing w:after="0"/>
              <w:jc w:val="center"/>
              <w:rPr>
                <w:lang w:val="pt-BR"/>
              </w:rPr>
            </w:pPr>
            <w:r>
              <w:rPr>
                <w:lang w:val="pt-BR"/>
              </w:rPr>
              <w:t>Catalisador</w:t>
            </w:r>
          </w:p>
        </w:tc>
        <w:tc>
          <w:tcPr>
            <w:tcW w:w="1276" w:type="dxa"/>
            <w:vMerge w:val="restart"/>
            <w:vAlign w:val="center"/>
          </w:tcPr>
          <w:p w14:paraId="7B68A2B3" w14:textId="77777777" w:rsidR="0024191F" w:rsidRDefault="00C208DF" w:rsidP="009931F5">
            <w:pPr>
              <w:pStyle w:val="TCTableBody"/>
              <w:spacing w:after="0"/>
              <w:jc w:val="center"/>
              <w:rPr>
                <w:lang w:val="pt-BR"/>
              </w:rPr>
            </w:pPr>
            <w:r>
              <w:rPr>
                <w:lang w:val="pt-BR"/>
              </w:rPr>
              <w:t>Total</w:t>
            </w:r>
          </w:p>
          <w:p w14:paraId="7836ACED" w14:textId="77777777" w:rsidR="00C208DF" w:rsidRDefault="00C208DF" w:rsidP="009931F5">
            <w:pPr>
              <w:pStyle w:val="TCTableBody"/>
              <w:spacing w:after="0"/>
              <w:jc w:val="center"/>
              <w:rPr>
                <w:lang w:val="pt-BR"/>
              </w:rPr>
            </w:pPr>
            <w:r>
              <w:rPr>
                <w:lang w:val="pt-BR"/>
              </w:rPr>
              <w:t>(</w:t>
            </w:r>
            <w:r>
              <w:rPr>
                <w:rFonts w:cs="Times"/>
                <w:lang w:val="pt-BR"/>
              </w:rPr>
              <w:t>µ</w:t>
            </w:r>
            <w:r>
              <w:rPr>
                <w:lang w:val="pt-BR"/>
              </w:rPr>
              <w:t>mol NH</w:t>
            </w:r>
            <w:r w:rsidRPr="00C208DF">
              <w:rPr>
                <w:vertAlign w:val="subscript"/>
                <w:lang w:val="pt-BR"/>
              </w:rPr>
              <w:t>3</w:t>
            </w:r>
            <w:r>
              <w:rPr>
                <w:lang w:val="pt-BR"/>
              </w:rPr>
              <w:t>.g</w:t>
            </w:r>
            <w:r>
              <w:rPr>
                <w:vertAlign w:val="superscript"/>
                <w:lang w:val="pt-BR"/>
              </w:rPr>
              <w:t>-1</w:t>
            </w:r>
            <w:r>
              <w:rPr>
                <w:lang w:val="pt-BR"/>
              </w:rPr>
              <w:t>)</w:t>
            </w:r>
          </w:p>
        </w:tc>
        <w:tc>
          <w:tcPr>
            <w:tcW w:w="2155" w:type="dxa"/>
            <w:gridSpan w:val="3"/>
            <w:vAlign w:val="center"/>
          </w:tcPr>
          <w:p w14:paraId="649502B2" w14:textId="77777777" w:rsidR="00C208DF" w:rsidRDefault="00C208DF" w:rsidP="009931F5">
            <w:pPr>
              <w:pStyle w:val="TCTableBody"/>
              <w:spacing w:after="0"/>
              <w:jc w:val="center"/>
              <w:rPr>
                <w:lang w:val="pt-BR"/>
              </w:rPr>
            </w:pPr>
            <w:r>
              <w:rPr>
                <w:lang w:val="pt-BR"/>
              </w:rPr>
              <w:t>Temperatura (°C)</w:t>
            </w:r>
          </w:p>
        </w:tc>
      </w:tr>
      <w:tr w:rsidR="009B5CB1" w:rsidRPr="00072C7A" w14:paraId="6DCE3449" w14:textId="77777777" w:rsidTr="00AB0DCB">
        <w:trPr>
          <w:trHeight w:val="340"/>
          <w:jc w:val="center"/>
        </w:trPr>
        <w:tc>
          <w:tcPr>
            <w:tcW w:w="993" w:type="dxa"/>
            <w:vMerge/>
            <w:tcBorders>
              <w:bottom w:val="single" w:sz="4" w:space="0" w:color="auto"/>
            </w:tcBorders>
            <w:vAlign w:val="center"/>
          </w:tcPr>
          <w:p w14:paraId="534DBEB4" w14:textId="77777777" w:rsidR="00C208DF" w:rsidRDefault="00C208DF" w:rsidP="009931F5">
            <w:pPr>
              <w:pStyle w:val="TCTableBody"/>
              <w:spacing w:after="0"/>
              <w:jc w:val="center"/>
              <w:rPr>
                <w:lang w:val="pt-BR"/>
              </w:rPr>
            </w:pPr>
          </w:p>
        </w:tc>
        <w:tc>
          <w:tcPr>
            <w:tcW w:w="1276" w:type="dxa"/>
            <w:vMerge/>
            <w:tcBorders>
              <w:bottom w:val="single" w:sz="4" w:space="0" w:color="auto"/>
            </w:tcBorders>
            <w:vAlign w:val="center"/>
          </w:tcPr>
          <w:p w14:paraId="6899D57B" w14:textId="77777777" w:rsidR="00C208DF" w:rsidRDefault="00C208DF" w:rsidP="009931F5">
            <w:pPr>
              <w:pStyle w:val="TCTableBody"/>
              <w:spacing w:after="0"/>
              <w:jc w:val="center"/>
              <w:rPr>
                <w:lang w:val="pt-BR"/>
              </w:rPr>
            </w:pPr>
          </w:p>
        </w:tc>
        <w:tc>
          <w:tcPr>
            <w:tcW w:w="708" w:type="dxa"/>
            <w:tcBorders>
              <w:bottom w:val="single" w:sz="4" w:space="0" w:color="auto"/>
            </w:tcBorders>
            <w:vAlign w:val="center"/>
          </w:tcPr>
          <w:p w14:paraId="709FC492" w14:textId="77777777" w:rsidR="00C208DF" w:rsidRDefault="00A6677B" w:rsidP="009931F5">
            <w:pPr>
              <w:pStyle w:val="TCTableBody"/>
              <w:spacing w:after="0"/>
              <w:jc w:val="center"/>
              <w:rPr>
                <w:lang w:val="pt-BR"/>
              </w:rPr>
            </w:pPr>
            <w:r>
              <w:rPr>
                <w:lang w:val="pt-BR"/>
              </w:rPr>
              <w:t>183 °C</w:t>
            </w:r>
          </w:p>
        </w:tc>
        <w:tc>
          <w:tcPr>
            <w:tcW w:w="709" w:type="dxa"/>
            <w:tcBorders>
              <w:bottom w:val="single" w:sz="4" w:space="0" w:color="auto"/>
            </w:tcBorders>
            <w:vAlign w:val="center"/>
          </w:tcPr>
          <w:p w14:paraId="3C44FCAA" w14:textId="77777777" w:rsidR="00C208DF" w:rsidRDefault="00A6677B" w:rsidP="009931F5">
            <w:pPr>
              <w:pStyle w:val="TCTableBody"/>
              <w:spacing w:after="0"/>
              <w:jc w:val="center"/>
              <w:rPr>
                <w:lang w:val="pt-BR"/>
              </w:rPr>
            </w:pPr>
            <w:r>
              <w:rPr>
                <w:lang w:val="pt-BR"/>
              </w:rPr>
              <w:t>292 °C</w:t>
            </w:r>
          </w:p>
        </w:tc>
        <w:tc>
          <w:tcPr>
            <w:tcW w:w="738" w:type="dxa"/>
            <w:tcBorders>
              <w:bottom w:val="single" w:sz="4" w:space="0" w:color="auto"/>
            </w:tcBorders>
            <w:vAlign w:val="center"/>
          </w:tcPr>
          <w:p w14:paraId="3D9DE7B1" w14:textId="77777777" w:rsidR="00C208DF" w:rsidRDefault="00A6677B" w:rsidP="009931F5">
            <w:pPr>
              <w:pStyle w:val="TCTableBody"/>
              <w:spacing w:after="0"/>
              <w:jc w:val="center"/>
              <w:rPr>
                <w:lang w:val="pt-BR"/>
              </w:rPr>
            </w:pPr>
            <w:r>
              <w:rPr>
                <w:lang w:val="pt-BR"/>
              </w:rPr>
              <w:t>470 °C</w:t>
            </w:r>
          </w:p>
        </w:tc>
      </w:tr>
      <w:tr w:rsidR="009B5CB1" w:rsidRPr="00072C7A" w14:paraId="1EA18706" w14:textId="77777777" w:rsidTr="00AB0DCB">
        <w:trPr>
          <w:trHeight w:val="340"/>
          <w:jc w:val="center"/>
        </w:trPr>
        <w:tc>
          <w:tcPr>
            <w:tcW w:w="993" w:type="dxa"/>
            <w:tcBorders>
              <w:bottom w:val="single" w:sz="4" w:space="0" w:color="auto"/>
            </w:tcBorders>
            <w:vAlign w:val="center"/>
          </w:tcPr>
          <w:p w14:paraId="1AB8BD32" w14:textId="77777777" w:rsidR="00C208DF" w:rsidRDefault="00C208DF" w:rsidP="009931F5">
            <w:pPr>
              <w:pStyle w:val="TCTableBody"/>
              <w:spacing w:after="0"/>
              <w:jc w:val="center"/>
              <w:rPr>
                <w:lang w:val="pt-BR"/>
              </w:rPr>
            </w:pPr>
            <w:proofErr w:type="spellStart"/>
            <w:r>
              <w:rPr>
                <w:lang w:val="pt-BR"/>
              </w:rPr>
              <w:t>Siral</w:t>
            </w:r>
            <w:proofErr w:type="spellEnd"/>
          </w:p>
        </w:tc>
        <w:tc>
          <w:tcPr>
            <w:tcW w:w="1276" w:type="dxa"/>
            <w:tcBorders>
              <w:bottom w:val="single" w:sz="4" w:space="0" w:color="auto"/>
            </w:tcBorders>
            <w:vAlign w:val="center"/>
          </w:tcPr>
          <w:p w14:paraId="3C3EF790" w14:textId="77777777" w:rsidR="00C208DF" w:rsidRDefault="00C208DF" w:rsidP="009931F5">
            <w:pPr>
              <w:pStyle w:val="TCTableBody"/>
              <w:spacing w:after="0"/>
              <w:jc w:val="center"/>
              <w:rPr>
                <w:lang w:val="pt-BR"/>
              </w:rPr>
            </w:pPr>
            <w:r>
              <w:rPr>
                <w:lang w:val="pt-BR"/>
              </w:rPr>
              <w:t>578,94</w:t>
            </w:r>
          </w:p>
        </w:tc>
        <w:tc>
          <w:tcPr>
            <w:tcW w:w="708" w:type="dxa"/>
            <w:tcBorders>
              <w:bottom w:val="single" w:sz="4" w:space="0" w:color="auto"/>
            </w:tcBorders>
            <w:vAlign w:val="center"/>
          </w:tcPr>
          <w:p w14:paraId="56AC2554" w14:textId="77777777" w:rsidR="00C208DF" w:rsidRDefault="00C208DF" w:rsidP="009931F5">
            <w:pPr>
              <w:pStyle w:val="TCTableBody"/>
              <w:spacing w:after="0"/>
              <w:jc w:val="center"/>
              <w:rPr>
                <w:lang w:val="pt-BR"/>
              </w:rPr>
            </w:pPr>
            <w:r>
              <w:rPr>
                <w:lang w:val="pt-BR"/>
              </w:rPr>
              <w:t>53</w:t>
            </w:r>
          </w:p>
        </w:tc>
        <w:tc>
          <w:tcPr>
            <w:tcW w:w="709" w:type="dxa"/>
            <w:tcBorders>
              <w:bottom w:val="single" w:sz="4" w:space="0" w:color="auto"/>
            </w:tcBorders>
            <w:vAlign w:val="center"/>
          </w:tcPr>
          <w:p w14:paraId="2520F570" w14:textId="77777777" w:rsidR="00C208DF" w:rsidRDefault="00C208DF" w:rsidP="009931F5">
            <w:pPr>
              <w:pStyle w:val="TCTableBody"/>
              <w:spacing w:after="0"/>
              <w:jc w:val="center"/>
              <w:rPr>
                <w:lang w:val="pt-BR"/>
              </w:rPr>
            </w:pPr>
            <w:r>
              <w:rPr>
                <w:lang w:val="pt-BR"/>
              </w:rPr>
              <w:t>358</w:t>
            </w:r>
          </w:p>
        </w:tc>
        <w:tc>
          <w:tcPr>
            <w:tcW w:w="738" w:type="dxa"/>
            <w:tcBorders>
              <w:bottom w:val="single" w:sz="4" w:space="0" w:color="auto"/>
            </w:tcBorders>
            <w:vAlign w:val="center"/>
          </w:tcPr>
          <w:p w14:paraId="7C748F11" w14:textId="77777777" w:rsidR="00C208DF" w:rsidRDefault="00C208DF" w:rsidP="009931F5">
            <w:pPr>
              <w:pStyle w:val="TCTableBody"/>
              <w:spacing w:after="0"/>
              <w:jc w:val="center"/>
              <w:rPr>
                <w:lang w:val="pt-BR"/>
              </w:rPr>
            </w:pPr>
            <w:r>
              <w:rPr>
                <w:lang w:val="pt-BR"/>
              </w:rPr>
              <w:t>16</w:t>
            </w:r>
            <w:r w:rsidR="0086327F">
              <w:rPr>
                <w:lang w:val="pt-BR"/>
              </w:rPr>
              <w:t>8</w:t>
            </w:r>
          </w:p>
        </w:tc>
      </w:tr>
      <w:tr w:rsidR="009B5CB1" w:rsidRPr="00072C7A" w14:paraId="1B6D856C" w14:textId="77777777" w:rsidTr="00AB0DCB">
        <w:trPr>
          <w:trHeight w:val="340"/>
          <w:jc w:val="center"/>
        </w:trPr>
        <w:tc>
          <w:tcPr>
            <w:tcW w:w="993" w:type="dxa"/>
            <w:tcBorders>
              <w:bottom w:val="single" w:sz="4" w:space="0" w:color="auto"/>
            </w:tcBorders>
            <w:vAlign w:val="center"/>
          </w:tcPr>
          <w:p w14:paraId="35C5B0CB" w14:textId="77777777" w:rsidR="00C208DF" w:rsidRDefault="00C208DF" w:rsidP="009931F5">
            <w:pPr>
              <w:pStyle w:val="TCTableBody"/>
              <w:spacing w:after="0"/>
              <w:jc w:val="center"/>
              <w:rPr>
                <w:lang w:val="pt-BR"/>
              </w:rPr>
            </w:pPr>
            <w:proofErr w:type="spellStart"/>
            <w:r>
              <w:rPr>
                <w:lang w:val="pt-BR"/>
              </w:rPr>
              <w:t>SiralHPW</w:t>
            </w:r>
            <w:proofErr w:type="spellEnd"/>
          </w:p>
        </w:tc>
        <w:tc>
          <w:tcPr>
            <w:tcW w:w="1276" w:type="dxa"/>
            <w:tcBorders>
              <w:bottom w:val="single" w:sz="4" w:space="0" w:color="auto"/>
            </w:tcBorders>
            <w:vAlign w:val="center"/>
          </w:tcPr>
          <w:p w14:paraId="7C1C3DC0" w14:textId="77777777" w:rsidR="00C208DF" w:rsidRDefault="00C208DF" w:rsidP="009931F5">
            <w:pPr>
              <w:pStyle w:val="TCTableBody"/>
              <w:spacing w:after="0"/>
              <w:jc w:val="center"/>
              <w:rPr>
                <w:lang w:val="pt-BR"/>
              </w:rPr>
            </w:pPr>
            <w:r>
              <w:rPr>
                <w:lang w:val="pt-BR"/>
              </w:rPr>
              <w:t>660,41</w:t>
            </w:r>
          </w:p>
        </w:tc>
        <w:tc>
          <w:tcPr>
            <w:tcW w:w="708" w:type="dxa"/>
            <w:tcBorders>
              <w:bottom w:val="single" w:sz="4" w:space="0" w:color="auto"/>
            </w:tcBorders>
            <w:vAlign w:val="center"/>
          </w:tcPr>
          <w:p w14:paraId="6279DF11" w14:textId="77777777" w:rsidR="00C208DF" w:rsidRDefault="00C208DF" w:rsidP="009931F5">
            <w:pPr>
              <w:pStyle w:val="TCTableBody"/>
              <w:spacing w:after="0"/>
              <w:jc w:val="center"/>
              <w:rPr>
                <w:lang w:val="pt-BR"/>
              </w:rPr>
            </w:pPr>
            <w:r>
              <w:rPr>
                <w:lang w:val="pt-BR"/>
              </w:rPr>
              <w:t>14</w:t>
            </w:r>
            <w:r w:rsidR="0086327F">
              <w:rPr>
                <w:lang w:val="pt-BR"/>
              </w:rPr>
              <w:t>8</w:t>
            </w:r>
          </w:p>
        </w:tc>
        <w:tc>
          <w:tcPr>
            <w:tcW w:w="709" w:type="dxa"/>
            <w:tcBorders>
              <w:bottom w:val="single" w:sz="4" w:space="0" w:color="auto"/>
            </w:tcBorders>
            <w:vAlign w:val="center"/>
          </w:tcPr>
          <w:p w14:paraId="786F73CD" w14:textId="77777777" w:rsidR="00C208DF" w:rsidRDefault="00C208DF" w:rsidP="009931F5">
            <w:pPr>
              <w:pStyle w:val="TCTableBody"/>
              <w:spacing w:after="0"/>
              <w:jc w:val="center"/>
              <w:rPr>
                <w:lang w:val="pt-BR"/>
              </w:rPr>
            </w:pPr>
            <w:r>
              <w:rPr>
                <w:lang w:val="pt-BR"/>
              </w:rPr>
              <w:t>30</w:t>
            </w:r>
            <w:r w:rsidR="0086327F">
              <w:rPr>
                <w:lang w:val="pt-BR"/>
              </w:rPr>
              <w:t>6</w:t>
            </w:r>
          </w:p>
        </w:tc>
        <w:tc>
          <w:tcPr>
            <w:tcW w:w="738" w:type="dxa"/>
            <w:tcBorders>
              <w:bottom w:val="single" w:sz="4" w:space="0" w:color="auto"/>
            </w:tcBorders>
            <w:vAlign w:val="center"/>
          </w:tcPr>
          <w:p w14:paraId="66BA7D80" w14:textId="77777777" w:rsidR="00C208DF" w:rsidRDefault="00C208DF" w:rsidP="009931F5">
            <w:pPr>
              <w:pStyle w:val="TCTableBody"/>
              <w:spacing w:after="0"/>
              <w:jc w:val="center"/>
              <w:rPr>
                <w:lang w:val="pt-BR"/>
              </w:rPr>
            </w:pPr>
            <w:r>
              <w:rPr>
                <w:lang w:val="pt-BR"/>
              </w:rPr>
              <w:t>20</w:t>
            </w:r>
            <w:r w:rsidR="0086327F">
              <w:rPr>
                <w:lang w:val="pt-BR"/>
              </w:rPr>
              <w:t>7</w:t>
            </w:r>
          </w:p>
        </w:tc>
      </w:tr>
    </w:tbl>
    <w:bookmarkEnd w:id="3"/>
    <w:p w14:paraId="53A4459E" w14:textId="5FCB53A9" w:rsidR="00EE3649" w:rsidRPr="00711FA9" w:rsidRDefault="00E81909" w:rsidP="00EE3649">
      <w:pPr>
        <w:pStyle w:val="TAMainText"/>
        <w:ind w:firstLine="187"/>
        <w:rPr>
          <w:rFonts w:ascii="Times New Roman" w:hAnsi="Times New Roman"/>
          <w:lang w:val="pt-BR"/>
        </w:rPr>
      </w:pPr>
      <w:r>
        <w:rPr>
          <w:rFonts w:ascii="Times New Roman" w:hAnsi="Times New Roman"/>
          <w:lang w:val="pt-BR"/>
        </w:rPr>
        <w:t>Os perfis de consumo de H</w:t>
      </w:r>
      <w:r w:rsidRPr="00E81909">
        <w:rPr>
          <w:rFonts w:ascii="Times New Roman" w:hAnsi="Times New Roman"/>
          <w:vertAlign w:val="subscript"/>
          <w:lang w:val="pt-BR"/>
        </w:rPr>
        <w:t>2</w:t>
      </w:r>
      <w:r>
        <w:rPr>
          <w:rFonts w:ascii="Times New Roman" w:hAnsi="Times New Roman"/>
          <w:lang w:val="pt-BR"/>
        </w:rPr>
        <w:t xml:space="preserve"> no</w:t>
      </w:r>
      <w:r w:rsidR="002A5FCA">
        <w:rPr>
          <w:rFonts w:ascii="Times New Roman" w:hAnsi="Times New Roman"/>
          <w:lang w:val="pt-BR"/>
        </w:rPr>
        <w:t xml:space="preserve"> TPR-H</w:t>
      </w:r>
      <w:r w:rsidR="002A5FCA">
        <w:rPr>
          <w:rFonts w:ascii="Times New Roman" w:hAnsi="Times New Roman"/>
          <w:vertAlign w:val="subscript"/>
          <w:lang w:val="pt-BR"/>
        </w:rPr>
        <w:t>2</w:t>
      </w:r>
      <w:r>
        <w:rPr>
          <w:rFonts w:ascii="Times New Roman" w:hAnsi="Times New Roman"/>
          <w:lang w:val="pt-BR"/>
        </w:rPr>
        <w:t xml:space="preserve"> são apresentados na figura 4. </w:t>
      </w:r>
      <w:r w:rsidR="00EE3649">
        <w:rPr>
          <w:rFonts w:ascii="Times New Roman" w:hAnsi="Times New Roman"/>
          <w:lang w:val="pt-BR"/>
        </w:rPr>
        <w:t xml:space="preserve">Em todos os </w:t>
      </w:r>
      <w:r w:rsidR="006158E2">
        <w:rPr>
          <w:rFonts w:ascii="Times New Roman" w:hAnsi="Times New Roman"/>
          <w:lang w:val="pt-BR"/>
        </w:rPr>
        <w:t>caso</w:t>
      </w:r>
      <w:r w:rsidR="00EE3649">
        <w:rPr>
          <w:rFonts w:ascii="Times New Roman" w:hAnsi="Times New Roman"/>
          <w:lang w:val="pt-BR"/>
        </w:rPr>
        <w:t>s, um pico de maior intensidade aparece a partir de 280</w:t>
      </w:r>
      <w:r w:rsidR="000F4E07">
        <w:rPr>
          <w:rFonts w:ascii="Times New Roman" w:hAnsi="Times New Roman"/>
          <w:lang w:val="pt-BR"/>
        </w:rPr>
        <w:t xml:space="preserve"> °</w:t>
      </w:r>
      <w:r w:rsidR="00EE3649" w:rsidRPr="000F4E07">
        <w:rPr>
          <w:rFonts w:ascii="Times New Roman" w:hAnsi="Times New Roman"/>
          <w:lang w:val="pt-BR"/>
        </w:rPr>
        <w:t>C</w:t>
      </w:r>
      <w:r w:rsidR="00EE3649">
        <w:rPr>
          <w:rFonts w:ascii="Times New Roman" w:hAnsi="Times New Roman"/>
          <w:lang w:val="pt-BR"/>
        </w:rPr>
        <w:t>. A literatura reporta picos referentes a redução do W</w:t>
      </w:r>
      <w:r w:rsidR="00EE3649">
        <w:rPr>
          <w:rFonts w:ascii="Times New Roman" w:hAnsi="Times New Roman"/>
          <w:vertAlign w:val="superscript"/>
          <w:lang w:val="pt-BR"/>
        </w:rPr>
        <w:t>6+</w:t>
      </w:r>
      <w:r w:rsidR="00EE3649">
        <w:rPr>
          <w:rFonts w:ascii="Times New Roman" w:hAnsi="Times New Roman"/>
          <w:lang w:val="pt-BR"/>
        </w:rPr>
        <w:t xml:space="preserve"> </w:t>
      </w:r>
      <w:r w:rsidR="00EE3649" w:rsidRPr="00711FA9">
        <w:rPr>
          <w:rFonts w:ascii="Times New Roman" w:hAnsi="Times New Roman"/>
          <w:lang w:val="pt-BR"/>
        </w:rPr>
        <w:sym w:font="Wingdings" w:char="F0E0"/>
      </w:r>
      <w:r w:rsidR="00EE3649">
        <w:rPr>
          <w:rFonts w:ascii="Times New Roman" w:hAnsi="Times New Roman"/>
          <w:lang w:val="pt-BR"/>
        </w:rPr>
        <w:t xml:space="preserve"> W</w:t>
      </w:r>
      <w:r w:rsidR="00EE3649">
        <w:rPr>
          <w:rFonts w:ascii="Times New Roman" w:hAnsi="Times New Roman"/>
          <w:vertAlign w:val="superscript"/>
          <w:lang w:val="pt-BR"/>
        </w:rPr>
        <w:t>4+</w:t>
      </w:r>
      <w:r w:rsidR="00EE3649">
        <w:rPr>
          <w:rFonts w:ascii="Times New Roman" w:hAnsi="Times New Roman"/>
          <w:lang w:val="pt-BR"/>
        </w:rPr>
        <w:t xml:space="preserve"> e do W</w:t>
      </w:r>
      <w:r w:rsidR="00EE3649">
        <w:rPr>
          <w:rFonts w:ascii="Times New Roman" w:hAnsi="Times New Roman"/>
          <w:vertAlign w:val="superscript"/>
          <w:lang w:val="pt-BR"/>
        </w:rPr>
        <w:t>4+</w:t>
      </w:r>
      <w:r w:rsidR="00EE3649">
        <w:rPr>
          <w:rFonts w:ascii="Times New Roman" w:hAnsi="Times New Roman"/>
          <w:lang w:val="pt-BR"/>
        </w:rPr>
        <w:t xml:space="preserve"> </w:t>
      </w:r>
      <w:r w:rsidR="00EE3649" w:rsidRPr="00711FA9">
        <w:rPr>
          <w:rFonts w:ascii="Times New Roman" w:hAnsi="Times New Roman"/>
          <w:lang w:val="pt-BR"/>
        </w:rPr>
        <w:sym w:font="Wingdings" w:char="F0E0"/>
      </w:r>
      <w:r w:rsidR="00EE3649">
        <w:rPr>
          <w:rFonts w:ascii="Times New Roman" w:hAnsi="Times New Roman"/>
          <w:lang w:val="pt-BR"/>
        </w:rPr>
        <w:t xml:space="preserve"> W</w:t>
      </w:r>
      <w:r w:rsidR="00EE3649">
        <w:rPr>
          <w:rFonts w:ascii="Times New Roman" w:hAnsi="Times New Roman"/>
          <w:vertAlign w:val="superscript"/>
          <w:lang w:val="pt-BR"/>
        </w:rPr>
        <w:t>0</w:t>
      </w:r>
      <w:r w:rsidR="00EE3649">
        <w:rPr>
          <w:rFonts w:ascii="Times New Roman" w:hAnsi="Times New Roman"/>
          <w:lang w:val="pt-BR"/>
        </w:rPr>
        <w:t xml:space="preserve"> na região de 420–460 °C e em 780 °C, respectivamente (17).</w:t>
      </w:r>
    </w:p>
    <w:p w14:paraId="600F9FE1" w14:textId="4E7EB262" w:rsidR="004C6B3F" w:rsidRDefault="004C6B3F" w:rsidP="00255611">
      <w:pPr>
        <w:pStyle w:val="TAMainText"/>
        <w:ind w:firstLine="187"/>
        <w:rPr>
          <w:rFonts w:ascii="Times New Roman" w:hAnsi="Times New Roman"/>
          <w:lang w:val="pt-BR"/>
        </w:rPr>
      </w:pPr>
      <w:r>
        <w:rPr>
          <w:rFonts w:ascii="Times New Roman" w:hAnsi="Times New Roman"/>
          <w:lang w:val="pt-BR"/>
        </w:rPr>
        <w:t xml:space="preserve">Os catalisadores contendo paládio, </w:t>
      </w:r>
      <w:proofErr w:type="spellStart"/>
      <w:r>
        <w:rPr>
          <w:rFonts w:ascii="Times New Roman" w:hAnsi="Times New Roman"/>
          <w:lang w:val="pt-BR"/>
        </w:rPr>
        <w:t>PdSiralHPW</w:t>
      </w:r>
      <w:proofErr w:type="spellEnd"/>
      <w:r>
        <w:rPr>
          <w:rFonts w:ascii="Times New Roman" w:hAnsi="Times New Roman"/>
          <w:lang w:val="pt-BR"/>
        </w:rPr>
        <w:t xml:space="preserve"> e </w:t>
      </w:r>
      <w:proofErr w:type="spellStart"/>
      <w:r>
        <w:rPr>
          <w:rFonts w:ascii="Times New Roman" w:hAnsi="Times New Roman"/>
          <w:lang w:val="pt-BR"/>
        </w:rPr>
        <w:t>PdRuSiralHPW</w:t>
      </w:r>
      <w:proofErr w:type="spellEnd"/>
      <w:r>
        <w:rPr>
          <w:rFonts w:ascii="Times New Roman" w:hAnsi="Times New Roman"/>
          <w:lang w:val="pt-BR"/>
        </w:rPr>
        <w:t xml:space="preserve"> apresentaram um pico atribuído a redução de </w:t>
      </w:r>
      <w:proofErr w:type="spellStart"/>
      <w:r>
        <w:rPr>
          <w:rFonts w:ascii="Times New Roman" w:hAnsi="Times New Roman"/>
          <w:lang w:val="pt-BR"/>
        </w:rPr>
        <w:t>PdO</w:t>
      </w:r>
      <w:proofErr w:type="spellEnd"/>
      <w:r>
        <w:rPr>
          <w:rFonts w:ascii="Times New Roman" w:hAnsi="Times New Roman"/>
          <w:lang w:val="pt-BR"/>
        </w:rPr>
        <w:t xml:space="preserve"> de caráter mássico</w:t>
      </w:r>
      <w:r w:rsidR="00C77163">
        <w:rPr>
          <w:rFonts w:ascii="Times New Roman" w:hAnsi="Times New Roman"/>
          <w:lang w:val="pt-BR"/>
        </w:rPr>
        <w:t xml:space="preserve"> em torno de 100 °C e 135 °C, respectivamente</w:t>
      </w:r>
      <w:r w:rsidR="00C77163" w:rsidRPr="00C77163">
        <w:rPr>
          <w:rFonts w:ascii="Times New Roman" w:hAnsi="Times New Roman"/>
          <w:lang w:val="pt-BR"/>
        </w:rPr>
        <w:t xml:space="preserve"> </w:t>
      </w:r>
      <w:r w:rsidR="00C77163">
        <w:rPr>
          <w:rFonts w:ascii="Times New Roman" w:hAnsi="Times New Roman"/>
          <w:lang w:val="pt-BR"/>
        </w:rPr>
        <w:t>(16)</w:t>
      </w:r>
      <w:r>
        <w:rPr>
          <w:rFonts w:ascii="Times New Roman" w:hAnsi="Times New Roman"/>
          <w:lang w:val="pt-BR"/>
        </w:rPr>
        <w:t xml:space="preserve">. </w:t>
      </w:r>
      <w:r w:rsidR="00005416">
        <w:rPr>
          <w:rFonts w:ascii="Times New Roman" w:hAnsi="Times New Roman"/>
          <w:lang w:val="pt-BR"/>
        </w:rPr>
        <w:t>A presença de cloro</w:t>
      </w:r>
      <w:r>
        <w:rPr>
          <w:rFonts w:ascii="Times New Roman" w:hAnsi="Times New Roman"/>
          <w:lang w:val="pt-BR"/>
        </w:rPr>
        <w:t xml:space="preserve"> pode levar à redução de espécies PdCl</w:t>
      </w:r>
      <w:r w:rsidRPr="004C6B3F">
        <w:rPr>
          <w:rFonts w:ascii="Times New Roman" w:hAnsi="Times New Roman"/>
          <w:vertAlign w:val="subscript"/>
          <w:lang w:val="pt-BR"/>
        </w:rPr>
        <w:t>2</w:t>
      </w:r>
      <w:r>
        <w:rPr>
          <w:rFonts w:ascii="Times New Roman" w:hAnsi="Times New Roman"/>
          <w:lang w:val="pt-BR"/>
        </w:rPr>
        <w:t xml:space="preserve"> ou complexos do tipo </w:t>
      </w:r>
      <w:proofErr w:type="spellStart"/>
      <w:r>
        <w:rPr>
          <w:rFonts w:ascii="Times New Roman" w:hAnsi="Times New Roman"/>
          <w:lang w:val="pt-BR"/>
        </w:rPr>
        <w:t>Pd</w:t>
      </w:r>
      <w:r w:rsidRPr="004C6B3F">
        <w:rPr>
          <w:rFonts w:ascii="Times New Roman" w:hAnsi="Times New Roman"/>
          <w:vertAlign w:val="subscript"/>
          <w:lang w:val="pt-BR"/>
        </w:rPr>
        <w:t>x</w:t>
      </w:r>
      <w:r>
        <w:rPr>
          <w:rFonts w:ascii="Times New Roman" w:hAnsi="Times New Roman"/>
          <w:lang w:val="pt-BR"/>
        </w:rPr>
        <w:t>O</w:t>
      </w:r>
      <w:r w:rsidRPr="004C6B3F">
        <w:rPr>
          <w:rFonts w:ascii="Times New Roman" w:hAnsi="Times New Roman"/>
          <w:vertAlign w:val="subscript"/>
          <w:lang w:val="pt-BR"/>
        </w:rPr>
        <w:t>y</w:t>
      </w:r>
      <w:r>
        <w:rPr>
          <w:rFonts w:ascii="Times New Roman" w:hAnsi="Times New Roman"/>
          <w:lang w:val="pt-BR"/>
        </w:rPr>
        <w:t>Cl</w:t>
      </w:r>
      <w:r w:rsidRPr="004C6B3F">
        <w:rPr>
          <w:rFonts w:ascii="Times New Roman" w:hAnsi="Times New Roman"/>
          <w:vertAlign w:val="subscript"/>
          <w:lang w:val="pt-BR"/>
        </w:rPr>
        <w:t>z</w:t>
      </w:r>
      <w:proofErr w:type="spellEnd"/>
      <w:r>
        <w:rPr>
          <w:rFonts w:ascii="Times New Roman" w:hAnsi="Times New Roman"/>
          <w:lang w:val="pt-BR"/>
        </w:rPr>
        <w:t>.</w:t>
      </w:r>
      <w:r w:rsidR="00276D24">
        <w:rPr>
          <w:rFonts w:ascii="Times New Roman" w:hAnsi="Times New Roman"/>
          <w:lang w:val="pt-BR"/>
        </w:rPr>
        <w:t xml:space="preserve"> De fato, um ombro nos perfis de ambos os catalisadores, especialmente no monometálico, pode ser observado em torno de 150</w:t>
      </w:r>
      <w:r w:rsidR="000F4E07">
        <w:rPr>
          <w:rFonts w:ascii="Times New Roman" w:hAnsi="Times New Roman"/>
          <w:lang w:val="pt-BR"/>
        </w:rPr>
        <w:t xml:space="preserve"> °</w:t>
      </w:r>
      <w:r w:rsidR="00276D24">
        <w:rPr>
          <w:rFonts w:ascii="Times New Roman" w:hAnsi="Times New Roman"/>
          <w:lang w:val="pt-BR"/>
        </w:rPr>
        <w:t>C, que pode ser atribuído à redução dessas espécies cloradas.</w:t>
      </w:r>
    </w:p>
    <w:p w14:paraId="527560A4" w14:textId="77777777" w:rsidR="00276D24" w:rsidRDefault="00D0502B" w:rsidP="00255611">
      <w:pPr>
        <w:pStyle w:val="TAMainText"/>
        <w:ind w:firstLine="187"/>
        <w:rPr>
          <w:rFonts w:ascii="Times New Roman" w:hAnsi="Times New Roman"/>
          <w:lang w:val="pt-BR"/>
        </w:rPr>
      </w:pPr>
      <w:r>
        <w:rPr>
          <w:rFonts w:ascii="Times New Roman" w:hAnsi="Times New Roman"/>
          <w:lang w:val="pt-BR"/>
        </w:rPr>
        <w:t xml:space="preserve">Segundo </w:t>
      </w:r>
      <w:r w:rsidR="00276D24">
        <w:rPr>
          <w:rFonts w:ascii="Times New Roman" w:hAnsi="Times New Roman"/>
          <w:lang w:val="pt-BR"/>
        </w:rPr>
        <w:t>Silveira e col. (</w:t>
      </w:r>
      <w:r w:rsidR="002C2FB2">
        <w:rPr>
          <w:rFonts w:ascii="Times New Roman" w:hAnsi="Times New Roman"/>
          <w:lang w:val="pt-BR"/>
        </w:rPr>
        <w:t>3</w:t>
      </w:r>
      <w:r w:rsidR="00276D24">
        <w:rPr>
          <w:rFonts w:ascii="Times New Roman" w:hAnsi="Times New Roman"/>
          <w:lang w:val="pt-BR"/>
        </w:rPr>
        <w:t>)</w:t>
      </w:r>
      <w:r>
        <w:rPr>
          <w:rFonts w:ascii="Times New Roman" w:hAnsi="Times New Roman"/>
          <w:lang w:val="pt-BR"/>
        </w:rPr>
        <w:t>, o Ru</w:t>
      </w:r>
      <w:r w:rsidR="00276D24">
        <w:rPr>
          <w:rFonts w:ascii="Times New Roman" w:hAnsi="Times New Roman"/>
          <w:lang w:val="pt-BR"/>
        </w:rPr>
        <w:t>O</w:t>
      </w:r>
      <w:r w:rsidR="00276D24" w:rsidRPr="00276D24">
        <w:rPr>
          <w:rFonts w:ascii="Times New Roman" w:hAnsi="Times New Roman"/>
          <w:vertAlign w:val="subscript"/>
          <w:lang w:val="pt-BR"/>
        </w:rPr>
        <w:t>2</w:t>
      </w:r>
      <w:r w:rsidR="00276D24">
        <w:rPr>
          <w:rFonts w:ascii="Times New Roman" w:hAnsi="Times New Roman"/>
          <w:lang w:val="pt-BR"/>
        </w:rPr>
        <w:t xml:space="preserve"> de caráter mássico</w:t>
      </w:r>
      <w:r>
        <w:rPr>
          <w:rFonts w:ascii="Times New Roman" w:hAnsi="Times New Roman"/>
          <w:lang w:val="pt-BR"/>
        </w:rPr>
        <w:t xml:space="preserve"> </w:t>
      </w:r>
      <w:r w:rsidR="008F19CC">
        <w:rPr>
          <w:rFonts w:ascii="Times New Roman" w:hAnsi="Times New Roman"/>
          <w:lang w:val="pt-BR"/>
        </w:rPr>
        <w:t>p</w:t>
      </w:r>
      <w:r>
        <w:rPr>
          <w:rFonts w:ascii="Times New Roman" w:hAnsi="Times New Roman"/>
          <w:lang w:val="pt-BR"/>
        </w:rPr>
        <w:t>ode apresentar pico de redução na região 200–250 °C</w:t>
      </w:r>
      <w:r w:rsidR="00276D24">
        <w:rPr>
          <w:rFonts w:ascii="Times New Roman" w:hAnsi="Times New Roman"/>
          <w:lang w:val="pt-BR"/>
        </w:rPr>
        <w:t>, enquanto a redução de RuO</w:t>
      </w:r>
      <w:r w:rsidR="00276D24" w:rsidRPr="00957393">
        <w:rPr>
          <w:rFonts w:ascii="Times New Roman" w:hAnsi="Times New Roman"/>
          <w:vertAlign w:val="subscript"/>
          <w:lang w:val="pt-BR"/>
        </w:rPr>
        <w:t>2</w:t>
      </w:r>
      <w:r w:rsidR="00276D24">
        <w:rPr>
          <w:rFonts w:ascii="Times New Roman" w:hAnsi="Times New Roman"/>
          <w:lang w:val="pt-BR"/>
        </w:rPr>
        <w:t xml:space="preserve"> bem disperso ocorre em torno de 100</w:t>
      </w:r>
      <w:r w:rsidR="00276D24" w:rsidRPr="00276D24">
        <w:rPr>
          <w:rFonts w:ascii="Times New Roman" w:hAnsi="Times New Roman"/>
          <w:vertAlign w:val="superscript"/>
          <w:lang w:val="pt-BR"/>
        </w:rPr>
        <w:t>o</w:t>
      </w:r>
      <w:r w:rsidR="00276D24">
        <w:rPr>
          <w:rFonts w:ascii="Times New Roman" w:hAnsi="Times New Roman"/>
          <w:lang w:val="pt-BR"/>
        </w:rPr>
        <w:t>C.</w:t>
      </w:r>
    </w:p>
    <w:p w14:paraId="7C094E9D" w14:textId="1F69B6D0" w:rsidR="00957393" w:rsidRPr="00E54028" w:rsidRDefault="00957393" w:rsidP="00957393">
      <w:pPr>
        <w:spacing w:after="0" w:line="240" w:lineRule="auto"/>
        <w:ind w:firstLine="187"/>
        <w:jc w:val="both"/>
        <w:rPr>
          <w:rFonts w:ascii="Times New Roman" w:hAnsi="Times New Roman" w:cs="Times New Roman"/>
          <w:sz w:val="20"/>
          <w:szCs w:val="20"/>
        </w:rPr>
      </w:pPr>
      <w:r>
        <w:rPr>
          <w:rFonts w:ascii="Times New Roman" w:hAnsi="Times New Roman" w:cs="Times New Roman"/>
          <w:noProof/>
          <w:sz w:val="20"/>
          <w:szCs w:val="20"/>
        </w:rPr>
        <w:t>Com relação ao</w:t>
      </w:r>
      <w:r w:rsidRPr="00E54028">
        <w:rPr>
          <w:rFonts w:ascii="Times New Roman" w:hAnsi="Times New Roman" w:cs="Times New Roman"/>
          <w:noProof/>
          <w:sz w:val="20"/>
          <w:szCs w:val="20"/>
        </w:rPr>
        <w:t>s perfis de TPR-H</w:t>
      </w:r>
      <w:r w:rsidRPr="00E54028">
        <w:rPr>
          <w:rFonts w:ascii="Times New Roman" w:hAnsi="Times New Roman" w:cs="Times New Roman"/>
          <w:noProof/>
          <w:sz w:val="20"/>
          <w:szCs w:val="20"/>
          <w:vertAlign w:val="subscript"/>
        </w:rPr>
        <w:t>2</w:t>
      </w:r>
      <w:r w:rsidRPr="00E54028">
        <w:rPr>
          <w:rFonts w:ascii="Times New Roman" w:hAnsi="Times New Roman" w:cs="Times New Roman"/>
          <w:noProof/>
          <w:sz w:val="20"/>
          <w:szCs w:val="20"/>
        </w:rPr>
        <w:t xml:space="preserve"> </w:t>
      </w:r>
      <w:r>
        <w:rPr>
          <w:rFonts w:ascii="Times New Roman" w:hAnsi="Times New Roman" w:cs="Times New Roman"/>
          <w:noProof/>
          <w:sz w:val="20"/>
          <w:szCs w:val="20"/>
        </w:rPr>
        <w:t>dos catalisadores contendo rutênio</w:t>
      </w:r>
      <w:r w:rsidRPr="00E54028">
        <w:rPr>
          <w:rFonts w:ascii="Times New Roman" w:hAnsi="Times New Roman" w:cs="Times New Roman"/>
          <w:noProof/>
          <w:sz w:val="20"/>
          <w:szCs w:val="20"/>
        </w:rPr>
        <w:t xml:space="preserve">, podemos observar para o catalisador </w:t>
      </w:r>
      <w:r>
        <w:rPr>
          <w:rFonts w:ascii="Times New Roman" w:hAnsi="Times New Roman" w:cs="Times New Roman"/>
          <w:noProof/>
          <w:sz w:val="20"/>
          <w:szCs w:val="20"/>
        </w:rPr>
        <w:t>Pd</w:t>
      </w:r>
      <w:r w:rsidRPr="00E54028">
        <w:rPr>
          <w:rFonts w:ascii="Times New Roman" w:hAnsi="Times New Roman" w:cs="Times New Roman"/>
          <w:noProof/>
          <w:sz w:val="20"/>
          <w:szCs w:val="20"/>
        </w:rPr>
        <w:t>RuSiralHPW</w:t>
      </w:r>
      <w:r w:rsidR="00143EF7">
        <w:rPr>
          <w:rFonts w:ascii="Times New Roman" w:hAnsi="Times New Roman" w:cs="Times New Roman"/>
          <w:noProof/>
          <w:sz w:val="20"/>
          <w:szCs w:val="20"/>
        </w:rPr>
        <w:t>,</w:t>
      </w:r>
      <w:r w:rsidRPr="00E54028">
        <w:rPr>
          <w:rFonts w:ascii="Times New Roman" w:hAnsi="Times New Roman" w:cs="Times New Roman"/>
          <w:noProof/>
          <w:sz w:val="20"/>
          <w:szCs w:val="20"/>
        </w:rPr>
        <w:t xml:space="preserve"> </w:t>
      </w:r>
      <w:r w:rsidR="00096832">
        <w:rPr>
          <w:rFonts w:ascii="Times New Roman" w:hAnsi="Times New Roman" w:cs="Times New Roman"/>
          <w:noProof/>
          <w:sz w:val="20"/>
          <w:szCs w:val="20"/>
        </w:rPr>
        <w:t>um</w:t>
      </w:r>
      <w:r w:rsidRPr="00E54028">
        <w:rPr>
          <w:rFonts w:ascii="Times New Roman" w:hAnsi="Times New Roman" w:cs="Times New Roman"/>
          <w:noProof/>
          <w:sz w:val="20"/>
          <w:szCs w:val="20"/>
        </w:rPr>
        <w:t xml:space="preserve"> pico de redução característico do Ru</w:t>
      </w:r>
      <w:r w:rsidR="00096832">
        <w:rPr>
          <w:rFonts w:ascii="Times New Roman" w:hAnsi="Times New Roman" w:cs="Times New Roman"/>
          <w:noProof/>
          <w:sz w:val="20"/>
          <w:szCs w:val="20"/>
        </w:rPr>
        <w:t>O</w:t>
      </w:r>
      <w:r w:rsidR="00096832" w:rsidRPr="00096832">
        <w:rPr>
          <w:rFonts w:ascii="Times New Roman" w:hAnsi="Times New Roman" w:cs="Times New Roman"/>
          <w:noProof/>
          <w:sz w:val="20"/>
          <w:szCs w:val="20"/>
          <w:vertAlign w:val="subscript"/>
        </w:rPr>
        <w:t>2</w:t>
      </w:r>
      <w:r w:rsidRPr="00E54028">
        <w:rPr>
          <w:rFonts w:ascii="Times New Roman" w:hAnsi="Times New Roman" w:cs="Times New Roman"/>
          <w:noProof/>
          <w:sz w:val="20"/>
          <w:szCs w:val="20"/>
        </w:rPr>
        <w:t xml:space="preserve"> </w:t>
      </w:r>
      <w:r w:rsidR="00096832">
        <w:rPr>
          <w:rFonts w:ascii="Times New Roman" w:hAnsi="Times New Roman" w:cs="Times New Roman"/>
          <w:noProof/>
          <w:sz w:val="20"/>
          <w:szCs w:val="20"/>
        </w:rPr>
        <w:t>mássico a 2</w:t>
      </w:r>
      <w:r w:rsidR="00270881">
        <w:rPr>
          <w:rFonts w:ascii="Times New Roman" w:hAnsi="Times New Roman" w:cs="Times New Roman"/>
          <w:noProof/>
          <w:sz w:val="20"/>
          <w:szCs w:val="20"/>
        </w:rPr>
        <w:t>3</w:t>
      </w:r>
      <w:r w:rsidR="00096832">
        <w:rPr>
          <w:rFonts w:ascii="Times New Roman" w:hAnsi="Times New Roman" w:cs="Times New Roman"/>
          <w:noProof/>
          <w:sz w:val="20"/>
          <w:szCs w:val="20"/>
        </w:rPr>
        <w:t>0</w:t>
      </w:r>
      <w:r w:rsidR="000F4E07">
        <w:rPr>
          <w:rFonts w:ascii="Times New Roman" w:hAnsi="Times New Roman" w:cs="Times New Roman"/>
          <w:noProof/>
          <w:sz w:val="20"/>
          <w:szCs w:val="20"/>
        </w:rPr>
        <w:t xml:space="preserve"> °</w:t>
      </w:r>
      <w:r w:rsidR="00096832">
        <w:rPr>
          <w:rFonts w:ascii="Times New Roman" w:hAnsi="Times New Roman" w:cs="Times New Roman"/>
          <w:noProof/>
          <w:sz w:val="20"/>
          <w:szCs w:val="20"/>
        </w:rPr>
        <w:t>C</w:t>
      </w:r>
      <w:r>
        <w:rPr>
          <w:rFonts w:ascii="Times New Roman" w:hAnsi="Times New Roman" w:cs="Times New Roman"/>
          <w:noProof/>
          <w:sz w:val="20"/>
          <w:szCs w:val="20"/>
        </w:rPr>
        <w:t>.</w:t>
      </w:r>
      <w:r w:rsidRPr="00E54028">
        <w:rPr>
          <w:rFonts w:ascii="Times New Roman" w:hAnsi="Times New Roman" w:cs="Times New Roman"/>
          <w:noProof/>
          <w:sz w:val="20"/>
          <w:szCs w:val="20"/>
        </w:rPr>
        <w:t xml:space="preserve"> </w:t>
      </w:r>
      <w:r w:rsidR="00096832">
        <w:rPr>
          <w:rFonts w:ascii="Times New Roman" w:hAnsi="Times New Roman" w:cs="Times New Roman"/>
          <w:noProof/>
          <w:sz w:val="20"/>
          <w:szCs w:val="20"/>
        </w:rPr>
        <w:t>A interação com o paládio deslocou o pico de redução do RuO</w:t>
      </w:r>
      <w:r w:rsidR="00096832" w:rsidRPr="00096832">
        <w:rPr>
          <w:rFonts w:ascii="Times New Roman" w:hAnsi="Times New Roman" w:cs="Times New Roman"/>
          <w:noProof/>
          <w:sz w:val="20"/>
          <w:szCs w:val="20"/>
          <w:vertAlign w:val="subscript"/>
        </w:rPr>
        <w:t>2</w:t>
      </w:r>
      <w:r w:rsidR="00096832">
        <w:rPr>
          <w:rFonts w:ascii="Times New Roman" w:hAnsi="Times New Roman" w:cs="Times New Roman"/>
          <w:noProof/>
          <w:sz w:val="20"/>
          <w:szCs w:val="20"/>
        </w:rPr>
        <w:t xml:space="preserve"> para </w:t>
      </w:r>
      <w:r w:rsidR="00270881">
        <w:rPr>
          <w:rFonts w:ascii="Times New Roman" w:hAnsi="Times New Roman" w:cs="Times New Roman"/>
          <w:noProof/>
          <w:sz w:val="20"/>
          <w:szCs w:val="20"/>
        </w:rPr>
        <w:t xml:space="preserve">uma região </w:t>
      </w:r>
      <w:r w:rsidR="002162D9">
        <w:rPr>
          <w:rFonts w:ascii="Times New Roman" w:hAnsi="Times New Roman" w:cs="Times New Roman"/>
          <w:noProof/>
          <w:sz w:val="20"/>
          <w:szCs w:val="20"/>
        </w:rPr>
        <w:t xml:space="preserve">de </w:t>
      </w:r>
      <w:r w:rsidR="00096832">
        <w:rPr>
          <w:rFonts w:ascii="Times New Roman" w:hAnsi="Times New Roman" w:cs="Times New Roman"/>
          <w:noProof/>
          <w:sz w:val="20"/>
          <w:szCs w:val="20"/>
        </w:rPr>
        <w:t>temperatura mais baixa (</w:t>
      </w:r>
      <w:r w:rsidR="00096832" w:rsidRPr="000F4E07">
        <w:rPr>
          <w:rFonts w:ascii="Times New Roman" w:hAnsi="Times New Roman" w:cs="Times New Roman"/>
          <w:noProof/>
          <w:sz w:val="20"/>
          <w:szCs w:val="20"/>
        </w:rPr>
        <w:t>2</w:t>
      </w:r>
      <w:r w:rsidR="00270881">
        <w:rPr>
          <w:rFonts w:ascii="Times New Roman" w:hAnsi="Times New Roman" w:cs="Times New Roman"/>
          <w:noProof/>
          <w:sz w:val="20"/>
          <w:szCs w:val="20"/>
        </w:rPr>
        <w:t>3</w:t>
      </w:r>
      <w:r w:rsidR="00096832" w:rsidRPr="000F4E07">
        <w:rPr>
          <w:rFonts w:ascii="Times New Roman" w:hAnsi="Times New Roman" w:cs="Times New Roman"/>
          <w:noProof/>
          <w:sz w:val="20"/>
          <w:szCs w:val="20"/>
        </w:rPr>
        <w:t>0</w:t>
      </w:r>
      <w:r w:rsidR="000F4E07">
        <w:rPr>
          <w:rFonts w:ascii="Times New Roman" w:hAnsi="Times New Roman" w:cs="Times New Roman"/>
          <w:noProof/>
          <w:sz w:val="20"/>
          <w:szCs w:val="20"/>
        </w:rPr>
        <w:t xml:space="preserve"> °</w:t>
      </w:r>
      <w:r w:rsidR="00096832" w:rsidRPr="000F4E07">
        <w:rPr>
          <w:rFonts w:ascii="Times New Roman" w:hAnsi="Times New Roman" w:cs="Times New Roman"/>
          <w:noProof/>
          <w:sz w:val="20"/>
          <w:szCs w:val="20"/>
        </w:rPr>
        <w:t>C</w:t>
      </w:r>
      <w:r w:rsidR="00096832">
        <w:rPr>
          <w:rFonts w:ascii="Times New Roman" w:hAnsi="Times New Roman" w:cs="Times New Roman"/>
          <w:noProof/>
          <w:sz w:val="20"/>
          <w:szCs w:val="20"/>
        </w:rPr>
        <w:t>) em comparação com o perfil do catalisador RuSiralHPW (310</w:t>
      </w:r>
      <w:r w:rsidR="000F4E07">
        <w:rPr>
          <w:rFonts w:ascii="Times New Roman" w:hAnsi="Times New Roman" w:cs="Times New Roman"/>
          <w:noProof/>
          <w:sz w:val="20"/>
          <w:szCs w:val="20"/>
        </w:rPr>
        <w:t xml:space="preserve"> °</w:t>
      </w:r>
      <w:r w:rsidR="00096832">
        <w:rPr>
          <w:rFonts w:ascii="Times New Roman" w:hAnsi="Times New Roman" w:cs="Times New Roman"/>
          <w:noProof/>
          <w:sz w:val="20"/>
          <w:szCs w:val="20"/>
        </w:rPr>
        <w:t xml:space="preserve">C). </w:t>
      </w:r>
      <w:r>
        <w:rPr>
          <w:rFonts w:ascii="Times New Roman" w:hAnsi="Times New Roman" w:cs="Times New Roman"/>
          <w:noProof/>
          <w:sz w:val="20"/>
          <w:szCs w:val="20"/>
        </w:rPr>
        <w:t>P</w:t>
      </w:r>
      <w:r w:rsidRPr="00E54028">
        <w:rPr>
          <w:rFonts w:ascii="Times New Roman" w:hAnsi="Times New Roman" w:cs="Times New Roman"/>
          <w:noProof/>
          <w:sz w:val="20"/>
          <w:szCs w:val="20"/>
        </w:rPr>
        <w:t>ara o catalisador Ru(NO)SiralHPW é possível observar dois picos de redução do Ru na região 200 – 320 °C</w:t>
      </w:r>
      <w:r>
        <w:rPr>
          <w:rFonts w:ascii="Times New Roman" w:hAnsi="Times New Roman" w:cs="Times New Roman"/>
          <w:noProof/>
          <w:sz w:val="20"/>
          <w:szCs w:val="20"/>
        </w:rPr>
        <w:t>.</w:t>
      </w:r>
      <w:r w:rsidR="00096832">
        <w:rPr>
          <w:rFonts w:ascii="Times New Roman" w:hAnsi="Times New Roman" w:cs="Times New Roman"/>
          <w:noProof/>
          <w:sz w:val="20"/>
          <w:szCs w:val="20"/>
        </w:rPr>
        <w:t xml:space="preserve"> Este catalisador apresentou o </w:t>
      </w:r>
      <w:r w:rsidR="008B06F6">
        <w:rPr>
          <w:rFonts w:ascii="Times New Roman" w:hAnsi="Times New Roman" w:cs="Times New Roman"/>
          <w:noProof/>
          <w:sz w:val="20"/>
          <w:szCs w:val="20"/>
        </w:rPr>
        <w:t xml:space="preserve">maior </w:t>
      </w:r>
      <w:r w:rsidR="00096832">
        <w:rPr>
          <w:rFonts w:ascii="Times New Roman" w:hAnsi="Times New Roman" w:cs="Times New Roman"/>
          <w:noProof/>
          <w:sz w:val="20"/>
          <w:szCs w:val="20"/>
        </w:rPr>
        <w:t xml:space="preserve">perfil de redução dentre todos os catalisadores, </w:t>
      </w:r>
      <w:r w:rsidR="008B06F6">
        <w:rPr>
          <w:rFonts w:ascii="Times New Roman" w:hAnsi="Times New Roman" w:cs="Times New Roman"/>
          <w:noProof/>
          <w:sz w:val="20"/>
          <w:szCs w:val="20"/>
        </w:rPr>
        <w:t>de acordo com o maior teor metálico, tab</w:t>
      </w:r>
      <w:r w:rsidR="003E5232">
        <w:rPr>
          <w:rFonts w:ascii="Times New Roman" w:hAnsi="Times New Roman" w:cs="Times New Roman"/>
          <w:noProof/>
          <w:sz w:val="20"/>
          <w:szCs w:val="20"/>
        </w:rPr>
        <w:t>ela</w:t>
      </w:r>
      <w:r w:rsidR="008B06F6">
        <w:rPr>
          <w:rFonts w:ascii="Times New Roman" w:hAnsi="Times New Roman" w:cs="Times New Roman"/>
          <w:noProof/>
          <w:sz w:val="20"/>
          <w:szCs w:val="20"/>
        </w:rPr>
        <w:t xml:space="preserve"> 1.</w:t>
      </w:r>
    </w:p>
    <w:p w14:paraId="0C19D17A" w14:textId="77777777" w:rsidR="00CF2406" w:rsidRDefault="00AA3797" w:rsidP="008F19CC">
      <w:pPr>
        <w:keepNext/>
        <w:spacing w:after="0" w:line="240" w:lineRule="auto"/>
        <w:jc w:val="center"/>
      </w:pPr>
      <w:r w:rsidRPr="00AA3797">
        <w:rPr>
          <w:noProof/>
        </w:rPr>
        <w:drawing>
          <wp:inline distT="0" distB="0" distL="0" distR="0" wp14:anchorId="7FB28FB3" wp14:editId="003FD31F">
            <wp:extent cx="2926839" cy="225045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5319" t="12684" r="8213" b="6155"/>
                    <a:stretch>
                      <a:fillRect/>
                    </a:stretch>
                  </pic:blipFill>
                  <pic:spPr bwMode="auto">
                    <a:xfrm>
                      <a:off x="0" y="0"/>
                      <a:ext cx="2930336" cy="2253143"/>
                    </a:xfrm>
                    <a:prstGeom prst="rect">
                      <a:avLst/>
                    </a:prstGeom>
                    <a:noFill/>
                    <a:ln w="9525">
                      <a:noFill/>
                      <a:miter lim="800000"/>
                      <a:headEnd/>
                      <a:tailEnd/>
                    </a:ln>
                  </pic:spPr>
                </pic:pic>
              </a:graphicData>
            </a:graphic>
          </wp:inline>
        </w:drawing>
      </w:r>
    </w:p>
    <w:p w14:paraId="5585F349" w14:textId="77777777" w:rsidR="00646C4B" w:rsidRPr="00CF2406" w:rsidRDefault="00CF2406" w:rsidP="008F19CC">
      <w:pPr>
        <w:pStyle w:val="Legenda"/>
        <w:spacing w:after="0"/>
        <w:jc w:val="center"/>
        <w:rPr>
          <w:rFonts w:ascii="Times New Roman" w:hAnsi="Times New Roman" w:cs="Times New Roman"/>
          <w:b w:val="0"/>
          <w:bCs w:val="0"/>
          <w:noProof/>
          <w:color w:val="auto"/>
          <w:sz w:val="18"/>
          <w:szCs w:val="18"/>
        </w:rPr>
      </w:pPr>
      <w:r w:rsidRPr="00CF2406">
        <w:rPr>
          <w:rFonts w:ascii="Times New Roman" w:hAnsi="Times New Roman" w:cs="Times New Roman"/>
          <w:color w:val="auto"/>
          <w:sz w:val="18"/>
          <w:szCs w:val="18"/>
        </w:rPr>
        <w:t xml:space="preserve">Figura </w:t>
      </w:r>
      <w:r w:rsidR="00BE47F8" w:rsidRPr="00CF2406">
        <w:rPr>
          <w:rFonts w:ascii="Times New Roman" w:hAnsi="Times New Roman" w:cs="Times New Roman"/>
          <w:color w:val="auto"/>
          <w:sz w:val="18"/>
          <w:szCs w:val="18"/>
        </w:rPr>
        <w:fldChar w:fldCharType="begin"/>
      </w:r>
      <w:r w:rsidRPr="00CF2406">
        <w:rPr>
          <w:rFonts w:ascii="Times New Roman" w:hAnsi="Times New Roman" w:cs="Times New Roman"/>
          <w:color w:val="auto"/>
          <w:sz w:val="18"/>
          <w:szCs w:val="18"/>
        </w:rPr>
        <w:instrText xml:space="preserve"> SEQ Figura \* ARABIC </w:instrText>
      </w:r>
      <w:r w:rsidR="00BE47F8" w:rsidRPr="00CF2406">
        <w:rPr>
          <w:rFonts w:ascii="Times New Roman" w:hAnsi="Times New Roman" w:cs="Times New Roman"/>
          <w:color w:val="auto"/>
          <w:sz w:val="18"/>
          <w:szCs w:val="18"/>
        </w:rPr>
        <w:fldChar w:fldCharType="separate"/>
      </w:r>
      <w:r w:rsidRPr="00CF2406">
        <w:rPr>
          <w:rFonts w:ascii="Times New Roman" w:hAnsi="Times New Roman" w:cs="Times New Roman"/>
          <w:noProof/>
          <w:color w:val="auto"/>
          <w:sz w:val="18"/>
          <w:szCs w:val="18"/>
        </w:rPr>
        <w:t>4</w:t>
      </w:r>
      <w:r w:rsidR="00BE47F8" w:rsidRPr="00CF2406">
        <w:rPr>
          <w:rFonts w:ascii="Times New Roman" w:hAnsi="Times New Roman" w:cs="Times New Roman"/>
          <w:color w:val="auto"/>
          <w:sz w:val="18"/>
          <w:szCs w:val="18"/>
        </w:rPr>
        <w:fldChar w:fldCharType="end"/>
      </w:r>
      <w:r w:rsidR="000E0211">
        <w:rPr>
          <w:rFonts w:ascii="Times New Roman" w:hAnsi="Times New Roman" w:cs="Times New Roman"/>
          <w:color w:val="auto"/>
          <w:sz w:val="18"/>
          <w:szCs w:val="18"/>
        </w:rPr>
        <w:t>.</w:t>
      </w:r>
      <w:r w:rsidRPr="00CF2406">
        <w:rPr>
          <w:rFonts w:ascii="Times New Roman" w:hAnsi="Times New Roman" w:cs="Times New Roman"/>
          <w:b w:val="0"/>
          <w:bCs w:val="0"/>
          <w:color w:val="auto"/>
          <w:sz w:val="18"/>
          <w:szCs w:val="18"/>
        </w:rPr>
        <w:t xml:space="preserve"> Perfis de TPR-H</w:t>
      </w:r>
      <w:r w:rsidRPr="00CF2406">
        <w:rPr>
          <w:rFonts w:ascii="Times New Roman" w:hAnsi="Times New Roman" w:cs="Times New Roman"/>
          <w:b w:val="0"/>
          <w:bCs w:val="0"/>
          <w:color w:val="auto"/>
          <w:sz w:val="18"/>
          <w:szCs w:val="18"/>
          <w:vertAlign w:val="subscript"/>
        </w:rPr>
        <w:t>2</w:t>
      </w:r>
      <w:r w:rsidRPr="00CF2406">
        <w:rPr>
          <w:rFonts w:ascii="Times New Roman" w:hAnsi="Times New Roman" w:cs="Times New Roman"/>
          <w:b w:val="0"/>
          <w:bCs w:val="0"/>
          <w:color w:val="auto"/>
          <w:sz w:val="18"/>
          <w:szCs w:val="18"/>
        </w:rPr>
        <w:t xml:space="preserve"> dos catalisadores com </w:t>
      </w:r>
      <w:proofErr w:type="spellStart"/>
      <w:r w:rsidRPr="00CF2406">
        <w:rPr>
          <w:rFonts w:ascii="Times New Roman" w:hAnsi="Times New Roman" w:cs="Times New Roman"/>
          <w:b w:val="0"/>
          <w:bCs w:val="0"/>
          <w:color w:val="auto"/>
          <w:sz w:val="18"/>
          <w:szCs w:val="18"/>
        </w:rPr>
        <w:t>Pd</w:t>
      </w:r>
      <w:proofErr w:type="spellEnd"/>
      <w:r w:rsidRPr="00CF2406">
        <w:rPr>
          <w:rFonts w:ascii="Times New Roman" w:hAnsi="Times New Roman" w:cs="Times New Roman"/>
          <w:b w:val="0"/>
          <w:bCs w:val="0"/>
          <w:color w:val="auto"/>
          <w:sz w:val="18"/>
          <w:szCs w:val="18"/>
        </w:rPr>
        <w:t xml:space="preserve"> e Ru.</w:t>
      </w:r>
    </w:p>
    <w:p w14:paraId="0ED319AE" w14:textId="77777777" w:rsidR="00DB10E9" w:rsidRDefault="00DB10E9" w:rsidP="00D746B8">
      <w:pPr>
        <w:spacing w:after="0" w:line="240" w:lineRule="auto"/>
        <w:jc w:val="both"/>
        <w:rPr>
          <w:rFonts w:ascii="Times New Roman" w:hAnsi="Times New Roman" w:cs="Times New Roman"/>
          <w:noProof/>
          <w:sz w:val="20"/>
          <w:szCs w:val="20"/>
        </w:rPr>
      </w:pPr>
    </w:p>
    <w:p w14:paraId="538CD9BD" w14:textId="77777777" w:rsidR="00007679" w:rsidRPr="001F25B2" w:rsidRDefault="00007679" w:rsidP="00D746B8">
      <w:pPr>
        <w:pStyle w:val="TAMainText"/>
        <w:spacing w:line="240" w:lineRule="auto"/>
        <w:ind w:firstLine="0"/>
        <w:rPr>
          <w:rFonts w:ascii="Times New Roman" w:hAnsi="Times New Roman"/>
          <w:i/>
          <w:lang w:val="pt-BR"/>
        </w:rPr>
      </w:pPr>
      <w:r>
        <w:rPr>
          <w:rFonts w:ascii="Times New Roman" w:hAnsi="Times New Roman"/>
          <w:i/>
          <w:lang w:val="pt-BR"/>
        </w:rPr>
        <w:t>Reação de Hidrogenólise do Glicerol</w:t>
      </w:r>
      <w:r w:rsidRPr="001F25B2">
        <w:rPr>
          <w:rFonts w:ascii="Times New Roman" w:hAnsi="Times New Roman"/>
          <w:i/>
          <w:lang w:val="pt-BR"/>
        </w:rPr>
        <w:t>.</w:t>
      </w:r>
    </w:p>
    <w:p w14:paraId="5D8A03F8" w14:textId="77777777" w:rsidR="00007679" w:rsidRDefault="00007679" w:rsidP="00507059">
      <w:pPr>
        <w:pStyle w:val="TAMainText"/>
        <w:ind w:firstLine="187"/>
        <w:rPr>
          <w:rFonts w:ascii="Times New Roman" w:hAnsi="Times New Roman"/>
          <w:lang w:val="pt-BR"/>
        </w:rPr>
      </w:pPr>
      <w:r w:rsidRPr="007A370B">
        <w:rPr>
          <w:rFonts w:ascii="Times New Roman" w:hAnsi="Times New Roman"/>
          <w:lang w:val="pt-BR"/>
        </w:rPr>
        <w:t xml:space="preserve">A </w:t>
      </w:r>
      <w:r w:rsidR="00CF2406">
        <w:rPr>
          <w:rFonts w:ascii="Times New Roman" w:hAnsi="Times New Roman"/>
          <w:lang w:val="pt-BR"/>
        </w:rPr>
        <w:t xml:space="preserve">reação de hidrogenólise do glicerol foi realizada para os quatro catalisadores impregnados com </w:t>
      </w:r>
      <w:proofErr w:type="spellStart"/>
      <w:r w:rsidR="00CF2406">
        <w:rPr>
          <w:rFonts w:ascii="Times New Roman" w:hAnsi="Times New Roman"/>
          <w:lang w:val="pt-BR"/>
        </w:rPr>
        <w:t>Pd</w:t>
      </w:r>
      <w:proofErr w:type="spellEnd"/>
      <w:r w:rsidR="00CF2406">
        <w:rPr>
          <w:rFonts w:ascii="Times New Roman" w:hAnsi="Times New Roman"/>
          <w:lang w:val="pt-BR"/>
        </w:rPr>
        <w:t xml:space="preserve"> e Ru, e os resultados obtidos estão explicitados na tabela 4</w:t>
      </w:r>
      <w:r w:rsidR="00AE116B">
        <w:rPr>
          <w:rFonts w:ascii="Times New Roman" w:hAnsi="Times New Roman"/>
          <w:lang w:val="pt-BR"/>
        </w:rPr>
        <w:t>.</w:t>
      </w:r>
      <w:r w:rsidR="00507059">
        <w:rPr>
          <w:rFonts w:ascii="Times New Roman" w:hAnsi="Times New Roman"/>
          <w:lang w:val="pt-BR"/>
        </w:rPr>
        <w:t xml:space="preserve"> </w:t>
      </w:r>
      <w:r w:rsidR="00507059" w:rsidRPr="00507059">
        <w:rPr>
          <w:rFonts w:ascii="Times New Roman" w:hAnsi="Times New Roman"/>
          <w:lang w:val="pt-BR"/>
        </w:rPr>
        <w:t>O</w:t>
      </w:r>
      <w:r w:rsidR="00507059">
        <w:rPr>
          <w:rFonts w:ascii="Times New Roman" w:hAnsi="Times New Roman"/>
          <w:lang w:val="pt-BR"/>
        </w:rPr>
        <w:t xml:space="preserve"> </w:t>
      </w:r>
      <w:r w:rsidR="00507059" w:rsidRPr="00507059">
        <w:rPr>
          <w:rFonts w:ascii="Times New Roman" w:hAnsi="Times New Roman"/>
          <w:lang w:val="pt-BR"/>
        </w:rPr>
        <w:t>cálculo da taxa inicial de reação foi feito a partir da curva de conversão em função</w:t>
      </w:r>
      <w:r w:rsidR="00507059">
        <w:rPr>
          <w:rFonts w:ascii="Times New Roman" w:hAnsi="Times New Roman"/>
          <w:lang w:val="pt-BR"/>
        </w:rPr>
        <w:t xml:space="preserve"> </w:t>
      </w:r>
      <w:r w:rsidR="00507059" w:rsidRPr="00507059">
        <w:rPr>
          <w:rFonts w:ascii="Times New Roman" w:hAnsi="Times New Roman"/>
          <w:lang w:val="pt-BR"/>
        </w:rPr>
        <w:t>do tempo, traçando-se a melhor reta que une os 3 primeiros pontos experimentais,</w:t>
      </w:r>
      <w:r w:rsidR="00507059">
        <w:rPr>
          <w:rFonts w:ascii="Times New Roman" w:hAnsi="Times New Roman"/>
          <w:lang w:val="pt-BR"/>
        </w:rPr>
        <w:t xml:space="preserve"> </w:t>
      </w:r>
      <w:r w:rsidR="00507059" w:rsidRPr="00507059">
        <w:rPr>
          <w:rFonts w:ascii="Times New Roman" w:hAnsi="Times New Roman"/>
          <w:lang w:val="pt-BR"/>
        </w:rPr>
        <w:t xml:space="preserve">incluindo a </w:t>
      </w:r>
      <w:r w:rsidR="00507059" w:rsidRPr="00507059">
        <w:rPr>
          <w:rFonts w:ascii="Times New Roman" w:hAnsi="Times New Roman"/>
          <w:lang w:val="pt-BR"/>
        </w:rPr>
        <w:lastRenderedPageBreak/>
        <w:t>origem, sendo a taxa inicial da reação obtida a partir da tangente desta</w:t>
      </w:r>
      <w:r w:rsidR="00507059">
        <w:rPr>
          <w:rFonts w:ascii="Times New Roman" w:hAnsi="Times New Roman"/>
          <w:lang w:val="pt-BR"/>
        </w:rPr>
        <w:t xml:space="preserve"> </w:t>
      </w:r>
      <w:r w:rsidR="00507059" w:rsidRPr="00507059">
        <w:rPr>
          <w:rFonts w:ascii="Times New Roman" w:hAnsi="Times New Roman"/>
          <w:lang w:val="pt-BR"/>
        </w:rPr>
        <w:t>reta.</w:t>
      </w:r>
      <w:r w:rsidR="00507059">
        <w:rPr>
          <w:rFonts w:ascii="Times New Roman" w:hAnsi="Times New Roman"/>
          <w:lang w:val="pt-BR"/>
        </w:rPr>
        <w:t xml:space="preserve"> </w:t>
      </w:r>
    </w:p>
    <w:p w14:paraId="12C738E8" w14:textId="77777777" w:rsidR="009B35E0" w:rsidRDefault="00CF2406" w:rsidP="00AB0DCB">
      <w:pPr>
        <w:pStyle w:val="TAMainText"/>
        <w:spacing w:line="240" w:lineRule="auto"/>
        <w:ind w:firstLine="187"/>
        <w:rPr>
          <w:rFonts w:ascii="Times New Roman" w:hAnsi="Times New Roman"/>
          <w:lang w:val="pt-BR"/>
        </w:rPr>
      </w:pPr>
      <w:r>
        <w:rPr>
          <w:rFonts w:ascii="Times New Roman" w:hAnsi="Times New Roman"/>
          <w:lang w:val="pt-BR"/>
        </w:rPr>
        <w:t>A</w:t>
      </w:r>
      <w:r w:rsidR="00507059">
        <w:rPr>
          <w:rFonts w:ascii="Times New Roman" w:hAnsi="Times New Roman"/>
          <w:lang w:val="pt-BR"/>
        </w:rPr>
        <w:t xml:space="preserve"> análise do</w:t>
      </w:r>
      <w:r>
        <w:rPr>
          <w:rFonts w:ascii="Times New Roman" w:hAnsi="Times New Roman"/>
          <w:lang w:val="pt-BR"/>
        </w:rPr>
        <w:t xml:space="preserve">s resultados obtidos </w:t>
      </w:r>
      <w:r w:rsidR="002C2FB2">
        <w:rPr>
          <w:rFonts w:ascii="Times New Roman" w:hAnsi="Times New Roman"/>
          <w:lang w:val="pt-BR"/>
        </w:rPr>
        <w:t>na</w:t>
      </w:r>
      <w:r>
        <w:rPr>
          <w:rFonts w:ascii="Times New Roman" w:hAnsi="Times New Roman"/>
          <w:lang w:val="pt-BR"/>
        </w:rPr>
        <w:t xml:space="preserve"> reação</w:t>
      </w:r>
      <w:r w:rsidR="00507059">
        <w:rPr>
          <w:rFonts w:ascii="Times New Roman" w:hAnsi="Times New Roman"/>
          <w:lang w:val="pt-BR"/>
        </w:rPr>
        <w:t xml:space="preserve"> permite</w:t>
      </w:r>
      <w:r>
        <w:rPr>
          <w:rFonts w:ascii="Times New Roman" w:hAnsi="Times New Roman"/>
          <w:lang w:val="pt-BR"/>
        </w:rPr>
        <w:t xml:space="preserve"> observar </w:t>
      </w:r>
      <w:r w:rsidR="00507059">
        <w:rPr>
          <w:rFonts w:ascii="Times New Roman" w:hAnsi="Times New Roman"/>
          <w:lang w:val="pt-BR"/>
        </w:rPr>
        <w:t xml:space="preserve">a influência do precursor metálico no caso dos catalisadores </w:t>
      </w:r>
      <w:proofErr w:type="spellStart"/>
      <w:r w:rsidR="00507059">
        <w:rPr>
          <w:rFonts w:ascii="Times New Roman" w:hAnsi="Times New Roman"/>
          <w:lang w:val="pt-BR"/>
        </w:rPr>
        <w:t>RuSiralHPW</w:t>
      </w:r>
      <w:proofErr w:type="spellEnd"/>
      <w:r w:rsidR="00507059">
        <w:rPr>
          <w:rFonts w:ascii="Times New Roman" w:hAnsi="Times New Roman"/>
          <w:lang w:val="pt-BR"/>
        </w:rPr>
        <w:t xml:space="preserve"> e </w:t>
      </w:r>
      <w:proofErr w:type="spellStart"/>
      <w:r w:rsidR="00507059">
        <w:rPr>
          <w:rFonts w:ascii="Times New Roman" w:hAnsi="Times New Roman"/>
          <w:lang w:val="pt-BR"/>
        </w:rPr>
        <w:t>RuNOSiralHPW</w:t>
      </w:r>
      <w:proofErr w:type="spellEnd"/>
      <w:r w:rsidR="00507059">
        <w:rPr>
          <w:rFonts w:ascii="Times New Roman" w:hAnsi="Times New Roman"/>
          <w:lang w:val="pt-BR"/>
        </w:rPr>
        <w:t xml:space="preserve">, preparados com cloreto e nitrato, respectivamente. O catalisador </w:t>
      </w:r>
      <w:proofErr w:type="spellStart"/>
      <w:r w:rsidR="00507059">
        <w:rPr>
          <w:rFonts w:ascii="Times New Roman" w:hAnsi="Times New Roman"/>
          <w:lang w:val="pt-BR"/>
        </w:rPr>
        <w:t>RuSiralHPW</w:t>
      </w:r>
      <w:proofErr w:type="spellEnd"/>
      <w:r w:rsidR="00507059">
        <w:rPr>
          <w:rFonts w:ascii="Times New Roman" w:hAnsi="Times New Roman"/>
          <w:lang w:val="pt-BR"/>
        </w:rPr>
        <w:t xml:space="preserve"> apresentou atividade 3 vezes maior. </w:t>
      </w:r>
      <w:r w:rsidR="002C2FB2">
        <w:rPr>
          <w:rFonts w:ascii="Times New Roman" w:hAnsi="Times New Roman"/>
          <w:lang w:val="pt-BR"/>
        </w:rPr>
        <w:t xml:space="preserve">A literatura reporta que um catalisador de metal nobre a base de cloreto apresenta partículas metálicas mais bem dispersas e ativas do que aqueles a base de nitrato (3). </w:t>
      </w:r>
      <w:r w:rsidR="00507059">
        <w:rPr>
          <w:rFonts w:ascii="Times New Roman" w:hAnsi="Times New Roman"/>
          <w:lang w:val="pt-BR"/>
        </w:rPr>
        <w:t xml:space="preserve">Embora </w:t>
      </w:r>
      <w:r w:rsidR="00005416">
        <w:rPr>
          <w:rFonts w:ascii="Times New Roman" w:hAnsi="Times New Roman"/>
          <w:lang w:val="pt-BR"/>
        </w:rPr>
        <w:t>não existam</w:t>
      </w:r>
      <w:r w:rsidR="00507059">
        <w:rPr>
          <w:rFonts w:ascii="Times New Roman" w:hAnsi="Times New Roman"/>
          <w:lang w:val="pt-BR"/>
        </w:rPr>
        <w:t xml:space="preserve"> indícios </w:t>
      </w:r>
      <w:r w:rsidR="00005416">
        <w:rPr>
          <w:rFonts w:ascii="Times New Roman" w:hAnsi="Times New Roman"/>
          <w:lang w:val="pt-BR"/>
        </w:rPr>
        <w:t xml:space="preserve">por EDS </w:t>
      </w:r>
      <w:r w:rsidR="00507059">
        <w:rPr>
          <w:rFonts w:ascii="Times New Roman" w:hAnsi="Times New Roman"/>
          <w:lang w:val="pt-BR"/>
        </w:rPr>
        <w:t xml:space="preserve">de </w:t>
      </w:r>
      <w:r w:rsidR="002C2FB2">
        <w:rPr>
          <w:rFonts w:ascii="Times New Roman" w:hAnsi="Times New Roman"/>
          <w:lang w:val="pt-BR"/>
        </w:rPr>
        <w:t xml:space="preserve">que o suporte </w:t>
      </w:r>
      <w:proofErr w:type="spellStart"/>
      <w:r w:rsidR="002C2FB2">
        <w:rPr>
          <w:rFonts w:ascii="Times New Roman" w:hAnsi="Times New Roman"/>
          <w:lang w:val="pt-BR"/>
        </w:rPr>
        <w:t>SiralHPW</w:t>
      </w:r>
      <w:proofErr w:type="spellEnd"/>
      <w:r w:rsidR="002C2FB2">
        <w:rPr>
          <w:rFonts w:ascii="Times New Roman" w:hAnsi="Times New Roman"/>
          <w:lang w:val="pt-BR"/>
        </w:rPr>
        <w:t xml:space="preserve"> retenha cloretos por DRS</w:t>
      </w:r>
      <w:r w:rsidR="00005416">
        <w:rPr>
          <w:rFonts w:ascii="Times New Roman" w:hAnsi="Times New Roman"/>
          <w:lang w:val="pt-BR"/>
        </w:rPr>
        <w:t xml:space="preserve"> nos catalisadores de Ru</w:t>
      </w:r>
      <w:r w:rsidR="002C2FB2">
        <w:rPr>
          <w:rFonts w:ascii="Times New Roman" w:hAnsi="Times New Roman"/>
          <w:lang w:val="pt-BR"/>
        </w:rPr>
        <w:t xml:space="preserve">, o perfil de TPR do </w:t>
      </w:r>
      <w:proofErr w:type="spellStart"/>
      <w:r w:rsidR="002C2FB2">
        <w:rPr>
          <w:rFonts w:ascii="Times New Roman" w:hAnsi="Times New Roman"/>
          <w:lang w:val="pt-BR"/>
        </w:rPr>
        <w:t>RuSiralHPW</w:t>
      </w:r>
      <w:proofErr w:type="spellEnd"/>
      <w:r w:rsidR="002C2FB2">
        <w:rPr>
          <w:rFonts w:ascii="Times New Roman" w:hAnsi="Times New Roman"/>
          <w:lang w:val="pt-BR"/>
        </w:rPr>
        <w:t xml:space="preserve"> mostrou que o rutênio apresenta maior interação com o suporte, sugerindo partículas metálicas mais bem dispersas.</w:t>
      </w:r>
    </w:p>
    <w:p w14:paraId="7FDEE0C3" w14:textId="77777777" w:rsidR="002C2FB2" w:rsidRDefault="002C2FB2" w:rsidP="00DB7505">
      <w:pPr>
        <w:pStyle w:val="TAMainText"/>
        <w:spacing w:line="240" w:lineRule="auto"/>
        <w:ind w:firstLine="187"/>
        <w:rPr>
          <w:rFonts w:ascii="Times New Roman" w:hAnsi="Times New Roman"/>
          <w:lang w:val="pt-BR"/>
        </w:rPr>
      </w:pPr>
      <w:r>
        <w:rPr>
          <w:rFonts w:ascii="Times New Roman" w:hAnsi="Times New Roman"/>
          <w:lang w:val="pt-BR"/>
        </w:rPr>
        <w:t xml:space="preserve">Entre os catalisadores </w:t>
      </w:r>
      <w:proofErr w:type="spellStart"/>
      <w:r>
        <w:rPr>
          <w:rFonts w:ascii="Times New Roman" w:hAnsi="Times New Roman"/>
          <w:lang w:val="pt-BR"/>
        </w:rPr>
        <w:t>RuSiralHPW</w:t>
      </w:r>
      <w:proofErr w:type="spellEnd"/>
      <w:r>
        <w:rPr>
          <w:rFonts w:ascii="Times New Roman" w:hAnsi="Times New Roman"/>
          <w:lang w:val="pt-BR"/>
        </w:rPr>
        <w:t xml:space="preserve"> e </w:t>
      </w:r>
      <w:proofErr w:type="spellStart"/>
      <w:r>
        <w:rPr>
          <w:rFonts w:ascii="Times New Roman" w:hAnsi="Times New Roman"/>
          <w:lang w:val="pt-BR"/>
        </w:rPr>
        <w:t>PdSiralHPW</w:t>
      </w:r>
      <w:proofErr w:type="spellEnd"/>
      <w:r w:rsidR="00E4528F">
        <w:rPr>
          <w:rFonts w:ascii="Times New Roman" w:hAnsi="Times New Roman"/>
          <w:lang w:val="pt-BR"/>
        </w:rPr>
        <w:t xml:space="preserve">, que permitem comparar a atividade do Ru e do </w:t>
      </w:r>
      <w:proofErr w:type="spellStart"/>
      <w:r w:rsidR="00E4528F">
        <w:rPr>
          <w:rFonts w:ascii="Times New Roman" w:hAnsi="Times New Roman"/>
          <w:lang w:val="pt-BR"/>
        </w:rPr>
        <w:t>Pd</w:t>
      </w:r>
      <w:proofErr w:type="spellEnd"/>
      <w:r w:rsidR="00E4528F">
        <w:rPr>
          <w:rFonts w:ascii="Times New Roman" w:hAnsi="Times New Roman"/>
          <w:lang w:val="pt-BR"/>
        </w:rPr>
        <w:t xml:space="preserve">, </w:t>
      </w:r>
      <w:r w:rsidR="008026CC">
        <w:rPr>
          <w:rFonts w:ascii="Times New Roman" w:hAnsi="Times New Roman"/>
          <w:lang w:val="pt-BR"/>
        </w:rPr>
        <w:t>o primeiro apresentou</w:t>
      </w:r>
      <w:r>
        <w:rPr>
          <w:rFonts w:ascii="Times New Roman" w:hAnsi="Times New Roman"/>
          <w:lang w:val="pt-BR"/>
        </w:rPr>
        <w:t xml:space="preserve"> atividade catalítica</w:t>
      </w:r>
      <w:r w:rsidR="008026CC">
        <w:rPr>
          <w:rFonts w:ascii="Times New Roman" w:hAnsi="Times New Roman"/>
          <w:lang w:val="pt-BR"/>
        </w:rPr>
        <w:t xml:space="preserve"> ligeiramente superior ao segundo</w:t>
      </w:r>
      <w:r>
        <w:rPr>
          <w:rFonts w:ascii="Times New Roman" w:hAnsi="Times New Roman"/>
          <w:lang w:val="pt-BR"/>
        </w:rPr>
        <w:t xml:space="preserve">. </w:t>
      </w:r>
      <w:r w:rsidR="00B1360B">
        <w:rPr>
          <w:rFonts w:ascii="Times New Roman" w:hAnsi="Times New Roman"/>
          <w:lang w:val="pt-BR"/>
        </w:rPr>
        <w:t xml:space="preserve">Esse resultado </w:t>
      </w:r>
      <w:r w:rsidR="008026CC">
        <w:rPr>
          <w:rFonts w:ascii="Times New Roman" w:hAnsi="Times New Roman"/>
          <w:lang w:val="pt-BR"/>
        </w:rPr>
        <w:t>está de acordo com a</w:t>
      </w:r>
      <w:r w:rsidR="00B1360B">
        <w:rPr>
          <w:rFonts w:ascii="Times New Roman" w:hAnsi="Times New Roman"/>
          <w:lang w:val="pt-BR"/>
        </w:rPr>
        <w:t xml:space="preserve"> literatura. Wang </w:t>
      </w:r>
      <w:r w:rsidR="00202FD9">
        <w:rPr>
          <w:rFonts w:ascii="Times New Roman" w:hAnsi="Times New Roman"/>
          <w:lang w:val="pt-BR"/>
        </w:rPr>
        <w:t>e col.</w:t>
      </w:r>
      <w:r w:rsidR="00B1360B">
        <w:rPr>
          <w:rFonts w:ascii="Times New Roman" w:hAnsi="Times New Roman"/>
          <w:lang w:val="pt-BR"/>
        </w:rPr>
        <w:t xml:space="preserve"> (2) observaram que o catalisador de </w:t>
      </w:r>
      <w:r w:rsidR="00B1360B" w:rsidRPr="00B1360B">
        <w:rPr>
          <w:rFonts w:ascii="Times New Roman" w:hAnsi="Times New Roman"/>
          <w:lang w:val="pt-BR"/>
        </w:rPr>
        <w:t xml:space="preserve">Ru exibiu </w:t>
      </w:r>
      <w:r w:rsidR="00B1360B" w:rsidRPr="00B1360B">
        <w:rPr>
          <w:rFonts w:ascii="Times New Roman" w:hAnsi="Times New Roman"/>
          <w:lang w:val="pt-BR"/>
        </w:rPr>
        <w:t>uma taxa de re</w:t>
      </w:r>
      <w:r w:rsidR="00B1360B">
        <w:rPr>
          <w:rFonts w:ascii="Times New Roman" w:hAnsi="Times New Roman"/>
          <w:lang w:val="pt-BR"/>
        </w:rPr>
        <w:t>a</w:t>
      </w:r>
      <w:r w:rsidR="00B1360B" w:rsidRPr="00B1360B">
        <w:rPr>
          <w:rFonts w:ascii="Times New Roman" w:hAnsi="Times New Roman"/>
          <w:lang w:val="pt-BR"/>
        </w:rPr>
        <w:t xml:space="preserve">ção maior do que Rh, </w:t>
      </w:r>
      <w:proofErr w:type="spellStart"/>
      <w:r w:rsidR="00B1360B" w:rsidRPr="00B1360B">
        <w:rPr>
          <w:rFonts w:ascii="Times New Roman" w:hAnsi="Times New Roman"/>
          <w:lang w:val="pt-BR"/>
        </w:rPr>
        <w:t>Pt</w:t>
      </w:r>
      <w:proofErr w:type="spellEnd"/>
      <w:r w:rsidR="00B1360B" w:rsidRPr="00B1360B">
        <w:rPr>
          <w:rFonts w:ascii="Times New Roman" w:hAnsi="Times New Roman"/>
          <w:lang w:val="pt-BR"/>
        </w:rPr>
        <w:t xml:space="preserve"> e </w:t>
      </w:r>
      <w:proofErr w:type="spellStart"/>
      <w:r w:rsidR="00B1360B" w:rsidRPr="00B1360B">
        <w:rPr>
          <w:rFonts w:ascii="Times New Roman" w:hAnsi="Times New Roman"/>
          <w:lang w:val="pt-BR"/>
        </w:rPr>
        <w:t>Pd</w:t>
      </w:r>
      <w:proofErr w:type="spellEnd"/>
      <w:r w:rsidR="00B1360B">
        <w:rPr>
          <w:rFonts w:ascii="Times New Roman" w:hAnsi="Times New Roman"/>
          <w:lang w:val="pt-BR"/>
        </w:rPr>
        <w:t>, todos com 2% metal suportados em ZrO</w:t>
      </w:r>
      <w:r w:rsidR="00B1360B" w:rsidRPr="00B1360B">
        <w:rPr>
          <w:rFonts w:ascii="Times New Roman" w:hAnsi="Times New Roman"/>
          <w:vertAlign w:val="subscript"/>
          <w:lang w:val="pt-BR"/>
        </w:rPr>
        <w:t>2</w:t>
      </w:r>
      <w:r w:rsidR="00B1360B" w:rsidRPr="00B1360B">
        <w:rPr>
          <w:rFonts w:ascii="Times New Roman" w:hAnsi="Times New Roman"/>
          <w:lang w:val="pt-BR"/>
        </w:rPr>
        <w:t>, e</w:t>
      </w:r>
      <w:r w:rsidR="00B1360B">
        <w:rPr>
          <w:rFonts w:ascii="Times New Roman" w:hAnsi="Times New Roman"/>
          <w:lang w:val="pt-BR"/>
        </w:rPr>
        <w:t xml:space="preserve"> </w:t>
      </w:r>
      <w:r w:rsidR="00B1360B" w:rsidRPr="00B1360B">
        <w:rPr>
          <w:rFonts w:ascii="Times New Roman" w:hAnsi="Times New Roman"/>
          <w:lang w:val="pt-BR"/>
        </w:rPr>
        <w:t xml:space="preserve">a taxa diminuiu na sequência Ru </w:t>
      </w:r>
      <w:r w:rsidR="00B1360B" w:rsidRPr="00B1360B">
        <w:rPr>
          <w:rFonts w:ascii="Cambria Math" w:hAnsi="Cambria Math" w:cs="Cambria Math"/>
          <w:lang w:val="pt-BR"/>
        </w:rPr>
        <w:t>≫</w:t>
      </w:r>
      <w:r w:rsidR="00B1360B" w:rsidRPr="00B1360B">
        <w:rPr>
          <w:rFonts w:ascii="Times New Roman" w:hAnsi="Times New Roman"/>
          <w:lang w:val="pt-BR"/>
        </w:rPr>
        <w:t xml:space="preserve"> Rh &gt; </w:t>
      </w:r>
      <w:proofErr w:type="spellStart"/>
      <w:r w:rsidR="00B1360B" w:rsidRPr="00B1360B">
        <w:rPr>
          <w:rFonts w:ascii="Times New Roman" w:hAnsi="Times New Roman"/>
          <w:lang w:val="pt-BR"/>
        </w:rPr>
        <w:t>Pt</w:t>
      </w:r>
      <w:proofErr w:type="spellEnd"/>
      <w:r w:rsidR="00B1360B" w:rsidRPr="00B1360B">
        <w:rPr>
          <w:rFonts w:ascii="Times New Roman" w:hAnsi="Times New Roman"/>
          <w:lang w:val="pt-BR"/>
        </w:rPr>
        <w:t xml:space="preserve"> &gt; </w:t>
      </w:r>
      <w:proofErr w:type="spellStart"/>
      <w:r w:rsidR="00B1360B" w:rsidRPr="00B1360B">
        <w:rPr>
          <w:rFonts w:ascii="Times New Roman" w:hAnsi="Times New Roman"/>
          <w:lang w:val="pt-BR"/>
        </w:rPr>
        <w:t>Pd</w:t>
      </w:r>
      <w:proofErr w:type="spellEnd"/>
      <w:r w:rsidR="00B1360B" w:rsidRPr="00B1360B">
        <w:rPr>
          <w:rFonts w:ascii="Times New Roman" w:hAnsi="Times New Roman"/>
          <w:lang w:val="pt-BR"/>
        </w:rPr>
        <w:t xml:space="preserve"> em</w:t>
      </w:r>
      <w:r w:rsidR="00B1360B">
        <w:rPr>
          <w:rFonts w:ascii="Times New Roman" w:hAnsi="Times New Roman"/>
          <w:lang w:val="pt-BR"/>
        </w:rPr>
        <w:t xml:space="preserve"> </w:t>
      </w:r>
      <w:r w:rsidR="00B1360B" w:rsidRPr="00C93E9B">
        <w:rPr>
          <w:rFonts w:ascii="Times New Roman" w:hAnsi="Times New Roman"/>
          <w:lang w:val="pt-BR"/>
        </w:rPr>
        <w:t>200</w:t>
      </w:r>
      <w:r w:rsidR="00C93E9B">
        <w:rPr>
          <w:rFonts w:ascii="Times New Roman" w:hAnsi="Times New Roman"/>
          <w:lang w:val="pt-BR"/>
        </w:rPr>
        <w:t xml:space="preserve"> °</w:t>
      </w:r>
      <w:r w:rsidR="00B1360B" w:rsidRPr="00C93E9B">
        <w:rPr>
          <w:rFonts w:ascii="Times New Roman" w:hAnsi="Times New Roman"/>
          <w:lang w:val="pt-BR"/>
        </w:rPr>
        <w:t>C</w:t>
      </w:r>
      <w:r w:rsidR="00B1360B" w:rsidRPr="00B1360B">
        <w:rPr>
          <w:rFonts w:ascii="Times New Roman" w:hAnsi="Times New Roman"/>
          <w:lang w:val="pt-BR"/>
        </w:rPr>
        <w:t xml:space="preserve"> e 60 </w:t>
      </w:r>
      <w:r w:rsidR="00B1360B">
        <w:rPr>
          <w:rFonts w:ascii="Times New Roman" w:hAnsi="Times New Roman"/>
          <w:lang w:val="pt-BR"/>
        </w:rPr>
        <w:t>bar</w:t>
      </w:r>
      <w:r w:rsidR="00B1360B" w:rsidRPr="00B1360B">
        <w:rPr>
          <w:rFonts w:ascii="Times New Roman" w:hAnsi="Times New Roman"/>
          <w:lang w:val="pt-BR"/>
        </w:rPr>
        <w:t xml:space="preserve"> H</w:t>
      </w:r>
      <w:r w:rsidR="00B1360B" w:rsidRPr="00B1360B">
        <w:rPr>
          <w:rFonts w:ascii="Times New Roman" w:hAnsi="Times New Roman"/>
          <w:vertAlign w:val="subscript"/>
          <w:lang w:val="pt-BR"/>
        </w:rPr>
        <w:t>2</w:t>
      </w:r>
      <w:r w:rsidR="00B1360B">
        <w:rPr>
          <w:rFonts w:ascii="Times New Roman" w:hAnsi="Times New Roman"/>
          <w:lang w:val="pt-BR"/>
        </w:rPr>
        <w:t>.</w:t>
      </w:r>
    </w:p>
    <w:p w14:paraId="246199CB" w14:textId="3FBF8007" w:rsidR="00F24C96" w:rsidRDefault="00F24C96" w:rsidP="00DB7505">
      <w:pPr>
        <w:pStyle w:val="TAMainText"/>
        <w:spacing w:line="240" w:lineRule="auto"/>
        <w:ind w:firstLine="187"/>
        <w:rPr>
          <w:rFonts w:ascii="Times New Roman" w:hAnsi="Times New Roman"/>
          <w:lang w:val="pt-BR"/>
        </w:rPr>
      </w:pPr>
      <w:r>
        <w:rPr>
          <w:rFonts w:ascii="Times New Roman" w:hAnsi="Times New Roman"/>
          <w:lang w:val="pt-BR"/>
        </w:rPr>
        <w:t xml:space="preserve">O catalisador </w:t>
      </w:r>
      <w:proofErr w:type="spellStart"/>
      <w:r>
        <w:rPr>
          <w:rFonts w:ascii="Times New Roman" w:hAnsi="Times New Roman"/>
          <w:lang w:val="pt-BR"/>
        </w:rPr>
        <w:t>PdRu</w:t>
      </w:r>
      <w:r w:rsidR="00E2361F">
        <w:rPr>
          <w:rFonts w:ascii="Times New Roman" w:hAnsi="Times New Roman"/>
          <w:lang w:val="pt-BR"/>
        </w:rPr>
        <w:t>SiralHPW</w:t>
      </w:r>
      <w:proofErr w:type="spellEnd"/>
      <w:r w:rsidR="00E2361F">
        <w:rPr>
          <w:rFonts w:ascii="Times New Roman" w:hAnsi="Times New Roman"/>
          <w:lang w:val="pt-BR"/>
        </w:rPr>
        <w:t xml:space="preserve"> foi o que apresentou a maior atividade de todo o conjunto, 2,45 mols glicerol.h</w:t>
      </w:r>
      <w:r w:rsidR="00E2361F" w:rsidRPr="00E2361F">
        <w:rPr>
          <w:rFonts w:ascii="Times New Roman" w:hAnsi="Times New Roman"/>
          <w:vertAlign w:val="superscript"/>
          <w:lang w:val="pt-BR"/>
        </w:rPr>
        <w:t>-</w:t>
      </w:r>
      <w:proofErr w:type="gramStart"/>
      <w:r w:rsidR="00E2361F" w:rsidRPr="00E2361F">
        <w:rPr>
          <w:rFonts w:ascii="Times New Roman" w:hAnsi="Times New Roman"/>
          <w:vertAlign w:val="superscript"/>
          <w:lang w:val="pt-BR"/>
        </w:rPr>
        <w:t>1</w:t>
      </w:r>
      <w:r w:rsidR="00E2361F">
        <w:rPr>
          <w:rFonts w:ascii="Times New Roman" w:hAnsi="Times New Roman"/>
          <w:lang w:val="pt-BR"/>
        </w:rPr>
        <w:t>.gMe</w:t>
      </w:r>
      <w:proofErr w:type="gramEnd"/>
      <w:r w:rsidR="00E2361F" w:rsidRPr="00E2361F">
        <w:rPr>
          <w:rFonts w:ascii="Times New Roman" w:hAnsi="Times New Roman"/>
          <w:vertAlign w:val="superscript"/>
          <w:lang w:val="pt-BR"/>
        </w:rPr>
        <w:t>-1</w:t>
      </w:r>
      <w:r w:rsidR="00E2361F">
        <w:rPr>
          <w:rFonts w:ascii="Times New Roman" w:hAnsi="Times New Roman"/>
          <w:lang w:val="pt-BR"/>
        </w:rPr>
        <w:t>. Essa maior atividade pode estar relacionada ao favorecimento da redução do RuO</w:t>
      </w:r>
      <w:r w:rsidR="00E2361F" w:rsidRPr="00E2361F">
        <w:rPr>
          <w:rFonts w:ascii="Times New Roman" w:hAnsi="Times New Roman"/>
          <w:vertAlign w:val="subscript"/>
          <w:lang w:val="pt-BR"/>
        </w:rPr>
        <w:t>2</w:t>
      </w:r>
      <w:r w:rsidR="00E2361F">
        <w:rPr>
          <w:rFonts w:ascii="Times New Roman" w:hAnsi="Times New Roman"/>
          <w:lang w:val="pt-BR"/>
        </w:rPr>
        <w:t xml:space="preserve"> pelo paládio, que é reduzido a uma temperatura mais baixa, conforme evidenciado pelo TPR. Como a reação ocorre na presença de sítios metálicos e os catalisadores são reduzidos in situ a </w:t>
      </w:r>
      <w:r w:rsidR="00E2361F" w:rsidRPr="00C93E9B">
        <w:rPr>
          <w:rFonts w:ascii="Times New Roman" w:hAnsi="Times New Roman"/>
          <w:lang w:val="pt-BR"/>
        </w:rPr>
        <w:t>150</w:t>
      </w:r>
      <w:r w:rsidR="00C93E9B">
        <w:rPr>
          <w:rFonts w:ascii="Times New Roman" w:hAnsi="Times New Roman"/>
          <w:lang w:val="pt-BR"/>
        </w:rPr>
        <w:t xml:space="preserve"> °</w:t>
      </w:r>
      <w:r w:rsidR="00E2361F" w:rsidRPr="00C93E9B">
        <w:rPr>
          <w:rFonts w:ascii="Times New Roman" w:hAnsi="Times New Roman"/>
          <w:lang w:val="pt-BR"/>
        </w:rPr>
        <w:t>C</w:t>
      </w:r>
      <w:r w:rsidR="00E2361F">
        <w:rPr>
          <w:rFonts w:ascii="Times New Roman" w:hAnsi="Times New Roman"/>
          <w:lang w:val="pt-BR"/>
        </w:rPr>
        <w:t xml:space="preserve"> com H</w:t>
      </w:r>
      <w:r w:rsidR="00E2361F" w:rsidRPr="00E2361F">
        <w:rPr>
          <w:rFonts w:ascii="Times New Roman" w:hAnsi="Times New Roman"/>
          <w:vertAlign w:val="subscript"/>
          <w:lang w:val="pt-BR"/>
        </w:rPr>
        <w:t>2</w:t>
      </w:r>
      <w:r w:rsidR="00E2361F">
        <w:rPr>
          <w:rFonts w:ascii="Times New Roman" w:hAnsi="Times New Roman"/>
          <w:lang w:val="pt-BR"/>
        </w:rPr>
        <w:t xml:space="preserve"> puro, é possível que a presença de paládio favoreça </w:t>
      </w:r>
      <w:r w:rsidR="00E4528F">
        <w:rPr>
          <w:rFonts w:ascii="Times New Roman" w:hAnsi="Times New Roman"/>
          <w:lang w:val="pt-BR"/>
        </w:rPr>
        <w:t xml:space="preserve">a obtenção de </w:t>
      </w:r>
      <w:r w:rsidR="00E2361F">
        <w:rPr>
          <w:rFonts w:ascii="Times New Roman" w:hAnsi="Times New Roman"/>
          <w:lang w:val="pt-BR"/>
        </w:rPr>
        <w:t>mai</w:t>
      </w:r>
      <w:r w:rsidR="00E4528F">
        <w:rPr>
          <w:rFonts w:ascii="Times New Roman" w:hAnsi="Times New Roman"/>
          <w:lang w:val="pt-BR"/>
        </w:rPr>
        <w:t>or quantidade de</w:t>
      </w:r>
      <w:r w:rsidR="00E2361F">
        <w:rPr>
          <w:rFonts w:ascii="Times New Roman" w:hAnsi="Times New Roman"/>
          <w:lang w:val="pt-BR"/>
        </w:rPr>
        <w:t xml:space="preserve"> sítios metálicos de rutênio nesta condição. </w:t>
      </w:r>
    </w:p>
    <w:p w14:paraId="4F55CB73" w14:textId="77777777" w:rsidR="00CF2406" w:rsidRDefault="00E2361F" w:rsidP="00DB7505">
      <w:pPr>
        <w:pStyle w:val="TAMainText"/>
        <w:spacing w:line="240" w:lineRule="auto"/>
        <w:ind w:firstLine="187"/>
        <w:rPr>
          <w:rFonts w:ascii="Times New Roman" w:hAnsi="Times New Roman"/>
          <w:lang w:val="pt-BR"/>
        </w:rPr>
      </w:pPr>
      <w:r w:rsidRPr="00E2361F">
        <w:rPr>
          <w:rFonts w:ascii="Times New Roman" w:hAnsi="Times New Roman"/>
          <w:lang w:val="pt-BR"/>
        </w:rPr>
        <w:t>Comparar a taxa de reação com os dados da literatura é difícil</w:t>
      </w:r>
      <w:r>
        <w:rPr>
          <w:rFonts w:ascii="Times New Roman" w:hAnsi="Times New Roman"/>
          <w:lang w:val="pt-BR"/>
        </w:rPr>
        <w:t xml:space="preserve"> </w:t>
      </w:r>
      <w:r w:rsidRPr="00E2361F">
        <w:rPr>
          <w:rFonts w:ascii="Times New Roman" w:hAnsi="Times New Roman"/>
          <w:lang w:val="pt-BR"/>
        </w:rPr>
        <w:t>devido às diferentes condições experimentais empregadas.</w:t>
      </w:r>
      <w:r>
        <w:rPr>
          <w:rFonts w:ascii="Times New Roman" w:hAnsi="Times New Roman"/>
          <w:lang w:val="pt-BR"/>
        </w:rPr>
        <w:t xml:space="preserve"> </w:t>
      </w:r>
      <w:r w:rsidR="00BD20A8">
        <w:rPr>
          <w:rFonts w:ascii="Times New Roman" w:hAnsi="Times New Roman"/>
          <w:lang w:val="pt-BR"/>
        </w:rPr>
        <w:t xml:space="preserve">Wang </w:t>
      </w:r>
      <w:r w:rsidR="00202FD9">
        <w:rPr>
          <w:rFonts w:ascii="Times New Roman" w:hAnsi="Times New Roman"/>
          <w:lang w:val="pt-BR"/>
        </w:rPr>
        <w:t>e col.</w:t>
      </w:r>
      <w:r w:rsidR="00BD20A8">
        <w:rPr>
          <w:rFonts w:ascii="Times New Roman" w:hAnsi="Times New Roman"/>
          <w:lang w:val="pt-BR"/>
        </w:rPr>
        <w:t xml:space="preserve"> (2) obtiveram </w:t>
      </w:r>
      <w:r w:rsidR="00DB7505">
        <w:rPr>
          <w:rFonts w:ascii="Times New Roman" w:hAnsi="Times New Roman"/>
          <w:lang w:val="pt-BR"/>
        </w:rPr>
        <w:t xml:space="preserve">uma média de </w:t>
      </w:r>
      <w:r w:rsidR="00BD20A8">
        <w:rPr>
          <w:rFonts w:ascii="Times New Roman" w:hAnsi="Times New Roman"/>
          <w:lang w:val="pt-BR"/>
        </w:rPr>
        <w:t>taxa</w:t>
      </w:r>
      <w:r w:rsidR="00DB7505">
        <w:rPr>
          <w:rFonts w:ascii="Times New Roman" w:hAnsi="Times New Roman"/>
          <w:lang w:val="pt-BR"/>
        </w:rPr>
        <w:t>s de reação de 5 mols glicerol.h</w:t>
      </w:r>
      <w:r w:rsidR="00DB7505" w:rsidRPr="00E2361F">
        <w:rPr>
          <w:rFonts w:ascii="Times New Roman" w:hAnsi="Times New Roman"/>
          <w:vertAlign w:val="superscript"/>
          <w:lang w:val="pt-BR"/>
        </w:rPr>
        <w:t>-</w:t>
      </w:r>
      <w:proofErr w:type="gramStart"/>
      <w:r w:rsidR="00DB7505" w:rsidRPr="00E2361F">
        <w:rPr>
          <w:rFonts w:ascii="Times New Roman" w:hAnsi="Times New Roman"/>
          <w:vertAlign w:val="superscript"/>
          <w:lang w:val="pt-BR"/>
        </w:rPr>
        <w:t>1</w:t>
      </w:r>
      <w:r w:rsidR="00DB7505">
        <w:rPr>
          <w:rFonts w:ascii="Times New Roman" w:hAnsi="Times New Roman"/>
          <w:lang w:val="pt-BR"/>
        </w:rPr>
        <w:t>.gMe</w:t>
      </w:r>
      <w:proofErr w:type="gramEnd"/>
      <w:r w:rsidR="00DB7505" w:rsidRPr="00E2361F">
        <w:rPr>
          <w:rFonts w:ascii="Times New Roman" w:hAnsi="Times New Roman"/>
          <w:vertAlign w:val="superscript"/>
          <w:lang w:val="pt-BR"/>
        </w:rPr>
        <w:t>-1</w:t>
      </w:r>
      <w:r w:rsidR="00DB7505">
        <w:rPr>
          <w:rFonts w:ascii="Times New Roman" w:hAnsi="Times New Roman"/>
          <w:lang w:val="pt-BR"/>
        </w:rPr>
        <w:t xml:space="preserve"> para catalisadores de Ru, Rh, </w:t>
      </w:r>
      <w:proofErr w:type="spellStart"/>
      <w:r w:rsidR="00DB7505">
        <w:rPr>
          <w:rFonts w:ascii="Times New Roman" w:hAnsi="Times New Roman"/>
          <w:lang w:val="pt-BR"/>
        </w:rPr>
        <w:t>Pt</w:t>
      </w:r>
      <w:proofErr w:type="spellEnd"/>
      <w:r w:rsidR="00DB7505">
        <w:rPr>
          <w:rFonts w:ascii="Times New Roman" w:hAnsi="Times New Roman"/>
          <w:lang w:val="pt-BR"/>
        </w:rPr>
        <w:t xml:space="preserve"> e </w:t>
      </w:r>
      <w:proofErr w:type="spellStart"/>
      <w:r w:rsidR="00DB7505">
        <w:rPr>
          <w:rFonts w:ascii="Times New Roman" w:hAnsi="Times New Roman"/>
          <w:lang w:val="pt-BR"/>
        </w:rPr>
        <w:t>Pd</w:t>
      </w:r>
      <w:proofErr w:type="spellEnd"/>
      <w:r w:rsidR="00DB7505">
        <w:rPr>
          <w:rFonts w:ascii="Times New Roman" w:hAnsi="Times New Roman"/>
          <w:lang w:val="pt-BR"/>
        </w:rPr>
        <w:t>, da mesma ordem de grandeza das encontradas neste trabalho.</w:t>
      </w:r>
    </w:p>
    <w:p w14:paraId="296AD84A" w14:textId="77777777" w:rsidR="00CB4BF7" w:rsidRDefault="00CB4BF7" w:rsidP="008F19CC">
      <w:pPr>
        <w:pStyle w:val="TAMainText"/>
        <w:spacing w:line="240" w:lineRule="auto"/>
        <w:ind w:firstLine="0"/>
        <w:rPr>
          <w:rFonts w:ascii="Times New Roman" w:hAnsi="Times New Roman"/>
          <w:lang w:val="pt-BR"/>
        </w:rPr>
        <w:sectPr w:rsidR="00CB4BF7" w:rsidSect="00EA4E1B">
          <w:type w:val="continuous"/>
          <w:pgSz w:w="11906" w:h="16838"/>
          <w:pgMar w:top="1418" w:right="1094" w:bottom="1418" w:left="567" w:header="709" w:footer="709" w:gutter="0"/>
          <w:cols w:num="2" w:space="708"/>
          <w:docGrid w:linePitch="360"/>
        </w:sectPr>
      </w:pPr>
    </w:p>
    <w:p w14:paraId="02F85CBD" w14:textId="77777777" w:rsidR="00A96CF5" w:rsidRDefault="00A96CF5" w:rsidP="008F19CC">
      <w:pPr>
        <w:pStyle w:val="TAMainText"/>
        <w:spacing w:line="240" w:lineRule="auto"/>
        <w:ind w:firstLine="0"/>
        <w:rPr>
          <w:rFonts w:ascii="Times New Roman" w:hAnsi="Times New Roman"/>
          <w:lang w:val="pt-BR"/>
        </w:rPr>
      </w:pPr>
    </w:p>
    <w:p w14:paraId="0D0A6793" w14:textId="77777777" w:rsidR="00A96CF5" w:rsidRDefault="00A96CF5" w:rsidP="008F19CC">
      <w:pPr>
        <w:pStyle w:val="TAMainText"/>
        <w:spacing w:line="240" w:lineRule="auto"/>
        <w:ind w:firstLine="0"/>
        <w:rPr>
          <w:rFonts w:ascii="Times New Roman" w:hAnsi="Times New Roman"/>
          <w:lang w:val="pt-BR"/>
        </w:rPr>
      </w:pPr>
      <w:r w:rsidRPr="00FC64D1">
        <w:rPr>
          <w:rFonts w:ascii="Times New Roman" w:hAnsi="Times New Roman"/>
          <w:b/>
          <w:bCs/>
          <w:lang w:val="pt-BR"/>
        </w:rPr>
        <w:t xml:space="preserve">Tabela </w:t>
      </w:r>
      <w:r w:rsidR="009630F1">
        <w:rPr>
          <w:rFonts w:ascii="Times New Roman" w:hAnsi="Times New Roman"/>
          <w:b/>
          <w:bCs/>
          <w:lang w:val="pt-BR"/>
        </w:rPr>
        <w:t>4.</w:t>
      </w:r>
      <w:r>
        <w:rPr>
          <w:rFonts w:ascii="Times New Roman" w:hAnsi="Times New Roman"/>
          <w:lang w:val="pt-BR"/>
        </w:rPr>
        <w:t xml:space="preserve"> </w:t>
      </w:r>
      <w:r w:rsidR="00CB4BF7">
        <w:rPr>
          <w:rFonts w:ascii="Times New Roman" w:hAnsi="Times New Roman"/>
          <w:lang w:val="pt-BR"/>
        </w:rPr>
        <w:t xml:space="preserve">Resultados da </w:t>
      </w:r>
      <w:r>
        <w:rPr>
          <w:rFonts w:ascii="Times New Roman" w:hAnsi="Times New Roman"/>
          <w:lang w:val="pt-BR"/>
        </w:rPr>
        <w:t>Hidrogenólise do Glicerol</w:t>
      </w:r>
      <w:r w:rsidR="009630F1">
        <w:rPr>
          <w:rFonts w:ascii="Times New Roman" w:hAnsi="Times New Roman"/>
          <w:lang w:val="pt-BR"/>
        </w:rPr>
        <w:t xml:space="preserve"> (</w:t>
      </w:r>
      <w:proofErr w:type="spellStart"/>
      <w:r w:rsidR="009630F1">
        <w:rPr>
          <w:rFonts w:ascii="Times New Roman" w:hAnsi="Times New Roman"/>
          <w:lang w:val="pt-BR"/>
        </w:rPr>
        <w:t>M</w:t>
      </w:r>
      <w:r w:rsidR="009630F1">
        <w:rPr>
          <w:rFonts w:ascii="Times New Roman" w:hAnsi="Times New Roman"/>
          <w:vertAlign w:val="subscript"/>
          <w:lang w:val="pt-BR"/>
        </w:rPr>
        <w:t>catalisador</w:t>
      </w:r>
      <w:proofErr w:type="spellEnd"/>
      <w:r w:rsidR="009630F1">
        <w:rPr>
          <w:rFonts w:ascii="Times New Roman" w:hAnsi="Times New Roman"/>
          <w:vertAlign w:val="subscript"/>
          <w:lang w:val="pt-BR"/>
        </w:rPr>
        <w:t xml:space="preserve"> </w:t>
      </w:r>
      <w:r w:rsidR="009630F1">
        <w:rPr>
          <w:rFonts w:ascii="Times New Roman" w:hAnsi="Times New Roman"/>
          <w:lang w:val="pt-BR"/>
        </w:rPr>
        <w:t>= 500 mg, T = 200 °C, 50 Bar, 6 horas).</w:t>
      </w:r>
    </w:p>
    <w:tbl>
      <w:tblPr>
        <w:tblW w:w="84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3"/>
        <w:gridCol w:w="1420"/>
        <w:gridCol w:w="929"/>
        <w:gridCol w:w="851"/>
        <w:gridCol w:w="992"/>
        <w:gridCol w:w="992"/>
        <w:gridCol w:w="851"/>
        <w:gridCol w:w="850"/>
      </w:tblGrid>
      <w:tr w:rsidR="00CB4BF7" w:rsidRPr="00072C7A" w14:paraId="2D10B61E" w14:textId="77777777" w:rsidTr="009B5CB1">
        <w:trPr>
          <w:trHeight w:val="340"/>
          <w:jc w:val="center"/>
        </w:trPr>
        <w:tc>
          <w:tcPr>
            <w:tcW w:w="1553" w:type="dxa"/>
            <w:vMerge w:val="restart"/>
            <w:vAlign w:val="center"/>
          </w:tcPr>
          <w:p w14:paraId="63342C9F" w14:textId="77777777" w:rsidR="00CB4BF7" w:rsidRDefault="00CB4BF7" w:rsidP="0024191F">
            <w:pPr>
              <w:pStyle w:val="TCTableBody"/>
              <w:spacing w:after="0" w:line="240" w:lineRule="auto"/>
              <w:jc w:val="center"/>
              <w:rPr>
                <w:lang w:val="pt-BR"/>
              </w:rPr>
            </w:pPr>
            <w:r>
              <w:rPr>
                <w:lang w:val="pt-BR"/>
              </w:rPr>
              <w:t>Catalisador</w:t>
            </w:r>
          </w:p>
        </w:tc>
        <w:tc>
          <w:tcPr>
            <w:tcW w:w="1420" w:type="dxa"/>
            <w:vMerge w:val="restart"/>
            <w:vAlign w:val="center"/>
          </w:tcPr>
          <w:p w14:paraId="63A0C5C3" w14:textId="77777777" w:rsidR="004158B6" w:rsidRDefault="004158B6" w:rsidP="0024191F">
            <w:pPr>
              <w:pStyle w:val="TCTableBody"/>
              <w:spacing w:after="0" w:line="240" w:lineRule="auto"/>
              <w:jc w:val="center"/>
              <w:rPr>
                <w:lang w:val="pt-BR"/>
              </w:rPr>
            </w:pPr>
            <w:r>
              <w:rPr>
                <w:lang w:val="pt-BR"/>
              </w:rPr>
              <w:t>Taxa inicial</w:t>
            </w:r>
          </w:p>
          <w:p w14:paraId="29CFBDFB" w14:textId="77777777" w:rsidR="00CB4BF7" w:rsidRDefault="00CB4BF7" w:rsidP="0024191F">
            <w:pPr>
              <w:pStyle w:val="TCTableBody"/>
              <w:spacing w:after="0" w:line="240" w:lineRule="auto"/>
              <w:jc w:val="center"/>
              <w:rPr>
                <w:lang w:val="pt-BR"/>
              </w:rPr>
            </w:pPr>
            <w:r>
              <w:rPr>
                <w:lang w:val="pt-BR"/>
              </w:rPr>
              <w:t>(</w:t>
            </w:r>
            <w:r w:rsidR="004158B6" w:rsidRPr="004158B6">
              <w:rPr>
                <w:lang w:val="pt-BR"/>
              </w:rPr>
              <w:t xml:space="preserve">mol </w:t>
            </w:r>
            <w:proofErr w:type="spellStart"/>
            <w:r w:rsidR="004158B6" w:rsidRPr="004158B6">
              <w:rPr>
                <w:lang w:val="pt-BR"/>
              </w:rPr>
              <w:t>Gl</w:t>
            </w:r>
            <w:r w:rsidR="004158B6">
              <w:rPr>
                <w:lang w:val="pt-BR"/>
              </w:rPr>
              <w:t>i</w:t>
            </w:r>
            <w:proofErr w:type="spellEnd"/>
            <w:r w:rsidR="004158B6" w:rsidRPr="004158B6">
              <w:rPr>
                <w:lang w:val="pt-BR"/>
              </w:rPr>
              <w:t>/</w:t>
            </w:r>
            <w:proofErr w:type="spellStart"/>
            <w:proofErr w:type="gramStart"/>
            <w:r w:rsidR="004158B6" w:rsidRPr="004158B6">
              <w:rPr>
                <w:lang w:val="pt-BR"/>
              </w:rPr>
              <w:t>h.gMe</w:t>
            </w:r>
            <w:proofErr w:type="spellEnd"/>
            <w:proofErr w:type="gramEnd"/>
            <w:r>
              <w:rPr>
                <w:lang w:val="pt-BR"/>
              </w:rPr>
              <w:t>)</w:t>
            </w:r>
          </w:p>
        </w:tc>
        <w:tc>
          <w:tcPr>
            <w:tcW w:w="5465" w:type="dxa"/>
            <w:gridSpan w:val="6"/>
            <w:vAlign w:val="center"/>
          </w:tcPr>
          <w:p w14:paraId="21B80E7E" w14:textId="77777777" w:rsidR="00CB4BF7" w:rsidRDefault="00CB4BF7" w:rsidP="0024191F">
            <w:pPr>
              <w:pStyle w:val="TCTableBody"/>
              <w:spacing w:after="0" w:line="240" w:lineRule="auto"/>
              <w:jc w:val="center"/>
              <w:rPr>
                <w:lang w:val="pt-BR"/>
              </w:rPr>
            </w:pPr>
            <w:r>
              <w:rPr>
                <w:lang w:val="pt-BR"/>
              </w:rPr>
              <w:t>Seletividade (</w:t>
            </w:r>
            <w:proofErr w:type="gramStart"/>
            <w:r>
              <w:rPr>
                <w:lang w:val="pt-BR"/>
              </w:rPr>
              <w:t>%)</w:t>
            </w:r>
            <w:r w:rsidR="009630F1">
              <w:rPr>
                <w:lang w:val="pt-BR"/>
              </w:rPr>
              <w:t>*</w:t>
            </w:r>
            <w:proofErr w:type="gramEnd"/>
          </w:p>
        </w:tc>
      </w:tr>
      <w:tr w:rsidR="00CB4BF7" w:rsidRPr="00072C7A" w14:paraId="5C78FBA0" w14:textId="77777777" w:rsidTr="009B5CB1">
        <w:trPr>
          <w:trHeight w:val="340"/>
          <w:jc w:val="center"/>
        </w:trPr>
        <w:tc>
          <w:tcPr>
            <w:tcW w:w="1553" w:type="dxa"/>
            <w:vMerge/>
            <w:tcBorders>
              <w:bottom w:val="single" w:sz="4" w:space="0" w:color="auto"/>
            </w:tcBorders>
            <w:vAlign w:val="center"/>
          </w:tcPr>
          <w:p w14:paraId="7527552B" w14:textId="77777777" w:rsidR="00CB4BF7" w:rsidRDefault="00CB4BF7" w:rsidP="0024191F">
            <w:pPr>
              <w:pStyle w:val="TCTableBody"/>
              <w:spacing w:after="0" w:line="240" w:lineRule="auto"/>
              <w:jc w:val="center"/>
              <w:rPr>
                <w:lang w:val="pt-BR"/>
              </w:rPr>
            </w:pPr>
          </w:p>
        </w:tc>
        <w:tc>
          <w:tcPr>
            <w:tcW w:w="1420" w:type="dxa"/>
            <w:vMerge/>
            <w:tcBorders>
              <w:bottom w:val="single" w:sz="4" w:space="0" w:color="auto"/>
            </w:tcBorders>
            <w:vAlign w:val="center"/>
          </w:tcPr>
          <w:p w14:paraId="00FB3C46" w14:textId="77777777" w:rsidR="00CB4BF7" w:rsidRDefault="00CB4BF7" w:rsidP="0024191F">
            <w:pPr>
              <w:pStyle w:val="TCTableBody"/>
              <w:spacing w:after="0" w:line="240" w:lineRule="auto"/>
              <w:jc w:val="center"/>
              <w:rPr>
                <w:lang w:val="pt-BR"/>
              </w:rPr>
            </w:pPr>
          </w:p>
        </w:tc>
        <w:tc>
          <w:tcPr>
            <w:tcW w:w="929" w:type="dxa"/>
            <w:tcBorders>
              <w:bottom w:val="single" w:sz="4" w:space="0" w:color="auto"/>
            </w:tcBorders>
            <w:vAlign w:val="center"/>
          </w:tcPr>
          <w:p w14:paraId="41440167" w14:textId="77777777" w:rsidR="00CB4BF7" w:rsidRDefault="00CB4BF7" w:rsidP="0024191F">
            <w:pPr>
              <w:pStyle w:val="TCTableBody"/>
              <w:spacing w:after="0" w:line="240" w:lineRule="auto"/>
              <w:jc w:val="center"/>
              <w:rPr>
                <w:lang w:val="pt-BR"/>
              </w:rPr>
            </w:pPr>
            <w:r>
              <w:rPr>
                <w:lang w:val="pt-BR"/>
              </w:rPr>
              <w:t>1,2-PDO</w:t>
            </w:r>
          </w:p>
        </w:tc>
        <w:tc>
          <w:tcPr>
            <w:tcW w:w="851" w:type="dxa"/>
            <w:tcBorders>
              <w:bottom w:val="single" w:sz="4" w:space="0" w:color="auto"/>
            </w:tcBorders>
            <w:vAlign w:val="center"/>
          </w:tcPr>
          <w:p w14:paraId="68F69A31" w14:textId="77777777" w:rsidR="00CB4BF7" w:rsidRDefault="00CB4BF7" w:rsidP="0024191F">
            <w:pPr>
              <w:pStyle w:val="TCTableBody"/>
              <w:spacing w:after="0" w:line="240" w:lineRule="auto"/>
              <w:jc w:val="center"/>
              <w:rPr>
                <w:lang w:val="pt-BR"/>
              </w:rPr>
            </w:pPr>
            <w:r>
              <w:rPr>
                <w:lang w:val="pt-BR"/>
              </w:rPr>
              <w:t>EG</w:t>
            </w:r>
          </w:p>
        </w:tc>
        <w:tc>
          <w:tcPr>
            <w:tcW w:w="992" w:type="dxa"/>
            <w:tcBorders>
              <w:bottom w:val="single" w:sz="4" w:space="0" w:color="auto"/>
            </w:tcBorders>
            <w:vAlign w:val="center"/>
          </w:tcPr>
          <w:p w14:paraId="578643EF" w14:textId="77777777" w:rsidR="00CB4BF7" w:rsidRDefault="00CB4BF7" w:rsidP="0024191F">
            <w:pPr>
              <w:pStyle w:val="TCTableBody"/>
              <w:spacing w:after="0" w:line="240" w:lineRule="auto"/>
              <w:jc w:val="center"/>
              <w:rPr>
                <w:lang w:val="pt-BR"/>
              </w:rPr>
            </w:pPr>
            <w:r>
              <w:rPr>
                <w:lang w:val="pt-BR"/>
              </w:rPr>
              <w:t>1,3-PDO</w:t>
            </w:r>
          </w:p>
        </w:tc>
        <w:tc>
          <w:tcPr>
            <w:tcW w:w="992" w:type="dxa"/>
            <w:tcBorders>
              <w:bottom w:val="single" w:sz="4" w:space="0" w:color="auto"/>
            </w:tcBorders>
            <w:vAlign w:val="center"/>
          </w:tcPr>
          <w:p w14:paraId="54E90482" w14:textId="77777777" w:rsidR="00CB4BF7" w:rsidRDefault="00CB4BF7" w:rsidP="0024191F">
            <w:pPr>
              <w:pStyle w:val="TCTableBody"/>
              <w:spacing w:after="0" w:line="240" w:lineRule="auto"/>
              <w:jc w:val="center"/>
              <w:rPr>
                <w:lang w:val="pt-BR"/>
              </w:rPr>
            </w:pPr>
            <w:proofErr w:type="spellStart"/>
            <w:r>
              <w:rPr>
                <w:lang w:val="pt-BR"/>
              </w:rPr>
              <w:t>MeOH</w:t>
            </w:r>
            <w:proofErr w:type="spellEnd"/>
          </w:p>
        </w:tc>
        <w:tc>
          <w:tcPr>
            <w:tcW w:w="851" w:type="dxa"/>
            <w:tcBorders>
              <w:bottom w:val="single" w:sz="4" w:space="0" w:color="auto"/>
            </w:tcBorders>
            <w:vAlign w:val="center"/>
          </w:tcPr>
          <w:p w14:paraId="0A5EE385" w14:textId="77777777" w:rsidR="00CB4BF7" w:rsidRDefault="00CB4BF7" w:rsidP="0024191F">
            <w:pPr>
              <w:pStyle w:val="TCTableBody"/>
              <w:spacing w:after="0" w:line="240" w:lineRule="auto"/>
              <w:jc w:val="center"/>
              <w:rPr>
                <w:lang w:val="pt-BR"/>
              </w:rPr>
            </w:pPr>
            <w:proofErr w:type="spellStart"/>
            <w:r>
              <w:rPr>
                <w:lang w:val="pt-BR"/>
              </w:rPr>
              <w:t>EtOH</w:t>
            </w:r>
            <w:proofErr w:type="spellEnd"/>
          </w:p>
        </w:tc>
        <w:tc>
          <w:tcPr>
            <w:tcW w:w="850" w:type="dxa"/>
            <w:tcBorders>
              <w:bottom w:val="single" w:sz="4" w:space="0" w:color="auto"/>
            </w:tcBorders>
            <w:vAlign w:val="center"/>
          </w:tcPr>
          <w:p w14:paraId="754B1531" w14:textId="77777777" w:rsidR="00CB4BF7" w:rsidRDefault="00CB4BF7" w:rsidP="0024191F">
            <w:pPr>
              <w:pStyle w:val="TCTableBody"/>
              <w:spacing w:after="0" w:line="240" w:lineRule="auto"/>
              <w:jc w:val="center"/>
              <w:rPr>
                <w:lang w:val="pt-BR"/>
              </w:rPr>
            </w:pPr>
            <w:r>
              <w:rPr>
                <w:lang w:val="pt-BR"/>
              </w:rPr>
              <w:t>2PO</w:t>
            </w:r>
          </w:p>
        </w:tc>
      </w:tr>
      <w:tr w:rsidR="00CB4BF7" w:rsidRPr="00072C7A" w14:paraId="70E69299" w14:textId="77777777" w:rsidTr="009B5CB1">
        <w:trPr>
          <w:trHeight w:val="340"/>
          <w:jc w:val="center"/>
        </w:trPr>
        <w:tc>
          <w:tcPr>
            <w:tcW w:w="1553" w:type="dxa"/>
            <w:tcBorders>
              <w:bottom w:val="single" w:sz="4" w:space="0" w:color="auto"/>
            </w:tcBorders>
            <w:vAlign w:val="center"/>
          </w:tcPr>
          <w:p w14:paraId="285A08A9" w14:textId="77777777" w:rsidR="00CB4BF7" w:rsidRDefault="00CB4BF7" w:rsidP="0024191F">
            <w:pPr>
              <w:pStyle w:val="TCTableBody"/>
              <w:spacing w:after="0" w:line="240" w:lineRule="auto"/>
              <w:jc w:val="center"/>
              <w:rPr>
                <w:lang w:val="pt-BR"/>
              </w:rPr>
            </w:pPr>
            <w:proofErr w:type="gramStart"/>
            <w:r>
              <w:rPr>
                <w:lang w:val="pt-BR"/>
              </w:rPr>
              <w:t>Ru(</w:t>
            </w:r>
            <w:proofErr w:type="gramEnd"/>
            <w:r>
              <w:rPr>
                <w:lang w:val="pt-BR"/>
              </w:rPr>
              <w:t>NO)</w:t>
            </w:r>
            <w:proofErr w:type="spellStart"/>
            <w:r>
              <w:rPr>
                <w:lang w:val="pt-BR"/>
              </w:rPr>
              <w:t>SiralHPW</w:t>
            </w:r>
            <w:proofErr w:type="spellEnd"/>
          </w:p>
        </w:tc>
        <w:tc>
          <w:tcPr>
            <w:tcW w:w="1420" w:type="dxa"/>
            <w:tcBorders>
              <w:bottom w:val="single" w:sz="4" w:space="0" w:color="auto"/>
            </w:tcBorders>
            <w:vAlign w:val="center"/>
          </w:tcPr>
          <w:p w14:paraId="210B0593" w14:textId="77777777" w:rsidR="00CB4BF7" w:rsidRDefault="004158B6" w:rsidP="0024191F">
            <w:pPr>
              <w:pStyle w:val="TCTableBody"/>
              <w:spacing w:after="0" w:line="240" w:lineRule="auto"/>
              <w:jc w:val="center"/>
              <w:rPr>
                <w:lang w:val="pt-BR"/>
              </w:rPr>
            </w:pPr>
            <w:r>
              <w:rPr>
                <w:lang w:val="pt-BR"/>
              </w:rPr>
              <w:t>0,46</w:t>
            </w:r>
          </w:p>
        </w:tc>
        <w:tc>
          <w:tcPr>
            <w:tcW w:w="929" w:type="dxa"/>
            <w:tcBorders>
              <w:bottom w:val="single" w:sz="4" w:space="0" w:color="auto"/>
            </w:tcBorders>
            <w:vAlign w:val="center"/>
          </w:tcPr>
          <w:p w14:paraId="3EE1AB80"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7,3</w:t>
            </w:r>
          </w:p>
        </w:tc>
        <w:tc>
          <w:tcPr>
            <w:tcW w:w="851" w:type="dxa"/>
            <w:tcBorders>
              <w:bottom w:val="single" w:sz="4" w:space="0" w:color="auto"/>
            </w:tcBorders>
            <w:vAlign w:val="center"/>
          </w:tcPr>
          <w:p w14:paraId="727D11D5"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1,7</w:t>
            </w:r>
          </w:p>
        </w:tc>
        <w:tc>
          <w:tcPr>
            <w:tcW w:w="992" w:type="dxa"/>
            <w:tcBorders>
              <w:bottom w:val="single" w:sz="4" w:space="0" w:color="auto"/>
            </w:tcBorders>
            <w:vAlign w:val="center"/>
          </w:tcPr>
          <w:p w14:paraId="43220B65"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1,0</w:t>
            </w:r>
          </w:p>
        </w:tc>
        <w:tc>
          <w:tcPr>
            <w:tcW w:w="992" w:type="dxa"/>
            <w:tcBorders>
              <w:bottom w:val="single" w:sz="4" w:space="0" w:color="auto"/>
            </w:tcBorders>
            <w:vAlign w:val="center"/>
          </w:tcPr>
          <w:p w14:paraId="0C1BF4A4"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81,</w:t>
            </w:r>
            <w:r>
              <w:rPr>
                <w:rFonts w:cs="Times"/>
                <w:color w:val="000000"/>
                <w:szCs w:val="18"/>
              </w:rPr>
              <w:t>2</w:t>
            </w:r>
          </w:p>
        </w:tc>
        <w:tc>
          <w:tcPr>
            <w:tcW w:w="851" w:type="dxa"/>
            <w:tcBorders>
              <w:bottom w:val="single" w:sz="4" w:space="0" w:color="auto"/>
            </w:tcBorders>
            <w:vAlign w:val="center"/>
          </w:tcPr>
          <w:p w14:paraId="2784EDFA"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3,</w:t>
            </w:r>
            <w:r>
              <w:rPr>
                <w:rFonts w:cs="Times"/>
                <w:color w:val="000000"/>
                <w:szCs w:val="18"/>
              </w:rPr>
              <w:t>3</w:t>
            </w:r>
          </w:p>
        </w:tc>
        <w:tc>
          <w:tcPr>
            <w:tcW w:w="850" w:type="dxa"/>
            <w:tcBorders>
              <w:bottom w:val="single" w:sz="4" w:space="0" w:color="auto"/>
            </w:tcBorders>
            <w:vAlign w:val="center"/>
          </w:tcPr>
          <w:p w14:paraId="31AA64B7" w14:textId="77777777" w:rsidR="00CB4BF7" w:rsidRPr="00CB4BF7" w:rsidRDefault="00CB4BF7" w:rsidP="0024191F">
            <w:pPr>
              <w:pStyle w:val="TCTableBody"/>
              <w:spacing w:after="0" w:line="240" w:lineRule="auto"/>
              <w:jc w:val="center"/>
              <w:rPr>
                <w:rFonts w:cs="Times"/>
                <w:szCs w:val="18"/>
                <w:lang w:val="pt-BR"/>
              </w:rPr>
            </w:pPr>
            <w:r>
              <w:rPr>
                <w:rFonts w:cs="Times"/>
                <w:szCs w:val="18"/>
                <w:lang w:val="pt-BR"/>
              </w:rPr>
              <w:t>5,0</w:t>
            </w:r>
          </w:p>
        </w:tc>
      </w:tr>
      <w:tr w:rsidR="00CB4BF7" w:rsidRPr="00072C7A" w14:paraId="38FEC6AC" w14:textId="77777777" w:rsidTr="009B5CB1">
        <w:trPr>
          <w:trHeight w:val="340"/>
          <w:jc w:val="center"/>
        </w:trPr>
        <w:tc>
          <w:tcPr>
            <w:tcW w:w="1553" w:type="dxa"/>
            <w:tcBorders>
              <w:bottom w:val="single" w:sz="4" w:space="0" w:color="auto"/>
            </w:tcBorders>
            <w:vAlign w:val="center"/>
          </w:tcPr>
          <w:p w14:paraId="5892FAC8" w14:textId="77777777" w:rsidR="00CB4BF7" w:rsidRDefault="00CB4BF7" w:rsidP="0024191F">
            <w:pPr>
              <w:pStyle w:val="TCTableBody"/>
              <w:spacing w:after="0" w:line="240" w:lineRule="auto"/>
              <w:jc w:val="center"/>
              <w:rPr>
                <w:lang w:val="pt-BR"/>
              </w:rPr>
            </w:pPr>
            <w:proofErr w:type="spellStart"/>
            <w:r>
              <w:rPr>
                <w:lang w:val="pt-BR"/>
              </w:rPr>
              <w:t>PdSiralHPW</w:t>
            </w:r>
            <w:proofErr w:type="spellEnd"/>
          </w:p>
        </w:tc>
        <w:tc>
          <w:tcPr>
            <w:tcW w:w="1420" w:type="dxa"/>
            <w:tcBorders>
              <w:bottom w:val="single" w:sz="4" w:space="0" w:color="auto"/>
            </w:tcBorders>
            <w:vAlign w:val="center"/>
          </w:tcPr>
          <w:p w14:paraId="19ABA699" w14:textId="77777777" w:rsidR="00CB4BF7" w:rsidRDefault="004158B6" w:rsidP="0024191F">
            <w:pPr>
              <w:pStyle w:val="TCTableBody"/>
              <w:spacing w:after="0" w:line="240" w:lineRule="auto"/>
              <w:jc w:val="center"/>
              <w:rPr>
                <w:lang w:val="pt-BR"/>
              </w:rPr>
            </w:pPr>
            <w:r>
              <w:rPr>
                <w:lang w:val="pt-BR"/>
              </w:rPr>
              <w:t>1,48</w:t>
            </w:r>
          </w:p>
        </w:tc>
        <w:tc>
          <w:tcPr>
            <w:tcW w:w="929" w:type="dxa"/>
            <w:tcBorders>
              <w:bottom w:val="single" w:sz="4" w:space="0" w:color="auto"/>
            </w:tcBorders>
            <w:vAlign w:val="center"/>
          </w:tcPr>
          <w:p w14:paraId="6922EA2F"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13,</w:t>
            </w:r>
            <w:r>
              <w:rPr>
                <w:rFonts w:cs="Times"/>
                <w:color w:val="000000"/>
                <w:szCs w:val="18"/>
              </w:rPr>
              <w:t>2</w:t>
            </w:r>
          </w:p>
        </w:tc>
        <w:tc>
          <w:tcPr>
            <w:tcW w:w="851" w:type="dxa"/>
            <w:tcBorders>
              <w:bottom w:val="single" w:sz="4" w:space="0" w:color="auto"/>
            </w:tcBorders>
            <w:vAlign w:val="center"/>
          </w:tcPr>
          <w:p w14:paraId="7B7F0C86"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8,</w:t>
            </w:r>
            <w:r>
              <w:rPr>
                <w:rFonts w:cs="Times"/>
                <w:color w:val="000000"/>
                <w:szCs w:val="18"/>
              </w:rPr>
              <w:t>1</w:t>
            </w:r>
          </w:p>
        </w:tc>
        <w:tc>
          <w:tcPr>
            <w:tcW w:w="992" w:type="dxa"/>
            <w:tcBorders>
              <w:bottom w:val="single" w:sz="4" w:space="0" w:color="auto"/>
            </w:tcBorders>
            <w:vAlign w:val="center"/>
          </w:tcPr>
          <w:p w14:paraId="54106FC2"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1,</w:t>
            </w:r>
            <w:r>
              <w:rPr>
                <w:rFonts w:cs="Times"/>
                <w:color w:val="000000"/>
                <w:szCs w:val="18"/>
              </w:rPr>
              <w:t>8</w:t>
            </w:r>
          </w:p>
        </w:tc>
        <w:tc>
          <w:tcPr>
            <w:tcW w:w="992" w:type="dxa"/>
            <w:tcBorders>
              <w:bottom w:val="single" w:sz="4" w:space="0" w:color="auto"/>
            </w:tcBorders>
            <w:vAlign w:val="center"/>
          </w:tcPr>
          <w:p w14:paraId="159C41B7"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66,</w:t>
            </w:r>
            <w:r>
              <w:rPr>
                <w:rFonts w:cs="Times"/>
                <w:color w:val="000000"/>
                <w:szCs w:val="18"/>
              </w:rPr>
              <w:t>7</w:t>
            </w:r>
          </w:p>
        </w:tc>
        <w:tc>
          <w:tcPr>
            <w:tcW w:w="851" w:type="dxa"/>
            <w:tcBorders>
              <w:bottom w:val="single" w:sz="4" w:space="0" w:color="auto"/>
            </w:tcBorders>
            <w:vAlign w:val="center"/>
          </w:tcPr>
          <w:p w14:paraId="2691D3F6"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5,6</w:t>
            </w:r>
          </w:p>
        </w:tc>
        <w:tc>
          <w:tcPr>
            <w:tcW w:w="850" w:type="dxa"/>
            <w:tcBorders>
              <w:bottom w:val="single" w:sz="4" w:space="0" w:color="auto"/>
            </w:tcBorders>
            <w:vAlign w:val="center"/>
          </w:tcPr>
          <w:p w14:paraId="437D4CF9"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4,7</w:t>
            </w:r>
          </w:p>
        </w:tc>
      </w:tr>
      <w:tr w:rsidR="00CB4BF7" w:rsidRPr="00072C7A" w14:paraId="25D1462A" w14:textId="77777777" w:rsidTr="009B5CB1">
        <w:trPr>
          <w:trHeight w:val="340"/>
          <w:jc w:val="center"/>
        </w:trPr>
        <w:tc>
          <w:tcPr>
            <w:tcW w:w="1553" w:type="dxa"/>
            <w:vAlign w:val="center"/>
          </w:tcPr>
          <w:p w14:paraId="211882A3" w14:textId="77777777" w:rsidR="00CB4BF7" w:rsidRDefault="00CB4BF7" w:rsidP="0024191F">
            <w:pPr>
              <w:pStyle w:val="TCTableBody"/>
              <w:spacing w:after="0" w:line="240" w:lineRule="auto"/>
              <w:jc w:val="center"/>
              <w:rPr>
                <w:lang w:val="pt-BR"/>
              </w:rPr>
            </w:pPr>
            <w:proofErr w:type="spellStart"/>
            <w:r>
              <w:rPr>
                <w:lang w:val="pt-BR"/>
              </w:rPr>
              <w:t>PdRuSiralHPW</w:t>
            </w:r>
            <w:proofErr w:type="spellEnd"/>
          </w:p>
        </w:tc>
        <w:tc>
          <w:tcPr>
            <w:tcW w:w="1420" w:type="dxa"/>
            <w:vAlign w:val="center"/>
          </w:tcPr>
          <w:p w14:paraId="44586C00" w14:textId="77777777" w:rsidR="00CB4BF7" w:rsidRDefault="004158B6" w:rsidP="0024191F">
            <w:pPr>
              <w:pStyle w:val="TCTableBody"/>
              <w:spacing w:after="0" w:line="240" w:lineRule="auto"/>
              <w:jc w:val="center"/>
              <w:rPr>
                <w:lang w:val="pt-BR"/>
              </w:rPr>
            </w:pPr>
            <w:r>
              <w:rPr>
                <w:lang w:val="pt-BR"/>
              </w:rPr>
              <w:t>2,45</w:t>
            </w:r>
          </w:p>
        </w:tc>
        <w:tc>
          <w:tcPr>
            <w:tcW w:w="929" w:type="dxa"/>
            <w:vAlign w:val="center"/>
          </w:tcPr>
          <w:p w14:paraId="0F340C1A"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25,</w:t>
            </w:r>
            <w:r>
              <w:rPr>
                <w:rFonts w:cs="Times"/>
                <w:color w:val="000000"/>
                <w:szCs w:val="18"/>
              </w:rPr>
              <w:t>7</w:t>
            </w:r>
          </w:p>
        </w:tc>
        <w:tc>
          <w:tcPr>
            <w:tcW w:w="851" w:type="dxa"/>
            <w:vAlign w:val="center"/>
          </w:tcPr>
          <w:p w14:paraId="5AC0FB97"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18,</w:t>
            </w:r>
            <w:r>
              <w:rPr>
                <w:rFonts w:cs="Times"/>
                <w:color w:val="000000"/>
                <w:szCs w:val="18"/>
              </w:rPr>
              <w:t>6</w:t>
            </w:r>
          </w:p>
        </w:tc>
        <w:tc>
          <w:tcPr>
            <w:tcW w:w="992" w:type="dxa"/>
            <w:vAlign w:val="center"/>
          </w:tcPr>
          <w:p w14:paraId="3880A7E6"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1,</w:t>
            </w:r>
            <w:r>
              <w:rPr>
                <w:rFonts w:cs="Times"/>
                <w:color w:val="000000"/>
                <w:szCs w:val="18"/>
              </w:rPr>
              <w:t>8</w:t>
            </w:r>
          </w:p>
        </w:tc>
        <w:tc>
          <w:tcPr>
            <w:tcW w:w="992" w:type="dxa"/>
            <w:vAlign w:val="center"/>
          </w:tcPr>
          <w:p w14:paraId="3AB5E671"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4</w:t>
            </w:r>
            <w:r>
              <w:rPr>
                <w:rFonts w:cs="Times"/>
                <w:color w:val="000000"/>
                <w:szCs w:val="18"/>
              </w:rPr>
              <w:t>2,0</w:t>
            </w:r>
          </w:p>
        </w:tc>
        <w:tc>
          <w:tcPr>
            <w:tcW w:w="851" w:type="dxa"/>
            <w:vAlign w:val="center"/>
          </w:tcPr>
          <w:p w14:paraId="6F564641"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8,7</w:t>
            </w:r>
          </w:p>
        </w:tc>
        <w:tc>
          <w:tcPr>
            <w:tcW w:w="850" w:type="dxa"/>
            <w:vAlign w:val="center"/>
          </w:tcPr>
          <w:p w14:paraId="5BD21735" w14:textId="77777777" w:rsidR="00CB4BF7" w:rsidRPr="00CB4BF7" w:rsidRDefault="00CB4BF7" w:rsidP="0024191F">
            <w:pPr>
              <w:pStyle w:val="TCTableBody"/>
              <w:spacing w:after="0" w:line="240" w:lineRule="auto"/>
              <w:jc w:val="center"/>
              <w:rPr>
                <w:rFonts w:cs="Times"/>
                <w:szCs w:val="18"/>
                <w:lang w:val="pt-BR"/>
              </w:rPr>
            </w:pPr>
            <w:r w:rsidRPr="00CB4BF7">
              <w:rPr>
                <w:rFonts w:cs="Times"/>
                <w:color w:val="000000"/>
                <w:szCs w:val="18"/>
              </w:rPr>
              <w:t>3,</w:t>
            </w:r>
            <w:r>
              <w:rPr>
                <w:rFonts w:cs="Times"/>
                <w:color w:val="000000"/>
                <w:szCs w:val="18"/>
              </w:rPr>
              <w:t>3</w:t>
            </w:r>
          </w:p>
        </w:tc>
      </w:tr>
      <w:tr w:rsidR="0024191F" w:rsidRPr="00072C7A" w14:paraId="48E517FD" w14:textId="77777777" w:rsidTr="009B5CB1">
        <w:trPr>
          <w:trHeight w:val="340"/>
          <w:jc w:val="center"/>
        </w:trPr>
        <w:tc>
          <w:tcPr>
            <w:tcW w:w="1553" w:type="dxa"/>
            <w:tcBorders>
              <w:bottom w:val="single" w:sz="4" w:space="0" w:color="auto"/>
            </w:tcBorders>
            <w:vAlign w:val="center"/>
          </w:tcPr>
          <w:p w14:paraId="687D8109" w14:textId="77777777" w:rsidR="0024191F" w:rsidRDefault="0024191F" w:rsidP="0024191F">
            <w:pPr>
              <w:pStyle w:val="TCTableBody"/>
              <w:spacing w:after="0" w:line="240" w:lineRule="auto"/>
              <w:jc w:val="center"/>
              <w:rPr>
                <w:lang w:val="pt-BR"/>
              </w:rPr>
            </w:pPr>
            <w:proofErr w:type="spellStart"/>
            <w:r>
              <w:rPr>
                <w:lang w:val="pt-BR"/>
              </w:rPr>
              <w:t>RuSiralHPW</w:t>
            </w:r>
            <w:proofErr w:type="spellEnd"/>
          </w:p>
        </w:tc>
        <w:tc>
          <w:tcPr>
            <w:tcW w:w="1420" w:type="dxa"/>
            <w:tcBorders>
              <w:bottom w:val="single" w:sz="4" w:space="0" w:color="auto"/>
            </w:tcBorders>
            <w:vAlign w:val="center"/>
          </w:tcPr>
          <w:p w14:paraId="31CC36EC" w14:textId="77777777" w:rsidR="0024191F" w:rsidRDefault="0024191F" w:rsidP="0024191F">
            <w:pPr>
              <w:pStyle w:val="TCTableBody"/>
              <w:spacing w:after="0" w:line="240" w:lineRule="auto"/>
              <w:jc w:val="center"/>
              <w:rPr>
                <w:lang w:val="pt-BR"/>
              </w:rPr>
            </w:pPr>
            <w:r>
              <w:rPr>
                <w:lang w:val="pt-BR"/>
              </w:rPr>
              <w:t>1,57</w:t>
            </w:r>
          </w:p>
        </w:tc>
        <w:tc>
          <w:tcPr>
            <w:tcW w:w="929" w:type="dxa"/>
            <w:tcBorders>
              <w:bottom w:val="single" w:sz="4" w:space="0" w:color="auto"/>
            </w:tcBorders>
            <w:vAlign w:val="center"/>
          </w:tcPr>
          <w:p w14:paraId="0263D0DB" w14:textId="77777777" w:rsidR="0024191F" w:rsidRPr="00CB4BF7" w:rsidRDefault="0024191F" w:rsidP="0024191F">
            <w:pPr>
              <w:pStyle w:val="TCTableBody"/>
              <w:spacing w:after="0" w:line="240" w:lineRule="auto"/>
              <w:jc w:val="center"/>
              <w:rPr>
                <w:rFonts w:cs="Times"/>
                <w:color w:val="000000"/>
                <w:szCs w:val="18"/>
              </w:rPr>
            </w:pPr>
            <w:r w:rsidRPr="00CB4BF7">
              <w:rPr>
                <w:rFonts w:cs="Times"/>
                <w:color w:val="000000"/>
                <w:szCs w:val="18"/>
              </w:rPr>
              <w:t>50,</w:t>
            </w:r>
            <w:r>
              <w:rPr>
                <w:rFonts w:cs="Times"/>
                <w:color w:val="000000"/>
                <w:szCs w:val="18"/>
              </w:rPr>
              <w:t>1</w:t>
            </w:r>
          </w:p>
        </w:tc>
        <w:tc>
          <w:tcPr>
            <w:tcW w:w="851" w:type="dxa"/>
            <w:tcBorders>
              <w:bottom w:val="single" w:sz="4" w:space="0" w:color="auto"/>
            </w:tcBorders>
            <w:vAlign w:val="center"/>
          </w:tcPr>
          <w:p w14:paraId="4A502239" w14:textId="77777777" w:rsidR="0024191F" w:rsidRPr="00CB4BF7" w:rsidRDefault="0024191F" w:rsidP="0024191F">
            <w:pPr>
              <w:pStyle w:val="TCTableBody"/>
              <w:spacing w:after="0" w:line="240" w:lineRule="auto"/>
              <w:jc w:val="center"/>
              <w:rPr>
                <w:rFonts w:cs="Times"/>
                <w:color w:val="000000"/>
                <w:szCs w:val="18"/>
              </w:rPr>
            </w:pPr>
            <w:r w:rsidRPr="00CB4BF7">
              <w:rPr>
                <w:rFonts w:cs="Times"/>
                <w:color w:val="000000"/>
                <w:szCs w:val="18"/>
              </w:rPr>
              <w:t>12,3</w:t>
            </w:r>
          </w:p>
        </w:tc>
        <w:tc>
          <w:tcPr>
            <w:tcW w:w="992" w:type="dxa"/>
            <w:tcBorders>
              <w:bottom w:val="single" w:sz="4" w:space="0" w:color="auto"/>
            </w:tcBorders>
            <w:vAlign w:val="center"/>
          </w:tcPr>
          <w:p w14:paraId="7F3DB52E" w14:textId="77777777" w:rsidR="0024191F" w:rsidRPr="00CB4BF7" w:rsidRDefault="0024191F" w:rsidP="0024191F">
            <w:pPr>
              <w:pStyle w:val="TCTableBody"/>
              <w:spacing w:after="0" w:line="240" w:lineRule="auto"/>
              <w:jc w:val="center"/>
              <w:rPr>
                <w:rFonts w:cs="Times"/>
                <w:color w:val="000000"/>
                <w:szCs w:val="18"/>
              </w:rPr>
            </w:pPr>
            <w:r w:rsidRPr="00CB4BF7">
              <w:rPr>
                <w:rFonts w:cs="Times"/>
                <w:color w:val="000000"/>
                <w:szCs w:val="18"/>
              </w:rPr>
              <w:t>11,5</w:t>
            </w:r>
          </w:p>
        </w:tc>
        <w:tc>
          <w:tcPr>
            <w:tcW w:w="992" w:type="dxa"/>
            <w:tcBorders>
              <w:bottom w:val="single" w:sz="4" w:space="0" w:color="auto"/>
            </w:tcBorders>
            <w:vAlign w:val="center"/>
          </w:tcPr>
          <w:p w14:paraId="7D5C99B2" w14:textId="77777777" w:rsidR="0024191F" w:rsidRPr="00CB4BF7" w:rsidRDefault="0024191F" w:rsidP="0024191F">
            <w:pPr>
              <w:pStyle w:val="TCTableBody"/>
              <w:spacing w:after="0" w:line="240" w:lineRule="auto"/>
              <w:jc w:val="center"/>
              <w:rPr>
                <w:rFonts w:cs="Times"/>
                <w:color w:val="000000"/>
                <w:szCs w:val="18"/>
              </w:rPr>
            </w:pPr>
            <w:r w:rsidRPr="00CB4BF7">
              <w:rPr>
                <w:rFonts w:cs="Times"/>
                <w:color w:val="000000"/>
                <w:szCs w:val="18"/>
              </w:rPr>
              <w:t>0,0</w:t>
            </w:r>
          </w:p>
        </w:tc>
        <w:tc>
          <w:tcPr>
            <w:tcW w:w="851" w:type="dxa"/>
            <w:tcBorders>
              <w:bottom w:val="single" w:sz="4" w:space="0" w:color="auto"/>
            </w:tcBorders>
            <w:vAlign w:val="center"/>
          </w:tcPr>
          <w:p w14:paraId="648148C2" w14:textId="77777777" w:rsidR="0024191F" w:rsidRPr="00CB4BF7" w:rsidRDefault="0024191F" w:rsidP="0024191F">
            <w:pPr>
              <w:pStyle w:val="TCTableBody"/>
              <w:spacing w:after="0" w:line="240" w:lineRule="auto"/>
              <w:jc w:val="center"/>
              <w:rPr>
                <w:rFonts w:cs="Times"/>
                <w:color w:val="000000"/>
                <w:szCs w:val="18"/>
              </w:rPr>
            </w:pPr>
            <w:r w:rsidRPr="00CB4BF7">
              <w:rPr>
                <w:rFonts w:cs="Times"/>
                <w:color w:val="000000"/>
                <w:szCs w:val="18"/>
              </w:rPr>
              <w:t>17,3</w:t>
            </w:r>
          </w:p>
        </w:tc>
        <w:tc>
          <w:tcPr>
            <w:tcW w:w="850" w:type="dxa"/>
            <w:tcBorders>
              <w:bottom w:val="single" w:sz="4" w:space="0" w:color="auto"/>
            </w:tcBorders>
            <w:vAlign w:val="center"/>
          </w:tcPr>
          <w:p w14:paraId="4ED1277F" w14:textId="77777777" w:rsidR="0024191F" w:rsidRPr="00CB4BF7" w:rsidRDefault="0024191F" w:rsidP="0024191F">
            <w:pPr>
              <w:pStyle w:val="TCTableBody"/>
              <w:spacing w:after="0" w:line="240" w:lineRule="auto"/>
              <w:jc w:val="center"/>
              <w:rPr>
                <w:rFonts w:cs="Times"/>
                <w:color w:val="000000"/>
                <w:szCs w:val="18"/>
              </w:rPr>
            </w:pPr>
            <w:r w:rsidRPr="00CB4BF7">
              <w:rPr>
                <w:rFonts w:cs="Times"/>
                <w:color w:val="000000"/>
                <w:szCs w:val="18"/>
              </w:rPr>
              <w:t>8,</w:t>
            </w:r>
            <w:r>
              <w:rPr>
                <w:rFonts w:cs="Times"/>
                <w:color w:val="000000"/>
                <w:szCs w:val="18"/>
              </w:rPr>
              <w:t>8</w:t>
            </w:r>
          </w:p>
        </w:tc>
      </w:tr>
    </w:tbl>
    <w:p w14:paraId="17D6317C" w14:textId="77777777" w:rsidR="00CB4BF7" w:rsidRDefault="00CB4BF7" w:rsidP="00007679">
      <w:pPr>
        <w:pStyle w:val="TAMainText"/>
        <w:ind w:firstLine="187"/>
        <w:rPr>
          <w:rFonts w:ascii="Times New Roman" w:hAnsi="Times New Roman"/>
          <w:lang w:val="pt-BR"/>
        </w:rPr>
        <w:sectPr w:rsidR="00CB4BF7" w:rsidSect="00CB4BF7">
          <w:type w:val="continuous"/>
          <w:pgSz w:w="11906" w:h="16838"/>
          <w:pgMar w:top="1418" w:right="1094" w:bottom="1418" w:left="567" w:header="709" w:footer="709" w:gutter="0"/>
          <w:cols w:space="708"/>
          <w:docGrid w:linePitch="360"/>
        </w:sectPr>
      </w:pPr>
    </w:p>
    <w:p w14:paraId="0F351D18" w14:textId="77777777" w:rsidR="009D3E86" w:rsidRDefault="009630F1" w:rsidP="00CB4BF7">
      <w:pPr>
        <w:pStyle w:val="TAMainText"/>
        <w:ind w:firstLine="0"/>
        <w:rPr>
          <w:rFonts w:ascii="Times New Roman" w:hAnsi="Times New Roman"/>
          <w:lang w:val="pt-BR"/>
        </w:rPr>
      </w:pPr>
      <w:r>
        <w:rPr>
          <w:rFonts w:ascii="Times New Roman" w:hAnsi="Times New Roman"/>
          <w:lang w:val="pt-BR"/>
        </w:rPr>
        <w:t xml:space="preserve">*1,2-PDO = 1,2-propanodiol; EG = Etilenoglicol; 1,3-PDO = 1,3-propanodiol, </w:t>
      </w:r>
      <w:proofErr w:type="spellStart"/>
      <w:r>
        <w:rPr>
          <w:rFonts w:ascii="Times New Roman" w:hAnsi="Times New Roman"/>
          <w:lang w:val="pt-BR"/>
        </w:rPr>
        <w:t>MeOH</w:t>
      </w:r>
      <w:proofErr w:type="spellEnd"/>
      <w:r>
        <w:rPr>
          <w:rFonts w:ascii="Times New Roman" w:hAnsi="Times New Roman"/>
          <w:lang w:val="pt-BR"/>
        </w:rPr>
        <w:t xml:space="preserve"> = metanol, </w:t>
      </w:r>
      <w:proofErr w:type="spellStart"/>
      <w:r>
        <w:rPr>
          <w:rFonts w:ascii="Times New Roman" w:hAnsi="Times New Roman"/>
          <w:lang w:val="pt-BR"/>
        </w:rPr>
        <w:t>EtOH</w:t>
      </w:r>
      <w:proofErr w:type="spellEnd"/>
      <w:r>
        <w:rPr>
          <w:rFonts w:ascii="Times New Roman" w:hAnsi="Times New Roman"/>
          <w:lang w:val="pt-BR"/>
        </w:rPr>
        <w:t xml:space="preserve"> = etanol e 2PO = 2-propanol</w:t>
      </w:r>
    </w:p>
    <w:p w14:paraId="03A9DA4B" w14:textId="77777777" w:rsidR="009630F1" w:rsidRDefault="009630F1" w:rsidP="00CB4BF7">
      <w:pPr>
        <w:pStyle w:val="TAMainText"/>
        <w:ind w:firstLine="0"/>
        <w:rPr>
          <w:rFonts w:ascii="Times New Roman" w:hAnsi="Times New Roman"/>
          <w:lang w:val="pt-BR"/>
        </w:rPr>
        <w:sectPr w:rsidR="009630F1" w:rsidSect="009630F1">
          <w:type w:val="continuous"/>
          <w:pgSz w:w="11906" w:h="16838"/>
          <w:pgMar w:top="1418" w:right="1094" w:bottom="1418" w:left="567" w:header="709" w:footer="709" w:gutter="0"/>
          <w:cols w:space="708"/>
          <w:docGrid w:linePitch="360"/>
        </w:sectPr>
      </w:pPr>
    </w:p>
    <w:p w14:paraId="2628280B" w14:textId="77777777" w:rsidR="00CB4BF7" w:rsidRDefault="00CB4BF7" w:rsidP="00CB4BF7">
      <w:pPr>
        <w:pStyle w:val="TAMainText"/>
        <w:ind w:firstLine="0"/>
        <w:rPr>
          <w:rFonts w:ascii="Times New Roman" w:hAnsi="Times New Roman"/>
          <w:lang w:val="pt-BR"/>
        </w:rPr>
      </w:pPr>
    </w:p>
    <w:p w14:paraId="6D94FBB2" w14:textId="77777777" w:rsidR="00DB7505" w:rsidRDefault="00DB7505" w:rsidP="00DB7505">
      <w:pPr>
        <w:pStyle w:val="TAMainText"/>
        <w:spacing w:line="240" w:lineRule="auto"/>
        <w:ind w:firstLine="187"/>
        <w:rPr>
          <w:rFonts w:ascii="Times New Roman" w:hAnsi="Times New Roman"/>
          <w:lang w:val="pt-BR"/>
        </w:rPr>
      </w:pPr>
      <w:r>
        <w:rPr>
          <w:rFonts w:ascii="Times New Roman" w:hAnsi="Times New Roman"/>
          <w:lang w:val="pt-BR"/>
        </w:rPr>
        <w:t xml:space="preserve">As seletividades aos diferentes produtos da hidrogenólise do glicerol também podem ser avaliadas na tabela 4. De acordo com a literatura, 1,2-PDO, EG e 1,3-PDO são os principais produtos da reação, sendo que sítios de </w:t>
      </w:r>
      <w:r w:rsidR="00E4528F">
        <w:rPr>
          <w:rFonts w:ascii="Times New Roman" w:hAnsi="Times New Roman"/>
          <w:lang w:val="pt-BR"/>
        </w:rPr>
        <w:t>L</w:t>
      </w:r>
      <w:r>
        <w:rPr>
          <w:rFonts w:ascii="Times New Roman" w:hAnsi="Times New Roman"/>
          <w:lang w:val="pt-BR"/>
        </w:rPr>
        <w:t xml:space="preserve">ewis e </w:t>
      </w:r>
      <w:proofErr w:type="spellStart"/>
      <w:r w:rsidR="00E4528F">
        <w:rPr>
          <w:rFonts w:ascii="Times New Roman" w:hAnsi="Times New Roman"/>
          <w:lang w:val="pt-BR"/>
        </w:rPr>
        <w:t>B</w:t>
      </w:r>
      <w:r>
        <w:rPr>
          <w:rFonts w:ascii="Times New Roman" w:hAnsi="Times New Roman"/>
          <w:lang w:val="pt-BR"/>
        </w:rPr>
        <w:t>r</w:t>
      </w:r>
      <w:r w:rsidR="006158E2">
        <w:rPr>
          <w:rFonts w:ascii="Times New Roman" w:hAnsi="Times New Roman"/>
          <w:lang w:val="pt-BR"/>
        </w:rPr>
        <w:t>o</w:t>
      </w:r>
      <w:r>
        <w:rPr>
          <w:rFonts w:ascii="Times New Roman" w:hAnsi="Times New Roman"/>
          <w:lang w:val="pt-BR"/>
        </w:rPr>
        <w:t>nsted</w:t>
      </w:r>
      <w:proofErr w:type="spellEnd"/>
      <w:r>
        <w:rPr>
          <w:rFonts w:ascii="Times New Roman" w:hAnsi="Times New Roman"/>
          <w:lang w:val="pt-BR"/>
        </w:rPr>
        <w:t xml:space="preserve"> são necessários para direcionar a seletividade a 1,2-PDO ou 1,3-PDO, respectivamente</w:t>
      </w:r>
      <w:r w:rsidR="00E4528F">
        <w:rPr>
          <w:rFonts w:ascii="Times New Roman" w:hAnsi="Times New Roman"/>
          <w:lang w:val="pt-BR"/>
        </w:rPr>
        <w:t xml:space="preserve"> (4)</w:t>
      </w:r>
      <w:r>
        <w:rPr>
          <w:rFonts w:ascii="Times New Roman" w:hAnsi="Times New Roman"/>
          <w:lang w:val="pt-BR"/>
        </w:rPr>
        <w:t>.</w:t>
      </w:r>
      <w:r w:rsidR="00E4528F">
        <w:rPr>
          <w:rFonts w:ascii="Times New Roman" w:hAnsi="Times New Roman"/>
          <w:lang w:val="pt-BR"/>
        </w:rPr>
        <w:t xml:space="preserve"> Outros produtos com 1-propanol, 2-propanol, etanol e metanol podem ser formados e são indicadores de uma hidrogenólise extensiva.</w:t>
      </w:r>
    </w:p>
    <w:p w14:paraId="0788C35E" w14:textId="77777777" w:rsidR="000865FF" w:rsidRPr="000865FF" w:rsidRDefault="00DB7505" w:rsidP="000865FF">
      <w:pPr>
        <w:pStyle w:val="TAMainText"/>
        <w:spacing w:line="240" w:lineRule="auto"/>
        <w:ind w:firstLine="187"/>
        <w:rPr>
          <w:rFonts w:ascii="Times New Roman" w:hAnsi="Times New Roman"/>
          <w:lang w:val="pt-BR"/>
        </w:rPr>
      </w:pPr>
      <w:r>
        <w:rPr>
          <w:rFonts w:ascii="Times New Roman" w:hAnsi="Times New Roman"/>
          <w:lang w:val="pt-BR"/>
        </w:rPr>
        <w:t xml:space="preserve">A maior seletividade a 1,3-PDO foi observada para o catalisador </w:t>
      </w:r>
      <w:proofErr w:type="spellStart"/>
      <w:r w:rsidR="00BF17A5">
        <w:rPr>
          <w:rFonts w:ascii="Times New Roman" w:hAnsi="Times New Roman"/>
          <w:lang w:val="pt-BR"/>
        </w:rPr>
        <w:t>RuSiralHPW</w:t>
      </w:r>
      <w:proofErr w:type="spellEnd"/>
      <w:r w:rsidR="00BF17A5">
        <w:rPr>
          <w:rFonts w:ascii="Times New Roman" w:hAnsi="Times New Roman"/>
          <w:lang w:val="pt-BR"/>
        </w:rPr>
        <w:t xml:space="preserve">, com 11,5%. Os demais catalisadores apresentaram seletividades a 1,3-PDO bem menores, embora, ainda assim, o catalisador </w:t>
      </w:r>
      <w:proofErr w:type="gramStart"/>
      <w:r w:rsidR="00BF17A5">
        <w:rPr>
          <w:rFonts w:ascii="Times New Roman" w:hAnsi="Times New Roman"/>
          <w:lang w:val="pt-BR"/>
        </w:rPr>
        <w:t>Ru(</w:t>
      </w:r>
      <w:proofErr w:type="gramEnd"/>
      <w:r w:rsidR="00BF17A5">
        <w:rPr>
          <w:rFonts w:ascii="Times New Roman" w:hAnsi="Times New Roman"/>
          <w:lang w:val="pt-BR"/>
        </w:rPr>
        <w:t>NO)</w:t>
      </w:r>
      <w:proofErr w:type="spellStart"/>
      <w:r w:rsidR="00BF17A5">
        <w:rPr>
          <w:rFonts w:ascii="Times New Roman" w:hAnsi="Times New Roman"/>
          <w:lang w:val="pt-BR"/>
        </w:rPr>
        <w:t>SiralHPW</w:t>
      </w:r>
      <w:proofErr w:type="spellEnd"/>
      <w:r w:rsidR="00BF17A5">
        <w:rPr>
          <w:rFonts w:ascii="Times New Roman" w:hAnsi="Times New Roman"/>
          <w:lang w:val="pt-BR"/>
        </w:rPr>
        <w:t xml:space="preserve"> tenha sido o menos seletivo.</w:t>
      </w:r>
      <w:r w:rsidR="00843020">
        <w:rPr>
          <w:rFonts w:ascii="Times New Roman" w:hAnsi="Times New Roman"/>
          <w:lang w:val="pt-BR"/>
        </w:rPr>
        <w:t xml:space="preserve"> É interessante notar que os catalisadores preparados a partir de precursores clorados mostraram seletividade maior a 1,3-PDO do que o não clorado. </w:t>
      </w:r>
      <w:r w:rsidR="00472504">
        <w:rPr>
          <w:rFonts w:ascii="Times New Roman" w:hAnsi="Times New Roman"/>
          <w:lang w:val="pt-BR"/>
        </w:rPr>
        <w:t xml:space="preserve">De fato, a literatura associa </w:t>
      </w:r>
      <w:r w:rsidR="00005416">
        <w:rPr>
          <w:rFonts w:ascii="Times New Roman" w:hAnsi="Times New Roman"/>
          <w:lang w:val="pt-BR"/>
        </w:rPr>
        <w:t>a formação de sítios de Bronsted à presença</w:t>
      </w:r>
      <w:r w:rsidR="00472504">
        <w:rPr>
          <w:rFonts w:ascii="Times New Roman" w:hAnsi="Times New Roman"/>
          <w:lang w:val="pt-BR"/>
        </w:rPr>
        <w:t xml:space="preserve"> de cloro residual no catalisador. Tanaka e </w:t>
      </w:r>
      <w:proofErr w:type="spellStart"/>
      <w:r w:rsidR="00472504">
        <w:rPr>
          <w:rFonts w:ascii="Times New Roman" w:hAnsi="Times New Roman"/>
          <w:lang w:val="pt-BR"/>
        </w:rPr>
        <w:t>Ogasawara</w:t>
      </w:r>
      <w:proofErr w:type="spellEnd"/>
      <w:r w:rsidR="00472504">
        <w:rPr>
          <w:rFonts w:ascii="Times New Roman" w:hAnsi="Times New Roman"/>
          <w:lang w:val="pt-BR"/>
        </w:rPr>
        <w:t xml:space="preserve"> (18) observaram a formação de grupos OH na superfície da alumina após tratamento com </w:t>
      </w:r>
      <w:proofErr w:type="spellStart"/>
      <w:r w:rsidR="00472504">
        <w:rPr>
          <w:rFonts w:ascii="Times New Roman" w:hAnsi="Times New Roman"/>
          <w:lang w:val="pt-BR"/>
        </w:rPr>
        <w:t>HCl</w:t>
      </w:r>
      <w:proofErr w:type="spellEnd"/>
      <w:r w:rsidR="00472504">
        <w:rPr>
          <w:rFonts w:ascii="Times New Roman" w:hAnsi="Times New Roman"/>
          <w:lang w:val="pt-BR"/>
        </w:rPr>
        <w:t xml:space="preserve">, participando como sítios ácidos de </w:t>
      </w:r>
      <w:proofErr w:type="spellStart"/>
      <w:r w:rsidR="00472504">
        <w:rPr>
          <w:rFonts w:ascii="Times New Roman" w:hAnsi="Times New Roman"/>
          <w:lang w:val="pt-BR"/>
        </w:rPr>
        <w:t>Br</w:t>
      </w:r>
      <w:r w:rsidR="006158E2">
        <w:rPr>
          <w:rFonts w:ascii="Times New Roman" w:hAnsi="Times New Roman"/>
          <w:lang w:val="pt-BR"/>
        </w:rPr>
        <w:t>o</w:t>
      </w:r>
      <w:r w:rsidR="00472504">
        <w:rPr>
          <w:rFonts w:ascii="Times New Roman" w:hAnsi="Times New Roman"/>
          <w:lang w:val="pt-BR"/>
        </w:rPr>
        <w:t>nsted</w:t>
      </w:r>
      <w:proofErr w:type="spellEnd"/>
      <w:r w:rsidR="00472504">
        <w:rPr>
          <w:rFonts w:ascii="Times New Roman" w:hAnsi="Times New Roman"/>
          <w:lang w:val="pt-BR"/>
        </w:rPr>
        <w:t xml:space="preserve"> em reações de isomerização. </w:t>
      </w:r>
      <w:r w:rsidR="00472504" w:rsidRPr="00C71144">
        <w:rPr>
          <w:rFonts w:ascii="Times New Roman" w:hAnsi="Times New Roman"/>
          <w:lang w:val="pt-BR"/>
        </w:rPr>
        <w:t xml:space="preserve">Gallegos-Suarez e col. </w:t>
      </w:r>
      <w:r w:rsidR="00472504" w:rsidRPr="000865FF">
        <w:rPr>
          <w:rFonts w:ascii="Times New Roman" w:hAnsi="Times New Roman"/>
          <w:lang w:val="pt-BR"/>
        </w:rPr>
        <w:t xml:space="preserve">(19) </w:t>
      </w:r>
      <w:r w:rsidR="000865FF" w:rsidRPr="000865FF">
        <w:rPr>
          <w:rFonts w:ascii="Times New Roman" w:hAnsi="Times New Roman"/>
          <w:lang w:val="pt-BR"/>
        </w:rPr>
        <w:t xml:space="preserve">observaram a ocorrência de sítios ácidos de </w:t>
      </w:r>
      <w:proofErr w:type="spellStart"/>
      <w:r w:rsidR="000865FF" w:rsidRPr="000865FF">
        <w:rPr>
          <w:rFonts w:ascii="Times New Roman" w:hAnsi="Times New Roman"/>
          <w:lang w:val="pt-BR"/>
        </w:rPr>
        <w:t>Brönted</w:t>
      </w:r>
      <w:proofErr w:type="spellEnd"/>
      <w:r w:rsidR="000865FF" w:rsidRPr="000865FF">
        <w:rPr>
          <w:rFonts w:ascii="Times New Roman" w:hAnsi="Times New Roman"/>
          <w:lang w:val="pt-BR"/>
        </w:rPr>
        <w:t xml:space="preserve"> </w:t>
      </w:r>
      <w:r w:rsidR="000865FF">
        <w:rPr>
          <w:rFonts w:ascii="Times New Roman" w:hAnsi="Times New Roman"/>
          <w:lang w:val="pt-BR"/>
        </w:rPr>
        <w:t>provenientes da redução de espécies cloradas de Ru na zeólitas KL (</w:t>
      </w:r>
      <w:r w:rsidR="000865FF" w:rsidRPr="000865FF">
        <w:rPr>
          <w:rFonts w:ascii="Times New Roman" w:hAnsi="Times New Roman"/>
          <w:lang w:val="pt-BR"/>
        </w:rPr>
        <w:t>K</w:t>
      </w:r>
      <w:r w:rsidR="000865FF" w:rsidRPr="000865FF">
        <w:rPr>
          <w:rFonts w:ascii="Times New Roman" w:hAnsi="Times New Roman"/>
          <w:vertAlign w:val="subscript"/>
          <w:lang w:val="pt-BR"/>
        </w:rPr>
        <w:t>9</w:t>
      </w:r>
      <w:r w:rsidR="000865FF" w:rsidRPr="000865FF">
        <w:rPr>
          <w:rFonts w:ascii="Times New Roman" w:hAnsi="Times New Roman"/>
          <w:lang w:val="pt-BR"/>
        </w:rPr>
        <w:t>Al</w:t>
      </w:r>
      <w:r w:rsidR="000865FF" w:rsidRPr="000865FF">
        <w:rPr>
          <w:rFonts w:ascii="Times New Roman" w:hAnsi="Times New Roman"/>
          <w:vertAlign w:val="subscript"/>
          <w:lang w:val="pt-BR"/>
        </w:rPr>
        <w:t>9</w:t>
      </w:r>
      <w:r w:rsidR="000865FF" w:rsidRPr="000865FF">
        <w:rPr>
          <w:rFonts w:ascii="Times New Roman" w:hAnsi="Times New Roman"/>
          <w:lang w:val="pt-BR"/>
        </w:rPr>
        <w:t>Si</w:t>
      </w:r>
      <w:r w:rsidR="000865FF" w:rsidRPr="000865FF">
        <w:rPr>
          <w:rFonts w:ascii="Times New Roman" w:hAnsi="Times New Roman"/>
          <w:vertAlign w:val="subscript"/>
          <w:lang w:val="pt-BR"/>
        </w:rPr>
        <w:t>27</w:t>
      </w:r>
      <w:r w:rsidR="000865FF" w:rsidRPr="000865FF">
        <w:rPr>
          <w:rFonts w:ascii="Times New Roman" w:hAnsi="Times New Roman"/>
          <w:lang w:val="pt-BR"/>
        </w:rPr>
        <w:t>O</w:t>
      </w:r>
      <w:r w:rsidR="000865FF" w:rsidRPr="000865FF">
        <w:rPr>
          <w:rFonts w:ascii="Times New Roman" w:hAnsi="Times New Roman"/>
          <w:vertAlign w:val="subscript"/>
          <w:lang w:val="pt-BR"/>
        </w:rPr>
        <w:t>72</w:t>
      </w:r>
      <w:r w:rsidR="000865FF">
        <w:rPr>
          <w:rFonts w:ascii="Times New Roman" w:hAnsi="Times New Roman"/>
          <w:lang w:val="pt-BR"/>
        </w:rPr>
        <w:t>). Assim, a maior formação de 1,3-PDO pode ser associada à presença, ainda que residual, de espécies cloradas na superfície do suporte.</w:t>
      </w:r>
    </w:p>
    <w:p w14:paraId="24BBAF9D" w14:textId="77777777" w:rsidR="00472504" w:rsidRPr="000865FF" w:rsidRDefault="00373172" w:rsidP="00DB7505">
      <w:pPr>
        <w:pStyle w:val="TAMainText"/>
        <w:spacing w:line="240" w:lineRule="auto"/>
        <w:ind w:firstLine="187"/>
        <w:rPr>
          <w:rFonts w:ascii="Times New Roman" w:hAnsi="Times New Roman"/>
          <w:lang w:val="pt-BR"/>
        </w:rPr>
      </w:pPr>
      <w:r>
        <w:rPr>
          <w:rFonts w:ascii="Times New Roman" w:hAnsi="Times New Roman"/>
          <w:lang w:val="pt-BR"/>
        </w:rPr>
        <w:t xml:space="preserve">Com exceção do catalisador </w:t>
      </w:r>
      <w:proofErr w:type="spellStart"/>
      <w:r>
        <w:rPr>
          <w:rFonts w:ascii="Times New Roman" w:hAnsi="Times New Roman"/>
          <w:lang w:val="pt-BR"/>
        </w:rPr>
        <w:t>RuSiralHPW</w:t>
      </w:r>
      <w:proofErr w:type="spellEnd"/>
      <w:r>
        <w:rPr>
          <w:rFonts w:ascii="Times New Roman" w:hAnsi="Times New Roman"/>
          <w:lang w:val="pt-BR"/>
        </w:rPr>
        <w:t>, todos os demais apresentaram predomínio dos compostos leves, sendo o metanol o principal produto. Do ponto de vista industrial, esse resultado pode ser interessante por possibilitar um reuso do metanol na produção do biodiesel pela rota metílica.</w:t>
      </w:r>
    </w:p>
    <w:p w14:paraId="4F4CD1EE" w14:textId="77777777" w:rsidR="009A4854" w:rsidRDefault="009A4854" w:rsidP="009A4854">
      <w:pPr>
        <w:pStyle w:val="TAMainText"/>
        <w:spacing w:line="240" w:lineRule="auto"/>
        <w:ind w:firstLine="187"/>
        <w:rPr>
          <w:rFonts w:ascii="Times New Roman" w:hAnsi="Times New Roman"/>
          <w:lang w:val="pt-BR"/>
        </w:rPr>
      </w:pPr>
      <w:r>
        <w:rPr>
          <w:rFonts w:ascii="Times New Roman" w:hAnsi="Times New Roman"/>
          <w:lang w:val="pt-BR"/>
        </w:rPr>
        <w:t>A figura 5 apresenta uma compilação dos mecanismos de hidrogenólise do glicerol propostos por Zhu e col. (</w:t>
      </w:r>
      <w:r w:rsidR="00202FD9">
        <w:rPr>
          <w:rFonts w:ascii="Times New Roman" w:hAnsi="Times New Roman"/>
          <w:lang w:val="pt-BR"/>
        </w:rPr>
        <w:t>6</w:t>
      </w:r>
      <w:r>
        <w:rPr>
          <w:rFonts w:ascii="Times New Roman" w:hAnsi="Times New Roman"/>
          <w:lang w:val="pt-BR"/>
        </w:rPr>
        <w:t>) e Wu e col. (2</w:t>
      </w:r>
      <w:r w:rsidR="00202FD9">
        <w:rPr>
          <w:rFonts w:ascii="Times New Roman" w:hAnsi="Times New Roman"/>
          <w:lang w:val="pt-BR"/>
        </w:rPr>
        <w:t>0</w:t>
      </w:r>
      <w:r>
        <w:rPr>
          <w:rFonts w:ascii="Times New Roman" w:hAnsi="Times New Roman"/>
          <w:lang w:val="pt-BR"/>
        </w:rPr>
        <w:t xml:space="preserve">) com as etapas de redução, sobre sítios metálicos e desidratação sobre sítios ácidos. Nela, também é possível verificar a formação de 1,2-PDO, 1,-3-PDO e EG como produtos principais e 1PO, 2-PO, </w:t>
      </w:r>
      <w:proofErr w:type="spellStart"/>
      <w:r>
        <w:rPr>
          <w:rFonts w:ascii="Times New Roman" w:hAnsi="Times New Roman"/>
          <w:lang w:val="pt-BR"/>
        </w:rPr>
        <w:t>MeOH</w:t>
      </w:r>
      <w:proofErr w:type="spellEnd"/>
      <w:r>
        <w:rPr>
          <w:rFonts w:ascii="Times New Roman" w:hAnsi="Times New Roman"/>
          <w:lang w:val="pt-BR"/>
        </w:rPr>
        <w:t xml:space="preserve">, </w:t>
      </w:r>
      <w:proofErr w:type="spellStart"/>
      <w:r>
        <w:rPr>
          <w:rFonts w:ascii="Times New Roman" w:hAnsi="Times New Roman"/>
          <w:lang w:val="pt-BR"/>
        </w:rPr>
        <w:t>EtOH</w:t>
      </w:r>
      <w:proofErr w:type="spellEnd"/>
      <w:r>
        <w:rPr>
          <w:rFonts w:ascii="Times New Roman" w:hAnsi="Times New Roman"/>
          <w:lang w:val="pt-BR"/>
        </w:rPr>
        <w:t>, entre outros, como produtos secundários.</w:t>
      </w:r>
    </w:p>
    <w:p w14:paraId="511E84A1" w14:textId="77777777" w:rsidR="0024191F" w:rsidRPr="00382F1A" w:rsidRDefault="0024191F" w:rsidP="00382F1A">
      <w:pPr>
        <w:spacing w:after="0" w:line="240" w:lineRule="auto"/>
        <w:ind w:firstLine="187"/>
        <w:jc w:val="both"/>
        <w:rPr>
          <w:rFonts w:ascii="Times" w:hAnsi="Times" w:cs="Times"/>
          <w:sz w:val="20"/>
          <w:szCs w:val="20"/>
        </w:rPr>
        <w:sectPr w:rsidR="0024191F" w:rsidRPr="00382F1A" w:rsidSect="00EA4E1B">
          <w:type w:val="continuous"/>
          <w:pgSz w:w="11906" w:h="16838"/>
          <w:pgMar w:top="1418" w:right="1094" w:bottom="1418" w:left="567" w:header="709" w:footer="709" w:gutter="0"/>
          <w:cols w:num="2" w:space="708"/>
          <w:docGrid w:linePitch="360"/>
        </w:sectPr>
      </w:pPr>
      <w:r w:rsidRPr="00382F1A">
        <w:rPr>
          <w:rFonts w:ascii="Times" w:hAnsi="Times" w:cs="Times"/>
          <w:sz w:val="20"/>
          <w:szCs w:val="20"/>
        </w:rPr>
        <w:t xml:space="preserve">Assim, a formação de </w:t>
      </w:r>
      <w:proofErr w:type="spellStart"/>
      <w:r w:rsidRPr="00382F1A">
        <w:rPr>
          <w:rFonts w:ascii="Times" w:hAnsi="Times" w:cs="Times"/>
          <w:sz w:val="20"/>
          <w:szCs w:val="20"/>
        </w:rPr>
        <w:t>MeOH</w:t>
      </w:r>
      <w:proofErr w:type="spellEnd"/>
      <w:r w:rsidRPr="00382F1A">
        <w:rPr>
          <w:rFonts w:ascii="Times" w:hAnsi="Times" w:cs="Times"/>
          <w:sz w:val="20"/>
          <w:szCs w:val="20"/>
        </w:rPr>
        <w:t xml:space="preserve"> pode ser associada à decomposição do EG, embora Gallegos-Suares e col. (19) tenham reportado que o </w:t>
      </w:r>
      <w:proofErr w:type="spellStart"/>
      <w:r w:rsidRPr="00382F1A">
        <w:rPr>
          <w:rFonts w:ascii="Times" w:hAnsi="Times" w:cs="Times"/>
          <w:sz w:val="20"/>
          <w:szCs w:val="20"/>
        </w:rPr>
        <w:t>MeOH</w:t>
      </w:r>
      <w:proofErr w:type="spellEnd"/>
      <w:r w:rsidRPr="00382F1A">
        <w:rPr>
          <w:rFonts w:ascii="Times" w:hAnsi="Times" w:cs="Times"/>
          <w:sz w:val="20"/>
          <w:szCs w:val="20"/>
        </w:rPr>
        <w:t xml:space="preserve"> também </w:t>
      </w:r>
      <w:r w:rsidR="003E0B50">
        <w:rPr>
          <w:rFonts w:ascii="Times" w:hAnsi="Times" w:cs="Times"/>
          <w:sz w:val="20"/>
          <w:szCs w:val="20"/>
        </w:rPr>
        <w:t>pode ser</w:t>
      </w:r>
      <w:r w:rsidRPr="00382F1A">
        <w:rPr>
          <w:rFonts w:ascii="Times" w:hAnsi="Times" w:cs="Times"/>
          <w:sz w:val="20"/>
          <w:szCs w:val="20"/>
        </w:rPr>
        <w:t xml:space="preserve"> formado associado ao EG. </w:t>
      </w:r>
      <w:r w:rsidR="009B5CB1" w:rsidRPr="00382F1A">
        <w:rPr>
          <w:rFonts w:ascii="Times" w:hAnsi="Times" w:cs="Times"/>
          <w:sz w:val="20"/>
          <w:szCs w:val="20"/>
        </w:rPr>
        <w:t xml:space="preserve">A formação de etanol segue a tendência </w:t>
      </w:r>
      <w:r w:rsidR="009B5CB1" w:rsidRPr="00382F1A">
        <w:rPr>
          <w:rFonts w:ascii="Times" w:hAnsi="Times" w:cs="Times"/>
          <w:sz w:val="20"/>
          <w:szCs w:val="20"/>
        </w:rPr>
        <w:lastRenderedPageBreak/>
        <w:t xml:space="preserve">de crescimento do 1,2-PDO e do EG.  Observando a figura 5, o </w:t>
      </w:r>
      <w:proofErr w:type="spellStart"/>
      <w:r w:rsidR="009B5CB1" w:rsidRPr="00382F1A">
        <w:rPr>
          <w:rFonts w:ascii="Times" w:hAnsi="Times" w:cs="Times"/>
          <w:sz w:val="20"/>
          <w:szCs w:val="20"/>
        </w:rPr>
        <w:t>EtOH</w:t>
      </w:r>
      <w:proofErr w:type="spellEnd"/>
      <w:r w:rsidR="009B5CB1" w:rsidRPr="00382F1A">
        <w:rPr>
          <w:rFonts w:ascii="Times" w:hAnsi="Times" w:cs="Times"/>
          <w:sz w:val="20"/>
          <w:szCs w:val="20"/>
        </w:rPr>
        <w:t xml:space="preserve"> pode ser proveniente da decomposição tanto do 1,2-PDO como do EG</w:t>
      </w:r>
      <w:r w:rsidR="00382F1A" w:rsidRPr="00382F1A">
        <w:rPr>
          <w:rFonts w:ascii="Times" w:hAnsi="Times" w:cs="Times"/>
          <w:sz w:val="20"/>
          <w:szCs w:val="20"/>
        </w:rPr>
        <w:t xml:space="preserve">, o que se confirma com o aumento </w:t>
      </w:r>
      <w:r w:rsidR="00382F1A" w:rsidRPr="00382F1A">
        <w:rPr>
          <w:rFonts w:ascii="Times" w:hAnsi="Times" w:cs="Times"/>
          <w:sz w:val="20"/>
          <w:szCs w:val="20"/>
        </w:rPr>
        <w:t xml:space="preserve">da seletividade ao </w:t>
      </w:r>
      <w:proofErr w:type="spellStart"/>
      <w:r w:rsidR="00382F1A" w:rsidRPr="00382F1A">
        <w:rPr>
          <w:rFonts w:ascii="Times" w:hAnsi="Times" w:cs="Times"/>
          <w:sz w:val="20"/>
          <w:szCs w:val="20"/>
        </w:rPr>
        <w:t>EtOH</w:t>
      </w:r>
      <w:proofErr w:type="spellEnd"/>
      <w:r w:rsidR="00382F1A" w:rsidRPr="00382F1A">
        <w:rPr>
          <w:rFonts w:ascii="Times" w:hAnsi="Times" w:cs="Times"/>
          <w:sz w:val="20"/>
          <w:szCs w:val="20"/>
        </w:rPr>
        <w:t xml:space="preserve"> e consequente diminuição da seletividade ao EG do catalisador </w:t>
      </w:r>
      <w:proofErr w:type="spellStart"/>
      <w:r w:rsidR="00382F1A" w:rsidRPr="00382F1A">
        <w:rPr>
          <w:rFonts w:ascii="Times" w:hAnsi="Times" w:cs="Times"/>
          <w:sz w:val="20"/>
          <w:szCs w:val="20"/>
        </w:rPr>
        <w:t>PdRuSiralHPW</w:t>
      </w:r>
      <w:proofErr w:type="spellEnd"/>
      <w:r w:rsidR="00382F1A" w:rsidRPr="00382F1A">
        <w:rPr>
          <w:rFonts w:ascii="Times" w:hAnsi="Times" w:cs="Times"/>
          <w:sz w:val="20"/>
          <w:szCs w:val="20"/>
        </w:rPr>
        <w:t xml:space="preserve"> para o </w:t>
      </w:r>
      <w:proofErr w:type="spellStart"/>
      <w:r w:rsidR="00382F1A" w:rsidRPr="00382F1A">
        <w:rPr>
          <w:rFonts w:ascii="Times" w:hAnsi="Times" w:cs="Times"/>
          <w:sz w:val="20"/>
          <w:szCs w:val="20"/>
        </w:rPr>
        <w:t>RuSiralHPW</w:t>
      </w:r>
      <w:proofErr w:type="spellEnd"/>
      <w:r w:rsidR="00382F1A" w:rsidRPr="00382F1A">
        <w:rPr>
          <w:rFonts w:ascii="Times" w:hAnsi="Times" w:cs="Times"/>
          <w:sz w:val="20"/>
          <w:szCs w:val="20"/>
        </w:rPr>
        <w:t>.</w:t>
      </w:r>
    </w:p>
    <w:p w14:paraId="1AD30748" w14:textId="77777777" w:rsidR="009A4854" w:rsidRDefault="009A4854" w:rsidP="003E5232">
      <w:pPr>
        <w:spacing w:after="0" w:line="240" w:lineRule="auto"/>
        <w:jc w:val="center"/>
        <w:rPr>
          <w:rFonts w:ascii="Times New Roman" w:hAnsi="Times New Roman"/>
        </w:rPr>
      </w:pPr>
      <w:r w:rsidRPr="009A4854">
        <w:rPr>
          <w:noProof/>
          <w:lang w:eastAsia="pt-BR"/>
        </w:rPr>
        <w:drawing>
          <wp:inline distT="0" distB="0" distL="0" distR="0" wp14:anchorId="2B9300F0" wp14:editId="454F8591">
            <wp:extent cx="4669831" cy="2381003"/>
            <wp:effectExtent l="0" t="0" r="0" b="0"/>
            <wp:docPr id="3334176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17624" name=""/>
                    <pic:cNvPicPr/>
                  </pic:nvPicPr>
                  <pic:blipFill rotWithShape="1">
                    <a:blip r:embed="rId13" cstate="print"/>
                    <a:srcRect t="2810" r="4505" b="3617"/>
                    <a:stretch/>
                  </pic:blipFill>
                  <pic:spPr bwMode="auto">
                    <a:xfrm>
                      <a:off x="0" y="0"/>
                      <a:ext cx="4756960" cy="2425427"/>
                    </a:xfrm>
                    <a:prstGeom prst="rect">
                      <a:avLst/>
                    </a:prstGeom>
                    <a:ln>
                      <a:noFill/>
                    </a:ln>
                    <a:extLst>
                      <a:ext uri="{53640926-AAD7-44D8-BBD7-CCE9431645EC}">
                        <a14:shadowObscured xmlns:a14="http://schemas.microsoft.com/office/drawing/2010/main"/>
                      </a:ext>
                    </a:extLst>
                  </pic:spPr>
                </pic:pic>
              </a:graphicData>
            </a:graphic>
          </wp:inline>
        </w:drawing>
      </w:r>
    </w:p>
    <w:p w14:paraId="2CCB1320" w14:textId="41D3B387" w:rsidR="009A4854" w:rsidRDefault="009A4854" w:rsidP="003E5232">
      <w:pPr>
        <w:spacing w:after="120" w:line="240" w:lineRule="auto"/>
        <w:jc w:val="center"/>
        <w:rPr>
          <w:rFonts w:ascii="Times New Roman" w:hAnsi="Times New Roman"/>
        </w:rPr>
        <w:sectPr w:rsidR="009A4854" w:rsidSect="009A4854">
          <w:type w:val="continuous"/>
          <w:pgSz w:w="11906" w:h="16838"/>
          <w:pgMar w:top="1418" w:right="1094" w:bottom="1418" w:left="567" w:header="709" w:footer="709" w:gutter="0"/>
          <w:cols w:space="708"/>
          <w:docGrid w:linePitch="360"/>
        </w:sectPr>
      </w:pPr>
      <w:r w:rsidRPr="00EB6184">
        <w:rPr>
          <w:rFonts w:ascii="Times New Roman" w:hAnsi="Times New Roman"/>
          <w:b/>
          <w:bCs/>
        </w:rPr>
        <w:t>Figura 5.</w:t>
      </w:r>
      <w:r>
        <w:rPr>
          <w:rFonts w:ascii="Times New Roman" w:hAnsi="Times New Roman"/>
        </w:rPr>
        <w:t xml:space="preserve"> Mecanismo proposto da Hidrogenólise do glicerol (</w:t>
      </w:r>
      <w:r w:rsidR="0013449B">
        <w:rPr>
          <w:rFonts w:ascii="Times New Roman" w:hAnsi="Times New Roman"/>
        </w:rPr>
        <w:t xml:space="preserve">6, </w:t>
      </w:r>
      <w:r>
        <w:rPr>
          <w:rFonts w:ascii="Times New Roman" w:hAnsi="Times New Roman"/>
        </w:rPr>
        <w:t>20)</w:t>
      </w:r>
      <w:r w:rsidR="0013449B">
        <w:rPr>
          <w:rFonts w:ascii="Times New Roman" w:hAnsi="Times New Roman"/>
        </w:rPr>
        <w:t>.</w:t>
      </w:r>
    </w:p>
    <w:p w14:paraId="05A96E6C"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FFDD6C3" w14:textId="77777777" w:rsidR="00EA4E1B" w:rsidRPr="001F25B2" w:rsidRDefault="00382F1A" w:rsidP="00EA4E1B">
      <w:pPr>
        <w:pStyle w:val="TAMainText"/>
        <w:ind w:firstLine="187"/>
        <w:rPr>
          <w:rFonts w:ascii="Times New Roman" w:hAnsi="Times New Roman"/>
          <w:lang w:val="pt-BR"/>
        </w:rPr>
      </w:pPr>
      <w:r>
        <w:rPr>
          <w:rFonts w:ascii="Times New Roman" w:hAnsi="Times New Roman"/>
          <w:lang w:val="pt-BR"/>
        </w:rPr>
        <w:t xml:space="preserve">Catalisadores Ru e </w:t>
      </w:r>
      <w:proofErr w:type="spellStart"/>
      <w:r>
        <w:rPr>
          <w:rFonts w:ascii="Times New Roman" w:hAnsi="Times New Roman"/>
          <w:lang w:val="pt-BR"/>
        </w:rPr>
        <w:t>Pd</w:t>
      </w:r>
      <w:proofErr w:type="spellEnd"/>
      <w:r>
        <w:rPr>
          <w:rFonts w:ascii="Times New Roman" w:hAnsi="Times New Roman"/>
          <w:lang w:val="pt-BR"/>
        </w:rPr>
        <w:t xml:space="preserve"> suportados em SiO</w:t>
      </w:r>
      <w:r w:rsidRPr="003561C5">
        <w:rPr>
          <w:rFonts w:ascii="Times New Roman" w:hAnsi="Times New Roman"/>
          <w:vertAlign w:val="subscript"/>
          <w:lang w:val="pt-BR"/>
        </w:rPr>
        <w:t>2</w:t>
      </w:r>
      <w:r>
        <w:rPr>
          <w:rFonts w:ascii="Times New Roman" w:hAnsi="Times New Roman"/>
          <w:lang w:val="pt-BR"/>
        </w:rPr>
        <w:t>-Al</w:t>
      </w:r>
      <w:r w:rsidRPr="003561C5">
        <w:rPr>
          <w:rFonts w:ascii="Times New Roman" w:hAnsi="Times New Roman"/>
          <w:vertAlign w:val="subscript"/>
          <w:lang w:val="pt-BR"/>
        </w:rPr>
        <w:t>2</w:t>
      </w:r>
      <w:r>
        <w:rPr>
          <w:rFonts w:ascii="Times New Roman" w:hAnsi="Times New Roman"/>
          <w:lang w:val="pt-BR"/>
        </w:rPr>
        <w:t>O</w:t>
      </w:r>
      <w:r w:rsidRPr="003561C5">
        <w:rPr>
          <w:rFonts w:ascii="Times New Roman" w:hAnsi="Times New Roman"/>
          <w:vertAlign w:val="subscript"/>
          <w:lang w:val="pt-BR"/>
        </w:rPr>
        <w:t>3</w:t>
      </w:r>
      <w:r>
        <w:rPr>
          <w:rFonts w:ascii="Times New Roman" w:hAnsi="Times New Roman"/>
          <w:lang w:val="pt-BR"/>
        </w:rPr>
        <w:t xml:space="preserve"> (</w:t>
      </w:r>
      <w:proofErr w:type="spellStart"/>
      <w:r>
        <w:rPr>
          <w:rFonts w:ascii="Times New Roman" w:hAnsi="Times New Roman"/>
          <w:lang w:val="pt-BR"/>
        </w:rPr>
        <w:t>Siral</w:t>
      </w:r>
      <w:proofErr w:type="spellEnd"/>
      <w:r>
        <w:rPr>
          <w:rFonts w:ascii="Times New Roman" w:hAnsi="Times New Roman"/>
          <w:lang w:val="pt-BR"/>
        </w:rPr>
        <w:t>) com adição de heteropoliácido (HPW) são ativos na hidrogenólise de glicerol produzindo metanol, 1,2- e 1,3-propanodiol e etilenoglicol. O HPW foi transformado em WO</w:t>
      </w:r>
      <w:r w:rsidRPr="00382F1A">
        <w:rPr>
          <w:rFonts w:ascii="Times New Roman" w:hAnsi="Times New Roman"/>
          <w:vertAlign w:val="subscript"/>
          <w:lang w:val="pt-BR"/>
        </w:rPr>
        <w:t>3</w:t>
      </w:r>
      <w:r>
        <w:rPr>
          <w:rFonts w:ascii="Times New Roman" w:hAnsi="Times New Roman"/>
          <w:lang w:val="pt-BR"/>
        </w:rPr>
        <w:t xml:space="preserve"> em função do tratamento térmico. Ainda assim, o suporte contendo tungstênio mostrou-se mais ácido do que o suporte original. Foram verificadas as influências do metal (Ru ou </w:t>
      </w:r>
      <w:proofErr w:type="spellStart"/>
      <w:r>
        <w:rPr>
          <w:rFonts w:ascii="Times New Roman" w:hAnsi="Times New Roman"/>
          <w:lang w:val="pt-BR"/>
        </w:rPr>
        <w:t>Pd</w:t>
      </w:r>
      <w:proofErr w:type="spellEnd"/>
      <w:r>
        <w:rPr>
          <w:rFonts w:ascii="Times New Roman" w:hAnsi="Times New Roman"/>
          <w:lang w:val="pt-BR"/>
        </w:rPr>
        <w:t xml:space="preserve">) e do precursor (cloreto ou nitrato) na atividade e seletividade dos catalisadores. O catalisador </w:t>
      </w:r>
      <w:proofErr w:type="spellStart"/>
      <w:r>
        <w:rPr>
          <w:rFonts w:ascii="Times New Roman" w:hAnsi="Times New Roman"/>
          <w:lang w:val="pt-BR"/>
        </w:rPr>
        <w:t>PdRuSiralHPW</w:t>
      </w:r>
      <w:proofErr w:type="spellEnd"/>
      <w:r>
        <w:rPr>
          <w:rFonts w:ascii="Times New Roman" w:hAnsi="Times New Roman"/>
          <w:lang w:val="pt-BR"/>
        </w:rPr>
        <w:t xml:space="preserve"> mostrou-se mais ativo em função da promoção da redução do Ru pelo </w:t>
      </w:r>
      <w:proofErr w:type="spellStart"/>
      <w:r>
        <w:rPr>
          <w:rFonts w:ascii="Times New Roman" w:hAnsi="Times New Roman"/>
          <w:lang w:val="pt-BR"/>
        </w:rPr>
        <w:t>Pd</w:t>
      </w:r>
      <w:proofErr w:type="spellEnd"/>
      <w:r w:rsidR="003561C5">
        <w:rPr>
          <w:rFonts w:ascii="Times New Roman" w:hAnsi="Times New Roman"/>
          <w:lang w:val="pt-BR"/>
        </w:rPr>
        <w:t>. A presença de cloro residual promoveu os sítios ácidos adequados à formação de 1,3-PDO.</w:t>
      </w:r>
    </w:p>
    <w:p w14:paraId="5824D326"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17C5509E" w14:textId="27BAE313" w:rsidR="00EA4E1B" w:rsidRPr="001F25B2" w:rsidRDefault="00035B5E" w:rsidP="00EA4E1B">
      <w:pPr>
        <w:pStyle w:val="TAMainText"/>
        <w:rPr>
          <w:rFonts w:ascii="Times New Roman" w:hAnsi="Times New Roman"/>
          <w:lang w:val="pt-BR"/>
        </w:rPr>
      </w:pPr>
      <w:r>
        <w:rPr>
          <w:rFonts w:ascii="Times New Roman" w:hAnsi="Times New Roman"/>
          <w:lang w:val="pt-BR"/>
        </w:rPr>
        <w:t>Os autores agradecem ao CNPq pela</w:t>
      </w:r>
      <w:r w:rsidR="00677A45">
        <w:rPr>
          <w:rFonts w:ascii="Times New Roman" w:hAnsi="Times New Roman"/>
          <w:lang w:val="pt-BR"/>
        </w:rPr>
        <w:t>s</w:t>
      </w:r>
      <w:r>
        <w:rPr>
          <w:rFonts w:ascii="Times New Roman" w:hAnsi="Times New Roman"/>
          <w:lang w:val="pt-BR"/>
        </w:rPr>
        <w:t xml:space="preserve"> bolsa</w:t>
      </w:r>
      <w:r w:rsidR="00677A45">
        <w:rPr>
          <w:rFonts w:ascii="Times New Roman" w:hAnsi="Times New Roman"/>
          <w:lang w:val="pt-BR"/>
        </w:rPr>
        <w:t>s</w:t>
      </w:r>
      <w:r>
        <w:rPr>
          <w:rFonts w:ascii="Times New Roman" w:hAnsi="Times New Roman"/>
          <w:lang w:val="pt-BR"/>
        </w:rPr>
        <w:t xml:space="preserve"> PCI/CNPq a </w:t>
      </w:r>
      <w:r w:rsidR="00677A45">
        <w:rPr>
          <w:rFonts w:ascii="Times New Roman" w:hAnsi="Times New Roman"/>
          <w:lang w:val="pt-BR"/>
        </w:rPr>
        <w:t>Marcelo Augusto dos Santos</w:t>
      </w:r>
      <w:r w:rsidR="00233FC3">
        <w:rPr>
          <w:rFonts w:ascii="Times New Roman" w:hAnsi="Times New Roman"/>
          <w:lang w:val="pt-BR"/>
        </w:rPr>
        <w:t xml:space="preserve"> e</w:t>
      </w:r>
      <w:r w:rsidR="00677A45">
        <w:rPr>
          <w:rFonts w:ascii="Times New Roman" w:hAnsi="Times New Roman"/>
          <w:lang w:val="pt-BR"/>
        </w:rPr>
        <w:t xml:space="preserve"> </w:t>
      </w:r>
      <w:r>
        <w:rPr>
          <w:rFonts w:ascii="Times New Roman" w:hAnsi="Times New Roman"/>
          <w:lang w:val="pt-BR"/>
        </w:rPr>
        <w:t xml:space="preserve">Vinícius </w:t>
      </w:r>
      <w:proofErr w:type="spellStart"/>
      <w:r>
        <w:rPr>
          <w:rFonts w:ascii="Times New Roman" w:hAnsi="Times New Roman"/>
          <w:lang w:val="pt-BR"/>
        </w:rPr>
        <w:t>Chindelar</w:t>
      </w:r>
      <w:proofErr w:type="spellEnd"/>
      <w:r w:rsidR="00D2370F">
        <w:rPr>
          <w:rFonts w:ascii="Times New Roman" w:hAnsi="Times New Roman"/>
          <w:lang w:val="pt-BR"/>
        </w:rPr>
        <w:t xml:space="preserve"> e ao CENANO</w:t>
      </w:r>
      <w:r w:rsidR="00D2370F" w:rsidRPr="00D2370F">
        <w:rPr>
          <w:rFonts w:ascii="Times New Roman" w:hAnsi="Times New Roman"/>
          <w:lang w:val="pt-BR"/>
        </w:rPr>
        <w:t xml:space="preserve">/INT pelas análises de </w:t>
      </w:r>
      <w:r w:rsidR="00D2370F">
        <w:rPr>
          <w:rFonts w:ascii="Times New Roman" w:hAnsi="Times New Roman"/>
          <w:lang w:val="pt-BR"/>
        </w:rPr>
        <w:t>MEV-EDS</w:t>
      </w:r>
      <w:r w:rsidR="00D2370F" w:rsidRPr="00D2370F">
        <w:rPr>
          <w:rFonts w:ascii="Times New Roman" w:hAnsi="Times New Roman"/>
          <w:lang w:val="pt-BR"/>
        </w:rPr>
        <w:t xml:space="preserve"> (MCTI/</w:t>
      </w:r>
      <w:proofErr w:type="spellStart"/>
      <w:r w:rsidR="00D2370F" w:rsidRPr="00D2370F">
        <w:rPr>
          <w:rFonts w:ascii="Times New Roman" w:hAnsi="Times New Roman"/>
          <w:lang w:val="pt-BR"/>
        </w:rPr>
        <w:t>SisNANO</w:t>
      </w:r>
      <w:proofErr w:type="spellEnd"/>
      <w:r w:rsidR="00D2370F" w:rsidRPr="00D2370F">
        <w:rPr>
          <w:rFonts w:ascii="Times New Roman" w:hAnsi="Times New Roman"/>
          <w:lang w:val="pt-BR"/>
        </w:rPr>
        <w:t>/INT-CENANO-CNPq Processo No. 442604/2019-0)</w:t>
      </w:r>
      <w:r>
        <w:rPr>
          <w:rFonts w:ascii="Times New Roman" w:hAnsi="Times New Roman"/>
          <w:lang w:val="pt-BR"/>
        </w:rPr>
        <w:t>.</w:t>
      </w:r>
      <w:r w:rsidR="00C71144">
        <w:rPr>
          <w:rFonts w:ascii="Times New Roman" w:hAnsi="Times New Roman"/>
          <w:lang w:val="pt-BR"/>
        </w:rPr>
        <w:t xml:space="preserve"> Os autores também agradecem à Sasol pela cessão do </w:t>
      </w:r>
      <w:proofErr w:type="spellStart"/>
      <w:r w:rsidR="00C71144">
        <w:rPr>
          <w:rFonts w:ascii="Times New Roman" w:hAnsi="Times New Roman"/>
          <w:lang w:val="pt-BR"/>
        </w:rPr>
        <w:t>Siral</w:t>
      </w:r>
      <w:proofErr w:type="spellEnd"/>
      <w:r w:rsidR="00C71144">
        <w:rPr>
          <w:rFonts w:ascii="Times New Roman" w:hAnsi="Times New Roman"/>
          <w:lang w:val="pt-BR"/>
        </w:rPr>
        <w:t xml:space="preserve"> 40.</w:t>
      </w:r>
    </w:p>
    <w:p w14:paraId="07B281E3" w14:textId="77777777" w:rsidR="006A312E" w:rsidRDefault="00EA4E1B" w:rsidP="009D3E86">
      <w:pPr>
        <w:pStyle w:val="Ttulo2"/>
        <w:rPr>
          <w:rFonts w:ascii="Helvetica" w:hAnsi="Helvetica" w:cs="Helvetica"/>
          <w:sz w:val="24"/>
          <w:szCs w:val="24"/>
        </w:rPr>
      </w:pPr>
      <w:r w:rsidRPr="001F25B2">
        <w:rPr>
          <w:rFonts w:ascii="Helvetica" w:hAnsi="Helvetica" w:cs="Helvetica"/>
          <w:sz w:val="24"/>
          <w:szCs w:val="24"/>
        </w:rPr>
        <w:t>Referências</w:t>
      </w:r>
    </w:p>
    <w:p w14:paraId="662D95B0" w14:textId="77777777" w:rsidR="00BA766E" w:rsidRPr="008B6AF1" w:rsidRDefault="008B6AF1" w:rsidP="00517DB0">
      <w:pPr>
        <w:pStyle w:val="Bibliografia"/>
        <w:spacing w:after="0" w:line="240" w:lineRule="exact"/>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eastAsia="pt-BR"/>
        </w:rPr>
        <w:t>1.</w:t>
      </w:r>
      <w:r w:rsidR="00BA766E" w:rsidRPr="00B5369C">
        <w:rPr>
          <w:rFonts w:ascii="Times New Roman" w:eastAsia="Times New Roman" w:hAnsi="Times New Roman" w:cs="Times New Roman"/>
          <w:sz w:val="20"/>
          <w:szCs w:val="20"/>
          <w:lang w:eastAsia="pt-BR"/>
        </w:rPr>
        <w:t xml:space="preserve"> </w:t>
      </w:r>
      <w:r w:rsidR="008F19CC" w:rsidRPr="008F19CC">
        <w:rPr>
          <w:rFonts w:ascii="Times New Roman" w:eastAsia="Times New Roman" w:hAnsi="Times New Roman" w:cs="Times New Roman"/>
          <w:sz w:val="20"/>
          <w:szCs w:val="20"/>
          <w:lang w:eastAsia="pt-BR"/>
        </w:rPr>
        <w:t>A</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D</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S</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 xml:space="preserve"> Ruy</w:t>
      </w:r>
      <w:r w:rsidR="007C07C1">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 xml:space="preserve"> R</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M</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B</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 xml:space="preserve"> Alves</w:t>
      </w:r>
      <w:r w:rsidR="007C07C1">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 xml:space="preserve"> T</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L</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R</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 xml:space="preserve"> </w:t>
      </w:r>
      <w:proofErr w:type="spellStart"/>
      <w:r w:rsidR="008F19CC" w:rsidRPr="008F19CC">
        <w:rPr>
          <w:rFonts w:ascii="Times New Roman" w:eastAsia="Times New Roman" w:hAnsi="Times New Roman" w:cs="Times New Roman"/>
          <w:sz w:val="20"/>
          <w:szCs w:val="20"/>
          <w:lang w:eastAsia="pt-BR"/>
        </w:rPr>
        <w:t>Hewer</w:t>
      </w:r>
      <w:proofErr w:type="spellEnd"/>
      <w:r w:rsidR="007C07C1">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 xml:space="preserve"> D</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A</w:t>
      </w:r>
      <w:r w:rsidR="008F19CC">
        <w:rPr>
          <w:rFonts w:ascii="Times New Roman" w:eastAsia="Times New Roman" w:hAnsi="Times New Roman" w:cs="Times New Roman"/>
          <w:sz w:val="20"/>
          <w:szCs w:val="20"/>
          <w:lang w:eastAsia="pt-BR"/>
        </w:rPr>
        <w:t xml:space="preserve">. </w:t>
      </w:r>
      <w:r w:rsidR="008F19CC" w:rsidRPr="008F19CC">
        <w:rPr>
          <w:rFonts w:ascii="Times New Roman" w:eastAsia="Times New Roman" w:hAnsi="Times New Roman" w:cs="Times New Roman"/>
          <w:sz w:val="20"/>
          <w:szCs w:val="20"/>
          <w:lang w:eastAsia="pt-BR"/>
        </w:rPr>
        <w:t>Pontes</w:t>
      </w:r>
      <w:r w:rsidR="007C07C1">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 xml:space="preserve"> L</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S</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G</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 xml:space="preserve"> Teixeira</w:t>
      </w:r>
      <w:r w:rsidR="007C07C1">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 xml:space="preserve"> L</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A</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M</w:t>
      </w:r>
      <w:r w:rsidR="008F19CC">
        <w:rPr>
          <w:rFonts w:ascii="Times New Roman" w:eastAsia="Times New Roman" w:hAnsi="Times New Roman" w:cs="Times New Roman"/>
          <w:sz w:val="20"/>
          <w:szCs w:val="20"/>
          <w:lang w:eastAsia="pt-BR"/>
        </w:rPr>
        <w:t>.</w:t>
      </w:r>
      <w:r w:rsidR="008F19CC" w:rsidRPr="008F19CC">
        <w:rPr>
          <w:rFonts w:ascii="Times New Roman" w:eastAsia="Times New Roman" w:hAnsi="Times New Roman" w:cs="Times New Roman"/>
          <w:sz w:val="20"/>
          <w:szCs w:val="20"/>
          <w:lang w:eastAsia="pt-BR"/>
        </w:rPr>
        <w:t xml:space="preserve"> Pontes</w:t>
      </w:r>
      <w:r w:rsidR="008F19CC">
        <w:rPr>
          <w:rFonts w:ascii="Times New Roman" w:eastAsia="Times New Roman" w:hAnsi="Times New Roman" w:cs="Times New Roman"/>
          <w:sz w:val="20"/>
          <w:szCs w:val="20"/>
          <w:lang w:eastAsia="pt-BR"/>
        </w:rPr>
        <w:t xml:space="preserve">, </w:t>
      </w:r>
      <w:r w:rsidR="00517DB0" w:rsidRPr="00472504">
        <w:rPr>
          <w:rFonts w:ascii="Times New Roman" w:eastAsia="Times New Roman" w:hAnsi="Times New Roman" w:cs="Times New Roman"/>
          <w:i/>
          <w:iCs/>
          <w:sz w:val="20"/>
          <w:szCs w:val="20"/>
          <w:lang w:eastAsia="pt-BR"/>
        </w:rPr>
        <w:t xml:space="preserve">Catal. </w:t>
      </w:r>
      <w:r w:rsidR="00517DB0" w:rsidRPr="00472504">
        <w:rPr>
          <w:rFonts w:ascii="Times New Roman" w:eastAsia="Times New Roman" w:hAnsi="Times New Roman" w:cs="Times New Roman"/>
          <w:i/>
          <w:iCs/>
          <w:sz w:val="20"/>
          <w:szCs w:val="20"/>
          <w:lang w:val="en-US" w:eastAsia="pt-BR"/>
        </w:rPr>
        <w:t>Today</w:t>
      </w:r>
      <w:r w:rsidR="00517DB0" w:rsidRPr="008B6AF1">
        <w:rPr>
          <w:rFonts w:ascii="Times New Roman" w:eastAsia="Times New Roman" w:hAnsi="Times New Roman" w:cs="Times New Roman"/>
          <w:sz w:val="20"/>
          <w:szCs w:val="20"/>
          <w:lang w:val="en-US" w:eastAsia="pt-BR"/>
        </w:rPr>
        <w:t xml:space="preserve"> </w:t>
      </w:r>
      <w:r w:rsidR="007C07C1" w:rsidRPr="007C07C1">
        <w:rPr>
          <w:rFonts w:ascii="Times New Roman" w:eastAsia="Times New Roman" w:hAnsi="Times New Roman" w:cs="Times New Roman"/>
          <w:b/>
          <w:bCs/>
          <w:sz w:val="20"/>
          <w:szCs w:val="20"/>
          <w:lang w:val="en-US" w:eastAsia="pt-BR"/>
        </w:rPr>
        <w:t>2021</w:t>
      </w:r>
      <w:r w:rsidR="007C07C1">
        <w:rPr>
          <w:rFonts w:ascii="Times New Roman" w:eastAsia="Times New Roman" w:hAnsi="Times New Roman" w:cs="Times New Roman"/>
          <w:sz w:val="20"/>
          <w:szCs w:val="20"/>
          <w:lang w:val="en-US" w:eastAsia="pt-BR"/>
        </w:rPr>
        <w:t xml:space="preserve">, </w:t>
      </w:r>
      <w:r w:rsidR="00517DB0" w:rsidRPr="007C07C1">
        <w:rPr>
          <w:rFonts w:ascii="Times New Roman" w:eastAsia="Times New Roman" w:hAnsi="Times New Roman" w:cs="Times New Roman"/>
          <w:i/>
          <w:iCs/>
          <w:sz w:val="20"/>
          <w:szCs w:val="20"/>
          <w:lang w:val="en-US" w:eastAsia="pt-BR"/>
        </w:rPr>
        <w:t>381</w:t>
      </w:r>
      <w:r w:rsidR="007C07C1" w:rsidRPr="007C07C1">
        <w:rPr>
          <w:rFonts w:ascii="Times New Roman" w:eastAsia="Times New Roman" w:hAnsi="Times New Roman" w:cs="Times New Roman"/>
          <w:sz w:val="20"/>
          <w:szCs w:val="20"/>
          <w:lang w:val="en-US" w:eastAsia="pt-BR"/>
        </w:rPr>
        <w:t>,</w:t>
      </w:r>
      <w:r w:rsidR="00517DB0" w:rsidRPr="008B6AF1">
        <w:rPr>
          <w:rFonts w:ascii="Times New Roman" w:eastAsia="Times New Roman" w:hAnsi="Times New Roman" w:cs="Times New Roman"/>
          <w:sz w:val="20"/>
          <w:szCs w:val="20"/>
          <w:lang w:val="en-US" w:eastAsia="pt-BR"/>
        </w:rPr>
        <w:t xml:space="preserve"> 243-253.</w:t>
      </w:r>
    </w:p>
    <w:p w14:paraId="7DD471ED" w14:textId="77777777" w:rsidR="00BA766E" w:rsidRPr="007C07C1" w:rsidRDefault="008B6AF1" w:rsidP="00BA766E">
      <w:pPr>
        <w:pStyle w:val="Bibliografia"/>
        <w:spacing w:after="0" w:line="240" w:lineRule="exact"/>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val="en-US" w:eastAsia="pt-BR"/>
        </w:rPr>
        <w:t>2.</w:t>
      </w:r>
      <w:r w:rsidR="00BA766E" w:rsidRPr="00BA766E">
        <w:rPr>
          <w:rFonts w:ascii="Times New Roman" w:eastAsia="Times New Roman" w:hAnsi="Times New Roman" w:cs="Times New Roman"/>
          <w:sz w:val="20"/>
          <w:szCs w:val="20"/>
          <w:lang w:val="en-US" w:eastAsia="pt-BR"/>
        </w:rPr>
        <w:t xml:space="preserve"> S. Wang</w:t>
      </w:r>
      <w:r w:rsidR="007C07C1">
        <w:rPr>
          <w:rFonts w:ascii="Times New Roman" w:eastAsia="Times New Roman" w:hAnsi="Times New Roman" w:cs="Times New Roman"/>
          <w:sz w:val="20"/>
          <w:szCs w:val="20"/>
          <w:lang w:val="en-US" w:eastAsia="pt-BR"/>
        </w:rPr>
        <w:t>;</w:t>
      </w:r>
      <w:r w:rsidR="00BA766E" w:rsidRPr="00BA766E">
        <w:rPr>
          <w:rFonts w:ascii="Times New Roman" w:eastAsia="Times New Roman" w:hAnsi="Times New Roman" w:cs="Times New Roman"/>
          <w:sz w:val="20"/>
          <w:szCs w:val="20"/>
          <w:lang w:val="en-US" w:eastAsia="pt-BR"/>
        </w:rPr>
        <w:t xml:space="preserve"> K. Yin</w:t>
      </w:r>
      <w:r w:rsidR="007C07C1">
        <w:rPr>
          <w:rFonts w:ascii="Times New Roman" w:eastAsia="Times New Roman" w:hAnsi="Times New Roman" w:cs="Times New Roman"/>
          <w:sz w:val="20"/>
          <w:szCs w:val="20"/>
          <w:lang w:val="en-US" w:eastAsia="pt-BR"/>
        </w:rPr>
        <w:t>;</w:t>
      </w:r>
      <w:r w:rsidR="00BA766E" w:rsidRPr="00BA766E">
        <w:rPr>
          <w:rFonts w:ascii="Times New Roman" w:eastAsia="Times New Roman" w:hAnsi="Times New Roman" w:cs="Times New Roman"/>
          <w:sz w:val="20"/>
          <w:szCs w:val="20"/>
          <w:lang w:val="en-US" w:eastAsia="pt-BR"/>
        </w:rPr>
        <w:t xml:space="preserve"> Y. Zhang</w:t>
      </w:r>
      <w:r w:rsidR="007C07C1">
        <w:rPr>
          <w:rFonts w:ascii="Times New Roman" w:eastAsia="Times New Roman" w:hAnsi="Times New Roman" w:cs="Times New Roman"/>
          <w:sz w:val="20"/>
          <w:szCs w:val="20"/>
          <w:lang w:val="en-US" w:eastAsia="pt-BR"/>
        </w:rPr>
        <w:t>;</w:t>
      </w:r>
      <w:r w:rsidR="00BA766E" w:rsidRPr="00BA766E">
        <w:rPr>
          <w:rFonts w:ascii="Times New Roman" w:eastAsia="Times New Roman" w:hAnsi="Times New Roman" w:cs="Times New Roman"/>
          <w:sz w:val="20"/>
          <w:szCs w:val="20"/>
          <w:lang w:val="en-US" w:eastAsia="pt-BR"/>
        </w:rPr>
        <w:t xml:space="preserve"> H. Liu</w:t>
      </w:r>
      <w:r w:rsidR="007C07C1">
        <w:rPr>
          <w:rFonts w:ascii="Times New Roman" w:eastAsia="Times New Roman" w:hAnsi="Times New Roman" w:cs="Times New Roman"/>
          <w:sz w:val="20"/>
          <w:szCs w:val="20"/>
          <w:lang w:val="en-US" w:eastAsia="pt-BR"/>
        </w:rPr>
        <w:t>,</w:t>
      </w:r>
      <w:r w:rsidR="00BA766E" w:rsidRPr="00BA766E">
        <w:rPr>
          <w:rFonts w:ascii="Times New Roman" w:eastAsia="Times New Roman" w:hAnsi="Times New Roman" w:cs="Times New Roman"/>
          <w:sz w:val="20"/>
          <w:szCs w:val="20"/>
          <w:lang w:val="en-US" w:eastAsia="pt-BR"/>
        </w:rPr>
        <w:t xml:space="preserve"> </w:t>
      </w:r>
      <w:r w:rsidR="00BA766E" w:rsidRPr="00472504">
        <w:rPr>
          <w:rFonts w:ascii="Times New Roman" w:eastAsia="Times New Roman" w:hAnsi="Times New Roman" w:cs="Times New Roman"/>
          <w:i/>
          <w:iCs/>
          <w:sz w:val="20"/>
          <w:szCs w:val="20"/>
          <w:lang w:val="en-US" w:eastAsia="pt-BR"/>
        </w:rPr>
        <w:t xml:space="preserve">ACS </w:t>
      </w:r>
      <w:proofErr w:type="spellStart"/>
      <w:r w:rsidR="00BA766E" w:rsidRPr="00472504">
        <w:rPr>
          <w:rFonts w:ascii="Times New Roman" w:eastAsia="Times New Roman" w:hAnsi="Times New Roman" w:cs="Times New Roman"/>
          <w:i/>
          <w:iCs/>
          <w:sz w:val="20"/>
          <w:szCs w:val="20"/>
          <w:lang w:val="en-US" w:eastAsia="pt-BR"/>
        </w:rPr>
        <w:t>Catal</w:t>
      </w:r>
      <w:proofErr w:type="spellEnd"/>
      <w:r w:rsidR="00BA766E" w:rsidRPr="00BA766E">
        <w:rPr>
          <w:rFonts w:ascii="Times New Roman" w:eastAsia="Times New Roman" w:hAnsi="Times New Roman" w:cs="Times New Roman"/>
          <w:sz w:val="20"/>
          <w:szCs w:val="20"/>
          <w:lang w:val="en-US" w:eastAsia="pt-BR"/>
        </w:rPr>
        <w:t xml:space="preserve">. </w:t>
      </w:r>
      <w:r w:rsidR="007C07C1" w:rsidRPr="007C07C1">
        <w:rPr>
          <w:rFonts w:ascii="Times New Roman" w:eastAsia="Times New Roman" w:hAnsi="Times New Roman" w:cs="Times New Roman"/>
          <w:b/>
          <w:bCs/>
          <w:sz w:val="20"/>
          <w:szCs w:val="20"/>
          <w:lang w:eastAsia="pt-BR"/>
        </w:rPr>
        <w:t>2013</w:t>
      </w:r>
      <w:r w:rsidR="007C07C1" w:rsidRPr="007C07C1">
        <w:rPr>
          <w:rFonts w:ascii="Times New Roman" w:eastAsia="Times New Roman" w:hAnsi="Times New Roman" w:cs="Times New Roman"/>
          <w:sz w:val="20"/>
          <w:szCs w:val="20"/>
          <w:lang w:eastAsia="pt-BR"/>
        </w:rPr>
        <w:t xml:space="preserve">, </w:t>
      </w:r>
      <w:r w:rsidR="00BA766E" w:rsidRPr="007C07C1">
        <w:rPr>
          <w:rFonts w:ascii="Times New Roman" w:eastAsia="Times New Roman" w:hAnsi="Times New Roman" w:cs="Times New Roman"/>
          <w:i/>
          <w:iCs/>
          <w:sz w:val="20"/>
          <w:szCs w:val="20"/>
          <w:lang w:eastAsia="pt-BR"/>
        </w:rPr>
        <w:t>3</w:t>
      </w:r>
      <w:r w:rsidR="007C07C1" w:rsidRPr="007C07C1">
        <w:rPr>
          <w:rFonts w:ascii="Times New Roman" w:eastAsia="Times New Roman" w:hAnsi="Times New Roman" w:cs="Times New Roman"/>
          <w:sz w:val="20"/>
          <w:szCs w:val="20"/>
          <w:lang w:eastAsia="pt-BR"/>
        </w:rPr>
        <w:t xml:space="preserve">, </w:t>
      </w:r>
      <w:r w:rsidR="00BA766E" w:rsidRPr="007C07C1">
        <w:rPr>
          <w:rFonts w:ascii="Times New Roman" w:eastAsia="Times New Roman" w:hAnsi="Times New Roman" w:cs="Times New Roman"/>
          <w:sz w:val="20"/>
          <w:szCs w:val="20"/>
          <w:lang w:eastAsia="pt-BR"/>
        </w:rPr>
        <w:t>2112.</w:t>
      </w:r>
    </w:p>
    <w:p w14:paraId="5A238E00" w14:textId="77777777" w:rsidR="008B6AF1" w:rsidRPr="00667097" w:rsidRDefault="008B6AF1" w:rsidP="00AF5929">
      <w:pPr>
        <w:spacing w:after="0" w:line="240" w:lineRule="auto"/>
        <w:jc w:val="both"/>
        <w:rPr>
          <w:rFonts w:ascii="Times New Roman" w:eastAsia="Times New Roman" w:hAnsi="Times New Roman" w:cs="Times New Roman"/>
          <w:sz w:val="20"/>
          <w:szCs w:val="20"/>
          <w:lang w:val="en-US" w:eastAsia="pt-BR"/>
        </w:rPr>
      </w:pPr>
      <w:r w:rsidRPr="00AF5929">
        <w:rPr>
          <w:rFonts w:ascii="Times New Roman" w:eastAsia="Times New Roman" w:hAnsi="Times New Roman" w:cs="Times New Roman"/>
          <w:sz w:val="20"/>
          <w:szCs w:val="20"/>
          <w:lang w:eastAsia="pt-BR"/>
        </w:rPr>
        <w:t xml:space="preserve">3. </w:t>
      </w:r>
      <w:r w:rsidR="00AF5929" w:rsidRPr="00AF5929">
        <w:rPr>
          <w:rFonts w:ascii="Times New Roman" w:eastAsia="Times New Roman" w:hAnsi="Times New Roman" w:cs="Times New Roman"/>
          <w:sz w:val="20"/>
          <w:szCs w:val="20"/>
          <w:lang w:eastAsia="pt-BR"/>
        </w:rPr>
        <w:t xml:space="preserve">F.J.L. </w:t>
      </w:r>
      <w:r w:rsidRPr="00AF5929">
        <w:rPr>
          <w:rFonts w:ascii="Times New Roman" w:eastAsia="Times New Roman" w:hAnsi="Times New Roman" w:cs="Times New Roman"/>
          <w:sz w:val="20"/>
          <w:szCs w:val="20"/>
          <w:lang w:eastAsia="pt-BR"/>
        </w:rPr>
        <w:t>Silveira</w:t>
      </w:r>
      <w:r w:rsidR="007C07C1">
        <w:rPr>
          <w:rFonts w:ascii="Times New Roman" w:eastAsia="Times New Roman" w:hAnsi="Times New Roman" w:cs="Times New Roman"/>
          <w:sz w:val="20"/>
          <w:szCs w:val="20"/>
          <w:lang w:eastAsia="pt-BR"/>
        </w:rPr>
        <w:t>;</w:t>
      </w:r>
      <w:r w:rsidRPr="00AF5929">
        <w:rPr>
          <w:rFonts w:ascii="Times New Roman" w:eastAsia="Times New Roman" w:hAnsi="Times New Roman" w:cs="Times New Roman"/>
          <w:sz w:val="20"/>
          <w:szCs w:val="20"/>
          <w:lang w:eastAsia="pt-BR"/>
        </w:rPr>
        <w:t xml:space="preserve"> </w:t>
      </w:r>
      <w:r w:rsidR="00AF5929" w:rsidRPr="00AF5929">
        <w:rPr>
          <w:rFonts w:ascii="Times New Roman" w:eastAsia="Times New Roman" w:hAnsi="Times New Roman" w:cs="Times New Roman"/>
          <w:sz w:val="20"/>
          <w:szCs w:val="20"/>
          <w:lang w:eastAsia="pt-BR"/>
        </w:rPr>
        <w:t>C.R.</w:t>
      </w:r>
      <w:r w:rsidRPr="00AF5929">
        <w:rPr>
          <w:rFonts w:ascii="Times New Roman" w:eastAsia="Times New Roman" w:hAnsi="Times New Roman" w:cs="Times New Roman"/>
          <w:sz w:val="20"/>
          <w:szCs w:val="20"/>
          <w:lang w:eastAsia="pt-BR"/>
        </w:rPr>
        <w:t xml:space="preserve"> Moreira</w:t>
      </w:r>
      <w:r w:rsidR="007C07C1">
        <w:rPr>
          <w:rFonts w:ascii="Times New Roman" w:eastAsia="Times New Roman" w:hAnsi="Times New Roman" w:cs="Times New Roman"/>
          <w:sz w:val="20"/>
          <w:szCs w:val="20"/>
          <w:lang w:eastAsia="pt-BR"/>
        </w:rPr>
        <w:t>;</w:t>
      </w:r>
      <w:r w:rsidRPr="00AF5929">
        <w:rPr>
          <w:rFonts w:ascii="Times New Roman" w:eastAsia="Times New Roman" w:hAnsi="Times New Roman" w:cs="Times New Roman"/>
          <w:sz w:val="20"/>
          <w:szCs w:val="20"/>
          <w:lang w:eastAsia="pt-BR"/>
        </w:rPr>
        <w:t xml:space="preserve"> I.</w:t>
      </w:r>
      <w:r w:rsidR="00AF5929" w:rsidRPr="00AF5929">
        <w:rPr>
          <w:rFonts w:ascii="Times New Roman" w:eastAsia="Times New Roman" w:hAnsi="Times New Roman" w:cs="Times New Roman"/>
          <w:sz w:val="20"/>
          <w:szCs w:val="20"/>
          <w:lang w:eastAsia="pt-BR"/>
        </w:rPr>
        <w:t xml:space="preserve">D.B. </w:t>
      </w:r>
      <w:proofErr w:type="spellStart"/>
      <w:r w:rsidR="00AF5929" w:rsidRPr="00AF5929">
        <w:rPr>
          <w:rFonts w:ascii="Times New Roman" w:eastAsia="Times New Roman" w:hAnsi="Times New Roman" w:cs="Times New Roman"/>
          <w:sz w:val="20"/>
          <w:szCs w:val="20"/>
          <w:lang w:eastAsia="pt-BR"/>
        </w:rPr>
        <w:t>Grecy</w:t>
      </w:r>
      <w:proofErr w:type="spellEnd"/>
      <w:r w:rsidR="007C07C1">
        <w:rPr>
          <w:rFonts w:ascii="Times New Roman" w:eastAsia="Times New Roman" w:hAnsi="Times New Roman" w:cs="Times New Roman"/>
          <w:sz w:val="20"/>
          <w:szCs w:val="20"/>
          <w:lang w:eastAsia="pt-BR"/>
        </w:rPr>
        <w:t>;</w:t>
      </w:r>
      <w:r w:rsidR="00AF5929" w:rsidRPr="00AF5929">
        <w:rPr>
          <w:rFonts w:ascii="Times New Roman" w:eastAsia="Times New Roman" w:hAnsi="Times New Roman" w:cs="Times New Roman"/>
          <w:sz w:val="20"/>
          <w:szCs w:val="20"/>
          <w:lang w:eastAsia="pt-BR"/>
        </w:rPr>
        <w:t xml:space="preserve"> A.B. </w:t>
      </w:r>
      <w:r w:rsidRPr="00AF5929">
        <w:rPr>
          <w:rFonts w:ascii="Times New Roman" w:eastAsia="Times New Roman" w:hAnsi="Times New Roman" w:cs="Times New Roman"/>
          <w:sz w:val="20"/>
          <w:szCs w:val="20"/>
          <w:lang w:eastAsia="pt-BR"/>
        </w:rPr>
        <w:t xml:space="preserve">Gaspar, </w:t>
      </w:r>
      <w:proofErr w:type="spellStart"/>
      <w:r w:rsidRPr="00472504">
        <w:rPr>
          <w:rFonts w:ascii="Times New Roman" w:eastAsia="Times New Roman" w:hAnsi="Times New Roman" w:cs="Times New Roman"/>
          <w:i/>
          <w:iCs/>
          <w:sz w:val="20"/>
          <w:szCs w:val="20"/>
          <w:lang w:eastAsia="pt-BR"/>
        </w:rPr>
        <w:t>Chem</w:t>
      </w:r>
      <w:proofErr w:type="spellEnd"/>
      <w:r w:rsidR="00AF5929" w:rsidRPr="00472504">
        <w:rPr>
          <w:rFonts w:ascii="Times New Roman" w:eastAsia="Times New Roman" w:hAnsi="Times New Roman" w:cs="Times New Roman"/>
          <w:i/>
          <w:iCs/>
          <w:sz w:val="20"/>
          <w:szCs w:val="20"/>
          <w:lang w:eastAsia="pt-BR"/>
        </w:rPr>
        <w:t xml:space="preserve">. </w:t>
      </w:r>
      <w:r w:rsidRPr="00472504">
        <w:rPr>
          <w:rFonts w:ascii="Times New Roman" w:eastAsia="Times New Roman" w:hAnsi="Times New Roman" w:cs="Times New Roman"/>
          <w:i/>
          <w:iCs/>
          <w:sz w:val="20"/>
          <w:szCs w:val="20"/>
          <w:lang w:val="en-US" w:eastAsia="pt-BR"/>
        </w:rPr>
        <w:t>Select</w:t>
      </w:r>
      <w:r w:rsidRPr="00667097">
        <w:rPr>
          <w:rFonts w:ascii="Times New Roman" w:eastAsia="Times New Roman" w:hAnsi="Times New Roman" w:cs="Times New Roman"/>
          <w:sz w:val="20"/>
          <w:szCs w:val="20"/>
          <w:lang w:val="en-US" w:eastAsia="pt-BR"/>
        </w:rPr>
        <w:t xml:space="preserve"> </w:t>
      </w:r>
      <w:r w:rsidR="007C07C1" w:rsidRPr="00667097">
        <w:rPr>
          <w:rFonts w:ascii="Times New Roman" w:eastAsia="Times New Roman" w:hAnsi="Times New Roman" w:cs="Times New Roman"/>
          <w:b/>
          <w:bCs/>
          <w:sz w:val="20"/>
          <w:szCs w:val="20"/>
          <w:lang w:val="en-US" w:eastAsia="pt-BR"/>
        </w:rPr>
        <w:t>2020</w:t>
      </w:r>
      <w:r w:rsidR="007C07C1" w:rsidRPr="00667097">
        <w:rPr>
          <w:rFonts w:ascii="Times New Roman" w:eastAsia="Times New Roman" w:hAnsi="Times New Roman" w:cs="Times New Roman"/>
          <w:sz w:val="20"/>
          <w:szCs w:val="20"/>
          <w:lang w:val="en-US" w:eastAsia="pt-BR"/>
        </w:rPr>
        <w:t xml:space="preserve">, </w:t>
      </w:r>
      <w:r w:rsidRPr="00667097">
        <w:rPr>
          <w:rFonts w:ascii="Times New Roman" w:eastAsia="Times New Roman" w:hAnsi="Times New Roman" w:cs="Times New Roman"/>
          <w:i/>
          <w:iCs/>
          <w:sz w:val="20"/>
          <w:szCs w:val="20"/>
          <w:lang w:val="en-US" w:eastAsia="pt-BR"/>
        </w:rPr>
        <w:t>5</w:t>
      </w:r>
      <w:r w:rsidR="007C07C1" w:rsidRPr="00667097">
        <w:rPr>
          <w:rFonts w:ascii="Times New Roman" w:eastAsia="Times New Roman" w:hAnsi="Times New Roman" w:cs="Times New Roman"/>
          <w:sz w:val="20"/>
          <w:szCs w:val="20"/>
          <w:lang w:val="en-US" w:eastAsia="pt-BR"/>
        </w:rPr>
        <w:t>,</w:t>
      </w:r>
      <w:r w:rsidRPr="00667097">
        <w:rPr>
          <w:rFonts w:ascii="Times New Roman" w:eastAsia="Times New Roman" w:hAnsi="Times New Roman" w:cs="Times New Roman"/>
          <w:sz w:val="20"/>
          <w:szCs w:val="20"/>
          <w:lang w:val="en-US" w:eastAsia="pt-BR"/>
        </w:rPr>
        <w:t xml:space="preserve"> 13376-13386.</w:t>
      </w:r>
    </w:p>
    <w:p w14:paraId="210B8E69" w14:textId="77777777" w:rsidR="001D2C54" w:rsidRPr="00667097" w:rsidRDefault="001D2C54" w:rsidP="00AF5929">
      <w:pPr>
        <w:spacing w:after="0" w:line="240" w:lineRule="auto"/>
        <w:jc w:val="both"/>
        <w:rPr>
          <w:rFonts w:ascii="Times New Roman" w:eastAsia="Times New Roman" w:hAnsi="Times New Roman" w:cs="Times New Roman"/>
          <w:sz w:val="20"/>
          <w:szCs w:val="20"/>
          <w:lang w:val="en-US" w:eastAsia="pt-BR"/>
        </w:rPr>
      </w:pPr>
      <w:r w:rsidRPr="007C07C1">
        <w:rPr>
          <w:rFonts w:ascii="Times New Roman" w:eastAsia="Times New Roman" w:hAnsi="Times New Roman" w:cs="Times New Roman"/>
          <w:sz w:val="20"/>
          <w:szCs w:val="20"/>
          <w:lang w:val="en-US" w:eastAsia="pt-BR"/>
        </w:rPr>
        <w:t>4.</w:t>
      </w:r>
      <w:r w:rsidRPr="007C07C1">
        <w:rPr>
          <w:lang w:val="en-US"/>
        </w:rPr>
        <w:t xml:space="preserve"> </w:t>
      </w:r>
      <w:r w:rsidRPr="007C07C1">
        <w:rPr>
          <w:rFonts w:ascii="Times New Roman" w:eastAsia="Times New Roman" w:hAnsi="Times New Roman" w:cs="Times New Roman"/>
          <w:sz w:val="20"/>
          <w:szCs w:val="20"/>
          <w:lang w:val="en-US" w:eastAsia="pt-BR"/>
        </w:rPr>
        <w:t>S.S. Priya</w:t>
      </w:r>
      <w:r w:rsidR="007C07C1" w:rsidRPr="007C07C1">
        <w:rPr>
          <w:rFonts w:ascii="Times New Roman" w:eastAsia="Times New Roman" w:hAnsi="Times New Roman" w:cs="Times New Roman"/>
          <w:sz w:val="20"/>
          <w:szCs w:val="20"/>
          <w:lang w:val="en-US" w:eastAsia="pt-BR"/>
        </w:rPr>
        <w:t>;</w:t>
      </w:r>
      <w:r w:rsidRPr="007C07C1">
        <w:rPr>
          <w:rFonts w:ascii="Times New Roman" w:eastAsia="Times New Roman" w:hAnsi="Times New Roman" w:cs="Times New Roman"/>
          <w:sz w:val="20"/>
          <w:szCs w:val="20"/>
          <w:lang w:val="en-US" w:eastAsia="pt-BR"/>
        </w:rPr>
        <w:t xml:space="preserve"> P. </w:t>
      </w:r>
      <w:proofErr w:type="spellStart"/>
      <w:r w:rsidRPr="007C07C1">
        <w:rPr>
          <w:rFonts w:ascii="Times New Roman" w:eastAsia="Times New Roman" w:hAnsi="Times New Roman" w:cs="Times New Roman"/>
          <w:sz w:val="20"/>
          <w:szCs w:val="20"/>
          <w:lang w:val="en-US" w:eastAsia="pt-BR"/>
        </w:rPr>
        <w:t>Bhanuchander</w:t>
      </w:r>
      <w:proofErr w:type="spellEnd"/>
      <w:r w:rsidR="007C07C1" w:rsidRPr="007C07C1">
        <w:rPr>
          <w:rFonts w:ascii="Times New Roman" w:eastAsia="Times New Roman" w:hAnsi="Times New Roman" w:cs="Times New Roman"/>
          <w:sz w:val="20"/>
          <w:szCs w:val="20"/>
          <w:lang w:val="en-US" w:eastAsia="pt-BR"/>
        </w:rPr>
        <w:t>;</w:t>
      </w:r>
      <w:r w:rsidRPr="007C07C1">
        <w:rPr>
          <w:rFonts w:ascii="Times New Roman" w:eastAsia="Times New Roman" w:hAnsi="Times New Roman" w:cs="Times New Roman"/>
          <w:sz w:val="20"/>
          <w:szCs w:val="20"/>
          <w:lang w:val="en-US" w:eastAsia="pt-BR"/>
        </w:rPr>
        <w:t xml:space="preserve"> V.P. Kumar</w:t>
      </w:r>
      <w:r w:rsidR="007C07C1" w:rsidRPr="007C07C1">
        <w:rPr>
          <w:rFonts w:ascii="Times New Roman" w:eastAsia="Times New Roman" w:hAnsi="Times New Roman" w:cs="Times New Roman"/>
          <w:sz w:val="20"/>
          <w:szCs w:val="20"/>
          <w:lang w:val="en-US" w:eastAsia="pt-BR"/>
        </w:rPr>
        <w:t>;</w:t>
      </w:r>
      <w:r w:rsidRPr="007C07C1">
        <w:rPr>
          <w:rFonts w:ascii="Times New Roman" w:eastAsia="Times New Roman" w:hAnsi="Times New Roman" w:cs="Times New Roman"/>
          <w:sz w:val="20"/>
          <w:szCs w:val="20"/>
          <w:lang w:val="en-US" w:eastAsia="pt-BR"/>
        </w:rPr>
        <w:t xml:space="preserve"> S.K. Bhargava</w:t>
      </w:r>
      <w:r w:rsidR="007C07C1" w:rsidRPr="007C07C1">
        <w:rPr>
          <w:rFonts w:ascii="Times New Roman" w:eastAsia="Times New Roman" w:hAnsi="Times New Roman" w:cs="Times New Roman"/>
          <w:sz w:val="20"/>
          <w:szCs w:val="20"/>
          <w:lang w:val="en-US" w:eastAsia="pt-BR"/>
        </w:rPr>
        <w:t>;</w:t>
      </w:r>
      <w:r w:rsidRPr="007C07C1">
        <w:rPr>
          <w:rFonts w:ascii="Times New Roman" w:eastAsia="Times New Roman" w:hAnsi="Times New Roman" w:cs="Times New Roman"/>
          <w:sz w:val="20"/>
          <w:szCs w:val="20"/>
          <w:lang w:val="en-US" w:eastAsia="pt-BR"/>
        </w:rPr>
        <w:t xml:space="preserve"> K.V.R. Chary, </w:t>
      </w:r>
      <w:r w:rsidRPr="00843020">
        <w:rPr>
          <w:rFonts w:ascii="Times New Roman" w:eastAsia="Times New Roman" w:hAnsi="Times New Roman" w:cs="Times New Roman"/>
          <w:i/>
          <w:iCs/>
          <w:sz w:val="20"/>
          <w:szCs w:val="20"/>
          <w:lang w:val="en-US" w:eastAsia="pt-BR"/>
        </w:rPr>
        <w:t>Ind. Eng. Chem. Res.</w:t>
      </w:r>
      <w:r w:rsidRPr="00667097">
        <w:rPr>
          <w:rFonts w:ascii="Times New Roman" w:eastAsia="Times New Roman" w:hAnsi="Times New Roman" w:cs="Times New Roman"/>
          <w:sz w:val="20"/>
          <w:szCs w:val="20"/>
          <w:lang w:val="en-US" w:eastAsia="pt-BR"/>
        </w:rPr>
        <w:t xml:space="preserve"> </w:t>
      </w:r>
      <w:r w:rsidR="007C07C1" w:rsidRPr="00667097">
        <w:rPr>
          <w:rFonts w:ascii="Times New Roman" w:eastAsia="Times New Roman" w:hAnsi="Times New Roman" w:cs="Times New Roman"/>
          <w:b/>
          <w:bCs/>
          <w:sz w:val="20"/>
          <w:szCs w:val="20"/>
          <w:lang w:val="en-US" w:eastAsia="pt-BR"/>
        </w:rPr>
        <w:t>2016</w:t>
      </w:r>
      <w:r w:rsidR="007C07C1" w:rsidRPr="00667097">
        <w:rPr>
          <w:rFonts w:ascii="Times New Roman" w:eastAsia="Times New Roman" w:hAnsi="Times New Roman" w:cs="Times New Roman"/>
          <w:sz w:val="20"/>
          <w:szCs w:val="20"/>
          <w:lang w:val="en-US" w:eastAsia="pt-BR"/>
        </w:rPr>
        <w:t xml:space="preserve">, </w:t>
      </w:r>
      <w:r w:rsidRPr="00667097">
        <w:rPr>
          <w:rFonts w:ascii="Times New Roman" w:eastAsia="Times New Roman" w:hAnsi="Times New Roman" w:cs="Times New Roman"/>
          <w:i/>
          <w:iCs/>
          <w:sz w:val="20"/>
          <w:szCs w:val="20"/>
          <w:lang w:val="en-US" w:eastAsia="pt-BR"/>
        </w:rPr>
        <w:t>55(16)</w:t>
      </w:r>
      <w:r w:rsidR="007C07C1" w:rsidRPr="00667097">
        <w:rPr>
          <w:rFonts w:ascii="Times New Roman" w:eastAsia="Times New Roman" w:hAnsi="Times New Roman" w:cs="Times New Roman"/>
          <w:sz w:val="20"/>
          <w:szCs w:val="20"/>
          <w:lang w:val="en-US" w:eastAsia="pt-BR"/>
        </w:rPr>
        <w:t>,</w:t>
      </w:r>
      <w:r w:rsidRPr="00667097">
        <w:rPr>
          <w:rFonts w:ascii="Times New Roman" w:eastAsia="Times New Roman" w:hAnsi="Times New Roman" w:cs="Times New Roman"/>
          <w:sz w:val="20"/>
          <w:szCs w:val="20"/>
          <w:lang w:val="en-US" w:eastAsia="pt-BR"/>
        </w:rPr>
        <w:t xml:space="preserve"> 4461–4472.</w:t>
      </w:r>
    </w:p>
    <w:p w14:paraId="53632803" w14:textId="77777777" w:rsidR="0057022B" w:rsidRPr="0057022B" w:rsidRDefault="001D2C54" w:rsidP="00AF5929">
      <w:pPr>
        <w:spacing w:after="0" w:line="240" w:lineRule="auto"/>
        <w:jc w:val="both"/>
        <w:rPr>
          <w:rFonts w:ascii="Times New Roman" w:eastAsia="Times New Roman" w:hAnsi="Times New Roman" w:cs="Times New Roman"/>
          <w:sz w:val="20"/>
          <w:szCs w:val="20"/>
          <w:lang w:val="en-US" w:eastAsia="pt-BR"/>
        </w:rPr>
      </w:pPr>
      <w:r w:rsidRPr="00667097">
        <w:rPr>
          <w:rFonts w:ascii="Times New Roman" w:eastAsia="Times New Roman" w:hAnsi="Times New Roman" w:cs="Times New Roman"/>
          <w:sz w:val="20"/>
          <w:szCs w:val="20"/>
          <w:lang w:val="en-US" w:eastAsia="pt-BR"/>
        </w:rPr>
        <w:t>5.</w:t>
      </w:r>
      <w:r w:rsidR="0057022B" w:rsidRPr="00667097">
        <w:rPr>
          <w:lang w:val="en-US"/>
        </w:rPr>
        <w:t xml:space="preserve"> </w:t>
      </w:r>
      <w:r w:rsidR="00C061A3" w:rsidRPr="00667097">
        <w:rPr>
          <w:rFonts w:ascii="Times New Roman" w:eastAsia="Times New Roman" w:hAnsi="Times New Roman" w:cs="Times New Roman"/>
          <w:sz w:val="20"/>
          <w:szCs w:val="20"/>
          <w:lang w:val="en-US" w:eastAsia="pt-BR"/>
        </w:rPr>
        <w:t xml:space="preserve">R.S. Drago, J.A. Dias, T.O. Maier, </w:t>
      </w:r>
      <w:r w:rsidR="00C061A3" w:rsidRPr="00843020">
        <w:rPr>
          <w:rFonts w:ascii="Times New Roman" w:eastAsia="Times New Roman" w:hAnsi="Times New Roman" w:cs="Times New Roman"/>
          <w:i/>
          <w:iCs/>
          <w:sz w:val="20"/>
          <w:szCs w:val="20"/>
          <w:lang w:val="en-US" w:eastAsia="pt-BR"/>
        </w:rPr>
        <w:t>J. Am. Chem. Soc.</w:t>
      </w:r>
      <w:r w:rsidR="007C07C1">
        <w:rPr>
          <w:rFonts w:ascii="Times New Roman" w:eastAsia="Times New Roman" w:hAnsi="Times New Roman" w:cs="Times New Roman"/>
          <w:sz w:val="20"/>
          <w:szCs w:val="20"/>
          <w:lang w:val="en-US" w:eastAsia="pt-BR"/>
        </w:rPr>
        <w:t xml:space="preserve"> </w:t>
      </w:r>
      <w:r w:rsidR="007C07C1" w:rsidRPr="007C07C1">
        <w:rPr>
          <w:rFonts w:ascii="Times New Roman" w:eastAsia="Times New Roman" w:hAnsi="Times New Roman" w:cs="Times New Roman"/>
          <w:b/>
          <w:bCs/>
          <w:sz w:val="20"/>
          <w:szCs w:val="20"/>
          <w:lang w:val="en-US" w:eastAsia="pt-BR"/>
        </w:rPr>
        <w:t>1997</w:t>
      </w:r>
      <w:r w:rsidR="007C07C1">
        <w:rPr>
          <w:rFonts w:ascii="Times New Roman" w:eastAsia="Times New Roman" w:hAnsi="Times New Roman" w:cs="Times New Roman"/>
          <w:sz w:val="20"/>
          <w:szCs w:val="20"/>
          <w:lang w:val="en-US" w:eastAsia="pt-BR"/>
        </w:rPr>
        <w:t xml:space="preserve">, </w:t>
      </w:r>
      <w:r w:rsidR="00C061A3" w:rsidRPr="007C07C1">
        <w:rPr>
          <w:rFonts w:ascii="Times New Roman" w:eastAsia="Times New Roman" w:hAnsi="Times New Roman" w:cs="Times New Roman"/>
          <w:i/>
          <w:iCs/>
          <w:sz w:val="20"/>
          <w:szCs w:val="20"/>
          <w:lang w:val="en-US" w:eastAsia="pt-BR"/>
        </w:rPr>
        <w:t>119(33)</w:t>
      </w:r>
      <w:r w:rsidR="007C07C1">
        <w:rPr>
          <w:rFonts w:ascii="Times New Roman" w:eastAsia="Times New Roman" w:hAnsi="Times New Roman" w:cs="Times New Roman"/>
          <w:sz w:val="20"/>
          <w:szCs w:val="20"/>
          <w:lang w:val="en-US" w:eastAsia="pt-BR"/>
        </w:rPr>
        <w:t>,</w:t>
      </w:r>
      <w:r w:rsidR="00C061A3" w:rsidRPr="00C061A3">
        <w:rPr>
          <w:rFonts w:ascii="Times New Roman" w:eastAsia="Times New Roman" w:hAnsi="Times New Roman" w:cs="Times New Roman"/>
          <w:sz w:val="20"/>
          <w:szCs w:val="20"/>
          <w:lang w:val="en-US" w:eastAsia="pt-BR"/>
        </w:rPr>
        <w:t xml:space="preserve"> 7702–7710</w:t>
      </w:r>
      <w:r w:rsidR="00C061A3">
        <w:rPr>
          <w:rFonts w:ascii="Times New Roman" w:eastAsia="Times New Roman" w:hAnsi="Times New Roman" w:cs="Times New Roman"/>
          <w:sz w:val="20"/>
          <w:szCs w:val="20"/>
          <w:lang w:val="en-US" w:eastAsia="pt-BR"/>
        </w:rPr>
        <w:t>.</w:t>
      </w:r>
    </w:p>
    <w:p w14:paraId="1E02DB13" w14:textId="77777777" w:rsidR="0057022B" w:rsidRDefault="00200D24" w:rsidP="00AF5929">
      <w:pPr>
        <w:spacing w:after="0" w:line="240" w:lineRule="auto"/>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6</w:t>
      </w:r>
      <w:r w:rsidR="00C061A3">
        <w:rPr>
          <w:rFonts w:ascii="Times New Roman" w:eastAsia="Times New Roman" w:hAnsi="Times New Roman" w:cs="Times New Roman"/>
          <w:sz w:val="20"/>
          <w:szCs w:val="20"/>
          <w:lang w:val="en-US" w:eastAsia="pt-BR"/>
        </w:rPr>
        <w:t xml:space="preserve">. </w:t>
      </w:r>
      <w:r w:rsidRPr="00200D24">
        <w:rPr>
          <w:rFonts w:ascii="Times New Roman" w:eastAsia="Times New Roman" w:hAnsi="Times New Roman" w:cs="Times New Roman"/>
          <w:sz w:val="20"/>
          <w:szCs w:val="20"/>
          <w:lang w:val="en-US" w:eastAsia="pt-BR"/>
        </w:rPr>
        <w:t>S</w:t>
      </w:r>
      <w:r w:rsidR="00B0529E">
        <w:rPr>
          <w:rFonts w:ascii="Times New Roman" w:eastAsia="Times New Roman" w:hAnsi="Times New Roman" w:cs="Times New Roman"/>
          <w:sz w:val="20"/>
          <w:szCs w:val="20"/>
          <w:lang w:val="en-US" w:eastAsia="pt-BR"/>
        </w:rPr>
        <w:t>.</w:t>
      </w:r>
      <w:r w:rsidRPr="00200D24">
        <w:rPr>
          <w:rFonts w:ascii="Times New Roman" w:eastAsia="Times New Roman" w:hAnsi="Times New Roman" w:cs="Times New Roman"/>
          <w:sz w:val="20"/>
          <w:szCs w:val="20"/>
          <w:lang w:val="en-US" w:eastAsia="pt-BR"/>
        </w:rPr>
        <w:t xml:space="preserve"> Zhu</w:t>
      </w:r>
      <w:r w:rsidR="007C07C1">
        <w:rPr>
          <w:rFonts w:ascii="Times New Roman" w:eastAsia="Times New Roman" w:hAnsi="Times New Roman" w:cs="Times New Roman"/>
          <w:sz w:val="20"/>
          <w:szCs w:val="20"/>
          <w:lang w:val="en-US" w:eastAsia="pt-BR"/>
        </w:rPr>
        <w:t>;</w:t>
      </w:r>
      <w:r w:rsidRPr="00200D24">
        <w:rPr>
          <w:rFonts w:ascii="Times New Roman" w:eastAsia="Times New Roman" w:hAnsi="Times New Roman" w:cs="Times New Roman"/>
          <w:sz w:val="20"/>
          <w:szCs w:val="20"/>
          <w:lang w:val="en-US" w:eastAsia="pt-BR"/>
        </w:rPr>
        <w:t xml:space="preserve"> Y</w:t>
      </w:r>
      <w:r w:rsidR="00B0529E">
        <w:rPr>
          <w:rFonts w:ascii="Times New Roman" w:eastAsia="Times New Roman" w:hAnsi="Times New Roman" w:cs="Times New Roman"/>
          <w:sz w:val="20"/>
          <w:szCs w:val="20"/>
          <w:lang w:val="en-US" w:eastAsia="pt-BR"/>
        </w:rPr>
        <w:t>.</w:t>
      </w:r>
      <w:r w:rsidRPr="00200D24">
        <w:rPr>
          <w:rFonts w:ascii="Times New Roman" w:eastAsia="Times New Roman" w:hAnsi="Times New Roman" w:cs="Times New Roman"/>
          <w:sz w:val="20"/>
          <w:szCs w:val="20"/>
          <w:lang w:val="en-US" w:eastAsia="pt-BR"/>
        </w:rPr>
        <w:t xml:space="preserve"> </w:t>
      </w:r>
      <w:proofErr w:type="spellStart"/>
      <w:r w:rsidRPr="00200D24">
        <w:rPr>
          <w:rFonts w:ascii="Times New Roman" w:eastAsia="Times New Roman" w:hAnsi="Times New Roman" w:cs="Times New Roman"/>
          <w:sz w:val="20"/>
          <w:szCs w:val="20"/>
          <w:lang w:val="en-US" w:eastAsia="pt-BR"/>
        </w:rPr>
        <w:t>Qiu</w:t>
      </w:r>
      <w:proofErr w:type="spellEnd"/>
      <w:r w:rsidR="007C07C1">
        <w:rPr>
          <w:rFonts w:ascii="Times New Roman" w:eastAsia="Times New Roman" w:hAnsi="Times New Roman" w:cs="Times New Roman"/>
          <w:sz w:val="20"/>
          <w:szCs w:val="20"/>
          <w:lang w:val="en-US" w:eastAsia="pt-BR"/>
        </w:rPr>
        <w:t>;</w:t>
      </w:r>
      <w:r w:rsidRPr="00200D24">
        <w:rPr>
          <w:rFonts w:ascii="Times New Roman" w:eastAsia="Times New Roman" w:hAnsi="Times New Roman" w:cs="Times New Roman"/>
          <w:sz w:val="20"/>
          <w:szCs w:val="20"/>
          <w:lang w:val="en-US" w:eastAsia="pt-BR"/>
        </w:rPr>
        <w:t xml:space="preserve"> Y</w:t>
      </w:r>
      <w:r w:rsidR="00B0529E">
        <w:rPr>
          <w:rFonts w:ascii="Times New Roman" w:eastAsia="Times New Roman" w:hAnsi="Times New Roman" w:cs="Times New Roman"/>
          <w:sz w:val="20"/>
          <w:szCs w:val="20"/>
          <w:lang w:val="en-US" w:eastAsia="pt-BR"/>
        </w:rPr>
        <w:t>.</w:t>
      </w:r>
      <w:r w:rsidRPr="00200D24">
        <w:rPr>
          <w:rFonts w:ascii="Times New Roman" w:eastAsia="Times New Roman" w:hAnsi="Times New Roman" w:cs="Times New Roman"/>
          <w:sz w:val="20"/>
          <w:szCs w:val="20"/>
          <w:lang w:val="en-US" w:eastAsia="pt-BR"/>
        </w:rPr>
        <w:t xml:space="preserve"> Zhu</w:t>
      </w:r>
      <w:r w:rsidR="007C07C1">
        <w:rPr>
          <w:rFonts w:ascii="Times New Roman" w:eastAsia="Times New Roman" w:hAnsi="Times New Roman" w:cs="Times New Roman"/>
          <w:sz w:val="20"/>
          <w:szCs w:val="20"/>
          <w:lang w:val="en-US" w:eastAsia="pt-BR"/>
        </w:rPr>
        <w:t>;</w:t>
      </w:r>
      <w:r w:rsidRPr="00200D24">
        <w:rPr>
          <w:rFonts w:ascii="Times New Roman" w:eastAsia="Times New Roman" w:hAnsi="Times New Roman" w:cs="Times New Roman"/>
          <w:sz w:val="20"/>
          <w:szCs w:val="20"/>
          <w:lang w:val="en-US" w:eastAsia="pt-BR"/>
        </w:rPr>
        <w:t xml:space="preserve"> S</w:t>
      </w:r>
      <w:r w:rsidR="00B0529E">
        <w:rPr>
          <w:rFonts w:ascii="Times New Roman" w:eastAsia="Times New Roman" w:hAnsi="Times New Roman" w:cs="Times New Roman"/>
          <w:sz w:val="20"/>
          <w:szCs w:val="20"/>
          <w:lang w:val="en-US" w:eastAsia="pt-BR"/>
        </w:rPr>
        <w:t>.</w:t>
      </w:r>
      <w:r w:rsidRPr="00200D24">
        <w:rPr>
          <w:rFonts w:ascii="Times New Roman" w:eastAsia="Times New Roman" w:hAnsi="Times New Roman" w:cs="Times New Roman"/>
          <w:sz w:val="20"/>
          <w:szCs w:val="20"/>
          <w:lang w:val="en-US" w:eastAsia="pt-BR"/>
        </w:rPr>
        <w:t xml:space="preserve"> Hao</w:t>
      </w:r>
      <w:r w:rsidR="007C07C1">
        <w:rPr>
          <w:rFonts w:ascii="Times New Roman" w:eastAsia="Times New Roman" w:hAnsi="Times New Roman" w:cs="Times New Roman"/>
          <w:sz w:val="20"/>
          <w:szCs w:val="20"/>
          <w:lang w:val="en-US" w:eastAsia="pt-BR"/>
        </w:rPr>
        <w:t>;</w:t>
      </w:r>
      <w:r w:rsidRPr="00200D24">
        <w:rPr>
          <w:rFonts w:ascii="Times New Roman" w:eastAsia="Times New Roman" w:hAnsi="Times New Roman" w:cs="Times New Roman"/>
          <w:sz w:val="20"/>
          <w:szCs w:val="20"/>
          <w:lang w:val="en-US" w:eastAsia="pt-BR"/>
        </w:rPr>
        <w:t xml:space="preserve"> H</w:t>
      </w:r>
      <w:r w:rsidR="00B0529E">
        <w:rPr>
          <w:rFonts w:ascii="Times New Roman" w:eastAsia="Times New Roman" w:hAnsi="Times New Roman" w:cs="Times New Roman"/>
          <w:sz w:val="20"/>
          <w:szCs w:val="20"/>
          <w:lang w:val="en-US" w:eastAsia="pt-BR"/>
        </w:rPr>
        <w:t>.</w:t>
      </w:r>
      <w:r w:rsidRPr="00200D24">
        <w:rPr>
          <w:rFonts w:ascii="Times New Roman" w:eastAsia="Times New Roman" w:hAnsi="Times New Roman" w:cs="Times New Roman"/>
          <w:sz w:val="20"/>
          <w:szCs w:val="20"/>
          <w:lang w:val="en-US" w:eastAsia="pt-BR"/>
        </w:rPr>
        <w:t xml:space="preserve"> Zheng</w:t>
      </w:r>
      <w:r w:rsidR="007C07C1">
        <w:rPr>
          <w:rFonts w:ascii="Times New Roman" w:eastAsia="Times New Roman" w:hAnsi="Times New Roman" w:cs="Times New Roman"/>
          <w:sz w:val="20"/>
          <w:szCs w:val="20"/>
          <w:lang w:val="en-US" w:eastAsia="pt-BR"/>
        </w:rPr>
        <w:t>;</w:t>
      </w:r>
      <w:r w:rsidRPr="00200D24">
        <w:rPr>
          <w:rFonts w:ascii="Times New Roman" w:eastAsia="Times New Roman" w:hAnsi="Times New Roman" w:cs="Times New Roman"/>
          <w:sz w:val="20"/>
          <w:szCs w:val="20"/>
          <w:lang w:val="en-US" w:eastAsia="pt-BR"/>
        </w:rPr>
        <w:t xml:space="preserve"> Y</w:t>
      </w:r>
      <w:r w:rsidR="00B0529E">
        <w:rPr>
          <w:rFonts w:ascii="Times New Roman" w:eastAsia="Times New Roman" w:hAnsi="Times New Roman" w:cs="Times New Roman"/>
          <w:sz w:val="20"/>
          <w:szCs w:val="20"/>
          <w:lang w:val="en-US" w:eastAsia="pt-BR"/>
        </w:rPr>
        <w:t>.</w:t>
      </w:r>
      <w:r w:rsidRPr="00200D24">
        <w:rPr>
          <w:rFonts w:ascii="Times New Roman" w:eastAsia="Times New Roman" w:hAnsi="Times New Roman" w:cs="Times New Roman"/>
          <w:sz w:val="20"/>
          <w:szCs w:val="20"/>
          <w:lang w:val="en-US" w:eastAsia="pt-BR"/>
        </w:rPr>
        <w:t xml:space="preserve"> Li</w:t>
      </w:r>
      <w:r w:rsidR="00B0529E">
        <w:rPr>
          <w:rFonts w:ascii="Times New Roman" w:eastAsia="Times New Roman" w:hAnsi="Times New Roman" w:cs="Times New Roman"/>
          <w:sz w:val="20"/>
          <w:szCs w:val="20"/>
          <w:lang w:val="en-US" w:eastAsia="pt-BR"/>
        </w:rPr>
        <w:t xml:space="preserve">, </w:t>
      </w:r>
      <w:proofErr w:type="spellStart"/>
      <w:r w:rsidR="00B0529E" w:rsidRPr="00843020">
        <w:rPr>
          <w:rFonts w:ascii="Times New Roman" w:eastAsia="Times New Roman" w:hAnsi="Times New Roman" w:cs="Times New Roman"/>
          <w:i/>
          <w:iCs/>
          <w:sz w:val="20"/>
          <w:szCs w:val="20"/>
          <w:lang w:val="en-US" w:eastAsia="pt-BR"/>
        </w:rPr>
        <w:t>Catal</w:t>
      </w:r>
      <w:proofErr w:type="spellEnd"/>
      <w:r w:rsidR="00B0529E" w:rsidRPr="00843020">
        <w:rPr>
          <w:rFonts w:ascii="Times New Roman" w:eastAsia="Times New Roman" w:hAnsi="Times New Roman" w:cs="Times New Roman"/>
          <w:i/>
          <w:iCs/>
          <w:sz w:val="20"/>
          <w:szCs w:val="20"/>
          <w:lang w:val="en-US" w:eastAsia="pt-BR"/>
        </w:rPr>
        <w:t>. Today</w:t>
      </w:r>
      <w:r w:rsidR="00B0529E" w:rsidRPr="00B0529E">
        <w:rPr>
          <w:rFonts w:ascii="Times New Roman" w:eastAsia="Times New Roman" w:hAnsi="Times New Roman" w:cs="Times New Roman"/>
          <w:sz w:val="20"/>
          <w:szCs w:val="20"/>
          <w:lang w:val="en-US" w:eastAsia="pt-BR"/>
        </w:rPr>
        <w:t xml:space="preserve"> </w:t>
      </w:r>
      <w:r w:rsidR="007C07C1" w:rsidRPr="007C07C1">
        <w:rPr>
          <w:rFonts w:ascii="Times New Roman" w:eastAsia="Times New Roman" w:hAnsi="Times New Roman" w:cs="Times New Roman"/>
          <w:b/>
          <w:bCs/>
          <w:sz w:val="20"/>
          <w:szCs w:val="20"/>
          <w:lang w:val="en-US" w:eastAsia="pt-BR"/>
        </w:rPr>
        <w:t>2013</w:t>
      </w:r>
      <w:r w:rsidR="007C07C1">
        <w:rPr>
          <w:rFonts w:ascii="Times New Roman" w:eastAsia="Times New Roman" w:hAnsi="Times New Roman" w:cs="Times New Roman"/>
          <w:sz w:val="20"/>
          <w:szCs w:val="20"/>
          <w:lang w:val="en-US" w:eastAsia="pt-BR"/>
        </w:rPr>
        <w:t xml:space="preserve">, </w:t>
      </w:r>
      <w:r w:rsidR="00B0529E" w:rsidRPr="007C07C1">
        <w:rPr>
          <w:rFonts w:ascii="Times New Roman" w:eastAsia="Times New Roman" w:hAnsi="Times New Roman" w:cs="Times New Roman"/>
          <w:i/>
          <w:iCs/>
          <w:sz w:val="20"/>
          <w:szCs w:val="20"/>
          <w:lang w:val="en-US" w:eastAsia="pt-BR"/>
        </w:rPr>
        <w:t>212</w:t>
      </w:r>
      <w:r w:rsidR="007C07C1">
        <w:rPr>
          <w:rFonts w:ascii="Times New Roman" w:eastAsia="Times New Roman" w:hAnsi="Times New Roman" w:cs="Times New Roman"/>
          <w:sz w:val="20"/>
          <w:szCs w:val="20"/>
          <w:lang w:val="en-US" w:eastAsia="pt-BR"/>
        </w:rPr>
        <w:t>,</w:t>
      </w:r>
      <w:r w:rsidR="00B0529E" w:rsidRPr="00B0529E">
        <w:rPr>
          <w:rFonts w:ascii="Times New Roman" w:eastAsia="Times New Roman" w:hAnsi="Times New Roman" w:cs="Times New Roman"/>
          <w:sz w:val="20"/>
          <w:szCs w:val="20"/>
          <w:lang w:val="en-US" w:eastAsia="pt-BR"/>
        </w:rPr>
        <w:t xml:space="preserve"> 120– 126</w:t>
      </w:r>
      <w:r w:rsidR="00B0529E">
        <w:rPr>
          <w:rFonts w:ascii="Times New Roman" w:eastAsia="Times New Roman" w:hAnsi="Times New Roman" w:cs="Times New Roman"/>
          <w:sz w:val="20"/>
          <w:szCs w:val="20"/>
          <w:lang w:val="en-US" w:eastAsia="pt-BR"/>
        </w:rPr>
        <w:t>.</w:t>
      </w:r>
    </w:p>
    <w:p w14:paraId="6E9B3587" w14:textId="77777777" w:rsidR="00B0529E" w:rsidRDefault="002F35DE" w:rsidP="00AF5929">
      <w:pPr>
        <w:spacing w:after="0" w:line="240" w:lineRule="auto"/>
        <w:jc w:val="both"/>
        <w:rPr>
          <w:rFonts w:ascii="Times New Roman" w:eastAsia="Times New Roman" w:hAnsi="Times New Roman" w:cs="Times New Roman"/>
          <w:sz w:val="20"/>
          <w:szCs w:val="20"/>
          <w:lang w:val="en-US" w:eastAsia="pt-BR"/>
        </w:rPr>
      </w:pPr>
      <w:r w:rsidRPr="002F35DE">
        <w:rPr>
          <w:rFonts w:ascii="Times New Roman" w:eastAsia="Times New Roman" w:hAnsi="Times New Roman" w:cs="Times New Roman"/>
          <w:sz w:val="20"/>
          <w:szCs w:val="20"/>
          <w:lang w:val="en-US" w:eastAsia="pt-BR"/>
        </w:rPr>
        <w:t>7. J. ten Dam</w:t>
      </w:r>
      <w:r w:rsidR="007C07C1">
        <w:rPr>
          <w:rFonts w:ascii="Times New Roman" w:eastAsia="Times New Roman" w:hAnsi="Times New Roman" w:cs="Times New Roman"/>
          <w:sz w:val="20"/>
          <w:szCs w:val="20"/>
          <w:lang w:val="en-US" w:eastAsia="pt-BR"/>
        </w:rPr>
        <w:t>;</w:t>
      </w:r>
      <w:r w:rsidRPr="002F35DE">
        <w:rPr>
          <w:rFonts w:ascii="Times New Roman" w:eastAsia="Times New Roman" w:hAnsi="Times New Roman" w:cs="Times New Roman"/>
          <w:sz w:val="20"/>
          <w:szCs w:val="20"/>
          <w:lang w:val="en-US" w:eastAsia="pt-BR"/>
        </w:rPr>
        <w:t xml:space="preserve"> K. </w:t>
      </w:r>
      <w:proofErr w:type="spellStart"/>
      <w:r w:rsidRPr="002F35DE">
        <w:rPr>
          <w:rFonts w:ascii="Times New Roman" w:eastAsia="Times New Roman" w:hAnsi="Times New Roman" w:cs="Times New Roman"/>
          <w:sz w:val="20"/>
          <w:szCs w:val="20"/>
          <w:lang w:val="en-US" w:eastAsia="pt-BR"/>
        </w:rPr>
        <w:t>Djanashvili</w:t>
      </w:r>
      <w:proofErr w:type="spellEnd"/>
      <w:r w:rsidR="007C07C1">
        <w:rPr>
          <w:rFonts w:ascii="Times New Roman" w:eastAsia="Times New Roman" w:hAnsi="Times New Roman" w:cs="Times New Roman"/>
          <w:sz w:val="20"/>
          <w:szCs w:val="20"/>
          <w:lang w:val="en-US" w:eastAsia="pt-BR"/>
        </w:rPr>
        <w:t>;</w:t>
      </w:r>
      <w:r w:rsidRPr="002F35DE">
        <w:rPr>
          <w:rFonts w:ascii="Times New Roman" w:eastAsia="Times New Roman" w:hAnsi="Times New Roman" w:cs="Times New Roman"/>
          <w:sz w:val="20"/>
          <w:szCs w:val="20"/>
          <w:lang w:val="en-US" w:eastAsia="pt-BR"/>
        </w:rPr>
        <w:t xml:space="preserve"> F. </w:t>
      </w:r>
      <w:proofErr w:type="spellStart"/>
      <w:r w:rsidRPr="002F35DE">
        <w:rPr>
          <w:rFonts w:ascii="Times New Roman" w:eastAsia="Times New Roman" w:hAnsi="Times New Roman" w:cs="Times New Roman"/>
          <w:sz w:val="20"/>
          <w:szCs w:val="20"/>
          <w:lang w:val="en-US" w:eastAsia="pt-BR"/>
        </w:rPr>
        <w:t>Kapteijn</w:t>
      </w:r>
      <w:proofErr w:type="spellEnd"/>
      <w:r w:rsidR="007C07C1">
        <w:rPr>
          <w:rFonts w:ascii="Times New Roman" w:eastAsia="Times New Roman" w:hAnsi="Times New Roman" w:cs="Times New Roman"/>
          <w:sz w:val="20"/>
          <w:szCs w:val="20"/>
          <w:lang w:val="en-US" w:eastAsia="pt-BR"/>
        </w:rPr>
        <w:t>;</w:t>
      </w:r>
      <w:r w:rsidRPr="002F35DE">
        <w:rPr>
          <w:rFonts w:ascii="Times New Roman" w:eastAsia="Times New Roman" w:hAnsi="Times New Roman" w:cs="Times New Roman"/>
          <w:sz w:val="20"/>
          <w:szCs w:val="20"/>
          <w:lang w:val="en-US" w:eastAsia="pt-BR"/>
        </w:rPr>
        <w:t xml:space="preserve"> U</w:t>
      </w:r>
      <w:r>
        <w:rPr>
          <w:rFonts w:ascii="Times New Roman" w:eastAsia="Times New Roman" w:hAnsi="Times New Roman" w:cs="Times New Roman"/>
          <w:sz w:val="20"/>
          <w:szCs w:val="20"/>
          <w:lang w:val="en-US" w:eastAsia="pt-BR"/>
        </w:rPr>
        <w:t xml:space="preserve">. </w:t>
      </w:r>
      <w:proofErr w:type="spellStart"/>
      <w:r w:rsidRPr="002F35DE">
        <w:rPr>
          <w:rFonts w:ascii="Times New Roman" w:eastAsia="Times New Roman" w:hAnsi="Times New Roman" w:cs="Times New Roman"/>
          <w:sz w:val="20"/>
          <w:szCs w:val="20"/>
          <w:lang w:val="en-US" w:eastAsia="pt-BR"/>
        </w:rPr>
        <w:t>Hanefeld</w:t>
      </w:r>
      <w:proofErr w:type="spellEnd"/>
      <w:r>
        <w:rPr>
          <w:rFonts w:ascii="Times New Roman" w:eastAsia="Times New Roman" w:hAnsi="Times New Roman" w:cs="Times New Roman"/>
          <w:sz w:val="20"/>
          <w:szCs w:val="20"/>
          <w:lang w:val="en-US" w:eastAsia="pt-BR"/>
        </w:rPr>
        <w:t xml:space="preserve">, </w:t>
      </w:r>
      <w:proofErr w:type="spellStart"/>
      <w:r w:rsidRPr="00843020">
        <w:rPr>
          <w:rFonts w:ascii="Times New Roman" w:eastAsia="Times New Roman" w:hAnsi="Times New Roman" w:cs="Times New Roman"/>
          <w:i/>
          <w:iCs/>
          <w:sz w:val="20"/>
          <w:szCs w:val="20"/>
          <w:lang w:val="en-US" w:eastAsia="pt-BR"/>
        </w:rPr>
        <w:t>ChemCatChem</w:t>
      </w:r>
      <w:proofErr w:type="spellEnd"/>
      <w:r w:rsidRPr="002F35DE">
        <w:rPr>
          <w:rFonts w:ascii="Times New Roman" w:eastAsia="Times New Roman" w:hAnsi="Times New Roman" w:cs="Times New Roman"/>
          <w:sz w:val="20"/>
          <w:szCs w:val="20"/>
          <w:lang w:val="en-US" w:eastAsia="pt-BR"/>
        </w:rPr>
        <w:t xml:space="preserve"> </w:t>
      </w:r>
      <w:r w:rsidR="007C07C1" w:rsidRPr="007C07C1">
        <w:rPr>
          <w:rFonts w:ascii="Times New Roman" w:eastAsia="Times New Roman" w:hAnsi="Times New Roman" w:cs="Times New Roman"/>
          <w:b/>
          <w:bCs/>
          <w:sz w:val="20"/>
          <w:szCs w:val="20"/>
          <w:lang w:val="en-US" w:eastAsia="pt-BR"/>
        </w:rPr>
        <w:t>2013</w:t>
      </w:r>
      <w:r w:rsidR="007C07C1">
        <w:rPr>
          <w:rFonts w:ascii="Times New Roman" w:eastAsia="Times New Roman" w:hAnsi="Times New Roman" w:cs="Times New Roman"/>
          <w:sz w:val="20"/>
          <w:szCs w:val="20"/>
          <w:lang w:val="en-US" w:eastAsia="pt-BR"/>
        </w:rPr>
        <w:t xml:space="preserve">, </w:t>
      </w:r>
      <w:r w:rsidRPr="007C07C1">
        <w:rPr>
          <w:rFonts w:ascii="Times New Roman" w:eastAsia="Times New Roman" w:hAnsi="Times New Roman" w:cs="Times New Roman"/>
          <w:i/>
          <w:iCs/>
          <w:sz w:val="20"/>
          <w:szCs w:val="20"/>
          <w:lang w:val="en-US" w:eastAsia="pt-BR"/>
        </w:rPr>
        <w:t>5</w:t>
      </w:r>
      <w:r w:rsidR="007C07C1">
        <w:rPr>
          <w:rFonts w:ascii="Times New Roman" w:eastAsia="Times New Roman" w:hAnsi="Times New Roman" w:cs="Times New Roman"/>
          <w:sz w:val="20"/>
          <w:szCs w:val="20"/>
          <w:lang w:val="en-US" w:eastAsia="pt-BR"/>
        </w:rPr>
        <w:t>,</w:t>
      </w:r>
      <w:r w:rsidRPr="002F35DE">
        <w:rPr>
          <w:rFonts w:ascii="Times New Roman" w:eastAsia="Times New Roman" w:hAnsi="Times New Roman" w:cs="Times New Roman"/>
          <w:sz w:val="20"/>
          <w:szCs w:val="20"/>
          <w:lang w:val="en-US" w:eastAsia="pt-BR"/>
        </w:rPr>
        <w:t xml:space="preserve"> 497–505</w:t>
      </w:r>
      <w:r>
        <w:rPr>
          <w:rFonts w:ascii="Times New Roman" w:eastAsia="Times New Roman" w:hAnsi="Times New Roman" w:cs="Times New Roman"/>
          <w:sz w:val="20"/>
          <w:szCs w:val="20"/>
          <w:lang w:val="en-US" w:eastAsia="pt-BR"/>
        </w:rPr>
        <w:t>.</w:t>
      </w:r>
    </w:p>
    <w:p w14:paraId="53615CC6" w14:textId="77777777" w:rsidR="00B36DB2" w:rsidRPr="003C7080" w:rsidRDefault="00B36DB2" w:rsidP="00AF5929">
      <w:pPr>
        <w:spacing w:after="0" w:line="240" w:lineRule="auto"/>
        <w:jc w:val="both"/>
        <w:rPr>
          <w:rFonts w:ascii="Times New Roman" w:eastAsia="Times New Roman" w:hAnsi="Times New Roman" w:cs="Times New Roman"/>
          <w:sz w:val="20"/>
          <w:szCs w:val="20"/>
          <w:lang w:val="en-US" w:eastAsia="pt-BR"/>
        </w:rPr>
      </w:pPr>
      <w:r w:rsidRPr="003C7080">
        <w:rPr>
          <w:rFonts w:ascii="Times New Roman" w:eastAsia="Times New Roman" w:hAnsi="Times New Roman" w:cs="Times New Roman"/>
          <w:sz w:val="20"/>
          <w:szCs w:val="20"/>
          <w:lang w:val="en-US" w:eastAsia="pt-BR"/>
        </w:rPr>
        <w:t xml:space="preserve">8. </w:t>
      </w:r>
      <w:r w:rsidR="003C7080" w:rsidRPr="003C7080">
        <w:rPr>
          <w:rFonts w:ascii="Times New Roman" w:eastAsia="Times New Roman" w:hAnsi="Times New Roman" w:cs="Times New Roman"/>
          <w:sz w:val="20"/>
          <w:szCs w:val="20"/>
          <w:lang w:val="en-US" w:eastAsia="pt-BR"/>
        </w:rPr>
        <w:t>M</w:t>
      </w:r>
      <w:r w:rsidR="003C7080">
        <w:rPr>
          <w:rFonts w:ascii="Times New Roman" w:eastAsia="Times New Roman" w:hAnsi="Times New Roman" w:cs="Times New Roman"/>
          <w:sz w:val="20"/>
          <w:szCs w:val="20"/>
          <w:lang w:val="en-US" w:eastAsia="pt-BR"/>
        </w:rPr>
        <w:t>.</w:t>
      </w:r>
      <w:r w:rsidR="003C7080" w:rsidRPr="003C7080">
        <w:rPr>
          <w:rFonts w:ascii="Times New Roman" w:eastAsia="Times New Roman" w:hAnsi="Times New Roman" w:cs="Times New Roman"/>
          <w:sz w:val="20"/>
          <w:szCs w:val="20"/>
          <w:lang w:val="en-US" w:eastAsia="pt-BR"/>
        </w:rPr>
        <w:t xml:space="preserve"> </w:t>
      </w:r>
      <w:proofErr w:type="spellStart"/>
      <w:r w:rsidR="003C7080" w:rsidRPr="003C7080">
        <w:rPr>
          <w:rFonts w:ascii="Times New Roman" w:eastAsia="Times New Roman" w:hAnsi="Times New Roman" w:cs="Times New Roman"/>
          <w:sz w:val="20"/>
          <w:szCs w:val="20"/>
          <w:lang w:val="en-US" w:eastAsia="pt-BR"/>
        </w:rPr>
        <w:t>Yurdakoç</w:t>
      </w:r>
      <w:proofErr w:type="spellEnd"/>
      <w:r w:rsidR="003C7080">
        <w:rPr>
          <w:rFonts w:ascii="Cambria Math" w:eastAsia="Times New Roman" w:hAnsi="Cambria Math" w:cs="Cambria Math"/>
          <w:sz w:val="20"/>
          <w:szCs w:val="20"/>
          <w:lang w:val="en-US" w:eastAsia="pt-BR"/>
        </w:rPr>
        <w:t>;</w:t>
      </w:r>
      <w:r w:rsidR="003C7080" w:rsidRPr="003C7080">
        <w:rPr>
          <w:rFonts w:ascii="Times New Roman" w:eastAsia="Times New Roman" w:hAnsi="Times New Roman" w:cs="Times New Roman"/>
          <w:sz w:val="20"/>
          <w:szCs w:val="20"/>
          <w:lang w:val="en-US" w:eastAsia="pt-BR"/>
        </w:rPr>
        <w:t xml:space="preserve"> Y</w:t>
      </w:r>
      <w:r w:rsidR="003C7080">
        <w:rPr>
          <w:rFonts w:ascii="Times New Roman" w:eastAsia="Times New Roman" w:hAnsi="Times New Roman" w:cs="Times New Roman"/>
          <w:sz w:val="20"/>
          <w:szCs w:val="20"/>
          <w:lang w:val="en-US" w:eastAsia="pt-BR"/>
        </w:rPr>
        <w:t>.</w:t>
      </w:r>
      <w:r w:rsidR="003C7080" w:rsidRPr="003C7080">
        <w:rPr>
          <w:rFonts w:ascii="Times New Roman" w:eastAsia="Times New Roman" w:hAnsi="Times New Roman" w:cs="Times New Roman"/>
          <w:sz w:val="20"/>
          <w:szCs w:val="20"/>
          <w:lang w:val="en-US" w:eastAsia="pt-BR"/>
        </w:rPr>
        <w:t xml:space="preserve"> Seki</w:t>
      </w:r>
      <w:r w:rsidR="003C7080">
        <w:rPr>
          <w:rFonts w:ascii="Times New Roman" w:eastAsia="Times New Roman" w:hAnsi="Times New Roman" w:cs="Times New Roman"/>
          <w:sz w:val="20"/>
          <w:szCs w:val="20"/>
          <w:lang w:val="en-US" w:eastAsia="pt-BR"/>
        </w:rPr>
        <w:t>;</w:t>
      </w:r>
      <w:r w:rsidR="003C7080" w:rsidRPr="003C7080">
        <w:rPr>
          <w:rFonts w:ascii="Times New Roman" w:eastAsia="Times New Roman" w:hAnsi="Times New Roman" w:cs="Times New Roman"/>
          <w:sz w:val="20"/>
          <w:szCs w:val="20"/>
          <w:lang w:val="en-US" w:eastAsia="pt-BR"/>
        </w:rPr>
        <w:t xml:space="preserve"> S</w:t>
      </w:r>
      <w:r w:rsidR="003C7080">
        <w:rPr>
          <w:rFonts w:ascii="Times New Roman" w:eastAsia="Times New Roman" w:hAnsi="Times New Roman" w:cs="Times New Roman"/>
          <w:sz w:val="20"/>
          <w:szCs w:val="20"/>
          <w:lang w:val="en-US" w:eastAsia="pt-BR"/>
        </w:rPr>
        <w:t>.</w:t>
      </w:r>
      <w:r w:rsidR="003C7080" w:rsidRPr="003C7080">
        <w:rPr>
          <w:rFonts w:ascii="Times New Roman" w:eastAsia="Times New Roman" w:hAnsi="Times New Roman" w:cs="Times New Roman"/>
          <w:sz w:val="20"/>
          <w:szCs w:val="20"/>
          <w:lang w:val="en-US" w:eastAsia="pt-BR"/>
        </w:rPr>
        <w:t xml:space="preserve"> Karahan</w:t>
      </w:r>
      <w:r w:rsidR="003C7080">
        <w:rPr>
          <w:rFonts w:ascii="Times New Roman" w:eastAsia="Times New Roman" w:hAnsi="Times New Roman" w:cs="Times New Roman"/>
          <w:sz w:val="20"/>
          <w:szCs w:val="20"/>
          <w:lang w:val="en-US" w:eastAsia="pt-BR"/>
        </w:rPr>
        <w:t>;</w:t>
      </w:r>
      <w:r w:rsidR="003C7080" w:rsidRPr="003C7080">
        <w:rPr>
          <w:rFonts w:ascii="Times New Roman" w:eastAsia="Times New Roman" w:hAnsi="Times New Roman" w:cs="Times New Roman"/>
          <w:sz w:val="20"/>
          <w:szCs w:val="20"/>
          <w:lang w:val="en-US" w:eastAsia="pt-BR"/>
        </w:rPr>
        <w:t xml:space="preserve"> K</w:t>
      </w:r>
      <w:r w:rsidR="003C7080">
        <w:rPr>
          <w:rFonts w:ascii="Times New Roman" w:eastAsia="Times New Roman" w:hAnsi="Times New Roman" w:cs="Times New Roman"/>
          <w:sz w:val="20"/>
          <w:szCs w:val="20"/>
          <w:lang w:val="en-US" w:eastAsia="pt-BR"/>
        </w:rPr>
        <w:t>.</w:t>
      </w:r>
      <w:r w:rsidR="003C7080" w:rsidRPr="003C7080">
        <w:rPr>
          <w:rFonts w:ascii="Times New Roman" w:eastAsia="Times New Roman" w:hAnsi="Times New Roman" w:cs="Times New Roman"/>
          <w:sz w:val="20"/>
          <w:szCs w:val="20"/>
          <w:lang w:val="en-US" w:eastAsia="pt-BR"/>
        </w:rPr>
        <w:t xml:space="preserve"> </w:t>
      </w:r>
      <w:proofErr w:type="spellStart"/>
      <w:r w:rsidR="003C7080" w:rsidRPr="003C7080">
        <w:rPr>
          <w:rFonts w:ascii="Times New Roman" w:eastAsia="Times New Roman" w:hAnsi="Times New Roman" w:cs="Times New Roman"/>
          <w:sz w:val="20"/>
          <w:szCs w:val="20"/>
          <w:lang w:val="en-US" w:eastAsia="pt-BR"/>
        </w:rPr>
        <w:t>Yurdakoç</w:t>
      </w:r>
      <w:proofErr w:type="spellEnd"/>
      <w:r w:rsidR="003C7080">
        <w:rPr>
          <w:rFonts w:ascii="Times New Roman" w:eastAsia="Times New Roman" w:hAnsi="Times New Roman" w:cs="Times New Roman"/>
          <w:sz w:val="20"/>
          <w:szCs w:val="20"/>
          <w:lang w:val="en-US" w:eastAsia="pt-BR"/>
        </w:rPr>
        <w:t xml:space="preserve">, </w:t>
      </w:r>
      <w:r w:rsidR="003C7080" w:rsidRPr="00843020">
        <w:rPr>
          <w:rFonts w:ascii="Times New Roman" w:eastAsia="Times New Roman" w:hAnsi="Times New Roman" w:cs="Times New Roman"/>
          <w:i/>
          <w:iCs/>
          <w:sz w:val="20"/>
          <w:szCs w:val="20"/>
          <w:lang w:val="en-US" w:eastAsia="pt-BR"/>
        </w:rPr>
        <w:t>J. Coll. Int. Sci.</w:t>
      </w:r>
      <w:r w:rsidR="003C7080" w:rsidRPr="003C7080">
        <w:rPr>
          <w:rFonts w:ascii="Times New Roman" w:eastAsia="Times New Roman" w:hAnsi="Times New Roman" w:cs="Times New Roman"/>
          <w:sz w:val="20"/>
          <w:szCs w:val="20"/>
          <w:lang w:val="en-US" w:eastAsia="pt-BR"/>
        </w:rPr>
        <w:t xml:space="preserve"> </w:t>
      </w:r>
      <w:r w:rsidR="003C7080" w:rsidRPr="003C7080">
        <w:rPr>
          <w:rFonts w:ascii="Times New Roman" w:eastAsia="Times New Roman" w:hAnsi="Times New Roman" w:cs="Times New Roman"/>
          <w:b/>
          <w:bCs/>
          <w:sz w:val="20"/>
          <w:szCs w:val="20"/>
          <w:lang w:val="en-US" w:eastAsia="pt-BR"/>
        </w:rPr>
        <w:t>2005</w:t>
      </w:r>
      <w:r w:rsidR="003C7080">
        <w:rPr>
          <w:rFonts w:ascii="Times New Roman" w:eastAsia="Times New Roman" w:hAnsi="Times New Roman" w:cs="Times New Roman"/>
          <w:sz w:val="20"/>
          <w:szCs w:val="20"/>
          <w:lang w:val="en-US" w:eastAsia="pt-BR"/>
        </w:rPr>
        <w:t xml:space="preserve">, </w:t>
      </w:r>
      <w:r w:rsidR="003C7080" w:rsidRPr="003C7080">
        <w:rPr>
          <w:rFonts w:ascii="Times New Roman" w:eastAsia="Times New Roman" w:hAnsi="Times New Roman" w:cs="Times New Roman"/>
          <w:i/>
          <w:iCs/>
          <w:sz w:val="20"/>
          <w:szCs w:val="20"/>
          <w:lang w:val="en-US" w:eastAsia="pt-BR"/>
        </w:rPr>
        <w:t>286</w:t>
      </w:r>
      <w:r w:rsidR="003C7080">
        <w:rPr>
          <w:rFonts w:ascii="Times New Roman" w:eastAsia="Times New Roman" w:hAnsi="Times New Roman" w:cs="Times New Roman"/>
          <w:sz w:val="20"/>
          <w:szCs w:val="20"/>
          <w:lang w:val="en-US" w:eastAsia="pt-BR"/>
        </w:rPr>
        <w:t>,</w:t>
      </w:r>
      <w:r w:rsidR="003C7080" w:rsidRPr="003C7080">
        <w:rPr>
          <w:rFonts w:ascii="Times New Roman" w:eastAsia="Times New Roman" w:hAnsi="Times New Roman" w:cs="Times New Roman"/>
          <w:sz w:val="20"/>
          <w:szCs w:val="20"/>
          <w:lang w:val="en-US" w:eastAsia="pt-BR"/>
        </w:rPr>
        <w:t xml:space="preserve"> 440–446</w:t>
      </w:r>
      <w:r w:rsidR="003C7080">
        <w:rPr>
          <w:rFonts w:ascii="Times New Roman" w:eastAsia="Times New Roman" w:hAnsi="Times New Roman" w:cs="Times New Roman"/>
          <w:sz w:val="20"/>
          <w:szCs w:val="20"/>
          <w:lang w:val="en-US" w:eastAsia="pt-BR"/>
        </w:rPr>
        <w:t>.</w:t>
      </w:r>
    </w:p>
    <w:p w14:paraId="593104F3" w14:textId="77777777" w:rsidR="002F35DE" w:rsidRDefault="00B36DB2" w:rsidP="005B7DDB">
      <w:pPr>
        <w:spacing w:after="0" w:line="240" w:lineRule="auto"/>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eastAsia="pt-BR"/>
        </w:rPr>
        <w:t>9</w:t>
      </w:r>
      <w:r w:rsidR="002F35DE" w:rsidRPr="007C07C1">
        <w:rPr>
          <w:rFonts w:ascii="Times New Roman" w:eastAsia="Times New Roman" w:hAnsi="Times New Roman" w:cs="Times New Roman"/>
          <w:sz w:val="20"/>
          <w:szCs w:val="20"/>
          <w:lang w:eastAsia="pt-BR"/>
        </w:rPr>
        <w:t>.</w:t>
      </w:r>
      <w:r w:rsidR="005B7DDB" w:rsidRPr="007C07C1">
        <w:t xml:space="preserve"> </w:t>
      </w:r>
      <w:r w:rsidR="005B7DDB" w:rsidRPr="007C07C1">
        <w:rPr>
          <w:rFonts w:ascii="Times New Roman" w:eastAsia="Times New Roman" w:hAnsi="Times New Roman" w:cs="Times New Roman"/>
          <w:sz w:val="20"/>
          <w:szCs w:val="20"/>
          <w:lang w:eastAsia="pt-BR"/>
        </w:rPr>
        <w:t>J.C.S. Soares</w:t>
      </w:r>
      <w:r w:rsidR="007C07C1" w:rsidRPr="007C07C1">
        <w:rPr>
          <w:rFonts w:ascii="Times New Roman" w:eastAsia="Times New Roman" w:hAnsi="Times New Roman" w:cs="Times New Roman"/>
          <w:sz w:val="20"/>
          <w:szCs w:val="20"/>
          <w:lang w:eastAsia="pt-BR"/>
        </w:rPr>
        <w:t>;</w:t>
      </w:r>
      <w:r w:rsidR="005B7DDB" w:rsidRPr="007C07C1">
        <w:rPr>
          <w:rFonts w:ascii="Times New Roman" w:eastAsia="Times New Roman" w:hAnsi="Times New Roman" w:cs="Times New Roman"/>
          <w:sz w:val="20"/>
          <w:szCs w:val="20"/>
          <w:lang w:eastAsia="pt-BR"/>
        </w:rPr>
        <w:t xml:space="preserve"> AH.A. Gonçalves</w:t>
      </w:r>
      <w:r w:rsidR="007C07C1" w:rsidRPr="007C07C1">
        <w:rPr>
          <w:rFonts w:ascii="Times New Roman" w:eastAsia="Times New Roman" w:hAnsi="Times New Roman" w:cs="Times New Roman"/>
          <w:sz w:val="20"/>
          <w:szCs w:val="20"/>
          <w:lang w:eastAsia="pt-BR"/>
        </w:rPr>
        <w:t>;</w:t>
      </w:r>
      <w:r w:rsidR="005B7DDB" w:rsidRPr="007C07C1">
        <w:rPr>
          <w:rFonts w:ascii="Times New Roman" w:eastAsia="Times New Roman" w:hAnsi="Times New Roman" w:cs="Times New Roman"/>
          <w:sz w:val="20"/>
          <w:szCs w:val="20"/>
          <w:lang w:eastAsia="pt-BR"/>
        </w:rPr>
        <w:t xml:space="preserve"> F M.Z. </w:t>
      </w:r>
      <w:proofErr w:type="spellStart"/>
      <w:r w:rsidR="005B7DDB" w:rsidRPr="007C07C1">
        <w:rPr>
          <w:rFonts w:ascii="Times New Roman" w:eastAsia="Times New Roman" w:hAnsi="Times New Roman" w:cs="Times New Roman"/>
          <w:sz w:val="20"/>
          <w:szCs w:val="20"/>
          <w:lang w:eastAsia="pt-BR"/>
        </w:rPr>
        <w:t>Zotin</w:t>
      </w:r>
      <w:proofErr w:type="spellEnd"/>
      <w:r w:rsidR="007C07C1" w:rsidRPr="007C07C1">
        <w:rPr>
          <w:rFonts w:ascii="Times New Roman" w:eastAsia="Times New Roman" w:hAnsi="Times New Roman" w:cs="Times New Roman"/>
          <w:sz w:val="20"/>
          <w:szCs w:val="20"/>
          <w:lang w:eastAsia="pt-BR"/>
        </w:rPr>
        <w:t>;</w:t>
      </w:r>
      <w:r w:rsidR="005B7DDB" w:rsidRPr="007C07C1">
        <w:rPr>
          <w:rFonts w:ascii="Times New Roman" w:eastAsia="Times New Roman" w:hAnsi="Times New Roman" w:cs="Times New Roman"/>
          <w:sz w:val="20"/>
          <w:szCs w:val="20"/>
          <w:lang w:eastAsia="pt-BR"/>
        </w:rPr>
        <w:t xml:space="preserve"> L.R.R. de Araújo</w:t>
      </w:r>
      <w:r w:rsidR="007C07C1" w:rsidRPr="007C07C1">
        <w:rPr>
          <w:rFonts w:ascii="Times New Roman" w:eastAsia="Times New Roman" w:hAnsi="Times New Roman" w:cs="Times New Roman"/>
          <w:sz w:val="20"/>
          <w:szCs w:val="20"/>
          <w:lang w:eastAsia="pt-BR"/>
        </w:rPr>
        <w:t>;</w:t>
      </w:r>
      <w:r w:rsidR="005B7DDB" w:rsidRPr="007C07C1">
        <w:rPr>
          <w:rFonts w:ascii="Times New Roman" w:eastAsia="Times New Roman" w:hAnsi="Times New Roman" w:cs="Times New Roman"/>
          <w:sz w:val="20"/>
          <w:szCs w:val="20"/>
          <w:lang w:eastAsia="pt-BR"/>
        </w:rPr>
        <w:t xml:space="preserve"> A.B. Gaspar, Catal</w:t>
      </w:r>
      <w:r w:rsidR="007C07C1" w:rsidRPr="007C07C1">
        <w:rPr>
          <w:rFonts w:ascii="Times New Roman" w:eastAsia="Times New Roman" w:hAnsi="Times New Roman" w:cs="Times New Roman"/>
          <w:sz w:val="20"/>
          <w:szCs w:val="20"/>
          <w:lang w:eastAsia="pt-BR"/>
        </w:rPr>
        <w:t>.</w:t>
      </w:r>
      <w:r w:rsidR="005B7DDB" w:rsidRPr="007C07C1">
        <w:rPr>
          <w:rFonts w:ascii="Times New Roman" w:eastAsia="Times New Roman" w:hAnsi="Times New Roman" w:cs="Times New Roman"/>
          <w:sz w:val="20"/>
          <w:szCs w:val="20"/>
          <w:lang w:eastAsia="pt-BR"/>
        </w:rPr>
        <w:t xml:space="preserve"> </w:t>
      </w:r>
      <w:r w:rsidR="005B7DDB" w:rsidRPr="005B7DDB">
        <w:rPr>
          <w:rFonts w:ascii="Times New Roman" w:eastAsia="Times New Roman" w:hAnsi="Times New Roman" w:cs="Times New Roman"/>
          <w:sz w:val="20"/>
          <w:szCs w:val="20"/>
          <w:lang w:val="en-US" w:eastAsia="pt-BR"/>
        </w:rPr>
        <w:t xml:space="preserve">Today </w:t>
      </w:r>
      <w:r w:rsidR="007C07C1" w:rsidRPr="007C07C1">
        <w:rPr>
          <w:rFonts w:ascii="Times New Roman" w:eastAsia="Times New Roman" w:hAnsi="Times New Roman" w:cs="Times New Roman"/>
          <w:b/>
          <w:bCs/>
          <w:sz w:val="20"/>
          <w:szCs w:val="20"/>
          <w:lang w:val="en-US" w:eastAsia="pt-BR"/>
        </w:rPr>
        <w:t>2021</w:t>
      </w:r>
      <w:r w:rsidR="007C07C1">
        <w:rPr>
          <w:rFonts w:ascii="Times New Roman" w:eastAsia="Times New Roman" w:hAnsi="Times New Roman" w:cs="Times New Roman"/>
          <w:sz w:val="20"/>
          <w:szCs w:val="20"/>
          <w:lang w:val="en-US" w:eastAsia="pt-BR"/>
        </w:rPr>
        <w:t xml:space="preserve">, </w:t>
      </w:r>
      <w:r w:rsidR="005B7DDB" w:rsidRPr="007C07C1">
        <w:rPr>
          <w:rFonts w:ascii="Times New Roman" w:eastAsia="Times New Roman" w:hAnsi="Times New Roman" w:cs="Times New Roman"/>
          <w:i/>
          <w:iCs/>
          <w:sz w:val="20"/>
          <w:szCs w:val="20"/>
          <w:lang w:val="en-US" w:eastAsia="pt-BR"/>
        </w:rPr>
        <w:t>381</w:t>
      </w:r>
      <w:r w:rsidR="007C07C1">
        <w:rPr>
          <w:rFonts w:ascii="Times New Roman" w:eastAsia="Times New Roman" w:hAnsi="Times New Roman" w:cs="Times New Roman"/>
          <w:sz w:val="20"/>
          <w:szCs w:val="20"/>
          <w:lang w:val="en-US" w:eastAsia="pt-BR"/>
        </w:rPr>
        <w:t>,</w:t>
      </w:r>
      <w:r w:rsidR="005B7DDB" w:rsidRPr="005B7DDB">
        <w:rPr>
          <w:rFonts w:ascii="Times New Roman" w:eastAsia="Times New Roman" w:hAnsi="Times New Roman" w:cs="Times New Roman"/>
          <w:sz w:val="20"/>
          <w:szCs w:val="20"/>
          <w:lang w:val="en-US" w:eastAsia="pt-BR"/>
        </w:rPr>
        <w:t xml:space="preserve"> 143–153</w:t>
      </w:r>
      <w:r w:rsidR="005B7DDB">
        <w:rPr>
          <w:rFonts w:ascii="Times New Roman" w:eastAsia="Times New Roman" w:hAnsi="Times New Roman" w:cs="Times New Roman"/>
          <w:sz w:val="20"/>
          <w:szCs w:val="20"/>
          <w:lang w:val="en-US" w:eastAsia="pt-BR"/>
        </w:rPr>
        <w:t>.</w:t>
      </w:r>
    </w:p>
    <w:p w14:paraId="4897C321" w14:textId="77777777" w:rsidR="00D927FE" w:rsidRDefault="00B36DB2" w:rsidP="00D927FE">
      <w:pPr>
        <w:pStyle w:val="TAMainText"/>
        <w:ind w:firstLine="0"/>
        <w:rPr>
          <w:rFonts w:ascii="Times New Roman" w:hAnsi="Times New Roman"/>
        </w:rPr>
      </w:pPr>
      <w:r>
        <w:rPr>
          <w:rFonts w:ascii="Times New Roman" w:hAnsi="Times New Roman"/>
        </w:rPr>
        <w:t>10</w:t>
      </w:r>
      <w:r w:rsidR="00D927FE">
        <w:rPr>
          <w:rFonts w:ascii="Times New Roman" w:hAnsi="Times New Roman"/>
        </w:rPr>
        <w:t>. X. Li</w:t>
      </w:r>
      <w:r w:rsidR="007C07C1">
        <w:rPr>
          <w:rFonts w:ascii="Times New Roman" w:hAnsi="Times New Roman"/>
        </w:rPr>
        <w:t>;</w:t>
      </w:r>
      <w:r w:rsidR="00D927FE">
        <w:rPr>
          <w:rFonts w:ascii="Times New Roman" w:hAnsi="Times New Roman"/>
        </w:rPr>
        <w:t xml:space="preserve"> G. Qin</w:t>
      </w:r>
      <w:r w:rsidR="007C07C1">
        <w:rPr>
          <w:rFonts w:ascii="Times New Roman" w:hAnsi="Times New Roman"/>
        </w:rPr>
        <w:t>;</w:t>
      </w:r>
      <w:r w:rsidR="00D927FE">
        <w:rPr>
          <w:rFonts w:ascii="Times New Roman" w:hAnsi="Times New Roman"/>
        </w:rPr>
        <w:t xml:space="preserve"> Y. Wang</w:t>
      </w:r>
      <w:r w:rsidR="007C07C1">
        <w:rPr>
          <w:rFonts w:ascii="Times New Roman" w:hAnsi="Times New Roman"/>
        </w:rPr>
        <w:t>;</w:t>
      </w:r>
      <w:r w:rsidR="00D927FE">
        <w:rPr>
          <w:rFonts w:ascii="Times New Roman" w:hAnsi="Times New Roman"/>
        </w:rPr>
        <w:t xml:space="preserve"> W. Wei</w:t>
      </w:r>
      <w:r w:rsidR="007C07C1">
        <w:rPr>
          <w:rFonts w:ascii="Times New Roman" w:hAnsi="Times New Roman"/>
        </w:rPr>
        <w:t>,</w:t>
      </w:r>
      <w:r w:rsidR="00D927FE">
        <w:rPr>
          <w:rFonts w:ascii="Times New Roman" w:hAnsi="Times New Roman"/>
        </w:rPr>
        <w:t xml:space="preserve"> </w:t>
      </w:r>
      <w:r w:rsidR="00D927FE" w:rsidRPr="00843020">
        <w:rPr>
          <w:rFonts w:ascii="Times New Roman" w:hAnsi="Times New Roman"/>
          <w:i/>
          <w:iCs/>
        </w:rPr>
        <w:t>J. Sol-Gel Sci. Tech.</w:t>
      </w:r>
      <w:r w:rsidR="00D927FE">
        <w:rPr>
          <w:rFonts w:ascii="Times New Roman" w:hAnsi="Times New Roman"/>
        </w:rPr>
        <w:t xml:space="preserve"> </w:t>
      </w:r>
      <w:r w:rsidR="00D927FE" w:rsidRPr="00681797">
        <w:rPr>
          <w:rFonts w:ascii="Times New Roman" w:hAnsi="Times New Roman"/>
          <w:b/>
          <w:bCs/>
        </w:rPr>
        <w:t>2014</w:t>
      </w:r>
      <w:r w:rsidR="007C07C1" w:rsidRPr="007C07C1">
        <w:rPr>
          <w:rFonts w:ascii="Times New Roman" w:hAnsi="Times New Roman"/>
        </w:rPr>
        <w:t xml:space="preserve">, </w:t>
      </w:r>
      <w:r w:rsidR="007C07C1" w:rsidRPr="007C07C1">
        <w:rPr>
          <w:rFonts w:ascii="Times New Roman" w:hAnsi="Times New Roman"/>
          <w:i/>
          <w:iCs/>
        </w:rPr>
        <w:t>72</w:t>
      </w:r>
      <w:r w:rsidR="007C07C1" w:rsidRPr="007C07C1">
        <w:rPr>
          <w:rFonts w:ascii="Times New Roman" w:hAnsi="Times New Roman"/>
        </w:rPr>
        <w:t>,</w:t>
      </w:r>
      <w:r w:rsidR="00D927FE">
        <w:rPr>
          <w:rFonts w:ascii="Times New Roman" w:hAnsi="Times New Roman"/>
        </w:rPr>
        <w:t xml:space="preserve"> 405-414.</w:t>
      </w:r>
    </w:p>
    <w:p w14:paraId="0125B590" w14:textId="77777777" w:rsidR="00984BE3" w:rsidRDefault="00984BE3" w:rsidP="00984BE3">
      <w:pPr>
        <w:pStyle w:val="TAMainText"/>
        <w:ind w:firstLine="0"/>
        <w:rPr>
          <w:rFonts w:ascii="Times New Roman" w:hAnsi="Times New Roman"/>
        </w:rPr>
      </w:pPr>
      <w:r w:rsidRPr="00984BE3">
        <w:rPr>
          <w:rFonts w:ascii="Times New Roman" w:hAnsi="Times New Roman"/>
        </w:rPr>
        <w:t xml:space="preserve">11. E. </w:t>
      </w:r>
      <w:proofErr w:type="spellStart"/>
      <w:r w:rsidRPr="00984BE3">
        <w:rPr>
          <w:rFonts w:ascii="Times New Roman" w:hAnsi="Times New Roman"/>
        </w:rPr>
        <w:t>Vyskočilová</w:t>
      </w:r>
      <w:proofErr w:type="spellEnd"/>
      <w:r w:rsidRPr="00984BE3">
        <w:rPr>
          <w:rFonts w:ascii="Times New Roman" w:hAnsi="Times New Roman"/>
        </w:rPr>
        <w:t xml:space="preserve">; L. </w:t>
      </w:r>
      <w:proofErr w:type="spellStart"/>
      <w:r w:rsidRPr="00984BE3">
        <w:rPr>
          <w:rFonts w:ascii="Times New Roman" w:hAnsi="Times New Roman"/>
        </w:rPr>
        <w:t>Sekerová</w:t>
      </w:r>
      <w:proofErr w:type="spellEnd"/>
      <w:r w:rsidRPr="00984BE3">
        <w:rPr>
          <w:rFonts w:ascii="Times New Roman" w:hAnsi="Times New Roman"/>
        </w:rPr>
        <w:t xml:space="preserve">; I. </w:t>
      </w:r>
      <w:proofErr w:type="spellStart"/>
      <w:r w:rsidRPr="00984BE3">
        <w:rPr>
          <w:rFonts w:ascii="Times New Roman" w:hAnsi="Times New Roman"/>
        </w:rPr>
        <w:t>Paterová</w:t>
      </w:r>
      <w:proofErr w:type="spellEnd"/>
      <w:r w:rsidRPr="00984BE3">
        <w:rPr>
          <w:rFonts w:ascii="Times New Roman" w:hAnsi="Times New Roman"/>
        </w:rPr>
        <w:t xml:space="preserve">; J. </w:t>
      </w:r>
      <w:proofErr w:type="spellStart"/>
      <w:r w:rsidRPr="00984BE3">
        <w:rPr>
          <w:rFonts w:ascii="Times New Roman" w:hAnsi="Times New Roman"/>
        </w:rPr>
        <w:t>Krupka</w:t>
      </w:r>
      <w:proofErr w:type="spellEnd"/>
      <w:r w:rsidRPr="00984BE3">
        <w:rPr>
          <w:rFonts w:ascii="Times New Roman" w:hAnsi="Times New Roman"/>
        </w:rPr>
        <w:t>; M</w:t>
      </w:r>
      <w:r>
        <w:rPr>
          <w:rFonts w:ascii="Times New Roman" w:hAnsi="Times New Roman"/>
        </w:rPr>
        <w:t>.</w:t>
      </w:r>
      <w:r w:rsidRPr="00984BE3">
        <w:rPr>
          <w:rFonts w:ascii="Times New Roman" w:hAnsi="Times New Roman"/>
        </w:rPr>
        <w:t xml:space="preserve"> </w:t>
      </w:r>
      <w:proofErr w:type="spellStart"/>
      <w:r w:rsidRPr="00984BE3">
        <w:rPr>
          <w:rFonts w:ascii="Times New Roman" w:hAnsi="Times New Roman"/>
        </w:rPr>
        <w:t>Veselý</w:t>
      </w:r>
      <w:proofErr w:type="spellEnd"/>
      <w:r>
        <w:rPr>
          <w:rFonts w:ascii="Times New Roman" w:hAnsi="Times New Roman"/>
        </w:rPr>
        <w:t xml:space="preserve">; </w:t>
      </w:r>
      <w:r w:rsidRPr="00984BE3">
        <w:rPr>
          <w:rFonts w:ascii="Times New Roman" w:hAnsi="Times New Roman"/>
        </w:rPr>
        <w:t>L</w:t>
      </w:r>
      <w:r>
        <w:rPr>
          <w:rFonts w:ascii="Times New Roman" w:hAnsi="Times New Roman"/>
        </w:rPr>
        <w:t>.</w:t>
      </w:r>
      <w:r w:rsidRPr="00984BE3">
        <w:rPr>
          <w:rFonts w:ascii="Times New Roman" w:hAnsi="Times New Roman"/>
        </w:rPr>
        <w:t xml:space="preserve"> </w:t>
      </w:r>
      <w:proofErr w:type="spellStart"/>
      <w:r w:rsidRPr="00984BE3">
        <w:rPr>
          <w:rFonts w:ascii="Times New Roman" w:hAnsi="Times New Roman"/>
        </w:rPr>
        <w:t>Červený</w:t>
      </w:r>
      <w:proofErr w:type="spellEnd"/>
      <w:r>
        <w:rPr>
          <w:rFonts w:ascii="Times New Roman" w:hAnsi="Times New Roman"/>
        </w:rPr>
        <w:t xml:space="preserve">, </w:t>
      </w:r>
      <w:r w:rsidRPr="00843020">
        <w:rPr>
          <w:rFonts w:ascii="Times New Roman" w:hAnsi="Times New Roman"/>
          <w:i/>
          <w:iCs/>
        </w:rPr>
        <w:t>J. Porous Mater.</w:t>
      </w:r>
      <w:r w:rsidRPr="00984BE3">
        <w:rPr>
          <w:rFonts w:ascii="Times New Roman" w:hAnsi="Times New Roman"/>
        </w:rPr>
        <w:t xml:space="preserve"> </w:t>
      </w:r>
      <w:r w:rsidRPr="00984BE3">
        <w:rPr>
          <w:rFonts w:ascii="Times New Roman" w:hAnsi="Times New Roman"/>
          <w:b/>
          <w:bCs/>
        </w:rPr>
        <w:t>2018</w:t>
      </w:r>
      <w:r>
        <w:rPr>
          <w:rFonts w:ascii="Times New Roman" w:hAnsi="Times New Roman"/>
        </w:rPr>
        <w:t>,</w:t>
      </w:r>
      <w:r w:rsidRPr="00984BE3">
        <w:rPr>
          <w:rFonts w:ascii="Times New Roman" w:hAnsi="Times New Roman"/>
        </w:rPr>
        <w:t xml:space="preserve"> </w:t>
      </w:r>
      <w:r w:rsidRPr="00984BE3">
        <w:rPr>
          <w:rFonts w:ascii="Times New Roman" w:hAnsi="Times New Roman"/>
          <w:i/>
          <w:iCs/>
        </w:rPr>
        <w:t>25</w:t>
      </w:r>
      <w:r>
        <w:rPr>
          <w:rFonts w:ascii="Times New Roman" w:hAnsi="Times New Roman"/>
        </w:rPr>
        <w:t xml:space="preserve">, </w:t>
      </w:r>
      <w:r w:rsidRPr="00984BE3">
        <w:rPr>
          <w:rFonts w:ascii="Times New Roman" w:hAnsi="Times New Roman"/>
        </w:rPr>
        <w:t>273–281</w:t>
      </w:r>
      <w:r>
        <w:rPr>
          <w:rFonts w:ascii="Times New Roman" w:hAnsi="Times New Roman"/>
        </w:rPr>
        <w:t>.</w:t>
      </w:r>
    </w:p>
    <w:p w14:paraId="1EB3105C" w14:textId="77777777" w:rsidR="002D6669" w:rsidRPr="00667097" w:rsidRDefault="00984BE3" w:rsidP="00680C6E">
      <w:pPr>
        <w:pStyle w:val="TAMainText"/>
        <w:ind w:firstLine="0"/>
        <w:rPr>
          <w:rFonts w:ascii="Times New Roman" w:hAnsi="Times New Roman"/>
          <w:lang w:val="pt-BR"/>
        </w:rPr>
      </w:pPr>
      <w:r>
        <w:rPr>
          <w:rFonts w:ascii="Times New Roman" w:hAnsi="Times New Roman"/>
        </w:rPr>
        <w:t>12.</w:t>
      </w:r>
      <w:r w:rsidR="006F6183">
        <w:rPr>
          <w:rFonts w:ascii="Times New Roman" w:hAnsi="Times New Roman"/>
        </w:rPr>
        <w:t xml:space="preserve"> </w:t>
      </w:r>
      <w:r w:rsidR="00680C6E" w:rsidRPr="00680C6E">
        <w:rPr>
          <w:rFonts w:ascii="Times New Roman" w:hAnsi="Times New Roman"/>
        </w:rPr>
        <w:t>P</w:t>
      </w:r>
      <w:r w:rsidR="00680C6E">
        <w:rPr>
          <w:rFonts w:ascii="Times New Roman" w:hAnsi="Times New Roman"/>
        </w:rPr>
        <w:t>.</w:t>
      </w:r>
      <w:r w:rsidR="00680C6E" w:rsidRPr="00680C6E">
        <w:rPr>
          <w:rFonts w:ascii="Times New Roman" w:hAnsi="Times New Roman"/>
        </w:rPr>
        <w:t>J</w:t>
      </w:r>
      <w:r w:rsidR="00680C6E">
        <w:rPr>
          <w:rFonts w:ascii="Times New Roman" w:hAnsi="Times New Roman"/>
        </w:rPr>
        <w:t>.</w:t>
      </w:r>
      <w:r w:rsidR="00680C6E" w:rsidRPr="00680C6E">
        <w:rPr>
          <w:rFonts w:ascii="Times New Roman" w:hAnsi="Times New Roman"/>
        </w:rPr>
        <w:t xml:space="preserve"> Boruah</w:t>
      </w:r>
      <w:r w:rsidR="00680C6E">
        <w:rPr>
          <w:rFonts w:ascii="Times New Roman" w:hAnsi="Times New Roman"/>
        </w:rPr>
        <w:t xml:space="preserve">; </w:t>
      </w:r>
      <w:r w:rsidR="00680C6E" w:rsidRPr="00680C6E">
        <w:rPr>
          <w:rFonts w:ascii="Times New Roman" w:hAnsi="Times New Roman"/>
        </w:rPr>
        <w:t>R</w:t>
      </w:r>
      <w:r w:rsidR="00680C6E">
        <w:rPr>
          <w:rFonts w:ascii="Times New Roman" w:hAnsi="Times New Roman"/>
        </w:rPr>
        <w:t>.</w:t>
      </w:r>
      <w:r w:rsidR="00680C6E" w:rsidRPr="00680C6E">
        <w:rPr>
          <w:rFonts w:ascii="Times New Roman" w:hAnsi="Times New Roman"/>
        </w:rPr>
        <w:t>R</w:t>
      </w:r>
      <w:r w:rsidR="00680C6E">
        <w:rPr>
          <w:rFonts w:ascii="Times New Roman" w:hAnsi="Times New Roman"/>
        </w:rPr>
        <w:t>.</w:t>
      </w:r>
      <w:r w:rsidR="00680C6E" w:rsidRPr="00680C6E">
        <w:rPr>
          <w:rFonts w:ascii="Times New Roman" w:hAnsi="Times New Roman"/>
        </w:rPr>
        <w:t xml:space="preserve"> </w:t>
      </w:r>
      <w:proofErr w:type="spellStart"/>
      <w:r w:rsidR="00680C6E" w:rsidRPr="00680C6E">
        <w:rPr>
          <w:rFonts w:ascii="Times New Roman" w:hAnsi="Times New Roman"/>
        </w:rPr>
        <w:t>Khanikar</w:t>
      </w:r>
      <w:proofErr w:type="spellEnd"/>
      <w:r w:rsidR="00680C6E">
        <w:rPr>
          <w:rFonts w:ascii="Times New Roman" w:hAnsi="Times New Roman"/>
        </w:rPr>
        <w:t xml:space="preserve">; </w:t>
      </w:r>
      <w:r w:rsidR="00680C6E" w:rsidRPr="00680C6E">
        <w:rPr>
          <w:rFonts w:ascii="Times New Roman" w:hAnsi="Times New Roman"/>
        </w:rPr>
        <w:t xml:space="preserve">H. </w:t>
      </w:r>
      <w:proofErr w:type="spellStart"/>
      <w:r w:rsidR="00680C6E" w:rsidRPr="00680C6E">
        <w:rPr>
          <w:rFonts w:ascii="Times New Roman" w:hAnsi="Times New Roman"/>
        </w:rPr>
        <w:t>Bailung</w:t>
      </w:r>
      <w:proofErr w:type="spellEnd"/>
      <w:r w:rsidR="00680C6E">
        <w:rPr>
          <w:rFonts w:ascii="Times New Roman" w:hAnsi="Times New Roman"/>
        </w:rPr>
        <w:t xml:space="preserve">, </w:t>
      </w:r>
      <w:r w:rsidR="00680C6E" w:rsidRPr="00843020">
        <w:rPr>
          <w:rFonts w:ascii="Times New Roman" w:hAnsi="Times New Roman"/>
          <w:i/>
          <w:iCs/>
        </w:rPr>
        <w:t xml:space="preserve">Plasma Chem. </w:t>
      </w:r>
      <w:r w:rsidR="00680C6E" w:rsidRPr="00843020">
        <w:rPr>
          <w:rFonts w:ascii="Times New Roman" w:hAnsi="Times New Roman"/>
          <w:i/>
          <w:iCs/>
          <w:lang w:val="pt-BR"/>
        </w:rPr>
        <w:t>Plasma Proc.</w:t>
      </w:r>
      <w:r w:rsidR="00680C6E" w:rsidRPr="00667097">
        <w:rPr>
          <w:rFonts w:ascii="Times New Roman" w:hAnsi="Times New Roman"/>
          <w:lang w:val="pt-BR"/>
        </w:rPr>
        <w:t xml:space="preserve"> </w:t>
      </w:r>
      <w:r w:rsidR="00680C6E" w:rsidRPr="00667097">
        <w:rPr>
          <w:rFonts w:ascii="Times New Roman" w:hAnsi="Times New Roman"/>
          <w:b/>
          <w:bCs/>
          <w:lang w:val="pt-BR"/>
        </w:rPr>
        <w:t>2020</w:t>
      </w:r>
      <w:r w:rsidR="00680C6E" w:rsidRPr="00667097">
        <w:rPr>
          <w:rFonts w:ascii="Times New Roman" w:hAnsi="Times New Roman"/>
          <w:lang w:val="pt-BR"/>
        </w:rPr>
        <w:t xml:space="preserve">, </w:t>
      </w:r>
      <w:r w:rsidR="00680C6E" w:rsidRPr="00667097">
        <w:rPr>
          <w:rFonts w:ascii="Times New Roman" w:hAnsi="Times New Roman"/>
          <w:i/>
          <w:iCs/>
          <w:lang w:val="pt-BR"/>
        </w:rPr>
        <w:t>40</w:t>
      </w:r>
      <w:r w:rsidR="00680C6E" w:rsidRPr="00667097">
        <w:rPr>
          <w:rFonts w:ascii="Times New Roman" w:hAnsi="Times New Roman"/>
          <w:lang w:val="pt-BR"/>
        </w:rPr>
        <w:t>, 1019-1036.</w:t>
      </w:r>
    </w:p>
    <w:p w14:paraId="568751FE" w14:textId="77777777" w:rsidR="00A6674E" w:rsidRPr="00CE003E" w:rsidRDefault="00A6674E" w:rsidP="001737E2">
      <w:pPr>
        <w:pStyle w:val="TAMainText"/>
        <w:ind w:firstLine="0"/>
        <w:rPr>
          <w:rFonts w:ascii="Times New Roman" w:hAnsi="Times New Roman"/>
          <w:lang w:val="pt-BR"/>
        </w:rPr>
      </w:pPr>
      <w:r w:rsidRPr="00A6674E">
        <w:rPr>
          <w:rFonts w:ascii="Times New Roman" w:hAnsi="Times New Roman"/>
          <w:lang w:val="pt-BR"/>
        </w:rPr>
        <w:t>1</w:t>
      </w:r>
      <w:r w:rsidR="00B36DB2">
        <w:rPr>
          <w:rFonts w:ascii="Times New Roman" w:hAnsi="Times New Roman"/>
          <w:lang w:val="pt-BR"/>
        </w:rPr>
        <w:t>3</w:t>
      </w:r>
      <w:r w:rsidRPr="00A6674E">
        <w:rPr>
          <w:rFonts w:ascii="Times New Roman" w:hAnsi="Times New Roman"/>
          <w:lang w:val="pt-BR"/>
        </w:rPr>
        <w:t>. J</w:t>
      </w:r>
      <w:r>
        <w:rPr>
          <w:rFonts w:ascii="Times New Roman" w:hAnsi="Times New Roman"/>
          <w:lang w:val="pt-BR"/>
        </w:rPr>
        <w:t>.</w:t>
      </w:r>
      <w:r w:rsidRPr="00A6674E">
        <w:rPr>
          <w:rFonts w:ascii="Times New Roman" w:hAnsi="Times New Roman"/>
          <w:lang w:val="pt-BR"/>
        </w:rPr>
        <w:t>C</w:t>
      </w:r>
      <w:r>
        <w:rPr>
          <w:rFonts w:ascii="Times New Roman" w:hAnsi="Times New Roman"/>
          <w:lang w:val="pt-BR"/>
        </w:rPr>
        <w:t>.</w:t>
      </w:r>
      <w:r w:rsidRPr="00A6674E">
        <w:rPr>
          <w:rFonts w:ascii="Times New Roman" w:hAnsi="Times New Roman"/>
          <w:lang w:val="pt-BR"/>
        </w:rPr>
        <w:t>S. Soares</w:t>
      </w:r>
      <w:r>
        <w:rPr>
          <w:rFonts w:ascii="Times New Roman" w:hAnsi="Times New Roman"/>
          <w:lang w:val="pt-BR"/>
        </w:rPr>
        <w:t>;</w:t>
      </w:r>
      <w:r w:rsidRPr="00A6674E">
        <w:rPr>
          <w:rFonts w:ascii="Times New Roman" w:hAnsi="Times New Roman"/>
          <w:lang w:val="pt-BR"/>
        </w:rPr>
        <w:t xml:space="preserve"> A</w:t>
      </w:r>
      <w:r>
        <w:rPr>
          <w:rFonts w:ascii="Times New Roman" w:hAnsi="Times New Roman"/>
          <w:lang w:val="pt-BR"/>
        </w:rPr>
        <w:t>.</w:t>
      </w:r>
      <w:r w:rsidRPr="00A6674E">
        <w:rPr>
          <w:rFonts w:ascii="Times New Roman" w:hAnsi="Times New Roman"/>
          <w:lang w:val="pt-BR"/>
        </w:rPr>
        <w:t>H</w:t>
      </w:r>
      <w:r>
        <w:rPr>
          <w:rFonts w:ascii="Times New Roman" w:hAnsi="Times New Roman"/>
          <w:lang w:val="pt-BR"/>
        </w:rPr>
        <w:t>.</w:t>
      </w:r>
      <w:r w:rsidRPr="00A6674E">
        <w:rPr>
          <w:rFonts w:ascii="Times New Roman" w:hAnsi="Times New Roman"/>
          <w:lang w:val="pt-BR"/>
        </w:rPr>
        <w:t>A. Gonçalves</w:t>
      </w:r>
      <w:r>
        <w:rPr>
          <w:rFonts w:ascii="Times New Roman" w:hAnsi="Times New Roman"/>
          <w:lang w:val="pt-BR"/>
        </w:rPr>
        <w:t>;</w:t>
      </w:r>
      <w:r w:rsidRPr="00A6674E">
        <w:rPr>
          <w:rFonts w:ascii="Times New Roman" w:hAnsi="Times New Roman"/>
          <w:lang w:val="pt-BR"/>
        </w:rPr>
        <w:t xml:space="preserve"> F</w:t>
      </w:r>
      <w:r>
        <w:rPr>
          <w:rFonts w:ascii="Times New Roman" w:hAnsi="Times New Roman"/>
          <w:lang w:val="pt-BR"/>
        </w:rPr>
        <w:t>.</w:t>
      </w:r>
      <w:r w:rsidRPr="00A6674E">
        <w:rPr>
          <w:rFonts w:ascii="Times New Roman" w:hAnsi="Times New Roman"/>
          <w:lang w:val="pt-BR"/>
        </w:rPr>
        <w:t xml:space="preserve">M.Z. </w:t>
      </w:r>
      <w:proofErr w:type="spellStart"/>
      <w:r w:rsidRPr="00A6674E">
        <w:rPr>
          <w:rFonts w:ascii="Times New Roman" w:hAnsi="Times New Roman"/>
          <w:lang w:val="pt-BR"/>
        </w:rPr>
        <w:t>Zotin</w:t>
      </w:r>
      <w:proofErr w:type="spellEnd"/>
      <w:r>
        <w:rPr>
          <w:rFonts w:ascii="Times New Roman" w:hAnsi="Times New Roman"/>
          <w:lang w:val="pt-BR"/>
        </w:rPr>
        <w:t xml:space="preserve">; </w:t>
      </w:r>
      <w:r w:rsidRPr="00A6674E">
        <w:rPr>
          <w:rFonts w:ascii="Times New Roman" w:hAnsi="Times New Roman"/>
          <w:lang w:val="pt-BR"/>
        </w:rPr>
        <w:t>L</w:t>
      </w:r>
      <w:r>
        <w:rPr>
          <w:rFonts w:ascii="Times New Roman" w:hAnsi="Times New Roman"/>
          <w:lang w:val="pt-BR"/>
        </w:rPr>
        <w:t>.</w:t>
      </w:r>
      <w:r w:rsidRPr="00A6674E">
        <w:rPr>
          <w:rFonts w:ascii="Times New Roman" w:hAnsi="Times New Roman"/>
          <w:lang w:val="pt-BR"/>
        </w:rPr>
        <w:t>R. R</w:t>
      </w:r>
      <w:r>
        <w:rPr>
          <w:rFonts w:ascii="Times New Roman" w:hAnsi="Times New Roman"/>
          <w:lang w:val="pt-BR"/>
        </w:rPr>
        <w:t>.</w:t>
      </w:r>
      <w:r w:rsidRPr="00A6674E">
        <w:rPr>
          <w:rFonts w:ascii="Times New Roman" w:hAnsi="Times New Roman"/>
          <w:lang w:val="pt-BR"/>
        </w:rPr>
        <w:t xml:space="preserve"> de Araújo</w:t>
      </w:r>
      <w:r>
        <w:rPr>
          <w:rFonts w:ascii="Times New Roman" w:hAnsi="Times New Roman"/>
          <w:lang w:val="pt-BR"/>
        </w:rPr>
        <w:t>;</w:t>
      </w:r>
      <w:r w:rsidRPr="00A6674E">
        <w:rPr>
          <w:rFonts w:ascii="Times New Roman" w:hAnsi="Times New Roman"/>
          <w:lang w:val="pt-BR"/>
        </w:rPr>
        <w:t xml:space="preserve"> A</w:t>
      </w:r>
      <w:r>
        <w:rPr>
          <w:rFonts w:ascii="Times New Roman" w:hAnsi="Times New Roman"/>
          <w:lang w:val="pt-BR"/>
        </w:rPr>
        <w:t>.</w:t>
      </w:r>
      <w:r w:rsidRPr="00A6674E">
        <w:rPr>
          <w:rFonts w:ascii="Times New Roman" w:hAnsi="Times New Roman"/>
          <w:lang w:val="pt-BR"/>
        </w:rPr>
        <w:t>B. Gaspar</w:t>
      </w:r>
      <w:r>
        <w:rPr>
          <w:rFonts w:ascii="Times New Roman" w:hAnsi="Times New Roman"/>
          <w:lang w:val="pt-BR"/>
        </w:rPr>
        <w:t xml:space="preserve">, </w:t>
      </w:r>
      <w:r w:rsidRPr="00843020">
        <w:rPr>
          <w:rFonts w:ascii="Times New Roman" w:hAnsi="Times New Roman"/>
          <w:i/>
          <w:iCs/>
          <w:lang w:val="pt-BR"/>
        </w:rPr>
        <w:t>Mol. Catal.</w:t>
      </w:r>
      <w:r w:rsidRPr="00CE003E">
        <w:rPr>
          <w:rFonts w:ascii="Times New Roman" w:hAnsi="Times New Roman"/>
          <w:lang w:val="pt-BR"/>
        </w:rPr>
        <w:t xml:space="preserve"> </w:t>
      </w:r>
      <w:r w:rsidR="001737E2" w:rsidRPr="00CE003E">
        <w:rPr>
          <w:rFonts w:ascii="Times New Roman" w:hAnsi="Times New Roman"/>
          <w:b/>
          <w:bCs/>
          <w:lang w:val="pt-BR"/>
        </w:rPr>
        <w:t>2018</w:t>
      </w:r>
      <w:r w:rsidR="001737E2" w:rsidRPr="00CE003E">
        <w:rPr>
          <w:rFonts w:ascii="Times New Roman" w:hAnsi="Times New Roman"/>
          <w:lang w:val="pt-BR"/>
        </w:rPr>
        <w:t xml:space="preserve">, </w:t>
      </w:r>
      <w:r w:rsidR="001737E2" w:rsidRPr="00CE003E">
        <w:rPr>
          <w:rFonts w:ascii="Times New Roman" w:hAnsi="Times New Roman"/>
          <w:i/>
          <w:iCs/>
          <w:lang w:val="pt-BR"/>
        </w:rPr>
        <w:t>458</w:t>
      </w:r>
      <w:r w:rsidR="001737E2" w:rsidRPr="00CE003E">
        <w:rPr>
          <w:rFonts w:ascii="Times New Roman" w:hAnsi="Times New Roman"/>
          <w:lang w:val="pt-BR"/>
        </w:rPr>
        <w:t>, 223–229.</w:t>
      </w:r>
    </w:p>
    <w:p w14:paraId="206167F0" w14:textId="77777777" w:rsidR="006F6183" w:rsidRPr="00CE003E" w:rsidRDefault="006F6183" w:rsidP="006F6183">
      <w:pPr>
        <w:pStyle w:val="TAMainText"/>
        <w:ind w:firstLine="0"/>
        <w:rPr>
          <w:rFonts w:ascii="Times New Roman" w:hAnsi="Times New Roman"/>
          <w:lang w:val="pt-BR"/>
        </w:rPr>
      </w:pPr>
      <w:r w:rsidRPr="00CE003E">
        <w:rPr>
          <w:rFonts w:ascii="Times New Roman" w:hAnsi="Times New Roman"/>
          <w:lang w:val="pt-BR"/>
        </w:rPr>
        <w:t>1</w:t>
      </w:r>
      <w:r w:rsidR="007268BE" w:rsidRPr="00CE003E">
        <w:rPr>
          <w:rFonts w:ascii="Times New Roman" w:hAnsi="Times New Roman"/>
          <w:lang w:val="pt-BR"/>
        </w:rPr>
        <w:t>4</w:t>
      </w:r>
      <w:r w:rsidRPr="00CE003E">
        <w:rPr>
          <w:rFonts w:ascii="Times New Roman" w:hAnsi="Times New Roman"/>
          <w:lang w:val="pt-BR"/>
        </w:rPr>
        <w:t xml:space="preserve">. L. Wang; L. </w:t>
      </w:r>
      <w:proofErr w:type="spellStart"/>
      <w:r w:rsidRPr="00CE003E">
        <w:rPr>
          <w:rFonts w:ascii="Times New Roman" w:hAnsi="Times New Roman"/>
          <w:lang w:val="pt-BR"/>
        </w:rPr>
        <w:t>Zan</w:t>
      </w:r>
      <w:proofErr w:type="spellEnd"/>
      <w:r w:rsidRPr="00CE003E">
        <w:rPr>
          <w:rFonts w:ascii="Times New Roman" w:hAnsi="Times New Roman"/>
          <w:lang w:val="pt-BR"/>
        </w:rPr>
        <w:t xml:space="preserve">, </w:t>
      </w:r>
      <w:proofErr w:type="spellStart"/>
      <w:r w:rsidRPr="00843020">
        <w:rPr>
          <w:rFonts w:ascii="Times New Roman" w:hAnsi="Times New Roman"/>
          <w:i/>
          <w:iCs/>
          <w:lang w:val="pt-BR"/>
        </w:rPr>
        <w:t>Sci</w:t>
      </w:r>
      <w:proofErr w:type="spellEnd"/>
      <w:r w:rsidRPr="00843020">
        <w:rPr>
          <w:rFonts w:ascii="Times New Roman" w:hAnsi="Times New Roman"/>
          <w:i/>
          <w:iCs/>
          <w:lang w:val="pt-BR"/>
        </w:rPr>
        <w:t>. Reports</w:t>
      </w:r>
      <w:r w:rsidRPr="00CE003E">
        <w:rPr>
          <w:rFonts w:ascii="Times New Roman" w:hAnsi="Times New Roman"/>
          <w:lang w:val="pt-BR"/>
        </w:rPr>
        <w:t xml:space="preserve"> </w:t>
      </w:r>
      <w:r w:rsidRPr="00CE003E">
        <w:rPr>
          <w:rFonts w:ascii="Times New Roman" w:hAnsi="Times New Roman"/>
          <w:b/>
          <w:bCs/>
          <w:lang w:val="pt-BR"/>
        </w:rPr>
        <w:t>2019</w:t>
      </w:r>
      <w:r w:rsidRPr="00CE003E">
        <w:rPr>
          <w:rFonts w:ascii="Times New Roman" w:hAnsi="Times New Roman"/>
          <w:lang w:val="pt-BR"/>
        </w:rPr>
        <w:t xml:space="preserve">, </w:t>
      </w:r>
      <w:r w:rsidRPr="00CE003E">
        <w:rPr>
          <w:rFonts w:ascii="Times New Roman" w:hAnsi="Times New Roman"/>
          <w:i/>
          <w:iCs/>
          <w:lang w:val="pt-BR"/>
        </w:rPr>
        <w:t>9</w:t>
      </w:r>
      <w:r w:rsidRPr="00CE003E">
        <w:rPr>
          <w:rFonts w:ascii="Times New Roman" w:hAnsi="Times New Roman"/>
          <w:lang w:val="pt-BR"/>
        </w:rPr>
        <w:t>, 4860.</w:t>
      </w:r>
    </w:p>
    <w:p w14:paraId="53DD1823" w14:textId="77777777" w:rsidR="005B7DDB" w:rsidRPr="00D2370F" w:rsidRDefault="009C763F" w:rsidP="005B7DDB">
      <w:pPr>
        <w:spacing w:after="0" w:line="240" w:lineRule="auto"/>
        <w:jc w:val="both"/>
        <w:rPr>
          <w:rFonts w:ascii="Times New Roman" w:eastAsia="Times New Roman" w:hAnsi="Times New Roman" w:cs="Times New Roman"/>
          <w:sz w:val="20"/>
          <w:szCs w:val="20"/>
          <w:lang w:val="en-US" w:eastAsia="pt-BR"/>
        </w:rPr>
      </w:pPr>
      <w:r w:rsidRPr="009C763F">
        <w:rPr>
          <w:rFonts w:ascii="Times New Roman" w:eastAsia="Times New Roman" w:hAnsi="Times New Roman" w:cs="Times New Roman"/>
          <w:sz w:val="20"/>
          <w:szCs w:val="20"/>
          <w:lang w:eastAsia="pt-BR"/>
        </w:rPr>
        <w:t xml:space="preserve">15. V.I. </w:t>
      </w:r>
      <w:proofErr w:type="spellStart"/>
      <w:r w:rsidRPr="009C763F">
        <w:rPr>
          <w:rFonts w:ascii="Times New Roman" w:eastAsia="Times New Roman" w:hAnsi="Times New Roman" w:cs="Times New Roman"/>
          <w:sz w:val="20"/>
          <w:szCs w:val="20"/>
          <w:lang w:eastAsia="pt-BR"/>
        </w:rPr>
        <w:t>Parvulescu</w:t>
      </w:r>
      <w:proofErr w:type="spellEnd"/>
      <w:r w:rsidRPr="009C763F">
        <w:rPr>
          <w:rFonts w:ascii="Times New Roman" w:eastAsia="Times New Roman" w:hAnsi="Times New Roman" w:cs="Times New Roman"/>
          <w:sz w:val="20"/>
          <w:szCs w:val="20"/>
          <w:lang w:eastAsia="pt-BR"/>
        </w:rPr>
        <w:t xml:space="preserve">; S. Coman; P. Palade; D. </w:t>
      </w:r>
      <w:proofErr w:type="spellStart"/>
      <w:r w:rsidRPr="009C763F">
        <w:rPr>
          <w:rFonts w:ascii="Times New Roman" w:eastAsia="Times New Roman" w:hAnsi="Times New Roman" w:cs="Times New Roman"/>
          <w:sz w:val="20"/>
          <w:szCs w:val="20"/>
          <w:lang w:eastAsia="pt-BR"/>
        </w:rPr>
        <w:t>Macovei</w:t>
      </w:r>
      <w:proofErr w:type="spellEnd"/>
      <w:r w:rsidRPr="009C763F">
        <w:rPr>
          <w:rFonts w:ascii="Times New Roman" w:eastAsia="Times New Roman" w:hAnsi="Times New Roman" w:cs="Times New Roman"/>
          <w:sz w:val="20"/>
          <w:szCs w:val="20"/>
          <w:lang w:eastAsia="pt-BR"/>
        </w:rPr>
        <w:t xml:space="preserve">; C.M. </w:t>
      </w:r>
      <w:proofErr w:type="spellStart"/>
      <w:r w:rsidRPr="009C763F">
        <w:rPr>
          <w:rFonts w:ascii="Times New Roman" w:eastAsia="Times New Roman" w:hAnsi="Times New Roman" w:cs="Times New Roman"/>
          <w:sz w:val="20"/>
          <w:szCs w:val="20"/>
          <w:lang w:eastAsia="pt-BR"/>
        </w:rPr>
        <w:t>Teodorescu</w:t>
      </w:r>
      <w:proofErr w:type="spellEnd"/>
      <w:r w:rsidRPr="009C763F">
        <w:rPr>
          <w:rFonts w:ascii="Times New Roman" w:eastAsia="Times New Roman" w:hAnsi="Times New Roman" w:cs="Times New Roman"/>
          <w:sz w:val="20"/>
          <w:szCs w:val="20"/>
          <w:lang w:eastAsia="pt-BR"/>
        </w:rPr>
        <w:t xml:space="preserve">; G. </w:t>
      </w:r>
      <w:proofErr w:type="spellStart"/>
      <w:r w:rsidRPr="009C763F">
        <w:rPr>
          <w:rFonts w:ascii="Times New Roman" w:eastAsia="Times New Roman" w:hAnsi="Times New Roman" w:cs="Times New Roman"/>
          <w:sz w:val="20"/>
          <w:szCs w:val="20"/>
          <w:lang w:eastAsia="pt-BR"/>
        </w:rPr>
        <w:t>Filoti</w:t>
      </w:r>
      <w:proofErr w:type="spellEnd"/>
      <w:r w:rsidRPr="009C763F">
        <w:rPr>
          <w:rFonts w:ascii="Times New Roman" w:eastAsia="Times New Roman" w:hAnsi="Times New Roman" w:cs="Times New Roman"/>
          <w:sz w:val="20"/>
          <w:szCs w:val="20"/>
          <w:lang w:eastAsia="pt-BR"/>
        </w:rPr>
        <w:t xml:space="preserve">; R. Molina; G. </w:t>
      </w:r>
      <w:proofErr w:type="spellStart"/>
      <w:r w:rsidRPr="009C763F">
        <w:rPr>
          <w:rFonts w:ascii="Times New Roman" w:eastAsia="Times New Roman" w:hAnsi="Times New Roman" w:cs="Times New Roman"/>
          <w:sz w:val="20"/>
          <w:szCs w:val="20"/>
          <w:lang w:eastAsia="pt-BR"/>
        </w:rPr>
        <w:t>Poncelet</w:t>
      </w:r>
      <w:proofErr w:type="spellEnd"/>
      <w:r w:rsidRPr="009C763F">
        <w:rPr>
          <w:rFonts w:ascii="Times New Roman" w:eastAsia="Times New Roman" w:hAnsi="Times New Roman" w:cs="Times New Roman"/>
          <w:sz w:val="20"/>
          <w:szCs w:val="20"/>
          <w:lang w:eastAsia="pt-BR"/>
        </w:rPr>
        <w:t xml:space="preserve">; F.E. Wagner, </w:t>
      </w:r>
      <w:proofErr w:type="spellStart"/>
      <w:r w:rsidRPr="00843020">
        <w:rPr>
          <w:rFonts w:ascii="Times New Roman" w:eastAsia="Times New Roman" w:hAnsi="Times New Roman" w:cs="Times New Roman"/>
          <w:i/>
          <w:iCs/>
          <w:sz w:val="20"/>
          <w:szCs w:val="20"/>
          <w:lang w:eastAsia="pt-BR"/>
        </w:rPr>
        <w:t>Appl</w:t>
      </w:r>
      <w:proofErr w:type="spellEnd"/>
      <w:r w:rsidRPr="00843020">
        <w:rPr>
          <w:rFonts w:ascii="Times New Roman" w:eastAsia="Times New Roman" w:hAnsi="Times New Roman" w:cs="Times New Roman"/>
          <w:i/>
          <w:iCs/>
          <w:sz w:val="20"/>
          <w:szCs w:val="20"/>
          <w:lang w:eastAsia="pt-BR"/>
        </w:rPr>
        <w:t xml:space="preserve">. </w:t>
      </w:r>
      <w:r w:rsidRPr="00D2370F">
        <w:rPr>
          <w:rFonts w:ascii="Times New Roman" w:eastAsia="Times New Roman" w:hAnsi="Times New Roman" w:cs="Times New Roman"/>
          <w:i/>
          <w:iCs/>
          <w:sz w:val="20"/>
          <w:szCs w:val="20"/>
          <w:lang w:val="en-US" w:eastAsia="pt-BR"/>
        </w:rPr>
        <w:t>Surf. Sci.</w:t>
      </w:r>
      <w:r w:rsidRPr="00D2370F">
        <w:rPr>
          <w:rFonts w:ascii="Times New Roman" w:eastAsia="Times New Roman" w:hAnsi="Times New Roman" w:cs="Times New Roman"/>
          <w:sz w:val="20"/>
          <w:szCs w:val="20"/>
          <w:lang w:val="en-US" w:eastAsia="pt-BR"/>
        </w:rPr>
        <w:t xml:space="preserve"> </w:t>
      </w:r>
      <w:r w:rsidRPr="00D2370F">
        <w:rPr>
          <w:rFonts w:ascii="Times New Roman" w:eastAsia="Times New Roman" w:hAnsi="Times New Roman" w:cs="Times New Roman"/>
          <w:b/>
          <w:bCs/>
          <w:sz w:val="20"/>
          <w:szCs w:val="20"/>
          <w:lang w:val="en-US" w:eastAsia="pt-BR"/>
        </w:rPr>
        <w:t>1999</w:t>
      </w:r>
      <w:r w:rsidRPr="00D2370F">
        <w:rPr>
          <w:rFonts w:ascii="Times New Roman" w:eastAsia="Times New Roman" w:hAnsi="Times New Roman" w:cs="Times New Roman"/>
          <w:sz w:val="20"/>
          <w:szCs w:val="20"/>
          <w:lang w:val="en-US" w:eastAsia="pt-BR"/>
        </w:rPr>
        <w:t xml:space="preserve">, </w:t>
      </w:r>
      <w:r w:rsidRPr="00D2370F">
        <w:rPr>
          <w:rFonts w:ascii="Times New Roman" w:eastAsia="Times New Roman" w:hAnsi="Times New Roman" w:cs="Times New Roman"/>
          <w:i/>
          <w:iCs/>
          <w:sz w:val="20"/>
          <w:szCs w:val="20"/>
          <w:lang w:val="en-US" w:eastAsia="pt-BR"/>
        </w:rPr>
        <w:t>141</w:t>
      </w:r>
      <w:r w:rsidRPr="00D2370F">
        <w:rPr>
          <w:rFonts w:ascii="Times New Roman" w:eastAsia="Times New Roman" w:hAnsi="Times New Roman" w:cs="Times New Roman"/>
          <w:sz w:val="20"/>
          <w:szCs w:val="20"/>
          <w:lang w:val="en-US" w:eastAsia="pt-BR"/>
        </w:rPr>
        <w:t>, 164–176.</w:t>
      </w:r>
    </w:p>
    <w:p w14:paraId="63F3C829" w14:textId="77777777" w:rsidR="00E02AF3" w:rsidRPr="00CE003E" w:rsidRDefault="00E02AF3" w:rsidP="00E02AF3">
      <w:pPr>
        <w:pStyle w:val="TAMainText"/>
        <w:ind w:firstLine="0"/>
        <w:rPr>
          <w:rFonts w:ascii="Times New Roman" w:hAnsi="Times New Roman"/>
        </w:rPr>
      </w:pPr>
      <w:r w:rsidRPr="00D2370F">
        <w:rPr>
          <w:rFonts w:ascii="Times New Roman" w:hAnsi="Times New Roman"/>
        </w:rPr>
        <w:t xml:space="preserve">16. A.B. Gaspar; L.C. </w:t>
      </w:r>
      <w:proofErr w:type="spellStart"/>
      <w:r w:rsidRPr="00D2370F">
        <w:rPr>
          <w:rFonts w:ascii="Times New Roman" w:hAnsi="Times New Roman"/>
        </w:rPr>
        <w:t>Dieguez</w:t>
      </w:r>
      <w:proofErr w:type="spellEnd"/>
      <w:r w:rsidRPr="00D2370F">
        <w:rPr>
          <w:rFonts w:ascii="Times New Roman" w:hAnsi="Times New Roman"/>
        </w:rPr>
        <w:t xml:space="preserve">, </w:t>
      </w:r>
      <w:r w:rsidRPr="00D2370F">
        <w:rPr>
          <w:rFonts w:ascii="Times New Roman" w:hAnsi="Times New Roman"/>
          <w:i/>
          <w:iCs/>
        </w:rPr>
        <w:t xml:space="preserve">Appl. </w:t>
      </w:r>
      <w:proofErr w:type="spellStart"/>
      <w:r w:rsidRPr="00D2370F">
        <w:rPr>
          <w:rFonts w:ascii="Times New Roman" w:hAnsi="Times New Roman"/>
          <w:i/>
          <w:iCs/>
        </w:rPr>
        <w:t>Catal</w:t>
      </w:r>
      <w:proofErr w:type="spellEnd"/>
      <w:r w:rsidRPr="00D2370F">
        <w:rPr>
          <w:rFonts w:ascii="Times New Roman" w:hAnsi="Times New Roman"/>
          <w:i/>
          <w:iCs/>
        </w:rPr>
        <w:t xml:space="preserve">. </w:t>
      </w:r>
      <w:r w:rsidRPr="00843020">
        <w:rPr>
          <w:rFonts w:ascii="Times New Roman" w:hAnsi="Times New Roman"/>
          <w:i/>
          <w:iCs/>
        </w:rPr>
        <w:t>A: Gen.</w:t>
      </w:r>
      <w:r w:rsidRPr="00CE003E">
        <w:rPr>
          <w:rFonts w:ascii="Times New Roman" w:hAnsi="Times New Roman"/>
        </w:rPr>
        <w:t xml:space="preserve"> </w:t>
      </w:r>
      <w:r w:rsidRPr="00CE003E">
        <w:rPr>
          <w:rFonts w:ascii="Times New Roman" w:hAnsi="Times New Roman"/>
          <w:b/>
          <w:bCs/>
        </w:rPr>
        <w:t>2000</w:t>
      </w:r>
      <w:r w:rsidRPr="00CE003E">
        <w:rPr>
          <w:rFonts w:ascii="Times New Roman" w:hAnsi="Times New Roman"/>
        </w:rPr>
        <w:t xml:space="preserve">, </w:t>
      </w:r>
      <w:r w:rsidRPr="00CE003E">
        <w:rPr>
          <w:rFonts w:ascii="Times New Roman" w:hAnsi="Times New Roman"/>
          <w:i/>
          <w:iCs/>
        </w:rPr>
        <w:t>201</w:t>
      </w:r>
      <w:r w:rsidRPr="00CE003E">
        <w:rPr>
          <w:rFonts w:ascii="Times New Roman" w:hAnsi="Times New Roman"/>
        </w:rPr>
        <w:t>, 241–251.</w:t>
      </w:r>
    </w:p>
    <w:p w14:paraId="1A52B7BF" w14:textId="77777777" w:rsidR="00EE3649" w:rsidRPr="00843020" w:rsidRDefault="00EE3649" w:rsidP="00E02AF3">
      <w:pPr>
        <w:pStyle w:val="TAMainText"/>
        <w:ind w:firstLine="0"/>
        <w:rPr>
          <w:rFonts w:ascii="Times New Roman" w:hAnsi="Times New Roman"/>
        </w:rPr>
      </w:pPr>
      <w:r w:rsidRPr="00EE3649">
        <w:rPr>
          <w:rFonts w:ascii="Times New Roman" w:hAnsi="Times New Roman"/>
        </w:rPr>
        <w:t xml:space="preserve">17. </w:t>
      </w:r>
      <w:r w:rsidRPr="00711FA9">
        <w:rPr>
          <w:rFonts w:ascii="Times New Roman" w:hAnsi="Times New Roman"/>
        </w:rPr>
        <w:t>C. Qi</w:t>
      </w:r>
      <w:r w:rsidR="007E4198">
        <w:rPr>
          <w:rFonts w:ascii="Times New Roman" w:hAnsi="Times New Roman"/>
        </w:rPr>
        <w:t>;</w:t>
      </w:r>
      <w:r w:rsidRPr="00711FA9">
        <w:rPr>
          <w:rFonts w:ascii="Times New Roman" w:hAnsi="Times New Roman"/>
        </w:rPr>
        <w:t xml:space="preserve"> W. Bao</w:t>
      </w:r>
      <w:r w:rsidR="007E4198">
        <w:rPr>
          <w:rFonts w:ascii="Times New Roman" w:hAnsi="Times New Roman"/>
        </w:rPr>
        <w:t>;</w:t>
      </w:r>
      <w:r w:rsidRPr="00711FA9">
        <w:rPr>
          <w:rFonts w:ascii="Times New Roman" w:hAnsi="Times New Roman"/>
        </w:rPr>
        <w:t xml:space="preserve"> L. Wang</w:t>
      </w:r>
      <w:r w:rsidR="007E4198">
        <w:rPr>
          <w:rFonts w:ascii="Times New Roman" w:hAnsi="Times New Roman"/>
        </w:rPr>
        <w:t>;</w:t>
      </w:r>
      <w:r w:rsidRPr="00711FA9">
        <w:rPr>
          <w:rFonts w:ascii="Times New Roman" w:hAnsi="Times New Roman"/>
        </w:rPr>
        <w:t xml:space="preserve"> H. </w:t>
      </w:r>
      <w:r>
        <w:rPr>
          <w:rFonts w:ascii="Times New Roman" w:hAnsi="Times New Roman"/>
        </w:rPr>
        <w:t>Li</w:t>
      </w:r>
      <w:r w:rsidR="007E4198">
        <w:rPr>
          <w:rFonts w:ascii="Times New Roman" w:hAnsi="Times New Roman"/>
        </w:rPr>
        <w:t>;</w:t>
      </w:r>
      <w:r>
        <w:rPr>
          <w:rFonts w:ascii="Times New Roman" w:hAnsi="Times New Roman"/>
        </w:rPr>
        <w:t xml:space="preserve"> W. Wu, </w:t>
      </w:r>
      <w:r w:rsidRPr="00843020">
        <w:rPr>
          <w:rFonts w:ascii="Times New Roman" w:hAnsi="Times New Roman"/>
          <w:i/>
          <w:iCs/>
        </w:rPr>
        <w:t>Catalysts</w:t>
      </w:r>
      <w:r>
        <w:rPr>
          <w:rFonts w:ascii="Times New Roman" w:hAnsi="Times New Roman"/>
        </w:rPr>
        <w:t xml:space="preserve"> </w:t>
      </w:r>
      <w:r w:rsidRPr="00843020">
        <w:rPr>
          <w:rFonts w:ascii="Times New Roman" w:hAnsi="Times New Roman"/>
          <w:b/>
          <w:bCs/>
        </w:rPr>
        <w:t>2017</w:t>
      </w:r>
      <w:r w:rsidRPr="00843020">
        <w:rPr>
          <w:rFonts w:ascii="Times New Roman" w:hAnsi="Times New Roman"/>
        </w:rPr>
        <w:t xml:space="preserve">, </w:t>
      </w:r>
      <w:r w:rsidRPr="00843020">
        <w:rPr>
          <w:rFonts w:ascii="Times New Roman" w:hAnsi="Times New Roman"/>
          <w:i/>
          <w:iCs/>
        </w:rPr>
        <w:t>7</w:t>
      </w:r>
      <w:r w:rsidRPr="00843020">
        <w:rPr>
          <w:rFonts w:ascii="Times New Roman" w:hAnsi="Times New Roman"/>
        </w:rPr>
        <w:t>, 110</w:t>
      </w:r>
      <w:r w:rsidR="007E4198" w:rsidRPr="00843020">
        <w:rPr>
          <w:rFonts w:ascii="Times New Roman" w:hAnsi="Times New Roman"/>
        </w:rPr>
        <w:t>.</w:t>
      </w:r>
    </w:p>
    <w:p w14:paraId="725FCE9C" w14:textId="77777777" w:rsidR="00843020" w:rsidRPr="00D2370F" w:rsidRDefault="00472504" w:rsidP="00843020">
      <w:pPr>
        <w:spacing w:after="0" w:line="240" w:lineRule="auto"/>
        <w:jc w:val="both"/>
        <w:rPr>
          <w:rFonts w:ascii="Times New Roman" w:eastAsia="Times New Roman" w:hAnsi="Times New Roman" w:cs="Times New Roman"/>
          <w:sz w:val="18"/>
          <w:szCs w:val="18"/>
          <w:lang w:eastAsia="pt-BR"/>
        </w:rPr>
      </w:pPr>
      <w:r w:rsidRPr="00D2370F">
        <w:rPr>
          <w:rFonts w:ascii="Times New Roman" w:hAnsi="Times New Roman"/>
          <w:sz w:val="20"/>
          <w:szCs w:val="20"/>
        </w:rPr>
        <w:t>18</w:t>
      </w:r>
      <w:r w:rsidR="00843020" w:rsidRPr="00D2370F">
        <w:rPr>
          <w:rFonts w:ascii="Times New Roman" w:hAnsi="Times New Roman"/>
          <w:sz w:val="20"/>
          <w:szCs w:val="20"/>
        </w:rPr>
        <w:t xml:space="preserve">. M. Tanaka; S. </w:t>
      </w:r>
      <w:proofErr w:type="spellStart"/>
      <w:r w:rsidR="00843020" w:rsidRPr="00D2370F">
        <w:rPr>
          <w:rFonts w:ascii="Times New Roman" w:hAnsi="Times New Roman"/>
          <w:sz w:val="20"/>
          <w:szCs w:val="20"/>
        </w:rPr>
        <w:t>Ogasawara</w:t>
      </w:r>
      <w:proofErr w:type="spellEnd"/>
      <w:r w:rsidR="00843020" w:rsidRPr="00D2370F">
        <w:rPr>
          <w:rFonts w:ascii="Times New Roman" w:hAnsi="Times New Roman"/>
          <w:sz w:val="20"/>
          <w:szCs w:val="20"/>
        </w:rPr>
        <w:t xml:space="preserve">, </w:t>
      </w:r>
      <w:r w:rsidR="00843020" w:rsidRPr="00D2370F">
        <w:rPr>
          <w:rFonts w:ascii="Times New Roman" w:hAnsi="Times New Roman"/>
          <w:i/>
          <w:iCs/>
          <w:sz w:val="20"/>
          <w:szCs w:val="20"/>
        </w:rPr>
        <w:t>J. Catal.</w:t>
      </w:r>
      <w:r w:rsidR="00843020" w:rsidRPr="00D2370F">
        <w:rPr>
          <w:rFonts w:ascii="Times New Roman" w:hAnsi="Times New Roman"/>
          <w:sz w:val="20"/>
          <w:szCs w:val="20"/>
        </w:rPr>
        <w:t xml:space="preserve"> </w:t>
      </w:r>
      <w:r w:rsidR="00843020" w:rsidRPr="00D2370F">
        <w:rPr>
          <w:rFonts w:ascii="Times New Roman" w:hAnsi="Times New Roman"/>
          <w:b/>
          <w:bCs/>
          <w:sz w:val="20"/>
          <w:szCs w:val="20"/>
        </w:rPr>
        <w:t>1970</w:t>
      </w:r>
      <w:r w:rsidR="00843020" w:rsidRPr="00D2370F">
        <w:rPr>
          <w:rFonts w:ascii="Times New Roman" w:hAnsi="Times New Roman"/>
          <w:sz w:val="20"/>
          <w:szCs w:val="20"/>
        </w:rPr>
        <w:t xml:space="preserve">, </w:t>
      </w:r>
      <w:r w:rsidR="00843020" w:rsidRPr="00D2370F">
        <w:rPr>
          <w:rFonts w:ascii="Times New Roman" w:hAnsi="Times New Roman"/>
          <w:i/>
          <w:iCs/>
          <w:sz w:val="20"/>
          <w:szCs w:val="20"/>
        </w:rPr>
        <w:t>16</w:t>
      </w:r>
      <w:r w:rsidR="00843020" w:rsidRPr="00D2370F">
        <w:rPr>
          <w:rFonts w:ascii="Times New Roman" w:hAnsi="Times New Roman"/>
          <w:sz w:val="20"/>
          <w:szCs w:val="20"/>
        </w:rPr>
        <w:t>, 157-163.</w:t>
      </w:r>
    </w:p>
    <w:p w14:paraId="608627A9" w14:textId="77777777" w:rsidR="004C6B3F" w:rsidRPr="00D2370F" w:rsidRDefault="00472504" w:rsidP="00276D24">
      <w:pPr>
        <w:pStyle w:val="TAMainText"/>
        <w:spacing w:line="240" w:lineRule="auto"/>
        <w:ind w:firstLine="0"/>
        <w:rPr>
          <w:rFonts w:ascii="Times New Roman" w:hAnsi="Times New Roman"/>
          <w:lang w:val="pt-BR"/>
        </w:rPr>
      </w:pPr>
      <w:r w:rsidRPr="00D2370F">
        <w:rPr>
          <w:rFonts w:ascii="Times New Roman" w:hAnsi="Times New Roman"/>
          <w:lang w:val="pt-BR"/>
        </w:rPr>
        <w:t xml:space="preserve">19. E. Gallegos-Suarez; A. Guerrero-Ruiz; I. Rodriguez-Ramos; A. </w:t>
      </w:r>
      <w:proofErr w:type="spellStart"/>
      <w:r w:rsidRPr="00D2370F">
        <w:rPr>
          <w:rFonts w:ascii="Times New Roman" w:hAnsi="Times New Roman"/>
          <w:lang w:val="pt-BR"/>
        </w:rPr>
        <w:t>Arcoya</w:t>
      </w:r>
      <w:proofErr w:type="spellEnd"/>
      <w:r w:rsidRPr="00D2370F">
        <w:rPr>
          <w:rFonts w:ascii="Times New Roman" w:hAnsi="Times New Roman"/>
          <w:lang w:val="pt-BR"/>
        </w:rPr>
        <w:t xml:space="preserve">, </w:t>
      </w:r>
      <w:proofErr w:type="spellStart"/>
      <w:r w:rsidRPr="00D2370F">
        <w:rPr>
          <w:rFonts w:ascii="Times New Roman" w:hAnsi="Times New Roman"/>
          <w:i/>
          <w:iCs/>
          <w:lang w:val="pt-BR"/>
        </w:rPr>
        <w:t>Chem</w:t>
      </w:r>
      <w:proofErr w:type="spellEnd"/>
      <w:r w:rsidRPr="00D2370F">
        <w:rPr>
          <w:rFonts w:ascii="Times New Roman" w:hAnsi="Times New Roman"/>
          <w:i/>
          <w:iCs/>
          <w:lang w:val="pt-BR"/>
        </w:rPr>
        <w:t>. Eng. J.</w:t>
      </w:r>
      <w:r w:rsidRPr="00D2370F">
        <w:rPr>
          <w:rFonts w:ascii="Times New Roman" w:hAnsi="Times New Roman"/>
          <w:lang w:val="pt-BR"/>
        </w:rPr>
        <w:t xml:space="preserve"> </w:t>
      </w:r>
      <w:r w:rsidRPr="00D2370F">
        <w:rPr>
          <w:rFonts w:ascii="Times New Roman" w:hAnsi="Times New Roman"/>
          <w:b/>
          <w:bCs/>
          <w:lang w:val="pt-BR"/>
        </w:rPr>
        <w:t>2015</w:t>
      </w:r>
      <w:r w:rsidRPr="00D2370F">
        <w:rPr>
          <w:rFonts w:ascii="Times New Roman" w:hAnsi="Times New Roman"/>
          <w:lang w:val="pt-BR"/>
        </w:rPr>
        <w:t xml:space="preserve">, </w:t>
      </w:r>
      <w:r w:rsidRPr="00D2370F">
        <w:rPr>
          <w:rFonts w:ascii="Times New Roman" w:hAnsi="Times New Roman"/>
          <w:i/>
          <w:iCs/>
          <w:lang w:val="pt-BR"/>
        </w:rPr>
        <w:t>262</w:t>
      </w:r>
      <w:r w:rsidRPr="00D2370F">
        <w:rPr>
          <w:rFonts w:ascii="Times New Roman" w:hAnsi="Times New Roman"/>
          <w:lang w:val="pt-BR"/>
        </w:rPr>
        <w:t>, 326–333.</w:t>
      </w:r>
    </w:p>
    <w:p w14:paraId="15AC7B4E" w14:textId="77777777" w:rsidR="007B4B2B" w:rsidRPr="00202FD9" w:rsidRDefault="009A4854" w:rsidP="000F1DCF">
      <w:pPr>
        <w:spacing w:after="0" w:line="240" w:lineRule="auto"/>
        <w:jc w:val="both"/>
        <w:rPr>
          <w:lang w:val="en-US"/>
        </w:rPr>
      </w:pPr>
      <w:r w:rsidRPr="000F1DCF">
        <w:rPr>
          <w:rFonts w:ascii="Times New Roman" w:eastAsia="Times New Roman" w:hAnsi="Times New Roman" w:cs="Times New Roman"/>
          <w:sz w:val="20"/>
          <w:szCs w:val="20"/>
          <w:lang w:val="en-US" w:eastAsia="pt-BR"/>
        </w:rPr>
        <w:t>2</w:t>
      </w:r>
      <w:r w:rsidR="00D746B8">
        <w:rPr>
          <w:rFonts w:ascii="Times New Roman" w:eastAsia="Times New Roman" w:hAnsi="Times New Roman" w:cs="Times New Roman"/>
          <w:sz w:val="20"/>
          <w:szCs w:val="20"/>
          <w:lang w:val="en-US" w:eastAsia="pt-BR"/>
        </w:rPr>
        <w:t>0</w:t>
      </w:r>
      <w:r w:rsidRPr="000F1DCF">
        <w:rPr>
          <w:rFonts w:ascii="Times New Roman" w:eastAsia="Times New Roman" w:hAnsi="Times New Roman" w:cs="Times New Roman"/>
          <w:sz w:val="20"/>
          <w:szCs w:val="20"/>
          <w:lang w:val="en-US" w:eastAsia="pt-BR"/>
        </w:rPr>
        <w:t xml:space="preserve">. </w:t>
      </w:r>
      <w:r w:rsidR="000F1DCF" w:rsidRPr="000F1DCF">
        <w:rPr>
          <w:rFonts w:ascii="Times New Roman" w:eastAsia="Times New Roman" w:hAnsi="Times New Roman" w:cs="Times New Roman"/>
          <w:sz w:val="20"/>
          <w:szCs w:val="20"/>
          <w:lang w:val="en-US" w:eastAsia="pt-BR"/>
        </w:rPr>
        <w:t xml:space="preserve">Z. Wu, M. Zhang, Y. Yao, J. Wang, D. Wang, M Zhang, Y. Li, </w:t>
      </w:r>
      <w:proofErr w:type="spellStart"/>
      <w:r w:rsidR="000F1DCF" w:rsidRPr="000F1DCF">
        <w:rPr>
          <w:rFonts w:ascii="Times New Roman" w:eastAsia="Times New Roman" w:hAnsi="Times New Roman" w:cs="Times New Roman"/>
          <w:i/>
          <w:iCs/>
          <w:sz w:val="20"/>
          <w:szCs w:val="20"/>
          <w:lang w:val="en-US" w:eastAsia="pt-BR"/>
        </w:rPr>
        <w:t>Catal</w:t>
      </w:r>
      <w:proofErr w:type="spellEnd"/>
      <w:r w:rsidR="000F1DCF" w:rsidRPr="000F1DCF">
        <w:rPr>
          <w:rFonts w:ascii="Times New Roman" w:eastAsia="Times New Roman" w:hAnsi="Times New Roman" w:cs="Times New Roman"/>
          <w:i/>
          <w:iCs/>
          <w:sz w:val="20"/>
          <w:szCs w:val="20"/>
          <w:lang w:val="en-US" w:eastAsia="pt-BR"/>
        </w:rPr>
        <w:t xml:space="preserve">. </w:t>
      </w:r>
      <w:r w:rsidR="000F1DCF" w:rsidRPr="00202FD9">
        <w:rPr>
          <w:rFonts w:ascii="Times New Roman" w:eastAsia="Times New Roman" w:hAnsi="Times New Roman" w:cs="Times New Roman"/>
          <w:i/>
          <w:iCs/>
          <w:sz w:val="20"/>
          <w:szCs w:val="20"/>
          <w:lang w:val="en-US" w:eastAsia="pt-BR"/>
        </w:rPr>
        <w:t>Today</w:t>
      </w:r>
      <w:r w:rsidR="000F1DCF" w:rsidRPr="00202FD9">
        <w:rPr>
          <w:rFonts w:ascii="Times New Roman" w:eastAsia="Times New Roman" w:hAnsi="Times New Roman" w:cs="Times New Roman"/>
          <w:sz w:val="20"/>
          <w:szCs w:val="20"/>
          <w:lang w:val="en-US" w:eastAsia="pt-BR"/>
        </w:rPr>
        <w:t xml:space="preserve"> </w:t>
      </w:r>
      <w:r w:rsidR="000F1DCF" w:rsidRPr="00202FD9">
        <w:rPr>
          <w:rFonts w:ascii="Times New Roman" w:eastAsia="Times New Roman" w:hAnsi="Times New Roman" w:cs="Times New Roman"/>
          <w:b/>
          <w:bCs/>
          <w:sz w:val="20"/>
          <w:szCs w:val="20"/>
          <w:lang w:val="en-US" w:eastAsia="pt-BR"/>
        </w:rPr>
        <w:t>2018</w:t>
      </w:r>
      <w:r w:rsidR="000F1DCF" w:rsidRPr="00202FD9">
        <w:rPr>
          <w:rFonts w:ascii="Times New Roman" w:eastAsia="Times New Roman" w:hAnsi="Times New Roman" w:cs="Times New Roman"/>
          <w:sz w:val="20"/>
          <w:szCs w:val="20"/>
          <w:lang w:val="en-US" w:eastAsia="pt-BR"/>
        </w:rPr>
        <w:t xml:space="preserve">, </w:t>
      </w:r>
      <w:r w:rsidR="000F1DCF" w:rsidRPr="00202FD9">
        <w:rPr>
          <w:rFonts w:ascii="Times New Roman" w:eastAsia="Times New Roman" w:hAnsi="Times New Roman" w:cs="Times New Roman"/>
          <w:i/>
          <w:iCs/>
          <w:sz w:val="20"/>
          <w:szCs w:val="20"/>
          <w:lang w:val="en-US" w:eastAsia="pt-BR"/>
        </w:rPr>
        <w:t>302</w:t>
      </w:r>
      <w:r w:rsidR="000F1DCF" w:rsidRPr="00202FD9">
        <w:rPr>
          <w:rFonts w:ascii="Times New Roman" w:eastAsia="Times New Roman" w:hAnsi="Times New Roman" w:cs="Times New Roman"/>
          <w:sz w:val="20"/>
          <w:szCs w:val="20"/>
          <w:lang w:val="en-US" w:eastAsia="pt-BR"/>
        </w:rPr>
        <w:t>, 217–226.</w:t>
      </w:r>
    </w:p>
    <w:sectPr w:rsidR="007B4B2B" w:rsidRPr="00202FD9"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24B78" w14:textId="77777777" w:rsidR="00424430" w:rsidRDefault="00424430" w:rsidP="00EA4E1B">
      <w:pPr>
        <w:spacing w:after="0" w:line="240" w:lineRule="auto"/>
      </w:pPr>
      <w:r>
        <w:separator/>
      </w:r>
    </w:p>
  </w:endnote>
  <w:endnote w:type="continuationSeparator" w:id="0">
    <w:p w14:paraId="2E138945" w14:textId="77777777" w:rsidR="00424430" w:rsidRDefault="00424430"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371A0" w14:textId="77777777" w:rsidR="00424430" w:rsidRDefault="00424430" w:rsidP="00EA4E1B">
      <w:pPr>
        <w:spacing w:after="0" w:line="240" w:lineRule="auto"/>
      </w:pPr>
      <w:r>
        <w:separator/>
      </w:r>
    </w:p>
  </w:footnote>
  <w:footnote w:type="continuationSeparator" w:id="0">
    <w:p w14:paraId="14205377" w14:textId="77777777" w:rsidR="00424430" w:rsidRDefault="00424430"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532C" w14:textId="77777777" w:rsidR="00EA4E1B" w:rsidRDefault="00AF0400" w:rsidP="00EA4E1B">
    <w:pPr>
      <w:pStyle w:val="Cabealho"/>
      <w:jc w:val="center"/>
    </w:pPr>
    <w:r>
      <w:rPr>
        <w:noProof/>
        <w:lang w:eastAsia="pt-BR"/>
      </w:rPr>
      <w:drawing>
        <wp:inline distT="0" distB="0" distL="0" distR="0" wp14:anchorId="5965025C" wp14:editId="13187AC9">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2D2B320F" wp14:editId="6D2C3666">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67DF2"/>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448232446">
    <w:abstractNumId w:val="1"/>
  </w:num>
  <w:num w:numId="2" w16cid:durableId="74510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numFmt w:val="decimal"/>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A93"/>
    <w:rsid w:val="00005416"/>
    <w:rsid w:val="00007679"/>
    <w:rsid w:val="0001264A"/>
    <w:rsid w:val="00035B5E"/>
    <w:rsid w:val="00061A72"/>
    <w:rsid w:val="000651DD"/>
    <w:rsid w:val="00072052"/>
    <w:rsid w:val="000865FF"/>
    <w:rsid w:val="00096832"/>
    <w:rsid w:val="000A1C6D"/>
    <w:rsid w:val="000C2CAA"/>
    <w:rsid w:val="000D3101"/>
    <w:rsid w:val="000E0211"/>
    <w:rsid w:val="000E47CE"/>
    <w:rsid w:val="000F1D24"/>
    <w:rsid w:val="000F1DCF"/>
    <w:rsid w:val="000F4E07"/>
    <w:rsid w:val="001069AD"/>
    <w:rsid w:val="001108A3"/>
    <w:rsid w:val="00121D67"/>
    <w:rsid w:val="00127600"/>
    <w:rsid w:val="0013449B"/>
    <w:rsid w:val="00134E77"/>
    <w:rsid w:val="00136BC2"/>
    <w:rsid w:val="00143EF7"/>
    <w:rsid w:val="0014473B"/>
    <w:rsid w:val="001664F0"/>
    <w:rsid w:val="001737E2"/>
    <w:rsid w:val="00176452"/>
    <w:rsid w:val="00177699"/>
    <w:rsid w:val="001A70D5"/>
    <w:rsid w:val="001B6F85"/>
    <w:rsid w:val="001C00ED"/>
    <w:rsid w:val="001C4CBB"/>
    <w:rsid w:val="001D2C54"/>
    <w:rsid w:val="001E15F8"/>
    <w:rsid w:val="001E3AA5"/>
    <w:rsid w:val="001E58A9"/>
    <w:rsid w:val="001F0124"/>
    <w:rsid w:val="001F25B2"/>
    <w:rsid w:val="00200D24"/>
    <w:rsid w:val="00202FD9"/>
    <w:rsid w:val="00203CEF"/>
    <w:rsid w:val="002162D9"/>
    <w:rsid w:val="00216E1F"/>
    <w:rsid w:val="00222230"/>
    <w:rsid w:val="00233FC3"/>
    <w:rsid w:val="00236777"/>
    <w:rsid w:val="0024191F"/>
    <w:rsid w:val="002519EC"/>
    <w:rsid w:val="00255611"/>
    <w:rsid w:val="00270881"/>
    <w:rsid w:val="00275806"/>
    <w:rsid w:val="00276D06"/>
    <w:rsid w:val="00276D24"/>
    <w:rsid w:val="00280BFF"/>
    <w:rsid w:val="00286A5C"/>
    <w:rsid w:val="00290847"/>
    <w:rsid w:val="00292019"/>
    <w:rsid w:val="002A5FCA"/>
    <w:rsid w:val="002C2E42"/>
    <w:rsid w:val="002C2FB2"/>
    <w:rsid w:val="002C7C36"/>
    <w:rsid w:val="002D4000"/>
    <w:rsid w:val="002D5F20"/>
    <w:rsid w:val="002D6669"/>
    <w:rsid w:val="002F35DE"/>
    <w:rsid w:val="002F7CBD"/>
    <w:rsid w:val="0030397B"/>
    <w:rsid w:val="003056EA"/>
    <w:rsid w:val="003123D1"/>
    <w:rsid w:val="00323010"/>
    <w:rsid w:val="0032544E"/>
    <w:rsid w:val="00335259"/>
    <w:rsid w:val="00340B1E"/>
    <w:rsid w:val="003561C5"/>
    <w:rsid w:val="00356295"/>
    <w:rsid w:val="00373172"/>
    <w:rsid w:val="0038262F"/>
    <w:rsid w:val="00382F1A"/>
    <w:rsid w:val="003B4CD8"/>
    <w:rsid w:val="003C3EB9"/>
    <w:rsid w:val="003C7080"/>
    <w:rsid w:val="003D5AD9"/>
    <w:rsid w:val="003D6EBF"/>
    <w:rsid w:val="003E09B0"/>
    <w:rsid w:val="003E0B50"/>
    <w:rsid w:val="003E5232"/>
    <w:rsid w:val="00402F3E"/>
    <w:rsid w:val="004055DB"/>
    <w:rsid w:val="004158B6"/>
    <w:rsid w:val="00420349"/>
    <w:rsid w:val="00422EDD"/>
    <w:rsid w:val="00424430"/>
    <w:rsid w:val="004649F6"/>
    <w:rsid w:val="00472504"/>
    <w:rsid w:val="004C6B3F"/>
    <w:rsid w:val="004D5BB6"/>
    <w:rsid w:val="004F3F42"/>
    <w:rsid w:val="00507059"/>
    <w:rsid w:val="00517DB0"/>
    <w:rsid w:val="0052112E"/>
    <w:rsid w:val="00521D45"/>
    <w:rsid w:val="00523BCC"/>
    <w:rsid w:val="00524BB0"/>
    <w:rsid w:val="00527A0F"/>
    <w:rsid w:val="0053792B"/>
    <w:rsid w:val="005557B7"/>
    <w:rsid w:val="0057022B"/>
    <w:rsid w:val="005849E6"/>
    <w:rsid w:val="005A5C06"/>
    <w:rsid w:val="005A64DA"/>
    <w:rsid w:val="005B042C"/>
    <w:rsid w:val="005B7DDB"/>
    <w:rsid w:val="005C2775"/>
    <w:rsid w:val="005D65EB"/>
    <w:rsid w:val="005F214E"/>
    <w:rsid w:val="005F2C29"/>
    <w:rsid w:val="00602BD3"/>
    <w:rsid w:val="00604718"/>
    <w:rsid w:val="006158E2"/>
    <w:rsid w:val="006363D3"/>
    <w:rsid w:val="00646C4B"/>
    <w:rsid w:val="006479CA"/>
    <w:rsid w:val="00652815"/>
    <w:rsid w:val="006647B2"/>
    <w:rsid w:val="00665D30"/>
    <w:rsid w:val="00667097"/>
    <w:rsid w:val="00677A45"/>
    <w:rsid w:val="00680C6E"/>
    <w:rsid w:val="00681797"/>
    <w:rsid w:val="00687723"/>
    <w:rsid w:val="006A312E"/>
    <w:rsid w:val="006D0C4E"/>
    <w:rsid w:val="006F06B8"/>
    <w:rsid w:val="006F599B"/>
    <w:rsid w:val="006F6183"/>
    <w:rsid w:val="007037A7"/>
    <w:rsid w:val="00711FA9"/>
    <w:rsid w:val="007268BE"/>
    <w:rsid w:val="0073691B"/>
    <w:rsid w:val="00740450"/>
    <w:rsid w:val="007471C1"/>
    <w:rsid w:val="00763F50"/>
    <w:rsid w:val="007670A0"/>
    <w:rsid w:val="00781685"/>
    <w:rsid w:val="00792E1B"/>
    <w:rsid w:val="007A370B"/>
    <w:rsid w:val="007A449F"/>
    <w:rsid w:val="007B4B2B"/>
    <w:rsid w:val="007C07C1"/>
    <w:rsid w:val="007C6B95"/>
    <w:rsid w:val="007C7654"/>
    <w:rsid w:val="007E18F5"/>
    <w:rsid w:val="007E4198"/>
    <w:rsid w:val="007F1833"/>
    <w:rsid w:val="008026CC"/>
    <w:rsid w:val="00803338"/>
    <w:rsid w:val="00807442"/>
    <w:rsid w:val="00823D0A"/>
    <w:rsid w:val="00843020"/>
    <w:rsid w:val="00857818"/>
    <w:rsid w:val="0086327F"/>
    <w:rsid w:val="00866822"/>
    <w:rsid w:val="00872125"/>
    <w:rsid w:val="008B06F6"/>
    <w:rsid w:val="008B1683"/>
    <w:rsid w:val="008B6AF1"/>
    <w:rsid w:val="008C1B30"/>
    <w:rsid w:val="008C3C2B"/>
    <w:rsid w:val="008C5C6E"/>
    <w:rsid w:val="008D76FB"/>
    <w:rsid w:val="008F19CC"/>
    <w:rsid w:val="00905A26"/>
    <w:rsid w:val="00916292"/>
    <w:rsid w:val="00926732"/>
    <w:rsid w:val="00954B35"/>
    <w:rsid w:val="00955165"/>
    <w:rsid w:val="00957393"/>
    <w:rsid w:val="009630F1"/>
    <w:rsid w:val="009656D9"/>
    <w:rsid w:val="00975372"/>
    <w:rsid w:val="00984BE3"/>
    <w:rsid w:val="00995078"/>
    <w:rsid w:val="009966A8"/>
    <w:rsid w:val="009A2532"/>
    <w:rsid w:val="009A4854"/>
    <w:rsid w:val="009B35E0"/>
    <w:rsid w:val="009B5CB1"/>
    <w:rsid w:val="009B7241"/>
    <w:rsid w:val="009C71B3"/>
    <w:rsid w:val="009C763F"/>
    <w:rsid w:val="009C7CB0"/>
    <w:rsid w:val="009D095A"/>
    <w:rsid w:val="009D3E86"/>
    <w:rsid w:val="00A14B5C"/>
    <w:rsid w:val="00A17D85"/>
    <w:rsid w:val="00A51852"/>
    <w:rsid w:val="00A6674E"/>
    <w:rsid w:val="00A6677B"/>
    <w:rsid w:val="00A764E0"/>
    <w:rsid w:val="00A87CE8"/>
    <w:rsid w:val="00A91783"/>
    <w:rsid w:val="00A9310C"/>
    <w:rsid w:val="00A9387B"/>
    <w:rsid w:val="00A96CF5"/>
    <w:rsid w:val="00AA182E"/>
    <w:rsid w:val="00AA3797"/>
    <w:rsid w:val="00AA70CC"/>
    <w:rsid w:val="00AB0DCB"/>
    <w:rsid w:val="00AB16E0"/>
    <w:rsid w:val="00AB4FF3"/>
    <w:rsid w:val="00AC5067"/>
    <w:rsid w:val="00AC6979"/>
    <w:rsid w:val="00AE116B"/>
    <w:rsid w:val="00AF0400"/>
    <w:rsid w:val="00AF3717"/>
    <w:rsid w:val="00AF39A9"/>
    <w:rsid w:val="00AF5929"/>
    <w:rsid w:val="00B02B3D"/>
    <w:rsid w:val="00B03474"/>
    <w:rsid w:val="00B0529E"/>
    <w:rsid w:val="00B11D1A"/>
    <w:rsid w:val="00B1360B"/>
    <w:rsid w:val="00B1419A"/>
    <w:rsid w:val="00B20565"/>
    <w:rsid w:val="00B21BA3"/>
    <w:rsid w:val="00B240E9"/>
    <w:rsid w:val="00B26A08"/>
    <w:rsid w:val="00B30AEB"/>
    <w:rsid w:val="00B36DB2"/>
    <w:rsid w:val="00B5369C"/>
    <w:rsid w:val="00B66C50"/>
    <w:rsid w:val="00B728EB"/>
    <w:rsid w:val="00B9297B"/>
    <w:rsid w:val="00BA070F"/>
    <w:rsid w:val="00BA6A6E"/>
    <w:rsid w:val="00BA766E"/>
    <w:rsid w:val="00BB311D"/>
    <w:rsid w:val="00BD1747"/>
    <w:rsid w:val="00BD20A8"/>
    <w:rsid w:val="00BE1BB4"/>
    <w:rsid w:val="00BE47F8"/>
    <w:rsid w:val="00BF17A5"/>
    <w:rsid w:val="00BF1AC8"/>
    <w:rsid w:val="00C061A3"/>
    <w:rsid w:val="00C208DF"/>
    <w:rsid w:val="00C21919"/>
    <w:rsid w:val="00C30A64"/>
    <w:rsid w:val="00C445B3"/>
    <w:rsid w:val="00C50F0E"/>
    <w:rsid w:val="00C63DDF"/>
    <w:rsid w:val="00C66DFF"/>
    <w:rsid w:val="00C71144"/>
    <w:rsid w:val="00C7480C"/>
    <w:rsid w:val="00C76E54"/>
    <w:rsid w:val="00C77163"/>
    <w:rsid w:val="00C81145"/>
    <w:rsid w:val="00C83198"/>
    <w:rsid w:val="00C851C5"/>
    <w:rsid w:val="00C93E9B"/>
    <w:rsid w:val="00CA10C0"/>
    <w:rsid w:val="00CB4BF7"/>
    <w:rsid w:val="00CC1CE9"/>
    <w:rsid w:val="00CC29DA"/>
    <w:rsid w:val="00CC4B4D"/>
    <w:rsid w:val="00CE003E"/>
    <w:rsid w:val="00CE6F06"/>
    <w:rsid w:val="00CF2406"/>
    <w:rsid w:val="00CF6CE9"/>
    <w:rsid w:val="00D0502B"/>
    <w:rsid w:val="00D1442D"/>
    <w:rsid w:val="00D1468A"/>
    <w:rsid w:val="00D2370F"/>
    <w:rsid w:val="00D26809"/>
    <w:rsid w:val="00D66A4D"/>
    <w:rsid w:val="00D73FAC"/>
    <w:rsid w:val="00D746B8"/>
    <w:rsid w:val="00D758E5"/>
    <w:rsid w:val="00D801AF"/>
    <w:rsid w:val="00D81324"/>
    <w:rsid w:val="00D8487E"/>
    <w:rsid w:val="00D927FE"/>
    <w:rsid w:val="00D96135"/>
    <w:rsid w:val="00D96F8B"/>
    <w:rsid w:val="00DB10E9"/>
    <w:rsid w:val="00DB7505"/>
    <w:rsid w:val="00DD4356"/>
    <w:rsid w:val="00DE2F9A"/>
    <w:rsid w:val="00DE4FB6"/>
    <w:rsid w:val="00DF453E"/>
    <w:rsid w:val="00E02A21"/>
    <w:rsid w:val="00E02AF3"/>
    <w:rsid w:val="00E038AF"/>
    <w:rsid w:val="00E03D5D"/>
    <w:rsid w:val="00E105B3"/>
    <w:rsid w:val="00E14D45"/>
    <w:rsid w:val="00E2361F"/>
    <w:rsid w:val="00E23742"/>
    <w:rsid w:val="00E24B20"/>
    <w:rsid w:val="00E4528F"/>
    <w:rsid w:val="00E53CFE"/>
    <w:rsid w:val="00E54028"/>
    <w:rsid w:val="00E73B87"/>
    <w:rsid w:val="00E75FF3"/>
    <w:rsid w:val="00E81909"/>
    <w:rsid w:val="00E866E4"/>
    <w:rsid w:val="00E91DDA"/>
    <w:rsid w:val="00EA4E1B"/>
    <w:rsid w:val="00EA5D8B"/>
    <w:rsid w:val="00EB0D2A"/>
    <w:rsid w:val="00EB5D58"/>
    <w:rsid w:val="00EB6184"/>
    <w:rsid w:val="00EC4B3A"/>
    <w:rsid w:val="00EE3649"/>
    <w:rsid w:val="00EF0BDA"/>
    <w:rsid w:val="00EF7524"/>
    <w:rsid w:val="00F100BF"/>
    <w:rsid w:val="00F15DD6"/>
    <w:rsid w:val="00F24C96"/>
    <w:rsid w:val="00F30661"/>
    <w:rsid w:val="00F312A5"/>
    <w:rsid w:val="00F33181"/>
    <w:rsid w:val="00F53B55"/>
    <w:rsid w:val="00F53BDF"/>
    <w:rsid w:val="00F57446"/>
    <w:rsid w:val="00F81F02"/>
    <w:rsid w:val="00F83FB9"/>
    <w:rsid w:val="00F917DA"/>
    <w:rsid w:val="00FA0E03"/>
    <w:rsid w:val="00FA41B0"/>
    <w:rsid w:val="00FA5D79"/>
    <w:rsid w:val="00FC64D1"/>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8CF17E3"/>
  <w15:docId w15:val="{71921951-4660-4BA6-A446-A40E79AC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777"/>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73691B"/>
    <w:rPr>
      <w:color w:val="0563C1" w:themeColor="hyperlink"/>
      <w:u w:val="single"/>
    </w:rPr>
  </w:style>
  <w:style w:type="character" w:customStyle="1" w:styleId="MenoPendente1">
    <w:name w:val="Menção Pendente1"/>
    <w:basedOn w:val="Fontepargpadro"/>
    <w:uiPriority w:val="99"/>
    <w:semiHidden/>
    <w:unhideWhenUsed/>
    <w:rsid w:val="0073691B"/>
    <w:rPr>
      <w:color w:val="605E5C"/>
      <w:shd w:val="clear" w:color="auto" w:fill="E1DFDD"/>
    </w:rPr>
  </w:style>
  <w:style w:type="paragraph" w:styleId="PargrafodaLista">
    <w:name w:val="List Paragraph"/>
    <w:basedOn w:val="Normal"/>
    <w:uiPriority w:val="34"/>
    <w:qFormat/>
    <w:rsid w:val="001E15F8"/>
    <w:pPr>
      <w:ind w:left="720"/>
      <w:contextualSpacing/>
    </w:pPr>
  </w:style>
  <w:style w:type="character" w:styleId="Refdecomentrio">
    <w:name w:val="annotation reference"/>
    <w:basedOn w:val="Fontepargpadro"/>
    <w:uiPriority w:val="99"/>
    <w:semiHidden/>
    <w:unhideWhenUsed/>
    <w:rsid w:val="002A5FCA"/>
    <w:rPr>
      <w:sz w:val="16"/>
      <w:szCs w:val="16"/>
    </w:rPr>
  </w:style>
  <w:style w:type="paragraph" w:styleId="Textodecomentrio">
    <w:name w:val="annotation text"/>
    <w:basedOn w:val="Normal"/>
    <w:link w:val="TextodecomentrioChar"/>
    <w:uiPriority w:val="99"/>
    <w:semiHidden/>
    <w:unhideWhenUsed/>
    <w:rsid w:val="002A5FC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5FCA"/>
    <w:rPr>
      <w:sz w:val="20"/>
      <w:szCs w:val="20"/>
    </w:rPr>
  </w:style>
  <w:style w:type="paragraph" w:styleId="Assuntodocomentrio">
    <w:name w:val="annotation subject"/>
    <w:basedOn w:val="Textodecomentrio"/>
    <w:next w:val="Textodecomentrio"/>
    <w:link w:val="AssuntodocomentrioChar"/>
    <w:uiPriority w:val="99"/>
    <w:semiHidden/>
    <w:unhideWhenUsed/>
    <w:rsid w:val="002A5FCA"/>
    <w:rPr>
      <w:b/>
      <w:bCs/>
    </w:rPr>
  </w:style>
  <w:style w:type="character" w:customStyle="1" w:styleId="AssuntodocomentrioChar">
    <w:name w:val="Assunto do comentário Char"/>
    <w:basedOn w:val="TextodecomentrioChar"/>
    <w:link w:val="Assuntodocomentrio"/>
    <w:uiPriority w:val="99"/>
    <w:semiHidden/>
    <w:rsid w:val="002A5FCA"/>
    <w:rPr>
      <w:b/>
      <w:bCs/>
      <w:sz w:val="20"/>
      <w:szCs w:val="20"/>
    </w:rPr>
  </w:style>
  <w:style w:type="paragraph" w:styleId="Bibliografia">
    <w:name w:val="Bibliography"/>
    <w:basedOn w:val="Normal"/>
    <w:next w:val="Normal"/>
    <w:uiPriority w:val="37"/>
    <w:semiHidden/>
    <w:unhideWhenUsed/>
    <w:rsid w:val="00BA766E"/>
  </w:style>
  <w:style w:type="paragraph" w:styleId="Reviso">
    <w:name w:val="Revision"/>
    <w:hidden/>
    <w:uiPriority w:val="99"/>
    <w:semiHidden/>
    <w:rsid w:val="00072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4D0E6-DDEF-4843-A3AA-ABC27BF9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3896</Words>
  <Characters>21043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Alexandre Gaspar</cp:lastModifiedBy>
  <cp:revision>2</cp:revision>
  <dcterms:created xsi:type="dcterms:W3CDTF">2023-05-09T21:48:00Z</dcterms:created>
  <dcterms:modified xsi:type="dcterms:W3CDTF">2023-05-09T21:48:00Z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