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5DACAA3" w:rsidR="00EA4E1B" w:rsidRDefault="00A3656D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</w:t>
      </w:r>
      <w:r w:rsidR="000C0D00">
        <w:rPr>
          <w:sz w:val="32"/>
          <w:lang w:val="pt-BR"/>
        </w:rPr>
        <w:t xml:space="preserve">e aplicação em capacitor </w:t>
      </w:r>
      <w:r>
        <w:rPr>
          <w:sz w:val="32"/>
          <w:lang w:val="pt-BR"/>
        </w:rPr>
        <w:t>de p</w:t>
      </w:r>
      <w:r w:rsidR="003867CB">
        <w:rPr>
          <w:sz w:val="32"/>
          <w:lang w:val="pt-BR"/>
        </w:rPr>
        <w:t>olifeni</w:t>
      </w:r>
      <w:r w:rsidR="000D28B4">
        <w:rPr>
          <w:sz w:val="32"/>
          <w:lang w:val="pt-BR"/>
        </w:rPr>
        <w:t>l</w:t>
      </w:r>
      <w:r w:rsidR="003867CB">
        <w:rPr>
          <w:sz w:val="32"/>
          <w:lang w:val="pt-BR"/>
        </w:rPr>
        <w:t xml:space="preserve">acetileno semicondutor </w:t>
      </w:r>
      <w:r w:rsidR="000C0D00">
        <w:rPr>
          <w:sz w:val="32"/>
          <w:lang w:val="pt-BR"/>
        </w:rPr>
        <w:t>empregando MCM-41</w:t>
      </w:r>
      <w:r w:rsidR="00701CB6">
        <w:rPr>
          <w:sz w:val="32"/>
          <w:lang w:val="pt-BR"/>
        </w:rPr>
        <w:t xml:space="preserve"> </w:t>
      </w:r>
      <w:r w:rsidR="000C0D00">
        <w:rPr>
          <w:sz w:val="32"/>
          <w:lang w:val="pt-BR"/>
        </w:rPr>
        <w:t>híbrido</w:t>
      </w:r>
      <w:r w:rsidR="003867CB">
        <w:rPr>
          <w:sz w:val="32"/>
          <w:lang w:val="pt-BR"/>
        </w:rPr>
        <w:t xml:space="preserve">  </w:t>
      </w:r>
    </w:p>
    <w:p w14:paraId="50906656" w14:textId="77777777" w:rsidR="001925C1" w:rsidRDefault="001925C1" w:rsidP="00CE5225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t-BR"/>
        </w:rPr>
      </w:pPr>
    </w:p>
    <w:p w14:paraId="1B804493" w14:textId="7C98D294" w:rsidR="00EA4E1B" w:rsidRDefault="00CE5225" w:rsidP="00727F8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vertAlign w:val="superscript"/>
          <w:lang w:eastAsia="pt-BR"/>
        </w:rPr>
      </w:pPr>
      <w:r w:rsidRPr="00727F8C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Katiúscia Machado Nobre Borba</w:t>
      </w:r>
      <w:r w:rsidR="00994F31" w:rsidRPr="00727F8C">
        <w:rPr>
          <w:rFonts w:ascii="Times New Roman" w:hAnsi="Times New Roman"/>
          <w:b/>
          <w:bCs/>
          <w:color w:val="000000"/>
          <w:sz w:val="20"/>
          <w:szCs w:val="20"/>
          <w:vertAlign w:val="superscript"/>
          <w:lang w:eastAsia="pt-BR"/>
        </w:rPr>
        <w:t>1</w:t>
      </w:r>
      <w:r w:rsidRPr="00727F8C">
        <w:rPr>
          <w:rFonts w:ascii="Times New Roman" w:hAnsi="Times New Roman"/>
          <w:b/>
          <w:bCs/>
          <w:color w:val="000000"/>
          <w:sz w:val="20"/>
          <w:szCs w:val="20"/>
          <w:vertAlign w:val="superscript"/>
          <w:lang w:eastAsia="pt-BR"/>
        </w:rPr>
        <w:t>*</w:t>
      </w:r>
      <w:r w:rsidRPr="00727F8C">
        <w:rPr>
          <w:rFonts w:ascii="Times New Roman" w:hAnsi="Times New Roman"/>
          <w:b/>
          <w:bCs/>
          <w:sz w:val="20"/>
          <w:szCs w:val="20"/>
        </w:rPr>
        <w:t>,</w:t>
      </w:r>
      <w:r w:rsidRPr="00727F8C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</w:t>
      </w:r>
      <w:r w:rsidRPr="00727F8C">
        <w:rPr>
          <w:rFonts w:ascii="Times New Roman" w:hAnsi="Times New Roman"/>
          <w:b/>
          <w:bCs/>
          <w:color w:val="000000"/>
          <w:sz w:val="20"/>
          <w:szCs w:val="20"/>
        </w:rPr>
        <w:t>Letícia Guerreiro da Trindade</w:t>
      </w:r>
      <w:r w:rsidR="00994F31" w:rsidRPr="00727F8C">
        <w:rPr>
          <w:rFonts w:ascii="Times New Roman" w:hAnsi="Times New Roman"/>
          <w:b/>
          <w:bCs/>
          <w:color w:val="000000"/>
          <w:sz w:val="20"/>
          <w:szCs w:val="20"/>
          <w:vertAlign w:val="superscript"/>
        </w:rPr>
        <w:t>2</w:t>
      </w:r>
      <w:r w:rsidRPr="00727F8C"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 w:rsidRPr="00727F8C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Letícia Zanchet</w:t>
      </w:r>
      <w:r w:rsidR="00994F31" w:rsidRPr="00727F8C">
        <w:rPr>
          <w:rFonts w:ascii="Times New Roman" w:hAnsi="Times New Roman"/>
          <w:b/>
          <w:bCs/>
          <w:color w:val="000000"/>
          <w:sz w:val="20"/>
          <w:szCs w:val="20"/>
          <w:vertAlign w:val="superscript"/>
          <w:lang w:eastAsia="pt-BR"/>
        </w:rPr>
        <w:t>1</w:t>
      </w:r>
      <w:r w:rsidRPr="00727F8C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, Sibele Pergher</w:t>
      </w:r>
      <w:r w:rsidR="00994F31" w:rsidRPr="00727F8C">
        <w:rPr>
          <w:rFonts w:ascii="Times New Roman" w:hAnsi="Times New Roman"/>
          <w:b/>
          <w:bCs/>
          <w:color w:val="000000"/>
          <w:sz w:val="20"/>
          <w:szCs w:val="20"/>
          <w:vertAlign w:val="superscript"/>
          <w:lang w:eastAsia="pt-BR"/>
        </w:rPr>
        <w:t>3</w:t>
      </w:r>
      <w:r w:rsidRPr="00727F8C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, Urbano Diaz</w:t>
      </w:r>
      <w:r w:rsidR="00994F31" w:rsidRPr="00727F8C">
        <w:rPr>
          <w:rFonts w:ascii="Times New Roman" w:hAnsi="Times New Roman"/>
          <w:b/>
          <w:bCs/>
          <w:color w:val="000000"/>
          <w:sz w:val="20"/>
          <w:szCs w:val="20"/>
          <w:vertAlign w:val="superscript"/>
          <w:lang w:eastAsia="pt-BR"/>
        </w:rPr>
        <w:t>4</w:t>
      </w:r>
      <w:r w:rsidRPr="00727F8C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, Fernando Rey Garcia</w:t>
      </w:r>
      <w:r w:rsidR="00994F31" w:rsidRPr="00727F8C">
        <w:rPr>
          <w:rFonts w:ascii="Times New Roman" w:hAnsi="Times New Roman"/>
          <w:b/>
          <w:bCs/>
          <w:color w:val="000000"/>
          <w:sz w:val="20"/>
          <w:szCs w:val="20"/>
          <w:vertAlign w:val="superscript"/>
          <w:lang w:eastAsia="pt-BR"/>
        </w:rPr>
        <w:t>4</w:t>
      </w:r>
      <w:r w:rsidRPr="00727F8C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, Katia Bernardo-Gusmão</w:t>
      </w:r>
      <w:r w:rsidR="00994F31" w:rsidRPr="00727F8C">
        <w:rPr>
          <w:rFonts w:ascii="Times New Roman" w:hAnsi="Times New Roman"/>
          <w:b/>
          <w:bCs/>
          <w:color w:val="000000"/>
          <w:sz w:val="20"/>
          <w:szCs w:val="20"/>
          <w:vertAlign w:val="superscript"/>
          <w:lang w:eastAsia="pt-BR"/>
        </w:rPr>
        <w:t>1</w:t>
      </w:r>
    </w:p>
    <w:p w14:paraId="24537655" w14:textId="77777777" w:rsidR="00064C22" w:rsidRDefault="00064C22" w:rsidP="00064C22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eastAsia="pt-BR"/>
        </w:rPr>
      </w:pPr>
    </w:p>
    <w:p w14:paraId="3CFDCE06" w14:textId="488DC38D" w:rsidR="00064C22" w:rsidRPr="00064C22" w:rsidRDefault="00064C22" w:rsidP="00064C22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</w:pPr>
      <w:r w:rsidRPr="00064C22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eastAsia="pt-BR"/>
        </w:rPr>
        <w:t>1</w:t>
      </w:r>
      <w:r w:rsidRPr="00064C2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LRC -</w:t>
      </w:r>
      <w:r w:rsidR="00E80A3F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Instituto de química</w:t>
      </w:r>
      <w:r w:rsidRPr="00064C2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, Universidade Federal do Rio Grande do Sul, P.O. Box 15003, Porto Alegre, RS, 91501-970, Brazil.</w:t>
      </w:r>
    </w:p>
    <w:p w14:paraId="6FD585E8" w14:textId="4975E8E9" w:rsidR="00064C22" w:rsidRPr="00064C22" w:rsidRDefault="00E80A3F" w:rsidP="00064C22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</w:pPr>
      <w:r w:rsidRPr="00776B13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eastAsia="pt-BR"/>
        </w:rPr>
        <w:t>2</w:t>
      </w:r>
      <w:r w:rsidR="00776B13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Departamento de engenharia química</w:t>
      </w:r>
      <w:r w:rsidR="00064C22" w:rsidRPr="00064C2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 xml:space="preserve">, Universidade Federal de São Paulo, Campus Diadema, Diadema, </w:t>
      </w:r>
      <w:r w:rsidR="00B13E21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SP</w:t>
      </w:r>
      <w:r w:rsidR="00064C22" w:rsidRPr="00064C2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 xml:space="preserve"> 09972-270, Brazil.</w:t>
      </w:r>
    </w:p>
    <w:p w14:paraId="6D7F0B4A" w14:textId="39E68C52" w:rsidR="00064C22" w:rsidRPr="00064C22" w:rsidRDefault="00B13E21" w:rsidP="00064C22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</w:pPr>
      <w:r w:rsidRPr="00B13E21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eastAsia="pt-BR"/>
        </w:rPr>
        <w:t>3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LAB</w:t>
      </w:r>
      <w:r w:rsidR="00E540D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PEMOL</w:t>
      </w:r>
      <w:r w:rsidR="00064C22" w:rsidRPr="00064C2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 xml:space="preserve">, </w:t>
      </w:r>
      <w:r w:rsidR="00E540D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Instituto de química</w:t>
      </w:r>
      <w:r w:rsidR="00064C22" w:rsidRPr="00064C2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, Universidade Federal do Rio Grande do Norte, 59.078-970, Natal – RN, Brazil.</w:t>
      </w:r>
    </w:p>
    <w:p w14:paraId="4FF578A3" w14:textId="15641BEC" w:rsidR="00727F8C" w:rsidRPr="00064C22" w:rsidRDefault="00932E2C" w:rsidP="00064C22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</w:pPr>
      <w:r w:rsidRPr="00932E2C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eastAsia="pt-BR"/>
        </w:rPr>
        <w:t>4</w:t>
      </w:r>
      <w:r w:rsidR="00064C22" w:rsidRPr="00064C2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 xml:space="preserve">Instituto de Tecnología Química, </w:t>
      </w:r>
      <w:r w:rsidR="006E0ACB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UPV-CSIC</w:t>
      </w:r>
      <w:r w:rsidR="00064C22" w:rsidRPr="00064C22">
        <w:rPr>
          <w:rFonts w:ascii="Times New Roman" w:hAnsi="Times New Roman"/>
          <w:i/>
          <w:iCs/>
          <w:color w:val="000000"/>
          <w:sz w:val="20"/>
          <w:szCs w:val="20"/>
          <w:lang w:eastAsia="pt-BR"/>
        </w:rPr>
        <w:t>, Avenida de los Naranjos s/n, E-46022, Valencia, Spain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5FD73E18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5FD73E18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32E018D5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0C0D00">
        <w:rPr>
          <w:rFonts w:ascii="Times New Roman" w:hAnsi="Times New Roman"/>
          <w:b w:val="0"/>
          <w:sz w:val="20"/>
          <w:lang w:val="pt-BR"/>
        </w:rPr>
        <w:t>–</w:t>
      </w:r>
      <w:r w:rsidR="00BF6DAC" w:rsidRPr="00BF6DAC">
        <w:rPr>
          <w:lang w:val="pt-BR"/>
        </w:rPr>
        <w:t xml:space="preserve"> </w:t>
      </w:r>
      <w:r w:rsidR="000C0D00">
        <w:rPr>
          <w:rFonts w:ascii="Times New Roman" w:hAnsi="Times New Roman"/>
          <w:b w:val="0"/>
          <w:sz w:val="20"/>
          <w:lang w:val="pt-BR"/>
        </w:rPr>
        <w:t>Foi desenvolvido um material</w:t>
      </w:r>
      <w:r w:rsidR="00BF6DAC" w:rsidRPr="00BF6DAC">
        <w:rPr>
          <w:rFonts w:ascii="Times New Roman" w:hAnsi="Times New Roman"/>
          <w:b w:val="0"/>
          <w:sz w:val="20"/>
          <w:lang w:val="pt-BR"/>
        </w:rPr>
        <w:t xml:space="preserve"> </w:t>
      </w:r>
      <w:r w:rsidR="000C0D00" w:rsidRPr="00BF6DAC">
        <w:rPr>
          <w:rFonts w:ascii="Times New Roman" w:hAnsi="Times New Roman"/>
          <w:b w:val="0"/>
          <w:sz w:val="20"/>
          <w:lang w:val="pt-BR"/>
        </w:rPr>
        <w:t xml:space="preserve">híbrido </w:t>
      </w:r>
      <w:r w:rsidR="00BF6DAC" w:rsidRPr="00BF6DAC">
        <w:rPr>
          <w:rFonts w:ascii="Times New Roman" w:hAnsi="Times New Roman"/>
          <w:b w:val="0"/>
          <w:sz w:val="20"/>
          <w:lang w:val="pt-BR"/>
        </w:rPr>
        <w:t xml:space="preserve">MCM-41 sililado (MS), o qual teve um papel significativo na obtenção de polifenilacetileno semicondutor com uma condutividade de </w:t>
      </w:r>
      <w:r w:rsidR="00601916">
        <w:rPr>
          <w:rFonts w:ascii="Times New Roman" w:hAnsi="Times New Roman"/>
          <w:b w:val="0"/>
          <w:sz w:val="20"/>
          <w:lang w:val="pt-BR"/>
        </w:rPr>
        <w:t>8,</w:t>
      </w:r>
      <w:r w:rsidR="00601916" w:rsidRPr="00601916">
        <w:rPr>
          <w:rFonts w:ascii="Times New Roman" w:hAnsi="Times New Roman"/>
          <w:b w:val="0"/>
          <w:sz w:val="20"/>
          <w:lang w:val="pt-BR"/>
        </w:rPr>
        <w:t>13 × 10</w:t>
      </w:r>
      <w:r w:rsidR="00601916" w:rsidRPr="00601916">
        <w:rPr>
          <w:rFonts w:ascii="Times New Roman" w:hAnsi="Times New Roman"/>
          <w:b w:val="0"/>
          <w:sz w:val="20"/>
          <w:vertAlign w:val="superscript"/>
          <w:lang w:val="pt-BR"/>
        </w:rPr>
        <w:noBreakHyphen/>
        <w:t>5</w:t>
      </w:r>
      <w:r w:rsidR="00601916" w:rsidRPr="00601916">
        <w:rPr>
          <w:rFonts w:ascii="Times New Roman" w:hAnsi="Times New Roman"/>
          <w:b w:val="0"/>
          <w:sz w:val="20"/>
          <w:lang w:val="pt-BR"/>
        </w:rPr>
        <w:t xml:space="preserve"> S m</w:t>
      </w:r>
      <w:r w:rsidR="00601916" w:rsidRPr="00601916">
        <w:rPr>
          <w:rFonts w:ascii="Times New Roman" w:hAnsi="Times New Roman"/>
          <w:b w:val="0"/>
          <w:sz w:val="20"/>
          <w:vertAlign w:val="superscript"/>
          <w:lang w:val="pt-BR"/>
        </w:rPr>
        <w:noBreakHyphen/>
        <w:t>1</w:t>
      </w:r>
      <w:r w:rsidR="00BF6DAC" w:rsidRPr="00BF6DAC">
        <w:rPr>
          <w:rFonts w:ascii="Times New Roman" w:hAnsi="Times New Roman"/>
          <w:b w:val="0"/>
          <w:sz w:val="20"/>
          <w:lang w:val="pt-BR"/>
        </w:rPr>
        <w:t xml:space="preserve">. </w:t>
      </w:r>
      <w:r w:rsidR="007A2B57">
        <w:rPr>
          <w:rFonts w:ascii="Times New Roman" w:hAnsi="Times New Roman"/>
          <w:b w:val="0"/>
          <w:sz w:val="20"/>
          <w:lang w:val="pt-BR"/>
        </w:rPr>
        <w:t>O</w:t>
      </w:r>
      <w:r w:rsidR="00BF6DAC" w:rsidRPr="00BF6DAC">
        <w:rPr>
          <w:rFonts w:ascii="Times New Roman" w:hAnsi="Times New Roman"/>
          <w:b w:val="0"/>
          <w:sz w:val="20"/>
          <w:lang w:val="pt-BR"/>
        </w:rPr>
        <w:t xml:space="preserve"> MS contribuiu para a diminuição do espaçamento entre banda</w:t>
      </w:r>
      <w:r w:rsidR="00837581">
        <w:rPr>
          <w:rFonts w:ascii="Times New Roman" w:hAnsi="Times New Roman"/>
          <w:b w:val="0"/>
          <w:sz w:val="20"/>
          <w:lang w:val="pt-BR"/>
        </w:rPr>
        <w:t xml:space="preserve">s </w:t>
      </w:r>
      <w:r w:rsidR="00BF6DAC" w:rsidRPr="00BF6DAC">
        <w:rPr>
          <w:rFonts w:ascii="Times New Roman" w:hAnsi="Times New Roman"/>
          <w:b w:val="0"/>
          <w:sz w:val="20"/>
          <w:lang w:val="pt-BR"/>
        </w:rPr>
        <w:t xml:space="preserve">do polifenilacetileno de 2,13 eV para 1,83 eV. Quando utilizado em um capacitor, o polifenilacetileno demonstrou estabilidade após 3.000 ciclos de carga/descarga e produziu uma capacitância </w:t>
      </w:r>
      <w:r w:rsidR="00FA4500">
        <w:rPr>
          <w:rFonts w:ascii="Times New Roman" w:hAnsi="Times New Roman"/>
          <w:b w:val="0"/>
          <w:sz w:val="20"/>
          <w:lang w:val="pt-BR"/>
        </w:rPr>
        <w:t>sete vezes maior</w:t>
      </w:r>
      <w:r w:rsidR="00BF6DAC" w:rsidRPr="00BF6DAC">
        <w:rPr>
          <w:rFonts w:ascii="Times New Roman" w:hAnsi="Times New Roman"/>
          <w:b w:val="0"/>
          <w:sz w:val="20"/>
          <w:lang w:val="pt-BR"/>
        </w:rPr>
        <w:t xml:space="preserve"> </w:t>
      </w:r>
      <w:r w:rsidR="0073683E">
        <w:rPr>
          <w:rFonts w:ascii="Times New Roman" w:hAnsi="Times New Roman"/>
          <w:b w:val="0"/>
          <w:sz w:val="20"/>
          <w:lang w:val="pt-BR"/>
        </w:rPr>
        <w:t>que a</w:t>
      </w:r>
      <w:r w:rsidR="00BF6DAC" w:rsidRPr="00BF6DAC">
        <w:rPr>
          <w:rFonts w:ascii="Times New Roman" w:hAnsi="Times New Roman"/>
          <w:b w:val="0"/>
          <w:sz w:val="20"/>
          <w:lang w:val="pt-BR"/>
        </w:rPr>
        <w:t xml:space="preserve"> do polímero poli(o-metoxianilina) (POMA).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</w:p>
    <w:p w14:paraId="09B41B70" w14:textId="3B86C09E" w:rsidR="00EA4E1B" w:rsidRPr="00515568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7A2B57" w:rsidRPr="00515568">
        <w:rPr>
          <w:rFonts w:ascii="Times New Roman" w:hAnsi="Times New Roman"/>
          <w:b w:val="0"/>
          <w:i/>
          <w:sz w:val="20"/>
          <w:lang w:val="pt-BR"/>
        </w:rPr>
        <w:t>Polifenilacetileno,</w:t>
      </w:r>
      <w:r w:rsidR="00D55AD6" w:rsidRPr="00515568">
        <w:rPr>
          <w:rFonts w:ascii="Times New Roman" w:hAnsi="Times New Roman"/>
          <w:b w:val="0"/>
          <w:i/>
          <w:sz w:val="20"/>
          <w:lang w:val="pt-BR"/>
        </w:rPr>
        <w:t xml:space="preserve"> MCM-41, semicondutor, POMA, capacitor.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494EF14" w14:textId="5F4793DE" w:rsidR="006668A0" w:rsidRDefault="00EA4E1B" w:rsidP="00D66697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421984">
        <w:rPr>
          <w:rFonts w:ascii="Times New Roman" w:hAnsi="Times New Roman"/>
          <w:b w:val="0"/>
          <w:sz w:val="20"/>
        </w:rPr>
        <w:t xml:space="preserve">ABSTRACT </w:t>
      </w:r>
      <w:r w:rsidR="000C0D00">
        <w:rPr>
          <w:rFonts w:ascii="Times New Roman" w:hAnsi="Times New Roman"/>
          <w:b w:val="0"/>
          <w:sz w:val="20"/>
        </w:rPr>
        <w:t>–</w:t>
      </w:r>
      <w:r w:rsidRPr="00421984">
        <w:rPr>
          <w:rFonts w:ascii="Times New Roman" w:hAnsi="Times New Roman"/>
          <w:b w:val="0"/>
          <w:sz w:val="20"/>
        </w:rPr>
        <w:t xml:space="preserve"> </w:t>
      </w:r>
      <w:r w:rsidR="000C0D00">
        <w:rPr>
          <w:rFonts w:ascii="Times New Roman" w:hAnsi="Times New Roman"/>
          <w:b w:val="0"/>
          <w:sz w:val="20"/>
        </w:rPr>
        <w:t>It was</w:t>
      </w:r>
      <w:r w:rsidR="000C0D00" w:rsidRPr="00D66697">
        <w:rPr>
          <w:rFonts w:ascii="Times New Roman" w:hAnsi="Times New Roman"/>
          <w:b w:val="0"/>
          <w:sz w:val="20"/>
        </w:rPr>
        <w:t xml:space="preserve"> </w:t>
      </w:r>
      <w:r w:rsidR="00D85128">
        <w:rPr>
          <w:rFonts w:ascii="Times New Roman" w:hAnsi="Times New Roman"/>
          <w:b w:val="0"/>
          <w:sz w:val="20"/>
        </w:rPr>
        <w:t>developed</w:t>
      </w:r>
      <w:r w:rsidR="000C0D00" w:rsidRPr="00D66697">
        <w:rPr>
          <w:rFonts w:ascii="Times New Roman" w:hAnsi="Times New Roman"/>
          <w:b w:val="0"/>
          <w:sz w:val="20"/>
        </w:rPr>
        <w:t xml:space="preserve"> </w:t>
      </w:r>
      <w:r w:rsidR="000C0D00">
        <w:rPr>
          <w:rFonts w:ascii="Times New Roman" w:hAnsi="Times New Roman"/>
          <w:b w:val="0"/>
          <w:sz w:val="20"/>
        </w:rPr>
        <w:t xml:space="preserve">a </w:t>
      </w:r>
      <w:r w:rsidR="00D66697" w:rsidRPr="00D66697">
        <w:rPr>
          <w:rFonts w:ascii="Times New Roman" w:hAnsi="Times New Roman"/>
          <w:b w:val="0"/>
          <w:sz w:val="20"/>
        </w:rPr>
        <w:t xml:space="preserve">MCM-41 silylated hybrid material (MS), which played a significant role in obtaining semiconductor polyphenylacetylene with a conductivity of </w:t>
      </w:r>
      <w:r w:rsidR="00D66697">
        <w:rPr>
          <w:rFonts w:ascii="Times New Roman" w:hAnsi="Times New Roman"/>
          <w:b w:val="0"/>
          <w:sz w:val="20"/>
        </w:rPr>
        <w:t>8.</w:t>
      </w:r>
      <w:r w:rsidR="00D66697" w:rsidRPr="00D66697">
        <w:rPr>
          <w:rFonts w:ascii="Times New Roman" w:hAnsi="Times New Roman"/>
          <w:b w:val="0"/>
          <w:sz w:val="20"/>
        </w:rPr>
        <w:t>13 × 10</w:t>
      </w:r>
      <w:r w:rsidR="00D66697" w:rsidRPr="00D66697">
        <w:rPr>
          <w:rFonts w:ascii="Times New Roman" w:hAnsi="Times New Roman"/>
          <w:b w:val="0"/>
          <w:sz w:val="20"/>
          <w:vertAlign w:val="superscript"/>
        </w:rPr>
        <w:noBreakHyphen/>
        <w:t>5</w:t>
      </w:r>
      <w:r w:rsidR="00D66697" w:rsidRPr="00D66697">
        <w:rPr>
          <w:rFonts w:ascii="Times New Roman" w:hAnsi="Times New Roman"/>
          <w:b w:val="0"/>
          <w:sz w:val="20"/>
        </w:rPr>
        <w:t xml:space="preserve"> S m</w:t>
      </w:r>
      <w:r w:rsidR="00D66697" w:rsidRPr="00D66697">
        <w:rPr>
          <w:rFonts w:ascii="Times New Roman" w:hAnsi="Times New Roman"/>
          <w:b w:val="0"/>
          <w:sz w:val="20"/>
          <w:vertAlign w:val="superscript"/>
        </w:rPr>
        <w:noBreakHyphen/>
        <w:t>1</w:t>
      </w:r>
      <w:r w:rsidR="00D66697" w:rsidRPr="00D66697">
        <w:rPr>
          <w:rFonts w:ascii="Times New Roman" w:hAnsi="Times New Roman"/>
          <w:b w:val="0"/>
          <w:sz w:val="20"/>
        </w:rPr>
        <w:t xml:space="preserve">. </w:t>
      </w:r>
      <w:r w:rsidR="00837581" w:rsidRPr="00837581">
        <w:rPr>
          <w:rFonts w:ascii="Times New Roman" w:hAnsi="Times New Roman"/>
          <w:b w:val="0"/>
          <w:sz w:val="20"/>
        </w:rPr>
        <w:t xml:space="preserve">The MS contributed to the decrease in the </w:t>
      </w:r>
      <w:r w:rsidR="00D66697" w:rsidRPr="00D66697">
        <w:rPr>
          <w:rFonts w:ascii="Times New Roman" w:hAnsi="Times New Roman"/>
          <w:b w:val="0"/>
          <w:sz w:val="20"/>
        </w:rPr>
        <w:t xml:space="preserve">polyphenylacetylene band gap from 2.13 eV to 1.83 eV. When used in a capacitor, polyphenylacetylene demonstrated stability after 3000 charge/discharge cycles and </w:t>
      </w:r>
      <w:r w:rsidR="00133B0F">
        <w:rPr>
          <w:rFonts w:ascii="Times New Roman" w:hAnsi="Times New Roman"/>
          <w:b w:val="0"/>
          <w:sz w:val="20"/>
        </w:rPr>
        <w:t xml:space="preserve">capacitance </w:t>
      </w:r>
      <w:r w:rsidR="002938E3">
        <w:rPr>
          <w:rFonts w:ascii="Times New Roman" w:hAnsi="Times New Roman"/>
          <w:b w:val="0"/>
          <w:sz w:val="20"/>
        </w:rPr>
        <w:t>seven times</w:t>
      </w:r>
      <w:r w:rsidR="00D66697" w:rsidRPr="00D66697">
        <w:rPr>
          <w:rFonts w:ascii="Times New Roman" w:hAnsi="Times New Roman"/>
          <w:b w:val="0"/>
          <w:sz w:val="20"/>
        </w:rPr>
        <w:t xml:space="preserve"> </w:t>
      </w:r>
      <w:r w:rsidR="00133B0F">
        <w:rPr>
          <w:rFonts w:ascii="Times New Roman" w:hAnsi="Times New Roman"/>
          <w:b w:val="0"/>
          <w:sz w:val="20"/>
        </w:rPr>
        <w:t xml:space="preserve">higher </w:t>
      </w:r>
      <w:r w:rsidR="00D66697" w:rsidRPr="00D66697">
        <w:rPr>
          <w:rFonts w:ascii="Times New Roman" w:hAnsi="Times New Roman"/>
          <w:b w:val="0"/>
          <w:sz w:val="20"/>
        </w:rPr>
        <w:t>than poly(o-methoxyaniline) (POMA)</w:t>
      </w:r>
      <w:r w:rsidR="00DF72EA" w:rsidRPr="00DF72EA">
        <w:rPr>
          <w:rFonts w:ascii="Times New Roman" w:hAnsi="Times New Roman"/>
          <w:b w:val="0"/>
          <w:sz w:val="20"/>
        </w:rPr>
        <w:t xml:space="preserve"> </w:t>
      </w:r>
      <w:r w:rsidR="00DF72EA" w:rsidRPr="00D66697">
        <w:rPr>
          <w:rFonts w:ascii="Times New Roman" w:hAnsi="Times New Roman"/>
          <w:b w:val="0"/>
          <w:sz w:val="20"/>
        </w:rPr>
        <w:t>polymer</w:t>
      </w:r>
      <w:r w:rsidR="00D66697" w:rsidRPr="00D66697">
        <w:rPr>
          <w:rFonts w:ascii="Times New Roman" w:hAnsi="Times New Roman"/>
          <w:b w:val="0"/>
          <w:sz w:val="20"/>
        </w:rPr>
        <w:t>.</w:t>
      </w:r>
    </w:p>
    <w:p w14:paraId="5F4A84E8" w14:textId="110A5D20" w:rsidR="00EA4E1B" w:rsidRPr="00D65033" w:rsidRDefault="00EA4E1B" w:rsidP="00D66697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iCs/>
          <w:sz w:val="20"/>
        </w:rPr>
      </w:pPr>
      <w:r w:rsidRPr="00D65033">
        <w:rPr>
          <w:rFonts w:ascii="Times New Roman" w:hAnsi="Times New Roman"/>
          <w:b w:val="0"/>
          <w:i/>
          <w:sz w:val="20"/>
        </w:rPr>
        <w:t xml:space="preserve">Keywords: </w:t>
      </w:r>
      <w:r w:rsidR="00DF72EA" w:rsidRPr="00D65033">
        <w:rPr>
          <w:rFonts w:ascii="Times New Roman" w:hAnsi="Times New Roman"/>
          <w:b w:val="0"/>
          <w:i/>
          <w:iCs/>
          <w:sz w:val="20"/>
        </w:rPr>
        <w:t xml:space="preserve">Polyphenylacetylene, </w:t>
      </w:r>
      <w:r w:rsidR="00175B98" w:rsidRPr="00D65033">
        <w:rPr>
          <w:rFonts w:ascii="Times New Roman" w:hAnsi="Times New Roman"/>
          <w:b w:val="0"/>
          <w:i/>
          <w:iCs/>
          <w:sz w:val="20"/>
        </w:rPr>
        <w:t xml:space="preserve">MCM-41, </w:t>
      </w:r>
      <w:r w:rsidR="00DF72EA" w:rsidRPr="00D65033">
        <w:rPr>
          <w:rFonts w:ascii="Times New Roman" w:hAnsi="Times New Roman"/>
          <w:b w:val="0"/>
          <w:i/>
          <w:iCs/>
          <w:sz w:val="20"/>
        </w:rPr>
        <w:t>semiconductor</w:t>
      </w:r>
      <w:r w:rsidR="00175B98" w:rsidRPr="00D65033">
        <w:rPr>
          <w:rFonts w:ascii="Times New Roman" w:hAnsi="Times New Roman"/>
          <w:b w:val="0"/>
          <w:i/>
          <w:iCs/>
          <w:sz w:val="20"/>
        </w:rPr>
        <w:t>, POMA</w:t>
      </w:r>
      <w:r w:rsidR="00D65033" w:rsidRPr="00D65033">
        <w:rPr>
          <w:rFonts w:ascii="Times New Roman" w:hAnsi="Times New Roman"/>
          <w:b w:val="0"/>
          <w:i/>
          <w:iCs/>
          <w:sz w:val="20"/>
        </w:rPr>
        <w:t>, capacitor.</w:t>
      </w:r>
    </w:p>
    <w:bookmarkEnd w:id="1"/>
    <w:p w14:paraId="48D9B0C4" w14:textId="77777777" w:rsidR="00EA4E1B" w:rsidRPr="00D65033" w:rsidRDefault="00EA4E1B" w:rsidP="00EA4E1B">
      <w:pPr>
        <w:rPr>
          <w:lang w:val="en-US"/>
        </w:rPr>
        <w:sectPr w:rsidR="00EA4E1B" w:rsidRPr="00D65033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00B938DB" w14:textId="3FEEBBEA" w:rsidR="00390276" w:rsidRPr="00390276" w:rsidRDefault="00390276" w:rsidP="00390276">
      <w:pPr>
        <w:pStyle w:val="TAMainText"/>
        <w:rPr>
          <w:rFonts w:ascii="Times New Roman" w:hAnsi="Times New Roman"/>
          <w:lang w:val="pt-BR"/>
        </w:rPr>
      </w:pPr>
      <w:r w:rsidRPr="00390276">
        <w:rPr>
          <w:rFonts w:ascii="Times New Roman" w:hAnsi="Times New Roman"/>
          <w:lang w:val="pt-BR"/>
        </w:rPr>
        <w:t xml:space="preserve">A microestrutura e morfologia dos polímeros estão diretamente ligadas às suas propriedades </w:t>
      </w:r>
      <w:r w:rsidR="007F4D43">
        <w:rPr>
          <w:rFonts w:ascii="Times New Roman" w:hAnsi="Times New Roman"/>
          <w:lang w:val="pt-BR"/>
        </w:rPr>
        <w:t>(</w:t>
      </w:r>
      <w:r w:rsidRPr="00390276">
        <w:rPr>
          <w:rFonts w:ascii="Times New Roman" w:hAnsi="Times New Roman"/>
          <w:lang w:val="pt-BR"/>
        </w:rPr>
        <w:t>1</w:t>
      </w:r>
      <w:r w:rsidR="007F4D43">
        <w:rPr>
          <w:rFonts w:ascii="Times New Roman" w:hAnsi="Times New Roman"/>
          <w:lang w:val="pt-BR"/>
        </w:rPr>
        <w:t>)</w:t>
      </w:r>
      <w:r w:rsidRPr="00390276">
        <w:rPr>
          <w:rFonts w:ascii="Times New Roman" w:hAnsi="Times New Roman"/>
          <w:lang w:val="pt-BR"/>
        </w:rPr>
        <w:t xml:space="preserve">. Polímeros com alta homogeneidade, baixo número de defeitos, ordem molecular e supramolecular apresentam maior condutividade elétrica </w:t>
      </w:r>
      <w:r w:rsidR="007F4D43">
        <w:rPr>
          <w:rFonts w:ascii="Times New Roman" w:hAnsi="Times New Roman"/>
          <w:lang w:val="pt-BR"/>
        </w:rPr>
        <w:t>(</w:t>
      </w:r>
      <w:r w:rsidRPr="00390276">
        <w:rPr>
          <w:rFonts w:ascii="Times New Roman" w:hAnsi="Times New Roman"/>
          <w:lang w:val="pt-BR"/>
        </w:rPr>
        <w:t>2</w:t>
      </w:r>
      <w:r w:rsidR="007F4D43">
        <w:rPr>
          <w:rFonts w:ascii="Times New Roman" w:hAnsi="Times New Roman"/>
          <w:lang w:val="pt-BR"/>
        </w:rPr>
        <w:t>)</w:t>
      </w:r>
      <w:r w:rsidRPr="00390276">
        <w:rPr>
          <w:rFonts w:ascii="Times New Roman" w:hAnsi="Times New Roman"/>
          <w:lang w:val="pt-BR"/>
        </w:rPr>
        <w:t xml:space="preserve">. </w:t>
      </w:r>
      <w:r w:rsidR="00CD437E">
        <w:rPr>
          <w:rFonts w:ascii="Times New Roman" w:hAnsi="Times New Roman"/>
          <w:lang w:val="pt-BR"/>
        </w:rPr>
        <w:t>Dentre</w:t>
      </w:r>
      <w:r w:rsidR="000D0BC2">
        <w:rPr>
          <w:rFonts w:ascii="Times New Roman" w:hAnsi="Times New Roman"/>
          <w:lang w:val="pt-BR"/>
        </w:rPr>
        <w:t xml:space="preserve"> as </w:t>
      </w:r>
      <w:r w:rsidRPr="00390276">
        <w:rPr>
          <w:rFonts w:ascii="Times New Roman" w:hAnsi="Times New Roman"/>
          <w:lang w:val="pt-BR"/>
        </w:rPr>
        <w:t xml:space="preserve">estratégias para alcançar essas características </w:t>
      </w:r>
      <w:r w:rsidR="00CD437E">
        <w:rPr>
          <w:rFonts w:ascii="Times New Roman" w:hAnsi="Times New Roman"/>
          <w:lang w:val="pt-BR"/>
        </w:rPr>
        <w:t>está</w:t>
      </w:r>
      <w:r w:rsidRPr="00390276">
        <w:rPr>
          <w:rFonts w:ascii="Times New Roman" w:hAnsi="Times New Roman"/>
          <w:lang w:val="pt-BR"/>
        </w:rPr>
        <w:t xml:space="preserve"> o uso de sistemas reacionais com diferentes combinações de complexos e suportes. Catalisadores que contêm ródio como metal de transição têm sido relatados como eficientes na produção de polifenilacetilenos</w:t>
      </w:r>
      <w:r w:rsidR="006E29A6">
        <w:rPr>
          <w:rFonts w:ascii="Times New Roman" w:hAnsi="Times New Roman"/>
          <w:lang w:val="pt-BR"/>
        </w:rPr>
        <w:t xml:space="preserve"> (PPA)</w:t>
      </w:r>
      <w:r w:rsidRPr="00390276">
        <w:rPr>
          <w:rFonts w:ascii="Times New Roman" w:hAnsi="Times New Roman"/>
          <w:lang w:val="pt-BR"/>
        </w:rPr>
        <w:t xml:space="preserve"> substituídos </w:t>
      </w:r>
      <w:r w:rsidR="007F4D43">
        <w:rPr>
          <w:rFonts w:ascii="Times New Roman" w:hAnsi="Times New Roman"/>
          <w:lang w:val="pt-BR"/>
        </w:rPr>
        <w:t>(</w:t>
      </w:r>
      <w:r w:rsidRPr="00390276">
        <w:rPr>
          <w:rFonts w:ascii="Times New Roman" w:hAnsi="Times New Roman"/>
          <w:lang w:val="pt-BR"/>
        </w:rPr>
        <w:t>1,</w:t>
      </w:r>
      <w:r w:rsidR="001A1E06">
        <w:rPr>
          <w:rFonts w:ascii="Times New Roman" w:hAnsi="Times New Roman"/>
          <w:lang w:val="pt-BR"/>
        </w:rPr>
        <w:t>4</w:t>
      </w:r>
      <w:r w:rsidR="007F4D43">
        <w:rPr>
          <w:rFonts w:ascii="Times New Roman" w:hAnsi="Times New Roman"/>
          <w:lang w:val="pt-BR"/>
        </w:rPr>
        <w:t>)</w:t>
      </w:r>
      <w:r w:rsidRPr="00390276">
        <w:rPr>
          <w:rFonts w:ascii="Times New Roman" w:hAnsi="Times New Roman"/>
          <w:lang w:val="pt-BR"/>
        </w:rPr>
        <w:t>. A polimerização do fenilacetileno com o catalisador [Rh(nbd)Cl]</w:t>
      </w:r>
      <w:r w:rsidRPr="004A6EA4">
        <w:rPr>
          <w:rFonts w:ascii="Times New Roman" w:hAnsi="Times New Roman"/>
          <w:vertAlign w:val="subscript"/>
          <w:lang w:val="pt-BR"/>
        </w:rPr>
        <w:t>2</w:t>
      </w:r>
      <w:r w:rsidRPr="00390276">
        <w:rPr>
          <w:rFonts w:ascii="Times New Roman" w:hAnsi="Times New Roman"/>
          <w:lang w:val="pt-BR"/>
        </w:rPr>
        <w:t xml:space="preserve">-amina </w:t>
      </w:r>
      <w:r w:rsidR="00C21A5F">
        <w:rPr>
          <w:rFonts w:ascii="Times New Roman" w:hAnsi="Times New Roman"/>
          <w:lang w:val="pt-BR"/>
        </w:rPr>
        <w:t>produz</w:t>
      </w:r>
      <w:r w:rsidRPr="00390276">
        <w:rPr>
          <w:rFonts w:ascii="Times New Roman" w:hAnsi="Times New Roman"/>
          <w:lang w:val="pt-BR"/>
        </w:rPr>
        <w:t xml:space="preserve"> polímeros com diferentes estereoquímicas e cores, </w:t>
      </w:r>
      <w:r w:rsidR="004A6EA4">
        <w:rPr>
          <w:rFonts w:ascii="Times New Roman" w:hAnsi="Times New Roman"/>
          <w:lang w:val="pt-BR"/>
        </w:rPr>
        <w:t xml:space="preserve">conforme </w:t>
      </w:r>
      <w:r w:rsidRPr="00390276">
        <w:rPr>
          <w:rFonts w:ascii="Times New Roman" w:hAnsi="Times New Roman"/>
          <w:lang w:val="pt-BR"/>
        </w:rPr>
        <w:t xml:space="preserve">as condições de síntese, </w:t>
      </w:r>
      <w:r w:rsidR="004A6EA4">
        <w:rPr>
          <w:rFonts w:ascii="Times New Roman" w:hAnsi="Times New Roman"/>
          <w:lang w:val="pt-BR"/>
        </w:rPr>
        <w:t>como</w:t>
      </w:r>
      <w:r w:rsidRPr="00390276">
        <w:rPr>
          <w:rFonts w:ascii="Times New Roman" w:hAnsi="Times New Roman"/>
          <w:lang w:val="pt-BR"/>
        </w:rPr>
        <w:t xml:space="preserve"> demonstrado por Motoshige e</w:t>
      </w:r>
      <w:r w:rsidR="0063319A">
        <w:rPr>
          <w:rFonts w:ascii="Times New Roman" w:hAnsi="Times New Roman"/>
          <w:lang w:val="pt-BR"/>
        </w:rPr>
        <w:t xml:space="preserve"> colaboradores</w:t>
      </w:r>
      <w:r w:rsidRPr="00390276">
        <w:rPr>
          <w:rFonts w:ascii="Times New Roman" w:hAnsi="Times New Roman"/>
          <w:lang w:val="pt-BR"/>
        </w:rPr>
        <w:t xml:space="preserve"> </w:t>
      </w:r>
      <w:r w:rsidR="007F4D43">
        <w:rPr>
          <w:rFonts w:ascii="Times New Roman" w:hAnsi="Times New Roman"/>
          <w:lang w:val="pt-BR"/>
        </w:rPr>
        <w:t>(</w:t>
      </w:r>
      <w:r w:rsidR="00712876">
        <w:rPr>
          <w:rFonts w:ascii="Times New Roman" w:hAnsi="Times New Roman"/>
          <w:lang w:val="pt-BR"/>
        </w:rPr>
        <w:t>5</w:t>
      </w:r>
      <w:r w:rsidR="007F4D43">
        <w:rPr>
          <w:rFonts w:ascii="Times New Roman" w:hAnsi="Times New Roman"/>
          <w:lang w:val="pt-BR"/>
        </w:rPr>
        <w:t>)</w:t>
      </w:r>
      <w:r w:rsidRPr="00390276">
        <w:rPr>
          <w:rFonts w:ascii="Times New Roman" w:hAnsi="Times New Roman"/>
          <w:lang w:val="pt-BR"/>
        </w:rPr>
        <w:t>.</w:t>
      </w:r>
    </w:p>
    <w:p w14:paraId="2AD231FC" w14:textId="0EF0FAD6" w:rsidR="00390276" w:rsidRPr="00390276" w:rsidRDefault="00390276" w:rsidP="008036F8">
      <w:pPr>
        <w:pStyle w:val="TAMainText"/>
        <w:rPr>
          <w:rFonts w:ascii="Times New Roman" w:hAnsi="Times New Roman"/>
          <w:lang w:val="pt-BR"/>
        </w:rPr>
      </w:pPr>
      <w:r w:rsidRPr="00390276">
        <w:rPr>
          <w:rFonts w:ascii="Times New Roman" w:hAnsi="Times New Roman"/>
          <w:lang w:val="pt-BR"/>
        </w:rPr>
        <w:t>O encapsulamento d</w:t>
      </w:r>
      <w:r w:rsidR="00223CDE">
        <w:rPr>
          <w:rFonts w:ascii="Times New Roman" w:hAnsi="Times New Roman"/>
          <w:lang w:val="pt-BR"/>
        </w:rPr>
        <w:t>as</w:t>
      </w:r>
      <w:r w:rsidRPr="00390276">
        <w:rPr>
          <w:rFonts w:ascii="Times New Roman" w:hAnsi="Times New Roman"/>
          <w:lang w:val="pt-BR"/>
        </w:rPr>
        <w:t xml:space="preserve"> cadeias é um dos métodos mais promissores para a obtenção de polímeros altamente condutivos, permitindo o crescimento ordenado </w:t>
      </w:r>
      <w:r w:rsidR="00497B2E">
        <w:rPr>
          <w:rFonts w:ascii="Times New Roman" w:hAnsi="Times New Roman"/>
          <w:lang w:val="pt-BR"/>
        </w:rPr>
        <w:t>n</w:t>
      </w:r>
      <w:r w:rsidRPr="00390276">
        <w:rPr>
          <w:rFonts w:ascii="Times New Roman" w:hAnsi="Times New Roman"/>
          <w:lang w:val="pt-BR"/>
        </w:rPr>
        <w:t>a matriz hospedeira. O MCM-41 é um material inorgânico mesoporoso que permite modificações</w:t>
      </w:r>
      <w:r w:rsidR="008C5CF6">
        <w:rPr>
          <w:rFonts w:ascii="Times New Roman" w:hAnsi="Times New Roman"/>
          <w:lang w:val="pt-BR"/>
        </w:rPr>
        <w:t xml:space="preserve"> na sua estrutura</w:t>
      </w:r>
      <w:r w:rsidR="00E11653">
        <w:rPr>
          <w:rFonts w:ascii="Times New Roman" w:hAnsi="Times New Roman"/>
          <w:lang w:val="pt-BR"/>
        </w:rPr>
        <w:t xml:space="preserve">, </w:t>
      </w:r>
      <w:r w:rsidRPr="00390276">
        <w:rPr>
          <w:rFonts w:ascii="Times New Roman" w:hAnsi="Times New Roman"/>
          <w:lang w:val="pt-BR"/>
        </w:rPr>
        <w:t>como a adição de heteroátomos e a ancoragem de grupos funcionais orgânicos e inorgânicos em suas paredes. Essas propriedades o tornam atrativo para a busca por novos catalisadores</w:t>
      </w:r>
      <w:r w:rsidR="007F4D43">
        <w:rPr>
          <w:rFonts w:ascii="Times New Roman" w:hAnsi="Times New Roman"/>
          <w:lang w:val="pt-BR"/>
        </w:rPr>
        <w:t xml:space="preserve"> (</w:t>
      </w:r>
      <w:r w:rsidR="00BF6C28">
        <w:rPr>
          <w:rFonts w:ascii="Times New Roman" w:hAnsi="Times New Roman"/>
          <w:lang w:val="pt-BR"/>
        </w:rPr>
        <w:t>6</w:t>
      </w:r>
      <w:r w:rsidR="007F4D43">
        <w:rPr>
          <w:rFonts w:ascii="Times New Roman" w:hAnsi="Times New Roman"/>
          <w:lang w:val="pt-BR"/>
        </w:rPr>
        <w:t>)</w:t>
      </w:r>
      <w:r w:rsidRPr="00390276">
        <w:rPr>
          <w:rFonts w:ascii="Times New Roman" w:hAnsi="Times New Roman"/>
          <w:lang w:val="pt-BR"/>
        </w:rPr>
        <w:t>. Suportes com mesoporos maiores possibilitam a imobilização de complexos mais volumosos, criando sistemas</w:t>
      </w:r>
      <w:r w:rsidR="001643CF">
        <w:rPr>
          <w:rFonts w:ascii="Times New Roman" w:hAnsi="Times New Roman"/>
          <w:lang w:val="pt-BR"/>
        </w:rPr>
        <w:t xml:space="preserve"> </w:t>
      </w:r>
      <w:r w:rsidRPr="00390276">
        <w:rPr>
          <w:rFonts w:ascii="Times New Roman" w:hAnsi="Times New Roman"/>
          <w:lang w:val="pt-BR"/>
        </w:rPr>
        <w:t xml:space="preserve">versáteis para a preparação de cadeias poliméricas. Além disso, diferentes suportes mesoporosos </w:t>
      </w:r>
      <w:r w:rsidRPr="00390276">
        <w:rPr>
          <w:rFonts w:ascii="Times New Roman" w:hAnsi="Times New Roman"/>
          <w:lang w:val="pt-BR"/>
        </w:rPr>
        <w:t xml:space="preserve">tubulares, como o MCM-41, orientam o crescimento das cadeias ordenadas do polímero </w:t>
      </w:r>
      <w:r w:rsidR="007F4D43">
        <w:rPr>
          <w:rFonts w:ascii="Times New Roman" w:hAnsi="Times New Roman"/>
          <w:lang w:val="pt-BR"/>
        </w:rPr>
        <w:t>(</w:t>
      </w:r>
      <w:r w:rsidR="00301EA2">
        <w:rPr>
          <w:rFonts w:ascii="Times New Roman" w:hAnsi="Times New Roman"/>
          <w:lang w:val="pt-BR"/>
        </w:rPr>
        <w:t>7</w:t>
      </w:r>
      <w:r w:rsidR="007F4D43">
        <w:rPr>
          <w:rFonts w:ascii="Times New Roman" w:hAnsi="Times New Roman"/>
          <w:lang w:val="pt-BR"/>
        </w:rPr>
        <w:t>)</w:t>
      </w:r>
      <w:r w:rsidRPr="00390276">
        <w:rPr>
          <w:rFonts w:ascii="Times New Roman" w:hAnsi="Times New Roman"/>
          <w:lang w:val="pt-BR"/>
        </w:rPr>
        <w:t>.</w:t>
      </w:r>
    </w:p>
    <w:p w14:paraId="368A83ED" w14:textId="1C5B5A4D" w:rsidR="00051D0D" w:rsidRPr="00051D0D" w:rsidRDefault="00051D0D" w:rsidP="00051D0D">
      <w:pPr>
        <w:pStyle w:val="TAMainText"/>
        <w:rPr>
          <w:rFonts w:ascii="Times New Roman" w:hAnsi="Times New Roman"/>
          <w:lang w:val="pt-BR"/>
        </w:rPr>
      </w:pPr>
      <w:r w:rsidRPr="00051D0D">
        <w:rPr>
          <w:rFonts w:ascii="Times New Roman" w:hAnsi="Times New Roman"/>
          <w:lang w:val="pt-BR"/>
        </w:rPr>
        <w:t xml:space="preserve">As propriedades físicas dos materiais são essenciais para o desempenho de dispositivos eletrônicos como capacitores, células solares e membranas para células de combustível. Para cada aplicação, é necessário escolher materiais com características específicas, como condutividade elétrica, estabilidade, permeabilidade a íons e propriedades ópticas. </w:t>
      </w:r>
      <w:r w:rsidR="00544C51">
        <w:rPr>
          <w:rFonts w:ascii="Times New Roman" w:hAnsi="Times New Roman"/>
          <w:lang w:val="pt-BR"/>
        </w:rPr>
        <w:t>PPA</w:t>
      </w:r>
      <w:r w:rsidRPr="00051D0D">
        <w:rPr>
          <w:rFonts w:ascii="Times New Roman" w:hAnsi="Times New Roman"/>
          <w:lang w:val="pt-BR"/>
        </w:rPr>
        <w:t xml:space="preserve"> substituídos podem ser utilizados em </w:t>
      </w:r>
      <w:r w:rsidR="008036F8">
        <w:rPr>
          <w:rFonts w:ascii="Times New Roman" w:hAnsi="Times New Roman"/>
          <w:lang w:val="pt-BR"/>
        </w:rPr>
        <w:t xml:space="preserve">diferentes </w:t>
      </w:r>
      <w:r w:rsidRPr="00051D0D">
        <w:rPr>
          <w:rFonts w:ascii="Times New Roman" w:hAnsi="Times New Roman"/>
          <w:lang w:val="pt-BR"/>
        </w:rPr>
        <w:t xml:space="preserve">aplicações devido às suas propriedades físicas. </w:t>
      </w:r>
    </w:p>
    <w:p w14:paraId="3223CA9C" w14:textId="278EA36C" w:rsidR="00A965B9" w:rsidRDefault="00A965B9" w:rsidP="000D0BC2">
      <w:pPr>
        <w:pStyle w:val="TAMainText"/>
        <w:rPr>
          <w:rFonts w:ascii="Times New Roman" w:hAnsi="Times New Roman"/>
          <w:lang w:val="pt-BR"/>
        </w:rPr>
      </w:pPr>
      <w:r w:rsidRPr="00A965B9">
        <w:rPr>
          <w:rFonts w:ascii="Times New Roman" w:hAnsi="Times New Roman"/>
          <w:lang w:val="pt-BR"/>
        </w:rPr>
        <w:t xml:space="preserve">O polímero POMA (poli(o-metoxianilina)) foi escolhido para a realização dos testes </w:t>
      </w:r>
      <w:r w:rsidR="00BD1CF8">
        <w:rPr>
          <w:rFonts w:ascii="Times New Roman" w:hAnsi="Times New Roman"/>
          <w:lang w:val="pt-BR"/>
        </w:rPr>
        <w:t>por</w:t>
      </w:r>
      <w:r w:rsidRPr="00A965B9">
        <w:rPr>
          <w:rFonts w:ascii="Times New Roman" w:hAnsi="Times New Roman"/>
          <w:lang w:val="pt-BR"/>
        </w:rPr>
        <w:t xml:space="preserve"> sua ampla aplicação em eletrodos para capacitores </w:t>
      </w:r>
      <w:r w:rsidR="007F4D43">
        <w:rPr>
          <w:rFonts w:ascii="Times New Roman" w:hAnsi="Times New Roman"/>
          <w:lang w:val="pt-BR"/>
        </w:rPr>
        <w:t>(</w:t>
      </w:r>
      <w:r w:rsidR="003B46E4">
        <w:rPr>
          <w:rFonts w:ascii="Times New Roman" w:hAnsi="Times New Roman"/>
          <w:lang w:val="pt-BR"/>
        </w:rPr>
        <w:t>8</w:t>
      </w:r>
      <w:r w:rsidR="007F4D43">
        <w:rPr>
          <w:rFonts w:ascii="Times New Roman" w:hAnsi="Times New Roman"/>
          <w:lang w:val="pt-BR"/>
        </w:rPr>
        <w:t>)</w:t>
      </w:r>
      <w:r w:rsidRPr="00A965B9">
        <w:rPr>
          <w:rFonts w:ascii="Times New Roman" w:hAnsi="Times New Roman"/>
          <w:lang w:val="pt-BR"/>
        </w:rPr>
        <w:t>. Em seu trabalho, Christinelli e</w:t>
      </w:r>
      <w:r w:rsidR="00B848A3">
        <w:rPr>
          <w:rFonts w:ascii="Times New Roman" w:hAnsi="Times New Roman"/>
          <w:lang w:val="pt-BR"/>
        </w:rPr>
        <w:t xml:space="preserve"> colaboradores</w:t>
      </w:r>
      <w:r w:rsidRPr="00A965B9">
        <w:rPr>
          <w:rFonts w:ascii="Times New Roman" w:hAnsi="Times New Roman"/>
          <w:lang w:val="pt-BR"/>
        </w:rPr>
        <w:t xml:space="preserve"> </w:t>
      </w:r>
      <w:r w:rsidR="007F4D43">
        <w:rPr>
          <w:rFonts w:ascii="Times New Roman" w:hAnsi="Times New Roman"/>
          <w:lang w:val="pt-BR"/>
        </w:rPr>
        <w:t>(</w:t>
      </w:r>
      <w:r w:rsidR="004141D3">
        <w:rPr>
          <w:rFonts w:ascii="Times New Roman" w:hAnsi="Times New Roman"/>
          <w:lang w:val="pt-BR"/>
        </w:rPr>
        <w:t>9</w:t>
      </w:r>
      <w:r w:rsidR="007F4D43">
        <w:rPr>
          <w:rFonts w:ascii="Times New Roman" w:hAnsi="Times New Roman"/>
          <w:lang w:val="pt-BR"/>
        </w:rPr>
        <w:t>)</w:t>
      </w:r>
      <w:r w:rsidRPr="00A965B9">
        <w:rPr>
          <w:rFonts w:ascii="Times New Roman" w:hAnsi="Times New Roman"/>
          <w:lang w:val="pt-BR"/>
        </w:rPr>
        <w:t xml:space="preserve"> obtiveram supercapacitores usando a técnica camada por camada (LBL) </w:t>
      </w:r>
      <w:r w:rsidR="00544C51">
        <w:rPr>
          <w:rFonts w:ascii="Times New Roman" w:hAnsi="Times New Roman"/>
          <w:lang w:val="pt-BR"/>
        </w:rPr>
        <w:t>com</w:t>
      </w:r>
      <w:r w:rsidRPr="00A965B9">
        <w:rPr>
          <w:rFonts w:ascii="Times New Roman" w:hAnsi="Times New Roman"/>
          <w:lang w:val="pt-BR"/>
        </w:rPr>
        <w:t xml:space="preserve"> dois polímeros, POMA e poli(ácido 3-tiofeno acético) (PTAA) e obtiveram como resultado um aumento n</w:t>
      </w:r>
      <w:r>
        <w:rPr>
          <w:rFonts w:ascii="Times New Roman" w:hAnsi="Times New Roman"/>
          <w:lang w:val="pt-BR"/>
        </w:rPr>
        <w:t>a</w:t>
      </w:r>
      <w:r w:rsidRPr="00A965B9">
        <w:rPr>
          <w:rFonts w:ascii="Times New Roman" w:hAnsi="Times New Roman"/>
          <w:lang w:val="pt-BR"/>
        </w:rPr>
        <w:t xml:space="preserve"> capacitância específica diretamente proporcional ao aumento do número de bicamadas de filmes poliméricos, mostrando que a autodopagem entre dois polímeros foi eficaz em melhorar as propriedades de um supercapacitor quando comparado aos resultados usando apenas POMA puro.</w:t>
      </w:r>
    </w:p>
    <w:p w14:paraId="2FEF2B0C" w14:textId="340683D5" w:rsidR="00390276" w:rsidRPr="00051D0D" w:rsidRDefault="007F4D43" w:rsidP="002665AA">
      <w:pPr>
        <w:pStyle w:val="TAMainText"/>
        <w:rPr>
          <w:rFonts w:ascii="Times New Roman" w:hAnsi="Times New Roman"/>
          <w:lang w:val="pt-BR"/>
        </w:rPr>
      </w:pPr>
      <w:r w:rsidRPr="007F4D43">
        <w:rPr>
          <w:rFonts w:ascii="Times New Roman" w:hAnsi="Times New Roman"/>
          <w:lang w:val="pt-BR"/>
        </w:rPr>
        <w:t xml:space="preserve">O objetivo deste trabalho foi a síntese e utilização de um material mesoporoso, MCM-41, </w:t>
      </w:r>
      <w:r w:rsidR="00BC1A09">
        <w:rPr>
          <w:rFonts w:ascii="Times New Roman" w:hAnsi="Times New Roman"/>
          <w:lang w:val="pt-BR"/>
        </w:rPr>
        <w:t>na o</w:t>
      </w:r>
      <w:r w:rsidRPr="007F4D43">
        <w:rPr>
          <w:rFonts w:ascii="Times New Roman" w:hAnsi="Times New Roman"/>
          <w:lang w:val="pt-BR"/>
        </w:rPr>
        <w:t>btenção de um material híbrido MCM-41/orgânico</w:t>
      </w:r>
      <w:r w:rsidR="00BC1A09">
        <w:rPr>
          <w:rFonts w:ascii="Times New Roman" w:hAnsi="Times New Roman"/>
          <w:lang w:val="pt-BR"/>
        </w:rPr>
        <w:t xml:space="preserve"> (MS)</w:t>
      </w:r>
      <w:r w:rsidRPr="007F4D43">
        <w:rPr>
          <w:rFonts w:ascii="Times New Roman" w:hAnsi="Times New Roman"/>
          <w:lang w:val="pt-BR"/>
        </w:rPr>
        <w:t xml:space="preserve"> </w:t>
      </w:r>
      <w:r w:rsidR="007A69A2">
        <w:rPr>
          <w:rFonts w:ascii="Times New Roman" w:hAnsi="Times New Roman"/>
          <w:lang w:val="pt-BR"/>
        </w:rPr>
        <w:t>para a</w:t>
      </w:r>
      <w:r w:rsidRPr="007F4D43">
        <w:rPr>
          <w:rFonts w:ascii="Times New Roman" w:hAnsi="Times New Roman"/>
          <w:lang w:val="pt-BR"/>
        </w:rPr>
        <w:t xml:space="preserve"> </w:t>
      </w:r>
      <w:r w:rsidR="00F91D7A">
        <w:rPr>
          <w:rFonts w:ascii="Times New Roman" w:hAnsi="Times New Roman"/>
          <w:lang w:val="pt-BR"/>
        </w:rPr>
        <w:t>produ</w:t>
      </w:r>
      <w:r w:rsidR="007A69A2">
        <w:rPr>
          <w:rFonts w:ascii="Times New Roman" w:hAnsi="Times New Roman"/>
          <w:lang w:val="pt-BR"/>
        </w:rPr>
        <w:t>ção</w:t>
      </w:r>
      <w:r w:rsidRPr="007F4D43">
        <w:rPr>
          <w:rFonts w:ascii="Times New Roman" w:hAnsi="Times New Roman"/>
          <w:lang w:val="pt-BR"/>
        </w:rPr>
        <w:t xml:space="preserve"> </w:t>
      </w:r>
      <w:r w:rsidR="007A69A2">
        <w:rPr>
          <w:rFonts w:ascii="Times New Roman" w:hAnsi="Times New Roman"/>
          <w:lang w:val="pt-BR"/>
        </w:rPr>
        <w:t xml:space="preserve">de </w:t>
      </w:r>
      <w:r w:rsidRPr="007F4D43">
        <w:rPr>
          <w:rFonts w:ascii="Times New Roman" w:hAnsi="Times New Roman"/>
          <w:lang w:val="pt-BR"/>
        </w:rPr>
        <w:t xml:space="preserve">cadeias ordenadas de </w:t>
      </w:r>
      <w:r w:rsidR="00544C51">
        <w:rPr>
          <w:rFonts w:ascii="Times New Roman" w:hAnsi="Times New Roman"/>
          <w:lang w:val="pt-BR"/>
        </w:rPr>
        <w:t>PPA</w:t>
      </w:r>
      <w:r w:rsidRPr="007F4D43">
        <w:rPr>
          <w:rFonts w:ascii="Times New Roman" w:hAnsi="Times New Roman"/>
          <w:lang w:val="pt-BR"/>
        </w:rPr>
        <w:t xml:space="preserve"> semicondutores. Assim, o polímero obtido com as propriedades ideais foi aplicado com o </w:t>
      </w:r>
      <w:r w:rsidRPr="007F4D43">
        <w:rPr>
          <w:rFonts w:ascii="Times New Roman" w:hAnsi="Times New Roman"/>
          <w:lang w:val="pt-BR"/>
        </w:rPr>
        <w:lastRenderedPageBreak/>
        <w:t>POMA em um capacitor, obtendo-se excelentes resultados de capacitância e estabilidade capacitiva.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65E5982B" w14:textId="77777777" w:rsidR="00AF5708" w:rsidRDefault="001B7703" w:rsidP="00AF5708">
      <w:pPr>
        <w:pStyle w:val="TAMainText"/>
        <w:spacing w:before="240"/>
        <w:ind w:firstLine="0"/>
        <w:rPr>
          <w:rFonts w:ascii="Times New Roman" w:hAnsi="Times New Roman"/>
          <w:i/>
          <w:iCs/>
          <w:lang w:val="pt-BR"/>
        </w:rPr>
      </w:pPr>
      <w:r w:rsidRPr="001B7703">
        <w:rPr>
          <w:rFonts w:ascii="Times New Roman" w:hAnsi="Times New Roman"/>
          <w:i/>
          <w:iCs/>
          <w:lang w:val="pt-BR"/>
        </w:rPr>
        <w:t>Síntese d</w:t>
      </w:r>
      <w:r>
        <w:rPr>
          <w:rFonts w:ascii="Times New Roman" w:hAnsi="Times New Roman"/>
          <w:i/>
          <w:iCs/>
          <w:lang w:val="pt-BR"/>
        </w:rPr>
        <w:t>o</w:t>
      </w:r>
      <w:r w:rsidRPr="001B7703">
        <w:rPr>
          <w:rFonts w:ascii="Times New Roman" w:hAnsi="Times New Roman"/>
          <w:i/>
          <w:iCs/>
          <w:lang w:val="pt-BR"/>
        </w:rPr>
        <w:t xml:space="preserve"> MCM-41</w:t>
      </w:r>
    </w:p>
    <w:p w14:paraId="2AE5D2B6" w14:textId="603CFF5E" w:rsidR="00BA548E" w:rsidRPr="00AF5708" w:rsidRDefault="001B7703" w:rsidP="00AF5708">
      <w:pPr>
        <w:pStyle w:val="TAMainText"/>
        <w:rPr>
          <w:rFonts w:ascii="Times New Roman" w:hAnsi="Times New Roman"/>
          <w:i/>
          <w:iCs/>
          <w:lang w:val="pt-BR"/>
        </w:rPr>
      </w:pPr>
      <w:r w:rsidRPr="001B7703">
        <w:rPr>
          <w:rFonts w:ascii="Times New Roman" w:hAnsi="Times New Roman"/>
          <w:lang w:val="pt-BR"/>
        </w:rPr>
        <w:t>Em um béquer plástico, foram pesados</w:t>
      </w:r>
      <w:r w:rsidR="008A6CD1">
        <w:rPr>
          <w:rFonts w:ascii="Times New Roman" w:hAnsi="Times New Roman"/>
          <w:lang w:val="pt-BR"/>
        </w:rPr>
        <w:t xml:space="preserve"> </w:t>
      </w:r>
      <w:r w:rsidRPr="001B7703">
        <w:rPr>
          <w:rFonts w:ascii="Times New Roman" w:hAnsi="Times New Roman"/>
          <w:lang w:val="pt-BR"/>
        </w:rPr>
        <w:t>9,2 g de brometo de cetiltrimetilamônio (C</w:t>
      </w:r>
      <w:r w:rsidRPr="001B7703">
        <w:rPr>
          <w:rFonts w:ascii="Times New Roman" w:hAnsi="Times New Roman"/>
          <w:vertAlign w:val="subscript"/>
          <w:lang w:val="pt-BR"/>
        </w:rPr>
        <w:t>16</w:t>
      </w:r>
      <w:r w:rsidRPr="001B7703">
        <w:rPr>
          <w:rFonts w:ascii="Times New Roman" w:hAnsi="Times New Roman"/>
          <w:lang w:val="pt-BR"/>
        </w:rPr>
        <w:t>TABr), 15,8 g de hidróxido de tetrametilamônio (TMAOH) e 61,2 g de água. A solução foi deixada sob agitação magnética a 40 °C até que os reagentes estivessem completamente dissolvidos. Em seguida, foram adicionados 10 g de Aerosil (SiO</w:t>
      </w:r>
      <w:r w:rsidRPr="001B7703">
        <w:rPr>
          <w:rFonts w:ascii="Times New Roman" w:hAnsi="Times New Roman"/>
          <w:vertAlign w:val="subscript"/>
          <w:lang w:val="pt-BR"/>
        </w:rPr>
        <w:t>2</w:t>
      </w:r>
      <w:r w:rsidRPr="001B7703">
        <w:rPr>
          <w:rFonts w:ascii="Times New Roman" w:hAnsi="Times New Roman"/>
          <w:lang w:val="pt-BR"/>
        </w:rPr>
        <w:t xml:space="preserve">) à solução e a mistura foi deixada sob agitação mecânica por 2 horas. </w:t>
      </w:r>
      <w:r w:rsidR="006C578C">
        <w:rPr>
          <w:rFonts w:ascii="Times New Roman" w:hAnsi="Times New Roman"/>
          <w:lang w:val="pt-BR"/>
        </w:rPr>
        <w:t>Na</w:t>
      </w:r>
      <w:r w:rsidRPr="001B7703">
        <w:rPr>
          <w:rFonts w:ascii="Times New Roman" w:hAnsi="Times New Roman"/>
          <w:lang w:val="pt-BR"/>
        </w:rPr>
        <w:t xml:space="preserve"> síntese foi </w:t>
      </w:r>
      <w:r w:rsidR="006C578C">
        <w:rPr>
          <w:rFonts w:ascii="Times New Roman" w:hAnsi="Times New Roman"/>
          <w:lang w:val="pt-BR"/>
        </w:rPr>
        <w:t xml:space="preserve">utilizada </w:t>
      </w:r>
      <w:r w:rsidRPr="001B7703">
        <w:rPr>
          <w:rFonts w:ascii="Times New Roman" w:hAnsi="Times New Roman"/>
          <w:lang w:val="pt-BR"/>
        </w:rPr>
        <w:t xml:space="preserve">a seguinte proporção de reagentes: </w:t>
      </w:r>
    </w:p>
    <w:p w14:paraId="45120738" w14:textId="7831B402" w:rsidR="00BA548E" w:rsidRDefault="001B7703" w:rsidP="00341267">
      <w:pPr>
        <w:pStyle w:val="TAMainText"/>
        <w:jc w:val="center"/>
        <w:rPr>
          <w:rFonts w:ascii="Times New Roman" w:hAnsi="Times New Roman"/>
          <w:lang w:val="pt-BR"/>
        </w:rPr>
      </w:pPr>
      <w:r w:rsidRPr="001B7703">
        <w:rPr>
          <w:rFonts w:ascii="Times New Roman" w:hAnsi="Times New Roman"/>
          <w:lang w:val="pt-BR"/>
        </w:rPr>
        <w:t>1</w:t>
      </w:r>
      <w:r w:rsidR="00BA548E">
        <w:rPr>
          <w:rFonts w:ascii="Times New Roman" w:hAnsi="Times New Roman"/>
          <w:lang w:val="pt-BR"/>
        </w:rPr>
        <w:t xml:space="preserve"> </w:t>
      </w:r>
      <w:r w:rsidRPr="001B7703">
        <w:rPr>
          <w:rFonts w:ascii="Times New Roman" w:hAnsi="Times New Roman"/>
          <w:lang w:val="pt-BR"/>
        </w:rPr>
        <w:t>SiO</w:t>
      </w:r>
      <w:r w:rsidRPr="006C578C">
        <w:rPr>
          <w:rFonts w:ascii="Times New Roman" w:hAnsi="Times New Roman"/>
          <w:vertAlign w:val="subscript"/>
          <w:lang w:val="pt-BR"/>
        </w:rPr>
        <w:t>2</w:t>
      </w:r>
      <w:r w:rsidRPr="001B7703">
        <w:rPr>
          <w:rFonts w:ascii="Times New Roman" w:hAnsi="Times New Roman"/>
          <w:lang w:val="pt-BR"/>
        </w:rPr>
        <w:t>:0,15</w:t>
      </w:r>
      <w:r w:rsidR="00BA548E">
        <w:rPr>
          <w:rFonts w:ascii="Times New Roman" w:hAnsi="Times New Roman"/>
          <w:lang w:val="pt-BR"/>
        </w:rPr>
        <w:t xml:space="preserve"> </w:t>
      </w:r>
      <w:r w:rsidRPr="001B7703">
        <w:rPr>
          <w:rFonts w:ascii="Times New Roman" w:hAnsi="Times New Roman"/>
          <w:lang w:val="pt-BR"/>
        </w:rPr>
        <w:t>C</w:t>
      </w:r>
      <w:r w:rsidRPr="006C578C">
        <w:rPr>
          <w:rFonts w:ascii="Times New Roman" w:hAnsi="Times New Roman"/>
          <w:vertAlign w:val="subscript"/>
          <w:lang w:val="pt-BR"/>
        </w:rPr>
        <w:t>16</w:t>
      </w:r>
      <w:r w:rsidRPr="001B7703">
        <w:rPr>
          <w:rFonts w:ascii="Times New Roman" w:hAnsi="Times New Roman"/>
          <w:lang w:val="pt-BR"/>
        </w:rPr>
        <w:t>TABr:0,26 TMAOH: 24,3</w:t>
      </w:r>
      <w:r w:rsidR="00341267">
        <w:rPr>
          <w:rFonts w:ascii="Times New Roman" w:hAnsi="Times New Roman"/>
          <w:lang w:val="pt-BR"/>
        </w:rPr>
        <w:t xml:space="preserve"> </w:t>
      </w:r>
      <w:r w:rsidRPr="001B7703">
        <w:rPr>
          <w:rFonts w:ascii="Times New Roman" w:hAnsi="Times New Roman"/>
          <w:lang w:val="pt-BR"/>
        </w:rPr>
        <w:t>H</w:t>
      </w:r>
      <w:r w:rsidRPr="00BA548E">
        <w:rPr>
          <w:rFonts w:ascii="Times New Roman" w:hAnsi="Times New Roman"/>
          <w:vertAlign w:val="subscript"/>
          <w:lang w:val="pt-BR"/>
        </w:rPr>
        <w:t>2</w:t>
      </w:r>
      <w:r w:rsidRPr="001B7703">
        <w:rPr>
          <w:rFonts w:ascii="Times New Roman" w:hAnsi="Times New Roman"/>
          <w:lang w:val="pt-BR"/>
        </w:rPr>
        <w:t>O</w:t>
      </w:r>
    </w:p>
    <w:p w14:paraId="4B3EBBEF" w14:textId="3AD5CB0B" w:rsidR="00963E99" w:rsidRDefault="001B7703" w:rsidP="007920CB">
      <w:pPr>
        <w:pStyle w:val="TAMainText"/>
        <w:spacing w:after="240"/>
        <w:ind w:firstLine="0"/>
        <w:rPr>
          <w:rFonts w:ascii="Times New Roman" w:hAnsi="Times New Roman"/>
          <w:lang w:val="pt-BR"/>
        </w:rPr>
      </w:pPr>
      <w:r w:rsidRPr="001B7703">
        <w:rPr>
          <w:rFonts w:ascii="Times New Roman" w:hAnsi="Times New Roman"/>
          <w:lang w:val="pt-BR"/>
        </w:rPr>
        <w:t xml:space="preserve">A mistura resultante foi </w:t>
      </w:r>
      <w:r w:rsidR="002C348B">
        <w:rPr>
          <w:rFonts w:ascii="Times New Roman" w:hAnsi="Times New Roman"/>
          <w:lang w:val="pt-BR"/>
        </w:rPr>
        <w:t xml:space="preserve">adicionada </w:t>
      </w:r>
      <w:r w:rsidRPr="001B7703">
        <w:rPr>
          <w:rFonts w:ascii="Times New Roman" w:hAnsi="Times New Roman"/>
          <w:lang w:val="pt-BR"/>
        </w:rPr>
        <w:t>em uma autoclave e deixada em estufa em modo estático por 24 horas. O gel resultante foi filtrado a vácuo e lavado com água até a neutralização. O sólido filtrado foi então seco no forno a 100 °C. O material foi finalmente calcinado em mufla de calcinação a 540°C por 12 horas.</w:t>
      </w:r>
      <w:r w:rsidR="00341267">
        <w:rPr>
          <w:rFonts w:ascii="Times New Roman" w:hAnsi="Times New Roman"/>
          <w:lang w:val="pt-BR"/>
        </w:rPr>
        <w:t xml:space="preserve"> </w:t>
      </w:r>
    </w:p>
    <w:p w14:paraId="210C01A7" w14:textId="769B1CB8" w:rsidR="00963E99" w:rsidRPr="00194C94" w:rsidRDefault="005C5C64" w:rsidP="00341267">
      <w:pPr>
        <w:pStyle w:val="TAMainText"/>
        <w:ind w:firstLine="0"/>
        <w:rPr>
          <w:i/>
          <w:iCs/>
          <w:color w:val="000000" w:themeColor="text1"/>
          <w:szCs w:val="24"/>
          <w:lang w:val="pt-BR"/>
        </w:rPr>
      </w:pPr>
      <w:r w:rsidRPr="00194C94">
        <w:rPr>
          <w:i/>
          <w:iCs/>
          <w:szCs w:val="24"/>
          <w:lang w:val="pt-BR"/>
        </w:rPr>
        <w:t xml:space="preserve">Rota </w:t>
      </w:r>
      <w:r w:rsidR="007B06AA" w:rsidRPr="00194C94">
        <w:rPr>
          <w:i/>
          <w:iCs/>
          <w:szCs w:val="24"/>
          <w:lang w:val="pt-BR"/>
        </w:rPr>
        <w:t>Síntetica do Silil Alquino</w:t>
      </w:r>
    </w:p>
    <w:p w14:paraId="005CC251" w14:textId="457A013A" w:rsidR="005C5C64" w:rsidRPr="005C5C64" w:rsidRDefault="005C5C64" w:rsidP="005C5C64">
      <w:pPr>
        <w:pStyle w:val="TAMainText"/>
        <w:rPr>
          <w:rFonts w:ascii="Times New Roman" w:hAnsi="Times New Roman"/>
          <w:lang w:val="pt-BR"/>
        </w:rPr>
      </w:pPr>
      <w:r w:rsidRPr="005C5C64">
        <w:rPr>
          <w:rFonts w:ascii="Times New Roman" w:hAnsi="Times New Roman"/>
          <w:lang w:val="pt-BR"/>
        </w:rPr>
        <w:t>A síntese do silil al</w:t>
      </w:r>
      <w:r>
        <w:rPr>
          <w:rFonts w:ascii="Times New Roman" w:hAnsi="Times New Roman"/>
          <w:lang w:val="pt-BR"/>
        </w:rPr>
        <w:t>qu</w:t>
      </w:r>
      <w:r w:rsidRPr="005C5C64">
        <w:rPr>
          <w:rFonts w:ascii="Times New Roman" w:hAnsi="Times New Roman"/>
          <w:lang w:val="pt-BR"/>
        </w:rPr>
        <w:t xml:space="preserve">ino foi adaptada da literatura </w:t>
      </w:r>
      <w:r w:rsidR="00F03C2D">
        <w:rPr>
          <w:rFonts w:ascii="Times New Roman" w:hAnsi="Times New Roman"/>
          <w:lang w:val="pt-BR"/>
        </w:rPr>
        <w:t>(</w:t>
      </w:r>
      <w:r w:rsidRPr="005C5C64">
        <w:rPr>
          <w:rFonts w:ascii="Times New Roman" w:hAnsi="Times New Roman"/>
          <w:lang w:val="pt-BR"/>
        </w:rPr>
        <w:t>1</w:t>
      </w:r>
      <w:r w:rsidR="00ED2F19">
        <w:rPr>
          <w:rFonts w:ascii="Times New Roman" w:hAnsi="Times New Roman"/>
          <w:lang w:val="pt-BR"/>
        </w:rPr>
        <w:t>0</w:t>
      </w:r>
      <w:r w:rsidR="00F03C2D">
        <w:rPr>
          <w:rFonts w:ascii="Times New Roman" w:hAnsi="Times New Roman"/>
          <w:lang w:val="pt-BR"/>
        </w:rPr>
        <w:t>)</w:t>
      </w:r>
      <w:r w:rsidRPr="005C5C64">
        <w:rPr>
          <w:rFonts w:ascii="Times New Roman" w:hAnsi="Times New Roman"/>
          <w:lang w:val="pt-BR"/>
        </w:rPr>
        <w:t xml:space="preserve"> e foi realizada de acordo com a Figura 1. Em um frasco, foram adicionados 14,51 mmol de magnésio e 14,51 mmol de clorotrietoxissilano em atmosfera inerte. Em um segundo balão, 9,67 mmol do reagente 4-bromofeniletiltrimetilsilano foram dissolvidos em 9 mL de tetrahidrofurano seco (THF). A suspensão de THF </w:t>
      </w:r>
      <w:r w:rsidR="00A50FBB">
        <w:rPr>
          <w:rFonts w:ascii="Times New Roman" w:hAnsi="Times New Roman"/>
          <w:lang w:val="pt-BR"/>
        </w:rPr>
        <w:t xml:space="preserve">foi vertida sobre </w:t>
      </w:r>
      <w:r w:rsidRPr="005C5C64">
        <w:rPr>
          <w:rFonts w:ascii="Times New Roman" w:hAnsi="Times New Roman"/>
          <w:lang w:val="pt-BR"/>
        </w:rPr>
        <w:t xml:space="preserve">à primeira mistura; a reação foi mantida por 24 horas em banho de gelo para que a reação </w:t>
      </w:r>
      <w:r w:rsidR="00C218CB">
        <w:rPr>
          <w:rFonts w:ascii="Times New Roman" w:hAnsi="Times New Roman"/>
          <w:lang w:val="pt-BR"/>
        </w:rPr>
        <w:t xml:space="preserve">ocorresse a </w:t>
      </w:r>
      <w:r w:rsidRPr="005C5C64">
        <w:rPr>
          <w:rFonts w:ascii="Times New Roman" w:hAnsi="Times New Roman"/>
          <w:lang w:val="pt-BR"/>
        </w:rPr>
        <w:t>10 °C. Todo o procedimento foi realizado sob atmosfera de argônio. Após o término da reação, o produto foi concentrado, dissolvido em pentano e filtrado. O sólido foi descartado e o líquido concentrado novamente. O produto obtido tem uma aparência semelhante a um gel.</w:t>
      </w:r>
    </w:p>
    <w:p w14:paraId="307595D3" w14:textId="66828AAB" w:rsidR="00E038AF" w:rsidRPr="00DB04D0" w:rsidRDefault="005C5C64" w:rsidP="00AF5708">
      <w:pPr>
        <w:pStyle w:val="TAMainText"/>
        <w:ind w:firstLine="0"/>
        <w:rPr>
          <w:rFonts w:ascii="Times New Roman" w:hAnsi="Times New Roman"/>
          <w:lang w:val="pt-BR"/>
        </w:rPr>
      </w:pPr>
      <w:r w:rsidRPr="005C5C64">
        <w:rPr>
          <w:rFonts w:ascii="Times New Roman" w:hAnsi="Times New Roman"/>
          <w:lang w:val="pt-BR"/>
        </w:rPr>
        <w:t>Em seguida, 1,473 g do precursor sililado obtido foram dissolvidos em metanol seco, e 54 mg de K</w:t>
      </w:r>
      <w:r w:rsidRPr="007D0D03">
        <w:rPr>
          <w:rFonts w:ascii="Times New Roman" w:hAnsi="Times New Roman"/>
          <w:vertAlign w:val="subscript"/>
          <w:lang w:val="pt-BR"/>
        </w:rPr>
        <w:t>2</w:t>
      </w:r>
      <w:r w:rsidRPr="005C5C64">
        <w:rPr>
          <w:rFonts w:ascii="Times New Roman" w:hAnsi="Times New Roman"/>
          <w:lang w:val="pt-BR"/>
        </w:rPr>
        <w:t>CO</w:t>
      </w:r>
      <w:r w:rsidRPr="007D0D03">
        <w:rPr>
          <w:rFonts w:ascii="Times New Roman" w:hAnsi="Times New Roman"/>
          <w:vertAlign w:val="subscript"/>
          <w:lang w:val="pt-BR"/>
        </w:rPr>
        <w:t>3</w:t>
      </w:r>
      <w:r w:rsidRPr="005C5C64">
        <w:rPr>
          <w:rFonts w:ascii="Times New Roman" w:hAnsi="Times New Roman"/>
          <w:lang w:val="pt-BR"/>
        </w:rPr>
        <w:t xml:space="preserve"> anidro foram adicionados em outro frasco. A solução de metanol foi então adicionada a K</w:t>
      </w:r>
      <w:r w:rsidRPr="007D0D03">
        <w:rPr>
          <w:rFonts w:ascii="Times New Roman" w:hAnsi="Times New Roman"/>
          <w:vertAlign w:val="subscript"/>
          <w:lang w:val="pt-BR"/>
        </w:rPr>
        <w:t>2</w:t>
      </w:r>
      <w:r w:rsidRPr="005C5C64">
        <w:rPr>
          <w:rFonts w:ascii="Times New Roman" w:hAnsi="Times New Roman"/>
          <w:lang w:val="pt-BR"/>
        </w:rPr>
        <w:t>CO</w:t>
      </w:r>
      <w:r w:rsidRPr="007D0D03">
        <w:rPr>
          <w:rFonts w:ascii="Times New Roman" w:hAnsi="Times New Roman"/>
          <w:vertAlign w:val="subscript"/>
          <w:lang w:val="pt-BR"/>
        </w:rPr>
        <w:t>3</w:t>
      </w:r>
      <w:r w:rsidRPr="005C5C64">
        <w:rPr>
          <w:rFonts w:ascii="Times New Roman" w:hAnsi="Times New Roman"/>
          <w:lang w:val="pt-BR"/>
        </w:rPr>
        <w:t xml:space="preserve"> e deixada em agitação por 4 h</w:t>
      </w:r>
      <w:r w:rsidR="00913900">
        <w:rPr>
          <w:rFonts w:ascii="Times New Roman" w:hAnsi="Times New Roman"/>
          <w:lang w:val="pt-BR"/>
        </w:rPr>
        <w:t>oras</w:t>
      </w:r>
      <w:r w:rsidRPr="005C5C64">
        <w:rPr>
          <w:rFonts w:ascii="Times New Roman" w:hAnsi="Times New Roman"/>
          <w:lang w:val="pt-BR"/>
        </w:rPr>
        <w:t xml:space="preserve">. Pentano foi então adicionado para lavagem e o sólido foi filtrado. O produto obtido foi um líquido de cor âmbar com 13% de rendimento. </w:t>
      </w:r>
    </w:p>
    <w:p w14:paraId="36319395" w14:textId="77777777" w:rsidR="00DF1602" w:rsidRDefault="00606AAE" w:rsidP="00606AAE">
      <w:pPr>
        <w:pStyle w:val="Legenda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059C7E3" wp14:editId="6F83C234">
            <wp:extent cx="2798368" cy="1115122"/>
            <wp:effectExtent l="0" t="0" r="0" b="2540"/>
            <wp:docPr id="20387570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7570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2431" cy="114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476">
        <w:rPr>
          <w:rFonts w:ascii="Times New Roman" w:hAnsi="Times New Roman"/>
          <w:sz w:val="24"/>
          <w:szCs w:val="24"/>
        </w:rPr>
        <w:t xml:space="preserve"> </w:t>
      </w:r>
    </w:p>
    <w:p w14:paraId="2EE82817" w14:textId="4228E6F8" w:rsidR="00606AAE" w:rsidRPr="00EA6476" w:rsidRDefault="00606AAE" w:rsidP="00606AAE">
      <w:pPr>
        <w:pStyle w:val="Legenda"/>
        <w:jc w:val="center"/>
        <w:rPr>
          <w:rFonts w:ascii="Times New Roman" w:hAnsi="Times New Roman"/>
          <w:b w:val="0"/>
          <w:sz w:val="18"/>
          <w:szCs w:val="18"/>
        </w:rPr>
      </w:pPr>
      <w:r w:rsidRPr="00EA6476">
        <w:rPr>
          <w:rFonts w:ascii="Times New Roman" w:eastAsia="Times New Roman" w:hAnsi="Times New Roman" w:cs="Times New Roman"/>
          <w:bCs w:val="0"/>
          <w:color w:val="auto"/>
          <w:sz w:val="18"/>
          <w:szCs w:val="18"/>
          <w:lang w:eastAsia="pt-BR"/>
        </w:rPr>
        <w:t>Figur</w:t>
      </w:r>
      <w:r w:rsidR="0006550A" w:rsidRPr="00EA6476">
        <w:rPr>
          <w:rFonts w:ascii="Times New Roman" w:eastAsia="Times New Roman" w:hAnsi="Times New Roman" w:cs="Times New Roman"/>
          <w:bCs w:val="0"/>
          <w:color w:val="auto"/>
          <w:sz w:val="18"/>
          <w:szCs w:val="18"/>
          <w:lang w:eastAsia="pt-BR"/>
        </w:rPr>
        <w:t>a</w:t>
      </w:r>
      <w:r w:rsidRPr="00EA6476">
        <w:rPr>
          <w:rFonts w:ascii="Times New Roman" w:eastAsia="Times New Roman" w:hAnsi="Times New Roman" w:cs="Times New Roman"/>
          <w:bCs w:val="0"/>
          <w:color w:val="auto"/>
          <w:sz w:val="18"/>
          <w:szCs w:val="18"/>
          <w:lang w:eastAsia="pt-BR"/>
        </w:rPr>
        <w:t xml:space="preserve"> </w:t>
      </w:r>
      <w:r w:rsidRPr="00606AAE">
        <w:rPr>
          <w:rFonts w:ascii="Times New Roman" w:eastAsia="Times New Roman" w:hAnsi="Times New Roman" w:cs="Times New Roman"/>
          <w:bCs w:val="0"/>
          <w:color w:val="auto"/>
          <w:sz w:val="18"/>
          <w:szCs w:val="18"/>
          <w:lang w:eastAsia="pt-BR"/>
        </w:rPr>
        <w:fldChar w:fldCharType="begin"/>
      </w:r>
      <w:r w:rsidRPr="00EA6476">
        <w:rPr>
          <w:rFonts w:ascii="Times New Roman" w:eastAsia="Times New Roman" w:hAnsi="Times New Roman" w:cs="Times New Roman"/>
          <w:bCs w:val="0"/>
          <w:color w:val="auto"/>
          <w:sz w:val="18"/>
          <w:szCs w:val="18"/>
          <w:lang w:eastAsia="pt-BR"/>
        </w:rPr>
        <w:instrText xml:space="preserve"> SEQ Figure \* ARABIC </w:instrText>
      </w:r>
      <w:r w:rsidRPr="00606AAE">
        <w:rPr>
          <w:rFonts w:ascii="Times New Roman" w:eastAsia="Times New Roman" w:hAnsi="Times New Roman" w:cs="Times New Roman"/>
          <w:bCs w:val="0"/>
          <w:color w:val="auto"/>
          <w:sz w:val="18"/>
          <w:szCs w:val="18"/>
          <w:lang w:eastAsia="pt-BR"/>
        </w:rPr>
        <w:fldChar w:fldCharType="separate"/>
      </w:r>
      <w:r w:rsidR="00DF19CF">
        <w:rPr>
          <w:rFonts w:ascii="Times New Roman" w:eastAsia="Times New Roman" w:hAnsi="Times New Roman" w:cs="Times New Roman"/>
          <w:bCs w:val="0"/>
          <w:noProof/>
          <w:color w:val="auto"/>
          <w:sz w:val="18"/>
          <w:szCs w:val="18"/>
          <w:lang w:eastAsia="pt-BR"/>
        </w:rPr>
        <w:t>1</w:t>
      </w:r>
      <w:r w:rsidRPr="00606AAE">
        <w:rPr>
          <w:rFonts w:ascii="Times New Roman" w:eastAsia="Times New Roman" w:hAnsi="Times New Roman" w:cs="Times New Roman"/>
          <w:bCs w:val="0"/>
          <w:color w:val="auto"/>
          <w:sz w:val="18"/>
          <w:szCs w:val="18"/>
          <w:lang w:eastAsia="pt-BR"/>
        </w:rPr>
        <w:fldChar w:fldCharType="end"/>
      </w:r>
      <w:r w:rsidRPr="00EA6476">
        <w:rPr>
          <w:rFonts w:ascii="Times New Roman" w:eastAsia="Times New Roman" w:hAnsi="Times New Roman" w:cs="Times New Roman"/>
          <w:bCs w:val="0"/>
          <w:color w:val="auto"/>
          <w:sz w:val="18"/>
          <w:szCs w:val="18"/>
          <w:lang w:eastAsia="pt-BR"/>
        </w:rPr>
        <w:t xml:space="preserve">. </w:t>
      </w:r>
      <w:r w:rsidR="0006550A" w:rsidRPr="00EA6476">
        <w:rPr>
          <w:rFonts w:ascii="Times New Roman" w:eastAsia="Times New Roman" w:hAnsi="Times New Roman" w:cs="Times New Roman"/>
          <w:b w:val="0"/>
          <w:color w:val="auto"/>
          <w:sz w:val="18"/>
          <w:szCs w:val="18"/>
          <w:lang w:eastAsia="pt-BR"/>
        </w:rPr>
        <w:t>S</w:t>
      </w:r>
      <w:r w:rsidR="006E61BF">
        <w:rPr>
          <w:rFonts w:ascii="Times New Roman" w:eastAsia="Times New Roman" w:hAnsi="Times New Roman" w:cs="Times New Roman"/>
          <w:b w:val="0"/>
          <w:color w:val="auto"/>
          <w:sz w:val="18"/>
          <w:szCs w:val="18"/>
          <w:lang w:eastAsia="pt-BR"/>
        </w:rPr>
        <w:t>í</w:t>
      </w:r>
      <w:r w:rsidR="0006550A" w:rsidRPr="00EA6476">
        <w:rPr>
          <w:rFonts w:ascii="Times New Roman" w:eastAsia="Times New Roman" w:hAnsi="Times New Roman" w:cs="Times New Roman"/>
          <w:b w:val="0"/>
          <w:color w:val="auto"/>
          <w:sz w:val="18"/>
          <w:szCs w:val="18"/>
          <w:lang w:eastAsia="pt-BR"/>
        </w:rPr>
        <w:t xml:space="preserve">ntese do </w:t>
      </w:r>
      <w:r w:rsidR="00EA6476" w:rsidRPr="00EA6476">
        <w:rPr>
          <w:rFonts w:ascii="Times New Roman" w:eastAsia="Times New Roman" w:hAnsi="Times New Roman" w:cs="Times New Roman"/>
          <w:b w:val="0"/>
          <w:color w:val="auto"/>
          <w:sz w:val="18"/>
          <w:szCs w:val="18"/>
          <w:lang w:eastAsia="pt-BR"/>
        </w:rPr>
        <w:t>Si</w:t>
      </w:r>
      <w:r w:rsidR="0006550A" w:rsidRPr="00EA6476">
        <w:rPr>
          <w:rFonts w:ascii="Times New Roman" w:eastAsia="Times New Roman" w:hAnsi="Times New Roman" w:cs="Times New Roman"/>
          <w:b w:val="0"/>
          <w:color w:val="auto"/>
          <w:sz w:val="18"/>
          <w:szCs w:val="18"/>
          <w:lang w:eastAsia="pt-BR"/>
        </w:rPr>
        <w:t xml:space="preserve">lil </w:t>
      </w:r>
      <w:r w:rsidR="00EA6476" w:rsidRPr="00EA6476">
        <w:rPr>
          <w:rFonts w:ascii="Times New Roman" w:eastAsia="Times New Roman" w:hAnsi="Times New Roman" w:cs="Times New Roman"/>
          <w:b w:val="0"/>
          <w:color w:val="auto"/>
          <w:sz w:val="18"/>
          <w:szCs w:val="18"/>
          <w:lang w:eastAsia="pt-BR"/>
        </w:rPr>
        <w:t>Alquino</w:t>
      </w:r>
      <w:r w:rsidRPr="00EA6476">
        <w:rPr>
          <w:rFonts w:ascii="Times New Roman" w:hAnsi="Times New Roman"/>
          <w:b w:val="0"/>
          <w:sz w:val="18"/>
          <w:szCs w:val="18"/>
        </w:rPr>
        <w:t>.</w:t>
      </w:r>
    </w:p>
    <w:p w14:paraId="39A8A957" w14:textId="77777777" w:rsidR="00F5006E" w:rsidRDefault="00F5006E" w:rsidP="009736FA">
      <w:pPr>
        <w:pStyle w:val="TAMainText"/>
        <w:ind w:firstLine="0"/>
        <w:rPr>
          <w:i/>
          <w:iCs/>
          <w:szCs w:val="24"/>
          <w:lang w:val="pt-BR"/>
        </w:rPr>
      </w:pPr>
    </w:p>
    <w:p w14:paraId="6F488DE2" w14:textId="72FB9C50" w:rsidR="009736FA" w:rsidRPr="009736FA" w:rsidRDefault="009736FA" w:rsidP="009736FA">
      <w:pPr>
        <w:pStyle w:val="TAMainText"/>
        <w:ind w:firstLine="0"/>
        <w:rPr>
          <w:i/>
          <w:iCs/>
          <w:color w:val="000000" w:themeColor="text1"/>
          <w:szCs w:val="24"/>
          <w:lang w:val="pt-BR"/>
        </w:rPr>
      </w:pPr>
      <w:r w:rsidRPr="009736FA">
        <w:rPr>
          <w:i/>
          <w:iCs/>
          <w:szCs w:val="24"/>
          <w:lang w:val="pt-BR"/>
        </w:rPr>
        <w:t>Ancoragem do Silil Alquino</w:t>
      </w:r>
      <w:r w:rsidR="00AE1FC3">
        <w:rPr>
          <w:i/>
          <w:iCs/>
          <w:szCs w:val="24"/>
          <w:lang w:val="pt-BR"/>
        </w:rPr>
        <w:t xml:space="preserve"> a </w:t>
      </w:r>
      <w:r w:rsidR="00AE1FC3" w:rsidRPr="001B7703">
        <w:rPr>
          <w:rFonts w:ascii="Times New Roman" w:hAnsi="Times New Roman"/>
          <w:i/>
          <w:iCs/>
          <w:lang w:val="pt-BR"/>
        </w:rPr>
        <w:t>MCM-41</w:t>
      </w:r>
      <w:r w:rsidR="00AE1FC3">
        <w:rPr>
          <w:rFonts w:ascii="Times New Roman" w:hAnsi="Times New Roman"/>
          <w:i/>
          <w:iCs/>
          <w:lang w:val="pt-BR"/>
        </w:rPr>
        <w:t>: Material MS</w:t>
      </w:r>
      <w:r w:rsidR="00AE1FC3">
        <w:rPr>
          <w:i/>
          <w:iCs/>
          <w:szCs w:val="24"/>
          <w:lang w:val="pt-BR"/>
        </w:rPr>
        <w:t xml:space="preserve"> </w:t>
      </w:r>
    </w:p>
    <w:p w14:paraId="20133CC0" w14:textId="2E4098B5" w:rsidR="00453859" w:rsidRDefault="00453859" w:rsidP="009736FA">
      <w:pPr>
        <w:pStyle w:val="TAMainText"/>
        <w:rPr>
          <w:rFonts w:ascii="Times New Roman" w:hAnsi="Times New Roman"/>
          <w:lang w:val="pt-BR"/>
        </w:rPr>
      </w:pPr>
      <w:r w:rsidRPr="009736FA">
        <w:rPr>
          <w:rFonts w:ascii="Times New Roman" w:hAnsi="Times New Roman"/>
          <w:lang w:val="pt-BR"/>
        </w:rPr>
        <w:t>O suporte MCM-41 foi pré-tratado em banho a 200°C por 4 horas sob alto vácuo</w:t>
      </w:r>
      <w:r w:rsidR="00D74DDE">
        <w:rPr>
          <w:rFonts w:ascii="Times New Roman" w:hAnsi="Times New Roman"/>
          <w:lang w:val="pt-BR"/>
        </w:rPr>
        <w:t xml:space="preserve"> para eliminar a </w:t>
      </w:r>
      <w:r w:rsidRPr="009736FA">
        <w:rPr>
          <w:rFonts w:ascii="Times New Roman" w:hAnsi="Times New Roman"/>
          <w:lang w:val="pt-BR"/>
        </w:rPr>
        <w:t xml:space="preserve">umidade residual do suporte e pré-ativar os grupos hidroxila nas cavidades do material. Em um Schlenk, 50 mg do suporte MCM-41 foram pesados e solubilizados em 5 mL de tolueno seco. Em outro Schlenk, 0,20 mg de silil </w:t>
      </w:r>
      <w:r w:rsidR="00C978AC">
        <w:rPr>
          <w:rFonts w:ascii="Times New Roman" w:hAnsi="Times New Roman"/>
          <w:lang w:val="pt-BR"/>
        </w:rPr>
        <w:t>alquino</w:t>
      </w:r>
      <w:r w:rsidRPr="009736FA">
        <w:rPr>
          <w:rFonts w:ascii="Times New Roman" w:hAnsi="Times New Roman"/>
          <w:lang w:val="pt-BR"/>
        </w:rPr>
        <w:t xml:space="preserve"> foi pesado e solubilizado em 5 mL de tolueno. A segunda solução foi adicionada à primeira e a reação foi mantida a 80 °C por 24 horas sob atmosfera de argônio. Após a mistura foi filtrada e o sólido foi lavado com alíquotas de diclorometano</w:t>
      </w:r>
      <w:r w:rsidR="0021565F">
        <w:rPr>
          <w:rFonts w:ascii="Times New Roman" w:hAnsi="Times New Roman"/>
          <w:lang w:val="pt-BR"/>
        </w:rPr>
        <w:t>.</w:t>
      </w:r>
      <w:r w:rsidRPr="009736FA">
        <w:rPr>
          <w:rFonts w:ascii="Times New Roman" w:hAnsi="Times New Roman"/>
          <w:lang w:val="pt-BR"/>
        </w:rPr>
        <w:t xml:space="preserve"> </w:t>
      </w:r>
    </w:p>
    <w:p w14:paraId="25828A78" w14:textId="77777777" w:rsidR="003458AD" w:rsidRDefault="003458AD" w:rsidP="009736FA">
      <w:pPr>
        <w:pStyle w:val="TAMainText"/>
        <w:rPr>
          <w:rFonts w:ascii="Times New Roman" w:hAnsi="Times New Roman"/>
          <w:lang w:val="pt-BR"/>
        </w:rPr>
      </w:pPr>
    </w:p>
    <w:p w14:paraId="4EBA3840" w14:textId="2BEF82A3" w:rsidR="003458AD" w:rsidRPr="003458AD" w:rsidRDefault="003458AD" w:rsidP="003458AD">
      <w:pPr>
        <w:pStyle w:val="TAMainText"/>
        <w:ind w:firstLine="0"/>
        <w:rPr>
          <w:i/>
          <w:iCs/>
          <w:szCs w:val="24"/>
          <w:lang w:val="pt-BR"/>
        </w:rPr>
      </w:pPr>
      <w:r w:rsidRPr="003458AD">
        <w:rPr>
          <w:i/>
          <w:iCs/>
          <w:szCs w:val="24"/>
          <w:lang w:val="pt-BR"/>
        </w:rPr>
        <w:t xml:space="preserve">Testes de Polimerização </w:t>
      </w:r>
    </w:p>
    <w:p w14:paraId="5E63A9F2" w14:textId="1B93C6D7" w:rsidR="009513E4" w:rsidRPr="009513E4" w:rsidRDefault="009513E4" w:rsidP="00660167">
      <w:pPr>
        <w:pStyle w:val="TAMainText"/>
        <w:rPr>
          <w:rFonts w:ascii="Times New Roman" w:hAnsi="Times New Roman"/>
          <w:lang w:val="pt-BR"/>
        </w:rPr>
      </w:pPr>
      <w:r w:rsidRPr="009513E4">
        <w:rPr>
          <w:rFonts w:ascii="Times New Roman" w:hAnsi="Times New Roman"/>
          <w:lang w:val="pt-BR"/>
        </w:rPr>
        <w:t xml:space="preserve">As reações de polimerização foram realizadas em um Schlenk com </w:t>
      </w:r>
      <w:r w:rsidR="00667E7D">
        <w:rPr>
          <w:rFonts w:ascii="Times New Roman" w:hAnsi="Times New Roman"/>
          <w:lang w:val="pt-BR"/>
        </w:rPr>
        <w:t>um banho</w:t>
      </w:r>
      <w:r w:rsidRPr="009513E4">
        <w:rPr>
          <w:rFonts w:ascii="Times New Roman" w:hAnsi="Times New Roman"/>
          <w:lang w:val="pt-BR"/>
        </w:rPr>
        <w:t>, agitação magnética, a 25 °C, pressão atmosférica e tempo de reação de 2 horas.</w:t>
      </w:r>
      <w:r w:rsidR="00660167">
        <w:rPr>
          <w:rFonts w:ascii="Times New Roman" w:hAnsi="Times New Roman"/>
          <w:lang w:val="pt-BR"/>
        </w:rPr>
        <w:t xml:space="preserve"> </w:t>
      </w:r>
      <w:r w:rsidRPr="009513E4">
        <w:rPr>
          <w:rFonts w:ascii="Times New Roman" w:hAnsi="Times New Roman"/>
          <w:lang w:val="pt-BR"/>
        </w:rPr>
        <w:t xml:space="preserve">Em ensaios catalíticos homogêneos, foi testado o complexo </w:t>
      </w:r>
      <w:r w:rsidR="00F5006E">
        <w:rPr>
          <w:rFonts w:ascii="Times New Roman" w:hAnsi="Times New Roman"/>
          <w:lang w:val="pt-BR"/>
        </w:rPr>
        <w:t>dimérico</w:t>
      </w:r>
      <w:r w:rsidR="00F5006E" w:rsidRPr="009513E4">
        <w:rPr>
          <w:rFonts w:ascii="Times New Roman" w:hAnsi="Times New Roman"/>
          <w:lang w:val="pt-BR"/>
        </w:rPr>
        <w:t xml:space="preserve"> </w:t>
      </w:r>
      <w:r w:rsidRPr="009513E4">
        <w:rPr>
          <w:rFonts w:ascii="Times New Roman" w:hAnsi="Times New Roman"/>
          <w:lang w:val="pt-BR"/>
        </w:rPr>
        <w:t>(Rh) cloreto de Biciclo[2.2.1]hepta-2,5-dieno-ródio(I), tendo como solvente tolueno, bis(trimetilsilil)amina de potássio 0,5 mol</w:t>
      </w:r>
      <w:r w:rsidR="00760D84">
        <w:rPr>
          <w:rFonts w:ascii="Times New Roman" w:hAnsi="Times New Roman"/>
          <w:lang w:val="pt-BR"/>
        </w:rPr>
        <w:t xml:space="preserve"> </w:t>
      </w:r>
      <w:r w:rsidRPr="009513E4">
        <w:rPr>
          <w:rFonts w:ascii="Times New Roman" w:hAnsi="Times New Roman"/>
          <w:lang w:val="pt-BR"/>
        </w:rPr>
        <w:t>L</w:t>
      </w:r>
      <w:r w:rsidRPr="00660167">
        <w:rPr>
          <w:rFonts w:ascii="Times New Roman" w:hAnsi="Times New Roman"/>
          <w:vertAlign w:val="superscript"/>
          <w:lang w:val="pt-BR"/>
        </w:rPr>
        <w:t>-1</w:t>
      </w:r>
      <w:r w:rsidRPr="009513E4">
        <w:rPr>
          <w:rFonts w:ascii="Times New Roman" w:hAnsi="Times New Roman"/>
          <w:lang w:val="pt-BR"/>
        </w:rPr>
        <w:t xml:space="preserve"> (KN (SiMe</w:t>
      </w:r>
      <w:r w:rsidRPr="007F484E">
        <w:rPr>
          <w:rFonts w:ascii="Times New Roman" w:hAnsi="Times New Roman"/>
          <w:vertAlign w:val="subscript"/>
          <w:lang w:val="pt-BR"/>
        </w:rPr>
        <w:t>3</w:t>
      </w:r>
      <w:r w:rsidRPr="009513E4">
        <w:rPr>
          <w:rFonts w:ascii="Times New Roman" w:hAnsi="Times New Roman"/>
          <w:lang w:val="pt-BR"/>
        </w:rPr>
        <w:t>)</w:t>
      </w:r>
      <w:r w:rsidRPr="007F484E">
        <w:rPr>
          <w:rFonts w:ascii="Times New Roman" w:hAnsi="Times New Roman"/>
          <w:vertAlign w:val="subscript"/>
          <w:lang w:val="pt-BR"/>
        </w:rPr>
        <w:t>2</w:t>
      </w:r>
      <w:r w:rsidRPr="009513E4">
        <w:rPr>
          <w:rFonts w:ascii="Times New Roman" w:hAnsi="Times New Roman"/>
          <w:lang w:val="pt-BR"/>
        </w:rPr>
        <w:t>) como cocatalisador e fenilacetileno como monômero. Para testes heterogêneos, foi testado o material híbrido MS, também utilizando tolueno, KN(SiMe</w:t>
      </w:r>
      <w:r w:rsidRPr="007F484E">
        <w:rPr>
          <w:rFonts w:ascii="Times New Roman" w:hAnsi="Times New Roman"/>
          <w:vertAlign w:val="subscript"/>
          <w:lang w:val="pt-BR"/>
        </w:rPr>
        <w:t>3</w:t>
      </w:r>
      <w:r w:rsidRPr="009513E4">
        <w:rPr>
          <w:rFonts w:ascii="Times New Roman" w:hAnsi="Times New Roman"/>
          <w:lang w:val="pt-BR"/>
        </w:rPr>
        <w:t>)</w:t>
      </w:r>
      <w:r w:rsidRPr="007F484E">
        <w:rPr>
          <w:rFonts w:ascii="Times New Roman" w:hAnsi="Times New Roman"/>
          <w:vertAlign w:val="subscript"/>
          <w:lang w:val="pt-BR"/>
        </w:rPr>
        <w:t>2</w:t>
      </w:r>
      <w:r w:rsidRPr="009513E4">
        <w:rPr>
          <w:rFonts w:ascii="Times New Roman" w:hAnsi="Times New Roman"/>
          <w:lang w:val="pt-BR"/>
        </w:rPr>
        <w:t xml:space="preserve"> e fenilacetileno.</w:t>
      </w:r>
    </w:p>
    <w:p w14:paraId="4942FF91" w14:textId="6988A350" w:rsidR="00453859" w:rsidRDefault="009513E4" w:rsidP="009513E4">
      <w:pPr>
        <w:pStyle w:val="TAMainText"/>
        <w:rPr>
          <w:rFonts w:ascii="Times New Roman" w:hAnsi="Times New Roman"/>
          <w:lang w:val="pt-BR"/>
        </w:rPr>
      </w:pPr>
      <w:r w:rsidRPr="009513E4">
        <w:rPr>
          <w:rFonts w:ascii="Times New Roman" w:hAnsi="Times New Roman"/>
          <w:lang w:val="pt-BR"/>
        </w:rPr>
        <w:t xml:space="preserve">A determinação da massa molar </w:t>
      </w:r>
      <w:r w:rsidR="00F5006E">
        <w:rPr>
          <w:rFonts w:ascii="Times New Roman" w:hAnsi="Times New Roman"/>
          <w:lang w:val="pt-BR"/>
        </w:rPr>
        <w:t xml:space="preserve">dos produtos </w:t>
      </w:r>
      <w:r w:rsidRPr="009513E4">
        <w:rPr>
          <w:rFonts w:ascii="Times New Roman" w:hAnsi="Times New Roman"/>
          <w:lang w:val="pt-BR"/>
        </w:rPr>
        <w:t xml:space="preserve">foi realizada por cromatografia de permeação em gel (GPC). O solvente utilizado foi o THF, na vazão de 1 mL/min. Para determinar a massa molar, foi utilizada uma curva de calibração com padrões de poliestireno. </w:t>
      </w:r>
    </w:p>
    <w:p w14:paraId="34CC1C0F" w14:textId="77777777" w:rsidR="00141DB4" w:rsidRDefault="00141DB4" w:rsidP="00141DB4">
      <w:pPr>
        <w:pStyle w:val="TAMainText"/>
        <w:rPr>
          <w:rFonts w:ascii="Times New Roman" w:hAnsi="Times New Roman"/>
          <w:lang w:val="pt-BR"/>
        </w:rPr>
      </w:pPr>
    </w:p>
    <w:p w14:paraId="75258BBE" w14:textId="04EA8A66" w:rsidR="00141DB4" w:rsidRPr="00141DB4" w:rsidRDefault="00141DB4" w:rsidP="00141DB4">
      <w:pPr>
        <w:pStyle w:val="TAMainText"/>
        <w:ind w:firstLine="0"/>
        <w:rPr>
          <w:i/>
          <w:iCs/>
          <w:szCs w:val="24"/>
          <w:lang w:val="pt-BR"/>
        </w:rPr>
      </w:pPr>
      <w:r w:rsidRPr="00141DB4">
        <w:rPr>
          <w:i/>
          <w:iCs/>
          <w:szCs w:val="24"/>
          <w:lang w:val="pt-BR"/>
        </w:rPr>
        <w:t>Testes de condutividade</w:t>
      </w:r>
    </w:p>
    <w:p w14:paraId="07D0FF46" w14:textId="5423CC54" w:rsidR="00141DB4" w:rsidRPr="00141DB4" w:rsidRDefault="00141DB4" w:rsidP="00141DB4">
      <w:pPr>
        <w:pStyle w:val="TAMainText"/>
        <w:rPr>
          <w:rFonts w:ascii="Times New Roman" w:hAnsi="Times New Roman"/>
          <w:lang w:val="pt-BR"/>
        </w:rPr>
      </w:pPr>
      <w:r w:rsidRPr="00141DB4">
        <w:rPr>
          <w:rFonts w:ascii="Times New Roman" w:hAnsi="Times New Roman"/>
          <w:lang w:val="pt-BR"/>
        </w:rPr>
        <w:t xml:space="preserve">Para avaliar a condutividade do polifenilacetileno, testes de impedância de potencial de circuito aberto (OCP) foram realizados usando um potenciostato PGSTAT 30 com módulo FRA/2. As medidas de </w:t>
      </w:r>
      <w:r w:rsidR="00075508">
        <w:rPr>
          <w:rFonts w:ascii="Times New Roman" w:hAnsi="Times New Roman"/>
          <w:lang w:val="pt-BR"/>
        </w:rPr>
        <w:t>I</w:t>
      </w:r>
      <w:r w:rsidRPr="00141DB4">
        <w:rPr>
          <w:rFonts w:ascii="Times New Roman" w:hAnsi="Times New Roman"/>
          <w:lang w:val="pt-BR"/>
        </w:rPr>
        <w:t>mpedância eletroquímica (EIE) n</w:t>
      </w:r>
      <w:r w:rsidR="006035BA">
        <w:rPr>
          <w:rFonts w:ascii="Times New Roman" w:hAnsi="Times New Roman"/>
          <w:lang w:val="pt-BR"/>
        </w:rPr>
        <w:t>a</w:t>
      </w:r>
      <w:r w:rsidRPr="00141DB4">
        <w:rPr>
          <w:rFonts w:ascii="Times New Roman" w:hAnsi="Times New Roman"/>
          <w:lang w:val="pt-BR"/>
        </w:rPr>
        <w:t xml:space="preserve"> </w:t>
      </w:r>
      <w:r w:rsidR="006035BA">
        <w:rPr>
          <w:rFonts w:ascii="Times New Roman" w:hAnsi="Times New Roman"/>
          <w:lang w:val="pt-BR"/>
        </w:rPr>
        <w:t>pastilha</w:t>
      </w:r>
      <w:r w:rsidRPr="00141DB4">
        <w:rPr>
          <w:rFonts w:ascii="Times New Roman" w:hAnsi="Times New Roman"/>
          <w:lang w:val="pt-BR"/>
        </w:rPr>
        <w:t xml:space="preserve"> poliméric</w:t>
      </w:r>
      <w:r w:rsidR="006035BA">
        <w:rPr>
          <w:rFonts w:ascii="Times New Roman" w:hAnsi="Times New Roman"/>
          <w:lang w:val="pt-BR"/>
        </w:rPr>
        <w:t>a</w:t>
      </w:r>
      <w:r w:rsidRPr="00141DB4">
        <w:rPr>
          <w:rFonts w:ascii="Times New Roman" w:hAnsi="Times New Roman"/>
          <w:lang w:val="pt-BR"/>
        </w:rPr>
        <w:t xml:space="preserve"> foram feitas em uma célula de ouro, com amplitude de 10 mV e </w:t>
      </w:r>
      <w:r w:rsidR="00940A73" w:rsidRPr="00141DB4">
        <w:rPr>
          <w:rFonts w:ascii="Times New Roman" w:hAnsi="Times New Roman"/>
          <w:lang w:val="pt-BR"/>
        </w:rPr>
        <w:t xml:space="preserve">de 10 kHz a 10 mHz </w:t>
      </w:r>
      <w:r w:rsidRPr="00141DB4">
        <w:rPr>
          <w:rFonts w:ascii="Times New Roman" w:hAnsi="Times New Roman"/>
          <w:lang w:val="pt-BR"/>
        </w:rPr>
        <w:t>de frequência, com 10 pontos por década.</w:t>
      </w:r>
    </w:p>
    <w:p w14:paraId="0272E164" w14:textId="77777777" w:rsidR="00924570" w:rsidRDefault="00924570" w:rsidP="006035BA">
      <w:pPr>
        <w:pStyle w:val="TAMainText"/>
        <w:ind w:firstLine="0"/>
        <w:rPr>
          <w:rFonts w:ascii="Times New Roman" w:hAnsi="Times New Roman"/>
          <w:lang w:val="pt-BR"/>
        </w:rPr>
      </w:pPr>
    </w:p>
    <w:p w14:paraId="77DDCA3D" w14:textId="0B241629" w:rsidR="00141DB4" w:rsidRPr="00141DB4" w:rsidRDefault="00141DB4" w:rsidP="006035BA">
      <w:pPr>
        <w:pStyle w:val="TAMainText"/>
        <w:ind w:firstLine="0"/>
        <w:rPr>
          <w:rFonts w:ascii="Times New Roman" w:hAnsi="Times New Roman"/>
          <w:lang w:val="pt-BR"/>
        </w:rPr>
      </w:pPr>
      <w:r w:rsidRPr="006035BA">
        <w:rPr>
          <w:i/>
          <w:iCs/>
          <w:szCs w:val="24"/>
          <w:lang w:val="pt-BR"/>
        </w:rPr>
        <w:t>Síntese do eletrodo PPA/POMA</w:t>
      </w:r>
    </w:p>
    <w:p w14:paraId="2425691B" w14:textId="028021BF" w:rsidR="00453859" w:rsidRPr="00F114B7" w:rsidRDefault="00141DB4" w:rsidP="001E4039">
      <w:pPr>
        <w:pStyle w:val="TAMainText"/>
        <w:rPr>
          <w:rFonts w:ascii="Times New Roman" w:hAnsi="Times New Roman"/>
          <w:lang w:val="pt-BR"/>
        </w:rPr>
      </w:pPr>
      <w:r w:rsidRPr="00920D42">
        <w:rPr>
          <w:rFonts w:ascii="Times New Roman" w:hAnsi="Times New Roman"/>
          <w:lang w:val="pt-BR"/>
        </w:rPr>
        <w:t xml:space="preserve">Um dos polímeros sintetizados foi testado em conjunto com o polímero poli(o-metoxianilina) (POMA) como eletrodo de capacitor. O POMA foi sintetizado pela reação de oxidação do monômero </w:t>
      </w:r>
      <w:r w:rsidR="00436F9A">
        <w:rPr>
          <w:rFonts w:ascii="Times New Roman" w:hAnsi="Times New Roman"/>
          <w:lang w:val="pt-BR"/>
        </w:rPr>
        <w:t>(11).</w:t>
      </w:r>
      <w:r w:rsidRPr="00920D42">
        <w:rPr>
          <w:rFonts w:ascii="Times New Roman" w:hAnsi="Times New Roman"/>
          <w:lang w:val="pt-BR"/>
        </w:rPr>
        <w:t xml:space="preserve"> As soluções foram preparadas usando diferentes proporções de massa POMA/PPA e acetonitrila. Os polímeros foram solubilizados em acetonitrila e deixados em agitação por 2 horas a 80 °C, e então a mistura foi mantida por aproximadamente 30 minutos em ultrassom. A mistura foi então despejada em um tubo e centrifugada. Os eletrodos foram preparados pelo método de </w:t>
      </w:r>
      <w:r w:rsidRPr="00D85128">
        <w:rPr>
          <w:rFonts w:ascii="Times New Roman" w:hAnsi="Times New Roman"/>
          <w:i/>
          <w:iCs/>
          <w:lang w:val="pt-BR"/>
        </w:rPr>
        <w:t>casting</w:t>
      </w:r>
      <w:r w:rsidRPr="00920D42">
        <w:rPr>
          <w:rFonts w:ascii="Times New Roman" w:hAnsi="Times New Roman"/>
          <w:lang w:val="pt-BR"/>
        </w:rPr>
        <w:t>; 80 μL da solução POMA/PPA foram gotejados em uma placa de vidro de 1 cm</w:t>
      </w:r>
      <w:r w:rsidRPr="00920D42">
        <w:rPr>
          <w:rFonts w:ascii="Times New Roman" w:hAnsi="Times New Roman"/>
          <w:vertAlign w:val="superscript"/>
          <w:lang w:val="pt-BR"/>
        </w:rPr>
        <w:t>2</w:t>
      </w:r>
      <w:r w:rsidRPr="00920D42">
        <w:rPr>
          <w:rFonts w:ascii="Times New Roman" w:hAnsi="Times New Roman"/>
          <w:lang w:val="pt-BR"/>
        </w:rPr>
        <w:t xml:space="preserve"> coberta com óxido de índio </w:t>
      </w:r>
      <w:r w:rsidR="00F5006E" w:rsidRPr="00920D42">
        <w:rPr>
          <w:rFonts w:ascii="Times New Roman" w:hAnsi="Times New Roman"/>
          <w:lang w:val="pt-BR"/>
        </w:rPr>
        <w:t xml:space="preserve">dopado com estanho </w:t>
      </w:r>
      <w:r w:rsidRPr="00920D42">
        <w:rPr>
          <w:rFonts w:ascii="Times New Roman" w:hAnsi="Times New Roman"/>
          <w:lang w:val="pt-BR"/>
        </w:rPr>
        <w:t>(ITO). O substrato com o filme foi deixado secar em temperatura ambiente por 24 horas.</w:t>
      </w:r>
      <w:r w:rsidR="001E4039">
        <w:rPr>
          <w:rFonts w:ascii="Times New Roman" w:hAnsi="Times New Roman"/>
          <w:lang w:val="pt-BR"/>
        </w:rPr>
        <w:t xml:space="preserve"> </w:t>
      </w:r>
      <w:r w:rsidR="00F265B6" w:rsidRPr="00F265B6">
        <w:rPr>
          <w:rFonts w:ascii="Times New Roman" w:hAnsi="Times New Roman"/>
          <w:lang w:val="pt-BR"/>
        </w:rPr>
        <w:t xml:space="preserve">A caracterização foi realizada </w:t>
      </w:r>
      <w:r w:rsidR="00F265B6" w:rsidRPr="00F265B6">
        <w:rPr>
          <w:rFonts w:ascii="Times New Roman" w:hAnsi="Times New Roman"/>
          <w:lang w:val="pt-BR"/>
        </w:rPr>
        <w:lastRenderedPageBreak/>
        <w:t xml:space="preserve">através de curvas de voltametria cíclica (CV). O equipamento utilizado foi um </w:t>
      </w:r>
      <w:r w:rsidR="0066388D" w:rsidRPr="00F265B6">
        <w:rPr>
          <w:rFonts w:ascii="Times New Roman" w:hAnsi="Times New Roman"/>
          <w:lang w:val="pt-BR"/>
        </w:rPr>
        <w:t>potenciostato no módulo GPS. Os testes foram realizados na faixa de potencial de 0,2 V a 0,15 V com uma taxa de varredura de 10 mVs</w:t>
      </w:r>
      <w:r w:rsidR="0066388D" w:rsidRPr="00F265B6">
        <w:rPr>
          <w:rFonts w:ascii="Times New Roman" w:hAnsi="Times New Roman"/>
          <w:vertAlign w:val="superscript"/>
          <w:lang w:val="pt-BR"/>
        </w:rPr>
        <w:t>-1</w:t>
      </w:r>
      <w:r w:rsidR="0066388D" w:rsidRPr="00F265B6">
        <w:rPr>
          <w:rFonts w:ascii="Times New Roman" w:hAnsi="Times New Roman"/>
          <w:lang w:val="pt-BR"/>
        </w:rPr>
        <w:t>, sob atmosfera inerte à temperatura ambiente.</w:t>
      </w:r>
    </w:p>
    <w:p w14:paraId="5285A4A1" w14:textId="5518669D" w:rsidR="00AF5708" w:rsidRDefault="00AF5708" w:rsidP="00AF5708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47DD4AEA" w14:textId="087051C1" w:rsidR="0006550A" w:rsidRDefault="002D2DD9" w:rsidP="0006550A">
      <w:pPr>
        <w:pStyle w:val="TAMainText"/>
        <w:rPr>
          <w:rFonts w:ascii="Times New Roman" w:hAnsi="Times New Roman"/>
          <w:lang w:val="pt-BR"/>
        </w:rPr>
      </w:pPr>
      <w:r>
        <w:rPr>
          <w:noProof/>
        </w:rPr>
        <w:drawing>
          <wp:anchor distT="0" distB="0" distL="114300" distR="114300" simplePos="0" relativeHeight="251661311" behindDoc="0" locked="0" layoutInCell="1" allowOverlap="1" wp14:anchorId="0C5490C6" wp14:editId="5E94D5B0">
            <wp:simplePos x="0" y="0"/>
            <wp:positionH relativeFrom="column">
              <wp:posOffset>85772</wp:posOffset>
            </wp:positionH>
            <wp:positionV relativeFrom="paragraph">
              <wp:posOffset>1134745</wp:posOffset>
            </wp:positionV>
            <wp:extent cx="2817495" cy="857885"/>
            <wp:effectExtent l="0" t="0" r="1905" b="5715"/>
            <wp:wrapThrough wrapText="bothSides">
              <wp:wrapPolygon edited="0">
                <wp:start x="13923" y="0"/>
                <wp:lineTo x="2142" y="640"/>
                <wp:lineTo x="779" y="959"/>
                <wp:lineTo x="779" y="5116"/>
                <wp:lineTo x="0" y="8634"/>
                <wp:lineTo x="0" y="14709"/>
                <wp:lineTo x="6037" y="15349"/>
                <wp:lineTo x="6037" y="16628"/>
                <wp:lineTo x="7497" y="20465"/>
                <wp:lineTo x="8178" y="21424"/>
                <wp:lineTo x="8568" y="21424"/>
                <wp:lineTo x="9055" y="21424"/>
                <wp:lineTo x="18012" y="20465"/>
                <wp:lineTo x="21420" y="19186"/>
                <wp:lineTo x="21128" y="15349"/>
                <wp:lineTo x="21517" y="11831"/>
                <wp:lineTo x="21517" y="11192"/>
                <wp:lineTo x="21128" y="10232"/>
                <wp:lineTo x="21128" y="0"/>
                <wp:lineTo x="13923" y="0"/>
              </wp:wrapPolygon>
            </wp:wrapThrough>
            <wp:docPr id="4838023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0237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50A" w:rsidRPr="0006550A">
        <w:rPr>
          <w:rFonts w:ascii="Times New Roman" w:hAnsi="Times New Roman"/>
          <w:lang w:val="pt-BR"/>
        </w:rPr>
        <w:t>Foram realizados testes catalíticos de polimerização com catalisador de ródio-nbd em meio homogêneo e heterogêneo. O material híbrido utilizado nas reações heterogêneas foi o MS, que contém parte do monômero fenilacetileno. Para todas as reações foi utilizado tolueno como solvente e KN(Si(CH</w:t>
      </w:r>
      <w:r w:rsidR="0006550A" w:rsidRPr="00EA6476">
        <w:rPr>
          <w:rFonts w:ascii="Times New Roman" w:hAnsi="Times New Roman"/>
          <w:vertAlign w:val="subscript"/>
          <w:lang w:val="pt-BR"/>
        </w:rPr>
        <w:t>3</w:t>
      </w:r>
      <w:r w:rsidR="0006550A" w:rsidRPr="0006550A">
        <w:rPr>
          <w:rFonts w:ascii="Times New Roman" w:hAnsi="Times New Roman"/>
          <w:lang w:val="pt-BR"/>
        </w:rPr>
        <w:t>)</w:t>
      </w:r>
      <w:r w:rsidR="0006550A" w:rsidRPr="00EA6476">
        <w:rPr>
          <w:rFonts w:ascii="Times New Roman" w:hAnsi="Times New Roman"/>
          <w:vertAlign w:val="subscript"/>
          <w:lang w:val="pt-BR"/>
        </w:rPr>
        <w:t>3</w:t>
      </w:r>
      <w:r w:rsidR="0006550A" w:rsidRPr="0006550A">
        <w:rPr>
          <w:rFonts w:ascii="Times New Roman" w:hAnsi="Times New Roman"/>
          <w:lang w:val="pt-BR"/>
        </w:rPr>
        <w:t>)</w:t>
      </w:r>
      <w:r w:rsidR="0006550A" w:rsidRPr="00EA6476">
        <w:rPr>
          <w:rFonts w:ascii="Times New Roman" w:hAnsi="Times New Roman"/>
          <w:vertAlign w:val="subscript"/>
          <w:lang w:val="pt-BR"/>
        </w:rPr>
        <w:t>2</w:t>
      </w:r>
      <w:r w:rsidR="0006550A" w:rsidRPr="0006550A">
        <w:rPr>
          <w:rFonts w:ascii="Times New Roman" w:hAnsi="Times New Roman"/>
          <w:lang w:val="pt-BR"/>
        </w:rPr>
        <w:t xml:space="preserve"> como cocatalisador, como mostra a reação representada</w:t>
      </w:r>
      <w:r w:rsidR="00EA6476">
        <w:rPr>
          <w:rFonts w:ascii="Times New Roman" w:hAnsi="Times New Roman"/>
          <w:lang w:val="pt-BR"/>
        </w:rPr>
        <w:t xml:space="preserve"> na Figura 2.</w:t>
      </w:r>
    </w:p>
    <w:p w14:paraId="280C4872" w14:textId="77777777" w:rsidR="00CA7A3F" w:rsidRDefault="00CA7A3F" w:rsidP="00CA7A3F">
      <w:pPr>
        <w:pStyle w:val="Legenda"/>
        <w:rPr>
          <w:rFonts w:ascii="Times New Roman" w:hAnsi="Times New Roman" w:cs="Times New Roman"/>
          <w:color w:val="auto"/>
          <w:sz w:val="18"/>
          <w:szCs w:val="18"/>
        </w:rPr>
      </w:pPr>
    </w:p>
    <w:p w14:paraId="1FD4E9E9" w14:textId="087D0753" w:rsidR="00CA7A3F" w:rsidRPr="00CA7A3F" w:rsidRDefault="00EC5E6A" w:rsidP="00CA7A3F">
      <w:pPr>
        <w:pStyle w:val="Legenda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CA7A3F">
        <w:rPr>
          <w:rFonts w:ascii="Times New Roman" w:hAnsi="Times New Roman" w:cs="Times New Roman"/>
          <w:color w:val="auto"/>
          <w:sz w:val="18"/>
          <w:szCs w:val="18"/>
        </w:rPr>
        <w:t>Figura 2.</w:t>
      </w:r>
      <w:r w:rsidR="00CA7A3F" w:rsidRPr="00CA7A3F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CA7A3F" w:rsidRPr="00CA7A3F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Obtenção do polifenilacetileno catalisado </w:t>
      </w:r>
      <w:r w:rsidR="00CA7A3F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por</w:t>
      </w:r>
      <w:r w:rsidR="00CA7A3F" w:rsidRPr="00CA7A3F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Rh-nbd.</w:t>
      </w:r>
    </w:p>
    <w:p w14:paraId="3C0B40B9" w14:textId="7C0EE75A" w:rsidR="002D2DD9" w:rsidRDefault="001509BE" w:rsidP="001509BE">
      <w:pPr>
        <w:pStyle w:val="TAMainText"/>
        <w:rPr>
          <w:rFonts w:ascii="Times New Roman" w:hAnsi="Times New Roman"/>
          <w:lang w:val="pt-BR"/>
        </w:rPr>
      </w:pPr>
      <w:r w:rsidRPr="001509BE">
        <w:rPr>
          <w:rFonts w:ascii="Times New Roman" w:hAnsi="Times New Roman"/>
          <w:lang w:val="pt-BR"/>
        </w:rPr>
        <w:t>Os produtos obtidos nas reações homogêneas apresentaram uma cor laranja-amarelada. Observ</w:t>
      </w:r>
      <w:r w:rsidR="00FC23B5">
        <w:rPr>
          <w:rFonts w:ascii="Times New Roman" w:hAnsi="Times New Roman"/>
          <w:lang w:val="pt-BR"/>
        </w:rPr>
        <w:t>ou-se</w:t>
      </w:r>
      <w:r w:rsidRPr="001509BE">
        <w:rPr>
          <w:rFonts w:ascii="Times New Roman" w:hAnsi="Times New Roman"/>
          <w:lang w:val="pt-BR"/>
        </w:rPr>
        <w:t xml:space="preserve"> também que a quantidade de cocatalisador influenci</w:t>
      </w:r>
      <w:r w:rsidR="00FC23B5">
        <w:rPr>
          <w:rFonts w:ascii="Times New Roman" w:hAnsi="Times New Roman"/>
          <w:lang w:val="pt-BR"/>
        </w:rPr>
        <w:t>ou</w:t>
      </w:r>
      <w:r w:rsidRPr="001509BE">
        <w:rPr>
          <w:rFonts w:ascii="Times New Roman" w:hAnsi="Times New Roman"/>
          <w:lang w:val="pt-BR"/>
        </w:rPr>
        <w:t xml:space="preserve"> na cor do polímero obtido nas reações homogêneas</w:t>
      </w:r>
      <w:r w:rsidR="00D722E6">
        <w:rPr>
          <w:rFonts w:ascii="Times New Roman" w:hAnsi="Times New Roman"/>
          <w:lang w:val="pt-BR"/>
        </w:rPr>
        <w:t xml:space="preserve">, com uma maior quantidade de cocatalisador o </w:t>
      </w:r>
      <w:r w:rsidR="003F3C58">
        <w:rPr>
          <w:rFonts w:ascii="Times New Roman" w:hAnsi="Times New Roman"/>
          <w:lang w:val="pt-BR"/>
        </w:rPr>
        <w:t>polímero</w:t>
      </w:r>
      <w:r w:rsidR="00D722E6">
        <w:rPr>
          <w:rFonts w:ascii="Times New Roman" w:hAnsi="Times New Roman"/>
          <w:lang w:val="pt-BR"/>
        </w:rPr>
        <w:t xml:space="preserve"> passou a ter uma cor mais escura</w:t>
      </w:r>
      <w:r w:rsidRPr="001509BE">
        <w:rPr>
          <w:rFonts w:ascii="Times New Roman" w:hAnsi="Times New Roman"/>
          <w:lang w:val="pt-BR"/>
        </w:rPr>
        <w:t>. Já na reação heterogênea, o polímero apresent</w:t>
      </w:r>
      <w:r w:rsidR="000B0EBE">
        <w:rPr>
          <w:rFonts w:ascii="Times New Roman" w:hAnsi="Times New Roman"/>
          <w:lang w:val="pt-BR"/>
        </w:rPr>
        <w:t>ou</w:t>
      </w:r>
      <w:r w:rsidRPr="001509BE">
        <w:rPr>
          <w:rFonts w:ascii="Times New Roman" w:hAnsi="Times New Roman"/>
          <w:lang w:val="pt-BR"/>
        </w:rPr>
        <w:t xml:space="preserve"> uma cor laranja</w:t>
      </w:r>
      <w:r w:rsidR="000B0EBE">
        <w:rPr>
          <w:rFonts w:ascii="Times New Roman" w:hAnsi="Times New Roman"/>
          <w:lang w:val="pt-BR"/>
        </w:rPr>
        <w:t>-avermelhada</w:t>
      </w:r>
      <w:r w:rsidRPr="001509BE">
        <w:rPr>
          <w:rFonts w:ascii="Times New Roman" w:hAnsi="Times New Roman"/>
          <w:lang w:val="pt-BR"/>
        </w:rPr>
        <w:t xml:space="preserve">, que pode estar associada à mistura do catalisador de </w:t>
      </w:r>
      <w:r w:rsidR="003F3C58">
        <w:rPr>
          <w:rFonts w:ascii="Times New Roman" w:hAnsi="Times New Roman"/>
          <w:lang w:val="pt-BR"/>
        </w:rPr>
        <w:t>Rh</w:t>
      </w:r>
      <w:r w:rsidRPr="001509BE">
        <w:rPr>
          <w:rFonts w:ascii="Times New Roman" w:hAnsi="Times New Roman"/>
          <w:lang w:val="pt-BR"/>
        </w:rPr>
        <w:t xml:space="preserve"> com o MS.</w:t>
      </w:r>
    </w:p>
    <w:p w14:paraId="7C286CBD" w14:textId="089B3BB6" w:rsidR="00310FA7" w:rsidRPr="00310FA7" w:rsidRDefault="00310FA7" w:rsidP="00310FA7">
      <w:pPr>
        <w:pStyle w:val="TAMainText"/>
        <w:rPr>
          <w:rFonts w:ascii="Times New Roman" w:hAnsi="Times New Roman"/>
          <w:lang w:val="pt-BR"/>
        </w:rPr>
      </w:pPr>
      <w:r w:rsidRPr="00310FA7">
        <w:rPr>
          <w:rFonts w:ascii="Times New Roman" w:hAnsi="Times New Roman"/>
          <w:lang w:val="pt-BR"/>
        </w:rPr>
        <w:t>As condições reacionais fixadas foram 0,5 mol</w:t>
      </w:r>
      <w:r w:rsidR="003F3C58">
        <w:rPr>
          <w:rFonts w:ascii="Times New Roman" w:hAnsi="Times New Roman"/>
          <w:lang w:val="pt-BR"/>
        </w:rPr>
        <w:t xml:space="preserve"> </w:t>
      </w:r>
      <w:r w:rsidRPr="00310FA7">
        <w:rPr>
          <w:rFonts w:ascii="Times New Roman" w:hAnsi="Times New Roman"/>
          <w:lang w:val="pt-BR"/>
        </w:rPr>
        <w:t>L</w:t>
      </w:r>
      <w:r w:rsidRPr="00310FA7">
        <w:rPr>
          <w:rFonts w:ascii="Times New Roman" w:hAnsi="Times New Roman"/>
          <w:vertAlign w:val="superscript"/>
          <w:lang w:val="pt-BR"/>
        </w:rPr>
        <w:t>-1</w:t>
      </w:r>
      <w:r w:rsidRPr="00310FA7">
        <w:rPr>
          <w:rFonts w:ascii="Times New Roman" w:hAnsi="Times New Roman"/>
          <w:lang w:val="pt-BR"/>
        </w:rPr>
        <w:t xml:space="preserve"> de fenilacetileno e tolueno como solvente. A razão cocat/Rh foi variada conforme a Tabela </w:t>
      </w:r>
      <w:r w:rsidR="003F3C58">
        <w:rPr>
          <w:rFonts w:ascii="Times New Roman" w:hAnsi="Times New Roman"/>
          <w:lang w:val="pt-BR"/>
        </w:rPr>
        <w:t>1</w:t>
      </w:r>
      <w:r w:rsidRPr="00310FA7">
        <w:rPr>
          <w:rFonts w:ascii="Times New Roman" w:hAnsi="Times New Roman"/>
          <w:lang w:val="pt-BR"/>
        </w:rPr>
        <w:t xml:space="preserve">, bem como o número de mols de ródio e de cocatalisador. Foi testado também o tempo de reação. Todas as reações foram conduzidas a temperatura ambiente e a pressão atmosférica. Foram realizadas reações em meio homogêneo com o </w:t>
      </w:r>
      <w:r w:rsidR="00F5006E">
        <w:rPr>
          <w:rFonts w:ascii="Times New Roman" w:hAnsi="Times New Roman"/>
          <w:lang w:val="pt-BR"/>
        </w:rPr>
        <w:t>complexo</w:t>
      </w:r>
      <w:r w:rsidR="00F5006E" w:rsidRPr="00310FA7">
        <w:rPr>
          <w:rFonts w:ascii="Times New Roman" w:hAnsi="Times New Roman"/>
          <w:lang w:val="pt-BR"/>
        </w:rPr>
        <w:t xml:space="preserve"> </w:t>
      </w:r>
      <w:r w:rsidRPr="00310FA7">
        <w:rPr>
          <w:rFonts w:ascii="Times New Roman" w:hAnsi="Times New Roman"/>
          <w:lang w:val="pt-BR"/>
        </w:rPr>
        <w:t>Rh e reações em meio heterogêneo com o silil alquino ancorado em MCM-41(40A) e com o complexo Rh.</w:t>
      </w:r>
    </w:p>
    <w:p w14:paraId="44308C08" w14:textId="6D6850F6" w:rsidR="004200F2" w:rsidRDefault="00310FA7" w:rsidP="0066388D">
      <w:pPr>
        <w:pStyle w:val="TAMainText"/>
        <w:rPr>
          <w:rFonts w:ascii="Times New Roman" w:hAnsi="Times New Roman"/>
          <w:lang w:val="pt-BR"/>
        </w:rPr>
      </w:pPr>
      <w:r w:rsidRPr="00310FA7">
        <w:rPr>
          <w:rFonts w:ascii="Times New Roman" w:hAnsi="Times New Roman"/>
          <w:lang w:val="pt-BR"/>
        </w:rPr>
        <w:t>Os produtos obtidos nas reações de polimerização foram analisados por cromatografia por permeação em gel (GPC) a fim de avaliar a influência das reações homogêneas e heterogêneas nas massas molares dos polímeros obtidos, bem como a dispersidade.</w:t>
      </w:r>
    </w:p>
    <w:p w14:paraId="2B30637F" w14:textId="77777777" w:rsidR="00F5006E" w:rsidRDefault="00F5006E" w:rsidP="004756F4">
      <w:pPr>
        <w:pStyle w:val="Legenda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bookmarkStart w:id="2" w:name="_Ref522280350"/>
      <w:bookmarkStart w:id="3" w:name="_Toc10664007"/>
    </w:p>
    <w:p w14:paraId="79E7C703" w14:textId="77777777" w:rsidR="00F5006E" w:rsidRDefault="00F5006E" w:rsidP="004756F4">
      <w:pPr>
        <w:pStyle w:val="Legenda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560F844C" w14:textId="77777777" w:rsidR="00F5006E" w:rsidRDefault="00F5006E" w:rsidP="004756F4">
      <w:pPr>
        <w:pStyle w:val="Legenda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5FD6C2BA" w14:textId="77777777" w:rsidR="00F5006E" w:rsidRDefault="00F5006E" w:rsidP="004756F4">
      <w:pPr>
        <w:pStyle w:val="Legenda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44720B01" w14:textId="77777777" w:rsidR="00F5006E" w:rsidRDefault="00F5006E" w:rsidP="004756F4">
      <w:pPr>
        <w:pStyle w:val="Legenda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2F17D336" w14:textId="77777777" w:rsidR="00F5006E" w:rsidRDefault="00F5006E" w:rsidP="004756F4">
      <w:pPr>
        <w:pStyle w:val="Legenda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54E19894" w14:textId="77777777" w:rsidR="00F5006E" w:rsidRDefault="00F5006E" w:rsidP="004756F4">
      <w:pPr>
        <w:pStyle w:val="Legenda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78EC9BDA" w14:textId="43274728" w:rsidR="002D2DD9" w:rsidRPr="004756F4" w:rsidRDefault="004756F4" w:rsidP="004756F4">
      <w:pPr>
        <w:pStyle w:val="Legenda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756F4">
        <w:rPr>
          <w:rFonts w:ascii="Times New Roman" w:hAnsi="Times New Roman" w:cs="Times New Roman"/>
          <w:color w:val="auto"/>
          <w:sz w:val="18"/>
          <w:szCs w:val="18"/>
        </w:rPr>
        <w:t xml:space="preserve">Tabela </w:t>
      </w:r>
      <w:bookmarkEnd w:id="2"/>
      <w:r w:rsidR="00AD30E1">
        <w:rPr>
          <w:rFonts w:ascii="Times New Roman" w:hAnsi="Times New Roman" w:cs="Times New Roman"/>
          <w:noProof/>
          <w:color w:val="auto"/>
          <w:sz w:val="18"/>
          <w:szCs w:val="18"/>
        </w:rPr>
        <w:t>1</w:t>
      </w:r>
      <w:r w:rsidRPr="004756F4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r w:rsidRPr="004756F4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Condições das reações de polimerização e resultados da análise de GPC, com catalisador de Rh-nbd.</w:t>
      </w:r>
      <w:bookmarkEnd w:id="3"/>
    </w:p>
    <w:p w14:paraId="49415103" w14:textId="71277627" w:rsidR="00B27FFC" w:rsidRDefault="000A3610" w:rsidP="00260830">
      <w:pPr>
        <w:pStyle w:val="TAMainText"/>
        <w:spacing w:line="240" w:lineRule="auto"/>
        <w:ind w:firstLine="0"/>
        <w:jc w:val="center"/>
        <w:rPr>
          <w:rFonts w:ascii="Times New Roman" w:hAnsi="Times New Roman"/>
          <w:lang w:val="pt-BR"/>
        </w:rPr>
      </w:pPr>
      <w:r w:rsidRPr="002276B6">
        <w:rPr>
          <w:noProof/>
        </w:rPr>
        <w:drawing>
          <wp:inline distT="0" distB="0" distL="0" distR="0" wp14:anchorId="11ECB074" wp14:editId="6E0F41EE">
            <wp:extent cx="3027680" cy="1528101"/>
            <wp:effectExtent l="0" t="0" r="0" b="0"/>
            <wp:docPr id="14387" name="Imagem 14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90"/>
                    <a:stretch/>
                  </pic:blipFill>
                  <pic:spPr bwMode="auto">
                    <a:xfrm>
                      <a:off x="0" y="0"/>
                      <a:ext cx="3027680" cy="152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4996B" w14:textId="07D3A012" w:rsidR="00856B27" w:rsidRPr="00856B27" w:rsidRDefault="00856B27" w:rsidP="005A2E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6B27">
        <w:rPr>
          <w:rFonts w:ascii="Times New Roman" w:hAnsi="Times New Roman" w:cs="Times New Roman"/>
          <w:sz w:val="18"/>
          <w:szCs w:val="18"/>
        </w:rPr>
        <w:t xml:space="preserve">Condições </w:t>
      </w:r>
      <w:r w:rsidR="00ED3C6D">
        <w:rPr>
          <w:rFonts w:ascii="Times New Roman" w:hAnsi="Times New Roman" w:cs="Times New Roman"/>
          <w:sz w:val="18"/>
          <w:szCs w:val="18"/>
        </w:rPr>
        <w:t>reacionais</w:t>
      </w:r>
      <w:r w:rsidRPr="00856B27">
        <w:rPr>
          <w:rFonts w:ascii="Times New Roman" w:hAnsi="Times New Roman" w:cs="Times New Roman"/>
          <w:sz w:val="18"/>
          <w:szCs w:val="18"/>
        </w:rPr>
        <w:t>: 20 μmol de Rh</w:t>
      </w:r>
      <w:r w:rsidRPr="00856B27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="00ED3C6D">
        <w:rPr>
          <w:rFonts w:ascii="Times New Roman" w:hAnsi="Times New Roman" w:cs="Times New Roman"/>
          <w:sz w:val="18"/>
          <w:szCs w:val="18"/>
        </w:rPr>
        <w:t>(</w:t>
      </w:r>
      <w:r w:rsidRPr="00856B27">
        <w:rPr>
          <w:rFonts w:ascii="Times New Roman" w:hAnsi="Times New Roman" w:cs="Times New Roman"/>
          <w:sz w:val="18"/>
          <w:szCs w:val="18"/>
        </w:rPr>
        <w:t>homo e hetero</w:t>
      </w:r>
      <w:r w:rsidR="00ED3C6D">
        <w:rPr>
          <w:rFonts w:ascii="Times New Roman" w:hAnsi="Times New Roman" w:cs="Times New Roman"/>
          <w:sz w:val="18"/>
          <w:szCs w:val="18"/>
        </w:rPr>
        <w:t>)</w:t>
      </w:r>
      <w:r w:rsidRPr="00856B27">
        <w:rPr>
          <w:rFonts w:ascii="Times New Roman" w:hAnsi="Times New Roman" w:cs="Times New Roman"/>
          <w:sz w:val="18"/>
          <w:szCs w:val="18"/>
        </w:rPr>
        <w:t xml:space="preserve">, solvente = tolueno (10 mL), cocatalisador = </w:t>
      </w:r>
      <w:r w:rsidRPr="00856B27">
        <w:rPr>
          <w:rFonts w:ascii="Times New Roman" w:eastAsiaTheme="majorEastAsia" w:hAnsi="Times New Roman" w:cs="Times New Roman"/>
          <w:bCs/>
          <w:sz w:val="18"/>
          <w:szCs w:val="18"/>
        </w:rPr>
        <w:t>KN(Si(CH</w:t>
      </w:r>
      <w:r w:rsidRPr="00856B27">
        <w:rPr>
          <w:rFonts w:ascii="Times New Roman" w:eastAsiaTheme="majorEastAsia" w:hAnsi="Times New Roman" w:cs="Times New Roman"/>
          <w:bCs/>
          <w:sz w:val="18"/>
          <w:szCs w:val="18"/>
          <w:vertAlign w:val="subscript"/>
        </w:rPr>
        <w:t>3</w:t>
      </w:r>
      <w:r w:rsidRPr="00856B27">
        <w:rPr>
          <w:rFonts w:ascii="Times New Roman" w:eastAsiaTheme="majorEastAsia" w:hAnsi="Times New Roman" w:cs="Times New Roman"/>
          <w:bCs/>
          <w:sz w:val="18"/>
          <w:szCs w:val="18"/>
        </w:rPr>
        <w:t>)</w:t>
      </w:r>
      <w:r w:rsidRPr="00856B27">
        <w:rPr>
          <w:rFonts w:ascii="Times New Roman" w:eastAsiaTheme="majorEastAsia" w:hAnsi="Times New Roman" w:cs="Times New Roman"/>
          <w:bCs/>
          <w:sz w:val="18"/>
          <w:szCs w:val="18"/>
          <w:vertAlign w:val="subscript"/>
        </w:rPr>
        <w:t>3</w:t>
      </w:r>
      <w:r w:rsidRPr="00856B27">
        <w:rPr>
          <w:rFonts w:ascii="Times New Roman" w:eastAsiaTheme="majorEastAsia" w:hAnsi="Times New Roman" w:cs="Times New Roman"/>
          <w:bCs/>
          <w:sz w:val="18"/>
          <w:szCs w:val="18"/>
        </w:rPr>
        <w:t>)</w:t>
      </w:r>
      <w:r w:rsidRPr="00856B27">
        <w:rPr>
          <w:rFonts w:ascii="Times New Roman" w:eastAsiaTheme="majorEastAsia" w:hAnsi="Times New Roman" w:cs="Times New Roman"/>
          <w:bCs/>
          <w:sz w:val="18"/>
          <w:szCs w:val="18"/>
          <w:vertAlign w:val="subscript"/>
        </w:rPr>
        <w:t>2</w:t>
      </w:r>
      <w:r w:rsidRPr="00856B27">
        <w:rPr>
          <w:rFonts w:ascii="Times New Roman" w:hAnsi="Times New Roman" w:cs="Times New Roman"/>
          <w:sz w:val="18"/>
          <w:szCs w:val="18"/>
        </w:rPr>
        <w:t>, monômero = fenilacetileno (5 mmol), T =25 ºC, atmosfera inerte.</w:t>
      </w:r>
    </w:p>
    <w:p w14:paraId="7588C057" w14:textId="22BCB55B" w:rsidR="00D0307E" w:rsidRPr="00D0307E" w:rsidRDefault="00C74169" w:rsidP="00CC0AD1">
      <w:pPr>
        <w:pStyle w:val="TAMainText"/>
        <w:ind w:firstLine="187"/>
        <w:rPr>
          <w:rFonts w:ascii="Times New Roman" w:hAnsi="Times New Roman"/>
          <w:lang w:val="pt-BR"/>
        </w:rPr>
      </w:pPr>
      <w:r w:rsidRPr="00C74169">
        <w:rPr>
          <w:rFonts w:ascii="Times New Roman" w:hAnsi="Times New Roman"/>
          <w:lang w:val="pt-BR"/>
        </w:rPr>
        <w:t xml:space="preserve">As massas molares médias dos polímeros obtidos variaram entre 12900 </w:t>
      </w:r>
      <w:r w:rsidR="00F5006E" w:rsidRPr="00C74169">
        <w:rPr>
          <w:rFonts w:ascii="Times New Roman" w:hAnsi="Times New Roman"/>
          <w:lang w:val="pt-BR"/>
        </w:rPr>
        <w:t>e</w:t>
      </w:r>
      <w:r w:rsidRPr="00C74169">
        <w:rPr>
          <w:rFonts w:ascii="Times New Roman" w:hAnsi="Times New Roman"/>
          <w:lang w:val="pt-BR"/>
        </w:rPr>
        <w:t xml:space="preserve"> 22600 Da (Tabela </w:t>
      </w:r>
      <w:r w:rsidR="00AD30E1">
        <w:rPr>
          <w:rFonts w:ascii="Times New Roman" w:hAnsi="Times New Roman"/>
          <w:lang w:val="pt-BR"/>
        </w:rPr>
        <w:t>1</w:t>
      </w:r>
      <w:r w:rsidR="00314410">
        <w:rPr>
          <w:rFonts w:ascii="Times New Roman" w:hAnsi="Times New Roman"/>
          <w:lang w:val="pt-BR"/>
        </w:rPr>
        <w:t>)</w:t>
      </w:r>
      <w:r w:rsidRPr="00C74169">
        <w:rPr>
          <w:rFonts w:ascii="Times New Roman" w:hAnsi="Times New Roman"/>
          <w:lang w:val="pt-BR"/>
        </w:rPr>
        <w:t>. Isso já era</w:t>
      </w:r>
      <w:r w:rsidR="00D0307E">
        <w:rPr>
          <w:rFonts w:ascii="Times New Roman" w:hAnsi="Times New Roman"/>
          <w:lang w:val="pt-BR"/>
        </w:rPr>
        <w:t xml:space="preserve"> </w:t>
      </w:r>
      <w:r w:rsidR="00D0307E" w:rsidRPr="00D0307E">
        <w:rPr>
          <w:rFonts w:ascii="Times New Roman" w:hAnsi="Times New Roman"/>
          <w:lang w:val="pt-BR"/>
        </w:rPr>
        <w:t>esperado, pois o catalisador Rh-nbd foi largamente utilizado e estudado em reações de polimerização de fenilacetileno substituídos</w:t>
      </w:r>
      <w:r w:rsidR="00E512BB">
        <w:rPr>
          <w:rFonts w:ascii="Times New Roman" w:hAnsi="Times New Roman"/>
          <w:lang w:val="pt-BR"/>
        </w:rPr>
        <w:t xml:space="preserve"> (12,13).</w:t>
      </w:r>
      <w:r w:rsidR="00D0307E" w:rsidRPr="00D0307E">
        <w:rPr>
          <w:rFonts w:ascii="Times New Roman" w:hAnsi="Times New Roman"/>
          <w:lang w:val="pt-BR"/>
        </w:rPr>
        <w:t xml:space="preserve"> Quando comparamos resultados de dispersidade dos polímeros obtidos, observamos uma grande variação dos tamanhos de cadeias em cada meio reacional, evidenciando que o catalisador de ródio, em conjunto com o catalisador KN(Si(CH</w:t>
      </w:r>
      <w:r w:rsidR="00D0307E" w:rsidRPr="00AD30E1">
        <w:rPr>
          <w:rFonts w:ascii="Times New Roman" w:hAnsi="Times New Roman"/>
          <w:vertAlign w:val="subscript"/>
          <w:lang w:val="pt-BR"/>
        </w:rPr>
        <w:t>3</w:t>
      </w:r>
      <w:r w:rsidR="00D0307E" w:rsidRPr="00D0307E">
        <w:rPr>
          <w:rFonts w:ascii="Times New Roman" w:hAnsi="Times New Roman"/>
          <w:lang w:val="pt-BR"/>
        </w:rPr>
        <w:t>)</w:t>
      </w:r>
      <w:r w:rsidR="00D0307E" w:rsidRPr="00AD30E1">
        <w:rPr>
          <w:rFonts w:ascii="Times New Roman" w:hAnsi="Times New Roman"/>
          <w:vertAlign w:val="subscript"/>
          <w:lang w:val="pt-BR"/>
        </w:rPr>
        <w:t>3</w:t>
      </w:r>
      <w:r w:rsidR="00D0307E" w:rsidRPr="00D0307E">
        <w:rPr>
          <w:rFonts w:ascii="Times New Roman" w:hAnsi="Times New Roman"/>
          <w:lang w:val="pt-BR"/>
        </w:rPr>
        <w:t>)</w:t>
      </w:r>
      <w:r w:rsidR="00D0307E" w:rsidRPr="00AD30E1">
        <w:rPr>
          <w:rFonts w:ascii="Times New Roman" w:hAnsi="Times New Roman"/>
          <w:vertAlign w:val="subscript"/>
          <w:lang w:val="pt-BR"/>
        </w:rPr>
        <w:t>2</w:t>
      </w:r>
      <w:r w:rsidR="00D0307E" w:rsidRPr="00D0307E">
        <w:rPr>
          <w:rFonts w:ascii="Times New Roman" w:hAnsi="Times New Roman"/>
          <w:lang w:val="pt-BR"/>
        </w:rPr>
        <w:t>, não é suficientemente seletivo em uma distribuição de cadeias mais uniformes.</w:t>
      </w:r>
      <w:r w:rsidR="00D0307E" w:rsidRPr="00D0307E">
        <w:rPr>
          <w:lang w:val="pt-BR"/>
        </w:rPr>
        <w:t xml:space="preserve"> </w:t>
      </w:r>
      <w:r w:rsidR="00D0307E" w:rsidRPr="00D0307E">
        <w:rPr>
          <w:rFonts w:ascii="Times New Roman" w:hAnsi="Times New Roman"/>
          <w:lang w:val="pt-BR"/>
        </w:rPr>
        <w:t xml:space="preserve">O polímero de maior massa molar média e maior taxa de conversão foi obtido nas condições reacionais da entrada 6 da Tabela </w:t>
      </w:r>
      <w:r w:rsidR="00AD30E1">
        <w:rPr>
          <w:rFonts w:ascii="Times New Roman" w:hAnsi="Times New Roman"/>
          <w:lang w:val="pt-BR"/>
        </w:rPr>
        <w:t>1</w:t>
      </w:r>
      <w:r w:rsidR="00D0307E" w:rsidRPr="00D0307E">
        <w:rPr>
          <w:rFonts w:ascii="Times New Roman" w:hAnsi="Times New Roman"/>
          <w:lang w:val="pt-BR"/>
        </w:rPr>
        <w:t>, onde o material mesoporoso contribuiu não só para a alta atividade do sistema, com conversão de 100%, como também para a seletividade de obtenção de cadeias poliméricas mais longas.</w:t>
      </w:r>
      <w:r w:rsidR="00CC0AD1">
        <w:rPr>
          <w:rFonts w:ascii="Times New Roman" w:hAnsi="Times New Roman"/>
          <w:lang w:val="pt-BR"/>
        </w:rPr>
        <w:t xml:space="preserve"> </w:t>
      </w:r>
      <w:r w:rsidR="00D0307E" w:rsidRPr="00D0307E">
        <w:rPr>
          <w:rFonts w:ascii="Times New Roman" w:hAnsi="Times New Roman"/>
          <w:lang w:val="pt-BR"/>
        </w:rPr>
        <w:t xml:space="preserve">A Figura </w:t>
      </w:r>
      <w:r w:rsidR="00226372">
        <w:rPr>
          <w:rFonts w:ascii="Times New Roman" w:hAnsi="Times New Roman"/>
          <w:lang w:val="pt-BR"/>
        </w:rPr>
        <w:t>3</w:t>
      </w:r>
      <w:r w:rsidR="00D0307E" w:rsidRPr="00D0307E">
        <w:rPr>
          <w:rFonts w:ascii="Times New Roman" w:hAnsi="Times New Roman"/>
          <w:lang w:val="pt-BR"/>
        </w:rPr>
        <w:t xml:space="preserve"> mostra uma proposta do mecanismo de como o </w:t>
      </w:r>
      <w:r w:rsidR="0013789A">
        <w:rPr>
          <w:rFonts w:ascii="Times New Roman" w:hAnsi="Times New Roman"/>
          <w:lang w:val="pt-BR"/>
        </w:rPr>
        <w:t>complexo</w:t>
      </w:r>
      <w:r w:rsidR="0013789A" w:rsidRPr="00D0307E">
        <w:rPr>
          <w:rFonts w:ascii="Times New Roman" w:hAnsi="Times New Roman"/>
          <w:lang w:val="pt-BR"/>
        </w:rPr>
        <w:t xml:space="preserve"> </w:t>
      </w:r>
      <w:r w:rsidR="00D0307E" w:rsidRPr="00D0307E">
        <w:rPr>
          <w:rFonts w:ascii="Times New Roman" w:hAnsi="Times New Roman"/>
          <w:lang w:val="pt-BR"/>
        </w:rPr>
        <w:t>de ródio-nbd é ativado pelo cocatalisador e como ocorre o crescimento da cadeia do polifenilacetileno.</w:t>
      </w:r>
    </w:p>
    <w:p w14:paraId="16AA36E2" w14:textId="1E268556" w:rsidR="00B27FFC" w:rsidRDefault="00D0307E" w:rsidP="004172AE">
      <w:pPr>
        <w:pStyle w:val="TAMainText"/>
        <w:ind w:firstLine="187"/>
        <w:rPr>
          <w:rFonts w:ascii="Times New Roman" w:hAnsi="Times New Roman"/>
          <w:lang w:val="pt-BR"/>
        </w:rPr>
      </w:pPr>
      <w:r w:rsidRPr="00D0307E">
        <w:rPr>
          <w:rFonts w:ascii="Times New Roman" w:hAnsi="Times New Roman"/>
          <w:lang w:val="pt-BR"/>
        </w:rPr>
        <w:t xml:space="preserve">Saeed e colaboradores </w:t>
      </w:r>
      <w:r w:rsidRPr="00775038">
        <w:rPr>
          <w:rFonts w:ascii="Times New Roman" w:hAnsi="Times New Roman"/>
          <w:lang w:val="pt-BR"/>
        </w:rPr>
        <w:t>(</w:t>
      </w:r>
      <w:r w:rsidR="00775038">
        <w:rPr>
          <w:rFonts w:ascii="Times New Roman" w:hAnsi="Times New Roman"/>
          <w:lang w:val="pt-BR"/>
        </w:rPr>
        <w:t>14</w:t>
      </w:r>
      <w:r w:rsidRPr="00775038">
        <w:rPr>
          <w:rFonts w:ascii="Times New Roman" w:hAnsi="Times New Roman"/>
          <w:lang w:val="pt-BR"/>
        </w:rPr>
        <w:t>)</w:t>
      </w:r>
      <w:r w:rsidRPr="00D0307E">
        <w:rPr>
          <w:rFonts w:ascii="Times New Roman" w:hAnsi="Times New Roman"/>
          <w:lang w:val="pt-BR"/>
        </w:rPr>
        <w:t xml:space="preserve"> monitor</w:t>
      </w:r>
      <w:r w:rsidR="0013789A">
        <w:rPr>
          <w:rFonts w:ascii="Times New Roman" w:hAnsi="Times New Roman"/>
          <w:lang w:val="pt-BR"/>
        </w:rPr>
        <w:t>ar</w:t>
      </w:r>
      <w:r w:rsidRPr="00D0307E">
        <w:rPr>
          <w:rFonts w:ascii="Times New Roman" w:hAnsi="Times New Roman"/>
          <w:lang w:val="pt-BR"/>
        </w:rPr>
        <w:t>am a reação entre o complexo de Rh-nbd e o cocatalisador KN(Si(CH</w:t>
      </w:r>
      <w:r w:rsidRPr="00086E78">
        <w:rPr>
          <w:rFonts w:ascii="Times New Roman" w:hAnsi="Times New Roman"/>
          <w:vertAlign w:val="subscript"/>
          <w:lang w:val="pt-BR"/>
        </w:rPr>
        <w:t>3</w:t>
      </w:r>
      <w:r w:rsidRPr="00D0307E">
        <w:rPr>
          <w:rFonts w:ascii="Times New Roman" w:hAnsi="Times New Roman"/>
          <w:lang w:val="pt-BR"/>
        </w:rPr>
        <w:t>)</w:t>
      </w:r>
      <w:r w:rsidRPr="00086E78">
        <w:rPr>
          <w:rFonts w:ascii="Times New Roman" w:hAnsi="Times New Roman"/>
          <w:vertAlign w:val="subscript"/>
          <w:lang w:val="pt-BR"/>
        </w:rPr>
        <w:t>3</w:t>
      </w:r>
      <w:r w:rsidRPr="00D0307E">
        <w:rPr>
          <w:rFonts w:ascii="Times New Roman" w:hAnsi="Times New Roman"/>
          <w:lang w:val="pt-BR"/>
        </w:rPr>
        <w:t>)</w:t>
      </w:r>
      <w:r w:rsidRPr="00086E78">
        <w:rPr>
          <w:rFonts w:ascii="Times New Roman" w:hAnsi="Times New Roman"/>
          <w:vertAlign w:val="subscript"/>
          <w:lang w:val="pt-BR"/>
        </w:rPr>
        <w:t>2</w:t>
      </w:r>
      <w:r w:rsidRPr="00D0307E">
        <w:rPr>
          <w:rFonts w:ascii="Times New Roman" w:hAnsi="Times New Roman"/>
          <w:lang w:val="pt-BR"/>
        </w:rPr>
        <w:t xml:space="preserve"> através de RMN</w:t>
      </w:r>
      <w:r w:rsidRPr="00086E78">
        <w:rPr>
          <w:rFonts w:ascii="Times New Roman" w:hAnsi="Times New Roman"/>
          <w:vertAlign w:val="superscript"/>
          <w:lang w:val="pt-BR"/>
        </w:rPr>
        <w:t>1</w:t>
      </w:r>
      <w:r w:rsidRPr="00D0307E">
        <w:rPr>
          <w:rFonts w:ascii="Times New Roman" w:hAnsi="Times New Roman"/>
          <w:lang w:val="pt-BR"/>
        </w:rPr>
        <w:t>H, com o objetivo de investigar como ocorria a formação das espécies ativas na polimerização. Através do espectro de RMN, eles constataram que a simetria do ligante nbd é mantida na espécie ródio recém-formada na reação de [(nbd)RhCl]</w:t>
      </w:r>
      <w:r w:rsidRPr="00086E78">
        <w:rPr>
          <w:rFonts w:ascii="Times New Roman" w:hAnsi="Times New Roman"/>
          <w:vertAlign w:val="subscript"/>
          <w:lang w:val="pt-BR"/>
        </w:rPr>
        <w:t>2</w:t>
      </w:r>
      <w:r w:rsidRPr="00D0307E">
        <w:rPr>
          <w:rFonts w:ascii="Times New Roman" w:hAnsi="Times New Roman"/>
          <w:lang w:val="pt-BR"/>
        </w:rPr>
        <w:t xml:space="preserve"> com KN(Si(CH</w:t>
      </w:r>
      <w:r w:rsidRPr="00086E78">
        <w:rPr>
          <w:rFonts w:ascii="Times New Roman" w:hAnsi="Times New Roman"/>
          <w:vertAlign w:val="subscript"/>
          <w:lang w:val="pt-BR"/>
        </w:rPr>
        <w:t>3</w:t>
      </w:r>
      <w:r w:rsidRPr="00D0307E">
        <w:rPr>
          <w:rFonts w:ascii="Times New Roman" w:hAnsi="Times New Roman"/>
          <w:lang w:val="pt-BR"/>
        </w:rPr>
        <w:t>)</w:t>
      </w:r>
      <w:r w:rsidRPr="00086E78">
        <w:rPr>
          <w:rFonts w:ascii="Times New Roman" w:hAnsi="Times New Roman"/>
          <w:vertAlign w:val="subscript"/>
          <w:lang w:val="pt-BR"/>
        </w:rPr>
        <w:t>3</w:t>
      </w:r>
      <w:r w:rsidRPr="00D0307E">
        <w:rPr>
          <w:rFonts w:ascii="Times New Roman" w:hAnsi="Times New Roman"/>
          <w:lang w:val="pt-BR"/>
        </w:rPr>
        <w:t>)</w:t>
      </w:r>
      <w:r w:rsidRPr="00086E78">
        <w:rPr>
          <w:rFonts w:ascii="Times New Roman" w:hAnsi="Times New Roman"/>
          <w:vertAlign w:val="subscript"/>
          <w:lang w:val="pt-BR"/>
        </w:rPr>
        <w:t>2</w:t>
      </w:r>
      <w:r w:rsidRPr="00D0307E">
        <w:rPr>
          <w:rFonts w:ascii="Times New Roman" w:hAnsi="Times New Roman"/>
          <w:lang w:val="pt-BR"/>
        </w:rPr>
        <w:t>, o que pode ser explicado pela formação da espécie com 14 elétrons [(nbd)Rh{N(Si(CH</w:t>
      </w:r>
      <w:r w:rsidRPr="004172AE">
        <w:rPr>
          <w:rFonts w:ascii="Times New Roman" w:hAnsi="Times New Roman"/>
          <w:vertAlign w:val="subscript"/>
          <w:lang w:val="pt-BR"/>
        </w:rPr>
        <w:t>3</w:t>
      </w:r>
      <w:r w:rsidRPr="00D0307E">
        <w:rPr>
          <w:rFonts w:ascii="Times New Roman" w:hAnsi="Times New Roman"/>
          <w:lang w:val="pt-BR"/>
        </w:rPr>
        <w:t>)</w:t>
      </w:r>
      <w:r w:rsidRPr="00086E78">
        <w:rPr>
          <w:rFonts w:ascii="Times New Roman" w:hAnsi="Times New Roman"/>
          <w:vertAlign w:val="subscript"/>
          <w:lang w:val="pt-BR"/>
        </w:rPr>
        <w:t>3</w:t>
      </w:r>
      <w:r w:rsidRPr="00D0307E">
        <w:rPr>
          <w:rFonts w:ascii="Times New Roman" w:hAnsi="Times New Roman"/>
          <w:lang w:val="pt-BR"/>
        </w:rPr>
        <w:t>)</w:t>
      </w:r>
      <w:r w:rsidRPr="00753CF9">
        <w:rPr>
          <w:rFonts w:ascii="Times New Roman" w:hAnsi="Times New Roman"/>
          <w:vertAlign w:val="subscript"/>
          <w:lang w:val="pt-BR"/>
        </w:rPr>
        <w:t>2</w:t>
      </w:r>
      <w:r w:rsidRPr="00D0307E">
        <w:rPr>
          <w:rFonts w:ascii="Times New Roman" w:hAnsi="Times New Roman"/>
          <w:lang w:val="pt-BR"/>
        </w:rPr>
        <w:t xml:space="preserve">}], como mostra a Figura </w:t>
      </w:r>
      <w:r w:rsidR="00DF19CF">
        <w:rPr>
          <w:rFonts w:ascii="Times New Roman" w:hAnsi="Times New Roman"/>
          <w:lang w:val="pt-BR"/>
        </w:rPr>
        <w:t>4</w:t>
      </w:r>
      <w:r w:rsidRPr="00D0307E">
        <w:rPr>
          <w:rFonts w:ascii="Times New Roman" w:hAnsi="Times New Roman"/>
          <w:lang w:val="pt-BR"/>
        </w:rPr>
        <w:t>. Ocorre então a dimerização da espécie mononuclear de 14 elétrons para formar a espécie dinuclear [(nbd)Rh{N(Si(CH</w:t>
      </w:r>
      <w:r w:rsidRPr="004172AE">
        <w:rPr>
          <w:rFonts w:ascii="Times New Roman" w:hAnsi="Times New Roman"/>
          <w:vertAlign w:val="subscript"/>
          <w:lang w:val="pt-BR"/>
        </w:rPr>
        <w:t>3</w:t>
      </w:r>
      <w:r w:rsidRPr="00D0307E">
        <w:rPr>
          <w:rFonts w:ascii="Times New Roman" w:hAnsi="Times New Roman"/>
          <w:lang w:val="pt-BR"/>
        </w:rPr>
        <w:t>)</w:t>
      </w:r>
      <w:r w:rsidRPr="004172AE">
        <w:rPr>
          <w:rFonts w:ascii="Times New Roman" w:hAnsi="Times New Roman"/>
          <w:vertAlign w:val="subscript"/>
          <w:lang w:val="pt-BR"/>
        </w:rPr>
        <w:t>3</w:t>
      </w:r>
      <w:r w:rsidRPr="00D0307E">
        <w:rPr>
          <w:rFonts w:ascii="Times New Roman" w:hAnsi="Times New Roman"/>
          <w:lang w:val="pt-BR"/>
        </w:rPr>
        <w:t>)</w:t>
      </w:r>
      <w:r w:rsidRPr="004172AE">
        <w:rPr>
          <w:rFonts w:ascii="Times New Roman" w:hAnsi="Times New Roman"/>
          <w:vertAlign w:val="subscript"/>
          <w:lang w:val="pt-BR"/>
        </w:rPr>
        <w:t>2</w:t>
      </w:r>
      <w:r w:rsidRPr="00D0307E">
        <w:rPr>
          <w:rFonts w:ascii="Times New Roman" w:hAnsi="Times New Roman"/>
          <w:lang w:val="pt-BR"/>
        </w:rPr>
        <w:t>}]</w:t>
      </w:r>
      <w:r w:rsidRPr="004172AE">
        <w:rPr>
          <w:rFonts w:ascii="Times New Roman" w:hAnsi="Times New Roman"/>
          <w:vertAlign w:val="subscript"/>
          <w:lang w:val="pt-BR"/>
        </w:rPr>
        <w:t>2</w:t>
      </w:r>
      <w:r w:rsidRPr="00D0307E">
        <w:rPr>
          <w:rFonts w:ascii="Times New Roman" w:hAnsi="Times New Roman"/>
          <w:lang w:val="pt-BR"/>
        </w:rPr>
        <w:t xml:space="preserve"> com 16 elétrons, que pode coexistir em equilíbrio com a espécie de 14 elétrons.</w:t>
      </w:r>
    </w:p>
    <w:p w14:paraId="384A15E2" w14:textId="77777777" w:rsidR="001E4039" w:rsidRPr="009E0CE1" w:rsidRDefault="001E4039" w:rsidP="001E4039">
      <w:pPr>
        <w:pStyle w:val="TAMainText"/>
        <w:rPr>
          <w:rFonts w:ascii="Times New Roman" w:hAnsi="Times New Roman"/>
          <w:lang w:val="pt-BR"/>
        </w:rPr>
      </w:pPr>
      <w:r w:rsidRPr="009E0CE1">
        <w:rPr>
          <w:rFonts w:ascii="Times New Roman" w:hAnsi="Times New Roman"/>
          <w:lang w:val="pt-BR"/>
        </w:rPr>
        <w:t>Formadas as espécies ativas, a molécula de fenilacetileno se coordena a um dos centros ativos do catalisador</w:t>
      </w:r>
      <w:r>
        <w:rPr>
          <w:rFonts w:ascii="Times New Roman" w:hAnsi="Times New Roman"/>
          <w:lang w:val="pt-BR"/>
        </w:rPr>
        <w:t xml:space="preserve"> (Figura 3)</w:t>
      </w:r>
      <w:r w:rsidRPr="009E0CE1">
        <w:rPr>
          <w:rFonts w:ascii="Times New Roman" w:hAnsi="Times New Roman"/>
          <w:lang w:val="pt-BR"/>
        </w:rPr>
        <w:t>, causando a quebra da ligação Rh</w:t>
      </w:r>
      <w:r w:rsidRPr="009E0CE1">
        <w:rPr>
          <w:rFonts w:ascii="Times New Roman" w:hAnsi="Times New Roman"/>
          <w:lang w:val="pt-BR"/>
        </w:rPr>
        <w:noBreakHyphen/>
        <w:t>N. A mesma reação ocorre novamente com o outro centro ativo do catalisador, liberando HN̈(Si(CH</w:t>
      </w:r>
      <w:r w:rsidRPr="001243A3">
        <w:rPr>
          <w:rFonts w:ascii="Times New Roman" w:hAnsi="Times New Roman"/>
          <w:vertAlign w:val="subscript"/>
          <w:lang w:val="pt-BR"/>
        </w:rPr>
        <w:t>3</w:t>
      </w:r>
      <w:r w:rsidRPr="009E0CE1">
        <w:rPr>
          <w:rFonts w:ascii="Times New Roman" w:hAnsi="Times New Roman"/>
          <w:lang w:val="pt-BR"/>
        </w:rPr>
        <w:t>)</w:t>
      </w:r>
      <w:r w:rsidRPr="001243A3">
        <w:rPr>
          <w:rFonts w:ascii="Times New Roman" w:hAnsi="Times New Roman"/>
          <w:vertAlign w:val="subscript"/>
          <w:lang w:val="pt-BR"/>
        </w:rPr>
        <w:t>3</w:t>
      </w:r>
      <w:r w:rsidRPr="009E0CE1">
        <w:rPr>
          <w:rFonts w:ascii="Times New Roman" w:hAnsi="Times New Roman"/>
          <w:lang w:val="pt-BR"/>
        </w:rPr>
        <w:t>)</w:t>
      </w:r>
      <w:r w:rsidRPr="001243A3">
        <w:rPr>
          <w:rFonts w:ascii="Times New Roman" w:hAnsi="Times New Roman"/>
          <w:vertAlign w:val="subscript"/>
          <w:lang w:val="pt-BR"/>
        </w:rPr>
        <w:t>2</w:t>
      </w:r>
      <w:r w:rsidRPr="009E0CE1">
        <w:rPr>
          <w:rFonts w:ascii="Times New Roman" w:hAnsi="Times New Roman"/>
          <w:lang w:val="pt-BR"/>
        </w:rPr>
        <w:t xml:space="preserve"> novamente no meio. Ao término da reação, o pH obtido foi de aproximadamente 8, o que corrobora o mecanismo proposto.</w:t>
      </w:r>
    </w:p>
    <w:p w14:paraId="2521666A" w14:textId="57B6AFAC" w:rsidR="00B27FFC" w:rsidRDefault="00470CCC" w:rsidP="001E4039">
      <w:pPr>
        <w:pStyle w:val="TAMainText"/>
        <w:ind w:firstLine="0"/>
        <w:rPr>
          <w:rFonts w:ascii="Times New Roman" w:hAnsi="Times New Roman"/>
          <w:lang w:val="pt-BR"/>
        </w:rPr>
      </w:pPr>
      <w:r w:rsidRPr="00201E4D">
        <w:rPr>
          <w:noProof/>
        </w:rPr>
        <w:lastRenderedPageBreak/>
        <w:drawing>
          <wp:anchor distT="0" distB="0" distL="114300" distR="114300" simplePos="0" relativeHeight="251662335" behindDoc="0" locked="0" layoutInCell="1" allowOverlap="1" wp14:anchorId="5065E136" wp14:editId="02196D9D">
            <wp:simplePos x="0" y="0"/>
            <wp:positionH relativeFrom="column">
              <wp:posOffset>26035</wp:posOffset>
            </wp:positionH>
            <wp:positionV relativeFrom="paragraph">
              <wp:posOffset>171450</wp:posOffset>
            </wp:positionV>
            <wp:extent cx="3027680" cy="3914140"/>
            <wp:effectExtent l="0" t="0" r="0" b="0"/>
            <wp:wrapThrough wrapText="bothSides">
              <wp:wrapPolygon edited="0">
                <wp:start x="10238" y="0"/>
                <wp:lineTo x="1268" y="0"/>
                <wp:lineTo x="91" y="841"/>
                <wp:lineTo x="453" y="1121"/>
                <wp:lineTo x="453" y="2032"/>
                <wp:lineTo x="3171" y="2243"/>
                <wp:lineTo x="12956" y="2243"/>
                <wp:lineTo x="5255" y="3224"/>
                <wp:lineTo x="5255" y="6728"/>
                <wp:lineTo x="7883" y="7849"/>
                <wp:lineTo x="5255" y="8410"/>
                <wp:lineTo x="5255" y="8831"/>
                <wp:lineTo x="7973" y="8971"/>
                <wp:lineTo x="5527" y="9602"/>
                <wp:lineTo x="5527" y="9952"/>
                <wp:lineTo x="4893" y="10162"/>
                <wp:lineTo x="4440" y="11003"/>
                <wp:lineTo x="4893" y="11213"/>
                <wp:lineTo x="4893" y="11704"/>
                <wp:lineTo x="5889" y="12335"/>
                <wp:lineTo x="6705" y="12335"/>
                <wp:lineTo x="6705" y="13456"/>
                <wp:lineTo x="7067" y="14578"/>
                <wp:lineTo x="6433" y="14788"/>
                <wp:lineTo x="4258" y="15629"/>
                <wp:lineTo x="4258" y="16680"/>
                <wp:lineTo x="5799" y="16820"/>
                <wp:lineTo x="14587" y="16820"/>
                <wp:lineTo x="7067" y="17171"/>
                <wp:lineTo x="6705" y="17241"/>
                <wp:lineTo x="6705" y="17942"/>
                <wp:lineTo x="5889" y="18993"/>
                <wp:lineTo x="5164" y="19203"/>
                <wp:lineTo x="5164" y="19483"/>
                <wp:lineTo x="6705" y="20184"/>
                <wp:lineTo x="5346" y="21306"/>
                <wp:lineTo x="5346" y="21516"/>
                <wp:lineTo x="8517" y="21516"/>
                <wp:lineTo x="8517" y="21306"/>
                <wp:lineTo x="7067" y="20184"/>
                <wp:lineTo x="8517" y="19483"/>
                <wp:lineTo x="8698" y="19203"/>
                <wp:lineTo x="16490" y="18222"/>
                <wp:lineTo x="16490" y="17942"/>
                <wp:lineTo x="17849" y="16890"/>
                <wp:lineTo x="17849" y="15419"/>
                <wp:lineTo x="17487" y="15208"/>
                <wp:lineTo x="15493" y="14578"/>
                <wp:lineTo x="17305" y="13807"/>
                <wp:lineTo x="17305" y="13596"/>
                <wp:lineTo x="15493" y="13456"/>
                <wp:lineTo x="15946" y="13106"/>
                <wp:lineTo x="16218" y="12545"/>
                <wp:lineTo x="16128" y="11213"/>
                <wp:lineTo x="19570" y="11213"/>
                <wp:lineTo x="20839" y="10863"/>
                <wp:lineTo x="20748" y="10092"/>
                <wp:lineTo x="21111" y="10022"/>
                <wp:lineTo x="18755" y="8971"/>
                <wp:lineTo x="18664" y="7849"/>
                <wp:lineTo x="19117" y="7499"/>
                <wp:lineTo x="12232" y="6728"/>
                <wp:lineTo x="12232" y="5607"/>
                <wp:lineTo x="12866" y="5607"/>
                <wp:lineTo x="15584" y="4696"/>
                <wp:lineTo x="15403" y="3644"/>
                <wp:lineTo x="14950" y="3364"/>
                <wp:lineTo x="17577" y="3364"/>
                <wp:lineTo x="20386" y="2803"/>
                <wp:lineTo x="20295" y="2243"/>
                <wp:lineTo x="21292" y="1332"/>
                <wp:lineTo x="20295" y="1121"/>
                <wp:lineTo x="20477" y="140"/>
                <wp:lineTo x="19570" y="0"/>
                <wp:lineTo x="11054" y="0"/>
                <wp:lineTo x="10238" y="0"/>
              </wp:wrapPolygon>
            </wp:wrapThrough>
            <wp:docPr id="14395" name="Imagem 14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391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42196" w14:textId="6FC69D75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E524F39" w14:textId="59F145CE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3EE594E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D4F87A3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6591111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1793DD6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4455625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EBEA954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B5828CD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621CEB3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7246944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F7CD72C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03E1246" w14:textId="1806D0C2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B1A6A65" w14:textId="08778E3F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8E40265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2DB65A8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11A27A6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4CDE419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B335ADB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877D62A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0EB8F84" w14:textId="77777777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D3066EC" w14:textId="5FD2D72B" w:rsidR="002F0CC4" w:rsidRDefault="002F0CC4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C36EC5A" w14:textId="4342891E" w:rsidR="00B27FFC" w:rsidRDefault="00B27FFC" w:rsidP="00AF570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E9EFF52" w14:textId="708DB25C" w:rsidR="00B27FFC" w:rsidRDefault="00DF19CF" w:rsidP="00DF19CF">
      <w:pPr>
        <w:pStyle w:val="TAMainText"/>
        <w:ind w:firstLine="0"/>
        <w:rPr>
          <w:rFonts w:ascii="Times New Roman" w:hAnsi="Times New Roman"/>
          <w:lang w:val="pt-BR"/>
        </w:rPr>
      </w:pPr>
      <w:r w:rsidRPr="00DF19CF">
        <w:rPr>
          <w:rFonts w:ascii="Times New Roman" w:hAnsi="Times New Roman"/>
          <w:b/>
          <w:bCs/>
          <w:lang w:val="pt-BR"/>
        </w:rPr>
        <w:t>Figura 3.</w:t>
      </w:r>
      <w:r>
        <w:rPr>
          <w:rFonts w:ascii="Times New Roman" w:hAnsi="Times New Roman"/>
          <w:lang w:val="pt-BR"/>
        </w:rPr>
        <w:t xml:space="preserve"> </w:t>
      </w:r>
      <w:r w:rsidRPr="00DF19CF">
        <w:rPr>
          <w:rFonts w:ascii="Times New Roman" w:hAnsi="Times New Roman"/>
          <w:lang w:val="pt-BR"/>
        </w:rPr>
        <w:t xml:space="preserve">Mecanismo proposto </w:t>
      </w:r>
      <w:r w:rsidR="0013789A">
        <w:rPr>
          <w:rFonts w:ascii="Times New Roman" w:hAnsi="Times New Roman"/>
          <w:lang w:val="pt-BR"/>
        </w:rPr>
        <w:t xml:space="preserve">para </w:t>
      </w:r>
      <w:r w:rsidR="0013789A" w:rsidRPr="00DF19CF">
        <w:rPr>
          <w:rFonts w:ascii="Times New Roman" w:hAnsi="Times New Roman"/>
          <w:lang w:val="pt-BR"/>
        </w:rPr>
        <w:t xml:space="preserve">a </w:t>
      </w:r>
      <w:r w:rsidRPr="00DF19CF">
        <w:rPr>
          <w:rFonts w:ascii="Times New Roman" w:hAnsi="Times New Roman"/>
          <w:lang w:val="pt-BR"/>
        </w:rPr>
        <w:t xml:space="preserve">obtenção do polifeniacetileno usando o </w:t>
      </w:r>
      <w:r w:rsidR="0013789A">
        <w:rPr>
          <w:rFonts w:ascii="Times New Roman" w:hAnsi="Times New Roman"/>
          <w:lang w:val="pt-BR"/>
        </w:rPr>
        <w:t xml:space="preserve">precursor catalítico </w:t>
      </w:r>
      <w:r w:rsidRPr="00DF19CF">
        <w:rPr>
          <w:rFonts w:ascii="Times New Roman" w:hAnsi="Times New Roman"/>
          <w:lang w:val="pt-BR"/>
        </w:rPr>
        <w:t>Rh-nbd.</w:t>
      </w:r>
    </w:p>
    <w:p w14:paraId="601515D3" w14:textId="16113243" w:rsidR="00DF19CF" w:rsidRDefault="00DF19CF" w:rsidP="00DF19CF">
      <w:pPr>
        <w:pStyle w:val="TAMainText"/>
        <w:ind w:firstLine="187"/>
        <w:rPr>
          <w:rFonts w:ascii="Times New Roman" w:hAnsi="Times New Roman"/>
          <w:lang w:val="pt-BR"/>
        </w:rPr>
      </w:pPr>
      <w:r w:rsidRPr="00783983">
        <w:rPr>
          <w:noProof/>
        </w:rPr>
        <w:drawing>
          <wp:anchor distT="0" distB="0" distL="114300" distR="114300" simplePos="0" relativeHeight="251663359" behindDoc="0" locked="0" layoutInCell="1" allowOverlap="1" wp14:anchorId="3682CF5A" wp14:editId="40865D66">
            <wp:simplePos x="0" y="0"/>
            <wp:positionH relativeFrom="column">
              <wp:posOffset>25758</wp:posOffset>
            </wp:positionH>
            <wp:positionV relativeFrom="paragraph">
              <wp:posOffset>159475</wp:posOffset>
            </wp:positionV>
            <wp:extent cx="3027680" cy="545082"/>
            <wp:effectExtent l="0" t="0" r="0" b="1270"/>
            <wp:wrapThrough wrapText="bothSides">
              <wp:wrapPolygon edited="0">
                <wp:start x="17487" y="0"/>
                <wp:lineTo x="2174" y="1007"/>
                <wp:lineTo x="0" y="7049"/>
                <wp:lineTo x="91" y="13594"/>
                <wp:lineTo x="2809" y="16112"/>
                <wp:lineTo x="8064" y="16112"/>
                <wp:lineTo x="8064" y="18126"/>
                <wp:lineTo x="14134" y="20643"/>
                <wp:lineTo x="18121" y="21147"/>
                <wp:lineTo x="19842" y="21147"/>
                <wp:lineTo x="19933" y="20643"/>
                <wp:lineTo x="20386" y="16112"/>
                <wp:lineTo x="21473" y="8559"/>
                <wp:lineTo x="21473" y="7552"/>
                <wp:lineTo x="20114" y="0"/>
                <wp:lineTo x="17487" y="0"/>
              </wp:wrapPolygon>
            </wp:wrapThrough>
            <wp:docPr id="14346" name="Imagem 1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5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ECABD" w14:textId="77777777" w:rsidR="004C53B5" w:rsidRDefault="004C53B5" w:rsidP="00DF19C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9B50EC5" w14:textId="29026FFD" w:rsidR="00DF19CF" w:rsidRDefault="00DF19CF" w:rsidP="001E4039">
      <w:pPr>
        <w:pStyle w:val="TAMainText"/>
        <w:spacing w:after="240"/>
        <w:ind w:firstLine="0"/>
        <w:rPr>
          <w:rFonts w:ascii="Times New Roman" w:hAnsi="Times New Roman"/>
          <w:lang w:val="pt-BR"/>
        </w:rPr>
      </w:pPr>
      <w:r w:rsidRPr="00DF19CF">
        <w:rPr>
          <w:rFonts w:ascii="Times New Roman" w:hAnsi="Times New Roman"/>
          <w:b/>
          <w:bCs/>
          <w:lang w:val="pt-BR"/>
        </w:rPr>
        <w:t xml:space="preserve">Figura </w:t>
      </w:r>
      <w:r w:rsidR="004C53B5">
        <w:rPr>
          <w:rFonts w:ascii="Times New Roman" w:hAnsi="Times New Roman"/>
          <w:b/>
          <w:bCs/>
          <w:lang w:val="pt-BR"/>
        </w:rPr>
        <w:t>4</w:t>
      </w:r>
      <w:r w:rsidRPr="00DF19CF">
        <w:rPr>
          <w:rFonts w:ascii="Times New Roman" w:hAnsi="Times New Roman"/>
          <w:b/>
          <w:bCs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Pr="00DF19CF">
        <w:rPr>
          <w:rFonts w:ascii="Times New Roman" w:hAnsi="Times New Roman"/>
          <w:lang w:val="pt-BR"/>
        </w:rPr>
        <w:t xml:space="preserve">Mecanismo </w:t>
      </w:r>
      <w:r w:rsidR="004C53B5">
        <w:rPr>
          <w:rFonts w:ascii="Times New Roman" w:hAnsi="Times New Roman"/>
          <w:lang w:val="pt-BR"/>
        </w:rPr>
        <w:t xml:space="preserve">de formação de espécies ativas </w:t>
      </w:r>
      <w:r w:rsidR="00775038">
        <w:rPr>
          <w:rFonts w:ascii="Times New Roman" w:hAnsi="Times New Roman"/>
          <w:lang w:val="pt-BR"/>
        </w:rPr>
        <w:t>(14)</w:t>
      </w:r>
      <w:r w:rsidR="004C53B5">
        <w:rPr>
          <w:rFonts w:ascii="Times New Roman" w:hAnsi="Times New Roman"/>
          <w:lang w:val="pt-BR"/>
        </w:rPr>
        <w:t>.</w:t>
      </w:r>
    </w:p>
    <w:p w14:paraId="1BA3BBCC" w14:textId="371839E1" w:rsidR="00DF19CF" w:rsidRPr="00AE66F3" w:rsidRDefault="0080462D" w:rsidP="00AE66F3">
      <w:pPr>
        <w:pStyle w:val="TAMainText"/>
        <w:ind w:firstLine="0"/>
        <w:rPr>
          <w:i/>
          <w:iCs/>
          <w:szCs w:val="24"/>
          <w:lang w:val="pt-BR"/>
        </w:rPr>
      </w:pPr>
      <w:r>
        <w:rPr>
          <w:i/>
          <w:iCs/>
          <w:szCs w:val="24"/>
          <w:lang w:val="pt-BR"/>
        </w:rPr>
        <w:t>C</w:t>
      </w:r>
      <w:r w:rsidRPr="00141DB4">
        <w:rPr>
          <w:i/>
          <w:iCs/>
          <w:szCs w:val="24"/>
          <w:lang w:val="pt-BR"/>
        </w:rPr>
        <w:t>ondutividade</w:t>
      </w:r>
      <w:r>
        <w:rPr>
          <w:i/>
          <w:iCs/>
          <w:szCs w:val="24"/>
          <w:lang w:val="pt-BR"/>
        </w:rPr>
        <w:t xml:space="preserve"> Eletrônica</w:t>
      </w:r>
    </w:p>
    <w:p w14:paraId="18C223FB" w14:textId="5068FDCF" w:rsidR="00AE66F3" w:rsidRPr="00AE66F3" w:rsidRDefault="00AE66F3" w:rsidP="00AE66F3">
      <w:pPr>
        <w:pStyle w:val="TAMainText"/>
        <w:ind w:firstLine="187"/>
        <w:rPr>
          <w:rFonts w:ascii="Times New Roman" w:hAnsi="Times New Roman"/>
          <w:lang w:val="pt-BR"/>
        </w:rPr>
      </w:pPr>
      <w:r w:rsidRPr="00AE66F3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>s</w:t>
      </w:r>
      <w:r w:rsidRPr="00AE66F3">
        <w:rPr>
          <w:rFonts w:ascii="Times New Roman" w:hAnsi="Times New Roman"/>
          <w:lang w:val="pt-BR"/>
        </w:rPr>
        <w:t xml:space="preserve"> condutividade</w:t>
      </w:r>
      <w:r>
        <w:rPr>
          <w:rFonts w:ascii="Times New Roman" w:hAnsi="Times New Roman"/>
          <w:lang w:val="pt-BR"/>
        </w:rPr>
        <w:t>s</w:t>
      </w:r>
      <w:r w:rsidRPr="00AE66F3">
        <w:rPr>
          <w:rFonts w:ascii="Times New Roman" w:hAnsi="Times New Roman"/>
          <w:lang w:val="pt-BR"/>
        </w:rPr>
        <w:t xml:space="preserve"> dos polímeros foram medidas através de </w:t>
      </w:r>
      <w:r w:rsidR="004A3FD4">
        <w:rPr>
          <w:rFonts w:ascii="Times New Roman" w:hAnsi="Times New Roman"/>
          <w:lang w:val="pt-BR"/>
        </w:rPr>
        <w:t>EIE</w:t>
      </w:r>
      <w:r w:rsidRPr="00AE66F3">
        <w:rPr>
          <w:rFonts w:ascii="Times New Roman" w:hAnsi="Times New Roman"/>
          <w:lang w:val="pt-BR"/>
        </w:rPr>
        <w:t>. A resistência</w:t>
      </w:r>
      <w:r w:rsidR="000C4806">
        <w:rPr>
          <w:rFonts w:ascii="Times New Roman" w:hAnsi="Times New Roman"/>
          <w:lang w:val="pt-BR"/>
        </w:rPr>
        <w:t xml:space="preserve"> (R)</w:t>
      </w:r>
      <w:r w:rsidRPr="00AE66F3">
        <w:rPr>
          <w:rFonts w:ascii="Times New Roman" w:hAnsi="Times New Roman"/>
          <w:lang w:val="pt-BR"/>
        </w:rPr>
        <w:t xml:space="preserve"> do polímero foi determinada através do gráfico de Bode, utilizando o ponto de menor frequência medida (10 mHz). A condutividade em corrente contínua (σDC) foi obtida pela seguinte equação:</w:t>
      </w:r>
    </w:p>
    <w:p w14:paraId="55659D9B" w14:textId="7B0CDC89" w:rsidR="000C4806" w:rsidRDefault="002C42D1" w:rsidP="000C4806">
      <w:pPr>
        <w:pStyle w:val="TAMainText"/>
        <w:ind w:firstLine="187"/>
        <w:rPr>
          <w:rFonts w:ascii="Times New Roman" w:hAnsi="Times New Roman"/>
          <w:lang w:val="pt-BR"/>
        </w:rPr>
      </w:pPr>
      <w:r w:rsidRPr="002C42D1">
        <w:rPr>
          <w:noProof/>
        </w:rPr>
        <w:drawing>
          <wp:anchor distT="0" distB="0" distL="114300" distR="114300" simplePos="0" relativeHeight="251664383" behindDoc="0" locked="0" layoutInCell="1" allowOverlap="1" wp14:anchorId="0974231F" wp14:editId="1139CB02">
            <wp:simplePos x="0" y="0"/>
            <wp:positionH relativeFrom="column">
              <wp:posOffset>1074420</wp:posOffset>
            </wp:positionH>
            <wp:positionV relativeFrom="paragraph">
              <wp:posOffset>24765</wp:posOffset>
            </wp:positionV>
            <wp:extent cx="851535" cy="363855"/>
            <wp:effectExtent l="0" t="0" r="0" b="0"/>
            <wp:wrapThrough wrapText="bothSides">
              <wp:wrapPolygon edited="0">
                <wp:start x="11919" y="0"/>
                <wp:lineTo x="1611" y="5277"/>
                <wp:lineTo x="1611" y="9801"/>
                <wp:lineTo x="9020" y="12817"/>
                <wp:lineTo x="9020" y="14325"/>
                <wp:lineTo x="15141" y="14325"/>
                <wp:lineTo x="15141" y="6785"/>
                <wp:lineTo x="13530" y="0"/>
                <wp:lineTo x="11919" y="0"/>
              </wp:wrapPolygon>
            </wp:wrapThrough>
            <wp:docPr id="1633711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110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26" r="36160"/>
                    <a:stretch/>
                  </pic:blipFill>
                  <pic:spPr bwMode="auto">
                    <a:xfrm>
                      <a:off x="0" y="0"/>
                      <a:ext cx="851535" cy="36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838BD" w14:textId="1C84DBC1" w:rsidR="000C4806" w:rsidRDefault="000C4806" w:rsidP="000C4806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82AD0E2" w14:textId="07005A9A" w:rsidR="000C4806" w:rsidRDefault="009E380D" w:rsidP="00AE66F3">
      <w:pPr>
        <w:pStyle w:val="TAMainText"/>
        <w:ind w:firstLine="187"/>
        <w:rPr>
          <w:rFonts w:ascii="Times New Roman" w:hAnsi="Times New Roman"/>
          <w:lang w:val="pt-BR"/>
        </w:rPr>
      </w:pPr>
      <w:r w:rsidRPr="009E380D">
        <w:rPr>
          <w:rFonts w:ascii="Times New Roman" w:hAnsi="Times New Roman"/>
          <w:lang w:val="pt-BR"/>
        </w:rPr>
        <w:t xml:space="preserve">Na Tabela </w:t>
      </w:r>
      <w:r>
        <w:rPr>
          <w:rFonts w:ascii="Times New Roman" w:hAnsi="Times New Roman"/>
          <w:lang w:val="pt-BR"/>
        </w:rPr>
        <w:t>2</w:t>
      </w:r>
      <w:r w:rsidRPr="009E380D">
        <w:rPr>
          <w:rFonts w:ascii="Times New Roman" w:hAnsi="Times New Roman"/>
          <w:lang w:val="pt-BR"/>
        </w:rPr>
        <w:t xml:space="preserve"> estão apresentados os valores de σDC obtidos nas amostras dos polímeros PPARh</w:t>
      </w:r>
      <w:r w:rsidRPr="004A3FD4">
        <w:rPr>
          <w:rFonts w:ascii="Times New Roman" w:hAnsi="Times New Roman"/>
          <w:vertAlign w:val="subscript"/>
          <w:lang w:val="pt-BR"/>
        </w:rPr>
        <w:t>1</w:t>
      </w:r>
      <w:r w:rsidRPr="009E380D">
        <w:rPr>
          <w:rFonts w:ascii="Times New Roman" w:hAnsi="Times New Roman"/>
          <w:lang w:val="pt-BR"/>
        </w:rPr>
        <w:t xml:space="preserve"> e PPAMSRh</w:t>
      </w:r>
      <w:r w:rsidRPr="004A3FD4">
        <w:rPr>
          <w:rFonts w:ascii="Times New Roman" w:hAnsi="Times New Roman"/>
          <w:vertAlign w:val="subscript"/>
          <w:lang w:val="pt-BR"/>
        </w:rPr>
        <w:t>1</w:t>
      </w:r>
      <w:r w:rsidRPr="009E380D">
        <w:rPr>
          <w:rFonts w:ascii="Times New Roman" w:hAnsi="Times New Roman"/>
          <w:lang w:val="pt-BR"/>
        </w:rPr>
        <w:t>, usando o Teflon para comparação. Comparando as entradas 1, 2 e 5 observa-se que o aumento da razão molar cocat/Rh causa um aumento na condutividade do polímero, sendo que a menor condutividade entre as amostras PPARh</w:t>
      </w:r>
      <w:r w:rsidRPr="00314410">
        <w:rPr>
          <w:rFonts w:ascii="Times New Roman" w:hAnsi="Times New Roman"/>
          <w:vertAlign w:val="subscript"/>
          <w:lang w:val="pt-BR"/>
        </w:rPr>
        <w:t>1</w:t>
      </w:r>
      <w:r w:rsidRPr="009E380D">
        <w:rPr>
          <w:rFonts w:ascii="Times New Roman" w:hAnsi="Times New Roman"/>
          <w:lang w:val="pt-BR"/>
        </w:rPr>
        <w:t xml:space="preserve"> está na entrada 1, quando a relação cocat/Rh é igual a 1. </w:t>
      </w:r>
    </w:p>
    <w:p w14:paraId="3E8F4516" w14:textId="344BEF2F" w:rsidR="000C4806" w:rsidRDefault="00D175B4" w:rsidP="00D97180">
      <w:pPr>
        <w:pStyle w:val="TAMainText"/>
        <w:spacing w:after="240"/>
        <w:ind w:firstLine="187"/>
        <w:rPr>
          <w:rFonts w:ascii="Times New Roman" w:hAnsi="Times New Roman"/>
          <w:lang w:val="pt-BR"/>
        </w:rPr>
      </w:pPr>
      <w:r w:rsidRPr="00D175B4">
        <w:rPr>
          <w:rFonts w:ascii="Times New Roman" w:hAnsi="Times New Roman"/>
          <w:lang w:val="pt-BR"/>
        </w:rPr>
        <w:t xml:space="preserve">Porém, ao comparar a condutividade de polímeros sintetizados em meio heterogêneo, os polímeros obtidos com ródio são melhores condutores em todas as condições, </w:t>
      </w:r>
      <w:r w:rsidRPr="00D175B4">
        <w:rPr>
          <w:rFonts w:ascii="Times New Roman" w:hAnsi="Times New Roman"/>
          <w:lang w:val="pt-BR"/>
        </w:rPr>
        <w:t>mostrando que o meio de obtenção do polímero é decisivo para uma melhora em sua condutividade. Um aumento de 100 vezes na razão cocat/Rh gera um aumento de aproximadamente 15 vezes na condutividade do polímero (entrada 6). Nesse caso, o material mesoporoso pode estar auxiliando no crescimento e ordenamento das cadeias poliméricas, proporcionando uma melhor movimentação de elétrons nas cadeias poliméricas.</w:t>
      </w:r>
    </w:p>
    <w:p w14:paraId="074E0AF6" w14:textId="4576CEE3" w:rsidR="00E3686A" w:rsidRDefault="00D97180" w:rsidP="005B428F">
      <w:pPr>
        <w:pStyle w:val="Legenda"/>
        <w:jc w:val="both"/>
      </w:pPr>
      <w:r w:rsidRPr="004756F4">
        <w:rPr>
          <w:rFonts w:ascii="Times New Roman" w:hAnsi="Times New Roman" w:cs="Times New Roman"/>
          <w:color w:val="auto"/>
          <w:sz w:val="18"/>
          <w:szCs w:val="18"/>
        </w:rPr>
        <w:t xml:space="preserve">Tabela </w:t>
      </w:r>
      <w:r>
        <w:rPr>
          <w:rFonts w:ascii="Times New Roman" w:hAnsi="Times New Roman" w:cs="Times New Roman"/>
          <w:noProof/>
          <w:color w:val="auto"/>
          <w:sz w:val="18"/>
          <w:szCs w:val="18"/>
        </w:rPr>
        <w:t>2</w:t>
      </w:r>
      <w:r w:rsidRPr="004756F4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r w:rsidRPr="004756F4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Condições das reações de polimerização e resultados d</w:t>
      </w:r>
      <w:r w:rsidR="00377836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e</w:t>
      </w:r>
      <w:r w:rsidRPr="004756F4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r w:rsidR="00377836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condutividade</w:t>
      </w:r>
      <w:r w:rsidRPr="004756F4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, com catalisador de Rh-nbd.</w:t>
      </w:r>
    </w:p>
    <w:p w14:paraId="265BE3F9" w14:textId="6CC42CA5" w:rsidR="00E3686A" w:rsidRDefault="00157073" w:rsidP="005B428F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 w:rsidRPr="002276B6">
        <w:rPr>
          <w:noProof/>
        </w:rPr>
        <w:drawing>
          <wp:inline distT="0" distB="0" distL="0" distR="0" wp14:anchorId="3CF1A1D7" wp14:editId="32322144">
            <wp:extent cx="2726556" cy="2350237"/>
            <wp:effectExtent l="0" t="0" r="0" b="0"/>
            <wp:docPr id="215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3" r="17558" b="12955"/>
                    <a:stretch/>
                  </pic:blipFill>
                  <pic:spPr bwMode="auto">
                    <a:xfrm>
                      <a:off x="0" y="0"/>
                      <a:ext cx="2740156" cy="236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B4C91A0" w14:textId="77777777" w:rsidR="00E3686A" w:rsidRDefault="00E3686A" w:rsidP="00377836">
      <w:pPr>
        <w:pStyle w:val="TAMainText"/>
        <w:ind w:firstLine="0"/>
        <w:rPr>
          <w:rFonts w:ascii="Times New Roman" w:hAnsi="Times New Roman"/>
          <w:lang w:val="pt-BR"/>
        </w:rPr>
      </w:pPr>
    </w:p>
    <w:p w14:paraId="7AC08865" w14:textId="323A03F5" w:rsidR="00E3686A" w:rsidRDefault="00204977" w:rsidP="00AE66F3">
      <w:pPr>
        <w:pStyle w:val="TAMainText"/>
        <w:ind w:firstLine="187"/>
        <w:rPr>
          <w:rFonts w:ascii="Times New Roman" w:hAnsi="Times New Roman"/>
          <w:lang w:val="pt-BR"/>
        </w:rPr>
      </w:pPr>
      <w:r w:rsidRPr="00204977">
        <w:rPr>
          <w:rFonts w:ascii="Times New Roman" w:hAnsi="Times New Roman"/>
          <w:lang w:val="pt-BR"/>
        </w:rPr>
        <w:t>A seguir serão mostrados resultados de UV-Vis somente para os polímeros obtidos com o catalisador de Rh. As duas amostras escolhidas são as que apresentaram maior condutividade na Tabela</w:t>
      </w:r>
      <w:r>
        <w:rPr>
          <w:rFonts w:ascii="Times New Roman" w:hAnsi="Times New Roman"/>
          <w:lang w:val="pt-BR"/>
        </w:rPr>
        <w:t xml:space="preserve"> 2</w:t>
      </w:r>
      <w:r w:rsidRPr="00204977">
        <w:rPr>
          <w:rFonts w:ascii="Times New Roman" w:hAnsi="Times New Roman"/>
          <w:lang w:val="pt-BR"/>
        </w:rPr>
        <w:t>: PPARh</w:t>
      </w:r>
      <w:r w:rsidR="00DE68AE" w:rsidRPr="00DE68AE">
        <w:rPr>
          <w:rFonts w:ascii="Times New Roman" w:hAnsi="Times New Roman"/>
          <w:vertAlign w:val="subscript"/>
          <w:lang w:val="pt-BR"/>
        </w:rPr>
        <w:t>1</w:t>
      </w:r>
      <w:r w:rsidRPr="00204977">
        <w:rPr>
          <w:rFonts w:ascii="Times New Roman" w:hAnsi="Times New Roman"/>
          <w:lang w:val="pt-BR"/>
        </w:rPr>
        <w:t xml:space="preserve"> (entrada 5) e PPAMSRh</w:t>
      </w:r>
      <w:r w:rsidRPr="00DE68AE">
        <w:rPr>
          <w:rFonts w:ascii="Times New Roman" w:hAnsi="Times New Roman"/>
          <w:vertAlign w:val="subscript"/>
          <w:lang w:val="pt-BR"/>
        </w:rPr>
        <w:t>1</w:t>
      </w:r>
      <w:r w:rsidRPr="00204977">
        <w:rPr>
          <w:rFonts w:ascii="Times New Roman" w:hAnsi="Times New Roman"/>
          <w:lang w:val="pt-BR"/>
        </w:rPr>
        <w:t xml:space="preserve"> (entrada 6), identificados na discussão pelas siglas PPARh</w:t>
      </w:r>
      <w:r w:rsidRPr="00DE68AE">
        <w:rPr>
          <w:rFonts w:ascii="Times New Roman" w:hAnsi="Times New Roman"/>
          <w:vertAlign w:val="subscript"/>
          <w:lang w:val="pt-BR"/>
        </w:rPr>
        <w:t>1</w:t>
      </w:r>
      <w:r w:rsidRPr="00204977">
        <w:rPr>
          <w:rFonts w:ascii="Times New Roman" w:hAnsi="Times New Roman"/>
          <w:lang w:val="pt-BR"/>
        </w:rPr>
        <w:t>^5 e PPAMSRh</w:t>
      </w:r>
      <w:r w:rsidRPr="00DE68AE">
        <w:rPr>
          <w:rFonts w:ascii="Times New Roman" w:hAnsi="Times New Roman"/>
          <w:vertAlign w:val="subscript"/>
          <w:lang w:val="pt-BR"/>
        </w:rPr>
        <w:t>1</w:t>
      </w:r>
      <w:r w:rsidRPr="00204977">
        <w:rPr>
          <w:rFonts w:ascii="Times New Roman" w:hAnsi="Times New Roman"/>
          <w:lang w:val="pt-BR"/>
        </w:rPr>
        <w:t>^6, respectivamente.</w:t>
      </w:r>
    </w:p>
    <w:p w14:paraId="1FDDDB51" w14:textId="77777777" w:rsidR="00E3686A" w:rsidRDefault="00E3686A" w:rsidP="00AE66F3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66F0B0B" w14:textId="1D079BFC" w:rsidR="00681316" w:rsidRPr="00681316" w:rsidRDefault="00377836" w:rsidP="00681316">
      <w:pPr>
        <w:pStyle w:val="TAMainText"/>
        <w:ind w:firstLine="0"/>
        <w:rPr>
          <w:i/>
          <w:iCs/>
          <w:szCs w:val="24"/>
          <w:lang w:val="pt-BR"/>
        </w:rPr>
      </w:pPr>
      <w:r>
        <w:rPr>
          <w:i/>
          <w:iCs/>
          <w:szCs w:val="24"/>
          <w:lang w:val="pt-BR"/>
        </w:rPr>
        <w:t>Espaçamento entre</w:t>
      </w:r>
      <w:r w:rsidR="00681316">
        <w:rPr>
          <w:i/>
          <w:iCs/>
          <w:szCs w:val="24"/>
          <w:lang w:val="pt-BR"/>
        </w:rPr>
        <w:t xml:space="preserve"> Bandas</w:t>
      </w:r>
    </w:p>
    <w:p w14:paraId="48EE0823" w14:textId="43062F54" w:rsidR="00242397" w:rsidRDefault="00681316" w:rsidP="00AE66F3">
      <w:pPr>
        <w:pStyle w:val="TAMainText"/>
        <w:ind w:firstLine="187"/>
        <w:rPr>
          <w:rFonts w:ascii="Times New Roman" w:hAnsi="Times New Roman"/>
          <w:lang w:val="pt-BR"/>
        </w:rPr>
      </w:pPr>
      <w:r w:rsidRPr="00681316">
        <w:rPr>
          <w:rFonts w:ascii="Times New Roman" w:hAnsi="Times New Roman"/>
          <w:lang w:val="pt-BR"/>
        </w:rPr>
        <w:t xml:space="preserve">Medidas espectroscópicas </w:t>
      </w:r>
      <w:r w:rsidR="00314410" w:rsidRPr="00681316">
        <w:rPr>
          <w:rFonts w:ascii="Times New Roman" w:hAnsi="Times New Roman"/>
          <w:lang w:val="pt-BR"/>
        </w:rPr>
        <w:t>por UV-vis</w:t>
      </w:r>
      <w:r w:rsidRPr="00681316">
        <w:rPr>
          <w:rFonts w:ascii="Times New Roman" w:hAnsi="Times New Roman"/>
          <w:lang w:val="pt-BR"/>
        </w:rPr>
        <w:t xml:space="preserve"> foram realizadas para calcular o espaçamento entre bandas dos polímeros obtidos, a fim de investigar se houve diferença entre as propriedades ópticas do polímero sintetizado pelos métodos homogêneo e heterogêneo utilizando o complexo de ródio. A partir dos dados de UV-Vis, as energias de espaçamento entre bandas (E</w:t>
      </w:r>
      <w:r w:rsidRPr="00242397">
        <w:rPr>
          <w:rFonts w:ascii="Times New Roman" w:hAnsi="Times New Roman"/>
          <w:vertAlign w:val="subscript"/>
          <w:lang w:val="pt-BR"/>
        </w:rPr>
        <w:t>g</w:t>
      </w:r>
      <w:r w:rsidRPr="00681316">
        <w:rPr>
          <w:rFonts w:ascii="Times New Roman" w:hAnsi="Times New Roman"/>
          <w:lang w:val="pt-BR"/>
        </w:rPr>
        <w:t xml:space="preserve">, em eV) das amostras foram calculadas usando o método de Kubelka-Munk </w:t>
      </w:r>
      <w:r w:rsidR="00DE68AE">
        <w:rPr>
          <w:rFonts w:ascii="Times New Roman" w:hAnsi="Times New Roman"/>
          <w:lang w:val="pt-BR"/>
        </w:rPr>
        <w:t>(15),</w:t>
      </w:r>
      <w:r w:rsidRPr="00681316">
        <w:rPr>
          <w:rFonts w:ascii="Times New Roman" w:hAnsi="Times New Roman"/>
          <w:lang w:val="pt-BR"/>
        </w:rPr>
        <w:t xml:space="preserve"> descrito pela seguinte equação:</w:t>
      </w:r>
    </w:p>
    <w:p w14:paraId="38CF9EB7" w14:textId="109C5D1A" w:rsidR="00242397" w:rsidRDefault="004072B9" w:rsidP="00AE66F3">
      <w:pPr>
        <w:pStyle w:val="TAMainText"/>
        <w:ind w:firstLine="187"/>
        <w:rPr>
          <w:rFonts w:ascii="Times New Roman" w:hAnsi="Times New Roman"/>
          <w:lang w:val="pt-BR"/>
        </w:rPr>
      </w:pPr>
      <w:r w:rsidRPr="00242397">
        <w:rPr>
          <w:noProof/>
        </w:rPr>
        <w:drawing>
          <wp:anchor distT="0" distB="0" distL="114300" distR="114300" simplePos="0" relativeHeight="251666431" behindDoc="0" locked="0" layoutInCell="1" allowOverlap="1" wp14:anchorId="596CE064" wp14:editId="56A569B4">
            <wp:simplePos x="0" y="0"/>
            <wp:positionH relativeFrom="column">
              <wp:posOffset>814364</wp:posOffset>
            </wp:positionH>
            <wp:positionV relativeFrom="paragraph">
              <wp:posOffset>54672</wp:posOffset>
            </wp:positionV>
            <wp:extent cx="1344930" cy="219710"/>
            <wp:effectExtent l="0" t="0" r="0" b="0"/>
            <wp:wrapThrough wrapText="bothSides">
              <wp:wrapPolygon edited="0">
                <wp:start x="18153" y="0"/>
                <wp:lineTo x="4487" y="2497"/>
                <wp:lineTo x="4283" y="13734"/>
                <wp:lineTo x="11014" y="17480"/>
                <wp:lineTo x="18561" y="17480"/>
                <wp:lineTo x="19785" y="3746"/>
                <wp:lineTo x="19581" y="0"/>
                <wp:lineTo x="18153" y="0"/>
              </wp:wrapPolygon>
            </wp:wrapThrough>
            <wp:docPr id="7607466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46643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6" r="35516" b="63826"/>
                    <a:stretch/>
                  </pic:blipFill>
                  <pic:spPr bwMode="auto">
                    <a:xfrm>
                      <a:off x="0" y="0"/>
                      <a:ext cx="1344930" cy="21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3CBC1" w14:textId="4B337856" w:rsidR="00242397" w:rsidRDefault="00242397" w:rsidP="004072B9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5CEA071" w14:textId="6125D873" w:rsidR="007E1C86" w:rsidRDefault="007B383D" w:rsidP="007B383D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="007E1C86" w:rsidRPr="007E1C86">
        <w:rPr>
          <w:rFonts w:ascii="Times New Roman" w:hAnsi="Times New Roman"/>
          <w:lang w:val="pt-BR"/>
        </w:rPr>
        <w:t xml:space="preserve">nde </w:t>
      </w:r>
      <w:r w:rsidR="007E1C86" w:rsidRPr="007B383D">
        <w:rPr>
          <w:rFonts w:ascii="Cambria Math" w:hAnsi="Cambria Math" w:cs="Cambria Math"/>
          <w:lang w:val="pt-BR"/>
        </w:rPr>
        <w:t>𝛼</w:t>
      </w:r>
      <w:r w:rsidR="007E1C86" w:rsidRPr="007E1C86">
        <w:rPr>
          <w:rFonts w:ascii="Times New Roman" w:hAnsi="Times New Roman"/>
          <w:lang w:val="pt-BR"/>
        </w:rPr>
        <w:t xml:space="preserve"> é o coeficiente de absorção linear do material, ℎ</w:t>
      </w:r>
      <w:r w:rsidR="007E1C86" w:rsidRPr="007B383D">
        <w:rPr>
          <w:rFonts w:ascii="Cambria Math" w:hAnsi="Cambria Math" w:cs="Cambria Math"/>
          <w:lang w:val="pt-BR"/>
        </w:rPr>
        <w:t>𝜈</w:t>
      </w:r>
      <w:r w:rsidR="007E1C86" w:rsidRPr="007E1C86">
        <w:rPr>
          <w:rFonts w:ascii="Times New Roman" w:hAnsi="Times New Roman"/>
          <w:lang w:val="pt-BR"/>
        </w:rPr>
        <w:t xml:space="preserve"> é a energia do fóton incidente, </w:t>
      </w:r>
      <w:r w:rsidR="007E1C86" w:rsidRPr="007B383D">
        <w:rPr>
          <w:rFonts w:ascii="Cambria Math" w:hAnsi="Cambria Math" w:cs="Cambria Math"/>
          <w:lang w:val="pt-BR"/>
        </w:rPr>
        <w:t>𝐴</w:t>
      </w:r>
      <w:r w:rsidR="007E1C86" w:rsidRPr="007E1C86">
        <w:rPr>
          <w:rFonts w:ascii="Times New Roman" w:hAnsi="Times New Roman"/>
          <w:lang w:val="pt-BR"/>
        </w:rPr>
        <w:t xml:space="preserve"> é uma constante de proporcionalidade relacionada ao material e </w:t>
      </w:r>
      <w:r w:rsidR="007E1C86" w:rsidRPr="007B383D">
        <w:rPr>
          <w:rFonts w:ascii="Cambria Math" w:hAnsi="Cambria Math" w:cs="Cambria Math"/>
          <w:lang w:val="pt-BR"/>
        </w:rPr>
        <w:t>𝑛</w:t>
      </w:r>
      <w:r w:rsidR="007E1C86" w:rsidRPr="007E1C86">
        <w:rPr>
          <w:rFonts w:ascii="Times New Roman" w:hAnsi="Times New Roman"/>
          <w:lang w:val="pt-BR"/>
        </w:rPr>
        <w:t xml:space="preserve"> é uma constante associada a diferentes tipos de transições eletrônicas. Foi considerado </w:t>
      </w:r>
      <w:r w:rsidR="007E1C86" w:rsidRPr="007B383D">
        <w:rPr>
          <w:rFonts w:ascii="Cambria Math" w:hAnsi="Cambria Math" w:cs="Cambria Math"/>
          <w:lang w:val="pt-BR"/>
        </w:rPr>
        <w:t>𝑛</w:t>
      </w:r>
      <w:r w:rsidR="007E1C86" w:rsidRPr="007E1C86">
        <w:rPr>
          <w:rFonts w:ascii="Times New Roman" w:hAnsi="Times New Roman"/>
          <w:lang w:val="pt-BR"/>
        </w:rPr>
        <w:t xml:space="preserve">=1/2 utilizado como semicondutor de espaçamento de banda direta </w:t>
      </w:r>
      <w:r w:rsidR="00DE68AE">
        <w:rPr>
          <w:rFonts w:ascii="Times New Roman" w:hAnsi="Times New Roman"/>
          <w:lang w:val="pt-BR"/>
        </w:rPr>
        <w:t>(16).</w:t>
      </w:r>
    </w:p>
    <w:p w14:paraId="23E61CA9" w14:textId="605A3158" w:rsidR="00023CED" w:rsidRDefault="007E1C86" w:rsidP="004F0CFA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 w:rsidRPr="007E1C86">
        <w:rPr>
          <w:rFonts w:ascii="Times New Roman" w:hAnsi="Times New Roman"/>
          <w:lang w:val="pt-BR"/>
        </w:rPr>
        <w:lastRenderedPageBreak/>
        <w:t xml:space="preserve">Na Figura </w:t>
      </w:r>
      <w:r>
        <w:rPr>
          <w:rFonts w:ascii="Times New Roman" w:hAnsi="Times New Roman"/>
          <w:lang w:val="pt-BR"/>
        </w:rPr>
        <w:t>5</w:t>
      </w:r>
      <w:r w:rsidRPr="007E1C86">
        <w:rPr>
          <w:rFonts w:ascii="Times New Roman" w:hAnsi="Times New Roman"/>
          <w:lang w:val="pt-BR"/>
        </w:rPr>
        <w:t xml:space="preserve"> são apresentados os valores de E</w:t>
      </w:r>
      <w:r w:rsidRPr="00F45AAA">
        <w:rPr>
          <w:rFonts w:ascii="Times New Roman" w:hAnsi="Times New Roman"/>
          <w:vertAlign w:val="subscript"/>
          <w:lang w:val="pt-BR"/>
        </w:rPr>
        <w:t>g</w:t>
      </w:r>
      <w:r w:rsidRPr="007E1C86">
        <w:rPr>
          <w:rFonts w:ascii="Times New Roman" w:hAnsi="Times New Roman"/>
          <w:lang w:val="pt-BR"/>
        </w:rPr>
        <w:t xml:space="preserve"> medidos para os polímeros PPARh</w:t>
      </w:r>
      <w:r w:rsidRPr="00EE329E">
        <w:rPr>
          <w:rFonts w:ascii="Times New Roman" w:hAnsi="Times New Roman"/>
          <w:vertAlign w:val="subscript"/>
          <w:lang w:val="pt-BR"/>
        </w:rPr>
        <w:t>1</w:t>
      </w:r>
      <w:r w:rsidRPr="007E1C86">
        <w:rPr>
          <w:rFonts w:ascii="Times New Roman" w:hAnsi="Times New Roman"/>
          <w:lang w:val="pt-BR"/>
        </w:rPr>
        <w:t>^5 (a) e PPAMSRh</w:t>
      </w:r>
      <w:r w:rsidRPr="00EE329E">
        <w:rPr>
          <w:rFonts w:ascii="Times New Roman" w:hAnsi="Times New Roman"/>
          <w:vertAlign w:val="subscript"/>
          <w:lang w:val="pt-BR"/>
        </w:rPr>
        <w:t>1</w:t>
      </w:r>
      <w:r w:rsidRPr="007E1C86">
        <w:rPr>
          <w:rFonts w:ascii="Times New Roman" w:hAnsi="Times New Roman"/>
          <w:lang w:val="pt-BR"/>
        </w:rPr>
        <w:t>^6 (b). Ambos foram escolhidos por apresentarem os melhores resultados de condutividade, e para que fosse investigado se o material mesoporoso tem influência no espaçamento entre bandas do material formado.</w:t>
      </w:r>
    </w:p>
    <w:p w14:paraId="4B153DBD" w14:textId="25CEB5DC" w:rsidR="00EE329E" w:rsidRDefault="004F0CFA" w:rsidP="004F0CFA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>
        <w:rPr>
          <w:noProof/>
        </w:rPr>
        <w:drawing>
          <wp:inline distT="0" distB="0" distL="0" distR="0" wp14:anchorId="06238C79" wp14:editId="4884E9E7">
            <wp:extent cx="3027680" cy="1193800"/>
            <wp:effectExtent l="0" t="0" r="0" b="0"/>
            <wp:docPr id="128625318" name="Imagem 1" descr="Fundo preto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5318" name="Imagem 1" descr="Fundo preto com letras brancas&#10;&#10;Descrição gerada automaticamente com confiança média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DD5B9" w14:textId="74833781" w:rsidR="00023CED" w:rsidRPr="00EE329E" w:rsidRDefault="00EE329E" w:rsidP="00EE329E">
      <w:pPr>
        <w:pStyle w:val="Legenda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EE329E">
        <w:rPr>
          <w:rFonts w:ascii="Times New Roman" w:hAnsi="Times New Roman" w:cs="Times New Roman"/>
          <w:color w:val="auto"/>
          <w:sz w:val="18"/>
          <w:szCs w:val="18"/>
        </w:rPr>
        <w:t xml:space="preserve">Figura 5. </w:t>
      </w:r>
      <w:r w:rsidR="00023CED" w:rsidRPr="00EE329E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Espectros de UV-Vis e valores de </w:t>
      </w:r>
      <m:oMath>
        <m:sSub>
          <m:sSubPr>
            <m:ctrlPr>
              <w:rPr>
                <w:rFonts w:ascii="Cambria Math" w:hAnsi="Cambria Math" w:cs="Times New Roman"/>
                <w:b w:val="0"/>
                <w:bCs w:val="0"/>
                <w:color w:val="auto"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18"/>
                <w:szCs w:val="18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18"/>
                <w:szCs w:val="18"/>
              </w:rPr>
              <m:t>g</m:t>
            </m:r>
          </m:sub>
        </m:sSub>
      </m:oMath>
      <w:r w:rsidR="00023CED" w:rsidRPr="00EE329E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medidos para PPARh</w:t>
      </w:r>
      <w:r w:rsidR="00023CED" w:rsidRPr="00EE329E">
        <w:rPr>
          <w:rFonts w:ascii="Times New Roman" w:hAnsi="Times New Roman" w:cs="Times New Roman"/>
          <w:b w:val="0"/>
          <w:bCs w:val="0"/>
          <w:color w:val="auto"/>
          <w:sz w:val="18"/>
          <w:szCs w:val="18"/>
          <w:vertAlign w:val="subscript"/>
        </w:rPr>
        <w:t>1</w:t>
      </w:r>
      <w:r w:rsidR="00023CED" w:rsidRPr="00EE329E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^5 (a) e PPAMSRh</w:t>
      </w:r>
      <w:r w:rsidR="00023CED" w:rsidRPr="00EE329E">
        <w:rPr>
          <w:rFonts w:ascii="Times New Roman" w:hAnsi="Times New Roman" w:cs="Times New Roman"/>
          <w:b w:val="0"/>
          <w:bCs w:val="0"/>
          <w:color w:val="auto"/>
          <w:sz w:val="18"/>
          <w:szCs w:val="18"/>
          <w:vertAlign w:val="subscript"/>
        </w:rPr>
        <w:t>1</w:t>
      </w:r>
      <w:r w:rsidR="00023CED" w:rsidRPr="00EE329E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^6 (b).</w:t>
      </w:r>
    </w:p>
    <w:p w14:paraId="7A253F3E" w14:textId="12A41F3D" w:rsidR="002D066B" w:rsidRPr="002D066B" w:rsidRDefault="002D066B" w:rsidP="002D066B">
      <w:pPr>
        <w:pStyle w:val="TAMainText"/>
        <w:rPr>
          <w:rFonts w:ascii="Times New Roman" w:hAnsi="Times New Roman"/>
          <w:lang w:val="pt-BR"/>
        </w:rPr>
      </w:pPr>
      <w:r w:rsidRPr="002D066B">
        <w:rPr>
          <w:rFonts w:ascii="Times New Roman" w:hAnsi="Times New Roman"/>
          <w:lang w:val="pt-BR"/>
        </w:rPr>
        <w:t>Os resultados mostram que tanto a absorção ótica exponencial quanto a energia de espaçamento entre bandas ópticas dependem do grau de desordem na estrutura do material. O valor de E</w:t>
      </w:r>
      <w:r w:rsidRPr="002D066B">
        <w:rPr>
          <w:rFonts w:ascii="Times New Roman" w:hAnsi="Times New Roman"/>
          <w:vertAlign w:val="subscript"/>
          <w:lang w:val="pt-BR"/>
        </w:rPr>
        <w:t>g</w:t>
      </w:r>
      <w:r w:rsidRPr="002D066B">
        <w:rPr>
          <w:rFonts w:ascii="Times New Roman" w:hAnsi="Times New Roman"/>
          <w:lang w:val="pt-BR"/>
        </w:rPr>
        <w:t xml:space="preserve"> calculado para o PPARh</w:t>
      </w:r>
      <w:r w:rsidRPr="002C5A11">
        <w:rPr>
          <w:rFonts w:ascii="Times New Roman" w:hAnsi="Times New Roman"/>
          <w:vertAlign w:val="subscript"/>
          <w:lang w:val="pt-BR"/>
        </w:rPr>
        <w:t>1</w:t>
      </w:r>
      <w:r w:rsidRPr="002D066B">
        <w:rPr>
          <w:rFonts w:ascii="Times New Roman" w:hAnsi="Times New Roman"/>
          <w:lang w:val="pt-BR"/>
        </w:rPr>
        <w:t xml:space="preserve">^5 foi de 2,13 eV, o que está de acordo com valores encontrados para </w:t>
      </w:r>
      <w:r w:rsidR="00D82DAC">
        <w:rPr>
          <w:rFonts w:ascii="Times New Roman" w:hAnsi="Times New Roman"/>
          <w:lang w:val="pt-BR"/>
        </w:rPr>
        <w:t>PPA</w:t>
      </w:r>
      <w:r w:rsidRPr="002D066B">
        <w:rPr>
          <w:rFonts w:ascii="Times New Roman" w:hAnsi="Times New Roman"/>
          <w:lang w:val="pt-BR"/>
        </w:rPr>
        <w:t xml:space="preserve"> sintetizados </w:t>
      </w:r>
      <w:r w:rsidR="005030B9">
        <w:rPr>
          <w:rFonts w:ascii="Times New Roman" w:hAnsi="Times New Roman"/>
          <w:lang w:val="pt-BR"/>
        </w:rPr>
        <w:t>(17)</w:t>
      </w:r>
      <w:r w:rsidRPr="002D066B">
        <w:rPr>
          <w:rFonts w:ascii="Times New Roman" w:hAnsi="Times New Roman"/>
          <w:lang w:val="pt-BR"/>
        </w:rPr>
        <w:t>. Comparando as amostras PPARh</w:t>
      </w:r>
      <w:r w:rsidRPr="005030B9">
        <w:rPr>
          <w:rFonts w:ascii="Times New Roman" w:hAnsi="Times New Roman"/>
          <w:vertAlign w:val="subscript"/>
          <w:lang w:val="pt-BR"/>
        </w:rPr>
        <w:t>1</w:t>
      </w:r>
      <w:r w:rsidRPr="002D066B">
        <w:rPr>
          <w:rFonts w:ascii="Times New Roman" w:hAnsi="Times New Roman"/>
          <w:lang w:val="pt-BR"/>
        </w:rPr>
        <w:t>^5 e PPAMSRh</w:t>
      </w:r>
      <w:r w:rsidRPr="005030B9">
        <w:rPr>
          <w:rFonts w:ascii="Times New Roman" w:hAnsi="Times New Roman"/>
          <w:vertAlign w:val="subscript"/>
          <w:lang w:val="pt-BR"/>
        </w:rPr>
        <w:t>1</w:t>
      </w:r>
      <w:r w:rsidRPr="002D066B">
        <w:rPr>
          <w:rFonts w:ascii="Times New Roman" w:hAnsi="Times New Roman"/>
          <w:lang w:val="pt-BR"/>
        </w:rPr>
        <w:t>^6, observamos um menor valor de E</w:t>
      </w:r>
      <w:r w:rsidRPr="002D066B">
        <w:rPr>
          <w:rFonts w:ascii="Times New Roman" w:hAnsi="Times New Roman"/>
          <w:vertAlign w:val="subscript"/>
          <w:lang w:val="pt-BR"/>
        </w:rPr>
        <w:t>g</w:t>
      </w:r>
      <w:r w:rsidRPr="002D066B">
        <w:rPr>
          <w:rFonts w:ascii="Times New Roman" w:hAnsi="Times New Roman"/>
          <w:lang w:val="pt-BR"/>
        </w:rPr>
        <w:t xml:space="preserve"> acompanhado por um menor coeficiente angular para a amostra PPAMSRh</w:t>
      </w:r>
      <w:r w:rsidRPr="005030B9">
        <w:rPr>
          <w:rFonts w:ascii="Times New Roman" w:hAnsi="Times New Roman"/>
          <w:vertAlign w:val="subscript"/>
          <w:lang w:val="pt-BR"/>
        </w:rPr>
        <w:t>1</w:t>
      </w:r>
      <w:r w:rsidRPr="002D066B">
        <w:rPr>
          <w:rFonts w:ascii="Times New Roman" w:hAnsi="Times New Roman"/>
          <w:lang w:val="pt-BR"/>
        </w:rPr>
        <w:t xml:space="preserve">^6. Esse comportamento indica que a MCM-41 promove a formação de defeitos ou distorções locais na estrutura do </w:t>
      </w:r>
      <w:r w:rsidR="005030B9">
        <w:rPr>
          <w:rFonts w:ascii="Times New Roman" w:hAnsi="Times New Roman"/>
          <w:lang w:val="pt-BR"/>
        </w:rPr>
        <w:t>PPA</w:t>
      </w:r>
      <w:r w:rsidRPr="002D066B">
        <w:rPr>
          <w:rFonts w:ascii="Times New Roman" w:hAnsi="Times New Roman"/>
          <w:lang w:val="pt-BR"/>
        </w:rPr>
        <w:t>, o que provoca redistribuição na densidade de estados e introduz estados eletrônicos intermediários de defeitos no espaçamento entre bandas.</w:t>
      </w:r>
    </w:p>
    <w:p w14:paraId="164E2D36" w14:textId="082AFE39" w:rsidR="007E1C86" w:rsidRDefault="002D066B" w:rsidP="0098039E">
      <w:pPr>
        <w:pStyle w:val="TAMainText"/>
        <w:rPr>
          <w:rFonts w:ascii="Times New Roman" w:hAnsi="Times New Roman"/>
          <w:lang w:val="pt-BR"/>
        </w:rPr>
      </w:pPr>
      <w:r w:rsidRPr="002D066B">
        <w:rPr>
          <w:rFonts w:ascii="Times New Roman" w:hAnsi="Times New Roman"/>
          <w:lang w:val="pt-BR"/>
        </w:rPr>
        <w:t>Em um estudo da influência da MCM-41 na fotocatálise que utilizava o compósito Fe</w:t>
      </w:r>
      <w:r w:rsidRPr="005030B9">
        <w:rPr>
          <w:rFonts w:ascii="Times New Roman" w:hAnsi="Times New Roman"/>
          <w:vertAlign w:val="subscript"/>
          <w:lang w:val="pt-BR"/>
        </w:rPr>
        <w:t>3</w:t>
      </w:r>
      <w:r w:rsidRPr="002D066B">
        <w:rPr>
          <w:rFonts w:ascii="Times New Roman" w:hAnsi="Times New Roman"/>
          <w:lang w:val="pt-BR"/>
        </w:rPr>
        <w:t>O</w:t>
      </w:r>
      <w:r w:rsidRPr="005030B9">
        <w:rPr>
          <w:rFonts w:ascii="Times New Roman" w:hAnsi="Times New Roman"/>
          <w:vertAlign w:val="subscript"/>
          <w:lang w:val="pt-BR"/>
        </w:rPr>
        <w:t>4</w:t>
      </w:r>
      <w:r w:rsidRPr="002D066B">
        <w:rPr>
          <w:rFonts w:ascii="Times New Roman" w:hAnsi="Times New Roman"/>
          <w:lang w:val="pt-BR"/>
        </w:rPr>
        <w:t xml:space="preserve">MCM-41/CuO, Sohrabnezhad e colaboradores </w:t>
      </w:r>
      <w:r w:rsidR="00B219FB">
        <w:rPr>
          <w:rFonts w:ascii="Times New Roman" w:hAnsi="Times New Roman"/>
          <w:lang w:val="pt-BR"/>
        </w:rPr>
        <w:t xml:space="preserve">(18) </w:t>
      </w:r>
      <w:r w:rsidRPr="002D066B">
        <w:rPr>
          <w:rFonts w:ascii="Times New Roman" w:hAnsi="Times New Roman"/>
          <w:lang w:val="pt-BR"/>
        </w:rPr>
        <w:t xml:space="preserve">demonstraram uma melhoria na atividade fotocatalítica além de um aumento na estabilidade do material como fotodegradante. A diminuição no valor de </w:t>
      </w:r>
      <w:r w:rsidR="001B398B" w:rsidRPr="002D066B">
        <w:rPr>
          <w:rFonts w:ascii="Times New Roman" w:hAnsi="Times New Roman"/>
          <w:lang w:val="pt-BR"/>
        </w:rPr>
        <w:t>E</w:t>
      </w:r>
      <w:r w:rsidR="001B398B" w:rsidRPr="00E06B17">
        <w:rPr>
          <w:rFonts w:ascii="Times New Roman" w:hAnsi="Times New Roman"/>
          <w:vertAlign w:val="subscript"/>
          <w:lang w:val="pt-BR"/>
        </w:rPr>
        <w:t>g</w:t>
      </w:r>
      <w:r w:rsidR="001B398B" w:rsidRPr="002D066B">
        <w:rPr>
          <w:rFonts w:ascii="Times New Roman" w:hAnsi="Times New Roman"/>
          <w:lang w:val="pt-BR"/>
        </w:rPr>
        <w:t xml:space="preserve"> </w:t>
      </w:r>
      <w:r w:rsidRPr="002D066B">
        <w:rPr>
          <w:rFonts w:ascii="Times New Roman" w:hAnsi="Times New Roman"/>
          <w:lang w:val="pt-BR"/>
        </w:rPr>
        <w:t xml:space="preserve">também pode ser explicada por defeitos mais profundos criados nas amostras pela adição de material mesoporoso na síntese do PPA. Portanto, a adição do material híbrido MCM-41/silil alquino reduziu o valor de </w:t>
      </w:r>
      <w:r w:rsidR="001B398B" w:rsidRPr="002D066B">
        <w:rPr>
          <w:rFonts w:ascii="Times New Roman" w:hAnsi="Times New Roman"/>
          <w:lang w:val="pt-BR"/>
        </w:rPr>
        <w:t>E</w:t>
      </w:r>
      <w:r w:rsidR="001B398B" w:rsidRPr="00E06B17">
        <w:rPr>
          <w:rFonts w:ascii="Times New Roman" w:hAnsi="Times New Roman"/>
          <w:vertAlign w:val="subscript"/>
          <w:lang w:val="pt-BR"/>
        </w:rPr>
        <w:t>g</w:t>
      </w:r>
      <w:r w:rsidRPr="002D066B">
        <w:rPr>
          <w:rFonts w:ascii="Times New Roman" w:hAnsi="Times New Roman"/>
          <w:lang w:val="pt-BR"/>
        </w:rPr>
        <w:t xml:space="preserve"> e também pode melhorar a atividade do PPA sob luz visível.</w:t>
      </w:r>
    </w:p>
    <w:p w14:paraId="41FEF3FB" w14:textId="77777777" w:rsidR="00B219FB" w:rsidRDefault="00B219FB" w:rsidP="0098039E">
      <w:pPr>
        <w:pStyle w:val="TAMainText"/>
        <w:rPr>
          <w:rFonts w:ascii="Times New Roman" w:hAnsi="Times New Roman"/>
          <w:lang w:val="pt-BR"/>
        </w:rPr>
      </w:pPr>
    </w:p>
    <w:p w14:paraId="16C438B5" w14:textId="411A43E4" w:rsidR="006A0CAC" w:rsidRDefault="00696E37" w:rsidP="002D066B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Propr</w:t>
      </w:r>
      <w:r w:rsidR="00C94E4F">
        <w:rPr>
          <w:rFonts w:ascii="Times New Roman" w:hAnsi="Times New Roman"/>
          <w:i/>
          <w:iCs/>
          <w:lang w:val="pt-BR"/>
        </w:rPr>
        <w:t>i</w:t>
      </w:r>
      <w:r>
        <w:rPr>
          <w:rFonts w:ascii="Times New Roman" w:hAnsi="Times New Roman"/>
          <w:i/>
          <w:iCs/>
          <w:lang w:val="pt-BR"/>
        </w:rPr>
        <w:t>edades Supercapacitivas de</w:t>
      </w:r>
      <w:r w:rsidR="006A0CAC" w:rsidRPr="006A0CAC">
        <w:rPr>
          <w:rFonts w:ascii="Times New Roman" w:hAnsi="Times New Roman"/>
          <w:i/>
          <w:iCs/>
          <w:lang w:val="pt-BR"/>
        </w:rPr>
        <w:t xml:space="preserve"> POMA/PPAMSRh</w:t>
      </w:r>
      <w:r w:rsidR="006A0CAC" w:rsidRPr="001B3445">
        <w:rPr>
          <w:rFonts w:ascii="Times New Roman" w:hAnsi="Times New Roman"/>
          <w:i/>
          <w:iCs/>
          <w:vertAlign w:val="subscript"/>
          <w:lang w:val="pt-BR"/>
        </w:rPr>
        <w:t>1</w:t>
      </w:r>
    </w:p>
    <w:p w14:paraId="2AFB11BC" w14:textId="3B5E41D8" w:rsidR="00DA30DC" w:rsidRDefault="000D0BA8" w:rsidP="0098039E">
      <w:pPr>
        <w:pStyle w:val="TAMainText"/>
        <w:rPr>
          <w:rFonts w:ascii="Times New Roman" w:hAnsi="Times New Roman"/>
          <w:lang w:val="pt-BR"/>
        </w:rPr>
      </w:pPr>
      <w:r w:rsidRPr="000D0BA8">
        <w:rPr>
          <w:rFonts w:ascii="Times New Roman" w:hAnsi="Times New Roman"/>
          <w:lang w:val="pt-BR"/>
        </w:rPr>
        <w:t>O polímero POMA</w:t>
      </w:r>
      <w:r>
        <w:rPr>
          <w:rFonts w:ascii="Times New Roman" w:hAnsi="Times New Roman"/>
          <w:lang w:val="pt-BR"/>
        </w:rPr>
        <w:t xml:space="preserve"> </w:t>
      </w:r>
      <w:r w:rsidRPr="000D0BA8">
        <w:rPr>
          <w:rFonts w:ascii="Times New Roman" w:hAnsi="Times New Roman"/>
          <w:lang w:val="pt-BR"/>
        </w:rPr>
        <w:t xml:space="preserve">foi escolhido para a realização dos testes em função de sua larga aplicação em eletrodos para capacitores </w:t>
      </w:r>
      <w:r w:rsidR="00E54038">
        <w:rPr>
          <w:rFonts w:ascii="Times New Roman" w:hAnsi="Times New Roman"/>
          <w:lang w:val="pt-BR"/>
        </w:rPr>
        <w:t>(19,20).</w:t>
      </w:r>
      <w:r w:rsidRPr="000D0BA8">
        <w:rPr>
          <w:rFonts w:ascii="Times New Roman" w:hAnsi="Times New Roman"/>
          <w:lang w:val="pt-BR"/>
        </w:rPr>
        <w:t xml:space="preserve"> O polímero PPAMSRh</w:t>
      </w:r>
      <w:r w:rsidRPr="00B219FB">
        <w:rPr>
          <w:rFonts w:ascii="Times New Roman" w:hAnsi="Times New Roman"/>
          <w:vertAlign w:val="subscript"/>
          <w:lang w:val="pt-BR"/>
        </w:rPr>
        <w:t>1</w:t>
      </w:r>
      <w:r w:rsidRPr="000D0BA8">
        <w:rPr>
          <w:rFonts w:ascii="Times New Roman" w:hAnsi="Times New Roman"/>
          <w:lang w:val="pt-BR"/>
        </w:rPr>
        <w:t xml:space="preserve"> foi </w:t>
      </w:r>
      <w:r w:rsidR="007B1CEE">
        <w:rPr>
          <w:rFonts w:ascii="Times New Roman" w:hAnsi="Times New Roman"/>
          <w:lang w:val="pt-BR"/>
        </w:rPr>
        <w:t>o que apresentou</w:t>
      </w:r>
      <w:r w:rsidR="00F17CB6">
        <w:rPr>
          <w:rFonts w:ascii="Times New Roman" w:hAnsi="Times New Roman"/>
          <w:lang w:val="pt-BR"/>
        </w:rPr>
        <w:t xml:space="preserve"> </w:t>
      </w:r>
      <w:r w:rsidRPr="000D0BA8">
        <w:rPr>
          <w:rFonts w:ascii="Times New Roman" w:hAnsi="Times New Roman"/>
          <w:lang w:val="pt-BR"/>
        </w:rPr>
        <w:t>o melhor valor de condutividade dentre os polímeros obtidos com o catalisador de ródio.</w:t>
      </w:r>
    </w:p>
    <w:p w14:paraId="372BFDFC" w14:textId="12AC0EB9" w:rsidR="00D608C6" w:rsidRDefault="00D608C6" w:rsidP="00D608C6">
      <w:pPr>
        <w:pStyle w:val="TAMainText"/>
        <w:rPr>
          <w:rFonts w:ascii="Times New Roman" w:hAnsi="Times New Roman"/>
          <w:lang w:val="pt-BR"/>
        </w:rPr>
      </w:pPr>
      <w:r w:rsidRPr="00D608C6">
        <w:rPr>
          <w:rFonts w:ascii="Times New Roman" w:hAnsi="Times New Roman"/>
          <w:lang w:val="pt-BR"/>
        </w:rPr>
        <w:t>Foram avaliadas diferentes relações mássicas de POMA/PPAMSRh</w:t>
      </w:r>
      <w:r w:rsidRPr="001804D7">
        <w:rPr>
          <w:rFonts w:ascii="Times New Roman" w:hAnsi="Times New Roman"/>
          <w:vertAlign w:val="subscript"/>
          <w:lang w:val="pt-BR"/>
        </w:rPr>
        <w:t>1</w:t>
      </w:r>
      <w:r w:rsidRPr="00D608C6">
        <w:rPr>
          <w:rFonts w:ascii="Times New Roman" w:hAnsi="Times New Roman"/>
          <w:lang w:val="pt-BR"/>
        </w:rPr>
        <w:t>^6</w:t>
      </w:r>
      <w:r>
        <w:rPr>
          <w:rFonts w:ascii="Times New Roman" w:hAnsi="Times New Roman"/>
          <w:lang w:val="pt-BR"/>
        </w:rPr>
        <w:t xml:space="preserve"> </w:t>
      </w:r>
      <w:r w:rsidRPr="00D608C6">
        <w:rPr>
          <w:rFonts w:ascii="Times New Roman" w:hAnsi="Times New Roman"/>
          <w:lang w:val="pt-BR"/>
        </w:rPr>
        <w:t xml:space="preserve">(Figura </w:t>
      </w:r>
      <w:r>
        <w:rPr>
          <w:rFonts w:ascii="Times New Roman" w:hAnsi="Times New Roman"/>
          <w:lang w:val="pt-BR"/>
        </w:rPr>
        <w:t>6</w:t>
      </w:r>
      <w:r w:rsidRPr="00D608C6">
        <w:rPr>
          <w:rFonts w:ascii="Times New Roman" w:hAnsi="Times New Roman"/>
          <w:lang w:val="pt-BR"/>
        </w:rPr>
        <w:t>) através de voltametria cíclica (VC), e o melhor resultado foi obtido com 20 mg de POMA e 5 mg de PPAMSRh</w:t>
      </w:r>
      <w:r w:rsidRPr="001804D7">
        <w:rPr>
          <w:rFonts w:ascii="Times New Roman" w:hAnsi="Times New Roman"/>
          <w:vertAlign w:val="subscript"/>
          <w:lang w:val="pt-BR"/>
        </w:rPr>
        <w:t>1</w:t>
      </w:r>
      <w:r w:rsidRPr="00D608C6">
        <w:rPr>
          <w:rFonts w:ascii="Times New Roman" w:hAnsi="Times New Roman"/>
          <w:lang w:val="pt-BR"/>
        </w:rPr>
        <w:t>^6. Os ensaios foram realizados utilizando uma célula de vidro, um eletrodo de referência de Ag e um eletrodo auxiliar de Pt em uma solução 0,1 mol</w:t>
      </w:r>
      <w:r w:rsidR="001804D7">
        <w:rPr>
          <w:rFonts w:ascii="Times New Roman" w:hAnsi="Times New Roman"/>
          <w:lang w:val="pt-BR"/>
        </w:rPr>
        <w:t xml:space="preserve"> </w:t>
      </w:r>
      <w:r w:rsidRPr="00D608C6">
        <w:rPr>
          <w:rFonts w:ascii="Times New Roman" w:hAnsi="Times New Roman"/>
          <w:lang w:val="pt-BR"/>
        </w:rPr>
        <w:t>L</w:t>
      </w:r>
      <w:r w:rsidR="001804D7" w:rsidRPr="001804D7">
        <w:rPr>
          <w:rFonts w:ascii="Times New Roman" w:hAnsi="Times New Roman"/>
          <w:vertAlign w:val="superscript"/>
          <w:lang w:val="pt-BR"/>
        </w:rPr>
        <w:t>-1</w:t>
      </w:r>
      <w:r w:rsidRPr="00D608C6">
        <w:rPr>
          <w:rFonts w:ascii="Times New Roman" w:hAnsi="Times New Roman"/>
          <w:lang w:val="pt-BR"/>
        </w:rPr>
        <w:t xml:space="preserve"> de LiClO</w:t>
      </w:r>
      <w:r w:rsidRPr="001804D7">
        <w:rPr>
          <w:rFonts w:ascii="Times New Roman" w:hAnsi="Times New Roman"/>
          <w:vertAlign w:val="subscript"/>
          <w:lang w:val="pt-BR"/>
        </w:rPr>
        <w:t>4</w:t>
      </w:r>
      <w:r w:rsidRPr="00D608C6">
        <w:rPr>
          <w:rFonts w:ascii="Times New Roman" w:hAnsi="Times New Roman"/>
          <w:lang w:val="pt-BR"/>
        </w:rPr>
        <w:t xml:space="preserve"> em etilenoglicol. O </w:t>
      </w:r>
      <w:r w:rsidR="00F17CB6">
        <w:rPr>
          <w:rFonts w:ascii="Times New Roman" w:hAnsi="Times New Roman"/>
          <w:lang w:val="pt-BR"/>
        </w:rPr>
        <w:t>VC</w:t>
      </w:r>
      <w:r w:rsidRPr="00D608C6">
        <w:rPr>
          <w:rFonts w:ascii="Times New Roman" w:hAnsi="Times New Roman"/>
          <w:lang w:val="pt-BR"/>
        </w:rPr>
        <w:t xml:space="preserve"> foi </w:t>
      </w:r>
      <w:r w:rsidRPr="00D608C6">
        <w:rPr>
          <w:rFonts w:ascii="Times New Roman" w:hAnsi="Times New Roman"/>
          <w:lang w:val="pt-BR"/>
        </w:rPr>
        <w:t>gerado após 100 ciclos de carga/descarga a 10 mV</w:t>
      </w:r>
      <w:r w:rsidR="001804D7">
        <w:rPr>
          <w:rFonts w:ascii="Times New Roman" w:hAnsi="Times New Roman"/>
          <w:lang w:val="pt-BR"/>
        </w:rPr>
        <w:t xml:space="preserve"> </w:t>
      </w:r>
      <w:r w:rsidRPr="00D608C6">
        <w:rPr>
          <w:rFonts w:ascii="Times New Roman" w:hAnsi="Times New Roman"/>
          <w:lang w:val="pt-BR"/>
        </w:rPr>
        <w:t>s</w:t>
      </w:r>
      <w:r w:rsidR="001804D7" w:rsidRPr="001804D7">
        <w:rPr>
          <w:rFonts w:ascii="Times New Roman" w:hAnsi="Times New Roman"/>
          <w:vertAlign w:val="superscript"/>
          <w:lang w:val="pt-BR"/>
        </w:rPr>
        <w:t>-1</w:t>
      </w:r>
      <w:r w:rsidRPr="00D608C6">
        <w:rPr>
          <w:rFonts w:ascii="Times New Roman" w:hAnsi="Times New Roman"/>
          <w:lang w:val="pt-BR"/>
        </w:rPr>
        <w:t xml:space="preserve"> na janela de potencial de 0,20 V a 0,10 V.</w:t>
      </w:r>
    </w:p>
    <w:p w14:paraId="7E1CEA1D" w14:textId="6AFC8500" w:rsidR="00C52941" w:rsidRDefault="00A74788" w:rsidP="0098039E">
      <w:pPr>
        <w:pStyle w:val="TAMainText"/>
        <w:rPr>
          <w:rFonts w:ascii="Times New Roman" w:hAnsi="Times New Roman"/>
          <w:lang w:val="pt-BR"/>
        </w:rPr>
      </w:pPr>
      <w:r w:rsidRPr="0098039E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8479" behindDoc="0" locked="0" layoutInCell="1" allowOverlap="1" wp14:anchorId="1B7ADB86" wp14:editId="29352676">
            <wp:simplePos x="0" y="0"/>
            <wp:positionH relativeFrom="column">
              <wp:posOffset>575202</wp:posOffset>
            </wp:positionH>
            <wp:positionV relativeFrom="paragraph">
              <wp:posOffset>80227</wp:posOffset>
            </wp:positionV>
            <wp:extent cx="1669415" cy="1527175"/>
            <wp:effectExtent l="0" t="0" r="0" b="0"/>
            <wp:wrapThrough wrapText="bothSides">
              <wp:wrapPolygon edited="0">
                <wp:start x="986" y="0"/>
                <wp:lineTo x="986" y="6107"/>
                <wp:lineTo x="164" y="8981"/>
                <wp:lineTo x="0" y="9341"/>
                <wp:lineTo x="164" y="11316"/>
                <wp:lineTo x="986" y="11855"/>
                <wp:lineTo x="986" y="17424"/>
                <wp:lineTo x="1808" y="17603"/>
                <wp:lineTo x="986" y="19220"/>
                <wp:lineTo x="1808" y="19759"/>
                <wp:lineTo x="10681" y="20477"/>
                <wp:lineTo x="9695" y="20477"/>
                <wp:lineTo x="9366" y="20657"/>
                <wp:lineTo x="9366" y="21375"/>
                <wp:lineTo x="12817" y="21375"/>
                <wp:lineTo x="12981" y="20657"/>
                <wp:lineTo x="17747" y="20477"/>
                <wp:lineTo x="21362" y="19579"/>
                <wp:lineTo x="21362" y="539"/>
                <wp:lineTo x="20376" y="359"/>
                <wp:lineTo x="2300" y="0"/>
                <wp:lineTo x="986" y="0"/>
              </wp:wrapPolygon>
            </wp:wrapThrough>
            <wp:docPr id="1796083421" name="Imagem 1" descr="Fundo preto com letras vermelh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83421" name="Imagem 1" descr="Fundo preto com letras vermelhas&#10;&#10;Descrição gerada automaticamente com confiança média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E444C" w14:textId="04AFE54E" w:rsidR="00C52941" w:rsidRDefault="00C52941" w:rsidP="0098039E">
      <w:pPr>
        <w:pStyle w:val="TAMainText"/>
        <w:rPr>
          <w:rFonts w:ascii="Times New Roman" w:hAnsi="Times New Roman"/>
          <w:lang w:val="pt-BR"/>
        </w:rPr>
      </w:pPr>
    </w:p>
    <w:p w14:paraId="7E61EFB7" w14:textId="0BF68E7D" w:rsidR="00C52941" w:rsidRDefault="00C52941" w:rsidP="0098039E">
      <w:pPr>
        <w:pStyle w:val="TAMainText"/>
        <w:rPr>
          <w:rFonts w:ascii="Times New Roman" w:hAnsi="Times New Roman"/>
          <w:lang w:val="pt-BR"/>
        </w:rPr>
      </w:pPr>
    </w:p>
    <w:p w14:paraId="5319042E" w14:textId="7615D3A7" w:rsidR="00C52941" w:rsidRDefault="00C52941" w:rsidP="0098039E">
      <w:pPr>
        <w:pStyle w:val="TAMainText"/>
        <w:rPr>
          <w:rFonts w:ascii="Times New Roman" w:hAnsi="Times New Roman"/>
          <w:lang w:val="pt-BR"/>
        </w:rPr>
      </w:pPr>
    </w:p>
    <w:p w14:paraId="1153C5D2" w14:textId="41FF072C" w:rsidR="00C52941" w:rsidRDefault="00C52941" w:rsidP="0098039E">
      <w:pPr>
        <w:pStyle w:val="TAMainText"/>
        <w:rPr>
          <w:rFonts w:ascii="Times New Roman" w:hAnsi="Times New Roman"/>
          <w:lang w:val="pt-BR"/>
        </w:rPr>
      </w:pPr>
    </w:p>
    <w:p w14:paraId="791BD95D" w14:textId="050DF69A" w:rsidR="00C52941" w:rsidRDefault="00C52941" w:rsidP="0098039E">
      <w:pPr>
        <w:pStyle w:val="TAMainText"/>
        <w:rPr>
          <w:rFonts w:ascii="Times New Roman" w:hAnsi="Times New Roman"/>
          <w:lang w:val="pt-BR"/>
        </w:rPr>
      </w:pPr>
    </w:p>
    <w:p w14:paraId="7EFB4180" w14:textId="77777777" w:rsidR="00C52941" w:rsidRDefault="00C52941" w:rsidP="0098039E">
      <w:pPr>
        <w:pStyle w:val="TAMainText"/>
        <w:rPr>
          <w:rFonts w:ascii="Times New Roman" w:hAnsi="Times New Roman"/>
          <w:lang w:val="pt-BR"/>
        </w:rPr>
      </w:pPr>
    </w:p>
    <w:p w14:paraId="6DE6EA73" w14:textId="1D96288B" w:rsidR="00C52941" w:rsidRDefault="00C52941" w:rsidP="0098039E">
      <w:pPr>
        <w:pStyle w:val="TAMainText"/>
        <w:rPr>
          <w:rFonts w:ascii="Times New Roman" w:hAnsi="Times New Roman"/>
          <w:lang w:val="pt-BR"/>
        </w:rPr>
      </w:pPr>
    </w:p>
    <w:p w14:paraId="4908E5A8" w14:textId="77777777" w:rsidR="00C52941" w:rsidRDefault="00C52941" w:rsidP="0098039E">
      <w:pPr>
        <w:pStyle w:val="TAMainText"/>
        <w:rPr>
          <w:rFonts w:ascii="Times New Roman" w:hAnsi="Times New Roman"/>
          <w:lang w:val="pt-BR"/>
        </w:rPr>
      </w:pPr>
    </w:p>
    <w:p w14:paraId="627EC5B5" w14:textId="77777777" w:rsidR="00C52941" w:rsidRDefault="00C52941" w:rsidP="0098039E">
      <w:pPr>
        <w:pStyle w:val="TAMainText"/>
        <w:rPr>
          <w:rFonts w:ascii="Times New Roman" w:hAnsi="Times New Roman"/>
          <w:lang w:val="pt-BR"/>
        </w:rPr>
      </w:pPr>
    </w:p>
    <w:p w14:paraId="7BBD3CFE" w14:textId="77777777" w:rsidR="00E720FD" w:rsidRDefault="00E720FD" w:rsidP="00E720FD">
      <w:pPr>
        <w:pStyle w:val="TAMainText"/>
        <w:ind w:firstLine="0"/>
        <w:rPr>
          <w:rFonts w:ascii="Times New Roman" w:hAnsi="Times New Roman"/>
          <w:lang w:val="pt-BR"/>
        </w:rPr>
      </w:pPr>
    </w:p>
    <w:p w14:paraId="0B1C5368" w14:textId="3B4C5DF4" w:rsidR="00C52941" w:rsidRPr="00D82DAC" w:rsidRDefault="001122F3" w:rsidP="00E720FD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D82DAC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 w:rsidR="0010508B" w:rsidRPr="00D82DAC">
        <w:rPr>
          <w:rFonts w:ascii="Times New Roman" w:hAnsi="Times New Roman"/>
          <w:b/>
          <w:bCs/>
          <w:sz w:val="18"/>
          <w:szCs w:val="18"/>
          <w:lang w:val="pt-BR"/>
        </w:rPr>
        <w:t>6.</w:t>
      </w:r>
      <w:r w:rsidR="0010508B" w:rsidRPr="00D82DAC">
        <w:rPr>
          <w:rFonts w:ascii="Times New Roman" w:hAnsi="Times New Roman"/>
          <w:sz w:val="18"/>
          <w:szCs w:val="18"/>
          <w:lang w:val="pt-BR"/>
        </w:rPr>
        <w:t xml:space="preserve"> VC</w:t>
      </w:r>
      <w:r w:rsidRPr="00D82DAC">
        <w:rPr>
          <w:rFonts w:ascii="Times New Roman" w:hAnsi="Times New Roman"/>
          <w:sz w:val="18"/>
          <w:szCs w:val="18"/>
          <w:lang w:val="pt-BR"/>
        </w:rPr>
        <w:t xml:space="preserve"> para amostras POMA/PPAMSRh</w:t>
      </w:r>
      <w:r w:rsidRPr="001804D7">
        <w:rPr>
          <w:rFonts w:ascii="Times New Roman" w:hAnsi="Times New Roman"/>
          <w:sz w:val="18"/>
          <w:szCs w:val="18"/>
          <w:vertAlign w:val="subscript"/>
          <w:lang w:val="pt-BR"/>
        </w:rPr>
        <w:t>1</w:t>
      </w:r>
      <w:r w:rsidRPr="00D82DAC">
        <w:rPr>
          <w:rFonts w:ascii="Times New Roman" w:hAnsi="Times New Roman"/>
          <w:sz w:val="18"/>
          <w:szCs w:val="18"/>
          <w:lang w:val="pt-BR"/>
        </w:rPr>
        <w:t>^6</w:t>
      </w:r>
      <w:r w:rsidR="008D4DF3" w:rsidRPr="00D82DAC">
        <w:rPr>
          <w:rFonts w:ascii="Times New Roman" w:hAnsi="Times New Roman"/>
          <w:sz w:val="18"/>
          <w:szCs w:val="18"/>
          <w:lang w:val="pt-BR"/>
        </w:rPr>
        <w:t xml:space="preserve"> a 10 mV s</w:t>
      </w:r>
      <w:r w:rsidR="008D4DF3" w:rsidRPr="00D82DAC">
        <w:rPr>
          <w:rFonts w:ascii="Times New Roman" w:hAnsi="Times New Roman"/>
          <w:sz w:val="18"/>
          <w:szCs w:val="18"/>
          <w:vertAlign w:val="superscript"/>
          <w:lang w:val="pt-BR"/>
        </w:rPr>
        <w:t>-1</w:t>
      </w:r>
      <w:r w:rsidRPr="00D82DAC">
        <w:rPr>
          <w:rFonts w:ascii="Times New Roman" w:hAnsi="Times New Roman"/>
          <w:sz w:val="18"/>
          <w:szCs w:val="18"/>
          <w:lang w:val="pt-BR"/>
        </w:rPr>
        <w:t>.</w:t>
      </w:r>
    </w:p>
    <w:p w14:paraId="370DA1C5" w14:textId="62357D79" w:rsidR="00C52941" w:rsidRDefault="00C2237C" w:rsidP="00C75E81">
      <w:pPr>
        <w:pStyle w:val="TAMainText"/>
        <w:rPr>
          <w:rFonts w:ascii="Times New Roman" w:hAnsi="Times New Roman"/>
          <w:lang w:val="pt-BR"/>
        </w:rPr>
      </w:pPr>
      <w:r w:rsidRPr="00C2237C">
        <w:rPr>
          <w:rFonts w:ascii="Times New Roman" w:hAnsi="Times New Roman"/>
          <w:lang w:val="pt-BR"/>
        </w:rPr>
        <w:t xml:space="preserve">Para verificar se a propriedade capacitiva extraordinária do POMA/PPAMSRh1^6 é real, comparamos este resultado com o resultado do eletrodo POMA puro nas mesmas condições, Figura </w:t>
      </w:r>
      <w:r>
        <w:rPr>
          <w:rFonts w:ascii="Times New Roman" w:hAnsi="Times New Roman"/>
          <w:lang w:val="pt-BR"/>
        </w:rPr>
        <w:t>7</w:t>
      </w:r>
      <w:r w:rsidRPr="00C2237C">
        <w:rPr>
          <w:rFonts w:ascii="Times New Roman" w:hAnsi="Times New Roman"/>
          <w:lang w:val="pt-BR"/>
        </w:rPr>
        <w:t xml:space="preserve">. Como mostrado, as curvas CV são formas praticamente retangulares, que estão associadas com o comportamento capacitivo ideal de um capacitor </w:t>
      </w:r>
      <w:r w:rsidR="00D73F3D">
        <w:rPr>
          <w:rFonts w:ascii="Times New Roman" w:hAnsi="Times New Roman"/>
          <w:lang w:val="pt-BR"/>
        </w:rPr>
        <w:t>(</w:t>
      </w:r>
      <w:r w:rsidRPr="00C75E81">
        <w:rPr>
          <w:rFonts w:ascii="Times New Roman" w:hAnsi="Times New Roman"/>
          <w:lang w:val="pt-BR"/>
        </w:rPr>
        <w:t>2</w:t>
      </w:r>
      <w:r w:rsidR="00D73F3D">
        <w:rPr>
          <w:rFonts w:ascii="Times New Roman" w:hAnsi="Times New Roman"/>
          <w:lang w:val="pt-BR"/>
        </w:rPr>
        <w:t>1)</w:t>
      </w:r>
      <w:r w:rsidRPr="00C2237C">
        <w:rPr>
          <w:rFonts w:ascii="Times New Roman" w:hAnsi="Times New Roman"/>
          <w:lang w:val="pt-BR"/>
        </w:rPr>
        <w:t>. A amostra POMA/PPAMSRh</w:t>
      </w:r>
      <w:r w:rsidRPr="00D73F3D">
        <w:rPr>
          <w:rFonts w:ascii="Times New Roman" w:hAnsi="Times New Roman"/>
          <w:vertAlign w:val="subscript"/>
          <w:lang w:val="pt-BR"/>
        </w:rPr>
        <w:t>1</w:t>
      </w:r>
      <w:r w:rsidRPr="00C2237C">
        <w:rPr>
          <w:rFonts w:ascii="Times New Roman" w:hAnsi="Times New Roman"/>
          <w:lang w:val="pt-BR"/>
        </w:rPr>
        <w:t>^6 apresentou uma reversão da varredura de potencial com um ângulo mais próximo de 90° em relação à curva do POMA puro, indicando que o POMA/PPAMSRh</w:t>
      </w:r>
      <w:r w:rsidRPr="00D73F3D">
        <w:rPr>
          <w:rFonts w:ascii="Times New Roman" w:hAnsi="Times New Roman"/>
          <w:vertAlign w:val="subscript"/>
          <w:lang w:val="pt-BR"/>
        </w:rPr>
        <w:t>1</w:t>
      </w:r>
      <w:r w:rsidRPr="00C2237C">
        <w:rPr>
          <w:rFonts w:ascii="Times New Roman" w:hAnsi="Times New Roman"/>
          <w:lang w:val="pt-BR"/>
        </w:rPr>
        <w:t>^6 apresentou menor resistência de contato entre a solução e o eletrodo.</w:t>
      </w:r>
    </w:p>
    <w:p w14:paraId="6A34DABE" w14:textId="65663033" w:rsidR="00507677" w:rsidRDefault="001C2EC1" w:rsidP="000D0BA8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noProof/>
        </w:rPr>
        <w:drawing>
          <wp:anchor distT="0" distB="0" distL="114300" distR="114300" simplePos="0" relativeHeight="251669503" behindDoc="0" locked="0" layoutInCell="1" allowOverlap="1" wp14:anchorId="49AA3555" wp14:editId="6A19A9B3">
            <wp:simplePos x="0" y="0"/>
            <wp:positionH relativeFrom="column">
              <wp:posOffset>652780</wp:posOffset>
            </wp:positionH>
            <wp:positionV relativeFrom="paragraph">
              <wp:posOffset>61595</wp:posOffset>
            </wp:positionV>
            <wp:extent cx="1903095" cy="1418590"/>
            <wp:effectExtent l="0" t="0" r="1905" b="3810"/>
            <wp:wrapThrough wrapText="bothSides">
              <wp:wrapPolygon edited="0">
                <wp:start x="2306" y="0"/>
                <wp:lineTo x="1586" y="967"/>
                <wp:lineTo x="1297" y="6575"/>
                <wp:lineTo x="432" y="8702"/>
                <wp:lineTo x="432" y="11409"/>
                <wp:lineTo x="1153" y="12763"/>
                <wp:lineTo x="2162" y="12763"/>
                <wp:lineTo x="1297" y="13923"/>
                <wp:lineTo x="1153" y="17404"/>
                <wp:lineTo x="2306" y="18951"/>
                <wp:lineTo x="4036" y="19918"/>
                <wp:lineTo x="9081" y="21465"/>
                <wp:lineTo x="12973" y="21465"/>
                <wp:lineTo x="15279" y="21078"/>
                <wp:lineTo x="20613" y="19531"/>
                <wp:lineTo x="21189" y="18951"/>
                <wp:lineTo x="21477" y="17984"/>
                <wp:lineTo x="21477" y="0"/>
                <wp:lineTo x="2306" y="0"/>
              </wp:wrapPolygon>
            </wp:wrapThrough>
            <wp:docPr id="1430844059" name="Imagem 1" descr="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44059" name="Imagem 1" descr="Forma&#10;&#10;Descrição gerada automaticament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262F9" w14:textId="7AC3F64A" w:rsidR="00C52941" w:rsidRDefault="00C52941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7D64314C" w14:textId="0B1725DD" w:rsidR="00C52941" w:rsidRDefault="00C52941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0A8C0497" w14:textId="103BE8FF" w:rsidR="00C52941" w:rsidRDefault="00C52941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5B32B50E" w14:textId="707969D1" w:rsidR="00C52941" w:rsidRDefault="00C52941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3DEFB1C7" w14:textId="01DBFBF2" w:rsidR="00C52941" w:rsidRDefault="00C52941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74278876" w14:textId="561C800E" w:rsidR="00C52941" w:rsidRDefault="00C52941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5CA6CA76" w14:textId="4DCB18D9" w:rsidR="00C52941" w:rsidRDefault="00C52941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17717D50" w14:textId="77777777" w:rsidR="00C52941" w:rsidRDefault="00C52941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428050E1" w14:textId="142170A1" w:rsidR="001C2EC1" w:rsidRDefault="001C2EC1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315D5066" w14:textId="74548D11" w:rsidR="001B3445" w:rsidRPr="0010508B" w:rsidRDefault="001B3445" w:rsidP="001B3445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10508B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>
        <w:rPr>
          <w:rFonts w:ascii="Times New Roman" w:hAnsi="Times New Roman"/>
          <w:b/>
          <w:bCs/>
          <w:sz w:val="18"/>
          <w:szCs w:val="18"/>
          <w:lang w:val="pt-BR"/>
        </w:rPr>
        <w:t>7</w:t>
      </w:r>
      <w:r w:rsidRPr="0010508B">
        <w:rPr>
          <w:rFonts w:ascii="Times New Roman" w:hAnsi="Times New Roman"/>
          <w:b/>
          <w:bCs/>
          <w:sz w:val="18"/>
          <w:szCs w:val="18"/>
          <w:lang w:val="pt-BR"/>
        </w:rPr>
        <w:t>.</w:t>
      </w:r>
      <w:r>
        <w:rPr>
          <w:rFonts w:ascii="Times New Roman" w:hAnsi="Times New Roman"/>
          <w:b/>
          <w:bCs/>
          <w:sz w:val="18"/>
          <w:szCs w:val="18"/>
          <w:lang w:val="pt-BR"/>
        </w:rPr>
        <w:t xml:space="preserve"> </w:t>
      </w:r>
      <w:r>
        <w:rPr>
          <w:rFonts w:ascii="Times New Roman" w:hAnsi="Times New Roman"/>
          <w:sz w:val="18"/>
          <w:szCs w:val="18"/>
          <w:lang w:val="pt-BR"/>
        </w:rPr>
        <w:t>VC</w:t>
      </w:r>
      <w:r w:rsidRPr="0010508B">
        <w:rPr>
          <w:rFonts w:ascii="Times New Roman" w:hAnsi="Times New Roman"/>
          <w:sz w:val="18"/>
          <w:szCs w:val="18"/>
          <w:lang w:val="pt-BR"/>
        </w:rPr>
        <w:t xml:space="preserve"> para amostras</w:t>
      </w:r>
      <w:r w:rsidR="00171C21">
        <w:rPr>
          <w:rFonts w:ascii="Times New Roman" w:hAnsi="Times New Roman"/>
          <w:sz w:val="18"/>
          <w:szCs w:val="18"/>
          <w:lang w:val="pt-BR"/>
        </w:rPr>
        <w:t xml:space="preserve"> de POMA e </w:t>
      </w:r>
      <w:r w:rsidRPr="0010508B">
        <w:rPr>
          <w:rFonts w:ascii="Times New Roman" w:hAnsi="Times New Roman"/>
          <w:sz w:val="18"/>
          <w:szCs w:val="18"/>
          <w:lang w:val="pt-BR"/>
        </w:rPr>
        <w:t>POMA/PPAMSRh</w:t>
      </w:r>
      <w:r w:rsidRPr="0010508B">
        <w:rPr>
          <w:rFonts w:ascii="Times New Roman" w:hAnsi="Times New Roman"/>
          <w:sz w:val="18"/>
          <w:szCs w:val="18"/>
          <w:vertAlign w:val="subscript"/>
          <w:lang w:val="pt-BR"/>
        </w:rPr>
        <w:t>1</w:t>
      </w:r>
      <w:r w:rsidRPr="0010508B">
        <w:rPr>
          <w:rFonts w:ascii="Times New Roman" w:hAnsi="Times New Roman"/>
          <w:sz w:val="18"/>
          <w:szCs w:val="18"/>
          <w:lang w:val="pt-BR"/>
        </w:rPr>
        <w:t>^6</w:t>
      </w:r>
      <w:r>
        <w:rPr>
          <w:rFonts w:ascii="Times New Roman" w:hAnsi="Times New Roman"/>
          <w:sz w:val="18"/>
          <w:szCs w:val="18"/>
          <w:lang w:val="pt-BR"/>
        </w:rPr>
        <w:t xml:space="preserve"> </w:t>
      </w:r>
    </w:p>
    <w:p w14:paraId="073CF29D" w14:textId="03CFC970" w:rsidR="001C2EC1" w:rsidRPr="000A601F" w:rsidRDefault="00C75E81" w:rsidP="00C75E81">
      <w:pPr>
        <w:pStyle w:val="TAMainText"/>
        <w:rPr>
          <w:rFonts w:ascii="Times New Roman" w:hAnsi="Times New Roman"/>
          <w:lang w:val="pt-BR"/>
        </w:rPr>
      </w:pPr>
      <w:r w:rsidRPr="000A601F">
        <w:rPr>
          <w:rFonts w:ascii="Times New Roman" w:hAnsi="Times New Roman"/>
          <w:lang w:val="pt-BR"/>
        </w:rPr>
        <w:t xml:space="preserve">A capacitância </w:t>
      </w:r>
      <w:r w:rsidR="000A601F">
        <w:rPr>
          <w:rFonts w:ascii="Times New Roman" w:hAnsi="Times New Roman"/>
          <w:lang w:val="pt-BR"/>
        </w:rPr>
        <w:t xml:space="preserve">específica </w:t>
      </w:r>
      <w:r w:rsidR="00D85128" w:rsidRPr="000A601F">
        <w:rPr>
          <w:rFonts w:ascii="Times New Roman" w:hAnsi="Times New Roman"/>
          <w:lang w:val="pt-BR"/>
        </w:rPr>
        <w:t>C</w:t>
      </w:r>
      <w:r w:rsidR="00D85128" w:rsidRPr="00D85128">
        <w:rPr>
          <w:rFonts w:ascii="Times New Roman" w:hAnsi="Times New Roman"/>
          <w:vertAlign w:val="subscript"/>
          <w:lang w:val="pt-BR"/>
        </w:rPr>
        <w:t>m</w:t>
      </w:r>
      <w:r w:rsidR="00D85128" w:rsidRPr="000A601F">
        <w:rPr>
          <w:rFonts w:ascii="Times New Roman" w:hAnsi="Times New Roman"/>
          <w:lang w:val="pt-BR"/>
        </w:rPr>
        <w:t xml:space="preserve"> </w:t>
      </w:r>
      <w:r w:rsidR="000A601F" w:rsidRPr="000A601F">
        <w:rPr>
          <w:rFonts w:ascii="Times New Roman" w:hAnsi="Times New Roman"/>
          <w:lang w:val="pt-BR"/>
        </w:rPr>
        <w:t>(F/g)</w:t>
      </w:r>
      <w:r w:rsidR="000A601F">
        <w:rPr>
          <w:rFonts w:ascii="Times New Roman" w:hAnsi="Times New Roman"/>
          <w:lang w:val="pt-BR"/>
        </w:rPr>
        <w:t xml:space="preserve"> </w:t>
      </w:r>
      <w:r w:rsidRPr="000A601F">
        <w:rPr>
          <w:rFonts w:ascii="Times New Roman" w:hAnsi="Times New Roman"/>
          <w:lang w:val="pt-BR"/>
        </w:rPr>
        <w:t xml:space="preserve">da célula foi calculada </w:t>
      </w:r>
      <w:r w:rsidR="000A601F" w:rsidRPr="000A601F">
        <w:rPr>
          <w:rFonts w:ascii="Times New Roman" w:hAnsi="Times New Roman"/>
          <w:lang w:val="pt-BR"/>
        </w:rPr>
        <w:t xml:space="preserve">pela seguinte </w:t>
      </w:r>
      <w:r w:rsidR="000A601F">
        <w:rPr>
          <w:rFonts w:ascii="Times New Roman" w:hAnsi="Times New Roman"/>
          <w:lang w:val="pt-BR"/>
        </w:rPr>
        <w:t>equação</w:t>
      </w:r>
      <w:r w:rsidR="00404A3C">
        <w:rPr>
          <w:rFonts w:ascii="Times New Roman" w:hAnsi="Times New Roman"/>
          <w:lang w:val="pt-BR"/>
        </w:rPr>
        <w:t xml:space="preserve"> </w:t>
      </w:r>
      <w:r w:rsidR="008F37CF">
        <w:rPr>
          <w:rFonts w:ascii="Times New Roman" w:hAnsi="Times New Roman"/>
          <w:lang w:val="pt-BR"/>
        </w:rPr>
        <w:t>(</w:t>
      </w:r>
      <w:r w:rsidR="00567B2A" w:rsidRPr="000A601F">
        <w:rPr>
          <w:rFonts w:ascii="Times New Roman" w:hAnsi="Times New Roman"/>
          <w:lang w:val="pt-BR"/>
        </w:rPr>
        <w:t>2</w:t>
      </w:r>
      <w:r w:rsidR="0050723F">
        <w:rPr>
          <w:rFonts w:ascii="Times New Roman" w:hAnsi="Times New Roman"/>
          <w:lang w:val="pt-BR"/>
        </w:rPr>
        <w:t>1</w:t>
      </w:r>
      <w:r w:rsidR="008F37CF">
        <w:rPr>
          <w:rFonts w:ascii="Times New Roman" w:hAnsi="Times New Roman"/>
          <w:lang w:val="pt-BR"/>
        </w:rPr>
        <w:t>)</w:t>
      </w:r>
      <w:r w:rsidR="00567B2A" w:rsidRPr="000A601F">
        <w:rPr>
          <w:rFonts w:ascii="Times New Roman" w:hAnsi="Times New Roman"/>
          <w:lang w:val="pt-BR"/>
        </w:rPr>
        <w:t>:</w:t>
      </w:r>
    </w:p>
    <w:p w14:paraId="2152F377" w14:textId="7145071C" w:rsidR="007B1CEE" w:rsidRDefault="00D0443C" w:rsidP="000D0BA8">
      <w:pPr>
        <w:pStyle w:val="TAMainText"/>
        <w:ind w:firstLine="0"/>
        <w:rPr>
          <w:rFonts w:ascii="Times New Roman" w:hAnsi="Times New Roman"/>
          <w:lang w:val="pt-BR"/>
        </w:rPr>
      </w:pPr>
      <w:r w:rsidRPr="00D0443C">
        <w:rPr>
          <w:noProof/>
        </w:rPr>
        <w:drawing>
          <wp:anchor distT="0" distB="0" distL="114300" distR="114300" simplePos="0" relativeHeight="251670527" behindDoc="0" locked="0" layoutInCell="1" allowOverlap="1" wp14:anchorId="7A92142A" wp14:editId="7B745BB4">
            <wp:simplePos x="0" y="0"/>
            <wp:positionH relativeFrom="column">
              <wp:posOffset>1061085</wp:posOffset>
            </wp:positionH>
            <wp:positionV relativeFrom="paragraph">
              <wp:posOffset>70005</wp:posOffset>
            </wp:positionV>
            <wp:extent cx="1122308" cy="376509"/>
            <wp:effectExtent l="0" t="0" r="0" b="0"/>
            <wp:wrapThrough wrapText="bothSides">
              <wp:wrapPolygon edited="0">
                <wp:start x="11246" y="0"/>
                <wp:lineTo x="3423" y="6568"/>
                <wp:lineTo x="3178" y="10216"/>
                <wp:lineTo x="6846" y="12405"/>
                <wp:lineTo x="7090" y="15324"/>
                <wp:lineTo x="9779" y="18243"/>
                <wp:lineTo x="11980" y="18243"/>
                <wp:lineTo x="18092" y="16784"/>
                <wp:lineTo x="20048" y="16054"/>
                <wp:lineTo x="19803" y="8757"/>
                <wp:lineTo x="15647" y="2189"/>
                <wp:lineTo x="12713" y="0"/>
                <wp:lineTo x="11246" y="0"/>
              </wp:wrapPolygon>
            </wp:wrapThrough>
            <wp:docPr id="11621804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80428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14" r="33213"/>
                    <a:stretch/>
                  </pic:blipFill>
                  <pic:spPr bwMode="auto">
                    <a:xfrm>
                      <a:off x="0" y="0"/>
                      <a:ext cx="1122308" cy="376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0C549" w14:textId="77777777" w:rsidR="00F17CB6" w:rsidRDefault="00F17CB6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30EB8FAE" w14:textId="77777777" w:rsidR="00F17CB6" w:rsidRDefault="00F17CB6" w:rsidP="000D0BA8">
      <w:pPr>
        <w:pStyle w:val="TAMainText"/>
        <w:ind w:firstLine="0"/>
        <w:rPr>
          <w:rFonts w:ascii="Times New Roman" w:hAnsi="Times New Roman"/>
          <w:lang w:val="pt-BR"/>
        </w:rPr>
      </w:pPr>
    </w:p>
    <w:p w14:paraId="66EFA143" w14:textId="2623FB35" w:rsidR="00D0443C" w:rsidRDefault="00543C16" w:rsidP="0098039E">
      <w:pPr>
        <w:pStyle w:val="TAMainText"/>
        <w:rPr>
          <w:rFonts w:ascii="Times New Roman" w:hAnsi="Times New Roman"/>
          <w:lang w:val="pt-BR"/>
        </w:rPr>
      </w:pPr>
      <w:r w:rsidRPr="00543C16">
        <w:rPr>
          <w:rFonts w:ascii="Times New Roman" w:hAnsi="Times New Roman"/>
          <w:lang w:val="pt-BR"/>
        </w:rPr>
        <w:t>I é a corrente média (A), dv/dt</w:t>
      </w:r>
      <w:r w:rsidR="007B1CEE">
        <w:rPr>
          <w:rFonts w:ascii="Times New Roman" w:hAnsi="Times New Roman"/>
          <w:lang w:val="pt-BR"/>
        </w:rPr>
        <w:t xml:space="preserve"> </w:t>
      </w:r>
      <w:r w:rsidRPr="00543C16">
        <w:rPr>
          <w:rFonts w:ascii="Times New Roman" w:hAnsi="Times New Roman"/>
          <w:lang w:val="pt-BR"/>
        </w:rPr>
        <w:t>a velocidade de varredura (V/s), e m é a massa (g) do filme depositado no ITO.</w:t>
      </w:r>
      <w:r w:rsidR="0098039E">
        <w:rPr>
          <w:rFonts w:ascii="Times New Roman" w:hAnsi="Times New Roman"/>
          <w:lang w:val="pt-BR"/>
        </w:rPr>
        <w:t xml:space="preserve"> </w:t>
      </w:r>
      <w:r w:rsidR="00140BC6" w:rsidRPr="00140BC6">
        <w:rPr>
          <w:rFonts w:ascii="Times New Roman" w:hAnsi="Times New Roman"/>
          <w:lang w:val="pt-BR"/>
        </w:rPr>
        <w:t>O capacitor POMA/PPAMSRh</w:t>
      </w:r>
      <w:r w:rsidR="00140BC6" w:rsidRPr="00140BC6">
        <w:rPr>
          <w:rFonts w:ascii="Times New Roman" w:hAnsi="Times New Roman"/>
          <w:vertAlign w:val="subscript"/>
          <w:lang w:val="pt-BR"/>
        </w:rPr>
        <w:t>1</w:t>
      </w:r>
      <w:r w:rsidR="00140BC6" w:rsidRPr="00140BC6">
        <w:rPr>
          <w:rFonts w:ascii="Times New Roman" w:hAnsi="Times New Roman"/>
          <w:lang w:val="pt-BR"/>
        </w:rPr>
        <w:t>^6 apresentou uma área significativamente maior no voltamograma que o capacitor com POMA</w:t>
      </w:r>
      <w:r w:rsidR="00052192">
        <w:rPr>
          <w:rFonts w:ascii="Times New Roman" w:hAnsi="Times New Roman"/>
          <w:lang w:val="pt-BR"/>
        </w:rPr>
        <w:t>, que fica evidenciado</w:t>
      </w:r>
      <w:r w:rsidR="003F5F2F">
        <w:rPr>
          <w:rFonts w:ascii="Times New Roman" w:hAnsi="Times New Roman"/>
          <w:lang w:val="pt-BR"/>
        </w:rPr>
        <w:t xml:space="preserve"> nos valores de capacitância:</w:t>
      </w:r>
      <w:r w:rsidR="00140BC6" w:rsidRPr="00140BC6">
        <w:rPr>
          <w:rFonts w:ascii="Times New Roman" w:hAnsi="Times New Roman"/>
          <w:lang w:val="pt-BR"/>
        </w:rPr>
        <w:t xml:space="preserve"> </w:t>
      </w:r>
      <w:r w:rsidR="00FD179C">
        <w:rPr>
          <w:rFonts w:ascii="Times New Roman" w:hAnsi="Times New Roman"/>
          <w:lang w:val="pt-BR"/>
        </w:rPr>
        <w:t>81,</w:t>
      </w:r>
      <w:r w:rsidR="00140BC6" w:rsidRPr="00140BC6">
        <w:rPr>
          <w:rFonts w:ascii="Times New Roman" w:hAnsi="Times New Roman"/>
          <w:lang w:val="pt-BR"/>
        </w:rPr>
        <w:t xml:space="preserve">7 F/g e </w:t>
      </w:r>
      <w:r w:rsidR="00FD179C">
        <w:rPr>
          <w:rFonts w:ascii="Times New Roman" w:hAnsi="Times New Roman"/>
          <w:lang w:val="pt-BR"/>
        </w:rPr>
        <w:t>583,3</w:t>
      </w:r>
      <w:r w:rsidR="00140BC6" w:rsidRPr="00140BC6">
        <w:rPr>
          <w:rFonts w:ascii="Times New Roman" w:hAnsi="Times New Roman"/>
          <w:lang w:val="pt-BR"/>
        </w:rPr>
        <w:t xml:space="preserve"> F/g POMA e POMA/PPAMSRh</w:t>
      </w:r>
      <w:r w:rsidR="00140BC6" w:rsidRPr="003A0ED1">
        <w:rPr>
          <w:rFonts w:ascii="Times New Roman" w:hAnsi="Times New Roman"/>
          <w:vertAlign w:val="subscript"/>
          <w:lang w:val="pt-BR"/>
        </w:rPr>
        <w:t>1</w:t>
      </w:r>
      <w:r w:rsidR="00140BC6" w:rsidRPr="00140BC6">
        <w:rPr>
          <w:rFonts w:ascii="Times New Roman" w:hAnsi="Times New Roman"/>
          <w:lang w:val="pt-BR"/>
        </w:rPr>
        <w:t>^6.</w:t>
      </w:r>
    </w:p>
    <w:p w14:paraId="2993AC2E" w14:textId="19E0C484" w:rsidR="003B4AFE" w:rsidRPr="00E038AF" w:rsidRDefault="00514767" w:rsidP="00657EEE">
      <w:pPr>
        <w:pStyle w:val="TAMainText"/>
        <w:rPr>
          <w:rFonts w:ascii="Times New Roman" w:hAnsi="Times New Roman"/>
          <w:lang w:val="pt-BR"/>
        </w:rPr>
      </w:pPr>
      <w:r w:rsidRPr="00E07C3F">
        <w:rPr>
          <w:rFonts w:ascii="Times New Roman" w:hAnsi="Times New Roman"/>
          <w:lang w:val="pt-BR"/>
        </w:rPr>
        <w:t>Analisando as curvas de VC da POMA (Figura</w:t>
      </w:r>
      <w:r w:rsidR="0098039E" w:rsidRPr="00E07C3F">
        <w:rPr>
          <w:rFonts w:ascii="Times New Roman" w:hAnsi="Times New Roman"/>
          <w:lang w:val="pt-BR"/>
        </w:rPr>
        <w:t xml:space="preserve"> 8</w:t>
      </w:r>
      <w:r w:rsidRPr="00E07C3F">
        <w:rPr>
          <w:rFonts w:ascii="Times New Roman" w:hAnsi="Times New Roman"/>
          <w:lang w:val="pt-BR"/>
        </w:rPr>
        <w:t>(a)), observa-se uma perda na forma retangular da curva após 3000 ciclos de carga e descarga, o que está associado a uma decomposição do material ao longo do tempo de funcionamento do capacitor. Já o material POMA/PPAMSRh</w:t>
      </w:r>
      <w:r w:rsidRPr="008F37CF">
        <w:rPr>
          <w:rFonts w:ascii="Times New Roman" w:hAnsi="Times New Roman"/>
          <w:vertAlign w:val="subscript"/>
          <w:lang w:val="pt-BR"/>
        </w:rPr>
        <w:t>1</w:t>
      </w:r>
      <w:r w:rsidRPr="00E07C3F">
        <w:rPr>
          <w:rFonts w:ascii="Times New Roman" w:hAnsi="Times New Roman"/>
          <w:lang w:val="pt-BR"/>
        </w:rPr>
        <w:t xml:space="preserve">^6 (Figura </w:t>
      </w:r>
      <w:r w:rsidR="0098039E" w:rsidRPr="00E07C3F">
        <w:rPr>
          <w:rFonts w:ascii="Times New Roman" w:hAnsi="Times New Roman"/>
          <w:lang w:val="pt-BR"/>
        </w:rPr>
        <w:t>8</w:t>
      </w:r>
      <w:r w:rsidRPr="00E07C3F">
        <w:rPr>
          <w:rFonts w:ascii="Times New Roman" w:hAnsi="Times New Roman"/>
          <w:lang w:val="pt-BR"/>
        </w:rPr>
        <w:t xml:space="preserve"> (b)) apresentou maior </w:t>
      </w:r>
      <w:r w:rsidRPr="00E07C3F">
        <w:rPr>
          <w:rFonts w:ascii="Times New Roman" w:hAnsi="Times New Roman"/>
          <w:lang w:val="pt-BR"/>
        </w:rPr>
        <w:lastRenderedPageBreak/>
        <w:t>capacitância e estabilidade após 3000 ciclos realizados. Os resultados obtidos comprovam uma possível aplicação do material sintetizado em capacitores.</w:t>
      </w:r>
    </w:p>
    <w:p w14:paraId="20BCE6EC" w14:textId="77777777" w:rsidR="0065570C" w:rsidRDefault="00657EEE" w:rsidP="0065570C">
      <w:pPr>
        <w:spacing w:after="0"/>
        <w:jc w:val="center"/>
        <w:rPr>
          <w:rFonts w:ascii="Times New Roman" w:hAnsi="Times New Roman"/>
          <w:b/>
        </w:rPr>
      </w:pPr>
      <w:r w:rsidRPr="00657EEE">
        <w:rPr>
          <w:noProof/>
          <w:lang w:val="en-US"/>
        </w:rPr>
        <w:drawing>
          <wp:inline distT="0" distB="0" distL="0" distR="0" wp14:anchorId="6A3EC5C8" wp14:editId="5A3B092E">
            <wp:extent cx="2572992" cy="3062868"/>
            <wp:effectExtent l="0" t="0" r="0" b="0"/>
            <wp:docPr id="1250322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22733" name=""/>
                    <pic:cNvPicPr/>
                  </pic:nvPicPr>
                  <pic:blipFill rotWithShape="1">
                    <a:blip r:embed="rId21"/>
                    <a:srcRect b="8336"/>
                    <a:stretch/>
                  </pic:blipFill>
                  <pic:spPr bwMode="auto">
                    <a:xfrm>
                      <a:off x="0" y="0"/>
                      <a:ext cx="2598357" cy="3093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E30FF" w14:textId="049AA4F9" w:rsidR="00EA4E1B" w:rsidRPr="00052192" w:rsidRDefault="00EA4E1B" w:rsidP="0005219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616E6C">
        <w:rPr>
          <w:rFonts w:ascii="Times New Roman" w:hAnsi="Times New Roman"/>
          <w:b/>
          <w:sz w:val="18"/>
          <w:szCs w:val="18"/>
        </w:rPr>
        <w:t xml:space="preserve">Figura </w:t>
      </w:r>
      <w:r w:rsidR="00616E6C">
        <w:rPr>
          <w:rFonts w:ascii="Times New Roman" w:hAnsi="Times New Roman"/>
          <w:b/>
          <w:sz w:val="18"/>
          <w:szCs w:val="18"/>
        </w:rPr>
        <w:t>8</w:t>
      </w:r>
      <w:r w:rsidRPr="00616E6C">
        <w:rPr>
          <w:rFonts w:ascii="Times New Roman" w:hAnsi="Times New Roman"/>
          <w:b/>
          <w:sz w:val="18"/>
          <w:szCs w:val="18"/>
        </w:rPr>
        <w:t>.</w:t>
      </w:r>
      <w:r w:rsidRPr="00616E6C">
        <w:rPr>
          <w:rFonts w:ascii="Times New Roman" w:hAnsi="Times New Roman"/>
          <w:sz w:val="18"/>
          <w:szCs w:val="18"/>
        </w:rPr>
        <w:t xml:space="preserve"> </w:t>
      </w:r>
      <w:r w:rsidR="00052192" w:rsidRPr="00052192">
        <w:rPr>
          <w:rFonts w:ascii="Times New Roman" w:hAnsi="Times New Roman"/>
          <w:sz w:val="18"/>
          <w:szCs w:val="18"/>
        </w:rPr>
        <w:t>Voltamogramas cíclicos para os capacitores POMA (a) e POMA/PPAMSRh</w:t>
      </w:r>
      <w:r w:rsidR="00052192" w:rsidRPr="00052192">
        <w:rPr>
          <w:rFonts w:ascii="Times New Roman" w:hAnsi="Times New Roman"/>
          <w:sz w:val="18"/>
          <w:szCs w:val="18"/>
          <w:vertAlign w:val="subscript"/>
        </w:rPr>
        <w:t>1</w:t>
      </w:r>
      <w:r w:rsidR="00052192" w:rsidRPr="00052192">
        <w:rPr>
          <w:rFonts w:ascii="Times New Roman" w:hAnsi="Times New Roman"/>
          <w:sz w:val="18"/>
          <w:szCs w:val="18"/>
        </w:rPr>
        <w:t>^6(b) após 3000 ciclos.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7EA09DE7" w14:textId="2230004A" w:rsidR="00D4797A" w:rsidRDefault="00D4797A" w:rsidP="0065570C">
      <w:pPr>
        <w:pStyle w:val="TAMainText"/>
        <w:rPr>
          <w:rFonts w:ascii="Times New Roman" w:hAnsi="Times New Roman"/>
          <w:lang w:val="pt-BR"/>
        </w:rPr>
      </w:pPr>
      <w:r w:rsidRPr="00512425">
        <w:rPr>
          <w:rFonts w:ascii="Times New Roman" w:hAnsi="Times New Roman"/>
          <w:lang w:val="pt-BR"/>
        </w:rPr>
        <w:t>Nos testes homogêneos, foi testado o complexo Rh</w:t>
      </w:r>
      <w:r w:rsidRPr="00512425">
        <w:rPr>
          <w:rFonts w:ascii="Times New Roman" w:hAnsi="Times New Roman"/>
          <w:vertAlign w:val="subscript"/>
          <w:lang w:val="pt-BR"/>
        </w:rPr>
        <w:t>1</w:t>
      </w:r>
      <w:r w:rsidRPr="00512425">
        <w:rPr>
          <w:rFonts w:ascii="Times New Roman" w:hAnsi="Times New Roman"/>
          <w:lang w:val="pt-BR"/>
        </w:rPr>
        <w:t>, e para os testes heterogêneos, o material híbrido MS foi testado na presença do complexo Rh</w:t>
      </w:r>
      <w:r w:rsidRPr="00512425">
        <w:rPr>
          <w:rFonts w:ascii="Times New Roman" w:hAnsi="Times New Roman"/>
          <w:vertAlign w:val="subscript"/>
          <w:lang w:val="pt-BR"/>
        </w:rPr>
        <w:t>1</w:t>
      </w:r>
      <w:r w:rsidRPr="00512425">
        <w:rPr>
          <w:rFonts w:ascii="Times New Roman" w:hAnsi="Times New Roman"/>
          <w:lang w:val="pt-BR"/>
        </w:rPr>
        <w:t>. Utilizando uma razão [cocat]/[Rh] de 100 em reações homogêneas e heterogêneas, o catalisador de ródio possibilitou a síntese de polímeros semicondutores da ordem de 10</w:t>
      </w:r>
      <w:r w:rsidR="001F6236" w:rsidRPr="001F6236">
        <w:rPr>
          <w:rFonts w:ascii="Times New Roman" w:hAnsi="Times New Roman"/>
          <w:vertAlign w:val="superscript"/>
          <w:lang w:val="pt-BR"/>
        </w:rPr>
        <w:t>-</w:t>
      </w:r>
      <w:r w:rsidRPr="001F6236">
        <w:rPr>
          <w:rFonts w:ascii="Times New Roman" w:hAnsi="Times New Roman"/>
          <w:vertAlign w:val="superscript"/>
          <w:lang w:val="pt-BR"/>
        </w:rPr>
        <w:t>5</w:t>
      </w:r>
      <w:r w:rsidRPr="00512425">
        <w:rPr>
          <w:rFonts w:ascii="Times New Roman" w:hAnsi="Times New Roman"/>
          <w:lang w:val="pt-BR"/>
        </w:rPr>
        <w:t xml:space="preserve"> S m</w:t>
      </w:r>
      <w:r w:rsidR="001F6236" w:rsidRPr="001F6236">
        <w:rPr>
          <w:rFonts w:ascii="Times New Roman" w:hAnsi="Times New Roman"/>
          <w:vertAlign w:val="superscript"/>
          <w:lang w:val="pt-BR"/>
        </w:rPr>
        <w:t>-1</w:t>
      </w:r>
      <w:r w:rsidRPr="00512425">
        <w:rPr>
          <w:rFonts w:ascii="Times New Roman" w:hAnsi="Times New Roman"/>
          <w:lang w:val="pt-BR"/>
        </w:rPr>
        <w:t>. O desenvolvimento de material híbrido sililado (MS) foi de grande importância na obtenção de polímeros semicondutores, tendo sido utilizado para sintetizar o material PPAMSRh1, que apresentou a maior condutividade (8,13×10</w:t>
      </w:r>
      <w:r w:rsidR="001F6236" w:rsidRPr="001F6236">
        <w:rPr>
          <w:rFonts w:ascii="Times New Roman" w:hAnsi="Times New Roman"/>
          <w:vertAlign w:val="superscript"/>
          <w:lang w:val="pt-BR"/>
        </w:rPr>
        <w:t>-</w:t>
      </w:r>
      <w:r w:rsidRPr="001F6236">
        <w:rPr>
          <w:rFonts w:ascii="Times New Roman" w:hAnsi="Times New Roman"/>
          <w:vertAlign w:val="superscript"/>
          <w:lang w:val="pt-BR"/>
        </w:rPr>
        <w:t>5</w:t>
      </w:r>
      <w:r w:rsidRPr="00512425">
        <w:rPr>
          <w:rFonts w:ascii="Times New Roman" w:hAnsi="Times New Roman"/>
          <w:lang w:val="pt-BR"/>
        </w:rPr>
        <w:t xml:space="preserve"> S m</w:t>
      </w:r>
      <w:r w:rsidR="001F6236" w:rsidRPr="001F6236">
        <w:rPr>
          <w:rFonts w:ascii="Times New Roman" w:hAnsi="Times New Roman"/>
          <w:vertAlign w:val="superscript"/>
          <w:lang w:val="pt-BR"/>
        </w:rPr>
        <w:t>-1</w:t>
      </w:r>
      <w:r w:rsidRPr="00512425">
        <w:rPr>
          <w:rFonts w:ascii="Times New Roman" w:hAnsi="Times New Roman"/>
          <w:lang w:val="pt-BR"/>
        </w:rPr>
        <w:t>) dentre todas as rotas e condições sintéticas utilizadas. Além disso, o uso de MS na síntese permitiu uma diminuição no espaçamento entre bandas de polifenilacetileno.</w:t>
      </w:r>
      <w:r w:rsidR="0065570C">
        <w:rPr>
          <w:rFonts w:ascii="Times New Roman" w:hAnsi="Times New Roman"/>
          <w:lang w:val="pt-BR"/>
        </w:rPr>
        <w:t xml:space="preserve"> </w:t>
      </w:r>
      <w:r w:rsidRPr="00512425">
        <w:rPr>
          <w:rFonts w:ascii="Times New Roman" w:hAnsi="Times New Roman"/>
          <w:lang w:val="pt-BR"/>
        </w:rPr>
        <w:t>O PPAMSRh</w:t>
      </w:r>
      <w:r w:rsidRPr="001F6236">
        <w:rPr>
          <w:rFonts w:ascii="Times New Roman" w:hAnsi="Times New Roman"/>
          <w:vertAlign w:val="subscript"/>
          <w:lang w:val="pt-BR"/>
        </w:rPr>
        <w:t>1</w:t>
      </w:r>
      <w:r w:rsidRPr="00512425">
        <w:rPr>
          <w:rFonts w:ascii="Times New Roman" w:hAnsi="Times New Roman"/>
          <w:lang w:val="pt-BR"/>
        </w:rPr>
        <w:t xml:space="preserve">ˆ6 foi testado como um eletrodo em um capacitor, para o qual foram obtidos resultados de alta capacitância </w:t>
      </w:r>
      <w:r w:rsidR="00C94E4F">
        <w:rPr>
          <w:rFonts w:ascii="Times New Roman" w:hAnsi="Times New Roman"/>
          <w:lang w:val="pt-BR"/>
        </w:rPr>
        <w:t xml:space="preserve">específica </w:t>
      </w:r>
      <w:r w:rsidRPr="00512425">
        <w:rPr>
          <w:rFonts w:ascii="Times New Roman" w:hAnsi="Times New Roman"/>
          <w:lang w:val="pt-BR"/>
        </w:rPr>
        <w:t>(583,3 F/g) quando comparado a um capacitor equivalente usando POMA (81,7 F/g). Além do polímero fornecer uma alta capacitância, ele foi responsável pela alta estabilidade do material, com perda de apenas 7% da capacitância após 3000 ciclos de carga e descarga.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2687DD51" w:rsidR="00EA4E1B" w:rsidRPr="001F25B2" w:rsidRDefault="00A665F8" w:rsidP="00EA4E1B">
      <w:pPr>
        <w:pStyle w:val="TAMainText"/>
        <w:rPr>
          <w:rFonts w:ascii="Times New Roman" w:hAnsi="Times New Roman"/>
          <w:lang w:val="pt-BR"/>
        </w:rPr>
      </w:pPr>
      <w:r w:rsidRPr="00A665F8">
        <w:rPr>
          <w:rFonts w:ascii="Times New Roman" w:hAnsi="Times New Roman"/>
          <w:lang w:val="pt-BR"/>
        </w:rPr>
        <w:t>O presente trabalho foi realizado com apoio da Coordenação de Aperfeiçoamento de Pessoal de Nível Superior - Brasil (CAPES) - Código de Financiamento 001.</w:t>
      </w:r>
    </w:p>
    <w:p w14:paraId="158D911D" w14:textId="7263AC12" w:rsidR="00EA4E1B" w:rsidRPr="00616E6C" w:rsidRDefault="00EA4E1B" w:rsidP="00616E6C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3CA4FAFB" w14:textId="1C826793" w:rsidR="001316DA" w:rsidRDefault="00A00776" w:rsidP="00EA4E1B">
      <w:pPr>
        <w:pStyle w:val="TAMainText"/>
        <w:numPr>
          <w:ilvl w:val="0"/>
          <w:numId w:val="1"/>
        </w:numPr>
        <w:rPr>
          <w:lang w:val="pt-BR"/>
        </w:rPr>
      </w:pPr>
      <w:r w:rsidRPr="00804745">
        <w:rPr>
          <w:lang w:val="pt-BR"/>
        </w:rPr>
        <w:t>F</w:t>
      </w:r>
      <w:r>
        <w:rPr>
          <w:lang w:val="pt-BR"/>
        </w:rPr>
        <w:t>.</w:t>
      </w:r>
      <w:r w:rsidRPr="00804745">
        <w:rPr>
          <w:lang w:val="pt-BR"/>
        </w:rPr>
        <w:t xml:space="preserve"> </w:t>
      </w:r>
      <w:r w:rsidR="00804745" w:rsidRPr="00804745">
        <w:rPr>
          <w:lang w:val="pt-BR"/>
        </w:rPr>
        <w:t>Freire</w:t>
      </w:r>
      <w:r>
        <w:rPr>
          <w:lang w:val="pt-BR"/>
        </w:rPr>
        <w:t>;</w:t>
      </w:r>
      <w:r w:rsidR="00804745" w:rsidRPr="00804745">
        <w:rPr>
          <w:lang w:val="pt-BR"/>
        </w:rPr>
        <w:t xml:space="preserve"> </w:t>
      </w:r>
      <w:r w:rsidRPr="00804745">
        <w:rPr>
          <w:lang w:val="pt-BR"/>
        </w:rPr>
        <w:t>E</w:t>
      </w:r>
      <w:r>
        <w:rPr>
          <w:lang w:val="pt-BR"/>
        </w:rPr>
        <w:t>.</w:t>
      </w:r>
      <w:r w:rsidRPr="00804745">
        <w:rPr>
          <w:lang w:val="pt-BR"/>
        </w:rPr>
        <w:t xml:space="preserve"> </w:t>
      </w:r>
      <w:r w:rsidR="00804745" w:rsidRPr="00804745">
        <w:rPr>
          <w:lang w:val="pt-BR"/>
        </w:rPr>
        <w:t>Quinoa</w:t>
      </w:r>
      <w:r>
        <w:rPr>
          <w:lang w:val="pt-BR"/>
        </w:rPr>
        <w:t>;</w:t>
      </w:r>
      <w:r w:rsidR="00804745" w:rsidRPr="00804745">
        <w:rPr>
          <w:lang w:val="pt-BR"/>
        </w:rPr>
        <w:t xml:space="preserve"> </w:t>
      </w:r>
      <w:r w:rsidRPr="00804745">
        <w:rPr>
          <w:lang w:val="pt-BR"/>
        </w:rPr>
        <w:t>R.</w:t>
      </w:r>
      <w:r>
        <w:rPr>
          <w:lang w:val="pt-BR"/>
        </w:rPr>
        <w:t xml:space="preserve"> </w:t>
      </w:r>
      <w:r w:rsidR="00804745" w:rsidRPr="00804745">
        <w:rPr>
          <w:lang w:val="pt-BR"/>
        </w:rPr>
        <w:t>Riguera</w:t>
      </w:r>
      <w:r w:rsidR="001316DA">
        <w:rPr>
          <w:lang w:val="pt-BR"/>
        </w:rPr>
        <w:t>,</w:t>
      </w:r>
      <w:r w:rsidR="00804745" w:rsidRPr="00804745">
        <w:rPr>
          <w:lang w:val="pt-BR"/>
        </w:rPr>
        <w:t xml:space="preserve"> </w:t>
      </w:r>
      <w:r w:rsidR="00804745" w:rsidRPr="0072580A">
        <w:rPr>
          <w:i/>
          <w:iCs/>
          <w:lang w:val="pt-BR"/>
        </w:rPr>
        <w:t>Chem. Rev.</w:t>
      </w:r>
      <w:r w:rsidR="00804745" w:rsidRPr="00804745">
        <w:rPr>
          <w:lang w:val="pt-BR"/>
        </w:rPr>
        <w:t xml:space="preserve"> </w:t>
      </w:r>
      <w:r w:rsidR="0072580A" w:rsidRPr="0072580A">
        <w:rPr>
          <w:b/>
          <w:bCs/>
          <w:lang w:val="pt-BR"/>
        </w:rPr>
        <w:t>2016</w:t>
      </w:r>
      <w:r w:rsidR="0072580A">
        <w:rPr>
          <w:lang w:val="pt-BR"/>
        </w:rPr>
        <w:t>,</w:t>
      </w:r>
      <w:r w:rsidR="00804745" w:rsidRPr="0072580A">
        <w:rPr>
          <w:i/>
          <w:iCs/>
          <w:lang w:val="pt-BR"/>
        </w:rPr>
        <w:t>116</w:t>
      </w:r>
      <w:r w:rsidR="0072580A">
        <w:rPr>
          <w:lang w:val="pt-BR"/>
        </w:rPr>
        <w:t>,</w:t>
      </w:r>
      <w:r w:rsidR="00804745" w:rsidRPr="00804745">
        <w:rPr>
          <w:lang w:val="pt-BR"/>
        </w:rPr>
        <w:t xml:space="preserve">1242-1271. </w:t>
      </w:r>
    </w:p>
    <w:p w14:paraId="72019449" w14:textId="77777777" w:rsidR="0010235F" w:rsidRDefault="006B1C72" w:rsidP="00EA4E1B">
      <w:pPr>
        <w:pStyle w:val="TAMainText"/>
        <w:numPr>
          <w:ilvl w:val="0"/>
          <w:numId w:val="1"/>
        </w:numPr>
        <w:rPr>
          <w:lang w:val="pt-BR"/>
        </w:rPr>
      </w:pPr>
      <w:r w:rsidRPr="00D4162E">
        <w:rPr>
          <w:lang w:val="pt-BR"/>
        </w:rPr>
        <w:t>L.A. Smith; F. Romer; M</w:t>
      </w:r>
      <w:r w:rsidR="00EC12F5" w:rsidRPr="00D4162E">
        <w:rPr>
          <w:lang w:val="pt-BR"/>
        </w:rPr>
        <w:t>.</w:t>
      </w:r>
      <w:r w:rsidRPr="00D4162E">
        <w:rPr>
          <w:lang w:val="pt-BR"/>
        </w:rPr>
        <w:t>L. Trudeau</w:t>
      </w:r>
      <w:r w:rsidR="00EC12F5" w:rsidRPr="00D4162E">
        <w:rPr>
          <w:lang w:val="pt-BR"/>
        </w:rPr>
        <w:t>;</w:t>
      </w:r>
      <w:r w:rsidRPr="00D4162E">
        <w:rPr>
          <w:lang w:val="pt-BR"/>
        </w:rPr>
        <w:t xml:space="preserve"> </w:t>
      </w:r>
      <w:r w:rsidR="00EC12F5" w:rsidRPr="00D4162E">
        <w:rPr>
          <w:lang w:val="pt-BR"/>
        </w:rPr>
        <w:t xml:space="preserve">R.M.S. </w:t>
      </w:r>
      <w:r w:rsidRPr="00D4162E">
        <w:rPr>
          <w:lang w:val="pt-BR"/>
        </w:rPr>
        <w:t>Maior</w:t>
      </w:r>
      <w:r w:rsidR="00EC12F5" w:rsidRPr="00D4162E">
        <w:rPr>
          <w:lang w:val="pt-BR"/>
        </w:rPr>
        <w:t>;</w:t>
      </w:r>
      <w:r w:rsidRPr="00D4162E">
        <w:rPr>
          <w:lang w:val="pt-BR"/>
        </w:rPr>
        <w:t xml:space="preserve"> </w:t>
      </w:r>
      <w:r w:rsidR="00EC12F5" w:rsidRPr="00D4162E">
        <w:rPr>
          <w:lang w:val="pt-BR"/>
        </w:rPr>
        <w:t xml:space="preserve">M.E. </w:t>
      </w:r>
      <w:r w:rsidRPr="00D4162E">
        <w:rPr>
          <w:lang w:val="pt-BR"/>
        </w:rPr>
        <w:t>Smith</w:t>
      </w:r>
      <w:r w:rsidR="00EC12F5" w:rsidRPr="00D4162E">
        <w:rPr>
          <w:lang w:val="pt-BR"/>
        </w:rPr>
        <w:t>;</w:t>
      </w:r>
      <w:r w:rsidRPr="00D4162E">
        <w:rPr>
          <w:lang w:val="pt-BR"/>
        </w:rPr>
        <w:t xml:space="preserve"> </w:t>
      </w:r>
      <w:r w:rsidR="00EC12F5" w:rsidRPr="00D4162E">
        <w:rPr>
          <w:lang w:val="pt-BR"/>
        </w:rPr>
        <w:t xml:space="preserve">J.V. </w:t>
      </w:r>
      <w:r w:rsidRPr="00D4162E">
        <w:rPr>
          <w:lang w:val="pt-BR"/>
        </w:rPr>
        <w:t xml:space="preserve">Hanna, </w:t>
      </w:r>
      <w:r w:rsidR="00EC12F5" w:rsidRPr="00D4162E">
        <w:rPr>
          <w:lang w:val="pt-BR"/>
        </w:rPr>
        <w:t xml:space="preserve">D.M. </w:t>
      </w:r>
      <w:r w:rsidRPr="00D4162E">
        <w:rPr>
          <w:lang w:val="pt-BR"/>
        </w:rPr>
        <w:t>Antonelli</w:t>
      </w:r>
      <w:r w:rsidR="00270862">
        <w:rPr>
          <w:lang w:val="pt-BR"/>
        </w:rPr>
        <w:t>,</w:t>
      </w:r>
      <w:r w:rsidRPr="00D4162E">
        <w:rPr>
          <w:lang w:val="pt-BR"/>
        </w:rPr>
        <w:t xml:space="preserve"> </w:t>
      </w:r>
      <w:r w:rsidRPr="00D4162E">
        <w:rPr>
          <w:i/>
          <w:iCs/>
          <w:lang w:val="pt-BR"/>
        </w:rPr>
        <w:t>Micropor</w:t>
      </w:r>
      <w:r w:rsidR="00D4162E" w:rsidRPr="00D4162E">
        <w:rPr>
          <w:i/>
          <w:iCs/>
          <w:lang w:val="pt-BR"/>
        </w:rPr>
        <w:t>.</w:t>
      </w:r>
      <w:r w:rsidRPr="00D4162E">
        <w:rPr>
          <w:i/>
          <w:iCs/>
          <w:lang w:val="pt-BR"/>
        </w:rPr>
        <w:t xml:space="preserve"> Mesopor</w:t>
      </w:r>
      <w:r w:rsidR="00D4162E" w:rsidRPr="00D4162E">
        <w:rPr>
          <w:i/>
          <w:iCs/>
          <w:lang w:val="pt-BR"/>
        </w:rPr>
        <w:t>.</w:t>
      </w:r>
      <w:r w:rsidRPr="00D4162E">
        <w:rPr>
          <w:i/>
          <w:iCs/>
          <w:lang w:val="pt-BR"/>
        </w:rPr>
        <w:t xml:space="preserve"> Mater.</w:t>
      </w:r>
      <w:r w:rsidR="00333DB0" w:rsidRPr="00333DB0">
        <w:rPr>
          <w:lang w:val="pt-BR"/>
        </w:rPr>
        <w:t xml:space="preserve"> </w:t>
      </w:r>
      <w:r w:rsidR="00333DB0" w:rsidRPr="00333DB0">
        <w:rPr>
          <w:b/>
          <w:bCs/>
          <w:lang w:val="pt-BR"/>
        </w:rPr>
        <w:t>2014</w:t>
      </w:r>
      <w:r w:rsidR="00333DB0">
        <w:rPr>
          <w:lang w:val="pt-BR"/>
        </w:rPr>
        <w:t>,</w:t>
      </w:r>
      <w:r w:rsidRPr="00333DB0">
        <w:rPr>
          <w:b/>
          <w:bCs/>
          <w:lang w:val="pt-BR"/>
        </w:rPr>
        <w:t xml:space="preserve"> </w:t>
      </w:r>
      <w:r w:rsidRPr="00333DB0">
        <w:rPr>
          <w:i/>
          <w:iCs/>
          <w:lang w:val="pt-BR"/>
        </w:rPr>
        <w:t>194</w:t>
      </w:r>
      <w:r w:rsidR="00333DB0">
        <w:rPr>
          <w:lang w:val="pt-BR"/>
        </w:rPr>
        <w:t xml:space="preserve">, </w:t>
      </w:r>
      <w:r w:rsidRPr="006B1C72">
        <w:rPr>
          <w:lang w:val="pt-BR"/>
        </w:rPr>
        <w:t xml:space="preserve">52-59. </w:t>
      </w:r>
    </w:p>
    <w:p w14:paraId="557B0FD3" w14:textId="459152E5" w:rsidR="001A1E06" w:rsidRDefault="001A1E06" w:rsidP="00EA4E1B">
      <w:pPr>
        <w:pStyle w:val="TAMainText"/>
        <w:numPr>
          <w:ilvl w:val="0"/>
          <w:numId w:val="1"/>
        </w:numPr>
        <w:rPr>
          <w:lang w:val="pt-BR"/>
        </w:rPr>
      </w:pPr>
      <w:r w:rsidRPr="001A1E06">
        <w:rPr>
          <w:lang w:val="pt-BR"/>
        </w:rPr>
        <w:t>A</w:t>
      </w:r>
      <w:r>
        <w:rPr>
          <w:lang w:val="pt-BR"/>
        </w:rPr>
        <w:t>.</w:t>
      </w:r>
      <w:r w:rsidRPr="001A1E06">
        <w:rPr>
          <w:lang w:val="pt-BR"/>
        </w:rPr>
        <w:t>S</w:t>
      </w:r>
      <w:r>
        <w:rPr>
          <w:lang w:val="pt-BR"/>
        </w:rPr>
        <w:t>.</w:t>
      </w:r>
      <w:r w:rsidRPr="001A1E06">
        <w:rPr>
          <w:lang w:val="pt-BR"/>
        </w:rPr>
        <w:t xml:space="preserve"> Gruber</w:t>
      </w:r>
      <w:r>
        <w:rPr>
          <w:lang w:val="pt-BR"/>
        </w:rPr>
        <w:t>;</w:t>
      </w:r>
      <w:r w:rsidRPr="001A1E06">
        <w:rPr>
          <w:lang w:val="pt-BR"/>
        </w:rPr>
        <w:t xml:space="preserve"> G</w:t>
      </w:r>
      <w:r>
        <w:rPr>
          <w:lang w:val="pt-BR"/>
        </w:rPr>
        <w:t>.</w:t>
      </w:r>
      <w:r w:rsidRPr="001A1E06">
        <w:rPr>
          <w:lang w:val="pt-BR"/>
        </w:rPr>
        <w:t xml:space="preserve"> Boiteux</w:t>
      </w:r>
      <w:r>
        <w:rPr>
          <w:lang w:val="pt-BR"/>
        </w:rPr>
        <w:t>;</w:t>
      </w:r>
      <w:r w:rsidRPr="001A1E06">
        <w:rPr>
          <w:lang w:val="pt-BR"/>
        </w:rPr>
        <w:t xml:space="preserve"> R</w:t>
      </w:r>
      <w:r>
        <w:rPr>
          <w:lang w:val="pt-BR"/>
        </w:rPr>
        <w:t>.</w:t>
      </w:r>
      <w:r w:rsidRPr="001A1E06">
        <w:rPr>
          <w:lang w:val="pt-BR"/>
        </w:rPr>
        <w:t>F</w:t>
      </w:r>
      <w:r>
        <w:rPr>
          <w:lang w:val="pt-BR"/>
        </w:rPr>
        <w:t>.</w:t>
      </w:r>
      <w:r w:rsidRPr="001A1E06">
        <w:rPr>
          <w:lang w:val="pt-BR"/>
        </w:rPr>
        <w:t xml:space="preserve"> Souza</w:t>
      </w:r>
      <w:r w:rsidR="006A4B31">
        <w:rPr>
          <w:lang w:val="pt-BR"/>
        </w:rPr>
        <w:t>;</w:t>
      </w:r>
      <w:r w:rsidRPr="001A1E06">
        <w:rPr>
          <w:lang w:val="pt-BR"/>
        </w:rPr>
        <w:t xml:space="preserve"> M</w:t>
      </w:r>
      <w:r>
        <w:rPr>
          <w:lang w:val="pt-BR"/>
        </w:rPr>
        <w:t>.</w:t>
      </w:r>
      <w:r w:rsidRPr="001A1E06">
        <w:rPr>
          <w:lang w:val="pt-BR"/>
        </w:rPr>
        <w:t>O</w:t>
      </w:r>
      <w:r>
        <w:rPr>
          <w:lang w:val="pt-BR"/>
        </w:rPr>
        <w:t>.</w:t>
      </w:r>
      <w:r w:rsidRPr="001A1E06">
        <w:rPr>
          <w:lang w:val="pt-BR"/>
        </w:rPr>
        <w:t xml:space="preserve"> Souza, </w:t>
      </w:r>
      <w:r w:rsidRPr="006A4B31">
        <w:rPr>
          <w:i/>
          <w:iCs/>
          <w:lang w:val="pt-BR"/>
        </w:rPr>
        <w:t>Polym. Bull.</w:t>
      </w:r>
      <w:r w:rsidRPr="001A1E06">
        <w:rPr>
          <w:lang w:val="pt-BR"/>
        </w:rPr>
        <w:t xml:space="preserve"> </w:t>
      </w:r>
      <w:r w:rsidR="006A4B31" w:rsidRPr="006A4B31">
        <w:rPr>
          <w:b/>
          <w:bCs/>
          <w:lang w:val="pt-BR"/>
        </w:rPr>
        <w:t>2002</w:t>
      </w:r>
      <w:r w:rsidR="006A4B31">
        <w:rPr>
          <w:lang w:val="pt-BR"/>
        </w:rPr>
        <w:t xml:space="preserve">, </w:t>
      </w:r>
      <w:r w:rsidRPr="00E67E71">
        <w:rPr>
          <w:i/>
          <w:iCs/>
          <w:lang w:val="pt-BR"/>
        </w:rPr>
        <w:t>47</w:t>
      </w:r>
      <w:r w:rsidR="00E67E71">
        <w:rPr>
          <w:lang w:val="pt-BR"/>
        </w:rPr>
        <w:t>,</w:t>
      </w:r>
      <w:r w:rsidRPr="001A1E06">
        <w:rPr>
          <w:lang w:val="pt-BR"/>
        </w:rPr>
        <w:t>529-537.</w:t>
      </w:r>
    </w:p>
    <w:p w14:paraId="20DDA20D" w14:textId="31A1D372" w:rsidR="00372B0D" w:rsidRDefault="009E3F46" w:rsidP="00EA4E1B">
      <w:pPr>
        <w:pStyle w:val="TAMainText"/>
        <w:numPr>
          <w:ilvl w:val="0"/>
          <w:numId w:val="1"/>
        </w:numPr>
        <w:rPr>
          <w:lang w:val="pt-BR"/>
        </w:rPr>
      </w:pPr>
      <w:r w:rsidRPr="00372B0D">
        <w:rPr>
          <w:lang w:val="pt-BR"/>
        </w:rPr>
        <w:t>M. Shiotsuki, F. Sanda, T. Masuda</w:t>
      </w:r>
      <w:r w:rsidR="00372B0D" w:rsidRPr="00372B0D">
        <w:rPr>
          <w:lang w:val="pt-BR"/>
        </w:rPr>
        <w:t>,</w:t>
      </w:r>
      <w:r w:rsidRPr="00372B0D">
        <w:rPr>
          <w:lang w:val="pt-BR"/>
        </w:rPr>
        <w:t xml:space="preserve"> </w:t>
      </w:r>
      <w:r w:rsidRPr="00372B0D">
        <w:rPr>
          <w:i/>
          <w:iCs/>
          <w:lang w:val="pt-BR"/>
        </w:rPr>
        <w:t>Polym. Chem.</w:t>
      </w:r>
      <w:r w:rsidRPr="009E3F46">
        <w:rPr>
          <w:lang w:val="pt-BR"/>
        </w:rPr>
        <w:t xml:space="preserve"> </w:t>
      </w:r>
      <w:r w:rsidR="00372B0D" w:rsidRPr="00712876">
        <w:rPr>
          <w:b/>
          <w:bCs/>
          <w:i/>
          <w:iCs/>
        </w:rPr>
        <w:t>2011</w:t>
      </w:r>
      <w:r w:rsidR="00712876">
        <w:rPr>
          <w:b/>
          <w:bCs/>
          <w:i/>
          <w:iCs/>
        </w:rPr>
        <w:t>,</w:t>
      </w:r>
      <w:r w:rsidRPr="00712876">
        <w:rPr>
          <w:i/>
          <w:iCs/>
          <w:lang w:val="pt-BR"/>
        </w:rPr>
        <w:t>2</w:t>
      </w:r>
      <w:r w:rsidR="00712876">
        <w:rPr>
          <w:lang w:val="pt-BR"/>
        </w:rPr>
        <w:t>,</w:t>
      </w:r>
      <w:r w:rsidRPr="009E3F46">
        <w:rPr>
          <w:lang w:val="pt-BR"/>
        </w:rPr>
        <w:t xml:space="preserve">1044–1058. </w:t>
      </w:r>
    </w:p>
    <w:p w14:paraId="3972CAD1" w14:textId="0897B01D" w:rsidR="00712876" w:rsidRDefault="00716B05" w:rsidP="00EA4E1B">
      <w:pPr>
        <w:pStyle w:val="TAMainText"/>
        <w:numPr>
          <w:ilvl w:val="0"/>
          <w:numId w:val="1"/>
        </w:numPr>
        <w:rPr>
          <w:lang w:val="pt-BR"/>
        </w:rPr>
      </w:pPr>
      <w:r w:rsidRPr="00712876">
        <w:rPr>
          <w:lang w:val="pt-BR"/>
        </w:rPr>
        <w:t>R</w:t>
      </w:r>
      <w:r>
        <w:rPr>
          <w:lang w:val="pt-BR"/>
        </w:rPr>
        <w:t>.</w:t>
      </w:r>
      <w:r w:rsidRPr="00712876">
        <w:rPr>
          <w:lang w:val="pt-BR"/>
        </w:rPr>
        <w:t xml:space="preserve"> </w:t>
      </w:r>
      <w:r w:rsidR="00712876" w:rsidRPr="00712876">
        <w:rPr>
          <w:lang w:val="pt-BR"/>
        </w:rPr>
        <w:t xml:space="preserve">Motoshige, </w:t>
      </w:r>
      <w:r w:rsidRPr="00712876">
        <w:rPr>
          <w:lang w:val="pt-BR"/>
        </w:rPr>
        <w:t>Y</w:t>
      </w:r>
      <w:r>
        <w:rPr>
          <w:lang w:val="pt-BR"/>
        </w:rPr>
        <w:t>.</w:t>
      </w:r>
      <w:r w:rsidRPr="00712876">
        <w:rPr>
          <w:lang w:val="pt-BR"/>
        </w:rPr>
        <w:t xml:space="preserve"> </w:t>
      </w:r>
      <w:r w:rsidR="00712876" w:rsidRPr="00712876">
        <w:rPr>
          <w:lang w:val="pt-BR"/>
        </w:rPr>
        <w:t xml:space="preserve">Mawatari, </w:t>
      </w:r>
      <w:r w:rsidRPr="00712876">
        <w:rPr>
          <w:lang w:val="pt-BR"/>
        </w:rPr>
        <w:t>A</w:t>
      </w:r>
      <w:r>
        <w:rPr>
          <w:lang w:val="pt-BR"/>
        </w:rPr>
        <w:t>.</w:t>
      </w:r>
      <w:r w:rsidRPr="00712876">
        <w:rPr>
          <w:lang w:val="pt-BR"/>
        </w:rPr>
        <w:t xml:space="preserve"> </w:t>
      </w:r>
      <w:r w:rsidR="00712876" w:rsidRPr="00712876">
        <w:rPr>
          <w:lang w:val="pt-BR"/>
        </w:rPr>
        <w:t xml:space="preserve">Motoshige, </w:t>
      </w:r>
      <w:r w:rsidRPr="00712876">
        <w:rPr>
          <w:lang w:val="pt-BR"/>
        </w:rPr>
        <w:t>Y</w:t>
      </w:r>
      <w:r>
        <w:rPr>
          <w:lang w:val="pt-BR"/>
        </w:rPr>
        <w:t>.</w:t>
      </w:r>
      <w:r w:rsidRPr="00712876">
        <w:rPr>
          <w:lang w:val="pt-BR"/>
        </w:rPr>
        <w:t xml:space="preserve"> </w:t>
      </w:r>
      <w:r w:rsidR="00712876" w:rsidRPr="00712876">
        <w:rPr>
          <w:lang w:val="pt-BR"/>
        </w:rPr>
        <w:t xml:space="preserve">Yoshida, </w:t>
      </w:r>
      <w:r w:rsidRPr="00712876">
        <w:rPr>
          <w:lang w:val="pt-BR"/>
        </w:rPr>
        <w:t>T</w:t>
      </w:r>
      <w:r>
        <w:rPr>
          <w:lang w:val="pt-BR"/>
        </w:rPr>
        <w:t>.</w:t>
      </w:r>
      <w:r w:rsidRPr="00712876">
        <w:rPr>
          <w:lang w:val="pt-BR"/>
        </w:rPr>
        <w:t xml:space="preserve"> </w:t>
      </w:r>
      <w:r w:rsidR="00712876" w:rsidRPr="00712876">
        <w:rPr>
          <w:lang w:val="pt-BR"/>
        </w:rPr>
        <w:t xml:space="preserve">Sasaki, </w:t>
      </w:r>
      <w:r w:rsidRPr="00712876">
        <w:rPr>
          <w:lang w:val="pt-BR"/>
        </w:rPr>
        <w:t>H</w:t>
      </w:r>
      <w:r>
        <w:rPr>
          <w:lang w:val="pt-BR"/>
        </w:rPr>
        <w:t>.</w:t>
      </w:r>
      <w:r w:rsidRPr="00712876">
        <w:rPr>
          <w:lang w:val="pt-BR"/>
        </w:rPr>
        <w:t xml:space="preserve"> </w:t>
      </w:r>
      <w:r w:rsidR="00712876" w:rsidRPr="00712876">
        <w:rPr>
          <w:lang w:val="pt-BR"/>
        </w:rPr>
        <w:t xml:space="preserve">Yoshimizu, </w:t>
      </w:r>
      <w:r w:rsidRPr="00712876">
        <w:rPr>
          <w:lang w:val="pt-BR"/>
        </w:rPr>
        <w:t>T</w:t>
      </w:r>
      <w:r>
        <w:rPr>
          <w:lang w:val="pt-BR"/>
        </w:rPr>
        <w:t>.</w:t>
      </w:r>
      <w:r w:rsidR="00712876" w:rsidRPr="00712876">
        <w:rPr>
          <w:lang w:val="pt-BR"/>
        </w:rPr>
        <w:t xml:space="preserve"> Suzuki, </w:t>
      </w:r>
      <w:r w:rsidRPr="00712876">
        <w:rPr>
          <w:lang w:val="pt-BR"/>
        </w:rPr>
        <w:t>Y</w:t>
      </w:r>
      <w:r>
        <w:rPr>
          <w:lang w:val="pt-BR"/>
        </w:rPr>
        <w:t>.</w:t>
      </w:r>
      <w:r w:rsidRPr="00712876">
        <w:rPr>
          <w:lang w:val="pt-BR"/>
        </w:rPr>
        <w:t xml:space="preserve"> </w:t>
      </w:r>
      <w:r w:rsidR="00712876" w:rsidRPr="00712876">
        <w:rPr>
          <w:lang w:val="pt-BR"/>
        </w:rPr>
        <w:t xml:space="preserve">Tsujita, </w:t>
      </w:r>
      <w:r w:rsidRPr="00712876">
        <w:rPr>
          <w:lang w:val="pt-BR"/>
        </w:rPr>
        <w:t>M</w:t>
      </w:r>
      <w:r>
        <w:rPr>
          <w:lang w:val="pt-BR"/>
        </w:rPr>
        <w:t>.</w:t>
      </w:r>
      <w:r w:rsidRPr="00712876">
        <w:rPr>
          <w:lang w:val="pt-BR"/>
        </w:rPr>
        <w:t xml:space="preserve"> </w:t>
      </w:r>
      <w:r w:rsidR="00712876" w:rsidRPr="00712876">
        <w:rPr>
          <w:lang w:val="pt-BR"/>
        </w:rPr>
        <w:t>Tabata</w:t>
      </w:r>
      <w:r w:rsidR="004F2417">
        <w:rPr>
          <w:lang w:val="pt-BR"/>
        </w:rPr>
        <w:t>,</w:t>
      </w:r>
      <w:r w:rsidR="00712876" w:rsidRPr="00712876">
        <w:rPr>
          <w:lang w:val="pt-BR"/>
        </w:rPr>
        <w:t xml:space="preserve"> </w:t>
      </w:r>
      <w:r w:rsidR="00712876" w:rsidRPr="004F2417">
        <w:rPr>
          <w:i/>
          <w:iCs/>
          <w:lang w:val="pt-BR"/>
        </w:rPr>
        <w:t>J. Polym. Sci. A Polym. Chem</w:t>
      </w:r>
      <w:r w:rsidR="00712876" w:rsidRPr="00712876">
        <w:rPr>
          <w:lang w:val="pt-BR"/>
        </w:rPr>
        <w:t xml:space="preserve">. </w:t>
      </w:r>
      <w:r w:rsidR="004F2417" w:rsidRPr="004F2417">
        <w:rPr>
          <w:b/>
          <w:bCs/>
          <w:lang w:val="pt-BR"/>
        </w:rPr>
        <w:t>2014</w:t>
      </w:r>
      <w:r w:rsidR="00BF6C28">
        <w:rPr>
          <w:b/>
          <w:bCs/>
          <w:lang w:val="pt-BR"/>
        </w:rPr>
        <w:t>,</w:t>
      </w:r>
      <w:r w:rsidR="004F2417" w:rsidRPr="00712876">
        <w:rPr>
          <w:lang w:val="pt-BR"/>
        </w:rPr>
        <w:t xml:space="preserve"> </w:t>
      </w:r>
      <w:r w:rsidR="00712876" w:rsidRPr="00BF6C28">
        <w:rPr>
          <w:i/>
          <w:iCs/>
          <w:lang w:val="pt-BR"/>
        </w:rPr>
        <w:t>52</w:t>
      </w:r>
      <w:r w:rsidR="004F2417">
        <w:rPr>
          <w:lang w:val="pt-BR"/>
        </w:rPr>
        <w:t xml:space="preserve">, </w:t>
      </w:r>
      <w:r w:rsidR="00712876" w:rsidRPr="00712876">
        <w:rPr>
          <w:lang w:val="pt-BR"/>
        </w:rPr>
        <w:t>752−759.</w:t>
      </w:r>
    </w:p>
    <w:p w14:paraId="18F168D8" w14:textId="63B75439" w:rsidR="00712876" w:rsidRPr="005815C8" w:rsidRDefault="005815C8" w:rsidP="00EA4E1B">
      <w:pPr>
        <w:pStyle w:val="TAMainText"/>
        <w:numPr>
          <w:ilvl w:val="0"/>
          <w:numId w:val="1"/>
        </w:numPr>
      </w:pPr>
      <w:r w:rsidRPr="00BF6C28">
        <w:t>T</w:t>
      </w:r>
      <w:r>
        <w:t>.</w:t>
      </w:r>
      <w:r w:rsidRPr="00BF6C28">
        <w:t xml:space="preserve"> </w:t>
      </w:r>
      <w:r w:rsidR="00BF6C28" w:rsidRPr="00BF6C28">
        <w:t>Selvam</w:t>
      </w:r>
      <w:r>
        <w:t>;</w:t>
      </w:r>
      <w:r w:rsidR="00BF6C28" w:rsidRPr="00BF6C28">
        <w:t xml:space="preserve"> </w:t>
      </w:r>
      <w:r w:rsidRPr="00BF6C28">
        <w:t>A</w:t>
      </w:r>
      <w:r>
        <w:t>.</w:t>
      </w:r>
      <w:r w:rsidRPr="00BF6C28">
        <w:t xml:space="preserve"> </w:t>
      </w:r>
      <w:r w:rsidR="00BF6C28" w:rsidRPr="00BF6C28">
        <w:t>Machoke</w:t>
      </w:r>
      <w:r>
        <w:t>;</w:t>
      </w:r>
      <w:r w:rsidR="00BF6C28" w:rsidRPr="00BF6C28">
        <w:t xml:space="preserve"> </w:t>
      </w:r>
      <w:r w:rsidRPr="00BF6C28">
        <w:t>W</w:t>
      </w:r>
      <w:r>
        <w:t>.</w:t>
      </w:r>
      <w:r w:rsidRPr="00BF6C28">
        <w:t xml:space="preserve"> </w:t>
      </w:r>
      <w:r w:rsidR="00BF6C28" w:rsidRPr="00BF6C28">
        <w:t>Schwieger</w:t>
      </w:r>
      <w:r w:rsidR="00873937">
        <w:t>,</w:t>
      </w:r>
      <w:r w:rsidR="00BF6C28" w:rsidRPr="00BF6C28">
        <w:t xml:space="preserve"> </w:t>
      </w:r>
      <w:r w:rsidR="00BF6C28" w:rsidRPr="00873937">
        <w:rPr>
          <w:i/>
          <w:iCs/>
        </w:rPr>
        <w:t>Appl. Catal. A</w:t>
      </w:r>
      <w:r w:rsidR="00BF6C28" w:rsidRPr="005815C8">
        <w:t>,</w:t>
      </w:r>
      <w:r w:rsidR="00873937" w:rsidRPr="00873937">
        <w:t xml:space="preserve"> </w:t>
      </w:r>
      <w:r w:rsidR="00873937" w:rsidRPr="00873937">
        <w:rPr>
          <w:b/>
          <w:bCs/>
        </w:rPr>
        <w:t>2012</w:t>
      </w:r>
      <w:r w:rsidR="00873937">
        <w:t>,</w:t>
      </w:r>
      <w:r w:rsidR="00BF6C28" w:rsidRPr="005815C8">
        <w:t xml:space="preserve"> 445</w:t>
      </w:r>
      <w:r w:rsidR="00873937">
        <w:t xml:space="preserve">, </w:t>
      </w:r>
      <w:r w:rsidR="00BF6C28" w:rsidRPr="005815C8">
        <w:t>92-101.</w:t>
      </w:r>
    </w:p>
    <w:p w14:paraId="1326A20E" w14:textId="30D3351C" w:rsidR="00712876" w:rsidRPr="005815C8" w:rsidRDefault="00A3078B" w:rsidP="00F76451">
      <w:pPr>
        <w:pStyle w:val="TAMainText"/>
        <w:numPr>
          <w:ilvl w:val="0"/>
          <w:numId w:val="1"/>
        </w:numPr>
      </w:pPr>
      <w:r w:rsidRPr="00301EA2">
        <w:t>E</w:t>
      </w:r>
      <w:r>
        <w:t>.</w:t>
      </w:r>
      <w:r w:rsidRPr="00301EA2">
        <w:t xml:space="preserve"> </w:t>
      </w:r>
      <w:r w:rsidR="00301EA2" w:rsidRPr="00301EA2">
        <w:t>Da'na</w:t>
      </w:r>
      <w:r>
        <w:t>,</w:t>
      </w:r>
      <w:r w:rsidR="00301EA2" w:rsidRPr="00301EA2">
        <w:t xml:space="preserve"> </w:t>
      </w:r>
      <w:r w:rsidR="00301EA2" w:rsidRPr="003B46E4">
        <w:rPr>
          <w:i/>
          <w:iCs/>
        </w:rPr>
        <w:t>Microporous Mesoporous Mater</w:t>
      </w:r>
      <w:r w:rsidR="00301EA2" w:rsidRPr="00301EA2">
        <w:t>.</w:t>
      </w:r>
      <w:r>
        <w:t xml:space="preserve"> </w:t>
      </w:r>
      <w:r w:rsidRPr="003B46E4">
        <w:rPr>
          <w:b/>
          <w:bCs/>
        </w:rPr>
        <w:t>2017</w:t>
      </w:r>
      <w:r>
        <w:t>,</w:t>
      </w:r>
      <w:r w:rsidR="00301EA2" w:rsidRPr="00301EA2">
        <w:t xml:space="preserve"> 247</w:t>
      </w:r>
      <w:r>
        <w:t xml:space="preserve">, </w:t>
      </w:r>
      <w:r w:rsidR="00301EA2" w:rsidRPr="00301EA2">
        <w:t xml:space="preserve">145-157. </w:t>
      </w:r>
    </w:p>
    <w:p w14:paraId="0E244915" w14:textId="271D228B" w:rsidR="00712876" w:rsidRPr="005815C8" w:rsidRDefault="00307606" w:rsidP="00EA4E1B">
      <w:pPr>
        <w:pStyle w:val="TAMainText"/>
        <w:numPr>
          <w:ilvl w:val="0"/>
          <w:numId w:val="1"/>
        </w:numPr>
      </w:pPr>
      <w:r w:rsidRPr="00307606">
        <w:t>K</w:t>
      </w:r>
      <w:r>
        <w:t>.</w:t>
      </w:r>
      <w:r w:rsidRPr="00307606">
        <w:t xml:space="preserve"> Qu, Y</w:t>
      </w:r>
      <w:r>
        <w:t>.</w:t>
      </w:r>
      <w:r w:rsidRPr="00307606">
        <w:t xml:space="preserve"> Bai, X</w:t>
      </w:r>
      <w:r>
        <w:t xml:space="preserve">. </w:t>
      </w:r>
      <w:r w:rsidRPr="00307606">
        <w:t>Gao, M</w:t>
      </w:r>
      <w:r>
        <w:t>.</w:t>
      </w:r>
      <w:r w:rsidRPr="00307606">
        <w:t xml:space="preserve"> Deng</w:t>
      </w:r>
      <w:r w:rsidR="00AA750F">
        <w:t>,</w:t>
      </w:r>
      <w:r w:rsidRPr="00307606">
        <w:t xml:space="preserve"> </w:t>
      </w:r>
      <w:r w:rsidRPr="00AA750F">
        <w:rPr>
          <w:i/>
          <w:iCs/>
        </w:rPr>
        <w:t>Synth. Met.</w:t>
      </w:r>
      <w:r w:rsidR="00AA750F">
        <w:rPr>
          <w:i/>
          <w:iCs/>
        </w:rPr>
        <w:t xml:space="preserve"> </w:t>
      </w:r>
      <w:r w:rsidR="00AA750F" w:rsidRPr="00775038">
        <w:rPr>
          <w:b/>
          <w:bCs/>
          <w:i/>
          <w:iCs/>
        </w:rPr>
        <w:t>2020</w:t>
      </w:r>
      <w:r w:rsidR="00AA750F">
        <w:rPr>
          <w:i/>
          <w:iCs/>
        </w:rPr>
        <w:t>,</w:t>
      </w:r>
      <w:r w:rsidRPr="00307606">
        <w:t xml:space="preserve"> </w:t>
      </w:r>
      <w:r w:rsidRPr="00AA750F">
        <w:rPr>
          <w:i/>
          <w:iCs/>
        </w:rPr>
        <w:t>262</w:t>
      </w:r>
      <w:r w:rsidR="00AA750F">
        <w:t xml:space="preserve">, </w:t>
      </w:r>
      <w:r w:rsidRPr="00307606">
        <w:t>116346.</w:t>
      </w:r>
    </w:p>
    <w:p w14:paraId="6EE79D7D" w14:textId="7351CE88" w:rsidR="0058340B" w:rsidRPr="0058340B" w:rsidRDefault="0058340B" w:rsidP="00EA4E1B">
      <w:pPr>
        <w:pStyle w:val="TAMainText"/>
        <w:numPr>
          <w:ilvl w:val="0"/>
          <w:numId w:val="1"/>
        </w:numPr>
      </w:pPr>
      <w:r w:rsidRPr="0058340B">
        <w:t>W</w:t>
      </w:r>
      <w:r>
        <w:t>.</w:t>
      </w:r>
      <w:r w:rsidRPr="0058340B">
        <w:t>A</w:t>
      </w:r>
      <w:r>
        <w:t>.</w:t>
      </w:r>
      <w:r w:rsidRPr="0058340B">
        <w:t xml:space="preserve"> Christinelli, R</w:t>
      </w:r>
      <w:r>
        <w:t>.</w:t>
      </w:r>
      <w:r w:rsidRPr="0058340B">
        <w:t xml:space="preserve"> Gonçalves, E</w:t>
      </w:r>
      <w:r>
        <w:t>.</w:t>
      </w:r>
      <w:r w:rsidRPr="0058340B">
        <w:t>C</w:t>
      </w:r>
      <w:r>
        <w:t>.</w:t>
      </w:r>
      <w:r w:rsidRPr="0058340B">
        <w:t xml:space="preserve"> Pereira</w:t>
      </w:r>
      <w:r w:rsidR="00D255D4">
        <w:t>,</w:t>
      </w:r>
      <w:r w:rsidRPr="0058340B">
        <w:t xml:space="preserve"> </w:t>
      </w:r>
      <w:r w:rsidRPr="00D255D4">
        <w:rPr>
          <w:i/>
          <w:iCs/>
        </w:rPr>
        <w:t>J. Power Sources,</w:t>
      </w:r>
      <w:r w:rsidRPr="0058340B">
        <w:t xml:space="preserve"> </w:t>
      </w:r>
      <w:r w:rsidR="00D255D4" w:rsidRPr="00D255D4">
        <w:rPr>
          <w:b/>
          <w:bCs/>
        </w:rPr>
        <w:t>2016</w:t>
      </w:r>
      <w:r w:rsidR="00D255D4">
        <w:t xml:space="preserve">, </w:t>
      </w:r>
      <w:r w:rsidRPr="00D255D4">
        <w:rPr>
          <w:i/>
          <w:iCs/>
        </w:rPr>
        <w:t>303</w:t>
      </w:r>
      <w:r w:rsidR="00D255D4">
        <w:t>,</w:t>
      </w:r>
      <w:r w:rsidRPr="0058340B">
        <w:t>73-80.</w:t>
      </w:r>
    </w:p>
    <w:p w14:paraId="615BAAEA" w14:textId="0A3B5E77" w:rsidR="0058340B" w:rsidRPr="0058340B" w:rsidRDefault="003B16E1" w:rsidP="00EA4E1B">
      <w:pPr>
        <w:pStyle w:val="TAMainText"/>
        <w:numPr>
          <w:ilvl w:val="0"/>
          <w:numId w:val="1"/>
        </w:numPr>
      </w:pPr>
      <w:r w:rsidRPr="00ED2F19">
        <w:t>G</w:t>
      </w:r>
      <w:r>
        <w:t>.</w:t>
      </w:r>
      <w:r w:rsidRPr="00ED2F19">
        <w:t xml:space="preserve"> </w:t>
      </w:r>
      <w:r w:rsidR="00ED2F19" w:rsidRPr="00ED2F19">
        <w:t xml:space="preserve">Cerveau, </w:t>
      </w:r>
      <w:r w:rsidRPr="00ED2F19">
        <w:t>S</w:t>
      </w:r>
      <w:r>
        <w:t>.</w:t>
      </w:r>
      <w:r w:rsidRPr="00ED2F19">
        <w:t xml:space="preserve"> </w:t>
      </w:r>
      <w:r w:rsidR="00ED2F19" w:rsidRPr="00ED2F19">
        <w:t xml:space="preserve">Chappellet, </w:t>
      </w:r>
      <w:r w:rsidRPr="00ED2F19">
        <w:t>R</w:t>
      </w:r>
      <w:r>
        <w:t>.</w:t>
      </w:r>
      <w:r w:rsidRPr="00ED2F19">
        <w:t>J</w:t>
      </w:r>
      <w:r>
        <w:t>.</w:t>
      </w:r>
      <w:r w:rsidRPr="00ED2F19">
        <w:t xml:space="preserve"> </w:t>
      </w:r>
      <w:r w:rsidR="00ED2F19" w:rsidRPr="00ED2F19">
        <w:t xml:space="preserve">Corriu, </w:t>
      </w:r>
      <w:r w:rsidRPr="00ED2F19">
        <w:t>B</w:t>
      </w:r>
      <w:r>
        <w:t>.</w:t>
      </w:r>
      <w:r w:rsidRPr="00ED2F19">
        <w:t xml:space="preserve"> </w:t>
      </w:r>
      <w:r w:rsidR="00ED2F19" w:rsidRPr="00ED2F19">
        <w:t>Dabiens</w:t>
      </w:r>
      <w:r w:rsidR="001964FB">
        <w:t>,</w:t>
      </w:r>
      <w:r w:rsidR="00ED2F19" w:rsidRPr="00ED2F19">
        <w:t xml:space="preserve"> </w:t>
      </w:r>
      <w:r w:rsidR="00ED2F19" w:rsidRPr="001964FB">
        <w:rPr>
          <w:i/>
          <w:iCs/>
        </w:rPr>
        <w:t>J. Organomet. Chem.</w:t>
      </w:r>
      <w:r w:rsidR="001964FB">
        <w:rPr>
          <w:i/>
          <w:iCs/>
        </w:rPr>
        <w:t xml:space="preserve">, </w:t>
      </w:r>
      <w:r w:rsidR="001964FB" w:rsidRPr="001964FB">
        <w:rPr>
          <w:b/>
          <w:bCs/>
          <w:i/>
          <w:iCs/>
        </w:rPr>
        <w:t>2001</w:t>
      </w:r>
      <w:r w:rsidR="001964FB">
        <w:rPr>
          <w:i/>
          <w:iCs/>
        </w:rPr>
        <w:t>,</w:t>
      </w:r>
      <w:r w:rsidR="00ED2F19" w:rsidRPr="00ED2F19">
        <w:t xml:space="preserve"> </w:t>
      </w:r>
      <w:r w:rsidR="00ED2F19" w:rsidRPr="001964FB">
        <w:rPr>
          <w:i/>
          <w:iCs/>
        </w:rPr>
        <w:t>626</w:t>
      </w:r>
      <w:r w:rsidR="001964FB">
        <w:t xml:space="preserve">, </w:t>
      </w:r>
      <w:r w:rsidR="00ED2F19" w:rsidRPr="00ED2F19">
        <w:t>92-99.</w:t>
      </w:r>
    </w:p>
    <w:p w14:paraId="100D417E" w14:textId="793E6819" w:rsidR="0058340B" w:rsidRPr="0058340B" w:rsidRDefault="00436F9A" w:rsidP="00EA4E1B">
      <w:pPr>
        <w:pStyle w:val="TAMainText"/>
        <w:numPr>
          <w:ilvl w:val="0"/>
          <w:numId w:val="1"/>
        </w:numPr>
      </w:pPr>
      <w:r w:rsidRPr="00436F9A">
        <w:t>L</w:t>
      </w:r>
      <w:r>
        <w:t>.</w:t>
      </w:r>
      <w:r w:rsidRPr="00436F9A">
        <w:t>H</w:t>
      </w:r>
      <w:r>
        <w:t>.</w:t>
      </w:r>
      <w:r w:rsidRPr="00436F9A">
        <w:t xml:space="preserve"> Mattoso, A</w:t>
      </w:r>
      <w:r>
        <w:t>.</w:t>
      </w:r>
      <w:r w:rsidRPr="00436F9A">
        <w:t>G</w:t>
      </w:r>
      <w:r>
        <w:t>.</w:t>
      </w:r>
      <w:r w:rsidRPr="00436F9A">
        <w:t xml:space="preserve"> MacDiarmid, A</w:t>
      </w:r>
      <w:r>
        <w:t>.</w:t>
      </w:r>
      <w:r w:rsidRPr="00436F9A">
        <w:t>J</w:t>
      </w:r>
      <w:r>
        <w:t>.</w:t>
      </w:r>
      <w:r w:rsidRPr="00436F9A">
        <w:t xml:space="preserve"> Epstein, </w:t>
      </w:r>
      <w:r w:rsidRPr="00436F9A">
        <w:rPr>
          <w:i/>
          <w:iCs/>
        </w:rPr>
        <w:t>Synth. Met.</w:t>
      </w:r>
      <w:r w:rsidRPr="00436F9A">
        <w:t xml:space="preserve"> </w:t>
      </w:r>
      <w:r w:rsidRPr="00316D3F">
        <w:rPr>
          <w:b/>
          <w:bCs/>
        </w:rPr>
        <w:t>1994</w:t>
      </w:r>
      <w:r>
        <w:t xml:space="preserve">, </w:t>
      </w:r>
      <w:r w:rsidRPr="00316D3F">
        <w:rPr>
          <w:i/>
          <w:iCs/>
        </w:rPr>
        <w:t>68</w:t>
      </w:r>
      <w:r w:rsidR="00316D3F">
        <w:t>,</w:t>
      </w:r>
      <w:r w:rsidRPr="00436F9A">
        <w:t>1-11.</w:t>
      </w:r>
    </w:p>
    <w:p w14:paraId="09A7E0B1" w14:textId="4BD39F74" w:rsidR="0058340B" w:rsidRPr="0058340B" w:rsidRDefault="001418F6" w:rsidP="00EA4E1B">
      <w:pPr>
        <w:pStyle w:val="TAMainText"/>
        <w:numPr>
          <w:ilvl w:val="0"/>
          <w:numId w:val="1"/>
        </w:numPr>
      </w:pPr>
      <w:r w:rsidRPr="00957899">
        <w:t>Y.</w:t>
      </w:r>
      <w:r>
        <w:t xml:space="preserve"> </w:t>
      </w:r>
      <w:r w:rsidR="00957899" w:rsidRPr="00957899">
        <w:t>Zang</w:t>
      </w:r>
      <w:r>
        <w:t>;</w:t>
      </w:r>
      <w:r w:rsidR="00957899" w:rsidRPr="00957899">
        <w:t xml:space="preserve"> </w:t>
      </w:r>
      <w:r w:rsidRPr="00957899">
        <w:t>T.</w:t>
      </w:r>
      <w:r>
        <w:t xml:space="preserve"> </w:t>
      </w:r>
      <w:r w:rsidR="00957899" w:rsidRPr="00957899">
        <w:t>Aoki</w:t>
      </w:r>
      <w:r>
        <w:t>;</w:t>
      </w:r>
      <w:r w:rsidR="00957899" w:rsidRPr="00957899">
        <w:t xml:space="preserve"> T.</w:t>
      </w:r>
      <w:r>
        <w:t xml:space="preserve"> </w:t>
      </w:r>
      <w:r w:rsidRPr="00957899">
        <w:t>Kaneko</w:t>
      </w:r>
      <w:r w:rsidR="0014635F">
        <w:t>;</w:t>
      </w:r>
      <w:r w:rsidR="00957899" w:rsidRPr="00957899">
        <w:t xml:space="preserve"> </w:t>
      </w:r>
      <w:r w:rsidR="0014635F" w:rsidRPr="00957899">
        <w:t>M.</w:t>
      </w:r>
      <w:r w:rsidR="0014635F">
        <w:t xml:space="preserve"> </w:t>
      </w:r>
      <w:r w:rsidR="00957899" w:rsidRPr="00957899">
        <w:t xml:space="preserve">Teraguchi, </w:t>
      </w:r>
      <w:r w:rsidR="0014635F" w:rsidRPr="00957899">
        <w:t>L.</w:t>
      </w:r>
      <w:r w:rsidR="0014635F">
        <w:t xml:space="preserve"> </w:t>
      </w:r>
      <w:r w:rsidR="00957899" w:rsidRPr="00957899">
        <w:t xml:space="preserve">Ma, </w:t>
      </w:r>
      <w:r w:rsidR="0014635F" w:rsidRPr="00957899">
        <w:t>H.</w:t>
      </w:r>
      <w:r w:rsidR="00957899" w:rsidRPr="00957899">
        <w:t xml:space="preserve"> Jia</w:t>
      </w:r>
      <w:r w:rsidR="0014635F">
        <w:t>;</w:t>
      </w:r>
      <w:r w:rsidR="00957899" w:rsidRPr="00957899">
        <w:t xml:space="preserve"> </w:t>
      </w:r>
      <w:r w:rsidR="0014635F" w:rsidRPr="00957899">
        <w:t>F.</w:t>
      </w:r>
      <w:r w:rsidR="0014635F">
        <w:t xml:space="preserve"> </w:t>
      </w:r>
      <w:r w:rsidR="00957899" w:rsidRPr="00957899">
        <w:t>Miao</w:t>
      </w:r>
      <w:r w:rsidR="00D42A4D">
        <w:t>,</w:t>
      </w:r>
      <w:r w:rsidR="00957899" w:rsidRPr="00957899">
        <w:t xml:space="preserve"> </w:t>
      </w:r>
      <w:r w:rsidR="00957899" w:rsidRPr="00D42A4D">
        <w:rPr>
          <w:i/>
          <w:iCs/>
        </w:rPr>
        <w:t>Polymer</w:t>
      </w:r>
      <w:r w:rsidR="00957899" w:rsidRPr="00957899">
        <w:t xml:space="preserve">, </w:t>
      </w:r>
      <w:r w:rsidR="00D42A4D" w:rsidRPr="00D42A4D">
        <w:rPr>
          <w:b/>
          <w:bCs/>
        </w:rPr>
        <w:t>2018</w:t>
      </w:r>
      <w:r w:rsidR="00D42A4D">
        <w:t xml:space="preserve">, </w:t>
      </w:r>
      <w:r w:rsidR="00957899" w:rsidRPr="00D42A4D">
        <w:rPr>
          <w:i/>
          <w:iCs/>
        </w:rPr>
        <w:t>156</w:t>
      </w:r>
      <w:r w:rsidR="00957899" w:rsidRPr="00957899">
        <w:t>, 66-70.</w:t>
      </w:r>
    </w:p>
    <w:p w14:paraId="6F266370" w14:textId="45C0FD0C" w:rsidR="0058340B" w:rsidRPr="0058340B" w:rsidRDefault="00D42A4D" w:rsidP="00EA4E1B">
      <w:pPr>
        <w:pStyle w:val="TAMainText"/>
        <w:numPr>
          <w:ilvl w:val="0"/>
          <w:numId w:val="1"/>
        </w:numPr>
      </w:pPr>
      <w:r w:rsidRPr="001418F6">
        <w:t>A.</w:t>
      </w:r>
      <w:r>
        <w:t xml:space="preserve"> </w:t>
      </w:r>
      <w:r w:rsidR="001418F6" w:rsidRPr="001418F6">
        <w:t>Xiao</w:t>
      </w:r>
      <w:r>
        <w:t xml:space="preserve">; </w:t>
      </w:r>
      <w:r w:rsidRPr="001418F6">
        <w:t>H.</w:t>
      </w:r>
      <w:r>
        <w:t xml:space="preserve"> </w:t>
      </w:r>
      <w:r w:rsidR="001418F6" w:rsidRPr="001418F6">
        <w:t>Zhao</w:t>
      </w:r>
      <w:r>
        <w:t>;</w:t>
      </w:r>
      <w:r w:rsidR="001418F6" w:rsidRPr="001418F6">
        <w:t xml:space="preserve"> </w:t>
      </w:r>
      <w:r w:rsidRPr="001418F6">
        <w:t>Y.</w:t>
      </w:r>
      <w:r>
        <w:t xml:space="preserve"> </w:t>
      </w:r>
      <w:r w:rsidR="001418F6" w:rsidRPr="001418F6">
        <w:t>Gao</w:t>
      </w:r>
      <w:r>
        <w:t>;</w:t>
      </w:r>
      <w:r w:rsidR="001418F6" w:rsidRPr="001418F6">
        <w:t xml:space="preserve"> </w:t>
      </w:r>
      <w:r w:rsidRPr="001418F6">
        <w:t>J.</w:t>
      </w:r>
      <w:r w:rsidR="0071373D">
        <w:t xml:space="preserve"> </w:t>
      </w:r>
      <w:r w:rsidR="001418F6" w:rsidRPr="001418F6">
        <w:t>Tong</w:t>
      </w:r>
      <w:r w:rsidR="0071373D">
        <w:t>;</w:t>
      </w:r>
      <w:r w:rsidR="001418F6" w:rsidRPr="001418F6">
        <w:t xml:space="preserve"> </w:t>
      </w:r>
      <w:r w:rsidR="0071373D" w:rsidRPr="001418F6">
        <w:t>L.</w:t>
      </w:r>
      <w:r w:rsidR="0071373D">
        <w:t xml:space="preserve"> </w:t>
      </w:r>
      <w:r w:rsidR="001418F6" w:rsidRPr="001418F6">
        <w:t>Shan</w:t>
      </w:r>
      <w:r w:rsidR="0071373D">
        <w:t>;</w:t>
      </w:r>
      <w:r w:rsidR="001418F6" w:rsidRPr="001418F6">
        <w:t xml:space="preserve"> </w:t>
      </w:r>
      <w:r w:rsidR="0071373D" w:rsidRPr="001418F6">
        <w:t>Y.</w:t>
      </w:r>
      <w:r w:rsidR="0071373D">
        <w:t xml:space="preserve"> </w:t>
      </w:r>
      <w:r w:rsidR="001418F6" w:rsidRPr="001418F6">
        <w:t>Chen</w:t>
      </w:r>
      <w:r w:rsidR="0071373D">
        <w:t>;</w:t>
      </w:r>
      <w:r w:rsidR="001418F6" w:rsidRPr="001418F6">
        <w:t xml:space="preserve"> </w:t>
      </w:r>
      <w:r w:rsidR="0071373D" w:rsidRPr="001418F6">
        <w:t>B. Z.</w:t>
      </w:r>
      <w:r w:rsidR="0071373D">
        <w:t xml:space="preserve"> </w:t>
      </w:r>
      <w:r w:rsidR="001418F6" w:rsidRPr="001418F6">
        <w:t xml:space="preserve">Tang, </w:t>
      </w:r>
      <w:r w:rsidR="001418F6" w:rsidRPr="00D42A4D">
        <w:rPr>
          <w:i/>
          <w:iCs/>
        </w:rPr>
        <w:t>Polymer,</w:t>
      </w:r>
      <w:r w:rsidR="001418F6" w:rsidRPr="00D42A4D">
        <w:rPr>
          <w:b/>
          <w:bCs/>
        </w:rPr>
        <w:t xml:space="preserve"> </w:t>
      </w:r>
      <w:r w:rsidRPr="00D42A4D">
        <w:rPr>
          <w:b/>
          <w:bCs/>
        </w:rPr>
        <w:t>2011</w:t>
      </w:r>
      <w:r>
        <w:t xml:space="preserve">, </w:t>
      </w:r>
      <w:r w:rsidR="001418F6" w:rsidRPr="00D42A4D">
        <w:rPr>
          <w:i/>
          <w:iCs/>
        </w:rPr>
        <w:t>52(23)</w:t>
      </w:r>
      <w:r w:rsidR="001418F6" w:rsidRPr="001418F6">
        <w:t>, 5290-5301.</w:t>
      </w:r>
    </w:p>
    <w:p w14:paraId="6A664AD0" w14:textId="62259146" w:rsidR="0058340B" w:rsidRPr="0058340B" w:rsidRDefault="004F45F2" w:rsidP="001418F6">
      <w:pPr>
        <w:pStyle w:val="TAMainText"/>
        <w:numPr>
          <w:ilvl w:val="0"/>
          <w:numId w:val="1"/>
        </w:numPr>
      </w:pPr>
      <w:r w:rsidRPr="004F45F2">
        <w:t>I.</w:t>
      </w:r>
      <w:r>
        <w:t xml:space="preserve"> </w:t>
      </w:r>
      <w:r w:rsidRPr="004F45F2">
        <w:t>Saee</w:t>
      </w:r>
      <w:r>
        <w:t>d;</w:t>
      </w:r>
      <w:r w:rsidRPr="004F45F2">
        <w:t xml:space="preserve"> M.</w:t>
      </w:r>
      <w:r>
        <w:t xml:space="preserve"> </w:t>
      </w:r>
      <w:r w:rsidRPr="004F45F2">
        <w:t>Shiotsuki</w:t>
      </w:r>
      <w:r>
        <w:t>;</w:t>
      </w:r>
      <w:r w:rsidRPr="004F45F2">
        <w:t xml:space="preserve"> T.</w:t>
      </w:r>
      <w:r>
        <w:t xml:space="preserve"> </w:t>
      </w:r>
      <w:r w:rsidRPr="004F45F2">
        <w:t xml:space="preserve">Masuda, </w:t>
      </w:r>
      <w:r w:rsidRPr="00DF4B0A">
        <w:rPr>
          <w:i/>
          <w:iCs/>
        </w:rPr>
        <w:t>Macromolecules</w:t>
      </w:r>
      <w:r w:rsidRPr="004F45F2">
        <w:t>,</w:t>
      </w:r>
      <w:r w:rsidR="00DF4B0A">
        <w:t xml:space="preserve"> </w:t>
      </w:r>
      <w:r w:rsidR="00DF4B0A" w:rsidRPr="00DF4B0A">
        <w:rPr>
          <w:b/>
          <w:bCs/>
        </w:rPr>
        <w:t>2006</w:t>
      </w:r>
      <w:r w:rsidR="00DF4B0A">
        <w:t>,</w:t>
      </w:r>
      <w:r w:rsidRPr="004F45F2">
        <w:t xml:space="preserve"> </w:t>
      </w:r>
      <w:r w:rsidRPr="00DF4B0A">
        <w:rPr>
          <w:i/>
          <w:iCs/>
        </w:rPr>
        <w:t>39(16)</w:t>
      </w:r>
      <w:r w:rsidRPr="004F45F2">
        <w:t>, 5347-5351.</w:t>
      </w:r>
    </w:p>
    <w:p w14:paraId="61E59D18" w14:textId="64F86665" w:rsidR="006B7927" w:rsidRDefault="006B7927" w:rsidP="006B7927">
      <w:pPr>
        <w:pStyle w:val="TAMainText"/>
        <w:numPr>
          <w:ilvl w:val="0"/>
          <w:numId w:val="1"/>
        </w:numPr>
      </w:pPr>
      <w:r>
        <w:t xml:space="preserve">M. Otsuka, </w:t>
      </w:r>
      <w:r w:rsidRPr="006B7927">
        <w:rPr>
          <w:i/>
          <w:iCs/>
        </w:rPr>
        <w:t>Powder Technol.</w:t>
      </w:r>
      <w:r>
        <w:t xml:space="preserve"> </w:t>
      </w:r>
      <w:r w:rsidRPr="006B7927">
        <w:rPr>
          <w:b/>
          <w:bCs/>
        </w:rPr>
        <w:t>2004</w:t>
      </w:r>
      <w:r>
        <w:t xml:space="preserve">, </w:t>
      </w:r>
      <w:r w:rsidRPr="006B7927">
        <w:rPr>
          <w:i/>
          <w:iCs/>
        </w:rPr>
        <w:t>141</w:t>
      </w:r>
      <w:r>
        <w:t>, 244-250.</w:t>
      </w:r>
    </w:p>
    <w:p w14:paraId="491A7CF5" w14:textId="1154F565" w:rsidR="0058340B" w:rsidRPr="0058340B" w:rsidRDefault="006B7927" w:rsidP="006B7927">
      <w:pPr>
        <w:pStyle w:val="TAMainText"/>
        <w:numPr>
          <w:ilvl w:val="0"/>
          <w:numId w:val="1"/>
        </w:numPr>
      </w:pPr>
      <w:r>
        <w:t xml:space="preserve">S. Yi, F. Zhao, X. Yue, D. Wang, Y. Lin, </w:t>
      </w:r>
      <w:r w:rsidRPr="006B7927">
        <w:rPr>
          <w:i/>
          <w:iCs/>
        </w:rPr>
        <w:t>New J. Chem.</w:t>
      </w:r>
      <w:r>
        <w:t xml:space="preserve">, </w:t>
      </w:r>
      <w:r w:rsidRPr="00AC113A">
        <w:rPr>
          <w:b/>
          <w:bCs/>
        </w:rPr>
        <w:t>2015</w:t>
      </w:r>
      <w:r>
        <w:t xml:space="preserve">, </w:t>
      </w:r>
      <w:r w:rsidR="00AC113A" w:rsidRPr="00AC113A">
        <w:rPr>
          <w:i/>
          <w:iCs/>
        </w:rPr>
        <w:t>39</w:t>
      </w:r>
      <w:r w:rsidR="00AC113A">
        <w:t>,</w:t>
      </w:r>
      <w:r>
        <w:t xml:space="preserve"> 6659–6666.</w:t>
      </w:r>
    </w:p>
    <w:p w14:paraId="579FB0D5" w14:textId="3028C30A" w:rsidR="0058340B" w:rsidRPr="0058340B" w:rsidRDefault="00281BF0" w:rsidP="001418F6">
      <w:pPr>
        <w:pStyle w:val="TAMainText"/>
        <w:numPr>
          <w:ilvl w:val="0"/>
          <w:numId w:val="1"/>
        </w:numPr>
      </w:pPr>
      <w:r w:rsidRPr="005030B9">
        <w:t>K.</w:t>
      </w:r>
      <w:r>
        <w:t xml:space="preserve"> </w:t>
      </w:r>
      <w:r w:rsidR="005030B9" w:rsidRPr="005030B9">
        <w:t xml:space="preserve">Ogale, </w:t>
      </w:r>
      <w:r w:rsidRPr="005030B9">
        <w:t>M.L.</w:t>
      </w:r>
      <w:r>
        <w:t xml:space="preserve"> </w:t>
      </w:r>
      <w:r w:rsidR="005030B9" w:rsidRPr="005030B9">
        <w:t xml:space="preserve">Wilson, </w:t>
      </w:r>
      <w:r w:rsidRPr="005030B9">
        <w:t>P.</w:t>
      </w:r>
      <w:r>
        <w:t xml:space="preserve"> </w:t>
      </w:r>
      <w:r w:rsidR="005030B9" w:rsidRPr="005030B9">
        <w:t xml:space="preserve">Ehrlich, </w:t>
      </w:r>
      <w:r w:rsidR="005030B9" w:rsidRPr="00281BF0">
        <w:rPr>
          <w:i/>
          <w:iCs/>
        </w:rPr>
        <w:t>Polymer</w:t>
      </w:r>
      <w:r w:rsidR="005030B9" w:rsidRPr="005030B9">
        <w:t xml:space="preserve">. </w:t>
      </w:r>
      <w:r w:rsidR="005030B9" w:rsidRPr="00281BF0">
        <w:rPr>
          <w:b/>
          <w:bCs/>
        </w:rPr>
        <w:t>1987</w:t>
      </w:r>
      <w:r w:rsidR="005030B9" w:rsidRPr="005030B9">
        <w:t xml:space="preserve">, </w:t>
      </w:r>
      <w:r w:rsidR="005030B9" w:rsidRPr="00281BF0">
        <w:rPr>
          <w:i/>
          <w:iCs/>
        </w:rPr>
        <w:t>28</w:t>
      </w:r>
      <w:r w:rsidR="005030B9" w:rsidRPr="005030B9">
        <w:t>, 587-592.</w:t>
      </w:r>
    </w:p>
    <w:p w14:paraId="22A2A31A" w14:textId="629E10EA" w:rsidR="0058340B" w:rsidRPr="0058340B" w:rsidRDefault="00281BF0" w:rsidP="00EA4E1B">
      <w:pPr>
        <w:pStyle w:val="TAMainText"/>
        <w:numPr>
          <w:ilvl w:val="0"/>
          <w:numId w:val="1"/>
        </w:numPr>
      </w:pPr>
      <w:r w:rsidRPr="00B219FB">
        <w:t>S.</w:t>
      </w:r>
      <w:r>
        <w:t xml:space="preserve"> </w:t>
      </w:r>
      <w:r w:rsidR="00B219FB" w:rsidRPr="00B219FB">
        <w:t>Sohrabnezhad,</w:t>
      </w:r>
      <w:r>
        <w:t xml:space="preserve"> </w:t>
      </w:r>
      <w:r w:rsidR="001606CC" w:rsidRPr="00B219FB">
        <w:t>S. K.</w:t>
      </w:r>
      <w:r w:rsidR="001606CC">
        <w:t xml:space="preserve"> </w:t>
      </w:r>
      <w:r w:rsidR="00B219FB" w:rsidRPr="00B219FB">
        <w:t xml:space="preserve">Rajabi, </w:t>
      </w:r>
      <w:r w:rsidR="00B219FB" w:rsidRPr="001606CC">
        <w:rPr>
          <w:i/>
          <w:iCs/>
        </w:rPr>
        <w:t>J</w:t>
      </w:r>
      <w:r w:rsidR="001606CC" w:rsidRPr="001606CC">
        <w:rPr>
          <w:i/>
          <w:iCs/>
        </w:rPr>
        <w:t>.</w:t>
      </w:r>
      <w:r w:rsidR="00B219FB" w:rsidRPr="001606CC">
        <w:rPr>
          <w:i/>
          <w:iCs/>
        </w:rPr>
        <w:t xml:space="preserve"> of Photochem</w:t>
      </w:r>
      <w:r w:rsidR="001606CC" w:rsidRPr="001606CC">
        <w:rPr>
          <w:i/>
          <w:iCs/>
        </w:rPr>
        <w:t>.</w:t>
      </w:r>
      <w:r w:rsidR="001606CC">
        <w:rPr>
          <w:i/>
          <w:iCs/>
        </w:rPr>
        <w:t xml:space="preserve"> </w:t>
      </w:r>
      <w:r w:rsidR="00B219FB" w:rsidRPr="001606CC">
        <w:rPr>
          <w:i/>
          <w:iCs/>
        </w:rPr>
        <w:t>Photobio</w:t>
      </w:r>
      <w:r w:rsidR="001606CC" w:rsidRPr="001606CC">
        <w:rPr>
          <w:i/>
          <w:iCs/>
        </w:rPr>
        <w:t>.</w:t>
      </w:r>
      <w:r w:rsidR="00B219FB" w:rsidRPr="001606CC">
        <w:rPr>
          <w:i/>
          <w:iCs/>
        </w:rPr>
        <w:t xml:space="preserve"> A: Chem.</w:t>
      </w:r>
      <w:r w:rsidR="00B219FB" w:rsidRPr="00B219FB">
        <w:t xml:space="preserve"> </w:t>
      </w:r>
      <w:r w:rsidR="001606CC" w:rsidRPr="001606CC">
        <w:rPr>
          <w:b/>
          <w:bCs/>
        </w:rPr>
        <w:t>2018</w:t>
      </w:r>
      <w:r w:rsidR="007C68C2">
        <w:t>,</w:t>
      </w:r>
      <w:r w:rsidR="00B219FB" w:rsidRPr="007C68C2">
        <w:rPr>
          <w:i/>
          <w:iCs/>
        </w:rPr>
        <w:t>1</w:t>
      </w:r>
      <w:r w:rsidR="00B219FB" w:rsidRPr="00B219FB">
        <w:t>, 86-93.</w:t>
      </w:r>
    </w:p>
    <w:p w14:paraId="58716424" w14:textId="623E246F" w:rsidR="007B4B2B" w:rsidRPr="007C68C2" w:rsidRDefault="007C68C2" w:rsidP="00552DD0">
      <w:pPr>
        <w:pStyle w:val="TAMainText"/>
        <w:numPr>
          <w:ilvl w:val="0"/>
          <w:numId w:val="1"/>
        </w:numPr>
      </w:pPr>
      <w:r w:rsidRPr="00B0344A">
        <w:t>W. A.</w:t>
      </w:r>
      <w:r>
        <w:t xml:space="preserve"> </w:t>
      </w:r>
      <w:r w:rsidR="00B0344A" w:rsidRPr="00B0344A">
        <w:t>Christinelli</w:t>
      </w:r>
      <w:r>
        <w:t>;</w:t>
      </w:r>
      <w:r w:rsidR="00B0344A" w:rsidRPr="00B0344A">
        <w:t xml:space="preserve"> </w:t>
      </w:r>
      <w:r w:rsidRPr="00B0344A">
        <w:t>R.</w:t>
      </w:r>
      <w:r>
        <w:t xml:space="preserve"> </w:t>
      </w:r>
      <w:r w:rsidR="00B0344A" w:rsidRPr="00B0344A">
        <w:t>Gonçalves</w:t>
      </w:r>
      <w:r>
        <w:t>;</w:t>
      </w:r>
      <w:r w:rsidR="00B0344A" w:rsidRPr="00B0344A">
        <w:t xml:space="preserve"> </w:t>
      </w:r>
      <w:r w:rsidRPr="00B0344A">
        <w:t>E. C.</w:t>
      </w:r>
      <w:r>
        <w:t xml:space="preserve"> </w:t>
      </w:r>
      <w:r w:rsidR="00B0344A" w:rsidRPr="00B0344A">
        <w:t xml:space="preserve">Pereira, </w:t>
      </w:r>
      <w:r w:rsidR="001804D7" w:rsidRPr="00D255D4">
        <w:rPr>
          <w:i/>
          <w:iCs/>
        </w:rPr>
        <w:t>J. Power Sources,</w:t>
      </w:r>
      <w:r w:rsidR="00B0344A" w:rsidRPr="00B0344A">
        <w:t xml:space="preserve"> </w:t>
      </w:r>
      <w:r w:rsidR="00B0344A" w:rsidRPr="001804D7">
        <w:rPr>
          <w:b/>
          <w:bCs/>
        </w:rPr>
        <w:t>2016,</w:t>
      </w:r>
      <w:r w:rsidR="00B0344A" w:rsidRPr="007C68C2">
        <w:t xml:space="preserve"> </w:t>
      </w:r>
      <w:r w:rsidR="00B0344A" w:rsidRPr="001804D7">
        <w:rPr>
          <w:i/>
          <w:iCs/>
        </w:rPr>
        <w:t>303</w:t>
      </w:r>
      <w:r w:rsidR="00B0344A" w:rsidRPr="007C68C2">
        <w:t>, 73-80.</w:t>
      </w:r>
    </w:p>
    <w:p w14:paraId="1E56B146" w14:textId="1E135687" w:rsidR="00552DD0" w:rsidRDefault="00804EDE" w:rsidP="00552DD0">
      <w:pPr>
        <w:pStyle w:val="TAMainText"/>
        <w:numPr>
          <w:ilvl w:val="0"/>
          <w:numId w:val="1"/>
        </w:numPr>
      </w:pPr>
      <w:r w:rsidRPr="009F4D3F">
        <w:rPr>
          <w:lang w:val="pt-BR"/>
        </w:rPr>
        <w:t xml:space="preserve">D. </w:t>
      </w:r>
      <w:r w:rsidR="00552DD0" w:rsidRPr="009F4D3F">
        <w:rPr>
          <w:lang w:val="pt-BR"/>
        </w:rPr>
        <w:t>Profeti</w:t>
      </w:r>
      <w:r w:rsidRPr="009F4D3F">
        <w:rPr>
          <w:lang w:val="pt-BR"/>
        </w:rPr>
        <w:t>;</w:t>
      </w:r>
      <w:r w:rsidR="00552DD0" w:rsidRPr="009F4D3F">
        <w:rPr>
          <w:lang w:val="pt-BR"/>
        </w:rPr>
        <w:t xml:space="preserve"> </w:t>
      </w:r>
      <w:r w:rsidRPr="009F4D3F">
        <w:rPr>
          <w:lang w:val="pt-BR"/>
        </w:rPr>
        <w:t xml:space="preserve">P. R. L. </w:t>
      </w:r>
      <w:r w:rsidR="00552DD0" w:rsidRPr="009F4D3F">
        <w:rPr>
          <w:lang w:val="pt-BR"/>
        </w:rPr>
        <w:t>Profeti</w:t>
      </w:r>
      <w:r w:rsidRPr="009F4D3F">
        <w:rPr>
          <w:lang w:val="pt-BR"/>
        </w:rPr>
        <w:t>;</w:t>
      </w:r>
      <w:r w:rsidR="00552DD0" w:rsidRPr="009F4D3F">
        <w:rPr>
          <w:lang w:val="pt-BR"/>
        </w:rPr>
        <w:t xml:space="preserve"> </w:t>
      </w:r>
      <w:r w:rsidRPr="009F4D3F">
        <w:rPr>
          <w:lang w:val="pt-BR"/>
        </w:rPr>
        <w:t xml:space="preserve">P. </w:t>
      </w:r>
      <w:r w:rsidR="00552DD0" w:rsidRPr="009F4D3F">
        <w:rPr>
          <w:lang w:val="pt-BR"/>
        </w:rPr>
        <w:t>Olivi, Mat</w:t>
      </w:r>
      <w:r w:rsidR="009F4D3F" w:rsidRPr="009F4D3F">
        <w:rPr>
          <w:lang w:val="pt-BR"/>
        </w:rPr>
        <w:t>.</w:t>
      </w:r>
      <w:r w:rsidR="00552DD0" w:rsidRPr="009F4D3F">
        <w:rPr>
          <w:lang w:val="pt-BR"/>
        </w:rPr>
        <w:t xml:space="preserve"> </w:t>
      </w:r>
      <w:r w:rsidR="00552DD0" w:rsidRPr="00552DD0">
        <w:t>Chem</w:t>
      </w:r>
      <w:r w:rsidR="009F4D3F">
        <w:t>.</w:t>
      </w:r>
      <w:r w:rsidR="00552DD0" w:rsidRPr="00552DD0">
        <w:t xml:space="preserve"> Phy</w:t>
      </w:r>
      <w:r w:rsidR="009F4D3F">
        <w:t>.</w:t>
      </w:r>
      <w:r w:rsidR="00552DD0" w:rsidRPr="00552DD0">
        <w:t xml:space="preserve"> </w:t>
      </w:r>
      <w:r w:rsidR="00552DD0" w:rsidRPr="009F4D3F">
        <w:rPr>
          <w:b/>
          <w:bCs/>
        </w:rPr>
        <w:t>2018</w:t>
      </w:r>
      <w:r w:rsidR="00552DD0" w:rsidRPr="00552DD0">
        <w:t xml:space="preserve">, </w:t>
      </w:r>
      <w:r w:rsidR="00552DD0" w:rsidRPr="009F4D3F">
        <w:rPr>
          <w:i/>
          <w:iCs/>
        </w:rPr>
        <w:t>213</w:t>
      </w:r>
      <w:r w:rsidR="00552DD0" w:rsidRPr="00552DD0">
        <w:t>, 96-101.</w:t>
      </w:r>
    </w:p>
    <w:p w14:paraId="23F97AF8" w14:textId="1F12E6A7" w:rsidR="00D73F3D" w:rsidRPr="00D73F3D" w:rsidRDefault="0050723F" w:rsidP="00552DD0">
      <w:pPr>
        <w:pStyle w:val="TAMainText"/>
        <w:numPr>
          <w:ilvl w:val="0"/>
          <w:numId w:val="1"/>
        </w:numPr>
        <w:rPr>
          <w:lang w:val="pt-BR"/>
        </w:rPr>
      </w:pPr>
      <w:r w:rsidRPr="00D73F3D">
        <w:rPr>
          <w:lang w:val="pt-BR"/>
        </w:rPr>
        <w:t>W</w:t>
      </w:r>
      <w:r>
        <w:rPr>
          <w:lang w:val="pt-BR"/>
        </w:rPr>
        <w:t>.</w:t>
      </w:r>
      <w:r w:rsidRPr="00D73F3D">
        <w:rPr>
          <w:lang w:val="pt-BR"/>
        </w:rPr>
        <w:t>A</w:t>
      </w:r>
      <w:r>
        <w:rPr>
          <w:lang w:val="pt-BR"/>
        </w:rPr>
        <w:t>.</w:t>
      </w:r>
      <w:r w:rsidRPr="00D73F3D">
        <w:rPr>
          <w:lang w:val="pt-BR"/>
        </w:rPr>
        <w:t xml:space="preserve"> </w:t>
      </w:r>
      <w:r w:rsidR="00D73F3D" w:rsidRPr="00D73F3D">
        <w:rPr>
          <w:lang w:val="pt-BR"/>
        </w:rPr>
        <w:t>Christinelli</w:t>
      </w:r>
      <w:r w:rsidR="00B57B32">
        <w:rPr>
          <w:lang w:val="pt-BR"/>
        </w:rPr>
        <w:t>;</w:t>
      </w:r>
      <w:r w:rsidR="00D73F3D" w:rsidRPr="00D73F3D">
        <w:rPr>
          <w:lang w:val="pt-BR"/>
        </w:rPr>
        <w:t xml:space="preserve"> </w:t>
      </w:r>
      <w:r w:rsidR="00B57B32" w:rsidRPr="00D73F3D">
        <w:rPr>
          <w:lang w:val="pt-BR"/>
        </w:rPr>
        <w:t>L</w:t>
      </w:r>
      <w:r w:rsidR="00B57B32">
        <w:rPr>
          <w:lang w:val="pt-BR"/>
        </w:rPr>
        <w:t>.</w:t>
      </w:r>
      <w:r w:rsidR="00B57B32" w:rsidRPr="00D73F3D">
        <w:rPr>
          <w:lang w:val="pt-BR"/>
        </w:rPr>
        <w:t>T</w:t>
      </w:r>
      <w:r w:rsidR="00B57B32">
        <w:rPr>
          <w:lang w:val="pt-BR"/>
        </w:rPr>
        <w:t>.</w:t>
      </w:r>
      <w:r w:rsidR="00B57B32" w:rsidRPr="00D73F3D">
        <w:rPr>
          <w:lang w:val="pt-BR"/>
        </w:rPr>
        <w:t xml:space="preserve"> </w:t>
      </w:r>
      <w:r w:rsidR="00D73F3D" w:rsidRPr="00D73F3D">
        <w:rPr>
          <w:lang w:val="pt-BR"/>
        </w:rPr>
        <w:t>Trindade</w:t>
      </w:r>
      <w:r w:rsidR="00B57B32">
        <w:rPr>
          <w:lang w:val="pt-BR"/>
        </w:rPr>
        <w:t>;</w:t>
      </w:r>
      <w:r w:rsidR="00D73F3D" w:rsidRPr="00D73F3D">
        <w:rPr>
          <w:lang w:val="pt-BR"/>
        </w:rPr>
        <w:t xml:space="preserve"> </w:t>
      </w:r>
      <w:r w:rsidR="00B57B32" w:rsidRPr="00D73F3D">
        <w:rPr>
          <w:lang w:val="pt-BR"/>
        </w:rPr>
        <w:t>A</w:t>
      </w:r>
      <w:r w:rsidR="00B57B32">
        <w:rPr>
          <w:lang w:val="pt-BR"/>
        </w:rPr>
        <w:t>.</w:t>
      </w:r>
      <w:r w:rsidR="00B57B32" w:rsidRPr="00D73F3D">
        <w:rPr>
          <w:lang w:val="pt-BR"/>
        </w:rPr>
        <w:t>B</w:t>
      </w:r>
      <w:r w:rsidR="00B57B32">
        <w:rPr>
          <w:lang w:val="pt-BR"/>
        </w:rPr>
        <w:t>.</w:t>
      </w:r>
      <w:r w:rsidR="00B57B32" w:rsidRPr="00D73F3D">
        <w:rPr>
          <w:lang w:val="pt-BR"/>
        </w:rPr>
        <w:t xml:space="preserve"> </w:t>
      </w:r>
      <w:r w:rsidR="00D73F3D" w:rsidRPr="00D73F3D">
        <w:rPr>
          <w:lang w:val="pt-BR"/>
        </w:rPr>
        <w:t>Trench</w:t>
      </w:r>
      <w:r w:rsidR="00B57B32">
        <w:rPr>
          <w:lang w:val="pt-BR"/>
        </w:rPr>
        <w:t xml:space="preserve">; </w:t>
      </w:r>
      <w:r w:rsidR="00B57B32" w:rsidRPr="00D73F3D">
        <w:rPr>
          <w:lang w:val="pt-BR"/>
        </w:rPr>
        <w:t>C</w:t>
      </w:r>
      <w:r w:rsidR="00B57B32">
        <w:rPr>
          <w:lang w:val="pt-BR"/>
        </w:rPr>
        <w:t>.</w:t>
      </w:r>
      <w:r w:rsidR="00B57B32" w:rsidRPr="00D73F3D">
        <w:rPr>
          <w:lang w:val="pt-BR"/>
        </w:rPr>
        <w:t>S</w:t>
      </w:r>
      <w:r w:rsidR="00B57B32">
        <w:rPr>
          <w:lang w:val="pt-BR"/>
        </w:rPr>
        <w:t>.</w:t>
      </w:r>
      <w:r w:rsidR="00D73F3D" w:rsidRPr="00D73F3D">
        <w:rPr>
          <w:lang w:val="pt-BR"/>
        </w:rPr>
        <w:t xml:space="preserve"> Quintans</w:t>
      </w:r>
      <w:r w:rsidR="00B57B32">
        <w:rPr>
          <w:lang w:val="pt-BR"/>
        </w:rPr>
        <w:t>;</w:t>
      </w:r>
      <w:r w:rsidR="00D73F3D" w:rsidRPr="00D73F3D">
        <w:rPr>
          <w:lang w:val="pt-BR"/>
        </w:rPr>
        <w:t xml:space="preserve"> </w:t>
      </w:r>
      <w:r w:rsidR="00B57B32" w:rsidRPr="00D73F3D">
        <w:rPr>
          <w:lang w:val="pt-BR"/>
        </w:rPr>
        <w:t>C</w:t>
      </w:r>
      <w:r w:rsidR="00B57B32">
        <w:rPr>
          <w:lang w:val="pt-BR"/>
        </w:rPr>
        <w:t>.</w:t>
      </w:r>
      <w:r w:rsidR="00B57B32" w:rsidRPr="00D73F3D">
        <w:rPr>
          <w:lang w:val="pt-BR"/>
        </w:rPr>
        <w:t>M</w:t>
      </w:r>
      <w:r w:rsidR="00B57B32">
        <w:rPr>
          <w:lang w:val="pt-BR"/>
        </w:rPr>
        <w:t>.</w:t>
      </w:r>
      <w:r w:rsidR="00B57B32" w:rsidRPr="00D73F3D">
        <w:rPr>
          <w:lang w:val="pt-BR"/>
        </w:rPr>
        <w:t xml:space="preserve"> </w:t>
      </w:r>
      <w:r w:rsidR="00D73F3D" w:rsidRPr="00D73F3D">
        <w:rPr>
          <w:lang w:val="pt-BR"/>
        </w:rPr>
        <w:t>Paranhos</w:t>
      </w:r>
      <w:r w:rsidR="00DA0475">
        <w:rPr>
          <w:lang w:val="pt-BR"/>
        </w:rPr>
        <w:t xml:space="preserve">; </w:t>
      </w:r>
      <w:r w:rsidR="00DA0475" w:rsidRPr="00D73F3D">
        <w:rPr>
          <w:lang w:val="pt-BR"/>
        </w:rPr>
        <w:t>E</w:t>
      </w:r>
      <w:r w:rsidR="00DA0475">
        <w:rPr>
          <w:lang w:val="pt-BR"/>
        </w:rPr>
        <w:t>.</w:t>
      </w:r>
      <w:r w:rsidR="00DA0475" w:rsidRPr="00D73F3D">
        <w:rPr>
          <w:lang w:val="pt-BR"/>
        </w:rPr>
        <w:t>C</w:t>
      </w:r>
      <w:r w:rsidR="00DA0475">
        <w:rPr>
          <w:lang w:val="pt-BR"/>
        </w:rPr>
        <w:t>.</w:t>
      </w:r>
      <w:r w:rsidR="00DA0475" w:rsidRPr="00D73F3D">
        <w:rPr>
          <w:lang w:val="pt-BR"/>
        </w:rPr>
        <w:t xml:space="preserve"> </w:t>
      </w:r>
      <w:r w:rsidR="00D73F3D" w:rsidRPr="00D73F3D">
        <w:rPr>
          <w:lang w:val="pt-BR"/>
        </w:rPr>
        <w:t xml:space="preserve">Pereira, </w:t>
      </w:r>
      <w:r w:rsidR="00D73F3D" w:rsidRPr="00DA0475">
        <w:rPr>
          <w:i/>
          <w:iCs/>
          <w:lang w:val="pt-BR"/>
        </w:rPr>
        <w:t>Energy</w:t>
      </w:r>
      <w:r w:rsidR="00D73F3D" w:rsidRPr="00D73F3D">
        <w:rPr>
          <w:lang w:val="pt-BR"/>
        </w:rPr>
        <w:t>,</w:t>
      </w:r>
      <w:r w:rsidR="00D73F3D">
        <w:rPr>
          <w:lang w:val="pt-BR"/>
        </w:rPr>
        <w:t xml:space="preserve"> </w:t>
      </w:r>
      <w:r w:rsidR="00D73F3D" w:rsidRPr="00D73F3D">
        <w:rPr>
          <w:b/>
          <w:bCs/>
          <w:lang w:val="pt-BR"/>
        </w:rPr>
        <w:t>2017</w:t>
      </w:r>
      <w:r w:rsidR="00DA0475">
        <w:rPr>
          <w:lang w:val="pt-BR"/>
        </w:rPr>
        <w:t xml:space="preserve">, </w:t>
      </w:r>
      <w:r w:rsidR="00D73F3D" w:rsidRPr="00DA0475">
        <w:rPr>
          <w:i/>
          <w:iCs/>
          <w:lang w:val="pt-BR"/>
        </w:rPr>
        <w:t>141</w:t>
      </w:r>
      <w:r w:rsidR="00DA0475">
        <w:rPr>
          <w:lang w:val="pt-BR"/>
        </w:rPr>
        <w:t>,</w:t>
      </w:r>
      <w:r w:rsidR="00D73F3D" w:rsidRPr="00D73F3D">
        <w:rPr>
          <w:lang w:val="pt-BR"/>
        </w:rPr>
        <w:t>1829-1835.</w:t>
      </w:r>
    </w:p>
    <w:sectPr w:rsidR="00D73F3D" w:rsidRPr="00D73F3D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72AE" w14:textId="77777777" w:rsidR="00CD4ED8" w:rsidRDefault="00CD4ED8" w:rsidP="00EA4E1B">
      <w:pPr>
        <w:spacing w:after="0" w:line="240" w:lineRule="auto"/>
      </w:pPr>
      <w:r>
        <w:separator/>
      </w:r>
    </w:p>
  </w:endnote>
  <w:endnote w:type="continuationSeparator" w:id="0">
    <w:p w14:paraId="3A306E0D" w14:textId="77777777" w:rsidR="00CD4ED8" w:rsidRDefault="00CD4ED8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B241" w14:textId="77777777" w:rsidR="00CD4ED8" w:rsidRDefault="00CD4ED8" w:rsidP="00EA4E1B">
      <w:pPr>
        <w:spacing w:after="0" w:line="240" w:lineRule="auto"/>
      </w:pPr>
      <w:r>
        <w:separator/>
      </w:r>
    </w:p>
  </w:footnote>
  <w:footnote w:type="continuationSeparator" w:id="0">
    <w:p w14:paraId="58E2C077" w14:textId="77777777" w:rsidR="00CD4ED8" w:rsidRDefault="00CD4ED8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505C"/>
    <w:rsid w:val="000118C6"/>
    <w:rsid w:val="0001264A"/>
    <w:rsid w:val="0001339A"/>
    <w:rsid w:val="00023CED"/>
    <w:rsid w:val="00051D0D"/>
    <w:rsid w:val="00052192"/>
    <w:rsid w:val="00061A72"/>
    <w:rsid w:val="00064C22"/>
    <w:rsid w:val="0006550A"/>
    <w:rsid w:val="00075508"/>
    <w:rsid w:val="00086E78"/>
    <w:rsid w:val="000A3610"/>
    <w:rsid w:val="000A601F"/>
    <w:rsid w:val="000B0EBE"/>
    <w:rsid w:val="000C0D00"/>
    <w:rsid w:val="000C4806"/>
    <w:rsid w:val="000D0BA8"/>
    <w:rsid w:val="000D0BC2"/>
    <w:rsid w:val="000D28B4"/>
    <w:rsid w:val="000D5A6D"/>
    <w:rsid w:val="000F1D24"/>
    <w:rsid w:val="0010235F"/>
    <w:rsid w:val="0010508B"/>
    <w:rsid w:val="001122F3"/>
    <w:rsid w:val="001243A3"/>
    <w:rsid w:val="001316DA"/>
    <w:rsid w:val="00133B0F"/>
    <w:rsid w:val="0013789A"/>
    <w:rsid w:val="00140BC6"/>
    <w:rsid w:val="001418F6"/>
    <w:rsid w:val="00141DB4"/>
    <w:rsid w:val="0014635F"/>
    <w:rsid w:val="001509BE"/>
    <w:rsid w:val="00157073"/>
    <w:rsid w:val="001606CC"/>
    <w:rsid w:val="001643CF"/>
    <w:rsid w:val="00171C21"/>
    <w:rsid w:val="00171FFB"/>
    <w:rsid w:val="00175B98"/>
    <w:rsid w:val="001804D7"/>
    <w:rsid w:val="001925C1"/>
    <w:rsid w:val="00194C94"/>
    <w:rsid w:val="001964FB"/>
    <w:rsid w:val="001A1E06"/>
    <w:rsid w:val="001B3445"/>
    <w:rsid w:val="001B398B"/>
    <w:rsid w:val="001B7703"/>
    <w:rsid w:val="001C2EC1"/>
    <w:rsid w:val="001C3287"/>
    <w:rsid w:val="001E4039"/>
    <w:rsid w:val="001E58A9"/>
    <w:rsid w:val="001F25B2"/>
    <w:rsid w:val="001F2957"/>
    <w:rsid w:val="001F6236"/>
    <w:rsid w:val="002011AA"/>
    <w:rsid w:val="00204977"/>
    <w:rsid w:val="0021565F"/>
    <w:rsid w:val="00222230"/>
    <w:rsid w:val="00223CDE"/>
    <w:rsid w:val="00226372"/>
    <w:rsid w:val="00242397"/>
    <w:rsid w:val="00260830"/>
    <w:rsid w:val="002665AA"/>
    <w:rsid w:val="00270862"/>
    <w:rsid w:val="00281BF0"/>
    <w:rsid w:val="002938E3"/>
    <w:rsid w:val="002A47EE"/>
    <w:rsid w:val="002C348B"/>
    <w:rsid w:val="002C37E1"/>
    <w:rsid w:val="002C42D1"/>
    <w:rsid w:val="002C5A11"/>
    <w:rsid w:val="002D066B"/>
    <w:rsid w:val="002D2DD9"/>
    <w:rsid w:val="002D3C64"/>
    <w:rsid w:val="002F0CC4"/>
    <w:rsid w:val="00301EA2"/>
    <w:rsid w:val="00307606"/>
    <w:rsid w:val="00310FA7"/>
    <w:rsid w:val="00314410"/>
    <w:rsid w:val="00316D3F"/>
    <w:rsid w:val="00333DB0"/>
    <w:rsid w:val="00340B1E"/>
    <w:rsid w:val="00341267"/>
    <w:rsid w:val="0034587A"/>
    <w:rsid w:val="003458AD"/>
    <w:rsid w:val="00351BC2"/>
    <w:rsid w:val="00357597"/>
    <w:rsid w:val="00372B0D"/>
    <w:rsid w:val="00372B98"/>
    <w:rsid w:val="00377836"/>
    <w:rsid w:val="003867CB"/>
    <w:rsid w:val="00390276"/>
    <w:rsid w:val="003A0ED1"/>
    <w:rsid w:val="003B16E1"/>
    <w:rsid w:val="003B46E4"/>
    <w:rsid w:val="003B4AFE"/>
    <w:rsid w:val="003E032F"/>
    <w:rsid w:val="003F3C58"/>
    <w:rsid w:val="003F5F2F"/>
    <w:rsid w:val="004021AA"/>
    <w:rsid w:val="00402DC3"/>
    <w:rsid w:val="00402F3E"/>
    <w:rsid w:val="00404A3C"/>
    <w:rsid w:val="004072B9"/>
    <w:rsid w:val="004141D3"/>
    <w:rsid w:val="004172AE"/>
    <w:rsid w:val="004200F2"/>
    <w:rsid w:val="00421984"/>
    <w:rsid w:val="0043177B"/>
    <w:rsid w:val="00436F9A"/>
    <w:rsid w:val="00437BB9"/>
    <w:rsid w:val="00453859"/>
    <w:rsid w:val="00470CCC"/>
    <w:rsid w:val="004756F4"/>
    <w:rsid w:val="00492B1E"/>
    <w:rsid w:val="00497B2E"/>
    <w:rsid w:val="004A3FD4"/>
    <w:rsid w:val="004A6EA4"/>
    <w:rsid w:val="004C53B5"/>
    <w:rsid w:val="004D71E2"/>
    <w:rsid w:val="004F0CFA"/>
    <w:rsid w:val="004F2417"/>
    <w:rsid w:val="004F3F42"/>
    <w:rsid w:val="004F45F2"/>
    <w:rsid w:val="005030B9"/>
    <w:rsid w:val="0050723F"/>
    <w:rsid w:val="00507677"/>
    <w:rsid w:val="00512425"/>
    <w:rsid w:val="00514767"/>
    <w:rsid w:val="00515568"/>
    <w:rsid w:val="0052112E"/>
    <w:rsid w:val="00537B4F"/>
    <w:rsid w:val="00543C16"/>
    <w:rsid w:val="00544C51"/>
    <w:rsid w:val="00552DD0"/>
    <w:rsid w:val="00562245"/>
    <w:rsid w:val="00567B2A"/>
    <w:rsid w:val="005815C8"/>
    <w:rsid w:val="0058340B"/>
    <w:rsid w:val="00597A25"/>
    <w:rsid w:val="005A2E0E"/>
    <w:rsid w:val="005B428F"/>
    <w:rsid w:val="005C2775"/>
    <w:rsid w:val="005C5C64"/>
    <w:rsid w:val="005D2E62"/>
    <w:rsid w:val="005D65EB"/>
    <w:rsid w:val="00601916"/>
    <w:rsid w:val="006035BA"/>
    <w:rsid w:val="00604718"/>
    <w:rsid w:val="00606344"/>
    <w:rsid w:val="00606AAE"/>
    <w:rsid w:val="00616E6C"/>
    <w:rsid w:val="006266A3"/>
    <w:rsid w:val="0063319A"/>
    <w:rsid w:val="0064205E"/>
    <w:rsid w:val="00645657"/>
    <w:rsid w:val="00652815"/>
    <w:rsid w:val="0065570C"/>
    <w:rsid w:val="00657EEE"/>
    <w:rsid w:val="00660167"/>
    <w:rsid w:val="0066388D"/>
    <w:rsid w:val="006668A0"/>
    <w:rsid w:val="00667E7D"/>
    <w:rsid w:val="00670479"/>
    <w:rsid w:val="00681316"/>
    <w:rsid w:val="00693D63"/>
    <w:rsid w:val="00696E37"/>
    <w:rsid w:val="006A0CAC"/>
    <w:rsid w:val="006A4B31"/>
    <w:rsid w:val="006B1C72"/>
    <w:rsid w:val="006B7927"/>
    <w:rsid w:val="006C578C"/>
    <w:rsid w:val="006E0ACB"/>
    <w:rsid w:val="006E29A6"/>
    <w:rsid w:val="006E61BF"/>
    <w:rsid w:val="006F599B"/>
    <w:rsid w:val="00701CB6"/>
    <w:rsid w:val="00704371"/>
    <w:rsid w:val="00712876"/>
    <w:rsid w:val="0071373D"/>
    <w:rsid w:val="00716B05"/>
    <w:rsid w:val="007177EF"/>
    <w:rsid w:val="0072580A"/>
    <w:rsid w:val="00727F8C"/>
    <w:rsid w:val="0073683E"/>
    <w:rsid w:val="0074105D"/>
    <w:rsid w:val="00753CF9"/>
    <w:rsid w:val="00760D84"/>
    <w:rsid w:val="007670A0"/>
    <w:rsid w:val="00775038"/>
    <w:rsid w:val="00776B13"/>
    <w:rsid w:val="00781685"/>
    <w:rsid w:val="007920CB"/>
    <w:rsid w:val="00792365"/>
    <w:rsid w:val="007A2B57"/>
    <w:rsid w:val="007A69A2"/>
    <w:rsid w:val="007B06AA"/>
    <w:rsid w:val="007B1CEE"/>
    <w:rsid w:val="007B383D"/>
    <w:rsid w:val="007B4B2B"/>
    <w:rsid w:val="007C6018"/>
    <w:rsid w:val="007C68C2"/>
    <w:rsid w:val="007D0D03"/>
    <w:rsid w:val="007E1C86"/>
    <w:rsid w:val="007F484E"/>
    <w:rsid w:val="007F4D43"/>
    <w:rsid w:val="008036F8"/>
    <w:rsid w:val="0080462D"/>
    <w:rsid w:val="00804745"/>
    <w:rsid w:val="00804EDE"/>
    <w:rsid w:val="00806B91"/>
    <w:rsid w:val="00837581"/>
    <w:rsid w:val="0085190C"/>
    <w:rsid w:val="00856B27"/>
    <w:rsid w:val="00866822"/>
    <w:rsid w:val="00873937"/>
    <w:rsid w:val="008A1B75"/>
    <w:rsid w:val="008A6CD1"/>
    <w:rsid w:val="008B1683"/>
    <w:rsid w:val="008C1B30"/>
    <w:rsid w:val="008C5CF6"/>
    <w:rsid w:val="008D4DF3"/>
    <w:rsid w:val="008F37CF"/>
    <w:rsid w:val="008F5157"/>
    <w:rsid w:val="008F57C9"/>
    <w:rsid w:val="00913900"/>
    <w:rsid w:val="00920D42"/>
    <w:rsid w:val="00924570"/>
    <w:rsid w:val="0093197E"/>
    <w:rsid w:val="00932E2C"/>
    <w:rsid w:val="00940A73"/>
    <w:rsid w:val="009513E4"/>
    <w:rsid w:val="00957899"/>
    <w:rsid w:val="00963E99"/>
    <w:rsid w:val="009656D9"/>
    <w:rsid w:val="009736FA"/>
    <w:rsid w:val="0098039E"/>
    <w:rsid w:val="00994F31"/>
    <w:rsid w:val="009975ED"/>
    <w:rsid w:val="009A00CA"/>
    <w:rsid w:val="009B4E62"/>
    <w:rsid w:val="009C7CB0"/>
    <w:rsid w:val="009D5226"/>
    <w:rsid w:val="009D621A"/>
    <w:rsid w:val="009E0CE1"/>
    <w:rsid w:val="009E380D"/>
    <w:rsid w:val="009E3F46"/>
    <w:rsid w:val="009F4D3F"/>
    <w:rsid w:val="00A00776"/>
    <w:rsid w:val="00A17D85"/>
    <w:rsid w:val="00A3078B"/>
    <w:rsid w:val="00A3656D"/>
    <w:rsid w:val="00A37BE4"/>
    <w:rsid w:val="00A50FBB"/>
    <w:rsid w:val="00A54C30"/>
    <w:rsid w:val="00A665F8"/>
    <w:rsid w:val="00A74788"/>
    <w:rsid w:val="00A8687F"/>
    <w:rsid w:val="00A87CE8"/>
    <w:rsid w:val="00A965B9"/>
    <w:rsid w:val="00AA182E"/>
    <w:rsid w:val="00AA750F"/>
    <w:rsid w:val="00AC113A"/>
    <w:rsid w:val="00AC1E50"/>
    <w:rsid w:val="00AD30E1"/>
    <w:rsid w:val="00AE1FC3"/>
    <w:rsid w:val="00AE66F3"/>
    <w:rsid w:val="00AF0400"/>
    <w:rsid w:val="00AF5708"/>
    <w:rsid w:val="00B0344A"/>
    <w:rsid w:val="00B13E21"/>
    <w:rsid w:val="00B219FB"/>
    <w:rsid w:val="00B27183"/>
    <w:rsid w:val="00B27FFC"/>
    <w:rsid w:val="00B30AEB"/>
    <w:rsid w:val="00B57B32"/>
    <w:rsid w:val="00B848A3"/>
    <w:rsid w:val="00B95DF5"/>
    <w:rsid w:val="00B97425"/>
    <w:rsid w:val="00BA548E"/>
    <w:rsid w:val="00BA6A6E"/>
    <w:rsid w:val="00BB251B"/>
    <w:rsid w:val="00BC1A09"/>
    <w:rsid w:val="00BC30BB"/>
    <w:rsid w:val="00BD1CF8"/>
    <w:rsid w:val="00BF6C28"/>
    <w:rsid w:val="00BF6DAC"/>
    <w:rsid w:val="00C04759"/>
    <w:rsid w:val="00C218CB"/>
    <w:rsid w:val="00C21A5F"/>
    <w:rsid w:val="00C2237C"/>
    <w:rsid w:val="00C42DC0"/>
    <w:rsid w:val="00C52941"/>
    <w:rsid w:val="00C62C30"/>
    <w:rsid w:val="00C74169"/>
    <w:rsid w:val="00C75E81"/>
    <w:rsid w:val="00C760BC"/>
    <w:rsid w:val="00C76E54"/>
    <w:rsid w:val="00C9348A"/>
    <w:rsid w:val="00C94E4F"/>
    <w:rsid w:val="00C978AC"/>
    <w:rsid w:val="00CA7A3F"/>
    <w:rsid w:val="00CC0AD1"/>
    <w:rsid w:val="00CC243C"/>
    <w:rsid w:val="00CD437E"/>
    <w:rsid w:val="00CD4ED8"/>
    <w:rsid w:val="00CE5225"/>
    <w:rsid w:val="00D0307E"/>
    <w:rsid w:val="00D0443C"/>
    <w:rsid w:val="00D175B4"/>
    <w:rsid w:val="00D255D4"/>
    <w:rsid w:val="00D4162E"/>
    <w:rsid w:val="00D42A4D"/>
    <w:rsid w:val="00D4797A"/>
    <w:rsid w:val="00D55AD6"/>
    <w:rsid w:val="00D608C6"/>
    <w:rsid w:val="00D65033"/>
    <w:rsid w:val="00D66697"/>
    <w:rsid w:val="00D722E6"/>
    <w:rsid w:val="00D73F3D"/>
    <w:rsid w:val="00D74DDE"/>
    <w:rsid w:val="00D82DAC"/>
    <w:rsid w:val="00D85128"/>
    <w:rsid w:val="00D96135"/>
    <w:rsid w:val="00D97180"/>
    <w:rsid w:val="00DA0475"/>
    <w:rsid w:val="00DA30DC"/>
    <w:rsid w:val="00DB04D0"/>
    <w:rsid w:val="00DC4EBA"/>
    <w:rsid w:val="00DE68AE"/>
    <w:rsid w:val="00DF1602"/>
    <w:rsid w:val="00DF19CF"/>
    <w:rsid w:val="00DF4B0A"/>
    <w:rsid w:val="00DF72EA"/>
    <w:rsid w:val="00E02A21"/>
    <w:rsid w:val="00E038AF"/>
    <w:rsid w:val="00E06B17"/>
    <w:rsid w:val="00E07C3F"/>
    <w:rsid w:val="00E11653"/>
    <w:rsid w:val="00E1701A"/>
    <w:rsid w:val="00E17E9E"/>
    <w:rsid w:val="00E2556B"/>
    <w:rsid w:val="00E3686A"/>
    <w:rsid w:val="00E447FA"/>
    <w:rsid w:val="00E512BB"/>
    <w:rsid w:val="00E54038"/>
    <w:rsid w:val="00E540D2"/>
    <w:rsid w:val="00E62264"/>
    <w:rsid w:val="00E66290"/>
    <w:rsid w:val="00E67E71"/>
    <w:rsid w:val="00E720FD"/>
    <w:rsid w:val="00E80A3F"/>
    <w:rsid w:val="00E93D7C"/>
    <w:rsid w:val="00EA4E1B"/>
    <w:rsid w:val="00EA6476"/>
    <w:rsid w:val="00EC12F5"/>
    <w:rsid w:val="00EC5E6A"/>
    <w:rsid w:val="00ED2F19"/>
    <w:rsid w:val="00ED3C6D"/>
    <w:rsid w:val="00EE329E"/>
    <w:rsid w:val="00F03C2D"/>
    <w:rsid w:val="00F114B7"/>
    <w:rsid w:val="00F17CB6"/>
    <w:rsid w:val="00F265B6"/>
    <w:rsid w:val="00F30661"/>
    <w:rsid w:val="00F40BFE"/>
    <w:rsid w:val="00F45AAA"/>
    <w:rsid w:val="00F5006E"/>
    <w:rsid w:val="00F55E47"/>
    <w:rsid w:val="00F643EE"/>
    <w:rsid w:val="00F917DA"/>
    <w:rsid w:val="00F91D7A"/>
    <w:rsid w:val="00F93B90"/>
    <w:rsid w:val="00FA4500"/>
    <w:rsid w:val="00FC23B5"/>
    <w:rsid w:val="00FD179C"/>
    <w:rsid w:val="00FF1E47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0C4806"/>
    <w:rPr>
      <w:color w:val="808080"/>
    </w:rPr>
  </w:style>
  <w:style w:type="paragraph" w:styleId="PargrafodaLista">
    <w:name w:val="List Paragraph"/>
    <w:basedOn w:val="Normal"/>
    <w:uiPriority w:val="34"/>
    <w:qFormat/>
    <w:rsid w:val="00552DD0"/>
    <w:pPr>
      <w:ind w:left="720"/>
      <w:contextualSpacing/>
    </w:pPr>
  </w:style>
  <w:style w:type="paragraph" w:styleId="Reviso">
    <w:name w:val="Revision"/>
    <w:hidden/>
    <w:uiPriority w:val="99"/>
    <w:semiHidden/>
    <w:rsid w:val="000C0D0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50F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0F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0F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0F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0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3682</Words>
  <Characters>19886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Katiuscia Borba</cp:lastModifiedBy>
  <cp:revision>6</cp:revision>
  <cp:lastPrinted>2023-04-29T17:24:00Z</cp:lastPrinted>
  <dcterms:created xsi:type="dcterms:W3CDTF">2023-05-02T14:40:00Z</dcterms:created>
  <dcterms:modified xsi:type="dcterms:W3CDTF">2023-05-11T18:49:00Z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