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781BFB" w:rsidRDefault="00866822" w:rsidP="00EA4E1B">
      <w:pPr>
        <w:pStyle w:val="BATitle"/>
        <w:spacing w:before="0" w:after="0" w:line="240" w:lineRule="auto"/>
        <w:ind w:right="0"/>
        <w:jc w:val="both"/>
        <w:rPr>
          <w:sz w:val="32"/>
          <w:lang w:val="pt-BR"/>
        </w:rPr>
      </w:pPr>
      <w:bookmarkStart w:id="0" w:name="_Hlk1324517"/>
      <w:bookmarkStart w:id="1" w:name="_Hlk1324670"/>
      <w:r w:rsidRPr="00781BFB">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A13D723" w:rsidR="00EA4E1B" w:rsidRPr="00781BFB" w:rsidRDefault="00B22BDB" w:rsidP="00627660">
      <w:pPr>
        <w:pStyle w:val="BATitle"/>
        <w:spacing w:before="0" w:line="240" w:lineRule="auto"/>
        <w:ind w:right="0"/>
        <w:jc w:val="both"/>
        <w:rPr>
          <w:sz w:val="32"/>
          <w:lang w:val="pt-BR"/>
        </w:rPr>
      </w:pPr>
      <w:r w:rsidRPr="00781BFB">
        <w:rPr>
          <w:sz w:val="32"/>
          <w:lang w:val="pt-BR"/>
        </w:rPr>
        <w:t xml:space="preserve">Pirólise </w:t>
      </w:r>
      <w:r w:rsidRPr="00184608">
        <w:rPr>
          <w:sz w:val="32"/>
          <w:lang w:val="pt-BR"/>
        </w:rPr>
        <w:t>catalítica d</w:t>
      </w:r>
      <w:r w:rsidR="000C75EF" w:rsidRPr="00184608">
        <w:rPr>
          <w:sz w:val="32"/>
          <w:lang w:val="pt-BR"/>
        </w:rPr>
        <w:t>e</w:t>
      </w:r>
      <w:r w:rsidRPr="00184608">
        <w:rPr>
          <w:sz w:val="32"/>
          <w:lang w:val="pt-BR"/>
        </w:rPr>
        <w:t xml:space="preserve"> </w:t>
      </w:r>
      <w:r w:rsidR="001C3CFB" w:rsidRPr="00184608">
        <w:rPr>
          <w:sz w:val="32"/>
          <w:lang w:val="pt-BR"/>
        </w:rPr>
        <w:t xml:space="preserve">resíduos de </w:t>
      </w:r>
      <w:r w:rsidR="001602FD" w:rsidRPr="00184608">
        <w:rPr>
          <w:sz w:val="32"/>
          <w:lang w:val="pt-BR"/>
        </w:rPr>
        <w:t>pain</w:t>
      </w:r>
      <w:r w:rsidR="001C3CFB" w:rsidRPr="00184608">
        <w:rPr>
          <w:sz w:val="32"/>
          <w:lang w:val="pt-BR"/>
        </w:rPr>
        <w:t>éis</w:t>
      </w:r>
      <w:r w:rsidR="001602FD" w:rsidRPr="00184608">
        <w:rPr>
          <w:sz w:val="32"/>
          <w:lang w:val="pt-BR"/>
        </w:rPr>
        <w:t xml:space="preserve"> </w:t>
      </w:r>
      <w:r w:rsidR="00F03CAB">
        <w:rPr>
          <w:sz w:val="32"/>
          <w:lang w:val="pt-BR"/>
        </w:rPr>
        <w:t>de fibra</w:t>
      </w:r>
      <w:r w:rsidR="001C3CFB" w:rsidRPr="00184608">
        <w:rPr>
          <w:sz w:val="32"/>
          <w:lang w:val="pt-BR"/>
        </w:rPr>
        <w:t xml:space="preserve"> de </w:t>
      </w:r>
      <w:r w:rsidRPr="00184608">
        <w:rPr>
          <w:sz w:val="32"/>
          <w:lang w:val="pt-BR"/>
        </w:rPr>
        <w:t xml:space="preserve">média densidade (MDF) sobre </w:t>
      </w:r>
      <w:r w:rsidR="003C2E69">
        <w:rPr>
          <w:sz w:val="32"/>
          <w:lang w:val="pt-BR"/>
        </w:rPr>
        <w:t xml:space="preserve">platina suportada </w:t>
      </w:r>
      <w:r w:rsidR="000300CB">
        <w:rPr>
          <w:sz w:val="32"/>
          <w:lang w:val="pt-BR"/>
        </w:rPr>
        <w:t>em</w:t>
      </w:r>
      <w:r w:rsidR="003C2E69">
        <w:rPr>
          <w:sz w:val="32"/>
          <w:lang w:val="pt-BR"/>
        </w:rPr>
        <w:t xml:space="preserve"> </w:t>
      </w:r>
      <w:r w:rsidRPr="00781BFB">
        <w:rPr>
          <w:sz w:val="32"/>
          <w:lang w:val="pt-BR"/>
        </w:rPr>
        <w:t xml:space="preserve">zeólita beta </w:t>
      </w:r>
    </w:p>
    <w:p w14:paraId="18735493" w14:textId="42F66C99" w:rsidR="00EA4E1B" w:rsidRPr="00781BFB" w:rsidRDefault="002A2553" w:rsidP="00EA4E1B">
      <w:pPr>
        <w:pStyle w:val="BBAuthorName"/>
        <w:spacing w:after="120"/>
        <w:ind w:right="0"/>
        <w:jc w:val="both"/>
        <w:rPr>
          <w:rFonts w:ascii="Times New Roman" w:hAnsi="Times New Roman"/>
          <w:sz w:val="20"/>
          <w:lang w:val="pt-BR"/>
        </w:rPr>
      </w:pPr>
      <w:r w:rsidRPr="00781BFB">
        <w:rPr>
          <w:rFonts w:ascii="Times New Roman" w:hAnsi="Times New Roman"/>
          <w:sz w:val="20"/>
          <w:lang w:val="pt-BR"/>
        </w:rPr>
        <w:t>Francieli M. Mayer</w:t>
      </w:r>
      <w:r>
        <w:rPr>
          <w:rFonts w:ascii="Times New Roman" w:hAnsi="Times New Roman"/>
          <w:sz w:val="20"/>
          <w:vertAlign w:val="superscript"/>
          <w:lang w:val="pt-BR"/>
        </w:rPr>
        <w:t>1</w:t>
      </w:r>
      <w:r w:rsidRPr="00B62657">
        <w:rPr>
          <w:rFonts w:ascii="Times New Roman" w:hAnsi="Times New Roman"/>
          <w:sz w:val="20"/>
          <w:lang w:val="pt-BR"/>
        </w:rPr>
        <w:t>,</w:t>
      </w:r>
      <w:r>
        <w:rPr>
          <w:rFonts w:ascii="Times New Roman" w:hAnsi="Times New Roman"/>
          <w:sz w:val="20"/>
          <w:vertAlign w:val="superscript"/>
          <w:lang w:val="pt-BR"/>
        </w:rPr>
        <w:t xml:space="preserve"> </w:t>
      </w:r>
      <w:r w:rsidR="00B22BDB" w:rsidRPr="00781BFB">
        <w:rPr>
          <w:rFonts w:ascii="Times New Roman" w:hAnsi="Times New Roman"/>
          <w:sz w:val="20"/>
          <w:lang w:val="pt-BR"/>
        </w:rPr>
        <w:t>Mateus S. Carvalho</w:t>
      </w:r>
      <w:r w:rsidR="007C7914">
        <w:rPr>
          <w:rFonts w:ascii="Times New Roman" w:hAnsi="Times New Roman"/>
          <w:sz w:val="20"/>
          <w:vertAlign w:val="superscript"/>
          <w:lang w:val="pt-BR"/>
        </w:rPr>
        <w:t>2</w:t>
      </w:r>
      <w:r w:rsidR="00B22BDB" w:rsidRPr="00781BFB">
        <w:rPr>
          <w:rFonts w:ascii="Times New Roman" w:hAnsi="Times New Roman"/>
          <w:sz w:val="20"/>
          <w:vertAlign w:val="superscript"/>
          <w:lang w:val="pt-BR"/>
        </w:rPr>
        <w:t>,</w:t>
      </w:r>
      <w:r w:rsidR="007C7914">
        <w:rPr>
          <w:rFonts w:ascii="Times New Roman" w:hAnsi="Times New Roman"/>
          <w:sz w:val="20"/>
          <w:vertAlign w:val="superscript"/>
          <w:lang w:val="pt-BR"/>
        </w:rPr>
        <w:t>3</w:t>
      </w:r>
      <w:r w:rsidR="00B22BDB" w:rsidRPr="00781BFB">
        <w:rPr>
          <w:rFonts w:ascii="Times New Roman" w:hAnsi="Times New Roman"/>
          <w:sz w:val="20"/>
          <w:lang w:val="pt-BR"/>
        </w:rPr>
        <w:t>, Ana P. S. Oliveira</w:t>
      </w:r>
      <w:r w:rsidR="00B22BDB" w:rsidRPr="00781BFB">
        <w:rPr>
          <w:rFonts w:ascii="Times New Roman" w:hAnsi="Times New Roman"/>
          <w:sz w:val="20"/>
          <w:vertAlign w:val="superscript"/>
          <w:lang w:val="pt-BR"/>
        </w:rPr>
        <w:t>3</w:t>
      </w:r>
      <w:r w:rsidR="00B22BDB" w:rsidRPr="00781BFB">
        <w:rPr>
          <w:rFonts w:ascii="Times New Roman" w:hAnsi="Times New Roman"/>
          <w:sz w:val="20"/>
          <w:lang w:val="pt-BR"/>
        </w:rPr>
        <w:t xml:space="preserve">, </w:t>
      </w:r>
      <w:r w:rsidR="003C2E69">
        <w:rPr>
          <w:rFonts w:ascii="Times New Roman" w:hAnsi="Times New Roman"/>
          <w:sz w:val="20"/>
          <w:lang w:val="pt-BR"/>
        </w:rPr>
        <w:t>Dóris Ruiz</w:t>
      </w:r>
      <w:r w:rsidR="003C2E69">
        <w:rPr>
          <w:rFonts w:ascii="Times New Roman" w:hAnsi="Times New Roman"/>
          <w:sz w:val="20"/>
          <w:vertAlign w:val="superscript"/>
          <w:lang w:val="pt-BR"/>
        </w:rPr>
        <w:t>4</w:t>
      </w:r>
      <w:r w:rsidR="003C2E69">
        <w:rPr>
          <w:rFonts w:ascii="Times New Roman" w:hAnsi="Times New Roman"/>
          <w:sz w:val="20"/>
          <w:lang w:val="pt-BR"/>
        </w:rPr>
        <w:t>,</w:t>
      </w:r>
      <w:r w:rsidR="003C2E69">
        <w:rPr>
          <w:rFonts w:ascii="Times New Roman" w:hAnsi="Times New Roman"/>
          <w:sz w:val="20"/>
          <w:vertAlign w:val="superscript"/>
          <w:lang w:val="pt-BR"/>
        </w:rPr>
        <w:t xml:space="preserve"> </w:t>
      </w:r>
      <w:r w:rsidR="00B22BDB" w:rsidRPr="00781BFB">
        <w:rPr>
          <w:rFonts w:ascii="Times New Roman" w:hAnsi="Times New Roman"/>
          <w:sz w:val="20"/>
          <w:lang w:val="pt-BR"/>
        </w:rPr>
        <w:t>Cesário F. Virgens</w:t>
      </w:r>
      <w:r w:rsidR="003C2E69">
        <w:rPr>
          <w:rFonts w:ascii="Times New Roman" w:hAnsi="Times New Roman"/>
          <w:sz w:val="20"/>
          <w:vertAlign w:val="superscript"/>
          <w:lang w:val="pt-BR"/>
        </w:rPr>
        <w:t>5</w:t>
      </w:r>
      <w:r w:rsidR="00B22BDB" w:rsidRPr="00781BFB">
        <w:rPr>
          <w:rFonts w:ascii="Times New Roman" w:hAnsi="Times New Roman"/>
          <w:sz w:val="20"/>
          <w:lang w:val="pt-BR"/>
        </w:rPr>
        <w:t xml:space="preserve">, Maria </w:t>
      </w:r>
      <w:r w:rsidR="00083938" w:rsidRPr="00781BFB">
        <w:rPr>
          <w:rFonts w:ascii="Times New Roman" w:hAnsi="Times New Roman"/>
          <w:sz w:val="20"/>
          <w:lang w:val="pt-BR"/>
        </w:rPr>
        <w:t xml:space="preserve">do </w:t>
      </w:r>
      <w:r w:rsidR="00B22BDB" w:rsidRPr="00781BFB">
        <w:rPr>
          <w:rFonts w:ascii="Times New Roman" w:hAnsi="Times New Roman"/>
          <w:sz w:val="20"/>
          <w:lang w:val="pt-BR"/>
        </w:rPr>
        <w:t>C</w:t>
      </w:r>
      <w:r w:rsidR="00480263">
        <w:rPr>
          <w:rFonts w:ascii="Times New Roman" w:hAnsi="Times New Roman"/>
          <w:sz w:val="20"/>
          <w:lang w:val="pt-BR"/>
        </w:rPr>
        <w:t>armo</w:t>
      </w:r>
      <w:r w:rsidR="00B22BDB" w:rsidRPr="00781BFB">
        <w:rPr>
          <w:rFonts w:ascii="Times New Roman" w:hAnsi="Times New Roman"/>
          <w:sz w:val="20"/>
          <w:lang w:val="pt-BR"/>
        </w:rPr>
        <w:t xml:space="preserve"> Rangel</w:t>
      </w:r>
      <w:r w:rsidR="00B22BDB" w:rsidRPr="00781BFB">
        <w:rPr>
          <w:rFonts w:ascii="Times New Roman" w:hAnsi="Times New Roman"/>
          <w:sz w:val="20"/>
          <w:vertAlign w:val="superscript"/>
          <w:lang w:val="pt-BR"/>
        </w:rPr>
        <w:t>1</w:t>
      </w:r>
      <w:r w:rsidR="003C2E69">
        <w:rPr>
          <w:rFonts w:ascii="Times New Roman" w:hAnsi="Times New Roman"/>
          <w:sz w:val="20"/>
          <w:vertAlign w:val="superscript"/>
          <w:lang w:val="pt-BR"/>
        </w:rPr>
        <w:t>,2</w:t>
      </w:r>
      <w:r w:rsidR="00627660" w:rsidRPr="00781BFB">
        <w:rPr>
          <w:rFonts w:ascii="Times New Roman" w:hAnsi="Times New Roman"/>
          <w:sz w:val="20"/>
          <w:vertAlign w:val="superscript"/>
          <w:lang w:val="pt-BR"/>
        </w:rPr>
        <w:t>*</w:t>
      </w:r>
    </w:p>
    <w:p w14:paraId="6FC58299" w14:textId="635F74C8" w:rsidR="007C7914" w:rsidRPr="00E01423" w:rsidRDefault="007C7914" w:rsidP="000300CB">
      <w:pPr>
        <w:pStyle w:val="BCAuthorAddress"/>
        <w:spacing w:after="0" w:line="240" w:lineRule="auto"/>
        <w:ind w:right="0"/>
        <w:jc w:val="both"/>
        <w:rPr>
          <w:lang w:val="pt-BR"/>
        </w:rPr>
      </w:pPr>
      <w:r w:rsidRPr="00E01423">
        <w:rPr>
          <w:vertAlign w:val="superscript"/>
          <w:lang w:val="pt-BR"/>
        </w:rPr>
        <w:t>1</w:t>
      </w:r>
      <w:r w:rsidRPr="00E01423">
        <w:rPr>
          <w:lang w:val="pt-BR"/>
        </w:rPr>
        <w:t>Universidade Federal do Rio Grande do Sul, Departamento de Química Inorgânica, Porto Alegre, RS, Brasil</w:t>
      </w:r>
      <w:r w:rsidR="008C2629" w:rsidRPr="00E01423">
        <w:rPr>
          <w:lang w:val="pt-BR"/>
        </w:rPr>
        <w:t>.</w:t>
      </w:r>
    </w:p>
    <w:p w14:paraId="300DF972" w14:textId="0D0ADA1B" w:rsidR="00627660" w:rsidRPr="00781BFB" w:rsidRDefault="007C7914" w:rsidP="000300CB">
      <w:pPr>
        <w:pStyle w:val="BCAuthorAddress"/>
        <w:spacing w:after="0" w:line="240" w:lineRule="auto"/>
        <w:ind w:right="0"/>
        <w:jc w:val="both"/>
        <w:rPr>
          <w:lang w:val="pt-BR"/>
        </w:rPr>
      </w:pPr>
      <w:r>
        <w:rPr>
          <w:vertAlign w:val="superscript"/>
          <w:lang w:val="pt-BR"/>
        </w:rPr>
        <w:t>2</w:t>
      </w:r>
      <w:r w:rsidR="00627660" w:rsidRPr="00781BFB">
        <w:rPr>
          <w:lang w:val="pt-BR"/>
        </w:rPr>
        <w:t>Universidade Federal da Bahia, Escola Politécnica, Salvador</w:t>
      </w:r>
      <w:r w:rsidR="00D75C1F">
        <w:rPr>
          <w:lang w:val="pt-BR"/>
        </w:rPr>
        <w:t xml:space="preserve">, </w:t>
      </w:r>
      <w:r w:rsidR="00627660" w:rsidRPr="00781BFB">
        <w:rPr>
          <w:lang w:val="pt-BR"/>
        </w:rPr>
        <w:t>BA</w:t>
      </w:r>
      <w:r w:rsidR="00D75C1F">
        <w:rPr>
          <w:lang w:val="pt-BR"/>
        </w:rPr>
        <w:t>, Brasil.</w:t>
      </w:r>
    </w:p>
    <w:p w14:paraId="36DC7EB4" w14:textId="22BCB831" w:rsidR="00627660" w:rsidRDefault="007C7914" w:rsidP="000300CB">
      <w:pPr>
        <w:pStyle w:val="BCAuthorAddress"/>
        <w:spacing w:after="0" w:line="240" w:lineRule="auto"/>
        <w:ind w:right="0"/>
        <w:jc w:val="both"/>
        <w:rPr>
          <w:lang w:val="pt-BR"/>
        </w:rPr>
      </w:pPr>
      <w:r>
        <w:rPr>
          <w:vertAlign w:val="superscript"/>
          <w:lang w:val="pt-BR"/>
        </w:rPr>
        <w:t>3</w:t>
      </w:r>
      <w:r w:rsidR="00627660" w:rsidRPr="00781BFB">
        <w:rPr>
          <w:lang w:val="pt-BR"/>
        </w:rPr>
        <w:t>Universidade Estadual do Sudoeste da Bahia, Departamento de Ciências Exatas e Naturais, Itapetinga</w:t>
      </w:r>
      <w:r w:rsidR="008C2629">
        <w:rPr>
          <w:lang w:val="pt-BR"/>
        </w:rPr>
        <w:t xml:space="preserve">, </w:t>
      </w:r>
      <w:r w:rsidR="00627660" w:rsidRPr="00781BFB">
        <w:rPr>
          <w:lang w:val="pt-BR"/>
        </w:rPr>
        <w:t>BA</w:t>
      </w:r>
      <w:r w:rsidR="008C2629">
        <w:rPr>
          <w:lang w:val="pt-BR"/>
        </w:rPr>
        <w:t>, Brasil.</w:t>
      </w:r>
    </w:p>
    <w:p w14:paraId="5A9DB53D" w14:textId="291E0623" w:rsidR="000300CB" w:rsidRDefault="003C2E69" w:rsidP="005B3F03">
      <w:pPr>
        <w:spacing w:after="0" w:line="240" w:lineRule="auto"/>
        <w:jc w:val="both"/>
        <w:rPr>
          <w:rFonts w:ascii="Times" w:eastAsia="Times New Roman" w:hAnsi="Times" w:cs="Times New Roman"/>
          <w:i/>
          <w:sz w:val="20"/>
          <w:szCs w:val="20"/>
          <w:lang w:eastAsia="pt-BR"/>
        </w:rPr>
      </w:pPr>
      <w:r>
        <w:rPr>
          <w:rFonts w:ascii="Times" w:eastAsia="Times New Roman" w:hAnsi="Times" w:cs="Times New Roman"/>
          <w:i/>
          <w:sz w:val="20"/>
          <w:szCs w:val="20"/>
          <w:vertAlign w:val="superscript"/>
          <w:lang w:eastAsia="pt-BR"/>
        </w:rPr>
        <w:t>4</w:t>
      </w:r>
      <w:r w:rsidRPr="003C2E69">
        <w:rPr>
          <w:rFonts w:ascii="Times" w:eastAsia="Times New Roman" w:hAnsi="Times" w:cs="Times New Roman"/>
          <w:i/>
          <w:sz w:val="20"/>
          <w:szCs w:val="20"/>
          <w:lang w:eastAsia="pt-BR"/>
        </w:rPr>
        <w:t xml:space="preserve">Universidad de Concepción, </w:t>
      </w:r>
      <w:r w:rsidR="005B3F03" w:rsidRPr="005B3F03">
        <w:rPr>
          <w:rFonts w:ascii="Times" w:eastAsia="Times New Roman" w:hAnsi="Times" w:cs="Times New Roman"/>
          <w:i/>
          <w:sz w:val="20"/>
          <w:szCs w:val="20"/>
          <w:lang w:eastAsia="pt-BR"/>
        </w:rPr>
        <w:t>Edmundo Larenas 129</w:t>
      </w:r>
      <w:r w:rsidR="007C103B">
        <w:rPr>
          <w:rFonts w:ascii="Times" w:eastAsia="Times New Roman" w:hAnsi="Times" w:cs="Times New Roman"/>
          <w:i/>
          <w:sz w:val="20"/>
          <w:szCs w:val="20"/>
          <w:lang w:eastAsia="pt-BR"/>
        </w:rPr>
        <w:t xml:space="preserve">, </w:t>
      </w:r>
      <w:r w:rsidR="005B3F03" w:rsidRPr="005B3F03">
        <w:rPr>
          <w:rFonts w:ascii="Times" w:eastAsia="Times New Roman" w:hAnsi="Times" w:cs="Times New Roman"/>
          <w:i/>
          <w:sz w:val="20"/>
          <w:szCs w:val="20"/>
          <w:lang w:eastAsia="pt-BR"/>
        </w:rPr>
        <w:t>Casilla 160</w:t>
      </w:r>
      <w:r w:rsidR="007C103B">
        <w:rPr>
          <w:rFonts w:ascii="Times" w:eastAsia="Times New Roman" w:hAnsi="Times" w:cs="Times New Roman"/>
          <w:i/>
          <w:sz w:val="20"/>
          <w:szCs w:val="20"/>
          <w:lang w:eastAsia="pt-BR"/>
        </w:rPr>
        <w:t>-C,</w:t>
      </w:r>
      <w:r w:rsidR="005B3F03" w:rsidRPr="005B3F03">
        <w:rPr>
          <w:rFonts w:ascii="Times" w:eastAsia="Times New Roman" w:hAnsi="Times" w:cs="Times New Roman"/>
          <w:i/>
          <w:sz w:val="20"/>
          <w:szCs w:val="20"/>
          <w:lang w:eastAsia="pt-BR"/>
        </w:rPr>
        <w:t xml:space="preserve"> </w:t>
      </w:r>
      <w:r w:rsidRPr="003C2E69">
        <w:rPr>
          <w:rFonts w:ascii="Times" w:eastAsia="Times New Roman" w:hAnsi="Times" w:cs="Times New Roman"/>
          <w:i/>
          <w:sz w:val="20"/>
          <w:szCs w:val="20"/>
          <w:lang w:eastAsia="pt-BR"/>
        </w:rPr>
        <w:t>Chile.</w:t>
      </w:r>
      <w:r w:rsidR="000300CB">
        <w:rPr>
          <w:rFonts w:ascii="Times" w:eastAsia="Times New Roman" w:hAnsi="Times" w:cs="Times New Roman"/>
          <w:i/>
          <w:sz w:val="20"/>
          <w:szCs w:val="20"/>
          <w:lang w:eastAsia="pt-BR"/>
        </w:rPr>
        <w:t xml:space="preserve">                                                  </w:t>
      </w:r>
    </w:p>
    <w:p w14:paraId="77AE6CA8" w14:textId="456F51B0" w:rsidR="00627660" w:rsidRPr="003C2E69" w:rsidRDefault="000300CB" w:rsidP="003C2E69">
      <w:pPr>
        <w:spacing w:after="0"/>
        <w:jc w:val="both"/>
        <w:rPr>
          <w:rFonts w:ascii="Times" w:eastAsia="Times New Roman" w:hAnsi="Times" w:cs="Times New Roman"/>
          <w:i/>
          <w:sz w:val="20"/>
          <w:szCs w:val="20"/>
          <w:lang w:eastAsia="pt-BR"/>
        </w:rPr>
      </w:pPr>
      <w:r>
        <w:rPr>
          <w:rFonts w:ascii="Times" w:eastAsia="Times New Roman" w:hAnsi="Times" w:cs="Times New Roman"/>
          <w:i/>
          <w:sz w:val="20"/>
          <w:szCs w:val="20"/>
          <w:lang w:eastAsia="pt-BR"/>
        </w:rPr>
        <w:t xml:space="preserve"> </w:t>
      </w:r>
      <w:r w:rsidR="003C2E69">
        <w:rPr>
          <w:rFonts w:ascii="Times" w:eastAsia="Times New Roman" w:hAnsi="Times" w:cs="Times New Roman"/>
          <w:i/>
          <w:sz w:val="20"/>
          <w:szCs w:val="20"/>
          <w:vertAlign w:val="superscript"/>
          <w:lang w:eastAsia="pt-BR"/>
        </w:rPr>
        <w:t>5</w:t>
      </w:r>
      <w:r w:rsidR="00627660" w:rsidRPr="00781BFB">
        <w:rPr>
          <w:rFonts w:ascii="Times" w:eastAsia="Times New Roman" w:hAnsi="Times" w:cs="Times New Roman"/>
          <w:i/>
          <w:sz w:val="20"/>
          <w:szCs w:val="20"/>
          <w:lang w:eastAsia="pt-BR"/>
        </w:rPr>
        <w:t>Universidade do Estado da Bahia, Departamento de Ciências Exatas e da Terra,</w:t>
      </w:r>
      <w:r w:rsidR="00E01423">
        <w:rPr>
          <w:rFonts w:ascii="Times" w:eastAsia="Times New Roman" w:hAnsi="Times" w:cs="Times New Roman"/>
          <w:i/>
          <w:sz w:val="20"/>
          <w:szCs w:val="20"/>
          <w:lang w:eastAsia="pt-BR"/>
        </w:rPr>
        <w:t xml:space="preserve"> </w:t>
      </w:r>
      <w:r w:rsidR="00627660" w:rsidRPr="00781BFB">
        <w:rPr>
          <w:rFonts w:ascii="Times" w:eastAsia="Times New Roman" w:hAnsi="Times" w:cs="Times New Roman"/>
          <w:i/>
          <w:sz w:val="20"/>
          <w:szCs w:val="20"/>
          <w:lang w:eastAsia="pt-BR"/>
        </w:rPr>
        <w:t>Salvador</w:t>
      </w:r>
      <w:r w:rsidR="00E01423">
        <w:rPr>
          <w:rFonts w:ascii="Times" w:eastAsia="Times New Roman" w:hAnsi="Times" w:cs="Times New Roman"/>
          <w:i/>
          <w:sz w:val="20"/>
          <w:szCs w:val="20"/>
          <w:lang w:eastAsia="pt-BR"/>
        </w:rPr>
        <w:t xml:space="preserve">, </w:t>
      </w:r>
      <w:r w:rsidR="00627660" w:rsidRPr="00781BFB">
        <w:rPr>
          <w:rFonts w:ascii="Times" w:eastAsia="Times New Roman" w:hAnsi="Times" w:cs="Times New Roman"/>
          <w:i/>
          <w:sz w:val="20"/>
          <w:szCs w:val="20"/>
          <w:lang w:eastAsia="pt-BR"/>
        </w:rPr>
        <w:t xml:space="preserve">BA, </w:t>
      </w:r>
      <w:r w:rsidR="00E01423">
        <w:rPr>
          <w:rFonts w:ascii="Times" w:eastAsia="Times New Roman" w:hAnsi="Times" w:cs="Times New Roman"/>
          <w:i/>
          <w:sz w:val="20"/>
          <w:szCs w:val="20"/>
          <w:lang w:eastAsia="pt-BR"/>
        </w:rPr>
        <w:t>Brasil.</w:t>
      </w:r>
    </w:p>
    <w:p w14:paraId="4E0472A4" w14:textId="15317481" w:rsidR="00627660" w:rsidRPr="003C2E69" w:rsidRDefault="00627660" w:rsidP="00627660">
      <w:pPr>
        <w:spacing w:after="0"/>
        <w:rPr>
          <w:rFonts w:ascii="Times" w:eastAsia="Times New Roman" w:hAnsi="Times" w:cs="Times New Roman"/>
          <w:i/>
          <w:sz w:val="20"/>
          <w:szCs w:val="20"/>
          <w:lang w:eastAsia="pt-BR"/>
        </w:rPr>
      </w:pPr>
      <w:r w:rsidRPr="003C2E69">
        <w:rPr>
          <w:rFonts w:ascii="Times" w:eastAsia="Times New Roman" w:hAnsi="Times" w:cs="Times New Roman"/>
          <w:i/>
          <w:sz w:val="20"/>
          <w:szCs w:val="20"/>
          <w:lang w:eastAsia="pt-BR"/>
        </w:rPr>
        <w:t>e-mail: maria.rangel@ufrgs.br</w:t>
      </w:r>
    </w:p>
    <w:bookmarkEnd w:id="0"/>
    <w:p w14:paraId="238E7EC1" w14:textId="5D4AB3B8" w:rsidR="00AF0400" w:rsidRPr="003C2E69" w:rsidRDefault="00AF0400" w:rsidP="00EA4E1B">
      <w:pPr>
        <w:pStyle w:val="BDAbstract"/>
        <w:spacing w:before="0" w:after="0" w:line="240" w:lineRule="auto"/>
        <w:rPr>
          <w:rFonts w:ascii="Times New Roman" w:hAnsi="Times New Roman"/>
          <w:b w:val="0"/>
          <w:sz w:val="20"/>
          <w:lang w:val="pt-BR"/>
        </w:rPr>
      </w:pPr>
      <w:r w:rsidRPr="00781BFB">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5E8C5F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5E8C5F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3C2E69" w:rsidRDefault="00AF0400" w:rsidP="00EA4E1B">
      <w:pPr>
        <w:pStyle w:val="BDAbstract"/>
        <w:spacing w:before="0" w:after="0" w:line="240" w:lineRule="auto"/>
        <w:rPr>
          <w:rFonts w:ascii="Times New Roman" w:hAnsi="Times New Roman"/>
          <w:b w:val="0"/>
          <w:sz w:val="20"/>
          <w:lang w:val="pt-BR"/>
        </w:rPr>
      </w:pPr>
    </w:p>
    <w:p w14:paraId="61B3DE9F" w14:textId="1760CD78" w:rsidR="00760F42" w:rsidRPr="00781BFB" w:rsidRDefault="00EA4E1B" w:rsidP="00876B6E">
      <w:pPr>
        <w:pStyle w:val="BDAbstract"/>
        <w:spacing w:before="0" w:after="0" w:line="240" w:lineRule="auto"/>
        <w:rPr>
          <w:rFonts w:ascii="Times New Roman" w:hAnsi="Times New Roman"/>
          <w:b w:val="0"/>
          <w:sz w:val="20"/>
          <w:lang w:val="pt-BR"/>
        </w:rPr>
      </w:pPr>
      <w:r w:rsidRPr="00781BFB">
        <w:rPr>
          <w:rFonts w:ascii="Times New Roman" w:hAnsi="Times New Roman"/>
          <w:b w:val="0"/>
          <w:sz w:val="20"/>
          <w:lang w:val="pt-BR"/>
        </w:rPr>
        <w:t xml:space="preserve">RESUMO </w:t>
      </w:r>
      <w:r w:rsidR="00934ECD" w:rsidRPr="00781BFB">
        <w:rPr>
          <w:rFonts w:ascii="Times New Roman" w:hAnsi="Times New Roman"/>
          <w:b w:val="0"/>
          <w:sz w:val="20"/>
          <w:lang w:val="pt-BR"/>
        </w:rPr>
        <w:t>–</w:t>
      </w:r>
      <w:r w:rsidRPr="00781BFB">
        <w:rPr>
          <w:rFonts w:ascii="Times New Roman" w:hAnsi="Times New Roman"/>
          <w:b w:val="0"/>
          <w:sz w:val="20"/>
          <w:lang w:val="pt-BR"/>
        </w:rPr>
        <w:t xml:space="preserve"> </w:t>
      </w:r>
      <w:r w:rsidR="00934ECD" w:rsidRPr="00781BFB">
        <w:rPr>
          <w:rFonts w:ascii="Times New Roman" w:hAnsi="Times New Roman"/>
          <w:b w:val="0"/>
          <w:sz w:val="20"/>
          <w:lang w:val="pt-BR"/>
        </w:rPr>
        <w:t xml:space="preserve">A demanda crescente por energia limpa e proteção ambiental </w:t>
      </w:r>
      <w:r w:rsidR="005E0371" w:rsidRPr="00781BFB">
        <w:rPr>
          <w:rFonts w:ascii="Times New Roman" w:hAnsi="Times New Roman"/>
          <w:b w:val="0"/>
          <w:sz w:val="20"/>
          <w:lang w:val="pt-BR"/>
        </w:rPr>
        <w:t xml:space="preserve">estimulou </w:t>
      </w:r>
      <w:r w:rsidR="00E36A54" w:rsidRPr="00781BFB">
        <w:rPr>
          <w:rFonts w:ascii="Times New Roman" w:hAnsi="Times New Roman"/>
          <w:b w:val="0"/>
          <w:sz w:val="20"/>
          <w:lang w:val="pt-BR"/>
        </w:rPr>
        <w:t>as agências governamentais a incentivarem o desenvolvimento de novas tecnologias</w:t>
      </w:r>
      <w:r w:rsidR="00F40A14" w:rsidRPr="00781BFB">
        <w:rPr>
          <w:rFonts w:ascii="Times New Roman" w:hAnsi="Times New Roman"/>
          <w:b w:val="0"/>
          <w:sz w:val="20"/>
          <w:lang w:val="pt-BR"/>
        </w:rPr>
        <w:t>,</w:t>
      </w:r>
      <w:r w:rsidR="00E36A54" w:rsidRPr="00781BFB">
        <w:rPr>
          <w:rFonts w:ascii="Times New Roman" w:hAnsi="Times New Roman"/>
          <w:b w:val="0"/>
          <w:sz w:val="20"/>
          <w:lang w:val="pt-BR"/>
        </w:rPr>
        <w:t xml:space="preserve"> </w:t>
      </w:r>
      <w:r w:rsidR="003006E4" w:rsidRPr="00781BFB">
        <w:rPr>
          <w:rFonts w:ascii="Times New Roman" w:hAnsi="Times New Roman"/>
          <w:b w:val="0"/>
          <w:sz w:val="20"/>
          <w:lang w:val="pt-BR"/>
        </w:rPr>
        <w:t xml:space="preserve">visando </w:t>
      </w:r>
      <w:r w:rsidR="00AF7635">
        <w:rPr>
          <w:rFonts w:ascii="Times New Roman" w:hAnsi="Times New Roman"/>
          <w:b w:val="0"/>
          <w:sz w:val="20"/>
          <w:lang w:val="pt-BR"/>
        </w:rPr>
        <w:t xml:space="preserve">a </w:t>
      </w:r>
      <w:r w:rsidR="003006E4" w:rsidRPr="00781BFB">
        <w:rPr>
          <w:rFonts w:ascii="Times New Roman" w:hAnsi="Times New Roman"/>
          <w:b w:val="0"/>
          <w:sz w:val="20"/>
          <w:lang w:val="pt-BR"/>
        </w:rPr>
        <w:t xml:space="preserve">minimizar os impactos causados pelo consumo </w:t>
      </w:r>
      <w:r w:rsidR="00CC6DE0" w:rsidRPr="00781BFB">
        <w:rPr>
          <w:rFonts w:ascii="Times New Roman" w:hAnsi="Times New Roman"/>
          <w:b w:val="0"/>
          <w:sz w:val="20"/>
          <w:lang w:val="pt-BR"/>
        </w:rPr>
        <w:t>excessivo</w:t>
      </w:r>
      <w:r w:rsidR="003006E4" w:rsidRPr="00781BFB">
        <w:rPr>
          <w:rFonts w:ascii="Times New Roman" w:hAnsi="Times New Roman"/>
          <w:b w:val="0"/>
          <w:sz w:val="20"/>
          <w:lang w:val="pt-BR"/>
        </w:rPr>
        <w:t xml:space="preserve"> das fontes fósseis de energia. </w:t>
      </w:r>
      <w:r w:rsidR="003E43BF" w:rsidRPr="00781BFB">
        <w:rPr>
          <w:rFonts w:ascii="Times New Roman" w:hAnsi="Times New Roman"/>
          <w:b w:val="0"/>
          <w:sz w:val="20"/>
          <w:lang w:val="pt-BR"/>
        </w:rPr>
        <w:t xml:space="preserve">Dentre as tecnologias </w:t>
      </w:r>
      <w:r w:rsidR="00AF7635">
        <w:rPr>
          <w:rFonts w:ascii="Times New Roman" w:hAnsi="Times New Roman"/>
          <w:b w:val="0"/>
          <w:sz w:val="20"/>
          <w:lang w:val="pt-BR"/>
        </w:rPr>
        <w:t>propostas</w:t>
      </w:r>
      <w:r w:rsidR="0082587A" w:rsidRPr="00781BFB">
        <w:rPr>
          <w:rFonts w:ascii="Times New Roman" w:hAnsi="Times New Roman"/>
          <w:b w:val="0"/>
          <w:sz w:val="20"/>
          <w:lang w:val="pt-BR"/>
        </w:rPr>
        <w:t xml:space="preserve">, a pirólise catalítica </w:t>
      </w:r>
      <w:r w:rsidR="00B62AC3" w:rsidRPr="00781BFB">
        <w:rPr>
          <w:rFonts w:ascii="Times New Roman" w:hAnsi="Times New Roman"/>
          <w:b w:val="0"/>
          <w:sz w:val="20"/>
          <w:lang w:val="pt-BR"/>
        </w:rPr>
        <w:t>surge</w:t>
      </w:r>
      <w:r w:rsidR="0082587A" w:rsidRPr="00781BFB">
        <w:rPr>
          <w:rFonts w:ascii="Times New Roman" w:hAnsi="Times New Roman"/>
          <w:b w:val="0"/>
          <w:sz w:val="20"/>
          <w:lang w:val="pt-BR"/>
        </w:rPr>
        <w:t xml:space="preserve"> como uma </w:t>
      </w:r>
      <w:r w:rsidR="00AF7635" w:rsidRPr="00781BFB">
        <w:rPr>
          <w:rFonts w:ascii="Times New Roman" w:hAnsi="Times New Roman"/>
          <w:b w:val="0"/>
          <w:sz w:val="20"/>
          <w:lang w:val="pt-BR"/>
        </w:rPr>
        <w:t xml:space="preserve">rota alternativa </w:t>
      </w:r>
      <w:r w:rsidR="0082587A" w:rsidRPr="00781BFB">
        <w:rPr>
          <w:rFonts w:ascii="Times New Roman" w:hAnsi="Times New Roman"/>
          <w:b w:val="0"/>
          <w:sz w:val="20"/>
          <w:lang w:val="pt-BR"/>
        </w:rPr>
        <w:t>promissora para a produção de energia e de produtos químicos de interesse industrial</w:t>
      </w:r>
      <w:r w:rsidR="00A65F53" w:rsidRPr="00781BFB">
        <w:rPr>
          <w:rFonts w:ascii="Times New Roman" w:hAnsi="Times New Roman"/>
          <w:b w:val="0"/>
          <w:sz w:val="20"/>
          <w:lang w:val="pt-BR"/>
        </w:rPr>
        <w:t xml:space="preserve"> oriundos de biomassa</w:t>
      </w:r>
      <w:r w:rsidR="00CE2E65" w:rsidRPr="00781BFB">
        <w:rPr>
          <w:rFonts w:ascii="Times New Roman" w:hAnsi="Times New Roman"/>
          <w:b w:val="0"/>
          <w:sz w:val="20"/>
          <w:lang w:val="pt-BR"/>
        </w:rPr>
        <w:t>,</w:t>
      </w:r>
      <w:r w:rsidR="00C81977" w:rsidRPr="00781BFB">
        <w:rPr>
          <w:rFonts w:ascii="Times New Roman" w:hAnsi="Times New Roman"/>
          <w:b w:val="0"/>
          <w:sz w:val="20"/>
          <w:lang w:val="pt-BR"/>
        </w:rPr>
        <w:t xml:space="preserve"> devido à sua flexibilidade, baixo custo e simplicidade.</w:t>
      </w:r>
      <w:r w:rsidR="00CC3A96" w:rsidRPr="00781BFB">
        <w:rPr>
          <w:rFonts w:ascii="Times New Roman" w:hAnsi="Times New Roman"/>
          <w:b w:val="0"/>
          <w:sz w:val="20"/>
          <w:lang w:val="pt-BR"/>
        </w:rPr>
        <w:t xml:space="preserve"> No entanto, o processo ainda precisa de catalisadores ativos que </w:t>
      </w:r>
      <w:r w:rsidR="00AF7635">
        <w:rPr>
          <w:rFonts w:ascii="Times New Roman" w:hAnsi="Times New Roman"/>
          <w:b w:val="0"/>
          <w:sz w:val="20"/>
          <w:lang w:val="pt-BR"/>
        </w:rPr>
        <w:t xml:space="preserve">possam </w:t>
      </w:r>
      <w:r w:rsidR="00CC3A96" w:rsidRPr="00781BFB">
        <w:rPr>
          <w:rFonts w:ascii="Times New Roman" w:hAnsi="Times New Roman"/>
          <w:b w:val="0"/>
          <w:sz w:val="20"/>
          <w:lang w:val="pt-BR"/>
        </w:rPr>
        <w:t xml:space="preserve">ser </w:t>
      </w:r>
      <w:r w:rsidR="00AF7635">
        <w:rPr>
          <w:rFonts w:ascii="Times New Roman" w:hAnsi="Times New Roman"/>
          <w:b w:val="0"/>
          <w:sz w:val="20"/>
          <w:lang w:val="pt-BR"/>
        </w:rPr>
        <w:t xml:space="preserve">específicos em </w:t>
      </w:r>
      <w:r w:rsidR="00CC3A96" w:rsidRPr="00781BFB">
        <w:rPr>
          <w:rFonts w:ascii="Times New Roman" w:hAnsi="Times New Roman"/>
          <w:b w:val="0"/>
          <w:sz w:val="20"/>
          <w:lang w:val="pt-BR"/>
        </w:rPr>
        <w:t>cada aplicação</w:t>
      </w:r>
      <w:r w:rsidR="004748C2" w:rsidRPr="00781BFB">
        <w:rPr>
          <w:rFonts w:ascii="Times New Roman" w:hAnsi="Times New Roman"/>
          <w:b w:val="0"/>
          <w:sz w:val="20"/>
          <w:lang w:val="pt-BR"/>
        </w:rPr>
        <w:t xml:space="preserve">. </w:t>
      </w:r>
      <w:r w:rsidR="00A72DD2" w:rsidRPr="00781BFB">
        <w:rPr>
          <w:rFonts w:ascii="Times New Roman" w:hAnsi="Times New Roman"/>
          <w:b w:val="0"/>
          <w:sz w:val="20"/>
          <w:lang w:val="pt-BR"/>
        </w:rPr>
        <w:t>Neste trabalho, fo</w:t>
      </w:r>
      <w:r w:rsidR="00E0554C" w:rsidRPr="00781BFB">
        <w:rPr>
          <w:rFonts w:ascii="Times New Roman" w:hAnsi="Times New Roman"/>
          <w:b w:val="0"/>
          <w:sz w:val="20"/>
          <w:lang w:val="pt-BR"/>
        </w:rPr>
        <w:t xml:space="preserve">ram determinados os parâmetros termo cinéticos da </w:t>
      </w:r>
      <w:r w:rsidR="00A72DD2" w:rsidRPr="00781BFB">
        <w:rPr>
          <w:rFonts w:ascii="Times New Roman" w:hAnsi="Times New Roman"/>
          <w:b w:val="0"/>
          <w:sz w:val="20"/>
          <w:lang w:val="pt-BR"/>
        </w:rPr>
        <w:t>pirólise catalítica d</w:t>
      </w:r>
      <w:r w:rsidR="00FE182D" w:rsidRPr="00781BFB">
        <w:rPr>
          <w:rFonts w:ascii="Times New Roman" w:hAnsi="Times New Roman"/>
          <w:b w:val="0"/>
          <w:sz w:val="20"/>
          <w:lang w:val="pt-BR"/>
        </w:rPr>
        <w:t>os</w:t>
      </w:r>
      <w:r w:rsidR="00F44B4F" w:rsidRPr="00781BFB">
        <w:rPr>
          <w:rFonts w:ascii="Times New Roman" w:hAnsi="Times New Roman"/>
          <w:b w:val="0"/>
          <w:sz w:val="20"/>
          <w:lang w:val="pt-BR"/>
        </w:rPr>
        <w:t xml:space="preserve"> resíduos d</w:t>
      </w:r>
      <w:r w:rsidR="000C75EF" w:rsidRPr="00781BFB">
        <w:rPr>
          <w:rFonts w:ascii="Times New Roman" w:hAnsi="Times New Roman"/>
          <w:b w:val="0"/>
          <w:sz w:val="20"/>
          <w:lang w:val="pt-BR"/>
        </w:rPr>
        <w:t xml:space="preserve">e painel de </w:t>
      </w:r>
      <w:r w:rsidR="00A72DD2" w:rsidRPr="00781BFB">
        <w:rPr>
          <w:rFonts w:ascii="Times New Roman" w:hAnsi="Times New Roman"/>
          <w:b w:val="0"/>
          <w:sz w:val="20"/>
          <w:lang w:val="pt-BR"/>
        </w:rPr>
        <w:t>fibra</w:t>
      </w:r>
      <w:r w:rsidR="000761D3" w:rsidRPr="00781BFB">
        <w:rPr>
          <w:rFonts w:ascii="Times New Roman" w:hAnsi="Times New Roman"/>
          <w:b w:val="0"/>
          <w:sz w:val="20"/>
          <w:lang w:val="pt-BR"/>
        </w:rPr>
        <w:t>s</w:t>
      </w:r>
      <w:r w:rsidR="00A72DD2" w:rsidRPr="00781BFB">
        <w:rPr>
          <w:rFonts w:ascii="Times New Roman" w:hAnsi="Times New Roman"/>
          <w:b w:val="0"/>
          <w:sz w:val="20"/>
          <w:lang w:val="pt-BR"/>
        </w:rPr>
        <w:t xml:space="preserve"> de média densidade (MDF)</w:t>
      </w:r>
      <w:r w:rsidR="00AF7635">
        <w:rPr>
          <w:rFonts w:ascii="Times New Roman" w:hAnsi="Times New Roman"/>
          <w:b w:val="0"/>
          <w:sz w:val="20"/>
          <w:lang w:val="pt-BR"/>
        </w:rPr>
        <w:t>,</w:t>
      </w:r>
      <w:r w:rsidR="00A72DD2" w:rsidRPr="00781BFB">
        <w:rPr>
          <w:rFonts w:ascii="Times New Roman" w:hAnsi="Times New Roman"/>
          <w:b w:val="0"/>
          <w:sz w:val="20"/>
          <w:lang w:val="pt-BR"/>
        </w:rPr>
        <w:t xml:space="preserve"> </w:t>
      </w:r>
      <w:r w:rsidR="00470E12" w:rsidRPr="00781BFB">
        <w:rPr>
          <w:rFonts w:ascii="Times New Roman" w:hAnsi="Times New Roman"/>
          <w:b w:val="0"/>
          <w:sz w:val="20"/>
          <w:lang w:val="pt-BR"/>
        </w:rPr>
        <w:t>sobre</w:t>
      </w:r>
      <w:r w:rsidR="00266FFB" w:rsidRPr="00781BFB">
        <w:rPr>
          <w:rFonts w:ascii="Times New Roman" w:hAnsi="Times New Roman"/>
          <w:b w:val="0"/>
          <w:sz w:val="20"/>
          <w:lang w:val="pt-BR"/>
        </w:rPr>
        <w:t xml:space="preserve"> o catalisador</w:t>
      </w:r>
      <w:r w:rsidR="001562EA" w:rsidRPr="00781BFB">
        <w:rPr>
          <w:rFonts w:ascii="Times New Roman" w:hAnsi="Times New Roman"/>
          <w:b w:val="0"/>
          <w:sz w:val="20"/>
          <w:lang w:val="pt-BR"/>
        </w:rPr>
        <w:t xml:space="preserve"> de platina suporta</w:t>
      </w:r>
      <w:r w:rsidR="00E0294E" w:rsidRPr="00781BFB">
        <w:rPr>
          <w:rFonts w:ascii="Times New Roman" w:hAnsi="Times New Roman"/>
          <w:b w:val="0"/>
          <w:sz w:val="20"/>
          <w:lang w:val="pt-BR"/>
        </w:rPr>
        <w:t>do</w:t>
      </w:r>
      <w:r w:rsidR="001562EA" w:rsidRPr="00781BFB">
        <w:rPr>
          <w:rFonts w:ascii="Times New Roman" w:hAnsi="Times New Roman"/>
          <w:b w:val="0"/>
          <w:sz w:val="20"/>
          <w:lang w:val="pt-BR"/>
        </w:rPr>
        <w:t xml:space="preserve"> em zeólita b</w:t>
      </w:r>
      <w:r w:rsidR="00266FFB" w:rsidRPr="00781BFB">
        <w:rPr>
          <w:rFonts w:ascii="Times New Roman" w:hAnsi="Times New Roman"/>
          <w:b w:val="0"/>
          <w:sz w:val="20"/>
          <w:lang w:val="pt-BR"/>
        </w:rPr>
        <w:t>eta</w:t>
      </w:r>
      <w:r w:rsidR="00AF7635">
        <w:rPr>
          <w:rFonts w:ascii="Times New Roman" w:hAnsi="Times New Roman"/>
          <w:b w:val="0"/>
          <w:sz w:val="20"/>
          <w:lang w:val="pt-BR"/>
        </w:rPr>
        <w:t>,</w:t>
      </w:r>
      <w:r w:rsidR="00876B6E" w:rsidRPr="00781BFB">
        <w:rPr>
          <w:rFonts w:ascii="Times New Roman" w:hAnsi="Times New Roman"/>
          <w:b w:val="0"/>
          <w:sz w:val="20"/>
          <w:lang w:val="pt-BR"/>
        </w:rPr>
        <w:t xml:space="preserve"> pelos métodos </w:t>
      </w:r>
      <w:r w:rsidR="00B90D86" w:rsidRPr="00781BFB">
        <w:rPr>
          <w:rFonts w:ascii="Times New Roman" w:hAnsi="Times New Roman"/>
          <w:b w:val="0"/>
          <w:sz w:val="20"/>
          <w:lang w:val="pt-BR"/>
        </w:rPr>
        <w:t xml:space="preserve">isoconversionais </w:t>
      </w:r>
      <w:r w:rsidR="00876B6E" w:rsidRPr="00781BFB">
        <w:rPr>
          <w:rFonts w:ascii="Times New Roman" w:hAnsi="Times New Roman"/>
          <w:b w:val="0"/>
          <w:sz w:val="20"/>
          <w:lang w:val="pt-BR"/>
        </w:rPr>
        <w:t>de Flynn-Wall-Ozawa (FWO), Kissinger-A</w:t>
      </w:r>
      <w:r w:rsidR="00CC4D6A" w:rsidRPr="00781BFB">
        <w:rPr>
          <w:rFonts w:ascii="Times New Roman" w:hAnsi="Times New Roman"/>
          <w:b w:val="0"/>
          <w:sz w:val="20"/>
          <w:lang w:val="pt-BR"/>
        </w:rPr>
        <w:t>kah</w:t>
      </w:r>
      <w:r w:rsidR="00876B6E" w:rsidRPr="00781BFB">
        <w:rPr>
          <w:rFonts w:ascii="Times New Roman" w:hAnsi="Times New Roman"/>
          <w:b w:val="0"/>
          <w:sz w:val="20"/>
          <w:lang w:val="pt-BR"/>
        </w:rPr>
        <w:t>ira-Sunose (KAS) e Friedman</w:t>
      </w:r>
      <w:r w:rsidR="00144CEF" w:rsidRPr="00781BFB">
        <w:rPr>
          <w:rFonts w:ascii="Times New Roman" w:hAnsi="Times New Roman"/>
          <w:b w:val="0"/>
          <w:sz w:val="20"/>
          <w:lang w:val="pt-BR"/>
        </w:rPr>
        <w:t>.</w:t>
      </w:r>
      <w:r w:rsidR="00743955" w:rsidRPr="00781BFB">
        <w:rPr>
          <w:rFonts w:ascii="Times New Roman" w:hAnsi="Times New Roman"/>
          <w:b w:val="0"/>
          <w:sz w:val="20"/>
          <w:lang w:val="pt-BR"/>
        </w:rPr>
        <w:t xml:space="preserve"> O</w:t>
      </w:r>
      <w:r w:rsidR="00096F6B" w:rsidRPr="00781BFB">
        <w:rPr>
          <w:rFonts w:ascii="Times New Roman" w:hAnsi="Times New Roman"/>
          <w:b w:val="0"/>
          <w:sz w:val="20"/>
          <w:lang w:val="pt-BR"/>
        </w:rPr>
        <w:t xml:space="preserve"> método de Friedman apresentou os melhores índices de </w:t>
      </w:r>
      <w:r w:rsidR="00A03CCA">
        <w:rPr>
          <w:rFonts w:ascii="Times New Roman" w:hAnsi="Times New Roman"/>
          <w:b w:val="0"/>
          <w:sz w:val="20"/>
          <w:lang w:val="pt-BR"/>
        </w:rPr>
        <w:t>determinação</w:t>
      </w:r>
      <w:r w:rsidR="00096F6B" w:rsidRPr="00781BFB">
        <w:rPr>
          <w:rFonts w:ascii="Times New Roman" w:hAnsi="Times New Roman"/>
          <w:b w:val="0"/>
          <w:sz w:val="20"/>
          <w:lang w:val="pt-BR"/>
        </w:rPr>
        <w:t xml:space="preserve">, </w:t>
      </w:r>
      <w:r w:rsidR="00AF7635">
        <w:rPr>
          <w:rFonts w:ascii="Times New Roman" w:hAnsi="Times New Roman"/>
          <w:b w:val="0"/>
          <w:sz w:val="20"/>
          <w:lang w:val="pt-BR"/>
        </w:rPr>
        <w:t>mostrando ser o mais adequado para a reação</w:t>
      </w:r>
      <w:r w:rsidR="00B90D86" w:rsidRPr="00781BFB">
        <w:rPr>
          <w:rFonts w:ascii="Times New Roman" w:hAnsi="Times New Roman"/>
          <w:b w:val="0"/>
          <w:sz w:val="20"/>
          <w:lang w:val="pt-BR"/>
        </w:rPr>
        <w:t xml:space="preserve">. </w:t>
      </w:r>
      <w:r w:rsidR="00AD0D7A" w:rsidRPr="00781BFB">
        <w:rPr>
          <w:rFonts w:ascii="Times New Roman" w:hAnsi="Times New Roman"/>
          <w:b w:val="0"/>
          <w:sz w:val="20"/>
          <w:lang w:val="pt-BR"/>
        </w:rPr>
        <w:t xml:space="preserve">A redução dos valores de energia de ativação </w:t>
      </w:r>
      <w:r w:rsidR="00AF7635">
        <w:rPr>
          <w:rFonts w:ascii="Times New Roman" w:hAnsi="Times New Roman"/>
          <w:b w:val="0"/>
          <w:sz w:val="20"/>
          <w:lang w:val="pt-BR"/>
        </w:rPr>
        <w:t>com</w:t>
      </w:r>
      <w:r w:rsidR="00AD0D7A" w:rsidRPr="00781BFB">
        <w:rPr>
          <w:rFonts w:ascii="Times New Roman" w:hAnsi="Times New Roman"/>
          <w:b w:val="0"/>
          <w:sz w:val="20"/>
          <w:lang w:val="pt-BR"/>
        </w:rPr>
        <w:t xml:space="preserve"> os </w:t>
      </w:r>
      <w:r w:rsidR="00AF7635">
        <w:rPr>
          <w:rFonts w:ascii="Times New Roman" w:hAnsi="Times New Roman"/>
          <w:b w:val="0"/>
          <w:sz w:val="20"/>
          <w:lang w:val="pt-BR"/>
        </w:rPr>
        <w:t>processos</w:t>
      </w:r>
      <w:r w:rsidR="00AD0D7A" w:rsidRPr="00781BFB">
        <w:rPr>
          <w:rFonts w:ascii="Times New Roman" w:hAnsi="Times New Roman"/>
          <w:b w:val="0"/>
          <w:sz w:val="20"/>
          <w:lang w:val="pt-BR"/>
        </w:rPr>
        <w:t xml:space="preserve"> catalíticos </w:t>
      </w:r>
      <w:r w:rsidR="00AF7635">
        <w:rPr>
          <w:rFonts w:ascii="Times New Roman" w:hAnsi="Times New Roman"/>
          <w:b w:val="0"/>
          <w:sz w:val="20"/>
          <w:lang w:val="pt-BR"/>
        </w:rPr>
        <w:t>comparados</w:t>
      </w:r>
      <w:r w:rsidR="00AD0D7A" w:rsidRPr="00781BFB">
        <w:rPr>
          <w:rFonts w:ascii="Times New Roman" w:hAnsi="Times New Roman"/>
          <w:b w:val="0"/>
          <w:sz w:val="20"/>
          <w:lang w:val="pt-BR"/>
        </w:rPr>
        <w:t xml:space="preserve"> aos </w:t>
      </w:r>
      <w:r w:rsidR="000A796F" w:rsidRPr="00781BFB">
        <w:rPr>
          <w:rFonts w:ascii="Times New Roman" w:hAnsi="Times New Roman"/>
          <w:b w:val="0"/>
          <w:sz w:val="20"/>
          <w:lang w:val="pt-BR"/>
        </w:rPr>
        <w:t>não</w:t>
      </w:r>
      <w:r w:rsidR="00A03CCA">
        <w:rPr>
          <w:rFonts w:ascii="Times New Roman" w:hAnsi="Times New Roman"/>
          <w:b w:val="0"/>
          <w:sz w:val="20"/>
          <w:lang w:val="pt-BR"/>
        </w:rPr>
        <w:t>-</w:t>
      </w:r>
      <w:r w:rsidR="000A796F" w:rsidRPr="00781BFB">
        <w:rPr>
          <w:rFonts w:ascii="Times New Roman" w:hAnsi="Times New Roman"/>
          <w:b w:val="0"/>
          <w:sz w:val="20"/>
          <w:lang w:val="pt-BR"/>
        </w:rPr>
        <w:t>catalíticos</w:t>
      </w:r>
      <w:r w:rsidR="00AD0D7A" w:rsidRPr="00781BFB">
        <w:rPr>
          <w:rFonts w:ascii="Times New Roman" w:hAnsi="Times New Roman"/>
          <w:b w:val="0"/>
          <w:sz w:val="20"/>
          <w:lang w:val="pt-BR"/>
        </w:rPr>
        <w:t xml:space="preserve"> indica</w:t>
      </w:r>
      <w:r w:rsidR="00876B6E" w:rsidRPr="00781BFB">
        <w:rPr>
          <w:rFonts w:ascii="Times New Roman" w:hAnsi="Times New Roman"/>
          <w:b w:val="0"/>
          <w:sz w:val="20"/>
          <w:lang w:val="pt-BR"/>
        </w:rPr>
        <w:t xml:space="preserve"> que o catalisador </w:t>
      </w:r>
      <w:r w:rsidR="00AF7635">
        <w:rPr>
          <w:rFonts w:ascii="Times New Roman" w:hAnsi="Times New Roman"/>
          <w:b w:val="0"/>
          <w:sz w:val="20"/>
          <w:lang w:val="pt-BR"/>
        </w:rPr>
        <w:t>acelera</w:t>
      </w:r>
      <w:r w:rsidR="00876B6E" w:rsidRPr="00781BFB">
        <w:rPr>
          <w:rFonts w:ascii="Times New Roman" w:hAnsi="Times New Roman"/>
          <w:b w:val="0"/>
          <w:sz w:val="20"/>
          <w:lang w:val="pt-BR"/>
        </w:rPr>
        <w:t xml:space="preserve"> a decomposição da</w:t>
      </w:r>
      <w:r w:rsidR="00F62D6E" w:rsidRPr="00781BFB">
        <w:rPr>
          <w:rFonts w:ascii="Times New Roman" w:hAnsi="Times New Roman"/>
          <w:b w:val="0"/>
          <w:sz w:val="20"/>
          <w:lang w:val="pt-BR"/>
        </w:rPr>
        <w:t xml:space="preserve"> biomassa</w:t>
      </w:r>
      <w:r w:rsidR="007560DD" w:rsidRPr="00781BFB">
        <w:rPr>
          <w:rFonts w:ascii="Times New Roman" w:hAnsi="Times New Roman"/>
          <w:b w:val="0"/>
          <w:sz w:val="20"/>
          <w:lang w:val="pt-BR"/>
        </w:rPr>
        <w:t>.</w:t>
      </w:r>
    </w:p>
    <w:p w14:paraId="09B41B70" w14:textId="2DF1A1AF" w:rsidR="00EA4E1B" w:rsidRPr="00781BFB" w:rsidRDefault="00EA4E1B" w:rsidP="00EA4E1B">
      <w:pPr>
        <w:pStyle w:val="BDAbstract"/>
        <w:spacing w:before="0" w:after="0" w:line="240" w:lineRule="auto"/>
        <w:rPr>
          <w:rFonts w:ascii="Times New Roman" w:hAnsi="Times New Roman"/>
          <w:b w:val="0"/>
          <w:sz w:val="20"/>
          <w:lang w:val="pt-BR"/>
        </w:rPr>
      </w:pPr>
      <w:r w:rsidRPr="00781BFB">
        <w:rPr>
          <w:rFonts w:ascii="Times New Roman" w:hAnsi="Times New Roman"/>
          <w:b w:val="0"/>
          <w:i/>
          <w:sz w:val="20"/>
          <w:lang w:val="pt-BR"/>
        </w:rPr>
        <w:t>Palavras-chave:</w:t>
      </w:r>
      <w:r w:rsidR="0090513E" w:rsidRPr="00781BFB">
        <w:rPr>
          <w:rFonts w:ascii="Times New Roman" w:hAnsi="Times New Roman"/>
          <w:b w:val="0"/>
          <w:i/>
          <w:sz w:val="20"/>
          <w:lang w:val="pt-BR"/>
        </w:rPr>
        <w:t xml:space="preserve"> Zeólita beta, platina, pirólise catalítica, energia de ativação</w:t>
      </w:r>
      <w:r w:rsidR="001E7DEC" w:rsidRPr="00781BFB">
        <w:rPr>
          <w:rFonts w:ascii="Times New Roman" w:hAnsi="Times New Roman"/>
          <w:b w:val="0"/>
          <w:i/>
          <w:sz w:val="20"/>
          <w:lang w:val="pt-BR"/>
        </w:rPr>
        <w:t>, biomassa</w:t>
      </w:r>
      <w:r w:rsidRPr="00781BFB">
        <w:rPr>
          <w:rFonts w:ascii="Times New Roman" w:hAnsi="Times New Roman"/>
          <w:b w:val="0"/>
          <w:i/>
          <w:sz w:val="20"/>
          <w:lang w:val="pt-BR"/>
        </w:rPr>
        <w:t>.</w:t>
      </w:r>
    </w:p>
    <w:p w14:paraId="5D8D4445" w14:textId="11D77547" w:rsidR="00EA4E1B" w:rsidRPr="00781BFB" w:rsidRDefault="00EA4E1B" w:rsidP="00EA4E1B">
      <w:pPr>
        <w:pStyle w:val="BDAbstract"/>
        <w:spacing w:before="0" w:after="0" w:line="240" w:lineRule="auto"/>
        <w:rPr>
          <w:rFonts w:ascii="Times New Roman" w:hAnsi="Times New Roman"/>
          <w:b w:val="0"/>
          <w:sz w:val="20"/>
          <w:lang w:val="pt-BR"/>
        </w:rPr>
      </w:pPr>
    </w:p>
    <w:p w14:paraId="0F80E7D5" w14:textId="723D05ED" w:rsidR="00EA4E1B" w:rsidRPr="00B437E3" w:rsidRDefault="00EA4E1B" w:rsidP="00EA4E1B">
      <w:pPr>
        <w:pStyle w:val="BDAbstract"/>
        <w:spacing w:before="0" w:after="0" w:line="240" w:lineRule="auto"/>
        <w:rPr>
          <w:rFonts w:ascii="Times New Roman" w:hAnsi="Times New Roman"/>
          <w:b w:val="0"/>
          <w:color w:val="FF0000"/>
          <w:sz w:val="20"/>
        </w:rPr>
      </w:pPr>
      <w:r w:rsidRPr="00781BFB">
        <w:rPr>
          <w:rFonts w:ascii="Times New Roman" w:hAnsi="Times New Roman"/>
          <w:b w:val="0"/>
          <w:sz w:val="20"/>
        </w:rPr>
        <w:t xml:space="preserve">ABSTRACT </w:t>
      </w:r>
      <w:r w:rsidR="00F40834" w:rsidRPr="00781BFB">
        <w:rPr>
          <w:rFonts w:ascii="Times New Roman" w:hAnsi="Times New Roman"/>
          <w:b w:val="0"/>
          <w:sz w:val="20"/>
        </w:rPr>
        <w:t>–</w:t>
      </w:r>
      <w:r w:rsidRPr="00781BFB">
        <w:rPr>
          <w:rFonts w:ascii="Times New Roman" w:hAnsi="Times New Roman"/>
          <w:b w:val="0"/>
          <w:sz w:val="20"/>
        </w:rPr>
        <w:t xml:space="preserve"> </w:t>
      </w:r>
      <w:r w:rsidR="007629EA" w:rsidRPr="00781BFB">
        <w:rPr>
          <w:rFonts w:ascii="Times New Roman" w:hAnsi="Times New Roman"/>
          <w:b w:val="0"/>
          <w:sz w:val="20"/>
        </w:rPr>
        <w:t xml:space="preserve">The growing demand for clean energy and environmental protection has pushed government agencies to </w:t>
      </w:r>
      <w:r w:rsidR="00AF7635" w:rsidRPr="00AF7635">
        <w:rPr>
          <w:rFonts w:ascii="Times New Roman" w:hAnsi="Times New Roman"/>
          <w:b w:val="0"/>
          <w:sz w:val="20"/>
        </w:rPr>
        <w:t xml:space="preserve">encourage </w:t>
      </w:r>
      <w:r w:rsidR="007629EA" w:rsidRPr="00781BFB">
        <w:rPr>
          <w:rFonts w:ascii="Times New Roman" w:hAnsi="Times New Roman"/>
          <w:b w:val="0"/>
          <w:sz w:val="20"/>
        </w:rPr>
        <w:t xml:space="preserve">the development of new technologies, aiming to minimize the impacts caused by the excessive consumption of fossil energy sources. Among the </w:t>
      </w:r>
      <w:r w:rsidR="00AF7635">
        <w:rPr>
          <w:rFonts w:ascii="Times New Roman" w:hAnsi="Times New Roman"/>
          <w:b w:val="0"/>
          <w:sz w:val="20"/>
        </w:rPr>
        <w:t xml:space="preserve">proposed </w:t>
      </w:r>
      <w:r w:rsidR="007629EA" w:rsidRPr="00781BFB">
        <w:rPr>
          <w:rFonts w:ascii="Times New Roman" w:hAnsi="Times New Roman"/>
          <w:b w:val="0"/>
          <w:sz w:val="20"/>
        </w:rPr>
        <w:t xml:space="preserve">technologies, </w:t>
      </w:r>
      <w:r w:rsidR="00AF7635">
        <w:rPr>
          <w:rFonts w:ascii="Times New Roman" w:hAnsi="Times New Roman"/>
          <w:b w:val="0"/>
          <w:sz w:val="20"/>
        </w:rPr>
        <w:t xml:space="preserve">the </w:t>
      </w:r>
      <w:r w:rsidR="007629EA" w:rsidRPr="00781BFB">
        <w:rPr>
          <w:rFonts w:ascii="Times New Roman" w:hAnsi="Times New Roman"/>
          <w:b w:val="0"/>
          <w:sz w:val="20"/>
        </w:rPr>
        <w:t>catalytic pyrolysis emerges as a promising alternative route for the production of energy and chemical products of industrial interest from biomass, due to its flexibility, low cost and simplicity. However, the process still needs active catalysts that can be tailored for each application. In this work, the thermokinetic parameters of the catalytic pyrolysis of medium density fiber (MDF) residues on beta zeolites-supported platinum catalyst were determined by the isoconversion</w:t>
      </w:r>
      <w:r w:rsidR="000A796F" w:rsidRPr="00781BFB">
        <w:rPr>
          <w:rFonts w:ascii="Times New Roman" w:hAnsi="Times New Roman"/>
          <w:b w:val="0"/>
          <w:sz w:val="20"/>
        </w:rPr>
        <w:t>al</w:t>
      </w:r>
      <w:r w:rsidR="007629EA" w:rsidRPr="00781BFB">
        <w:rPr>
          <w:rFonts w:ascii="Times New Roman" w:hAnsi="Times New Roman"/>
          <w:b w:val="0"/>
          <w:sz w:val="20"/>
        </w:rPr>
        <w:t xml:space="preserve"> methods of Flynn-Wall-Ozawa (F</w:t>
      </w:r>
      <w:r w:rsidR="00213800" w:rsidRPr="00781BFB">
        <w:rPr>
          <w:rFonts w:ascii="Times New Roman" w:hAnsi="Times New Roman"/>
          <w:b w:val="0"/>
          <w:sz w:val="20"/>
        </w:rPr>
        <w:t>WO), Kissinger-A</w:t>
      </w:r>
      <w:r w:rsidR="00CC4D6A" w:rsidRPr="00781BFB">
        <w:rPr>
          <w:rFonts w:ascii="Times New Roman" w:hAnsi="Times New Roman"/>
          <w:b w:val="0"/>
          <w:sz w:val="20"/>
        </w:rPr>
        <w:t>kah</w:t>
      </w:r>
      <w:r w:rsidR="00213800" w:rsidRPr="00781BFB">
        <w:rPr>
          <w:rFonts w:ascii="Times New Roman" w:hAnsi="Times New Roman"/>
          <w:b w:val="0"/>
          <w:sz w:val="20"/>
        </w:rPr>
        <w:t>ira-Sunose (</w:t>
      </w:r>
      <w:r w:rsidR="007629EA" w:rsidRPr="00781BFB">
        <w:rPr>
          <w:rFonts w:ascii="Times New Roman" w:hAnsi="Times New Roman"/>
          <w:b w:val="0"/>
          <w:sz w:val="20"/>
        </w:rPr>
        <w:t xml:space="preserve">KAS) and Friedman. </w:t>
      </w:r>
      <w:r w:rsidR="00AF7635">
        <w:rPr>
          <w:rFonts w:ascii="Times New Roman" w:hAnsi="Times New Roman"/>
          <w:b w:val="0"/>
          <w:sz w:val="20"/>
        </w:rPr>
        <w:t xml:space="preserve">The </w:t>
      </w:r>
      <w:r w:rsidR="007629EA" w:rsidRPr="00781BFB">
        <w:rPr>
          <w:rFonts w:ascii="Times New Roman" w:hAnsi="Times New Roman"/>
          <w:b w:val="0"/>
          <w:sz w:val="20"/>
        </w:rPr>
        <w:t xml:space="preserve">Friedman </w:t>
      </w:r>
      <w:r w:rsidR="00AF7635">
        <w:rPr>
          <w:rFonts w:ascii="Times New Roman" w:hAnsi="Times New Roman"/>
          <w:b w:val="0"/>
          <w:sz w:val="20"/>
        </w:rPr>
        <w:t xml:space="preserve">method </w:t>
      </w:r>
      <w:r w:rsidR="007629EA" w:rsidRPr="00781BFB">
        <w:rPr>
          <w:rFonts w:ascii="Times New Roman" w:hAnsi="Times New Roman"/>
          <w:b w:val="0"/>
          <w:sz w:val="20"/>
        </w:rPr>
        <w:t xml:space="preserve">showed the best correlation indices, showing </w:t>
      </w:r>
      <w:r w:rsidR="00AF7635">
        <w:rPr>
          <w:rFonts w:ascii="Times New Roman" w:hAnsi="Times New Roman"/>
          <w:b w:val="0"/>
          <w:sz w:val="20"/>
        </w:rPr>
        <w:t>to be the suitable for the reaction</w:t>
      </w:r>
      <w:r w:rsidR="007629EA" w:rsidRPr="00781BFB">
        <w:rPr>
          <w:rFonts w:ascii="Times New Roman" w:hAnsi="Times New Roman"/>
          <w:b w:val="0"/>
          <w:sz w:val="20"/>
        </w:rPr>
        <w:t xml:space="preserve">. The reduction of activation energy values for catalytic </w:t>
      </w:r>
      <w:r w:rsidR="00AF7635">
        <w:rPr>
          <w:rFonts w:ascii="Times New Roman" w:hAnsi="Times New Roman"/>
          <w:b w:val="0"/>
          <w:sz w:val="20"/>
        </w:rPr>
        <w:t xml:space="preserve">processes as compared </w:t>
      </w:r>
      <w:r w:rsidR="007629EA" w:rsidRPr="00781BFB">
        <w:rPr>
          <w:rFonts w:ascii="Times New Roman" w:hAnsi="Times New Roman"/>
          <w:b w:val="0"/>
          <w:sz w:val="20"/>
        </w:rPr>
        <w:t xml:space="preserve">to </w:t>
      </w:r>
      <w:r w:rsidR="00AF7635">
        <w:rPr>
          <w:rFonts w:ascii="Times New Roman" w:hAnsi="Times New Roman"/>
          <w:b w:val="0"/>
          <w:sz w:val="20"/>
        </w:rPr>
        <w:t xml:space="preserve">the </w:t>
      </w:r>
      <w:r w:rsidR="007629EA" w:rsidRPr="00781BFB">
        <w:rPr>
          <w:rFonts w:ascii="Times New Roman" w:hAnsi="Times New Roman"/>
          <w:b w:val="0"/>
          <w:sz w:val="20"/>
        </w:rPr>
        <w:t xml:space="preserve">non-catalytic ones indicates that the introduction of the catalyst </w:t>
      </w:r>
      <w:r w:rsidR="00AF7635">
        <w:rPr>
          <w:rFonts w:ascii="Times New Roman" w:hAnsi="Times New Roman"/>
          <w:b w:val="0"/>
          <w:sz w:val="20"/>
        </w:rPr>
        <w:t>speeds</w:t>
      </w:r>
      <w:r w:rsidR="00B437E3">
        <w:rPr>
          <w:rFonts w:ascii="Times New Roman" w:hAnsi="Times New Roman"/>
          <w:b w:val="0"/>
          <w:sz w:val="20"/>
        </w:rPr>
        <w:t xml:space="preserve"> up</w:t>
      </w:r>
      <w:r w:rsidR="007629EA" w:rsidRPr="00781BFB">
        <w:rPr>
          <w:rFonts w:ascii="Times New Roman" w:hAnsi="Times New Roman"/>
          <w:b w:val="0"/>
          <w:sz w:val="20"/>
        </w:rPr>
        <w:t xml:space="preserve"> the decomposition of the biomass.</w:t>
      </w:r>
      <w:r w:rsidR="00B437E3">
        <w:rPr>
          <w:rFonts w:ascii="Times New Roman" w:hAnsi="Times New Roman"/>
          <w:b w:val="0"/>
          <w:sz w:val="20"/>
        </w:rPr>
        <w:t xml:space="preserve"> </w:t>
      </w:r>
    </w:p>
    <w:p w14:paraId="5F4A84E8" w14:textId="31739C31" w:rsidR="00EA4E1B" w:rsidRPr="00781BFB" w:rsidRDefault="00EA4E1B" w:rsidP="00EA4E1B">
      <w:pPr>
        <w:pStyle w:val="BDAbstract"/>
        <w:spacing w:before="0" w:after="120" w:line="240" w:lineRule="auto"/>
        <w:rPr>
          <w:rFonts w:ascii="Times New Roman" w:hAnsi="Times New Roman"/>
          <w:b w:val="0"/>
          <w:i/>
          <w:sz w:val="20"/>
        </w:rPr>
      </w:pPr>
      <w:r w:rsidRPr="00781BFB">
        <w:rPr>
          <w:rFonts w:ascii="Times New Roman" w:hAnsi="Times New Roman"/>
          <w:b w:val="0"/>
          <w:i/>
          <w:sz w:val="20"/>
        </w:rPr>
        <w:t xml:space="preserve">Keywords: </w:t>
      </w:r>
      <w:r w:rsidR="001E7DEC" w:rsidRPr="00781BFB">
        <w:rPr>
          <w:rFonts w:ascii="Times New Roman" w:hAnsi="Times New Roman"/>
          <w:b w:val="0"/>
          <w:i/>
          <w:sz w:val="20"/>
        </w:rPr>
        <w:t>Beta zeolite, platinum, catalytic pyrolysis, activation energy, biomass</w:t>
      </w:r>
      <w:r w:rsidR="00C07012" w:rsidRPr="00781BFB">
        <w:rPr>
          <w:rFonts w:ascii="Times New Roman" w:hAnsi="Times New Roman"/>
          <w:b w:val="0"/>
          <w:i/>
          <w:sz w:val="20"/>
        </w:rPr>
        <w:t>.</w:t>
      </w:r>
    </w:p>
    <w:bookmarkEnd w:id="1"/>
    <w:p w14:paraId="48D9B0C4" w14:textId="77777777" w:rsidR="00EA4E1B" w:rsidRPr="00781BFB" w:rsidRDefault="00EA4E1B" w:rsidP="00EA4E1B">
      <w:pPr>
        <w:rPr>
          <w:lang w:val="en-US"/>
        </w:rPr>
        <w:sectPr w:rsidR="00EA4E1B" w:rsidRPr="00781BF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781BFB" w:rsidRDefault="00EA4E1B" w:rsidP="00EA4E1B">
      <w:pPr>
        <w:pStyle w:val="Ttulo2"/>
        <w:spacing w:before="0"/>
        <w:rPr>
          <w:rFonts w:ascii="Helvetica" w:hAnsi="Helvetica" w:cs="Helvetica"/>
          <w:sz w:val="24"/>
          <w:szCs w:val="24"/>
        </w:rPr>
      </w:pPr>
      <w:r w:rsidRPr="00781BFB">
        <w:rPr>
          <w:rFonts w:ascii="Helvetica" w:hAnsi="Helvetica" w:cs="Helvetica"/>
          <w:sz w:val="24"/>
          <w:szCs w:val="24"/>
        </w:rPr>
        <w:t>Introdução</w:t>
      </w:r>
    </w:p>
    <w:p w14:paraId="6A925010" w14:textId="77777777" w:rsidR="003F4A0F" w:rsidRPr="001F1189" w:rsidRDefault="00632244" w:rsidP="00C5468D">
      <w:pPr>
        <w:pStyle w:val="TAMainText"/>
        <w:rPr>
          <w:lang w:val="pt-BR"/>
        </w:rPr>
      </w:pPr>
      <w:r w:rsidRPr="00781BFB">
        <w:rPr>
          <w:rFonts w:ascii="Times New Roman" w:hAnsi="Times New Roman"/>
          <w:lang w:val="pt-BR"/>
        </w:rPr>
        <w:t xml:space="preserve">A relação entre a crescente demanda de energia e </w:t>
      </w:r>
      <w:r w:rsidR="000300CB">
        <w:rPr>
          <w:rFonts w:ascii="Times New Roman" w:hAnsi="Times New Roman"/>
          <w:lang w:val="pt-BR"/>
        </w:rPr>
        <w:t xml:space="preserve">o </w:t>
      </w:r>
      <w:r w:rsidRPr="00781BFB">
        <w:rPr>
          <w:rFonts w:ascii="Times New Roman" w:hAnsi="Times New Roman"/>
          <w:lang w:val="pt-BR"/>
        </w:rPr>
        <w:t>pensamento sustentável</w:t>
      </w:r>
      <w:r w:rsidR="008A12C9" w:rsidRPr="00781BFB">
        <w:rPr>
          <w:rFonts w:ascii="Times New Roman" w:hAnsi="Times New Roman"/>
          <w:lang w:val="pt-BR"/>
        </w:rPr>
        <w:t xml:space="preserve"> </w:t>
      </w:r>
      <w:r w:rsidR="000300CB">
        <w:rPr>
          <w:rFonts w:ascii="Times New Roman" w:hAnsi="Times New Roman"/>
          <w:lang w:val="pt-BR"/>
        </w:rPr>
        <w:t xml:space="preserve">gerou a adoção </w:t>
      </w:r>
      <w:r w:rsidRPr="00781BFB">
        <w:rPr>
          <w:rFonts w:ascii="Times New Roman" w:hAnsi="Times New Roman"/>
          <w:lang w:val="pt-BR"/>
        </w:rPr>
        <w:t xml:space="preserve">de medidas </w:t>
      </w:r>
      <w:r w:rsidR="000300CB" w:rsidRPr="001F1189">
        <w:rPr>
          <w:rFonts w:ascii="Times New Roman" w:hAnsi="Times New Roman"/>
          <w:lang w:val="pt-BR"/>
        </w:rPr>
        <w:t xml:space="preserve">governamentais, </w:t>
      </w:r>
      <w:r w:rsidRPr="001F1189">
        <w:rPr>
          <w:rFonts w:ascii="Times New Roman" w:hAnsi="Times New Roman"/>
          <w:lang w:val="pt-BR"/>
        </w:rPr>
        <w:t>visando à minimização dos impactos ambientais causados pela utilização majoritária de fontes fósseis</w:t>
      </w:r>
      <w:r w:rsidR="00213800" w:rsidRPr="001F1189">
        <w:rPr>
          <w:rFonts w:ascii="Times New Roman" w:hAnsi="Times New Roman"/>
          <w:lang w:val="pt-BR"/>
        </w:rPr>
        <w:t xml:space="preserve"> (1)</w:t>
      </w:r>
      <w:r w:rsidRPr="001F1189">
        <w:rPr>
          <w:rFonts w:ascii="Times New Roman" w:hAnsi="Times New Roman"/>
          <w:lang w:val="pt-BR"/>
        </w:rPr>
        <w:t>.</w:t>
      </w:r>
      <w:r w:rsidRPr="001F1189">
        <w:rPr>
          <w:lang w:val="pt-BR"/>
        </w:rPr>
        <w:t xml:space="preserve"> </w:t>
      </w:r>
    </w:p>
    <w:p w14:paraId="25D018D1" w14:textId="49D14414" w:rsidR="00C5468D" w:rsidRDefault="00632244" w:rsidP="00C5468D">
      <w:pPr>
        <w:pStyle w:val="TAMainText"/>
        <w:rPr>
          <w:rFonts w:ascii="Times New Roman" w:hAnsi="Times New Roman"/>
          <w:lang w:val="pt-BR"/>
        </w:rPr>
      </w:pPr>
      <w:r w:rsidRPr="001F1189">
        <w:rPr>
          <w:rFonts w:ascii="Times New Roman" w:hAnsi="Times New Roman"/>
          <w:lang w:val="pt-BR"/>
        </w:rPr>
        <w:t>D</w:t>
      </w:r>
      <w:r w:rsidR="008A12C9" w:rsidRPr="001F1189">
        <w:rPr>
          <w:rFonts w:ascii="Times New Roman" w:hAnsi="Times New Roman"/>
          <w:lang w:val="pt-BR"/>
        </w:rPr>
        <w:t>entre as</w:t>
      </w:r>
      <w:r w:rsidRPr="001F1189">
        <w:rPr>
          <w:rFonts w:ascii="Times New Roman" w:hAnsi="Times New Roman"/>
          <w:lang w:val="pt-BR"/>
        </w:rPr>
        <w:t xml:space="preserve"> </w:t>
      </w:r>
      <w:r w:rsidR="000300CB" w:rsidRPr="001F1189">
        <w:rPr>
          <w:rFonts w:ascii="Times New Roman" w:hAnsi="Times New Roman"/>
          <w:lang w:val="pt-BR"/>
        </w:rPr>
        <w:t>opções tecnológicas</w:t>
      </w:r>
      <w:r w:rsidR="008A12C9" w:rsidRPr="001F1189">
        <w:rPr>
          <w:rFonts w:ascii="Times New Roman" w:hAnsi="Times New Roman"/>
          <w:lang w:val="pt-BR"/>
        </w:rPr>
        <w:t>,</w:t>
      </w:r>
      <w:r w:rsidRPr="001F1189">
        <w:rPr>
          <w:rFonts w:ascii="Times New Roman" w:hAnsi="Times New Roman"/>
          <w:lang w:val="pt-BR"/>
        </w:rPr>
        <w:t xml:space="preserve"> a pirólise catalítica</w:t>
      </w:r>
      <w:r w:rsidR="003F4A0F" w:rsidRPr="001F1189">
        <w:rPr>
          <w:rFonts w:ascii="Times New Roman" w:hAnsi="Times New Roman"/>
          <w:lang w:val="pt-BR"/>
        </w:rPr>
        <w:t xml:space="preserve"> da biomassa</w:t>
      </w:r>
      <w:r w:rsidR="000300CB" w:rsidRPr="001F1189">
        <w:rPr>
          <w:rFonts w:ascii="Times New Roman" w:hAnsi="Times New Roman"/>
          <w:lang w:val="pt-BR"/>
        </w:rPr>
        <w:t>,</w:t>
      </w:r>
      <w:r w:rsidRPr="001F1189">
        <w:rPr>
          <w:rFonts w:ascii="Times New Roman" w:hAnsi="Times New Roman"/>
          <w:lang w:val="pt-BR"/>
        </w:rPr>
        <w:t xml:space="preserve"> para </w:t>
      </w:r>
      <w:r w:rsidR="000300CB" w:rsidRPr="001F1189">
        <w:rPr>
          <w:rFonts w:ascii="Times New Roman" w:hAnsi="Times New Roman"/>
          <w:lang w:val="pt-BR"/>
        </w:rPr>
        <w:t xml:space="preserve">a </w:t>
      </w:r>
      <w:r w:rsidRPr="001F1189">
        <w:rPr>
          <w:rFonts w:ascii="Times New Roman" w:hAnsi="Times New Roman"/>
          <w:lang w:val="pt-BR"/>
        </w:rPr>
        <w:t>produção de energia e produtos químicos</w:t>
      </w:r>
      <w:r w:rsidR="003F4A0F" w:rsidRPr="001F1189">
        <w:rPr>
          <w:rFonts w:ascii="Times New Roman" w:hAnsi="Times New Roman"/>
          <w:lang w:val="pt-BR"/>
        </w:rPr>
        <w:t xml:space="preserve">, é uma alternativa atrativa econômica, pelo baixo custo e simplicidade. Além disso, </w:t>
      </w:r>
      <w:r w:rsidR="00891B6B" w:rsidRPr="001F1189">
        <w:rPr>
          <w:rFonts w:ascii="Times New Roman" w:hAnsi="Times New Roman"/>
          <w:lang w:val="pt-BR"/>
        </w:rPr>
        <w:t>a biomassa é</w:t>
      </w:r>
      <w:r w:rsidRPr="001F1189">
        <w:rPr>
          <w:rFonts w:ascii="Times New Roman" w:hAnsi="Times New Roman"/>
          <w:lang w:val="pt-BR"/>
        </w:rPr>
        <w:t xml:space="preserve"> r</w:t>
      </w:r>
      <w:r w:rsidR="008A12C9" w:rsidRPr="001F1189">
        <w:rPr>
          <w:rFonts w:ascii="Times New Roman" w:hAnsi="Times New Roman"/>
          <w:lang w:val="pt-BR"/>
        </w:rPr>
        <w:t xml:space="preserve">enovável, </w:t>
      </w:r>
      <w:r w:rsidRPr="001F1189">
        <w:rPr>
          <w:rFonts w:ascii="Times New Roman" w:hAnsi="Times New Roman"/>
          <w:lang w:val="pt-BR"/>
        </w:rPr>
        <w:t>abund</w:t>
      </w:r>
      <w:r w:rsidR="00891B6B" w:rsidRPr="001F1189">
        <w:rPr>
          <w:rFonts w:ascii="Times New Roman" w:hAnsi="Times New Roman"/>
          <w:lang w:val="pt-BR"/>
        </w:rPr>
        <w:t>ante e v</w:t>
      </w:r>
      <w:r w:rsidR="008A12C9" w:rsidRPr="001F1189">
        <w:rPr>
          <w:rFonts w:ascii="Times New Roman" w:hAnsi="Times New Roman"/>
          <w:lang w:val="pt-BR"/>
        </w:rPr>
        <w:t>ers</w:t>
      </w:r>
      <w:r w:rsidR="00891B6B" w:rsidRPr="001F1189">
        <w:rPr>
          <w:rFonts w:ascii="Times New Roman" w:hAnsi="Times New Roman"/>
          <w:lang w:val="pt-BR"/>
        </w:rPr>
        <w:t>átil</w:t>
      </w:r>
      <w:r w:rsidR="00213800" w:rsidRPr="001F1189">
        <w:rPr>
          <w:rFonts w:ascii="Times New Roman" w:hAnsi="Times New Roman"/>
          <w:lang w:val="pt-BR"/>
        </w:rPr>
        <w:t xml:space="preserve"> (2)</w:t>
      </w:r>
      <w:r w:rsidRPr="001F1189">
        <w:rPr>
          <w:rFonts w:ascii="Times New Roman" w:hAnsi="Times New Roman"/>
          <w:lang w:val="pt-BR"/>
        </w:rPr>
        <w:t>. Contudo</w:t>
      </w:r>
      <w:r w:rsidR="00E82037" w:rsidRPr="001F1189">
        <w:rPr>
          <w:rFonts w:ascii="Times New Roman" w:hAnsi="Times New Roman"/>
          <w:lang w:val="pt-BR"/>
        </w:rPr>
        <w:t>,</w:t>
      </w:r>
      <w:r w:rsidRPr="001F1189">
        <w:rPr>
          <w:rFonts w:ascii="Times New Roman" w:hAnsi="Times New Roman"/>
          <w:lang w:val="pt-BR"/>
        </w:rPr>
        <w:t xml:space="preserve"> o processo ainda </w:t>
      </w:r>
      <w:r w:rsidR="00891B6B" w:rsidRPr="001F1189">
        <w:rPr>
          <w:rFonts w:ascii="Times New Roman" w:hAnsi="Times New Roman"/>
          <w:lang w:val="pt-BR"/>
        </w:rPr>
        <w:t xml:space="preserve">necessita </w:t>
      </w:r>
      <w:r w:rsidRPr="001F1189">
        <w:rPr>
          <w:rFonts w:ascii="Times New Roman" w:hAnsi="Times New Roman"/>
          <w:lang w:val="pt-BR"/>
        </w:rPr>
        <w:t>de catalisadores ativos</w:t>
      </w:r>
      <w:r w:rsidR="00891B6B" w:rsidRPr="001F1189">
        <w:rPr>
          <w:rFonts w:ascii="Times New Roman" w:hAnsi="Times New Roman"/>
          <w:lang w:val="pt-BR"/>
        </w:rPr>
        <w:t xml:space="preserve">, específicos </w:t>
      </w:r>
      <w:r w:rsidR="0012135E" w:rsidRPr="001F1189">
        <w:rPr>
          <w:rFonts w:ascii="Times New Roman" w:hAnsi="Times New Roman"/>
          <w:lang w:val="pt-BR"/>
        </w:rPr>
        <w:t xml:space="preserve">a </w:t>
      </w:r>
      <w:r w:rsidRPr="001F1189">
        <w:rPr>
          <w:rFonts w:ascii="Times New Roman" w:hAnsi="Times New Roman"/>
          <w:lang w:val="pt-BR"/>
        </w:rPr>
        <w:t xml:space="preserve">cada aplicação. Dentre os catalisadores </w:t>
      </w:r>
      <w:r w:rsidR="00891B6B" w:rsidRPr="001F1189">
        <w:rPr>
          <w:rFonts w:ascii="Times New Roman" w:hAnsi="Times New Roman"/>
          <w:lang w:val="pt-BR"/>
        </w:rPr>
        <w:t>estudados</w:t>
      </w:r>
      <w:r w:rsidRPr="001F1189">
        <w:rPr>
          <w:rFonts w:ascii="Times New Roman" w:hAnsi="Times New Roman"/>
          <w:lang w:val="pt-BR"/>
        </w:rPr>
        <w:t>,</w:t>
      </w:r>
      <w:r w:rsidR="00891B6B" w:rsidRPr="001F1189">
        <w:rPr>
          <w:rFonts w:ascii="Times New Roman" w:hAnsi="Times New Roman"/>
          <w:lang w:val="pt-BR"/>
        </w:rPr>
        <w:t xml:space="preserve"> destacam-se </w:t>
      </w:r>
      <w:r w:rsidRPr="001F1189">
        <w:rPr>
          <w:rFonts w:ascii="Times New Roman" w:hAnsi="Times New Roman"/>
          <w:lang w:val="pt-BR"/>
        </w:rPr>
        <w:t xml:space="preserve"> as </w:t>
      </w:r>
      <w:r w:rsidR="008216B2" w:rsidRPr="001F1189">
        <w:rPr>
          <w:rFonts w:ascii="Times New Roman" w:hAnsi="Times New Roman"/>
          <w:lang w:val="pt-BR"/>
        </w:rPr>
        <w:t>zeólita</w:t>
      </w:r>
      <w:r w:rsidR="00172F1D" w:rsidRPr="001F1189">
        <w:rPr>
          <w:rFonts w:ascii="Times New Roman" w:hAnsi="Times New Roman"/>
          <w:lang w:val="pt-BR"/>
        </w:rPr>
        <w:t>s</w:t>
      </w:r>
      <w:r w:rsidR="00891B6B" w:rsidRPr="001F1189">
        <w:rPr>
          <w:rFonts w:ascii="Times New Roman" w:hAnsi="Times New Roman"/>
          <w:lang w:val="pt-BR"/>
        </w:rPr>
        <w:t>, que</w:t>
      </w:r>
      <w:r w:rsidR="008216B2" w:rsidRPr="001F1189">
        <w:rPr>
          <w:rFonts w:ascii="Times New Roman" w:hAnsi="Times New Roman"/>
          <w:lang w:val="pt-BR"/>
        </w:rPr>
        <w:t xml:space="preserve"> </w:t>
      </w:r>
      <w:r w:rsidR="00172F1D" w:rsidRPr="001F1189">
        <w:rPr>
          <w:rFonts w:ascii="Times New Roman" w:hAnsi="Times New Roman"/>
          <w:lang w:val="pt-BR"/>
        </w:rPr>
        <w:t xml:space="preserve">apresentam elevada eficiência devido às </w:t>
      </w:r>
      <w:r w:rsidR="00172F1D" w:rsidRPr="001F1189">
        <w:rPr>
          <w:rFonts w:ascii="Times New Roman" w:hAnsi="Times New Roman"/>
          <w:lang w:val="pt-BR"/>
        </w:rPr>
        <w:t xml:space="preserve">suas </w:t>
      </w:r>
      <w:r w:rsidR="008A12C9" w:rsidRPr="001F1189">
        <w:rPr>
          <w:rFonts w:ascii="Times New Roman" w:hAnsi="Times New Roman"/>
          <w:lang w:val="pt-BR"/>
        </w:rPr>
        <w:t>características</w:t>
      </w:r>
      <w:r w:rsidR="003F1C32" w:rsidRPr="001F1189">
        <w:rPr>
          <w:rFonts w:ascii="Times New Roman" w:hAnsi="Times New Roman"/>
          <w:lang w:val="pt-BR"/>
        </w:rPr>
        <w:t>,</w:t>
      </w:r>
      <w:r w:rsidR="00172F1D" w:rsidRPr="001F1189">
        <w:rPr>
          <w:rFonts w:ascii="Times New Roman" w:hAnsi="Times New Roman"/>
          <w:lang w:val="pt-BR"/>
        </w:rPr>
        <w:t xml:space="preserve"> como</w:t>
      </w:r>
      <w:r w:rsidR="003F1C32" w:rsidRPr="001F1189">
        <w:rPr>
          <w:rFonts w:ascii="Times New Roman" w:hAnsi="Times New Roman"/>
          <w:lang w:val="pt-BR"/>
        </w:rPr>
        <w:t xml:space="preserve"> </w:t>
      </w:r>
      <w:r w:rsidR="00172F1D" w:rsidRPr="001F1189">
        <w:rPr>
          <w:rFonts w:ascii="Times New Roman" w:hAnsi="Times New Roman"/>
          <w:lang w:val="pt-BR"/>
        </w:rPr>
        <w:t xml:space="preserve">alta área </w:t>
      </w:r>
      <w:r w:rsidR="008A12C9" w:rsidRPr="001F1189">
        <w:rPr>
          <w:rFonts w:ascii="Times New Roman" w:hAnsi="Times New Roman"/>
          <w:lang w:val="pt-BR"/>
        </w:rPr>
        <w:t>superficial</w:t>
      </w:r>
      <w:r w:rsidR="00891B6B" w:rsidRPr="001F1189">
        <w:rPr>
          <w:rFonts w:ascii="Times New Roman" w:hAnsi="Times New Roman"/>
          <w:lang w:val="pt-BR"/>
        </w:rPr>
        <w:t xml:space="preserve"> específica</w:t>
      </w:r>
      <w:r w:rsidR="00172F1D" w:rsidRPr="001F1189">
        <w:rPr>
          <w:rFonts w:ascii="Times New Roman" w:hAnsi="Times New Roman"/>
          <w:lang w:val="pt-BR"/>
        </w:rPr>
        <w:t>, múltiplo sistema de canais, alta acidez e seletividade de forma. A zeól</w:t>
      </w:r>
      <w:r w:rsidR="008A12C9" w:rsidRPr="001F1189">
        <w:rPr>
          <w:rFonts w:ascii="Times New Roman" w:hAnsi="Times New Roman"/>
          <w:lang w:val="pt-BR"/>
        </w:rPr>
        <w:t xml:space="preserve">ita beta, por exemplo, é altamente seletiva </w:t>
      </w:r>
      <w:r w:rsidR="00891B6B" w:rsidRPr="001F1189">
        <w:rPr>
          <w:rFonts w:ascii="Times New Roman" w:hAnsi="Times New Roman"/>
          <w:lang w:val="pt-BR"/>
        </w:rPr>
        <w:t>a</w:t>
      </w:r>
      <w:r w:rsidR="003F1C32" w:rsidRPr="001F1189">
        <w:rPr>
          <w:rFonts w:ascii="Times New Roman" w:hAnsi="Times New Roman"/>
          <w:lang w:val="pt-BR"/>
        </w:rPr>
        <w:t xml:space="preserve"> </w:t>
      </w:r>
      <w:r w:rsidR="008A12C9" w:rsidRPr="001F1189">
        <w:rPr>
          <w:rFonts w:ascii="Times New Roman" w:hAnsi="Times New Roman"/>
          <w:lang w:val="pt-BR"/>
        </w:rPr>
        <w:t>benzeno, tolueno, etilbenzeno e xileno</w:t>
      </w:r>
      <w:r w:rsidR="003F1C32" w:rsidRPr="001F1189">
        <w:rPr>
          <w:rFonts w:ascii="Times New Roman" w:hAnsi="Times New Roman"/>
          <w:lang w:val="pt-BR"/>
        </w:rPr>
        <w:t>s</w:t>
      </w:r>
      <w:r w:rsidR="008A12C9" w:rsidRPr="001F1189">
        <w:rPr>
          <w:rFonts w:ascii="Times New Roman" w:hAnsi="Times New Roman"/>
          <w:lang w:val="pt-BR"/>
        </w:rPr>
        <w:t xml:space="preserve"> (BTEX), que são produtos de elevado interesse industrial</w:t>
      </w:r>
      <w:r w:rsidR="00891B6B" w:rsidRPr="001F1189">
        <w:rPr>
          <w:rFonts w:ascii="Times New Roman" w:hAnsi="Times New Roman"/>
          <w:lang w:val="pt-BR"/>
        </w:rPr>
        <w:t xml:space="preserve"> (3, 4)</w:t>
      </w:r>
      <w:r w:rsidR="008A12C9" w:rsidRPr="001F1189">
        <w:rPr>
          <w:rFonts w:ascii="Times New Roman" w:hAnsi="Times New Roman"/>
          <w:lang w:val="pt-BR"/>
        </w:rPr>
        <w:t>. Além disso, possui elevada atividade catalítica, seletividade e resistência à desativação em várias reações</w:t>
      </w:r>
      <w:r w:rsidR="003F1C32" w:rsidRPr="001F1189">
        <w:rPr>
          <w:rFonts w:ascii="Times New Roman" w:hAnsi="Times New Roman"/>
          <w:lang w:val="pt-BR"/>
        </w:rPr>
        <w:t>,</w:t>
      </w:r>
      <w:r w:rsidR="008A12C9" w:rsidRPr="001F1189">
        <w:rPr>
          <w:rFonts w:ascii="Times New Roman" w:hAnsi="Times New Roman"/>
          <w:lang w:val="pt-BR"/>
        </w:rPr>
        <w:t xml:space="preserve"> como craqueamento, alquilação e acilação de hidrocarbonetos e isomerização de alcanos</w:t>
      </w:r>
      <w:r w:rsidR="00213800" w:rsidRPr="001F1189">
        <w:rPr>
          <w:rFonts w:ascii="Times New Roman" w:hAnsi="Times New Roman"/>
          <w:lang w:val="pt-BR"/>
        </w:rPr>
        <w:t xml:space="preserve"> (</w:t>
      </w:r>
      <w:r w:rsidR="003A5F97" w:rsidRPr="001F1189">
        <w:rPr>
          <w:rFonts w:ascii="Times New Roman" w:hAnsi="Times New Roman"/>
          <w:lang w:val="pt-BR"/>
        </w:rPr>
        <w:t xml:space="preserve">3, </w:t>
      </w:r>
      <w:r w:rsidR="0027173A" w:rsidRPr="001F1189">
        <w:rPr>
          <w:rFonts w:ascii="Times New Roman" w:hAnsi="Times New Roman"/>
          <w:lang w:val="pt-BR"/>
        </w:rPr>
        <w:t>4</w:t>
      </w:r>
      <w:r w:rsidR="00F04E75" w:rsidRPr="001F1189">
        <w:rPr>
          <w:rFonts w:ascii="Times New Roman" w:hAnsi="Times New Roman"/>
          <w:lang w:val="pt-BR"/>
        </w:rPr>
        <w:t xml:space="preserve">, </w:t>
      </w:r>
      <w:r w:rsidR="00AB640B" w:rsidRPr="001F1189">
        <w:rPr>
          <w:rFonts w:ascii="Times New Roman" w:hAnsi="Times New Roman"/>
          <w:lang w:val="pt-BR"/>
        </w:rPr>
        <w:t xml:space="preserve">5). </w:t>
      </w:r>
      <w:r w:rsidR="00891B6B" w:rsidRPr="001F1189">
        <w:rPr>
          <w:rFonts w:ascii="Times New Roman" w:hAnsi="Times New Roman"/>
          <w:lang w:val="pt-BR"/>
        </w:rPr>
        <w:t xml:space="preserve">Esses trabalhos mostraram que a pirólise </w:t>
      </w:r>
      <w:r w:rsidR="008A12C9" w:rsidRPr="001F1189">
        <w:rPr>
          <w:rFonts w:ascii="Times New Roman" w:hAnsi="Times New Roman"/>
          <w:lang w:val="pt-BR"/>
        </w:rPr>
        <w:t>d</w:t>
      </w:r>
      <w:r w:rsidR="003F1C32" w:rsidRPr="001F1189">
        <w:rPr>
          <w:rFonts w:ascii="Times New Roman" w:hAnsi="Times New Roman"/>
          <w:lang w:val="pt-BR"/>
        </w:rPr>
        <w:t xml:space="preserve">e resíduos </w:t>
      </w:r>
      <w:r w:rsidR="00394B5C" w:rsidRPr="001F1189">
        <w:rPr>
          <w:rFonts w:ascii="Times New Roman" w:hAnsi="Times New Roman"/>
          <w:lang w:val="pt-BR"/>
        </w:rPr>
        <w:t>lignocel</w:t>
      </w:r>
      <w:r w:rsidR="00887F2D" w:rsidRPr="001F1189">
        <w:rPr>
          <w:rFonts w:ascii="Times New Roman" w:hAnsi="Times New Roman"/>
          <w:lang w:val="pt-BR"/>
        </w:rPr>
        <w:t>u</w:t>
      </w:r>
      <w:r w:rsidR="00394B5C" w:rsidRPr="001F1189">
        <w:rPr>
          <w:rFonts w:ascii="Times New Roman" w:hAnsi="Times New Roman"/>
          <w:lang w:val="pt-BR"/>
        </w:rPr>
        <w:t>lósicos</w:t>
      </w:r>
      <w:r w:rsidR="008A12C9" w:rsidRPr="001F1189">
        <w:rPr>
          <w:rFonts w:ascii="Times New Roman" w:hAnsi="Times New Roman"/>
          <w:lang w:val="pt-BR"/>
        </w:rPr>
        <w:t xml:space="preserve"> sobre zeólita beta</w:t>
      </w:r>
      <w:r w:rsidR="00887F2D" w:rsidRPr="001F1189">
        <w:rPr>
          <w:rFonts w:ascii="Times New Roman" w:hAnsi="Times New Roman"/>
          <w:lang w:val="pt-BR"/>
        </w:rPr>
        <w:t xml:space="preserve"> impregnada com metais</w:t>
      </w:r>
      <w:r w:rsidR="00891B6B" w:rsidRPr="001F1189">
        <w:rPr>
          <w:rFonts w:ascii="Times New Roman" w:hAnsi="Times New Roman"/>
          <w:lang w:val="pt-BR"/>
        </w:rPr>
        <w:t xml:space="preserve">, altera os caminhos de reação e </w:t>
      </w:r>
      <w:r w:rsidR="003A5F97" w:rsidRPr="001F1189">
        <w:rPr>
          <w:rFonts w:ascii="Times New Roman" w:hAnsi="Times New Roman"/>
          <w:lang w:val="pt-BR"/>
        </w:rPr>
        <w:t xml:space="preserve">também </w:t>
      </w:r>
      <w:r w:rsidR="00891B6B" w:rsidRPr="001F1189">
        <w:rPr>
          <w:rFonts w:ascii="Times New Roman" w:hAnsi="Times New Roman"/>
          <w:lang w:val="pt-BR"/>
        </w:rPr>
        <w:t xml:space="preserve">a energia de ativação do processo global. </w:t>
      </w:r>
      <w:r w:rsidR="00B02F40" w:rsidRPr="001F1189">
        <w:rPr>
          <w:rFonts w:ascii="Times New Roman" w:hAnsi="Times New Roman"/>
          <w:lang w:val="pt-BR"/>
        </w:rPr>
        <w:t xml:space="preserve"> </w:t>
      </w:r>
    </w:p>
    <w:p w14:paraId="52FFAC79" w14:textId="2FDF5517" w:rsidR="00EA4E1B" w:rsidRPr="003C2E69" w:rsidRDefault="00EA4E1B" w:rsidP="001B0461">
      <w:pPr>
        <w:pStyle w:val="TAMainText"/>
        <w:spacing w:before="160" w:after="40"/>
        <w:ind w:firstLine="0"/>
        <w:rPr>
          <w:rFonts w:ascii="Helvetica" w:hAnsi="Helvetica" w:cs="Helvetica"/>
          <w:sz w:val="24"/>
          <w:szCs w:val="24"/>
          <w:lang w:val="pt-BR"/>
        </w:rPr>
      </w:pPr>
      <w:r w:rsidRPr="003C2E69">
        <w:rPr>
          <w:rFonts w:ascii="Helvetica" w:hAnsi="Helvetica" w:cs="Helvetica"/>
          <w:sz w:val="24"/>
          <w:szCs w:val="24"/>
          <w:lang w:val="pt-BR"/>
        </w:rPr>
        <w:lastRenderedPageBreak/>
        <w:t>Experimental</w:t>
      </w:r>
    </w:p>
    <w:p w14:paraId="52A27144" w14:textId="722983C1" w:rsidR="009F3CA3" w:rsidRPr="00781BFB" w:rsidRDefault="009F3CA3" w:rsidP="009F3CA3">
      <w:pPr>
        <w:pStyle w:val="TAMainText"/>
        <w:ind w:firstLine="0"/>
        <w:rPr>
          <w:rFonts w:ascii="Times New Roman" w:hAnsi="Times New Roman"/>
          <w:i/>
          <w:lang w:val="pt-BR"/>
        </w:rPr>
      </w:pPr>
      <w:r w:rsidRPr="00781BFB">
        <w:rPr>
          <w:rFonts w:ascii="Times New Roman" w:hAnsi="Times New Roman"/>
          <w:i/>
          <w:lang w:val="pt-BR"/>
        </w:rPr>
        <w:t>Síntese</w:t>
      </w:r>
      <w:r w:rsidR="00FE4FC8">
        <w:rPr>
          <w:rFonts w:ascii="Times New Roman" w:hAnsi="Times New Roman"/>
          <w:i/>
          <w:lang w:val="pt-BR"/>
        </w:rPr>
        <w:t xml:space="preserve"> da zeólita beta e impregnação com platina</w:t>
      </w:r>
      <w:r w:rsidRPr="00781BFB">
        <w:rPr>
          <w:rFonts w:ascii="Times New Roman" w:hAnsi="Times New Roman"/>
          <w:i/>
          <w:lang w:val="pt-BR"/>
        </w:rPr>
        <w:t xml:space="preserve"> </w:t>
      </w:r>
    </w:p>
    <w:p w14:paraId="7D8EE6B2" w14:textId="77777777" w:rsidR="00D56924" w:rsidRDefault="000368C6" w:rsidP="00B10CF7">
      <w:pPr>
        <w:pStyle w:val="TAMainText"/>
        <w:rPr>
          <w:rFonts w:ascii="Times New Roman" w:hAnsi="Times New Roman"/>
          <w:lang w:val="pt-BR"/>
        </w:rPr>
      </w:pPr>
      <w:r>
        <w:rPr>
          <w:rFonts w:ascii="Times New Roman" w:hAnsi="Times New Roman"/>
          <w:lang w:val="pt-BR"/>
        </w:rPr>
        <w:t>As z</w:t>
      </w:r>
      <w:r w:rsidR="003E2C52" w:rsidRPr="00781BFB">
        <w:rPr>
          <w:rFonts w:ascii="Times New Roman" w:hAnsi="Times New Roman"/>
          <w:lang w:val="pt-BR"/>
        </w:rPr>
        <w:t>eólita</w:t>
      </w:r>
      <w:r>
        <w:rPr>
          <w:rFonts w:ascii="Times New Roman" w:hAnsi="Times New Roman"/>
          <w:lang w:val="pt-BR"/>
        </w:rPr>
        <w:t>s</w:t>
      </w:r>
      <w:r w:rsidR="003E2C52" w:rsidRPr="00781BFB">
        <w:rPr>
          <w:rFonts w:ascii="Times New Roman" w:hAnsi="Times New Roman"/>
          <w:lang w:val="pt-BR"/>
        </w:rPr>
        <w:t xml:space="preserve"> beta com diferentes </w:t>
      </w:r>
      <w:r w:rsidR="006535C8" w:rsidRPr="00781BFB">
        <w:rPr>
          <w:rFonts w:ascii="Times New Roman" w:hAnsi="Times New Roman"/>
          <w:lang w:val="pt-BR"/>
        </w:rPr>
        <w:t>ra</w:t>
      </w:r>
      <w:r w:rsidR="0037624A" w:rsidRPr="00781BFB">
        <w:rPr>
          <w:rFonts w:ascii="Times New Roman" w:hAnsi="Times New Roman"/>
          <w:lang w:val="pt-BR"/>
        </w:rPr>
        <w:t>z</w:t>
      </w:r>
      <w:r>
        <w:rPr>
          <w:rFonts w:ascii="Times New Roman" w:hAnsi="Times New Roman"/>
          <w:lang w:val="pt-BR"/>
        </w:rPr>
        <w:t>ões</w:t>
      </w:r>
      <w:r w:rsidR="0037624A" w:rsidRPr="00781BFB">
        <w:rPr>
          <w:rFonts w:ascii="Times New Roman" w:hAnsi="Times New Roman"/>
          <w:lang w:val="pt-BR"/>
        </w:rPr>
        <w:t xml:space="preserve"> Si/Al (</w:t>
      </w:r>
      <w:r>
        <w:rPr>
          <w:rFonts w:ascii="Times New Roman" w:hAnsi="Times New Roman"/>
          <w:lang w:val="pt-BR"/>
        </w:rPr>
        <w:t>30</w:t>
      </w:r>
      <w:r w:rsidR="003E2C52" w:rsidRPr="00781BFB">
        <w:rPr>
          <w:rFonts w:ascii="Times New Roman" w:hAnsi="Times New Roman"/>
          <w:lang w:val="pt-BR"/>
        </w:rPr>
        <w:t xml:space="preserve">, </w:t>
      </w:r>
      <w:r>
        <w:rPr>
          <w:rFonts w:ascii="Times New Roman" w:hAnsi="Times New Roman"/>
          <w:lang w:val="pt-BR"/>
        </w:rPr>
        <w:t>60</w:t>
      </w:r>
      <w:r w:rsidR="003E2C52" w:rsidRPr="00781BFB">
        <w:rPr>
          <w:rFonts w:ascii="Times New Roman" w:hAnsi="Times New Roman"/>
          <w:lang w:val="pt-BR"/>
        </w:rPr>
        <w:t xml:space="preserve"> e </w:t>
      </w:r>
      <w:r>
        <w:rPr>
          <w:rFonts w:ascii="Times New Roman" w:hAnsi="Times New Roman"/>
          <w:lang w:val="pt-BR"/>
        </w:rPr>
        <w:t>90</w:t>
      </w:r>
      <w:r w:rsidR="003E2C52" w:rsidRPr="00781BFB">
        <w:rPr>
          <w:rFonts w:ascii="Times New Roman" w:hAnsi="Times New Roman"/>
          <w:lang w:val="pt-BR"/>
        </w:rPr>
        <w:t xml:space="preserve">) foram preparadas conforme </w:t>
      </w:r>
      <w:r w:rsidR="003E2C52" w:rsidRPr="000368C6">
        <w:rPr>
          <w:rFonts w:ascii="Times New Roman" w:hAnsi="Times New Roman"/>
          <w:lang w:val="pt-BR"/>
        </w:rPr>
        <w:t>descrito em (4),</w:t>
      </w:r>
      <w:r w:rsidR="003E2C52" w:rsidRPr="00781BFB">
        <w:rPr>
          <w:rFonts w:ascii="Times New Roman" w:hAnsi="Times New Roman"/>
          <w:lang w:val="pt-BR"/>
        </w:rPr>
        <w:t xml:space="preserve"> </w:t>
      </w:r>
      <w:r w:rsidR="00FE4FC8">
        <w:rPr>
          <w:rFonts w:ascii="Times New Roman" w:hAnsi="Times New Roman"/>
          <w:lang w:val="pt-BR"/>
        </w:rPr>
        <w:t xml:space="preserve">mas </w:t>
      </w:r>
      <w:r w:rsidR="003E2C52" w:rsidRPr="00781BFB">
        <w:rPr>
          <w:rFonts w:ascii="Times New Roman" w:hAnsi="Times New Roman"/>
          <w:lang w:val="pt-BR"/>
        </w:rPr>
        <w:t xml:space="preserve">usando sílica extraída de cinzas de carvão de usina termelétrica. </w:t>
      </w:r>
      <w:r w:rsidR="00C05102">
        <w:rPr>
          <w:rFonts w:ascii="Times New Roman" w:hAnsi="Times New Roman"/>
          <w:lang w:val="pt-BR"/>
        </w:rPr>
        <w:t>As zeólitas beta foram nomeadas como B</w:t>
      </w:r>
      <w:r>
        <w:rPr>
          <w:rFonts w:ascii="Times New Roman" w:hAnsi="Times New Roman"/>
          <w:lang w:val="pt-BR"/>
        </w:rPr>
        <w:t>30</w:t>
      </w:r>
      <w:r w:rsidR="00041A36">
        <w:rPr>
          <w:rFonts w:ascii="Times New Roman" w:hAnsi="Times New Roman"/>
          <w:lang w:val="pt-BR"/>
        </w:rPr>
        <w:t xml:space="preserve"> (Si/Al=</w:t>
      </w:r>
      <w:r>
        <w:rPr>
          <w:rFonts w:ascii="Times New Roman" w:hAnsi="Times New Roman"/>
          <w:lang w:val="pt-BR"/>
        </w:rPr>
        <w:t>30</w:t>
      </w:r>
      <w:r w:rsidR="00041A36">
        <w:rPr>
          <w:rFonts w:ascii="Times New Roman" w:hAnsi="Times New Roman"/>
          <w:lang w:val="pt-BR"/>
        </w:rPr>
        <w:t>)</w:t>
      </w:r>
      <w:r w:rsidR="00806D2D">
        <w:rPr>
          <w:rFonts w:ascii="Times New Roman" w:hAnsi="Times New Roman"/>
          <w:lang w:val="pt-BR"/>
        </w:rPr>
        <w:t>, B</w:t>
      </w:r>
      <w:r>
        <w:rPr>
          <w:rFonts w:ascii="Times New Roman" w:hAnsi="Times New Roman"/>
          <w:lang w:val="pt-BR"/>
        </w:rPr>
        <w:t>60</w:t>
      </w:r>
      <w:r w:rsidR="00806D2D">
        <w:rPr>
          <w:rFonts w:ascii="Times New Roman" w:hAnsi="Times New Roman"/>
          <w:lang w:val="pt-BR"/>
        </w:rPr>
        <w:t xml:space="preserve"> </w:t>
      </w:r>
      <w:r w:rsidR="00041A36">
        <w:rPr>
          <w:rFonts w:ascii="Times New Roman" w:hAnsi="Times New Roman"/>
          <w:lang w:val="pt-BR"/>
        </w:rPr>
        <w:t>(Si/Al=</w:t>
      </w:r>
      <w:r>
        <w:rPr>
          <w:rFonts w:ascii="Times New Roman" w:hAnsi="Times New Roman"/>
          <w:lang w:val="pt-BR"/>
        </w:rPr>
        <w:t>60</w:t>
      </w:r>
      <w:r w:rsidR="00041A36">
        <w:rPr>
          <w:rFonts w:ascii="Times New Roman" w:hAnsi="Times New Roman"/>
          <w:lang w:val="pt-BR"/>
        </w:rPr>
        <w:t xml:space="preserve">) </w:t>
      </w:r>
      <w:r w:rsidR="00806D2D">
        <w:rPr>
          <w:rFonts w:ascii="Times New Roman" w:hAnsi="Times New Roman"/>
          <w:lang w:val="pt-BR"/>
        </w:rPr>
        <w:t>e B</w:t>
      </w:r>
      <w:r>
        <w:rPr>
          <w:rFonts w:ascii="Times New Roman" w:hAnsi="Times New Roman"/>
          <w:lang w:val="pt-BR"/>
        </w:rPr>
        <w:t>90</w:t>
      </w:r>
      <w:r w:rsidR="00041A36">
        <w:rPr>
          <w:rFonts w:ascii="Times New Roman" w:hAnsi="Times New Roman"/>
          <w:lang w:val="pt-BR"/>
        </w:rPr>
        <w:t xml:space="preserve"> (Si/Al=</w:t>
      </w:r>
      <w:r w:rsidR="00B13179">
        <w:rPr>
          <w:rFonts w:ascii="Times New Roman" w:hAnsi="Times New Roman"/>
          <w:lang w:val="pt-BR"/>
        </w:rPr>
        <w:t>90</w:t>
      </w:r>
      <w:r w:rsidR="00041A36">
        <w:rPr>
          <w:rFonts w:ascii="Times New Roman" w:hAnsi="Times New Roman"/>
          <w:lang w:val="pt-BR"/>
        </w:rPr>
        <w:t>).</w:t>
      </w:r>
      <w:r w:rsidR="00806D2D">
        <w:rPr>
          <w:rFonts w:ascii="Times New Roman" w:hAnsi="Times New Roman"/>
          <w:lang w:val="pt-BR"/>
        </w:rPr>
        <w:t xml:space="preserve"> </w:t>
      </w:r>
    </w:p>
    <w:p w14:paraId="1D85AC3C" w14:textId="7909870D" w:rsidR="003B3EEB" w:rsidRPr="00B10CF7" w:rsidRDefault="00041A36" w:rsidP="00B10CF7">
      <w:pPr>
        <w:pStyle w:val="TAMainText"/>
        <w:rPr>
          <w:rFonts w:ascii="Times New Roman" w:hAnsi="Times New Roman"/>
          <w:lang w:val="pt-BR"/>
        </w:rPr>
      </w:pPr>
      <w:r>
        <w:rPr>
          <w:rFonts w:ascii="Times New Roman" w:hAnsi="Times New Roman"/>
          <w:lang w:val="pt-BR"/>
        </w:rPr>
        <w:t xml:space="preserve">Os catalisadores foram impregnados com </w:t>
      </w:r>
      <w:r w:rsidR="006D59E0">
        <w:rPr>
          <w:rFonts w:ascii="Times New Roman" w:hAnsi="Times New Roman"/>
          <w:lang w:val="pt-BR"/>
        </w:rPr>
        <w:t xml:space="preserve">1% de </w:t>
      </w:r>
      <w:r w:rsidR="003E2C52" w:rsidRPr="00781BFB">
        <w:rPr>
          <w:rFonts w:ascii="Times New Roman" w:hAnsi="Times New Roman"/>
          <w:lang w:val="pt-BR"/>
        </w:rPr>
        <w:t xml:space="preserve">platina </w:t>
      </w:r>
      <w:r w:rsidR="0037624A" w:rsidRPr="00781BFB">
        <w:rPr>
          <w:rFonts w:ascii="Times New Roman" w:hAnsi="Times New Roman"/>
          <w:lang w:val="pt-BR"/>
        </w:rPr>
        <w:t>usando uma solução de</w:t>
      </w:r>
      <w:r w:rsidR="003E2C52" w:rsidRPr="00781BFB">
        <w:rPr>
          <w:rFonts w:ascii="Times New Roman" w:hAnsi="Times New Roman"/>
          <w:lang w:val="pt-BR"/>
        </w:rPr>
        <w:t xml:space="preserve"> ácido hexacloroplatínico</w:t>
      </w:r>
      <w:r w:rsidR="00C5468D">
        <w:rPr>
          <w:rFonts w:ascii="Times New Roman" w:hAnsi="Times New Roman"/>
          <w:lang w:val="pt-BR"/>
        </w:rPr>
        <w:t xml:space="preserve"> e </w:t>
      </w:r>
      <w:r w:rsidR="00ED2F29">
        <w:rPr>
          <w:rFonts w:ascii="Times New Roman" w:hAnsi="Times New Roman"/>
          <w:lang w:val="pt-BR"/>
        </w:rPr>
        <w:t>denominados B</w:t>
      </w:r>
      <w:r w:rsidR="00B13179">
        <w:rPr>
          <w:rFonts w:ascii="Times New Roman" w:hAnsi="Times New Roman"/>
          <w:lang w:val="pt-BR"/>
        </w:rPr>
        <w:t>30</w:t>
      </w:r>
      <w:r w:rsidR="00ED2F29">
        <w:rPr>
          <w:rFonts w:ascii="Times New Roman" w:hAnsi="Times New Roman"/>
          <w:lang w:val="pt-BR"/>
        </w:rPr>
        <w:t>-Pt (Si/Al=</w:t>
      </w:r>
      <w:r w:rsidR="00B13179">
        <w:rPr>
          <w:rFonts w:ascii="Times New Roman" w:hAnsi="Times New Roman"/>
          <w:lang w:val="pt-BR"/>
        </w:rPr>
        <w:t>30</w:t>
      </w:r>
      <w:r w:rsidR="00ED2F29">
        <w:rPr>
          <w:rFonts w:ascii="Times New Roman" w:hAnsi="Times New Roman"/>
          <w:lang w:val="pt-BR"/>
        </w:rPr>
        <w:t>), B</w:t>
      </w:r>
      <w:r w:rsidR="00B13179">
        <w:rPr>
          <w:rFonts w:ascii="Times New Roman" w:hAnsi="Times New Roman"/>
          <w:lang w:val="pt-BR"/>
        </w:rPr>
        <w:t>60</w:t>
      </w:r>
      <w:r w:rsidR="00ED2F29">
        <w:rPr>
          <w:rFonts w:ascii="Times New Roman" w:hAnsi="Times New Roman"/>
          <w:lang w:val="pt-BR"/>
        </w:rPr>
        <w:t>-Pt (Si/Al=</w:t>
      </w:r>
      <w:r w:rsidR="00B13179">
        <w:rPr>
          <w:rFonts w:ascii="Times New Roman" w:hAnsi="Times New Roman"/>
          <w:lang w:val="pt-BR"/>
        </w:rPr>
        <w:t>60</w:t>
      </w:r>
      <w:r w:rsidR="00ED2F29">
        <w:rPr>
          <w:rFonts w:ascii="Times New Roman" w:hAnsi="Times New Roman"/>
          <w:lang w:val="pt-BR"/>
        </w:rPr>
        <w:t xml:space="preserve"> e B</w:t>
      </w:r>
      <w:r w:rsidR="00B13179">
        <w:rPr>
          <w:rFonts w:ascii="Times New Roman" w:hAnsi="Times New Roman"/>
          <w:lang w:val="pt-BR"/>
        </w:rPr>
        <w:t>90</w:t>
      </w:r>
      <w:r w:rsidR="00ED2F29">
        <w:rPr>
          <w:rFonts w:ascii="Times New Roman" w:hAnsi="Times New Roman"/>
          <w:lang w:val="pt-BR"/>
        </w:rPr>
        <w:t>-Pt (Si/Al=</w:t>
      </w:r>
      <w:r w:rsidR="00B13179">
        <w:rPr>
          <w:rFonts w:ascii="Times New Roman" w:hAnsi="Times New Roman"/>
          <w:lang w:val="pt-BR"/>
        </w:rPr>
        <w:t>90</w:t>
      </w:r>
      <w:r w:rsidR="00ED2F29">
        <w:rPr>
          <w:rFonts w:ascii="Times New Roman" w:hAnsi="Times New Roman"/>
          <w:lang w:val="pt-BR"/>
        </w:rPr>
        <w:t xml:space="preserve">). </w:t>
      </w:r>
    </w:p>
    <w:p w14:paraId="7E4C9CB0" w14:textId="1A17C8F9" w:rsidR="0039068D" w:rsidRPr="00781BFB" w:rsidRDefault="0039068D" w:rsidP="0039068D">
      <w:pPr>
        <w:pStyle w:val="TAMainText"/>
        <w:ind w:firstLine="0"/>
        <w:rPr>
          <w:rFonts w:ascii="Times New Roman" w:hAnsi="Times New Roman"/>
          <w:lang w:val="pt-BR"/>
        </w:rPr>
      </w:pPr>
      <w:r w:rsidRPr="00781BFB">
        <w:rPr>
          <w:rFonts w:ascii="Times New Roman" w:hAnsi="Times New Roman"/>
          <w:i/>
          <w:lang w:val="pt-BR"/>
        </w:rPr>
        <w:t>Caracterização dos catalisadores</w:t>
      </w:r>
    </w:p>
    <w:p w14:paraId="1200F72F" w14:textId="56908435" w:rsidR="00C26B49" w:rsidRDefault="003E2C52" w:rsidP="00B10CF7">
      <w:pPr>
        <w:pStyle w:val="TAMainText"/>
        <w:rPr>
          <w:rFonts w:ascii="Times New Roman" w:hAnsi="Times New Roman"/>
          <w:lang w:val="pt-BR"/>
        </w:rPr>
      </w:pPr>
      <w:r w:rsidRPr="002F18C6">
        <w:rPr>
          <w:rFonts w:ascii="Times New Roman" w:hAnsi="Times New Roman"/>
          <w:lang w:val="pt-BR"/>
        </w:rPr>
        <w:t>Os</w:t>
      </w:r>
      <w:r w:rsidR="00C5468D">
        <w:rPr>
          <w:rFonts w:ascii="Times New Roman" w:hAnsi="Times New Roman"/>
          <w:lang w:val="pt-BR"/>
        </w:rPr>
        <w:t xml:space="preserve"> </w:t>
      </w:r>
      <w:r w:rsidRPr="002F18C6">
        <w:rPr>
          <w:rFonts w:ascii="Times New Roman" w:hAnsi="Times New Roman"/>
          <w:lang w:val="pt-BR"/>
        </w:rPr>
        <w:t xml:space="preserve">catalisadores foram caracterizados por difração </w:t>
      </w:r>
      <w:r w:rsidRPr="00781BFB">
        <w:rPr>
          <w:rFonts w:ascii="Times New Roman" w:hAnsi="Times New Roman"/>
          <w:lang w:val="pt-BR"/>
        </w:rPr>
        <w:t>de raios X (DRX), ressonância magnética nuclear</w:t>
      </w:r>
      <w:r w:rsidR="00D923E3" w:rsidRPr="00781BFB">
        <w:rPr>
          <w:rFonts w:ascii="Times New Roman" w:hAnsi="Times New Roman"/>
          <w:lang w:val="pt-BR"/>
        </w:rPr>
        <w:t xml:space="preserve"> (RMN)</w:t>
      </w:r>
      <w:r w:rsidRPr="00781BFB">
        <w:rPr>
          <w:rFonts w:ascii="Times New Roman" w:hAnsi="Times New Roman"/>
          <w:lang w:val="pt-BR"/>
        </w:rPr>
        <w:t xml:space="preserve">, redução </w:t>
      </w:r>
      <w:r w:rsidR="00D56924">
        <w:rPr>
          <w:rFonts w:ascii="Times New Roman" w:hAnsi="Times New Roman"/>
          <w:lang w:val="pt-BR"/>
        </w:rPr>
        <w:t xml:space="preserve">à </w:t>
      </w:r>
      <w:r w:rsidRPr="00781BFB">
        <w:rPr>
          <w:rFonts w:ascii="Times New Roman" w:hAnsi="Times New Roman"/>
          <w:lang w:val="pt-BR"/>
        </w:rPr>
        <w:t>temperatura programada (TPR) e medidas de acidez por dessorção de amônia por temperatura programada</w:t>
      </w:r>
      <w:r w:rsidR="00D923E3" w:rsidRPr="00781BFB">
        <w:rPr>
          <w:rFonts w:ascii="Times New Roman" w:hAnsi="Times New Roman"/>
          <w:lang w:val="pt-BR"/>
        </w:rPr>
        <w:t xml:space="preserve"> (NH</w:t>
      </w:r>
      <w:r w:rsidR="00D923E3" w:rsidRPr="00781BFB">
        <w:rPr>
          <w:rFonts w:ascii="Times New Roman" w:hAnsi="Times New Roman"/>
          <w:vertAlign w:val="subscript"/>
          <w:lang w:val="pt-BR"/>
        </w:rPr>
        <w:t>3</w:t>
      </w:r>
      <w:r w:rsidR="00D923E3" w:rsidRPr="00781BFB">
        <w:rPr>
          <w:rFonts w:ascii="Times New Roman" w:hAnsi="Times New Roman"/>
          <w:lang w:val="pt-BR"/>
        </w:rPr>
        <w:t>-TPD)</w:t>
      </w:r>
      <w:r w:rsidRPr="00781BFB">
        <w:rPr>
          <w:rFonts w:ascii="Times New Roman" w:hAnsi="Times New Roman"/>
          <w:lang w:val="pt-BR"/>
        </w:rPr>
        <w:t xml:space="preserve">. </w:t>
      </w:r>
    </w:p>
    <w:p w14:paraId="034574E3" w14:textId="32B58193" w:rsidR="00C26B49" w:rsidRDefault="00C26B49" w:rsidP="00C26B49">
      <w:pPr>
        <w:pStyle w:val="TAMainText"/>
        <w:ind w:firstLine="0"/>
        <w:rPr>
          <w:rFonts w:ascii="Times New Roman" w:hAnsi="Times New Roman"/>
          <w:lang w:val="pt-BR"/>
        </w:rPr>
      </w:pPr>
      <w:r>
        <w:rPr>
          <w:rFonts w:ascii="Times New Roman" w:hAnsi="Times New Roman"/>
          <w:i/>
          <w:lang w:val="pt-BR"/>
        </w:rPr>
        <w:t xml:space="preserve">Estudo termocinético </w:t>
      </w:r>
    </w:p>
    <w:p w14:paraId="495E7EA1" w14:textId="6BC1FCA7" w:rsidR="00C26B49" w:rsidRPr="00D43053" w:rsidRDefault="001A4670" w:rsidP="001A4670">
      <w:pPr>
        <w:pStyle w:val="TAMainText"/>
        <w:rPr>
          <w:rFonts w:ascii="Times New Roman" w:hAnsi="Times New Roman"/>
          <w:lang w:val="pt-BR"/>
        </w:rPr>
      </w:pPr>
      <w:r w:rsidRPr="00476764">
        <w:rPr>
          <w:rFonts w:ascii="Times New Roman" w:hAnsi="Times New Roman"/>
          <w:lang w:val="pt-BR"/>
        </w:rPr>
        <w:t>As pirólises catalíticas e não-catalítica foram realizadas em equipamento TGA Q50 (V6.7 Build 203, Universal) utilizando cerca de 7,0 mg de amostra. O forno foi aquecido de 25 °C a 900 °C em taxas de aquecimento (β) de 5, 10, 15 e 20 °C min</w:t>
      </w:r>
      <w:r w:rsidRPr="00476764">
        <w:rPr>
          <w:rFonts w:ascii="Times New Roman" w:hAnsi="Times New Roman"/>
          <w:vertAlign w:val="superscript"/>
          <w:lang w:val="pt-BR"/>
        </w:rPr>
        <w:t>-1</w:t>
      </w:r>
      <w:r w:rsidRPr="00476764">
        <w:rPr>
          <w:rFonts w:ascii="Times New Roman" w:hAnsi="Times New Roman"/>
          <w:lang w:val="pt-BR"/>
        </w:rPr>
        <w:t xml:space="preserve"> sob fluxo de </w:t>
      </w:r>
      <w:r w:rsidR="00606375">
        <w:rPr>
          <w:rFonts w:ascii="Times New Roman" w:hAnsi="Times New Roman"/>
          <w:lang w:val="pt-BR"/>
        </w:rPr>
        <w:t>N</w:t>
      </w:r>
      <w:r w:rsidR="00606375" w:rsidRPr="00606375">
        <w:rPr>
          <w:rFonts w:ascii="Times New Roman" w:hAnsi="Times New Roman"/>
          <w:vertAlign w:val="subscript"/>
          <w:lang w:val="pt-BR"/>
        </w:rPr>
        <w:t>2</w:t>
      </w:r>
      <w:r w:rsidRPr="00476764">
        <w:rPr>
          <w:rFonts w:ascii="Times New Roman" w:hAnsi="Times New Roman"/>
          <w:lang w:val="pt-BR"/>
        </w:rPr>
        <w:t xml:space="preserve"> (60 mL min</w:t>
      </w:r>
      <w:r w:rsidRPr="00476764">
        <w:rPr>
          <w:rFonts w:ascii="Times New Roman" w:hAnsi="Times New Roman"/>
          <w:vertAlign w:val="superscript"/>
          <w:lang w:val="pt-BR"/>
        </w:rPr>
        <w:t>-1</w:t>
      </w:r>
      <w:r w:rsidRPr="00476764">
        <w:rPr>
          <w:rFonts w:ascii="Times New Roman" w:hAnsi="Times New Roman"/>
          <w:lang w:val="pt-BR"/>
        </w:rPr>
        <w:t>). Os parâmetros termocinéticos foram determinados pelos métodos isoconversionais, não-isotérmicos de Flynn-Wall-Ozawa (FWO), Kissinger-Akahira-Sunose (KAS) e Friedman.</w:t>
      </w:r>
      <w:r>
        <w:rPr>
          <w:rFonts w:ascii="Times New Roman" w:hAnsi="Times New Roman"/>
          <w:lang w:val="pt-BR"/>
        </w:rPr>
        <w:t xml:space="preserve"> </w:t>
      </w:r>
      <w:r w:rsidR="00606649">
        <w:rPr>
          <w:rFonts w:ascii="Times New Roman" w:hAnsi="Times New Roman"/>
          <w:lang w:val="pt-BR"/>
        </w:rPr>
        <w:t>Na p</w:t>
      </w:r>
      <w:r w:rsidR="00D918A8" w:rsidRPr="00C3533B">
        <w:rPr>
          <w:rFonts w:ascii="Times New Roman" w:hAnsi="Times New Roman"/>
          <w:lang w:val="pt-BR"/>
        </w:rPr>
        <w:t>irólise catalítica, o</w:t>
      </w:r>
      <w:r w:rsidR="00C26B49" w:rsidRPr="00C3533B">
        <w:rPr>
          <w:rFonts w:ascii="Times New Roman" w:hAnsi="Times New Roman"/>
          <w:lang w:val="pt-BR"/>
        </w:rPr>
        <w:t xml:space="preserve"> r</w:t>
      </w:r>
      <w:r w:rsidR="003E2C52" w:rsidRPr="00C3533B">
        <w:rPr>
          <w:rFonts w:ascii="Times New Roman" w:hAnsi="Times New Roman"/>
          <w:lang w:val="pt-BR"/>
        </w:rPr>
        <w:t>esíduo de MDF f</w:t>
      </w:r>
      <w:r w:rsidR="00C26B49" w:rsidRPr="00C3533B">
        <w:rPr>
          <w:rFonts w:ascii="Times New Roman" w:hAnsi="Times New Roman"/>
          <w:lang w:val="pt-BR"/>
        </w:rPr>
        <w:t>oi</w:t>
      </w:r>
      <w:r w:rsidR="003E2C52" w:rsidRPr="00C3533B">
        <w:rPr>
          <w:rFonts w:ascii="Times New Roman" w:hAnsi="Times New Roman"/>
          <w:lang w:val="pt-BR"/>
        </w:rPr>
        <w:t xml:space="preserve"> misturado ao </w:t>
      </w:r>
      <w:r w:rsidR="003E2C52" w:rsidRPr="00144AC5">
        <w:rPr>
          <w:rFonts w:ascii="Times New Roman" w:hAnsi="Times New Roman"/>
          <w:lang w:val="pt-BR"/>
        </w:rPr>
        <w:t>catalisador na proporção de 1/0,2 (biomassa/catalisador).</w:t>
      </w:r>
      <w:r w:rsidR="00525331" w:rsidRPr="00144AC5">
        <w:rPr>
          <w:rFonts w:ascii="Times New Roman" w:hAnsi="Times New Roman"/>
          <w:lang w:val="pt-BR"/>
        </w:rPr>
        <w:t xml:space="preserve"> </w:t>
      </w:r>
      <w:r w:rsidR="00525331" w:rsidRPr="00D43053">
        <w:rPr>
          <w:rFonts w:ascii="Times New Roman" w:hAnsi="Times New Roman"/>
          <w:lang w:val="pt-BR"/>
        </w:rPr>
        <w:t>A</w:t>
      </w:r>
      <w:r w:rsidR="00D123AF" w:rsidRPr="00D43053">
        <w:rPr>
          <w:rFonts w:ascii="Times New Roman" w:hAnsi="Times New Roman"/>
          <w:lang w:val="pt-BR"/>
        </w:rPr>
        <w:t>s</w:t>
      </w:r>
      <w:r w:rsidR="00525331" w:rsidRPr="00D43053">
        <w:rPr>
          <w:rFonts w:ascii="Times New Roman" w:hAnsi="Times New Roman"/>
          <w:lang w:val="pt-BR"/>
        </w:rPr>
        <w:t xml:space="preserve"> mistura</w:t>
      </w:r>
      <w:r w:rsidR="00D123AF" w:rsidRPr="00D43053">
        <w:rPr>
          <w:rFonts w:ascii="Times New Roman" w:hAnsi="Times New Roman"/>
          <w:lang w:val="pt-BR"/>
        </w:rPr>
        <w:t>s</w:t>
      </w:r>
      <w:r w:rsidR="00F24799" w:rsidRPr="00D43053">
        <w:rPr>
          <w:rFonts w:ascii="Times New Roman" w:hAnsi="Times New Roman"/>
          <w:lang w:val="pt-BR"/>
        </w:rPr>
        <w:t xml:space="preserve"> foram denominadas </w:t>
      </w:r>
      <w:r w:rsidR="00212876" w:rsidRPr="00D43053">
        <w:rPr>
          <w:rFonts w:ascii="Times New Roman" w:hAnsi="Times New Roman"/>
          <w:lang w:val="pt-BR"/>
        </w:rPr>
        <w:t>MB</w:t>
      </w:r>
      <w:r w:rsidR="00D43053" w:rsidRPr="00D43053">
        <w:rPr>
          <w:rFonts w:ascii="Times New Roman" w:hAnsi="Times New Roman"/>
          <w:lang w:val="pt-BR"/>
        </w:rPr>
        <w:t>30</w:t>
      </w:r>
      <w:r w:rsidR="00212876" w:rsidRPr="00D43053">
        <w:rPr>
          <w:rFonts w:ascii="Times New Roman" w:hAnsi="Times New Roman"/>
          <w:lang w:val="pt-BR"/>
        </w:rPr>
        <w:t xml:space="preserve"> </w:t>
      </w:r>
      <w:r w:rsidR="00B01C6B" w:rsidRPr="00D43053">
        <w:rPr>
          <w:rFonts w:ascii="Times New Roman" w:hAnsi="Times New Roman"/>
          <w:lang w:val="pt-BR"/>
        </w:rPr>
        <w:t>(</w:t>
      </w:r>
      <w:r w:rsidR="00437C23" w:rsidRPr="00D43053">
        <w:rPr>
          <w:rFonts w:ascii="Times New Roman" w:hAnsi="Times New Roman"/>
          <w:lang w:val="pt-BR"/>
        </w:rPr>
        <w:t>MDF</w:t>
      </w:r>
      <w:r w:rsidR="00B01C6B" w:rsidRPr="00D43053">
        <w:rPr>
          <w:rFonts w:ascii="Times New Roman" w:hAnsi="Times New Roman"/>
          <w:lang w:val="pt-BR"/>
        </w:rPr>
        <w:t>/</w:t>
      </w:r>
      <w:r w:rsidR="00D43053" w:rsidRPr="00D43053">
        <w:rPr>
          <w:rFonts w:ascii="Times New Roman" w:hAnsi="Times New Roman"/>
          <w:lang w:val="pt-BR"/>
        </w:rPr>
        <w:t>B30</w:t>
      </w:r>
      <w:r w:rsidR="00B01C6B" w:rsidRPr="00D43053">
        <w:rPr>
          <w:rFonts w:ascii="Times New Roman" w:hAnsi="Times New Roman"/>
          <w:lang w:val="pt-BR"/>
        </w:rPr>
        <w:t>) e</w:t>
      </w:r>
      <w:r w:rsidR="00212876" w:rsidRPr="00D43053">
        <w:rPr>
          <w:rFonts w:ascii="Times New Roman" w:hAnsi="Times New Roman"/>
          <w:lang w:val="pt-BR"/>
        </w:rPr>
        <w:t xml:space="preserve"> MB</w:t>
      </w:r>
      <w:r w:rsidR="00D43053" w:rsidRPr="00D43053">
        <w:rPr>
          <w:rFonts w:ascii="Times New Roman" w:hAnsi="Times New Roman"/>
          <w:lang w:val="pt-BR"/>
        </w:rPr>
        <w:t>30-Pt</w:t>
      </w:r>
      <w:r w:rsidR="00212876" w:rsidRPr="00D43053">
        <w:rPr>
          <w:rFonts w:ascii="Times New Roman" w:hAnsi="Times New Roman"/>
          <w:lang w:val="pt-BR"/>
        </w:rPr>
        <w:t xml:space="preserve"> </w:t>
      </w:r>
      <w:r w:rsidR="00B01C6B" w:rsidRPr="00D43053">
        <w:rPr>
          <w:rFonts w:ascii="Times New Roman" w:hAnsi="Times New Roman"/>
          <w:lang w:val="pt-BR"/>
        </w:rPr>
        <w:t>(</w:t>
      </w:r>
      <w:r w:rsidR="00437C23" w:rsidRPr="00D43053">
        <w:rPr>
          <w:rFonts w:ascii="Times New Roman" w:hAnsi="Times New Roman"/>
          <w:lang w:val="pt-BR"/>
        </w:rPr>
        <w:t>MDF</w:t>
      </w:r>
      <w:r w:rsidR="00B01C6B" w:rsidRPr="00D43053">
        <w:rPr>
          <w:rFonts w:ascii="Times New Roman" w:hAnsi="Times New Roman"/>
          <w:lang w:val="pt-BR"/>
        </w:rPr>
        <w:t>/</w:t>
      </w:r>
      <w:r w:rsidR="00D43053" w:rsidRPr="00D43053">
        <w:rPr>
          <w:rFonts w:ascii="Times New Roman" w:hAnsi="Times New Roman"/>
          <w:lang w:val="pt-BR"/>
        </w:rPr>
        <w:t>B30-Pt</w:t>
      </w:r>
      <w:r w:rsidR="00B01C6B" w:rsidRPr="00D43053">
        <w:rPr>
          <w:rFonts w:ascii="Times New Roman" w:hAnsi="Times New Roman"/>
          <w:lang w:val="pt-BR"/>
        </w:rPr>
        <w:t>)</w:t>
      </w:r>
      <w:r w:rsidR="00DF6632" w:rsidRPr="00D43053">
        <w:rPr>
          <w:rFonts w:ascii="Times New Roman" w:hAnsi="Times New Roman"/>
          <w:lang w:val="pt-BR"/>
        </w:rPr>
        <w:t>.</w:t>
      </w:r>
      <w:r w:rsidR="00C26B49" w:rsidRPr="00D43053">
        <w:rPr>
          <w:rFonts w:ascii="Times New Roman" w:hAnsi="Times New Roman"/>
          <w:lang w:val="pt-BR"/>
        </w:rPr>
        <w:t xml:space="preserve"> </w:t>
      </w:r>
    </w:p>
    <w:p w14:paraId="136BD1AC" w14:textId="731A63B1" w:rsidR="00EA4E1B" w:rsidRPr="00781BFB" w:rsidRDefault="00EA4E1B" w:rsidP="00EA4E1B">
      <w:pPr>
        <w:pStyle w:val="Ttulo2"/>
        <w:rPr>
          <w:rFonts w:ascii="Helvetica" w:hAnsi="Helvetica" w:cs="Helvetica"/>
          <w:sz w:val="24"/>
          <w:szCs w:val="24"/>
        </w:rPr>
      </w:pPr>
      <w:r w:rsidRPr="00781BFB">
        <w:rPr>
          <w:rFonts w:ascii="Helvetica" w:hAnsi="Helvetica" w:cs="Helvetica"/>
          <w:sz w:val="24"/>
          <w:szCs w:val="24"/>
        </w:rPr>
        <w:t>Resultados e Discussão</w:t>
      </w:r>
    </w:p>
    <w:p w14:paraId="42BCB3E1" w14:textId="0BCBB06B" w:rsidR="007B12C5" w:rsidRDefault="007B12C5" w:rsidP="007B12C5">
      <w:pPr>
        <w:pStyle w:val="TAMainText"/>
        <w:ind w:firstLine="0"/>
        <w:rPr>
          <w:rFonts w:ascii="Times New Roman" w:hAnsi="Times New Roman"/>
          <w:lang w:val="pt-BR"/>
        </w:rPr>
      </w:pPr>
      <w:r w:rsidRPr="00781BFB">
        <w:rPr>
          <w:rFonts w:ascii="Times New Roman" w:hAnsi="Times New Roman"/>
          <w:i/>
          <w:lang w:val="pt-BR"/>
        </w:rPr>
        <w:t>Caracterização dos catalisadores</w:t>
      </w:r>
    </w:p>
    <w:p w14:paraId="6E329E22" w14:textId="6A2507E1" w:rsidR="00E11167" w:rsidRPr="001C3397" w:rsidRDefault="00B874CC" w:rsidP="001C3397">
      <w:pPr>
        <w:pStyle w:val="TAMainText"/>
        <w:ind w:firstLine="187"/>
        <w:rPr>
          <w:rFonts w:ascii="Times New Roman" w:hAnsi="Times New Roman"/>
          <w:lang w:val="pt-BR"/>
        </w:rPr>
      </w:pPr>
      <w:r w:rsidRPr="00144AC5">
        <w:rPr>
          <w:rFonts w:ascii="Times New Roman" w:hAnsi="Times New Roman"/>
          <w:lang w:val="pt-BR"/>
        </w:rPr>
        <w:t xml:space="preserve">Os padrões de DRX dos catalisadores </w:t>
      </w:r>
      <w:r w:rsidR="00606649">
        <w:rPr>
          <w:rFonts w:ascii="Times New Roman" w:hAnsi="Times New Roman"/>
          <w:lang w:val="pt-BR"/>
        </w:rPr>
        <w:t xml:space="preserve">(não apresentados) </w:t>
      </w:r>
      <w:r w:rsidRPr="00144AC5">
        <w:rPr>
          <w:rFonts w:ascii="Times New Roman" w:hAnsi="Times New Roman"/>
          <w:lang w:val="pt-BR"/>
        </w:rPr>
        <w:t xml:space="preserve">mostraram perfis típicos da zeólita beta, independente da presença </w:t>
      </w:r>
      <w:r w:rsidR="003529F8">
        <w:rPr>
          <w:rFonts w:ascii="Times New Roman" w:hAnsi="Times New Roman"/>
          <w:lang w:val="pt-BR"/>
        </w:rPr>
        <w:t>da Pt</w:t>
      </w:r>
      <w:r w:rsidRPr="00144AC5">
        <w:rPr>
          <w:rFonts w:ascii="Times New Roman" w:hAnsi="Times New Roman"/>
          <w:lang w:val="pt-BR"/>
        </w:rPr>
        <w:t xml:space="preserve"> e</w:t>
      </w:r>
      <w:r w:rsidR="0032692F" w:rsidRPr="00144AC5">
        <w:rPr>
          <w:rFonts w:ascii="Times New Roman" w:hAnsi="Times New Roman"/>
          <w:lang w:val="pt-BR"/>
        </w:rPr>
        <w:t xml:space="preserve">/ou </w:t>
      </w:r>
      <w:r w:rsidR="00773079" w:rsidRPr="00144AC5">
        <w:rPr>
          <w:rFonts w:ascii="Times New Roman" w:hAnsi="Times New Roman"/>
          <w:lang w:val="pt-BR"/>
        </w:rPr>
        <w:t>razão Si/Al.</w:t>
      </w:r>
      <w:r w:rsidRPr="00144AC5">
        <w:rPr>
          <w:rFonts w:ascii="Times New Roman" w:hAnsi="Times New Roman"/>
          <w:lang w:val="pt-BR"/>
        </w:rPr>
        <w:t xml:space="preserve"> </w:t>
      </w:r>
    </w:p>
    <w:p w14:paraId="51AD5AC9" w14:textId="55035F1F" w:rsidR="0054092F" w:rsidRDefault="00E1521F" w:rsidP="0054092F">
      <w:pPr>
        <w:pStyle w:val="TAMainText"/>
        <w:ind w:firstLine="187"/>
        <w:rPr>
          <w:rFonts w:ascii="Times New Roman" w:hAnsi="Times New Roman"/>
          <w:lang w:val="pt-BR"/>
        </w:rPr>
      </w:pPr>
      <w:r w:rsidRPr="00476764">
        <w:rPr>
          <w:rFonts w:ascii="Times New Roman" w:hAnsi="Times New Roman"/>
          <w:lang w:val="pt-BR"/>
        </w:rPr>
        <w:t xml:space="preserve">Os perfis de </w:t>
      </w:r>
      <w:r w:rsidR="001F1189" w:rsidRPr="00476764">
        <w:rPr>
          <w:rFonts w:ascii="Times New Roman" w:hAnsi="Times New Roman"/>
          <w:lang w:val="pt-BR"/>
        </w:rPr>
        <w:t>NH</w:t>
      </w:r>
      <w:r w:rsidR="001F1189" w:rsidRPr="00476764">
        <w:rPr>
          <w:rFonts w:ascii="Times New Roman" w:hAnsi="Times New Roman"/>
          <w:vertAlign w:val="subscript"/>
          <w:lang w:val="pt-BR"/>
        </w:rPr>
        <w:t>3</w:t>
      </w:r>
      <w:r w:rsidR="001F1189" w:rsidRPr="001F1189">
        <w:rPr>
          <w:rFonts w:ascii="Times New Roman" w:hAnsi="Times New Roman"/>
          <w:lang w:val="pt-BR"/>
        </w:rPr>
        <w:t>-</w:t>
      </w:r>
      <w:r w:rsidRPr="00476764">
        <w:rPr>
          <w:rFonts w:ascii="Times New Roman" w:hAnsi="Times New Roman"/>
          <w:lang w:val="pt-BR"/>
        </w:rPr>
        <w:t xml:space="preserve">TPD </w:t>
      </w:r>
      <w:r w:rsidR="008C668B" w:rsidRPr="00476764">
        <w:rPr>
          <w:rFonts w:ascii="Times New Roman" w:hAnsi="Times New Roman"/>
          <w:lang w:val="pt-BR"/>
        </w:rPr>
        <w:t>são a</w:t>
      </w:r>
      <w:r w:rsidR="0055244D" w:rsidRPr="00476764">
        <w:rPr>
          <w:rFonts w:ascii="Times New Roman" w:hAnsi="Times New Roman"/>
          <w:lang w:val="pt-BR"/>
        </w:rPr>
        <w:t xml:space="preserve">presentados na </w:t>
      </w:r>
      <w:r w:rsidR="0055244D" w:rsidRPr="00B10CF7">
        <w:rPr>
          <w:rFonts w:ascii="Times New Roman" w:hAnsi="Times New Roman"/>
          <w:lang w:val="pt-BR"/>
        </w:rPr>
        <w:t>Figura 1</w:t>
      </w:r>
      <w:r w:rsidR="001C3397">
        <w:rPr>
          <w:rFonts w:ascii="Times New Roman" w:hAnsi="Times New Roman"/>
          <w:lang w:val="pt-BR"/>
        </w:rPr>
        <w:t xml:space="preserve">. </w:t>
      </w:r>
      <w:r w:rsidR="00E001AB" w:rsidRPr="00476764">
        <w:rPr>
          <w:rFonts w:ascii="Times New Roman" w:hAnsi="Times New Roman"/>
          <w:lang w:val="pt-BR"/>
        </w:rPr>
        <w:t xml:space="preserve">A </w:t>
      </w:r>
      <w:r w:rsidR="00B874CC" w:rsidRPr="00476764">
        <w:rPr>
          <w:rFonts w:ascii="Times New Roman" w:hAnsi="Times New Roman"/>
          <w:lang w:val="pt-BR"/>
        </w:rPr>
        <w:t>acidez diminuiu com o aumento d</w:t>
      </w:r>
      <w:r w:rsidR="00E001AB" w:rsidRPr="00476764">
        <w:rPr>
          <w:rFonts w:ascii="Times New Roman" w:hAnsi="Times New Roman"/>
          <w:lang w:val="pt-BR"/>
        </w:rPr>
        <w:t>a razão Si/Al, como  esperado.</w:t>
      </w:r>
      <w:r w:rsidR="0045629E" w:rsidRPr="00476764">
        <w:rPr>
          <w:rFonts w:ascii="Times New Roman" w:hAnsi="Times New Roman"/>
          <w:lang w:val="pt-BR"/>
        </w:rPr>
        <w:t xml:space="preserve"> </w:t>
      </w:r>
      <w:r w:rsidR="001C3397">
        <w:rPr>
          <w:rFonts w:ascii="Times New Roman" w:hAnsi="Times New Roman"/>
          <w:lang w:val="pt-BR"/>
        </w:rPr>
        <w:t xml:space="preserve">Conforme pode ser visto na </w:t>
      </w:r>
      <w:r w:rsidR="001C3397" w:rsidRPr="00B10CF7">
        <w:rPr>
          <w:rFonts w:ascii="Times New Roman" w:hAnsi="Times New Roman"/>
          <w:lang w:val="pt-BR"/>
        </w:rPr>
        <w:t>Tabela 1,</w:t>
      </w:r>
      <w:r w:rsidR="001C3397">
        <w:rPr>
          <w:rFonts w:ascii="Times New Roman" w:hAnsi="Times New Roman"/>
          <w:lang w:val="pt-BR"/>
        </w:rPr>
        <w:t xml:space="preserve"> a</w:t>
      </w:r>
      <w:r w:rsidR="0045629E" w:rsidRPr="00476764">
        <w:rPr>
          <w:rFonts w:ascii="Times New Roman" w:hAnsi="Times New Roman"/>
          <w:lang w:val="pt-BR"/>
        </w:rPr>
        <w:t xml:space="preserve"> </w:t>
      </w:r>
      <w:r w:rsidR="00645436">
        <w:rPr>
          <w:rFonts w:ascii="Times New Roman" w:hAnsi="Times New Roman"/>
          <w:lang w:val="pt-BR"/>
        </w:rPr>
        <w:t>Pt</w:t>
      </w:r>
      <w:r w:rsidR="0045629E" w:rsidRPr="00476764">
        <w:rPr>
          <w:rFonts w:ascii="Times New Roman" w:hAnsi="Times New Roman"/>
          <w:lang w:val="pt-BR"/>
        </w:rPr>
        <w:t xml:space="preserve"> diminuiu a quantidade total de sítios ácidos</w:t>
      </w:r>
      <w:r w:rsidR="0045629E" w:rsidRPr="00645436">
        <w:rPr>
          <w:rFonts w:ascii="Times New Roman" w:hAnsi="Times New Roman"/>
          <w:color w:val="000000" w:themeColor="text1"/>
          <w:lang w:val="pt-BR"/>
        </w:rPr>
        <w:t xml:space="preserve">, bem como, a força ácida </w:t>
      </w:r>
      <w:r w:rsidR="00645436">
        <w:rPr>
          <w:rFonts w:ascii="Times New Roman" w:hAnsi="Times New Roman"/>
          <w:color w:val="000000" w:themeColor="text1"/>
          <w:lang w:val="pt-BR"/>
        </w:rPr>
        <w:t>do catalisador</w:t>
      </w:r>
      <w:r w:rsidR="0045629E" w:rsidRPr="00645436">
        <w:rPr>
          <w:rFonts w:ascii="Times New Roman" w:hAnsi="Times New Roman"/>
          <w:color w:val="000000" w:themeColor="text1"/>
          <w:lang w:val="pt-BR"/>
        </w:rPr>
        <w:t>.</w:t>
      </w:r>
      <w:r w:rsidR="00A37274" w:rsidRPr="00645436">
        <w:rPr>
          <w:rFonts w:ascii="Times New Roman" w:hAnsi="Times New Roman"/>
          <w:color w:val="000000" w:themeColor="text1"/>
          <w:lang w:val="pt-BR"/>
        </w:rPr>
        <w:t xml:space="preserve"> </w:t>
      </w:r>
      <w:r w:rsidR="00E001AB" w:rsidRPr="00645436">
        <w:rPr>
          <w:rFonts w:ascii="Times New Roman" w:hAnsi="Times New Roman"/>
          <w:color w:val="000000" w:themeColor="text1"/>
          <w:lang w:val="pt-BR"/>
        </w:rPr>
        <w:t>A</w:t>
      </w:r>
      <w:r w:rsidR="00E001AB" w:rsidRPr="00476764">
        <w:rPr>
          <w:rFonts w:ascii="Times New Roman" w:hAnsi="Times New Roman"/>
          <w:lang w:val="pt-BR"/>
        </w:rPr>
        <w:t xml:space="preserve"> quantidade total de sítios </w:t>
      </w:r>
      <w:r w:rsidR="000507BE" w:rsidRPr="00476764">
        <w:rPr>
          <w:rFonts w:ascii="Times New Roman" w:hAnsi="Times New Roman"/>
          <w:lang w:val="pt-BR"/>
        </w:rPr>
        <w:t>segu</w:t>
      </w:r>
      <w:r w:rsidR="0045629E" w:rsidRPr="00476764">
        <w:rPr>
          <w:rFonts w:ascii="Times New Roman" w:hAnsi="Times New Roman"/>
          <w:lang w:val="pt-BR"/>
        </w:rPr>
        <w:t xml:space="preserve">e </w:t>
      </w:r>
      <w:r w:rsidR="000507BE" w:rsidRPr="00476764">
        <w:rPr>
          <w:rFonts w:ascii="Times New Roman" w:hAnsi="Times New Roman"/>
          <w:lang w:val="pt-BR"/>
        </w:rPr>
        <w:t xml:space="preserve">a seguinte ordem: B30 &gt; </w:t>
      </w:r>
      <w:r w:rsidR="000B2267" w:rsidRPr="00476764">
        <w:rPr>
          <w:rFonts w:ascii="Times New Roman" w:hAnsi="Times New Roman"/>
          <w:lang w:val="pt-BR"/>
        </w:rPr>
        <w:t>B30-P</w:t>
      </w:r>
      <w:r w:rsidR="00E93A11" w:rsidRPr="00476764">
        <w:rPr>
          <w:rFonts w:ascii="Times New Roman" w:hAnsi="Times New Roman"/>
          <w:lang w:val="pt-BR"/>
        </w:rPr>
        <w:t>t</w:t>
      </w:r>
      <w:r w:rsidR="000B2267" w:rsidRPr="00476764">
        <w:rPr>
          <w:rFonts w:ascii="Times New Roman" w:hAnsi="Times New Roman"/>
          <w:lang w:val="pt-BR"/>
        </w:rPr>
        <w:t xml:space="preserve"> </w:t>
      </w:r>
      <w:r w:rsidR="008B78EC" w:rsidRPr="00476764">
        <w:rPr>
          <w:rFonts w:ascii="Times New Roman" w:hAnsi="Times New Roman"/>
          <w:lang w:val="pt-BR"/>
        </w:rPr>
        <w:t xml:space="preserve">&gt; </w:t>
      </w:r>
      <w:r w:rsidR="00361C71" w:rsidRPr="00476764">
        <w:rPr>
          <w:rFonts w:ascii="Times New Roman" w:hAnsi="Times New Roman"/>
          <w:lang w:val="pt-BR"/>
        </w:rPr>
        <w:t xml:space="preserve">B60 &gt; </w:t>
      </w:r>
      <w:r w:rsidR="008B78EC" w:rsidRPr="00476764">
        <w:rPr>
          <w:rFonts w:ascii="Times New Roman" w:hAnsi="Times New Roman"/>
          <w:lang w:val="pt-BR"/>
        </w:rPr>
        <w:t>B60-P</w:t>
      </w:r>
      <w:r w:rsidR="00E93A11" w:rsidRPr="00476764">
        <w:rPr>
          <w:rFonts w:ascii="Times New Roman" w:hAnsi="Times New Roman"/>
          <w:lang w:val="pt-BR"/>
        </w:rPr>
        <w:t>t</w:t>
      </w:r>
      <w:r w:rsidR="008B78EC" w:rsidRPr="00476764">
        <w:rPr>
          <w:rFonts w:ascii="Times New Roman" w:hAnsi="Times New Roman"/>
          <w:lang w:val="pt-BR"/>
        </w:rPr>
        <w:t xml:space="preserve"> &gt; </w:t>
      </w:r>
      <w:r w:rsidR="00361C71" w:rsidRPr="00476764">
        <w:rPr>
          <w:rFonts w:ascii="Times New Roman" w:hAnsi="Times New Roman"/>
          <w:lang w:val="pt-BR"/>
        </w:rPr>
        <w:t>B90</w:t>
      </w:r>
      <w:r w:rsidR="008B78EC" w:rsidRPr="00476764">
        <w:rPr>
          <w:rFonts w:ascii="Times New Roman" w:hAnsi="Times New Roman"/>
          <w:lang w:val="pt-BR"/>
        </w:rPr>
        <w:t xml:space="preserve"> &gt; B90-Pt</w:t>
      </w:r>
      <w:r w:rsidR="001F7227" w:rsidRPr="00476764">
        <w:rPr>
          <w:rFonts w:ascii="Times New Roman" w:hAnsi="Times New Roman"/>
          <w:lang w:val="pt-BR"/>
        </w:rPr>
        <w:t>.</w:t>
      </w:r>
      <w:r w:rsidR="001F7227" w:rsidRPr="00476764">
        <w:rPr>
          <w:rFonts w:cstheme="minorHAnsi"/>
          <w:color w:val="000000"/>
          <w:sz w:val="24"/>
          <w:szCs w:val="24"/>
          <w:lang w:val="pt-BR" w:eastAsia="es-CL"/>
        </w:rPr>
        <w:t xml:space="preserve"> </w:t>
      </w:r>
      <w:r w:rsidR="00BA6B16" w:rsidRPr="00476764">
        <w:rPr>
          <w:rFonts w:ascii="Times New Roman" w:hAnsi="Times New Roman"/>
          <w:lang w:val="pt-BR"/>
        </w:rPr>
        <w:t xml:space="preserve">De acordo com as curvas de </w:t>
      </w:r>
      <w:r w:rsidR="0045629E" w:rsidRPr="00476764">
        <w:rPr>
          <w:rFonts w:ascii="Times New Roman" w:hAnsi="Times New Roman"/>
          <w:lang w:val="pt-BR"/>
        </w:rPr>
        <w:t>TPD-</w:t>
      </w:r>
      <w:r w:rsidR="00BA6B16" w:rsidRPr="00476764">
        <w:rPr>
          <w:rFonts w:ascii="Times New Roman" w:hAnsi="Times New Roman"/>
          <w:lang w:val="pt-BR"/>
        </w:rPr>
        <w:t>NH</w:t>
      </w:r>
      <w:r w:rsidR="00BA6B16" w:rsidRPr="00476764">
        <w:rPr>
          <w:rFonts w:ascii="Times New Roman" w:hAnsi="Times New Roman"/>
          <w:vertAlign w:val="subscript"/>
          <w:lang w:val="pt-BR"/>
        </w:rPr>
        <w:t>3</w:t>
      </w:r>
      <w:r w:rsidR="005926C3" w:rsidRPr="00476764">
        <w:rPr>
          <w:rFonts w:ascii="Times New Roman" w:hAnsi="Times New Roman"/>
          <w:lang w:val="pt-BR"/>
        </w:rPr>
        <w:t>,</w:t>
      </w:r>
      <w:r w:rsidR="008D45D6" w:rsidRPr="00476764">
        <w:rPr>
          <w:rFonts w:ascii="Times New Roman" w:hAnsi="Times New Roman"/>
          <w:lang w:val="pt-BR"/>
        </w:rPr>
        <w:t xml:space="preserve"> </w:t>
      </w:r>
      <w:r w:rsidR="0045629E" w:rsidRPr="00476764">
        <w:rPr>
          <w:rFonts w:ascii="Times New Roman" w:hAnsi="Times New Roman"/>
          <w:lang w:val="pt-BR"/>
        </w:rPr>
        <w:t xml:space="preserve">os </w:t>
      </w:r>
      <w:r w:rsidR="008D45D6" w:rsidRPr="00476764">
        <w:rPr>
          <w:rFonts w:ascii="Times New Roman" w:hAnsi="Times New Roman"/>
          <w:lang w:val="pt-BR"/>
        </w:rPr>
        <w:t xml:space="preserve">catalisadores sem </w:t>
      </w:r>
      <w:r w:rsidR="00645436">
        <w:rPr>
          <w:rFonts w:ascii="Times New Roman" w:hAnsi="Times New Roman"/>
          <w:lang w:val="pt-BR"/>
        </w:rPr>
        <w:t>Pt</w:t>
      </w:r>
      <w:r w:rsidR="008D45D6" w:rsidRPr="00476764">
        <w:rPr>
          <w:rFonts w:ascii="Times New Roman" w:hAnsi="Times New Roman"/>
          <w:lang w:val="pt-BR"/>
        </w:rPr>
        <w:t xml:space="preserve"> </w:t>
      </w:r>
      <w:r w:rsidR="006E70A0" w:rsidRPr="00476764">
        <w:rPr>
          <w:rFonts w:ascii="Times New Roman" w:hAnsi="Times New Roman"/>
          <w:lang w:val="pt-BR"/>
        </w:rPr>
        <w:t>têm</w:t>
      </w:r>
      <w:r w:rsidR="008D45D6" w:rsidRPr="00476764">
        <w:rPr>
          <w:rFonts w:ascii="Times New Roman" w:hAnsi="Times New Roman"/>
          <w:lang w:val="pt-BR"/>
        </w:rPr>
        <w:t xml:space="preserve"> sítios ácidos for</w:t>
      </w:r>
      <w:r w:rsidR="005926C3" w:rsidRPr="00476764">
        <w:rPr>
          <w:rFonts w:ascii="Times New Roman" w:hAnsi="Times New Roman"/>
          <w:lang w:val="pt-BR"/>
        </w:rPr>
        <w:t>tes, moderados e fracos. Após a impregnação</w:t>
      </w:r>
      <w:r w:rsidR="00AB6A16">
        <w:rPr>
          <w:rFonts w:ascii="Times New Roman" w:hAnsi="Times New Roman"/>
          <w:lang w:val="pt-BR"/>
        </w:rPr>
        <w:t xml:space="preserve">, </w:t>
      </w:r>
      <w:r w:rsidR="00645436">
        <w:rPr>
          <w:rFonts w:ascii="Times New Roman" w:hAnsi="Times New Roman"/>
          <w:lang w:val="pt-BR"/>
        </w:rPr>
        <w:t>há uma</w:t>
      </w:r>
      <w:r w:rsidR="005926C3" w:rsidRPr="00476764">
        <w:rPr>
          <w:rFonts w:ascii="Times New Roman" w:hAnsi="Times New Roman"/>
          <w:lang w:val="pt-BR"/>
        </w:rPr>
        <w:t xml:space="preserve"> diminuição na </w:t>
      </w:r>
      <w:r w:rsidR="00DF761C">
        <w:rPr>
          <w:rFonts w:ascii="Times New Roman" w:hAnsi="Times New Roman"/>
          <w:lang w:val="pt-BR"/>
        </w:rPr>
        <w:t xml:space="preserve">quantidade </w:t>
      </w:r>
      <w:r w:rsidR="005926C3" w:rsidRPr="00476764">
        <w:rPr>
          <w:rFonts w:ascii="Times New Roman" w:hAnsi="Times New Roman"/>
          <w:lang w:val="pt-BR"/>
        </w:rPr>
        <w:t>de sítios, especialmente, fortes e moderados</w:t>
      </w:r>
      <w:r w:rsidR="00645436">
        <w:rPr>
          <w:rFonts w:ascii="Times New Roman" w:hAnsi="Times New Roman"/>
          <w:lang w:val="pt-BR"/>
        </w:rPr>
        <w:t>.</w:t>
      </w:r>
      <w:r w:rsidR="005926C3" w:rsidRPr="00476764">
        <w:rPr>
          <w:rFonts w:ascii="Times New Roman" w:hAnsi="Times New Roman"/>
          <w:lang w:val="pt-BR"/>
        </w:rPr>
        <w:t xml:space="preserve"> </w:t>
      </w:r>
      <w:r w:rsidR="00645436">
        <w:rPr>
          <w:rFonts w:ascii="Times New Roman" w:hAnsi="Times New Roman"/>
          <w:lang w:val="pt-BR"/>
        </w:rPr>
        <w:t xml:space="preserve">A </w:t>
      </w:r>
      <w:r w:rsidR="002F77FD" w:rsidRPr="00476764">
        <w:rPr>
          <w:rFonts w:ascii="Times New Roman" w:hAnsi="Times New Roman"/>
          <w:lang w:val="pt-BR"/>
        </w:rPr>
        <w:t>B30 pode ser considerad</w:t>
      </w:r>
      <w:r w:rsidR="00645436">
        <w:rPr>
          <w:rFonts w:ascii="Times New Roman" w:hAnsi="Times New Roman"/>
          <w:lang w:val="pt-BR"/>
        </w:rPr>
        <w:t>o</w:t>
      </w:r>
      <w:r w:rsidR="002F77FD" w:rsidRPr="00476764">
        <w:rPr>
          <w:rFonts w:ascii="Times New Roman" w:hAnsi="Times New Roman"/>
          <w:lang w:val="pt-BR"/>
        </w:rPr>
        <w:t xml:space="preserve"> </w:t>
      </w:r>
      <w:r w:rsidR="00645436">
        <w:rPr>
          <w:rFonts w:ascii="Times New Roman" w:hAnsi="Times New Roman"/>
          <w:lang w:val="pt-BR"/>
        </w:rPr>
        <w:t>o catalisador m</w:t>
      </w:r>
      <w:r w:rsidR="008C668B" w:rsidRPr="00476764">
        <w:rPr>
          <w:rFonts w:ascii="Times New Roman" w:hAnsi="Times New Roman"/>
          <w:lang w:val="pt-BR"/>
        </w:rPr>
        <w:t>ais ácid</w:t>
      </w:r>
      <w:r w:rsidR="00645436">
        <w:rPr>
          <w:rFonts w:ascii="Times New Roman" w:hAnsi="Times New Roman"/>
          <w:lang w:val="pt-BR"/>
        </w:rPr>
        <w:t>o</w:t>
      </w:r>
      <w:r w:rsidR="008C668B" w:rsidRPr="00476764">
        <w:rPr>
          <w:rFonts w:ascii="Times New Roman" w:hAnsi="Times New Roman"/>
          <w:lang w:val="pt-BR"/>
        </w:rPr>
        <w:t xml:space="preserve">, enquanto </w:t>
      </w:r>
      <w:r w:rsidR="002F77FD" w:rsidRPr="00476764">
        <w:rPr>
          <w:rFonts w:ascii="Times New Roman" w:hAnsi="Times New Roman"/>
          <w:lang w:val="pt-BR"/>
        </w:rPr>
        <w:t xml:space="preserve">a </w:t>
      </w:r>
      <w:r w:rsidR="00606649">
        <w:rPr>
          <w:rFonts w:ascii="Times New Roman" w:hAnsi="Times New Roman"/>
          <w:lang w:val="pt-BR"/>
        </w:rPr>
        <w:t xml:space="preserve">amostra </w:t>
      </w:r>
      <w:r w:rsidR="002F77FD" w:rsidRPr="00476764">
        <w:rPr>
          <w:rFonts w:ascii="Times New Roman" w:hAnsi="Times New Roman"/>
          <w:lang w:val="pt-BR"/>
        </w:rPr>
        <w:t xml:space="preserve">B90-Pt </w:t>
      </w:r>
      <w:r w:rsidR="00606649">
        <w:rPr>
          <w:rFonts w:ascii="Times New Roman" w:hAnsi="Times New Roman"/>
          <w:lang w:val="pt-BR"/>
        </w:rPr>
        <w:t xml:space="preserve">é o sólido </w:t>
      </w:r>
      <w:r w:rsidR="00630946">
        <w:rPr>
          <w:rFonts w:ascii="Times New Roman" w:hAnsi="Times New Roman"/>
          <w:lang w:val="pt-BR"/>
        </w:rPr>
        <w:t xml:space="preserve">com </w:t>
      </w:r>
      <w:r w:rsidR="00645436">
        <w:rPr>
          <w:rFonts w:ascii="Times New Roman" w:hAnsi="Times New Roman"/>
          <w:lang w:val="pt-BR"/>
        </w:rPr>
        <w:t>acidez</w:t>
      </w:r>
      <w:r w:rsidR="00606649">
        <w:rPr>
          <w:rFonts w:ascii="Times New Roman" w:hAnsi="Times New Roman"/>
          <w:lang w:val="pt-BR"/>
        </w:rPr>
        <w:t xml:space="preserve"> mais baixa</w:t>
      </w:r>
      <w:r w:rsidR="008C668B" w:rsidRPr="00476764">
        <w:rPr>
          <w:rFonts w:ascii="Times New Roman" w:hAnsi="Times New Roman"/>
          <w:lang w:val="pt-BR"/>
        </w:rPr>
        <w:t>.</w:t>
      </w:r>
    </w:p>
    <w:p w14:paraId="7689AA0F" w14:textId="736F0A28" w:rsidR="00765B54" w:rsidRDefault="00765B54" w:rsidP="0054092F">
      <w:pPr>
        <w:pStyle w:val="TAMainText"/>
        <w:ind w:firstLine="187"/>
        <w:rPr>
          <w:rFonts w:ascii="Times New Roman" w:hAnsi="Times New Roman"/>
          <w:lang w:val="pt-BR"/>
        </w:rPr>
      </w:pPr>
      <w:r w:rsidRPr="00476764">
        <w:rPr>
          <w:rFonts w:ascii="Times New Roman" w:hAnsi="Times New Roman"/>
          <w:lang w:val="pt-BR"/>
        </w:rPr>
        <w:t xml:space="preserve">A </w:t>
      </w:r>
      <w:r w:rsidRPr="009C7386">
        <w:rPr>
          <w:rFonts w:ascii="Times New Roman" w:hAnsi="Times New Roman"/>
          <w:lang w:val="pt-BR"/>
        </w:rPr>
        <w:t>Figura 2 mostra</w:t>
      </w:r>
      <w:r>
        <w:rPr>
          <w:rFonts w:ascii="Times New Roman" w:hAnsi="Times New Roman"/>
          <w:lang w:val="pt-BR"/>
        </w:rPr>
        <w:t xml:space="preserve"> o</w:t>
      </w:r>
      <w:r w:rsidR="00F86D68">
        <w:rPr>
          <w:rFonts w:ascii="Times New Roman" w:hAnsi="Times New Roman"/>
          <w:lang w:val="pt-BR"/>
        </w:rPr>
        <w:t>s</w:t>
      </w:r>
      <w:r>
        <w:rPr>
          <w:rFonts w:ascii="Times New Roman" w:hAnsi="Times New Roman"/>
          <w:lang w:val="pt-BR"/>
        </w:rPr>
        <w:t xml:space="preserve"> perfi</w:t>
      </w:r>
      <w:r w:rsidR="00F86D68">
        <w:rPr>
          <w:rFonts w:ascii="Times New Roman" w:hAnsi="Times New Roman"/>
          <w:lang w:val="pt-BR"/>
        </w:rPr>
        <w:t>s</w:t>
      </w:r>
      <w:r>
        <w:rPr>
          <w:rFonts w:ascii="Times New Roman" w:hAnsi="Times New Roman"/>
          <w:lang w:val="pt-BR"/>
        </w:rPr>
        <w:t xml:space="preserve"> de TPR das zeólitas impregnadas com Pt. As Amostras </w:t>
      </w:r>
      <w:r w:rsidRPr="00370573">
        <w:rPr>
          <w:lang w:val="pt-BR"/>
        </w:rPr>
        <w:t>B30-Pt</w:t>
      </w:r>
      <w:r w:rsidRPr="00476764">
        <w:rPr>
          <w:rFonts w:ascii="Times New Roman" w:hAnsi="Times New Roman"/>
          <w:lang w:val="pt-BR"/>
        </w:rPr>
        <w:t xml:space="preserve"> </w:t>
      </w:r>
      <w:r>
        <w:rPr>
          <w:rFonts w:ascii="Times New Roman" w:hAnsi="Times New Roman"/>
          <w:lang w:val="pt-BR"/>
        </w:rPr>
        <w:t xml:space="preserve">e </w:t>
      </w:r>
      <w:r w:rsidRPr="00370573">
        <w:rPr>
          <w:lang w:val="pt-BR"/>
        </w:rPr>
        <w:t>B60-Pt</w:t>
      </w:r>
      <w:r>
        <w:rPr>
          <w:lang w:val="pt-BR"/>
        </w:rPr>
        <w:t xml:space="preserve"> apresentaram curvas com perfis semelhantes, </w:t>
      </w:r>
      <w:r>
        <w:rPr>
          <w:rFonts w:ascii="Times New Roman" w:hAnsi="Times New Roman"/>
          <w:lang w:val="pt-BR"/>
        </w:rPr>
        <w:t>com d</w:t>
      </w:r>
      <w:r w:rsidRPr="00476764">
        <w:rPr>
          <w:rFonts w:ascii="Times New Roman" w:hAnsi="Times New Roman"/>
          <w:lang w:val="pt-BR"/>
        </w:rPr>
        <w:t xml:space="preserve">ois </w:t>
      </w:r>
      <w:r w:rsidR="0054092F">
        <w:rPr>
          <w:rFonts w:ascii="Times New Roman" w:hAnsi="Times New Roman"/>
          <w:lang w:val="pt-BR"/>
        </w:rPr>
        <w:t>picos estreitos</w:t>
      </w:r>
      <w:r w:rsidR="0054092F">
        <w:rPr>
          <w:lang w:val="pt-BR"/>
        </w:rPr>
        <w:t>. O primeiro (</w:t>
      </w:r>
      <w:r w:rsidR="0054092F">
        <w:rPr>
          <w:rFonts w:ascii="Times New Roman" w:hAnsi="Times New Roman"/>
          <w:lang w:val="pt-BR"/>
        </w:rPr>
        <w:t xml:space="preserve">~166 °C) </w:t>
      </w:r>
      <w:r w:rsidR="00F86D68">
        <w:rPr>
          <w:rFonts w:ascii="Times New Roman" w:hAnsi="Times New Roman"/>
          <w:lang w:val="pt-BR"/>
        </w:rPr>
        <w:t xml:space="preserve">deles </w:t>
      </w:r>
      <w:r w:rsidR="0054092F">
        <w:rPr>
          <w:rFonts w:ascii="Times New Roman" w:hAnsi="Times New Roman"/>
          <w:lang w:val="pt-BR"/>
        </w:rPr>
        <w:t xml:space="preserve">está </w:t>
      </w:r>
      <w:r w:rsidR="00F86D68">
        <w:rPr>
          <w:rFonts w:ascii="Times New Roman" w:hAnsi="Times New Roman"/>
          <w:lang w:val="pt-BR"/>
        </w:rPr>
        <w:t>associado à</w:t>
      </w:r>
    </w:p>
    <w:p w14:paraId="4B362080" w14:textId="77777777" w:rsidR="00765B54" w:rsidRDefault="00765B54" w:rsidP="005A5D47">
      <w:pPr>
        <w:pStyle w:val="TAMainText"/>
        <w:ind w:firstLine="187"/>
        <w:rPr>
          <w:rFonts w:ascii="Times New Roman" w:hAnsi="Times New Roman"/>
          <w:lang w:val="pt-BR"/>
        </w:rPr>
      </w:pPr>
    </w:p>
    <w:p w14:paraId="69A2FA47" w14:textId="6E012C63" w:rsidR="000D4963" w:rsidRDefault="000D4963" w:rsidP="003944E0">
      <w:pPr>
        <w:spacing w:after="0"/>
        <w:jc w:val="center"/>
        <w:rPr>
          <w:rFonts w:ascii="Times New Roman" w:hAnsi="Times New Roman" w:cs="Times New Roman"/>
        </w:rPr>
      </w:pPr>
      <w:r>
        <w:rPr>
          <w:rFonts w:ascii="Times New Roman" w:hAnsi="Times New Roman" w:cs="Times New Roman"/>
          <w:noProof/>
        </w:rPr>
        <w:drawing>
          <wp:inline distT="0" distB="0" distL="0" distR="0" wp14:anchorId="58982D98" wp14:editId="7E4FD8B8">
            <wp:extent cx="2796859" cy="2174575"/>
            <wp:effectExtent l="0" t="0" r="3810" b="0"/>
            <wp:docPr id="1088828238" name="Imagem 4"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28238" name="Imagem 4" descr="Gráfico, Histograma&#10;&#10;Descrição gerada automa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95" t="8700" r="10025" b="4839"/>
                    <a:stretch/>
                  </pic:blipFill>
                  <pic:spPr bwMode="auto">
                    <a:xfrm>
                      <a:off x="0" y="0"/>
                      <a:ext cx="2799123" cy="2176335"/>
                    </a:xfrm>
                    <a:prstGeom prst="rect">
                      <a:avLst/>
                    </a:prstGeom>
                    <a:noFill/>
                    <a:ln>
                      <a:noFill/>
                    </a:ln>
                    <a:extLst>
                      <a:ext uri="{53640926-AAD7-44D8-BBD7-CCE9431645EC}">
                        <a14:shadowObscured xmlns:a14="http://schemas.microsoft.com/office/drawing/2010/main"/>
                      </a:ext>
                    </a:extLst>
                  </pic:spPr>
                </pic:pic>
              </a:graphicData>
            </a:graphic>
          </wp:inline>
        </w:drawing>
      </w:r>
    </w:p>
    <w:p w14:paraId="03EBA048" w14:textId="2A6CC0C5" w:rsidR="006A3FAA" w:rsidRPr="00465470" w:rsidRDefault="006A3FAA" w:rsidP="001C3397">
      <w:pPr>
        <w:spacing w:line="240" w:lineRule="auto"/>
        <w:jc w:val="both"/>
      </w:pPr>
      <w:r w:rsidRPr="00520B49">
        <w:rPr>
          <w:rFonts w:ascii="Times New Roman" w:hAnsi="Times New Roman" w:cs="Times New Roman"/>
          <w:b/>
          <w:sz w:val="18"/>
          <w:szCs w:val="18"/>
        </w:rPr>
        <w:t xml:space="preserve">Figura </w:t>
      </w:r>
      <w:r w:rsidR="001C3397">
        <w:rPr>
          <w:rFonts w:ascii="Times New Roman" w:hAnsi="Times New Roman" w:cs="Times New Roman"/>
          <w:b/>
          <w:sz w:val="18"/>
          <w:szCs w:val="18"/>
        </w:rPr>
        <w:t>1</w:t>
      </w:r>
      <w:r w:rsidRPr="00520B49">
        <w:rPr>
          <w:rFonts w:ascii="Times New Roman" w:hAnsi="Times New Roman" w:cs="Times New Roman"/>
          <w:b/>
          <w:sz w:val="18"/>
          <w:szCs w:val="18"/>
        </w:rPr>
        <w:t>.</w:t>
      </w:r>
      <w:r w:rsidRPr="00520B49">
        <w:rPr>
          <w:rFonts w:ascii="Times New Roman" w:hAnsi="Times New Roman" w:cs="Times New Roman"/>
          <w:sz w:val="18"/>
          <w:szCs w:val="18"/>
        </w:rPr>
        <w:t xml:space="preserve"> </w:t>
      </w:r>
      <w:r w:rsidRPr="00520B49">
        <w:rPr>
          <w:rFonts w:ascii="Times New Roman" w:hAnsi="Times New Roman"/>
          <w:sz w:val="18"/>
          <w:szCs w:val="18"/>
        </w:rPr>
        <w:t>Perfis de NH</w:t>
      </w:r>
      <w:r w:rsidRPr="00520B49">
        <w:rPr>
          <w:rFonts w:ascii="Times New Roman" w:hAnsi="Times New Roman"/>
          <w:sz w:val="18"/>
          <w:szCs w:val="18"/>
          <w:vertAlign w:val="subscript"/>
        </w:rPr>
        <w:t>3</w:t>
      </w:r>
      <w:r w:rsidRPr="00520B49">
        <w:rPr>
          <w:rFonts w:ascii="Times New Roman" w:hAnsi="Times New Roman"/>
          <w:sz w:val="18"/>
          <w:szCs w:val="18"/>
        </w:rPr>
        <w:t>-TPD</w:t>
      </w:r>
      <w:r w:rsidR="00222CC2">
        <w:rPr>
          <w:rFonts w:ascii="Times New Roman" w:hAnsi="Times New Roman"/>
          <w:sz w:val="18"/>
          <w:szCs w:val="18"/>
        </w:rPr>
        <w:t>.</w:t>
      </w:r>
    </w:p>
    <w:p w14:paraId="2BB747C3" w14:textId="59635898" w:rsidR="00FD0347" w:rsidRPr="00BA52BF" w:rsidRDefault="00FD0347" w:rsidP="00FD0347">
      <w:pPr>
        <w:pStyle w:val="VDTableTitle"/>
        <w:spacing w:after="120"/>
        <w:jc w:val="both"/>
        <w:rPr>
          <w:lang w:val="pt-BR"/>
        </w:rPr>
      </w:pPr>
      <w:r w:rsidRPr="00E34527">
        <w:rPr>
          <w:b/>
          <w:bCs/>
          <w:lang w:val="pt-BR"/>
        </w:rPr>
        <w:t xml:space="preserve">Tabela </w:t>
      </w:r>
      <w:r>
        <w:rPr>
          <w:b/>
          <w:bCs/>
          <w:lang w:val="pt-BR"/>
        </w:rPr>
        <w:t>1</w:t>
      </w:r>
      <w:r w:rsidRPr="00E34527">
        <w:rPr>
          <w:b/>
          <w:bCs/>
          <w:lang w:val="pt-BR"/>
        </w:rPr>
        <w:t>.</w:t>
      </w:r>
      <w:r w:rsidRPr="00E34527">
        <w:rPr>
          <w:lang w:val="pt-BR"/>
        </w:rPr>
        <w:t xml:space="preserve"> </w:t>
      </w:r>
      <w:r>
        <w:rPr>
          <w:lang w:val="pt-BR"/>
        </w:rPr>
        <w:t>Distribuição da força e quantidade de sítios ácidos</w:t>
      </w:r>
      <w:r w:rsidRPr="00E34527">
        <w:rPr>
          <w:lang w:val="pt-BR"/>
        </w:rPr>
        <w:t>.</w:t>
      </w:r>
    </w:p>
    <w:tbl>
      <w:tblPr>
        <w:tblW w:w="4802" w:type="dxa"/>
        <w:tblInd w:w="1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9"/>
        <w:gridCol w:w="979"/>
        <w:gridCol w:w="1046"/>
        <w:gridCol w:w="956"/>
        <w:gridCol w:w="842"/>
      </w:tblGrid>
      <w:tr w:rsidR="007B2E5A" w:rsidRPr="006912D9" w14:paraId="01BD867E" w14:textId="77777777" w:rsidTr="006912D9">
        <w:trPr>
          <w:trHeight w:val="628"/>
        </w:trPr>
        <w:tc>
          <w:tcPr>
            <w:tcW w:w="979" w:type="dxa"/>
            <w:vAlign w:val="center"/>
          </w:tcPr>
          <w:p w14:paraId="3148E014" w14:textId="1BCB092D" w:rsidR="00FD0347" w:rsidRPr="006912D9" w:rsidRDefault="007D10E0" w:rsidP="007D10E0">
            <w:pPr>
              <w:pStyle w:val="TCTableBody"/>
            </w:pPr>
            <w:r w:rsidRPr="006912D9">
              <w:t>Cat</w:t>
            </w:r>
            <w:r w:rsidR="00A935E8" w:rsidRPr="006912D9">
              <w:t>alisador</w:t>
            </w:r>
          </w:p>
        </w:tc>
        <w:tc>
          <w:tcPr>
            <w:tcW w:w="2981" w:type="dxa"/>
            <w:gridSpan w:val="3"/>
            <w:vAlign w:val="center"/>
          </w:tcPr>
          <w:p w14:paraId="31A86026" w14:textId="54E3DD04" w:rsidR="006F78D8" w:rsidRPr="006912D9" w:rsidRDefault="00FD0347" w:rsidP="007D10E0">
            <w:pPr>
              <w:pStyle w:val="TCTableBody"/>
              <w:spacing w:after="0"/>
              <w:rPr>
                <w:lang w:val="pt-BR"/>
              </w:rPr>
            </w:pPr>
            <w:r w:rsidRPr="006912D9">
              <w:rPr>
                <w:lang w:val="pt-BR"/>
              </w:rPr>
              <w:t>Quantidade de sítios ácidos</w:t>
            </w:r>
            <w:r w:rsidR="006F78D8" w:rsidRPr="006912D9">
              <w:rPr>
                <w:lang w:val="pt-BR"/>
              </w:rPr>
              <w:t>/</w:t>
            </w:r>
            <w:r w:rsidR="00A935E8" w:rsidRPr="006912D9">
              <w:rPr>
                <w:lang w:val="pt-BR"/>
              </w:rPr>
              <w:t>T</w:t>
            </w:r>
            <w:r w:rsidR="00A935E8" w:rsidRPr="006912D9">
              <w:rPr>
                <w:vertAlign w:val="subscript"/>
                <w:lang w:val="pt-BR"/>
              </w:rPr>
              <w:t>max</w:t>
            </w:r>
          </w:p>
          <w:p w14:paraId="53C929BE" w14:textId="186F47E6" w:rsidR="00FD0347" w:rsidRPr="006912D9" w:rsidRDefault="006F78D8" w:rsidP="007D10E0">
            <w:pPr>
              <w:pStyle w:val="TCTableBody"/>
              <w:rPr>
                <w:lang w:val="pt-BR"/>
              </w:rPr>
            </w:pPr>
            <w:r w:rsidRPr="006912D9">
              <w:rPr>
                <w:lang w:val="pt-BR"/>
              </w:rPr>
              <w:t>(</w:t>
            </w:r>
            <w:r w:rsidR="00FD0347" w:rsidRPr="006912D9">
              <w:rPr>
                <w:lang w:val="pt-BR"/>
              </w:rPr>
              <w:t>µmol/g / °C</w:t>
            </w:r>
            <w:r w:rsidRPr="006912D9">
              <w:rPr>
                <w:lang w:val="pt-BR"/>
              </w:rPr>
              <w:t>)</w:t>
            </w:r>
          </w:p>
        </w:tc>
        <w:tc>
          <w:tcPr>
            <w:tcW w:w="842" w:type="dxa"/>
            <w:vAlign w:val="center"/>
          </w:tcPr>
          <w:p w14:paraId="67534CFD" w14:textId="77777777" w:rsidR="00FD0347" w:rsidRPr="006912D9" w:rsidRDefault="00FD0347" w:rsidP="007D10E0">
            <w:pPr>
              <w:pStyle w:val="TCTableBody"/>
            </w:pPr>
            <w:r w:rsidRPr="006912D9">
              <w:t>Total (µmol/g)</w:t>
            </w:r>
          </w:p>
        </w:tc>
      </w:tr>
      <w:tr w:rsidR="000D5C78" w:rsidRPr="006912D9" w14:paraId="7949A03F" w14:textId="77777777" w:rsidTr="006912D9">
        <w:trPr>
          <w:trHeight w:val="445"/>
        </w:trPr>
        <w:tc>
          <w:tcPr>
            <w:tcW w:w="979" w:type="dxa"/>
            <w:vAlign w:val="center"/>
          </w:tcPr>
          <w:p w14:paraId="5EDD378F" w14:textId="77777777" w:rsidR="00FD0347" w:rsidRPr="006912D9" w:rsidRDefault="00FD0347" w:rsidP="007D10E0">
            <w:pPr>
              <w:pStyle w:val="TCTableBody"/>
            </w:pPr>
          </w:p>
        </w:tc>
        <w:tc>
          <w:tcPr>
            <w:tcW w:w="979" w:type="dxa"/>
            <w:vAlign w:val="center"/>
          </w:tcPr>
          <w:p w14:paraId="67A95419" w14:textId="77777777" w:rsidR="00FD0347" w:rsidRPr="006912D9" w:rsidRDefault="00FD0347" w:rsidP="007D10E0">
            <w:pPr>
              <w:pStyle w:val="TCTableBody"/>
            </w:pPr>
            <w:r w:rsidRPr="006912D9">
              <w:t>Fraco</w:t>
            </w:r>
          </w:p>
        </w:tc>
        <w:tc>
          <w:tcPr>
            <w:tcW w:w="1046" w:type="dxa"/>
            <w:vAlign w:val="center"/>
          </w:tcPr>
          <w:p w14:paraId="660C2A2E" w14:textId="77777777" w:rsidR="00FD0347" w:rsidRPr="006912D9" w:rsidRDefault="00FD0347" w:rsidP="007D10E0">
            <w:pPr>
              <w:pStyle w:val="TCTableBody"/>
            </w:pPr>
            <w:r w:rsidRPr="006912D9">
              <w:t>Moderado</w:t>
            </w:r>
          </w:p>
        </w:tc>
        <w:tc>
          <w:tcPr>
            <w:tcW w:w="956" w:type="dxa"/>
            <w:vAlign w:val="center"/>
          </w:tcPr>
          <w:p w14:paraId="7BBB2483" w14:textId="77777777" w:rsidR="00FD0347" w:rsidRPr="006912D9" w:rsidRDefault="00FD0347" w:rsidP="007D10E0">
            <w:pPr>
              <w:pStyle w:val="TCTableBody"/>
            </w:pPr>
            <w:r w:rsidRPr="006912D9">
              <w:t>Forte</w:t>
            </w:r>
          </w:p>
        </w:tc>
        <w:tc>
          <w:tcPr>
            <w:tcW w:w="842" w:type="dxa"/>
            <w:vAlign w:val="center"/>
          </w:tcPr>
          <w:p w14:paraId="5574B4D1" w14:textId="0F765EC7" w:rsidR="00FD0347" w:rsidRPr="006912D9" w:rsidRDefault="00606649" w:rsidP="00606649">
            <w:pPr>
              <w:pStyle w:val="TCTableBody"/>
              <w:jc w:val="center"/>
            </w:pPr>
            <w:r>
              <w:t>--</w:t>
            </w:r>
          </w:p>
        </w:tc>
      </w:tr>
      <w:tr w:rsidR="000D5C78" w:rsidRPr="006912D9" w14:paraId="7CBC231A" w14:textId="77777777" w:rsidTr="006912D9">
        <w:trPr>
          <w:trHeight w:val="434"/>
        </w:trPr>
        <w:tc>
          <w:tcPr>
            <w:tcW w:w="979" w:type="dxa"/>
            <w:vAlign w:val="center"/>
          </w:tcPr>
          <w:p w14:paraId="1895876D" w14:textId="3C23B82A" w:rsidR="009825AD" w:rsidRPr="006912D9" w:rsidRDefault="009825AD" w:rsidP="007D10E0">
            <w:pPr>
              <w:pStyle w:val="TCTableBody"/>
            </w:pPr>
            <w:r w:rsidRPr="006912D9">
              <w:t>B30</w:t>
            </w:r>
          </w:p>
        </w:tc>
        <w:tc>
          <w:tcPr>
            <w:tcW w:w="979" w:type="dxa"/>
            <w:vAlign w:val="bottom"/>
          </w:tcPr>
          <w:p w14:paraId="3B7921DC" w14:textId="651A26CA" w:rsidR="009825AD" w:rsidRPr="006912D9" w:rsidRDefault="009825AD" w:rsidP="00606649">
            <w:pPr>
              <w:pStyle w:val="TCTableBody"/>
              <w:jc w:val="center"/>
            </w:pPr>
            <w:r w:rsidRPr="006912D9">
              <w:t>1166,3</w:t>
            </w:r>
            <w:r w:rsidR="00FC11B4" w:rsidRPr="006912D9">
              <w:t>/</w:t>
            </w:r>
            <w:r w:rsidR="00EC0A70" w:rsidRPr="006912D9">
              <w:t>189</w:t>
            </w:r>
          </w:p>
        </w:tc>
        <w:tc>
          <w:tcPr>
            <w:tcW w:w="1046" w:type="dxa"/>
            <w:vAlign w:val="bottom"/>
          </w:tcPr>
          <w:p w14:paraId="3114D6C8" w14:textId="1C126101" w:rsidR="009825AD" w:rsidRPr="006912D9" w:rsidRDefault="009825AD" w:rsidP="00606649">
            <w:pPr>
              <w:pStyle w:val="TCTableBody"/>
              <w:jc w:val="center"/>
            </w:pPr>
            <w:r w:rsidRPr="006912D9">
              <w:t>1997,2</w:t>
            </w:r>
            <w:r w:rsidR="000D5C78" w:rsidRPr="006912D9">
              <w:t>/374</w:t>
            </w:r>
          </w:p>
        </w:tc>
        <w:tc>
          <w:tcPr>
            <w:tcW w:w="956" w:type="dxa"/>
            <w:vAlign w:val="bottom"/>
          </w:tcPr>
          <w:p w14:paraId="078072AD" w14:textId="5B6D4789" w:rsidR="009825AD" w:rsidRPr="006912D9" w:rsidRDefault="009825AD" w:rsidP="00606649">
            <w:pPr>
              <w:pStyle w:val="TCTableBody"/>
              <w:jc w:val="center"/>
            </w:pPr>
            <w:r w:rsidRPr="006912D9">
              <w:t>222,7</w:t>
            </w:r>
            <w:r w:rsidR="00557BAE" w:rsidRPr="006912D9">
              <w:t>/</w:t>
            </w:r>
            <w:r w:rsidR="003D726D" w:rsidRPr="006912D9">
              <w:t>605</w:t>
            </w:r>
          </w:p>
        </w:tc>
        <w:tc>
          <w:tcPr>
            <w:tcW w:w="842" w:type="dxa"/>
            <w:vAlign w:val="bottom"/>
          </w:tcPr>
          <w:p w14:paraId="65BC1D47" w14:textId="0F0830DD" w:rsidR="009825AD" w:rsidRPr="006912D9" w:rsidRDefault="009825AD" w:rsidP="00606649">
            <w:pPr>
              <w:pStyle w:val="TCTableBody"/>
              <w:jc w:val="center"/>
            </w:pPr>
            <w:r w:rsidRPr="006912D9">
              <w:t>3386,2</w:t>
            </w:r>
          </w:p>
        </w:tc>
      </w:tr>
      <w:tr w:rsidR="000D5C78" w:rsidRPr="006912D9" w14:paraId="69CC377F" w14:textId="77777777" w:rsidTr="006912D9">
        <w:trPr>
          <w:trHeight w:val="445"/>
        </w:trPr>
        <w:tc>
          <w:tcPr>
            <w:tcW w:w="979" w:type="dxa"/>
            <w:vAlign w:val="center"/>
          </w:tcPr>
          <w:p w14:paraId="589B9561" w14:textId="1A7E07EE" w:rsidR="009825AD" w:rsidRPr="006912D9" w:rsidRDefault="009825AD" w:rsidP="007D10E0">
            <w:pPr>
              <w:pStyle w:val="TCTableBody"/>
            </w:pPr>
            <w:r w:rsidRPr="006912D9">
              <w:t>B30-Pt</w:t>
            </w:r>
          </w:p>
        </w:tc>
        <w:tc>
          <w:tcPr>
            <w:tcW w:w="979" w:type="dxa"/>
            <w:vAlign w:val="bottom"/>
          </w:tcPr>
          <w:p w14:paraId="63BE8AAB" w14:textId="5B810678" w:rsidR="009825AD" w:rsidRPr="006912D9" w:rsidRDefault="008F6574" w:rsidP="00606649">
            <w:pPr>
              <w:pStyle w:val="TCTableBody"/>
              <w:jc w:val="center"/>
            </w:pPr>
            <w:r w:rsidRPr="006912D9">
              <w:t>1</w:t>
            </w:r>
            <w:r w:rsidR="001277BF" w:rsidRPr="006912D9">
              <w:t>000,1</w:t>
            </w:r>
            <w:r w:rsidR="00EC0A70" w:rsidRPr="006912D9">
              <w:t>/189</w:t>
            </w:r>
          </w:p>
        </w:tc>
        <w:tc>
          <w:tcPr>
            <w:tcW w:w="1046" w:type="dxa"/>
            <w:vAlign w:val="bottom"/>
          </w:tcPr>
          <w:p w14:paraId="1FDAB98F" w14:textId="08A1FD66" w:rsidR="009825AD" w:rsidRPr="006912D9" w:rsidRDefault="001277BF" w:rsidP="00606649">
            <w:pPr>
              <w:pStyle w:val="TCTableBody"/>
              <w:jc w:val="center"/>
            </w:pPr>
            <w:r w:rsidRPr="006912D9">
              <w:t>1540,</w:t>
            </w:r>
            <w:r w:rsidR="00FA5B2C" w:rsidRPr="006912D9">
              <w:t>9</w:t>
            </w:r>
            <w:r w:rsidR="000D5C78" w:rsidRPr="006912D9">
              <w:t>/340</w:t>
            </w:r>
          </w:p>
        </w:tc>
        <w:tc>
          <w:tcPr>
            <w:tcW w:w="956" w:type="dxa"/>
            <w:vAlign w:val="bottom"/>
          </w:tcPr>
          <w:p w14:paraId="250D6AF5" w14:textId="1020674C" w:rsidR="009825AD" w:rsidRPr="006912D9" w:rsidRDefault="00FA5B2C" w:rsidP="00606649">
            <w:pPr>
              <w:pStyle w:val="TCTableBody"/>
              <w:jc w:val="center"/>
            </w:pPr>
            <w:r w:rsidRPr="006912D9">
              <w:t>136,2</w:t>
            </w:r>
            <w:r w:rsidR="003D726D" w:rsidRPr="006912D9">
              <w:t>/527</w:t>
            </w:r>
          </w:p>
        </w:tc>
        <w:tc>
          <w:tcPr>
            <w:tcW w:w="842" w:type="dxa"/>
            <w:vAlign w:val="bottom"/>
          </w:tcPr>
          <w:p w14:paraId="0ECD01D6" w14:textId="7164DF7E" w:rsidR="009825AD" w:rsidRPr="006912D9" w:rsidRDefault="009825AD" w:rsidP="00606649">
            <w:pPr>
              <w:pStyle w:val="TCTableBody"/>
              <w:jc w:val="center"/>
            </w:pPr>
            <w:r w:rsidRPr="006912D9">
              <w:t>2677,2</w:t>
            </w:r>
          </w:p>
        </w:tc>
      </w:tr>
      <w:tr w:rsidR="000D5C78" w:rsidRPr="006912D9" w14:paraId="4EAD0B94" w14:textId="77777777" w:rsidTr="006912D9">
        <w:trPr>
          <w:trHeight w:val="450"/>
        </w:trPr>
        <w:tc>
          <w:tcPr>
            <w:tcW w:w="979" w:type="dxa"/>
            <w:tcBorders>
              <w:bottom w:val="single" w:sz="6" w:space="0" w:color="auto"/>
            </w:tcBorders>
            <w:vAlign w:val="center"/>
          </w:tcPr>
          <w:p w14:paraId="5A79EB49" w14:textId="7DE327C6" w:rsidR="009825AD" w:rsidRPr="006912D9" w:rsidRDefault="009825AD" w:rsidP="007D10E0">
            <w:pPr>
              <w:pStyle w:val="TCTableBody"/>
            </w:pPr>
            <w:r w:rsidRPr="006912D9">
              <w:t>B60</w:t>
            </w:r>
          </w:p>
        </w:tc>
        <w:tc>
          <w:tcPr>
            <w:tcW w:w="979" w:type="dxa"/>
            <w:tcBorders>
              <w:bottom w:val="single" w:sz="6" w:space="0" w:color="auto"/>
            </w:tcBorders>
            <w:vAlign w:val="bottom"/>
          </w:tcPr>
          <w:p w14:paraId="12443BCB" w14:textId="0D3446A7" w:rsidR="009825AD" w:rsidRPr="006912D9" w:rsidRDefault="009825AD" w:rsidP="00606649">
            <w:pPr>
              <w:pStyle w:val="TCTableBody"/>
              <w:jc w:val="center"/>
            </w:pPr>
            <w:r w:rsidRPr="006912D9">
              <w:t>1160,4</w:t>
            </w:r>
            <w:r w:rsidR="00EC0A70" w:rsidRPr="006912D9">
              <w:t>/179</w:t>
            </w:r>
          </w:p>
        </w:tc>
        <w:tc>
          <w:tcPr>
            <w:tcW w:w="1046" w:type="dxa"/>
            <w:tcBorders>
              <w:bottom w:val="single" w:sz="6" w:space="0" w:color="auto"/>
            </w:tcBorders>
            <w:vAlign w:val="bottom"/>
          </w:tcPr>
          <w:p w14:paraId="5EB6A047" w14:textId="0884EEC8" w:rsidR="009825AD" w:rsidRPr="006912D9" w:rsidRDefault="009825AD" w:rsidP="00606649">
            <w:pPr>
              <w:pStyle w:val="TCTableBody"/>
              <w:jc w:val="center"/>
            </w:pPr>
            <w:r w:rsidRPr="006912D9">
              <w:t>1490,7</w:t>
            </w:r>
            <w:r w:rsidR="000D5C78" w:rsidRPr="006912D9">
              <w:t>/</w:t>
            </w:r>
            <w:r w:rsidR="00557BAE" w:rsidRPr="006912D9">
              <w:t>376</w:t>
            </w:r>
          </w:p>
        </w:tc>
        <w:tc>
          <w:tcPr>
            <w:tcW w:w="956" w:type="dxa"/>
            <w:tcBorders>
              <w:bottom w:val="single" w:sz="6" w:space="0" w:color="auto"/>
            </w:tcBorders>
            <w:vAlign w:val="bottom"/>
          </w:tcPr>
          <w:p w14:paraId="1F2FB337" w14:textId="62934F35" w:rsidR="009825AD" w:rsidRPr="006912D9" w:rsidRDefault="009825AD" w:rsidP="00606649">
            <w:pPr>
              <w:pStyle w:val="TCTableBody"/>
              <w:jc w:val="center"/>
            </w:pPr>
            <w:r w:rsidRPr="006912D9">
              <w:t>173,8</w:t>
            </w:r>
            <w:r w:rsidR="003D726D" w:rsidRPr="006912D9">
              <w:t>/573</w:t>
            </w:r>
          </w:p>
        </w:tc>
        <w:tc>
          <w:tcPr>
            <w:tcW w:w="842" w:type="dxa"/>
            <w:tcBorders>
              <w:bottom w:val="single" w:sz="6" w:space="0" w:color="auto"/>
            </w:tcBorders>
            <w:vAlign w:val="bottom"/>
          </w:tcPr>
          <w:p w14:paraId="03FAFC48" w14:textId="0F26490F" w:rsidR="009825AD" w:rsidRPr="006912D9" w:rsidRDefault="009825AD" w:rsidP="00606649">
            <w:pPr>
              <w:pStyle w:val="TCTableBody"/>
              <w:jc w:val="center"/>
            </w:pPr>
            <w:r w:rsidRPr="006912D9">
              <w:t>2824,9</w:t>
            </w:r>
          </w:p>
        </w:tc>
      </w:tr>
      <w:tr w:rsidR="000D5C78" w:rsidRPr="006912D9" w14:paraId="0BD4FCF5" w14:textId="77777777" w:rsidTr="006912D9">
        <w:trPr>
          <w:trHeight w:val="450"/>
        </w:trPr>
        <w:tc>
          <w:tcPr>
            <w:tcW w:w="979" w:type="dxa"/>
            <w:tcBorders>
              <w:bottom w:val="single" w:sz="6" w:space="0" w:color="auto"/>
            </w:tcBorders>
            <w:vAlign w:val="center"/>
          </w:tcPr>
          <w:p w14:paraId="5FA21A29" w14:textId="3C9010D9" w:rsidR="009825AD" w:rsidRPr="006912D9" w:rsidRDefault="009825AD" w:rsidP="007D10E0">
            <w:pPr>
              <w:pStyle w:val="TCTableBody"/>
            </w:pPr>
            <w:r w:rsidRPr="006912D9">
              <w:t>B60-Pt</w:t>
            </w:r>
          </w:p>
        </w:tc>
        <w:tc>
          <w:tcPr>
            <w:tcW w:w="979" w:type="dxa"/>
            <w:tcBorders>
              <w:bottom w:val="single" w:sz="6" w:space="0" w:color="auto"/>
            </w:tcBorders>
            <w:vAlign w:val="bottom"/>
          </w:tcPr>
          <w:p w14:paraId="68D27839" w14:textId="22365DBA" w:rsidR="009825AD" w:rsidRPr="006912D9" w:rsidRDefault="009825AD" w:rsidP="00606649">
            <w:pPr>
              <w:pStyle w:val="TCTableBody"/>
              <w:jc w:val="center"/>
            </w:pPr>
            <w:r w:rsidRPr="006912D9">
              <w:t>892,6</w:t>
            </w:r>
            <w:r w:rsidR="00EC0A70" w:rsidRPr="006912D9">
              <w:t>/187</w:t>
            </w:r>
          </w:p>
        </w:tc>
        <w:tc>
          <w:tcPr>
            <w:tcW w:w="1046" w:type="dxa"/>
            <w:tcBorders>
              <w:bottom w:val="single" w:sz="6" w:space="0" w:color="auto"/>
            </w:tcBorders>
            <w:vAlign w:val="bottom"/>
          </w:tcPr>
          <w:p w14:paraId="6D5B2109" w14:textId="5632D5DC" w:rsidR="009825AD" w:rsidRPr="006912D9" w:rsidRDefault="009825AD" w:rsidP="00606649">
            <w:pPr>
              <w:pStyle w:val="TCTableBody"/>
              <w:jc w:val="center"/>
            </w:pPr>
            <w:r w:rsidRPr="006912D9">
              <w:t>957,3</w:t>
            </w:r>
            <w:r w:rsidR="00557BAE" w:rsidRPr="006912D9">
              <w:t>/353</w:t>
            </w:r>
          </w:p>
        </w:tc>
        <w:tc>
          <w:tcPr>
            <w:tcW w:w="956" w:type="dxa"/>
            <w:tcBorders>
              <w:bottom w:val="single" w:sz="6" w:space="0" w:color="auto"/>
            </w:tcBorders>
            <w:vAlign w:val="bottom"/>
          </w:tcPr>
          <w:p w14:paraId="5C0F398C" w14:textId="6F2AD365" w:rsidR="009825AD" w:rsidRPr="006912D9" w:rsidRDefault="009825AD" w:rsidP="00606649">
            <w:pPr>
              <w:pStyle w:val="TCTableBody"/>
              <w:jc w:val="center"/>
            </w:pPr>
            <w:r w:rsidRPr="006912D9">
              <w:t>43,3</w:t>
            </w:r>
            <w:r w:rsidR="003D726D" w:rsidRPr="006912D9">
              <w:t>/557</w:t>
            </w:r>
          </w:p>
        </w:tc>
        <w:tc>
          <w:tcPr>
            <w:tcW w:w="842" w:type="dxa"/>
            <w:tcBorders>
              <w:bottom w:val="single" w:sz="6" w:space="0" w:color="auto"/>
            </w:tcBorders>
            <w:vAlign w:val="bottom"/>
          </w:tcPr>
          <w:p w14:paraId="4F1FA39F" w14:textId="4833A89F" w:rsidR="009825AD" w:rsidRPr="006912D9" w:rsidRDefault="009825AD" w:rsidP="00606649">
            <w:pPr>
              <w:pStyle w:val="TCTableBody"/>
              <w:jc w:val="center"/>
            </w:pPr>
            <w:r w:rsidRPr="006912D9">
              <w:t>1903,2</w:t>
            </w:r>
          </w:p>
        </w:tc>
      </w:tr>
      <w:tr w:rsidR="000D5C78" w:rsidRPr="006912D9" w14:paraId="0AB46D7D" w14:textId="77777777" w:rsidTr="006912D9">
        <w:trPr>
          <w:trHeight w:val="450"/>
        </w:trPr>
        <w:tc>
          <w:tcPr>
            <w:tcW w:w="979" w:type="dxa"/>
            <w:tcBorders>
              <w:bottom w:val="single" w:sz="6" w:space="0" w:color="auto"/>
            </w:tcBorders>
            <w:vAlign w:val="center"/>
          </w:tcPr>
          <w:p w14:paraId="04F8EF97" w14:textId="7B100084" w:rsidR="009825AD" w:rsidRPr="006912D9" w:rsidRDefault="009825AD" w:rsidP="007D10E0">
            <w:pPr>
              <w:pStyle w:val="TCTableBody"/>
            </w:pPr>
            <w:r w:rsidRPr="006912D9">
              <w:t>B90</w:t>
            </w:r>
          </w:p>
        </w:tc>
        <w:tc>
          <w:tcPr>
            <w:tcW w:w="979" w:type="dxa"/>
            <w:tcBorders>
              <w:bottom w:val="single" w:sz="6" w:space="0" w:color="auto"/>
            </w:tcBorders>
            <w:vAlign w:val="bottom"/>
          </w:tcPr>
          <w:p w14:paraId="5D0C2A41" w14:textId="55AE41AD" w:rsidR="009825AD" w:rsidRPr="006912D9" w:rsidRDefault="009825AD" w:rsidP="00606649">
            <w:pPr>
              <w:pStyle w:val="TCTableBody"/>
              <w:jc w:val="center"/>
            </w:pPr>
            <w:r w:rsidRPr="006912D9">
              <w:t>681,3</w:t>
            </w:r>
            <w:r w:rsidR="00EC0A70" w:rsidRPr="006912D9">
              <w:t>/</w:t>
            </w:r>
            <w:r w:rsidR="000D5C78" w:rsidRPr="006912D9">
              <w:t>172</w:t>
            </w:r>
          </w:p>
        </w:tc>
        <w:tc>
          <w:tcPr>
            <w:tcW w:w="1046" w:type="dxa"/>
            <w:tcBorders>
              <w:bottom w:val="single" w:sz="6" w:space="0" w:color="auto"/>
            </w:tcBorders>
            <w:vAlign w:val="bottom"/>
          </w:tcPr>
          <w:p w14:paraId="36BDD482" w14:textId="6ED91E59" w:rsidR="009825AD" w:rsidRPr="006912D9" w:rsidRDefault="009825AD" w:rsidP="00606649">
            <w:pPr>
              <w:pStyle w:val="TCTableBody"/>
              <w:jc w:val="center"/>
            </w:pPr>
            <w:r w:rsidRPr="006912D9">
              <w:t>1519,8</w:t>
            </w:r>
            <w:r w:rsidR="00557BAE" w:rsidRPr="006912D9">
              <w:t>/378</w:t>
            </w:r>
          </w:p>
        </w:tc>
        <w:tc>
          <w:tcPr>
            <w:tcW w:w="956" w:type="dxa"/>
            <w:tcBorders>
              <w:bottom w:val="single" w:sz="6" w:space="0" w:color="auto"/>
            </w:tcBorders>
            <w:vAlign w:val="bottom"/>
          </w:tcPr>
          <w:p w14:paraId="2B8E5159" w14:textId="36EB1C66" w:rsidR="009825AD" w:rsidRPr="006912D9" w:rsidRDefault="00606649" w:rsidP="00606649">
            <w:pPr>
              <w:pStyle w:val="TCTableBody"/>
              <w:jc w:val="center"/>
            </w:pPr>
            <w:r>
              <w:rPr>
                <w:rFonts w:ascii="Calibri" w:hAnsi="Calibri" w:cs="Calibri"/>
                <w:color w:val="000000"/>
                <w:sz w:val="22"/>
                <w:szCs w:val="22"/>
              </w:rPr>
              <w:t>--</w:t>
            </w:r>
          </w:p>
        </w:tc>
        <w:tc>
          <w:tcPr>
            <w:tcW w:w="842" w:type="dxa"/>
            <w:tcBorders>
              <w:bottom w:val="single" w:sz="6" w:space="0" w:color="auto"/>
            </w:tcBorders>
            <w:vAlign w:val="bottom"/>
          </w:tcPr>
          <w:p w14:paraId="0DD3A02C" w14:textId="16007802" w:rsidR="009825AD" w:rsidRPr="006912D9" w:rsidRDefault="009825AD" w:rsidP="00606649">
            <w:pPr>
              <w:pStyle w:val="TCTableBody"/>
              <w:jc w:val="center"/>
            </w:pPr>
            <w:r w:rsidRPr="006912D9">
              <w:t>2201,1</w:t>
            </w:r>
          </w:p>
        </w:tc>
      </w:tr>
      <w:tr w:rsidR="007B2E5A" w:rsidRPr="006912D9" w14:paraId="1CD839DF" w14:textId="77777777" w:rsidTr="006912D9">
        <w:trPr>
          <w:trHeight w:val="450"/>
        </w:trPr>
        <w:tc>
          <w:tcPr>
            <w:tcW w:w="979" w:type="dxa"/>
            <w:tcBorders>
              <w:bottom w:val="single" w:sz="6" w:space="0" w:color="auto"/>
            </w:tcBorders>
            <w:vAlign w:val="center"/>
          </w:tcPr>
          <w:p w14:paraId="4CEF577D" w14:textId="22A99390" w:rsidR="009825AD" w:rsidRPr="006912D9" w:rsidRDefault="009825AD" w:rsidP="007D10E0">
            <w:pPr>
              <w:pStyle w:val="TCTableBody"/>
            </w:pPr>
            <w:r w:rsidRPr="006912D9">
              <w:t>B90-Pt</w:t>
            </w:r>
          </w:p>
        </w:tc>
        <w:tc>
          <w:tcPr>
            <w:tcW w:w="979" w:type="dxa"/>
            <w:tcBorders>
              <w:bottom w:val="single" w:sz="6" w:space="0" w:color="auto"/>
            </w:tcBorders>
            <w:vAlign w:val="bottom"/>
          </w:tcPr>
          <w:p w14:paraId="14FC2C95" w14:textId="58CB5D14" w:rsidR="009825AD" w:rsidRPr="006912D9" w:rsidRDefault="009825AD" w:rsidP="00606649">
            <w:pPr>
              <w:pStyle w:val="TCTableBody"/>
              <w:jc w:val="center"/>
            </w:pPr>
            <w:r w:rsidRPr="006912D9">
              <w:t>540,5</w:t>
            </w:r>
            <w:r w:rsidR="000D5C78" w:rsidRPr="006912D9">
              <w:t>/178</w:t>
            </w:r>
          </w:p>
        </w:tc>
        <w:tc>
          <w:tcPr>
            <w:tcW w:w="1046" w:type="dxa"/>
            <w:tcBorders>
              <w:bottom w:val="single" w:sz="6" w:space="0" w:color="auto"/>
            </w:tcBorders>
            <w:vAlign w:val="bottom"/>
          </w:tcPr>
          <w:p w14:paraId="2946FF43" w14:textId="5A226F85" w:rsidR="009825AD" w:rsidRPr="006912D9" w:rsidRDefault="009825AD" w:rsidP="00606649">
            <w:pPr>
              <w:pStyle w:val="TCTableBody"/>
              <w:jc w:val="center"/>
            </w:pPr>
            <w:r w:rsidRPr="006912D9">
              <w:t>501,1</w:t>
            </w:r>
            <w:r w:rsidR="00557BAE" w:rsidRPr="006912D9">
              <w:t>/356</w:t>
            </w:r>
          </w:p>
        </w:tc>
        <w:tc>
          <w:tcPr>
            <w:tcW w:w="956" w:type="dxa"/>
            <w:tcBorders>
              <w:bottom w:val="single" w:sz="6" w:space="0" w:color="auto"/>
            </w:tcBorders>
            <w:vAlign w:val="bottom"/>
          </w:tcPr>
          <w:p w14:paraId="23BB6A7C" w14:textId="74AD57BB" w:rsidR="009825AD" w:rsidRPr="006912D9" w:rsidRDefault="00606649" w:rsidP="00606649">
            <w:pPr>
              <w:pStyle w:val="TCTableBody"/>
              <w:jc w:val="center"/>
            </w:pPr>
            <w:r>
              <w:rPr>
                <w:rFonts w:ascii="Calibri" w:hAnsi="Calibri" w:cs="Calibri"/>
                <w:color w:val="000000"/>
                <w:sz w:val="22"/>
                <w:szCs w:val="22"/>
              </w:rPr>
              <w:t>--</w:t>
            </w:r>
          </w:p>
        </w:tc>
        <w:tc>
          <w:tcPr>
            <w:tcW w:w="842" w:type="dxa"/>
            <w:tcBorders>
              <w:bottom w:val="single" w:sz="6" w:space="0" w:color="auto"/>
            </w:tcBorders>
            <w:vAlign w:val="bottom"/>
          </w:tcPr>
          <w:p w14:paraId="67F0D2EA" w14:textId="2B089270" w:rsidR="009825AD" w:rsidRPr="006912D9" w:rsidRDefault="009825AD" w:rsidP="00606649">
            <w:pPr>
              <w:pStyle w:val="TCTableBody"/>
              <w:jc w:val="center"/>
            </w:pPr>
            <w:r w:rsidRPr="006912D9">
              <w:t>1041,6</w:t>
            </w:r>
          </w:p>
        </w:tc>
      </w:tr>
      <w:tr w:rsidR="00FD0347" w:rsidRPr="006912D9" w14:paraId="0D4A3593" w14:textId="77777777" w:rsidTr="006912D9">
        <w:trPr>
          <w:trHeight w:val="105"/>
        </w:trPr>
        <w:tc>
          <w:tcPr>
            <w:tcW w:w="4802" w:type="dxa"/>
            <w:gridSpan w:val="5"/>
            <w:tcBorders>
              <w:top w:val="single" w:sz="6" w:space="0" w:color="auto"/>
              <w:left w:val="nil"/>
              <w:bottom w:val="nil"/>
              <w:right w:val="nil"/>
            </w:tcBorders>
            <w:vAlign w:val="center"/>
          </w:tcPr>
          <w:p w14:paraId="46D8FC0C" w14:textId="7AF7BA31" w:rsidR="00FD0347" w:rsidRPr="006912D9" w:rsidRDefault="00FD0347" w:rsidP="00783F62">
            <w:pPr>
              <w:pStyle w:val="TCTableBody"/>
              <w:spacing w:after="0"/>
            </w:pPr>
          </w:p>
        </w:tc>
      </w:tr>
    </w:tbl>
    <w:p w14:paraId="2C4DD420" w14:textId="77777777" w:rsidR="004977EA" w:rsidRDefault="004977EA" w:rsidP="004977EA">
      <w:pPr>
        <w:spacing w:before="240" w:after="0"/>
        <w:jc w:val="center"/>
        <w:rPr>
          <w:rFonts w:ascii="Times New Roman" w:eastAsia="Times New Roman" w:hAnsi="Times New Roman"/>
          <w:b/>
          <w:bCs/>
          <w:sz w:val="18"/>
          <w:lang w:eastAsia="pt-BR"/>
        </w:rPr>
      </w:pPr>
      <w:r>
        <w:rPr>
          <w:rFonts w:ascii="Times New Roman" w:hAnsi="Times New Roman" w:cs="Times New Roman"/>
          <w:noProof/>
        </w:rPr>
        <w:drawing>
          <wp:inline distT="0" distB="0" distL="0" distR="0" wp14:anchorId="3FBA3235" wp14:editId="13D7C194">
            <wp:extent cx="2675921" cy="2128344"/>
            <wp:effectExtent l="0" t="0" r="0" b="5715"/>
            <wp:docPr id="1402019454" name="Imagem 2"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19454" name="Imagem 2" descr="Gráfico, Histograma&#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082" t="9516" r="10593" b="4569"/>
                    <a:stretch/>
                  </pic:blipFill>
                  <pic:spPr bwMode="auto">
                    <a:xfrm>
                      <a:off x="0" y="0"/>
                      <a:ext cx="2677285" cy="2129429"/>
                    </a:xfrm>
                    <a:prstGeom prst="rect">
                      <a:avLst/>
                    </a:prstGeom>
                    <a:noFill/>
                    <a:ln>
                      <a:noFill/>
                    </a:ln>
                    <a:extLst>
                      <a:ext uri="{53640926-AAD7-44D8-BBD7-CCE9431645EC}">
                        <a14:shadowObscured xmlns:a14="http://schemas.microsoft.com/office/drawing/2010/main"/>
                      </a:ext>
                    </a:extLst>
                  </pic:spPr>
                </pic:pic>
              </a:graphicData>
            </a:graphic>
          </wp:inline>
        </w:drawing>
      </w:r>
    </w:p>
    <w:p w14:paraId="03D01ED8" w14:textId="6ABC4A04" w:rsidR="00222CC2" w:rsidRPr="00FE4F16" w:rsidRDefault="00222CC2" w:rsidP="004977EA">
      <w:pPr>
        <w:spacing w:line="240" w:lineRule="auto"/>
        <w:jc w:val="both"/>
        <w:rPr>
          <w:rFonts w:ascii="Times New Roman" w:hAnsi="Times New Roman" w:cs="Times New Roman"/>
          <w:color w:val="FF0000"/>
        </w:rPr>
      </w:pPr>
      <w:r w:rsidRPr="00222CC2">
        <w:rPr>
          <w:rFonts w:ascii="Times New Roman" w:eastAsia="Times New Roman" w:hAnsi="Times New Roman"/>
          <w:b/>
          <w:bCs/>
          <w:sz w:val="18"/>
          <w:lang w:eastAsia="pt-BR"/>
        </w:rPr>
        <w:t>Figura 2</w:t>
      </w:r>
      <w:r w:rsidRPr="00222CC2">
        <w:rPr>
          <w:rFonts w:ascii="Times New Roman" w:eastAsia="Times New Roman" w:hAnsi="Times New Roman"/>
          <w:sz w:val="18"/>
          <w:lang w:eastAsia="pt-BR"/>
        </w:rPr>
        <w:t>. Perfis de H</w:t>
      </w:r>
      <w:r w:rsidRPr="00222CC2">
        <w:rPr>
          <w:rFonts w:ascii="Times New Roman" w:eastAsia="Times New Roman" w:hAnsi="Times New Roman"/>
          <w:sz w:val="18"/>
          <w:vertAlign w:val="subscript"/>
          <w:lang w:eastAsia="pt-BR"/>
        </w:rPr>
        <w:t>2</w:t>
      </w:r>
      <w:r w:rsidRPr="00222CC2">
        <w:rPr>
          <w:rFonts w:ascii="Times New Roman" w:eastAsia="Times New Roman" w:hAnsi="Times New Roman"/>
          <w:sz w:val="18"/>
          <w:lang w:eastAsia="pt-BR"/>
        </w:rPr>
        <w:t>-TPR</w:t>
      </w:r>
      <w:r>
        <w:rPr>
          <w:rFonts w:ascii="Times New Roman" w:eastAsia="Times New Roman" w:hAnsi="Times New Roman"/>
          <w:sz w:val="18"/>
          <w:lang w:eastAsia="pt-BR"/>
        </w:rPr>
        <w:t>.</w:t>
      </w:r>
      <w:r w:rsidR="00FE4F16">
        <w:rPr>
          <w:rFonts w:ascii="Times New Roman" w:eastAsia="Times New Roman" w:hAnsi="Times New Roman"/>
          <w:sz w:val="18"/>
          <w:lang w:eastAsia="pt-BR"/>
        </w:rPr>
        <w:t xml:space="preserve"> </w:t>
      </w:r>
    </w:p>
    <w:p w14:paraId="0405CB35" w14:textId="27202B29" w:rsidR="0054092F" w:rsidRDefault="0054092F" w:rsidP="0054092F">
      <w:pPr>
        <w:pStyle w:val="TAMainText"/>
        <w:spacing w:before="160" w:after="160"/>
        <w:ind w:firstLine="0"/>
        <w:rPr>
          <w:rFonts w:ascii="Times New Roman" w:hAnsi="Times New Roman"/>
          <w:lang w:val="pt-BR"/>
        </w:rPr>
      </w:pPr>
      <w:r w:rsidRPr="00476764">
        <w:rPr>
          <w:rFonts w:ascii="Times New Roman" w:hAnsi="Times New Roman"/>
          <w:lang w:val="pt-BR"/>
        </w:rPr>
        <w:t xml:space="preserve">redução da </w:t>
      </w:r>
      <w:r>
        <w:rPr>
          <w:rFonts w:ascii="Times New Roman" w:hAnsi="Times New Roman"/>
          <w:lang w:val="pt-BR"/>
        </w:rPr>
        <w:t>Pt</w:t>
      </w:r>
      <w:r w:rsidRPr="00476764">
        <w:rPr>
          <w:rFonts w:ascii="Times New Roman" w:hAnsi="Times New Roman"/>
          <w:lang w:val="pt-BR"/>
        </w:rPr>
        <w:t xml:space="preserve"> </w:t>
      </w:r>
      <w:r>
        <w:rPr>
          <w:rFonts w:ascii="Times New Roman" w:hAnsi="Times New Roman"/>
          <w:lang w:val="pt-BR"/>
        </w:rPr>
        <w:t xml:space="preserve">localizada na superfície (mais redutíveis), enquanto o outro (388 °C) está </w:t>
      </w:r>
      <w:r w:rsidR="00F86D68">
        <w:rPr>
          <w:rFonts w:ascii="Times New Roman" w:hAnsi="Times New Roman"/>
          <w:lang w:val="pt-BR"/>
        </w:rPr>
        <w:t>relacionado</w:t>
      </w:r>
      <w:r>
        <w:rPr>
          <w:rFonts w:ascii="Times New Roman" w:hAnsi="Times New Roman"/>
          <w:lang w:val="pt-BR"/>
        </w:rPr>
        <w:t xml:space="preserve"> à Pt nos canais e locais de troca iônica da zeólita. Esses resultados </w:t>
      </w:r>
      <w:r>
        <w:rPr>
          <w:rFonts w:ascii="Times New Roman" w:hAnsi="Times New Roman"/>
          <w:lang w:val="pt-BR"/>
        </w:rPr>
        <w:lastRenderedPageBreak/>
        <w:t xml:space="preserve">mostram que </w:t>
      </w:r>
      <w:r w:rsidR="0043385D">
        <w:rPr>
          <w:rFonts w:ascii="Times New Roman" w:hAnsi="Times New Roman"/>
          <w:lang w:val="pt-BR"/>
        </w:rPr>
        <w:t xml:space="preserve">a razão Si/Al </w:t>
      </w:r>
      <w:r>
        <w:rPr>
          <w:rFonts w:ascii="Times New Roman" w:hAnsi="Times New Roman"/>
          <w:lang w:val="pt-BR"/>
        </w:rPr>
        <w:t xml:space="preserve">não modifica a interação da Pt com o suporte. Na curva da </w:t>
      </w:r>
      <w:r w:rsidR="0043385D">
        <w:rPr>
          <w:rFonts w:ascii="Times New Roman" w:hAnsi="Times New Roman"/>
          <w:lang w:val="pt-BR"/>
        </w:rPr>
        <w:t>a</w:t>
      </w:r>
      <w:r>
        <w:rPr>
          <w:rFonts w:ascii="Times New Roman" w:hAnsi="Times New Roman"/>
          <w:lang w:val="pt-BR"/>
        </w:rPr>
        <w:t xml:space="preserve">mostra </w:t>
      </w:r>
      <w:r w:rsidRPr="000410F6">
        <w:rPr>
          <w:rFonts w:ascii="Times New Roman" w:hAnsi="Times New Roman"/>
          <w:lang w:val="pt-BR"/>
        </w:rPr>
        <w:t>B90-Pt</w:t>
      </w:r>
      <w:r>
        <w:rPr>
          <w:rFonts w:ascii="Times New Roman" w:hAnsi="Times New Roman"/>
          <w:lang w:val="pt-BR"/>
        </w:rPr>
        <w:t xml:space="preserve"> esses picos aparecem mais alargados e superpostos,  indicando que a Pt está depositada de forma não homogênea sobre o suporte, gerando espécies em diferentes graus de interação com a zeólita beta. O pico em temperaturas mais altas estende-se até valores mais altos, indicando que, nesta amostra, a </w:t>
      </w:r>
      <w:r w:rsidR="0043385D">
        <w:rPr>
          <w:rFonts w:ascii="Times New Roman" w:hAnsi="Times New Roman"/>
          <w:lang w:val="pt-BR"/>
        </w:rPr>
        <w:t>Pt</w:t>
      </w:r>
      <w:r>
        <w:rPr>
          <w:rFonts w:ascii="Times New Roman" w:hAnsi="Times New Roman"/>
          <w:lang w:val="pt-BR"/>
        </w:rPr>
        <w:t xml:space="preserve"> está em interação mais forte com o suporte</w:t>
      </w:r>
      <w:r w:rsidR="0004481F">
        <w:rPr>
          <w:rFonts w:ascii="Times New Roman" w:hAnsi="Times New Roman"/>
          <w:lang w:val="pt-BR"/>
        </w:rPr>
        <w:t>, em relação às demais</w:t>
      </w:r>
      <w:r>
        <w:rPr>
          <w:rFonts w:ascii="Times New Roman" w:hAnsi="Times New Roman"/>
          <w:lang w:val="pt-BR"/>
        </w:rPr>
        <w:t xml:space="preserve">. </w:t>
      </w:r>
      <w:r w:rsidRPr="000410F6">
        <w:rPr>
          <w:rFonts w:ascii="Times New Roman" w:hAnsi="Times New Roman"/>
          <w:lang w:val="pt-BR"/>
        </w:rPr>
        <w:t xml:space="preserve">A Tabela 2 mostra </w:t>
      </w:r>
      <w:r w:rsidRPr="00476764">
        <w:rPr>
          <w:rFonts w:ascii="Times New Roman" w:hAnsi="Times New Roman"/>
          <w:lang w:val="pt-BR"/>
        </w:rPr>
        <w:t xml:space="preserve">o consumo de </w:t>
      </w:r>
      <w:r>
        <w:rPr>
          <w:rFonts w:ascii="Times New Roman" w:hAnsi="Times New Roman"/>
          <w:lang w:val="pt-BR"/>
        </w:rPr>
        <w:t>H</w:t>
      </w:r>
      <w:r w:rsidRPr="00222CC2">
        <w:rPr>
          <w:rFonts w:ascii="Times New Roman" w:hAnsi="Times New Roman"/>
          <w:vertAlign w:val="subscript"/>
          <w:lang w:val="pt-BR"/>
        </w:rPr>
        <w:t>2</w:t>
      </w:r>
      <w:r w:rsidRPr="00476764">
        <w:rPr>
          <w:rFonts w:ascii="Times New Roman" w:hAnsi="Times New Roman"/>
          <w:lang w:val="pt-BR"/>
        </w:rPr>
        <w:t xml:space="preserve"> calculado a partir da curva de TPR.</w:t>
      </w:r>
      <w:r w:rsidR="0004481F">
        <w:rPr>
          <w:rFonts w:ascii="Times New Roman" w:hAnsi="Times New Roman"/>
          <w:lang w:val="pt-BR"/>
        </w:rPr>
        <w:t xml:space="preserve"> Nota-se que a platina se torna mais redutível com o aumento da razão Si/Al. </w:t>
      </w:r>
    </w:p>
    <w:p w14:paraId="06CE4127" w14:textId="1DBC00ED" w:rsidR="00FD6A61" w:rsidRPr="00781BFB" w:rsidRDefault="00FD6A61" w:rsidP="00FD6A61">
      <w:pPr>
        <w:pStyle w:val="VDTableTitle"/>
        <w:spacing w:after="120"/>
        <w:jc w:val="both"/>
        <w:rPr>
          <w:rFonts w:ascii="Times New Roman" w:hAnsi="Times New Roman"/>
          <w:lang w:val="pt-BR"/>
        </w:rPr>
      </w:pPr>
      <w:r w:rsidRPr="00781BFB">
        <w:rPr>
          <w:rFonts w:ascii="Times New Roman" w:hAnsi="Times New Roman"/>
          <w:b/>
          <w:lang w:val="pt-BR"/>
        </w:rPr>
        <w:t xml:space="preserve">Tabela </w:t>
      </w:r>
      <w:r w:rsidR="00222CC2">
        <w:rPr>
          <w:rFonts w:ascii="Times New Roman" w:hAnsi="Times New Roman"/>
          <w:b/>
          <w:lang w:val="pt-BR"/>
        </w:rPr>
        <w:t>2</w:t>
      </w:r>
      <w:r w:rsidRPr="00781BFB">
        <w:rPr>
          <w:rFonts w:ascii="Times New Roman" w:hAnsi="Times New Roman"/>
          <w:b/>
          <w:lang w:val="pt-BR"/>
        </w:rPr>
        <w:t>.</w:t>
      </w:r>
      <w:r w:rsidRPr="00781BFB">
        <w:rPr>
          <w:rFonts w:ascii="Times New Roman" w:hAnsi="Times New Roman"/>
          <w:lang w:val="pt-BR"/>
        </w:rPr>
        <w:t xml:space="preserve"> </w:t>
      </w:r>
      <w:r w:rsidR="00446A1B" w:rsidRPr="00446A1B">
        <w:rPr>
          <w:rFonts w:ascii="Times New Roman" w:hAnsi="Times New Roman"/>
          <w:lang w:val="pt-BR"/>
        </w:rPr>
        <w:t xml:space="preserve">Consumo de </w:t>
      </w:r>
      <w:r w:rsidR="00645436">
        <w:rPr>
          <w:rFonts w:ascii="Times New Roman" w:hAnsi="Times New Roman"/>
          <w:lang w:val="pt-BR"/>
        </w:rPr>
        <w:t>H</w:t>
      </w:r>
      <w:r w:rsidR="00645436" w:rsidRPr="00645436">
        <w:rPr>
          <w:rFonts w:ascii="Times New Roman" w:hAnsi="Times New Roman"/>
          <w:vertAlign w:val="subscript"/>
          <w:lang w:val="pt-BR"/>
        </w:rPr>
        <w:t>2</w:t>
      </w:r>
      <w:r w:rsidR="00446A1B" w:rsidRPr="00446A1B">
        <w:rPr>
          <w:rFonts w:ascii="Times New Roman" w:hAnsi="Times New Roman"/>
          <w:lang w:val="pt-BR"/>
        </w:rPr>
        <w:t xml:space="preserve"> </w:t>
      </w:r>
      <w:r w:rsidR="00446A1B" w:rsidRPr="00CF17CB">
        <w:rPr>
          <w:rFonts w:ascii="Times New Roman" w:hAnsi="Times New Roman"/>
          <w:lang w:val="pt-BR"/>
        </w:rPr>
        <w:t>calculado a partir da curva TPR para</w:t>
      </w:r>
      <w:r w:rsidR="00CF17CB" w:rsidRPr="00CF17CB">
        <w:rPr>
          <w:rFonts w:ascii="Times New Roman" w:hAnsi="Times New Roman"/>
          <w:lang w:val="pt-BR"/>
        </w:rPr>
        <w:t xml:space="preserve"> zeólita</w:t>
      </w:r>
      <w:r w:rsidR="00272D5F">
        <w:rPr>
          <w:rFonts w:ascii="Times New Roman" w:hAnsi="Times New Roman"/>
          <w:lang w:val="pt-BR"/>
        </w:rPr>
        <w:t>s</w:t>
      </w:r>
      <w:r w:rsidR="00CF17CB" w:rsidRPr="00CF17CB">
        <w:rPr>
          <w:rFonts w:ascii="Times New Roman" w:hAnsi="Times New Roman"/>
          <w:lang w:val="pt-BR"/>
        </w:rPr>
        <w:t xml:space="preserve"> beta impregnada</w:t>
      </w:r>
      <w:r w:rsidR="00272D5F">
        <w:rPr>
          <w:rFonts w:ascii="Times New Roman" w:hAnsi="Times New Roman"/>
          <w:lang w:val="pt-BR"/>
        </w:rPr>
        <w:t>s</w:t>
      </w:r>
      <w:r w:rsidR="00CF17CB" w:rsidRPr="00CF17CB">
        <w:rPr>
          <w:rFonts w:ascii="Times New Roman" w:hAnsi="Times New Roman"/>
          <w:lang w:val="pt-BR"/>
        </w:rPr>
        <w:t xml:space="preserve"> com </w:t>
      </w:r>
      <w:r w:rsidR="00645436">
        <w:rPr>
          <w:rFonts w:ascii="Times New Roman" w:hAnsi="Times New Roman"/>
          <w:lang w:val="pt-BR"/>
        </w:rPr>
        <w:t>Pt</w:t>
      </w:r>
      <w:r w:rsidR="00CF17CB" w:rsidRPr="00CF17CB">
        <w:rPr>
          <w:rFonts w:ascii="Times New Roman" w:hAnsi="Times New Roman"/>
          <w:lang w:val="pt-BR"/>
        </w:rPr>
        <w:t>.</w:t>
      </w:r>
    </w:p>
    <w:tbl>
      <w:tblPr>
        <w:tblW w:w="49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0"/>
        <w:gridCol w:w="1077"/>
        <w:gridCol w:w="1417"/>
        <w:gridCol w:w="1356"/>
      </w:tblGrid>
      <w:tr w:rsidR="00897630" w:rsidRPr="002A1305" w14:paraId="511429B0" w14:textId="215BA5CD" w:rsidTr="00D02EC2">
        <w:tc>
          <w:tcPr>
            <w:tcW w:w="1050" w:type="dxa"/>
            <w:vAlign w:val="center"/>
          </w:tcPr>
          <w:p w14:paraId="31A62B58" w14:textId="3609EA0F" w:rsidR="00897630" w:rsidRPr="003D315F" w:rsidRDefault="00897630" w:rsidP="003838E9">
            <w:pPr>
              <w:pStyle w:val="TCTableBody"/>
              <w:spacing w:after="0"/>
            </w:pPr>
            <w:r w:rsidRPr="003D315F">
              <w:t>Catalisador</w:t>
            </w:r>
          </w:p>
        </w:tc>
        <w:tc>
          <w:tcPr>
            <w:tcW w:w="1077" w:type="dxa"/>
            <w:vAlign w:val="center"/>
          </w:tcPr>
          <w:p w14:paraId="25712724" w14:textId="77777777" w:rsidR="00897630" w:rsidRDefault="00897630" w:rsidP="003838E9">
            <w:pPr>
              <w:pStyle w:val="TCTableBody"/>
              <w:spacing w:after="0"/>
            </w:pPr>
            <w:r w:rsidRPr="003D315F">
              <w:t xml:space="preserve">Temperatura </w:t>
            </w:r>
          </w:p>
          <w:p w14:paraId="4ED98EF5" w14:textId="641206C5" w:rsidR="003D315F" w:rsidRPr="003D315F" w:rsidRDefault="00EF2AD2" w:rsidP="003838E9">
            <w:pPr>
              <w:pStyle w:val="TCTableBody"/>
              <w:spacing w:after="0"/>
            </w:pPr>
            <w:r>
              <w:t>(°C)</w:t>
            </w:r>
          </w:p>
        </w:tc>
        <w:tc>
          <w:tcPr>
            <w:tcW w:w="1417" w:type="dxa"/>
            <w:vAlign w:val="center"/>
          </w:tcPr>
          <w:p w14:paraId="0B4E2B7E" w14:textId="275AF772" w:rsidR="00897630" w:rsidRPr="003838E9" w:rsidRDefault="00897630" w:rsidP="003838E9">
            <w:pPr>
              <w:pStyle w:val="TCTableBody"/>
              <w:spacing w:after="0"/>
              <w:rPr>
                <w:lang w:val="pt-BR"/>
              </w:rPr>
            </w:pPr>
            <w:r w:rsidRPr="003838E9">
              <w:rPr>
                <w:lang w:val="pt-BR"/>
              </w:rPr>
              <w:t xml:space="preserve">Quantidade de </w:t>
            </w:r>
            <w:r w:rsidR="003838E9" w:rsidRPr="003838E9">
              <w:rPr>
                <w:lang w:val="pt-BR"/>
              </w:rPr>
              <w:t>H</w:t>
            </w:r>
            <w:r w:rsidR="003838E9" w:rsidRPr="003838E9">
              <w:rPr>
                <w:vertAlign w:val="subscript"/>
                <w:lang w:val="pt-BR"/>
              </w:rPr>
              <w:t>2</w:t>
            </w:r>
            <w:r w:rsidRPr="003838E9">
              <w:rPr>
                <w:lang w:val="pt-BR"/>
              </w:rPr>
              <w:t xml:space="preserve"> </w:t>
            </w:r>
            <w:r w:rsidR="00F5017D" w:rsidRPr="003838E9">
              <w:rPr>
                <w:lang w:val="pt-BR"/>
              </w:rPr>
              <w:t>(</w:t>
            </w:r>
            <w:r w:rsidR="00F5017D">
              <w:t>μ</w:t>
            </w:r>
            <w:r w:rsidR="00DE38DF" w:rsidRPr="003838E9">
              <w:rPr>
                <w:lang w:val="pt-BR"/>
              </w:rPr>
              <w:t>mol g</w:t>
            </w:r>
            <w:r w:rsidR="00DE38DF" w:rsidRPr="003838E9">
              <w:rPr>
                <w:vertAlign w:val="superscript"/>
                <w:lang w:val="pt-BR"/>
              </w:rPr>
              <w:t>-1</w:t>
            </w:r>
            <w:r w:rsidR="00DE38DF" w:rsidRPr="003838E9">
              <w:rPr>
                <w:lang w:val="pt-BR"/>
              </w:rPr>
              <w:t>)</w:t>
            </w:r>
          </w:p>
        </w:tc>
        <w:tc>
          <w:tcPr>
            <w:tcW w:w="1356" w:type="dxa"/>
            <w:vAlign w:val="center"/>
          </w:tcPr>
          <w:p w14:paraId="50E7361F" w14:textId="78AD18E6" w:rsidR="00897630" w:rsidRPr="002A1305" w:rsidRDefault="00D02EC2" w:rsidP="003838E9">
            <w:pPr>
              <w:pStyle w:val="TCTableBody"/>
              <w:spacing w:after="0"/>
              <w:rPr>
                <w:lang w:val="pt-BR"/>
              </w:rPr>
            </w:pPr>
            <w:r>
              <w:rPr>
                <w:lang w:val="pt-BR"/>
              </w:rPr>
              <w:t>Quantidade t</w:t>
            </w:r>
            <w:r w:rsidR="00897630" w:rsidRPr="002A1305">
              <w:rPr>
                <w:lang w:val="pt-BR"/>
              </w:rPr>
              <w:t>otal</w:t>
            </w:r>
            <w:r w:rsidR="002A1305">
              <w:rPr>
                <w:lang w:val="pt-BR"/>
              </w:rPr>
              <w:t xml:space="preserve"> </w:t>
            </w:r>
            <w:r w:rsidR="005D18A8" w:rsidRPr="002A1305">
              <w:rPr>
                <w:lang w:val="pt-BR"/>
              </w:rPr>
              <w:t>(</w:t>
            </w:r>
            <w:r w:rsidR="005D18A8">
              <w:t>μ</w:t>
            </w:r>
            <w:r w:rsidR="005D18A8" w:rsidRPr="002A1305">
              <w:rPr>
                <w:lang w:val="pt-BR"/>
              </w:rPr>
              <w:t>mol g</w:t>
            </w:r>
            <w:r w:rsidR="005D18A8" w:rsidRPr="002A1305">
              <w:rPr>
                <w:vertAlign w:val="superscript"/>
                <w:lang w:val="pt-BR"/>
              </w:rPr>
              <w:t>-1</w:t>
            </w:r>
            <w:r w:rsidR="005D18A8" w:rsidRPr="002A1305">
              <w:rPr>
                <w:lang w:val="pt-BR"/>
              </w:rPr>
              <w:t>)</w:t>
            </w:r>
          </w:p>
        </w:tc>
      </w:tr>
      <w:tr w:rsidR="00897630" w:rsidRPr="003D315F" w14:paraId="1721E65C" w14:textId="784B75DD" w:rsidTr="00D02EC2">
        <w:tc>
          <w:tcPr>
            <w:tcW w:w="1050" w:type="dxa"/>
            <w:vAlign w:val="center"/>
          </w:tcPr>
          <w:p w14:paraId="0D902A65" w14:textId="379BF0FB" w:rsidR="00897630" w:rsidRPr="003D315F" w:rsidRDefault="0064542A" w:rsidP="003838E9">
            <w:pPr>
              <w:pStyle w:val="TCTableBody"/>
              <w:spacing w:after="0"/>
            </w:pPr>
            <w:r w:rsidRPr="003D315F">
              <w:t>B30-Pt</w:t>
            </w:r>
          </w:p>
        </w:tc>
        <w:tc>
          <w:tcPr>
            <w:tcW w:w="1077" w:type="dxa"/>
            <w:vAlign w:val="center"/>
          </w:tcPr>
          <w:p w14:paraId="54520A07" w14:textId="0AF546B9" w:rsidR="0092714B" w:rsidRPr="003D315F" w:rsidRDefault="0092714B" w:rsidP="003838E9">
            <w:pPr>
              <w:pStyle w:val="TCTableBody"/>
              <w:spacing w:after="0"/>
              <w:rPr>
                <w:iCs/>
              </w:rPr>
            </w:pPr>
            <w:r w:rsidRPr="003D315F">
              <w:rPr>
                <w:iCs/>
              </w:rPr>
              <w:t>166</w:t>
            </w:r>
            <w:r w:rsidR="00EF2AD2">
              <w:rPr>
                <w:iCs/>
              </w:rPr>
              <w:t>,</w:t>
            </w:r>
            <w:r w:rsidRPr="003D315F">
              <w:rPr>
                <w:iCs/>
              </w:rPr>
              <w:t>4</w:t>
            </w:r>
            <w:r w:rsidR="003D315F">
              <w:rPr>
                <w:iCs/>
              </w:rPr>
              <w:t xml:space="preserve"> </w:t>
            </w:r>
          </w:p>
          <w:p w14:paraId="6EB715EB" w14:textId="614B86D1" w:rsidR="00897630" w:rsidRPr="003D315F" w:rsidRDefault="0092714B" w:rsidP="003838E9">
            <w:pPr>
              <w:pStyle w:val="TCTableBody"/>
              <w:spacing w:after="0"/>
            </w:pPr>
            <w:r w:rsidRPr="003D315F">
              <w:rPr>
                <w:iCs/>
              </w:rPr>
              <w:t>388</w:t>
            </w:r>
            <w:r w:rsidR="00EF2AD2">
              <w:rPr>
                <w:iCs/>
              </w:rPr>
              <w:t>,</w:t>
            </w:r>
            <w:r w:rsidRPr="003D315F">
              <w:rPr>
                <w:iCs/>
              </w:rPr>
              <w:t>1</w:t>
            </w:r>
          </w:p>
        </w:tc>
        <w:tc>
          <w:tcPr>
            <w:tcW w:w="1417" w:type="dxa"/>
            <w:vAlign w:val="center"/>
          </w:tcPr>
          <w:p w14:paraId="488B7497" w14:textId="65186E86" w:rsidR="00425CCE" w:rsidRPr="003D315F" w:rsidRDefault="00425CCE" w:rsidP="003838E9">
            <w:pPr>
              <w:pStyle w:val="TCTableBody"/>
              <w:spacing w:after="0"/>
              <w:rPr>
                <w:iCs/>
              </w:rPr>
            </w:pPr>
            <w:r w:rsidRPr="003D315F">
              <w:rPr>
                <w:iCs/>
              </w:rPr>
              <w:t>77</w:t>
            </w:r>
            <w:r w:rsidR="00EF2AD2">
              <w:rPr>
                <w:iCs/>
              </w:rPr>
              <w:t>,</w:t>
            </w:r>
            <w:r w:rsidRPr="003D315F">
              <w:rPr>
                <w:iCs/>
              </w:rPr>
              <w:t>5</w:t>
            </w:r>
          </w:p>
          <w:p w14:paraId="00D0BF2D" w14:textId="58E5E4EA" w:rsidR="00897630" w:rsidRPr="003D315F" w:rsidRDefault="00425CCE" w:rsidP="003838E9">
            <w:pPr>
              <w:pStyle w:val="TCTableBody"/>
              <w:spacing w:after="0"/>
            </w:pPr>
            <w:r w:rsidRPr="003D315F">
              <w:rPr>
                <w:iCs/>
              </w:rPr>
              <w:t>160</w:t>
            </w:r>
            <w:r w:rsidR="00EF2AD2">
              <w:rPr>
                <w:iCs/>
              </w:rPr>
              <w:t>,</w:t>
            </w:r>
            <w:r w:rsidRPr="003D315F">
              <w:rPr>
                <w:iCs/>
              </w:rPr>
              <w:t>2</w:t>
            </w:r>
          </w:p>
        </w:tc>
        <w:tc>
          <w:tcPr>
            <w:tcW w:w="1356" w:type="dxa"/>
            <w:vAlign w:val="center"/>
          </w:tcPr>
          <w:p w14:paraId="6342DCEA" w14:textId="28A9AD7A" w:rsidR="00897630" w:rsidRPr="003D315F" w:rsidRDefault="00197AB3" w:rsidP="003838E9">
            <w:pPr>
              <w:pStyle w:val="TCTableBody"/>
              <w:spacing w:after="0"/>
            </w:pPr>
            <w:r w:rsidRPr="003D315F">
              <w:rPr>
                <w:iCs/>
              </w:rPr>
              <w:t>237</w:t>
            </w:r>
            <w:r w:rsidR="00EF2AD2">
              <w:rPr>
                <w:iCs/>
              </w:rPr>
              <w:t>,</w:t>
            </w:r>
            <w:r w:rsidRPr="003D315F">
              <w:rPr>
                <w:iCs/>
              </w:rPr>
              <w:t>7</w:t>
            </w:r>
          </w:p>
        </w:tc>
      </w:tr>
      <w:tr w:rsidR="00897630" w:rsidRPr="003D315F" w14:paraId="42C608FD" w14:textId="7EF8648B" w:rsidTr="00D02EC2">
        <w:tc>
          <w:tcPr>
            <w:tcW w:w="1050" w:type="dxa"/>
            <w:vAlign w:val="center"/>
          </w:tcPr>
          <w:p w14:paraId="0A8F2533" w14:textId="536765F4" w:rsidR="00897630" w:rsidRPr="003D315F" w:rsidRDefault="0064542A" w:rsidP="003838E9">
            <w:pPr>
              <w:pStyle w:val="TCTableBody"/>
              <w:spacing w:after="0"/>
            </w:pPr>
            <w:r w:rsidRPr="003D315F">
              <w:t>B60-Pt</w:t>
            </w:r>
          </w:p>
        </w:tc>
        <w:tc>
          <w:tcPr>
            <w:tcW w:w="1077" w:type="dxa"/>
            <w:vAlign w:val="center"/>
          </w:tcPr>
          <w:p w14:paraId="6340C4BA" w14:textId="28760A04" w:rsidR="00E32746" w:rsidRPr="003D315F" w:rsidRDefault="00E32746" w:rsidP="003838E9">
            <w:pPr>
              <w:pStyle w:val="TCTableBody"/>
              <w:spacing w:after="0"/>
              <w:rPr>
                <w:color w:val="000000"/>
                <w:lang w:eastAsia="es-CL"/>
              </w:rPr>
            </w:pPr>
            <w:r w:rsidRPr="003D315F">
              <w:rPr>
                <w:color w:val="000000"/>
                <w:lang w:eastAsia="es-CL"/>
              </w:rPr>
              <w:t>164</w:t>
            </w:r>
            <w:r w:rsidR="00EF2AD2">
              <w:rPr>
                <w:color w:val="000000"/>
                <w:lang w:eastAsia="es-CL"/>
              </w:rPr>
              <w:t>,</w:t>
            </w:r>
            <w:r w:rsidRPr="003D315F">
              <w:rPr>
                <w:color w:val="000000"/>
                <w:lang w:eastAsia="es-CL"/>
              </w:rPr>
              <w:t>5</w:t>
            </w:r>
          </w:p>
          <w:p w14:paraId="3092DDD6" w14:textId="4ACF95F0" w:rsidR="00897630" w:rsidRPr="003D315F" w:rsidRDefault="00E32746" w:rsidP="003838E9">
            <w:pPr>
              <w:pStyle w:val="TCTableBody"/>
              <w:spacing w:after="0"/>
            </w:pPr>
            <w:r w:rsidRPr="003D315F">
              <w:rPr>
                <w:color w:val="000000"/>
                <w:lang w:eastAsia="es-CL"/>
              </w:rPr>
              <w:t>393</w:t>
            </w:r>
            <w:r w:rsidR="00EF2AD2">
              <w:rPr>
                <w:color w:val="000000"/>
                <w:lang w:eastAsia="es-CL"/>
              </w:rPr>
              <w:t>,</w:t>
            </w:r>
            <w:r w:rsidRPr="003D315F">
              <w:rPr>
                <w:color w:val="000000"/>
                <w:lang w:eastAsia="es-CL"/>
              </w:rPr>
              <w:t>1</w:t>
            </w:r>
          </w:p>
        </w:tc>
        <w:tc>
          <w:tcPr>
            <w:tcW w:w="1417" w:type="dxa"/>
            <w:vAlign w:val="center"/>
          </w:tcPr>
          <w:p w14:paraId="6E052CAC" w14:textId="398463BF" w:rsidR="003C0416" w:rsidRPr="003D315F" w:rsidRDefault="003C0416" w:rsidP="003838E9">
            <w:pPr>
              <w:pStyle w:val="TCTableBody"/>
              <w:spacing w:after="0"/>
              <w:rPr>
                <w:color w:val="000000"/>
                <w:lang w:eastAsia="es-CL"/>
              </w:rPr>
            </w:pPr>
            <w:r w:rsidRPr="003D315F">
              <w:rPr>
                <w:color w:val="000000"/>
                <w:lang w:eastAsia="es-CL"/>
              </w:rPr>
              <w:t>86</w:t>
            </w:r>
            <w:r w:rsidR="00EF2AD2">
              <w:rPr>
                <w:color w:val="000000"/>
                <w:lang w:eastAsia="es-CL"/>
              </w:rPr>
              <w:t>,</w:t>
            </w:r>
            <w:r w:rsidRPr="003D315F">
              <w:rPr>
                <w:color w:val="000000"/>
                <w:lang w:eastAsia="es-CL"/>
              </w:rPr>
              <w:t>3</w:t>
            </w:r>
          </w:p>
          <w:p w14:paraId="0D551916" w14:textId="642AF27B" w:rsidR="00897630" w:rsidRPr="003D315F" w:rsidRDefault="003C0416" w:rsidP="003838E9">
            <w:pPr>
              <w:pStyle w:val="TCTableBody"/>
              <w:spacing w:after="0"/>
            </w:pPr>
            <w:r w:rsidRPr="003D315F">
              <w:rPr>
                <w:color w:val="000000"/>
                <w:lang w:eastAsia="es-CL"/>
              </w:rPr>
              <w:t>159</w:t>
            </w:r>
            <w:r w:rsidR="00EF2AD2">
              <w:rPr>
                <w:color w:val="000000"/>
                <w:lang w:eastAsia="es-CL"/>
              </w:rPr>
              <w:t>,</w:t>
            </w:r>
            <w:r w:rsidRPr="003D315F">
              <w:rPr>
                <w:color w:val="000000"/>
                <w:lang w:eastAsia="es-CL"/>
              </w:rPr>
              <w:t>0</w:t>
            </w:r>
          </w:p>
        </w:tc>
        <w:tc>
          <w:tcPr>
            <w:tcW w:w="1356" w:type="dxa"/>
            <w:vAlign w:val="center"/>
          </w:tcPr>
          <w:p w14:paraId="14B01944" w14:textId="55697338" w:rsidR="00897630" w:rsidRPr="003D315F" w:rsidRDefault="00AB551C" w:rsidP="003838E9">
            <w:pPr>
              <w:pStyle w:val="TCTableBody"/>
              <w:spacing w:after="0"/>
            </w:pPr>
            <w:r w:rsidRPr="003D315F">
              <w:rPr>
                <w:color w:val="000000"/>
                <w:lang w:eastAsia="es-CL"/>
              </w:rPr>
              <w:t>245</w:t>
            </w:r>
            <w:r w:rsidR="00EF2AD2">
              <w:rPr>
                <w:color w:val="000000"/>
                <w:lang w:eastAsia="es-CL"/>
              </w:rPr>
              <w:t>,</w:t>
            </w:r>
            <w:r w:rsidRPr="003D315F">
              <w:rPr>
                <w:color w:val="000000"/>
                <w:lang w:eastAsia="es-CL"/>
              </w:rPr>
              <w:t>3</w:t>
            </w:r>
          </w:p>
        </w:tc>
      </w:tr>
      <w:tr w:rsidR="00897630" w:rsidRPr="003D315F" w14:paraId="492E91D9" w14:textId="05C211D7" w:rsidTr="00D02EC2">
        <w:trPr>
          <w:trHeight w:val="454"/>
        </w:trPr>
        <w:tc>
          <w:tcPr>
            <w:tcW w:w="1050" w:type="dxa"/>
            <w:tcBorders>
              <w:bottom w:val="single" w:sz="6" w:space="0" w:color="auto"/>
            </w:tcBorders>
            <w:vAlign w:val="center"/>
          </w:tcPr>
          <w:p w14:paraId="4253B018" w14:textId="01D56999" w:rsidR="00897630" w:rsidRPr="003D315F" w:rsidRDefault="0064542A" w:rsidP="003838E9">
            <w:pPr>
              <w:pStyle w:val="TCTableBody"/>
              <w:spacing w:after="0"/>
            </w:pPr>
            <w:r w:rsidRPr="003D315F">
              <w:t>B90-Pt</w:t>
            </w:r>
          </w:p>
        </w:tc>
        <w:tc>
          <w:tcPr>
            <w:tcW w:w="1077" w:type="dxa"/>
            <w:tcBorders>
              <w:bottom w:val="single" w:sz="6" w:space="0" w:color="auto"/>
            </w:tcBorders>
            <w:vAlign w:val="center"/>
          </w:tcPr>
          <w:p w14:paraId="0A8B25EA" w14:textId="19AAE8F3" w:rsidR="00B3599B" w:rsidRPr="003D315F" w:rsidRDefault="00B3599B" w:rsidP="003838E9">
            <w:pPr>
              <w:pStyle w:val="TCTableBody"/>
              <w:spacing w:after="0"/>
              <w:rPr>
                <w:color w:val="000000"/>
                <w:lang w:eastAsia="es-CL"/>
              </w:rPr>
            </w:pPr>
            <w:r w:rsidRPr="003D315F">
              <w:rPr>
                <w:color w:val="000000"/>
                <w:lang w:eastAsia="es-CL"/>
              </w:rPr>
              <w:t>166</w:t>
            </w:r>
            <w:r w:rsidR="00EF2AD2">
              <w:rPr>
                <w:color w:val="000000"/>
                <w:lang w:eastAsia="es-CL"/>
              </w:rPr>
              <w:t>,</w:t>
            </w:r>
            <w:r w:rsidRPr="003D315F">
              <w:rPr>
                <w:color w:val="000000"/>
                <w:lang w:eastAsia="es-CL"/>
              </w:rPr>
              <w:t>3</w:t>
            </w:r>
          </w:p>
          <w:p w14:paraId="1F976EEC" w14:textId="31CA7A2B" w:rsidR="00897630" w:rsidRPr="003D315F" w:rsidRDefault="00B3599B" w:rsidP="003838E9">
            <w:pPr>
              <w:pStyle w:val="TCTableBody"/>
              <w:spacing w:after="0"/>
            </w:pPr>
            <w:r w:rsidRPr="003D315F">
              <w:rPr>
                <w:color w:val="000000"/>
                <w:lang w:eastAsia="es-CL"/>
              </w:rPr>
              <w:t>448</w:t>
            </w:r>
            <w:r w:rsidR="00EF2AD2">
              <w:rPr>
                <w:color w:val="000000"/>
                <w:lang w:eastAsia="es-CL"/>
              </w:rPr>
              <w:t>,</w:t>
            </w:r>
            <w:r w:rsidRPr="003D315F">
              <w:rPr>
                <w:color w:val="000000"/>
                <w:lang w:eastAsia="es-CL"/>
              </w:rPr>
              <w:t>3</w:t>
            </w:r>
          </w:p>
        </w:tc>
        <w:tc>
          <w:tcPr>
            <w:tcW w:w="1417" w:type="dxa"/>
            <w:tcBorders>
              <w:bottom w:val="single" w:sz="6" w:space="0" w:color="auto"/>
            </w:tcBorders>
            <w:vAlign w:val="center"/>
          </w:tcPr>
          <w:p w14:paraId="2D67789B" w14:textId="07025D24" w:rsidR="0096490F" w:rsidRPr="003D315F" w:rsidRDefault="0096490F" w:rsidP="003838E9">
            <w:pPr>
              <w:pStyle w:val="TCTableBody"/>
              <w:spacing w:after="0"/>
              <w:rPr>
                <w:color w:val="000000"/>
                <w:lang w:eastAsia="es-CL"/>
              </w:rPr>
            </w:pPr>
            <w:r w:rsidRPr="003D315F">
              <w:rPr>
                <w:color w:val="000000"/>
                <w:lang w:eastAsia="es-CL"/>
              </w:rPr>
              <w:t>160</w:t>
            </w:r>
            <w:r w:rsidR="00EF2AD2">
              <w:rPr>
                <w:color w:val="000000"/>
                <w:lang w:eastAsia="es-CL"/>
              </w:rPr>
              <w:t>,</w:t>
            </w:r>
            <w:r w:rsidRPr="003D315F">
              <w:rPr>
                <w:color w:val="000000"/>
                <w:lang w:eastAsia="es-CL"/>
              </w:rPr>
              <w:t>5</w:t>
            </w:r>
          </w:p>
          <w:p w14:paraId="0F872449" w14:textId="455DF883" w:rsidR="00897630" w:rsidRPr="003D315F" w:rsidRDefault="0096490F" w:rsidP="003838E9">
            <w:pPr>
              <w:pStyle w:val="TCTableBody"/>
              <w:spacing w:after="0"/>
            </w:pPr>
            <w:r w:rsidRPr="003D315F">
              <w:rPr>
                <w:color w:val="000000"/>
                <w:lang w:eastAsia="es-CL"/>
              </w:rPr>
              <w:t>481</w:t>
            </w:r>
            <w:r w:rsidR="00EF2AD2">
              <w:rPr>
                <w:color w:val="000000"/>
                <w:lang w:eastAsia="es-CL"/>
              </w:rPr>
              <w:t>,</w:t>
            </w:r>
            <w:r w:rsidRPr="003D315F">
              <w:rPr>
                <w:color w:val="000000"/>
                <w:lang w:eastAsia="es-CL"/>
              </w:rPr>
              <w:t>6</w:t>
            </w:r>
          </w:p>
        </w:tc>
        <w:tc>
          <w:tcPr>
            <w:tcW w:w="1356" w:type="dxa"/>
            <w:tcBorders>
              <w:bottom w:val="single" w:sz="6" w:space="0" w:color="auto"/>
            </w:tcBorders>
            <w:vAlign w:val="center"/>
          </w:tcPr>
          <w:p w14:paraId="4E87C21C" w14:textId="4F2A93D3" w:rsidR="00897630" w:rsidRPr="003D315F" w:rsidRDefault="00085E1F" w:rsidP="003838E9">
            <w:pPr>
              <w:pStyle w:val="TCTableBody"/>
              <w:spacing w:after="0"/>
            </w:pPr>
            <w:r w:rsidRPr="003D315F">
              <w:rPr>
                <w:color w:val="000000"/>
                <w:lang w:eastAsia="es-CL"/>
              </w:rPr>
              <w:t>642</w:t>
            </w:r>
            <w:r w:rsidR="00EF2AD2">
              <w:rPr>
                <w:color w:val="000000"/>
                <w:lang w:eastAsia="es-CL"/>
              </w:rPr>
              <w:t>,</w:t>
            </w:r>
            <w:r w:rsidRPr="003D315F">
              <w:rPr>
                <w:color w:val="000000"/>
                <w:lang w:eastAsia="es-CL"/>
              </w:rPr>
              <w:t>1</w:t>
            </w:r>
          </w:p>
        </w:tc>
      </w:tr>
    </w:tbl>
    <w:p w14:paraId="2D78E742" w14:textId="0A4F8729" w:rsidR="005C0450" w:rsidRPr="001F1189" w:rsidRDefault="009F7508" w:rsidP="00952D79">
      <w:pPr>
        <w:pStyle w:val="TAMainText"/>
        <w:spacing w:before="160" w:after="160"/>
        <w:ind w:firstLine="187"/>
        <w:rPr>
          <w:rFonts w:ascii="Times New Roman" w:hAnsi="Times New Roman"/>
          <w:lang w:val="pt-BR"/>
        </w:rPr>
      </w:pPr>
      <w:r w:rsidRPr="00655E11">
        <w:rPr>
          <w:rFonts w:ascii="Times New Roman" w:hAnsi="Times New Roman"/>
          <w:lang w:val="pt-BR"/>
        </w:rPr>
        <w:t xml:space="preserve">A Figura </w:t>
      </w:r>
      <w:r w:rsidR="00222CC2" w:rsidRPr="00655E11">
        <w:rPr>
          <w:rFonts w:ascii="Times New Roman" w:hAnsi="Times New Roman"/>
          <w:lang w:val="pt-BR"/>
        </w:rPr>
        <w:t>3</w:t>
      </w:r>
      <w:r w:rsidRPr="00655E11">
        <w:rPr>
          <w:rFonts w:ascii="Times New Roman" w:hAnsi="Times New Roman"/>
          <w:lang w:val="pt-BR"/>
        </w:rPr>
        <w:t xml:space="preserve"> apresenta</w:t>
      </w:r>
      <w:r w:rsidRPr="00476764">
        <w:rPr>
          <w:rFonts w:ascii="Times New Roman" w:hAnsi="Times New Roman"/>
          <w:lang w:val="pt-BR"/>
        </w:rPr>
        <w:t xml:space="preserve"> o</w:t>
      </w:r>
      <w:r w:rsidR="00B55F01" w:rsidRPr="00476764">
        <w:rPr>
          <w:rFonts w:ascii="Times New Roman" w:hAnsi="Times New Roman"/>
          <w:lang w:val="pt-BR"/>
        </w:rPr>
        <w:t>s</w:t>
      </w:r>
      <w:r w:rsidR="00347EB7" w:rsidRPr="00476764">
        <w:rPr>
          <w:rFonts w:ascii="Times New Roman" w:hAnsi="Times New Roman"/>
          <w:lang w:val="pt-BR"/>
        </w:rPr>
        <w:t xml:space="preserve"> espectro</w:t>
      </w:r>
      <w:r w:rsidR="00B55F01" w:rsidRPr="00476764">
        <w:rPr>
          <w:rFonts w:ascii="Times New Roman" w:hAnsi="Times New Roman"/>
          <w:lang w:val="pt-BR"/>
        </w:rPr>
        <w:t>s</w:t>
      </w:r>
      <w:r w:rsidR="00347EB7" w:rsidRPr="00476764">
        <w:rPr>
          <w:rFonts w:ascii="Times New Roman" w:hAnsi="Times New Roman"/>
          <w:lang w:val="pt-BR"/>
        </w:rPr>
        <w:t xml:space="preserve"> de</w:t>
      </w:r>
      <w:r w:rsidR="00B55F01" w:rsidRPr="00476764">
        <w:rPr>
          <w:rFonts w:ascii="Times New Roman" w:hAnsi="Times New Roman"/>
          <w:lang w:val="pt-BR"/>
        </w:rPr>
        <w:t xml:space="preserve"> RMN</w:t>
      </w:r>
      <w:r w:rsidR="005566BC" w:rsidRPr="00476764">
        <w:rPr>
          <w:rFonts w:ascii="Times New Roman" w:hAnsi="Times New Roman"/>
          <w:lang w:val="pt-BR"/>
        </w:rPr>
        <w:t xml:space="preserve"> de</w:t>
      </w:r>
      <w:r w:rsidR="00347EB7" w:rsidRPr="00476764">
        <w:rPr>
          <w:rFonts w:ascii="Times New Roman" w:hAnsi="Times New Roman"/>
          <w:lang w:val="pt-BR"/>
        </w:rPr>
        <w:t xml:space="preserve"> </w:t>
      </w:r>
      <w:r w:rsidR="00347EB7" w:rsidRPr="00476764">
        <w:rPr>
          <w:rFonts w:ascii="Times New Roman" w:hAnsi="Times New Roman"/>
          <w:vertAlign w:val="superscript"/>
          <w:lang w:val="pt-BR"/>
        </w:rPr>
        <w:t>27</w:t>
      </w:r>
      <w:r w:rsidR="00347EB7" w:rsidRPr="00476764">
        <w:rPr>
          <w:rFonts w:ascii="Times New Roman" w:hAnsi="Times New Roman"/>
          <w:lang w:val="pt-BR"/>
        </w:rPr>
        <w:t>Al d</w:t>
      </w:r>
      <w:r w:rsidR="008E4E29" w:rsidRPr="00476764">
        <w:rPr>
          <w:rFonts w:ascii="Times New Roman" w:hAnsi="Times New Roman"/>
          <w:lang w:val="pt-BR"/>
        </w:rPr>
        <w:t>os catalisadores</w:t>
      </w:r>
      <w:r w:rsidRPr="00476764">
        <w:rPr>
          <w:rFonts w:ascii="Times New Roman" w:hAnsi="Times New Roman"/>
          <w:lang w:val="pt-BR"/>
        </w:rPr>
        <w:t xml:space="preserve">. Os </w:t>
      </w:r>
      <w:r w:rsidR="00347EB7" w:rsidRPr="00476764">
        <w:rPr>
          <w:rFonts w:ascii="Times New Roman" w:hAnsi="Times New Roman"/>
          <w:lang w:val="pt-BR"/>
        </w:rPr>
        <w:t>sinais centrados e</w:t>
      </w:r>
      <w:r w:rsidR="00A96E1F" w:rsidRPr="00476764">
        <w:rPr>
          <w:rFonts w:ascii="Times New Roman" w:hAnsi="Times New Roman"/>
          <w:lang w:val="pt-BR"/>
        </w:rPr>
        <w:t>ntr</w:t>
      </w:r>
      <w:r w:rsidR="00AC1D3A" w:rsidRPr="00476764">
        <w:rPr>
          <w:rFonts w:ascii="Times New Roman" w:hAnsi="Times New Roman"/>
          <w:lang w:val="pt-BR"/>
        </w:rPr>
        <w:t>e</w:t>
      </w:r>
      <w:r w:rsidR="00347EB7" w:rsidRPr="00476764">
        <w:rPr>
          <w:rFonts w:ascii="Times New Roman" w:hAnsi="Times New Roman"/>
          <w:lang w:val="pt-BR"/>
        </w:rPr>
        <w:t xml:space="preserve"> 6</w:t>
      </w:r>
      <w:r w:rsidR="008F35D7" w:rsidRPr="00476764">
        <w:rPr>
          <w:rFonts w:ascii="Times New Roman" w:hAnsi="Times New Roman"/>
          <w:lang w:val="pt-BR"/>
        </w:rPr>
        <w:t>3</w:t>
      </w:r>
      <w:r w:rsidR="00347EB7" w:rsidRPr="00476764">
        <w:rPr>
          <w:rFonts w:ascii="Times New Roman" w:hAnsi="Times New Roman"/>
          <w:lang w:val="pt-BR"/>
        </w:rPr>
        <w:t xml:space="preserve">,7 </w:t>
      </w:r>
      <w:r w:rsidR="008F35D7" w:rsidRPr="00476764">
        <w:rPr>
          <w:rFonts w:ascii="Times New Roman" w:hAnsi="Times New Roman"/>
          <w:lang w:val="pt-BR"/>
        </w:rPr>
        <w:t xml:space="preserve">e 65,7 </w:t>
      </w:r>
      <w:r w:rsidR="00347EB7" w:rsidRPr="00476764">
        <w:rPr>
          <w:rFonts w:ascii="Times New Roman" w:hAnsi="Times New Roman"/>
          <w:lang w:val="pt-BR"/>
        </w:rPr>
        <w:t>ppm</w:t>
      </w:r>
      <w:r w:rsidR="00BF14D5" w:rsidRPr="00476764">
        <w:rPr>
          <w:rFonts w:ascii="Times New Roman" w:hAnsi="Times New Roman"/>
          <w:lang w:val="pt-BR"/>
        </w:rPr>
        <w:t xml:space="preserve"> </w:t>
      </w:r>
      <w:r w:rsidR="008E4E29" w:rsidRPr="00476764">
        <w:rPr>
          <w:rFonts w:ascii="Times New Roman" w:hAnsi="Times New Roman"/>
          <w:lang w:val="pt-BR"/>
        </w:rPr>
        <w:t xml:space="preserve">se </w:t>
      </w:r>
      <w:r w:rsidR="00D74057" w:rsidRPr="00476764">
        <w:rPr>
          <w:rFonts w:ascii="Times New Roman" w:hAnsi="Times New Roman"/>
          <w:lang w:val="pt-BR"/>
        </w:rPr>
        <w:t>refere</w:t>
      </w:r>
      <w:r w:rsidR="008E4E29" w:rsidRPr="00476764">
        <w:rPr>
          <w:rFonts w:ascii="Times New Roman" w:hAnsi="Times New Roman"/>
          <w:lang w:val="pt-BR"/>
        </w:rPr>
        <w:t>m</w:t>
      </w:r>
      <w:r w:rsidR="00D74057" w:rsidRPr="00476764">
        <w:rPr>
          <w:rFonts w:ascii="Times New Roman" w:hAnsi="Times New Roman"/>
          <w:lang w:val="pt-BR"/>
        </w:rPr>
        <w:t xml:space="preserve"> a</w:t>
      </w:r>
      <w:r w:rsidR="008E4E29" w:rsidRPr="00476764">
        <w:rPr>
          <w:rFonts w:ascii="Times New Roman" w:hAnsi="Times New Roman"/>
          <w:lang w:val="pt-BR"/>
        </w:rPr>
        <w:t>o</w:t>
      </w:r>
      <w:r w:rsidR="0036306F" w:rsidRPr="00476764">
        <w:rPr>
          <w:rFonts w:ascii="Times New Roman" w:hAnsi="Times New Roman"/>
          <w:lang w:val="pt-BR"/>
        </w:rPr>
        <w:t>s</w:t>
      </w:r>
      <w:r w:rsidR="00D74057" w:rsidRPr="00476764">
        <w:rPr>
          <w:rFonts w:ascii="Times New Roman" w:hAnsi="Times New Roman"/>
          <w:lang w:val="pt-BR"/>
        </w:rPr>
        <w:t xml:space="preserve"> </w:t>
      </w:r>
      <w:r w:rsidR="00D74057" w:rsidRPr="001F1189">
        <w:rPr>
          <w:rFonts w:ascii="Times New Roman" w:hAnsi="Times New Roman"/>
          <w:lang w:val="pt-BR"/>
        </w:rPr>
        <w:t>átomo</w:t>
      </w:r>
      <w:r w:rsidR="0036306F" w:rsidRPr="001F1189">
        <w:rPr>
          <w:rFonts w:ascii="Times New Roman" w:hAnsi="Times New Roman"/>
          <w:lang w:val="pt-BR"/>
        </w:rPr>
        <w:t>s</w:t>
      </w:r>
      <w:r w:rsidR="00D74057" w:rsidRPr="001F1189">
        <w:rPr>
          <w:rFonts w:ascii="Times New Roman" w:hAnsi="Times New Roman"/>
          <w:lang w:val="pt-BR"/>
        </w:rPr>
        <w:t xml:space="preserve"> de </w:t>
      </w:r>
      <w:r w:rsidR="00387CE0" w:rsidRPr="001F1189">
        <w:rPr>
          <w:rFonts w:ascii="Times New Roman" w:hAnsi="Times New Roman"/>
          <w:lang w:val="pt-BR"/>
        </w:rPr>
        <w:t>Al</w:t>
      </w:r>
      <w:r w:rsidR="00D74057" w:rsidRPr="001F1189">
        <w:rPr>
          <w:rFonts w:ascii="Times New Roman" w:hAnsi="Times New Roman"/>
          <w:lang w:val="pt-BR"/>
        </w:rPr>
        <w:t xml:space="preserve"> ligado</w:t>
      </w:r>
      <w:r w:rsidR="0036306F" w:rsidRPr="001F1189">
        <w:rPr>
          <w:rFonts w:ascii="Times New Roman" w:hAnsi="Times New Roman"/>
          <w:lang w:val="pt-BR"/>
        </w:rPr>
        <w:t>s</w:t>
      </w:r>
      <w:r w:rsidR="00D74057" w:rsidRPr="001F1189">
        <w:rPr>
          <w:rFonts w:ascii="Times New Roman" w:hAnsi="Times New Roman"/>
          <w:lang w:val="pt-BR"/>
        </w:rPr>
        <w:t xml:space="preserve"> tetraedricamente</w:t>
      </w:r>
      <w:r w:rsidR="00F04FB3" w:rsidRPr="001F1189">
        <w:rPr>
          <w:rFonts w:ascii="Times New Roman" w:hAnsi="Times New Roman"/>
          <w:lang w:val="pt-BR"/>
        </w:rPr>
        <w:t>,</w:t>
      </w:r>
      <w:r w:rsidR="008E4E29" w:rsidRPr="001F1189">
        <w:rPr>
          <w:rFonts w:ascii="Times New Roman" w:hAnsi="Times New Roman"/>
          <w:lang w:val="pt-BR"/>
        </w:rPr>
        <w:t xml:space="preserve"> </w:t>
      </w:r>
      <w:r w:rsidR="00347EB7" w:rsidRPr="001F1189">
        <w:rPr>
          <w:rFonts w:ascii="Times New Roman" w:hAnsi="Times New Roman"/>
          <w:lang w:val="pt-BR"/>
        </w:rPr>
        <w:t xml:space="preserve">e </w:t>
      </w:r>
      <w:r w:rsidR="00387CE0" w:rsidRPr="001F1189">
        <w:rPr>
          <w:rFonts w:ascii="Times New Roman" w:hAnsi="Times New Roman"/>
          <w:lang w:val="pt-BR"/>
        </w:rPr>
        <w:t xml:space="preserve">os </w:t>
      </w:r>
      <w:r w:rsidR="00BF14D5" w:rsidRPr="001F1189">
        <w:rPr>
          <w:rFonts w:ascii="Times New Roman" w:hAnsi="Times New Roman"/>
          <w:lang w:val="pt-BR"/>
        </w:rPr>
        <w:t xml:space="preserve">centrados </w:t>
      </w:r>
      <w:r w:rsidR="008F35D7" w:rsidRPr="001F1189">
        <w:rPr>
          <w:rFonts w:ascii="Times New Roman" w:hAnsi="Times New Roman"/>
          <w:lang w:val="pt-BR"/>
        </w:rPr>
        <w:t xml:space="preserve">entre </w:t>
      </w:r>
      <w:r w:rsidR="00920DF2" w:rsidRPr="001F1189">
        <w:rPr>
          <w:rFonts w:ascii="Times New Roman" w:hAnsi="Times New Roman"/>
          <w:lang w:val="pt-BR"/>
        </w:rPr>
        <w:t xml:space="preserve">7,3 e </w:t>
      </w:r>
      <w:r w:rsidR="00347EB7" w:rsidRPr="001F1189">
        <w:rPr>
          <w:rFonts w:ascii="Times New Roman" w:hAnsi="Times New Roman"/>
          <w:lang w:val="pt-BR"/>
        </w:rPr>
        <w:t>9,1 ppm</w:t>
      </w:r>
      <w:r w:rsidR="00F04FB3" w:rsidRPr="001F1189">
        <w:rPr>
          <w:rFonts w:ascii="Times New Roman" w:hAnsi="Times New Roman"/>
          <w:lang w:val="pt-BR"/>
        </w:rPr>
        <w:t xml:space="preserve">, </w:t>
      </w:r>
      <w:r w:rsidR="00BF14D5" w:rsidRPr="001F1189">
        <w:rPr>
          <w:rFonts w:ascii="Times New Roman" w:hAnsi="Times New Roman"/>
          <w:lang w:val="pt-BR"/>
        </w:rPr>
        <w:t xml:space="preserve">se referem </w:t>
      </w:r>
      <w:r w:rsidR="00F04FB3" w:rsidRPr="001F1189">
        <w:rPr>
          <w:rFonts w:ascii="Times New Roman" w:hAnsi="Times New Roman"/>
          <w:lang w:val="pt-BR"/>
        </w:rPr>
        <w:t>ao</w:t>
      </w:r>
      <w:r w:rsidR="0036306F" w:rsidRPr="001F1189">
        <w:rPr>
          <w:rFonts w:ascii="Times New Roman" w:hAnsi="Times New Roman"/>
          <w:lang w:val="pt-BR"/>
        </w:rPr>
        <w:t>s</w:t>
      </w:r>
      <w:r w:rsidR="00F04FB3" w:rsidRPr="001F1189">
        <w:rPr>
          <w:rFonts w:ascii="Times New Roman" w:hAnsi="Times New Roman"/>
          <w:lang w:val="pt-BR"/>
        </w:rPr>
        <w:t xml:space="preserve"> átomo</w:t>
      </w:r>
      <w:r w:rsidR="0036306F" w:rsidRPr="001F1189">
        <w:rPr>
          <w:rFonts w:ascii="Times New Roman" w:hAnsi="Times New Roman"/>
          <w:lang w:val="pt-BR"/>
        </w:rPr>
        <w:t>s</w:t>
      </w:r>
      <w:r w:rsidR="00F04FB3" w:rsidRPr="001F1189">
        <w:rPr>
          <w:rFonts w:ascii="Times New Roman" w:hAnsi="Times New Roman"/>
          <w:lang w:val="pt-BR"/>
        </w:rPr>
        <w:t xml:space="preserve"> de </w:t>
      </w:r>
      <w:r w:rsidR="00387CE0" w:rsidRPr="001F1189">
        <w:rPr>
          <w:rFonts w:ascii="Times New Roman" w:hAnsi="Times New Roman"/>
          <w:lang w:val="pt-BR"/>
        </w:rPr>
        <w:t>Al</w:t>
      </w:r>
      <w:r w:rsidR="00F04FB3" w:rsidRPr="001F1189">
        <w:rPr>
          <w:rFonts w:ascii="Times New Roman" w:hAnsi="Times New Roman"/>
          <w:lang w:val="pt-BR"/>
        </w:rPr>
        <w:t xml:space="preserve"> ligado</w:t>
      </w:r>
      <w:r w:rsidR="0036306F" w:rsidRPr="001F1189">
        <w:rPr>
          <w:rFonts w:ascii="Times New Roman" w:hAnsi="Times New Roman"/>
          <w:lang w:val="pt-BR"/>
        </w:rPr>
        <w:t>s</w:t>
      </w:r>
      <w:r w:rsidR="00F04FB3" w:rsidRPr="001F1189">
        <w:rPr>
          <w:rFonts w:ascii="Times New Roman" w:hAnsi="Times New Roman"/>
          <w:lang w:val="pt-BR"/>
        </w:rPr>
        <w:t xml:space="preserve"> octaedricamente</w:t>
      </w:r>
      <w:r w:rsidR="00BF14D5" w:rsidRPr="001F1189">
        <w:rPr>
          <w:rFonts w:ascii="Times New Roman" w:hAnsi="Times New Roman"/>
          <w:lang w:val="pt-BR"/>
        </w:rPr>
        <w:t xml:space="preserve"> (</w:t>
      </w:r>
      <w:r w:rsidR="00AB640B" w:rsidRPr="001F1189">
        <w:rPr>
          <w:rFonts w:ascii="Times New Roman" w:hAnsi="Times New Roman"/>
          <w:lang w:val="pt-BR"/>
        </w:rPr>
        <w:t>6</w:t>
      </w:r>
      <w:r w:rsidR="00BF14D5" w:rsidRPr="001F1189">
        <w:rPr>
          <w:rFonts w:ascii="Times New Roman" w:hAnsi="Times New Roman"/>
          <w:lang w:val="pt-BR"/>
        </w:rPr>
        <w:t>)</w:t>
      </w:r>
      <w:r w:rsidR="00F04FB3" w:rsidRPr="001F1189">
        <w:rPr>
          <w:rFonts w:ascii="Times New Roman" w:hAnsi="Times New Roman"/>
          <w:lang w:val="pt-BR"/>
        </w:rPr>
        <w:t>.</w:t>
      </w:r>
      <w:r w:rsidR="00BA6B96" w:rsidRPr="001F1189">
        <w:rPr>
          <w:rFonts w:ascii="Times New Roman" w:hAnsi="Times New Roman"/>
          <w:lang w:val="pt-BR"/>
        </w:rPr>
        <w:t xml:space="preserve"> </w:t>
      </w:r>
      <w:r w:rsidR="006234D1" w:rsidRPr="001F1189">
        <w:rPr>
          <w:rFonts w:ascii="Times New Roman" w:hAnsi="Times New Roman"/>
          <w:lang w:val="pt-BR"/>
        </w:rPr>
        <w:t xml:space="preserve">O </w:t>
      </w:r>
      <w:r w:rsidR="00347EB7" w:rsidRPr="001F1189">
        <w:rPr>
          <w:rFonts w:ascii="Times New Roman" w:hAnsi="Times New Roman"/>
          <w:lang w:val="pt-BR"/>
        </w:rPr>
        <w:t xml:space="preserve">deslocamento </w:t>
      </w:r>
      <w:r w:rsidR="006234D1" w:rsidRPr="001F1189">
        <w:rPr>
          <w:rFonts w:ascii="Times New Roman" w:hAnsi="Times New Roman"/>
          <w:lang w:val="pt-BR"/>
        </w:rPr>
        <w:t xml:space="preserve">químico </w:t>
      </w:r>
      <w:r w:rsidR="00347EB7" w:rsidRPr="001F1189">
        <w:rPr>
          <w:rFonts w:ascii="Times New Roman" w:hAnsi="Times New Roman"/>
          <w:lang w:val="pt-BR"/>
        </w:rPr>
        <w:t xml:space="preserve">do </w:t>
      </w:r>
      <w:r w:rsidR="0092520F" w:rsidRPr="001F1189">
        <w:rPr>
          <w:rFonts w:ascii="Times New Roman" w:hAnsi="Times New Roman"/>
          <w:lang w:val="pt-BR"/>
        </w:rPr>
        <w:t>primeiro pico</w:t>
      </w:r>
      <w:r w:rsidR="003D0AC0" w:rsidRPr="001F1189">
        <w:rPr>
          <w:rFonts w:ascii="Times New Roman" w:hAnsi="Times New Roman"/>
          <w:lang w:val="pt-BR"/>
        </w:rPr>
        <w:t>,</w:t>
      </w:r>
      <w:r w:rsidR="00347EB7" w:rsidRPr="001F1189">
        <w:rPr>
          <w:rFonts w:ascii="Times New Roman" w:hAnsi="Times New Roman"/>
          <w:lang w:val="pt-BR"/>
        </w:rPr>
        <w:t xml:space="preserve"> </w:t>
      </w:r>
      <w:r w:rsidR="003D0AC0" w:rsidRPr="001F1189">
        <w:rPr>
          <w:rFonts w:ascii="Times New Roman" w:hAnsi="Times New Roman"/>
          <w:lang w:val="pt-BR"/>
        </w:rPr>
        <w:t>após a impregnação com platina,</w:t>
      </w:r>
      <w:r w:rsidR="00BF14D5" w:rsidRPr="001F1189">
        <w:rPr>
          <w:rFonts w:ascii="Times New Roman" w:hAnsi="Times New Roman"/>
          <w:lang w:val="pt-BR"/>
        </w:rPr>
        <w:t xml:space="preserve"> </w:t>
      </w:r>
      <w:r w:rsidR="00FE4F16" w:rsidRPr="001F1189">
        <w:rPr>
          <w:rFonts w:ascii="Times New Roman" w:hAnsi="Times New Roman"/>
          <w:lang w:val="pt-BR"/>
        </w:rPr>
        <w:t xml:space="preserve">indica </w:t>
      </w:r>
      <w:r w:rsidR="00BA6B96" w:rsidRPr="001F1189">
        <w:rPr>
          <w:rFonts w:ascii="Times New Roman" w:hAnsi="Times New Roman"/>
          <w:lang w:val="pt-BR"/>
        </w:rPr>
        <w:t xml:space="preserve">uma mudança do </w:t>
      </w:r>
      <w:r w:rsidR="00387CE0" w:rsidRPr="001F1189">
        <w:rPr>
          <w:rFonts w:ascii="Times New Roman" w:hAnsi="Times New Roman"/>
          <w:lang w:val="pt-BR"/>
        </w:rPr>
        <w:t>Al p</w:t>
      </w:r>
      <w:r w:rsidR="00347EB7" w:rsidRPr="001F1189">
        <w:rPr>
          <w:rFonts w:ascii="Times New Roman" w:hAnsi="Times New Roman"/>
          <w:lang w:val="pt-BR"/>
        </w:rPr>
        <w:t>ara diferentes sítios cristalográficos</w:t>
      </w:r>
      <w:r w:rsidR="008B0C26" w:rsidRPr="001F1189">
        <w:rPr>
          <w:rFonts w:ascii="Times New Roman" w:hAnsi="Times New Roman"/>
          <w:lang w:val="pt-BR"/>
        </w:rPr>
        <w:t xml:space="preserve"> </w:t>
      </w:r>
      <w:r w:rsidR="00CF394C" w:rsidRPr="001F1189">
        <w:rPr>
          <w:rFonts w:ascii="Times New Roman" w:hAnsi="Times New Roman"/>
          <w:lang w:val="pt-BR"/>
        </w:rPr>
        <w:t>(</w:t>
      </w:r>
      <w:r w:rsidR="00AB640B" w:rsidRPr="001F1189">
        <w:rPr>
          <w:rFonts w:ascii="Times New Roman" w:hAnsi="Times New Roman"/>
          <w:lang w:val="pt-BR"/>
        </w:rPr>
        <w:t>7</w:t>
      </w:r>
      <w:r w:rsidR="00CF394C" w:rsidRPr="001F1189">
        <w:rPr>
          <w:rFonts w:ascii="Times New Roman" w:hAnsi="Times New Roman"/>
          <w:lang w:val="pt-BR"/>
        </w:rPr>
        <w:t>)</w:t>
      </w:r>
      <w:r w:rsidR="00347EB7" w:rsidRPr="001F1189">
        <w:rPr>
          <w:rFonts w:ascii="Times New Roman" w:hAnsi="Times New Roman"/>
          <w:lang w:val="pt-BR"/>
        </w:rPr>
        <w:t>.</w:t>
      </w:r>
      <w:r w:rsidR="00FE4F16" w:rsidRPr="001F1189">
        <w:rPr>
          <w:rFonts w:ascii="Times New Roman" w:hAnsi="Times New Roman"/>
          <w:lang w:val="pt-BR"/>
        </w:rPr>
        <w:t xml:space="preserve"> </w:t>
      </w:r>
    </w:p>
    <w:p w14:paraId="25854312" w14:textId="182E1C4C" w:rsidR="0043447E" w:rsidRPr="001F1189" w:rsidRDefault="00047A19" w:rsidP="00047A19">
      <w:pPr>
        <w:spacing w:after="0" w:line="240" w:lineRule="auto"/>
        <w:jc w:val="center"/>
        <w:rPr>
          <w:rFonts w:ascii="Times New Roman" w:eastAsia="Times New Roman" w:hAnsi="Times New Roman" w:cs="Times New Roman"/>
          <w:b/>
          <w:bCs/>
          <w:sz w:val="18"/>
          <w:szCs w:val="20"/>
          <w:lang w:eastAsia="pt-BR"/>
        </w:rPr>
      </w:pPr>
      <w:r w:rsidRPr="001F1189">
        <w:rPr>
          <w:rFonts w:ascii="Times New Roman" w:hAnsi="Times New Roman" w:cs="Times New Roman"/>
          <w:noProof/>
        </w:rPr>
        <w:drawing>
          <wp:inline distT="0" distB="0" distL="0" distR="0" wp14:anchorId="5A43E78A" wp14:editId="5A2799DB">
            <wp:extent cx="2679186" cy="2364828"/>
            <wp:effectExtent l="0" t="0" r="6985" b="0"/>
            <wp:docPr id="70924537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45373" name="Imagem 3" descr="Diagrama&#10;&#10;Descrição gerada automa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955" t="7613" r="9395" b="2393"/>
                    <a:stretch/>
                  </pic:blipFill>
                  <pic:spPr bwMode="auto">
                    <a:xfrm>
                      <a:off x="0" y="0"/>
                      <a:ext cx="2681416" cy="2366796"/>
                    </a:xfrm>
                    <a:prstGeom prst="rect">
                      <a:avLst/>
                    </a:prstGeom>
                    <a:noFill/>
                    <a:ln>
                      <a:noFill/>
                    </a:ln>
                    <a:extLst>
                      <a:ext uri="{53640926-AAD7-44D8-BBD7-CCE9431645EC}">
                        <a14:shadowObscured xmlns:a14="http://schemas.microsoft.com/office/drawing/2010/main"/>
                      </a:ext>
                    </a:extLst>
                  </pic:spPr>
                </pic:pic>
              </a:graphicData>
            </a:graphic>
          </wp:inline>
        </w:drawing>
      </w:r>
    </w:p>
    <w:p w14:paraId="37372411" w14:textId="606BE035" w:rsidR="00617363" w:rsidRPr="001F1189" w:rsidRDefault="00617363" w:rsidP="0043447E">
      <w:pPr>
        <w:spacing w:line="240" w:lineRule="auto"/>
        <w:jc w:val="both"/>
        <w:rPr>
          <w:color w:val="FF0000"/>
        </w:rPr>
      </w:pPr>
      <w:r w:rsidRPr="001F1189">
        <w:rPr>
          <w:rFonts w:ascii="Times New Roman" w:eastAsia="Times New Roman" w:hAnsi="Times New Roman" w:cs="Times New Roman"/>
          <w:b/>
          <w:bCs/>
          <w:sz w:val="18"/>
          <w:szCs w:val="20"/>
          <w:lang w:eastAsia="pt-BR"/>
        </w:rPr>
        <w:t xml:space="preserve">Figura </w:t>
      </w:r>
      <w:r w:rsidR="00CF7759" w:rsidRPr="001F1189">
        <w:rPr>
          <w:rFonts w:ascii="Times New Roman" w:eastAsia="Times New Roman" w:hAnsi="Times New Roman" w:cs="Times New Roman"/>
          <w:b/>
          <w:bCs/>
          <w:sz w:val="18"/>
          <w:szCs w:val="20"/>
          <w:lang w:eastAsia="pt-BR"/>
        </w:rPr>
        <w:t>3</w:t>
      </w:r>
      <w:r w:rsidRPr="001F1189">
        <w:rPr>
          <w:rFonts w:ascii="Times New Roman" w:eastAsia="Times New Roman" w:hAnsi="Times New Roman" w:cs="Times New Roman"/>
          <w:b/>
          <w:bCs/>
          <w:sz w:val="18"/>
          <w:szCs w:val="20"/>
          <w:lang w:eastAsia="pt-BR"/>
        </w:rPr>
        <w:t>.</w:t>
      </w:r>
      <w:r w:rsidRPr="001F1189">
        <w:rPr>
          <w:rFonts w:ascii="Times New Roman" w:eastAsia="Times New Roman" w:hAnsi="Times New Roman" w:cs="Times New Roman"/>
          <w:sz w:val="18"/>
          <w:szCs w:val="20"/>
          <w:lang w:eastAsia="pt-BR"/>
        </w:rPr>
        <w:t xml:space="preserve"> </w:t>
      </w:r>
      <w:r w:rsidR="00BB722E" w:rsidRPr="001F1189">
        <w:rPr>
          <w:rFonts w:ascii="Times New Roman" w:eastAsia="Times New Roman" w:hAnsi="Times New Roman" w:cs="Times New Roman"/>
          <w:sz w:val="18"/>
          <w:szCs w:val="20"/>
          <w:lang w:eastAsia="pt-BR"/>
        </w:rPr>
        <w:t xml:space="preserve">Espectros de RMN de </w:t>
      </w:r>
      <w:r w:rsidR="00BB722E" w:rsidRPr="001F1189">
        <w:rPr>
          <w:rFonts w:ascii="Times New Roman" w:eastAsia="Times New Roman" w:hAnsi="Times New Roman" w:cs="Times New Roman"/>
          <w:sz w:val="18"/>
          <w:szCs w:val="20"/>
          <w:vertAlign w:val="superscript"/>
          <w:lang w:eastAsia="pt-BR"/>
        </w:rPr>
        <w:t>27</w:t>
      </w:r>
      <w:r w:rsidR="00BB722E" w:rsidRPr="001F1189">
        <w:rPr>
          <w:rFonts w:ascii="Times New Roman" w:eastAsia="Times New Roman" w:hAnsi="Times New Roman" w:cs="Times New Roman"/>
          <w:sz w:val="18"/>
          <w:szCs w:val="20"/>
          <w:lang w:eastAsia="pt-BR"/>
        </w:rPr>
        <w:t xml:space="preserve">Al </w:t>
      </w:r>
      <w:r w:rsidR="001D29BB" w:rsidRPr="001F1189">
        <w:rPr>
          <w:rFonts w:ascii="Times New Roman" w:eastAsia="Times New Roman" w:hAnsi="Times New Roman" w:cs="Times New Roman"/>
          <w:sz w:val="18"/>
          <w:szCs w:val="20"/>
          <w:lang w:eastAsia="pt-BR"/>
        </w:rPr>
        <w:t>para</w:t>
      </w:r>
      <w:r w:rsidR="00BB722E" w:rsidRPr="001F1189">
        <w:rPr>
          <w:rFonts w:ascii="Times New Roman" w:eastAsia="Times New Roman" w:hAnsi="Times New Roman" w:cs="Times New Roman"/>
          <w:sz w:val="18"/>
          <w:szCs w:val="20"/>
          <w:lang w:eastAsia="pt-BR"/>
        </w:rPr>
        <w:t xml:space="preserve"> zeólita</w:t>
      </w:r>
      <w:r w:rsidR="00591A75" w:rsidRPr="001F1189">
        <w:rPr>
          <w:rFonts w:ascii="Times New Roman" w:eastAsia="Times New Roman" w:hAnsi="Times New Roman" w:cs="Times New Roman"/>
          <w:sz w:val="18"/>
          <w:szCs w:val="20"/>
          <w:lang w:eastAsia="pt-BR"/>
        </w:rPr>
        <w:t>s beta e zeólitas beta impregnadas com platina.</w:t>
      </w:r>
    </w:p>
    <w:p w14:paraId="6B6CF8D0" w14:textId="46711B58" w:rsidR="00272D5F" w:rsidRPr="001F1189" w:rsidRDefault="00087548" w:rsidP="009C7386">
      <w:pPr>
        <w:pStyle w:val="TAMainText"/>
        <w:spacing w:before="160"/>
        <w:ind w:firstLine="187"/>
        <w:rPr>
          <w:iCs/>
          <w:snapToGrid w:val="0"/>
          <w:lang w:val="pt-BR" w:eastAsia="de-DE" w:bidi="en-US"/>
        </w:rPr>
      </w:pPr>
      <w:r w:rsidRPr="001F1189">
        <w:rPr>
          <w:rFonts w:ascii="Times New Roman" w:hAnsi="Times New Roman"/>
          <w:color w:val="000000" w:themeColor="text1"/>
          <w:lang w:val="pt-BR"/>
        </w:rPr>
        <w:t>O</w:t>
      </w:r>
      <w:r w:rsidR="009351AC" w:rsidRPr="001F1189">
        <w:rPr>
          <w:rFonts w:ascii="Times New Roman" w:hAnsi="Times New Roman"/>
          <w:color w:val="000000" w:themeColor="text1"/>
          <w:lang w:val="pt-BR"/>
        </w:rPr>
        <w:t xml:space="preserve"> segundo pico</w:t>
      </w:r>
      <w:r w:rsidR="00886905" w:rsidRPr="001F1189">
        <w:rPr>
          <w:rFonts w:ascii="Times New Roman" w:hAnsi="Times New Roman"/>
          <w:color w:val="000000" w:themeColor="text1"/>
          <w:lang w:val="pt-BR"/>
        </w:rPr>
        <w:t xml:space="preserve"> </w:t>
      </w:r>
      <w:r w:rsidR="006D7FA3" w:rsidRPr="001F1189">
        <w:rPr>
          <w:rFonts w:ascii="Times New Roman" w:hAnsi="Times New Roman"/>
          <w:color w:val="000000" w:themeColor="text1"/>
          <w:lang w:val="pt-BR"/>
        </w:rPr>
        <w:t>pode ser</w:t>
      </w:r>
      <w:r w:rsidR="009D3301" w:rsidRPr="001F1189">
        <w:rPr>
          <w:rFonts w:ascii="Times New Roman" w:hAnsi="Times New Roman"/>
          <w:color w:val="000000" w:themeColor="text1"/>
          <w:lang w:val="pt-BR"/>
        </w:rPr>
        <w:t xml:space="preserve"> </w:t>
      </w:r>
      <w:r w:rsidR="00347EB7" w:rsidRPr="001F1189">
        <w:rPr>
          <w:rFonts w:ascii="Times New Roman" w:hAnsi="Times New Roman"/>
          <w:color w:val="000000" w:themeColor="text1"/>
          <w:lang w:val="pt-BR"/>
        </w:rPr>
        <w:t>formado</w:t>
      </w:r>
      <w:r w:rsidR="009D3301" w:rsidRPr="001F1189">
        <w:rPr>
          <w:rFonts w:ascii="Times New Roman" w:hAnsi="Times New Roman"/>
          <w:color w:val="000000" w:themeColor="text1"/>
          <w:lang w:val="pt-BR"/>
        </w:rPr>
        <w:t xml:space="preserve"> </w:t>
      </w:r>
      <w:r w:rsidR="00FE4F16" w:rsidRPr="001F1189">
        <w:rPr>
          <w:rFonts w:ascii="Times New Roman" w:hAnsi="Times New Roman"/>
          <w:color w:val="000000" w:themeColor="text1"/>
          <w:lang w:val="pt-BR"/>
        </w:rPr>
        <w:t>n</w:t>
      </w:r>
      <w:r w:rsidR="00347EB7" w:rsidRPr="001F1189">
        <w:rPr>
          <w:rFonts w:ascii="Times New Roman" w:hAnsi="Times New Roman"/>
          <w:color w:val="000000" w:themeColor="text1"/>
          <w:lang w:val="pt-BR"/>
        </w:rPr>
        <w:t xml:space="preserve">a etapa de calcinação </w:t>
      </w:r>
      <w:r w:rsidR="005C0450" w:rsidRPr="001F1189">
        <w:rPr>
          <w:rFonts w:ascii="Times New Roman" w:hAnsi="Times New Roman"/>
          <w:color w:val="000000" w:themeColor="text1"/>
          <w:lang w:val="pt-BR"/>
        </w:rPr>
        <w:t>e está</w:t>
      </w:r>
      <w:r w:rsidR="00581F49" w:rsidRPr="001F1189">
        <w:rPr>
          <w:rFonts w:ascii="Times New Roman" w:hAnsi="Times New Roman"/>
          <w:color w:val="000000" w:themeColor="text1"/>
          <w:lang w:val="pt-BR"/>
        </w:rPr>
        <w:t>,</w:t>
      </w:r>
      <w:r w:rsidR="001A6146" w:rsidRPr="001F1189">
        <w:rPr>
          <w:rFonts w:ascii="Times New Roman" w:hAnsi="Times New Roman"/>
          <w:color w:val="000000" w:themeColor="text1"/>
          <w:lang w:val="pt-BR"/>
        </w:rPr>
        <w:t xml:space="preserve"> </w:t>
      </w:r>
      <w:r w:rsidR="00347EB7" w:rsidRPr="001F1189">
        <w:rPr>
          <w:rFonts w:ascii="Times New Roman" w:hAnsi="Times New Roman"/>
          <w:color w:val="000000" w:themeColor="text1"/>
          <w:lang w:val="pt-BR"/>
        </w:rPr>
        <w:t>frequentemente</w:t>
      </w:r>
      <w:r w:rsidR="001A6146" w:rsidRPr="001F1189">
        <w:rPr>
          <w:rFonts w:ascii="Times New Roman" w:hAnsi="Times New Roman"/>
          <w:color w:val="000000" w:themeColor="text1"/>
          <w:lang w:val="pt-BR"/>
        </w:rPr>
        <w:t>,</w:t>
      </w:r>
      <w:r w:rsidR="00347EB7" w:rsidRPr="001F1189">
        <w:rPr>
          <w:rFonts w:ascii="Times New Roman" w:hAnsi="Times New Roman"/>
          <w:color w:val="000000" w:themeColor="text1"/>
          <w:lang w:val="pt-BR"/>
        </w:rPr>
        <w:t xml:space="preserve"> associad</w:t>
      </w:r>
      <w:r w:rsidR="00581F49" w:rsidRPr="001F1189">
        <w:rPr>
          <w:rFonts w:ascii="Times New Roman" w:hAnsi="Times New Roman"/>
          <w:color w:val="000000" w:themeColor="text1"/>
          <w:lang w:val="pt-BR"/>
        </w:rPr>
        <w:t>o</w:t>
      </w:r>
      <w:r w:rsidR="00347EB7" w:rsidRPr="001F1189">
        <w:rPr>
          <w:rFonts w:ascii="Times New Roman" w:hAnsi="Times New Roman"/>
          <w:color w:val="000000" w:themeColor="text1"/>
          <w:lang w:val="pt-BR"/>
        </w:rPr>
        <w:t xml:space="preserve"> a</w:t>
      </w:r>
      <w:r w:rsidR="006D7FA3" w:rsidRPr="001F1189">
        <w:rPr>
          <w:rFonts w:ascii="Times New Roman" w:hAnsi="Times New Roman"/>
          <w:color w:val="000000" w:themeColor="text1"/>
          <w:lang w:val="pt-BR"/>
        </w:rPr>
        <w:t>os</w:t>
      </w:r>
      <w:r w:rsidR="00347EB7" w:rsidRPr="001F1189">
        <w:rPr>
          <w:rFonts w:ascii="Times New Roman" w:hAnsi="Times New Roman"/>
          <w:color w:val="000000" w:themeColor="text1"/>
          <w:lang w:val="pt-BR"/>
        </w:rPr>
        <w:t xml:space="preserve"> sítios ácidos de Lewis</w:t>
      </w:r>
      <w:r w:rsidR="00CB22CD" w:rsidRPr="001F1189">
        <w:rPr>
          <w:rFonts w:ascii="Times New Roman" w:hAnsi="Times New Roman"/>
          <w:color w:val="000000" w:themeColor="text1"/>
          <w:lang w:val="pt-BR"/>
        </w:rPr>
        <w:t xml:space="preserve">. </w:t>
      </w:r>
      <w:r w:rsidR="00445BC8" w:rsidRPr="001F1189">
        <w:rPr>
          <w:rFonts w:ascii="Times New Roman" w:hAnsi="Times New Roman"/>
          <w:lang w:val="pt-BR"/>
        </w:rPr>
        <w:t xml:space="preserve">O aumento da razão </w:t>
      </w:r>
      <w:r w:rsidR="00B314E7" w:rsidRPr="001F1189">
        <w:rPr>
          <w:rFonts w:ascii="Times New Roman" w:hAnsi="Times New Roman"/>
          <w:lang w:val="pt-BR"/>
        </w:rPr>
        <w:t xml:space="preserve">Si/Al diminui a intensidade relativa do </w:t>
      </w:r>
      <w:r w:rsidR="006C2517" w:rsidRPr="001F1189">
        <w:rPr>
          <w:rFonts w:ascii="Times New Roman" w:hAnsi="Times New Roman"/>
          <w:lang w:val="pt-BR"/>
        </w:rPr>
        <w:t>Al octaédrico</w:t>
      </w:r>
      <w:r w:rsidR="00C762FB" w:rsidRPr="001F1189">
        <w:rPr>
          <w:rFonts w:ascii="Times New Roman" w:hAnsi="Times New Roman"/>
          <w:lang w:val="pt-BR"/>
        </w:rPr>
        <w:t xml:space="preserve"> (</w:t>
      </w:r>
      <w:r w:rsidR="00AB640B" w:rsidRPr="001F1189">
        <w:rPr>
          <w:rFonts w:ascii="Times New Roman" w:hAnsi="Times New Roman"/>
          <w:lang w:val="pt-BR"/>
        </w:rPr>
        <w:t>6</w:t>
      </w:r>
      <w:r w:rsidR="00C762FB" w:rsidRPr="001F1189">
        <w:rPr>
          <w:rFonts w:ascii="Times New Roman" w:hAnsi="Times New Roman"/>
          <w:lang w:val="pt-BR"/>
        </w:rPr>
        <w:t xml:space="preserve">) e </w:t>
      </w:r>
      <w:r w:rsidR="00215B81" w:rsidRPr="001F1189">
        <w:rPr>
          <w:rFonts w:ascii="Times New Roman" w:hAnsi="Times New Roman"/>
          <w:lang w:val="pt-BR"/>
        </w:rPr>
        <w:t>explica a baixa intensidade</w:t>
      </w:r>
      <w:r w:rsidR="00C5468D" w:rsidRPr="001F1189">
        <w:rPr>
          <w:rFonts w:ascii="Times New Roman" w:hAnsi="Times New Roman"/>
          <w:lang w:val="pt-BR"/>
        </w:rPr>
        <w:t xml:space="preserve">, em relação ao Al tetraédrico, </w:t>
      </w:r>
      <w:r w:rsidR="00215B81" w:rsidRPr="001F1189">
        <w:rPr>
          <w:rFonts w:ascii="Times New Roman" w:hAnsi="Times New Roman"/>
          <w:lang w:val="pt-BR"/>
        </w:rPr>
        <w:t xml:space="preserve">e </w:t>
      </w:r>
      <w:r w:rsidR="00FE4F16" w:rsidRPr="001F1189">
        <w:rPr>
          <w:rFonts w:ascii="Times New Roman" w:hAnsi="Times New Roman"/>
          <w:lang w:val="pt-BR"/>
        </w:rPr>
        <w:t xml:space="preserve">o estreitamento </w:t>
      </w:r>
      <w:r w:rsidR="00215B81" w:rsidRPr="001F1189">
        <w:rPr>
          <w:rFonts w:ascii="Times New Roman" w:hAnsi="Times New Roman"/>
          <w:lang w:val="pt-BR"/>
        </w:rPr>
        <w:t xml:space="preserve">do pico </w:t>
      </w:r>
      <w:r w:rsidR="00CB22CD" w:rsidRPr="001F1189">
        <w:rPr>
          <w:rFonts w:ascii="Times New Roman" w:hAnsi="Times New Roman"/>
          <w:lang w:val="pt-BR"/>
        </w:rPr>
        <w:t xml:space="preserve">centrado em 7,3 ppm na </w:t>
      </w:r>
      <w:r w:rsidR="005E30A4" w:rsidRPr="001F1189">
        <w:rPr>
          <w:rFonts w:ascii="Times New Roman" w:hAnsi="Times New Roman"/>
          <w:lang w:val="pt-BR"/>
        </w:rPr>
        <w:t>B90</w:t>
      </w:r>
      <w:r w:rsidR="00CB22CD" w:rsidRPr="001F1189">
        <w:rPr>
          <w:rFonts w:ascii="Times New Roman" w:hAnsi="Times New Roman"/>
          <w:lang w:val="pt-BR"/>
        </w:rPr>
        <w:t>.</w:t>
      </w:r>
      <w:r w:rsidR="00700C49" w:rsidRPr="001F1189">
        <w:rPr>
          <w:rFonts w:ascii="Times New Roman" w:hAnsi="Times New Roman"/>
          <w:lang w:val="pt-BR"/>
        </w:rPr>
        <w:t xml:space="preserve"> </w:t>
      </w:r>
      <w:r w:rsidR="00387CE0" w:rsidRPr="001F1189">
        <w:rPr>
          <w:rFonts w:ascii="Times New Roman" w:hAnsi="Times New Roman"/>
          <w:color w:val="000000" w:themeColor="text1"/>
          <w:lang w:val="pt-BR"/>
        </w:rPr>
        <w:t>Nesta posição, o</w:t>
      </w:r>
      <w:r w:rsidR="00B140BF" w:rsidRPr="001F1189">
        <w:rPr>
          <w:rFonts w:ascii="Times New Roman" w:hAnsi="Times New Roman"/>
          <w:color w:val="000000" w:themeColor="text1"/>
          <w:lang w:val="pt-BR"/>
        </w:rPr>
        <w:t xml:space="preserve"> Al pode retornar à posição tetraédrica por meio de tratamento </w:t>
      </w:r>
      <w:r w:rsidR="00B140BF" w:rsidRPr="001F1189">
        <w:rPr>
          <w:rFonts w:ascii="Times New Roman" w:hAnsi="Times New Roman"/>
          <w:color w:val="000000" w:themeColor="text1"/>
          <w:lang w:val="pt-BR"/>
        </w:rPr>
        <w:t xml:space="preserve">térmico ou químico e, portanto, é associado ao </w:t>
      </w:r>
      <w:r w:rsidR="00700C49" w:rsidRPr="001F1189">
        <w:rPr>
          <w:rFonts w:ascii="Times New Roman" w:hAnsi="Times New Roman"/>
          <w:color w:val="000000" w:themeColor="text1"/>
          <w:lang w:val="pt-BR"/>
        </w:rPr>
        <w:t xml:space="preserve">Al </w:t>
      </w:r>
      <w:r w:rsidR="002A254D" w:rsidRPr="001F1189">
        <w:rPr>
          <w:rFonts w:ascii="Times New Roman" w:hAnsi="Times New Roman"/>
          <w:color w:val="000000" w:themeColor="text1"/>
          <w:lang w:val="pt-BR"/>
        </w:rPr>
        <w:t>octaédrico</w:t>
      </w:r>
      <w:r w:rsidR="00B140BF" w:rsidRPr="001F1189">
        <w:rPr>
          <w:rFonts w:ascii="Times New Roman" w:hAnsi="Times New Roman"/>
          <w:color w:val="000000" w:themeColor="text1"/>
          <w:lang w:val="pt-BR"/>
        </w:rPr>
        <w:t xml:space="preserve"> na rede</w:t>
      </w:r>
      <w:r w:rsidR="002A254D" w:rsidRPr="001F1189">
        <w:rPr>
          <w:rFonts w:ascii="Times New Roman" w:hAnsi="Times New Roman"/>
          <w:color w:val="000000" w:themeColor="text1"/>
          <w:lang w:val="pt-BR"/>
        </w:rPr>
        <w:t>.</w:t>
      </w:r>
      <w:r w:rsidR="00272D5F" w:rsidRPr="001F1189">
        <w:rPr>
          <w:rFonts w:ascii="Times New Roman" w:hAnsi="Times New Roman"/>
          <w:color w:val="000000" w:themeColor="text1"/>
          <w:lang w:val="pt-BR"/>
        </w:rPr>
        <w:t xml:space="preserve"> </w:t>
      </w:r>
      <w:r w:rsidR="00272D5F" w:rsidRPr="001F1189">
        <w:rPr>
          <w:rFonts w:ascii="Times New Roman" w:hAnsi="Times New Roman"/>
          <w:lang w:val="pt-BR"/>
        </w:rPr>
        <w:t>A</w:t>
      </w:r>
      <w:r w:rsidR="002A254D" w:rsidRPr="001F1189">
        <w:rPr>
          <w:rFonts w:ascii="Times New Roman" w:hAnsi="Times New Roman"/>
          <w:lang w:val="pt-BR"/>
        </w:rPr>
        <w:t xml:space="preserve"> impregnação de </w:t>
      </w:r>
      <w:r w:rsidR="00272D5F" w:rsidRPr="001F1189">
        <w:rPr>
          <w:rFonts w:ascii="Times New Roman" w:hAnsi="Times New Roman"/>
          <w:lang w:val="pt-BR"/>
        </w:rPr>
        <w:t>Pt</w:t>
      </w:r>
      <w:r w:rsidR="002A254D" w:rsidRPr="001F1189">
        <w:rPr>
          <w:rFonts w:ascii="Times New Roman" w:hAnsi="Times New Roman"/>
          <w:lang w:val="pt-BR"/>
        </w:rPr>
        <w:t xml:space="preserve"> não alterou o ambiente químico do </w:t>
      </w:r>
      <w:r w:rsidR="00272D5F" w:rsidRPr="001F1189">
        <w:rPr>
          <w:rFonts w:ascii="Times New Roman" w:hAnsi="Times New Roman"/>
          <w:lang w:val="pt-BR"/>
        </w:rPr>
        <w:t xml:space="preserve">Si, conforme </w:t>
      </w:r>
      <w:r w:rsidR="00272D5F" w:rsidRPr="001F1189">
        <w:rPr>
          <w:iCs/>
          <w:snapToGrid w:val="0"/>
          <w:lang w:val="pt-BR" w:eastAsia="de-DE" w:bidi="en-US"/>
        </w:rPr>
        <w:t xml:space="preserve">RMN de </w:t>
      </w:r>
      <w:r w:rsidR="00272D5F" w:rsidRPr="001F1189">
        <w:rPr>
          <w:iCs/>
          <w:snapToGrid w:val="0"/>
          <w:vertAlign w:val="superscript"/>
          <w:lang w:val="pt-BR" w:eastAsia="de-DE" w:bidi="en-US"/>
        </w:rPr>
        <w:t>29</w:t>
      </w:r>
      <w:r w:rsidR="00272D5F" w:rsidRPr="001F1189">
        <w:rPr>
          <w:iCs/>
          <w:snapToGrid w:val="0"/>
          <w:lang w:val="pt-BR" w:eastAsia="de-DE" w:bidi="en-US"/>
        </w:rPr>
        <w:t>Si</w:t>
      </w:r>
      <w:r w:rsidR="00FE4F16" w:rsidRPr="001F1189">
        <w:rPr>
          <w:iCs/>
          <w:snapToGrid w:val="0"/>
          <w:lang w:val="pt-BR" w:eastAsia="de-DE" w:bidi="en-US"/>
        </w:rPr>
        <w:t xml:space="preserve"> (não mostrado).</w:t>
      </w:r>
    </w:p>
    <w:p w14:paraId="6E7D075E" w14:textId="77777777" w:rsidR="00FE19C2" w:rsidRPr="001F1189" w:rsidRDefault="00FE19C2" w:rsidP="00FE19C2">
      <w:pPr>
        <w:pStyle w:val="TAMainText"/>
        <w:ind w:firstLine="0"/>
        <w:rPr>
          <w:rFonts w:ascii="Times New Roman" w:hAnsi="Times New Roman"/>
          <w:i/>
          <w:lang w:val="pt-BR"/>
        </w:rPr>
      </w:pPr>
      <w:r w:rsidRPr="001F1189">
        <w:rPr>
          <w:rFonts w:ascii="Times New Roman" w:hAnsi="Times New Roman"/>
          <w:i/>
          <w:lang w:val="pt-BR"/>
        </w:rPr>
        <w:t>Estudo termocinético</w:t>
      </w:r>
    </w:p>
    <w:p w14:paraId="7C60DCED" w14:textId="0E834C6C" w:rsidR="008B3C99" w:rsidRPr="001F1189" w:rsidRDefault="008B3C99" w:rsidP="008B3C99">
      <w:pPr>
        <w:pStyle w:val="TAMainText"/>
        <w:ind w:firstLine="187"/>
        <w:rPr>
          <w:rFonts w:ascii="Times New Roman" w:hAnsi="Times New Roman"/>
          <w:i/>
          <w:lang w:val="pt-BR"/>
        </w:rPr>
      </w:pPr>
      <w:r w:rsidRPr="001F1189">
        <w:rPr>
          <w:rFonts w:ascii="Times New Roman" w:hAnsi="Times New Roman"/>
          <w:color w:val="000000" w:themeColor="text1"/>
          <w:lang w:val="pt-BR"/>
        </w:rPr>
        <w:t xml:space="preserve">A Figura 5 apresenta </w:t>
      </w:r>
      <w:r w:rsidR="003242EC" w:rsidRPr="001F1189">
        <w:rPr>
          <w:rFonts w:ascii="Times New Roman" w:hAnsi="Times New Roman"/>
          <w:color w:val="000000" w:themeColor="text1"/>
          <w:lang w:val="pt-BR"/>
        </w:rPr>
        <w:t>o perfil da termogravimetria derivada (DTG)</w:t>
      </w:r>
      <w:r w:rsidRPr="001F1189">
        <w:rPr>
          <w:rFonts w:ascii="Times New Roman" w:hAnsi="Times New Roman"/>
          <w:color w:val="000000" w:themeColor="text1"/>
          <w:lang w:val="pt-BR"/>
        </w:rPr>
        <w:t xml:space="preserve"> </w:t>
      </w:r>
      <w:r w:rsidR="00FE4F16" w:rsidRPr="001F1189">
        <w:rPr>
          <w:rFonts w:ascii="Times New Roman" w:hAnsi="Times New Roman"/>
          <w:color w:val="000000" w:themeColor="text1"/>
          <w:lang w:val="pt-BR"/>
        </w:rPr>
        <w:t>d</w:t>
      </w:r>
      <w:r w:rsidRPr="001F1189">
        <w:rPr>
          <w:rFonts w:ascii="Times New Roman" w:hAnsi="Times New Roman"/>
          <w:color w:val="000000" w:themeColor="text1"/>
          <w:lang w:val="pt-BR"/>
        </w:rPr>
        <w:t>a pirólise não-catalítica (M</w:t>
      </w:r>
      <w:r w:rsidR="0043447E" w:rsidRPr="001F1189">
        <w:rPr>
          <w:rFonts w:ascii="Times New Roman" w:hAnsi="Times New Roman"/>
          <w:color w:val="000000" w:themeColor="text1"/>
          <w:lang w:val="pt-BR"/>
        </w:rPr>
        <w:t>DF</w:t>
      </w:r>
      <w:r w:rsidRPr="001F1189">
        <w:rPr>
          <w:rFonts w:ascii="Times New Roman" w:hAnsi="Times New Roman"/>
          <w:color w:val="000000" w:themeColor="text1"/>
          <w:lang w:val="pt-BR"/>
        </w:rPr>
        <w:t>) e catalítica (MB</w:t>
      </w:r>
      <w:r w:rsidR="0042177B" w:rsidRPr="001F1189">
        <w:rPr>
          <w:rFonts w:ascii="Times New Roman" w:hAnsi="Times New Roman"/>
          <w:color w:val="000000" w:themeColor="text1"/>
          <w:lang w:val="pt-BR"/>
        </w:rPr>
        <w:t>30</w:t>
      </w:r>
      <w:r w:rsidRPr="001F1189">
        <w:rPr>
          <w:rFonts w:ascii="Times New Roman" w:hAnsi="Times New Roman"/>
          <w:color w:val="000000" w:themeColor="text1"/>
          <w:lang w:val="pt-BR"/>
        </w:rPr>
        <w:t xml:space="preserve"> e MB</w:t>
      </w:r>
      <w:r w:rsidR="0042177B" w:rsidRPr="001F1189">
        <w:rPr>
          <w:rFonts w:ascii="Times New Roman" w:hAnsi="Times New Roman"/>
          <w:color w:val="000000" w:themeColor="text1"/>
          <w:lang w:val="pt-BR"/>
        </w:rPr>
        <w:t>30-Pt</w:t>
      </w:r>
      <w:r w:rsidRPr="001F1189">
        <w:rPr>
          <w:rFonts w:ascii="Times New Roman" w:hAnsi="Times New Roman"/>
          <w:color w:val="000000" w:themeColor="text1"/>
          <w:lang w:val="pt-BR"/>
        </w:rPr>
        <w:t>)</w:t>
      </w:r>
      <w:r w:rsidR="002A4F2C" w:rsidRPr="001F1189">
        <w:rPr>
          <w:rFonts w:ascii="Times New Roman" w:hAnsi="Times New Roman"/>
          <w:color w:val="000000" w:themeColor="text1"/>
          <w:lang w:val="pt-BR"/>
        </w:rPr>
        <w:t>.</w:t>
      </w:r>
      <w:r w:rsidR="00B82C84" w:rsidRPr="001F1189">
        <w:rPr>
          <w:rFonts w:ascii="Times New Roman" w:hAnsi="Times New Roman"/>
          <w:color w:val="000000" w:themeColor="text1"/>
          <w:lang w:val="pt-BR"/>
        </w:rPr>
        <w:t xml:space="preserve"> S</w:t>
      </w:r>
      <w:r w:rsidR="00FE4F16" w:rsidRPr="001F1189">
        <w:rPr>
          <w:rFonts w:ascii="Times New Roman" w:hAnsi="Times New Roman"/>
          <w:lang w:val="pt-BR"/>
        </w:rPr>
        <w:t xml:space="preserve">ão </w:t>
      </w:r>
      <w:r w:rsidRPr="001F1189">
        <w:rPr>
          <w:rFonts w:ascii="Times New Roman" w:hAnsi="Times New Roman"/>
          <w:lang w:val="pt-BR"/>
        </w:rPr>
        <w:t>observa</w:t>
      </w:r>
      <w:r w:rsidR="00FE4F16" w:rsidRPr="001F1189">
        <w:rPr>
          <w:rFonts w:ascii="Times New Roman" w:hAnsi="Times New Roman"/>
          <w:lang w:val="pt-BR"/>
        </w:rPr>
        <w:t>dos</w:t>
      </w:r>
      <w:r w:rsidRPr="001F1189">
        <w:rPr>
          <w:rFonts w:ascii="Times New Roman" w:hAnsi="Times New Roman"/>
          <w:lang w:val="pt-BR"/>
        </w:rPr>
        <w:t xml:space="preserve"> três estágios de decomposição térmica, associados aos componentes da biomassa. </w:t>
      </w:r>
      <w:r w:rsidR="00C372A1" w:rsidRPr="001F1189">
        <w:rPr>
          <w:rFonts w:ascii="Times New Roman" w:hAnsi="Times New Roman"/>
          <w:lang w:val="pt-BR"/>
        </w:rPr>
        <w:t xml:space="preserve">As faixas de temperaturas </w:t>
      </w:r>
      <w:r w:rsidR="00B82C84" w:rsidRPr="001F1189">
        <w:rPr>
          <w:rFonts w:ascii="Times New Roman" w:hAnsi="Times New Roman"/>
          <w:lang w:val="pt-BR"/>
        </w:rPr>
        <w:t xml:space="preserve">desses </w:t>
      </w:r>
      <w:r w:rsidR="00C372A1" w:rsidRPr="001F1189">
        <w:rPr>
          <w:rFonts w:ascii="Times New Roman" w:hAnsi="Times New Roman"/>
          <w:lang w:val="pt-BR"/>
        </w:rPr>
        <w:t xml:space="preserve">estágios são descritas na Tabela 3. </w:t>
      </w:r>
    </w:p>
    <w:p w14:paraId="2ADAA4B8" w14:textId="77777777" w:rsidR="00FE19C2" w:rsidRPr="001F1189" w:rsidRDefault="00FE19C2" w:rsidP="00FE19C2">
      <w:pPr>
        <w:pStyle w:val="TAMainText"/>
        <w:ind w:firstLine="0"/>
        <w:rPr>
          <w:rFonts w:ascii="Times New Roman" w:hAnsi="Times New Roman"/>
          <w:i/>
          <w:lang w:val="pt-BR"/>
        </w:rPr>
      </w:pPr>
    </w:p>
    <w:p w14:paraId="5E6522B0" w14:textId="4370A9C1" w:rsidR="00BD481E" w:rsidRPr="001F1189" w:rsidRDefault="00BD481E" w:rsidP="008B3C99">
      <w:pPr>
        <w:spacing w:after="0"/>
        <w:jc w:val="center"/>
      </w:pPr>
      <w:r w:rsidRPr="001F1189">
        <w:rPr>
          <w:noProof/>
        </w:rPr>
        <w:drawing>
          <wp:inline distT="0" distB="0" distL="0" distR="0" wp14:anchorId="2D1A91F7" wp14:editId="20184744">
            <wp:extent cx="2472538" cy="1887552"/>
            <wp:effectExtent l="0" t="0" r="444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5763" cy="1897648"/>
                    </a:xfrm>
                    <a:prstGeom prst="rect">
                      <a:avLst/>
                    </a:prstGeom>
                    <a:noFill/>
                    <a:ln>
                      <a:noFill/>
                    </a:ln>
                  </pic:spPr>
                </pic:pic>
              </a:graphicData>
            </a:graphic>
          </wp:inline>
        </w:drawing>
      </w:r>
    </w:p>
    <w:p w14:paraId="53179371" w14:textId="47CC2DA0" w:rsidR="001479E6" w:rsidRPr="001F1189" w:rsidRDefault="00EA4E1B" w:rsidP="006106EE">
      <w:pPr>
        <w:pStyle w:val="VAFigureCaption"/>
        <w:spacing w:before="0" w:after="240"/>
        <w:rPr>
          <w:rFonts w:ascii="Times New Roman" w:hAnsi="Times New Roman"/>
          <w:color w:val="FF0000"/>
          <w:lang w:val="pt-BR"/>
        </w:rPr>
      </w:pPr>
      <w:r w:rsidRPr="001F1189">
        <w:rPr>
          <w:rFonts w:ascii="Times New Roman" w:hAnsi="Times New Roman"/>
          <w:b/>
          <w:lang w:val="pt-BR"/>
        </w:rPr>
        <w:t xml:space="preserve">Figura </w:t>
      </w:r>
      <w:r w:rsidR="00CF7759" w:rsidRPr="001F1189">
        <w:rPr>
          <w:rFonts w:ascii="Times New Roman" w:hAnsi="Times New Roman"/>
          <w:b/>
          <w:lang w:val="pt-BR"/>
        </w:rPr>
        <w:t>5</w:t>
      </w:r>
      <w:r w:rsidRPr="001F1189">
        <w:rPr>
          <w:rFonts w:ascii="Times New Roman" w:hAnsi="Times New Roman"/>
          <w:b/>
          <w:lang w:val="pt-BR"/>
        </w:rPr>
        <w:t>.</w:t>
      </w:r>
      <w:r w:rsidRPr="001F1189">
        <w:rPr>
          <w:rFonts w:ascii="Times New Roman" w:hAnsi="Times New Roman"/>
          <w:lang w:val="pt-BR"/>
        </w:rPr>
        <w:t xml:space="preserve"> </w:t>
      </w:r>
      <w:r w:rsidR="00D877A2" w:rsidRPr="001F1189">
        <w:rPr>
          <w:rFonts w:ascii="Times New Roman" w:hAnsi="Times New Roman"/>
          <w:lang w:val="pt-BR"/>
        </w:rPr>
        <w:t>Perfis de</w:t>
      </w:r>
      <w:r w:rsidR="00BC1E14" w:rsidRPr="001F1189">
        <w:rPr>
          <w:rFonts w:ascii="Times New Roman" w:hAnsi="Times New Roman"/>
          <w:lang w:val="pt-BR"/>
        </w:rPr>
        <w:t xml:space="preserve"> DTG para </w:t>
      </w:r>
      <w:r w:rsidR="00E7353F" w:rsidRPr="001F1189">
        <w:rPr>
          <w:rFonts w:ascii="Times New Roman" w:hAnsi="Times New Roman"/>
          <w:lang w:val="pt-BR"/>
        </w:rPr>
        <w:t xml:space="preserve">o </w:t>
      </w:r>
      <w:r w:rsidR="00D7445C" w:rsidRPr="001F1189">
        <w:rPr>
          <w:rFonts w:ascii="Times New Roman" w:hAnsi="Times New Roman"/>
          <w:lang w:val="pt-BR"/>
        </w:rPr>
        <w:t>M</w:t>
      </w:r>
      <w:r w:rsidR="0043447E" w:rsidRPr="001F1189">
        <w:rPr>
          <w:rFonts w:ascii="Times New Roman" w:hAnsi="Times New Roman"/>
          <w:lang w:val="pt-BR"/>
        </w:rPr>
        <w:t>DF</w:t>
      </w:r>
      <w:r w:rsidR="003828CC" w:rsidRPr="001F1189">
        <w:rPr>
          <w:rFonts w:ascii="Times New Roman" w:hAnsi="Times New Roman"/>
          <w:lang w:val="pt-BR"/>
        </w:rPr>
        <w:t xml:space="preserve"> (</w:t>
      </w:r>
      <w:r w:rsidR="00557894" w:rsidRPr="001F1189">
        <w:rPr>
          <w:rFonts w:ascii="Times New Roman" w:hAnsi="Times New Roman"/>
          <w:lang w:val="pt-BR"/>
        </w:rPr>
        <w:t>■)</w:t>
      </w:r>
      <w:r w:rsidR="00E7353F" w:rsidRPr="001F1189">
        <w:rPr>
          <w:rFonts w:ascii="Times New Roman" w:hAnsi="Times New Roman"/>
          <w:lang w:val="pt-BR"/>
        </w:rPr>
        <w:t xml:space="preserve"> e para os sistemas catalíticos (</w:t>
      </w:r>
      <w:r w:rsidR="00E7353F" w:rsidRPr="001F1189">
        <w:rPr>
          <w:rFonts w:ascii="Times New Roman" w:hAnsi="Times New Roman"/>
          <w:color w:val="4472C4" w:themeColor="accent1"/>
          <w:lang w:val="pt-BR"/>
        </w:rPr>
        <w:t>■</w:t>
      </w:r>
      <w:r w:rsidR="00E7353F" w:rsidRPr="001F1189">
        <w:rPr>
          <w:rFonts w:ascii="Times New Roman" w:hAnsi="Times New Roman"/>
          <w:lang w:val="pt-BR"/>
        </w:rPr>
        <w:t>)</w:t>
      </w:r>
      <w:r w:rsidR="00BC1E14" w:rsidRPr="001F1189">
        <w:rPr>
          <w:rFonts w:ascii="Times New Roman" w:hAnsi="Times New Roman"/>
          <w:lang w:val="pt-BR"/>
        </w:rPr>
        <w:t xml:space="preserve"> MB</w:t>
      </w:r>
      <w:r w:rsidR="00D61E0C" w:rsidRPr="001F1189">
        <w:rPr>
          <w:rFonts w:ascii="Times New Roman" w:hAnsi="Times New Roman"/>
          <w:lang w:val="pt-BR"/>
        </w:rPr>
        <w:t>30</w:t>
      </w:r>
      <w:r w:rsidR="00BC1E14" w:rsidRPr="001F1189">
        <w:rPr>
          <w:rFonts w:ascii="Times New Roman" w:hAnsi="Times New Roman"/>
          <w:lang w:val="pt-BR"/>
        </w:rPr>
        <w:t xml:space="preserve"> e </w:t>
      </w:r>
      <w:r w:rsidR="00E7353F" w:rsidRPr="001F1189">
        <w:rPr>
          <w:rFonts w:ascii="Times New Roman" w:hAnsi="Times New Roman"/>
          <w:lang w:val="pt-BR"/>
        </w:rPr>
        <w:t>(</w:t>
      </w:r>
      <w:r w:rsidR="00E7353F" w:rsidRPr="001F1189">
        <w:rPr>
          <w:rFonts w:ascii="Times New Roman" w:hAnsi="Times New Roman"/>
          <w:color w:val="FF0000"/>
          <w:lang w:val="pt-BR"/>
        </w:rPr>
        <w:t>■</w:t>
      </w:r>
      <w:r w:rsidR="00E7353F" w:rsidRPr="001F1189">
        <w:rPr>
          <w:rFonts w:ascii="Times New Roman" w:hAnsi="Times New Roman"/>
          <w:lang w:val="pt-BR"/>
        </w:rPr>
        <w:t xml:space="preserve">) </w:t>
      </w:r>
      <w:r w:rsidR="00BC1E14" w:rsidRPr="001F1189">
        <w:rPr>
          <w:rFonts w:ascii="Times New Roman" w:hAnsi="Times New Roman"/>
          <w:lang w:val="pt-BR"/>
        </w:rPr>
        <w:t>MB</w:t>
      </w:r>
      <w:r w:rsidR="00D61E0C" w:rsidRPr="001F1189">
        <w:rPr>
          <w:rFonts w:ascii="Times New Roman" w:hAnsi="Times New Roman"/>
          <w:lang w:val="pt-BR"/>
        </w:rPr>
        <w:t>30-Pt</w:t>
      </w:r>
      <w:r w:rsidR="00996E3E" w:rsidRPr="001F1189">
        <w:rPr>
          <w:rFonts w:ascii="Times New Roman" w:hAnsi="Times New Roman"/>
          <w:lang w:val="pt-BR"/>
        </w:rPr>
        <w:t>.</w:t>
      </w:r>
    </w:p>
    <w:p w14:paraId="4B9B58CB" w14:textId="2A85602B" w:rsidR="00173327" w:rsidRDefault="00B82C84" w:rsidP="00B82C84">
      <w:pPr>
        <w:pStyle w:val="TAMainText"/>
        <w:ind w:firstLine="187"/>
        <w:rPr>
          <w:rFonts w:ascii="Times New Roman" w:hAnsi="Times New Roman"/>
          <w:lang w:val="pt-BR"/>
        </w:rPr>
      </w:pPr>
      <w:r w:rsidRPr="001F1189">
        <w:rPr>
          <w:rFonts w:ascii="Times New Roman" w:hAnsi="Times New Roman"/>
          <w:lang w:val="pt-BR"/>
        </w:rPr>
        <w:t>O primeiro ocorre desde o início da análise até ~130 °C</w:t>
      </w:r>
      <w:r w:rsidRPr="00C5468D">
        <w:rPr>
          <w:rFonts w:ascii="Times New Roman" w:hAnsi="Times New Roman"/>
          <w:lang w:val="pt-BR"/>
        </w:rPr>
        <w:t xml:space="preserve"> e corresponde aos compostos voláteis</w:t>
      </w:r>
      <w:r>
        <w:rPr>
          <w:rFonts w:ascii="Times New Roman" w:hAnsi="Times New Roman"/>
          <w:lang w:val="pt-BR"/>
        </w:rPr>
        <w:t xml:space="preserve"> adsorvidos, incluindo a água e</w:t>
      </w:r>
      <w:r w:rsidRPr="00C5468D">
        <w:rPr>
          <w:rFonts w:ascii="Times New Roman" w:hAnsi="Times New Roman"/>
          <w:lang w:val="pt-BR"/>
        </w:rPr>
        <w:t xml:space="preserve"> os</w:t>
      </w:r>
      <w:r w:rsidRPr="00781BFB">
        <w:rPr>
          <w:rFonts w:ascii="Times New Roman" w:hAnsi="Times New Roman"/>
          <w:lang w:val="pt-BR"/>
        </w:rPr>
        <w:t xml:space="preserve"> </w:t>
      </w:r>
      <w:r w:rsidRPr="001F1189">
        <w:rPr>
          <w:rFonts w:ascii="Times New Roman" w:hAnsi="Times New Roman"/>
          <w:lang w:val="pt-BR"/>
        </w:rPr>
        <w:t xml:space="preserve">componentes nitrogenados residuais, mesmo após o tratamento do MDF (3). </w:t>
      </w:r>
      <w:r w:rsidR="006106EE" w:rsidRPr="001F1189">
        <w:rPr>
          <w:rFonts w:ascii="Times New Roman" w:hAnsi="Times New Roman"/>
          <w:lang w:val="pt-BR"/>
        </w:rPr>
        <w:t>O segundo estágio (</w:t>
      </w:r>
      <w:r w:rsidR="002F5B0F" w:rsidRPr="001F1189">
        <w:rPr>
          <w:rFonts w:ascii="Times New Roman" w:hAnsi="Times New Roman"/>
          <w:lang w:val="pt-BR"/>
        </w:rPr>
        <w:t>~</w:t>
      </w:r>
      <w:r w:rsidR="006106EE" w:rsidRPr="001F1189">
        <w:rPr>
          <w:rFonts w:ascii="Times New Roman" w:hAnsi="Times New Roman"/>
          <w:lang w:val="pt-BR"/>
        </w:rPr>
        <w:t>200 °C até ~420 °C) é o mais pronunciado</w:t>
      </w:r>
      <w:r w:rsidR="00651CE8" w:rsidRPr="001F1189">
        <w:rPr>
          <w:rFonts w:ascii="Times New Roman" w:hAnsi="Times New Roman"/>
          <w:lang w:val="pt-BR"/>
        </w:rPr>
        <w:t xml:space="preserve"> e </w:t>
      </w:r>
      <w:r w:rsidR="006106EE" w:rsidRPr="001F1189">
        <w:rPr>
          <w:rFonts w:ascii="Times New Roman" w:hAnsi="Times New Roman"/>
          <w:lang w:val="pt-BR"/>
        </w:rPr>
        <w:t xml:space="preserve">considerado o principal evento de decomposição. </w:t>
      </w:r>
      <w:r w:rsidR="0062241F" w:rsidRPr="001F1189">
        <w:rPr>
          <w:rFonts w:ascii="Times New Roman" w:hAnsi="Times New Roman"/>
          <w:lang w:val="pt-BR"/>
        </w:rPr>
        <w:t>Neste estágio</w:t>
      </w:r>
      <w:r w:rsidRPr="001F1189">
        <w:rPr>
          <w:rFonts w:ascii="Times New Roman" w:hAnsi="Times New Roman"/>
          <w:lang w:val="pt-BR"/>
        </w:rPr>
        <w:t>,</w:t>
      </w:r>
      <w:r w:rsidR="0062241F" w:rsidRPr="001F1189">
        <w:rPr>
          <w:rFonts w:ascii="Times New Roman" w:hAnsi="Times New Roman"/>
          <w:lang w:val="pt-BR"/>
        </w:rPr>
        <w:t xml:space="preserve"> ocorre a decomposição da hemicelulose (200-350</w:t>
      </w:r>
      <w:r w:rsidR="007A47B2" w:rsidRPr="001F1189">
        <w:rPr>
          <w:rFonts w:ascii="Times New Roman" w:hAnsi="Times New Roman"/>
          <w:lang w:val="pt-BR"/>
        </w:rPr>
        <w:t xml:space="preserve"> </w:t>
      </w:r>
      <w:r w:rsidR="0062241F" w:rsidRPr="001F1189">
        <w:rPr>
          <w:rFonts w:ascii="Times New Roman" w:hAnsi="Times New Roman"/>
          <w:lang w:val="pt-BR"/>
        </w:rPr>
        <w:t>°C), celulose (300-375</w:t>
      </w:r>
      <w:r w:rsidR="007A47B2" w:rsidRPr="001F1189">
        <w:rPr>
          <w:rFonts w:ascii="Times New Roman" w:hAnsi="Times New Roman"/>
          <w:lang w:val="pt-BR"/>
        </w:rPr>
        <w:t xml:space="preserve"> </w:t>
      </w:r>
      <w:r w:rsidR="0062241F" w:rsidRPr="001F1189">
        <w:rPr>
          <w:rFonts w:ascii="Times New Roman" w:hAnsi="Times New Roman"/>
          <w:lang w:val="pt-BR"/>
        </w:rPr>
        <w:t>°C) e lignina (250-500</w:t>
      </w:r>
      <w:r w:rsidR="007A47B2" w:rsidRPr="001F1189">
        <w:rPr>
          <w:rFonts w:ascii="Times New Roman" w:hAnsi="Times New Roman"/>
          <w:lang w:val="pt-BR"/>
        </w:rPr>
        <w:t xml:space="preserve"> </w:t>
      </w:r>
      <w:r w:rsidR="0062241F" w:rsidRPr="001F1189">
        <w:rPr>
          <w:rFonts w:ascii="Times New Roman" w:hAnsi="Times New Roman"/>
          <w:lang w:val="pt-BR"/>
        </w:rPr>
        <w:t>°C) (</w:t>
      </w:r>
      <w:r w:rsidR="00AB640B" w:rsidRPr="001F1189">
        <w:rPr>
          <w:rFonts w:ascii="Times New Roman" w:hAnsi="Times New Roman"/>
          <w:lang w:val="pt-BR"/>
        </w:rPr>
        <w:t>8</w:t>
      </w:r>
      <w:r w:rsidR="0062241F" w:rsidRPr="001F1189">
        <w:rPr>
          <w:rFonts w:ascii="Times New Roman" w:hAnsi="Times New Roman"/>
          <w:lang w:val="pt-BR"/>
        </w:rPr>
        <w:t>)</w:t>
      </w:r>
      <w:r w:rsidRPr="001F1189">
        <w:rPr>
          <w:rFonts w:ascii="Times New Roman" w:hAnsi="Times New Roman"/>
          <w:lang w:val="pt-BR"/>
        </w:rPr>
        <w:t>. Em todas as amostras</w:t>
      </w:r>
      <w:r w:rsidR="00317D1A" w:rsidRPr="001F1189">
        <w:rPr>
          <w:rFonts w:ascii="Times New Roman" w:hAnsi="Times New Roman"/>
          <w:lang w:val="pt-BR"/>
        </w:rPr>
        <w:t xml:space="preserve">, </w:t>
      </w:r>
      <w:r w:rsidRPr="001F1189">
        <w:rPr>
          <w:rFonts w:ascii="Times New Roman" w:hAnsi="Times New Roman"/>
          <w:lang w:val="pt-BR"/>
        </w:rPr>
        <w:t xml:space="preserve">o pico corresponde </w:t>
      </w:r>
      <w:r w:rsidR="00051529" w:rsidRPr="001F1189">
        <w:rPr>
          <w:rFonts w:ascii="Times New Roman" w:hAnsi="Times New Roman"/>
          <w:lang w:val="pt-BR"/>
        </w:rPr>
        <w:t xml:space="preserve">à </w:t>
      </w:r>
      <w:r w:rsidR="00317D1A" w:rsidRPr="001F1189">
        <w:rPr>
          <w:rFonts w:ascii="Times New Roman" w:hAnsi="Times New Roman"/>
          <w:lang w:val="pt-BR"/>
        </w:rPr>
        <w:t>decomposição</w:t>
      </w:r>
      <w:r w:rsidRPr="001F1189">
        <w:rPr>
          <w:rFonts w:ascii="Times New Roman" w:hAnsi="Times New Roman"/>
          <w:lang w:val="pt-BR"/>
        </w:rPr>
        <w:t xml:space="preserve"> máxima</w:t>
      </w:r>
      <w:r w:rsidR="00051529" w:rsidRPr="00C5468D">
        <w:rPr>
          <w:rFonts w:ascii="Times New Roman" w:hAnsi="Times New Roman"/>
          <w:lang w:val="pt-BR"/>
        </w:rPr>
        <w:t>,</w:t>
      </w:r>
      <w:r w:rsidR="00317D1A" w:rsidRPr="00C5468D">
        <w:rPr>
          <w:rFonts w:ascii="Times New Roman" w:hAnsi="Times New Roman"/>
          <w:lang w:val="pt-BR"/>
        </w:rPr>
        <w:t xml:space="preserve"> </w:t>
      </w:r>
      <w:r w:rsidR="002B4DDB" w:rsidRPr="00C5468D">
        <w:rPr>
          <w:rFonts w:ascii="Times New Roman" w:hAnsi="Times New Roman"/>
          <w:lang w:val="pt-BR"/>
        </w:rPr>
        <w:t xml:space="preserve">em </w:t>
      </w:r>
      <w:r w:rsidR="009D77D7" w:rsidRPr="00C5468D">
        <w:rPr>
          <w:rFonts w:ascii="Times New Roman" w:hAnsi="Times New Roman"/>
          <w:lang w:val="pt-BR"/>
        </w:rPr>
        <w:t>~</w:t>
      </w:r>
      <w:r w:rsidR="002B4DDB" w:rsidRPr="00C5468D">
        <w:rPr>
          <w:rFonts w:ascii="Times New Roman" w:hAnsi="Times New Roman"/>
          <w:lang w:val="pt-BR"/>
        </w:rPr>
        <w:t>390 °C</w:t>
      </w:r>
      <w:r w:rsidR="009D77D7" w:rsidRPr="00C5468D">
        <w:rPr>
          <w:rFonts w:ascii="Times New Roman" w:hAnsi="Times New Roman"/>
          <w:lang w:val="pt-BR"/>
        </w:rPr>
        <w:t xml:space="preserve"> (</w:t>
      </w:r>
      <w:r w:rsidR="002B4DDB" w:rsidRPr="00C5468D">
        <w:rPr>
          <w:rFonts w:ascii="Times New Roman" w:hAnsi="Times New Roman"/>
          <w:lang w:val="pt-BR"/>
        </w:rPr>
        <w:t xml:space="preserve">Figura </w:t>
      </w:r>
      <w:r w:rsidR="00CF7759" w:rsidRPr="00C5468D">
        <w:rPr>
          <w:rFonts w:ascii="Times New Roman" w:hAnsi="Times New Roman"/>
          <w:lang w:val="pt-BR"/>
        </w:rPr>
        <w:t>5</w:t>
      </w:r>
      <w:r w:rsidR="009D77D7" w:rsidRPr="00C5468D">
        <w:rPr>
          <w:rFonts w:ascii="Times New Roman" w:hAnsi="Times New Roman"/>
          <w:lang w:val="pt-BR"/>
        </w:rPr>
        <w:t>)</w:t>
      </w:r>
      <w:r w:rsidR="0062241F" w:rsidRPr="00C5468D">
        <w:rPr>
          <w:rFonts w:ascii="Times New Roman" w:hAnsi="Times New Roman"/>
          <w:lang w:val="pt-BR"/>
        </w:rPr>
        <w:t xml:space="preserve">. Nesta faixa de temperatura, o sistema tem energia suficiente para promover a </w:t>
      </w:r>
      <w:r>
        <w:rPr>
          <w:rFonts w:ascii="Times New Roman" w:hAnsi="Times New Roman"/>
          <w:lang w:val="pt-BR"/>
        </w:rPr>
        <w:t>ruptura</w:t>
      </w:r>
      <w:r w:rsidR="0062241F" w:rsidRPr="00C5468D">
        <w:rPr>
          <w:rFonts w:ascii="Times New Roman" w:hAnsi="Times New Roman"/>
          <w:lang w:val="pt-BR"/>
        </w:rPr>
        <w:t xml:space="preserve"> de ligações C=O, -OH e C=C </w:t>
      </w:r>
      <w:r w:rsidRPr="00C5468D">
        <w:rPr>
          <w:rFonts w:ascii="Times New Roman" w:hAnsi="Times New Roman"/>
          <w:lang w:val="pt-BR"/>
        </w:rPr>
        <w:t xml:space="preserve">de cadeia longa </w:t>
      </w:r>
      <w:r w:rsidR="0062241F" w:rsidRPr="00C5468D">
        <w:rPr>
          <w:rFonts w:ascii="Times New Roman" w:hAnsi="Times New Roman"/>
          <w:lang w:val="pt-BR"/>
        </w:rPr>
        <w:t xml:space="preserve">presentes </w:t>
      </w:r>
      <w:r w:rsidR="007A47B2" w:rsidRPr="00C5468D">
        <w:rPr>
          <w:rFonts w:ascii="Times New Roman" w:hAnsi="Times New Roman"/>
          <w:lang w:val="pt-BR"/>
        </w:rPr>
        <w:t xml:space="preserve">na </w:t>
      </w:r>
      <w:r w:rsidR="0062241F" w:rsidRPr="00C5468D">
        <w:rPr>
          <w:rFonts w:ascii="Times New Roman" w:hAnsi="Times New Roman"/>
          <w:lang w:val="pt-BR"/>
        </w:rPr>
        <w:t>matriz lignocelulósica, para produzir produtos primários líquidos e gasosos, como água, monóxido de carbono e dióxido de carbono.</w:t>
      </w:r>
      <w:r w:rsidR="009D77D7" w:rsidRPr="00C5468D">
        <w:rPr>
          <w:rFonts w:ascii="Times New Roman" w:hAnsi="Times New Roman"/>
          <w:lang w:val="pt-BR"/>
        </w:rPr>
        <w:t xml:space="preserve"> </w:t>
      </w:r>
      <w:r w:rsidR="0062241F" w:rsidRPr="00C5468D">
        <w:rPr>
          <w:rFonts w:ascii="Times New Roman" w:hAnsi="Times New Roman"/>
          <w:lang w:val="pt-BR"/>
        </w:rPr>
        <w:t>Outros produtos são gerados nesta etapa, principalmente</w:t>
      </w:r>
      <w:r w:rsidR="007A47B2" w:rsidRPr="00C5468D">
        <w:rPr>
          <w:rFonts w:ascii="Times New Roman" w:hAnsi="Times New Roman"/>
          <w:lang w:val="pt-BR"/>
        </w:rPr>
        <w:t>,</w:t>
      </w:r>
      <w:r w:rsidR="0062241F" w:rsidRPr="00C5468D">
        <w:rPr>
          <w:rFonts w:ascii="Times New Roman" w:hAnsi="Times New Roman"/>
          <w:lang w:val="pt-BR"/>
        </w:rPr>
        <w:t xml:space="preserve"> </w:t>
      </w:r>
      <w:r w:rsidR="0062241F" w:rsidRPr="001F1189">
        <w:rPr>
          <w:rFonts w:ascii="Times New Roman" w:hAnsi="Times New Roman"/>
          <w:lang w:val="pt-BR"/>
        </w:rPr>
        <w:t xml:space="preserve">cadeias de hidrocarbonetos que possuem menor peso molecular, a partir da </w:t>
      </w:r>
      <w:r w:rsidRPr="001F1189">
        <w:rPr>
          <w:rFonts w:ascii="Times New Roman" w:hAnsi="Times New Roman"/>
          <w:lang w:val="pt-BR"/>
        </w:rPr>
        <w:t>ruptura</w:t>
      </w:r>
      <w:r w:rsidR="0062241F" w:rsidRPr="001F1189">
        <w:rPr>
          <w:rFonts w:ascii="Times New Roman" w:hAnsi="Times New Roman"/>
          <w:lang w:val="pt-BR"/>
        </w:rPr>
        <w:t xml:space="preserve"> de cadeias laterais e de α- e β-aril-alquil-éter (</w:t>
      </w:r>
      <w:r w:rsidR="00AB640B" w:rsidRPr="001F1189">
        <w:rPr>
          <w:rFonts w:ascii="Times New Roman" w:hAnsi="Times New Roman"/>
          <w:lang w:val="pt-BR"/>
        </w:rPr>
        <w:t>9</w:t>
      </w:r>
      <w:r w:rsidR="0062241F" w:rsidRPr="001F1189">
        <w:rPr>
          <w:rFonts w:ascii="Times New Roman" w:hAnsi="Times New Roman"/>
          <w:lang w:val="pt-BR"/>
        </w:rPr>
        <w:t xml:space="preserve">). </w:t>
      </w:r>
      <w:r w:rsidR="00173327" w:rsidRPr="001F1189">
        <w:rPr>
          <w:rFonts w:ascii="Times New Roman" w:hAnsi="Times New Roman"/>
          <w:lang w:val="pt-BR"/>
        </w:rPr>
        <w:t xml:space="preserve">O terceiro estágio de decomposição (&gt; 420 °C) está relacionado a outros produtos, como o biocarvão. Essa condição causa baixas perdas de peso próximas à estabilidade térmica e pode ser considerada como um estado pseudo-estacionário. Nesta etapa, ocorrem algumas reações de rearranjo, como produção de radicais livres, </w:t>
      </w:r>
      <w:r w:rsidRPr="001F1189">
        <w:rPr>
          <w:rFonts w:ascii="Times New Roman" w:hAnsi="Times New Roman"/>
          <w:lang w:val="pt-BR"/>
        </w:rPr>
        <w:t xml:space="preserve">ruptura </w:t>
      </w:r>
      <w:r w:rsidR="00173327" w:rsidRPr="001F1189">
        <w:rPr>
          <w:rFonts w:ascii="Times New Roman" w:hAnsi="Times New Roman"/>
          <w:lang w:val="pt-BR"/>
        </w:rPr>
        <w:t xml:space="preserve"> de ligações e produtos secundários</w:t>
      </w:r>
      <w:r w:rsidRPr="001F1189">
        <w:rPr>
          <w:rFonts w:ascii="Times New Roman" w:hAnsi="Times New Roman"/>
          <w:lang w:val="pt-BR"/>
        </w:rPr>
        <w:t xml:space="preserve"> (</w:t>
      </w:r>
      <w:r w:rsidR="00AB640B" w:rsidRPr="001F1189">
        <w:rPr>
          <w:rFonts w:ascii="Times New Roman" w:hAnsi="Times New Roman"/>
          <w:lang w:val="pt-BR"/>
        </w:rPr>
        <w:t>10</w:t>
      </w:r>
      <w:r w:rsidR="004D6CCB" w:rsidRPr="001F1189">
        <w:rPr>
          <w:rFonts w:ascii="Times New Roman" w:hAnsi="Times New Roman"/>
          <w:lang w:val="pt-BR"/>
        </w:rPr>
        <w:t>).</w:t>
      </w:r>
      <w:r w:rsidR="00173327" w:rsidRPr="00781BFB">
        <w:rPr>
          <w:rFonts w:ascii="Times New Roman" w:hAnsi="Times New Roman"/>
          <w:lang w:val="pt-BR"/>
        </w:rPr>
        <w:t xml:space="preserve"> </w:t>
      </w:r>
    </w:p>
    <w:p w14:paraId="08914D1A" w14:textId="596528B8" w:rsidR="008A68EB" w:rsidRPr="00781BFB" w:rsidRDefault="008A68EB" w:rsidP="008A68EB">
      <w:pPr>
        <w:pStyle w:val="VDTableTitle"/>
        <w:spacing w:after="120"/>
        <w:jc w:val="both"/>
        <w:rPr>
          <w:rFonts w:ascii="Times New Roman" w:hAnsi="Times New Roman"/>
          <w:lang w:val="pt-BR"/>
        </w:rPr>
      </w:pPr>
      <w:r w:rsidRPr="00781BFB">
        <w:rPr>
          <w:rFonts w:ascii="Times New Roman" w:hAnsi="Times New Roman"/>
          <w:b/>
          <w:lang w:val="pt-BR"/>
        </w:rPr>
        <w:lastRenderedPageBreak/>
        <w:t xml:space="preserve">Tabela </w:t>
      </w:r>
      <w:r>
        <w:rPr>
          <w:rFonts w:ascii="Times New Roman" w:hAnsi="Times New Roman"/>
          <w:b/>
          <w:lang w:val="pt-BR"/>
        </w:rPr>
        <w:t>3</w:t>
      </w:r>
      <w:r w:rsidRPr="00781BFB">
        <w:rPr>
          <w:rFonts w:ascii="Times New Roman" w:hAnsi="Times New Roman"/>
          <w:b/>
          <w:lang w:val="pt-BR"/>
        </w:rPr>
        <w:t>.</w:t>
      </w:r>
      <w:r w:rsidRPr="00781BFB">
        <w:rPr>
          <w:rFonts w:ascii="Times New Roman" w:hAnsi="Times New Roman"/>
          <w:lang w:val="pt-BR"/>
        </w:rPr>
        <w:t xml:space="preserve"> Faixa de temperatura das amostras durante a pirólise catalítica e não</w:t>
      </w:r>
      <w:r w:rsidR="001C5601">
        <w:rPr>
          <w:rFonts w:ascii="Times New Roman" w:hAnsi="Times New Roman"/>
          <w:lang w:val="pt-BR"/>
        </w:rPr>
        <w:t>-</w:t>
      </w:r>
      <w:r w:rsidRPr="00781BFB">
        <w:rPr>
          <w:rFonts w:ascii="Times New Roman" w:hAnsi="Times New Roman"/>
          <w:lang w:val="pt-BR"/>
        </w:rPr>
        <w:t>catalítica do MDF sob taxa de aquecimento de β = 10 °C min</w:t>
      </w:r>
      <w:r w:rsidRPr="00781BFB">
        <w:rPr>
          <w:rFonts w:ascii="Times New Roman" w:hAnsi="Times New Roman"/>
          <w:vertAlign w:val="superscript"/>
          <w:lang w:val="pt-BR"/>
        </w:rPr>
        <w:t>-1</w:t>
      </w:r>
      <w:r w:rsidRPr="00781BFB">
        <w:rPr>
          <w:rFonts w:ascii="Times New Roman" w:hAnsi="Times New Roman"/>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201"/>
        <w:gridCol w:w="1201"/>
        <w:gridCol w:w="1201"/>
      </w:tblGrid>
      <w:tr w:rsidR="008A68EB" w:rsidRPr="00781BFB" w14:paraId="17D60E22" w14:textId="77777777" w:rsidTr="00AC18A0">
        <w:tc>
          <w:tcPr>
            <w:tcW w:w="1201" w:type="dxa"/>
            <w:vAlign w:val="center"/>
          </w:tcPr>
          <w:p w14:paraId="4947809D" w14:textId="77777777" w:rsidR="008A68EB" w:rsidRPr="00781BFB" w:rsidRDefault="008A68EB" w:rsidP="00AC18A0">
            <w:pPr>
              <w:pStyle w:val="TCTableBody"/>
              <w:rPr>
                <w:lang w:val="pt-BR"/>
              </w:rPr>
            </w:pPr>
            <w:r w:rsidRPr="00781BFB">
              <w:rPr>
                <w:lang w:val="pt-BR"/>
              </w:rPr>
              <w:t>Amostra</w:t>
            </w:r>
          </w:p>
        </w:tc>
        <w:tc>
          <w:tcPr>
            <w:tcW w:w="1201" w:type="dxa"/>
            <w:vAlign w:val="center"/>
          </w:tcPr>
          <w:p w14:paraId="571DDA48" w14:textId="77777777" w:rsidR="008A68EB" w:rsidRPr="00781BFB" w:rsidRDefault="008A68EB" w:rsidP="00AC18A0">
            <w:pPr>
              <w:pStyle w:val="TCTableBody"/>
              <w:rPr>
                <w:lang w:val="pt-BR"/>
              </w:rPr>
            </w:pPr>
            <w:r w:rsidRPr="00781BFB">
              <w:rPr>
                <w:lang w:val="pt-BR"/>
              </w:rPr>
              <w:t xml:space="preserve">Estágio I </w:t>
            </w:r>
          </w:p>
        </w:tc>
        <w:tc>
          <w:tcPr>
            <w:tcW w:w="1201" w:type="dxa"/>
            <w:vAlign w:val="center"/>
          </w:tcPr>
          <w:p w14:paraId="2F4BCE6E" w14:textId="77777777" w:rsidR="008A68EB" w:rsidRPr="00781BFB" w:rsidRDefault="008A68EB" w:rsidP="00AC18A0">
            <w:pPr>
              <w:pStyle w:val="TCTableBody"/>
              <w:rPr>
                <w:lang w:val="pt-BR"/>
              </w:rPr>
            </w:pPr>
            <w:r w:rsidRPr="00781BFB">
              <w:rPr>
                <w:lang w:val="pt-BR"/>
              </w:rPr>
              <w:t>Estágio II</w:t>
            </w:r>
          </w:p>
        </w:tc>
        <w:tc>
          <w:tcPr>
            <w:tcW w:w="1201" w:type="dxa"/>
            <w:vAlign w:val="center"/>
          </w:tcPr>
          <w:p w14:paraId="0A3B1660" w14:textId="77777777" w:rsidR="008A68EB" w:rsidRPr="00781BFB" w:rsidRDefault="008A68EB" w:rsidP="00AC18A0">
            <w:pPr>
              <w:pStyle w:val="TCTableBody"/>
              <w:rPr>
                <w:lang w:val="pt-BR"/>
              </w:rPr>
            </w:pPr>
            <w:r w:rsidRPr="00781BFB">
              <w:rPr>
                <w:lang w:val="pt-BR"/>
              </w:rPr>
              <w:t>Estágio III</w:t>
            </w:r>
          </w:p>
        </w:tc>
      </w:tr>
      <w:tr w:rsidR="008A68EB" w:rsidRPr="00781BFB" w14:paraId="5B833317" w14:textId="77777777" w:rsidTr="00AC18A0">
        <w:tc>
          <w:tcPr>
            <w:tcW w:w="1201" w:type="dxa"/>
            <w:vAlign w:val="center"/>
          </w:tcPr>
          <w:p w14:paraId="09E8FD1B" w14:textId="1BE60E81" w:rsidR="008A68EB" w:rsidRPr="00781BFB" w:rsidRDefault="008A68EB" w:rsidP="00AC18A0">
            <w:pPr>
              <w:pStyle w:val="TCTableBody"/>
              <w:rPr>
                <w:lang w:val="pt-BR"/>
              </w:rPr>
            </w:pPr>
            <w:r w:rsidRPr="00781BFB">
              <w:rPr>
                <w:lang w:val="pt-BR"/>
              </w:rPr>
              <w:t>M</w:t>
            </w:r>
            <w:r w:rsidR="0043447E">
              <w:rPr>
                <w:lang w:val="pt-BR"/>
              </w:rPr>
              <w:t>DF</w:t>
            </w:r>
          </w:p>
        </w:tc>
        <w:tc>
          <w:tcPr>
            <w:tcW w:w="1201" w:type="dxa"/>
            <w:vAlign w:val="center"/>
          </w:tcPr>
          <w:p w14:paraId="4A42A49D" w14:textId="77777777" w:rsidR="008A68EB" w:rsidRPr="00781BFB" w:rsidRDefault="008A68EB" w:rsidP="00AC18A0">
            <w:pPr>
              <w:pStyle w:val="TCTableBody"/>
              <w:rPr>
                <w:lang w:val="pt-BR"/>
              </w:rPr>
            </w:pPr>
            <w:r w:rsidRPr="00781BFB">
              <w:rPr>
                <w:lang w:val="pt-BR"/>
              </w:rPr>
              <w:t xml:space="preserve">25,0 – 114,0 </w:t>
            </w:r>
          </w:p>
        </w:tc>
        <w:tc>
          <w:tcPr>
            <w:tcW w:w="1201" w:type="dxa"/>
            <w:vAlign w:val="center"/>
          </w:tcPr>
          <w:p w14:paraId="79B1F086" w14:textId="77777777" w:rsidR="008A68EB" w:rsidRPr="00781BFB" w:rsidRDefault="008A68EB" w:rsidP="00AC18A0">
            <w:pPr>
              <w:pStyle w:val="TCTableBody"/>
              <w:rPr>
                <w:lang w:val="pt-BR"/>
              </w:rPr>
            </w:pPr>
            <w:r w:rsidRPr="00781BFB">
              <w:rPr>
                <w:lang w:val="pt-BR"/>
              </w:rPr>
              <w:t>114,0 – 413,6</w:t>
            </w:r>
          </w:p>
        </w:tc>
        <w:tc>
          <w:tcPr>
            <w:tcW w:w="1201" w:type="dxa"/>
            <w:vAlign w:val="center"/>
          </w:tcPr>
          <w:p w14:paraId="3A654E8C" w14:textId="77777777" w:rsidR="008A68EB" w:rsidRPr="00781BFB" w:rsidRDefault="008A68EB" w:rsidP="00AC18A0">
            <w:pPr>
              <w:pStyle w:val="TCTableBody"/>
              <w:rPr>
                <w:lang w:val="pt-BR"/>
              </w:rPr>
            </w:pPr>
            <w:r w:rsidRPr="00781BFB">
              <w:rPr>
                <w:lang w:val="pt-BR"/>
              </w:rPr>
              <w:t>413,6 – &gt;900</w:t>
            </w:r>
          </w:p>
        </w:tc>
      </w:tr>
      <w:tr w:rsidR="008A68EB" w:rsidRPr="00781BFB" w14:paraId="0E8D363F" w14:textId="77777777" w:rsidTr="00AC18A0">
        <w:tc>
          <w:tcPr>
            <w:tcW w:w="1201" w:type="dxa"/>
            <w:vAlign w:val="center"/>
          </w:tcPr>
          <w:p w14:paraId="534BD837" w14:textId="69CF76AC" w:rsidR="008A68EB" w:rsidRPr="00781BFB" w:rsidRDefault="008A68EB" w:rsidP="00AC18A0">
            <w:pPr>
              <w:pStyle w:val="TCTableBody"/>
              <w:rPr>
                <w:lang w:val="pt-BR"/>
              </w:rPr>
            </w:pPr>
            <w:r w:rsidRPr="00781BFB">
              <w:rPr>
                <w:lang w:val="pt-BR"/>
              </w:rPr>
              <w:t>MB</w:t>
            </w:r>
            <w:r w:rsidR="0043447E">
              <w:rPr>
                <w:lang w:val="pt-BR"/>
              </w:rPr>
              <w:t>30</w:t>
            </w:r>
          </w:p>
        </w:tc>
        <w:tc>
          <w:tcPr>
            <w:tcW w:w="1201" w:type="dxa"/>
            <w:vAlign w:val="center"/>
          </w:tcPr>
          <w:p w14:paraId="1FB28E2C" w14:textId="77777777" w:rsidR="008A68EB" w:rsidRPr="00781BFB" w:rsidRDefault="008A68EB" w:rsidP="00AC18A0">
            <w:pPr>
              <w:pStyle w:val="TCTableBody"/>
              <w:rPr>
                <w:lang w:val="pt-BR"/>
              </w:rPr>
            </w:pPr>
            <w:r w:rsidRPr="00781BFB">
              <w:rPr>
                <w:lang w:val="pt-BR"/>
              </w:rPr>
              <w:t>25,0 – 102,8</w:t>
            </w:r>
          </w:p>
        </w:tc>
        <w:tc>
          <w:tcPr>
            <w:tcW w:w="1201" w:type="dxa"/>
            <w:vAlign w:val="center"/>
          </w:tcPr>
          <w:p w14:paraId="2004FFCF" w14:textId="77777777" w:rsidR="008A68EB" w:rsidRPr="00781BFB" w:rsidRDefault="008A68EB" w:rsidP="00AC18A0">
            <w:pPr>
              <w:pStyle w:val="TCTableBody"/>
              <w:rPr>
                <w:lang w:val="pt-BR"/>
              </w:rPr>
            </w:pPr>
            <w:r w:rsidRPr="00781BFB">
              <w:rPr>
                <w:lang w:val="pt-BR"/>
              </w:rPr>
              <w:t>102,8 – 416,3</w:t>
            </w:r>
          </w:p>
        </w:tc>
        <w:tc>
          <w:tcPr>
            <w:tcW w:w="1201" w:type="dxa"/>
            <w:vAlign w:val="center"/>
          </w:tcPr>
          <w:p w14:paraId="7AD66929" w14:textId="77777777" w:rsidR="008A68EB" w:rsidRPr="00781BFB" w:rsidRDefault="008A68EB" w:rsidP="00AC18A0">
            <w:pPr>
              <w:pStyle w:val="TCTableBody"/>
              <w:rPr>
                <w:lang w:val="pt-BR"/>
              </w:rPr>
            </w:pPr>
            <w:r w:rsidRPr="00781BFB">
              <w:rPr>
                <w:lang w:val="pt-BR"/>
              </w:rPr>
              <w:t>416,3 – 763,7</w:t>
            </w:r>
          </w:p>
        </w:tc>
      </w:tr>
      <w:tr w:rsidR="008A68EB" w:rsidRPr="00781BFB" w14:paraId="69F856AE" w14:textId="77777777" w:rsidTr="00AC18A0">
        <w:trPr>
          <w:trHeight w:val="454"/>
        </w:trPr>
        <w:tc>
          <w:tcPr>
            <w:tcW w:w="1201" w:type="dxa"/>
            <w:tcBorders>
              <w:bottom w:val="single" w:sz="6" w:space="0" w:color="auto"/>
            </w:tcBorders>
            <w:vAlign w:val="center"/>
          </w:tcPr>
          <w:p w14:paraId="5A66B52C" w14:textId="0F713100" w:rsidR="008A68EB" w:rsidRPr="00781BFB" w:rsidRDefault="008A68EB" w:rsidP="00AC18A0">
            <w:pPr>
              <w:pStyle w:val="TCTableBody"/>
              <w:rPr>
                <w:lang w:val="pt-BR"/>
              </w:rPr>
            </w:pPr>
            <w:r w:rsidRPr="00781BFB">
              <w:rPr>
                <w:lang w:val="pt-BR"/>
              </w:rPr>
              <w:t>MB</w:t>
            </w:r>
            <w:r w:rsidR="0043447E">
              <w:rPr>
                <w:lang w:val="pt-BR"/>
              </w:rPr>
              <w:t>30-Pt</w:t>
            </w:r>
          </w:p>
        </w:tc>
        <w:tc>
          <w:tcPr>
            <w:tcW w:w="1201" w:type="dxa"/>
            <w:tcBorders>
              <w:bottom w:val="single" w:sz="6" w:space="0" w:color="auto"/>
            </w:tcBorders>
            <w:vAlign w:val="center"/>
          </w:tcPr>
          <w:p w14:paraId="31415238" w14:textId="77777777" w:rsidR="008A68EB" w:rsidRPr="00781BFB" w:rsidRDefault="008A68EB" w:rsidP="00AC18A0">
            <w:pPr>
              <w:pStyle w:val="TCTableBody"/>
              <w:rPr>
                <w:lang w:val="pt-BR"/>
              </w:rPr>
            </w:pPr>
            <w:r w:rsidRPr="00781BFB">
              <w:rPr>
                <w:lang w:val="pt-BR"/>
              </w:rPr>
              <w:t>25,0 – 112,5</w:t>
            </w:r>
          </w:p>
        </w:tc>
        <w:tc>
          <w:tcPr>
            <w:tcW w:w="1201" w:type="dxa"/>
            <w:tcBorders>
              <w:bottom w:val="single" w:sz="6" w:space="0" w:color="auto"/>
            </w:tcBorders>
            <w:vAlign w:val="center"/>
          </w:tcPr>
          <w:p w14:paraId="31FC0423" w14:textId="77777777" w:rsidR="008A68EB" w:rsidRPr="00781BFB" w:rsidRDefault="008A68EB" w:rsidP="00AC18A0">
            <w:pPr>
              <w:pStyle w:val="TCTableBody"/>
              <w:rPr>
                <w:lang w:val="pt-BR"/>
              </w:rPr>
            </w:pPr>
            <w:r w:rsidRPr="00781BFB">
              <w:rPr>
                <w:lang w:val="pt-BR"/>
              </w:rPr>
              <w:t>112,5 – 412,4</w:t>
            </w:r>
          </w:p>
        </w:tc>
        <w:tc>
          <w:tcPr>
            <w:tcW w:w="1201" w:type="dxa"/>
            <w:tcBorders>
              <w:bottom w:val="single" w:sz="6" w:space="0" w:color="auto"/>
            </w:tcBorders>
            <w:vAlign w:val="center"/>
          </w:tcPr>
          <w:p w14:paraId="2C378BBB" w14:textId="77777777" w:rsidR="008A68EB" w:rsidRPr="00781BFB" w:rsidRDefault="008A68EB" w:rsidP="00AC18A0">
            <w:pPr>
              <w:pStyle w:val="TCTableBody"/>
              <w:rPr>
                <w:lang w:val="pt-BR"/>
              </w:rPr>
            </w:pPr>
            <w:r w:rsidRPr="00781BFB">
              <w:rPr>
                <w:lang w:val="pt-BR"/>
              </w:rPr>
              <w:t>412,4 – 791,0</w:t>
            </w:r>
          </w:p>
        </w:tc>
      </w:tr>
      <w:tr w:rsidR="008A68EB" w:rsidRPr="00781BFB" w14:paraId="75D47824" w14:textId="77777777" w:rsidTr="00AC18A0">
        <w:tc>
          <w:tcPr>
            <w:tcW w:w="4804" w:type="dxa"/>
            <w:gridSpan w:val="4"/>
            <w:tcBorders>
              <w:top w:val="single" w:sz="6" w:space="0" w:color="auto"/>
              <w:left w:val="nil"/>
              <w:bottom w:val="nil"/>
              <w:right w:val="nil"/>
            </w:tcBorders>
            <w:vAlign w:val="center"/>
          </w:tcPr>
          <w:p w14:paraId="77223191" w14:textId="77777777" w:rsidR="008A68EB" w:rsidRPr="00781BFB" w:rsidRDefault="008A68EB" w:rsidP="00AC18A0">
            <w:pPr>
              <w:pStyle w:val="TCTableBody"/>
              <w:spacing w:after="0" w:line="240" w:lineRule="auto"/>
              <w:rPr>
                <w:rFonts w:ascii="Times New Roman" w:hAnsi="Times New Roman"/>
                <w:lang w:val="pt-BR"/>
              </w:rPr>
            </w:pPr>
          </w:p>
        </w:tc>
      </w:tr>
    </w:tbl>
    <w:p w14:paraId="7B90E5EA" w14:textId="72E6B5F9" w:rsidR="00DC59E3" w:rsidRPr="00781BFB" w:rsidRDefault="00E6097F" w:rsidP="00173327">
      <w:pPr>
        <w:pStyle w:val="TAMainText"/>
        <w:spacing w:before="160" w:after="160"/>
        <w:ind w:firstLine="187"/>
        <w:rPr>
          <w:rFonts w:ascii="Times New Roman" w:hAnsi="Times New Roman"/>
          <w:lang w:val="pt-BR"/>
        </w:rPr>
      </w:pPr>
      <w:r w:rsidRPr="00781BFB">
        <w:rPr>
          <w:rFonts w:ascii="Times New Roman" w:hAnsi="Times New Roman"/>
          <w:lang w:val="pt-BR"/>
        </w:rPr>
        <w:t xml:space="preserve">Os dados da </w:t>
      </w:r>
      <w:r w:rsidRPr="00E3630C">
        <w:rPr>
          <w:rFonts w:ascii="Times New Roman" w:hAnsi="Times New Roman"/>
          <w:lang w:val="pt-BR"/>
        </w:rPr>
        <w:t xml:space="preserve">Tabela </w:t>
      </w:r>
      <w:r w:rsidR="008D03DE" w:rsidRPr="00E3630C">
        <w:rPr>
          <w:rFonts w:ascii="Times New Roman" w:hAnsi="Times New Roman"/>
          <w:lang w:val="pt-BR"/>
        </w:rPr>
        <w:t>4</w:t>
      </w:r>
      <w:r w:rsidRPr="00E3630C">
        <w:rPr>
          <w:rFonts w:ascii="Times New Roman" w:hAnsi="Times New Roman"/>
          <w:lang w:val="pt-BR"/>
        </w:rPr>
        <w:t xml:space="preserve"> mostram</w:t>
      </w:r>
      <w:r w:rsidRPr="00781BFB">
        <w:rPr>
          <w:rFonts w:ascii="Times New Roman" w:hAnsi="Times New Roman"/>
          <w:lang w:val="pt-BR"/>
        </w:rPr>
        <w:t xml:space="preserve"> que</w:t>
      </w:r>
      <w:r w:rsidR="008D03DE">
        <w:rPr>
          <w:rFonts w:ascii="Times New Roman" w:hAnsi="Times New Roman"/>
          <w:lang w:val="pt-BR"/>
        </w:rPr>
        <w:t xml:space="preserve">, </w:t>
      </w:r>
      <w:r w:rsidR="00EC667E" w:rsidRPr="00781BFB">
        <w:rPr>
          <w:rFonts w:ascii="Times New Roman" w:hAnsi="Times New Roman"/>
          <w:lang w:val="pt-BR"/>
        </w:rPr>
        <w:t>a</w:t>
      </w:r>
      <w:r w:rsidR="00B1186B" w:rsidRPr="00781BFB">
        <w:rPr>
          <w:rFonts w:ascii="Times New Roman" w:hAnsi="Times New Roman"/>
          <w:lang w:val="pt-BR"/>
        </w:rPr>
        <w:t xml:space="preserve">pesar dos catalisadores reduzirem a faixa de temperatura para </w:t>
      </w:r>
      <w:r w:rsidR="00495FBA" w:rsidRPr="00781BFB">
        <w:rPr>
          <w:rFonts w:ascii="Times New Roman" w:hAnsi="Times New Roman"/>
          <w:lang w:val="pt-BR"/>
        </w:rPr>
        <w:t>a decomposição do MDF, também apresentaram maior produção de coque</w:t>
      </w:r>
      <w:r w:rsidR="00DD71A8" w:rsidRPr="00781BFB">
        <w:rPr>
          <w:rFonts w:ascii="Times New Roman" w:hAnsi="Times New Roman"/>
          <w:lang w:val="pt-BR"/>
        </w:rPr>
        <w:t>,</w:t>
      </w:r>
      <w:r w:rsidR="00241112" w:rsidRPr="00781BFB">
        <w:rPr>
          <w:rFonts w:ascii="Times New Roman" w:hAnsi="Times New Roman"/>
          <w:lang w:val="pt-BR"/>
        </w:rPr>
        <w:t xml:space="preserve"> devido à alta acidez superficial</w:t>
      </w:r>
      <w:r w:rsidR="00DD71A8" w:rsidRPr="00781BFB">
        <w:rPr>
          <w:rFonts w:ascii="Times New Roman" w:hAnsi="Times New Roman"/>
          <w:lang w:val="pt-BR"/>
        </w:rPr>
        <w:t>,</w:t>
      </w:r>
      <w:r w:rsidR="003C5317" w:rsidRPr="00781BFB">
        <w:rPr>
          <w:rFonts w:ascii="Times New Roman" w:hAnsi="Times New Roman"/>
          <w:lang w:val="pt-BR"/>
        </w:rPr>
        <w:t xml:space="preserve"> que </w:t>
      </w:r>
      <w:r w:rsidRPr="00781BFB">
        <w:rPr>
          <w:rFonts w:ascii="Times New Roman" w:hAnsi="Times New Roman"/>
          <w:lang w:val="pt-BR"/>
        </w:rPr>
        <w:t xml:space="preserve">favorece o craqueamento e a formação de </w:t>
      </w:r>
      <w:r w:rsidR="003C5317" w:rsidRPr="00781BFB">
        <w:rPr>
          <w:rFonts w:ascii="Times New Roman" w:hAnsi="Times New Roman"/>
          <w:lang w:val="pt-BR"/>
        </w:rPr>
        <w:t>coque</w:t>
      </w:r>
      <w:r w:rsidRPr="00781BFB">
        <w:rPr>
          <w:rFonts w:ascii="Times New Roman" w:hAnsi="Times New Roman"/>
          <w:lang w:val="pt-BR"/>
        </w:rPr>
        <w:t>.</w:t>
      </w:r>
    </w:p>
    <w:p w14:paraId="6DF0CB2B" w14:textId="05C4FA85" w:rsidR="00E6097F" w:rsidRPr="00781BFB" w:rsidRDefault="00E6097F" w:rsidP="00E6097F">
      <w:pPr>
        <w:pStyle w:val="VDTableTitle"/>
        <w:spacing w:after="120"/>
        <w:jc w:val="both"/>
        <w:rPr>
          <w:rFonts w:ascii="Times New Roman" w:hAnsi="Times New Roman"/>
          <w:lang w:val="pt-BR"/>
        </w:rPr>
      </w:pPr>
      <w:r w:rsidRPr="00781BFB">
        <w:rPr>
          <w:rFonts w:ascii="Times New Roman" w:hAnsi="Times New Roman"/>
          <w:b/>
          <w:lang w:val="pt-BR"/>
        </w:rPr>
        <w:t xml:space="preserve">Tabela </w:t>
      </w:r>
      <w:r w:rsidR="00CF7759">
        <w:rPr>
          <w:rFonts w:ascii="Times New Roman" w:hAnsi="Times New Roman"/>
          <w:b/>
          <w:lang w:val="pt-BR"/>
        </w:rPr>
        <w:t>4</w:t>
      </w:r>
      <w:r w:rsidRPr="00781BFB">
        <w:rPr>
          <w:rFonts w:ascii="Times New Roman" w:hAnsi="Times New Roman"/>
          <w:b/>
          <w:lang w:val="pt-BR"/>
        </w:rPr>
        <w:t>.</w:t>
      </w:r>
      <w:r w:rsidRPr="00781BFB">
        <w:rPr>
          <w:rFonts w:ascii="Times New Roman" w:hAnsi="Times New Roman"/>
          <w:lang w:val="pt-BR"/>
        </w:rPr>
        <w:t xml:space="preserve"> </w:t>
      </w:r>
      <w:r w:rsidR="0092421B" w:rsidRPr="00781BFB">
        <w:rPr>
          <w:rFonts w:ascii="Times New Roman" w:hAnsi="Times New Roman"/>
          <w:lang w:val="pt-BR"/>
        </w:rPr>
        <w:t>Percentual</w:t>
      </w:r>
      <w:r w:rsidR="00B0730B" w:rsidRPr="00781BFB">
        <w:rPr>
          <w:rFonts w:ascii="Times New Roman" w:hAnsi="Times New Roman"/>
          <w:lang w:val="pt-BR"/>
        </w:rPr>
        <w:t xml:space="preserve"> de biomassa decomposta</w:t>
      </w:r>
      <w:r w:rsidR="0092421B" w:rsidRPr="00781BFB">
        <w:rPr>
          <w:rFonts w:ascii="Times New Roman" w:hAnsi="Times New Roman"/>
          <w:lang w:val="pt-BR"/>
        </w:rPr>
        <w:t xml:space="preserve"> e </w:t>
      </w:r>
      <w:r w:rsidR="003A37C7" w:rsidRPr="00781BFB">
        <w:rPr>
          <w:rFonts w:ascii="Times New Roman" w:hAnsi="Times New Roman"/>
          <w:lang w:val="pt-BR"/>
        </w:rPr>
        <w:t xml:space="preserve">percentual </w:t>
      </w:r>
      <w:r w:rsidR="00397E04" w:rsidRPr="00781BFB">
        <w:rPr>
          <w:rFonts w:ascii="Times New Roman" w:hAnsi="Times New Roman"/>
          <w:lang w:val="pt-BR"/>
        </w:rPr>
        <w:t>de coque</w:t>
      </w:r>
      <w:r w:rsidR="003A37C7" w:rsidRPr="00781BFB">
        <w:rPr>
          <w:rFonts w:ascii="Times New Roman" w:hAnsi="Times New Roman"/>
          <w:lang w:val="pt-BR"/>
        </w:rPr>
        <w:t xml:space="preserve"> residual</w:t>
      </w:r>
      <w:r w:rsidR="0092421B" w:rsidRPr="00781BFB">
        <w:rPr>
          <w:rFonts w:ascii="Times New Roman" w:hAnsi="Times New Roman"/>
          <w:lang w:val="pt-BR"/>
        </w:rPr>
        <w:t xml:space="preserve"> ao final da pirólise (</w:t>
      </w:r>
      <w:r w:rsidRPr="00781BFB">
        <w:rPr>
          <w:rFonts w:ascii="Times New Roman" w:hAnsi="Times New Roman"/>
          <w:lang w:val="pt-BR"/>
        </w:rPr>
        <w:t>β = 10 °C min</w:t>
      </w:r>
      <w:r w:rsidRPr="00781BFB">
        <w:rPr>
          <w:rFonts w:ascii="Times New Roman" w:hAnsi="Times New Roman"/>
          <w:vertAlign w:val="superscript"/>
          <w:lang w:val="pt-BR"/>
        </w:rPr>
        <w:t>-1</w:t>
      </w:r>
      <w:r w:rsidR="003A37C7" w:rsidRPr="00781BFB">
        <w:rPr>
          <w:rFonts w:ascii="Times New Roman" w:hAnsi="Times New Roman"/>
          <w:lang w:val="pt-BR"/>
        </w:rPr>
        <w:t>)</w:t>
      </w:r>
      <w:r w:rsidRPr="00781BFB">
        <w:rPr>
          <w:rFonts w:ascii="Times New Roman" w:hAnsi="Times New Roman"/>
          <w:lang w:val="pt-BR"/>
        </w:rPr>
        <w:t>.</w:t>
      </w:r>
      <w:r w:rsidR="00B82C84">
        <w:rPr>
          <w:rFonts w:ascii="Times New Roman" w:hAnsi="Times New Roman"/>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99"/>
        <w:gridCol w:w="1599"/>
        <w:gridCol w:w="1599"/>
      </w:tblGrid>
      <w:tr w:rsidR="008C79D1" w:rsidRPr="00781BFB" w14:paraId="670AFFC1" w14:textId="77777777" w:rsidTr="008C79D1">
        <w:trPr>
          <w:trHeight w:val="438"/>
        </w:trPr>
        <w:tc>
          <w:tcPr>
            <w:tcW w:w="1599" w:type="dxa"/>
            <w:vAlign w:val="center"/>
          </w:tcPr>
          <w:p w14:paraId="49AF31CC" w14:textId="77777777" w:rsidR="008C79D1" w:rsidRPr="00781BFB" w:rsidRDefault="008C79D1" w:rsidP="00500994">
            <w:pPr>
              <w:pStyle w:val="TCTableBody"/>
              <w:rPr>
                <w:lang w:val="pt-BR"/>
              </w:rPr>
            </w:pPr>
            <w:r w:rsidRPr="00781BFB">
              <w:rPr>
                <w:lang w:val="pt-BR"/>
              </w:rPr>
              <w:t>Amostra</w:t>
            </w:r>
          </w:p>
        </w:tc>
        <w:tc>
          <w:tcPr>
            <w:tcW w:w="1599" w:type="dxa"/>
            <w:vAlign w:val="center"/>
          </w:tcPr>
          <w:p w14:paraId="2D6E0A1F" w14:textId="1CAB7A16" w:rsidR="008C79D1" w:rsidRPr="00781BFB" w:rsidRDefault="00AE58CF" w:rsidP="00500994">
            <w:pPr>
              <w:pStyle w:val="TCTableBody"/>
              <w:rPr>
                <w:lang w:val="pt-BR"/>
              </w:rPr>
            </w:pPr>
            <w:r w:rsidRPr="00781BFB">
              <w:rPr>
                <w:lang w:val="pt-BR"/>
              </w:rPr>
              <w:t>Fração de biomassa decomposta (%)</w:t>
            </w:r>
          </w:p>
        </w:tc>
        <w:tc>
          <w:tcPr>
            <w:tcW w:w="1599" w:type="dxa"/>
            <w:vAlign w:val="center"/>
          </w:tcPr>
          <w:p w14:paraId="71871A5B" w14:textId="0BEFBC5C" w:rsidR="008C79D1" w:rsidRPr="00781BFB" w:rsidRDefault="00495FBA" w:rsidP="00500994">
            <w:pPr>
              <w:pStyle w:val="TCTableBody"/>
              <w:rPr>
                <w:lang w:val="pt-BR"/>
              </w:rPr>
            </w:pPr>
            <w:r w:rsidRPr="00781BFB">
              <w:rPr>
                <w:lang w:val="pt-BR"/>
              </w:rPr>
              <w:t>Coque</w:t>
            </w:r>
            <w:r w:rsidR="00703323" w:rsidRPr="00781BFB">
              <w:rPr>
                <w:lang w:val="pt-BR"/>
              </w:rPr>
              <w:t xml:space="preserve"> (%)</w:t>
            </w:r>
          </w:p>
        </w:tc>
      </w:tr>
      <w:tr w:rsidR="008C79D1" w:rsidRPr="00781BFB" w14:paraId="3223B5D5" w14:textId="77777777" w:rsidTr="008C79D1">
        <w:trPr>
          <w:trHeight w:val="438"/>
        </w:trPr>
        <w:tc>
          <w:tcPr>
            <w:tcW w:w="1599" w:type="dxa"/>
            <w:vAlign w:val="center"/>
          </w:tcPr>
          <w:p w14:paraId="2C028221" w14:textId="17FDC4FB" w:rsidR="008C79D1" w:rsidRPr="00781BFB" w:rsidRDefault="008C79D1" w:rsidP="00500994">
            <w:pPr>
              <w:pStyle w:val="TCTableBody"/>
              <w:rPr>
                <w:lang w:val="pt-BR"/>
              </w:rPr>
            </w:pPr>
            <w:r w:rsidRPr="00781BFB">
              <w:rPr>
                <w:lang w:val="pt-BR"/>
              </w:rPr>
              <w:t>M</w:t>
            </w:r>
            <w:r w:rsidR="00E35FEF">
              <w:rPr>
                <w:lang w:val="pt-BR"/>
              </w:rPr>
              <w:t>DF</w:t>
            </w:r>
          </w:p>
        </w:tc>
        <w:tc>
          <w:tcPr>
            <w:tcW w:w="1599" w:type="dxa"/>
            <w:vAlign w:val="center"/>
          </w:tcPr>
          <w:p w14:paraId="79AC13B6" w14:textId="791AAEE9" w:rsidR="008C79D1" w:rsidRPr="00781BFB" w:rsidRDefault="001B4CEC" w:rsidP="00500994">
            <w:pPr>
              <w:pStyle w:val="TCTableBody"/>
              <w:rPr>
                <w:lang w:val="pt-BR"/>
              </w:rPr>
            </w:pPr>
            <w:r w:rsidRPr="00781BFB">
              <w:rPr>
                <w:lang w:val="pt-BR"/>
              </w:rPr>
              <w:t>96</w:t>
            </w:r>
            <w:r w:rsidR="00FE227B" w:rsidRPr="00781BFB">
              <w:rPr>
                <w:lang w:val="pt-BR"/>
              </w:rPr>
              <w:t>,</w:t>
            </w:r>
            <w:r w:rsidRPr="00781BFB">
              <w:rPr>
                <w:lang w:val="pt-BR"/>
              </w:rPr>
              <w:t>97</w:t>
            </w:r>
          </w:p>
        </w:tc>
        <w:tc>
          <w:tcPr>
            <w:tcW w:w="1599" w:type="dxa"/>
            <w:vAlign w:val="center"/>
          </w:tcPr>
          <w:p w14:paraId="597D2C92" w14:textId="299BB99C" w:rsidR="008C79D1" w:rsidRPr="00781BFB" w:rsidRDefault="001B4CEC" w:rsidP="00500994">
            <w:pPr>
              <w:pStyle w:val="TCTableBody"/>
              <w:rPr>
                <w:lang w:val="pt-BR"/>
              </w:rPr>
            </w:pPr>
            <w:r w:rsidRPr="00781BFB">
              <w:rPr>
                <w:lang w:val="pt-BR"/>
              </w:rPr>
              <w:t>3</w:t>
            </w:r>
            <w:r w:rsidR="00FE227B" w:rsidRPr="00781BFB">
              <w:rPr>
                <w:lang w:val="pt-BR"/>
              </w:rPr>
              <w:t>,</w:t>
            </w:r>
            <w:r w:rsidRPr="00781BFB">
              <w:rPr>
                <w:lang w:val="pt-BR"/>
              </w:rPr>
              <w:t>03</w:t>
            </w:r>
          </w:p>
        </w:tc>
      </w:tr>
      <w:tr w:rsidR="008C79D1" w:rsidRPr="00781BFB" w14:paraId="7B0FD69D" w14:textId="77777777" w:rsidTr="008C79D1">
        <w:trPr>
          <w:trHeight w:val="453"/>
        </w:trPr>
        <w:tc>
          <w:tcPr>
            <w:tcW w:w="1599" w:type="dxa"/>
            <w:vAlign w:val="center"/>
          </w:tcPr>
          <w:p w14:paraId="1F036939" w14:textId="5E61C948" w:rsidR="008C79D1" w:rsidRPr="00781BFB" w:rsidRDefault="008C79D1" w:rsidP="00500994">
            <w:pPr>
              <w:pStyle w:val="TCTableBody"/>
              <w:rPr>
                <w:lang w:val="pt-BR"/>
              </w:rPr>
            </w:pPr>
            <w:r w:rsidRPr="00781BFB">
              <w:rPr>
                <w:lang w:val="pt-BR"/>
              </w:rPr>
              <w:t>MB</w:t>
            </w:r>
            <w:r w:rsidR="00D43806">
              <w:rPr>
                <w:lang w:val="pt-BR"/>
              </w:rPr>
              <w:t>30</w:t>
            </w:r>
          </w:p>
        </w:tc>
        <w:tc>
          <w:tcPr>
            <w:tcW w:w="1599" w:type="dxa"/>
            <w:vAlign w:val="center"/>
          </w:tcPr>
          <w:p w14:paraId="51063328" w14:textId="345DA3B3" w:rsidR="008C79D1" w:rsidRPr="00781BFB" w:rsidRDefault="001B4CEC" w:rsidP="00500994">
            <w:pPr>
              <w:pStyle w:val="TCTableBody"/>
              <w:rPr>
                <w:lang w:val="pt-BR"/>
              </w:rPr>
            </w:pPr>
            <w:r w:rsidRPr="00781BFB">
              <w:rPr>
                <w:lang w:val="pt-BR"/>
              </w:rPr>
              <w:t>88</w:t>
            </w:r>
            <w:r w:rsidR="00FE227B" w:rsidRPr="00781BFB">
              <w:rPr>
                <w:lang w:val="pt-BR"/>
              </w:rPr>
              <w:t>,</w:t>
            </w:r>
            <w:r w:rsidRPr="00781BFB">
              <w:rPr>
                <w:lang w:val="pt-BR"/>
              </w:rPr>
              <w:t>95</w:t>
            </w:r>
          </w:p>
        </w:tc>
        <w:tc>
          <w:tcPr>
            <w:tcW w:w="1599" w:type="dxa"/>
            <w:vAlign w:val="center"/>
          </w:tcPr>
          <w:p w14:paraId="75E55C38" w14:textId="00771502" w:rsidR="008C79D1" w:rsidRPr="00781BFB" w:rsidRDefault="001B4CEC" w:rsidP="00500994">
            <w:pPr>
              <w:pStyle w:val="TCTableBody"/>
              <w:rPr>
                <w:lang w:val="pt-BR"/>
              </w:rPr>
            </w:pPr>
            <w:r w:rsidRPr="00781BFB">
              <w:rPr>
                <w:lang w:val="pt-BR"/>
              </w:rPr>
              <w:t>11</w:t>
            </w:r>
            <w:r w:rsidR="00FE227B" w:rsidRPr="00781BFB">
              <w:rPr>
                <w:lang w:val="pt-BR"/>
              </w:rPr>
              <w:t>,</w:t>
            </w:r>
            <w:r w:rsidRPr="00781BFB">
              <w:rPr>
                <w:lang w:val="pt-BR"/>
              </w:rPr>
              <w:t>05</w:t>
            </w:r>
          </w:p>
        </w:tc>
      </w:tr>
      <w:tr w:rsidR="008C79D1" w:rsidRPr="00781BFB" w14:paraId="1EF6523E" w14:textId="77777777" w:rsidTr="008C79D1">
        <w:trPr>
          <w:trHeight w:val="457"/>
        </w:trPr>
        <w:tc>
          <w:tcPr>
            <w:tcW w:w="1599" w:type="dxa"/>
            <w:tcBorders>
              <w:bottom w:val="single" w:sz="6" w:space="0" w:color="auto"/>
            </w:tcBorders>
            <w:vAlign w:val="center"/>
          </w:tcPr>
          <w:p w14:paraId="29A9320F" w14:textId="206CB5A0" w:rsidR="008C79D1" w:rsidRPr="00781BFB" w:rsidRDefault="008C79D1" w:rsidP="00500994">
            <w:pPr>
              <w:pStyle w:val="TCTableBody"/>
              <w:rPr>
                <w:lang w:val="pt-BR"/>
              </w:rPr>
            </w:pPr>
            <w:r w:rsidRPr="00781BFB">
              <w:rPr>
                <w:lang w:val="pt-BR"/>
              </w:rPr>
              <w:t>MB</w:t>
            </w:r>
            <w:r w:rsidR="00D43806">
              <w:rPr>
                <w:lang w:val="pt-BR"/>
              </w:rPr>
              <w:t>30-Pt</w:t>
            </w:r>
          </w:p>
        </w:tc>
        <w:tc>
          <w:tcPr>
            <w:tcW w:w="1599" w:type="dxa"/>
            <w:tcBorders>
              <w:bottom w:val="single" w:sz="6" w:space="0" w:color="auto"/>
            </w:tcBorders>
            <w:vAlign w:val="center"/>
          </w:tcPr>
          <w:p w14:paraId="16F5EEA2" w14:textId="35078F55" w:rsidR="008C79D1" w:rsidRPr="00781BFB" w:rsidRDefault="00EC667E" w:rsidP="00500994">
            <w:pPr>
              <w:pStyle w:val="TCTableBody"/>
              <w:rPr>
                <w:lang w:val="pt-BR"/>
              </w:rPr>
            </w:pPr>
            <w:r w:rsidRPr="00781BFB">
              <w:rPr>
                <w:lang w:val="pt-BR"/>
              </w:rPr>
              <w:t>88</w:t>
            </w:r>
            <w:r w:rsidR="00FE227B" w:rsidRPr="00781BFB">
              <w:rPr>
                <w:lang w:val="pt-BR"/>
              </w:rPr>
              <w:t>,</w:t>
            </w:r>
            <w:r w:rsidRPr="00781BFB">
              <w:rPr>
                <w:lang w:val="pt-BR"/>
              </w:rPr>
              <w:t>72</w:t>
            </w:r>
          </w:p>
        </w:tc>
        <w:tc>
          <w:tcPr>
            <w:tcW w:w="1599" w:type="dxa"/>
            <w:tcBorders>
              <w:bottom w:val="single" w:sz="6" w:space="0" w:color="auto"/>
            </w:tcBorders>
            <w:vAlign w:val="center"/>
          </w:tcPr>
          <w:p w14:paraId="73D073C5" w14:textId="51270A0B" w:rsidR="008C79D1" w:rsidRPr="00781BFB" w:rsidRDefault="00EC667E" w:rsidP="00500994">
            <w:pPr>
              <w:pStyle w:val="TCTableBody"/>
              <w:rPr>
                <w:lang w:val="pt-BR"/>
              </w:rPr>
            </w:pPr>
            <w:r w:rsidRPr="00781BFB">
              <w:rPr>
                <w:lang w:val="pt-BR"/>
              </w:rPr>
              <w:t>11</w:t>
            </w:r>
            <w:r w:rsidR="00FE227B" w:rsidRPr="00781BFB">
              <w:rPr>
                <w:lang w:val="pt-BR"/>
              </w:rPr>
              <w:t>,</w:t>
            </w:r>
            <w:r w:rsidRPr="00781BFB">
              <w:rPr>
                <w:lang w:val="pt-BR"/>
              </w:rPr>
              <w:t>28</w:t>
            </w:r>
          </w:p>
        </w:tc>
      </w:tr>
    </w:tbl>
    <w:p w14:paraId="082E293D" w14:textId="77777777" w:rsidR="00E6097F" w:rsidRPr="00781BFB" w:rsidRDefault="00E6097F" w:rsidP="00D23B09">
      <w:pPr>
        <w:pStyle w:val="TAMainText"/>
        <w:ind w:firstLine="187"/>
        <w:rPr>
          <w:rFonts w:ascii="Times New Roman" w:hAnsi="Times New Roman"/>
          <w:lang w:val="pt-BR"/>
        </w:rPr>
      </w:pPr>
    </w:p>
    <w:p w14:paraId="570FFA70" w14:textId="10A20D2B" w:rsidR="00A0000F" w:rsidRPr="00781BFB" w:rsidRDefault="00B82C84" w:rsidP="000B019A">
      <w:pPr>
        <w:pStyle w:val="TAMainText"/>
        <w:spacing w:after="240"/>
        <w:ind w:firstLine="187"/>
        <w:rPr>
          <w:rFonts w:ascii="Times New Roman" w:hAnsi="Times New Roman"/>
          <w:lang w:val="pt-BR"/>
        </w:rPr>
      </w:pPr>
      <w:r>
        <w:rPr>
          <w:rFonts w:ascii="Times New Roman" w:hAnsi="Times New Roman"/>
          <w:lang w:val="pt-BR"/>
        </w:rPr>
        <w:t>Entre os modelos usados na determinação da energia cinética</w:t>
      </w:r>
      <w:r w:rsidR="00D43806">
        <w:rPr>
          <w:rFonts w:ascii="Times New Roman" w:hAnsi="Times New Roman"/>
          <w:lang w:val="pt-BR"/>
        </w:rPr>
        <w:t>,</w:t>
      </w:r>
      <w:r>
        <w:rPr>
          <w:rFonts w:ascii="Times New Roman" w:hAnsi="Times New Roman"/>
          <w:lang w:val="pt-BR"/>
        </w:rPr>
        <w:t xml:space="preserve"> o</w:t>
      </w:r>
      <w:r w:rsidR="00C17422" w:rsidRPr="00781BFB">
        <w:rPr>
          <w:rFonts w:ascii="Times New Roman" w:hAnsi="Times New Roman"/>
          <w:lang w:val="pt-BR"/>
        </w:rPr>
        <w:t xml:space="preserve"> </w:t>
      </w:r>
      <w:r w:rsidR="00EE2AE7" w:rsidRPr="00781BFB">
        <w:rPr>
          <w:rFonts w:ascii="Times New Roman" w:hAnsi="Times New Roman"/>
          <w:lang w:val="pt-BR"/>
        </w:rPr>
        <w:t xml:space="preserve">método de Friedman apresentou </w:t>
      </w:r>
      <w:r>
        <w:rPr>
          <w:rFonts w:ascii="Times New Roman" w:hAnsi="Times New Roman"/>
          <w:lang w:val="pt-BR"/>
        </w:rPr>
        <w:t xml:space="preserve">o </w:t>
      </w:r>
      <w:r w:rsidR="00EE2AE7" w:rsidRPr="00781BFB">
        <w:rPr>
          <w:rFonts w:ascii="Times New Roman" w:hAnsi="Times New Roman"/>
          <w:lang w:val="pt-BR"/>
        </w:rPr>
        <w:t>melhor ajuste aos dados experimentais</w:t>
      </w:r>
      <w:r w:rsidR="00BD28C0" w:rsidRPr="00781BFB">
        <w:rPr>
          <w:rFonts w:ascii="Times New Roman" w:hAnsi="Times New Roman"/>
          <w:lang w:val="pt-BR"/>
        </w:rPr>
        <w:t xml:space="preserve"> de pirólise</w:t>
      </w:r>
      <w:r w:rsidR="00EE2AE7" w:rsidRPr="00781BFB">
        <w:rPr>
          <w:rFonts w:ascii="Times New Roman" w:hAnsi="Times New Roman"/>
          <w:lang w:val="pt-BR"/>
        </w:rPr>
        <w:t xml:space="preserve">, verificado pelo índice de </w:t>
      </w:r>
      <w:r w:rsidR="00173327">
        <w:rPr>
          <w:rFonts w:ascii="Times New Roman" w:hAnsi="Times New Roman"/>
          <w:lang w:val="pt-BR"/>
        </w:rPr>
        <w:t>determinação</w:t>
      </w:r>
      <w:r w:rsidR="00651CE8">
        <w:rPr>
          <w:rFonts w:ascii="Times New Roman" w:hAnsi="Times New Roman"/>
          <w:lang w:val="pt-BR"/>
        </w:rPr>
        <w:t xml:space="preserve"> (R</w:t>
      </w:r>
      <w:r w:rsidR="00651CE8" w:rsidRPr="00651CE8">
        <w:rPr>
          <w:rFonts w:ascii="Times New Roman" w:hAnsi="Times New Roman"/>
          <w:vertAlign w:val="superscript"/>
          <w:lang w:val="pt-BR"/>
        </w:rPr>
        <w:t>2</w:t>
      </w:r>
      <w:r w:rsidR="00651CE8">
        <w:rPr>
          <w:rFonts w:ascii="Times New Roman" w:hAnsi="Times New Roman"/>
          <w:lang w:val="pt-BR"/>
        </w:rPr>
        <w:t>)</w:t>
      </w:r>
      <w:r w:rsidR="005B0565">
        <w:rPr>
          <w:rFonts w:ascii="Times New Roman" w:hAnsi="Times New Roman"/>
          <w:lang w:val="pt-BR"/>
        </w:rPr>
        <w:t>.</w:t>
      </w:r>
      <w:r w:rsidR="00C57461" w:rsidRPr="00781BFB">
        <w:rPr>
          <w:rFonts w:ascii="Times New Roman" w:hAnsi="Times New Roman"/>
          <w:lang w:val="pt-BR"/>
        </w:rPr>
        <w:t xml:space="preserve"> </w:t>
      </w:r>
      <w:r w:rsidR="00397E04" w:rsidRPr="00E3630C">
        <w:rPr>
          <w:rFonts w:ascii="Times New Roman" w:hAnsi="Times New Roman"/>
          <w:lang w:val="pt-BR"/>
        </w:rPr>
        <w:t xml:space="preserve">A </w:t>
      </w:r>
      <w:r w:rsidR="0069506C" w:rsidRPr="00E3630C">
        <w:rPr>
          <w:rFonts w:ascii="Times New Roman" w:hAnsi="Times New Roman"/>
          <w:lang w:val="pt-BR"/>
        </w:rPr>
        <w:t xml:space="preserve">Tabela </w:t>
      </w:r>
      <w:r w:rsidR="00477E5F" w:rsidRPr="00E3630C">
        <w:rPr>
          <w:rFonts w:ascii="Times New Roman" w:hAnsi="Times New Roman"/>
          <w:lang w:val="pt-BR"/>
        </w:rPr>
        <w:t>5</w:t>
      </w:r>
      <w:r w:rsidR="0069506C" w:rsidRPr="00781BFB">
        <w:rPr>
          <w:rFonts w:ascii="Times New Roman" w:hAnsi="Times New Roman"/>
          <w:lang w:val="pt-BR"/>
        </w:rPr>
        <w:t xml:space="preserve"> sumariza os valores de energia de ativação </w:t>
      </w:r>
      <w:r w:rsidR="00C17422" w:rsidRPr="00781BFB">
        <w:rPr>
          <w:rFonts w:ascii="Times New Roman" w:hAnsi="Times New Roman"/>
          <w:lang w:val="pt-BR"/>
        </w:rPr>
        <w:t>(E</w:t>
      </w:r>
      <w:r w:rsidR="00C17422" w:rsidRPr="00781BFB">
        <w:rPr>
          <w:rFonts w:ascii="Times New Roman" w:hAnsi="Times New Roman"/>
          <w:vertAlign w:val="subscript"/>
          <w:lang w:val="pt-BR"/>
        </w:rPr>
        <w:t>a</w:t>
      </w:r>
      <w:r w:rsidR="00C17422" w:rsidRPr="00781BFB">
        <w:rPr>
          <w:rFonts w:ascii="Times New Roman" w:hAnsi="Times New Roman"/>
          <w:lang w:val="pt-BR"/>
        </w:rPr>
        <w:t xml:space="preserve">) </w:t>
      </w:r>
      <w:r w:rsidR="004A5E09">
        <w:rPr>
          <w:rFonts w:ascii="Times New Roman" w:hAnsi="Times New Roman"/>
          <w:lang w:val="pt-BR"/>
        </w:rPr>
        <w:t xml:space="preserve">média </w:t>
      </w:r>
      <w:r w:rsidR="0069506C" w:rsidRPr="00781BFB">
        <w:rPr>
          <w:rFonts w:ascii="Times New Roman" w:hAnsi="Times New Roman"/>
          <w:lang w:val="pt-BR"/>
        </w:rPr>
        <w:t>encontrad</w:t>
      </w:r>
      <w:r w:rsidR="00C17422" w:rsidRPr="00781BFB">
        <w:rPr>
          <w:rFonts w:ascii="Times New Roman" w:hAnsi="Times New Roman"/>
          <w:lang w:val="pt-BR"/>
        </w:rPr>
        <w:t>os</w:t>
      </w:r>
      <w:r w:rsidR="004A5E09">
        <w:rPr>
          <w:rFonts w:ascii="Times New Roman" w:hAnsi="Times New Roman"/>
          <w:lang w:val="pt-BR"/>
        </w:rPr>
        <w:t xml:space="preserve"> </w:t>
      </w:r>
      <w:r w:rsidR="005B0565">
        <w:rPr>
          <w:rFonts w:ascii="Times New Roman" w:hAnsi="Times New Roman"/>
          <w:lang w:val="pt-BR"/>
        </w:rPr>
        <w:t>pelo método de Friedman</w:t>
      </w:r>
      <w:r w:rsidR="00D95927">
        <w:rPr>
          <w:rFonts w:ascii="Times New Roman" w:hAnsi="Times New Roman"/>
          <w:lang w:val="pt-BR"/>
        </w:rPr>
        <w:t>.</w:t>
      </w:r>
      <w:r w:rsidR="00523145" w:rsidRPr="00523145">
        <w:rPr>
          <w:rFonts w:ascii="Times New Roman" w:hAnsi="Times New Roman"/>
          <w:lang w:val="pt-BR"/>
        </w:rPr>
        <w:t xml:space="preserve"> </w:t>
      </w:r>
      <w:r w:rsidR="00523145">
        <w:rPr>
          <w:rFonts w:ascii="Times New Roman" w:hAnsi="Times New Roman"/>
          <w:lang w:val="pt-BR"/>
        </w:rPr>
        <w:t>Nota-se que a</w:t>
      </w:r>
      <w:r w:rsidR="009C2205">
        <w:rPr>
          <w:rFonts w:ascii="Times New Roman" w:hAnsi="Times New Roman"/>
          <w:lang w:val="pt-BR"/>
        </w:rPr>
        <w:t xml:space="preserve"> </w:t>
      </w:r>
      <w:r w:rsidR="00523145">
        <w:rPr>
          <w:rFonts w:ascii="Times New Roman" w:hAnsi="Times New Roman"/>
          <w:lang w:val="pt-BR"/>
        </w:rPr>
        <w:t>Ea</w:t>
      </w:r>
      <w:r w:rsidR="00523145" w:rsidRPr="00781BFB">
        <w:rPr>
          <w:rFonts w:ascii="Times New Roman" w:hAnsi="Times New Roman"/>
          <w:lang w:val="pt-BR"/>
        </w:rPr>
        <w:t xml:space="preserve"> média associada à decomposição dos componentes lignocelulósicos foi reduzida na presença da </w:t>
      </w:r>
      <w:r w:rsidR="00430380">
        <w:rPr>
          <w:rFonts w:ascii="Times New Roman" w:hAnsi="Times New Roman"/>
          <w:lang w:val="pt-BR"/>
        </w:rPr>
        <w:t>B30</w:t>
      </w:r>
      <w:r w:rsidR="00523145">
        <w:rPr>
          <w:rFonts w:ascii="Times New Roman" w:hAnsi="Times New Roman"/>
          <w:lang w:val="pt-BR"/>
        </w:rPr>
        <w:t xml:space="preserve"> (</w:t>
      </w:r>
      <w:r w:rsidR="00523145" w:rsidRPr="00781BFB">
        <w:rPr>
          <w:rFonts w:ascii="Times New Roman" w:hAnsi="Times New Roman"/>
          <w:lang w:val="pt-BR"/>
        </w:rPr>
        <w:t>102,89 kJ mol</w:t>
      </w:r>
      <w:r w:rsidR="00523145" w:rsidRPr="00781BFB">
        <w:rPr>
          <w:rFonts w:ascii="Times New Roman" w:hAnsi="Times New Roman"/>
          <w:vertAlign w:val="superscript"/>
          <w:lang w:val="pt-BR"/>
        </w:rPr>
        <w:t>-1</w:t>
      </w:r>
      <w:r w:rsidR="00523145">
        <w:rPr>
          <w:rFonts w:ascii="Times New Roman" w:hAnsi="Times New Roman"/>
          <w:lang w:val="pt-BR"/>
        </w:rPr>
        <w:t xml:space="preserve">). </w:t>
      </w:r>
      <w:r w:rsidR="00523145" w:rsidRPr="00781BFB">
        <w:rPr>
          <w:rFonts w:ascii="Times New Roman" w:hAnsi="Times New Roman"/>
          <w:lang w:val="pt-BR"/>
        </w:rPr>
        <w:t xml:space="preserve">No entanto, </w:t>
      </w:r>
      <w:r w:rsidR="00523145">
        <w:rPr>
          <w:rFonts w:ascii="Times New Roman" w:hAnsi="Times New Roman"/>
          <w:lang w:val="pt-BR"/>
        </w:rPr>
        <w:t>a zeólita beta com</w:t>
      </w:r>
      <w:r w:rsidR="00523145" w:rsidRPr="00781BFB">
        <w:rPr>
          <w:rFonts w:ascii="Times New Roman" w:hAnsi="Times New Roman"/>
          <w:lang w:val="pt-BR"/>
        </w:rPr>
        <w:t xml:space="preserve"> </w:t>
      </w:r>
      <w:r w:rsidR="00523145">
        <w:rPr>
          <w:rFonts w:ascii="Times New Roman" w:hAnsi="Times New Roman"/>
          <w:lang w:val="pt-BR"/>
        </w:rPr>
        <w:t>Pt</w:t>
      </w:r>
      <w:r w:rsidR="00523145" w:rsidRPr="00781BFB">
        <w:rPr>
          <w:rFonts w:ascii="Times New Roman" w:hAnsi="Times New Roman"/>
          <w:lang w:val="pt-BR"/>
        </w:rPr>
        <w:t xml:space="preserve"> (</w:t>
      </w:r>
      <w:r w:rsidR="00430380">
        <w:rPr>
          <w:rFonts w:ascii="Times New Roman" w:hAnsi="Times New Roman"/>
          <w:lang w:val="pt-BR"/>
        </w:rPr>
        <w:t>B30-Pt</w:t>
      </w:r>
      <w:r w:rsidR="00523145" w:rsidRPr="00781BFB">
        <w:rPr>
          <w:rFonts w:ascii="Times New Roman" w:hAnsi="Times New Roman"/>
          <w:lang w:val="pt-BR"/>
        </w:rPr>
        <w:t xml:space="preserve">) promoveu um aumento na </w:t>
      </w:r>
      <w:r w:rsidR="00523145">
        <w:rPr>
          <w:rFonts w:ascii="Times New Roman" w:hAnsi="Times New Roman"/>
          <w:lang w:val="pt-BR"/>
        </w:rPr>
        <w:t>Ea</w:t>
      </w:r>
      <w:r w:rsidR="00523145" w:rsidRPr="00781BFB">
        <w:rPr>
          <w:rFonts w:ascii="Times New Roman" w:hAnsi="Times New Roman"/>
          <w:lang w:val="pt-BR"/>
        </w:rPr>
        <w:t xml:space="preserve"> </w:t>
      </w:r>
      <w:r w:rsidR="00523145">
        <w:rPr>
          <w:rFonts w:ascii="Times New Roman" w:hAnsi="Times New Roman"/>
          <w:lang w:val="pt-BR"/>
        </w:rPr>
        <w:t>média (</w:t>
      </w:r>
      <w:r w:rsidR="00523145" w:rsidRPr="00781BFB">
        <w:rPr>
          <w:rFonts w:ascii="Times New Roman" w:hAnsi="Times New Roman"/>
          <w:lang w:val="pt-BR"/>
        </w:rPr>
        <w:t>112,95 kJ mol</w:t>
      </w:r>
      <w:r w:rsidR="00523145" w:rsidRPr="00781BFB">
        <w:rPr>
          <w:rFonts w:ascii="Times New Roman" w:hAnsi="Times New Roman"/>
          <w:vertAlign w:val="superscript"/>
          <w:lang w:val="pt-BR"/>
        </w:rPr>
        <w:t>-1</w:t>
      </w:r>
      <w:r w:rsidR="00523145">
        <w:rPr>
          <w:rFonts w:ascii="Times New Roman" w:hAnsi="Times New Roman"/>
          <w:lang w:val="pt-BR"/>
        </w:rPr>
        <w:t>) e</w:t>
      </w:r>
      <w:r w:rsidR="00523145" w:rsidRPr="00781BFB">
        <w:rPr>
          <w:rFonts w:ascii="Times New Roman" w:hAnsi="Times New Roman"/>
          <w:lang w:val="pt-BR"/>
        </w:rPr>
        <w:t xml:space="preserve">m relação a </w:t>
      </w:r>
      <w:r w:rsidR="0075437F">
        <w:rPr>
          <w:rFonts w:ascii="Times New Roman" w:hAnsi="Times New Roman"/>
          <w:lang w:val="pt-BR"/>
        </w:rPr>
        <w:t>B30</w:t>
      </w:r>
      <w:r w:rsidR="00523145" w:rsidRPr="00781BFB">
        <w:rPr>
          <w:rFonts w:ascii="Times New Roman" w:hAnsi="Times New Roman"/>
          <w:lang w:val="pt-BR"/>
        </w:rPr>
        <w:t>.</w:t>
      </w:r>
      <w:r w:rsidR="00523145" w:rsidRPr="0012136E">
        <w:rPr>
          <w:rFonts w:ascii="Times New Roman" w:hAnsi="Times New Roman"/>
          <w:color w:val="000000" w:themeColor="text1"/>
          <w:lang w:val="pt-BR"/>
        </w:rPr>
        <w:t xml:space="preserve"> Esses resultados</w:t>
      </w:r>
      <w:r w:rsidR="00523145">
        <w:rPr>
          <w:rFonts w:ascii="Times New Roman" w:hAnsi="Times New Roman"/>
          <w:color w:val="000000" w:themeColor="text1"/>
          <w:lang w:val="pt-BR"/>
        </w:rPr>
        <w:t>,</w:t>
      </w:r>
      <w:r w:rsidR="00523145" w:rsidRPr="0012136E">
        <w:rPr>
          <w:rFonts w:ascii="Times New Roman" w:hAnsi="Times New Roman"/>
          <w:color w:val="000000" w:themeColor="text1"/>
          <w:lang w:val="pt-BR"/>
        </w:rPr>
        <w:t xml:space="preserve"> associados aos resultados de TG</w:t>
      </w:r>
      <w:r w:rsidR="00523145">
        <w:rPr>
          <w:rFonts w:ascii="Times New Roman" w:hAnsi="Times New Roman"/>
          <w:color w:val="000000" w:themeColor="text1"/>
          <w:lang w:val="pt-BR"/>
        </w:rPr>
        <w:t>,</w:t>
      </w:r>
      <w:r w:rsidR="00523145" w:rsidRPr="0012136E">
        <w:rPr>
          <w:rFonts w:ascii="Times New Roman" w:hAnsi="Times New Roman"/>
          <w:color w:val="000000" w:themeColor="text1"/>
          <w:lang w:val="pt-BR"/>
        </w:rPr>
        <w:t xml:space="preserve"> indicam que a </w:t>
      </w:r>
      <w:r w:rsidR="00523145">
        <w:rPr>
          <w:rFonts w:ascii="Times New Roman" w:hAnsi="Times New Roman"/>
          <w:color w:val="000000" w:themeColor="text1"/>
          <w:lang w:val="pt-BR"/>
        </w:rPr>
        <w:t>Pt</w:t>
      </w:r>
      <w:r w:rsidR="00523145" w:rsidRPr="0012136E">
        <w:rPr>
          <w:rFonts w:ascii="Times New Roman" w:hAnsi="Times New Roman"/>
          <w:color w:val="000000" w:themeColor="text1"/>
          <w:lang w:val="pt-BR"/>
        </w:rPr>
        <w:t xml:space="preserve"> pode promover outras reações durante a degradação do MDF,</w:t>
      </w:r>
      <w:r w:rsidR="00523145">
        <w:rPr>
          <w:rFonts w:ascii="Times New Roman" w:hAnsi="Times New Roman"/>
          <w:color w:val="000000" w:themeColor="text1"/>
          <w:lang w:val="pt-BR"/>
        </w:rPr>
        <w:t xml:space="preserve"> </w:t>
      </w:r>
      <w:r w:rsidR="00523145" w:rsidRPr="0012136E">
        <w:rPr>
          <w:rFonts w:ascii="Times New Roman" w:hAnsi="Times New Roman"/>
          <w:color w:val="000000" w:themeColor="text1"/>
          <w:lang w:val="pt-BR"/>
        </w:rPr>
        <w:t>que não ocorre</w:t>
      </w:r>
      <w:r w:rsidR="00523145">
        <w:rPr>
          <w:rFonts w:ascii="Times New Roman" w:hAnsi="Times New Roman"/>
          <w:color w:val="000000" w:themeColor="text1"/>
          <w:lang w:val="pt-BR"/>
        </w:rPr>
        <w:t>m</w:t>
      </w:r>
      <w:r w:rsidR="00523145" w:rsidRPr="0012136E">
        <w:rPr>
          <w:rFonts w:ascii="Times New Roman" w:hAnsi="Times New Roman"/>
          <w:color w:val="000000" w:themeColor="text1"/>
          <w:lang w:val="pt-BR"/>
        </w:rPr>
        <w:t xml:space="preserve"> n</w:t>
      </w:r>
      <w:r w:rsidR="00523145">
        <w:rPr>
          <w:rFonts w:ascii="Times New Roman" w:hAnsi="Times New Roman"/>
          <w:color w:val="000000" w:themeColor="text1"/>
          <w:lang w:val="pt-BR"/>
        </w:rPr>
        <w:t xml:space="preserve">a </w:t>
      </w:r>
      <w:r w:rsidR="0075437F">
        <w:rPr>
          <w:rFonts w:ascii="Times New Roman" w:hAnsi="Times New Roman"/>
          <w:color w:val="000000" w:themeColor="text1"/>
          <w:lang w:val="pt-BR"/>
        </w:rPr>
        <w:t>B30</w:t>
      </w:r>
      <w:r w:rsidR="00523145" w:rsidRPr="0012136E">
        <w:rPr>
          <w:rFonts w:ascii="Times New Roman" w:hAnsi="Times New Roman"/>
          <w:color w:val="000000" w:themeColor="text1"/>
          <w:lang w:val="pt-BR"/>
        </w:rPr>
        <w:t>, aumentando a degradação da biomassa.</w:t>
      </w:r>
    </w:p>
    <w:p w14:paraId="08F37BA2" w14:textId="1C44F6B2" w:rsidR="00523145" w:rsidRPr="00781BFB" w:rsidRDefault="000B019A" w:rsidP="00523145">
      <w:pPr>
        <w:pStyle w:val="VDTableTitle"/>
        <w:spacing w:after="120"/>
        <w:jc w:val="both"/>
        <w:rPr>
          <w:rFonts w:ascii="Times New Roman" w:hAnsi="Times New Roman"/>
          <w:lang w:val="pt-BR"/>
        </w:rPr>
      </w:pPr>
      <w:r w:rsidRPr="00781BFB">
        <w:rPr>
          <w:rFonts w:ascii="Times New Roman" w:hAnsi="Times New Roman"/>
          <w:b/>
          <w:lang w:val="pt-BR"/>
        </w:rPr>
        <w:t xml:space="preserve">Tabela </w:t>
      </w:r>
      <w:r w:rsidR="00CF7759">
        <w:rPr>
          <w:rFonts w:ascii="Times New Roman" w:hAnsi="Times New Roman"/>
          <w:b/>
          <w:lang w:val="pt-BR"/>
        </w:rPr>
        <w:t>5</w:t>
      </w:r>
      <w:r w:rsidRPr="00781BFB">
        <w:rPr>
          <w:rFonts w:ascii="Times New Roman" w:hAnsi="Times New Roman"/>
          <w:b/>
          <w:lang w:val="pt-BR"/>
        </w:rPr>
        <w:t>.</w:t>
      </w:r>
      <w:r w:rsidRPr="00781BFB">
        <w:rPr>
          <w:rFonts w:ascii="Times New Roman" w:hAnsi="Times New Roman"/>
          <w:lang w:val="pt-BR"/>
        </w:rPr>
        <w:t xml:space="preserve"> </w:t>
      </w:r>
      <w:r w:rsidR="005B0565">
        <w:rPr>
          <w:rFonts w:ascii="Times New Roman" w:hAnsi="Times New Roman"/>
          <w:lang w:val="pt-BR"/>
        </w:rPr>
        <w:t>E</w:t>
      </w:r>
      <w:r w:rsidRPr="00781BFB">
        <w:rPr>
          <w:rFonts w:ascii="Times New Roman" w:hAnsi="Times New Roman"/>
          <w:lang w:val="pt-BR"/>
        </w:rPr>
        <w:t>nergia</w:t>
      </w:r>
      <w:r w:rsidR="001211DF" w:rsidRPr="00781BFB">
        <w:rPr>
          <w:rFonts w:ascii="Times New Roman" w:hAnsi="Times New Roman"/>
          <w:lang w:val="pt-BR"/>
        </w:rPr>
        <w:t>s</w:t>
      </w:r>
      <w:r w:rsidRPr="00781BFB">
        <w:rPr>
          <w:rFonts w:ascii="Times New Roman" w:hAnsi="Times New Roman"/>
          <w:lang w:val="pt-BR"/>
        </w:rPr>
        <w:t xml:space="preserve"> de ativação (E</w:t>
      </w:r>
      <w:r w:rsidR="009C2205">
        <w:rPr>
          <w:rFonts w:ascii="Times New Roman" w:hAnsi="Times New Roman"/>
          <w:lang w:val="pt-BR"/>
        </w:rPr>
        <w:t>a</w:t>
      </w:r>
      <w:r w:rsidRPr="00781BFB">
        <w:rPr>
          <w:rFonts w:ascii="Times New Roman" w:hAnsi="Times New Roman"/>
          <w:lang w:val="pt-BR"/>
        </w:rPr>
        <w:t xml:space="preserve">) </w:t>
      </w:r>
      <w:r w:rsidR="005B0565">
        <w:rPr>
          <w:rFonts w:ascii="Times New Roman" w:hAnsi="Times New Roman"/>
          <w:lang w:val="pt-BR"/>
        </w:rPr>
        <w:t>médi</w:t>
      </w:r>
      <w:r w:rsidR="003529F8">
        <w:rPr>
          <w:rFonts w:ascii="Times New Roman" w:hAnsi="Times New Roman"/>
          <w:lang w:val="pt-BR"/>
        </w:rPr>
        <w:t xml:space="preserve">a </w:t>
      </w:r>
      <w:r w:rsidR="00523145">
        <w:rPr>
          <w:rFonts w:ascii="Times New Roman" w:hAnsi="Times New Roman"/>
          <w:lang w:val="pt-BR"/>
        </w:rPr>
        <w:t>do</w:t>
      </w:r>
      <w:r w:rsidR="003529F8">
        <w:rPr>
          <w:rFonts w:ascii="Times New Roman" w:hAnsi="Times New Roman"/>
          <w:lang w:val="pt-BR"/>
        </w:rPr>
        <w:t xml:space="preserve"> sistema não-catalítico e catalíticos</w:t>
      </w:r>
      <w:r w:rsidR="003529F8" w:rsidRPr="00781BFB">
        <w:rPr>
          <w:rFonts w:ascii="Times New Roman" w:hAnsi="Times New Roman"/>
          <w:lang w:val="pt-BR"/>
        </w:rPr>
        <w:t xml:space="preserve"> </w:t>
      </w:r>
      <w:r w:rsidR="003529F8">
        <w:rPr>
          <w:rFonts w:ascii="Times New Roman" w:hAnsi="Times New Roman"/>
          <w:lang w:val="pt-BR"/>
        </w:rPr>
        <w:t xml:space="preserve">calculadas </w:t>
      </w:r>
      <w:r w:rsidR="002E503A" w:rsidRPr="00781BFB">
        <w:rPr>
          <w:rFonts w:ascii="Times New Roman" w:hAnsi="Times New Roman"/>
          <w:lang w:val="pt-BR"/>
        </w:rPr>
        <w:t>pelo método de Friedman</w:t>
      </w:r>
      <w:r w:rsidRPr="00781BFB">
        <w:rPr>
          <w:rFonts w:ascii="Times New Roman" w:hAnsi="Times New Roman"/>
          <w:lang w:val="pt-BR"/>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201"/>
        <w:gridCol w:w="1201"/>
        <w:gridCol w:w="1201"/>
      </w:tblGrid>
      <w:tr w:rsidR="000B019A" w:rsidRPr="00781BFB" w14:paraId="7781C81C" w14:textId="77777777" w:rsidTr="00500994">
        <w:tc>
          <w:tcPr>
            <w:tcW w:w="1201" w:type="dxa"/>
            <w:vAlign w:val="center"/>
          </w:tcPr>
          <w:p w14:paraId="5E1BCE3A" w14:textId="6746F8D2" w:rsidR="000B019A" w:rsidRPr="00781BFB" w:rsidRDefault="00283022" w:rsidP="00500994">
            <w:pPr>
              <w:pStyle w:val="TCTableBody"/>
              <w:rPr>
                <w:lang w:val="pt-BR"/>
              </w:rPr>
            </w:pPr>
            <w:r>
              <w:rPr>
                <w:lang w:val="pt-BR"/>
              </w:rPr>
              <w:t>Pirólise</w:t>
            </w:r>
          </w:p>
        </w:tc>
        <w:tc>
          <w:tcPr>
            <w:tcW w:w="1201" w:type="dxa"/>
            <w:vAlign w:val="center"/>
          </w:tcPr>
          <w:p w14:paraId="6BC37E81" w14:textId="2BC10129" w:rsidR="000B019A" w:rsidRPr="00781BFB" w:rsidRDefault="00401F9A" w:rsidP="00500994">
            <w:pPr>
              <w:pStyle w:val="TCTableBody"/>
              <w:rPr>
                <w:lang w:val="pt-BR"/>
              </w:rPr>
            </w:pPr>
            <w:r>
              <w:rPr>
                <w:lang w:val="pt-BR"/>
              </w:rPr>
              <w:t>MDF</w:t>
            </w:r>
          </w:p>
        </w:tc>
        <w:tc>
          <w:tcPr>
            <w:tcW w:w="1201" w:type="dxa"/>
            <w:vAlign w:val="center"/>
          </w:tcPr>
          <w:p w14:paraId="45D9093C" w14:textId="5C539F3E" w:rsidR="000B019A" w:rsidRPr="00781BFB" w:rsidRDefault="00401F9A" w:rsidP="00500994">
            <w:pPr>
              <w:pStyle w:val="TCTableBody"/>
              <w:rPr>
                <w:lang w:val="pt-BR"/>
              </w:rPr>
            </w:pPr>
            <w:r>
              <w:rPr>
                <w:lang w:val="pt-BR"/>
              </w:rPr>
              <w:t>MB</w:t>
            </w:r>
            <w:r w:rsidR="00A045B7">
              <w:rPr>
                <w:lang w:val="pt-BR"/>
              </w:rPr>
              <w:t>30</w:t>
            </w:r>
          </w:p>
        </w:tc>
        <w:tc>
          <w:tcPr>
            <w:tcW w:w="1201" w:type="dxa"/>
            <w:vAlign w:val="center"/>
          </w:tcPr>
          <w:p w14:paraId="32440BB4" w14:textId="19983747" w:rsidR="000B019A" w:rsidRPr="00781BFB" w:rsidRDefault="00401F9A" w:rsidP="00500994">
            <w:pPr>
              <w:pStyle w:val="TCTableBody"/>
              <w:rPr>
                <w:lang w:val="pt-BR"/>
              </w:rPr>
            </w:pPr>
            <w:r>
              <w:rPr>
                <w:lang w:val="pt-BR"/>
              </w:rPr>
              <w:t>MB</w:t>
            </w:r>
            <w:r w:rsidR="00A045B7">
              <w:rPr>
                <w:lang w:val="pt-BR"/>
              </w:rPr>
              <w:t>30-Pt</w:t>
            </w:r>
          </w:p>
        </w:tc>
      </w:tr>
      <w:tr w:rsidR="000B019A" w:rsidRPr="00781BFB" w14:paraId="0B67F176" w14:textId="77777777" w:rsidTr="00500994">
        <w:tc>
          <w:tcPr>
            <w:tcW w:w="1201" w:type="dxa"/>
            <w:vAlign w:val="center"/>
          </w:tcPr>
          <w:p w14:paraId="48E6E490" w14:textId="4401108E" w:rsidR="000B019A" w:rsidRPr="00781BFB" w:rsidRDefault="001F1189" w:rsidP="00500994">
            <w:pPr>
              <w:pStyle w:val="TCTableBody"/>
              <w:rPr>
                <w:lang w:val="pt-BR"/>
              </w:rPr>
            </w:pPr>
            <w:r>
              <w:rPr>
                <w:lang w:val="pt-BR"/>
              </w:rPr>
              <w:t xml:space="preserve">Ea </w:t>
            </w:r>
            <w:r w:rsidR="00A23F58" w:rsidRPr="00A23F58">
              <w:rPr>
                <w:lang w:val="pt-BR"/>
              </w:rPr>
              <w:t>(</w:t>
            </w:r>
            <w:r w:rsidR="00A23F58" w:rsidRPr="00781BFB">
              <w:rPr>
                <w:rFonts w:ascii="Times New Roman" w:hAnsi="Times New Roman"/>
                <w:lang w:val="pt-BR"/>
              </w:rPr>
              <w:t>kJ mol</w:t>
            </w:r>
            <w:r w:rsidR="00A23F58" w:rsidRPr="00781BFB">
              <w:rPr>
                <w:rFonts w:ascii="Times New Roman" w:hAnsi="Times New Roman"/>
                <w:vertAlign w:val="superscript"/>
                <w:lang w:val="pt-BR"/>
              </w:rPr>
              <w:t>-1</w:t>
            </w:r>
            <w:r w:rsidR="00A23F58" w:rsidRPr="00A23F58">
              <w:rPr>
                <w:rFonts w:ascii="Times New Roman" w:hAnsi="Times New Roman"/>
                <w:lang w:val="pt-BR"/>
              </w:rPr>
              <w:t>)</w:t>
            </w:r>
          </w:p>
        </w:tc>
        <w:tc>
          <w:tcPr>
            <w:tcW w:w="1201" w:type="dxa"/>
            <w:vAlign w:val="center"/>
          </w:tcPr>
          <w:p w14:paraId="5CDB5508" w14:textId="012AB2F3" w:rsidR="000B019A" w:rsidRPr="00781BFB" w:rsidRDefault="001211DF" w:rsidP="00500994">
            <w:pPr>
              <w:pStyle w:val="TCTableBody"/>
              <w:rPr>
                <w:lang w:val="pt-BR"/>
              </w:rPr>
            </w:pPr>
            <w:r w:rsidRPr="00781BFB">
              <w:rPr>
                <w:lang w:val="pt-BR"/>
              </w:rPr>
              <w:t>118,04</w:t>
            </w:r>
          </w:p>
        </w:tc>
        <w:tc>
          <w:tcPr>
            <w:tcW w:w="1201" w:type="dxa"/>
            <w:vAlign w:val="center"/>
          </w:tcPr>
          <w:p w14:paraId="655A033F" w14:textId="5B618A63" w:rsidR="000B019A" w:rsidRPr="00781BFB" w:rsidRDefault="00283022" w:rsidP="00500994">
            <w:pPr>
              <w:pStyle w:val="TCTableBody"/>
              <w:rPr>
                <w:lang w:val="pt-BR"/>
              </w:rPr>
            </w:pPr>
            <w:r w:rsidRPr="00781BFB">
              <w:rPr>
                <w:lang w:val="pt-BR"/>
              </w:rPr>
              <w:t xml:space="preserve">102,89 </w:t>
            </w:r>
          </w:p>
        </w:tc>
        <w:tc>
          <w:tcPr>
            <w:tcW w:w="1201" w:type="dxa"/>
            <w:vAlign w:val="center"/>
          </w:tcPr>
          <w:p w14:paraId="493B84F1" w14:textId="32650387" w:rsidR="000B019A" w:rsidRPr="00781BFB" w:rsidRDefault="00283022" w:rsidP="00500994">
            <w:pPr>
              <w:pStyle w:val="TCTableBody"/>
              <w:rPr>
                <w:lang w:val="pt-BR"/>
              </w:rPr>
            </w:pPr>
            <w:r w:rsidRPr="00781BFB">
              <w:rPr>
                <w:lang w:val="pt-BR"/>
              </w:rPr>
              <w:t xml:space="preserve">112,95 </w:t>
            </w:r>
          </w:p>
        </w:tc>
      </w:tr>
      <w:tr w:rsidR="000B019A" w:rsidRPr="00781BFB" w14:paraId="37DDC0E7" w14:textId="77777777" w:rsidTr="00500994">
        <w:tc>
          <w:tcPr>
            <w:tcW w:w="4804" w:type="dxa"/>
            <w:gridSpan w:val="4"/>
            <w:tcBorders>
              <w:top w:val="single" w:sz="6" w:space="0" w:color="auto"/>
              <w:left w:val="nil"/>
              <w:bottom w:val="nil"/>
              <w:right w:val="nil"/>
            </w:tcBorders>
            <w:vAlign w:val="center"/>
          </w:tcPr>
          <w:p w14:paraId="090C4C74" w14:textId="14A7B887" w:rsidR="000B019A" w:rsidRPr="00781BFB" w:rsidRDefault="000B019A" w:rsidP="00A935E8">
            <w:pPr>
              <w:pStyle w:val="TCTableBody"/>
              <w:spacing w:after="0" w:line="240" w:lineRule="auto"/>
              <w:rPr>
                <w:rFonts w:ascii="Times New Roman" w:hAnsi="Times New Roman"/>
                <w:lang w:val="pt-BR"/>
              </w:rPr>
            </w:pPr>
          </w:p>
        </w:tc>
      </w:tr>
    </w:tbl>
    <w:p w14:paraId="14355A4B" w14:textId="0E0A2344" w:rsidR="00933A3B" w:rsidRPr="00E3630C" w:rsidRDefault="00523145" w:rsidP="00E3630C">
      <w:pPr>
        <w:pStyle w:val="TAMainText"/>
        <w:spacing w:before="160"/>
        <w:ind w:firstLine="187"/>
        <w:rPr>
          <w:rFonts w:ascii="Times New Roman" w:hAnsi="Times New Roman"/>
          <w:color w:val="FF0000"/>
          <w:lang w:val="pt-BR"/>
        </w:rPr>
      </w:pPr>
      <w:r>
        <w:rPr>
          <w:rFonts w:ascii="Times New Roman" w:hAnsi="Times New Roman"/>
          <w:lang w:val="pt-BR"/>
        </w:rPr>
        <w:t xml:space="preserve">A partir desses </w:t>
      </w:r>
      <w:r w:rsidR="00933A3B" w:rsidRPr="00781BFB">
        <w:rPr>
          <w:rFonts w:ascii="Times New Roman" w:hAnsi="Times New Roman"/>
          <w:lang w:val="pt-BR"/>
        </w:rPr>
        <w:t>resultados</w:t>
      </w:r>
      <w:r>
        <w:rPr>
          <w:rFonts w:ascii="Times New Roman" w:hAnsi="Times New Roman"/>
          <w:lang w:val="pt-BR"/>
        </w:rPr>
        <w:t>, pode-se c</w:t>
      </w:r>
      <w:r w:rsidR="00933A3B" w:rsidRPr="00781BFB">
        <w:rPr>
          <w:rFonts w:ascii="Times New Roman" w:hAnsi="Times New Roman"/>
          <w:lang w:val="pt-BR"/>
        </w:rPr>
        <w:t xml:space="preserve">oncluir que a </w:t>
      </w:r>
      <w:r w:rsidR="005B32CD">
        <w:rPr>
          <w:rFonts w:ascii="Times New Roman" w:hAnsi="Times New Roman"/>
          <w:lang w:val="pt-BR"/>
        </w:rPr>
        <w:t xml:space="preserve">Pt </w:t>
      </w:r>
      <w:r w:rsidR="00933A3B" w:rsidRPr="00781BFB">
        <w:rPr>
          <w:rFonts w:ascii="Times New Roman" w:hAnsi="Times New Roman"/>
          <w:lang w:val="pt-BR"/>
        </w:rPr>
        <w:t>aumenta a conversão em compostos voláteis na segunda etapa de decomposição</w:t>
      </w:r>
      <w:r>
        <w:rPr>
          <w:rFonts w:ascii="Times New Roman" w:hAnsi="Times New Roman"/>
          <w:lang w:val="pt-BR"/>
        </w:rPr>
        <w:t xml:space="preserve">, </w:t>
      </w:r>
      <w:r w:rsidRPr="00781BFB">
        <w:rPr>
          <w:rFonts w:ascii="Times New Roman" w:hAnsi="Times New Roman"/>
          <w:lang w:val="pt-BR"/>
        </w:rPr>
        <w:t>na pirólise catalítica do MDF</w:t>
      </w:r>
      <w:r w:rsidR="00933A3B" w:rsidRPr="00781BFB">
        <w:rPr>
          <w:rFonts w:ascii="Times New Roman" w:hAnsi="Times New Roman"/>
          <w:lang w:val="pt-BR"/>
        </w:rPr>
        <w:t xml:space="preserve"> </w:t>
      </w:r>
    </w:p>
    <w:p w14:paraId="20AA905D" w14:textId="09EB3D13" w:rsidR="00EA4E1B" w:rsidRPr="00781BFB" w:rsidRDefault="00EA4E1B" w:rsidP="00EA4E1B">
      <w:pPr>
        <w:pStyle w:val="Ttulo2"/>
        <w:rPr>
          <w:rFonts w:ascii="Helvetica" w:hAnsi="Helvetica" w:cs="Helvetica"/>
          <w:sz w:val="24"/>
          <w:szCs w:val="24"/>
        </w:rPr>
      </w:pPr>
      <w:r w:rsidRPr="00781BFB">
        <w:rPr>
          <w:rFonts w:ascii="Helvetica" w:hAnsi="Helvetica" w:cs="Helvetica"/>
          <w:sz w:val="24"/>
          <w:szCs w:val="24"/>
        </w:rPr>
        <w:t>Conclusões</w:t>
      </w:r>
    </w:p>
    <w:p w14:paraId="4A70FE93" w14:textId="0969139B" w:rsidR="00EA4E1B" w:rsidRPr="00781BFB" w:rsidRDefault="006F0CAC" w:rsidP="002F3C53">
      <w:pPr>
        <w:pStyle w:val="TAMainText"/>
        <w:rPr>
          <w:rFonts w:ascii="Times New Roman" w:hAnsi="Times New Roman"/>
          <w:lang w:val="pt-BR"/>
        </w:rPr>
      </w:pPr>
      <w:r>
        <w:rPr>
          <w:rFonts w:ascii="Times New Roman" w:hAnsi="Times New Roman"/>
          <w:lang w:val="pt-BR"/>
        </w:rPr>
        <w:t>A</w:t>
      </w:r>
      <w:r w:rsidR="00FE227B" w:rsidRPr="00781BFB">
        <w:rPr>
          <w:rFonts w:ascii="Times New Roman" w:hAnsi="Times New Roman"/>
          <w:lang w:val="pt-BR"/>
        </w:rPr>
        <w:t xml:space="preserve"> </w:t>
      </w:r>
      <w:r w:rsidR="008430D6" w:rsidRPr="00781BFB">
        <w:rPr>
          <w:rFonts w:ascii="Times New Roman" w:hAnsi="Times New Roman"/>
          <w:lang w:val="pt-BR"/>
        </w:rPr>
        <w:t>zeólita beta</w:t>
      </w:r>
      <w:r w:rsidR="00523145">
        <w:rPr>
          <w:rFonts w:ascii="Times New Roman" w:hAnsi="Times New Roman"/>
          <w:lang w:val="pt-BR"/>
        </w:rPr>
        <w:t>,</w:t>
      </w:r>
      <w:r w:rsidR="008430D6" w:rsidRPr="00781BFB">
        <w:rPr>
          <w:rFonts w:ascii="Times New Roman" w:hAnsi="Times New Roman"/>
          <w:lang w:val="pt-BR"/>
        </w:rPr>
        <w:t xml:space="preserve"> </w:t>
      </w:r>
      <w:r w:rsidR="0001529B">
        <w:rPr>
          <w:rFonts w:ascii="Times New Roman" w:hAnsi="Times New Roman"/>
          <w:lang w:val="pt-BR"/>
        </w:rPr>
        <w:t xml:space="preserve">como catalisador </w:t>
      </w:r>
      <w:r w:rsidR="00FE227B" w:rsidRPr="00781BFB">
        <w:rPr>
          <w:rFonts w:ascii="Times New Roman" w:hAnsi="Times New Roman"/>
          <w:lang w:val="pt-BR"/>
        </w:rPr>
        <w:t>na pirólise da biomassa</w:t>
      </w:r>
      <w:r w:rsidR="00523145">
        <w:rPr>
          <w:rFonts w:ascii="Times New Roman" w:hAnsi="Times New Roman"/>
          <w:lang w:val="pt-BR"/>
        </w:rPr>
        <w:t>,</w:t>
      </w:r>
      <w:r w:rsidR="00FE227B" w:rsidRPr="00781BFB">
        <w:rPr>
          <w:rFonts w:ascii="Times New Roman" w:hAnsi="Times New Roman"/>
          <w:lang w:val="pt-BR"/>
        </w:rPr>
        <w:t xml:space="preserve"> </w:t>
      </w:r>
      <w:r w:rsidR="008430D6" w:rsidRPr="00781BFB">
        <w:rPr>
          <w:rFonts w:ascii="Times New Roman" w:hAnsi="Times New Roman"/>
          <w:lang w:val="pt-BR"/>
        </w:rPr>
        <w:t xml:space="preserve">promove a redução da </w:t>
      </w:r>
      <w:r w:rsidR="0001529B">
        <w:rPr>
          <w:rFonts w:ascii="Times New Roman" w:hAnsi="Times New Roman"/>
          <w:lang w:val="pt-BR"/>
        </w:rPr>
        <w:t>Ea</w:t>
      </w:r>
      <w:r w:rsidR="008430D6" w:rsidRPr="00781BFB">
        <w:rPr>
          <w:rFonts w:ascii="Times New Roman" w:hAnsi="Times New Roman"/>
          <w:lang w:val="pt-BR"/>
        </w:rPr>
        <w:t xml:space="preserve"> </w:t>
      </w:r>
      <w:r w:rsidR="00E42E59">
        <w:rPr>
          <w:rFonts w:ascii="Times New Roman" w:hAnsi="Times New Roman"/>
          <w:lang w:val="pt-BR"/>
        </w:rPr>
        <w:t xml:space="preserve">média </w:t>
      </w:r>
      <w:r w:rsidR="00523145">
        <w:rPr>
          <w:rFonts w:ascii="Times New Roman" w:hAnsi="Times New Roman"/>
          <w:lang w:val="pt-BR"/>
        </w:rPr>
        <w:t>n</w:t>
      </w:r>
      <w:r w:rsidR="008430D6" w:rsidRPr="00781BFB">
        <w:rPr>
          <w:rFonts w:ascii="Times New Roman" w:hAnsi="Times New Roman"/>
          <w:lang w:val="pt-BR"/>
        </w:rPr>
        <w:t xml:space="preserve">a decomposição do </w:t>
      </w:r>
      <w:r w:rsidR="00FD5DD4" w:rsidRPr="00781BFB">
        <w:rPr>
          <w:rFonts w:ascii="Times New Roman" w:hAnsi="Times New Roman"/>
          <w:lang w:val="pt-BR"/>
        </w:rPr>
        <w:t>MDF</w:t>
      </w:r>
      <w:r w:rsidR="007A79AA" w:rsidRPr="00781BFB">
        <w:rPr>
          <w:rFonts w:ascii="Times New Roman" w:hAnsi="Times New Roman"/>
          <w:lang w:val="pt-BR"/>
        </w:rPr>
        <w:t>. A quantidade de coque</w:t>
      </w:r>
      <w:r w:rsidR="00523145">
        <w:rPr>
          <w:rFonts w:ascii="Times New Roman" w:hAnsi="Times New Roman"/>
          <w:lang w:val="pt-BR"/>
        </w:rPr>
        <w:t>,</w:t>
      </w:r>
      <w:r w:rsidR="007A79AA" w:rsidRPr="00781BFB">
        <w:rPr>
          <w:rFonts w:ascii="Times New Roman" w:hAnsi="Times New Roman"/>
          <w:lang w:val="pt-BR"/>
        </w:rPr>
        <w:t xml:space="preserve"> </w:t>
      </w:r>
      <w:r w:rsidR="004E04EF" w:rsidRPr="00781BFB">
        <w:rPr>
          <w:rFonts w:ascii="Times New Roman" w:hAnsi="Times New Roman"/>
          <w:lang w:val="pt-BR"/>
        </w:rPr>
        <w:t>ao final da pirólise catalítica</w:t>
      </w:r>
      <w:r w:rsidR="00523145">
        <w:rPr>
          <w:rFonts w:ascii="Times New Roman" w:hAnsi="Times New Roman"/>
          <w:lang w:val="pt-BR"/>
        </w:rPr>
        <w:t>,</w:t>
      </w:r>
      <w:r w:rsidR="004E04EF" w:rsidRPr="00781BFB">
        <w:rPr>
          <w:rFonts w:ascii="Times New Roman" w:hAnsi="Times New Roman"/>
          <w:lang w:val="pt-BR"/>
        </w:rPr>
        <w:t xml:space="preserve"> foi superior </w:t>
      </w:r>
      <w:r w:rsidR="00523145">
        <w:rPr>
          <w:rFonts w:ascii="Times New Roman" w:hAnsi="Times New Roman"/>
          <w:lang w:val="pt-BR"/>
        </w:rPr>
        <w:t>àquela</w:t>
      </w:r>
      <w:r w:rsidR="004E04EF" w:rsidRPr="00781BFB">
        <w:rPr>
          <w:rFonts w:ascii="Times New Roman" w:hAnsi="Times New Roman"/>
          <w:lang w:val="pt-BR"/>
        </w:rPr>
        <w:t xml:space="preserve"> observad</w:t>
      </w:r>
      <w:r w:rsidR="00523145">
        <w:rPr>
          <w:rFonts w:ascii="Times New Roman" w:hAnsi="Times New Roman"/>
          <w:lang w:val="pt-BR"/>
        </w:rPr>
        <w:t>a</w:t>
      </w:r>
      <w:r w:rsidR="004E04EF" w:rsidRPr="00781BFB">
        <w:rPr>
          <w:rFonts w:ascii="Times New Roman" w:hAnsi="Times New Roman"/>
          <w:lang w:val="pt-BR"/>
        </w:rPr>
        <w:t xml:space="preserve"> na pirólise não</w:t>
      </w:r>
      <w:r w:rsidR="0001529B">
        <w:rPr>
          <w:rFonts w:ascii="Times New Roman" w:hAnsi="Times New Roman"/>
          <w:lang w:val="pt-BR"/>
        </w:rPr>
        <w:t>-</w:t>
      </w:r>
      <w:r w:rsidR="004E04EF" w:rsidRPr="00781BFB">
        <w:rPr>
          <w:rFonts w:ascii="Times New Roman" w:hAnsi="Times New Roman"/>
          <w:lang w:val="pt-BR"/>
        </w:rPr>
        <w:t>catalítica devido à</w:t>
      </w:r>
      <w:r w:rsidR="0001529B">
        <w:rPr>
          <w:rFonts w:ascii="Times New Roman" w:hAnsi="Times New Roman"/>
          <w:lang w:val="pt-BR"/>
        </w:rPr>
        <w:t xml:space="preserve"> </w:t>
      </w:r>
      <w:r w:rsidR="004E04EF" w:rsidRPr="00781BFB">
        <w:rPr>
          <w:rFonts w:ascii="Times New Roman" w:hAnsi="Times New Roman"/>
          <w:lang w:val="pt-BR"/>
        </w:rPr>
        <w:t xml:space="preserve">acidez dos catalisadores. A introdução da </w:t>
      </w:r>
      <w:r w:rsidR="005B32CD">
        <w:rPr>
          <w:rFonts w:ascii="Times New Roman" w:hAnsi="Times New Roman"/>
          <w:lang w:val="pt-BR"/>
        </w:rPr>
        <w:t>Pt</w:t>
      </w:r>
      <w:r w:rsidR="004E04EF" w:rsidRPr="00781BFB">
        <w:rPr>
          <w:rFonts w:ascii="Times New Roman" w:hAnsi="Times New Roman"/>
          <w:lang w:val="pt-BR"/>
        </w:rPr>
        <w:t xml:space="preserve"> no</w:t>
      </w:r>
      <w:r w:rsidR="00CE551B" w:rsidRPr="00781BFB">
        <w:rPr>
          <w:rFonts w:ascii="Times New Roman" w:hAnsi="Times New Roman"/>
          <w:lang w:val="pt-BR"/>
        </w:rPr>
        <w:t xml:space="preserve"> </w:t>
      </w:r>
      <w:r w:rsidR="00523145">
        <w:rPr>
          <w:rFonts w:ascii="Times New Roman" w:hAnsi="Times New Roman"/>
          <w:lang w:val="pt-BR"/>
        </w:rPr>
        <w:t xml:space="preserve">catalisador </w:t>
      </w:r>
      <w:r w:rsidR="00CE551B" w:rsidRPr="00781BFB">
        <w:rPr>
          <w:rFonts w:ascii="Times New Roman" w:hAnsi="Times New Roman"/>
          <w:lang w:val="pt-BR"/>
        </w:rPr>
        <w:t xml:space="preserve">promove a </w:t>
      </w:r>
      <w:r w:rsidR="00523145">
        <w:rPr>
          <w:rFonts w:ascii="Times New Roman" w:hAnsi="Times New Roman"/>
          <w:lang w:val="pt-BR"/>
        </w:rPr>
        <w:t>diminuição da</w:t>
      </w:r>
      <w:r w:rsidR="00CE551B" w:rsidRPr="00781BFB">
        <w:rPr>
          <w:rFonts w:ascii="Times New Roman" w:hAnsi="Times New Roman"/>
          <w:lang w:val="pt-BR"/>
        </w:rPr>
        <w:t xml:space="preserve"> temperatura </w:t>
      </w:r>
      <w:r w:rsidR="006E5C95" w:rsidRPr="00781BFB">
        <w:rPr>
          <w:rFonts w:ascii="Times New Roman" w:hAnsi="Times New Roman"/>
          <w:lang w:val="pt-BR"/>
        </w:rPr>
        <w:t>n</w:t>
      </w:r>
      <w:r w:rsidR="00F65937" w:rsidRPr="00781BFB">
        <w:rPr>
          <w:rFonts w:ascii="Times New Roman" w:hAnsi="Times New Roman"/>
          <w:lang w:val="pt-BR"/>
        </w:rPr>
        <w:t>o segundo evento de</w:t>
      </w:r>
      <w:r w:rsidR="00CE551B" w:rsidRPr="00781BFB">
        <w:rPr>
          <w:rFonts w:ascii="Times New Roman" w:hAnsi="Times New Roman"/>
          <w:lang w:val="pt-BR"/>
        </w:rPr>
        <w:t xml:space="preserve"> </w:t>
      </w:r>
      <w:r w:rsidR="00B104E3" w:rsidRPr="00781BFB">
        <w:rPr>
          <w:rFonts w:ascii="Times New Roman" w:hAnsi="Times New Roman"/>
          <w:lang w:val="pt-BR"/>
        </w:rPr>
        <w:t>decomposição do MDF</w:t>
      </w:r>
      <w:r w:rsidR="006E5C95" w:rsidRPr="00781BFB">
        <w:rPr>
          <w:rFonts w:ascii="Times New Roman" w:hAnsi="Times New Roman"/>
          <w:lang w:val="pt-BR"/>
        </w:rPr>
        <w:t>,</w:t>
      </w:r>
      <w:r w:rsidR="00187394" w:rsidRPr="00781BFB">
        <w:rPr>
          <w:rFonts w:ascii="Times New Roman" w:hAnsi="Times New Roman"/>
          <w:lang w:val="pt-BR"/>
        </w:rPr>
        <w:t xml:space="preserve"> </w:t>
      </w:r>
      <w:r w:rsidR="00523145">
        <w:rPr>
          <w:rFonts w:ascii="Times New Roman" w:hAnsi="Times New Roman"/>
          <w:lang w:val="pt-BR"/>
        </w:rPr>
        <w:t>acelerando</w:t>
      </w:r>
      <w:r w:rsidR="00187394" w:rsidRPr="00781BFB">
        <w:rPr>
          <w:rFonts w:ascii="Times New Roman" w:hAnsi="Times New Roman"/>
          <w:lang w:val="pt-BR"/>
        </w:rPr>
        <w:t xml:space="preserve"> a decomposição dos principais componentes da matriz lignocelulósica</w:t>
      </w:r>
      <w:r w:rsidR="006E5C95" w:rsidRPr="00781BFB">
        <w:rPr>
          <w:rFonts w:ascii="Times New Roman" w:hAnsi="Times New Roman"/>
          <w:lang w:val="pt-BR"/>
        </w:rPr>
        <w:t>.</w:t>
      </w:r>
      <w:r w:rsidR="00187394" w:rsidRPr="00781BFB">
        <w:rPr>
          <w:rFonts w:ascii="Times New Roman" w:hAnsi="Times New Roman"/>
          <w:lang w:val="pt-BR"/>
        </w:rPr>
        <w:t xml:space="preserve"> </w:t>
      </w:r>
    </w:p>
    <w:p w14:paraId="6BE32F7B" w14:textId="4F456A38" w:rsidR="00EA4E1B" w:rsidRPr="00781BFB" w:rsidRDefault="00EA4E1B" w:rsidP="00EA4E1B">
      <w:pPr>
        <w:pStyle w:val="Ttulo2"/>
        <w:rPr>
          <w:rFonts w:ascii="Helvetica" w:hAnsi="Helvetica" w:cs="Helvetica"/>
          <w:sz w:val="24"/>
          <w:szCs w:val="24"/>
        </w:rPr>
      </w:pPr>
      <w:r w:rsidRPr="00781BFB">
        <w:rPr>
          <w:rFonts w:ascii="Helvetica" w:hAnsi="Helvetica" w:cs="Helvetica"/>
          <w:sz w:val="24"/>
          <w:szCs w:val="24"/>
        </w:rPr>
        <w:t>Agradecimentos</w:t>
      </w:r>
    </w:p>
    <w:p w14:paraId="05A178F9" w14:textId="0F61400F" w:rsidR="00EA4E1B" w:rsidRPr="00781BFB" w:rsidRDefault="0066510E" w:rsidP="00EA4E1B">
      <w:pPr>
        <w:pStyle w:val="TAMainText"/>
        <w:rPr>
          <w:rFonts w:ascii="Times New Roman" w:hAnsi="Times New Roman"/>
          <w:lang w:val="pt-BR"/>
        </w:rPr>
      </w:pPr>
      <w:r w:rsidRPr="00781BFB">
        <w:rPr>
          <w:rFonts w:ascii="Times New Roman" w:hAnsi="Times New Roman"/>
          <w:lang w:val="pt-BR"/>
        </w:rPr>
        <w:t xml:space="preserve">Os autores agradecem à </w:t>
      </w:r>
      <w:r w:rsidR="00D5575A">
        <w:rPr>
          <w:rFonts w:ascii="Times New Roman" w:hAnsi="Times New Roman"/>
          <w:lang w:val="pt-BR"/>
        </w:rPr>
        <w:t xml:space="preserve">FINEP e </w:t>
      </w:r>
      <w:r w:rsidR="00523145" w:rsidRPr="00781BFB">
        <w:rPr>
          <w:rFonts w:ascii="Times New Roman" w:hAnsi="Times New Roman"/>
          <w:lang w:val="pt-BR"/>
        </w:rPr>
        <w:t>CAPES</w:t>
      </w:r>
      <w:r w:rsidRPr="00781BFB">
        <w:rPr>
          <w:rFonts w:ascii="Times New Roman" w:hAnsi="Times New Roman"/>
          <w:lang w:val="pt-BR"/>
        </w:rPr>
        <w:t xml:space="preserve"> pelo apoio financeiro</w:t>
      </w:r>
      <w:r w:rsidR="00EA4E1B" w:rsidRPr="00781BFB">
        <w:rPr>
          <w:rFonts w:ascii="Times New Roman" w:hAnsi="Times New Roman"/>
          <w:lang w:val="pt-BR"/>
        </w:rPr>
        <w:t>.</w:t>
      </w:r>
    </w:p>
    <w:p w14:paraId="1EAAA287" w14:textId="77777777" w:rsidR="00EA4E1B" w:rsidRPr="00781BFB" w:rsidRDefault="00EA4E1B" w:rsidP="00EA4E1B">
      <w:pPr>
        <w:pStyle w:val="Ttulo2"/>
        <w:rPr>
          <w:rFonts w:ascii="Helvetica" w:hAnsi="Helvetica" w:cs="Helvetica"/>
          <w:sz w:val="24"/>
          <w:szCs w:val="24"/>
        </w:rPr>
      </w:pPr>
      <w:r w:rsidRPr="00781BFB">
        <w:rPr>
          <w:rFonts w:ascii="Helvetica" w:hAnsi="Helvetica" w:cs="Helvetica"/>
          <w:sz w:val="24"/>
          <w:szCs w:val="24"/>
        </w:rPr>
        <w:t>Referências</w:t>
      </w:r>
    </w:p>
    <w:p w14:paraId="1C2D9CE4" w14:textId="555683B1" w:rsidR="009A6652" w:rsidRPr="00781BFB" w:rsidRDefault="009A6652" w:rsidP="00FE227B">
      <w:pPr>
        <w:pStyle w:val="TAMainText"/>
        <w:numPr>
          <w:ilvl w:val="0"/>
          <w:numId w:val="1"/>
        </w:numPr>
        <w:rPr>
          <w:lang w:val="pt-BR"/>
        </w:rPr>
      </w:pPr>
      <w:r w:rsidRPr="00781BFB">
        <w:rPr>
          <w:lang w:val="pt-BR"/>
        </w:rPr>
        <w:t xml:space="preserve">L.C. Pessôa; K.M. Deamici; L.A.M. Pontes; J.I. Druzian; D.J. Assis, </w:t>
      </w:r>
      <w:r w:rsidRPr="00781BFB">
        <w:rPr>
          <w:i/>
          <w:lang w:val="pt-BR"/>
        </w:rPr>
        <w:t>Algal Res</w:t>
      </w:r>
      <w:r w:rsidRPr="00781BFB">
        <w:rPr>
          <w:lang w:val="pt-BR"/>
        </w:rPr>
        <w:t xml:space="preserve">. </w:t>
      </w:r>
      <w:r w:rsidRPr="00781BFB">
        <w:rPr>
          <w:b/>
          <w:lang w:val="pt-BR"/>
        </w:rPr>
        <w:t>2021</w:t>
      </w:r>
      <w:r w:rsidRPr="00781BFB">
        <w:rPr>
          <w:lang w:val="pt-BR"/>
        </w:rPr>
        <w:t>,</w:t>
      </w:r>
      <w:r w:rsidRPr="00781BFB">
        <w:rPr>
          <w:i/>
          <w:lang w:val="pt-BR"/>
        </w:rPr>
        <w:t xml:space="preserve"> 60</w:t>
      </w:r>
      <w:r w:rsidRPr="00781BFB">
        <w:rPr>
          <w:lang w:val="pt-BR"/>
        </w:rPr>
        <w:t xml:space="preserve">, 102504. </w:t>
      </w:r>
    </w:p>
    <w:p w14:paraId="3C30572A" w14:textId="6B8333BF" w:rsidR="009A6652" w:rsidRPr="00781BFB" w:rsidRDefault="009A6652" w:rsidP="009A6652">
      <w:pPr>
        <w:pStyle w:val="TAMainText"/>
        <w:numPr>
          <w:ilvl w:val="0"/>
          <w:numId w:val="1"/>
        </w:numPr>
        <w:rPr>
          <w:lang w:val="pt-BR"/>
        </w:rPr>
      </w:pPr>
      <w:r w:rsidRPr="00781BFB">
        <w:rPr>
          <w:lang w:val="pt-BR"/>
        </w:rPr>
        <w:t xml:space="preserve">N.T. Miranda; I.L. Motta; R.M. Filho; M.R.W. Maciel, </w:t>
      </w:r>
      <w:r w:rsidRPr="00781BFB">
        <w:rPr>
          <w:i/>
          <w:lang w:val="pt-BR"/>
        </w:rPr>
        <w:t xml:space="preserve">Renew. </w:t>
      </w:r>
      <w:r w:rsidRPr="00781BFB">
        <w:rPr>
          <w:i/>
        </w:rPr>
        <w:t>Sustain. Energy</w:t>
      </w:r>
      <w:r w:rsidR="00564901">
        <w:rPr>
          <w:i/>
        </w:rPr>
        <w:t>,</w:t>
      </w:r>
      <w:r w:rsidRPr="00781BFB">
        <w:rPr>
          <w:lang w:val="pt-BR"/>
        </w:rPr>
        <w:t xml:space="preserve"> </w:t>
      </w:r>
      <w:r w:rsidRPr="00781BFB">
        <w:rPr>
          <w:b/>
          <w:lang w:val="pt-BR"/>
        </w:rPr>
        <w:t>2021</w:t>
      </w:r>
      <w:r w:rsidRPr="00781BFB">
        <w:rPr>
          <w:lang w:val="pt-BR"/>
        </w:rPr>
        <w:t xml:space="preserve">, </w:t>
      </w:r>
      <w:r w:rsidRPr="00781BFB">
        <w:rPr>
          <w:i/>
          <w:lang w:val="pt-BR"/>
        </w:rPr>
        <w:t>149</w:t>
      </w:r>
      <w:r w:rsidRPr="00781BFB">
        <w:rPr>
          <w:lang w:val="pt-BR"/>
        </w:rPr>
        <w:t>, 111394.</w:t>
      </w:r>
    </w:p>
    <w:p w14:paraId="1A8A4587" w14:textId="52E52E66" w:rsidR="009A6652" w:rsidRPr="00781BFB" w:rsidRDefault="009A6652" w:rsidP="003E2C52">
      <w:pPr>
        <w:pStyle w:val="TAMainText"/>
        <w:numPr>
          <w:ilvl w:val="0"/>
          <w:numId w:val="1"/>
        </w:numPr>
        <w:rPr>
          <w:lang w:val="pt-BR"/>
        </w:rPr>
      </w:pPr>
      <w:r w:rsidRPr="00781BFB">
        <w:rPr>
          <w:lang w:val="pt-BR"/>
        </w:rPr>
        <w:t xml:space="preserve">M.S. Carvalho; A.P.S. Oliveira; F.M. Mayer; C.F. Virgens; M.C. Rangel. </w:t>
      </w:r>
      <w:r w:rsidR="003E2C52" w:rsidRPr="00781BFB">
        <w:rPr>
          <w:i/>
          <w:lang w:val="pt-BR"/>
        </w:rPr>
        <w:t xml:space="preserve">Catalysis Research. </w:t>
      </w:r>
      <w:r w:rsidR="003E2C52" w:rsidRPr="00781BFB">
        <w:rPr>
          <w:b/>
          <w:lang w:val="pt-BR"/>
        </w:rPr>
        <w:t>2022</w:t>
      </w:r>
      <w:r w:rsidR="003E2C52" w:rsidRPr="00781BFB">
        <w:rPr>
          <w:lang w:val="pt-BR"/>
        </w:rPr>
        <w:t xml:space="preserve">, </w:t>
      </w:r>
      <w:r w:rsidR="003E2C52" w:rsidRPr="00781BFB">
        <w:rPr>
          <w:i/>
          <w:lang w:val="pt-BR"/>
        </w:rPr>
        <w:t>4,</w:t>
      </w:r>
      <w:r w:rsidR="003E2C52" w:rsidRPr="00781BFB">
        <w:rPr>
          <w:b/>
          <w:i/>
          <w:lang w:val="pt-BR"/>
        </w:rPr>
        <w:t xml:space="preserve"> </w:t>
      </w:r>
      <w:r w:rsidR="003E2C52" w:rsidRPr="00781BFB">
        <w:rPr>
          <w:lang w:val="pt-BR"/>
        </w:rPr>
        <w:t>038.</w:t>
      </w:r>
    </w:p>
    <w:p w14:paraId="6FEB5BB8" w14:textId="2C9772F4" w:rsidR="00652CA0" w:rsidRDefault="003E2C52" w:rsidP="00652CA0">
      <w:pPr>
        <w:pStyle w:val="TAMainText"/>
        <w:numPr>
          <w:ilvl w:val="0"/>
          <w:numId w:val="1"/>
        </w:numPr>
        <w:rPr>
          <w:lang w:val="pt-BR"/>
        </w:rPr>
      </w:pPr>
      <w:r w:rsidRPr="00781BFB">
        <w:rPr>
          <w:lang w:val="pt-BR"/>
        </w:rPr>
        <w:t xml:space="preserve">F.M. Mayer; A.P.S. Oliveira; D.L.O. Junior; B.C. Agustini; G.A. Silva; E.H. Tanabe; D. Ruiz; M.C. Rangel; C.A. Zini, </w:t>
      </w:r>
      <w:r w:rsidRPr="00781BFB">
        <w:rPr>
          <w:i/>
          <w:lang w:val="pt-BR"/>
        </w:rPr>
        <w:t>Waste Biomass Valor</w:t>
      </w:r>
      <w:r w:rsidRPr="00781BFB">
        <w:rPr>
          <w:lang w:val="pt-BR"/>
        </w:rPr>
        <w:t xml:space="preserve">. </w:t>
      </w:r>
      <w:r w:rsidRPr="00781BFB">
        <w:rPr>
          <w:b/>
          <w:lang w:val="pt-BR"/>
        </w:rPr>
        <w:t>2022</w:t>
      </w:r>
      <w:r w:rsidRPr="00781BFB">
        <w:rPr>
          <w:lang w:val="pt-BR"/>
        </w:rPr>
        <w:t xml:space="preserve">, </w:t>
      </w:r>
      <w:r w:rsidRPr="00781BFB">
        <w:rPr>
          <w:i/>
          <w:lang w:val="pt-BR"/>
        </w:rPr>
        <w:t>13</w:t>
      </w:r>
      <w:r w:rsidRPr="00781BFB">
        <w:rPr>
          <w:lang w:val="pt-BR"/>
        </w:rPr>
        <w:t>, 1717-1729.</w:t>
      </w:r>
    </w:p>
    <w:p w14:paraId="26F56691" w14:textId="7E05DA73" w:rsidR="00EE42D5" w:rsidRPr="00EE42D5" w:rsidRDefault="00EE42D5" w:rsidP="00E16D57">
      <w:pPr>
        <w:pStyle w:val="TAMainText"/>
        <w:numPr>
          <w:ilvl w:val="0"/>
          <w:numId w:val="1"/>
        </w:numPr>
      </w:pPr>
      <w:r>
        <w:t xml:space="preserve">M.M </w:t>
      </w:r>
      <w:r w:rsidRPr="00EE42D5">
        <w:t xml:space="preserve">Rahman, </w:t>
      </w:r>
      <w:r>
        <w:t xml:space="preserve">R. </w:t>
      </w:r>
      <w:r w:rsidRPr="00EE42D5">
        <w:t xml:space="preserve">Liu, </w:t>
      </w:r>
      <w:r>
        <w:t xml:space="preserve">J. </w:t>
      </w:r>
      <w:r w:rsidRPr="00EE42D5">
        <w:t>Cai</w:t>
      </w:r>
      <w:r>
        <w:t>,</w:t>
      </w:r>
      <w:r w:rsidRPr="00EE42D5">
        <w:t xml:space="preserve"> </w:t>
      </w:r>
      <w:r w:rsidRPr="00EE42D5">
        <w:rPr>
          <w:i/>
          <w:iCs/>
        </w:rPr>
        <w:t>Fuel Process Technol</w:t>
      </w:r>
      <w:r w:rsidRPr="00EE42D5">
        <w:t xml:space="preserve">. </w:t>
      </w:r>
      <w:r w:rsidRPr="00EE42D5">
        <w:rPr>
          <w:b/>
          <w:bCs/>
        </w:rPr>
        <w:t>2018</w:t>
      </w:r>
      <w:r w:rsidRPr="00EE42D5">
        <w:t>,</w:t>
      </w:r>
      <w:r>
        <w:rPr>
          <w:b/>
          <w:bCs/>
        </w:rPr>
        <w:t xml:space="preserve"> </w:t>
      </w:r>
      <w:r w:rsidRPr="00EE42D5">
        <w:rPr>
          <w:i/>
          <w:iCs/>
        </w:rPr>
        <w:t>180</w:t>
      </w:r>
      <w:r>
        <w:t xml:space="preserve">, </w:t>
      </w:r>
      <w:r w:rsidRPr="00EE42D5">
        <w:t>32-46</w:t>
      </w:r>
      <w:r>
        <w:t>.</w:t>
      </w:r>
    </w:p>
    <w:p w14:paraId="15465E3F" w14:textId="2DFF1F2C" w:rsidR="0079784C" w:rsidRPr="00247F31" w:rsidRDefault="0079784C" w:rsidP="00247F31">
      <w:pPr>
        <w:pStyle w:val="TAMainText"/>
        <w:numPr>
          <w:ilvl w:val="0"/>
          <w:numId w:val="1"/>
        </w:numPr>
        <w:rPr>
          <w:lang w:val="pt-BR"/>
        </w:rPr>
      </w:pPr>
      <w:r w:rsidRPr="00247F31">
        <w:rPr>
          <w:lang w:val="pt-BR"/>
        </w:rPr>
        <w:t xml:space="preserve">A. Abraham, S-H. Lee, C-H. </w:t>
      </w:r>
      <w:r w:rsidRPr="00247F31">
        <w:t xml:space="preserve">Shin, S. B. Hong, R. Prins, J. A. van Bokhoven, </w:t>
      </w:r>
      <w:r w:rsidRPr="00247F31">
        <w:rPr>
          <w:i/>
          <w:iCs/>
        </w:rPr>
        <w:t xml:space="preserve">Phys. </w:t>
      </w:r>
      <w:r w:rsidRPr="00247F31">
        <w:rPr>
          <w:i/>
          <w:iCs/>
          <w:lang w:val="pt-BR"/>
        </w:rPr>
        <w:t>Chem. Chem. Phys</w:t>
      </w:r>
      <w:r w:rsidRPr="00247F31">
        <w:rPr>
          <w:lang w:val="pt-BR"/>
        </w:rPr>
        <w:t xml:space="preserve">. </w:t>
      </w:r>
      <w:r w:rsidRPr="00247F31">
        <w:rPr>
          <w:b/>
          <w:bCs/>
          <w:lang w:val="pt-BR"/>
        </w:rPr>
        <w:t>2004</w:t>
      </w:r>
      <w:r w:rsidRPr="00247F31">
        <w:rPr>
          <w:lang w:val="pt-BR"/>
        </w:rPr>
        <w:t xml:space="preserve">, </w:t>
      </w:r>
      <w:r w:rsidRPr="006E5DCE">
        <w:rPr>
          <w:i/>
          <w:iCs/>
          <w:lang w:val="pt-BR"/>
        </w:rPr>
        <w:t>6</w:t>
      </w:r>
      <w:r w:rsidRPr="00247F31">
        <w:rPr>
          <w:lang w:val="pt-BR"/>
        </w:rPr>
        <w:t>,</w:t>
      </w:r>
      <w:r w:rsidR="00247F31">
        <w:rPr>
          <w:lang w:val="pt-BR"/>
        </w:rPr>
        <w:t xml:space="preserve"> </w:t>
      </w:r>
      <w:r w:rsidRPr="00247F31">
        <w:rPr>
          <w:lang w:val="pt-BR"/>
        </w:rPr>
        <w:t>3031-3036.</w:t>
      </w:r>
    </w:p>
    <w:p w14:paraId="0F552127" w14:textId="1A7CA582" w:rsidR="00652CA0" w:rsidRPr="00247F31" w:rsidRDefault="00652CA0" w:rsidP="00247F31">
      <w:pPr>
        <w:pStyle w:val="TAMainText"/>
        <w:numPr>
          <w:ilvl w:val="0"/>
          <w:numId w:val="1"/>
        </w:numPr>
        <w:rPr>
          <w:lang w:val="pt-BR"/>
        </w:rPr>
      </w:pPr>
      <w:r w:rsidRPr="00247F31">
        <w:rPr>
          <w:lang w:val="pt-BR"/>
        </w:rPr>
        <w:t xml:space="preserve">L.P. The, H.D. Setiabudi, S.M. Sidik, N.H.R. Annuar, A.A. Jalil, </w:t>
      </w:r>
      <w:r w:rsidRPr="00247F31">
        <w:rPr>
          <w:i/>
          <w:iCs/>
          <w:lang w:val="pt-BR"/>
        </w:rPr>
        <w:t>Mater. Chem. Phys</w:t>
      </w:r>
      <w:r w:rsidRPr="00247F31">
        <w:rPr>
          <w:lang w:val="pt-BR"/>
        </w:rPr>
        <w:t xml:space="preserve">. </w:t>
      </w:r>
      <w:r w:rsidRPr="00247F31">
        <w:rPr>
          <w:b/>
          <w:bCs/>
          <w:lang w:val="pt-BR"/>
        </w:rPr>
        <w:t>2021</w:t>
      </w:r>
      <w:r w:rsidRPr="00247F31">
        <w:rPr>
          <w:lang w:val="pt-BR"/>
        </w:rPr>
        <w:t xml:space="preserve">, </w:t>
      </w:r>
      <w:r w:rsidRPr="006E5DCE">
        <w:rPr>
          <w:i/>
          <w:iCs/>
          <w:lang w:val="pt-BR"/>
        </w:rPr>
        <w:t>263</w:t>
      </w:r>
      <w:r w:rsidRPr="00247F31">
        <w:rPr>
          <w:lang w:val="pt-BR"/>
        </w:rPr>
        <w:t xml:space="preserve">,124406. </w:t>
      </w:r>
      <w:hyperlink r:id="rId13" w:history="1"/>
    </w:p>
    <w:p w14:paraId="575499B0" w14:textId="6635FA47" w:rsidR="00652CA0" w:rsidRPr="00781BFB" w:rsidRDefault="00652CA0" w:rsidP="00652CA0">
      <w:pPr>
        <w:pStyle w:val="TAMainText"/>
        <w:numPr>
          <w:ilvl w:val="0"/>
          <w:numId w:val="1"/>
        </w:numPr>
        <w:rPr>
          <w:lang w:val="pt-BR"/>
        </w:rPr>
      </w:pPr>
      <w:r w:rsidRPr="00781BFB">
        <w:rPr>
          <w:lang w:val="pt-BR"/>
        </w:rPr>
        <w:t xml:space="preserve">M.S. Carvalho; L.L. Carneiro; T.P. Chagas; E.G.P. Silva; C.F. Virgens. </w:t>
      </w:r>
      <w:r w:rsidRPr="00781BFB">
        <w:rPr>
          <w:i/>
          <w:iCs/>
          <w:lang w:val="pt-BR"/>
        </w:rPr>
        <w:t>Braz J Develop</w:t>
      </w:r>
      <w:r w:rsidRPr="00781BFB">
        <w:rPr>
          <w:lang w:val="pt-BR"/>
        </w:rPr>
        <w:t xml:space="preserve">., </w:t>
      </w:r>
      <w:r w:rsidRPr="00781BFB">
        <w:rPr>
          <w:b/>
          <w:bCs/>
          <w:lang w:val="pt-BR"/>
        </w:rPr>
        <w:t>2020</w:t>
      </w:r>
      <w:r w:rsidRPr="00781BFB">
        <w:rPr>
          <w:lang w:val="pt-BR"/>
        </w:rPr>
        <w:t xml:space="preserve">, </w:t>
      </w:r>
      <w:r w:rsidRPr="006E5DCE">
        <w:rPr>
          <w:i/>
          <w:iCs/>
          <w:lang w:val="pt-BR"/>
        </w:rPr>
        <w:t>6</w:t>
      </w:r>
      <w:r w:rsidRPr="00781BFB">
        <w:rPr>
          <w:lang w:val="pt-BR"/>
        </w:rPr>
        <w:t>, 79686-79704.</w:t>
      </w:r>
    </w:p>
    <w:p w14:paraId="5E515C77" w14:textId="03ED6169" w:rsidR="001C3397" w:rsidRDefault="00652CA0" w:rsidP="00936320">
      <w:pPr>
        <w:pStyle w:val="TAMainText"/>
        <w:numPr>
          <w:ilvl w:val="0"/>
          <w:numId w:val="1"/>
        </w:numPr>
        <w:rPr>
          <w:lang w:val="pt-BR"/>
        </w:rPr>
      </w:pPr>
      <w:r w:rsidRPr="00781BFB">
        <w:rPr>
          <w:lang w:val="pt-BR"/>
        </w:rPr>
        <w:t xml:space="preserve">R.E. Guedes; A.S. Luna; A.R. Torres. </w:t>
      </w:r>
      <w:r w:rsidRPr="00781BFB">
        <w:rPr>
          <w:i/>
          <w:iCs/>
          <w:lang w:val="pt-BR"/>
        </w:rPr>
        <w:t>J Anal. Appl. Pyrolysis</w:t>
      </w:r>
      <w:r w:rsidRPr="00781BFB">
        <w:rPr>
          <w:lang w:val="pt-BR"/>
        </w:rPr>
        <w:t xml:space="preserve">, </w:t>
      </w:r>
      <w:r w:rsidRPr="00781BFB">
        <w:rPr>
          <w:b/>
          <w:bCs/>
          <w:lang w:val="pt-BR"/>
        </w:rPr>
        <w:t>2018</w:t>
      </w:r>
      <w:r w:rsidRPr="00781BFB">
        <w:rPr>
          <w:lang w:val="pt-BR"/>
        </w:rPr>
        <w:t xml:space="preserve">, </w:t>
      </w:r>
      <w:r w:rsidRPr="003E788A">
        <w:rPr>
          <w:i/>
          <w:iCs/>
          <w:lang w:val="pt-BR"/>
        </w:rPr>
        <w:t>129</w:t>
      </w:r>
      <w:r w:rsidRPr="00781BFB">
        <w:rPr>
          <w:lang w:val="pt-BR"/>
        </w:rPr>
        <w:t>, 134-149.</w:t>
      </w:r>
    </w:p>
    <w:p w14:paraId="322C9389" w14:textId="7FB8F3A6" w:rsidR="004D6CCB" w:rsidRPr="002B47AA" w:rsidRDefault="002B47AA" w:rsidP="002B47AA">
      <w:pPr>
        <w:pStyle w:val="TAMainText"/>
        <w:numPr>
          <w:ilvl w:val="0"/>
          <w:numId w:val="1"/>
        </w:numPr>
        <w:rPr>
          <w:lang w:val="pt-BR"/>
        </w:rPr>
      </w:pPr>
      <w:r w:rsidRPr="002B47AA">
        <w:rPr>
          <w:lang w:val="pt-BR"/>
        </w:rPr>
        <w:t xml:space="preserve">M.C. Rangel, F.M. Mayer, M.d.S. Carvalho, G. Sabioa, A.M. de Andrade, </w:t>
      </w:r>
      <w:r w:rsidRPr="002B47AA">
        <w:rPr>
          <w:i/>
          <w:iCs/>
          <w:lang w:val="pt-BR"/>
        </w:rPr>
        <w:t>Biomass</w:t>
      </w:r>
      <w:r w:rsidRPr="002B47AA">
        <w:rPr>
          <w:lang w:val="pt-BR"/>
        </w:rPr>
        <w:t>,</w:t>
      </w:r>
      <w:r w:rsidRPr="003E788A">
        <w:rPr>
          <w:b/>
          <w:bCs/>
          <w:lang w:val="pt-BR"/>
        </w:rPr>
        <w:t xml:space="preserve"> 2023</w:t>
      </w:r>
      <w:r w:rsidRPr="002B47AA">
        <w:rPr>
          <w:lang w:val="pt-BR"/>
        </w:rPr>
        <w:t xml:space="preserve">, </w:t>
      </w:r>
      <w:r w:rsidRPr="003E788A">
        <w:rPr>
          <w:b/>
          <w:bCs/>
          <w:lang w:val="pt-BR"/>
        </w:rPr>
        <w:t>3</w:t>
      </w:r>
      <w:r w:rsidRPr="002B47AA">
        <w:rPr>
          <w:lang w:val="pt-BR"/>
        </w:rPr>
        <w:t>, 31-63.</w:t>
      </w:r>
    </w:p>
    <w:p w14:paraId="7324B4AD" w14:textId="77777777" w:rsidR="004D6CCB" w:rsidRPr="002B47AA" w:rsidRDefault="004D6CCB" w:rsidP="004D6CCB">
      <w:pPr>
        <w:pStyle w:val="PargrafodaLista"/>
        <w:tabs>
          <w:tab w:val="left" w:pos="284"/>
        </w:tabs>
        <w:autoSpaceDE w:val="0"/>
        <w:autoSpaceDN w:val="0"/>
        <w:spacing w:line="228" w:lineRule="auto"/>
        <w:ind w:left="360"/>
        <w:rPr>
          <w:rFonts w:eastAsia="Times New Roman"/>
          <w:iCs/>
          <w:noProof w:val="0"/>
          <w:snapToGrid w:val="0"/>
          <w:sz w:val="18"/>
          <w:szCs w:val="18"/>
          <w:lang w:val="pt-BR" w:eastAsia="de-DE" w:bidi="en-US"/>
        </w:rPr>
      </w:pPr>
      <w:r w:rsidRPr="002B47AA">
        <w:rPr>
          <w:rFonts w:eastAsia="Times New Roman"/>
          <w:iCs/>
          <w:noProof w:val="0"/>
          <w:snapToGrid w:val="0"/>
          <w:sz w:val="18"/>
          <w:szCs w:val="18"/>
          <w:lang w:val="pt-BR" w:eastAsia="de-DE" w:bidi="en-US"/>
        </w:rPr>
        <w:t xml:space="preserve"> </w:t>
      </w:r>
    </w:p>
    <w:p w14:paraId="5F649ECA" w14:textId="77777777" w:rsidR="004D6CCB" w:rsidRPr="002B47AA" w:rsidRDefault="004D6CCB" w:rsidP="004D6CCB">
      <w:pPr>
        <w:pStyle w:val="TAMainText"/>
        <w:rPr>
          <w:lang w:val="pt-BR"/>
        </w:rPr>
      </w:pPr>
    </w:p>
    <w:sectPr w:rsidR="004D6CCB" w:rsidRPr="002B47A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8154" w14:textId="77777777" w:rsidR="001F1B1D" w:rsidRDefault="001F1B1D" w:rsidP="00EA4E1B">
      <w:pPr>
        <w:spacing w:after="0" w:line="240" w:lineRule="auto"/>
      </w:pPr>
      <w:r>
        <w:separator/>
      </w:r>
    </w:p>
  </w:endnote>
  <w:endnote w:type="continuationSeparator" w:id="0">
    <w:p w14:paraId="7309D971" w14:textId="77777777" w:rsidR="001F1B1D" w:rsidRDefault="001F1B1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A265" w14:textId="77777777" w:rsidR="001F1B1D" w:rsidRDefault="001F1B1D" w:rsidP="00EA4E1B">
      <w:pPr>
        <w:spacing w:after="0" w:line="240" w:lineRule="auto"/>
      </w:pPr>
      <w:r>
        <w:separator/>
      </w:r>
    </w:p>
  </w:footnote>
  <w:footnote w:type="continuationSeparator" w:id="0">
    <w:p w14:paraId="60A6CDD8" w14:textId="77777777" w:rsidR="001F1B1D" w:rsidRDefault="001F1B1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725"/>
    <w:multiLevelType w:val="hybridMultilevel"/>
    <w:tmpl w:val="8332A374"/>
    <w:lvl w:ilvl="0" w:tplc="1554774A">
      <w:start w:val="1"/>
      <w:numFmt w:val="decimal"/>
      <w:lvlText w:val="%1."/>
      <w:lvlJc w:val="left"/>
      <w:pPr>
        <w:ind w:left="644"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752003497">
    <w:abstractNumId w:val="1"/>
  </w:num>
  <w:num w:numId="2" w16cid:durableId="150315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514"/>
    <w:rsid w:val="00002DAF"/>
    <w:rsid w:val="00004EE4"/>
    <w:rsid w:val="000052E6"/>
    <w:rsid w:val="000062BD"/>
    <w:rsid w:val="0001264A"/>
    <w:rsid w:val="0001529B"/>
    <w:rsid w:val="000300CB"/>
    <w:rsid w:val="0003061B"/>
    <w:rsid w:val="00031DEF"/>
    <w:rsid w:val="00034A8A"/>
    <w:rsid w:val="000368C6"/>
    <w:rsid w:val="000410F6"/>
    <w:rsid w:val="00041A36"/>
    <w:rsid w:val="0004481F"/>
    <w:rsid w:val="00045B11"/>
    <w:rsid w:val="00047A19"/>
    <w:rsid w:val="000507BE"/>
    <w:rsid w:val="00051529"/>
    <w:rsid w:val="0005526B"/>
    <w:rsid w:val="000574DD"/>
    <w:rsid w:val="00061335"/>
    <w:rsid w:val="00061A72"/>
    <w:rsid w:val="000620A9"/>
    <w:rsid w:val="00073C83"/>
    <w:rsid w:val="000761D3"/>
    <w:rsid w:val="000768A7"/>
    <w:rsid w:val="00083938"/>
    <w:rsid w:val="00085C6F"/>
    <w:rsid w:val="00085E1F"/>
    <w:rsid w:val="000869CD"/>
    <w:rsid w:val="00087548"/>
    <w:rsid w:val="0009279A"/>
    <w:rsid w:val="00096F6B"/>
    <w:rsid w:val="000A2E6E"/>
    <w:rsid w:val="000A541B"/>
    <w:rsid w:val="000A796F"/>
    <w:rsid w:val="000B019A"/>
    <w:rsid w:val="000B2267"/>
    <w:rsid w:val="000C702D"/>
    <w:rsid w:val="000C75EF"/>
    <w:rsid w:val="000D43F3"/>
    <w:rsid w:val="000D4963"/>
    <w:rsid w:val="000D5C78"/>
    <w:rsid w:val="000D755D"/>
    <w:rsid w:val="000E6881"/>
    <w:rsid w:val="000F1D24"/>
    <w:rsid w:val="000F55D5"/>
    <w:rsid w:val="000F7F28"/>
    <w:rsid w:val="00100283"/>
    <w:rsid w:val="00102FAE"/>
    <w:rsid w:val="00104DD3"/>
    <w:rsid w:val="001051B4"/>
    <w:rsid w:val="00106EAC"/>
    <w:rsid w:val="00110159"/>
    <w:rsid w:val="001211DF"/>
    <w:rsid w:val="0012135E"/>
    <w:rsid w:val="0012136E"/>
    <w:rsid w:val="001277BF"/>
    <w:rsid w:val="00130DE0"/>
    <w:rsid w:val="001403D4"/>
    <w:rsid w:val="001408A2"/>
    <w:rsid w:val="00143E90"/>
    <w:rsid w:val="00144AC5"/>
    <w:rsid w:val="00144CEF"/>
    <w:rsid w:val="00146B6E"/>
    <w:rsid w:val="001479E6"/>
    <w:rsid w:val="00150861"/>
    <w:rsid w:val="00155091"/>
    <w:rsid w:val="001562EA"/>
    <w:rsid w:val="001602FD"/>
    <w:rsid w:val="00162A74"/>
    <w:rsid w:val="00165993"/>
    <w:rsid w:val="0017223B"/>
    <w:rsid w:val="00172F1D"/>
    <w:rsid w:val="00173327"/>
    <w:rsid w:val="00184608"/>
    <w:rsid w:val="00184949"/>
    <w:rsid w:val="00187394"/>
    <w:rsid w:val="0019029D"/>
    <w:rsid w:val="00197AB3"/>
    <w:rsid w:val="001A4670"/>
    <w:rsid w:val="001A5640"/>
    <w:rsid w:val="001A6146"/>
    <w:rsid w:val="001B0461"/>
    <w:rsid w:val="001B24DE"/>
    <w:rsid w:val="001B4CEC"/>
    <w:rsid w:val="001B5A9C"/>
    <w:rsid w:val="001C186E"/>
    <w:rsid w:val="001C3397"/>
    <w:rsid w:val="001C3CFB"/>
    <w:rsid w:val="001C4307"/>
    <w:rsid w:val="001C5601"/>
    <w:rsid w:val="001D29BB"/>
    <w:rsid w:val="001E4CD6"/>
    <w:rsid w:val="001E58A9"/>
    <w:rsid w:val="001E6351"/>
    <w:rsid w:val="001E7DEC"/>
    <w:rsid w:val="001F1189"/>
    <w:rsid w:val="001F1B1D"/>
    <w:rsid w:val="001F2075"/>
    <w:rsid w:val="001F25B2"/>
    <w:rsid w:val="001F7227"/>
    <w:rsid w:val="0020332D"/>
    <w:rsid w:val="00206457"/>
    <w:rsid w:val="00212876"/>
    <w:rsid w:val="00213800"/>
    <w:rsid w:val="002139A8"/>
    <w:rsid w:val="00214B91"/>
    <w:rsid w:val="00215B81"/>
    <w:rsid w:val="00222230"/>
    <w:rsid w:val="0022278A"/>
    <w:rsid w:val="00222CC2"/>
    <w:rsid w:val="00224721"/>
    <w:rsid w:val="00230672"/>
    <w:rsid w:val="00241112"/>
    <w:rsid w:val="00247F31"/>
    <w:rsid w:val="00260AE7"/>
    <w:rsid w:val="0026241D"/>
    <w:rsid w:val="0026258D"/>
    <w:rsid w:val="00264616"/>
    <w:rsid w:val="00266FFB"/>
    <w:rsid w:val="002700A9"/>
    <w:rsid w:val="0027173A"/>
    <w:rsid w:val="00272D5F"/>
    <w:rsid w:val="00283022"/>
    <w:rsid w:val="00283CC1"/>
    <w:rsid w:val="00290545"/>
    <w:rsid w:val="00293B32"/>
    <w:rsid w:val="0029482B"/>
    <w:rsid w:val="00295559"/>
    <w:rsid w:val="00296614"/>
    <w:rsid w:val="002A1305"/>
    <w:rsid w:val="002A254D"/>
    <w:rsid w:val="002A2553"/>
    <w:rsid w:val="002A2FFC"/>
    <w:rsid w:val="002A3270"/>
    <w:rsid w:val="002A4F2C"/>
    <w:rsid w:val="002A61CE"/>
    <w:rsid w:val="002B47AA"/>
    <w:rsid w:val="002B4DDB"/>
    <w:rsid w:val="002B58F1"/>
    <w:rsid w:val="002C0041"/>
    <w:rsid w:val="002D5CB0"/>
    <w:rsid w:val="002E2950"/>
    <w:rsid w:val="002E2AE3"/>
    <w:rsid w:val="002E503A"/>
    <w:rsid w:val="002E512C"/>
    <w:rsid w:val="002F015B"/>
    <w:rsid w:val="002F18C6"/>
    <w:rsid w:val="002F3C53"/>
    <w:rsid w:val="002F3FE5"/>
    <w:rsid w:val="002F57E6"/>
    <w:rsid w:val="002F5B0F"/>
    <w:rsid w:val="002F5BDD"/>
    <w:rsid w:val="002F77FD"/>
    <w:rsid w:val="003006E4"/>
    <w:rsid w:val="00306578"/>
    <w:rsid w:val="003144C4"/>
    <w:rsid w:val="003176E6"/>
    <w:rsid w:val="00317D1A"/>
    <w:rsid w:val="003242EC"/>
    <w:rsid w:val="0032692F"/>
    <w:rsid w:val="00333418"/>
    <w:rsid w:val="00340B1E"/>
    <w:rsid w:val="0034752D"/>
    <w:rsid w:val="00347EB7"/>
    <w:rsid w:val="00350CCF"/>
    <w:rsid w:val="003529F8"/>
    <w:rsid w:val="0035495B"/>
    <w:rsid w:val="00357028"/>
    <w:rsid w:val="00361C71"/>
    <w:rsid w:val="003624AB"/>
    <w:rsid w:val="00363027"/>
    <w:rsid w:val="0036306F"/>
    <w:rsid w:val="00370573"/>
    <w:rsid w:val="00373CAC"/>
    <w:rsid w:val="0037563B"/>
    <w:rsid w:val="0037624A"/>
    <w:rsid w:val="003828CC"/>
    <w:rsid w:val="003838E9"/>
    <w:rsid w:val="00385573"/>
    <w:rsid w:val="00387749"/>
    <w:rsid w:val="00387CE0"/>
    <w:rsid w:val="0039068D"/>
    <w:rsid w:val="003906A3"/>
    <w:rsid w:val="00392A77"/>
    <w:rsid w:val="003930F9"/>
    <w:rsid w:val="003944E0"/>
    <w:rsid w:val="00394B5C"/>
    <w:rsid w:val="00397E04"/>
    <w:rsid w:val="003A319E"/>
    <w:rsid w:val="003A37C7"/>
    <w:rsid w:val="003A5F97"/>
    <w:rsid w:val="003B1574"/>
    <w:rsid w:val="003B3EEB"/>
    <w:rsid w:val="003B5C41"/>
    <w:rsid w:val="003C0416"/>
    <w:rsid w:val="003C1B84"/>
    <w:rsid w:val="003C24C4"/>
    <w:rsid w:val="003C2E69"/>
    <w:rsid w:val="003C5317"/>
    <w:rsid w:val="003D0AC0"/>
    <w:rsid w:val="003D315F"/>
    <w:rsid w:val="003D5995"/>
    <w:rsid w:val="003D726D"/>
    <w:rsid w:val="003E0457"/>
    <w:rsid w:val="003E2ADD"/>
    <w:rsid w:val="003E2C52"/>
    <w:rsid w:val="003E3715"/>
    <w:rsid w:val="003E43BF"/>
    <w:rsid w:val="003E788A"/>
    <w:rsid w:val="003F05EF"/>
    <w:rsid w:val="003F0962"/>
    <w:rsid w:val="003F1C32"/>
    <w:rsid w:val="003F3C8C"/>
    <w:rsid w:val="003F4A0F"/>
    <w:rsid w:val="00400DB1"/>
    <w:rsid w:val="00401F9A"/>
    <w:rsid w:val="00402F3E"/>
    <w:rsid w:val="00405BB8"/>
    <w:rsid w:val="00405BBC"/>
    <w:rsid w:val="0041387E"/>
    <w:rsid w:val="004151FA"/>
    <w:rsid w:val="004172B5"/>
    <w:rsid w:val="00420937"/>
    <w:rsid w:val="0042177B"/>
    <w:rsid w:val="004248BE"/>
    <w:rsid w:val="00425CCE"/>
    <w:rsid w:val="00430380"/>
    <w:rsid w:val="0043385D"/>
    <w:rsid w:val="0043447E"/>
    <w:rsid w:val="0043595B"/>
    <w:rsid w:val="00435D41"/>
    <w:rsid w:val="0043665B"/>
    <w:rsid w:val="00437C23"/>
    <w:rsid w:val="00440673"/>
    <w:rsid w:val="00441EC6"/>
    <w:rsid w:val="00445BC8"/>
    <w:rsid w:val="00446A1B"/>
    <w:rsid w:val="004543CA"/>
    <w:rsid w:val="0045629E"/>
    <w:rsid w:val="00465470"/>
    <w:rsid w:val="00466EDC"/>
    <w:rsid w:val="00470E12"/>
    <w:rsid w:val="00471879"/>
    <w:rsid w:val="004748C2"/>
    <w:rsid w:val="00476764"/>
    <w:rsid w:val="00476877"/>
    <w:rsid w:val="00477547"/>
    <w:rsid w:val="00477E5F"/>
    <w:rsid w:val="00480263"/>
    <w:rsid w:val="00481C19"/>
    <w:rsid w:val="004904E8"/>
    <w:rsid w:val="00495FBA"/>
    <w:rsid w:val="004977EA"/>
    <w:rsid w:val="004A1F2B"/>
    <w:rsid w:val="004A5DF9"/>
    <w:rsid w:val="004A5E09"/>
    <w:rsid w:val="004C04BC"/>
    <w:rsid w:val="004C136D"/>
    <w:rsid w:val="004C2846"/>
    <w:rsid w:val="004D4BB4"/>
    <w:rsid w:val="004D6CCB"/>
    <w:rsid w:val="004E04EF"/>
    <w:rsid w:val="004E07B9"/>
    <w:rsid w:val="004E6CAA"/>
    <w:rsid w:val="004F37C0"/>
    <w:rsid w:val="004F3B9F"/>
    <w:rsid w:val="004F3F42"/>
    <w:rsid w:val="004F41CD"/>
    <w:rsid w:val="004F61C5"/>
    <w:rsid w:val="004F705B"/>
    <w:rsid w:val="00503E02"/>
    <w:rsid w:val="0050669E"/>
    <w:rsid w:val="005074E0"/>
    <w:rsid w:val="00513680"/>
    <w:rsid w:val="00520B49"/>
    <w:rsid w:val="0052112E"/>
    <w:rsid w:val="00521178"/>
    <w:rsid w:val="00523145"/>
    <w:rsid w:val="005244D6"/>
    <w:rsid w:val="00525331"/>
    <w:rsid w:val="00527131"/>
    <w:rsid w:val="00532452"/>
    <w:rsid w:val="00532AFA"/>
    <w:rsid w:val="00533849"/>
    <w:rsid w:val="00540265"/>
    <w:rsid w:val="0054092F"/>
    <w:rsid w:val="0055244D"/>
    <w:rsid w:val="00552584"/>
    <w:rsid w:val="005566BC"/>
    <w:rsid w:val="005568F2"/>
    <w:rsid w:val="00557894"/>
    <w:rsid w:val="00557BAE"/>
    <w:rsid w:val="00564901"/>
    <w:rsid w:val="00581F49"/>
    <w:rsid w:val="0058737E"/>
    <w:rsid w:val="00591A75"/>
    <w:rsid w:val="005924D0"/>
    <w:rsid w:val="005924E7"/>
    <w:rsid w:val="005926C3"/>
    <w:rsid w:val="00595CA0"/>
    <w:rsid w:val="005A23F0"/>
    <w:rsid w:val="005A57EF"/>
    <w:rsid w:val="005A5D47"/>
    <w:rsid w:val="005B0565"/>
    <w:rsid w:val="005B0943"/>
    <w:rsid w:val="005B32CD"/>
    <w:rsid w:val="005B3F03"/>
    <w:rsid w:val="005C0450"/>
    <w:rsid w:val="005C2775"/>
    <w:rsid w:val="005D18A8"/>
    <w:rsid w:val="005D536F"/>
    <w:rsid w:val="005D5640"/>
    <w:rsid w:val="005D65EB"/>
    <w:rsid w:val="005E0371"/>
    <w:rsid w:val="005E0B6F"/>
    <w:rsid w:val="005E13FA"/>
    <w:rsid w:val="005E30A4"/>
    <w:rsid w:val="00601B54"/>
    <w:rsid w:val="00604718"/>
    <w:rsid w:val="00606375"/>
    <w:rsid w:val="00606649"/>
    <w:rsid w:val="006106EE"/>
    <w:rsid w:val="00612068"/>
    <w:rsid w:val="0061260D"/>
    <w:rsid w:val="00614297"/>
    <w:rsid w:val="006153CB"/>
    <w:rsid w:val="00617363"/>
    <w:rsid w:val="0062241F"/>
    <w:rsid w:val="006234D1"/>
    <w:rsid w:val="00627660"/>
    <w:rsid w:val="00630946"/>
    <w:rsid w:val="00632244"/>
    <w:rsid w:val="00637834"/>
    <w:rsid w:val="00640740"/>
    <w:rsid w:val="0064380B"/>
    <w:rsid w:val="0064542A"/>
    <w:rsid w:val="00645436"/>
    <w:rsid w:val="00645EAD"/>
    <w:rsid w:val="006470F7"/>
    <w:rsid w:val="00650E60"/>
    <w:rsid w:val="00651CE8"/>
    <w:rsid w:val="00652815"/>
    <w:rsid w:val="00652CA0"/>
    <w:rsid w:val="006535C8"/>
    <w:rsid w:val="00655998"/>
    <w:rsid w:val="00655E00"/>
    <w:rsid w:val="00655E11"/>
    <w:rsid w:val="0065669A"/>
    <w:rsid w:val="0066510E"/>
    <w:rsid w:val="006657D0"/>
    <w:rsid w:val="00674E93"/>
    <w:rsid w:val="00681D6E"/>
    <w:rsid w:val="00682076"/>
    <w:rsid w:val="00691118"/>
    <w:rsid w:val="006912D9"/>
    <w:rsid w:val="0069433A"/>
    <w:rsid w:val="0069506C"/>
    <w:rsid w:val="006A3FAA"/>
    <w:rsid w:val="006A605D"/>
    <w:rsid w:val="006B2EE1"/>
    <w:rsid w:val="006B5B88"/>
    <w:rsid w:val="006B6AD6"/>
    <w:rsid w:val="006C2517"/>
    <w:rsid w:val="006C6E5A"/>
    <w:rsid w:val="006C7036"/>
    <w:rsid w:val="006D59E0"/>
    <w:rsid w:val="006D7FA3"/>
    <w:rsid w:val="006E34E9"/>
    <w:rsid w:val="006E5C95"/>
    <w:rsid w:val="006E5DCE"/>
    <w:rsid w:val="006E5F7B"/>
    <w:rsid w:val="006E70A0"/>
    <w:rsid w:val="006E7CFC"/>
    <w:rsid w:val="006F0CAC"/>
    <w:rsid w:val="006F30DB"/>
    <w:rsid w:val="006F599B"/>
    <w:rsid w:val="006F78D8"/>
    <w:rsid w:val="00700C49"/>
    <w:rsid w:val="00702B81"/>
    <w:rsid w:val="00702C91"/>
    <w:rsid w:val="00703323"/>
    <w:rsid w:val="00711900"/>
    <w:rsid w:val="00712175"/>
    <w:rsid w:val="007167D0"/>
    <w:rsid w:val="007168A8"/>
    <w:rsid w:val="007229C3"/>
    <w:rsid w:val="00727A74"/>
    <w:rsid w:val="0073062E"/>
    <w:rsid w:val="00732BB4"/>
    <w:rsid w:val="00735D6A"/>
    <w:rsid w:val="0074005B"/>
    <w:rsid w:val="00743955"/>
    <w:rsid w:val="007458FC"/>
    <w:rsid w:val="00747104"/>
    <w:rsid w:val="00753BA8"/>
    <w:rsid w:val="00753E31"/>
    <w:rsid w:val="0075437F"/>
    <w:rsid w:val="00754BFA"/>
    <w:rsid w:val="007560DD"/>
    <w:rsid w:val="00756F63"/>
    <w:rsid w:val="00760F42"/>
    <w:rsid w:val="007620C7"/>
    <w:rsid w:val="00762569"/>
    <w:rsid w:val="007629EA"/>
    <w:rsid w:val="00763C32"/>
    <w:rsid w:val="00765B54"/>
    <w:rsid w:val="007670A0"/>
    <w:rsid w:val="00773079"/>
    <w:rsid w:val="0077689D"/>
    <w:rsid w:val="00781685"/>
    <w:rsid w:val="00781BFB"/>
    <w:rsid w:val="00783F62"/>
    <w:rsid w:val="00785269"/>
    <w:rsid w:val="007863F6"/>
    <w:rsid w:val="00787089"/>
    <w:rsid w:val="00791B3E"/>
    <w:rsid w:val="007924E0"/>
    <w:rsid w:val="0079784C"/>
    <w:rsid w:val="007A4219"/>
    <w:rsid w:val="007A47B2"/>
    <w:rsid w:val="007A79AA"/>
    <w:rsid w:val="007B12C5"/>
    <w:rsid w:val="007B2CE1"/>
    <w:rsid w:val="007B2E5A"/>
    <w:rsid w:val="007B4B2B"/>
    <w:rsid w:val="007C103B"/>
    <w:rsid w:val="007C25CF"/>
    <w:rsid w:val="007C7914"/>
    <w:rsid w:val="007D10E0"/>
    <w:rsid w:val="007D407B"/>
    <w:rsid w:val="007E2B1F"/>
    <w:rsid w:val="007F20E1"/>
    <w:rsid w:val="00803921"/>
    <w:rsid w:val="00806D2D"/>
    <w:rsid w:val="00816085"/>
    <w:rsid w:val="008211CA"/>
    <w:rsid w:val="008216B2"/>
    <w:rsid w:val="00822FD4"/>
    <w:rsid w:val="0082587A"/>
    <w:rsid w:val="00825AFA"/>
    <w:rsid w:val="00827938"/>
    <w:rsid w:val="00831ECA"/>
    <w:rsid w:val="00842DC5"/>
    <w:rsid w:val="008430D6"/>
    <w:rsid w:val="00846E4B"/>
    <w:rsid w:val="0085512E"/>
    <w:rsid w:val="00863A6A"/>
    <w:rsid w:val="00866822"/>
    <w:rsid w:val="00876B6E"/>
    <w:rsid w:val="00886905"/>
    <w:rsid w:val="00886F3A"/>
    <w:rsid w:val="00887F2D"/>
    <w:rsid w:val="00891B6B"/>
    <w:rsid w:val="0089342F"/>
    <w:rsid w:val="00895668"/>
    <w:rsid w:val="00897630"/>
    <w:rsid w:val="008A12C9"/>
    <w:rsid w:val="008A4BE8"/>
    <w:rsid w:val="008A5FD9"/>
    <w:rsid w:val="008A68EB"/>
    <w:rsid w:val="008B0C26"/>
    <w:rsid w:val="008B1683"/>
    <w:rsid w:val="008B3372"/>
    <w:rsid w:val="008B3C99"/>
    <w:rsid w:val="008B78EC"/>
    <w:rsid w:val="008C0AE0"/>
    <w:rsid w:val="008C1B30"/>
    <w:rsid w:val="008C2629"/>
    <w:rsid w:val="008C4A73"/>
    <w:rsid w:val="008C4DCC"/>
    <w:rsid w:val="008C63AE"/>
    <w:rsid w:val="008C668B"/>
    <w:rsid w:val="008C79D1"/>
    <w:rsid w:val="008D03DE"/>
    <w:rsid w:val="008D45D6"/>
    <w:rsid w:val="008D4CD4"/>
    <w:rsid w:val="008D6A04"/>
    <w:rsid w:val="008E4E29"/>
    <w:rsid w:val="008E5B15"/>
    <w:rsid w:val="008E680A"/>
    <w:rsid w:val="008E76EB"/>
    <w:rsid w:val="008F1EBB"/>
    <w:rsid w:val="008F35D7"/>
    <w:rsid w:val="008F61B8"/>
    <w:rsid w:val="008F6574"/>
    <w:rsid w:val="0090028F"/>
    <w:rsid w:val="0090513E"/>
    <w:rsid w:val="00905913"/>
    <w:rsid w:val="00920DF2"/>
    <w:rsid w:val="0092421B"/>
    <w:rsid w:val="0092520F"/>
    <w:rsid w:val="0092714B"/>
    <w:rsid w:val="0093009A"/>
    <w:rsid w:val="00930154"/>
    <w:rsid w:val="00933A3B"/>
    <w:rsid w:val="00934ECD"/>
    <w:rsid w:val="009351AC"/>
    <w:rsid w:val="00936320"/>
    <w:rsid w:val="00952D79"/>
    <w:rsid w:val="00961C31"/>
    <w:rsid w:val="0096490F"/>
    <w:rsid w:val="00964E21"/>
    <w:rsid w:val="009656D9"/>
    <w:rsid w:val="00966851"/>
    <w:rsid w:val="00971B19"/>
    <w:rsid w:val="00980C26"/>
    <w:rsid w:val="009825AD"/>
    <w:rsid w:val="00996E3E"/>
    <w:rsid w:val="009A6652"/>
    <w:rsid w:val="009C2205"/>
    <w:rsid w:val="009C2BCE"/>
    <w:rsid w:val="009C7386"/>
    <w:rsid w:val="009C7CB0"/>
    <w:rsid w:val="009D27D0"/>
    <w:rsid w:val="009D3301"/>
    <w:rsid w:val="009D77D7"/>
    <w:rsid w:val="009E4A21"/>
    <w:rsid w:val="009E74C7"/>
    <w:rsid w:val="009F0FCC"/>
    <w:rsid w:val="009F1D5A"/>
    <w:rsid w:val="009F3CA3"/>
    <w:rsid w:val="009F7508"/>
    <w:rsid w:val="00A0000F"/>
    <w:rsid w:val="00A00434"/>
    <w:rsid w:val="00A03CCA"/>
    <w:rsid w:val="00A045B7"/>
    <w:rsid w:val="00A17D85"/>
    <w:rsid w:val="00A2111A"/>
    <w:rsid w:val="00A23F58"/>
    <w:rsid w:val="00A25AA5"/>
    <w:rsid w:val="00A32464"/>
    <w:rsid w:val="00A37274"/>
    <w:rsid w:val="00A42F2F"/>
    <w:rsid w:val="00A47FC3"/>
    <w:rsid w:val="00A65F53"/>
    <w:rsid w:val="00A72DD2"/>
    <w:rsid w:val="00A767AA"/>
    <w:rsid w:val="00A803E9"/>
    <w:rsid w:val="00A82211"/>
    <w:rsid w:val="00A84A5F"/>
    <w:rsid w:val="00A87502"/>
    <w:rsid w:val="00A87CE8"/>
    <w:rsid w:val="00A935E8"/>
    <w:rsid w:val="00A964CB"/>
    <w:rsid w:val="00A96E1F"/>
    <w:rsid w:val="00A97F94"/>
    <w:rsid w:val="00AA182E"/>
    <w:rsid w:val="00AA29B5"/>
    <w:rsid w:val="00AA2DEE"/>
    <w:rsid w:val="00AA5E2B"/>
    <w:rsid w:val="00AB551C"/>
    <w:rsid w:val="00AB640B"/>
    <w:rsid w:val="00AB6A16"/>
    <w:rsid w:val="00AC1D3A"/>
    <w:rsid w:val="00AC209D"/>
    <w:rsid w:val="00AC6A0B"/>
    <w:rsid w:val="00AD0D7A"/>
    <w:rsid w:val="00AD2063"/>
    <w:rsid w:val="00AD5BC4"/>
    <w:rsid w:val="00AD5EBE"/>
    <w:rsid w:val="00AD743B"/>
    <w:rsid w:val="00AD7A3A"/>
    <w:rsid w:val="00AE58CF"/>
    <w:rsid w:val="00AE6F31"/>
    <w:rsid w:val="00AF0400"/>
    <w:rsid w:val="00AF0423"/>
    <w:rsid w:val="00AF06F4"/>
    <w:rsid w:val="00AF349A"/>
    <w:rsid w:val="00AF7635"/>
    <w:rsid w:val="00B01C6B"/>
    <w:rsid w:val="00B02970"/>
    <w:rsid w:val="00B02F40"/>
    <w:rsid w:val="00B0684B"/>
    <w:rsid w:val="00B0730B"/>
    <w:rsid w:val="00B104E3"/>
    <w:rsid w:val="00B10CF7"/>
    <w:rsid w:val="00B1186B"/>
    <w:rsid w:val="00B11EE0"/>
    <w:rsid w:val="00B12F18"/>
    <w:rsid w:val="00B13179"/>
    <w:rsid w:val="00B140BF"/>
    <w:rsid w:val="00B2286D"/>
    <w:rsid w:val="00B22BDB"/>
    <w:rsid w:val="00B23975"/>
    <w:rsid w:val="00B301E5"/>
    <w:rsid w:val="00B30AEB"/>
    <w:rsid w:val="00B314E7"/>
    <w:rsid w:val="00B31892"/>
    <w:rsid w:val="00B3599B"/>
    <w:rsid w:val="00B42E87"/>
    <w:rsid w:val="00B437E3"/>
    <w:rsid w:val="00B55F01"/>
    <w:rsid w:val="00B62657"/>
    <w:rsid w:val="00B62AC3"/>
    <w:rsid w:val="00B63A3B"/>
    <w:rsid w:val="00B81AE7"/>
    <w:rsid w:val="00B82C84"/>
    <w:rsid w:val="00B85147"/>
    <w:rsid w:val="00B874CC"/>
    <w:rsid w:val="00B87F28"/>
    <w:rsid w:val="00B90957"/>
    <w:rsid w:val="00B90D86"/>
    <w:rsid w:val="00B92E73"/>
    <w:rsid w:val="00B94F7A"/>
    <w:rsid w:val="00B95669"/>
    <w:rsid w:val="00B971A8"/>
    <w:rsid w:val="00BA65EF"/>
    <w:rsid w:val="00BA6A6E"/>
    <w:rsid w:val="00BA6B16"/>
    <w:rsid w:val="00BA6B96"/>
    <w:rsid w:val="00BB3A09"/>
    <w:rsid w:val="00BB446E"/>
    <w:rsid w:val="00BB722E"/>
    <w:rsid w:val="00BC1E14"/>
    <w:rsid w:val="00BC21F0"/>
    <w:rsid w:val="00BC2FC9"/>
    <w:rsid w:val="00BC780D"/>
    <w:rsid w:val="00BC7F03"/>
    <w:rsid w:val="00BD0C98"/>
    <w:rsid w:val="00BD0FB6"/>
    <w:rsid w:val="00BD0FD8"/>
    <w:rsid w:val="00BD1E43"/>
    <w:rsid w:val="00BD28C0"/>
    <w:rsid w:val="00BD44C9"/>
    <w:rsid w:val="00BD481E"/>
    <w:rsid w:val="00BE0C42"/>
    <w:rsid w:val="00BF14D5"/>
    <w:rsid w:val="00BF59DD"/>
    <w:rsid w:val="00BF7827"/>
    <w:rsid w:val="00C00EC7"/>
    <w:rsid w:val="00C03276"/>
    <w:rsid w:val="00C05102"/>
    <w:rsid w:val="00C07012"/>
    <w:rsid w:val="00C1235B"/>
    <w:rsid w:val="00C13E74"/>
    <w:rsid w:val="00C155FD"/>
    <w:rsid w:val="00C17422"/>
    <w:rsid w:val="00C25AC3"/>
    <w:rsid w:val="00C26B49"/>
    <w:rsid w:val="00C33659"/>
    <w:rsid w:val="00C34E73"/>
    <w:rsid w:val="00C3533B"/>
    <w:rsid w:val="00C372A1"/>
    <w:rsid w:val="00C4042A"/>
    <w:rsid w:val="00C47C18"/>
    <w:rsid w:val="00C5468D"/>
    <w:rsid w:val="00C57461"/>
    <w:rsid w:val="00C7573E"/>
    <w:rsid w:val="00C762FB"/>
    <w:rsid w:val="00C76E54"/>
    <w:rsid w:val="00C77E18"/>
    <w:rsid w:val="00C81977"/>
    <w:rsid w:val="00C837CC"/>
    <w:rsid w:val="00C86B5D"/>
    <w:rsid w:val="00C91259"/>
    <w:rsid w:val="00C95BA7"/>
    <w:rsid w:val="00C95C42"/>
    <w:rsid w:val="00CA2419"/>
    <w:rsid w:val="00CA7986"/>
    <w:rsid w:val="00CB22CD"/>
    <w:rsid w:val="00CC3A96"/>
    <w:rsid w:val="00CC4537"/>
    <w:rsid w:val="00CC4D6A"/>
    <w:rsid w:val="00CC4E12"/>
    <w:rsid w:val="00CC6DE0"/>
    <w:rsid w:val="00CD201C"/>
    <w:rsid w:val="00CE2E65"/>
    <w:rsid w:val="00CE52B8"/>
    <w:rsid w:val="00CE551B"/>
    <w:rsid w:val="00CF17CB"/>
    <w:rsid w:val="00CF394C"/>
    <w:rsid w:val="00CF53A9"/>
    <w:rsid w:val="00CF7759"/>
    <w:rsid w:val="00D02EC2"/>
    <w:rsid w:val="00D11E91"/>
    <w:rsid w:val="00D123AF"/>
    <w:rsid w:val="00D157FE"/>
    <w:rsid w:val="00D23B09"/>
    <w:rsid w:val="00D26DA6"/>
    <w:rsid w:val="00D2721B"/>
    <w:rsid w:val="00D335D4"/>
    <w:rsid w:val="00D43053"/>
    <w:rsid w:val="00D43806"/>
    <w:rsid w:val="00D5575A"/>
    <w:rsid w:val="00D56924"/>
    <w:rsid w:val="00D61E0C"/>
    <w:rsid w:val="00D7348D"/>
    <w:rsid w:val="00D74057"/>
    <w:rsid w:val="00D7445C"/>
    <w:rsid w:val="00D74EFC"/>
    <w:rsid w:val="00D757B1"/>
    <w:rsid w:val="00D75C1F"/>
    <w:rsid w:val="00D877A2"/>
    <w:rsid w:val="00D918A8"/>
    <w:rsid w:val="00D923E3"/>
    <w:rsid w:val="00D95927"/>
    <w:rsid w:val="00D96135"/>
    <w:rsid w:val="00D9717C"/>
    <w:rsid w:val="00DA2CF9"/>
    <w:rsid w:val="00DB0A3D"/>
    <w:rsid w:val="00DC3B95"/>
    <w:rsid w:val="00DC44DA"/>
    <w:rsid w:val="00DC59E3"/>
    <w:rsid w:val="00DD0F41"/>
    <w:rsid w:val="00DD223C"/>
    <w:rsid w:val="00DD71A8"/>
    <w:rsid w:val="00DE38DF"/>
    <w:rsid w:val="00DF0E1E"/>
    <w:rsid w:val="00DF5F89"/>
    <w:rsid w:val="00DF6632"/>
    <w:rsid w:val="00DF761C"/>
    <w:rsid w:val="00E001AB"/>
    <w:rsid w:val="00E01296"/>
    <w:rsid w:val="00E01423"/>
    <w:rsid w:val="00E0294E"/>
    <w:rsid w:val="00E02A21"/>
    <w:rsid w:val="00E038AF"/>
    <w:rsid w:val="00E048AD"/>
    <w:rsid w:val="00E04DBA"/>
    <w:rsid w:val="00E0534D"/>
    <w:rsid w:val="00E0554C"/>
    <w:rsid w:val="00E0660E"/>
    <w:rsid w:val="00E0684B"/>
    <w:rsid w:val="00E109EA"/>
    <w:rsid w:val="00E11167"/>
    <w:rsid w:val="00E1521F"/>
    <w:rsid w:val="00E157C4"/>
    <w:rsid w:val="00E16AF5"/>
    <w:rsid w:val="00E23D21"/>
    <w:rsid w:val="00E24473"/>
    <w:rsid w:val="00E25D00"/>
    <w:rsid w:val="00E30677"/>
    <w:rsid w:val="00E3263B"/>
    <w:rsid w:val="00E32746"/>
    <w:rsid w:val="00E35FEF"/>
    <w:rsid w:val="00E3630C"/>
    <w:rsid w:val="00E36A54"/>
    <w:rsid w:val="00E40A04"/>
    <w:rsid w:val="00E42E59"/>
    <w:rsid w:val="00E452ED"/>
    <w:rsid w:val="00E4624D"/>
    <w:rsid w:val="00E57258"/>
    <w:rsid w:val="00E57E4B"/>
    <w:rsid w:val="00E6097F"/>
    <w:rsid w:val="00E6546D"/>
    <w:rsid w:val="00E667EC"/>
    <w:rsid w:val="00E67EFD"/>
    <w:rsid w:val="00E72B8B"/>
    <w:rsid w:val="00E7353F"/>
    <w:rsid w:val="00E75DB2"/>
    <w:rsid w:val="00E82037"/>
    <w:rsid w:val="00E8239B"/>
    <w:rsid w:val="00E91CFD"/>
    <w:rsid w:val="00E93A11"/>
    <w:rsid w:val="00EA04FC"/>
    <w:rsid w:val="00EA4E1B"/>
    <w:rsid w:val="00EA6A62"/>
    <w:rsid w:val="00EB229E"/>
    <w:rsid w:val="00EB7577"/>
    <w:rsid w:val="00EC0526"/>
    <w:rsid w:val="00EC0A70"/>
    <w:rsid w:val="00EC667E"/>
    <w:rsid w:val="00EC7414"/>
    <w:rsid w:val="00ED2F29"/>
    <w:rsid w:val="00EE2AE7"/>
    <w:rsid w:val="00EE42D5"/>
    <w:rsid w:val="00EF0318"/>
    <w:rsid w:val="00EF2AD2"/>
    <w:rsid w:val="00F00902"/>
    <w:rsid w:val="00F03CAB"/>
    <w:rsid w:val="00F044D1"/>
    <w:rsid w:val="00F04E75"/>
    <w:rsid w:val="00F04FB3"/>
    <w:rsid w:val="00F11AA4"/>
    <w:rsid w:val="00F20082"/>
    <w:rsid w:val="00F20DF8"/>
    <w:rsid w:val="00F24799"/>
    <w:rsid w:val="00F26A30"/>
    <w:rsid w:val="00F30661"/>
    <w:rsid w:val="00F315F3"/>
    <w:rsid w:val="00F34BC1"/>
    <w:rsid w:val="00F40834"/>
    <w:rsid w:val="00F40A14"/>
    <w:rsid w:val="00F44B4F"/>
    <w:rsid w:val="00F5017D"/>
    <w:rsid w:val="00F510D5"/>
    <w:rsid w:val="00F559F6"/>
    <w:rsid w:val="00F62D6E"/>
    <w:rsid w:val="00F65937"/>
    <w:rsid w:val="00F66DDD"/>
    <w:rsid w:val="00F66E36"/>
    <w:rsid w:val="00F671EA"/>
    <w:rsid w:val="00F676E4"/>
    <w:rsid w:val="00F80878"/>
    <w:rsid w:val="00F82CB0"/>
    <w:rsid w:val="00F84D53"/>
    <w:rsid w:val="00F86D68"/>
    <w:rsid w:val="00F90876"/>
    <w:rsid w:val="00F917DA"/>
    <w:rsid w:val="00F95865"/>
    <w:rsid w:val="00F966C9"/>
    <w:rsid w:val="00FA5B2C"/>
    <w:rsid w:val="00FA6680"/>
    <w:rsid w:val="00FA6B44"/>
    <w:rsid w:val="00FB3EB1"/>
    <w:rsid w:val="00FB6046"/>
    <w:rsid w:val="00FB6095"/>
    <w:rsid w:val="00FB6739"/>
    <w:rsid w:val="00FC11B4"/>
    <w:rsid w:val="00FD0347"/>
    <w:rsid w:val="00FD5DD4"/>
    <w:rsid w:val="00FD6A61"/>
    <w:rsid w:val="00FE182D"/>
    <w:rsid w:val="00FE19C2"/>
    <w:rsid w:val="00FE227B"/>
    <w:rsid w:val="00FE4F16"/>
    <w:rsid w:val="00FE4FC8"/>
    <w:rsid w:val="00FF1E47"/>
    <w:rsid w:val="00FF5216"/>
    <w:rsid w:val="00FF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5719667D-E5C3-4044-963D-AB63D481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97"/>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79784C"/>
    <w:pPr>
      <w:spacing w:after="0" w:line="260" w:lineRule="atLeast"/>
      <w:ind w:left="720"/>
      <w:contextualSpacing/>
      <w:jc w:val="both"/>
    </w:pPr>
    <w:rPr>
      <w:rFonts w:ascii="Palatino Linotype" w:eastAsia="SimSun" w:hAnsi="Palatino Linotype" w:cs="Times New Roman"/>
      <w:noProof/>
      <w:color w:val="000000"/>
      <w:sz w:val="20"/>
      <w:szCs w:val="20"/>
      <w:lang w:val="en-US" w:eastAsia="zh-CN"/>
    </w:rPr>
  </w:style>
  <w:style w:type="character" w:styleId="Hyperlink">
    <w:name w:val="Hyperlink"/>
    <w:basedOn w:val="Fontepargpadro"/>
    <w:uiPriority w:val="99"/>
    <w:unhideWhenUsed/>
    <w:rsid w:val="0029482B"/>
    <w:rPr>
      <w:color w:val="0563C1" w:themeColor="hyperlink"/>
      <w:u w:val="single"/>
    </w:rPr>
  </w:style>
  <w:style w:type="character" w:styleId="MenoPendente">
    <w:name w:val="Unresolved Mention"/>
    <w:basedOn w:val="Fontepargpadro"/>
    <w:uiPriority w:val="99"/>
    <w:semiHidden/>
    <w:unhideWhenUsed/>
    <w:rsid w:val="0029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matchemphys.2021.1244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1F613-E7BC-4BB0-9BB9-B7CAD918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2351</Words>
  <Characters>12699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Francieli Mayer</cp:lastModifiedBy>
  <cp:revision>60</cp:revision>
  <cp:lastPrinted>2023-05-12T21:55:00Z</cp:lastPrinted>
  <dcterms:created xsi:type="dcterms:W3CDTF">2023-05-12T18:22:00Z</dcterms:created>
  <dcterms:modified xsi:type="dcterms:W3CDTF">2023-05-13T21:05:00Z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